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39" w:rsidRPr="00131139" w:rsidRDefault="00131139" w:rsidP="00131139">
      <w:pPr>
        <w:shd w:val="clear" w:color="auto" w:fill="FFFFFF"/>
        <w:spacing w:after="0" w:line="240" w:lineRule="auto"/>
        <w:rPr>
          <w:rFonts w:ascii="Arial" w:eastAsia="Times New Roman" w:hAnsi="Arial" w:cs="Arial"/>
          <w:b/>
          <w:color w:val="000000"/>
          <w:sz w:val="24"/>
          <w:szCs w:val="24"/>
          <w:u w:val="single"/>
          <w:lang w:eastAsia="en-GB"/>
        </w:rPr>
      </w:pPr>
      <w:r w:rsidRPr="00131139">
        <w:rPr>
          <w:rFonts w:ascii="Arial" w:eastAsia="Times New Roman" w:hAnsi="Arial" w:cs="Arial"/>
          <w:b/>
          <w:color w:val="000000"/>
          <w:sz w:val="24"/>
          <w:szCs w:val="24"/>
          <w:u w:val="single"/>
          <w:lang w:eastAsia="en-GB"/>
        </w:rPr>
        <w:t>Defra release latest research into bioaerosols</w:t>
      </w:r>
    </w:p>
    <w:p w:rsidR="00131139" w:rsidRDefault="00131139" w:rsidP="00131139">
      <w:pPr>
        <w:shd w:val="clear" w:color="auto" w:fill="FFFFFF"/>
        <w:spacing w:after="0" w:line="240" w:lineRule="auto"/>
        <w:rPr>
          <w:rFonts w:ascii="Arial" w:eastAsia="Times New Roman" w:hAnsi="Arial" w:cs="Arial"/>
          <w:color w:val="000000"/>
          <w:sz w:val="24"/>
          <w:szCs w:val="24"/>
          <w:lang w:eastAsia="en-GB"/>
        </w:rPr>
      </w:pP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Government policy requires that valuable resources should be recovered and recycled from biodegradable waste. A successful and growing organics recycling industry delivers this policy with composting being one of the principal technologies deployed to process suitable feedstock such as garden and food waste.</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 </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The overall aim of this project was to provide evidence on bioaerosol production, dispersion and potential exposures from composting facilities in support of future developments in policy and regulation of biowaste facilities.</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 </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The objectives were: (i) to undertake a comprehensive set of standard and novel bioaerosol measurements at representative composting sites to assess comparability between different methods and also to measure spatial and temporal variations; and (ii) to determine the odour emissions and then compare these with bioaerosol emissions to see if odour is a marker of significant bioaerosol exposure.</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 </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The composting facilities were selected to represent sites of varying sizes (tonnages) and feedstocks and to allow a comparison of bioaerosol concentrations at standard open windrow sites as well as mixed open and in-vessel and a fully-contained site.</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 </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Bioaerosol concentrations at the enclosed site were generally lower than at the open windrow sites. There was no evidence of a seasonal pattern in bioaerosol concentrations at any of the sites whereas between-sampling day variations were apparent. The cause(s) of these variations were not identified.</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 </w:t>
      </w: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r w:rsidRPr="00131139">
        <w:rPr>
          <w:rFonts w:ascii="Arial" w:eastAsia="Times New Roman" w:hAnsi="Arial" w:cs="Arial"/>
          <w:color w:val="000000"/>
          <w:sz w:val="24"/>
          <w:szCs w:val="24"/>
          <w:lang w:eastAsia="en-GB"/>
        </w:rPr>
        <w:t>No consistent relationship was observed between odour and bioaerosol concentrations (although this was a limited dataset). The envelope of modelled (back-extrapolated) bioaerosol emission rates straddles several orders of magnitude. Distinguishing the influences of individual meteorological parameters on this variability was not possible. It was not possible to predict bioaerosol or odour</w:t>
      </w:r>
      <w:proofErr w:type="gramStart"/>
      <w:r w:rsidRPr="00131139">
        <w:rPr>
          <w:rFonts w:ascii="Arial" w:eastAsia="Times New Roman" w:hAnsi="Arial" w:cs="Arial"/>
          <w:color w:val="000000"/>
          <w:sz w:val="24"/>
          <w:szCs w:val="24"/>
          <w:lang w:eastAsia="en-GB"/>
        </w:rPr>
        <w:t>  emission</w:t>
      </w:r>
      <w:proofErr w:type="gramEnd"/>
      <w:r w:rsidRPr="00131139">
        <w:rPr>
          <w:rFonts w:ascii="Arial" w:eastAsia="Times New Roman" w:hAnsi="Arial" w:cs="Arial"/>
          <w:color w:val="000000"/>
          <w:sz w:val="24"/>
          <w:szCs w:val="24"/>
          <w:lang w:eastAsia="en-GB"/>
        </w:rPr>
        <w:t xml:space="preserve"> rates with confidence. This continues to hamper confidence in modelling of odours and bioaerosols from open windrow facilities.</w:t>
      </w:r>
    </w:p>
    <w:p w:rsidR="00131139" w:rsidRDefault="00131139" w:rsidP="00131139">
      <w:pPr>
        <w:shd w:val="clear" w:color="auto" w:fill="FFFFFF"/>
        <w:spacing w:after="0" w:line="240" w:lineRule="auto"/>
        <w:rPr>
          <w:rFonts w:ascii="Arial" w:eastAsia="Times New Roman" w:hAnsi="Arial" w:cs="Arial"/>
          <w:color w:val="000000"/>
          <w:sz w:val="24"/>
          <w:szCs w:val="24"/>
          <w:lang w:eastAsia="en-GB"/>
        </w:rPr>
      </w:pPr>
    </w:p>
    <w:p w:rsidR="00131139" w:rsidRPr="00131139" w:rsidRDefault="00131139" w:rsidP="00131139">
      <w:pPr>
        <w:shd w:val="clear" w:color="auto" w:fill="FFFFFF"/>
        <w:spacing w:after="0" w:line="240" w:lineRule="auto"/>
        <w:rPr>
          <w:rFonts w:ascii="Arial" w:eastAsia="Times New Roman" w:hAnsi="Arial" w:cs="Arial"/>
          <w:color w:val="000000"/>
          <w:sz w:val="24"/>
          <w:szCs w:val="24"/>
          <w:lang w:eastAsia="en-GB"/>
        </w:rPr>
      </w:pPr>
      <w:bookmarkStart w:id="0" w:name="_GoBack"/>
      <w:bookmarkEnd w:id="0"/>
      <w:r w:rsidRPr="00131139">
        <w:rPr>
          <w:rFonts w:ascii="Arial" w:eastAsia="Times New Roman" w:hAnsi="Arial" w:cs="Arial"/>
          <w:color w:val="000000"/>
          <w:sz w:val="24"/>
          <w:szCs w:val="24"/>
          <w:lang w:eastAsia="en-GB"/>
        </w:rPr>
        <w:t>The full report can be found </w:t>
      </w:r>
      <w:hyperlink r:id="rId5" w:history="1">
        <w:r w:rsidRPr="00131139">
          <w:rPr>
            <w:rFonts w:ascii="Arial" w:eastAsia="Times New Roman" w:hAnsi="Arial" w:cs="Arial"/>
            <w:color w:val="000000"/>
            <w:sz w:val="24"/>
            <w:szCs w:val="24"/>
            <w:u w:val="single"/>
            <w:lang w:eastAsia="en-GB"/>
          </w:rPr>
          <w:t>HERE</w:t>
        </w:r>
      </w:hyperlink>
    </w:p>
    <w:p w:rsidR="007B22A9" w:rsidRDefault="007B22A9"/>
    <w:sectPr w:rsidR="007B2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39"/>
    <w:rsid w:val="00131139"/>
    <w:rsid w:val="007B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11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1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79908">
      <w:bodyDiv w:val="1"/>
      <w:marLeft w:val="0"/>
      <w:marRight w:val="0"/>
      <w:marTop w:val="0"/>
      <w:marBottom w:val="0"/>
      <w:divBdr>
        <w:top w:val="none" w:sz="0" w:space="0" w:color="auto"/>
        <w:left w:val="none" w:sz="0" w:space="0" w:color="auto"/>
        <w:bottom w:val="none" w:sz="0" w:space="0" w:color="auto"/>
        <w:right w:val="none" w:sz="0" w:space="0" w:color="auto"/>
      </w:divBdr>
      <w:divsChild>
        <w:div w:id="1434548924">
          <w:marLeft w:val="0"/>
          <w:marRight w:val="0"/>
          <w:marTop w:val="0"/>
          <w:marBottom w:val="0"/>
          <w:divBdr>
            <w:top w:val="none" w:sz="0" w:space="0" w:color="auto"/>
            <w:left w:val="none" w:sz="0" w:space="0" w:color="auto"/>
            <w:bottom w:val="none" w:sz="0" w:space="0" w:color="auto"/>
            <w:right w:val="none" w:sz="0" w:space="0" w:color="auto"/>
          </w:divBdr>
        </w:div>
        <w:div w:id="918096791">
          <w:marLeft w:val="0"/>
          <w:marRight w:val="0"/>
          <w:marTop w:val="0"/>
          <w:marBottom w:val="0"/>
          <w:divBdr>
            <w:top w:val="none" w:sz="0" w:space="0" w:color="auto"/>
            <w:left w:val="none" w:sz="0" w:space="0" w:color="auto"/>
            <w:bottom w:val="none" w:sz="0" w:space="0" w:color="auto"/>
            <w:right w:val="none" w:sz="0" w:space="0" w:color="auto"/>
          </w:divBdr>
        </w:div>
        <w:div w:id="980963592">
          <w:marLeft w:val="0"/>
          <w:marRight w:val="0"/>
          <w:marTop w:val="0"/>
          <w:marBottom w:val="0"/>
          <w:divBdr>
            <w:top w:val="none" w:sz="0" w:space="0" w:color="auto"/>
            <w:left w:val="none" w:sz="0" w:space="0" w:color="auto"/>
            <w:bottom w:val="none" w:sz="0" w:space="0" w:color="auto"/>
            <w:right w:val="none" w:sz="0" w:space="0" w:color="auto"/>
          </w:divBdr>
        </w:div>
        <w:div w:id="1138574824">
          <w:marLeft w:val="0"/>
          <w:marRight w:val="0"/>
          <w:marTop w:val="0"/>
          <w:marBottom w:val="0"/>
          <w:divBdr>
            <w:top w:val="none" w:sz="0" w:space="0" w:color="auto"/>
            <w:left w:val="none" w:sz="0" w:space="0" w:color="auto"/>
            <w:bottom w:val="none" w:sz="0" w:space="0" w:color="auto"/>
            <w:right w:val="none" w:sz="0" w:space="0" w:color="auto"/>
          </w:divBdr>
        </w:div>
        <w:div w:id="1761220847">
          <w:marLeft w:val="0"/>
          <w:marRight w:val="0"/>
          <w:marTop w:val="0"/>
          <w:marBottom w:val="0"/>
          <w:divBdr>
            <w:top w:val="none" w:sz="0" w:space="0" w:color="auto"/>
            <w:left w:val="none" w:sz="0" w:space="0" w:color="auto"/>
            <w:bottom w:val="none" w:sz="0" w:space="0" w:color="auto"/>
            <w:right w:val="none" w:sz="0" w:space="0" w:color="auto"/>
          </w:divBdr>
        </w:div>
        <w:div w:id="247813886">
          <w:marLeft w:val="0"/>
          <w:marRight w:val="0"/>
          <w:marTop w:val="0"/>
          <w:marBottom w:val="0"/>
          <w:divBdr>
            <w:top w:val="none" w:sz="0" w:space="0" w:color="auto"/>
            <w:left w:val="none" w:sz="0" w:space="0" w:color="auto"/>
            <w:bottom w:val="none" w:sz="0" w:space="0" w:color="auto"/>
            <w:right w:val="none" w:sz="0" w:space="0" w:color="auto"/>
          </w:divBdr>
        </w:div>
        <w:div w:id="1821069003">
          <w:marLeft w:val="0"/>
          <w:marRight w:val="0"/>
          <w:marTop w:val="0"/>
          <w:marBottom w:val="0"/>
          <w:divBdr>
            <w:top w:val="none" w:sz="0" w:space="0" w:color="auto"/>
            <w:left w:val="none" w:sz="0" w:space="0" w:color="auto"/>
            <w:bottom w:val="none" w:sz="0" w:space="0" w:color="auto"/>
            <w:right w:val="none" w:sz="0" w:space="0" w:color="auto"/>
          </w:divBdr>
        </w:div>
        <w:div w:id="1513032435">
          <w:marLeft w:val="0"/>
          <w:marRight w:val="0"/>
          <w:marTop w:val="0"/>
          <w:marBottom w:val="0"/>
          <w:divBdr>
            <w:top w:val="none" w:sz="0" w:space="0" w:color="auto"/>
            <w:left w:val="none" w:sz="0" w:space="0" w:color="auto"/>
            <w:bottom w:val="none" w:sz="0" w:space="0" w:color="auto"/>
            <w:right w:val="none" w:sz="0" w:space="0" w:color="auto"/>
          </w:divBdr>
        </w:div>
        <w:div w:id="509949330">
          <w:marLeft w:val="0"/>
          <w:marRight w:val="0"/>
          <w:marTop w:val="0"/>
          <w:marBottom w:val="0"/>
          <w:divBdr>
            <w:top w:val="none" w:sz="0" w:space="0" w:color="auto"/>
            <w:left w:val="none" w:sz="0" w:space="0" w:color="auto"/>
            <w:bottom w:val="none" w:sz="0" w:space="0" w:color="auto"/>
            <w:right w:val="none" w:sz="0" w:space="0" w:color="auto"/>
          </w:divBdr>
        </w:div>
        <w:div w:id="807434335">
          <w:marLeft w:val="0"/>
          <w:marRight w:val="0"/>
          <w:marTop w:val="0"/>
          <w:marBottom w:val="0"/>
          <w:divBdr>
            <w:top w:val="none" w:sz="0" w:space="0" w:color="auto"/>
            <w:left w:val="none" w:sz="0" w:space="0" w:color="auto"/>
            <w:bottom w:val="none" w:sz="0" w:space="0" w:color="auto"/>
            <w:right w:val="none" w:sz="0" w:space="0" w:color="auto"/>
          </w:divBdr>
        </w:div>
        <w:div w:id="319696028">
          <w:marLeft w:val="0"/>
          <w:marRight w:val="0"/>
          <w:marTop w:val="0"/>
          <w:marBottom w:val="0"/>
          <w:divBdr>
            <w:top w:val="none" w:sz="0" w:space="0" w:color="auto"/>
            <w:left w:val="none" w:sz="0" w:space="0" w:color="auto"/>
            <w:bottom w:val="none" w:sz="0" w:space="0" w:color="auto"/>
            <w:right w:val="none" w:sz="0" w:space="0" w:color="auto"/>
          </w:divBdr>
        </w:div>
        <w:div w:id="1644046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ganics-recycling.org.uk/uploads/article2681/11581_WR1121Bioaerosols-FINALREPORT%20(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1</cp:revision>
  <dcterms:created xsi:type="dcterms:W3CDTF">2019-07-02T14:38:00Z</dcterms:created>
  <dcterms:modified xsi:type="dcterms:W3CDTF">2019-07-02T14:39:00Z</dcterms:modified>
</cp:coreProperties>
</file>