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D5" w:rsidRPr="004837D5" w:rsidRDefault="004837D5" w:rsidP="004837D5">
      <w:pPr>
        <w:shd w:val="clear" w:color="auto" w:fill="FFFFFF"/>
        <w:spacing w:after="150" w:line="270" w:lineRule="atLeast"/>
        <w:rPr>
          <w:rFonts w:ascii="Arial" w:eastAsia="Times New Roman" w:hAnsi="Arial" w:cs="Arial"/>
          <w:b/>
          <w:color w:val="000000"/>
          <w:sz w:val="18"/>
          <w:szCs w:val="18"/>
          <w:lang w:eastAsia="en-GB"/>
        </w:rPr>
      </w:pPr>
      <w:r w:rsidRPr="004837D5">
        <w:rPr>
          <w:rFonts w:ascii="Arial" w:eastAsia="Times New Roman" w:hAnsi="Arial" w:cs="Arial"/>
          <w:b/>
          <w:color w:val="000000"/>
          <w:sz w:val="24"/>
          <w:szCs w:val="24"/>
          <w:u w:val="single"/>
          <w:lang w:eastAsia="en-GB"/>
        </w:rPr>
        <w:t>Exposure to Dust &amp; Endotoxins at Composting Sites: A Case Study</w:t>
      </w:r>
    </w:p>
    <w:p w:rsidR="004837D5" w:rsidRPr="004837D5" w:rsidRDefault="004837D5" w:rsidP="004837D5">
      <w:pPr>
        <w:shd w:val="clear" w:color="auto" w:fill="FFFFFF"/>
        <w:spacing w:after="150"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 </w:t>
      </w:r>
    </w:p>
    <w:p w:rsidR="004837D5" w:rsidRPr="004837D5" w:rsidRDefault="004837D5" w:rsidP="004837D5">
      <w:pPr>
        <w:shd w:val="clear" w:color="auto" w:fill="FFFFFF"/>
        <w:spacing w:after="150"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Abstract</w:t>
      </w:r>
      <w:bookmarkStart w:id="0" w:name="_GoBack"/>
      <w:bookmarkEnd w:id="0"/>
    </w:p>
    <w:p w:rsidR="004837D5" w:rsidRPr="004837D5" w:rsidRDefault="004837D5" w:rsidP="004837D5">
      <w:pPr>
        <w:shd w:val="clear" w:color="auto" w:fill="FFFFFF"/>
        <w:spacing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Objectives</w:t>
      </w:r>
    </w:p>
    <w:p w:rsidR="004837D5" w:rsidRPr="004837D5" w:rsidRDefault="004837D5" w:rsidP="004837D5">
      <w:pPr>
        <w:shd w:val="clear" w:color="auto" w:fill="FFFFFF"/>
        <w:spacing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 </w:t>
      </w:r>
      <w:r w:rsidRPr="004837D5">
        <w:rPr>
          <w:rFonts w:ascii="Arial" w:eastAsia="Times New Roman" w:hAnsi="Arial" w:cs="Arial"/>
          <w:color w:val="000000"/>
          <w:sz w:val="20"/>
          <w:szCs w:val="20"/>
          <w:lang w:eastAsia="en-GB"/>
        </w:rPr>
        <w:t xml:space="preserve">To characterise compost workers exposure to dust, endotoxin </w:t>
      </w:r>
      <w:proofErr w:type="gramStart"/>
      <w:r w:rsidRPr="004837D5">
        <w:rPr>
          <w:rFonts w:ascii="Arial" w:eastAsia="Times New Roman" w:hAnsi="Arial" w:cs="Arial"/>
          <w:color w:val="000000"/>
          <w:sz w:val="20"/>
          <w:szCs w:val="20"/>
          <w:lang w:eastAsia="en-GB"/>
        </w:rPr>
        <w:t>and ?</w:t>
      </w:r>
      <w:proofErr w:type="gramEnd"/>
      <w:r w:rsidRPr="004837D5">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-3</w:t>
      </w:r>
      <w:r w:rsidRPr="004837D5">
        <w:rPr>
          <w:rFonts w:ascii="Arial" w:eastAsia="Times New Roman" w:hAnsi="Arial" w:cs="Arial"/>
          <w:color w:val="000000"/>
          <w:sz w:val="20"/>
          <w:szCs w:val="20"/>
          <w:lang w:eastAsia="en-GB"/>
        </w:rPr>
        <w:t>) glucan during various operational practices and investigate whether dust concentrations are a useful indicator of endotoxin exposure in compost workers.</w:t>
      </w:r>
    </w:p>
    <w:p w:rsidR="004837D5" w:rsidRPr="004837D5" w:rsidRDefault="004837D5" w:rsidP="004837D5">
      <w:pPr>
        <w:shd w:val="clear" w:color="auto" w:fill="FFFFFF"/>
        <w:spacing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Methods</w:t>
      </w:r>
    </w:p>
    <w:p w:rsidR="004837D5" w:rsidRPr="004837D5" w:rsidRDefault="004837D5" w:rsidP="004837D5">
      <w:pPr>
        <w:shd w:val="clear" w:color="auto" w:fill="FFFFFF"/>
        <w:spacing w:line="270" w:lineRule="atLeast"/>
        <w:rPr>
          <w:rFonts w:ascii="Arial" w:eastAsia="Times New Roman" w:hAnsi="Arial" w:cs="Arial"/>
          <w:color w:val="000000"/>
          <w:sz w:val="18"/>
          <w:szCs w:val="18"/>
          <w:lang w:eastAsia="en-GB"/>
        </w:rPr>
      </w:pPr>
      <w:r w:rsidRPr="004837D5">
        <w:rPr>
          <w:rFonts w:ascii="Arial" w:eastAsia="Times New Roman" w:hAnsi="Arial" w:cs="Arial"/>
          <w:color w:val="000000"/>
          <w:sz w:val="20"/>
          <w:szCs w:val="20"/>
          <w:lang w:eastAsia="en-GB"/>
        </w:rPr>
        <w:t xml:space="preserve">This study assessed inhalable dust fractions, bacterial endotoxin </w:t>
      </w:r>
      <w:proofErr w:type="gramStart"/>
      <w:r w:rsidRPr="004837D5">
        <w:rPr>
          <w:rFonts w:ascii="Arial" w:eastAsia="Times New Roman" w:hAnsi="Arial" w:cs="Arial"/>
          <w:color w:val="000000"/>
          <w:sz w:val="20"/>
          <w:szCs w:val="20"/>
          <w:lang w:eastAsia="en-GB"/>
        </w:rPr>
        <w:t>and ?</w:t>
      </w:r>
      <w:proofErr w:type="gramEnd"/>
      <w:r w:rsidRPr="004837D5">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r w:rsidRPr="004837D5">
        <w:rPr>
          <w:rFonts w:ascii="Arial" w:eastAsia="Times New Roman" w:hAnsi="Arial" w:cs="Arial"/>
          <w:color w:val="000000"/>
          <w:sz w:val="20"/>
          <w:szCs w:val="20"/>
          <w:lang w:eastAsia="en-GB"/>
        </w:rPr>
        <w:t>3) glucan in 117 personal samples and 88 ambient samples from four large-scale composting facilities.</w:t>
      </w:r>
    </w:p>
    <w:p w:rsidR="004837D5" w:rsidRPr="004837D5" w:rsidRDefault="004837D5" w:rsidP="004837D5">
      <w:pPr>
        <w:shd w:val="clear" w:color="auto" w:fill="FFFFFF"/>
        <w:spacing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Results</w:t>
      </w:r>
    </w:p>
    <w:p w:rsidR="004837D5" w:rsidRPr="004837D5" w:rsidRDefault="004837D5" w:rsidP="004837D5">
      <w:pPr>
        <w:shd w:val="clear" w:color="auto" w:fill="FFFFFF"/>
        <w:spacing w:after="0" w:line="270" w:lineRule="atLeast"/>
        <w:rPr>
          <w:rFonts w:ascii="Arial" w:eastAsia="Times New Roman" w:hAnsi="Arial" w:cs="Arial"/>
          <w:color w:val="000000"/>
          <w:sz w:val="18"/>
          <w:szCs w:val="18"/>
          <w:lang w:eastAsia="en-GB"/>
        </w:rPr>
      </w:pPr>
      <w:r w:rsidRPr="004837D5">
        <w:rPr>
          <w:rFonts w:ascii="Arial" w:eastAsia="Times New Roman" w:hAnsi="Arial" w:cs="Arial"/>
          <w:color w:val="000000"/>
          <w:sz w:val="20"/>
          <w:szCs w:val="20"/>
          <w:lang w:eastAsia="en-GB"/>
        </w:rPr>
        <w:t xml:space="preserve">Employees exposures to inhalable dust, endotoxin and </w:t>
      </w:r>
      <w:proofErr w:type="gramStart"/>
      <w:r w:rsidRPr="004837D5">
        <w:rPr>
          <w:rFonts w:ascii="Arial" w:eastAsia="Times New Roman" w:hAnsi="Arial" w:cs="Arial"/>
          <w:color w:val="000000"/>
          <w:sz w:val="20"/>
          <w:szCs w:val="20"/>
          <w:lang w:eastAsia="en-GB"/>
        </w:rPr>
        <w:t>-(</w:t>
      </w:r>
      <w:proofErr w:type="gramEnd"/>
      <w:r w:rsidRPr="004837D5">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r w:rsidRPr="004837D5">
        <w:rPr>
          <w:rFonts w:ascii="Arial" w:eastAsia="Times New Roman" w:hAnsi="Arial" w:cs="Arial"/>
          <w:color w:val="000000"/>
          <w:sz w:val="20"/>
          <w:szCs w:val="20"/>
          <w:lang w:eastAsia="en-GB"/>
        </w:rPr>
        <w:t>3) glucan exhibited a large range. Inhalable dust was found to be generally low (GM 0.99 mg/m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GSD 2.99 mg/m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xml:space="preserve">). Analysis of the biological component of the dust showed that </w:t>
      </w:r>
      <w:proofErr w:type="gramStart"/>
      <w:r w:rsidRPr="004837D5">
        <w:rPr>
          <w:rFonts w:ascii="Arial" w:eastAsia="Times New Roman" w:hAnsi="Arial" w:cs="Arial"/>
          <w:color w:val="000000"/>
          <w:sz w:val="20"/>
          <w:szCs w:val="20"/>
          <w:lang w:eastAsia="en-GB"/>
        </w:rPr>
        <w:t>employees</w:t>
      </w:r>
      <w:proofErr w:type="gramEnd"/>
      <w:r w:rsidRPr="004837D5">
        <w:rPr>
          <w:rFonts w:ascii="Arial" w:eastAsia="Times New Roman" w:hAnsi="Arial" w:cs="Arial"/>
          <w:color w:val="000000"/>
          <w:sz w:val="20"/>
          <w:szCs w:val="20"/>
          <w:lang w:eastAsia="en-GB"/>
        </w:rPr>
        <w:t xml:space="preserve"> exposures to endotoxin were elevated (GM 35.10 EU/m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GSD 9.97 EU/m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xml:space="preserve">). Employees exposure to </w:t>
      </w:r>
      <w:proofErr w:type="gramStart"/>
      <w:r w:rsidRPr="004837D5">
        <w:rPr>
          <w:rFonts w:ascii="Arial" w:eastAsia="Times New Roman" w:hAnsi="Arial" w:cs="Arial"/>
          <w:color w:val="000000"/>
          <w:sz w:val="20"/>
          <w:szCs w:val="20"/>
          <w:lang w:eastAsia="en-GB"/>
        </w:rPr>
        <w:t>-(</w:t>
      </w:r>
      <w:proofErr w:type="gramEnd"/>
      <w:r w:rsidRPr="004837D5">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r w:rsidRPr="004837D5">
        <w:rPr>
          <w:rFonts w:ascii="Arial" w:eastAsia="Times New Roman" w:hAnsi="Arial" w:cs="Arial"/>
          <w:color w:val="000000"/>
          <w:sz w:val="20"/>
          <w:szCs w:val="20"/>
          <w:lang w:eastAsia="en-GB"/>
        </w:rPr>
        <w:t>3) glucan was low (GM 0.98 ng/m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GSD 13.39 ng/m</w:t>
      </w:r>
      <w:r w:rsidRPr="004837D5">
        <w:rPr>
          <w:rFonts w:ascii="Arial" w:eastAsia="Times New Roman" w:hAnsi="Arial" w:cs="Arial"/>
          <w:color w:val="000000"/>
          <w:sz w:val="20"/>
          <w:szCs w:val="20"/>
          <w:vertAlign w:val="superscript"/>
          <w:lang w:eastAsia="en-GB"/>
        </w:rPr>
        <w:t>3</w:t>
      </w:r>
      <w:r w:rsidRPr="004837D5">
        <w:rPr>
          <w:rFonts w:ascii="Arial" w:eastAsia="Times New Roman" w:hAnsi="Arial" w:cs="Arial"/>
          <w:color w:val="000000"/>
          <w:sz w:val="20"/>
          <w:szCs w:val="20"/>
          <w:lang w:eastAsia="en-GB"/>
        </w:rPr>
        <w:t xml:space="preserve">). Dust levels were elevated during manual sorting and screening of waste and high levels of endotoxin and </w:t>
      </w:r>
      <w:proofErr w:type="gramStart"/>
      <w:r w:rsidRPr="004837D5">
        <w:rPr>
          <w:rFonts w:ascii="Arial" w:eastAsia="Times New Roman" w:hAnsi="Arial" w:cs="Arial"/>
          <w:color w:val="000000"/>
          <w:sz w:val="20"/>
          <w:szCs w:val="20"/>
          <w:lang w:eastAsia="en-GB"/>
        </w:rPr>
        <w:t>-(</w:t>
      </w:r>
      <w:proofErr w:type="gramEnd"/>
      <w:r w:rsidRPr="004837D5">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r w:rsidRPr="004837D5">
        <w:rPr>
          <w:rFonts w:ascii="Arial" w:eastAsia="Times New Roman" w:hAnsi="Arial" w:cs="Arial"/>
          <w:color w:val="000000"/>
          <w:sz w:val="20"/>
          <w:szCs w:val="20"/>
          <w:lang w:eastAsia="en-GB"/>
        </w:rPr>
        <w:t>3) glucan were observed during all practices involving the movement of waste. A significant correlation was observed between the personal dust levels and personal endotoxin concentrations (</w:t>
      </w:r>
      <w:r w:rsidRPr="004837D5">
        <w:rPr>
          <w:rFonts w:ascii="Arial" w:eastAsia="Times New Roman" w:hAnsi="Arial" w:cs="Arial"/>
          <w:i/>
          <w:iCs/>
          <w:color w:val="000000"/>
          <w:sz w:val="20"/>
          <w:szCs w:val="20"/>
          <w:lang w:eastAsia="en-GB"/>
        </w:rPr>
        <w:t>r</w:t>
      </w:r>
      <w:r w:rsidRPr="004837D5">
        <w:rPr>
          <w:rFonts w:ascii="Arial" w:eastAsia="Times New Roman" w:hAnsi="Arial" w:cs="Arial"/>
          <w:color w:val="000000"/>
          <w:sz w:val="20"/>
          <w:szCs w:val="20"/>
          <w:lang w:eastAsia="en-GB"/>
        </w:rPr>
        <w:t> = 0.783, </w:t>
      </w:r>
      <w:r w:rsidRPr="004837D5">
        <w:rPr>
          <w:rFonts w:ascii="Arial" w:eastAsia="Times New Roman" w:hAnsi="Arial" w:cs="Arial"/>
          <w:i/>
          <w:iCs/>
          <w:color w:val="000000"/>
          <w:sz w:val="20"/>
          <w:szCs w:val="20"/>
          <w:lang w:eastAsia="en-GB"/>
        </w:rPr>
        <w:t>p</w:t>
      </w:r>
      <w:r w:rsidRPr="004837D5">
        <w:rPr>
          <w:rFonts w:ascii="Arial" w:eastAsia="Times New Roman" w:hAnsi="Arial" w:cs="Arial"/>
          <w:color w:val="000000"/>
          <w:sz w:val="20"/>
          <w:szCs w:val="20"/>
          <w:lang w:eastAsia="en-GB"/>
        </w:rPr>
        <w:t> &lt; 0.05) and that personal inhalable dust concentration may be a valuable predictor for personal endotoxin concentration in the sites studied.</w:t>
      </w:r>
    </w:p>
    <w:p w:rsidR="004837D5" w:rsidRPr="004837D5" w:rsidRDefault="004837D5" w:rsidP="004837D5">
      <w:pPr>
        <w:shd w:val="clear" w:color="auto" w:fill="FFFFFF"/>
        <w:spacing w:after="0" w:line="270" w:lineRule="atLeast"/>
        <w:rPr>
          <w:rFonts w:ascii="Arial" w:eastAsia="Times New Roman" w:hAnsi="Arial" w:cs="Arial"/>
          <w:color w:val="000000"/>
          <w:sz w:val="18"/>
          <w:szCs w:val="18"/>
          <w:lang w:eastAsia="en-GB"/>
        </w:rPr>
      </w:pPr>
      <w:r w:rsidRPr="004837D5">
        <w:rPr>
          <w:rFonts w:ascii="Arial" w:eastAsia="Times New Roman" w:hAnsi="Arial" w:cs="Arial"/>
          <w:color w:val="000000"/>
          <w:sz w:val="20"/>
          <w:szCs w:val="20"/>
          <w:lang w:eastAsia="en-GB"/>
        </w:rPr>
        <w:t> </w:t>
      </w:r>
    </w:p>
    <w:p w:rsidR="004837D5" w:rsidRPr="004837D5" w:rsidRDefault="004837D5" w:rsidP="004837D5">
      <w:pPr>
        <w:shd w:val="clear" w:color="auto" w:fill="FFFFFF"/>
        <w:spacing w:after="0" w:line="270" w:lineRule="atLeast"/>
        <w:rPr>
          <w:rFonts w:ascii="Arial" w:eastAsia="Times New Roman" w:hAnsi="Arial" w:cs="Arial"/>
          <w:color w:val="000000"/>
          <w:sz w:val="18"/>
          <w:szCs w:val="18"/>
          <w:lang w:eastAsia="en-GB"/>
        </w:rPr>
      </w:pPr>
      <w:r w:rsidRPr="004837D5">
        <w:rPr>
          <w:rFonts w:ascii="Arial" w:eastAsia="Times New Roman" w:hAnsi="Arial" w:cs="Arial"/>
          <w:b/>
          <w:bCs/>
          <w:color w:val="000000"/>
          <w:sz w:val="20"/>
          <w:szCs w:val="20"/>
          <w:lang w:eastAsia="en-GB"/>
        </w:rPr>
        <w:t>Conclusions</w:t>
      </w:r>
    </w:p>
    <w:p w:rsidR="004837D5" w:rsidRPr="004837D5" w:rsidRDefault="004837D5" w:rsidP="004837D5">
      <w:pPr>
        <w:shd w:val="clear" w:color="auto" w:fill="FFFFFF"/>
        <w:spacing w:after="0" w:line="270" w:lineRule="atLeast"/>
        <w:rPr>
          <w:rFonts w:ascii="Arial" w:eastAsia="Times New Roman" w:hAnsi="Arial" w:cs="Arial"/>
          <w:color w:val="000000"/>
          <w:sz w:val="18"/>
          <w:szCs w:val="18"/>
          <w:lang w:eastAsia="en-GB"/>
        </w:rPr>
      </w:pPr>
      <w:r w:rsidRPr="004837D5">
        <w:rPr>
          <w:rFonts w:ascii="Arial" w:eastAsia="Times New Roman" w:hAnsi="Arial" w:cs="Arial"/>
          <w:color w:val="000000"/>
          <w:sz w:val="20"/>
          <w:szCs w:val="20"/>
          <w:lang w:eastAsia="en-GB"/>
        </w:rPr>
        <w:t xml:space="preserve">Workers at composting sites are exposed to high levels of bacterial endotoxin consistent with adverse respiratory outcomes even though in most cases, their personal dust exposure is below the suggested regulatory levels. </w:t>
      </w:r>
      <w:proofErr w:type="spellStart"/>
      <w:r w:rsidRPr="004837D5">
        <w:rPr>
          <w:rFonts w:ascii="Arial" w:eastAsia="Times New Roman" w:hAnsi="Arial" w:cs="Arial"/>
          <w:color w:val="000000"/>
          <w:sz w:val="20"/>
          <w:szCs w:val="20"/>
          <w:lang w:eastAsia="en-GB"/>
        </w:rPr>
        <w:t>Doseresponse</w:t>
      </w:r>
      <w:proofErr w:type="spellEnd"/>
      <w:r w:rsidRPr="004837D5">
        <w:rPr>
          <w:rFonts w:ascii="Arial" w:eastAsia="Times New Roman" w:hAnsi="Arial" w:cs="Arial"/>
          <w:color w:val="000000"/>
          <w:sz w:val="20"/>
          <w:szCs w:val="20"/>
          <w:lang w:eastAsia="en-GB"/>
        </w:rPr>
        <w:t xml:space="preserve"> data for the biological components present in the dust encountered at composting sites are not well established at this time and site operators should adopt precautionary measures when assessing and managing these potential risks.</w:t>
      </w:r>
    </w:p>
    <w:p w:rsidR="004837D5" w:rsidRPr="004837D5" w:rsidRDefault="004837D5" w:rsidP="004837D5">
      <w:pPr>
        <w:shd w:val="clear" w:color="auto" w:fill="FFFFFF"/>
        <w:spacing w:after="0" w:line="270" w:lineRule="atLeast"/>
        <w:rPr>
          <w:rFonts w:ascii="Arial" w:eastAsia="Times New Roman" w:hAnsi="Arial" w:cs="Arial"/>
          <w:color w:val="000000"/>
          <w:sz w:val="18"/>
          <w:szCs w:val="18"/>
          <w:lang w:eastAsia="en-GB"/>
        </w:rPr>
      </w:pPr>
      <w:r w:rsidRPr="004837D5">
        <w:rPr>
          <w:rFonts w:ascii="Arial" w:eastAsia="Times New Roman" w:hAnsi="Arial" w:cs="Arial"/>
          <w:color w:val="000000"/>
          <w:sz w:val="20"/>
          <w:szCs w:val="20"/>
          <w:lang w:eastAsia="en-GB"/>
        </w:rPr>
        <w:t> </w:t>
      </w:r>
    </w:p>
    <w:p w:rsidR="004837D5" w:rsidRPr="004837D5" w:rsidRDefault="004837D5" w:rsidP="004837D5">
      <w:pPr>
        <w:shd w:val="clear" w:color="auto" w:fill="FFFFFF"/>
        <w:spacing w:before="200" w:after="0" w:line="300" w:lineRule="atLeast"/>
        <w:outlineLvl w:val="2"/>
        <w:rPr>
          <w:rFonts w:ascii="Arial" w:eastAsia="Times New Roman" w:hAnsi="Arial" w:cs="Arial"/>
          <w:b/>
          <w:bCs/>
          <w:color w:val="000000"/>
          <w:sz w:val="27"/>
          <w:szCs w:val="27"/>
          <w:lang w:eastAsia="en-GB"/>
        </w:rPr>
      </w:pPr>
      <w:r w:rsidRPr="004837D5">
        <w:rPr>
          <w:rFonts w:ascii="Arial" w:eastAsia="Times New Roman" w:hAnsi="Arial" w:cs="Arial"/>
          <w:b/>
          <w:bCs/>
          <w:color w:val="000000"/>
          <w:sz w:val="20"/>
          <w:szCs w:val="20"/>
          <w:lang w:eastAsia="en-GB"/>
        </w:rPr>
        <w:t>Waste Management</w:t>
      </w:r>
    </w:p>
    <w:p w:rsidR="004837D5" w:rsidRPr="004837D5" w:rsidRDefault="004837D5" w:rsidP="004837D5">
      <w:pPr>
        <w:shd w:val="clear" w:color="auto" w:fill="FFFFFF"/>
        <w:spacing w:line="300" w:lineRule="atLeast"/>
        <w:rPr>
          <w:rFonts w:ascii="Arial" w:eastAsia="Times New Roman" w:hAnsi="Arial" w:cs="Arial"/>
          <w:color w:val="000000"/>
          <w:sz w:val="24"/>
          <w:szCs w:val="24"/>
          <w:lang w:eastAsia="en-GB"/>
        </w:rPr>
      </w:pPr>
      <w:r w:rsidRPr="004837D5">
        <w:rPr>
          <w:rFonts w:ascii="Arial" w:eastAsia="Times New Roman" w:hAnsi="Arial" w:cs="Arial"/>
          <w:color w:val="000000"/>
          <w:sz w:val="20"/>
          <w:szCs w:val="20"/>
          <w:lang w:eastAsia="en-GB"/>
        </w:rPr>
        <w:t>Volume 31, Issue 3, March 2011 Pages 423 - 430</w:t>
      </w:r>
    </w:p>
    <w:p w:rsidR="004837D5" w:rsidRPr="004837D5" w:rsidRDefault="004837D5" w:rsidP="004837D5">
      <w:pPr>
        <w:shd w:val="clear" w:color="auto" w:fill="FFFFFF"/>
        <w:spacing w:before="200" w:after="0" w:line="300" w:lineRule="atLeast"/>
        <w:outlineLvl w:val="2"/>
        <w:rPr>
          <w:rFonts w:ascii="Arial" w:eastAsia="Times New Roman" w:hAnsi="Arial" w:cs="Arial"/>
          <w:b/>
          <w:bCs/>
          <w:color w:val="000000"/>
          <w:sz w:val="27"/>
          <w:szCs w:val="27"/>
          <w:lang w:eastAsia="en-GB"/>
        </w:rPr>
      </w:pPr>
      <w:hyperlink r:id="rId5" w:history="1">
        <w:r w:rsidRPr="004837D5">
          <w:rPr>
            <w:rFonts w:ascii="Arial" w:eastAsia="Times New Roman" w:hAnsi="Arial" w:cs="Arial"/>
            <w:b/>
            <w:bCs/>
            <w:color w:val="000000"/>
            <w:sz w:val="20"/>
            <w:szCs w:val="20"/>
            <w:u w:val="single"/>
            <w:lang w:eastAsia="en-GB"/>
          </w:rPr>
          <w:t xml:space="preserve">Workers exposure to dust, endotoxin and </w:t>
        </w:r>
        <w:proofErr w:type="gramStart"/>
        <w:r w:rsidRPr="004837D5">
          <w:rPr>
            <w:rFonts w:ascii="Arial" w:eastAsia="Times New Roman" w:hAnsi="Arial" w:cs="Arial"/>
            <w:b/>
            <w:bCs/>
            <w:color w:val="000000"/>
            <w:sz w:val="20"/>
            <w:szCs w:val="20"/>
            <w:u w:val="single"/>
            <w:lang w:eastAsia="en-GB"/>
          </w:rPr>
          <w:t>-(</w:t>
        </w:r>
        <w:proofErr w:type="gramEnd"/>
        <w:r w:rsidRPr="004837D5">
          <w:rPr>
            <w:rFonts w:ascii="Arial" w:eastAsia="Times New Roman" w:hAnsi="Arial" w:cs="Arial"/>
            <w:b/>
            <w:bCs/>
            <w:color w:val="000000"/>
            <w:sz w:val="20"/>
            <w:szCs w:val="20"/>
            <w:u w:val="single"/>
            <w:lang w:eastAsia="en-GB"/>
          </w:rPr>
          <w:t>1</w:t>
        </w:r>
        <w:r>
          <w:rPr>
            <w:rFonts w:ascii="Arial" w:eastAsia="Times New Roman" w:hAnsi="Arial" w:cs="Arial"/>
            <w:b/>
            <w:bCs/>
            <w:color w:val="000000"/>
            <w:sz w:val="20"/>
            <w:szCs w:val="20"/>
            <w:u w:val="single"/>
            <w:lang w:eastAsia="en-GB"/>
          </w:rPr>
          <w:t>-</w:t>
        </w:r>
        <w:r w:rsidRPr="004837D5">
          <w:rPr>
            <w:rFonts w:ascii="Arial" w:eastAsia="Times New Roman" w:hAnsi="Arial" w:cs="Arial"/>
            <w:b/>
            <w:bCs/>
            <w:color w:val="000000"/>
            <w:sz w:val="20"/>
            <w:szCs w:val="20"/>
            <w:u w:val="single"/>
            <w:lang w:eastAsia="en-GB"/>
          </w:rPr>
          <w:t>3) glucan at four large-scale composting facilities</w:t>
        </w:r>
      </w:hyperlink>
      <w:r w:rsidRPr="004837D5">
        <w:rPr>
          <w:rFonts w:ascii="Arial" w:eastAsia="Times New Roman" w:hAnsi="Arial" w:cs="Arial"/>
          <w:b/>
          <w:bCs/>
          <w:color w:val="000000"/>
          <w:sz w:val="20"/>
          <w:szCs w:val="20"/>
          <w:lang w:eastAsia="en-GB"/>
        </w:rPr>
        <w:br/>
      </w:r>
      <w:r w:rsidRPr="004837D5">
        <w:rPr>
          <w:rFonts w:ascii="Arial" w:eastAsia="Times New Roman" w:hAnsi="Arial" w:cs="Arial"/>
          <w:b/>
          <w:bCs/>
          <w:color w:val="000000"/>
          <w:sz w:val="20"/>
          <w:szCs w:val="20"/>
          <w:lang w:eastAsia="en-GB"/>
        </w:rPr>
        <w:br/>
        <w:t xml:space="preserve">P. Sykes, R.H.K. Morris, J.A. Allen, J.D. </w:t>
      </w:r>
      <w:proofErr w:type="spellStart"/>
      <w:r w:rsidRPr="004837D5">
        <w:rPr>
          <w:rFonts w:ascii="Arial" w:eastAsia="Times New Roman" w:hAnsi="Arial" w:cs="Arial"/>
          <w:b/>
          <w:bCs/>
          <w:color w:val="000000"/>
          <w:sz w:val="20"/>
          <w:szCs w:val="20"/>
          <w:lang w:eastAsia="en-GB"/>
        </w:rPr>
        <w:t>Wildsmith</w:t>
      </w:r>
      <w:proofErr w:type="spellEnd"/>
      <w:r w:rsidRPr="004837D5">
        <w:rPr>
          <w:rFonts w:ascii="Arial" w:eastAsia="Times New Roman" w:hAnsi="Arial" w:cs="Arial"/>
          <w:b/>
          <w:bCs/>
          <w:color w:val="000000"/>
          <w:sz w:val="20"/>
          <w:szCs w:val="20"/>
          <w:lang w:eastAsia="en-GB"/>
        </w:rPr>
        <w:t>, K.P. Jones</w:t>
      </w:r>
    </w:p>
    <w:p w:rsidR="004837D5" w:rsidRPr="004837D5" w:rsidRDefault="004837D5" w:rsidP="004837D5">
      <w:pPr>
        <w:shd w:val="clear" w:color="auto" w:fill="FFFFFF"/>
        <w:spacing w:before="200" w:after="0" w:line="300" w:lineRule="atLeast"/>
        <w:outlineLvl w:val="2"/>
        <w:rPr>
          <w:rFonts w:ascii="Arial" w:eastAsia="Times New Roman" w:hAnsi="Arial" w:cs="Arial"/>
          <w:b/>
          <w:bCs/>
          <w:color w:val="000000"/>
          <w:sz w:val="27"/>
          <w:szCs w:val="27"/>
          <w:lang w:eastAsia="en-GB"/>
        </w:rPr>
      </w:pPr>
      <w:r w:rsidRPr="004837D5">
        <w:rPr>
          <w:rFonts w:ascii="Arial" w:eastAsia="Times New Roman" w:hAnsi="Arial" w:cs="Arial"/>
          <w:b/>
          <w:bCs/>
          <w:color w:val="000000"/>
          <w:sz w:val="20"/>
          <w:szCs w:val="20"/>
          <w:lang w:eastAsia="en-GB"/>
        </w:rPr>
        <w:t>To obtain a copy of this research please contact</w:t>
      </w:r>
      <w:proofErr w:type="gramStart"/>
      <w:r w:rsidRPr="004837D5">
        <w:rPr>
          <w:rFonts w:ascii="Arial" w:eastAsia="Times New Roman" w:hAnsi="Arial" w:cs="Arial"/>
          <w:b/>
          <w:bCs/>
          <w:color w:val="000000"/>
          <w:sz w:val="20"/>
          <w:szCs w:val="20"/>
          <w:lang w:eastAsia="en-GB"/>
        </w:rPr>
        <w:t xml:space="preserve">  </w:t>
      </w:r>
      <w:proofErr w:type="spellStart"/>
      <w:r w:rsidRPr="004837D5">
        <w:rPr>
          <w:rFonts w:ascii="Arial" w:eastAsia="Times New Roman" w:hAnsi="Arial" w:cs="Arial"/>
          <w:b/>
          <w:bCs/>
          <w:color w:val="000000"/>
          <w:sz w:val="20"/>
          <w:szCs w:val="20"/>
          <w:lang w:eastAsia="en-GB"/>
        </w:rPr>
        <w:t>Dr</w:t>
      </w:r>
      <w:proofErr w:type="gramEnd"/>
      <w:r w:rsidRPr="004837D5">
        <w:rPr>
          <w:rFonts w:ascii="Arial" w:eastAsia="Times New Roman" w:hAnsi="Arial" w:cs="Arial"/>
          <w:b/>
          <w:bCs/>
          <w:color w:val="000000"/>
          <w:sz w:val="20"/>
          <w:szCs w:val="20"/>
          <w:lang w:eastAsia="en-GB"/>
        </w:rPr>
        <w:t>.</w:t>
      </w:r>
      <w:proofErr w:type="spellEnd"/>
      <w:r w:rsidRPr="004837D5">
        <w:rPr>
          <w:rFonts w:ascii="Arial" w:eastAsia="Times New Roman" w:hAnsi="Arial" w:cs="Arial"/>
          <w:b/>
          <w:bCs/>
          <w:color w:val="000000"/>
          <w:sz w:val="20"/>
          <w:szCs w:val="20"/>
          <w:lang w:eastAsia="en-GB"/>
        </w:rPr>
        <w:t xml:space="preserve"> Peter Sykes (</w:t>
      </w:r>
      <w:hyperlink r:id="rId6" w:history="1">
        <w:r w:rsidRPr="004837D5">
          <w:rPr>
            <w:rFonts w:ascii="Arial" w:eastAsia="Times New Roman" w:hAnsi="Arial" w:cs="Arial"/>
            <w:b/>
            <w:bCs/>
            <w:color w:val="000000"/>
            <w:sz w:val="20"/>
            <w:szCs w:val="20"/>
            <w:u w:val="single"/>
            <w:lang w:eastAsia="en-GB"/>
          </w:rPr>
          <w:t>psykes@cardiffmet.ac.uk</w:t>
        </w:r>
      </w:hyperlink>
      <w:r w:rsidRPr="004837D5">
        <w:rPr>
          <w:rFonts w:ascii="Arial" w:eastAsia="Times New Roman" w:hAnsi="Arial" w:cs="Arial"/>
          <w:b/>
          <w:bCs/>
          <w:color w:val="000000"/>
          <w:sz w:val="20"/>
          <w:szCs w:val="20"/>
          <w:lang w:eastAsia="en-GB"/>
        </w:rPr>
        <w:t>)</w:t>
      </w:r>
    </w:p>
    <w:p w:rsidR="007B22A9" w:rsidRDefault="007B22A9"/>
    <w:sectPr w:rsidR="007B2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D5"/>
    <w:rsid w:val="004837D5"/>
    <w:rsid w:val="007B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7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7D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837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7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7D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83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97460">
      <w:bodyDiv w:val="1"/>
      <w:marLeft w:val="0"/>
      <w:marRight w:val="0"/>
      <w:marTop w:val="0"/>
      <w:marBottom w:val="0"/>
      <w:divBdr>
        <w:top w:val="none" w:sz="0" w:space="0" w:color="auto"/>
        <w:left w:val="none" w:sz="0" w:space="0" w:color="auto"/>
        <w:bottom w:val="none" w:sz="0" w:space="0" w:color="auto"/>
        <w:right w:val="none" w:sz="0" w:space="0" w:color="auto"/>
      </w:divBdr>
      <w:divsChild>
        <w:div w:id="426388015">
          <w:marLeft w:val="0"/>
          <w:marRight w:val="0"/>
          <w:marTop w:val="0"/>
          <w:marBottom w:val="150"/>
          <w:divBdr>
            <w:top w:val="none" w:sz="0" w:space="0" w:color="auto"/>
            <w:left w:val="none" w:sz="0" w:space="0" w:color="auto"/>
            <w:bottom w:val="none" w:sz="0" w:space="0" w:color="auto"/>
            <w:right w:val="none" w:sz="0" w:space="0" w:color="auto"/>
          </w:divBdr>
        </w:div>
        <w:div w:id="1624380616">
          <w:marLeft w:val="0"/>
          <w:marRight w:val="0"/>
          <w:marTop w:val="0"/>
          <w:marBottom w:val="150"/>
          <w:divBdr>
            <w:top w:val="none" w:sz="0" w:space="0" w:color="auto"/>
            <w:left w:val="none" w:sz="0" w:space="0" w:color="auto"/>
            <w:bottom w:val="none" w:sz="0" w:space="0" w:color="auto"/>
            <w:right w:val="none" w:sz="0" w:space="0" w:color="auto"/>
          </w:divBdr>
        </w:div>
        <w:div w:id="1532232174">
          <w:marLeft w:val="0"/>
          <w:marRight w:val="0"/>
          <w:marTop w:val="0"/>
          <w:marBottom w:val="150"/>
          <w:divBdr>
            <w:top w:val="none" w:sz="0" w:space="0" w:color="auto"/>
            <w:left w:val="none" w:sz="0" w:space="0" w:color="auto"/>
            <w:bottom w:val="none" w:sz="0" w:space="0" w:color="auto"/>
            <w:right w:val="none" w:sz="0" w:space="0" w:color="auto"/>
          </w:divBdr>
        </w:div>
        <w:div w:id="449907277">
          <w:marLeft w:val="0"/>
          <w:marRight w:val="0"/>
          <w:marTop w:val="0"/>
          <w:marBottom w:val="200"/>
          <w:divBdr>
            <w:top w:val="none" w:sz="0" w:space="0" w:color="auto"/>
            <w:left w:val="none" w:sz="0" w:space="0" w:color="auto"/>
            <w:bottom w:val="none" w:sz="0" w:space="0" w:color="auto"/>
            <w:right w:val="none" w:sz="0" w:space="0" w:color="auto"/>
          </w:divBdr>
        </w:div>
        <w:div w:id="1030302516">
          <w:marLeft w:val="0"/>
          <w:marRight w:val="0"/>
          <w:marTop w:val="0"/>
          <w:marBottom w:val="200"/>
          <w:divBdr>
            <w:top w:val="none" w:sz="0" w:space="0" w:color="auto"/>
            <w:left w:val="none" w:sz="0" w:space="0" w:color="auto"/>
            <w:bottom w:val="none" w:sz="0" w:space="0" w:color="auto"/>
            <w:right w:val="none" w:sz="0" w:space="0" w:color="auto"/>
          </w:divBdr>
        </w:div>
        <w:div w:id="1974477064">
          <w:marLeft w:val="0"/>
          <w:marRight w:val="0"/>
          <w:marTop w:val="0"/>
          <w:marBottom w:val="200"/>
          <w:divBdr>
            <w:top w:val="none" w:sz="0" w:space="0" w:color="auto"/>
            <w:left w:val="none" w:sz="0" w:space="0" w:color="auto"/>
            <w:bottom w:val="none" w:sz="0" w:space="0" w:color="auto"/>
            <w:right w:val="none" w:sz="0" w:space="0" w:color="auto"/>
          </w:divBdr>
        </w:div>
        <w:div w:id="1230531264">
          <w:marLeft w:val="0"/>
          <w:marRight w:val="0"/>
          <w:marTop w:val="0"/>
          <w:marBottom w:val="200"/>
          <w:divBdr>
            <w:top w:val="none" w:sz="0" w:space="0" w:color="auto"/>
            <w:left w:val="none" w:sz="0" w:space="0" w:color="auto"/>
            <w:bottom w:val="none" w:sz="0" w:space="0" w:color="auto"/>
            <w:right w:val="none" w:sz="0" w:space="0" w:color="auto"/>
          </w:divBdr>
        </w:div>
        <w:div w:id="1655179460">
          <w:marLeft w:val="0"/>
          <w:marRight w:val="0"/>
          <w:marTop w:val="0"/>
          <w:marBottom w:val="200"/>
          <w:divBdr>
            <w:top w:val="none" w:sz="0" w:space="0" w:color="auto"/>
            <w:left w:val="none" w:sz="0" w:space="0" w:color="auto"/>
            <w:bottom w:val="none" w:sz="0" w:space="0" w:color="auto"/>
            <w:right w:val="none" w:sz="0" w:space="0" w:color="auto"/>
          </w:divBdr>
        </w:div>
        <w:div w:id="1155613029">
          <w:marLeft w:val="0"/>
          <w:marRight w:val="0"/>
          <w:marTop w:val="0"/>
          <w:marBottom w:val="0"/>
          <w:divBdr>
            <w:top w:val="none" w:sz="0" w:space="0" w:color="auto"/>
            <w:left w:val="none" w:sz="0" w:space="0" w:color="auto"/>
            <w:bottom w:val="none" w:sz="0" w:space="0" w:color="auto"/>
            <w:right w:val="none" w:sz="0" w:space="0" w:color="auto"/>
          </w:divBdr>
        </w:div>
        <w:div w:id="1336374896">
          <w:marLeft w:val="0"/>
          <w:marRight w:val="0"/>
          <w:marTop w:val="0"/>
          <w:marBottom w:val="0"/>
          <w:divBdr>
            <w:top w:val="none" w:sz="0" w:space="0" w:color="auto"/>
            <w:left w:val="none" w:sz="0" w:space="0" w:color="auto"/>
            <w:bottom w:val="none" w:sz="0" w:space="0" w:color="auto"/>
            <w:right w:val="none" w:sz="0" w:space="0" w:color="auto"/>
          </w:divBdr>
        </w:div>
        <w:div w:id="1229342708">
          <w:marLeft w:val="0"/>
          <w:marRight w:val="0"/>
          <w:marTop w:val="0"/>
          <w:marBottom w:val="0"/>
          <w:divBdr>
            <w:top w:val="none" w:sz="0" w:space="0" w:color="auto"/>
            <w:left w:val="none" w:sz="0" w:space="0" w:color="auto"/>
            <w:bottom w:val="none" w:sz="0" w:space="0" w:color="auto"/>
            <w:right w:val="none" w:sz="0" w:space="0" w:color="auto"/>
          </w:divBdr>
        </w:div>
        <w:div w:id="1995984247">
          <w:marLeft w:val="0"/>
          <w:marRight w:val="0"/>
          <w:marTop w:val="0"/>
          <w:marBottom w:val="0"/>
          <w:divBdr>
            <w:top w:val="none" w:sz="0" w:space="0" w:color="auto"/>
            <w:left w:val="none" w:sz="0" w:space="0" w:color="auto"/>
            <w:bottom w:val="none" w:sz="0" w:space="0" w:color="auto"/>
            <w:right w:val="none" w:sz="0" w:space="0" w:color="auto"/>
          </w:divBdr>
        </w:div>
        <w:div w:id="1790853328">
          <w:marLeft w:val="0"/>
          <w:marRight w:val="0"/>
          <w:marTop w:val="0"/>
          <w:marBottom w:val="0"/>
          <w:divBdr>
            <w:top w:val="none" w:sz="0" w:space="0" w:color="auto"/>
            <w:left w:val="none" w:sz="0" w:space="0" w:color="auto"/>
            <w:bottom w:val="none" w:sz="0" w:space="0" w:color="auto"/>
            <w:right w:val="none" w:sz="0" w:space="0" w:color="auto"/>
          </w:divBdr>
        </w:div>
        <w:div w:id="204459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sykes@cardiffmet.ac.uk" TargetMode="External"/><Relationship Id="rId5" Type="http://schemas.openxmlformats.org/officeDocument/2006/relationships/hyperlink" Target="http://www.sciencedirect.com/science/article/pii/S0956053X100054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2019-07-02T14:26:00Z</dcterms:created>
  <dcterms:modified xsi:type="dcterms:W3CDTF">2019-07-02T14:28:00Z</dcterms:modified>
</cp:coreProperties>
</file>