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E6CE0" w14:textId="77777777" w:rsidR="007D1B8E" w:rsidRPr="007D1B8E" w:rsidRDefault="007D1B8E" w:rsidP="004B36D7">
      <w:pPr>
        <w:pStyle w:val="Heading1"/>
        <w:rPr>
          <w:rFonts w:eastAsia="Times New Roman"/>
          <w:sz w:val="18"/>
          <w:szCs w:val="18"/>
          <w:lang w:val="en-US"/>
        </w:rPr>
      </w:pPr>
      <w:r w:rsidRPr="007D1B8E">
        <w:rPr>
          <w:rFonts w:eastAsia="Times New Roman"/>
          <w:lang w:val="en-US"/>
        </w:rPr>
        <w:t xml:space="preserve">New EU rules on </w:t>
      </w:r>
      <w:proofErr w:type="spellStart"/>
      <w:r w:rsidRPr="007D1B8E">
        <w:rPr>
          <w:rFonts w:eastAsia="Times New Roman"/>
          <w:lang w:val="en-US"/>
        </w:rPr>
        <w:t>fertilisers</w:t>
      </w:r>
      <w:proofErr w:type="spellEnd"/>
    </w:p>
    <w:p w14:paraId="34C37F47" w14:textId="77777777" w:rsidR="007D1B8E" w:rsidRPr="007D1B8E" w:rsidRDefault="007D1B8E" w:rsidP="007D1B8E">
      <w:pPr>
        <w:rPr>
          <w:rFonts w:ascii="Arial" w:eastAsia="Times New Roman" w:hAnsi="Arial" w:cs="Arial"/>
          <w:color w:val="000000"/>
          <w:sz w:val="18"/>
          <w:szCs w:val="18"/>
          <w:lang w:val="en-US"/>
        </w:rPr>
      </w:pPr>
    </w:p>
    <w:p w14:paraId="4AF69F95" w14:textId="77777777" w:rsidR="007D1B8E" w:rsidRPr="007D1B8E" w:rsidRDefault="007D1B8E" w:rsidP="004B36D7">
      <w:pPr>
        <w:rPr>
          <w:lang w:val="en-US"/>
        </w:rPr>
      </w:pPr>
      <w:r w:rsidRPr="007D1B8E">
        <w:rPr>
          <w:lang w:val="en-US"/>
        </w:rPr>
        <w:t xml:space="preserve">The EU has published new rules for placing </w:t>
      </w:r>
      <w:proofErr w:type="spellStart"/>
      <w:r w:rsidRPr="007D1B8E">
        <w:rPr>
          <w:lang w:val="en-US"/>
        </w:rPr>
        <w:t>fertilising</w:t>
      </w:r>
      <w:proofErr w:type="spellEnd"/>
      <w:r w:rsidRPr="007D1B8E">
        <w:rPr>
          <w:lang w:val="en-US"/>
        </w:rPr>
        <w:t xml:space="preserve"> and other products on the EU market. </w:t>
      </w:r>
    </w:p>
    <w:p w14:paraId="7254FA55" w14:textId="77777777" w:rsidR="007D1B8E" w:rsidRPr="007D1B8E" w:rsidRDefault="007D1B8E" w:rsidP="004B36D7">
      <w:pPr>
        <w:rPr>
          <w:lang w:val="en-US"/>
        </w:rPr>
      </w:pPr>
    </w:p>
    <w:p w14:paraId="41147B9A" w14:textId="77777777" w:rsidR="007D1B8E" w:rsidRPr="007D1B8E" w:rsidRDefault="007D1B8E" w:rsidP="004B36D7">
      <w:pPr>
        <w:rPr>
          <w:lang w:val="en-US"/>
        </w:rPr>
      </w:pPr>
      <w:r w:rsidRPr="007D1B8E">
        <w:rPr>
          <w:lang w:val="en-US"/>
        </w:rPr>
        <w:t xml:space="preserve">One of the European Commission's objectives is to encourage large scale </w:t>
      </w:r>
      <w:proofErr w:type="spellStart"/>
      <w:r w:rsidRPr="007D1B8E">
        <w:rPr>
          <w:lang w:val="en-US"/>
        </w:rPr>
        <w:t>fertiliser</w:t>
      </w:r>
      <w:proofErr w:type="spellEnd"/>
      <w:r w:rsidRPr="007D1B8E">
        <w:rPr>
          <w:lang w:val="en-US"/>
        </w:rPr>
        <w:t xml:space="preserve"> production from domestic organic or secondary raw materials in line with the circular economy model, by transforming waste into nutrients for crops.  Driven by this, in March 2016 the European Commission presented its proposals for replacing the EC </w:t>
      </w:r>
      <w:proofErr w:type="spellStart"/>
      <w:r w:rsidRPr="007D1B8E">
        <w:rPr>
          <w:lang w:val="en-US"/>
        </w:rPr>
        <w:t>Fertilisers</w:t>
      </w:r>
      <w:proofErr w:type="spellEnd"/>
      <w:r w:rsidRPr="007D1B8E">
        <w:rPr>
          <w:lang w:val="en-US"/>
        </w:rPr>
        <w:t xml:space="preserve"> Regulation (2003/2003).  </w:t>
      </w:r>
    </w:p>
    <w:p w14:paraId="49D68C00" w14:textId="77777777" w:rsidR="007D1B8E" w:rsidRPr="007D1B8E" w:rsidRDefault="007D1B8E" w:rsidP="004B36D7">
      <w:pPr>
        <w:rPr>
          <w:lang w:val="en-US"/>
        </w:rPr>
      </w:pPr>
    </w:p>
    <w:p w14:paraId="46C5B9A9" w14:textId="77777777" w:rsidR="007D1B8E" w:rsidRPr="007D1B8E" w:rsidRDefault="007D1B8E" w:rsidP="004B36D7">
      <w:pPr>
        <w:rPr>
          <w:lang w:val="en-US"/>
        </w:rPr>
      </w:pPr>
      <w:r w:rsidRPr="007D1B8E">
        <w:rPr>
          <w:lang w:val="en-US"/>
        </w:rPr>
        <w:t xml:space="preserve">After </w:t>
      </w:r>
      <w:proofErr w:type="gramStart"/>
      <w:r w:rsidRPr="007D1B8E">
        <w:rPr>
          <w:lang w:val="en-US"/>
        </w:rPr>
        <w:t>a number of</w:t>
      </w:r>
      <w:proofErr w:type="gramEnd"/>
      <w:r w:rsidRPr="007D1B8E">
        <w:rPr>
          <w:lang w:val="en-US"/>
        </w:rPr>
        <w:t xml:space="preserve"> changes to the proposal as it progressed through the legislative process, on 21st June 2019 the Council adopted EU Regulation 2019/1009.  Referred to in short as the EU </w:t>
      </w:r>
      <w:proofErr w:type="spellStart"/>
      <w:r w:rsidRPr="007D1B8E">
        <w:rPr>
          <w:lang w:val="en-US"/>
        </w:rPr>
        <w:t>Fertilising</w:t>
      </w:r>
      <w:proofErr w:type="spellEnd"/>
      <w:r w:rsidRPr="007D1B8E">
        <w:rPr>
          <w:lang w:val="en-US"/>
        </w:rPr>
        <w:t xml:space="preserve"> Products Regulation (EU FPR), it </w:t>
      </w:r>
      <w:proofErr w:type="spellStart"/>
      <w:r w:rsidRPr="007D1B8E">
        <w:rPr>
          <w:lang w:val="en-US"/>
        </w:rPr>
        <w:t>harmonises</w:t>
      </w:r>
      <w:proofErr w:type="spellEnd"/>
      <w:r w:rsidRPr="007D1B8E">
        <w:rPr>
          <w:lang w:val="en-US"/>
        </w:rPr>
        <w:t xml:space="preserve"> the requirements for </w:t>
      </w:r>
      <w:proofErr w:type="spellStart"/>
      <w:r w:rsidRPr="007D1B8E">
        <w:rPr>
          <w:lang w:val="en-US"/>
        </w:rPr>
        <w:t>fertilisers</w:t>
      </w:r>
      <w:proofErr w:type="spellEnd"/>
      <w:r w:rsidRPr="007D1B8E">
        <w:rPr>
          <w:lang w:val="en-US"/>
        </w:rPr>
        <w:t xml:space="preserve"> produced from phosphate minerals and from organic or secondary raw materials in the EU, </w:t>
      </w:r>
      <w:proofErr w:type="gramStart"/>
      <w:r w:rsidRPr="007D1B8E">
        <w:rPr>
          <w:lang w:val="en-US"/>
        </w:rPr>
        <w:t>opening up</w:t>
      </w:r>
      <w:proofErr w:type="gramEnd"/>
      <w:r w:rsidRPr="007D1B8E">
        <w:rPr>
          <w:lang w:val="en-US"/>
        </w:rPr>
        <w:t xml:space="preserve"> new possibilities for their production and marketing on a large scale.  It covers a range of product types including mineral </w:t>
      </w:r>
      <w:proofErr w:type="spellStart"/>
      <w:r w:rsidRPr="007D1B8E">
        <w:rPr>
          <w:lang w:val="en-US"/>
        </w:rPr>
        <w:t>fertilisers</w:t>
      </w:r>
      <w:proofErr w:type="spellEnd"/>
      <w:r w:rsidRPr="007D1B8E">
        <w:rPr>
          <w:lang w:val="en-US"/>
        </w:rPr>
        <w:t xml:space="preserve">, organic </w:t>
      </w:r>
      <w:proofErr w:type="spellStart"/>
      <w:r w:rsidRPr="007D1B8E">
        <w:rPr>
          <w:lang w:val="en-US"/>
        </w:rPr>
        <w:t>fertilisers</w:t>
      </w:r>
      <w:proofErr w:type="spellEnd"/>
      <w:r w:rsidRPr="007D1B8E">
        <w:rPr>
          <w:lang w:val="en-US"/>
        </w:rPr>
        <w:t xml:space="preserve">, </w:t>
      </w:r>
      <w:proofErr w:type="spellStart"/>
      <w:r w:rsidRPr="007D1B8E">
        <w:rPr>
          <w:lang w:val="en-US"/>
        </w:rPr>
        <w:t>organo</w:t>
      </w:r>
      <w:proofErr w:type="spellEnd"/>
      <w:r w:rsidRPr="007D1B8E">
        <w:rPr>
          <w:lang w:val="en-US"/>
        </w:rPr>
        <w:t xml:space="preserve">-mineral </w:t>
      </w:r>
      <w:proofErr w:type="spellStart"/>
      <w:r w:rsidRPr="007D1B8E">
        <w:rPr>
          <w:lang w:val="en-US"/>
        </w:rPr>
        <w:t>fertilisers</w:t>
      </w:r>
      <w:proofErr w:type="spellEnd"/>
      <w:r w:rsidRPr="007D1B8E">
        <w:rPr>
          <w:lang w:val="en-US"/>
        </w:rPr>
        <w:t xml:space="preserve">, soil improvers, growing media and plant </w:t>
      </w:r>
      <w:proofErr w:type="spellStart"/>
      <w:r w:rsidRPr="007D1B8E">
        <w:rPr>
          <w:lang w:val="en-US"/>
        </w:rPr>
        <w:t>biostimulants</w:t>
      </w:r>
      <w:proofErr w:type="spellEnd"/>
      <w:r w:rsidRPr="007D1B8E">
        <w:rPr>
          <w:lang w:val="en-US"/>
        </w:rPr>
        <w:t xml:space="preserve">.  It sets </w:t>
      </w:r>
      <w:proofErr w:type="spellStart"/>
      <w:r w:rsidRPr="007D1B8E">
        <w:rPr>
          <w:lang w:val="en-US"/>
        </w:rPr>
        <w:t>harmonised</w:t>
      </w:r>
      <w:proofErr w:type="spellEnd"/>
      <w:r w:rsidRPr="007D1B8E">
        <w:rPr>
          <w:lang w:val="en-US"/>
        </w:rPr>
        <w:t xml:space="preserve"> limits for a range of contaminants, such as cadmium, contained in mineral </w:t>
      </w:r>
      <w:proofErr w:type="spellStart"/>
      <w:r w:rsidRPr="007D1B8E">
        <w:rPr>
          <w:lang w:val="en-US"/>
        </w:rPr>
        <w:t>fertilisers</w:t>
      </w:r>
      <w:proofErr w:type="spellEnd"/>
      <w:r w:rsidRPr="007D1B8E">
        <w:rPr>
          <w:lang w:val="en-US"/>
        </w:rPr>
        <w:t>.</w:t>
      </w:r>
    </w:p>
    <w:p w14:paraId="2A70642F" w14:textId="77777777" w:rsidR="007D1B8E" w:rsidRPr="007D1B8E" w:rsidRDefault="007D1B8E" w:rsidP="004B36D7">
      <w:pPr>
        <w:rPr>
          <w:lang w:val="en-US"/>
        </w:rPr>
      </w:pPr>
    </w:p>
    <w:p w14:paraId="34C0261B" w14:textId="77777777" w:rsidR="007D1B8E" w:rsidRPr="007D1B8E" w:rsidRDefault="007D1B8E" w:rsidP="004B36D7">
      <w:pPr>
        <w:rPr>
          <w:lang w:val="en-US"/>
        </w:rPr>
      </w:pPr>
      <w:r w:rsidRPr="007D1B8E">
        <w:rPr>
          <w:lang w:val="en-US"/>
        </w:rPr>
        <w:t xml:space="preserve">On </w:t>
      </w:r>
      <w:proofErr w:type="gramStart"/>
      <w:r w:rsidRPr="007D1B8E">
        <w:rPr>
          <w:lang w:val="en-US"/>
        </w:rPr>
        <w:t>25th June 2019</w:t>
      </w:r>
      <w:proofErr w:type="gramEnd"/>
      <w:r w:rsidRPr="007D1B8E">
        <w:rPr>
          <w:lang w:val="en-US"/>
        </w:rPr>
        <w:t xml:space="preserve"> the EU FPR was published in the Official Journal of the EU and it will enter into force twenty days afterwards on 15th July 2019.  Most of its rules will start to apply from 16th July 2022, three after its entry into force.  It amends EC Regulation 1069/2009 - which lays down health rules </w:t>
      </w:r>
      <w:proofErr w:type="gramStart"/>
      <w:r w:rsidRPr="007D1B8E">
        <w:rPr>
          <w:lang w:val="en-US"/>
        </w:rPr>
        <w:t>as regards</w:t>
      </w:r>
      <w:proofErr w:type="gramEnd"/>
      <w:r w:rsidRPr="007D1B8E">
        <w:rPr>
          <w:lang w:val="en-US"/>
        </w:rPr>
        <w:t xml:space="preserve"> animal by-products and derived products not intended for human consumption - and EC Regulation 1107/2009 - which controls placing plant protection products on the market - and repeals EC Regulation 2003/2003. </w:t>
      </w:r>
    </w:p>
    <w:p w14:paraId="4A82BB24" w14:textId="77777777" w:rsidR="007D1B8E" w:rsidRPr="007D1B8E" w:rsidRDefault="007D1B8E" w:rsidP="004B36D7">
      <w:pPr>
        <w:rPr>
          <w:lang w:val="en-US"/>
        </w:rPr>
      </w:pPr>
    </w:p>
    <w:p w14:paraId="14522C0C" w14:textId="77777777" w:rsidR="007D1B8E" w:rsidRPr="007D1B8E" w:rsidRDefault="007D1B8E" w:rsidP="004B36D7">
      <w:pPr>
        <w:rPr>
          <w:lang w:val="en-US"/>
        </w:rPr>
      </w:pPr>
      <w:proofErr w:type="spellStart"/>
      <w:r w:rsidRPr="007D1B8E">
        <w:rPr>
          <w:lang w:val="en-US"/>
        </w:rPr>
        <w:t>Niculae</w:t>
      </w:r>
      <w:proofErr w:type="spellEnd"/>
      <w:r w:rsidRPr="007D1B8E">
        <w:rPr>
          <w:lang w:val="en-US"/>
        </w:rPr>
        <w:t xml:space="preserve"> BADALAU, Romanian Minister of economy, said:</w:t>
      </w:r>
      <w:r w:rsidRPr="007D1B8E">
        <w:rPr>
          <w:i/>
          <w:iCs/>
          <w:lang w:val="en-US"/>
        </w:rPr>
        <w:t xml:space="preserve"> "These new rules will ensure that only </w:t>
      </w:r>
      <w:proofErr w:type="spellStart"/>
      <w:r w:rsidRPr="007D1B8E">
        <w:rPr>
          <w:i/>
          <w:iCs/>
          <w:lang w:val="en-US"/>
        </w:rPr>
        <w:t>fertilisers</w:t>
      </w:r>
      <w:proofErr w:type="spellEnd"/>
      <w:r w:rsidRPr="007D1B8E">
        <w:rPr>
          <w:i/>
          <w:iCs/>
          <w:lang w:val="en-US"/>
        </w:rPr>
        <w:t xml:space="preserve"> that meet high quality and safety EU-wide requirements and standards can be sold freely across the EU. The contaminants in EU phosphate </w:t>
      </w:r>
      <w:proofErr w:type="spellStart"/>
      <w:r w:rsidRPr="007D1B8E">
        <w:rPr>
          <w:i/>
          <w:iCs/>
          <w:lang w:val="en-US"/>
        </w:rPr>
        <w:t>fertilising</w:t>
      </w:r>
      <w:proofErr w:type="spellEnd"/>
      <w:r w:rsidRPr="007D1B8E">
        <w:rPr>
          <w:i/>
          <w:iCs/>
          <w:lang w:val="en-US"/>
        </w:rPr>
        <w:t xml:space="preserve"> products, such as cadmium, can potentially pose a risk to human, animal or plant health, to safety or to the environment and for this reason, the content of such contaminants was limited according to the new rules. The new rules will boost the production and use of phosphate fertilizers with low cadmium content and of organic </w:t>
      </w:r>
      <w:proofErr w:type="spellStart"/>
      <w:r w:rsidRPr="007D1B8E">
        <w:rPr>
          <w:i/>
          <w:iCs/>
          <w:lang w:val="en-US"/>
        </w:rPr>
        <w:t>fertilisers</w:t>
      </w:r>
      <w:proofErr w:type="spellEnd"/>
      <w:r w:rsidRPr="007D1B8E">
        <w:rPr>
          <w:i/>
          <w:iCs/>
          <w:lang w:val="en-US"/>
        </w:rPr>
        <w:t xml:space="preserve"> and will provide a greater choice to farmers oriented towards a more environment-friendly agriculture."</w:t>
      </w:r>
    </w:p>
    <w:p w14:paraId="2F708547" w14:textId="77777777" w:rsidR="007D1B8E" w:rsidRPr="007D1B8E" w:rsidRDefault="007D1B8E" w:rsidP="004B36D7">
      <w:pPr>
        <w:rPr>
          <w:lang w:val="en-US"/>
        </w:rPr>
      </w:pPr>
    </w:p>
    <w:p w14:paraId="0AB5C21F" w14:textId="77777777" w:rsidR="007D1B8E" w:rsidRPr="007D1B8E" w:rsidRDefault="007D1B8E" w:rsidP="004B36D7">
      <w:pPr>
        <w:rPr>
          <w:lang w:val="en-US"/>
        </w:rPr>
      </w:pPr>
      <w:r w:rsidRPr="007D1B8E">
        <w:rPr>
          <w:lang w:val="en-US"/>
        </w:rPr>
        <w:t xml:space="preserve">According to this new regulation, EU </w:t>
      </w:r>
      <w:proofErr w:type="spellStart"/>
      <w:r w:rsidRPr="007D1B8E">
        <w:rPr>
          <w:lang w:val="en-US"/>
        </w:rPr>
        <w:t>fertilising</w:t>
      </w:r>
      <w:proofErr w:type="spellEnd"/>
      <w:r w:rsidRPr="007D1B8E">
        <w:rPr>
          <w:lang w:val="en-US"/>
        </w:rPr>
        <w:t xml:space="preserve"> products bearing the "CE marking" will have to fulfil certain requirements to benefit from free circulation in the EU's internal market. These include not exceeding maximum specified contaminant levels, consisting only of defined component materials, and meeting labelling requirements. Manufacturers of </w:t>
      </w:r>
      <w:proofErr w:type="spellStart"/>
      <w:r w:rsidRPr="007D1B8E">
        <w:rPr>
          <w:lang w:val="en-US"/>
        </w:rPr>
        <w:t>fertilisers</w:t>
      </w:r>
      <w:proofErr w:type="spellEnd"/>
      <w:r w:rsidRPr="007D1B8E">
        <w:rPr>
          <w:lang w:val="en-US"/>
        </w:rPr>
        <w:t xml:space="preserve"> that do not bear the CE marking will still have the possibility of placing them on their national market (under national </w:t>
      </w:r>
      <w:proofErr w:type="spellStart"/>
      <w:r w:rsidRPr="007D1B8E">
        <w:rPr>
          <w:lang w:val="en-US"/>
        </w:rPr>
        <w:t>fertiliser</w:t>
      </w:r>
      <w:proofErr w:type="spellEnd"/>
      <w:r w:rsidRPr="007D1B8E">
        <w:rPr>
          <w:lang w:val="en-US"/>
        </w:rPr>
        <w:t xml:space="preserve"> regulations).  Similarly, producers of waste-derived composts and </w:t>
      </w:r>
      <w:proofErr w:type="spellStart"/>
      <w:r w:rsidRPr="007D1B8E">
        <w:rPr>
          <w:lang w:val="en-US"/>
        </w:rPr>
        <w:t>digestates</w:t>
      </w:r>
      <w:proofErr w:type="spellEnd"/>
      <w:r w:rsidRPr="007D1B8E">
        <w:rPr>
          <w:lang w:val="en-US"/>
        </w:rPr>
        <w:t xml:space="preserve"> within the EU’s internal market may choose to supply them as CE marked products or for use on land under waste regulatory controls.  In the countries of the UK, where national End of Waste rules exist for waste-derived composts </w:t>
      </w:r>
      <w:r w:rsidRPr="007D1B8E">
        <w:rPr>
          <w:lang w:val="en-US"/>
        </w:rPr>
        <w:lastRenderedPageBreak/>
        <w:t xml:space="preserve">and </w:t>
      </w:r>
      <w:proofErr w:type="spellStart"/>
      <w:r w:rsidRPr="007D1B8E">
        <w:rPr>
          <w:lang w:val="en-US"/>
        </w:rPr>
        <w:t>digestates</w:t>
      </w:r>
      <w:proofErr w:type="spellEnd"/>
      <w:r w:rsidRPr="007D1B8E">
        <w:rPr>
          <w:lang w:val="en-US"/>
        </w:rPr>
        <w:t xml:space="preserve">, producers also have the choice of supplying these renewable resources as, respectively, certified Quality Composts and </w:t>
      </w:r>
      <w:proofErr w:type="spellStart"/>
      <w:r w:rsidRPr="007D1B8E">
        <w:rPr>
          <w:lang w:val="en-US"/>
        </w:rPr>
        <w:t>Biofertilisers</w:t>
      </w:r>
      <w:proofErr w:type="spellEnd"/>
      <w:r w:rsidRPr="007D1B8E">
        <w:rPr>
          <w:lang w:val="en-US"/>
        </w:rPr>
        <w:t>.</w:t>
      </w:r>
    </w:p>
    <w:p w14:paraId="79E4E41E" w14:textId="77777777" w:rsidR="007D1B8E" w:rsidRPr="007D1B8E" w:rsidRDefault="007D1B8E" w:rsidP="004B36D7">
      <w:pPr>
        <w:rPr>
          <w:lang w:val="en-US"/>
        </w:rPr>
      </w:pPr>
    </w:p>
    <w:p w14:paraId="5D105054" w14:textId="77777777" w:rsidR="007D1B8E" w:rsidRPr="007D1B8E" w:rsidRDefault="007D1B8E" w:rsidP="004B36D7">
      <w:pPr>
        <w:rPr>
          <w:lang w:val="en-US"/>
        </w:rPr>
      </w:pPr>
      <w:r w:rsidRPr="007D1B8E">
        <w:rPr>
          <w:lang w:val="en-US"/>
        </w:rPr>
        <w:t>The REA's Organics Recycling Group is working on a Briefing Note about the EU FPR and aims to publish it during July 2019.  </w:t>
      </w:r>
    </w:p>
    <w:p w14:paraId="55E6830D" w14:textId="77777777" w:rsidR="007D1B8E" w:rsidRPr="007D1B8E" w:rsidRDefault="007D1B8E" w:rsidP="004B36D7">
      <w:pPr>
        <w:rPr>
          <w:lang w:val="en-US"/>
        </w:rPr>
      </w:pPr>
    </w:p>
    <w:p w14:paraId="073E7014" w14:textId="77777777" w:rsidR="007D1B8E" w:rsidRPr="007D1B8E" w:rsidRDefault="007D1B8E" w:rsidP="004B36D7">
      <w:pPr>
        <w:rPr>
          <w:lang w:val="en-US"/>
        </w:rPr>
      </w:pPr>
      <w:r w:rsidRPr="007D1B8E">
        <w:rPr>
          <w:lang w:val="en-US"/>
        </w:rPr>
        <w:t>Our contact at the European Sustainable Phosphorus Platform has communicated that:</w:t>
      </w:r>
    </w:p>
    <w:p w14:paraId="015E6764" w14:textId="77777777" w:rsidR="007D1B8E" w:rsidRPr="007D1B8E" w:rsidRDefault="007D1B8E" w:rsidP="004B36D7">
      <w:pPr>
        <w:rPr>
          <w:lang w:val="en-US"/>
        </w:rPr>
      </w:pPr>
    </w:p>
    <w:p w14:paraId="1DB11CAE" w14:textId="77777777" w:rsidR="007D1B8E" w:rsidRPr="004B36D7" w:rsidRDefault="007D1B8E" w:rsidP="004B36D7">
      <w:pPr>
        <w:pStyle w:val="ListParagraph"/>
        <w:numPr>
          <w:ilvl w:val="0"/>
          <w:numId w:val="2"/>
        </w:numPr>
        <w:rPr>
          <w:lang w:val="en-US"/>
        </w:rPr>
      </w:pPr>
      <w:r w:rsidRPr="004B36D7">
        <w:rPr>
          <w:lang w:val="en-US"/>
        </w:rPr>
        <w:t>the Joint Research Centre's report proposing criteria for 'STRUBIAS' materials (</w:t>
      </w:r>
      <w:proofErr w:type="spellStart"/>
      <w:r w:rsidRPr="004B36D7">
        <w:rPr>
          <w:lang w:val="en-US"/>
        </w:rPr>
        <w:t>biochars</w:t>
      </w:r>
      <w:proofErr w:type="spellEnd"/>
      <w:r w:rsidRPr="004B36D7">
        <w:rPr>
          <w:lang w:val="en-US"/>
        </w:rPr>
        <w:t xml:space="preserve"> / pyrolysis materials, struvite / recovered phosphate salts, and ash-based products) is expected soon and these criteria may be finalized in late 2019 or early 2020 then added into the EU FPR's annexes; and</w:t>
      </w:r>
    </w:p>
    <w:p w14:paraId="2EA5FF47" w14:textId="77777777" w:rsidR="007D1B8E" w:rsidRPr="004B36D7" w:rsidRDefault="007D1B8E" w:rsidP="004B36D7">
      <w:pPr>
        <w:pStyle w:val="ListParagraph"/>
        <w:numPr>
          <w:ilvl w:val="0"/>
          <w:numId w:val="2"/>
        </w:numPr>
        <w:rPr>
          <w:lang w:val="en-US"/>
        </w:rPr>
      </w:pPr>
      <w:r w:rsidRPr="004B36D7">
        <w:rPr>
          <w:lang w:val="en-US"/>
        </w:rPr>
        <w:t xml:space="preserve">the modification of the REACH regulation to exempt </w:t>
      </w:r>
      <w:proofErr w:type="spellStart"/>
      <w:r w:rsidRPr="004B36D7">
        <w:rPr>
          <w:lang w:val="en-US"/>
        </w:rPr>
        <w:t>digestates</w:t>
      </w:r>
      <w:proofErr w:type="spellEnd"/>
      <w:r w:rsidRPr="004B36D7">
        <w:rPr>
          <w:lang w:val="en-US"/>
        </w:rPr>
        <w:t xml:space="preserve"> from registration is expected t</w:t>
      </w:r>
      <w:bookmarkStart w:id="0" w:name="_GoBack"/>
      <w:bookmarkEnd w:id="0"/>
      <w:r w:rsidRPr="004B36D7">
        <w:rPr>
          <w:lang w:val="en-US"/>
        </w:rPr>
        <w:t>o be published in the Official Journal of the EU in summer 2019.</w:t>
      </w:r>
    </w:p>
    <w:p w14:paraId="313F1163" w14:textId="77777777" w:rsidR="007D1B8E" w:rsidRPr="007D1B8E" w:rsidRDefault="007D1B8E" w:rsidP="004B36D7">
      <w:pPr>
        <w:rPr>
          <w:lang w:val="en-US"/>
        </w:rPr>
      </w:pPr>
    </w:p>
    <w:p w14:paraId="5B8AC2D7" w14:textId="77777777" w:rsidR="007D1B8E" w:rsidRPr="007D1B8E" w:rsidRDefault="007D1B8E" w:rsidP="004B36D7">
      <w:pPr>
        <w:rPr>
          <w:lang w:val="en-US"/>
        </w:rPr>
      </w:pPr>
      <w:r w:rsidRPr="007D1B8E">
        <w:rPr>
          <w:lang w:val="en-US"/>
        </w:rPr>
        <w:t>Further information: click </w:t>
      </w:r>
      <w:hyperlink r:id="rId5" w:tgtFrame="_blank" w:history="1">
        <w:r w:rsidRPr="007D1B8E">
          <w:rPr>
            <w:u w:val="single"/>
            <w:lang w:val="en-US"/>
          </w:rPr>
          <w:t>HERE</w:t>
        </w:r>
      </w:hyperlink>
      <w:r w:rsidRPr="007D1B8E">
        <w:rPr>
          <w:lang w:val="en-US"/>
        </w:rPr>
        <w:t> for the EU FPR</w:t>
      </w:r>
    </w:p>
    <w:p w14:paraId="75619951" w14:textId="77777777" w:rsidR="00D744EA" w:rsidRDefault="004B36D7" w:rsidP="004B36D7"/>
    <w:p w14:paraId="3C43AD77" w14:textId="77777777" w:rsidR="007D1B8E" w:rsidRPr="007D1B8E" w:rsidRDefault="007D1B8E" w:rsidP="004B36D7">
      <w:pPr>
        <w:rPr>
          <w:sz w:val="21"/>
        </w:rPr>
      </w:pPr>
      <w:r w:rsidRPr="007D1B8E">
        <w:rPr>
          <w:sz w:val="21"/>
        </w:rPr>
        <w:t>Keywords:</w:t>
      </w:r>
    </w:p>
    <w:p w14:paraId="0B627D95" w14:textId="77777777" w:rsidR="007D1B8E" w:rsidRPr="007D1B8E" w:rsidRDefault="007D1B8E" w:rsidP="004B36D7">
      <w:pPr>
        <w:rPr>
          <w:sz w:val="21"/>
        </w:rPr>
      </w:pPr>
      <w:r w:rsidRPr="007D1B8E">
        <w:rPr>
          <w:sz w:val="21"/>
        </w:rPr>
        <w:t>EU, European, Union, Commission, EC, fertiliser, fertilisers, EU FPR, FPR, Fertilising Products Regulation, REA, ORG</w:t>
      </w:r>
    </w:p>
    <w:sectPr w:rsidR="007D1B8E" w:rsidRPr="007D1B8E" w:rsidSect="00E771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253AC"/>
    <w:multiLevelType w:val="multilevel"/>
    <w:tmpl w:val="466E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3764D"/>
    <w:multiLevelType w:val="hybridMultilevel"/>
    <w:tmpl w:val="6A6A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8E"/>
    <w:rsid w:val="00264BB6"/>
    <w:rsid w:val="003E34DA"/>
    <w:rsid w:val="004B36D7"/>
    <w:rsid w:val="007D1B8E"/>
    <w:rsid w:val="007E59BF"/>
    <w:rsid w:val="008B394A"/>
    <w:rsid w:val="008D4379"/>
    <w:rsid w:val="009B5744"/>
    <w:rsid w:val="00A74E10"/>
    <w:rsid w:val="00D96B65"/>
    <w:rsid w:val="00E771D4"/>
    <w:rsid w:val="00F26F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BF86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B36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1B8E"/>
  </w:style>
  <w:style w:type="character" w:styleId="Hyperlink">
    <w:name w:val="Hyperlink"/>
    <w:basedOn w:val="DefaultParagraphFont"/>
    <w:uiPriority w:val="99"/>
    <w:semiHidden/>
    <w:unhideWhenUsed/>
    <w:rsid w:val="007D1B8E"/>
    <w:rPr>
      <w:color w:val="0000FF"/>
      <w:u w:val="single"/>
    </w:rPr>
  </w:style>
  <w:style w:type="character" w:customStyle="1" w:styleId="Heading1Char">
    <w:name w:val="Heading 1 Char"/>
    <w:basedOn w:val="DefaultParagraphFont"/>
    <w:link w:val="Heading1"/>
    <w:uiPriority w:val="9"/>
    <w:rsid w:val="004B36D7"/>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4B3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19537">
      <w:bodyDiv w:val="1"/>
      <w:marLeft w:val="0"/>
      <w:marRight w:val="0"/>
      <w:marTop w:val="0"/>
      <w:marBottom w:val="0"/>
      <w:divBdr>
        <w:top w:val="none" w:sz="0" w:space="0" w:color="auto"/>
        <w:left w:val="none" w:sz="0" w:space="0" w:color="auto"/>
        <w:bottom w:val="none" w:sz="0" w:space="0" w:color="auto"/>
        <w:right w:val="none" w:sz="0" w:space="0" w:color="auto"/>
      </w:divBdr>
      <w:divsChild>
        <w:div w:id="663315758">
          <w:marLeft w:val="0"/>
          <w:marRight w:val="0"/>
          <w:marTop w:val="0"/>
          <w:marBottom w:val="0"/>
          <w:divBdr>
            <w:top w:val="none" w:sz="0" w:space="0" w:color="auto"/>
            <w:left w:val="none" w:sz="0" w:space="0" w:color="auto"/>
            <w:bottom w:val="none" w:sz="0" w:space="0" w:color="auto"/>
            <w:right w:val="none" w:sz="0" w:space="0" w:color="auto"/>
          </w:divBdr>
        </w:div>
        <w:div w:id="1234852868">
          <w:marLeft w:val="0"/>
          <w:marRight w:val="0"/>
          <w:marTop w:val="0"/>
          <w:marBottom w:val="0"/>
          <w:divBdr>
            <w:top w:val="none" w:sz="0" w:space="0" w:color="auto"/>
            <w:left w:val="none" w:sz="0" w:space="0" w:color="auto"/>
            <w:bottom w:val="none" w:sz="0" w:space="0" w:color="auto"/>
            <w:right w:val="none" w:sz="0" w:space="0" w:color="auto"/>
          </w:divBdr>
        </w:div>
        <w:div w:id="1564484713">
          <w:marLeft w:val="0"/>
          <w:marRight w:val="0"/>
          <w:marTop w:val="0"/>
          <w:marBottom w:val="0"/>
          <w:divBdr>
            <w:top w:val="none" w:sz="0" w:space="0" w:color="auto"/>
            <w:left w:val="none" w:sz="0" w:space="0" w:color="auto"/>
            <w:bottom w:val="none" w:sz="0" w:space="0" w:color="auto"/>
            <w:right w:val="none" w:sz="0" w:space="0" w:color="auto"/>
          </w:divBdr>
          <w:divsChild>
            <w:div w:id="437916235">
              <w:marLeft w:val="0"/>
              <w:marRight w:val="0"/>
              <w:marTop w:val="0"/>
              <w:marBottom w:val="0"/>
              <w:divBdr>
                <w:top w:val="none" w:sz="0" w:space="0" w:color="auto"/>
                <w:left w:val="none" w:sz="0" w:space="0" w:color="auto"/>
                <w:bottom w:val="none" w:sz="0" w:space="0" w:color="auto"/>
                <w:right w:val="none" w:sz="0" w:space="0" w:color="auto"/>
              </w:divBdr>
            </w:div>
            <w:div w:id="1303928322">
              <w:marLeft w:val="0"/>
              <w:marRight w:val="0"/>
              <w:marTop w:val="0"/>
              <w:marBottom w:val="0"/>
              <w:divBdr>
                <w:top w:val="none" w:sz="0" w:space="0" w:color="auto"/>
                <w:left w:val="none" w:sz="0" w:space="0" w:color="auto"/>
                <w:bottom w:val="none" w:sz="0" w:space="0" w:color="auto"/>
                <w:right w:val="none" w:sz="0" w:space="0" w:color="auto"/>
              </w:divBdr>
            </w:div>
            <w:div w:id="103497712">
              <w:marLeft w:val="0"/>
              <w:marRight w:val="0"/>
              <w:marTop w:val="0"/>
              <w:marBottom w:val="0"/>
              <w:divBdr>
                <w:top w:val="none" w:sz="0" w:space="0" w:color="auto"/>
                <w:left w:val="none" w:sz="0" w:space="0" w:color="auto"/>
                <w:bottom w:val="none" w:sz="0" w:space="0" w:color="auto"/>
                <w:right w:val="none" w:sz="0" w:space="0" w:color="auto"/>
              </w:divBdr>
            </w:div>
            <w:div w:id="134681708">
              <w:marLeft w:val="0"/>
              <w:marRight w:val="0"/>
              <w:marTop w:val="0"/>
              <w:marBottom w:val="0"/>
              <w:divBdr>
                <w:top w:val="none" w:sz="0" w:space="0" w:color="auto"/>
                <w:left w:val="none" w:sz="0" w:space="0" w:color="auto"/>
                <w:bottom w:val="none" w:sz="0" w:space="0" w:color="auto"/>
                <w:right w:val="none" w:sz="0" w:space="0" w:color="auto"/>
              </w:divBdr>
            </w:div>
            <w:div w:id="228813310">
              <w:marLeft w:val="0"/>
              <w:marRight w:val="0"/>
              <w:marTop w:val="0"/>
              <w:marBottom w:val="0"/>
              <w:divBdr>
                <w:top w:val="none" w:sz="0" w:space="0" w:color="auto"/>
                <w:left w:val="none" w:sz="0" w:space="0" w:color="auto"/>
                <w:bottom w:val="none" w:sz="0" w:space="0" w:color="auto"/>
                <w:right w:val="none" w:sz="0" w:space="0" w:color="auto"/>
              </w:divBdr>
            </w:div>
            <w:div w:id="1779182517">
              <w:marLeft w:val="0"/>
              <w:marRight w:val="0"/>
              <w:marTop w:val="0"/>
              <w:marBottom w:val="0"/>
              <w:divBdr>
                <w:top w:val="none" w:sz="0" w:space="0" w:color="auto"/>
                <w:left w:val="none" w:sz="0" w:space="0" w:color="auto"/>
                <w:bottom w:val="none" w:sz="0" w:space="0" w:color="auto"/>
                <w:right w:val="none" w:sz="0" w:space="0" w:color="auto"/>
              </w:divBdr>
            </w:div>
            <w:div w:id="1555504957">
              <w:marLeft w:val="0"/>
              <w:marRight w:val="0"/>
              <w:marTop w:val="0"/>
              <w:marBottom w:val="0"/>
              <w:divBdr>
                <w:top w:val="none" w:sz="0" w:space="0" w:color="auto"/>
                <w:left w:val="none" w:sz="0" w:space="0" w:color="auto"/>
                <w:bottom w:val="none" w:sz="0" w:space="0" w:color="auto"/>
                <w:right w:val="none" w:sz="0" w:space="0" w:color="auto"/>
              </w:divBdr>
            </w:div>
            <w:div w:id="1962489770">
              <w:marLeft w:val="0"/>
              <w:marRight w:val="0"/>
              <w:marTop w:val="0"/>
              <w:marBottom w:val="0"/>
              <w:divBdr>
                <w:top w:val="none" w:sz="0" w:space="0" w:color="auto"/>
                <w:left w:val="none" w:sz="0" w:space="0" w:color="auto"/>
                <w:bottom w:val="none" w:sz="0" w:space="0" w:color="auto"/>
                <w:right w:val="none" w:sz="0" w:space="0" w:color="auto"/>
              </w:divBdr>
            </w:div>
            <w:div w:id="155417273">
              <w:marLeft w:val="0"/>
              <w:marRight w:val="0"/>
              <w:marTop w:val="0"/>
              <w:marBottom w:val="0"/>
              <w:divBdr>
                <w:top w:val="none" w:sz="0" w:space="0" w:color="auto"/>
                <w:left w:val="none" w:sz="0" w:space="0" w:color="auto"/>
                <w:bottom w:val="none" w:sz="0" w:space="0" w:color="auto"/>
                <w:right w:val="none" w:sz="0" w:space="0" w:color="auto"/>
              </w:divBdr>
            </w:div>
            <w:div w:id="1218518832">
              <w:marLeft w:val="0"/>
              <w:marRight w:val="0"/>
              <w:marTop w:val="0"/>
              <w:marBottom w:val="0"/>
              <w:divBdr>
                <w:top w:val="none" w:sz="0" w:space="0" w:color="auto"/>
                <w:left w:val="none" w:sz="0" w:space="0" w:color="auto"/>
                <w:bottom w:val="none" w:sz="0" w:space="0" w:color="auto"/>
                <w:right w:val="none" w:sz="0" w:space="0" w:color="auto"/>
              </w:divBdr>
            </w:div>
            <w:div w:id="193421884">
              <w:marLeft w:val="0"/>
              <w:marRight w:val="0"/>
              <w:marTop w:val="0"/>
              <w:marBottom w:val="0"/>
              <w:divBdr>
                <w:top w:val="none" w:sz="0" w:space="0" w:color="auto"/>
                <w:left w:val="none" w:sz="0" w:space="0" w:color="auto"/>
                <w:bottom w:val="none" w:sz="0" w:space="0" w:color="auto"/>
                <w:right w:val="none" w:sz="0" w:space="0" w:color="auto"/>
              </w:divBdr>
            </w:div>
            <w:div w:id="1049917569">
              <w:marLeft w:val="0"/>
              <w:marRight w:val="0"/>
              <w:marTop w:val="0"/>
              <w:marBottom w:val="0"/>
              <w:divBdr>
                <w:top w:val="none" w:sz="0" w:space="0" w:color="auto"/>
                <w:left w:val="none" w:sz="0" w:space="0" w:color="auto"/>
                <w:bottom w:val="none" w:sz="0" w:space="0" w:color="auto"/>
                <w:right w:val="none" w:sz="0" w:space="0" w:color="auto"/>
              </w:divBdr>
            </w:div>
            <w:div w:id="421267774">
              <w:marLeft w:val="0"/>
              <w:marRight w:val="0"/>
              <w:marTop w:val="0"/>
              <w:marBottom w:val="0"/>
              <w:divBdr>
                <w:top w:val="none" w:sz="0" w:space="0" w:color="auto"/>
                <w:left w:val="none" w:sz="0" w:space="0" w:color="auto"/>
                <w:bottom w:val="none" w:sz="0" w:space="0" w:color="auto"/>
                <w:right w:val="none" w:sz="0" w:space="0" w:color="auto"/>
              </w:divBdr>
            </w:div>
            <w:div w:id="490025462">
              <w:marLeft w:val="0"/>
              <w:marRight w:val="0"/>
              <w:marTop w:val="0"/>
              <w:marBottom w:val="0"/>
              <w:divBdr>
                <w:top w:val="none" w:sz="0" w:space="0" w:color="auto"/>
                <w:left w:val="none" w:sz="0" w:space="0" w:color="auto"/>
                <w:bottom w:val="none" w:sz="0" w:space="0" w:color="auto"/>
                <w:right w:val="none" w:sz="0" w:space="0" w:color="auto"/>
              </w:divBdr>
            </w:div>
            <w:div w:id="1038822716">
              <w:marLeft w:val="0"/>
              <w:marRight w:val="0"/>
              <w:marTop w:val="0"/>
              <w:marBottom w:val="0"/>
              <w:divBdr>
                <w:top w:val="none" w:sz="0" w:space="0" w:color="auto"/>
                <w:left w:val="none" w:sz="0" w:space="0" w:color="auto"/>
                <w:bottom w:val="none" w:sz="0" w:space="0" w:color="auto"/>
                <w:right w:val="none" w:sz="0" w:space="0" w:color="auto"/>
              </w:divBdr>
            </w:div>
            <w:div w:id="2011520718">
              <w:marLeft w:val="0"/>
              <w:marRight w:val="0"/>
              <w:marTop w:val="0"/>
              <w:marBottom w:val="0"/>
              <w:divBdr>
                <w:top w:val="none" w:sz="0" w:space="0" w:color="auto"/>
                <w:left w:val="none" w:sz="0" w:space="0" w:color="auto"/>
                <w:bottom w:val="none" w:sz="0" w:space="0" w:color="auto"/>
                <w:right w:val="none" w:sz="0" w:space="0" w:color="auto"/>
              </w:divBdr>
            </w:div>
            <w:div w:id="2081827234">
              <w:marLeft w:val="0"/>
              <w:marRight w:val="0"/>
              <w:marTop w:val="0"/>
              <w:marBottom w:val="0"/>
              <w:divBdr>
                <w:top w:val="none" w:sz="0" w:space="0" w:color="auto"/>
                <w:left w:val="none" w:sz="0" w:space="0" w:color="auto"/>
                <w:bottom w:val="none" w:sz="0" w:space="0" w:color="auto"/>
                <w:right w:val="none" w:sz="0" w:space="0" w:color="auto"/>
              </w:divBdr>
            </w:div>
            <w:div w:id="1311903946">
              <w:marLeft w:val="0"/>
              <w:marRight w:val="0"/>
              <w:marTop w:val="0"/>
              <w:marBottom w:val="0"/>
              <w:divBdr>
                <w:top w:val="none" w:sz="0" w:space="0" w:color="auto"/>
                <w:left w:val="none" w:sz="0" w:space="0" w:color="auto"/>
                <w:bottom w:val="none" w:sz="0" w:space="0" w:color="auto"/>
                <w:right w:val="none" w:sz="0" w:space="0" w:color="auto"/>
              </w:divBdr>
            </w:div>
            <w:div w:id="2778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ur-lex.europa.eu/legal-content/EN/TXT/?uri=OJ:L:2019:170:TOC"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647</Words>
  <Characters>3692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Grant</dc:creator>
  <cp:keywords/>
  <dc:description/>
  <cp:lastModifiedBy>Jenny Grant</cp:lastModifiedBy>
  <cp:revision>1</cp:revision>
  <dcterms:created xsi:type="dcterms:W3CDTF">2019-08-12T06:44:00Z</dcterms:created>
  <dcterms:modified xsi:type="dcterms:W3CDTF">2019-08-12T06:48:00Z</dcterms:modified>
</cp:coreProperties>
</file>