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216D9" w14:textId="4989E571" w:rsidR="00D57E40" w:rsidRPr="00D57E40" w:rsidRDefault="007B190D" w:rsidP="009979B1">
      <w:pPr>
        <w:pStyle w:val="Heading1"/>
        <w:spacing w:before="120" w:after="120"/>
        <w:rPr>
          <w:color w:val="284664"/>
        </w:rPr>
      </w:pPr>
      <w:r>
        <w:rPr>
          <w:color w:val="284664"/>
        </w:rPr>
        <w:t xml:space="preserve">REA </w:t>
      </w:r>
      <w:r w:rsidR="00D57E40">
        <w:rPr>
          <w:color w:val="284664"/>
        </w:rPr>
        <w:t xml:space="preserve">discussion paper on a </w:t>
      </w:r>
      <w:r w:rsidR="00D57E40" w:rsidRPr="00D57E40">
        <w:rPr>
          <w:color w:val="284664"/>
        </w:rPr>
        <w:t>fut</w:t>
      </w:r>
      <w:r w:rsidR="00244023">
        <w:rPr>
          <w:color w:val="284664"/>
        </w:rPr>
        <w:t>ure support mechanism for green/</w:t>
      </w:r>
      <w:r w:rsidR="00443C0F">
        <w:rPr>
          <w:color w:val="284664"/>
        </w:rPr>
        <w:t xml:space="preserve">low-carbon </w:t>
      </w:r>
      <w:r w:rsidR="009979B1">
        <w:rPr>
          <w:color w:val="284664"/>
        </w:rPr>
        <w:t>gases</w:t>
      </w:r>
    </w:p>
    <w:p w14:paraId="5B7353FA" w14:textId="77777777" w:rsidR="00D57E40" w:rsidRDefault="00D57E40" w:rsidP="000005B0">
      <w:pPr>
        <w:spacing w:before="120" w:after="120"/>
        <w:rPr>
          <w:b/>
          <w:sz w:val="28"/>
          <w:szCs w:val="28"/>
          <w:lang w:val="en-US"/>
        </w:rPr>
      </w:pPr>
    </w:p>
    <w:p w14:paraId="72699328" w14:textId="77777777" w:rsidR="00DA6E20" w:rsidRPr="00DA6E20" w:rsidRDefault="00DA6E20" w:rsidP="000005B0">
      <w:pPr>
        <w:pStyle w:val="Heading2"/>
        <w:numPr>
          <w:ilvl w:val="0"/>
          <w:numId w:val="39"/>
        </w:numPr>
        <w:spacing w:before="120"/>
        <w:ind w:left="426" w:hanging="426"/>
        <w:rPr>
          <w:lang w:val="en-US"/>
        </w:rPr>
      </w:pPr>
      <w:r w:rsidRPr="00DA6E20">
        <w:rPr>
          <w:lang w:val="en-US"/>
        </w:rPr>
        <w:t xml:space="preserve">Introduction </w:t>
      </w:r>
    </w:p>
    <w:p w14:paraId="573F509A" w14:textId="251DEE78" w:rsidR="00546950" w:rsidRPr="001E4249" w:rsidRDefault="001E4249" w:rsidP="000005B0">
      <w:pPr>
        <w:spacing w:before="120" w:after="120"/>
        <w:rPr>
          <w:lang w:val="en-US"/>
        </w:rPr>
      </w:pPr>
      <w:r w:rsidRPr="001E4249">
        <w:rPr>
          <w:lang w:val="en-US"/>
        </w:rPr>
        <w:t>In</w:t>
      </w:r>
      <w:r w:rsidR="00600F85">
        <w:rPr>
          <w:lang w:val="en-US"/>
        </w:rPr>
        <w:t xml:space="preserve"> the</w:t>
      </w:r>
      <w:r w:rsidR="00546950">
        <w:rPr>
          <w:lang w:val="en-US"/>
        </w:rPr>
        <w:t xml:space="preserve"> 2019</w:t>
      </w:r>
      <w:r w:rsidRPr="001E4249">
        <w:rPr>
          <w:lang w:val="en-US"/>
        </w:rPr>
        <w:t xml:space="preserve"> </w:t>
      </w:r>
      <w:hyperlink r:id="rId9" w:history="1">
        <w:r w:rsidRPr="001E4249">
          <w:rPr>
            <w:rStyle w:val="Hyperlink"/>
            <w:lang w:val="en-US"/>
          </w:rPr>
          <w:t>Spring Statement</w:t>
        </w:r>
      </w:hyperlink>
      <w:r w:rsidRPr="001E4249">
        <w:rPr>
          <w:lang w:val="en-US"/>
        </w:rPr>
        <w:t xml:space="preserve">, the Chancellor announced that to help meet climate targets, the </w:t>
      </w:r>
      <w:r w:rsidR="00106EA5">
        <w:rPr>
          <w:lang w:val="en-US"/>
        </w:rPr>
        <w:t>“</w:t>
      </w:r>
      <w:r w:rsidRPr="00106EA5">
        <w:rPr>
          <w:i/>
          <w:lang w:val="en-US"/>
        </w:rPr>
        <w:t>Government will advance</w:t>
      </w:r>
      <w:r w:rsidRPr="001E4249">
        <w:rPr>
          <w:lang w:val="en-US"/>
        </w:rPr>
        <w:t xml:space="preserve"> </w:t>
      </w:r>
      <w:r w:rsidRPr="00546950">
        <w:rPr>
          <w:i/>
          <w:lang w:val="en-US"/>
        </w:rPr>
        <w:t xml:space="preserve">the decarbonisation of </w:t>
      </w:r>
      <w:r w:rsidR="00546950" w:rsidRPr="00546950">
        <w:rPr>
          <w:lang w:val="en-US"/>
        </w:rPr>
        <w:t>our</w:t>
      </w:r>
      <w:r w:rsidR="00546950" w:rsidRPr="00546950">
        <w:rPr>
          <w:i/>
          <w:lang w:val="en-US"/>
        </w:rPr>
        <w:t xml:space="preserve"> </w:t>
      </w:r>
      <w:r w:rsidRPr="00546950">
        <w:rPr>
          <w:i/>
          <w:lang w:val="en-US"/>
        </w:rPr>
        <w:t>gas supplies by increasing the proportion of green gas in the grid</w:t>
      </w:r>
      <w:r w:rsidR="00546950" w:rsidRPr="00546950">
        <w:rPr>
          <w:rFonts w:hint="eastAsia"/>
          <w:i/>
          <w:lang w:val="en-US"/>
        </w:rPr>
        <w:t>”</w:t>
      </w:r>
      <w:r w:rsidRPr="00546950">
        <w:rPr>
          <w:i/>
          <w:lang w:val="en-US"/>
        </w:rPr>
        <w:t>,</w:t>
      </w:r>
      <w:r w:rsidRPr="001E4249">
        <w:rPr>
          <w:lang w:val="en-US"/>
        </w:rPr>
        <w:t xml:space="preserve"> helping to reduce dependence on burning natural gas in homes and businesses.</w:t>
      </w:r>
    </w:p>
    <w:p w14:paraId="33041384" w14:textId="77777777" w:rsidR="001E4249" w:rsidRDefault="001E4249" w:rsidP="000005B0">
      <w:pPr>
        <w:spacing w:before="120" w:after="120"/>
        <w:rPr>
          <w:lang w:val="en-US"/>
        </w:rPr>
      </w:pPr>
      <w:r w:rsidRPr="001E4249">
        <w:rPr>
          <w:lang w:val="en-US"/>
        </w:rPr>
        <w:t xml:space="preserve">BEIS will publish proposals later this year to require an increased proportion of green gas in the grid, advancing decarbonisation of our mains gas supply. </w:t>
      </w:r>
    </w:p>
    <w:p w14:paraId="3E6D7430" w14:textId="363866D2" w:rsidR="001E4249" w:rsidRDefault="00546950" w:rsidP="000005B0">
      <w:pPr>
        <w:spacing w:before="120" w:after="120"/>
        <w:rPr>
          <w:lang w:val="en-US"/>
        </w:rPr>
      </w:pPr>
      <w:r>
        <w:rPr>
          <w:lang w:val="en-US"/>
        </w:rPr>
        <w:t xml:space="preserve">Over the past year, </w:t>
      </w:r>
      <w:r w:rsidR="001E4249">
        <w:rPr>
          <w:lang w:val="en-US"/>
        </w:rPr>
        <w:t xml:space="preserve">the REA has been </w:t>
      </w:r>
      <w:r>
        <w:rPr>
          <w:lang w:val="en-US"/>
        </w:rPr>
        <w:t xml:space="preserve">in </w:t>
      </w:r>
      <w:r w:rsidR="001E4249">
        <w:rPr>
          <w:lang w:val="en-US"/>
        </w:rPr>
        <w:t xml:space="preserve">discussions with its members and BEIS on a future support scheme for green gas that could replace the </w:t>
      </w:r>
      <w:r>
        <w:rPr>
          <w:lang w:val="en-US"/>
        </w:rPr>
        <w:t xml:space="preserve">existing </w:t>
      </w:r>
      <w:r w:rsidR="001E4249">
        <w:rPr>
          <w:lang w:val="en-US"/>
        </w:rPr>
        <w:t>Renewable Heat Incentive</w:t>
      </w:r>
      <w:r>
        <w:rPr>
          <w:lang w:val="en-US"/>
        </w:rPr>
        <w:t xml:space="preserve"> which</w:t>
      </w:r>
      <w:r w:rsidR="001E4249">
        <w:rPr>
          <w:lang w:val="en-US"/>
        </w:rPr>
        <w:t xml:space="preserve"> is set to formally close on 31</w:t>
      </w:r>
      <w:r w:rsidR="001E4249" w:rsidRPr="001342A7">
        <w:rPr>
          <w:vertAlign w:val="superscript"/>
          <w:lang w:val="en-US"/>
        </w:rPr>
        <w:t>st</w:t>
      </w:r>
      <w:r w:rsidR="001E4249">
        <w:rPr>
          <w:lang w:val="en-US"/>
        </w:rPr>
        <w:t xml:space="preserve"> March 2021. </w:t>
      </w:r>
    </w:p>
    <w:p w14:paraId="080F28FC" w14:textId="447CF6C4" w:rsidR="001E4249" w:rsidRDefault="001E4249" w:rsidP="000005B0">
      <w:pPr>
        <w:spacing w:before="120" w:after="120"/>
        <w:rPr>
          <w:lang w:val="en-US"/>
        </w:rPr>
      </w:pPr>
      <w:r>
        <w:rPr>
          <w:lang w:val="en-US"/>
        </w:rPr>
        <w:t xml:space="preserve">Our previous proposals are laid out in our February 2019 submission to </w:t>
      </w:r>
      <w:r w:rsidR="00546950">
        <w:rPr>
          <w:lang w:val="en-US"/>
        </w:rPr>
        <w:t xml:space="preserve">the </w:t>
      </w:r>
      <w:r>
        <w:rPr>
          <w:lang w:val="en-US"/>
        </w:rPr>
        <w:t xml:space="preserve">BEIS Evidence review on </w:t>
      </w:r>
      <w:r w:rsidRPr="004F01DA">
        <w:rPr>
          <w:lang w:val="en-US"/>
        </w:rPr>
        <w:t>options for long-term heat decarbonisation (‘</w:t>
      </w:r>
      <w:hyperlink r:id="rId10" w:history="1">
        <w:r w:rsidRPr="001342A7">
          <w:rPr>
            <w:rStyle w:val="Hyperlink"/>
            <w:lang w:val="en-US"/>
          </w:rPr>
          <w:t>Clean Growth – Transforming heat</w:t>
        </w:r>
      </w:hyperlink>
      <w:r w:rsidRPr="004F01DA">
        <w:rPr>
          <w:lang w:val="en-US"/>
        </w:rPr>
        <w:t>’)</w:t>
      </w:r>
      <w:r>
        <w:rPr>
          <w:lang w:val="en-US"/>
        </w:rPr>
        <w:t xml:space="preserve">, which you can find </w:t>
      </w:r>
      <w:hyperlink r:id="rId11" w:history="1">
        <w:r w:rsidRPr="00B52CCF">
          <w:rPr>
            <w:rStyle w:val="Hyperlink"/>
            <w:lang w:val="en-US"/>
          </w:rPr>
          <w:t>here</w:t>
        </w:r>
      </w:hyperlink>
      <w:r>
        <w:rPr>
          <w:lang w:val="en-US"/>
        </w:rPr>
        <w:t xml:space="preserve"> (pages 3 to 9). </w:t>
      </w:r>
    </w:p>
    <w:p w14:paraId="48A41354" w14:textId="51539F72" w:rsidR="000005B0" w:rsidRDefault="00600F85" w:rsidP="000005B0">
      <w:pPr>
        <w:spacing w:before="120" w:after="120"/>
        <w:rPr>
          <w:lang w:val="en-US"/>
        </w:rPr>
      </w:pPr>
      <w:r>
        <w:rPr>
          <w:lang w:val="en-US"/>
        </w:rPr>
        <w:t>In more</w:t>
      </w:r>
      <w:r w:rsidR="001E4249" w:rsidRPr="00E629D3">
        <w:rPr>
          <w:lang w:val="en-US"/>
        </w:rPr>
        <w:t xml:space="preserve"> recent months the REA’s thinking has evolved from</w:t>
      </w:r>
      <w:r w:rsidR="001C688B" w:rsidRPr="00E629D3">
        <w:rPr>
          <w:lang w:val="en-US"/>
        </w:rPr>
        <w:t xml:space="preserve"> t</w:t>
      </w:r>
      <w:r>
        <w:rPr>
          <w:lang w:val="en-US"/>
        </w:rPr>
        <w:t>he</w:t>
      </w:r>
      <w:r w:rsidR="001E4249" w:rsidRPr="00E629D3">
        <w:rPr>
          <w:lang w:val="en-US"/>
        </w:rPr>
        <w:t xml:space="preserve"> </w:t>
      </w:r>
      <w:r w:rsidR="000005B0">
        <w:rPr>
          <w:lang w:val="en-US"/>
        </w:rPr>
        <w:t>above</w:t>
      </w:r>
      <w:r w:rsidR="001E4249" w:rsidRPr="00E629D3">
        <w:rPr>
          <w:lang w:val="en-US"/>
        </w:rPr>
        <w:t xml:space="preserve"> proposals</w:t>
      </w:r>
      <w:r w:rsidR="00AD0E66">
        <w:rPr>
          <w:lang w:val="en-US"/>
        </w:rPr>
        <w:t xml:space="preserve">, based on </w:t>
      </w:r>
      <w:r w:rsidR="000005B0">
        <w:rPr>
          <w:lang w:val="en-US"/>
        </w:rPr>
        <w:t>feedback received from</w:t>
      </w:r>
      <w:r w:rsidR="00AD0E66">
        <w:rPr>
          <w:lang w:val="en-US"/>
        </w:rPr>
        <w:t xml:space="preserve"> members and the</w:t>
      </w:r>
      <w:r w:rsidR="0058642B">
        <w:rPr>
          <w:lang w:val="en-US"/>
        </w:rPr>
        <w:t xml:space="preserve"> </w:t>
      </w:r>
      <w:r w:rsidR="00AD0E66">
        <w:rPr>
          <w:lang w:val="en-US"/>
        </w:rPr>
        <w:t xml:space="preserve">recommendations coming out from the </w:t>
      </w:r>
      <w:hyperlink r:id="rId12" w:history="1">
        <w:r w:rsidR="00AD0E66" w:rsidRPr="00E330FE">
          <w:rPr>
            <w:rStyle w:val="Hyperlink"/>
            <w:lang w:val="en-US"/>
          </w:rPr>
          <w:t>REA Bioenergy Strategy work</w:t>
        </w:r>
      </w:hyperlink>
      <w:r w:rsidR="001E4249" w:rsidRPr="00E629D3">
        <w:rPr>
          <w:lang w:val="en-US"/>
        </w:rPr>
        <w:t xml:space="preserve">. </w:t>
      </w:r>
    </w:p>
    <w:p w14:paraId="766BCF06" w14:textId="5BE05233" w:rsidR="006557AC" w:rsidRPr="006B0975" w:rsidRDefault="006B0975" w:rsidP="000005B0">
      <w:pPr>
        <w:spacing w:before="120" w:after="120"/>
        <w:rPr>
          <w:lang w:val="en-US"/>
        </w:rPr>
      </w:pPr>
      <w:r w:rsidRPr="006B0975">
        <w:rPr>
          <w:lang w:val="en-US"/>
        </w:rPr>
        <w:t xml:space="preserve">Instead of a </w:t>
      </w:r>
      <w:r>
        <w:rPr>
          <w:lang w:val="en-US"/>
        </w:rPr>
        <w:t>‘</w:t>
      </w:r>
      <w:r w:rsidRPr="006B0975">
        <w:rPr>
          <w:lang w:val="en-US"/>
        </w:rPr>
        <w:t>volume</w:t>
      </w:r>
      <w:r w:rsidR="0058642B">
        <w:rPr>
          <w:lang w:val="en-US"/>
        </w:rPr>
        <w:t>’</w:t>
      </w:r>
      <w:r w:rsidRPr="006B0975">
        <w:rPr>
          <w:lang w:val="en-US"/>
        </w:rPr>
        <w:t xml:space="preserve"> or </w:t>
      </w:r>
      <w:r w:rsidR="0058642B">
        <w:rPr>
          <w:lang w:val="en-US"/>
        </w:rPr>
        <w:t>‘</w:t>
      </w:r>
      <w:r w:rsidRPr="006B0975">
        <w:rPr>
          <w:lang w:val="en-US"/>
        </w:rPr>
        <w:t>energy</w:t>
      </w:r>
      <w:r>
        <w:rPr>
          <w:lang w:val="en-US"/>
        </w:rPr>
        <w:t>’</w:t>
      </w:r>
      <w:r w:rsidRPr="006B0975">
        <w:rPr>
          <w:lang w:val="en-US"/>
        </w:rPr>
        <w:t xml:space="preserve"> based </w:t>
      </w:r>
      <w:r>
        <w:rPr>
          <w:lang w:val="en-US"/>
        </w:rPr>
        <w:t xml:space="preserve">obligation on gas suppliers </w:t>
      </w:r>
      <w:r w:rsidRPr="006B0975">
        <w:rPr>
          <w:lang w:val="en-US"/>
        </w:rPr>
        <w:t xml:space="preserve">(approach set out </w:t>
      </w:r>
      <w:r w:rsidR="004233CC">
        <w:rPr>
          <w:lang w:val="en-US"/>
        </w:rPr>
        <w:t>o</w:t>
      </w:r>
      <w:r w:rsidRPr="006B0975">
        <w:rPr>
          <w:lang w:val="en-US"/>
        </w:rPr>
        <w:t xml:space="preserve">n pages 3 to 9 of this </w:t>
      </w:r>
      <w:r>
        <w:rPr>
          <w:lang w:val="en-US"/>
        </w:rPr>
        <w:t xml:space="preserve">previous REA’s </w:t>
      </w:r>
      <w:hyperlink r:id="rId13" w:history="1">
        <w:r w:rsidRPr="006B0975">
          <w:rPr>
            <w:rStyle w:val="Hyperlink"/>
            <w:color w:val="auto"/>
            <w:lang w:val="en-US"/>
          </w:rPr>
          <w:t>paper</w:t>
        </w:r>
      </w:hyperlink>
      <w:r w:rsidR="0058642B">
        <w:rPr>
          <w:lang w:val="en-US"/>
        </w:rPr>
        <w:t>, similar to the Renewable Obligation but for renewable gas</w:t>
      </w:r>
      <w:r>
        <w:rPr>
          <w:lang w:val="en-US"/>
        </w:rPr>
        <w:t>), some members have suggested a</w:t>
      </w:r>
      <w:r w:rsidR="001C688B" w:rsidRPr="006B0975">
        <w:rPr>
          <w:lang w:val="en-US"/>
        </w:rPr>
        <w:t xml:space="preserve"> </w:t>
      </w:r>
      <w:r w:rsidR="00E629D3" w:rsidRPr="006B0975">
        <w:rPr>
          <w:lang w:val="en-US"/>
        </w:rPr>
        <w:t>Green</w:t>
      </w:r>
      <w:r>
        <w:rPr>
          <w:lang w:val="en-US"/>
        </w:rPr>
        <w:t xml:space="preserve"> and </w:t>
      </w:r>
      <w:r w:rsidR="00E629D3" w:rsidRPr="006B0975">
        <w:rPr>
          <w:lang w:val="en-US"/>
        </w:rPr>
        <w:t xml:space="preserve">Low Carbon </w:t>
      </w:r>
      <w:r w:rsidR="001C688B" w:rsidRPr="006B0975">
        <w:rPr>
          <w:lang w:val="en-US"/>
        </w:rPr>
        <w:t xml:space="preserve">Gas Obligation based on the carbon intensity of the gases. </w:t>
      </w:r>
      <w:r w:rsidRPr="006B0975">
        <w:rPr>
          <w:b/>
          <w:color w:val="FF0000"/>
          <w:lang w:val="en-US"/>
        </w:rPr>
        <w:t>W</w:t>
      </w:r>
      <w:r w:rsidR="006557AC" w:rsidRPr="006B0975">
        <w:rPr>
          <w:b/>
          <w:color w:val="FF0000"/>
          <w:lang w:val="en-US"/>
        </w:rPr>
        <w:t>e are</w:t>
      </w:r>
      <w:r w:rsidRPr="006B0975">
        <w:rPr>
          <w:b/>
          <w:color w:val="FF0000"/>
          <w:lang w:val="en-US"/>
        </w:rPr>
        <w:t xml:space="preserve"> very much</w:t>
      </w:r>
      <w:r w:rsidR="006557AC" w:rsidRPr="006B0975">
        <w:rPr>
          <w:b/>
          <w:color w:val="FF0000"/>
          <w:lang w:val="en-US"/>
        </w:rPr>
        <w:t xml:space="preserve"> interested </w:t>
      </w:r>
      <w:r w:rsidR="002D00BB" w:rsidRPr="006B0975">
        <w:rPr>
          <w:b/>
          <w:color w:val="FF0000"/>
          <w:lang w:val="en-US"/>
        </w:rPr>
        <w:t>to</w:t>
      </w:r>
      <w:r w:rsidR="006557AC" w:rsidRPr="006B0975">
        <w:rPr>
          <w:b/>
          <w:color w:val="FF0000"/>
          <w:lang w:val="en-US"/>
        </w:rPr>
        <w:t xml:space="preserve"> hear members’ views on </w:t>
      </w:r>
      <w:r w:rsidRPr="006B0975">
        <w:rPr>
          <w:b/>
          <w:color w:val="FF0000"/>
          <w:lang w:val="en-US"/>
        </w:rPr>
        <w:t>the preferred approach</w:t>
      </w:r>
      <w:r w:rsidR="00710BAC">
        <w:rPr>
          <w:b/>
          <w:color w:val="FF0000"/>
          <w:lang w:val="en-US"/>
        </w:rPr>
        <w:t xml:space="preserve"> and the reasons for it. </w:t>
      </w:r>
    </w:p>
    <w:p w14:paraId="598657CE" w14:textId="47BE600B" w:rsidR="00E629D3" w:rsidRPr="00E629D3" w:rsidRDefault="001C688B" w:rsidP="000005B0">
      <w:pPr>
        <w:spacing w:before="120" w:after="120"/>
        <w:rPr>
          <w:lang w:val="en-US"/>
        </w:rPr>
      </w:pPr>
      <w:r w:rsidRPr="00E629D3">
        <w:rPr>
          <w:lang w:val="en-US"/>
        </w:rPr>
        <w:t xml:space="preserve">This could be an obligation on </w:t>
      </w:r>
      <w:r w:rsidR="00E629D3">
        <w:rPr>
          <w:lang w:val="en-US"/>
        </w:rPr>
        <w:t xml:space="preserve">licensed </w:t>
      </w:r>
      <w:r w:rsidRPr="00E629D3">
        <w:rPr>
          <w:lang w:val="en-US"/>
        </w:rPr>
        <w:t xml:space="preserve">gas suppliers to reduce the average carbon intensity of the fuels they supply </w:t>
      </w:r>
      <w:proofErr w:type="spellStart"/>
      <w:r w:rsidRPr="00E629D3">
        <w:rPr>
          <w:lang w:val="en-US"/>
        </w:rPr>
        <w:t>ie</w:t>
      </w:r>
      <w:proofErr w:type="spellEnd"/>
      <w:r w:rsidRPr="00E629D3">
        <w:rPr>
          <w:lang w:val="en-US"/>
        </w:rPr>
        <w:t xml:space="preserve"> gas suppliers would have to report the life-cycle greenhouse gas emissions of the gas that they supply and gradually reduce these emissions by up to x % per unit of energy supplied</w:t>
      </w:r>
      <w:r w:rsidR="00C24C0B" w:rsidRPr="00E629D3">
        <w:rPr>
          <w:lang w:val="en-US"/>
        </w:rPr>
        <w:t>.</w:t>
      </w:r>
      <w:r w:rsidR="00E629D3">
        <w:rPr>
          <w:lang w:val="en-US"/>
        </w:rPr>
        <w:t xml:space="preserve"> </w:t>
      </w:r>
      <w:r w:rsidR="00E629D3" w:rsidRPr="00E629D3">
        <w:rPr>
          <w:lang w:val="en-US"/>
        </w:rPr>
        <w:t xml:space="preserve">For every tonne </w:t>
      </w:r>
      <w:r w:rsidR="00E629D3">
        <w:rPr>
          <w:lang w:val="en-US"/>
        </w:rPr>
        <w:t xml:space="preserve">of </w:t>
      </w:r>
      <w:r w:rsidR="00E629D3" w:rsidRPr="00E629D3">
        <w:rPr>
          <w:lang w:val="en-US"/>
        </w:rPr>
        <w:t xml:space="preserve">carbon emissions over their </w:t>
      </w:r>
      <w:r w:rsidR="00E629D3">
        <w:rPr>
          <w:lang w:val="en-US"/>
        </w:rPr>
        <w:t>reduction target gas suppliers would have to pay a buy-out price (see more details and examples of how this could work in the following</w:t>
      </w:r>
      <w:r w:rsidR="00710BAC">
        <w:rPr>
          <w:lang w:val="en-US"/>
        </w:rPr>
        <w:t>,</w:t>
      </w:r>
      <w:r w:rsidR="00E629D3">
        <w:rPr>
          <w:lang w:val="en-US"/>
        </w:rPr>
        <w:t xml:space="preserve"> </w:t>
      </w:r>
      <w:r w:rsidR="00600F85">
        <w:rPr>
          <w:lang w:val="en-US"/>
        </w:rPr>
        <w:t xml:space="preserve">more detailed </w:t>
      </w:r>
      <w:r w:rsidR="00E629D3">
        <w:rPr>
          <w:lang w:val="en-US"/>
        </w:rPr>
        <w:t xml:space="preserve">sections). </w:t>
      </w:r>
    </w:p>
    <w:p w14:paraId="4F828B28" w14:textId="77777777" w:rsidR="00173A31" w:rsidRDefault="003C3025" w:rsidP="000005B0">
      <w:pPr>
        <w:spacing w:before="120" w:after="120"/>
        <w:rPr>
          <w:b/>
          <w:color w:val="FF0000"/>
          <w:lang w:val="en-US"/>
        </w:rPr>
      </w:pPr>
      <w:r>
        <w:rPr>
          <w:lang w:val="en-US"/>
        </w:rPr>
        <w:t xml:space="preserve">To meet its </w:t>
      </w:r>
      <w:r w:rsidRPr="00B07CD3">
        <w:rPr>
          <w:lang w:val="en-US"/>
        </w:rPr>
        <w:t>net-zero greenhouse gas emissions by 2050</w:t>
      </w:r>
      <w:r>
        <w:rPr>
          <w:lang w:val="en-US"/>
        </w:rPr>
        <w:t xml:space="preserve"> target, t</w:t>
      </w:r>
      <w:r w:rsidRPr="00B07CD3">
        <w:rPr>
          <w:lang w:val="en-US"/>
        </w:rPr>
        <w:t xml:space="preserve">he UK </w:t>
      </w:r>
      <w:r>
        <w:rPr>
          <w:lang w:val="en-US"/>
        </w:rPr>
        <w:t>will need</w:t>
      </w:r>
      <w:r w:rsidRPr="00B07CD3">
        <w:rPr>
          <w:lang w:val="en-US"/>
        </w:rPr>
        <w:t xml:space="preserve"> to make deep cuts in emissions today</w:t>
      </w:r>
      <w:r>
        <w:rPr>
          <w:lang w:val="en-US"/>
        </w:rPr>
        <w:t xml:space="preserve">. </w:t>
      </w:r>
      <w:r w:rsidR="00696FE9">
        <w:rPr>
          <w:lang w:val="en-US"/>
        </w:rPr>
        <w:t>The strength</w:t>
      </w:r>
      <w:r>
        <w:rPr>
          <w:lang w:val="en-US"/>
        </w:rPr>
        <w:t xml:space="preserve"> of the proposed </w:t>
      </w:r>
      <w:r w:rsidR="00696FE9">
        <w:rPr>
          <w:lang w:val="en-US"/>
        </w:rPr>
        <w:t xml:space="preserve">approach is that </w:t>
      </w:r>
      <w:r w:rsidR="00456C12">
        <w:rPr>
          <w:lang w:val="en-US"/>
        </w:rPr>
        <w:t>it</w:t>
      </w:r>
      <w:r w:rsidR="00456C12" w:rsidRPr="00456C12">
        <w:rPr>
          <w:lang w:val="en-US"/>
        </w:rPr>
        <w:t xml:space="preserve"> </w:t>
      </w:r>
      <w:r w:rsidR="006B0975">
        <w:rPr>
          <w:lang w:val="en-US"/>
        </w:rPr>
        <w:t>could</w:t>
      </w:r>
      <w:r w:rsidR="00456C12" w:rsidRPr="00456C12">
        <w:rPr>
          <w:lang w:val="en-US"/>
        </w:rPr>
        <w:t xml:space="preserve"> provide a technology neutral incentive for green gas and low-carbon producers to improve their carbon emissions and stimulate investment in technologies and feedstocks with a low carbon profile. </w:t>
      </w:r>
      <w:r w:rsidR="00456C12">
        <w:rPr>
          <w:b/>
          <w:color w:val="FF0000"/>
          <w:lang w:val="en-US"/>
        </w:rPr>
        <w:t>It</w:t>
      </w:r>
      <w:r w:rsidR="00696FE9" w:rsidRPr="009145D3">
        <w:rPr>
          <w:b/>
          <w:color w:val="FF0000"/>
          <w:lang w:val="en-US"/>
        </w:rPr>
        <w:t xml:space="preserve"> would </w:t>
      </w:r>
      <w:r w:rsidR="001C688B" w:rsidRPr="009145D3">
        <w:rPr>
          <w:b/>
          <w:color w:val="FF0000"/>
          <w:lang w:val="en-US"/>
        </w:rPr>
        <w:t>incentivise a reduction of carbon emissions associated with the gases injected in the gas grid, and would encourage the production of new gases with bet</w:t>
      </w:r>
      <w:r w:rsidR="00173A31">
        <w:rPr>
          <w:b/>
          <w:color w:val="FF0000"/>
          <w:lang w:val="en-US"/>
        </w:rPr>
        <w:t xml:space="preserve">ter carbon emission performance. </w:t>
      </w:r>
    </w:p>
    <w:p w14:paraId="61D6E998" w14:textId="63469C10" w:rsidR="00E67A63" w:rsidRDefault="003C3025" w:rsidP="000005B0">
      <w:pPr>
        <w:spacing w:before="120" w:after="120"/>
        <w:rPr>
          <w:lang w:val="en-US"/>
        </w:rPr>
      </w:pPr>
      <w:r>
        <w:rPr>
          <w:lang w:val="en-US"/>
        </w:rPr>
        <w:t xml:space="preserve">In the short term the approach is likely </w:t>
      </w:r>
      <w:r w:rsidR="005D08D7">
        <w:rPr>
          <w:lang w:val="en-US"/>
        </w:rPr>
        <w:t xml:space="preserve">to encourage the </w:t>
      </w:r>
      <w:r>
        <w:rPr>
          <w:lang w:val="en-US"/>
        </w:rPr>
        <w:t>production and injection into the gas grid</w:t>
      </w:r>
      <w:r w:rsidR="005D08D7">
        <w:rPr>
          <w:lang w:val="en-US"/>
        </w:rPr>
        <w:t xml:space="preserve"> of renewable gases from established technologies (biomethane from AD)</w:t>
      </w:r>
      <w:r>
        <w:rPr>
          <w:lang w:val="en-US"/>
        </w:rPr>
        <w:t xml:space="preserve">. In the medium and long term, as other technologies become </w:t>
      </w:r>
      <w:r w:rsidR="005D08D7">
        <w:rPr>
          <w:lang w:val="en-US"/>
        </w:rPr>
        <w:t xml:space="preserve">commercially </w:t>
      </w:r>
      <w:r>
        <w:rPr>
          <w:lang w:val="en-US"/>
        </w:rPr>
        <w:t xml:space="preserve">available, this is likely to encourage a combination of gases with </w:t>
      </w:r>
      <w:r w:rsidR="00AF540B">
        <w:rPr>
          <w:lang w:val="en-US"/>
        </w:rPr>
        <w:t xml:space="preserve">low </w:t>
      </w:r>
      <w:r w:rsidR="00AF540B">
        <w:rPr>
          <w:lang w:val="en-US"/>
        </w:rPr>
        <w:lastRenderedPageBreak/>
        <w:t>carbon intensity (</w:t>
      </w:r>
      <w:r w:rsidR="00BA28F7">
        <w:rPr>
          <w:lang w:val="en-US"/>
        </w:rPr>
        <w:t xml:space="preserve">e.g. </w:t>
      </w:r>
      <w:r w:rsidR="00AF540B">
        <w:rPr>
          <w:lang w:val="en-US"/>
        </w:rPr>
        <w:t xml:space="preserve">biomethane from AD as well as from gasification with or without CCS, renewable hydrogen, synthetic </w:t>
      </w:r>
      <w:r w:rsidR="00BA28F7">
        <w:rPr>
          <w:lang w:val="en-US"/>
        </w:rPr>
        <w:t>RFNBO</w:t>
      </w:r>
      <w:r w:rsidR="006B0975">
        <w:rPr>
          <w:lang w:val="en-US"/>
        </w:rPr>
        <w:t xml:space="preserve"> </w:t>
      </w:r>
      <w:r w:rsidR="00AF540B">
        <w:rPr>
          <w:lang w:val="en-US"/>
        </w:rPr>
        <w:t>methane</w:t>
      </w:r>
      <w:r w:rsidR="009979B1">
        <w:rPr>
          <w:lang w:val="en-US"/>
        </w:rPr>
        <w:t xml:space="preserve"> etc.</w:t>
      </w:r>
      <w:r w:rsidR="00AF540B">
        <w:rPr>
          <w:lang w:val="en-US"/>
        </w:rPr>
        <w:t xml:space="preserve">). </w:t>
      </w:r>
    </w:p>
    <w:p w14:paraId="142139B1" w14:textId="5EFCBDE7" w:rsidR="00E67A63" w:rsidRPr="00DC424A" w:rsidRDefault="0058642B" w:rsidP="00DC424A">
      <w:pPr>
        <w:spacing w:before="120" w:after="120"/>
        <w:rPr>
          <w:b/>
          <w:color w:val="FF0000"/>
          <w:lang w:val="en-US"/>
        </w:rPr>
      </w:pPr>
      <w:r w:rsidRPr="00DC424A">
        <w:rPr>
          <w:b/>
          <w:color w:val="FF0000"/>
          <w:lang w:val="en-US"/>
        </w:rPr>
        <w:t xml:space="preserve">This is purely a discussion paper at this stage, seeking member feedback on the preferred format, and has not been communicated to Government. </w:t>
      </w:r>
      <w:r w:rsidR="00DC424A">
        <w:rPr>
          <w:b/>
          <w:color w:val="FF0000"/>
          <w:lang w:val="en-US"/>
        </w:rPr>
        <w:t>These discussions will inform a</w:t>
      </w:r>
      <w:r w:rsidR="00DC424A" w:rsidRPr="00DC424A">
        <w:rPr>
          <w:b/>
          <w:color w:val="FF0000"/>
          <w:lang w:val="en-US"/>
        </w:rPr>
        <w:t xml:space="preserve"> REA position paper that can be used to inform BEIS upcoming consultation.</w:t>
      </w:r>
      <w:r w:rsidR="00DC424A">
        <w:rPr>
          <w:b/>
          <w:color w:val="FF0000"/>
          <w:lang w:val="en-US"/>
        </w:rPr>
        <w:t xml:space="preserve"> </w:t>
      </w:r>
      <w:r w:rsidRPr="00DC424A">
        <w:rPr>
          <w:b/>
          <w:color w:val="FF0000"/>
          <w:lang w:val="en-US"/>
        </w:rPr>
        <w:t xml:space="preserve">We will also be seeking to set up a member working group on the topic to gather views and develop the final proposals, so please contact </w:t>
      </w:r>
      <w:hyperlink r:id="rId14" w:tgtFrame="_blank" w:history="1">
        <w:r w:rsidRPr="00DC424A">
          <w:rPr>
            <w:b/>
            <w:color w:val="FF0000"/>
            <w:u w:val="single"/>
            <w:lang w:val="en-US"/>
          </w:rPr>
          <w:t>me</w:t>
        </w:r>
      </w:hyperlink>
      <w:r w:rsidRPr="00DC424A">
        <w:rPr>
          <w:b/>
          <w:color w:val="FF0000"/>
          <w:lang w:val="en-US"/>
        </w:rPr>
        <w:t xml:space="preserve"> if this is of interest.</w:t>
      </w:r>
      <w:r w:rsidR="00E67A63" w:rsidRPr="00DC424A">
        <w:rPr>
          <w:b/>
          <w:color w:val="FF0000"/>
          <w:lang w:val="en-US"/>
        </w:rPr>
        <w:t xml:space="preserve"> </w:t>
      </w:r>
    </w:p>
    <w:p w14:paraId="59AF010F" w14:textId="77777777" w:rsidR="00DA6E20" w:rsidRPr="001E4249" w:rsidRDefault="00DA6E20" w:rsidP="000005B0">
      <w:pPr>
        <w:spacing w:before="120" w:after="120"/>
        <w:rPr>
          <w:lang w:val="en-US"/>
        </w:rPr>
      </w:pPr>
    </w:p>
    <w:p w14:paraId="29C87A69" w14:textId="0964B19E" w:rsidR="00D57E40" w:rsidRPr="00FF71A0" w:rsidRDefault="00EE0951" w:rsidP="000005B0">
      <w:pPr>
        <w:pStyle w:val="Heading2"/>
        <w:numPr>
          <w:ilvl w:val="0"/>
          <w:numId w:val="39"/>
        </w:numPr>
        <w:spacing w:before="120"/>
        <w:ind w:left="426" w:hanging="426"/>
        <w:rPr>
          <w:lang w:val="en-US"/>
        </w:rPr>
      </w:pPr>
      <w:r>
        <w:rPr>
          <w:lang w:val="en-US"/>
        </w:rPr>
        <w:t>A</w:t>
      </w:r>
      <w:r w:rsidR="00FF71A0">
        <w:rPr>
          <w:lang w:val="en-US"/>
        </w:rPr>
        <w:t xml:space="preserve"> </w:t>
      </w:r>
      <w:r w:rsidRPr="00EE0951">
        <w:rPr>
          <w:lang w:val="en-US"/>
        </w:rPr>
        <w:t xml:space="preserve">Green/Low Carbon Gas Obligation </w:t>
      </w:r>
    </w:p>
    <w:p w14:paraId="0B0CDF72" w14:textId="77777777" w:rsidR="00D57E40" w:rsidRDefault="00BC19F9" w:rsidP="000005B0">
      <w:pPr>
        <w:pStyle w:val="Heading3"/>
        <w:spacing w:before="120"/>
        <w:rPr>
          <w:lang w:val="en-US"/>
        </w:rPr>
      </w:pPr>
      <w:r>
        <w:rPr>
          <w:lang w:val="en-US"/>
        </w:rPr>
        <w:t xml:space="preserve">2.1 </w:t>
      </w:r>
      <w:r w:rsidR="00D57E40">
        <w:rPr>
          <w:lang w:val="en-US"/>
        </w:rPr>
        <w:t>Eligible fuels</w:t>
      </w:r>
    </w:p>
    <w:p w14:paraId="1EE6D828" w14:textId="77777777" w:rsidR="00780435" w:rsidRDefault="0076535A" w:rsidP="000005B0">
      <w:pPr>
        <w:spacing w:before="120" w:after="120"/>
        <w:rPr>
          <w:lang w:val="en-US"/>
        </w:rPr>
      </w:pPr>
      <w:r>
        <w:rPr>
          <w:lang w:val="en-US"/>
        </w:rPr>
        <w:t xml:space="preserve">The Government could potentially restrict eligible fuels to renewable gases only, or, </w:t>
      </w:r>
      <w:r w:rsidR="006708C9">
        <w:rPr>
          <w:lang w:val="en-US"/>
        </w:rPr>
        <w:t xml:space="preserve">in the event of a carbon intensity based obligation </w:t>
      </w:r>
      <w:r w:rsidR="00BB1558">
        <w:rPr>
          <w:lang w:val="en-US"/>
        </w:rPr>
        <w:t xml:space="preserve">any gas that can be injected in the gas grid to replace natural gas </w:t>
      </w:r>
      <w:r>
        <w:rPr>
          <w:lang w:val="en-US"/>
        </w:rPr>
        <w:t xml:space="preserve">and can meet the obligation </w:t>
      </w:r>
      <w:r w:rsidR="006708C9">
        <w:rPr>
          <w:lang w:val="en-US"/>
        </w:rPr>
        <w:t>could</w:t>
      </w:r>
      <w:r w:rsidR="00BB1558">
        <w:rPr>
          <w:lang w:val="en-US"/>
        </w:rPr>
        <w:t xml:space="preserve"> be</w:t>
      </w:r>
      <w:r w:rsidR="00BB1558" w:rsidRPr="00B07CD3">
        <w:rPr>
          <w:lang w:val="en-US"/>
        </w:rPr>
        <w:t xml:space="preserve"> eligible (wh</w:t>
      </w:r>
      <w:r w:rsidR="006708C9">
        <w:rPr>
          <w:lang w:val="en-US"/>
        </w:rPr>
        <w:t xml:space="preserve">ether renewable or low-carbon). However, </w:t>
      </w:r>
      <w:r w:rsidR="00BB1558" w:rsidRPr="00B07CD3">
        <w:rPr>
          <w:lang w:val="en-US"/>
        </w:rPr>
        <w:t xml:space="preserve">for all </w:t>
      </w:r>
      <w:r w:rsidR="00DB276F">
        <w:rPr>
          <w:lang w:val="en-US"/>
        </w:rPr>
        <w:t>the gases the GHG intensity would</w:t>
      </w:r>
      <w:r w:rsidR="00BB1558" w:rsidRPr="00B07CD3">
        <w:rPr>
          <w:lang w:val="en-US"/>
        </w:rPr>
        <w:t xml:space="preserve"> have to be counted </w:t>
      </w:r>
      <w:r>
        <w:rPr>
          <w:lang w:val="en-US"/>
        </w:rPr>
        <w:t xml:space="preserve">and evidenced </w:t>
      </w:r>
      <w:r w:rsidR="00BB1558" w:rsidRPr="00B07CD3">
        <w:rPr>
          <w:lang w:val="en-US"/>
        </w:rPr>
        <w:t xml:space="preserve">(for example by adopting </w:t>
      </w:r>
      <w:r w:rsidR="00BB1558">
        <w:rPr>
          <w:lang w:val="en-US"/>
        </w:rPr>
        <w:t xml:space="preserve">life-cycle GHG accounting </w:t>
      </w:r>
      <w:r w:rsidR="00BB1558" w:rsidRPr="00B07CD3">
        <w:rPr>
          <w:lang w:val="en-US"/>
        </w:rPr>
        <w:t xml:space="preserve">methodologies </w:t>
      </w:r>
      <w:r w:rsidR="00BB1558">
        <w:rPr>
          <w:lang w:val="en-US"/>
        </w:rPr>
        <w:t xml:space="preserve">that have been </w:t>
      </w:r>
      <w:r w:rsidR="00BB1558" w:rsidRPr="00B07CD3">
        <w:rPr>
          <w:lang w:val="en-US"/>
        </w:rPr>
        <w:t xml:space="preserve">in place under the </w:t>
      </w:r>
      <w:r w:rsidR="00BB1558">
        <w:rPr>
          <w:lang w:val="en-US"/>
        </w:rPr>
        <w:t>Renewable Heat Incentive and the Renewable Transport Fuel Obligation</w:t>
      </w:r>
      <w:r w:rsidR="00BB1558" w:rsidRPr="00B07CD3">
        <w:rPr>
          <w:lang w:val="en-US"/>
        </w:rPr>
        <w:t xml:space="preserve">). </w:t>
      </w:r>
    </w:p>
    <w:p w14:paraId="07E4CEF7" w14:textId="145CC69E" w:rsidR="00BB1558" w:rsidRDefault="00780435" w:rsidP="000005B0">
      <w:pPr>
        <w:spacing w:before="120" w:after="120"/>
        <w:rPr>
          <w:lang w:val="en-US"/>
        </w:rPr>
      </w:pPr>
      <w:r>
        <w:rPr>
          <w:lang w:val="en-US"/>
        </w:rPr>
        <w:t xml:space="preserve">The obligation will therefore </w:t>
      </w:r>
      <w:r w:rsidR="00BB1558">
        <w:rPr>
          <w:lang w:val="en-US"/>
        </w:rPr>
        <w:t>favour sourcing of gas</w:t>
      </w:r>
      <w:r w:rsidR="00A32FD2">
        <w:rPr>
          <w:lang w:val="en-US"/>
        </w:rPr>
        <w:t>es with a better carbon profile. As an example applicable to hydrogen, re</w:t>
      </w:r>
      <w:r w:rsidR="00BB1558">
        <w:rPr>
          <w:lang w:val="en-US"/>
        </w:rPr>
        <w:t xml:space="preserve">newable hydrogen and hydrogen from Steam Methane Reformation (SMR) combined with Carbon Capture and Storage (CCS) would be in a better position than </w:t>
      </w:r>
      <w:r w:rsidR="00BB1558" w:rsidRPr="003C3025">
        <w:rPr>
          <w:lang w:val="en-US"/>
        </w:rPr>
        <w:t xml:space="preserve">hydrogen derived from SMR of natural gas with no CCS. </w:t>
      </w:r>
    </w:p>
    <w:p w14:paraId="3D910280" w14:textId="7269BB05" w:rsidR="00B467D6" w:rsidRDefault="00D40F4B" w:rsidP="000005B0">
      <w:pPr>
        <w:spacing w:before="120" w:after="120"/>
        <w:rPr>
          <w:lang w:val="en-US"/>
        </w:rPr>
      </w:pPr>
      <w:r>
        <w:rPr>
          <w:lang w:val="en-US"/>
        </w:rPr>
        <w:t>As said above, i</w:t>
      </w:r>
      <w:r w:rsidR="004419E5">
        <w:rPr>
          <w:lang w:val="en-US"/>
        </w:rPr>
        <w:t xml:space="preserve">t is also likely that Government would want to set a minimum level of carbon savings for the gases injected into the gas grid, and this would need to be no worse than what is currently allowed under the </w:t>
      </w:r>
      <w:r w:rsidR="00173A31">
        <w:rPr>
          <w:lang w:val="en-US"/>
        </w:rPr>
        <w:t>Renewable Heat Incentive</w:t>
      </w:r>
      <w:r w:rsidR="00173A31">
        <w:rPr>
          <w:rStyle w:val="FootnoteReference"/>
          <w:lang w:val="en-US"/>
        </w:rPr>
        <w:footnoteReference w:id="1"/>
      </w:r>
      <w:r w:rsidR="004419E5">
        <w:rPr>
          <w:lang w:val="en-US"/>
        </w:rPr>
        <w:t>. If this is the case, non-renewable gases without CCS would be unlikely to meet this minimum level.</w:t>
      </w:r>
      <w:r w:rsidR="00E20DA4">
        <w:rPr>
          <w:lang w:val="en-US"/>
        </w:rPr>
        <w:t xml:space="preserve"> </w:t>
      </w:r>
    </w:p>
    <w:p w14:paraId="2203C3CC" w14:textId="3041E7A0" w:rsidR="00A976AC" w:rsidRDefault="00E20DA4" w:rsidP="000005B0">
      <w:pPr>
        <w:spacing w:before="120" w:after="120"/>
        <w:rPr>
          <w:lang w:val="en-US"/>
        </w:rPr>
      </w:pPr>
      <w:r>
        <w:rPr>
          <w:lang w:val="en-US"/>
        </w:rPr>
        <w:t xml:space="preserve">The diagram below </w:t>
      </w:r>
      <w:r w:rsidR="006B6F9F">
        <w:rPr>
          <w:lang w:val="en-US"/>
        </w:rPr>
        <w:t xml:space="preserve">is a simple illustration of </w:t>
      </w:r>
      <w:r>
        <w:rPr>
          <w:lang w:val="en-US"/>
        </w:rPr>
        <w:t xml:space="preserve">the types of gases that are likely </w:t>
      </w:r>
      <w:r w:rsidR="006B6F9F">
        <w:rPr>
          <w:lang w:val="en-US"/>
        </w:rPr>
        <w:t xml:space="preserve">to be available in the future. </w:t>
      </w:r>
      <w:r>
        <w:rPr>
          <w:lang w:val="en-US"/>
        </w:rPr>
        <w:t>These would be eligible as long as their GHG emissions are accounted for and the</w:t>
      </w:r>
      <w:r w:rsidR="006B6F9F">
        <w:rPr>
          <w:lang w:val="en-US"/>
        </w:rPr>
        <w:t xml:space="preserve">y can meet the </w:t>
      </w:r>
      <w:r w:rsidR="00532F02">
        <w:rPr>
          <w:lang w:val="en-US"/>
        </w:rPr>
        <w:t>GHG target</w:t>
      </w:r>
      <w:r>
        <w:rPr>
          <w:lang w:val="en-US"/>
        </w:rPr>
        <w:t xml:space="preserve"> set out under the new support mechanism. </w:t>
      </w:r>
      <w:r w:rsidR="004419E5">
        <w:rPr>
          <w:lang w:val="en-US"/>
        </w:rPr>
        <w:t xml:space="preserve">  </w:t>
      </w:r>
    </w:p>
    <w:p w14:paraId="79933F2B" w14:textId="77777777" w:rsidR="00E236D3" w:rsidRDefault="00E236D3" w:rsidP="000005B0">
      <w:pPr>
        <w:spacing w:before="120" w:after="120"/>
        <w:rPr>
          <w:lang w:val="en-US"/>
        </w:rPr>
      </w:pPr>
    </w:p>
    <w:p w14:paraId="20EB54E7" w14:textId="77777777" w:rsidR="00E236D3" w:rsidRDefault="00E236D3" w:rsidP="000005B0">
      <w:pPr>
        <w:spacing w:before="120" w:after="120"/>
        <w:rPr>
          <w:lang w:val="en-US"/>
        </w:rPr>
      </w:pPr>
    </w:p>
    <w:p w14:paraId="7F24D431" w14:textId="77777777" w:rsidR="00E236D3" w:rsidRDefault="00E236D3" w:rsidP="000005B0">
      <w:pPr>
        <w:spacing w:before="120" w:after="120"/>
        <w:rPr>
          <w:lang w:val="en-US"/>
        </w:rPr>
      </w:pPr>
    </w:p>
    <w:p w14:paraId="42ED576F" w14:textId="77777777" w:rsidR="00E236D3" w:rsidRDefault="00E236D3" w:rsidP="000005B0">
      <w:pPr>
        <w:spacing w:before="120" w:after="120"/>
        <w:rPr>
          <w:lang w:val="en-US"/>
        </w:rPr>
      </w:pPr>
    </w:p>
    <w:p w14:paraId="26400C13" w14:textId="77777777" w:rsidR="00E236D3" w:rsidRDefault="00E236D3" w:rsidP="000005B0">
      <w:pPr>
        <w:spacing w:before="120" w:after="120"/>
        <w:rPr>
          <w:lang w:val="en-US"/>
        </w:rPr>
      </w:pPr>
    </w:p>
    <w:p w14:paraId="021C0B13" w14:textId="77777777" w:rsidR="00E236D3" w:rsidRDefault="00E236D3" w:rsidP="000005B0">
      <w:pPr>
        <w:spacing w:before="120" w:after="120"/>
        <w:rPr>
          <w:lang w:val="en-US"/>
        </w:rPr>
      </w:pPr>
    </w:p>
    <w:p w14:paraId="2F62EC68" w14:textId="77777777" w:rsidR="00F508F4" w:rsidRDefault="00F508F4" w:rsidP="000005B0">
      <w:pPr>
        <w:spacing w:before="120" w:after="120"/>
        <w:rPr>
          <w:lang w:val="en-US"/>
        </w:rPr>
      </w:pPr>
      <w:r>
        <w:rPr>
          <w:noProof/>
          <w:lang w:eastAsia="en-GB"/>
        </w:rPr>
        <w:lastRenderedPageBreak/>
        <mc:AlternateContent>
          <mc:Choice Requires="wps">
            <w:drawing>
              <wp:anchor distT="0" distB="0" distL="114300" distR="114300" simplePos="0" relativeHeight="251661312" behindDoc="0" locked="0" layoutInCell="1" allowOverlap="1" wp14:anchorId="109FF8F8" wp14:editId="641F0BD2">
                <wp:simplePos x="0" y="0"/>
                <wp:positionH relativeFrom="column">
                  <wp:posOffset>3572510</wp:posOffset>
                </wp:positionH>
                <wp:positionV relativeFrom="paragraph">
                  <wp:posOffset>95885</wp:posOffset>
                </wp:positionV>
                <wp:extent cx="2211070" cy="392430"/>
                <wp:effectExtent l="0" t="0" r="17780" b="26670"/>
                <wp:wrapNone/>
                <wp:docPr id="3" name="Rounded Rectangle 3"/>
                <wp:cNvGraphicFramePr/>
                <a:graphic xmlns:a="http://schemas.openxmlformats.org/drawingml/2006/main">
                  <a:graphicData uri="http://schemas.microsoft.com/office/word/2010/wordprocessingShape">
                    <wps:wsp>
                      <wps:cNvSpPr/>
                      <wps:spPr>
                        <a:xfrm>
                          <a:off x="0" y="0"/>
                          <a:ext cx="2211070" cy="392430"/>
                        </a:xfrm>
                        <a:prstGeom prst="roundRec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1AA7F3" w14:textId="77777777" w:rsidR="00686B66" w:rsidRDefault="00686B66" w:rsidP="00F508F4">
                            <w:pPr>
                              <w:jc w:val="center"/>
                            </w:pPr>
                            <w:r>
                              <w:t>Low-carbon gases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left:0;text-align:left;margin-left:281.3pt;margin-top:7.55pt;width:174.1pt;height:3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" fillcolor="#4f81bd [3204]" strokecolor="#243f60 [1604]" strokeweight="2pt">
                <v:textbox>
                  <w:txbxContent>
                    <w:p w14:paraId="6E1AA7F3" w14:textId="77777777" w:rsidR="00686B66" w:rsidRDefault="00686B66" w:rsidP="00F508F4">
                      <w:pPr>
                        <w:jc w:val="center"/>
                      </w:pPr>
                      <w:r>
                        <w:t>Low-carbon gases</w:t>
                      </w:r>
                    </w:p>
                  </w:txbxContent>
                </v:textbox>
              </v:roundrect>
            </w:pict>
          </mc:Fallback>
        </mc:AlternateContent>
      </w:r>
      <w:r>
        <w:rPr>
          <w:noProof/>
          <w:lang w:eastAsia="en-GB"/>
        </w:rPr>
        <mc:AlternateContent>
          <mc:Choice Requires="wps">
            <w:drawing>
              <wp:anchor distT="0" distB="0" distL="114300" distR="114300" simplePos="0" relativeHeight="251659264" behindDoc="0" locked="0" layoutInCell="1" allowOverlap="1" wp14:anchorId="16156D4E" wp14:editId="4F0F0008">
                <wp:simplePos x="0" y="0"/>
                <wp:positionH relativeFrom="column">
                  <wp:posOffset>31750</wp:posOffset>
                </wp:positionH>
                <wp:positionV relativeFrom="paragraph">
                  <wp:posOffset>95885</wp:posOffset>
                </wp:positionV>
                <wp:extent cx="3423285" cy="392430"/>
                <wp:effectExtent l="0" t="0" r="24765" b="26670"/>
                <wp:wrapNone/>
                <wp:docPr id="1" name="Rounded Rectangle 1"/>
                <wp:cNvGraphicFramePr/>
                <a:graphic xmlns:a="http://schemas.openxmlformats.org/drawingml/2006/main">
                  <a:graphicData uri="http://schemas.microsoft.com/office/word/2010/wordprocessingShape">
                    <wps:wsp>
                      <wps:cNvSpPr/>
                      <wps:spPr>
                        <a:xfrm>
                          <a:off x="0" y="0"/>
                          <a:ext cx="3423285" cy="392430"/>
                        </a:xfrm>
                        <a:prstGeom prst="roundRec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7A8A4D" w14:textId="77777777" w:rsidR="00686B66" w:rsidRDefault="00686B66" w:rsidP="00F508F4">
                            <w:pPr>
                              <w:jc w:val="center"/>
                            </w:pPr>
                            <w:r>
                              <w:t>Renewable gases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7" style="position:absolute;left:0;text-align:left;margin-left:2.5pt;margin-top:7.55pt;width:269.5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" fillcolor="#4f81bd [3204]" strokecolor="#243f60 [1604]" strokeweight="2pt">
                <v:textbox>
                  <w:txbxContent>
                    <w:p w14:paraId="077A8A4D" w14:textId="77777777" w:rsidR="00686B66" w:rsidRDefault="00686B66" w:rsidP="00F508F4">
                      <w:pPr>
                        <w:jc w:val="center"/>
                      </w:pPr>
                      <w:r>
                        <w:t>Renewable gases</w:t>
                      </w:r>
                    </w:p>
                  </w:txbxContent>
                </v:textbox>
              </v:roundrect>
            </w:pict>
          </mc:Fallback>
        </mc:AlternateContent>
      </w:r>
    </w:p>
    <w:p w14:paraId="01142F85" w14:textId="77777777" w:rsidR="00F508F4" w:rsidRDefault="00DA3C03" w:rsidP="000005B0">
      <w:pPr>
        <w:spacing w:before="120" w:after="120"/>
        <w:rPr>
          <w:lang w:val="en-US"/>
        </w:rPr>
      </w:pPr>
      <w:r>
        <w:rPr>
          <w:noProof/>
          <w:lang w:eastAsia="en-GB"/>
        </w:rPr>
        <mc:AlternateContent>
          <mc:Choice Requires="wps">
            <w:drawing>
              <wp:anchor distT="0" distB="0" distL="114300" distR="114300" simplePos="0" relativeHeight="251680768" behindDoc="0" locked="0" layoutInCell="1" allowOverlap="1" wp14:anchorId="0D8123AD" wp14:editId="2E42657C">
                <wp:simplePos x="0" y="0"/>
                <wp:positionH relativeFrom="column">
                  <wp:posOffset>4529011</wp:posOffset>
                </wp:positionH>
                <wp:positionV relativeFrom="paragraph">
                  <wp:posOffset>241684</wp:posOffset>
                </wp:positionV>
                <wp:extent cx="978653" cy="222885"/>
                <wp:effectExtent l="0" t="0" r="69215" b="81915"/>
                <wp:wrapNone/>
                <wp:docPr id="16" name="Straight Arrow Connector 16"/>
                <wp:cNvGraphicFramePr/>
                <a:graphic xmlns:a="http://schemas.openxmlformats.org/drawingml/2006/main">
                  <a:graphicData uri="http://schemas.microsoft.com/office/word/2010/wordprocessingShape">
                    <wps:wsp>
                      <wps:cNvCnPr/>
                      <wps:spPr>
                        <a:xfrm>
                          <a:off x="0" y="0"/>
                          <a:ext cx="978653" cy="2228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Straight Arrow Connector 16" o:spid="_x0000_s1026" type="#_x0000_t32" style="position:absolute;margin-left:356.6pt;margin-top:19.05pt;width:77.05pt;height:17.5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" strokecolor="#4579b8 [3044]">
                <v:stroke endarrow="open"/>
              </v:shape>
            </w:pict>
          </mc:Fallback>
        </mc:AlternateContent>
      </w:r>
      <w:r>
        <w:rPr>
          <w:noProof/>
          <w:lang w:eastAsia="en-GB"/>
        </w:rPr>
        <mc:AlternateContent>
          <mc:Choice Requires="wps">
            <w:drawing>
              <wp:anchor distT="0" distB="0" distL="114300" distR="114300" simplePos="0" relativeHeight="251679744" behindDoc="0" locked="0" layoutInCell="1" allowOverlap="1" wp14:anchorId="443C2462" wp14:editId="524C9160">
                <wp:simplePos x="0" y="0"/>
                <wp:positionH relativeFrom="column">
                  <wp:posOffset>4476145</wp:posOffset>
                </wp:positionH>
                <wp:positionV relativeFrom="paragraph">
                  <wp:posOffset>240709</wp:posOffset>
                </wp:positionV>
                <wp:extent cx="53325" cy="223860"/>
                <wp:effectExtent l="57150" t="0" r="61595" b="62230"/>
                <wp:wrapNone/>
                <wp:docPr id="15" name="Straight Arrow Connector 15"/>
                <wp:cNvGraphicFramePr/>
                <a:graphic xmlns:a="http://schemas.openxmlformats.org/drawingml/2006/main">
                  <a:graphicData uri="http://schemas.microsoft.com/office/word/2010/wordprocessingShape">
                    <wps:wsp>
                      <wps:cNvCnPr/>
                      <wps:spPr>
                        <a:xfrm flipH="1">
                          <a:off x="0" y="0"/>
                          <a:ext cx="53325" cy="2238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15" o:spid="_x0000_s1026" type="#_x0000_t32" style="position:absolute;margin-left:352.45pt;margin-top:18.95pt;width:4.2pt;height:17.6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" strokecolor="#4579b8 [3044]">
                <v:stroke endarrow="open"/>
              </v:shape>
            </w:pict>
          </mc:Fallback>
        </mc:AlternateContent>
      </w:r>
      <w:r>
        <w:rPr>
          <w:noProof/>
          <w:lang w:eastAsia="en-GB"/>
        </w:rPr>
        <mc:AlternateContent>
          <mc:Choice Requires="wps">
            <w:drawing>
              <wp:anchor distT="0" distB="0" distL="114300" distR="114300" simplePos="0" relativeHeight="251678720" behindDoc="0" locked="0" layoutInCell="1" allowOverlap="1" wp14:anchorId="5E71FE8B" wp14:editId="563EFF33">
                <wp:simplePos x="0" y="0"/>
                <wp:positionH relativeFrom="column">
                  <wp:posOffset>3572540</wp:posOffset>
                </wp:positionH>
                <wp:positionV relativeFrom="paragraph">
                  <wp:posOffset>241684</wp:posOffset>
                </wp:positionV>
                <wp:extent cx="903767" cy="223284"/>
                <wp:effectExtent l="38100" t="0" r="29845" b="81915"/>
                <wp:wrapNone/>
                <wp:docPr id="14" name="Straight Arrow Connector 14"/>
                <wp:cNvGraphicFramePr/>
                <a:graphic xmlns:a="http://schemas.openxmlformats.org/drawingml/2006/main">
                  <a:graphicData uri="http://schemas.microsoft.com/office/word/2010/wordprocessingShape">
                    <wps:wsp>
                      <wps:cNvCnPr/>
                      <wps:spPr>
                        <a:xfrm flipH="1">
                          <a:off x="0" y="0"/>
                          <a:ext cx="903767" cy="22328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14" o:spid="_x0000_s1026" type="#_x0000_t32" style="position:absolute;margin-left:281.3pt;margin-top:19.05pt;width:71.15pt;height:17.6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" strokecolor="#4579b8 [3044]">
                <v:stroke endarrow="open"/>
              </v:shape>
            </w:pict>
          </mc:Fallback>
        </mc:AlternateContent>
      </w:r>
      <w:r>
        <w:rPr>
          <w:noProof/>
          <w:lang w:eastAsia="en-GB"/>
        </w:rPr>
        <mc:AlternateContent>
          <mc:Choice Requires="wps">
            <w:drawing>
              <wp:anchor distT="0" distB="0" distL="114300" distR="114300" simplePos="0" relativeHeight="251677696" behindDoc="0" locked="0" layoutInCell="1" allowOverlap="1" wp14:anchorId="49D12629" wp14:editId="77B1DC8A">
                <wp:simplePos x="0" y="0"/>
                <wp:positionH relativeFrom="column">
                  <wp:posOffset>1743740</wp:posOffset>
                </wp:positionH>
                <wp:positionV relativeFrom="paragraph">
                  <wp:posOffset>240709</wp:posOffset>
                </wp:positionV>
                <wp:extent cx="1828800" cy="224259"/>
                <wp:effectExtent l="0" t="0" r="76200" b="99695"/>
                <wp:wrapNone/>
                <wp:docPr id="13" name="Straight Arrow Connector 13"/>
                <wp:cNvGraphicFramePr/>
                <a:graphic xmlns:a="http://schemas.openxmlformats.org/drawingml/2006/main">
                  <a:graphicData uri="http://schemas.microsoft.com/office/word/2010/wordprocessingShape">
                    <wps:wsp>
                      <wps:cNvCnPr/>
                      <wps:spPr>
                        <a:xfrm>
                          <a:off x="0" y="0"/>
                          <a:ext cx="1828800" cy="22425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13" o:spid="_x0000_s1026" type="#_x0000_t32" style="position:absolute;margin-left:137.3pt;margin-top:18.95pt;width:2in;height:17.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" strokecolor="#4579b8 [3044]">
                <v:stroke endarrow="open"/>
              </v:shape>
            </w:pict>
          </mc:Fallback>
        </mc:AlternateContent>
      </w:r>
      <w:r>
        <w:rPr>
          <w:noProof/>
          <w:lang w:eastAsia="en-GB"/>
        </w:rPr>
        <mc:AlternateContent>
          <mc:Choice Requires="wps">
            <w:drawing>
              <wp:anchor distT="0" distB="0" distL="114300" distR="114300" simplePos="0" relativeHeight="251676672" behindDoc="0" locked="0" layoutInCell="1" allowOverlap="1" wp14:anchorId="7D669EAD" wp14:editId="64E25F7C">
                <wp:simplePos x="0" y="0"/>
                <wp:positionH relativeFrom="column">
                  <wp:posOffset>1743710</wp:posOffset>
                </wp:positionH>
                <wp:positionV relativeFrom="paragraph">
                  <wp:posOffset>240665</wp:posOffset>
                </wp:positionV>
                <wp:extent cx="659130" cy="223520"/>
                <wp:effectExtent l="0" t="0" r="83820" b="81280"/>
                <wp:wrapNone/>
                <wp:docPr id="12" name="Straight Arrow Connector 12"/>
                <wp:cNvGraphicFramePr/>
                <a:graphic xmlns:a="http://schemas.openxmlformats.org/drawingml/2006/main">
                  <a:graphicData uri="http://schemas.microsoft.com/office/word/2010/wordprocessingShape">
                    <wps:wsp>
                      <wps:cNvCnPr/>
                      <wps:spPr>
                        <a:xfrm>
                          <a:off x="0" y="0"/>
                          <a:ext cx="659130" cy="2235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Straight Arrow Connector 12" o:spid="_x0000_s1026" type="#_x0000_t32" style="position:absolute;margin-left:137.3pt;margin-top:18.95pt;width:51.9pt;height:17.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" strokecolor="#4579b8 [3044]">
                <v:stroke endarrow="open"/>
              </v:shape>
            </w:pict>
          </mc:Fallback>
        </mc:AlternateContent>
      </w:r>
      <w:r>
        <w:rPr>
          <w:noProof/>
          <w:lang w:eastAsia="en-GB"/>
        </w:rPr>
        <mc:AlternateContent>
          <mc:Choice Requires="wps">
            <w:drawing>
              <wp:anchor distT="0" distB="0" distL="114300" distR="114300" simplePos="0" relativeHeight="251674624" behindDoc="0" locked="0" layoutInCell="1" allowOverlap="1" wp14:anchorId="5B761600" wp14:editId="5C36E4CD">
                <wp:simplePos x="0" y="0"/>
                <wp:positionH relativeFrom="column">
                  <wp:posOffset>308344</wp:posOffset>
                </wp:positionH>
                <wp:positionV relativeFrom="paragraph">
                  <wp:posOffset>240709</wp:posOffset>
                </wp:positionV>
                <wp:extent cx="1435396" cy="224259"/>
                <wp:effectExtent l="38100" t="0" r="12700" b="99695"/>
                <wp:wrapNone/>
                <wp:docPr id="10" name="Straight Arrow Connector 10"/>
                <wp:cNvGraphicFramePr/>
                <a:graphic xmlns:a="http://schemas.openxmlformats.org/drawingml/2006/main">
                  <a:graphicData uri="http://schemas.microsoft.com/office/word/2010/wordprocessingShape">
                    <wps:wsp>
                      <wps:cNvCnPr/>
                      <wps:spPr>
                        <a:xfrm flipH="1">
                          <a:off x="0" y="0"/>
                          <a:ext cx="1435396" cy="22425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10" o:spid="_x0000_s1026" type="#_x0000_t32" style="position:absolute;margin-left:24.3pt;margin-top:18.95pt;width:113pt;height:17.6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" strokecolor="#4579b8 [3044]">
                <v:stroke endarrow="open"/>
              </v:shape>
            </w:pict>
          </mc:Fallback>
        </mc:AlternateContent>
      </w:r>
    </w:p>
    <w:p w14:paraId="7E6FBDB5" w14:textId="77777777" w:rsidR="00F508F4" w:rsidRDefault="00DA3C03" w:rsidP="000005B0">
      <w:pPr>
        <w:spacing w:before="120" w:after="120"/>
        <w:rPr>
          <w:lang w:val="en-US"/>
        </w:rPr>
      </w:pPr>
      <w:r>
        <w:rPr>
          <w:noProof/>
          <w:lang w:eastAsia="en-GB"/>
        </w:rPr>
        <mc:AlternateContent>
          <mc:Choice Requires="wps">
            <w:drawing>
              <wp:anchor distT="0" distB="0" distL="114300" distR="114300" simplePos="0" relativeHeight="251675648" behindDoc="0" locked="0" layoutInCell="1" allowOverlap="1" wp14:anchorId="40F46E67" wp14:editId="7C3C4EC4">
                <wp:simplePos x="0" y="0"/>
                <wp:positionH relativeFrom="column">
                  <wp:posOffset>1562986</wp:posOffset>
                </wp:positionH>
                <wp:positionV relativeFrom="paragraph">
                  <wp:posOffset>47832</wp:posOffset>
                </wp:positionV>
                <wp:extent cx="180458" cy="170992"/>
                <wp:effectExtent l="38100" t="0" r="29210" b="57785"/>
                <wp:wrapNone/>
                <wp:docPr id="11" name="Straight Arrow Connector 11"/>
                <wp:cNvGraphicFramePr/>
                <a:graphic xmlns:a="http://schemas.openxmlformats.org/drawingml/2006/main">
                  <a:graphicData uri="http://schemas.microsoft.com/office/word/2010/wordprocessingShape">
                    <wps:wsp>
                      <wps:cNvCnPr/>
                      <wps:spPr>
                        <a:xfrm flipH="1">
                          <a:off x="0" y="0"/>
                          <a:ext cx="180458" cy="17099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11" o:spid="_x0000_s1026" type="#_x0000_t32" style="position:absolute;margin-left:123.05pt;margin-top:3.75pt;width:14.2pt;height:13.4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" strokecolor="#4579b8 [3044]">
                <v:stroke endarrow="open"/>
              </v:shape>
            </w:pict>
          </mc:Fallback>
        </mc:AlternateContent>
      </w:r>
      <w:r w:rsidR="00F508F4">
        <w:rPr>
          <w:noProof/>
          <w:lang w:eastAsia="en-GB"/>
        </w:rPr>
        <mc:AlternateContent>
          <mc:Choice Requires="wps">
            <w:drawing>
              <wp:anchor distT="0" distB="0" distL="114300" distR="114300" simplePos="0" relativeHeight="251673600" behindDoc="0" locked="0" layoutInCell="1" allowOverlap="1" wp14:anchorId="30A69DE1" wp14:editId="03039124">
                <wp:simplePos x="0" y="0"/>
                <wp:positionH relativeFrom="column">
                  <wp:posOffset>5122559</wp:posOffset>
                </wp:positionH>
                <wp:positionV relativeFrom="paragraph">
                  <wp:posOffset>216270</wp:posOffset>
                </wp:positionV>
                <wp:extent cx="946150" cy="499110"/>
                <wp:effectExtent l="0" t="0" r="25400" b="15240"/>
                <wp:wrapNone/>
                <wp:docPr id="9" name="Rounded Rectangle 9"/>
                <wp:cNvGraphicFramePr/>
                <a:graphic xmlns:a="http://schemas.openxmlformats.org/drawingml/2006/main">
                  <a:graphicData uri="http://schemas.microsoft.com/office/word/2010/wordprocessingShape">
                    <wps:wsp>
                      <wps:cNvSpPr/>
                      <wps:spPr>
                        <a:xfrm>
                          <a:off x="0" y="0"/>
                          <a:ext cx="946150" cy="499110"/>
                        </a:xfrm>
                        <a:prstGeom prst="roundRec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BC28D1" w14:textId="5816FD24" w:rsidR="00686B66" w:rsidRPr="00F508F4" w:rsidRDefault="0094312A" w:rsidP="00F508F4">
                            <w:pPr>
                              <w:jc w:val="center"/>
                              <w:rPr>
                                <w:sz w:val="18"/>
                                <w:szCs w:val="18"/>
                              </w:rPr>
                            </w:pPr>
                            <w:r>
                              <w:rPr>
                                <w:sz w:val="18"/>
                                <w:szCs w:val="18"/>
                              </w:rPr>
                              <w:t xml:space="preserve">(Fossil) </w:t>
                            </w:r>
                            <w:r w:rsidR="00686B66">
                              <w:rPr>
                                <w:sz w:val="18"/>
                                <w:szCs w:val="18"/>
                              </w:rPr>
                              <w:t>Natural Gas with CCS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28" style="position:absolute;left:0;text-align:left;margin-left:403.35pt;margin-top:17.05pt;width:74.5pt;height:3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" fillcolor="#4f81bd [3204]" strokecolor="#243f60 [1604]" strokeweight="2pt">
                <v:textbox>
                  <w:txbxContent>
                    <w:p w14:paraId="59BC28D1" w14:textId="5816FD24" w:rsidR="00686B66" w:rsidRPr="00F508F4" w:rsidRDefault="0094312A" w:rsidP="00F508F4">
                      <w:pPr>
                        <w:jc w:val="center"/>
                        <w:rPr>
                          <w:sz w:val="18"/>
                          <w:szCs w:val="18"/>
                        </w:rPr>
                      </w:pPr>
                      <w:r>
                        <w:rPr>
                          <w:sz w:val="18"/>
                          <w:szCs w:val="18"/>
                        </w:rPr>
                        <w:t xml:space="preserve">(Fossil) </w:t>
                      </w:r>
                      <w:r w:rsidR="00686B66">
                        <w:rPr>
                          <w:sz w:val="18"/>
                          <w:szCs w:val="18"/>
                        </w:rPr>
                        <w:t>Natural Gas with CCS</w:t>
                      </w:r>
                    </w:p>
                  </w:txbxContent>
                </v:textbox>
              </v:roundrect>
            </w:pict>
          </mc:Fallback>
        </mc:AlternateContent>
      </w:r>
      <w:r w:rsidR="00F508F4">
        <w:rPr>
          <w:noProof/>
          <w:lang w:eastAsia="en-GB"/>
        </w:rPr>
        <mc:AlternateContent>
          <mc:Choice Requires="wps">
            <w:drawing>
              <wp:anchor distT="0" distB="0" distL="114300" distR="114300" simplePos="0" relativeHeight="251671552" behindDoc="0" locked="0" layoutInCell="1" allowOverlap="1" wp14:anchorId="3AE3C1BC" wp14:editId="4E8C10DB">
                <wp:simplePos x="0" y="0"/>
                <wp:positionH relativeFrom="column">
                  <wp:posOffset>4098777</wp:posOffset>
                </wp:positionH>
                <wp:positionV relativeFrom="paragraph">
                  <wp:posOffset>213257</wp:posOffset>
                </wp:positionV>
                <wp:extent cx="946150" cy="499110"/>
                <wp:effectExtent l="0" t="0" r="25400" b="15240"/>
                <wp:wrapNone/>
                <wp:docPr id="8" name="Rounded Rectangle 8"/>
                <wp:cNvGraphicFramePr/>
                <a:graphic xmlns:a="http://schemas.openxmlformats.org/drawingml/2006/main">
                  <a:graphicData uri="http://schemas.microsoft.com/office/word/2010/wordprocessingShape">
                    <wps:wsp>
                      <wps:cNvSpPr/>
                      <wps:spPr>
                        <a:xfrm>
                          <a:off x="0" y="0"/>
                          <a:ext cx="946150" cy="499110"/>
                        </a:xfrm>
                        <a:prstGeom prst="roundRec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9883D0" w14:textId="77777777" w:rsidR="00686B66" w:rsidRPr="00F508F4" w:rsidRDefault="00686B66" w:rsidP="00F508F4">
                            <w:pPr>
                              <w:jc w:val="center"/>
                              <w:rPr>
                                <w:sz w:val="18"/>
                                <w:szCs w:val="18"/>
                              </w:rPr>
                            </w:pPr>
                            <w:r>
                              <w:rPr>
                                <w:sz w:val="18"/>
                                <w:szCs w:val="18"/>
                              </w:rPr>
                              <w:t>Low-carbon Hydrogen***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9" style="position:absolute;left:0;text-align:left;margin-left:322.75pt;margin-top:16.8pt;width:74.5pt;height:3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" fillcolor="#4f81bd [3204]" strokecolor="#243f60 [1604]" strokeweight="2pt">
                <v:textbox>
                  <w:txbxContent>
                    <w:p w14:paraId="429883D0" w14:textId="77777777" w:rsidR="00686B66" w:rsidRPr="00F508F4" w:rsidRDefault="00686B66" w:rsidP="00F508F4">
                      <w:pPr>
                        <w:jc w:val="center"/>
                        <w:rPr>
                          <w:sz w:val="18"/>
                          <w:szCs w:val="18"/>
                        </w:rPr>
                      </w:pPr>
                      <w:r>
                        <w:rPr>
                          <w:sz w:val="18"/>
                          <w:szCs w:val="18"/>
                        </w:rPr>
                        <w:t>Low-carbon Hydrogen***</w:t>
                      </w:r>
                    </w:p>
                  </w:txbxContent>
                </v:textbox>
              </v:roundrect>
            </w:pict>
          </mc:Fallback>
        </mc:AlternateContent>
      </w:r>
      <w:r w:rsidR="00F508F4">
        <w:rPr>
          <w:noProof/>
          <w:lang w:eastAsia="en-GB"/>
        </w:rPr>
        <mc:AlternateContent>
          <mc:Choice Requires="wps">
            <w:drawing>
              <wp:anchor distT="0" distB="0" distL="114300" distR="114300" simplePos="0" relativeHeight="251669504" behindDoc="0" locked="0" layoutInCell="1" allowOverlap="1" wp14:anchorId="6E6F7DF1" wp14:editId="463F8554">
                <wp:simplePos x="0" y="0"/>
                <wp:positionH relativeFrom="column">
                  <wp:posOffset>3063875</wp:posOffset>
                </wp:positionH>
                <wp:positionV relativeFrom="paragraph">
                  <wp:posOffset>220345</wp:posOffset>
                </wp:positionV>
                <wp:extent cx="946150" cy="499110"/>
                <wp:effectExtent l="0" t="0" r="25400" b="15240"/>
                <wp:wrapNone/>
                <wp:docPr id="7" name="Rounded Rectangle 7"/>
                <wp:cNvGraphicFramePr/>
                <a:graphic xmlns:a="http://schemas.openxmlformats.org/drawingml/2006/main">
                  <a:graphicData uri="http://schemas.microsoft.com/office/word/2010/wordprocessingShape">
                    <wps:wsp>
                      <wps:cNvSpPr/>
                      <wps:spPr>
                        <a:xfrm>
                          <a:off x="0" y="0"/>
                          <a:ext cx="946150" cy="499110"/>
                        </a:xfrm>
                        <a:prstGeom prst="roundRec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312E63" w14:textId="77777777" w:rsidR="00686B66" w:rsidRPr="00F508F4" w:rsidRDefault="00686B66" w:rsidP="00F508F4">
                            <w:pPr>
                              <w:jc w:val="center"/>
                              <w:rPr>
                                <w:sz w:val="18"/>
                                <w:szCs w:val="18"/>
                              </w:rPr>
                            </w:pPr>
                            <w:r>
                              <w:rPr>
                                <w:sz w:val="18"/>
                                <w:szCs w:val="18"/>
                              </w:rPr>
                              <w:t>Synthetic methane**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0" style="position:absolute;left:0;text-align:left;margin-left:241.25pt;margin-top:17.35pt;width:74.5pt;height:3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" fillcolor="#4f81bd [3204]" strokecolor="#243f60 [1604]" strokeweight="2pt">
                <v:textbox>
                  <w:txbxContent>
                    <w:p w14:paraId="22312E63" w14:textId="77777777" w:rsidR="00686B66" w:rsidRPr="00F508F4" w:rsidRDefault="00686B66" w:rsidP="00F508F4">
                      <w:pPr>
                        <w:jc w:val="center"/>
                        <w:rPr>
                          <w:sz w:val="18"/>
                          <w:szCs w:val="18"/>
                        </w:rPr>
                      </w:pPr>
                      <w:r>
                        <w:rPr>
                          <w:sz w:val="18"/>
                          <w:szCs w:val="18"/>
                        </w:rPr>
                        <w:t>Synthetic methane**</w:t>
                      </w:r>
                    </w:p>
                  </w:txbxContent>
                </v:textbox>
              </v:roundrect>
            </w:pict>
          </mc:Fallback>
        </mc:AlternateContent>
      </w:r>
      <w:r w:rsidR="00F508F4">
        <w:rPr>
          <w:noProof/>
          <w:lang w:eastAsia="en-GB"/>
        </w:rPr>
        <mc:AlternateContent>
          <mc:Choice Requires="wps">
            <w:drawing>
              <wp:anchor distT="0" distB="0" distL="114300" distR="114300" simplePos="0" relativeHeight="251667456" behindDoc="0" locked="0" layoutInCell="1" allowOverlap="1" wp14:anchorId="0DEACE3F" wp14:editId="03F6FB7E">
                <wp:simplePos x="0" y="0"/>
                <wp:positionH relativeFrom="column">
                  <wp:posOffset>1929765</wp:posOffset>
                </wp:positionH>
                <wp:positionV relativeFrom="paragraph">
                  <wp:posOffset>213360</wp:posOffset>
                </wp:positionV>
                <wp:extent cx="1073785" cy="499110"/>
                <wp:effectExtent l="0" t="0" r="12065" b="15240"/>
                <wp:wrapNone/>
                <wp:docPr id="6" name="Rounded Rectangle 6"/>
                <wp:cNvGraphicFramePr/>
                <a:graphic xmlns:a="http://schemas.openxmlformats.org/drawingml/2006/main">
                  <a:graphicData uri="http://schemas.microsoft.com/office/word/2010/wordprocessingShape">
                    <wps:wsp>
                      <wps:cNvSpPr/>
                      <wps:spPr>
                        <a:xfrm>
                          <a:off x="0" y="0"/>
                          <a:ext cx="1073785" cy="499110"/>
                        </a:xfrm>
                        <a:prstGeom prst="roundRec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639F97" w14:textId="77777777" w:rsidR="00686B66" w:rsidRPr="00F508F4" w:rsidRDefault="00686B66" w:rsidP="00F508F4">
                            <w:pPr>
                              <w:jc w:val="center"/>
                              <w:rPr>
                                <w:sz w:val="18"/>
                                <w:szCs w:val="18"/>
                              </w:rPr>
                            </w:pPr>
                            <w:r w:rsidRPr="00F508F4">
                              <w:rPr>
                                <w:sz w:val="18"/>
                                <w:szCs w:val="18"/>
                              </w:rPr>
                              <w:t>Renewable hydrogen</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1" style="position:absolute;left:0;text-align:left;margin-left:151.95pt;margin-top:16.8pt;width:84.55pt;height:3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" fillcolor="#4f81bd [3204]" strokecolor="#243f60 [1604]" strokeweight="2pt">
                <v:textbox>
                  <w:txbxContent>
                    <w:p w14:paraId="04639F97" w14:textId="77777777" w:rsidR="00686B66" w:rsidRPr="00F508F4" w:rsidRDefault="00686B66" w:rsidP="00F508F4">
                      <w:pPr>
                        <w:jc w:val="center"/>
                        <w:rPr>
                          <w:sz w:val="18"/>
                          <w:szCs w:val="18"/>
                        </w:rPr>
                      </w:pPr>
                      <w:r w:rsidRPr="00F508F4">
                        <w:rPr>
                          <w:sz w:val="18"/>
                          <w:szCs w:val="18"/>
                        </w:rPr>
                        <w:t>Renewable hydrogen</w:t>
                      </w:r>
                      <w:r>
                        <w:rPr>
                          <w:sz w:val="18"/>
                          <w:szCs w:val="18"/>
                        </w:rPr>
                        <w:t>*</w:t>
                      </w:r>
                    </w:p>
                  </w:txbxContent>
                </v:textbox>
              </v:roundrect>
            </w:pict>
          </mc:Fallback>
        </mc:AlternateContent>
      </w:r>
      <w:r w:rsidR="00F508F4">
        <w:rPr>
          <w:noProof/>
          <w:lang w:eastAsia="en-GB"/>
        </w:rPr>
        <mc:AlternateContent>
          <mc:Choice Requires="wps">
            <w:drawing>
              <wp:anchor distT="0" distB="0" distL="114300" distR="114300" simplePos="0" relativeHeight="251665408" behindDoc="0" locked="0" layoutInCell="1" allowOverlap="1" wp14:anchorId="351AB185" wp14:editId="5C18FD40">
                <wp:simplePos x="0" y="0"/>
                <wp:positionH relativeFrom="column">
                  <wp:posOffset>913765</wp:posOffset>
                </wp:positionH>
                <wp:positionV relativeFrom="paragraph">
                  <wp:posOffset>217805</wp:posOffset>
                </wp:positionV>
                <wp:extent cx="946150" cy="499110"/>
                <wp:effectExtent l="0" t="0" r="25400" b="15240"/>
                <wp:wrapNone/>
                <wp:docPr id="5" name="Rounded Rectangle 5"/>
                <wp:cNvGraphicFramePr/>
                <a:graphic xmlns:a="http://schemas.openxmlformats.org/drawingml/2006/main">
                  <a:graphicData uri="http://schemas.microsoft.com/office/word/2010/wordprocessingShape">
                    <wps:wsp>
                      <wps:cNvSpPr/>
                      <wps:spPr>
                        <a:xfrm>
                          <a:off x="0" y="0"/>
                          <a:ext cx="946150" cy="499110"/>
                        </a:xfrm>
                        <a:prstGeom prst="roundRec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6CC74B" w14:textId="77777777" w:rsidR="00686B66" w:rsidRPr="00F508F4" w:rsidRDefault="00686B66" w:rsidP="00F508F4">
                            <w:pPr>
                              <w:jc w:val="center"/>
                              <w:rPr>
                                <w:sz w:val="18"/>
                                <w:szCs w:val="18"/>
                              </w:rPr>
                            </w:pPr>
                            <w:r w:rsidRPr="00F508F4">
                              <w:rPr>
                                <w:sz w:val="18"/>
                                <w:szCs w:val="18"/>
                              </w:rPr>
                              <w:t>Thermal Biomethane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2" style="position:absolute;left:0;text-align:left;margin-left:71.95pt;margin-top:17.15pt;width:74.5pt;height:3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" fillcolor="#4f81bd [3204]" strokecolor="#243f60 [1604]" strokeweight="2pt">
                <v:textbox>
                  <w:txbxContent>
                    <w:p w14:paraId="526CC74B" w14:textId="77777777" w:rsidR="00686B66" w:rsidRPr="00F508F4" w:rsidRDefault="00686B66" w:rsidP="00F508F4">
                      <w:pPr>
                        <w:jc w:val="center"/>
                        <w:rPr>
                          <w:sz w:val="18"/>
                          <w:szCs w:val="18"/>
                        </w:rPr>
                      </w:pPr>
                      <w:r w:rsidRPr="00F508F4">
                        <w:rPr>
                          <w:sz w:val="18"/>
                          <w:szCs w:val="18"/>
                        </w:rPr>
                        <w:t>Thermal Biomethane</w:t>
                      </w:r>
                    </w:p>
                  </w:txbxContent>
                </v:textbox>
              </v:roundrect>
            </w:pict>
          </mc:Fallback>
        </mc:AlternateContent>
      </w:r>
      <w:r w:rsidR="00F508F4">
        <w:rPr>
          <w:noProof/>
          <w:lang w:eastAsia="en-GB"/>
        </w:rPr>
        <mc:AlternateContent>
          <mc:Choice Requires="wps">
            <w:drawing>
              <wp:anchor distT="0" distB="0" distL="114300" distR="114300" simplePos="0" relativeHeight="251663360" behindDoc="0" locked="0" layoutInCell="1" allowOverlap="1" wp14:anchorId="45B87A75" wp14:editId="513EBE28">
                <wp:simplePos x="0" y="0"/>
                <wp:positionH relativeFrom="column">
                  <wp:posOffset>-138430</wp:posOffset>
                </wp:positionH>
                <wp:positionV relativeFrom="paragraph">
                  <wp:posOffset>217805</wp:posOffset>
                </wp:positionV>
                <wp:extent cx="967105" cy="499110"/>
                <wp:effectExtent l="0" t="0" r="23495" b="15240"/>
                <wp:wrapNone/>
                <wp:docPr id="4" name="Rounded Rectangle 4"/>
                <wp:cNvGraphicFramePr/>
                <a:graphic xmlns:a="http://schemas.openxmlformats.org/drawingml/2006/main">
                  <a:graphicData uri="http://schemas.microsoft.com/office/word/2010/wordprocessingShape">
                    <wps:wsp>
                      <wps:cNvSpPr/>
                      <wps:spPr>
                        <a:xfrm>
                          <a:off x="0" y="0"/>
                          <a:ext cx="967105" cy="499110"/>
                        </a:xfrm>
                        <a:prstGeom prst="roundRec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8D09A1" w14:textId="77777777" w:rsidR="00686B66" w:rsidRPr="00F508F4" w:rsidRDefault="00686B66" w:rsidP="00F508F4">
                            <w:pPr>
                              <w:jc w:val="center"/>
                              <w:rPr>
                                <w:sz w:val="18"/>
                                <w:szCs w:val="18"/>
                              </w:rPr>
                            </w:pPr>
                            <w:r w:rsidRPr="00F508F4">
                              <w:rPr>
                                <w:sz w:val="18"/>
                                <w:szCs w:val="18"/>
                              </w:rPr>
                              <w:t>Biomethane from 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3" style="position:absolute;left:0;text-align:left;margin-left:-10.9pt;margin-top:17.15pt;width:76.15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" fillcolor="#4f81bd [3204]" strokecolor="#243f60 [1604]" strokeweight="2pt">
                <v:textbox>
                  <w:txbxContent>
                    <w:p w14:paraId="098D09A1" w14:textId="77777777" w:rsidR="00686B66" w:rsidRPr="00F508F4" w:rsidRDefault="00686B66" w:rsidP="00F508F4">
                      <w:pPr>
                        <w:jc w:val="center"/>
                        <w:rPr>
                          <w:sz w:val="18"/>
                          <w:szCs w:val="18"/>
                        </w:rPr>
                      </w:pPr>
                      <w:r w:rsidRPr="00F508F4">
                        <w:rPr>
                          <w:sz w:val="18"/>
                          <w:szCs w:val="18"/>
                        </w:rPr>
                        <w:t>Biomethane from AD</w:t>
                      </w:r>
                    </w:p>
                  </w:txbxContent>
                </v:textbox>
              </v:roundrect>
            </w:pict>
          </mc:Fallback>
        </mc:AlternateContent>
      </w:r>
    </w:p>
    <w:p w14:paraId="1FCDB208" w14:textId="77777777" w:rsidR="00F508F4" w:rsidRDefault="00F508F4" w:rsidP="000005B0">
      <w:pPr>
        <w:spacing w:before="120" w:after="120"/>
        <w:rPr>
          <w:lang w:val="en-US"/>
        </w:rPr>
      </w:pPr>
    </w:p>
    <w:p w14:paraId="3133A3DD" w14:textId="77777777" w:rsidR="00F508F4" w:rsidRDefault="00F508F4" w:rsidP="000005B0">
      <w:pPr>
        <w:spacing w:before="120" w:after="120"/>
        <w:rPr>
          <w:lang w:val="en-US"/>
        </w:rPr>
      </w:pPr>
    </w:p>
    <w:p w14:paraId="25222FA7" w14:textId="77777777" w:rsidR="001C5723" w:rsidRDefault="001C5723" w:rsidP="000005B0">
      <w:pPr>
        <w:spacing w:before="120" w:after="120"/>
        <w:rPr>
          <w:b/>
          <w:lang w:val="en-US"/>
        </w:rPr>
      </w:pPr>
    </w:p>
    <w:p w14:paraId="2B8ACF65" w14:textId="4B02DDC8" w:rsidR="001C5723" w:rsidRPr="005454DE" w:rsidRDefault="00323FB7" w:rsidP="000005B0">
      <w:pPr>
        <w:spacing w:before="120" w:after="120"/>
        <w:rPr>
          <w:sz w:val="18"/>
          <w:szCs w:val="18"/>
          <w:lang w:val="en-US"/>
        </w:rPr>
      </w:pPr>
      <w:r w:rsidRPr="005454DE">
        <w:rPr>
          <w:sz w:val="18"/>
          <w:szCs w:val="18"/>
          <w:lang w:val="en-US"/>
        </w:rPr>
        <w:t>*For example, hydrogen f</w:t>
      </w:r>
      <w:r w:rsidR="00DA3C03" w:rsidRPr="005454DE">
        <w:rPr>
          <w:sz w:val="18"/>
          <w:szCs w:val="18"/>
          <w:lang w:val="en-US"/>
        </w:rPr>
        <w:t xml:space="preserve">rom electrolysis from renewable electricity, or from Steam Methane Reformation of </w:t>
      </w:r>
      <w:r w:rsidRPr="005454DE">
        <w:rPr>
          <w:sz w:val="18"/>
          <w:szCs w:val="18"/>
          <w:lang w:val="en-US"/>
        </w:rPr>
        <w:t xml:space="preserve">AD-derived or thermal </w:t>
      </w:r>
      <w:r w:rsidR="00DA3C03" w:rsidRPr="005454DE">
        <w:rPr>
          <w:sz w:val="18"/>
          <w:szCs w:val="18"/>
          <w:lang w:val="en-US"/>
        </w:rPr>
        <w:t xml:space="preserve">biomethane </w:t>
      </w:r>
      <w:r w:rsidR="00BB1ED1">
        <w:rPr>
          <w:sz w:val="18"/>
          <w:szCs w:val="18"/>
          <w:lang w:val="en-US"/>
        </w:rPr>
        <w:t>(</w:t>
      </w:r>
      <w:r w:rsidR="006E395A">
        <w:rPr>
          <w:sz w:val="18"/>
          <w:szCs w:val="18"/>
          <w:lang w:val="en-US"/>
        </w:rPr>
        <w:t>from gasification</w:t>
      </w:r>
      <w:r w:rsidR="00BB1ED1">
        <w:rPr>
          <w:sz w:val="18"/>
          <w:szCs w:val="18"/>
          <w:lang w:val="en-US"/>
        </w:rPr>
        <w:t>)</w:t>
      </w:r>
      <w:r w:rsidR="006E395A">
        <w:rPr>
          <w:sz w:val="18"/>
          <w:szCs w:val="18"/>
          <w:lang w:val="en-US"/>
        </w:rPr>
        <w:t xml:space="preserve"> </w:t>
      </w:r>
    </w:p>
    <w:p w14:paraId="0743123D" w14:textId="3E4B52E2" w:rsidR="00DA3C03" w:rsidRPr="005454DE" w:rsidRDefault="00DA3C03" w:rsidP="000005B0">
      <w:pPr>
        <w:spacing w:before="120" w:after="120"/>
        <w:rPr>
          <w:sz w:val="18"/>
          <w:szCs w:val="18"/>
          <w:lang w:val="en-US"/>
        </w:rPr>
      </w:pPr>
      <w:r w:rsidRPr="005454DE">
        <w:rPr>
          <w:sz w:val="18"/>
          <w:szCs w:val="18"/>
          <w:lang w:val="en-US"/>
        </w:rPr>
        <w:t>**</w:t>
      </w:r>
      <w:r w:rsidR="006B6F9F">
        <w:rPr>
          <w:sz w:val="18"/>
          <w:szCs w:val="18"/>
          <w:lang w:val="en-US"/>
        </w:rPr>
        <w:t>S</w:t>
      </w:r>
      <w:r w:rsidR="00323FB7" w:rsidRPr="005454DE">
        <w:rPr>
          <w:sz w:val="18"/>
          <w:szCs w:val="18"/>
          <w:lang w:val="en-US"/>
        </w:rPr>
        <w:t xml:space="preserve">ynthetic methane </w:t>
      </w:r>
      <w:r w:rsidR="006B6F9F">
        <w:rPr>
          <w:sz w:val="18"/>
          <w:szCs w:val="18"/>
          <w:lang w:val="en-US"/>
        </w:rPr>
        <w:t xml:space="preserve">could be renewable or not. For example, if synthetic methane </w:t>
      </w:r>
      <w:r w:rsidR="00323FB7" w:rsidRPr="005454DE">
        <w:rPr>
          <w:sz w:val="18"/>
          <w:szCs w:val="18"/>
          <w:lang w:val="en-US"/>
        </w:rPr>
        <w:t>from in-</w:t>
      </w:r>
      <w:r w:rsidR="006B6F9F">
        <w:rPr>
          <w:sz w:val="18"/>
          <w:szCs w:val="18"/>
          <w:lang w:val="en-US"/>
        </w:rPr>
        <w:t xml:space="preserve">situ or ex-situ biomethanation and </w:t>
      </w:r>
      <w:r w:rsidR="00323FB7" w:rsidRPr="005454DE">
        <w:rPr>
          <w:sz w:val="18"/>
          <w:szCs w:val="18"/>
          <w:lang w:val="en-US"/>
        </w:rPr>
        <w:t>RES-deri</w:t>
      </w:r>
      <w:r w:rsidR="006B6F9F">
        <w:rPr>
          <w:sz w:val="18"/>
          <w:szCs w:val="18"/>
          <w:lang w:val="en-US"/>
        </w:rPr>
        <w:t>ved hydrogen would be renewable</w:t>
      </w:r>
      <w:r w:rsidR="000874E9">
        <w:rPr>
          <w:sz w:val="18"/>
          <w:szCs w:val="18"/>
          <w:lang w:val="en-US"/>
        </w:rPr>
        <w:t xml:space="preserve">. </w:t>
      </w:r>
    </w:p>
    <w:p w14:paraId="331F58A5" w14:textId="77777777" w:rsidR="00DA3C03" w:rsidRPr="005454DE" w:rsidRDefault="00323FB7" w:rsidP="000005B0">
      <w:pPr>
        <w:spacing w:before="120" w:after="120"/>
        <w:rPr>
          <w:sz w:val="18"/>
          <w:szCs w:val="18"/>
          <w:lang w:val="en-US"/>
        </w:rPr>
      </w:pPr>
      <w:r w:rsidRPr="005454DE">
        <w:rPr>
          <w:b/>
          <w:sz w:val="18"/>
          <w:szCs w:val="18"/>
          <w:lang w:val="en-US"/>
        </w:rPr>
        <w:t>***</w:t>
      </w:r>
      <w:r w:rsidR="005454DE" w:rsidRPr="005454DE">
        <w:rPr>
          <w:sz w:val="18"/>
          <w:szCs w:val="18"/>
          <w:lang w:val="en-US"/>
        </w:rPr>
        <w:t>For example, hydrogen from Steam Methane Reformation of Natural Gas combined with CCS/CCUS</w:t>
      </w:r>
    </w:p>
    <w:p w14:paraId="54988B68" w14:textId="77777777" w:rsidR="00DA3C03" w:rsidRDefault="00DA3C03" w:rsidP="000005B0">
      <w:pPr>
        <w:spacing w:before="120" w:after="120"/>
        <w:rPr>
          <w:b/>
          <w:lang w:val="en-US"/>
        </w:rPr>
      </w:pPr>
    </w:p>
    <w:p w14:paraId="7B28E9F9" w14:textId="77777777" w:rsidR="00D57E40" w:rsidRPr="00DA3C03" w:rsidRDefault="00BC19F9" w:rsidP="000005B0">
      <w:pPr>
        <w:pStyle w:val="Heading3"/>
        <w:spacing w:before="120"/>
        <w:rPr>
          <w:lang w:val="en-US"/>
        </w:rPr>
      </w:pPr>
      <w:r>
        <w:rPr>
          <w:lang w:val="en-US"/>
        </w:rPr>
        <w:t xml:space="preserve">2.2 </w:t>
      </w:r>
      <w:r w:rsidR="00D57E40" w:rsidRPr="00DA3C03">
        <w:rPr>
          <w:lang w:val="en-US"/>
        </w:rPr>
        <w:t>Obligated parties</w:t>
      </w:r>
    </w:p>
    <w:p w14:paraId="6BA4E373" w14:textId="25EB8B85" w:rsidR="00D57E40" w:rsidRPr="00C90437" w:rsidRDefault="00D57E40" w:rsidP="000005B0">
      <w:pPr>
        <w:spacing w:before="120" w:after="120"/>
        <w:rPr>
          <w:lang w:val="en-US"/>
        </w:rPr>
      </w:pPr>
      <w:r>
        <w:rPr>
          <w:lang w:val="en-US"/>
        </w:rPr>
        <w:t xml:space="preserve">We would propose that an obligation is </w:t>
      </w:r>
      <w:r w:rsidRPr="00D17A81">
        <w:rPr>
          <w:lang w:val="en-US"/>
        </w:rPr>
        <w:t>placed on licensed gas suppliers</w:t>
      </w:r>
      <w:r>
        <w:rPr>
          <w:rStyle w:val="FootnoteReference"/>
          <w:lang w:val="en-US"/>
        </w:rPr>
        <w:footnoteReference w:id="2"/>
      </w:r>
      <w:r>
        <w:rPr>
          <w:lang w:val="en-US"/>
        </w:rPr>
        <w:t xml:space="preserve">, as these are the organisations that buy and sell the gas to the domestic and non-domestic markets, and therefore </w:t>
      </w:r>
      <w:r w:rsidRPr="00C90437">
        <w:rPr>
          <w:lang w:val="en-US"/>
        </w:rPr>
        <w:t xml:space="preserve">if the </w:t>
      </w:r>
      <w:r w:rsidR="00453D9E">
        <w:rPr>
          <w:lang w:val="en-US"/>
        </w:rPr>
        <w:t xml:space="preserve">aim of the </w:t>
      </w:r>
      <w:r w:rsidRPr="00C90437">
        <w:rPr>
          <w:lang w:val="en-US"/>
        </w:rPr>
        <w:t>policy is to increase the proportion of green</w:t>
      </w:r>
      <w:r w:rsidR="004304E9">
        <w:rPr>
          <w:lang w:val="en-US"/>
        </w:rPr>
        <w:t xml:space="preserve"> and low-carbon</w:t>
      </w:r>
      <w:r w:rsidRPr="00C90437">
        <w:rPr>
          <w:lang w:val="en-US"/>
        </w:rPr>
        <w:t xml:space="preserve"> gas</w:t>
      </w:r>
      <w:r w:rsidR="004304E9">
        <w:rPr>
          <w:lang w:val="en-US"/>
        </w:rPr>
        <w:t>es</w:t>
      </w:r>
      <w:r w:rsidRPr="00C90437">
        <w:rPr>
          <w:lang w:val="en-US"/>
        </w:rPr>
        <w:t xml:space="preserve"> in the grid, an obligation on </w:t>
      </w:r>
      <w:r>
        <w:rPr>
          <w:lang w:val="en-US"/>
        </w:rPr>
        <w:t>these</w:t>
      </w:r>
      <w:r w:rsidRPr="00C90437">
        <w:rPr>
          <w:lang w:val="en-US"/>
        </w:rPr>
        <w:t xml:space="preserve"> companie</w:t>
      </w:r>
      <w:r>
        <w:rPr>
          <w:lang w:val="en-US"/>
        </w:rPr>
        <w:t xml:space="preserve">s </w:t>
      </w:r>
      <w:r w:rsidR="00A46733">
        <w:rPr>
          <w:lang w:val="en-US"/>
        </w:rPr>
        <w:t>would seem</w:t>
      </w:r>
      <w:r>
        <w:rPr>
          <w:lang w:val="en-US"/>
        </w:rPr>
        <w:t xml:space="preserve"> the logical way to do it. </w:t>
      </w:r>
      <w:r w:rsidR="006E2D5C">
        <w:rPr>
          <w:lang w:val="en-US"/>
        </w:rPr>
        <w:t>Suppliers</w:t>
      </w:r>
      <w:r w:rsidR="006E2D5C" w:rsidRPr="00C90437">
        <w:rPr>
          <w:lang w:val="en-US"/>
        </w:rPr>
        <w:t xml:space="preserve"> </w:t>
      </w:r>
      <w:r w:rsidRPr="00C90437">
        <w:rPr>
          <w:lang w:val="en-US"/>
        </w:rPr>
        <w:t xml:space="preserve">would have the </w:t>
      </w:r>
      <w:r w:rsidR="006E2D5C">
        <w:rPr>
          <w:lang w:val="en-US"/>
        </w:rPr>
        <w:t>obligation</w:t>
      </w:r>
      <w:r w:rsidR="006E2D5C" w:rsidRPr="00C90437">
        <w:rPr>
          <w:lang w:val="en-US"/>
        </w:rPr>
        <w:t xml:space="preserve"> </w:t>
      </w:r>
      <w:r w:rsidRPr="00C90437">
        <w:rPr>
          <w:lang w:val="en-US"/>
        </w:rPr>
        <w:t>to buy gas from green</w:t>
      </w:r>
      <w:r w:rsidR="003C4C36">
        <w:rPr>
          <w:lang w:val="en-US"/>
        </w:rPr>
        <w:t>/low-carbon</w:t>
      </w:r>
      <w:r w:rsidRPr="00C90437">
        <w:rPr>
          <w:lang w:val="en-US"/>
        </w:rPr>
        <w:t xml:space="preserve"> gas producers </w:t>
      </w:r>
      <w:r w:rsidR="006E2D5C">
        <w:rPr>
          <w:lang w:val="en-US"/>
        </w:rPr>
        <w:t>via</w:t>
      </w:r>
      <w:r w:rsidRPr="00C90437">
        <w:rPr>
          <w:lang w:val="en-US"/>
        </w:rPr>
        <w:t xml:space="preserve"> gas purchase agreements, on the strength of which green</w:t>
      </w:r>
      <w:r w:rsidR="003C4C36">
        <w:rPr>
          <w:lang w:val="en-US"/>
        </w:rPr>
        <w:t>/low-carbon</w:t>
      </w:r>
      <w:r w:rsidRPr="00C90437">
        <w:rPr>
          <w:lang w:val="en-US"/>
        </w:rPr>
        <w:t xml:space="preserve"> gas project developers would be able to raise finance to build a project.</w:t>
      </w:r>
    </w:p>
    <w:p w14:paraId="2FB6A57E" w14:textId="0FDA2868" w:rsidR="00D57E40" w:rsidRPr="00C90437" w:rsidRDefault="00D57E40" w:rsidP="000005B0">
      <w:pPr>
        <w:spacing w:before="120" w:after="120"/>
        <w:rPr>
          <w:lang w:val="en-US"/>
        </w:rPr>
      </w:pPr>
      <w:r>
        <w:rPr>
          <w:lang w:val="en-US"/>
        </w:rPr>
        <w:t xml:space="preserve">An obligation on the gas distribution </w:t>
      </w:r>
      <w:r w:rsidR="006E2D5C">
        <w:rPr>
          <w:lang w:val="en-US"/>
        </w:rPr>
        <w:t xml:space="preserve">network </w:t>
      </w:r>
      <w:r>
        <w:rPr>
          <w:lang w:val="en-US"/>
        </w:rPr>
        <w:t xml:space="preserve">operators </w:t>
      </w:r>
      <w:r w:rsidR="006E2D5C">
        <w:rPr>
          <w:lang w:val="en-US"/>
        </w:rPr>
        <w:t xml:space="preserve">(GDNOs) </w:t>
      </w:r>
      <w:r>
        <w:rPr>
          <w:lang w:val="en-US"/>
        </w:rPr>
        <w:t xml:space="preserve">seems illogical, as it is not in their gift to increase </w:t>
      </w:r>
      <w:r w:rsidRPr="00C90437">
        <w:rPr>
          <w:lang w:val="en-US"/>
        </w:rPr>
        <w:t>the renewable</w:t>
      </w:r>
      <w:r w:rsidR="003C4C36">
        <w:rPr>
          <w:lang w:val="en-US"/>
        </w:rPr>
        <w:t>/low-carbon</w:t>
      </w:r>
      <w:r w:rsidRPr="00C90437">
        <w:rPr>
          <w:lang w:val="en-US"/>
        </w:rPr>
        <w:t xml:space="preserve"> proportion of gas in the network up to any particular level.</w:t>
      </w:r>
      <w:r>
        <w:rPr>
          <w:lang w:val="en-US"/>
        </w:rPr>
        <w:t xml:space="preserve"> They only distribute the gas, they </w:t>
      </w:r>
      <w:r w:rsidRPr="00C90437">
        <w:rPr>
          <w:lang w:val="en-US"/>
        </w:rPr>
        <w:t>can respond to requests to inject green</w:t>
      </w:r>
      <w:r w:rsidR="003C4C36">
        <w:rPr>
          <w:lang w:val="en-US"/>
        </w:rPr>
        <w:t>/low-carbon</w:t>
      </w:r>
      <w:r w:rsidRPr="00C90437">
        <w:rPr>
          <w:lang w:val="en-US"/>
        </w:rPr>
        <w:t xml:space="preserve"> gas, but they don’t own the gas, they don’t procure it themselves, and if they started </w:t>
      </w:r>
      <w:r>
        <w:rPr>
          <w:lang w:val="en-US"/>
        </w:rPr>
        <w:t xml:space="preserve">to do this </w:t>
      </w:r>
      <w:r w:rsidRPr="00C90437">
        <w:rPr>
          <w:lang w:val="en-US"/>
        </w:rPr>
        <w:t>they would be in breach of their licenses.</w:t>
      </w:r>
    </w:p>
    <w:p w14:paraId="6611D7E5" w14:textId="68EF9D47" w:rsidR="00D57E40" w:rsidRDefault="006E63EA" w:rsidP="006E63EA">
      <w:pPr>
        <w:pStyle w:val="CommentText"/>
        <w:spacing w:before="120" w:after="120"/>
        <w:rPr>
          <w:sz w:val="22"/>
          <w:szCs w:val="24"/>
          <w:lang w:val="en-US"/>
        </w:rPr>
      </w:pPr>
      <w:r>
        <w:rPr>
          <w:sz w:val="22"/>
          <w:szCs w:val="24"/>
          <w:lang w:val="en-US"/>
        </w:rPr>
        <w:t>[W</w:t>
      </w:r>
      <w:r w:rsidR="006A5421" w:rsidRPr="006A5421">
        <w:rPr>
          <w:sz w:val="22"/>
          <w:szCs w:val="24"/>
          <w:lang w:val="en-US"/>
        </w:rPr>
        <w:t>e may need to justify how we think the market is going</w:t>
      </w:r>
      <w:r w:rsidR="006A5421">
        <w:rPr>
          <w:sz w:val="22"/>
          <w:szCs w:val="24"/>
          <w:lang w:val="en-US"/>
        </w:rPr>
        <w:t xml:space="preserve"> to be</w:t>
      </w:r>
      <w:r w:rsidR="006A5421" w:rsidRPr="006A5421">
        <w:rPr>
          <w:sz w:val="22"/>
          <w:szCs w:val="24"/>
          <w:lang w:val="en-US"/>
        </w:rPr>
        <w:t xml:space="preserve"> competitive given that</w:t>
      </w:r>
      <w:r w:rsidR="006A5421">
        <w:rPr>
          <w:sz w:val="22"/>
          <w:szCs w:val="24"/>
          <w:lang w:val="en-US"/>
        </w:rPr>
        <w:t xml:space="preserve"> there is one particular gas supplier that has most of the shares – esp</w:t>
      </w:r>
      <w:r>
        <w:rPr>
          <w:sz w:val="22"/>
          <w:szCs w:val="24"/>
          <w:lang w:val="en-US"/>
        </w:rPr>
        <w:t>ecially in the domestic market.]</w:t>
      </w:r>
    </w:p>
    <w:p w14:paraId="08FB94F5" w14:textId="175E2325" w:rsidR="006E63EA" w:rsidRDefault="006E63EA" w:rsidP="006E63EA">
      <w:pPr>
        <w:pStyle w:val="CommentText"/>
        <w:spacing w:before="120" w:after="120"/>
        <w:rPr>
          <w:b/>
        </w:rPr>
      </w:pPr>
    </w:p>
    <w:p w14:paraId="55944C66" w14:textId="77777777" w:rsidR="00D57E40" w:rsidRPr="00DF0A7D" w:rsidRDefault="00D57E40" w:rsidP="000005B0">
      <w:pPr>
        <w:pStyle w:val="Heading3"/>
        <w:spacing w:before="120"/>
      </w:pPr>
      <w:r>
        <w:t xml:space="preserve">2.3 </w:t>
      </w:r>
      <w:r w:rsidRPr="00DF0A7D">
        <w:t xml:space="preserve">Obligation: volume-based or carbon intensity-based? </w:t>
      </w:r>
    </w:p>
    <w:p w14:paraId="3543C796" w14:textId="17D76811" w:rsidR="00D57E40" w:rsidRDefault="003C4C36" w:rsidP="000005B0">
      <w:pPr>
        <w:spacing w:before="120" w:after="120"/>
      </w:pPr>
      <w:r>
        <w:rPr>
          <w:lang w:val="en-US"/>
        </w:rPr>
        <w:t>In our original proposals, we suggested that gas suppliers could</w:t>
      </w:r>
      <w:r w:rsidR="00D57E40">
        <w:rPr>
          <w:lang w:val="en-US"/>
        </w:rPr>
        <w:t xml:space="preserve"> be mandated to </w:t>
      </w:r>
      <w:r w:rsidR="00D57E40" w:rsidRPr="00D17A81">
        <w:rPr>
          <w:lang w:val="en-US"/>
        </w:rPr>
        <w:t xml:space="preserve">source an </w:t>
      </w:r>
      <w:r w:rsidR="00D57E40">
        <w:rPr>
          <w:lang w:val="en-US"/>
        </w:rPr>
        <w:t xml:space="preserve">annually </w:t>
      </w:r>
      <w:r w:rsidR="00D57E40" w:rsidRPr="00D17A81">
        <w:rPr>
          <w:lang w:val="en-US"/>
        </w:rPr>
        <w:t>increasing proportion of the gas they supply from renewable sources.</w:t>
      </w:r>
      <w:r w:rsidR="00D57E40">
        <w:rPr>
          <w:lang w:val="en-US"/>
        </w:rPr>
        <w:t xml:space="preserve"> </w:t>
      </w:r>
      <w:r w:rsidR="00452BBC">
        <w:rPr>
          <w:lang w:val="en-US"/>
        </w:rPr>
        <w:t xml:space="preserve">We said the </w:t>
      </w:r>
      <w:r w:rsidR="00D57E40">
        <w:t xml:space="preserve">Obligation could start out as a number of certificates required per volume or MWh of gas supplied. </w:t>
      </w:r>
      <w:r w:rsidR="00D57E40" w:rsidRPr="008916DA">
        <w:t xml:space="preserve">Each supplier’s obligation </w:t>
      </w:r>
      <w:r w:rsidR="00D57E40">
        <w:t>would be</w:t>
      </w:r>
      <w:r w:rsidR="00D57E40" w:rsidRPr="008916DA">
        <w:t xml:space="preserve"> calculated by multiplying their total annual </w:t>
      </w:r>
      <w:r w:rsidR="00D57E40">
        <w:t xml:space="preserve">gas </w:t>
      </w:r>
      <w:r w:rsidR="00D57E40" w:rsidRPr="008916DA">
        <w:t>supply to customers in the UK by the level of the obligation (</w:t>
      </w:r>
      <w:r w:rsidR="00D57E40">
        <w:t>number of certificates per volume or MWh of gas supplied)</w:t>
      </w:r>
      <w:r w:rsidR="00BD0FF3">
        <w:t xml:space="preserve">, along the lines of the Renewable Obligation. </w:t>
      </w:r>
      <w:r w:rsidR="00D57E40">
        <w:t xml:space="preserve"> </w:t>
      </w:r>
    </w:p>
    <w:p w14:paraId="044C99DE" w14:textId="4C8378E6" w:rsidR="00D57E40" w:rsidRDefault="00D57E40" w:rsidP="000005B0">
      <w:pPr>
        <w:spacing w:before="120" w:after="120"/>
        <w:rPr>
          <w:lang w:val="en-US"/>
        </w:rPr>
      </w:pPr>
      <w:r>
        <w:rPr>
          <w:lang w:val="en-US"/>
        </w:rPr>
        <w:lastRenderedPageBreak/>
        <w:t>However, more recent discussions and the</w:t>
      </w:r>
      <w:r w:rsidR="00BD0FF3">
        <w:rPr>
          <w:lang w:val="en-US"/>
        </w:rPr>
        <w:t xml:space="preserve"> [draft]</w:t>
      </w:r>
      <w:r>
        <w:rPr>
          <w:lang w:val="en-US"/>
        </w:rPr>
        <w:t xml:space="preserve"> recommendations </w:t>
      </w:r>
      <w:r w:rsidR="00A34F43">
        <w:rPr>
          <w:lang w:val="en-US"/>
        </w:rPr>
        <w:t>being highlighted by</w:t>
      </w:r>
      <w:r>
        <w:rPr>
          <w:lang w:val="en-US"/>
        </w:rPr>
        <w:t xml:space="preserve"> the REA Bioenergy Strategy </w:t>
      </w:r>
      <w:r w:rsidR="00A34F43">
        <w:rPr>
          <w:lang w:val="en-US"/>
        </w:rPr>
        <w:t>work</w:t>
      </w:r>
      <w:r>
        <w:rPr>
          <w:lang w:val="en-US"/>
        </w:rPr>
        <w:t xml:space="preserve"> show that there would be merit in setting an obligation based on the carbon intensity of the gases, as opposed to one based on volumes. This could be an obligation on gas suppliers to reduce the average carbon intensity of the fuels they supply </w:t>
      </w:r>
      <w:proofErr w:type="spellStart"/>
      <w:r>
        <w:rPr>
          <w:lang w:val="en-US"/>
        </w:rPr>
        <w:t>ie</w:t>
      </w:r>
      <w:proofErr w:type="spellEnd"/>
      <w:r>
        <w:rPr>
          <w:lang w:val="en-US"/>
        </w:rPr>
        <w:t xml:space="preserve"> g</w:t>
      </w:r>
      <w:r w:rsidRPr="007D2386">
        <w:rPr>
          <w:lang w:val="en-US"/>
        </w:rPr>
        <w:t xml:space="preserve">as suppliers would have to report the life-cycle greenhouse gas emissions of the </w:t>
      </w:r>
      <w:r>
        <w:rPr>
          <w:lang w:val="en-US"/>
        </w:rPr>
        <w:t>gas</w:t>
      </w:r>
      <w:r w:rsidRPr="007D2386">
        <w:rPr>
          <w:lang w:val="en-US"/>
        </w:rPr>
        <w:t xml:space="preserve"> that they supply</w:t>
      </w:r>
      <w:r>
        <w:rPr>
          <w:lang w:val="en-US"/>
        </w:rPr>
        <w:t xml:space="preserve"> and </w:t>
      </w:r>
      <w:r w:rsidRPr="007D2386">
        <w:rPr>
          <w:lang w:val="en-US"/>
        </w:rPr>
        <w:t xml:space="preserve">gradually reduce </w:t>
      </w:r>
      <w:r>
        <w:rPr>
          <w:lang w:val="en-US"/>
        </w:rPr>
        <w:t>these</w:t>
      </w:r>
      <w:r w:rsidRPr="007D2386">
        <w:rPr>
          <w:lang w:val="en-US"/>
        </w:rPr>
        <w:t xml:space="preserve"> emissions by up to </w:t>
      </w:r>
      <w:r>
        <w:rPr>
          <w:lang w:val="en-US"/>
        </w:rPr>
        <w:t>x % per unit of energy supplied, i</w:t>
      </w:r>
      <w:r w:rsidR="00A57912">
        <w:rPr>
          <w:lang w:val="en-US"/>
        </w:rPr>
        <w:t xml:space="preserve">n a similar way to the approach </w:t>
      </w:r>
      <w:r>
        <w:rPr>
          <w:lang w:val="en-US"/>
        </w:rPr>
        <w:t xml:space="preserve">adopted within the </w:t>
      </w:r>
      <w:hyperlink r:id="rId15" w:history="1">
        <w:r w:rsidRPr="004C424D">
          <w:rPr>
            <w:rStyle w:val="Hyperlink"/>
            <w:lang w:val="en-US"/>
          </w:rPr>
          <w:t>Fuel Quality Directive</w:t>
        </w:r>
      </w:hyperlink>
      <w:r w:rsidR="004D49AB">
        <w:rPr>
          <w:lang w:val="en-US"/>
        </w:rPr>
        <w:t xml:space="preserve">. Unlike the directive though, </w:t>
      </w:r>
      <w:r w:rsidR="008003EA">
        <w:rPr>
          <w:lang w:val="en-US"/>
        </w:rPr>
        <w:t>it is crucial that binding targets are set to require gas suppliers to source increasing proportion of renewable/low-carbon gases over a period of time.</w:t>
      </w:r>
      <w:r w:rsidR="004D49AB">
        <w:rPr>
          <w:lang w:val="en-US"/>
        </w:rPr>
        <w:t xml:space="preserve"> [</w:t>
      </w:r>
      <w:r w:rsidR="008003EA">
        <w:rPr>
          <w:lang w:val="en-US"/>
        </w:rPr>
        <w:t xml:space="preserve">The lack of binding targets in the </w:t>
      </w:r>
      <w:r w:rsidR="002C4617">
        <w:rPr>
          <w:lang w:val="en-US"/>
        </w:rPr>
        <w:t xml:space="preserve">Fuel Quality </w:t>
      </w:r>
      <w:r w:rsidR="008003EA">
        <w:rPr>
          <w:lang w:val="en-US"/>
        </w:rPr>
        <w:t xml:space="preserve">Directive means that fuel suppliers are encouraged to </w:t>
      </w:r>
      <w:r w:rsidR="00F35221">
        <w:rPr>
          <w:lang w:val="en-US"/>
        </w:rPr>
        <w:t>blend low-carbon fuels in the last year for the purpose of meeting their target, instead of doing it gradually over a period of time</w:t>
      </w:r>
      <w:r w:rsidR="004D49AB">
        <w:rPr>
          <w:lang w:val="en-US"/>
        </w:rPr>
        <w:t>.]</w:t>
      </w:r>
    </w:p>
    <w:p w14:paraId="09B77AFF" w14:textId="77777777" w:rsidR="00D57E40" w:rsidRPr="00C41D33" w:rsidRDefault="00D57E40" w:rsidP="000005B0">
      <w:pPr>
        <w:spacing w:before="120" w:after="120"/>
        <w:rPr>
          <w:b/>
          <w:lang w:val="en-US"/>
        </w:rPr>
      </w:pPr>
      <w:r w:rsidRPr="00C41D33">
        <w:rPr>
          <w:b/>
          <w:lang w:val="en-US"/>
        </w:rPr>
        <w:t xml:space="preserve">This </w:t>
      </w:r>
      <w:r w:rsidR="009D46A4" w:rsidRPr="00C41D33">
        <w:rPr>
          <w:b/>
          <w:lang w:val="en-US"/>
        </w:rPr>
        <w:t xml:space="preserve">approach </w:t>
      </w:r>
      <w:r w:rsidRPr="00C41D33">
        <w:rPr>
          <w:b/>
          <w:lang w:val="en-US"/>
        </w:rPr>
        <w:t>would incentivise a reduction of carbon emissions associated with the gases injected in the gas grid, and would encourage the production of new gases with better carbon emission performance. We welcome members</w:t>
      </w:r>
      <w:r w:rsidRPr="00C41D33">
        <w:rPr>
          <w:rFonts w:hint="eastAsia"/>
          <w:b/>
          <w:lang w:val="en-US"/>
        </w:rPr>
        <w:t>’</w:t>
      </w:r>
      <w:r w:rsidRPr="00C41D33">
        <w:rPr>
          <w:b/>
          <w:lang w:val="en-US"/>
        </w:rPr>
        <w:t xml:space="preserve"> views on this suggestion. </w:t>
      </w:r>
    </w:p>
    <w:p w14:paraId="5EF63598" w14:textId="77777777" w:rsidR="00A34F43" w:rsidRDefault="00A34F43" w:rsidP="000005B0">
      <w:pPr>
        <w:spacing w:before="120" w:after="120"/>
        <w:rPr>
          <w:lang w:val="en-US"/>
        </w:rPr>
      </w:pPr>
    </w:p>
    <w:p w14:paraId="2672E176" w14:textId="6264B012" w:rsidR="00A34F43" w:rsidRPr="00474F89" w:rsidRDefault="00474F89" w:rsidP="00474F89">
      <w:pPr>
        <w:pStyle w:val="Heading3"/>
        <w:spacing w:before="120"/>
        <w:rPr>
          <w:lang w:val="en-US"/>
        </w:rPr>
      </w:pPr>
      <w:proofErr w:type="gramStart"/>
      <w:r>
        <w:rPr>
          <w:lang w:val="en-US"/>
        </w:rPr>
        <w:t xml:space="preserve">2.4 </w:t>
      </w:r>
      <w:r w:rsidR="00A34F43" w:rsidRPr="00474F89">
        <w:rPr>
          <w:lang w:val="en-US"/>
        </w:rPr>
        <w:t>‘Renewable’</w:t>
      </w:r>
      <w:r w:rsidR="003002B4" w:rsidRPr="00474F89">
        <w:rPr>
          <w:lang w:val="en-US"/>
        </w:rPr>
        <w:t xml:space="preserve"> and</w:t>
      </w:r>
      <w:r w:rsidR="00A34F43" w:rsidRPr="00474F89">
        <w:rPr>
          <w:lang w:val="en-US"/>
        </w:rPr>
        <w:t xml:space="preserve"> ‘low-carbon’ gases?</w:t>
      </w:r>
      <w:proofErr w:type="gramEnd"/>
    </w:p>
    <w:p w14:paraId="20402C28" w14:textId="4BB10106" w:rsidR="00D57E40" w:rsidRDefault="00D57E40" w:rsidP="000005B0">
      <w:pPr>
        <w:spacing w:before="120" w:after="120"/>
        <w:rPr>
          <w:lang w:val="en-US"/>
        </w:rPr>
      </w:pPr>
      <w:r>
        <w:rPr>
          <w:lang w:val="en-US"/>
        </w:rPr>
        <w:t xml:space="preserve">For the purpose of meeting </w:t>
      </w:r>
      <w:r w:rsidR="00214B78">
        <w:rPr>
          <w:lang w:val="en-US"/>
        </w:rPr>
        <w:t>a</w:t>
      </w:r>
      <w:r w:rsidR="00A34F43">
        <w:rPr>
          <w:lang w:val="en-US"/>
        </w:rPr>
        <w:t>n</w:t>
      </w:r>
      <w:r>
        <w:rPr>
          <w:lang w:val="en-US"/>
        </w:rPr>
        <w:t xml:space="preserve"> obligation </w:t>
      </w:r>
      <w:r w:rsidR="00A34F43">
        <w:rPr>
          <w:lang w:val="en-US"/>
        </w:rPr>
        <w:t xml:space="preserve">based on carbon intensity </w:t>
      </w:r>
      <w:r>
        <w:rPr>
          <w:lang w:val="en-US"/>
        </w:rPr>
        <w:t>it would</w:t>
      </w:r>
      <w:r w:rsidR="00214B78">
        <w:rPr>
          <w:lang w:val="en-US"/>
        </w:rPr>
        <w:t xml:space="preserve"> not</w:t>
      </w:r>
      <w:r>
        <w:rPr>
          <w:lang w:val="en-US"/>
        </w:rPr>
        <w:t xml:space="preserve"> matter whether a gas is entir</w:t>
      </w:r>
      <w:r w:rsidR="001E4727">
        <w:rPr>
          <w:lang w:val="en-US"/>
        </w:rPr>
        <w:t xml:space="preserve">ely ‘renewable’ or ‘low-carbon’ (unless the obligation is restricted to renewable gases). </w:t>
      </w:r>
      <w:r>
        <w:rPr>
          <w:lang w:val="en-US"/>
        </w:rPr>
        <w:t>A combination of gases with different carbon abatement profile</w:t>
      </w:r>
      <w:r w:rsidR="00214B78">
        <w:rPr>
          <w:lang w:val="en-US"/>
        </w:rPr>
        <w:t>s</w:t>
      </w:r>
      <w:r>
        <w:rPr>
          <w:lang w:val="en-US"/>
        </w:rPr>
        <w:t xml:space="preserve"> would </w:t>
      </w:r>
      <w:r w:rsidR="00A34F43">
        <w:rPr>
          <w:lang w:val="en-US"/>
        </w:rPr>
        <w:t xml:space="preserve">likely </w:t>
      </w:r>
      <w:r>
        <w:rPr>
          <w:lang w:val="en-US"/>
        </w:rPr>
        <w:t>need to be selected by the gas suppl</w:t>
      </w:r>
      <w:r w:rsidR="00A34F43">
        <w:rPr>
          <w:lang w:val="en-US"/>
        </w:rPr>
        <w:t xml:space="preserve">iers to meet their obligation. </w:t>
      </w:r>
      <w:r>
        <w:rPr>
          <w:lang w:val="en-US"/>
        </w:rPr>
        <w:t xml:space="preserve">This approach would provide a technology neutral incentive for green gas and low-carbon producers to improve their carbon emissions and stimulate investment in technologies and feedstocks with a low carbon profile. </w:t>
      </w:r>
      <w:r w:rsidR="001E4727">
        <w:rPr>
          <w:lang w:val="en-US"/>
        </w:rPr>
        <w:t>[</w:t>
      </w:r>
      <w:proofErr w:type="gramStart"/>
      <w:r w:rsidR="001E4727">
        <w:rPr>
          <w:lang w:val="en-US"/>
        </w:rPr>
        <w:t>could</w:t>
      </w:r>
      <w:proofErr w:type="gramEnd"/>
      <w:r w:rsidR="001E4727">
        <w:rPr>
          <w:lang w:val="en-US"/>
        </w:rPr>
        <w:t xml:space="preserve"> there be a risk that </w:t>
      </w:r>
      <w:r w:rsidR="001E4727">
        <w:t xml:space="preserve">they hence meet their obligation through a combination of solely purchasing low carbon gas – </w:t>
      </w:r>
      <w:proofErr w:type="spellStart"/>
      <w:r w:rsidR="001E4727">
        <w:t>ie</w:t>
      </w:r>
      <w:proofErr w:type="spellEnd"/>
      <w:r w:rsidR="001E4727">
        <w:t xml:space="preserve"> not supporting renewable gas at all?]</w:t>
      </w:r>
    </w:p>
    <w:p w14:paraId="58EACE86" w14:textId="0885D829" w:rsidR="00D57E40" w:rsidRDefault="00D57E40" w:rsidP="000005B0">
      <w:pPr>
        <w:spacing w:before="120" w:after="120"/>
        <w:rPr>
          <w:lang w:val="en-US"/>
        </w:rPr>
      </w:pPr>
      <w:r>
        <w:rPr>
          <w:lang w:val="en-US"/>
        </w:rPr>
        <w:t>The carbon intensity of biomet</w:t>
      </w:r>
      <w:r w:rsidR="00711F67">
        <w:rPr>
          <w:lang w:val="en-US"/>
        </w:rPr>
        <w:t xml:space="preserve">hane injected in the gas grid is already </w:t>
      </w:r>
      <w:r>
        <w:rPr>
          <w:lang w:val="en-US"/>
        </w:rPr>
        <w:t xml:space="preserve">recorded under the </w:t>
      </w:r>
      <w:r w:rsidR="00711F67">
        <w:rPr>
          <w:lang w:val="en-US"/>
        </w:rPr>
        <w:t xml:space="preserve">RHI Biomass Sustainability criteria. Similarly, a GHG accounting methodology aligned with the requirement of </w:t>
      </w:r>
      <w:r w:rsidR="009719C0">
        <w:rPr>
          <w:lang w:val="en-US"/>
        </w:rPr>
        <w:t>the Renewable Energy Directive (</w:t>
      </w:r>
      <w:r w:rsidR="00711F67">
        <w:rPr>
          <w:lang w:val="en-US"/>
        </w:rPr>
        <w:t>RED</w:t>
      </w:r>
      <w:r w:rsidR="009719C0">
        <w:rPr>
          <w:lang w:val="en-US"/>
        </w:rPr>
        <w:t>)</w:t>
      </w:r>
      <w:r w:rsidR="00711F67">
        <w:rPr>
          <w:lang w:val="en-US"/>
        </w:rPr>
        <w:t xml:space="preserve"> is already in place under the RTFO. </w:t>
      </w:r>
      <w:r w:rsidRPr="0036704A">
        <w:rPr>
          <w:lang w:val="en-US"/>
        </w:rPr>
        <w:t xml:space="preserve">The greenhouse gas intensity of </w:t>
      </w:r>
      <w:r>
        <w:rPr>
          <w:lang w:val="en-US"/>
        </w:rPr>
        <w:t>biomethane</w:t>
      </w:r>
      <w:r w:rsidRPr="0036704A">
        <w:rPr>
          <w:lang w:val="en-US"/>
        </w:rPr>
        <w:t xml:space="preserve"> is calculated on a life-cycle basis, covering emissions from extraction, processing and distribution. </w:t>
      </w:r>
      <w:r>
        <w:rPr>
          <w:lang w:val="en-US"/>
        </w:rPr>
        <w:t>R</w:t>
      </w:r>
      <w:r w:rsidRPr="003B4106">
        <w:rPr>
          <w:lang w:val="en-US"/>
        </w:rPr>
        <w:t xml:space="preserve">eporting of GHG emissions must be </w:t>
      </w:r>
      <w:r>
        <w:rPr>
          <w:lang w:val="en-US"/>
        </w:rPr>
        <w:t xml:space="preserve">done </w:t>
      </w:r>
      <w:r w:rsidRPr="003B4106">
        <w:rPr>
          <w:lang w:val="en-US"/>
        </w:rPr>
        <w:t xml:space="preserve">per </w:t>
      </w:r>
      <w:r>
        <w:rPr>
          <w:lang w:val="en-US"/>
        </w:rPr>
        <w:t xml:space="preserve">each </w:t>
      </w:r>
      <w:r w:rsidRPr="003B4106">
        <w:rPr>
          <w:lang w:val="en-US"/>
        </w:rPr>
        <w:t>consignment</w:t>
      </w:r>
      <w:r>
        <w:rPr>
          <w:lang w:val="en-US"/>
        </w:rPr>
        <w:t xml:space="preserve"> of biomethane produced under the Renewable Heat Incentive, so under an obligation based on the carbon intensity of the gases, this calculation would need to be reported to the licensed gas suppliers </w:t>
      </w:r>
      <w:r w:rsidR="007504CB">
        <w:rPr>
          <w:lang w:val="en-US"/>
        </w:rPr>
        <w:t>e.g.</w:t>
      </w:r>
      <w:r>
        <w:rPr>
          <w:lang w:val="en-US"/>
        </w:rPr>
        <w:t xml:space="preserve"> </w:t>
      </w:r>
      <w:r w:rsidR="007504CB">
        <w:rPr>
          <w:lang w:val="en-US"/>
        </w:rPr>
        <w:t>stated</w:t>
      </w:r>
      <w:r>
        <w:rPr>
          <w:lang w:val="en-US"/>
        </w:rPr>
        <w:t xml:space="preserve"> on the certificates that </w:t>
      </w:r>
      <w:r w:rsidR="007504CB">
        <w:rPr>
          <w:lang w:val="en-US"/>
        </w:rPr>
        <w:t>suppliers</w:t>
      </w:r>
      <w:r>
        <w:rPr>
          <w:lang w:val="en-US"/>
        </w:rPr>
        <w:t xml:space="preserve"> buy to meet their obligation. </w:t>
      </w:r>
    </w:p>
    <w:p w14:paraId="24763A33" w14:textId="77777777" w:rsidR="00D57E40" w:rsidRDefault="00D57E40" w:rsidP="000005B0">
      <w:pPr>
        <w:spacing w:before="120" w:after="120"/>
        <w:rPr>
          <w:lang w:val="en-US"/>
        </w:rPr>
      </w:pPr>
    </w:p>
    <w:p w14:paraId="66A377F0" w14:textId="77777777" w:rsidR="00452BBC" w:rsidRPr="003A493E" w:rsidRDefault="00452BBC" w:rsidP="000005B0">
      <w:pPr>
        <w:pStyle w:val="Heading3"/>
        <w:spacing w:before="120"/>
        <w:rPr>
          <w:lang w:val="en-US"/>
        </w:rPr>
      </w:pPr>
      <w:r>
        <w:rPr>
          <w:lang w:val="en-US"/>
        </w:rPr>
        <w:t xml:space="preserve">2.5 </w:t>
      </w:r>
      <w:r w:rsidRPr="003A493E">
        <w:rPr>
          <w:lang w:val="en-US"/>
        </w:rPr>
        <w:t>Buy-out price</w:t>
      </w:r>
    </w:p>
    <w:p w14:paraId="283D21FB" w14:textId="77777777" w:rsidR="00452BBC" w:rsidRDefault="00452BBC" w:rsidP="000005B0">
      <w:pPr>
        <w:spacing w:before="120" w:after="120"/>
      </w:pPr>
      <w:r>
        <w:t xml:space="preserve">The total cost of the policy would be capped by the buy-out price, which is the maximum possible cost to consumers. Gas suppliers would meet their obligation by a combination of: </w:t>
      </w:r>
    </w:p>
    <w:p w14:paraId="4C4D7452" w14:textId="7F0ECABF" w:rsidR="00452BBC" w:rsidRPr="003A493E" w:rsidRDefault="00452BBC" w:rsidP="000005B0">
      <w:pPr>
        <w:pStyle w:val="ListParagraph"/>
        <w:numPr>
          <w:ilvl w:val="0"/>
          <w:numId w:val="32"/>
        </w:numPr>
        <w:spacing w:before="120"/>
        <w:ind w:left="426" w:hanging="426"/>
        <w:contextualSpacing/>
        <w:rPr>
          <w:lang w:val="en-US"/>
        </w:rPr>
      </w:pPr>
      <w:r>
        <w:t xml:space="preserve">Presenting </w:t>
      </w:r>
      <w:r w:rsidR="00743508">
        <w:t xml:space="preserve">Renewable Gas Obligation Certificates (RGOCs) or </w:t>
      </w:r>
      <w:r w:rsidR="00DF2AC8">
        <w:t>Carbon Intensity</w:t>
      </w:r>
      <w:r>
        <w:t xml:space="preserve"> Obligation Certificates</w:t>
      </w:r>
      <w:r w:rsidR="00DF2AC8">
        <w:t xml:space="preserve"> (CIOCs)</w:t>
      </w:r>
      <w:r w:rsidR="00743508">
        <w:rPr>
          <w:rStyle w:val="FootnoteReference"/>
        </w:rPr>
        <w:footnoteReference w:id="3"/>
      </w:r>
      <w:r>
        <w:t xml:space="preserve"> bought from green/low-carbon gas produc</w:t>
      </w:r>
      <w:r w:rsidR="00743508">
        <w:t xml:space="preserve">ers </w:t>
      </w:r>
      <w:r w:rsidR="00743508">
        <w:lastRenderedPageBreak/>
        <w:t xml:space="preserve">to the scheme administrator. Existing </w:t>
      </w:r>
      <w:r w:rsidR="0012740A">
        <w:t>Guarantee of Origin</w:t>
      </w:r>
      <w:r w:rsidR="00743508">
        <w:t xml:space="preserve"> C</w:t>
      </w:r>
      <w:r w:rsidR="00594E49">
        <w:t>ertificates</w:t>
      </w:r>
      <w:r w:rsidR="0012740A">
        <w:t xml:space="preserve"> (</w:t>
      </w:r>
      <w:proofErr w:type="spellStart"/>
      <w:r w:rsidR="0012740A">
        <w:t>GoOs</w:t>
      </w:r>
      <w:proofErr w:type="spellEnd"/>
      <w:r w:rsidR="0012740A">
        <w:t>)</w:t>
      </w:r>
      <w:r w:rsidR="00594E49">
        <w:t xml:space="preserve"> issued under the Green Gas Certification Scheme already include a carbon intensity number so they could be used for this purpose and adapted if needed</w:t>
      </w:r>
    </w:p>
    <w:p w14:paraId="52745B55" w14:textId="12E00467" w:rsidR="00452BBC" w:rsidRPr="0079373E" w:rsidRDefault="00452BBC" w:rsidP="000005B0">
      <w:pPr>
        <w:pStyle w:val="ListParagraph"/>
        <w:numPr>
          <w:ilvl w:val="0"/>
          <w:numId w:val="32"/>
        </w:numPr>
        <w:spacing w:before="120"/>
        <w:ind w:left="426" w:hanging="426"/>
        <w:contextualSpacing/>
        <w:rPr>
          <w:lang w:val="en-US"/>
        </w:rPr>
      </w:pPr>
      <w:r>
        <w:t>Where suppliers do not have sufficient certificates to cover their obligation, they would pay into the buy-out fund. The proceeds of the buy-out fund could be paid back to the gas suppli</w:t>
      </w:r>
      <w:r w:rsidR="00DF2AC8">
        <w:t xml:space="preserve">ers in proportion to how many </w:t>
      </w:r>
      <w:r w:rsidR="00743508">
        <w:t>RGOCs/</w:t>
      </w:r>
      <w:r w:rsidR="00DF2AC8">
        <w:t>CI</w:t>
      </w:r>
      <w:r>
        <w:t>OCs certificates they have presented. For example, if they were to submit</w:t>
      </w:r>
      <w:r w:rsidR="00DF2AC8">
        <w:t xml:space="preserve"> 5% of the total number of </w:t>
      </w:r>
      <w:r w:rsidR="00594E49">
        <w:t>RGOCs/</w:t>
      </w:r>
      <w:r w:rsidR="00DF2AC8">
        <w:t>CIOCs</w:t>
      </w:r>
      <w:r>
        <w:t xml:space="preserve"> submitted they would receive 5% of the total funds that defaulting supply companies paid into the buy-out fund.</w:t>
      </w:r>
    </w:p>
    <w:p w14:paraId="54E0BB25" w14:textId="77777777" w:rsidR="00DF2AC8" w:rsidRDefault="00DF2AC8" w:rsidP="000005B0">
      <w:pPr>
        <w:spacing w:before="120" w:after="120"/>
        <w:rPr>
          <w:lang w:val="en-US"/>
        </w:rPr>
      </w:pPr>
      <w:r w:rsidRPr="00DF2AC8">
        <w:rPr>
          <w:lang w:val="en-US"/>
        </w:rPr>
        <w:t>For every tonne</w:t>
      </w:r>
      <w:r>
        <w:rPr>
          <w:lang w:val="en-US"/>
        </w:rPr>
        <w:t xml:space="preserve"> of</w:t>
      </w:r>
      <w:r w:rsidRPr="00DF2AC8">
        <w:rPr>
          <w:lang w:val="en-US"/>
        </w:rPr>
        <w:t xml:space="preserve"> carbon emiss</w:t>
      </w:r>
      <w:r>
        <w:rPr>
          <w:lang w:val="en-US"/>
        </w:rPr>
        <w:t xml:space="preserve">ions over their target, </w:t>
      </w:r>
      <w:r w:rsidRPr="00DF2AC8">
        <w:rPr>
          <w:lang w:val="en-US"/>
        </w:rPr>
        <w:t>gas suppliers</w:t>
      </w:r>
      <w:r>
        <w:rPr>
          <w:lang w:val="en-US"/>
        </w:rPr>
        <w:t xml:space="preserve"> would have to pay the defined</w:t>
      </w:r>
      <w:r w:rsidRPr="00DF2AC8">
        <w:rPr>
          <w:lang w:val="en-US"/>
        </w:rPr>
        <w:t xml:space="preserve"> buy-</w:t>
      </w:r>
      <w:r>
        <w:rPr>
          <w:lang w:val="en-US"/>
        </w:rPr>
        <w:t>out price</w:t>
      </w:r>
      <w:r w:rsidRPr="00DF2AC8">
        <w:rPr>
          <w:lang w:val="en-US"/>
        </w:rPr>
        <w:t>.</w:t>
      </w:r>
    </w:p>
    <w:p w14:paraId="5B67F5C3" w14:textId="77777777" w:rsidR="00E236D3" w:rsidRDefault="00E236D3" w:rsidP="00E236D3">
      <w:pPr>
        <w:spacing w:before="120" w:after="120"/>
        <w:rPr>
          <w:lang w:val="en-US"/>
        </w:rPr>
      </w:pPr>
    </w:p>
    <w:p w14:paraId="6988A3A4" w14:textId="78E2453D" w:rsidR="00E236D3" w:rsidRPr="00E1192A" w:rsidRDefault="00E236D3" w:rsidP="00E236D3">
      <w:pPr>
        <w:spacing w:before="120" w:after="120"/>
        <w:rPr>
          <w:i/>
          <w:lang w:val="en-US"/>
        </w:rPr>
      </w:pPr>
      <w:r w:rsidRPr="00C41D33">
        <w:rPr>
          <w:lang w:val="en-US"/>
        </w:rPr>
        <w:t>E</w:t>
      </w:r>
      <w:r w:rsidRPr="00E1192A">
        <w:rPr>
          <w:i/>
          <w:lang w:val="en-US"/>
        </w:rPr>
        <w:t>xample</w:t>
      </w:r>
      <w:r>
        <w:rPr>
          <w:i/>
          <w:lang w:val="en-US"/>
        </w:rPr>
        <w:t xml:space="preserve"> (the numbers below are only for illustrative purposes, they</w:t>
      </w:r>
      <w:r>
        <w:rPr>
          <w:i/>
          <w:lang w:val="en-US"/>
        </w:rPr>
        <w:t xml:space="preserve"> have been taken from</w:t>
      </w:r>
      <w:r w:rsidR="00627C97">
        <w:rPr>
          <w:i/>
          <w:lang w:val="en-US"/>
        </w:rPr>
        <w:t xml:space="preserve"> the </w:t>
      </w:r>
      <w:proofErr w:type="spellStart"/>
      <w:r w:rsidR="00627C97">
        <w:rPr>
          <w:i/>
          <w:lang w:val="en-US"/>
        </w:rPr>
        <w:t>DfT</w:t>
      </w:r>
      <w:proofErr w:type="spellEnd"/>
      <w:r w:rsidR="00627C97">
        <w:rPr>
          <w:i/>
          <w:lang w:val="en-US"/>
        </w:rPr>
        <w:t xml:space="preserve"> Motor Fuel Greenhouse Gas Emissions Reporting Regulations Guidance</w:t>
      </w:r>
      <w:r>
        <w:rPr>
          <w:i/>
          <w:lang w:val="en-US"/>
        </w:rPr>
        <w:t>)</w:t>
      </w:r>
      <w:r w:rsidRPr="00E1192A">
        <w:rPr>
          <w:i/>
          <w:lang w:val="en-US"/>
        </w:rPr>
        <w:t>:</w:t>
      </w:r>
    </w:p>
    <w:p w14:paraId="39FABC52" w14:textId="77777777" w:rsidR="00E236D3" w:rsidRPr="00E1192A" w:rsidRDefault="00E236D3" w:rsidP="00E236D3">
      <w:pPr>
        <w:spacing w:before="120" w:after="120"/>
        <w:rPr>
          <w:lang w:val="en-US"/>
        </w:rPr>
      </w:pPr>
      <w:r>
        <w:rPr>
          <w:lang w:val="en-US"/>
        </w:rPr>
        <w:t>Current Carbon I</w:t>
      </w:r>
      <w:r w:rsidRPr="00E1192A">
        <w:rPr>
          <w:lang w:val="en-US"/>
        </w:rPr>
        <w:t xml:space="preserve">ntensity of </w:t>
      </w:r>
      <w:r>
        <w:rPr>
          <w:lang w:val="en-US"/>
        </w:rPr>
        <w:t xml:space="preserve">fossil (natural) </w:t>
      </w:r>
      <w:r w:rsidRPr="00E1192A">
        <w:rPr>
          <w:lang w:val="en-US"/>
        </w:rPr>
        <w:t xml:space="preserve">gas supplied = 204g/kWh </w:t>
      </w:r>
    </w:p>
    <w:p w14:paraId="63176549" w14:textId="77777777" w:rsidR="00E236D3" w:rsidRPr="00E1192A" w:rsidRDefault="00E236D3" w:rsidP="00E236D3">
      <w:pPr>
        <w:spacing w:before="120" w:after="120"/>
        <w:rPr>
          <w:lang w:val="en-US"/>
        </w:rPr>
      </w:pPr>
      <w:r w:rsidRPr="00E1192A">
        <w:rPr>
          <w:lang w:val="en-US"/>
        </w:rPr>
        <w:t>Year 1 of the obligation</w:t>
      </w:r>
      <w:r>
        <w:rPr>
          <w:lang w:val="en-US"/>
        </w:rPr>
        <w:t xml:space="preserve">: the average Carbon Intensity </w:t>
      </w:r>
      <w:r w:rsidRPr="00E1192A">
        <w:rPr>
          <w:lang w:val="en-US"/>
        </w:rPr>
        <w:t xml:space="preserve">must be </w:t>
      </w:r>
      <w:r>
        <w:rPr>
          <w:lang w:val="en-US"/>
        </w:rPr>
        <w:t>190g/kWh</w:t>
      </w:r>
    </w:p>
    <w:p w14:paraId="13959703" w14:textId="77777777" w:rsidR="00E236D3" w:rsidRDefault="00E236D3" w:rsidP="00E236D3">
      <w:pPr>
        <w:spacing w:before="120" w:after="120"/>
        <w:rPr>
          <w:lang w:val="en-US"/>
        </w:rPr>
      </w:pPr>
      <w:r w:rsidRPr="00E1192A">
        <w:rPr>
          <w:lang w:val="en-US"/>
        </w:rPr>
        <w:t xml:space="preserve">For every tonne </w:t>
      </w:r>
      <w:r>
        <w:rPr>
          <w:lang w:val="en-US"/>
        </w:rPr>
        <w:t xml:space="preserve">of </w:t>
      </w:r>
      <w:r w:rsidRPr="00E1192A">
        <w:rPr>
          <w:lang w:val="en-US"/>
        </w:rPr>
        <w:t>carbon emiss</w:t>
      </w:r>
      <w:r>
        <w:rPr>
          <w:lang w:val="en-US"/>
        </w:rPr>
        <w:t>ions over their target gas suppliers</w:t>
      </w:r>
      <w:r w:rsidRPr="00E1192A">
        <w:rPr>
          <w:lang w:val="en-US"/>
        </w:rPr>
        <w:t xml:space="preserve"> must pay a buy</w:t>
      </w:r>
      <w:r>
        <w:rPr>
          <w:lang w:val="en-US"/>
        </w:rPr>
        <w:t>-</w:t>
      </w:r>
      <w:r w:rsidRPr="00E1192A">
        <w:rPr>
          <w:lang w:val="en-US"/>
        </w:rPr>
        <w:t xml:space="preserve">out of </w:t>
      </w:r>
      <w:r>
        <w:rPr>
          <w:lang w:val="en-US"/>
        </w:rPr>
        <w:t xml:space="preserve">e.g. </w:t>
      </w:r>
      <w:r w:rsidRPr="00E1192A">
        <w:rPr>
          <w:lang w:val="en-US"/>
        </w:rPr>
        <w:t>£74.</w:t>
      </w:r>
    </w:p>
    <w:p w14:paraId="6CCEFA5F" w14:textId="77777777" w:rsidR="00E236D3" w:rsidRDefault="00E236D3" w:rsidP="00E236D3">
      <w:pPr>
        <w:spacing w:before="120" w:after="120"/>
      </w:pPr>
      <w:r>
        <w:t>The benefit of this type of</w:t>
      </w:r>
      <w:r w:rsidRPr="001B128E">
        <w:t xml:space="preserve"> measure </w:t>
      </w:r>
      <w:r>
        <w:t xml:space="preserve">is that it is </w:t>
      </w:r>
      <w:r w:rsidRPr="001B128E">
        <w:t xml:space="preserve">less technology specific and </w:t>
      </w:r>
      <w:r>
        <w:t>can</w:t>
      </w:r>
      <w:r w:rsidRPr="001B128E">
        <w:t xml:space="preserve"> incentivise the lowest carbon solutions, regardless of whether these are from renewable sources or not.</w:t>
      </w:r>
    </w:p>
    <w:p w14:paraId="17F9E9BD" w14:textId="77777777" w:rsidR="00E236D3" w:rsidRPr="00DF2AC8" w:rsidRDefault="00E236D3" w:rsidP="000005B0">
      <w:pPr>
        <w:spacing w:before="120" w:after="120"/>
        <w:rPr>
          <w:lang w:val="en-US"/>
        </w:rPr>
      </w:pPr>
    </w:p>
    <w:p w14:paraId="4C787087" w14:textId="77777777" w:rsidR="00452BBC" w:rsidRDefault="00452BBC" w:rsidP="000005B0">
      <w:pPr>
        <w:spacing w:before="120" w:after="120"/>
        <w:rPr>
          <w:lang w:val="en-US"/>
        </w:rPr>
      </w:pPr>
    </w:p>
    <w:p w14:paraId="4381CF13" w14:textId="77777777" w:rsidR="00D57E40" w:rsidRPr="0091181F" w:rsidRDefault="003002B4" w:rsidP="000005B0">
      <w:pPr>
        <w:pStyle w:val="Heading3"/>
        <w:spacing w:before="120"/>
        <w:rPr>
          <w:lang w:val="en-US"/>
        </w:rPr>
      </w:pPr>
      <w:r>
        <w:rPr>
          <w:lang w:val="en-US"/>
        </w:rPr>
        <w:t>2.6</w:t>
      </w:r>
      <w:r w:rsidR="00FA6504">
        <w:rPr>
          <w:lang w:val="en-US"/>
        </w:rPr>
        <w:t xml:space="preserve"> </w:t>
      </w:r>
      <w:r w:rsidR="00D57E40" w:rsidRPr="0091181F">
        <w:rPr>
          <w:lang w:val="en-US"/>
        </w:rPr>
        <w:t xml:space="preserve">Obligation </w:t>
      </w:r>
      <w:r w:rsidR="00D57E40">
        <w:rPr>
          <w:lang w:val="en-US"/>
        </w:rPr>
        <w:t>‘</w:t>
      </w:r>
      <w:r w:rsidR="00D57E40" w:rsidRPr="0091181F">
        <w:rPr>
          <w:lang w:val="en-US"/>
        </w:rPr>
        <w:t>headroom</w:t>
      </w:r>
      <w:r w:rsidR="00D57E40">
        <w:rPr>
          <w:lang w:val="en-US"/>
        </w:rPr>
        <w:t>’</w:t>
      </w:r>
      <w:r w:rsidR="00D57E40" w:rsidRPr="0091181F">
        <w:rPr>
          <w:lang w:val="en-US"/>
        </w:rPr>
        <w:t xml:space="preserve"> </w:t>
      </w:r>
    </w:p>
    <w:p w14:paraId="65F1D22F" w14:textId="77777777" w:rsidR="00D57E40" w:rsidRDefault="00D57E40" w:rsidP="000005B0">
      <w:pPr>
        <w:spacing w:before="120" w:after="120"/>
        <w:rPr>
          <w:lang w:val="en-US"/>
        </w:rPr>
      </w:pPr>
      <w:r>
        <w:rPr>
          <w:lang w:val="en-US"/>
        </w:rPr>
        <w:t xml:space="preserve">In the RO, the </w:t>
      </w:r>
      <w:r w:rsidRPr="0065734D">
        <w:rPr>
          <w:lang w:val="en-US"/>
        </w:rPr>
        <w:t xml:space="preserve">level of the obligation each year </w:t>
      </w:r>
      <w:r>
        <w:rPr>
          <w:lang w:val="en-US"/>
        </w:rPr>
        <w:t xml:space="preserve">was determined by </w:t>
      </w:r>
      <w:r w:rsidRPr="0065734D">
        <w:rPr>
          <w:lang w:val="en-US"/>
        </w:rPr>
        <w:t>using a ‘headroom’ calculation</w:t>
      </w:r>
      <w:r>
        <w:rPr>
          <w:lang w:val="en-US"/>
        </w:rPr>
        <w:t xml:space="preserve">. This </w:t>
      </w:r>
      <w:r w:rsidRPr="0065734D">
        <w:rPr>
          <w:lang w:val="en-US"/>
        </w:rPr>
        <w:t xml:space="preserve">works by providing a set margin between the predicted generation (supply of </w:t>
      </w:r>
      <w:r>
        <w:rPr>
          <w:lang w:val="en-US"/>
        </w:rPr>
        <w:t>certificates</w:t>
      </w:r>
      <w:r w:rsidRPr="0065734D">
        <w:rPr>
          <w:lang w:val="en-US"/>
        </w:rPr>
        <w:t xml:space="preserve">) and the level of the obligation (demand for </w:t>
      </w:r>
      <w:r>
        <w:rPr>
          <w:lang w:val="en-US"/>
        </w:rPr>
        <w:t>certificates</w:t>
      </w:r>
      <w:r w:rsidRPr="0065734D">
        <w:rPr>
          <w:lang w:val="en-US"/>
        </w:rPr>
        <w:t xml:space="preserve">). This helps reduce the possibility of supply exceeding the obligation in any given year </w:t>
      </w:r>
      <w:r>
        <w:rPr>
          <w:lang w:val="en-US"/>
        </w:rPr>
        <w:t xml:space="preserve">that could cause a reduction of the </w:t>
      </w:r>
      <w:r w:rsidRPr="0065734D">
        <w:rPr>
          <w:lang w:val="en-US"/>
        </w:rPr>
        <w:t xml:space="preserve">market value of a </w:t>
      </w:r>
      <w:r>
        <w:rPr>
          <w:lang w:val="en-US"/>
        </w:rPr>
        <w:t>certificate</w:t>
      </w:r>
      <w:r w:rsidRPr="0065734D">
        <w:rPr>
          <w:lang w:val="en-US"/>
        </w:rPr>
        <w:t xml:space="preserve">. Headroom lets investors feel more confident that there will always be a market for their </w:t>
      </w:r>
      <w:r>
        <w:rPr>
          <w:lang w:val="en-US"/>
        </w:rPr>
        <w:t>certificates</w:t>
      </w:r>
      <w:r w:rsidRPr="0065734D">
        <w:rPr>
          <w:lang w:val="en-US"/>
        </w:rPr>
        <w:t xml:space="preserve"> and it helps stabilise the </w:t>
      </w:r>
      <w:r>
        <w:rPr>
          <w:lang w:val="en-US"/>
        </w:rPr>
        <w:t xml:space="preserve">certificate price. </w:t>
      </w:r>
    </w:p>
    <w:p w14:paraId="09193D74" w14:textId="5AD85D0D" w:rsidR="00D57E40" w:rsidRDefault="00D57E40" w:rsidP="000005B0">
      <w:pPr>
        <w:autoSpaceDE w:val="0"/>
        <w:autoSpaceDN w:val="0"/>
        <w:adjustRightInd w:val="0"/>
        <w:spacing w:before="120" w:after="120"/>
        <w:jc w:val="left"/>
      </w:pPr>
      <w:r>
        <w:t>Stable and predictable prices are required to provide project bankability. Unlike the RO, the Renewable Transport Fuel Obligation does not provide a guaranteed income st</w:t>
      </w:r>
      <w:r w:rsidR="00A34F43">
        <w:t>r</w:t>
      </w:r>
      <w:r>
        <w:t>eam as the price of RTFCs fluctuates</w:t>
      </w:r>
      <w:r w:rsidR="00A34F43">
        <w:t xml:space="preserve">, </w:t>
      </w:r>
      <w:r>
        <w:t xml:space="preserve">there is </w:t>
      </w:r>
      <w:r w:rsidRPr="00E717CB">
        <w:t>no limit to how much biofuel could be imported and put into the fuel sy</w:t>
      </w:r>
      <w:r w:rsidR="00A34F43">
        <w:t xml:space="preserve">stem, </w:t>
      </w:r>
      <w:r>
        <w:t xml:space="preserve">and </w:t>
      </w:r>
      <w:r w:rsidR="00A34F43">
        <w:t xml:space="preserve">there is </w:t>
      </w:r>
      <w:r>
        <w:t xml:space="preserve">lack of demand relative to potential supply. </w:t>
      </w:r>
    </w:p>
    <w:p w14:paraId="28573F98" w14:textId="77777777" w:rsidR="00806595" w:rsidRDefault="00806595" w:rsidP="000005B0">
      <w:pPr>
        <w:autoSpaceDE w:val="0"/>
        <w:autoSpaceDN w:val="0"/>
        <w:adjustRightInd w:val="0"/>
        <w:spacing w:before="120" w:after="120"/>
        <w:jc w:val="left"/>
      </w:pPr>
      <w:r>
        <w:t xml:space="preserve">The future obligation to fund green and low-carbon gas could include a similar mechanism to ensure to help stabilise the certificate price. </w:t>
      </w:r>
    </w:p>
    <w:p w14:paraId="5304BD82" w14:textId="77777777" w:rsidR="00D57E40" w:rsidRDefault="00D57E40" w:rsidP="000005B0">
      <w:pPr>
        <w:spacing w:before="120" w:after="120"/>
      </w:pPr>
    </w:p>
    <w:p w14:paraId="77E6F752" w14:textId="77777777" w:rsidR="00D57E40" w:rsidRPr="00C12FCF" w:rsidRDefault="003002B4" w:rsidP="000005B0">
      <w:pPr>
        <w:pStyle w:val="Heading3"/>
        <w:spacing w:before="120"/>
        <w:rPr>
          <w:lang w:val="en-US"/>
        </w:rPr>
      </w:pPr>
      <w:r>
        <w:rPr>
          <w:lang w:val="en-US"/>
        </w:rPr>
        <w:t>2.7</w:t>
      </w:r>
      <w:r w:rsidR="00FA6504">
        <w:rPr>
          <w:lang w:val="en-US"/>
        </w:rPr>
        <w:t xml:space="preserve"> </w:t>
      </w:r>
      <w:r w:rsidR="00D57E40" w:rsidRPr="00C12FCF">
        <w:rPr>
          <w:lang w:val="en-US"/>
        </w:rPr>
        <w:t xml:space="preserve">Banding </w:t>
      </w:r>
    </w:p>
    <w:p w14:paraId="72AAEF7C" w14:textId="3976AA51" w:rsidR="00930E32" w:rsidRDefault="00930E32" w:rsidP="000005B0">
      <w:pPr>
        <w:spacing w:before="120" w:after="120"/>
      </w:pPr>
      <w:r>
        <w:t>Ideally banding</w:t>
      </w:r>
      <w:r w:rsidR="0072509A">
        <w:t xml:space="preserve"> would not be required</w:t>
      </w:r>
      <w:r>
        <w:t xml:space="preserve">, as this would introduce significant complexity. </w:t>
      </w:r>
    </w:p>
    <w:p w14:paraId="22B25B10" w14:textId="34AFCBAF" w:rsidR="00D57E40" w:rsidRDefault="00627C97" w:rsidP="000005B0">
      <w:pPr>
        <w:spacing w:before="120" w:after="120"/>
      </w:pPr>
      <w:r>
        <w:lastRenderedPageBreak/>
        <w:t xml:space="preserve">However, a </w:t>
      </w:r>
      <w:r w:rsidR="008B43D0">
        <w:t xml:space="preserve">justification for introducing </w:t>
      </w:r>
      <w:r w:rsidR="00DF164A">
        <w:t>it is that different r</w:t>
      </w:r>
      <w:r w:rsidR="00D57E40">
        <w:t xml:space="preserve">enewable </w:t>
      </w:r>
      <w:r w:rsidR="00DF164A">
        <w:t xml:space="preserve">and low-carbon </w:t>
      </w:r>
      <w:r w:rsidR="00D57E40">
        <w:t xml:space="preserve">gases have very different production costs and the Obligation </w:t>
      </w:r>
      <w:r w:rsidR="00A34F43">
        <w:t xml:space="preserve">could </w:t>
      </w:r>
      <w:r w:rsidR="00D57E40">
        <w:t xml:space="preserve">be banded to accommodate this.  </w:t>
      </w:r>
    </w:p>
    <w:p w14:paraId="2F5C47C2" w14:textId="77777777" w:rsidR="00DF164A" w:rsidRDefault="00DF164A" w:rsidP="000005B0">
      <w:pPr>
        <w:spacing w:before="120" w:after="120"/>
        <w:rPr>
          <w:b/>
          <w:lang w:val="en-US"/>
        </w:rPr>
      </w:pPr>
    </w:p>
    <w:p w14:paraId="0239BA3E" w14:textId="77777777" w:rsidR="00D57E40" w:rsidRPr="001C5364" w:rsidRDefault="003002B4" w:rsidP="000005B0">
      <w:pPr>
        <w:pStyle w:val="Heading3"/>
        <w:spacing w:before="120"/>
        <w:rPr>
          <w:lang w:val="en-US"/>
        </w:rPr>
      </w:pPr>
      <w:r>
        <w:rPr>
          <w:lang w:val="en-US"/>
        </w:rPr>
        <w:t>2.8</w:t>
      </w:r>
      <w:r w:rsidR="00FA6504">
        <w:rPr>
          <w:lang w:val="en-US"/>
        </w:rPr>
        <w:t xml:space="preserve"> </w:t>
      </w:r>
      <w:r w:rsidR="00D57E40" w:rsidRPr="001C5364">
        <w:rPr>
          <w:lang w:val="en-US"/>
        </w:rPr>
        <w:t xml:space="preserve">Avoid double counting </w:t>
      </w:r>
    </w:p>
    <w:p w14:paraId="7BAA8B0D" w14:textId="77777777" w:rsidR="00D7294E" w:rsidRDefault="00D57E40" w:rsidP="000005B0">
      <w:pPr>
        <w:spacing w:before="120" w:after="120"/>
        <w:rPr>
          <w:lang w:val="en-US"/>
        </w:rPr>
      </w:pPr>
      <w:r>
        <w:rPr>
          <w:lang w:val="en-US"/>
        </w:rPr>
        <w:t xml:space="preserve">It will be important to have a mechanism within a future scheme to ensure the renewable </w:t>
      </w:r>
      <w:r w:rsidR="0016162F">
        <w:rPr>
          <w:lang w:val="en-US"/>
        </w:rPr>
        <w:t xml:space="preserve">or low-carbon </w:t>
      </w:r>
      <w:r>
        <w:rPr>
          <w:lang w:val="en-US"/>
        </w:rPr>
        <w:t>gas does not receive double subsidies.</w:t>
      </w:r>
    </w:p>
    <w:p w14:paraId="58A56A35" w14:textId="77777777" w:rsidR="00D57E40" w:rsidRDefault="00D57E40" w:rsidP="000005B0">
      <w:pPr>
        <w:spacing w:before="120" w:after="120"/>
        <w:rPr>
          <w:lang w:val="en-US"/>
        </w:rPr>
      </w:pPr>
      <w:r>
        <w:rPr>
          <w:lang w:val="en-US"/>
        </w:rPr>
        <w:t>For example, it should be possible for a plant that is already registered under the RHI t</w:t>
      </w:r>
      <w:r w:rsidR="0016162F">
        <w:rPr>
          <w:lang w:val="en-US"/>
        </w:rPr>
        <w:t xml:space="preserve">o sell volumes of renewable/low-carbon gas to gas </w:t>
      </w:r>
      <w:r>
        <w:rPr>
          <w:lang w:val="en-US"/>
        </w:rPr>
        <w:t xml:space="preserve">suppliers via the new </w:t>
      </w:r>
      <w:r w:rsidR="00D7294E">
        <w:rPr>
          <w:lang w:val="en-US"/>
        </w:rPr>
        <w:t xml:space="preserve">obligation. However, </w:t>
      </w:r>
      <w:r>
        <w:rPr>
          <w:lang w:val="en-US"/>
        </w:rPr>
        <w:t xml:space="preserve">there will need to be a robust mechanism </w:t>
      </w:r>
      <w:r w:rsidR="00D7294E">
        <w:rPr>
          <w:lang w:val="en-US"/>
        </w:rPr>
        <w:t xml:space="preserve">in place under the Obligation </w:t>
      </w:r>
      <w:r>
        <w:rPr>
          <w:lang w:val="en-US"/>
        </w:rPr>
        <w:t>to verify that no RHI has been claimed for th</w:t>
      </w:r>
      <w:r w:rsidR="00D7294E">
        <w:rPr>
          <w:lang w:val="en-US"/>
        </w:rPr>
        <w:t>e same</w:t>
      </w:r>
      <w:r>
        <w:rPr>
          <w:lang w:val="en-US"/>
        </w:rPr>
        <w:t xml:space="preserve"> volumes of gas. Similarly, there will need to be a robust system in place to verify that RTFCs have not been claimed for any gas that has bee</w:t>
      </w:r>
      <w:r w:rsidR="0016162F">
        <w:rPr>
          <w:lang w:val="en-US"/>
        </w:rPr>
        <w:t>n supported via the new renewable/low-carbon</w:t>
      </w:r>
      <w:r>
        <w:rPr>
          <w:lang w:val="en-US"/>
        </w:rPr>
        <w:t xml:space="preserve"> gas obligation. </w:t>
      </w:r>
      <w:r w:rsidR="007D25C8">
        <w:rPr>
          <w:lang w:val="en-US"/>
        </w:rPr>
        <w:t xml:space="preserve">This could include a number of declarations signed by the participant on the relevant schemes coupled with evidence/data showing flows of renewable/low-carbon gases injected into the grid. </w:t>
      </w:r>
    </w:p>
    <w:p w14:paraId="6748551B" w14:textId="77777777" w:rsidR="008A4DB2" w:rsidRDefault="008A4DB2" w:rsidP="000005B0">
      <w:pPr>
        <w:spacing w:before="120" w:after="120"/>
        <w:rPr>
          <w:lang w:val="en-US"/>
        </w:rPr>
      </w:pPr>
    </w:p>
    <w:p w14:paraId="0A1BABCB" w14:textId="6F08D8D0" w:rsidR="008A4DB2" w:rsidRDefault="00AA4522" w:rsidP="00C41D33">
      <w:pPr>
        <w:pStyle w:val="Heading3"/>
        <w:spacing w:before="120"/>
        <w:rPr>
          <w:lang w:val="en-US"/>
        </w:rPr>
      </w:pPr>
      <w:r>
        <w:rPr>
          <w:lang w:val="en-US"/>
        </w:rPr>
        <w:t xml:space="preserve">2.9 </w:t>
      </w:r>
      <w:r w:rsidR="008A4DB2">
        <w:rPr>
          <w:lang w:val="en-US"/>
        </w:rPr>
        <w:t>Administering Certificates Schemes</w:t>
      </w:r>
    </w:p>
    <w:p w14:paraId="629A3B4D" w14:textId="3D6DB75E" w:rsidR="008A4DB2" w:rsidRDefault="008A4DB2" w:rsidP="008A4DB2">
      <w:pPr>
        <w:spacing w:before="120" w:after="120"/>
      </w:pPr>
      <w:r>
        <w:rPr>
          <w:lang w:val="en-US"/>
        </w:rPr>
        <w:t>Government (</w:t>
      </w:r>
      <w:proofErr w:type="spellStart"/>
      <w:r>
        <w:rPr>
          <w:lang w:val="en-US"/>
        </w:rPr>
        <w:t>DfT</w:t>
      </w:r>
      <w:proofErr w:type="spellEnd"/>
      <w:r>
        <w:rPr>
          <w:lang w:val="en-US"/>
        </w:rPr>
        <w:t>) and non-government bodies</w:t>
      </w:r>
      <w:r w:rsidRPr="00821E6C">
        <w:rPr>
          <w:lang w:val="en-US"/>
        </w:rPr>
        <w:t xml:space="preserve"> </w:t>
      </w:r>
      <w:r>
        <w:rPr>
          <w:lang w:val="en-US"/>
        </w:rPr>
        <w:t>(</w:t>
      </w:r>
      <w:proofErr w:type="spellStart"/>
      <w:r>
        <w:rPr>
          <w:lang w:val="en-US"/>
        </w:rPr>
        <w:t>Ofgem</w:t>
      </w:r>
      <w:proofErr w:type="spellEnd"/>
      <w:r>
        <w:rPr>
          <w:lang w:val="en-US"/>
        </w:rPr>
        <w:t xml:space="preserve"> and Renewable Energy Assurance Limited) bodies now have significant experience of administering Obligation Certificates and Guarantee of Origin Schemes</w:t>
      </w:r>
      <w:r w:rsidR="00EB6E92">
        <w:rPr>
          <w:lang w:val="en-US"/>
        </w:rPr>
        <w:t xml:space="preserve"> (e.g. the REAL’s Green Gas Certification Scheme)</w:t>
      </w:r>
      <w:r>
        <w:rPr>
          <w:lang w:val="en-US"/>
        </w:rPr>
        <w:t xml:space="preserve">. </w:t>
      </w:r>
      <w:r>
        <w:t>Renewable Gas Obligation Certificates could sit alongside mechanisms for awarding RHI payments, RTFCs and Guarantees of Origin</w:t>
      </w:r>
      <w:r w:rsidR="00F93433">
        <w:t xml:space="preserve"> (</w:t>
      </w:r>
      <w:proofErr w:type="spellStart"/>
      <w:r w:rsidR="00F93433">
        <w:t>GoO</w:t>
      </w:r>
      <w:proofErr w:type="spellEnd"/>
      <w:r w:rsidR="00F93433">
        <w:t>)</w:t>
      </w:r>
      <w:r>
        <w:t xml:space="preserve">. A central registry of green/low carbon gas injection data should be </w:t>
      </w:r>
      <w:proofErr w:type="gramStart"/>
      <w:r>
        <w:t>explored,</w:t>
      </w:r>
      <w:proofErr w:type="gramEnd"/>
      <w:r>
        <w:t xml:space="preserve"> based on secure and independent data provided by the existing GEMINI system</w:t>
      </w:r>
      <w:r>
        <w:rPr>
          <w:rStyle w:val="FootnoteReference"/>
        </w:rPr>
        <w:footnoteReference w:id="4"/>
      </w:r>
      <w:r>
        <w:t xml:space="preserve">. Green/Low Carbon gas producers could then access this registry, provide verification of GHG values and allocate volumes of gas to different support schemes. Administrators of the RTFO, RHI, Renewable Gas Obligation Certificates and Guarantees of Origin could all receive information from this registry which would eliminate the risk of double counting. Relevant bodies should discuss who is best placed to operate such a registry and work together with the aim of minimising administration costs across all support schemes as well as the compliance cost to the gas producers. </w:t>
      </w:r>
    </w:p>
    <w:p w14:paraId="388DAA60" w14:textId="77777777" w:rsidR="00E94877" w:rsidRPr="00C22F31" w:rsidRDefault="00E94877" w:rsidP="00E94877">
      <w:pPr>
        <w:jc w:val="left"/>
      </w:pPr>
      <w:r w:rsidRPr="00C22F31">
        <w:t xml:space="preserve">Clear rules will be needed on the interaction of the obligation and any disclosure to customer of GHG levels of gas supplied (which should/must be done via a </w:t>
      </w:r>
      <w:proofErr w:type="spellStart"/>
      <w:r w:rsidRPr="00C22F31">
        <w:t>GoO</w:t>
      </w:r>
      <w:proofErr w:type="spellEnd"/>
      <w:r w:rsidRPr="00C22F31">
        <w:t xml:space="preserve"> system). </w:t>
      </w:r>
    </w:p>
    <w:p w14:paraId="50E9E89D" w14:textId="77777777" w:rsidR="00E94877" w:rsidRDefault="00E94877" w:rsidP="008A4DB2">
      <w:pPr>
        <w:spacing w:before="120" w:after="120"/>
        <w:rPr>
          <w:lang w:val="en-US"/>
        </w:rPr>
      </w:pPr>
    </w:p>
    <w:p w14:paraId="5CE8672B" w14:textId="77777777" w:rsidR="00441F1D" w:rsidRDefault="00441F1D" w:rsidP="000005B0">
      <w:pPr>
        <w:spacing w:before="120" w:after="120"/>
        <w:rPr>
          <w:lang w:val="en-US"/>
        </w:rPr>
      </w:pPr>
    </w:p>
    <w:p w14:paraId="30CFE22A" w14:textId="77777777" w:rsidR="00D57E40" w:rsidRDefault="00D57E40" w:rsidP="000005B0">
      <w:pPr>
        <w:spacing w:before="120" w:after="120"/>
        <w:rPr>
          <w:lang w:val="en-US"/>
        </w:rPr>
      </w:pPr>
    </w:p>
    <w:p w14:paraId="32242ED7" w14:textId="538999E7" w:rsidR="00D57E40" w:rsidRPr="003C77A2" w:rsidRDefault="0024472A" w:rsidP="000005B0">
      <w:pPr>
        <w:pStyle w:val="Heading3"/>
        <w:spacing w:before="120"/>
        <w:rPr>
          <w:lang w:val="en-US"/>
        </w:rPr>
      </w:pPr>
      <w:r>
        <w:rPr>
          <w:lang w:val="en-US"/>
        </w:rPr>
        <w:lastRenderedPageBreak/>
        <w:t>2.</w:t>
      </w:r>
      <w:r w:rsidR="00AA4522">
        <w:rPr>
          <w:lang w:val="en-US"/>
        </w:rPr>
        <w:t xml:space="preserve">10 </w:t>
      </w:r>
      <w:r w:rsidR="00D57E40" w:rsidRPr="003C77A2">
        <w:rPr>
          <w:lang w:val="en-US"/>
        </w:rPr>
        <w:t xml:space="preserve">Setting a </w:t>
      </w:r>
      <w:r w:rsidR="008E02A1">
        <w:rPr>
          <w:lang w:val="en-US"/>
        </w:rPr>
        <w:t xml:space="preserve">renewable gas </w:t>
      </w:r>
      <w:r w:rsidR="00D57E40" w:rsidRPr="003C77A2">
        <w:rPr>
          <w:lang w:val="en-US"/>
        </w:rPr>
        <w:t>target</w:t>
      </w:r>
      <w:r w:rsidR="008E02A1">
        <w:rPr>
          <w:lang w:val="en-US"/>
        </w:rPr>
        <w:t>?</w:t>
      </w:r>
      <w:r w:rsidR="00D57E40" w:rsidRPr="003C77A2">
        <w:rPr>
          <w:lang w:val="en-US"/>
        </w:rPr>
        <w:t xml:space="preserve"> </w:t>
      </w:r>
    </w:p>
    <w:p w14:paraId="3125AFD2" w14:textId="30B1A7C3" w:rsidR="00D57E40" w:rsidRDefault="00D57E40" w:rsidP="000005B0">
      <w:pPr>
        <w:autoSpaceDE w:val="0"/>
        <w:autoSpaceDN w:val="0"/>
        <w:adjustRightInd w:val="0"/>
        <w:spacing w:before="120" w:after="120"/>
        <w:jc w:val="left"/>
        <w:rPr>
          <w:rFonts w:eastAsiaTheme="minorHAnsi" w:cs="Calibri"/>
          <w:color w:val="000000"/>
        </w:rPr>
      </w:pPr>
      <w:r>
        <w:rPr>
          <w:rFonts w:eastAsiaTheme="minorHAnsi" w:cs="Calibri"/>
          <w:color w:val="000000"/>
        </w:rPr>
        <w:t>To</w:t>
      </w:r>
      <w:r w:rsidRPr="003C77A2">
        <w:rPr>
          <w:rFonts w:eastAsiaTheme="minorHAnsi" w:cs="Calibri"/>
          <w:color w:val="000000"/>
        </w:rPr>
        <w:t xml:space="preserve"> </w:t>
      </w:r>
      <w:r>
        <w:rPr>
          <w:rFonts w:eastAsiaTheme="minorHAnsi" w:cs="Calibri"/>
          <w:color w:val="000000"/>
        </w:rPr>
        <w:t xml:space="preserve">foster green gas production and </w:t>
      </w:r>
      <w:r w:rsidRPr="003C77A2">
        <w:rPr>
          <w:rFonts w:eastAsiaTheme="minorHAnsi" w:cs="Calibri"/>
          <w:color w:val="000000"/>
        </w:rPr>
        <w:t xml:space="preserve">advance the decarbonisation of our gas supplies, </w:t>
      </w:r>
      <w:r>
        <w:rPr>
          <w:rFonts w:eastAsiaTheme="minorHAnsi" w:cs="Calibri"/>
          <w:color w:val="000000"/>
        </w:rPr>
        <w:t xml:space="preserve">we would propose that </w:t>
      </w:r>
      <w:r w:rsidRPr="003C77A2">
        <w:rPr>
          <w:rFonts w:eastAsiaTheme="minorHAnsi" w:cs="Calibri"/>
          <w:color w:val="000000"/>
        </w:rPr>
        <w:t xml:space="preserve">Government </w:t>
      </w:r>
      <w:r>
        <w:rPr>
          <w:rFonts w:eastAsiaTheme="minorHAnsi" w:cs="Calibri"/>
          <w:color w:val="000000"/>
        </w:rPr>
        <w:t>sets</w:t>
      </w:r>
      <w:r w:rsidRPr="003C77A2">
        <w:rPr>
          <w:rFonts w:eastAsiaTheme="minorHAnsi" w:cs="Calibri"/>
          <w:color w:val="000000"/>
        </w:rPr>
        <w:t xml:space="preserve"> a target fo</w:t>
      </w:r>
      <w:r>
        <w:rPr>
          <w:rFonts w:eastAsiaTheme="minorHAnsi" w:cs="Calibri"/>
          <w:color w:val="000000"/>
        </w:rPr>
        <w:t xml:space="preserve">r renewable gas in the gas grid alongside </w:t>
      </w:r>
      <w:r w:rsidR="0079373E">
        <w:rPr>
          <w:rFonts w:eastAsiaTheme="minorHAnsi" w:cs="Calibri"/>
          <w:color w:val="000000"/>
        </w:rPr>
        <w:t>an obligation</w:t>
      </w:r>
      <w:r>
        <w:rPr>
          <w:rFonts w:eastAsiaTheme="minorHAnsi" w:cs="Calibri"/>
          <w:color w:val="000000"/>
        </w:rPr>
        <w:t xml:space="preserve">. This could be, for example, </w:t>
      </w:r>
      <w:r w:rsidRPr="003C77A2">
        <w:rPr>
          <w:rFonts w:eastAsiaTheme="minorHAnsi" w:cs="Calibri"/>
          <w:color w:val="000000"/>
        </w:rPr>
        <w:t>a minimum proportion, in percentage terms, of re</w:t>
      </w:r>
      <w:r w:rsidR="00EB6E92">
        <w:rPr>
          <w:rFonts w:eastAsiaTheme="minorHAnsi" w:cs="Calibri"/>
          <w:color w:val="000000"/>
        </w:rPr>
        <w:t xml:space="preserve">newable/low-carbon </w:t>
      </w:r>
      <w:r w:rsidR="00625404">
        <w:rPr>
          <w:rFonts w:eastAsiaTheme="minorHAnsi" w:cs="Calibri"/>
          <w:color w:val="000000"/>
        </w:rPr>
        <w:t xml:space="preserve">gas in the gas grid, or </w:t>
      </w:r>
      <w:r w:rsidRPr="003C77A2">
        <w:rPr>
          <w:rFonts w:eastAsiaTheme="minorHAnsi" w:cs="Calibri"/>
          <w:color w:val="000000"/>
        </w:rPr>
        <w:t xml:space="preserve">an absolute number of </w:t>
      </w:r>
      <w:proofErr w:type="spellStart"/>
      <w:r w:rsidRPr="003C77A2">
        <w:rPr>
          <w:rFonts w:eastAsiaTheme="minorHAnsi" w:cs="Calibri"/>
          <w:color w:val="000000"/>
        </w:rPr>
        <w:t>TWh</w:t>
      </w:r>
      <w:proofErr w:type="spellEnd"/>
      <w:r w:rsidRPr="003C77A2">
        <w:rPr>
          <w:rFonts w:eastAsiaTheme="minorHAnsi" w:cs="Calibri"/>
          <w:color w:val="000000"/>
        </w:rPr>
        <w:t xml:space="preserve">/annum that industry could reach by 20xx. </w:t>
      </w:r>
    </w:p>
    <w:p w14:paraId="0DD6CA3B" w14:textId="1F1AF84E" w:rsidR="00D57E40" w:rsidRDefault="00A15925" w:rsidP="000005B0">
      <w:pPr>
        <w:autoSpaceDE w:val="0"/>
        <w:autoSpaceDN w:val="0"/>
        <w:adjustRightInd w:val="0"/>
        <w:spacing w:before="120" w:after="120"/>
        <w:jc w:val="left"/>
        <w:rPr>
          <w:rFonts w:eastAsiaTheme="minorHAnsi" w:cs="Calibri"/>
          <w:color w:val="000000"/>
        </w:rPr>
      </w:pPr>
      <w:r>
        <w:rPr>
          <w:rFonts w:eastAsiaTheme="minorHAnsi" w:cs="Calibri"/>
          <w:color w:val="000000"/>
        </w:rPr>
        <w:t>T</w:t>
      </w:r>
      <w:r w:rsidR="00D57E40">
        <w:rPr>
          <w:rFonts w:eastAsiaTheme="minorHAnsi" w:cs="Calibri"/>
          <w:color w:val="000000"/>
        </w:rPr>
        <w:t>he table below</w:t>
      </w:r>
      <w:r>
        <w:rPr>
          <w:rFonts w:eastAsiaTheme="minorHAnsi" w:cs="Calibri"/>
          <w:color w:val="000000"/>
        </w:rPr>
        <w:t xml:space="preserve"> sets out</w:t>
      </w:r>
      <w:r w:rsidR="00D57E40">
        <w:rPr>
          <w:rFonts w:eastAsiaTheme="minorHAnsi" w:cs="Calibri"/>
          <w:color w:val="000000"/>
        </w:rPr>
        <w:t xml:space="preserve"> t</w:t>
      </w:r>
      <w:r w:rsidR="00D57E40" w:rsidRPr="003C77A2">
        <w:rPr>
          <w:rFonts w:eastAsiaTheme="minorHAnsi" w:cs="Calibri"/>
          <w:color w:val="000000"/>
        </w:rPr>
        <w:t>he European countries that are leading on biomethane are those that have set ambitious targets, coupled with effective support mechanisms</w:t>
      </w:r>
      <w:r w:rsidR="00D57E40">
        <w:rPr>
          <w:rFonts w:eastAsiaTheme="minorHAnsi" w:cs="Calibri"/>
          <w:color w:val="000000"/>
        </w:rPr>
        <w:t>.</w:t>
      </w:r>
      <w:r w:rsidR="00D57E40" w:rsidRPr="003C77A2">
        <w:rPr>
          <w:rFonts w:eastAsiaTheme="minorHAnsi" w:cs="Calibri"/>
          <w:color w:val="000000"/>
        </w:rPr>
        <w:t xml:space="preserve"> </w:t>
      </w:r>
    </w:p>
    <w:p w14:paraId="04190318" w14:textId="77777777" w:rsidR="00D57E40" w:rsidRDefault="00D57E40" w:rsidP="000005B0">
      <w:pPr>
        <w:autoSpaceDE w:val="0"/>
        <w:autoSpaceDN w:val="0"/>
        <w:adjustRightInd w:val="0"/>
        <w:spacing w:before="120" w:after="120"/>
        <w:jc w:val="left"/>
        <w:rPr>
          <w:rFonts w:eastAsiaTheme="minorHAnsi" w:cs="Calibri"/>
          <w:color w:val="000000"/>
        </w:rPr>
      </w:pPr>
    </w:p>
    <w:tbl>
      <w:tblPr>
        <w:tblStyle w:val="TableGrid"/>
        <w:tblW w:w="0" w:type="auto"/>
        <w:jc w:val="center"/>
        <w:tblInd w:w="108" w:type="dxa"/>
        <w:tblLook w:val="04A0" w:firstRow="1" w:lastRow="0" w:firstColumn="1" w:lastColumn="0" w:noHBand="0" w:noVBand="1"/>
      </w:tblPr>
      <w:tblGrid>
        <w:gridCol w:w="1371"/>
        <w:gridCol w:w="6426"/>
      </w:tblGrid>
      <w:tr w:rsidR="00D57E40" w14:paraId="6407A02B" w14:textId="77777777" w:rsidTr="00D57E40">
        <w:trPr>
          <w:jc w:val="center"/>
        </w:trPr>
        <w:tc>
          <w:tcPr>
            <w:tcW w:w="1371" w:type="dxa"/>
          </w:tcPr>
          <w:p w14:paraId="4E985209" w14:textId="77777777" w:rsidR="00D57E40" w:rsidRPr="005F6913" w:rsidRDefault="00D57E40" w:rsidP="000005B0">
            <w:pPr>
              <w:autoSpaceDE w:val="0"/>
              <w:autoSpaceDN w:val="0"/>
              <w:adjustRightInd w:val="0"/>
              <w:spacing w:before="120" w:after="120"/>
              <w:jc w:val="left"/>
              <w:rPr>
                <w:rFonts w:eastAsiaTheme="minorHAnsi" w:cs="Calibri"/>
                <w:b/>
                <w:color w:val="000000"/>
              </w:rPr>
            </w:pPr>
            <w:r w:rsidRPr="005F6913">
              <w:rPr>
                <w:rFonts w:eastAsiaTheme="minorHAnsi" w:cs="Calibri"/>
                <w:b/>
                <w:color w:val="000000"/>
              </w:rPr>
              <w:t xml:space="preserve">EU country </w:t>
            </w:r>
          </w:p>
        </w:tc>
        <w:tc>
          <w:tcPr>
            <w:tcW w:w="6426" w:type="dxa"/>
          </w:tcPr>
          <w:p w14:paraId="44900474" w14:textId="77777777" w:rsidR="00D57E40" w:rsidRPr="005F6913" w:rsidRDefault="00D57E40" w:rsidP="000005B0">
            <w:pPr>
              <w:autoSpaceDE w:val="0"/>
              <w:autoSpaceDN w:val="0"/>
              <w:adjustRightInd w:val="0"/>
              <w:spacing w:before="120" w:after="120"/>
              <w:jc w:val="left"/>
              <w:rPr>
                <w:rFonts w:eastAsiaTheme="minorHAnsi" w:cs="Calibri"/>
                <w:b/>
                <w:color w:val="000000"/>
              </w:rPr>
            </w:pPr>
            <w:r w:rsidRPr="005F6913">
              <w:rPr>
                <w:rFonts w:eastAsiaTheme="minorHAnsi" w:cs="Calibri"/>
                <w:b/>
                <w:color w:val="000000"/>
              </w:rPr>
              <w:t>Target</w:t>
            </w:r>
          </w:p>
        </w:tc>
      </w:tr>
      <w:tr w:rsidR="00D57E40" w14:paraId="40776B18" w14:textId="77777777" w:rsidTr="00D57E40">
        <w:trPr>
          <w:jc w:val="center"/>
        </w:trPr>
        <w:tc>
          <w:tcPr>
            <w:tcW w:w="1371" w:type="dxa"/>
          </w:tcPr>
          <w:p w14:paraId="13987D25" w14:textId="77777777" w:rsidR="00D57E40" w:rsidRDefault="00D57E40" w:rsidP="000005B0">
            <w:pPr>
              <w:autoSpaceDE w:val="0"/>
              <w:autoSpaceDN w:val="0"/>
              <w:adjustRightInd w:val="0"/>
              <w:spacing w:before="120" w:after="120"/>
              <w:jc w:val="left"/>
              <w:rPr>
                <w:rFonts w:eastAsiaTheme="minorHAnsi" w:cs="Calibri"/>
                <w:color w:val="000000"/>
              </w:rPr>
            </w:pPr>
            <w:r>
              <w:rPr>
                <w:rFonts w:eastAsiaTheme="minorHAnsi" w:cs="Calibri"/>
                <w:color w:val="000000"/>
              </w:rPr>
              <w:t>France</w:t>
            </w:r>
          </w:p>
        </w:tc>
        <w:tc>
          <w:tcPr>
            <w:tcW w:w="6426" w:type="dxa"/>
          </w:tcPr>
          <w:p w14:paraId="5C05C104" w14:textId="77777777" w:rsidR="00D57E40" w:rsidRPr="005F6913" w:rsidRDefault="00D57E40" w:rsidP="000005B0">
            <w:pPr>
              <w:pStyle w:val="ListParagraph"/>
              <w:numPr>
                <w:ilvl w:val="0"/>
                <w:numId w:val="34"/>
              </w:numPr>
              <w:autoSpaceDE w:val="0"/>
              <w:autoSpaceDN w:val="0"/>
              <w:adjustRightInd w:val="0"/>
              <w:spacing w:before="120"/>
              <w:contextualSpacing/>
              <w:jc w:val="left"/>
              <w:rPr>
                <w:rFonts w:eastAsiaTheme="minorHAnsi" w:cs="Calibri"/>
                <w:color w:val="000000"/>
              </w:rPr>
            </w:pPr>
            <w:r w:rsidRPr="005F6913">
              <w:rPr>
                <w:rFonts w:eastAsiaTheme="minorHAnsi" w:cs="Calibri"/>
                <w:color w:val="000000"/>
              </w:rPr>
              <w:t xml:space="preserve">1.7 </w:t>
            </w:r>
            <w:proofErr w:type="spellStart"/>
            <w:r w:rsidRPr="005F6913">
              <w:rPr>
                <w:rFonts w:eastAsiaTheme="minorHAnsi" w:cs="Calibri"/>
                <w:color w:val="000000"/>
              </w:rPr>
              <w:t>TWh</w:t>
            </w:r>
            <w:proofErr w:type="spellEnd"/>
            <w:r w:rsidRPr="005F6913">
              <w:rPr>
                <w:rFonts w:eastAsiaTheme="minorHAnsi" w:cs="Calibri"/>
                <w:color w:val="000000"/>
              </w:rPr>
              <w:t xml:space="preserve"> biomethane by 2018</w:t>
            </w:r>
          </w:p>
          <w:p w14:paraId="63CAA8B8" w14:textId="77777777" w:rsidR="00D57E40" w:rsidRPr="005F6913" w:rsidRDefault="00D57E40" w:rsidP="000005B0">
            <w:pPr>
              <w:pStyle w:val="ListParagraph"/>
              <w:numPr>
                <w:ilvl w:val="0"/>
                <w:numId w:val="34"/>
              </w:numPr>
              <w:autoSpaceDE w:val="0"/>
              <w:autoSpaceDN w:val="0"/>
              <w:adjustRightInd w:val="0"/>
              <w:spacing w:before="120"/>
              <w:contextualSpacing/>
              <w:jc w:val="left"/>
              <w:rPr>
                <w:rFonts w:eastAsiaTheme="minorHAnsi" w:cs="Calibri"/>
                <w:color w:val="000000"/>
              </w:rPr>
            </w:pPr>
            <w:r w:rsidRPr="005F6913">
              <w:rPr>
                <w:rFonts w:eastAsiaTheme="minorHAnsi" w:cs="Calibri"/>
                <w:color w:val="000000"/>
              </w:rPr>
              <w:t xml:space="preserve">8 </w:t>
            </w:r>
            <w:proofErr w:type="spellStart"/>
            <w:r w:rsidRPr="005F6913">
              <w:rPr>
                <w:rFonts w:eastAsiaTheme="minorHAnsi" w:cs="Calibri"/>
                <w:color w:val="000000"/>
              </w:rPr>
              <w:t>TWh</w:t>
            </w:r>
            <w:proofErr w:type="spellEnd"/>
            <w:r w:rsidRPr="005F6913">
              <w:rPr>
                <w:rFonts w:eastAsiaTheme="minorHAnsi" w:cs="Calibri"/>
                <w:color w:val="000000"/>
              </w:rPr>
              <w:t xml:space="preserve"> biomethane by 2023</w:t>
            </w:r>
          </w:p>
          <w:p w14:paraId="70B774C1" w14:textId="77777777" w:rsidR="00D57E40" w:rsidRPr="005F6913" w:rsidRDefault="00D57E40" w:rsidP="000005B0">
            <w:pPr>
              <w:pStyle w:val="ListParagraph"/>
              <w:numPr>
                <w:ilvl w:val="0"/>
                <w:numId w:val="34"/>
              </w:numPr>
              <w:autoSpaceDE w:val="0"/>
              <w:autoSpaceDN w:val="0"/>
              <w:adjustRightInd w:val="0"/>
              <w:spacing w:before="120"/>
              <w:contextualSpacing/>
              <w:jc w:val="left"/>
              <w:rPr>
                <w:rFonts w:eastAsiaTheme="minorHAnsi" w:cs="Calibri"/>
                <w:color w:val="000000"/>
              </w:rPr>
            </w:pPr>
            <w:r w:rsidRPr="005F6913">
              <w:rPr>
                <w:rFonts w:eastAsiaTheme="minorHAnsi" w:cs="Calibri"/>
                <w:color w:val="000000"/>
              </w:rPr>
              <w:t xml:space="preserve">60 </w:t>
            </w:r>
            <w:proofErr w:type="spellStart"/>
            <w:r w:rsidRPr="005F6913">
              <w:rPr>
                <w:rFonts w:eastAsiaTheme="minorHAnsi" w:cs="Calibri"/>
                <w:color w:val="000000"/>
              </w:rPr>
              <w:t>TWh</w:t>
            </w:r>
            <w:proofErr w:type="spellEnd"/>
            <w:r w:rsidRPr="005F6913">
              <w:rPr>
                <w:rFonts w:eastAsiaTheme="minorHAnsi" w:cs="Calibri"/>
                <w:color w:val="000000"/>
              </w:rPr>
              <w:t xml:space="preserve"> biomethane by 2028</w:t>
            </w:r>
          </w:p>
          <w:p w14:paraId="49070F1E" w14:textId="77777777" w:rsidR="00D57E40" w:rsidRPr="005F6913" w:rsidRDefault="00D57E40" w:rsidP="000005B0">
            <w:pPr>
              <w:pStyle w:val="ListParagraph"/>
              <w:numPr>
                <w:ilvl w:val="0"/>
                <w:numId w:val="34"/>
              </w:numPr>
              <w:autoSpaceDE w:val="0"/>
              <w:autoSpaceDN w:val="0"/>
              <w:adjustRightInd w:val="0"/>
              <w:spacing w:before="120"/>
              <w:contextualSpacing/>
              <w:jc w:val="left"/>
              <w:rPr>
                <w:rFonts w:eastAsiaTheme="minorHAnsi" w:cs="Calibri"/>
                <w:color w:val="000000"/>
              </w:rPr>
            </w:pPr>
            <w:r w:rsidRPr="005F6913">
              <w:rPr>
                <w:rFonts w:eastAsiaTheme="minorHAnsi" w:cs="Calibri"/>
                <w:color w:val="000000"/>
              </w:rPr>
              <w:t xml:space="preserve">90 </w:t>
            </w:r>
            <w:proofErr w:type="spellStart"/>
            <w:r w:rsidRPr="005F6913">
              <w:rPr>
                <w:rFonts w:eastAsiaTheme="minorHAnsi" w:cs="Calibri"/>
                <w:color w:val="000000"/>
              </w:rPr>
              <w:t>TWh</w:t>
            </w:r>
            <w:proofErr w:type="spellEnd"/>
            <w:r w:rsidRPr="005F6913">
              <w:rPr>
                <w:rFonts w:eastAsiaTheme="minorHAnsi" w:cs="Calibri"/>
                <w:color w:val="000000"/>
              </w:rPr>
              <w:t xml:space="preserve"> biogas by 2030</w:t>
            </w:r>
          </w:p>
          <w:p w14:paraId="2EDBC73E" w14:textId="77777777" w:rsidR="00D57E40" w:rsidRPr="005F6913" w:rsidRDefault="00D57E40" w:rsidP="000005B0">
            <w:pPr>
              <w:pStyle w:val="ListParagraph"/>
              <w:numPr>
                <w:ilvl w:val="0"/>
                <w:numId w:val="34"/>
              </w:numPr>
              <w:autoSpaceDE w:val="0"/>
              <w:autoSpaceDN w:val="0"/>
              <w:adjustRightInd w:val="0"/>
              <w:spacing w:before="120"/>
              <w:contextualSpacing/>
              <w:jc w:val="left"/>
              <w:rPr>
                <w:rFonts w:eastAsiaTheme="minorHAnsi" w:cs="Calibri"/>
                <w:color w:val="000000"/>
              </w:rPr>
            </w:pPr>
            <w:r w:rsidRPr="005F6913">
              <w:rPr>
                <w:rFonts w:eastAsiaTheme="minorHAnsi" w:cs="Calibri"/>
                <w:color w:val="000000"/>
              </w:rPr>
              <w:t>Ambition to reach 100% renewable gas by 2050</w:t>
            </w:r>
          </w:p>
        </w:tc>
      </w:tr>
      <w:tr w:rsidR="00D57E40" w14:paraId="512C34DC" w14:textId="77777777" w:rsidTr="00D57E40">
        <w:trPr>
          <w:jc w:val="center"/>
        </w:trPr>
        <w:tc>
          <w:tcPr>
            <w:tcW w:w="1371" w:type="dxa"/>
          </w:tcPr>
          <w:p w14:paraId="40543BD4" w14:textId="77777777" w:rsidR="00D57E40" w:rsidRDefault="00D57E40" w:rsidP="000005B0">
            <w:pPr>
              <w:autoSpaceDE w:val="0"/>
              <w:autoSpaceDN w:val="0"/>
              <w:adjustRightInd w:val="0"/>
              <w:spacing w:before="120" w:after="120"/>
              <w:jc w:val="left"/>
              <w:rPr>
                <w:rFonts w:eastAsiaTheme="minorHAnsi" w:cs="Calibri"/>
                <w:color w:val="000000"/>
              </w:rPr>
            </w:pPr>
            <w:r>
              <w:rPr>
                <w:rFonts w:eastAsiaTheme="minorHAnsi" w:cs="Calibri"/>
                <w:color w:val="000000"/>
              </w:rPr>
              <w:t>Italy</w:t>
            </w:r>
          </w:p>
        </w:tc>
        <w:tc>
          <w:tcPr>
            <w:tcW w:w="6426" w:type="dxa"/>
          </w:tcPr>
          <w:p w14:paraId="7A88121F" w14:textId="77777777" w:rsidR="00D57E40" w:rsidRPr="005F6913" w:rsidRDefault="00D57E40" w:rsidP="000005B0">
            <w:pPr>
              <w:pStyle w:val="ListParagraph"/>
              <w:numPr>
                <w:ilvl w:val="0"/>
                <w:numId w:val="35"/>
              </w:numPr>
              <w:autoSpaceDE w:val="0"/>
              <w:autoSpaceDN w:val="0"/>
              <w:adjustRightInd w:val="0"/>
              <w:spacing w:before="120"/>
              <w:contextualSpacing/>
              <w:jc w:val="left"/>
              <w:rPr>
                <w:rFonts w:eastAsiaTheme="minorHAnsi" w:cs="Calibri"/>
                <w:color w:val="000000"/>
              </w:rPr>
            </w:pPr>
            <w:r w:rsidRPr="005F6913">
              <w:rPr>
                <w:rFonts w:eastAsiaTheme="minorHAnsi" w:cs="Calibri"/>
                <w:color w:val="000000"/>
              </w:rPr>
              <w:t xml:space="preserve">80 </w:t>
            </w:r>
            <w:proofErr w:type="spellStart"/>
            <w:r w:rsidRPr="005F6913">
              <w:rPr>
                <w:rFonts w:eastAsiaTheme="minorHAnsi" w:cs="Calibri"/>
                <w:color w:val="000000"/>
              </w:rPr>
              <w:t>TWh</w:t>
            </w:r>
            <w:proofErr w:type="spellEnd"/>
            <w:r w:rsidRPr="005F6913">
              <w:rPr>
                <w:rFonts w:eastAsiaTheme="minorHAnsi" w:cs="Calibri"/>
                <w:color w:val="000000"/>
              </w:rPr>
              <w:t xml:space="preserve"> biogas by 2030</w:t>
            </w:r>
          </w:p>
        </w:tc>
      </w:tr>
      <w:tr w:rsidR="00D57E40" w14:paraId="5F68D2B2" w14:textId="77777777" w:rsidTr="00D57E40">
        <w:trPr>
          <w:jc w:val="center"/>
        </w:trPr>
        <w:tc>
          <w:tcPr>
            <w:tcW w:w="1371" w:type="dxa"/>
          </w:tcPr>
          <w:p w14:paraId="27F4B0AB" w14:textId="77777777" w:rsidR="00D57E40" w:rsidRDefault="00D57E40" w:rsidP="000005B0">
            <w:pPr>
              <w:autoSpaceDE w:val="0"/>
              <w:autoSpaceDN w:val="0"/>
              <w:adjustRightInd w:val="0"/>
              <w:spacing w:before="120" w:after="120"/>
              <w:jc w:val="left"/>
              <w:rPr>
                <w:rFonts w:eastAsiaTheme="minorHAnsi" w:cs="Calibri"/>
                <w:color w:val="000000"/>
              </w:rPr>
            </w:pPr>
            <w:r>
              <w:rPr>
                <w:rFonts w:eastAsiaTheme="minorHAnsi" w:cs="Calibri"/>
                <w:color w:val="000000"/>
              </w:rPr>
              <w:t>Sweden</w:t>
            </w:r>
          </w:p>
        </w:tc>
        <w:tc>
          <w:tcPr>
            <w:tcW w:w="6426" w:type="dxa"/>
          </w:tcPr>
          <w:p w14:paraId="712A544E" w14:textId="77777777" w:rsidR="00D57E40" w:rsidRPr="005F6913" w:rsidRDefault="00D57E40" w:rsidP="000005B0">
            <w:pPr>
              <w:pStyle w:val="ListParagraph"/>
              <w:numPr>
                <w:ilvl w:val="0"/>
                <w:numId w:val="35"/>
              </w:numPr>
              <w:autoSpaceDE w:val="0"/>
              <w:autoSpaceDN w:val="0"/>
              <w:adjustRightInd w:val="0"/>
              <w:spacing w:before="120"/>
              <w:contextualSpacing/>
              <w:jc w:val="left"/>
              <w:rPr>
                <w:rFonts w:eastAsiaTheme="minorHAnsi" w:cs="Calibri"/>
                <w:color w:val="000000"/>
              </w:rPr>
            </w:pPr>
            <w:r w:rsidRPr="005F6913">
              <w:rPr>
                <w:rFonts w:eastAsiaTheme="minorHAnsi" w:cs="Calibri"/>
                <w:color w:val="000000"/>
              </w:rPr>
              <w:t xml:space="preserve">15 </w:t>
            </w:r>
            <w:proofErr w:type="spellStart"/>
            <w:r w:rsidRPr="005F6913">
              <w:rPr>
                <w:rFonts w:eastAsiaTheme="minorHAnsi" w:cs="Calibri"/>
                <w:color w:val="000000"/>
              </w:rPr>
              <w:t>TWh</w:t>
            </w:r>
            <w:proofErr w:type="spellEnd"/>
            <w:r w:rsidRPr="005F6913">
              <w:rPr>
                <w:rFonts w:eastAsiaTheme="minorHAnsi" w:cs="Calibri"/>
                <w:color w:val="000000"/>
              </w:rPr>
              <w:t xml:space="preserve"> biogas by 2030</w:t>
            </w:r>
          </w:p>
          <w:p w14:paraId="7FF11969" w14:textId="77777777" w:rsidR="00D57E40" w:rsidRPr="005F6913" w:rsidRDefault="00D57E40" w:rsidP="000005B0">
            <w:pPr>
              <w:pStyle w:val="ListParagraph"/>
              <w:numPr>
                <w:ilvl w:val="0"/>
                <w:numId w:val="35"/>
              </w:numPr>
              <w:autoSpaceDE w:val="0"/>
              <w:autoSpaceDN w:val="0"/>
              <w:adjustRightInd w:val="0"/>
              <w:spacing w:before="120"/>
              <w:contextualSpacing/>
              <w:jc w:val="left"/>
              <w:rPr>
                <w:rFonts w:eastAsiaTheme="minorHAnsi" w:cs="Calibri"/>
                <w:color w:val="000000"/>
              </w:rPr>
            </w:pPr>
            <w:r w:rsidRPr="005F6913">
              <w:rPr>
                <w:rFonts w:eastAsiaTheme="minorHAnsi" w:cs="Calibri"/>
                <w:color w:val="000000"/>
              </w:rPr>
              <w:t>Vision of fossil-free transportation sector by 2050</w:t>
            </w:r>
          </w:p>
        </w:tc>
      </w:tr>
      <w:tr w:rsidR="00D57E40" w14:paraId="78C5E7E0" w14:textId="77777777" w:rsidTr="00D57E40">
        <w:trPr>
          <w:jc w:val="center"/>
        </w:trPr>
        <w:tc>
          <w:tcPr>
            <w:tcW w:w="1371" w:type="dxa"/>
          </w:tcPr>
          <w:p w14:paraId="5367D2C0" w14:textId="77777777" w:rsidR="00D57E40" w:rsidRDefault="00D57E40" w:rsidP="000005B0">
            <w:pPr>
              <w:autoSpaceDE w:val="0"/>
              <w:autoSpaceDN w:val="0"/>
              <w:adjustRightInd w:val="0"/>
              <w:spacing w:before="120" w:after="120"/>
              <w:jc w:val="left"/>
              <w:rPr>
                <w:rFonts w:eastAsiaTheme="minorHAnsi" w:cs="Calibri"/>
                <w:color w:val="000000"/>
              </w:rPr>
            </w:pPr>
            <w:r>
              <w:rPr>
                <w:rFonts w:eastAsiaTheme="minorHAnsi" w:cs="Calibri"/>
                <w:color w:val="000000"/>
              </w:rPr>
              <w:t xml:space="preserve">Finland </w:t>
            </w:r>
          </w:p>
        </w:tc>
        <w:tc>
          <w:tcPr>
            <w:tcW w:w="6426" w:type="dxa"/>
          </w:tcPr>
          <w:p w14:paraId="510CF2A8" w14:textId="77777777" w:rsidR="00D57E40" w:rsidRPr="005F6913" w:rsidRDefault="00D57E40" w:rsidP="000005B0">
            <w:pPr>
              <w:pStyle w:val="ListParagraph"/>
              <w:numPr>
                <w:ilvl w:val="0"/>
                <w:numId w:val="35"/>
              </w:numPr>
              <w:autoSpaceDE w:val="0"/>
              <w:autoSpaceDN w:val="0"/>
              <w:adjustRightInd w:val="0"/>
              <w:spacing w:before="120"/>
              <w:contextualSpacing/>
              <w:jc w:val="left"/>
              <w:rPr>
                <w:rFonts w:eastAsiaTheme="minorHAnsi" w:cs="Calibri"/>
                <w:color w:val="000000"/>
              </w:rPr>
            </w:pPr>
            <w:r w:rsidRPr="005F6913">
              <w:rPr>
                <w:rFonts w:eastAsiaTheme="minorHAnsi" w:cs="Calibri"/>
                <w:color w:val="000000"/>
              </w:rPr>
              <w:t xml:space="preserve">15 </w:t>
            </w:r>
            <w:proofErr w:type="spellStart"/>
            <w:r w:rsidRPr="005F6913">
              <w:rPr>
                <w:rFonts w:eastAsiaTheme="minorHAnsi" w:cs="Calibri"/>
                <w:color w:val="000000"/>
              </w:rPr>
              <w:t>TWh</w:t>
            </w:r>
            <w:proofErr w:type="spellEnd"/>
            <w:r w:rsidRPr="005F6913">
              <w:rPr>
                <w:rFonts w:eastAsiaTheme="minorHAnsi" w:cs="Calibri"/>
                <w:color w:val="000000"/>
              </w:rPr>
              <w:t xml:space="preserve"> biogas by 2045</w:t>
            </w:r>
          </w:p>
        </w:tc>
      </w:tr>
      <w:tr w:rsidR="00D57E40" w14:paraId="46464F5D" w14:textId="77777777" w:rsidTr="00D57E40">
        <w:trPr>
          <w:jc w:val="center"/>
        </w:trPr>
        <w:tc>
          <w:tcPr>
            <w:tcW w:w="1371" w:type="dxa"/>
          </w:tcPr>
          <w:p w14:paraId="5B5D7C34" w14:textId="77777777" w:rsidR="00D57E40" w:rsidRDefault="00D57E40" w:rsidP="000005B0">
            <w:pPr>
              <w:autoSpaceDE w:val="0"/>
              <w:autoSpaceDN w:val="0"/>
              <w:adjustRightInd w:val="0"/>
              <w:spacing w:before="120" w:after="120"/>
              <w:jc w:val="left"/>
              <w:rPr>
                <w:rFonts w:eastAsiaTheme="minorHAnsi" w:cs="Calibri"/>
                <w:color w:val="000000"/>
              </w:rPr>
            </w:pPr>
            <w:r>
              <w:rPr>
                <w:rFonts w:eastAsiaTheme="minorHAnsi" w:cs="Calibri"/>
                <w:color w:val="000000"/>
              </w:rPr>
              <w:t xml:space="preserve">Denmark </w:t>
            </w:r>
          </w:p>
        </w:tc>
        <w:tc>
          <w:tcPr>
            <w:tcW w:w="6426" w:type="dxa"/>
          </w:tcPr>
          <w:p w14:paraId="2C72AC3C" w14:textId="77777777" w:rsidR="00D57E40" w:rsidRPr="005F6913" w:rsidRDefault="00D57E40" w:rsidP="000005B0">
            <w:pPr>
              <w:pStyle w:val="ListParagraph"/>
              <w:numPr>
                <w:ilvl w:val="0"/>
                <w:numId w:val="35"/>
              </w:numPr>
              <w:autoSpaceDE w:val="0"/>
              <w:autoSpaceDN w:val="0"/>
              <w:adjustRightInd w:val="0"/>
              <w:spacing w:before="120"/>
              <w:contextualSpacing/>
              <w:jc w:val="left"/>
              <w:rPr>
                <w:rFonts w:eastAsiaTheme="minorHAnsi" w:cs="Calibri"/>
                <w:color w:val="000000"/>
              </w:rPr>
            </w:pPr>
            <w:r w:rsidRPr="005F6913">
              <w:rPr>
                <w:rFonts w:eastAsiaTheme="minorHAnsi" w:cs="Calibri"/>
                <w:color w:val="000000"/>
              </w:rPr>
              <w:t>Ambition to become first country to reach 100% green gas in the grid by 2035</w:t>
            </w:r>
          </w:p>
        </w:tc>
      </w:tr>
    </w:tbl>
    <w:p w14:paraId="125F8D43" w14:textId="546E294A" w:rsidR="00D57E40" w:rsidRDefault="00D57E40" w:rsidP="000005B0">
      <w:pPr>
        <w:autoSpaceDE w:val="0"/>
        <w:autoSpaceDN w:val="0"/>
        <w:adjustRightInd w:val="0"/>
        <w:spacing w:before="120" w:after="120"/>
        <w:jc w:val="left"/>
        <w:rPr>
          <w:rStyle w:val="A2"/>
        </w:rPr>
      </w:pPr>
      <w:r>
        <w:rPr>
          <w:rFonts w:eastAsiaTheme="minorHAnsi" w:cs="Calibri"/>
          <w:color w:val="000000"/>
        </w:rPr>
        <w:t xml:space="preserve">The </w:t>
      </w:r>
      <w:hyperlink r:id="rId16" w:history="1">
        <w:r w:rsidRPr="00413541">
          <w:rPr>
            <w:rStyle w:val="Hyperlink"/>
            <w:rFonts w:eastAsiaTheme="minorHAnsi" w:cs="Calibri"/>
          </w:rPr>
          <w:t>REA Bioenergy Strategy Vision report</w:t>
        </w:r>
      </w:hyperlink>
      <w:r>
        <w:rPr>
          <w:rFonts w:eastAsiaTheme="minorHAnsi" w:cs="Calibri"/>
          <w:color w:val="000000"/>
        </w:rPr>
        <w:t xml:space="preserve"> estimates that, a</w:t>
      </w:r>
      <w:r>
        <w:rPr>
          <w:rStyle w:val="A2"/>
        </w:rPr>
        <w:t xml:space="preserve">ssuming that sufficient raw material could be developed, then biomethane production from AD </w:t>
      </w:r>
      <w:r w:rsidRPr="00C93EDA">
        <w:rPr>
          <w:rFonts w:eastAsiaTheme="minorHAnsi" w:cs="Calibri"/>
        </w:rPr>
        <w:t xml:space="preserve">could rise to around 180 PJ </w:t>
      </w:r>
      <w:r>
        <w:rPr>
          <w:rFonts w:eastAsiaTheme="minorHAnsi" w:cs="Calibri"/>
        </w:rPr>
        <w:t xml:space="preserve">by 2026 (50 </w:t>
      </w:r>
      <w:proofErr w:type="spellStart"/>
      <w:r>
        <w:rPr>
          <w:rFonts w:eastAsiaTheme="minorHAnsi" w:cs="Calibri"/>
        </w:rPr>
        <w:t>TWh</w:t>
      </w:r>
      <w:proofErr w:type="spellEnd"/>
      <w:r>
        <w:rPr>
          <w:rFonts w:eastAsiaTheme="minorHAnsi" w:cs="Calibri"/>
        </w:rPr>
        <w:t xml:space="preserve">) </w:t>
      </w:r>
      <w:r w:rsidRPr="00C93EDA">
        <w:rPr>
          <w:rFonts w:eastAsiaTheme="minorHAnsi" w:cs="Calibri"/>
        </w:rPr>
        <w:t>to a total of some 220 PJ by 2032</w:t>
      </w:r>
      <w:r>
        <w:rPr>
          <w:rFonts w:eastAsiaTheme="minorHAnsi" w:cs="Calibri"/>
        </w:rPr>
        <w:t xml:space="preserve"> (61 </w:t>
      </w:r>
      <w:proofErr w:type="spellStart"/>
      <w:r>
        <w:rPr>
          <w:rFonts w:eastAsiaTheme="minorHAnsi" w:cs="Calibri"/>
        </w:rPr>
        <w:t>TWh</w:t>
      </w:r>
      <w:proofErr w:type="spellEnd"/>
      <w:r>
        <w:rPr>
          <w:rFonts w:eastAsiaTheme="minorHAnsi" w:cs="Calibri"/>
        </w:rPr>
        <w:t>)</w:t>
      </w:r>
      <w:r w:rsidRPr="00C93EDA">
        <w:rPr>
          <w:rFonts w:eastAsiaTheme="minorHAnsi" w:cs="Calibri"/>
        </w:rPr>
        <w:t xml:space="preserve">. </w:t>
      </w:r>
      <w:proofErr w:type="gramStart"/>
      <w:r w:rsidR="00EB6E92">
        <w:t>in</w:t>
      </w:r>
      <w:proofErr w:type="gramEnd"/>
      <w:r w:rsidR="00EB6E92">
        <w:t xml:space="preserve"> 2019 – we are at only around a 1/10</w:t>
      </w:r>
      <w:r w:rsidR="00EB6E92" w:rsidRPr="007443C1">
        <w:rPr>
          <w:vertAlign w:val="superscript"/>
        </w:rPr>
        <w:t>t</w:t>
      </w:r>
      <w:r w:rsidRPr="00C93EDA">
        <w:rPr>
          <w:rFonts w:eastAsiaTheme="minorHAnsi" w:cs="Calibri"/>
        </w:rPr>
        <w:t>The gas could be used for heat, transport or for continued power generation depending on market developments. It is assumed here that the amount used for power declines slowly, and the rest of the growth is split evenly between heat and transport. Under these assumptions biomethane for heating reaches 67 PJ by 2026</w:t>
      </w:r>
      <w:r>
        <w:rPr>
          <w:rFonts w:eastAsiaTheme="minorHAnsi" w:cs="Calibri"/>
        </w:rPr>
        <w:t xml:space="preserve"> (18.6 </w:t>
      </w:r>
      <w:proofErr w:type="spellStart"/>
      <w:r>
        <w:rPr>
          <w:rFonts w:eastAsiaTheme="minorHAnsi" w:cs="Calibri"/>
        </w:rPr>
        <w:t>TWh</w:t>
      </w:r>
      <w:proofErr w:type="spellEnd"/>
      <w:r>
        <w:rPr>
          <w:rFonts w:eastAsiaTheme="minorHAnsi" w:cs="Calibri"/>
        </w:rPr>
        <w:t>)</w:t>
      </w:r>
      <w:r w:rsidRPr="00C93EDA">
        <w:rPr>
          <w:rFonts w:eastAsiaTheme="minorHAnsi" w:cs="Calibri"/>
        </w:rPr>
        <w:t xml:space="preserve"> and 107 PJ 2032</w:t>
      </w:r>
      <w:r>
        <w:rPr>
          <w:rFonts w:eastAsiaTheme="minorHAnsi" w:cs="Calibri"/>
        </w:rPr>
        <w:t xml:space="preserve"> (29.7 </w:t>
      </w:r>
      <w:proofErr w:type="spellStart"/>
      <w:r>
        <w:rPr>
          <w:rFonts w:eastAsiaTheme="minorHAnsi" w:cs="Calibri"/>
        </w:rPr>
        <w:t>TWh</w:t>
      </w:r>
      <w:proofErr w:type="spellEnd"/>
      <w:r>
        <w:rPr>
          <w:rFonts w:eastAsiaTheme="minorHAnsi" w:cs="Calibri"/>
        </w:rPr>
        <w:t>)</w:t>
      </w:r>
      <w:r w:rsidRPr="00C93EDA">
        <w:rPr>
          <w:rFonts w:eastAsiaTheme="minorHAnsi" w:cs="Calibri"/>
        </w:rPr>
        <w:t>, with biomethane</w:t>
      </w:r>
      <w:r>
        <w:rPr>
          <w:rStyle w:val="A2"/>
        </w:rPr>
        <w:t xml:space="preserve"> for transport achieving 43 (11.9 </w:t>
      </w:r>
      <w:proofErr w:type="spellStart"/>
      <w:r>
        <w:rPr>
          <w:rStyle w:val="A2"/>
        </w:rPr>
        <w:t>TWh</w:t>
      </w:r>
      <w:proofErr w:type="spellEnd"/>
      <w:r>
        <w:rPr>
          <w:rStyle w:val="A2"/>
        </w:rPr>
        <w:t xml:space="preserve">) and 82 PJ (22.8 </w:t>
      </w:r>
      <w:proofErr w:type="spellStart"/>
      <w:r>
        <w:rPr>
          <w:rStyle w:val="A2"/>
        </w:rPr>
        <w:t>TWh</w:t>
      </w:r>
      <w:proofErr w:type="spellEnd"/>
      <w:r>
        <w:rPr>
          <w:rStyle w:val="A2"/>
        </w:rPr>
        <w:t xml:space="preserve">) by the same dates. </w:t>
      </w:r>
    </w:p>
    <w:p w14:paraId="76BAFB15" w14:textId="7671A3EA" w:rsidR="00D57E40" w:rsidRPr="0079373E" w:rsidRDefault="00D57E40" w:rsidP="000005B0">
      <w:pPr>
        <w:autoSpaceDE w:val="0"/>
        <w:autoSpaceDN w:val="0"/>
        <w:adjustRightInd w:val="0"/>
        <w:spacing w:before="120" w:after="120"/>
        <w:jc w:val="left"/>
        <w:rPr>
          <w:rFonts w:eastAsiaTheme="minorHAnsi" w:cs="Calibri"/>
        </w:rPr>
      </w:pPr>
      <w:r w:rsidRPr="0079373E">
        <w:rPr>
          <w:rFonts w:eastAsiaTheme="minorHAnsi" w:cs="Calibri"/>
        </w:rPr>
        <w:t xml:space="preserve">With regard to thermal biomethane from gasification, given the technology is not yet fully commercialised, according to the </w:t>
      </w:r>
      <w:hyperlink r:id="rId17" w:history="1">
        <w:r w:rsidR="002F1599" w:rsidRPr="00413541">
          <w:rPr>
            <w:rStyle w:val="Hyperlink"/>
            <w:rFonts w:eastAsiaTheme="minorHAnsi" w:cs="Calibri"/>
          </w:rPr>
          <w:t>REA Bioenergy Strategy Vision report</w:t>
        </w:r>
      </w:hyperlink>
      <w:r w:rsidR="00EB6E92">
        <w:rPr>
          <w:rFonts w:eastAsiaTheme="minorHAnsi" w:cs="Calibri"/>
        </w:rPr>
        <w:t xml:space="preserve"> </w:t>
      </w:r>
      <w:r w:rsidRPr="0079373E">
        <w:rPr>
          <w:rFonts w:eastAsiaTheme="minorHAnsi" w:cs="Calibri"/>
        </w:rPr>
        <w:t xml:space="preserve">an objective of demonstrating 5 large scale (&gt;50 MW) thermal biomethane production from wastes and from wood-based sources in the UK by 2025 would be realistic. Such a fleet of plants would provide around 10 PJ (2.8 </w:t>
      </w:r>
      <w:proofErr w:type="spellStart"/>
      <w:r w:rsidRPr="0079373E">
        <w:rPr>
          <w:rFonts w:eastAsiaTheme="minorHAnsi" w:cs="Calibri"/>
        </w:rPr>
        <w:t>TWh</w:t>
      </w:r>
      <w:proofErr w:type="spellEnd"/>
      <w:r w:rsidRPr="0079373E">
        <w:rPr>
          <w:rFonts w:eastAsiaTheme="minorHAnsi" w:cs="Calibri"/>
        </w:rPr>
        <w:t xml:space="preserve">) of biomethane in 2032 and lay the basis for later expansion. </w:t>
      </w:r>
    </w:p>
    <w:p w14:paraId="7E3F5A39" w14:textId="77777777" w:rsidR="00055927" w:rsidRDefault="00D57E40" w:rsidP="000005B0">
      <w:pPr>
        <w:autoSpaceDE w:val="0"/>
        <w:autoSpaceDN w:val="0"/>
        <w:adjustRightInd w:val="0"/>
        <w:spacing w:before="120" w:after="120"/>
        <w:jc w:val="left"/>
        <w:rPr>
          <w:lang w:val="en-US"/>
        </w:rPr>
      </w:pPr>
      <w:r w:rsidRPr="006A2FD6">
        <w:rPr>
          <w:lang w:val="en-US"/>
        </w:rPr>
        <w:t xml:space="preserve">Based on the above, a target for green gas from bioenergy (AD and gasification) could be set at between 60 – 65 </w:t>
      </w:r>
      <w:proofErr w:type="spellStart"/>
      <w:r w:rsidRPr="006A2FD6">
        <w:rPr>
          <w:lang w:val="en-US"/>
        </w:rPr>
        <w:t>TWh</w:t>
      </w:r>
      <w:proofErr w:type="spellEnd"/>
      <w:r w:rsidRPr="006A2FD6">
        <w:rPr>
          <w:lang w:val="en-US"/>
        </w:rPr>
        <w:t xml:space="preserve">/annum by 2032. </w:t>
      </w:r>
    </w:p>
    <w:p w14:paraId="5F7537D0" w14:textId="77777777" w:rsidR="00D57E40" w:rsidRDefault="00055927" w:rsidP="000005B0">
      <w:pPr>
        <w:autoSpaceDE w:val="0"/>
        <w:autoSpaceDN w:val="0"/>
        <w:adjustRightInd w:val="0"/>
        <w:spacing w:before="120" w:after="120"/>
        <w:jc w:val="left"/>
        <w:rPr>
          <w:lang w:val="en-US"/>
        </w:rPr>
      </w:pPr>
      <w:r w:rsidRPr="00055927">
        <w:rPr>
          <w:lang w:val="en-US"/>
        </w:rPr>
        <w:lastRenderedPageBreak/>
        <w:t xml:space="preserve">In recent work undertaken for the ENA, Navigant </w:t>
      </w:r>
      <w:r w:rsidR="00621FF2">
        <w:rPr>
          <w:lang w:val="en-US"/>
        </w:rPr>
        <w:t>C</w:t>
      </w:r>
      <w:r w:rsidRPr="00055927">
        <w:rPr>
          <w:lang w:val="en-US"/>
        </w:rPr>
        <w:t xml:space="preserve">onsulting </w:t>
      </w:r>
      <w:r w:rsidR="00621FF2">
        <w:rPr>
          <w:lang w:val="en-US"/>
        </w:rPr>
        <w:t>estimates that hydrogen and</w:t>
      </w:r>
      <w:r w:rsidR="00621FF2" w:rsidRPr="00621FF2">
        <w:rPr>
          <w:lang w:val="en-US"/>
        </w:rPr>
        <w:t xml:space="preserve"> biomethane would together deliver 430 </w:t>
      </w:r>
      <w:proofErr w:type="spellStart"/>
      <w:r w:rsidR="00621FF2" w:rsidRPr="00621FF2">
        <w:rPr>
          <w:lang w:val="en-US"/>
        </w:rPr>
        <w:t>TW</w:t>
      </w:r>
      <w:r w:rsidR="00621FF2">
        <w:rPr>
          <w:lang w:val="en-US"/>
        </w:rPr>
        <w:t>h</w:t>
      </w:r>
      <w:proofErr w:type="spellEnd"/>
      <w:r w:rsidR="00621FF2">
        <w:rPr>
          <w:lang w:val="en-US"/>
        </w:rPr>
        <w:t xml:space="preserve"> </w:t>
      </w:r>
      <w:r w:rsidR="00621FF2" w:rsidRPr="00621FF2">
        <w:rPr>
          <w:lang w:val="en-US"/>
        </w:rPr>
        <w:t>in 2050, over 50% of today</w:t>
      </w:r>
      <w:r w:rsidR="00621FF2" w:rsidRPr="00621FF2">
        <w:rPr>
          <w:rFonts w:hint="eastAsia"/>
          <w:lang w:val="en-US"/>
        </w:rPr>
        <w:t>’</w:t>
      </w:r>
      <w:r w:rsidR="00621FF2" w:rsidRPr="00621FF2">
        <w:rPr>
          <w:lang w:val="en-US"/>
        </w:rPr>
        <w:t>s gas consumption</w:t>
      </w:r>
      <w:r w:rsidR="00621FF2">
        <w:rPr>
          <w:lang w:val="en-US"/>
        </w:rPr>
        <w:t xml:space="preserve">. </w:t>
      </w:r>
    </w:p>
    <w:p w14:paraId="2EEB1130" w14:textId="77777777" w:rsidR="00D57E40" w:rsidRDefault="003002B4" w:rsidP="000005B0">
      <w:pPr>
        <w:spacing w:before="120" w:after="120"/>
        <w:rPr>
          <w:lang w:val="en-US"/>
        </w:rPr>
      </w:pPr>
      <w:r>
        <w:rPr>
          <w:lang w:val="en-US"/>
        </w:rPr>
        <w:t xml:space="preserve">Alternatively, this target could be </w:t>
      </w:r>
      <w:r w:rsidR="00D57E40" w:rsidRPr="006A2FD6">
        <w:rPr>
          <w:lang w:val="en-US"/>
        </w:rPr>
        <w:t xml:space="preserve">a minimum </w:t>
      </w:r>
      <w:r w:rsidR="00D57E40" w:rsidRPr="006A2FD6">
        <w:rPr>
          <w:bCs/>
          <w:lang w:val="en-US"/>
        </w:rPr>
        <w:t>reduction of the greenhouse gas intensity</w:t>
      </w:r>
      <w:r w:rsidR="00D57E40" w:rsidRPr="006A2FD6">
        <w:rPr>
          <w:lang w:val="en-US"/>
        </w:rPr>
        <w:t xml:space="preserve"> by a certain year (20xx). </w:t>
      </w:r>
    </w:p>
    <w:p w14:paraId="0AFF2420" w14:textId="77777777" w:rsidR="00D57E40" w:rsidRDefault="00D57E40" w:rsidP="000005B0">
      <w:pPr>
        <w:autoSpaceDE w:val="0"/>
        <w:autoSpaceDN w:val="0"/>
        <w:adjustRightInd w:val="0"/>
        <w:spacing w:before="120" w:after="120"/>
        <w:jc w:val="left"/>
        <w:rPr>
          <w:rStyle w:val="A2"/>
        </w:rPr>
      </w:pPr>
    </w:p>
    <w:p w14:paraId="79199040" w14:textId="68B4803B" w:rsidR="00D57E40" w:rsidRPr="0024472A" w:rsidRDefault="0024472A" w:rsidP="000005B0">
      <w:pPr>
        <w:pStyle w:val="Heading3"/>
        <w:spacing w:before="120"/>
        <w:rPr>
          <w:rStyle w:val="A2"/>
          <w:rFonts w:cs="Arial"/>
          <w:color w:val="687522"/>
          <w:szCs w:val="26"/>
        </w:rPr>
      </w:pPr>
      <w:r w:rsidRPr="0024472A">
        <w:rPr>
          <w:rStyle w:val="A2"/>
          <w:rFonts w:cs="Arial"/>
          <w:color w:val="687522"/>
          <w:szCs w:val="26"/>
        </w:rPr>
        <w:t>2.</w:t>
      </w:r>
      <w:r w:rsidR="00AA4522">
        <w:rPr>
          <w:rStyle w:val="A2"/>
          <w:rFonts w:cs="Arial"/>
          <w:color w:val="687522"/>
          <w:szCs w:val="26"/>
        </w:rPr>
        <w:t>11</w:t>
      </w:r>
      <w:r w:rsidR="00AA4522" w:rsidRPr="0024472A">
        <w:rPr>
          <w:rStyle w:val="A2"/>
          <w:rFonts w:cs="Arial"/>
          <w:color w:val="687522"/>
          <w:szCs w:val="26"/>
        </w:rPr>
        <w:t xml:space="preserve"> </w:t>
      </w:r>
      <w:r w:rsidR="00D57E40" w:rsidRPr="0024472A">
        <w:rPr>
          <w:rStyle w:val="A2"/>
          <w:rFonts w:cs="Arial"/>
          <w:color w:val="687522"/>
          <w:szCs w:val="26"/>
        </w:rPr>
        <w:t xml:space="preserve">Feedstocks </w:t>
      </w:r>
    </w:p>
    <w:p w14:paraId="64BFE308" w14:textId="5117C601" w:rsidR="00D57E40" w:rsidRDefault="00A7221C" w:rsidP="000005B0">
      <w:pPr>
        <w:autoSpaceDE w:val="0"/>
        <w:autoSpaceDN w:val="0"/>
        <w:adjustRightInd w:val="0"/>
        <w:spacing w:before="120" w:after="120"/>
        <w:jc w:val="left"/>
        <w:rPr>
          <w:rStyle w:val="A2"/>
        </w:rPr>
      </w:pPr>
      <w:r>
        <w:rPr>
          <w:rStyle w:val="A2"/>
        </w:rPr>
        <w:t xml:space="preserve">As per current mechanisms, </w:t>
      </w:r>
      <w:r w:rsidR="00D57E40">
        <w:rPr>
          <w:rStyle w:val="A2"/>
        </w:rPr>
        <w:t xml:space="preserve">the feedstocks used to make green gas would only be eligible under the support mechanism if they comply with all the </w:t>
      </w:r>
      <w:r>
        <w:rPr>
          <w:rStyle w:val="A2"/>
        </w:rPr>
        <w:t xml:space="preserve">biomass </w:t>
      </w:r>
      <w:r w:rsidR="00D57E40">
        <w:rPr>
          <w:rStyle w:val="A2"/>
        </w:rPr>
        <w:t>sustainability criteria</w:t>
      </w:r>
      <w:r w:rsidR="00D82346">
        <w:rPr>
          <w:rStyle w:val="A2"/>
        </w:rPr>
        <w:t xml:space="preserve"> (currently set out in the RHI)</w:t>
      </w:r>
      <w:r w:rsidR="00D57E40">
        <w:rPr>
          <w:rStyle w:val="A2"/>
        </w:rPr>
        <w:t xml:space="preserve">. </w:t>
      </w:r>
      <w:r>
        <w:rPr>
          <w:rStyle w:val="A2"/>
        </w:rPr>
        <w:t xml:space="preserve">Changes to the criteria are being brought by the Renewable Energy Directive II (RED II) and we would encourage BEIS to align the sustainability criteria under a new support mechanism with those identified in the RED II. </w:t>
      </w:r>
    </w:p>
    <w:p w14:paraId="30758672" w14:textId="77777777" w:rsidR="00A7221C" w:rsidRDefault="00D57E40" w:rsidP="000005B0">
      <w:pPr>
        <w:autoSpaceDE w:val="0"/>
        <w:autoSpaceDN w:val="0"/>
        <w:adjustRightInd w:val="0"/>
        <w:spacing w:before="120" w:after="120"/>
        <w:jc w:val="left"/>
        <w:rPr>
          <w:rStyle w:val="A2"/>
        </w:rPr>
      </w:pPr>
      <w:r>
        <w:rPr>
          <w:rStyle w:val="A2"/>
        </w:rPr>
        <w:t xml:space="preserve">Potentially, there could be a mechanism </w:t>
      </w:r>
      <w:r w:rsidR="00A7221C">
        <w:rPr>
          <w:rStyle w:val="A2"/>
        </w:rPr>
        <w:t xml:space="preserve">within an obligation </w:t>
      </w:r>
      <w:r>
        <w:rPr>
          <w:rStyle w:val="A2"/>
        </w:rPr>
        <w:t xml:space="preserve">to encourage production of </w:t>
      </w:r>
      <w:r w:rsidR="00A7221C">
        <w:rPr>
          <w:rStyle w:val="A2"/>
        </w:rPr>
        <w:t xml:space="preserve">‘advanced’ </w:t>
      </w:r>
      <w:r>
        <w:rPr>
          <w:rStyle w:val="A2"/>
        </w:rPr>
        <w:t xml:space="preserve">green gases </w:t>
      </w:r>
      <w:r w:rsidR="00A7221C">
        <w:rPr>
          <w:rStyle w:val="A2"/>
        </w:rPr>
        <w:t xml:space="preserve">made </w:t>
      </w:r>
      <w:r>
        <w:rPr>
          <w:rStyle w:val="A2"/>
        </w:rPr>
        <w:t xml:space="preserve">from </w:t>
      </w:r>
      <w:r w:rsidR="00A7221C">
        <w:rPr>
          <w:rStyle w:val="A2"/>
        </w:rPr>
        <w:t xml:space="preserve">specific sustainable and new </w:t>
      </w:r>
      <w:r>
        <w:rPr>
          <w:rStyle w:val="A2"/>
        </w:rPr>
        <w:t>fe</w:t>
      </w:r>
      <w:r w:rsidR="00A7221C">
        <w:rPr>
          <w:rStyle w:val="A2"/>
        </w:rPr>
        <w:t>edstocks (e.g. wastes, residues, certain types of crops.</w:t>
      </w:r>
      <w:r>
        <w:rPr>
          <w:rStyle w:val="A2"/>
        </w:rPr>
        <w:t>) by rewarding multiple certificates per unit of gas injected if the green gas is made from these feedstocks (along the line of the RTFO)</w:t>
      </w:r>
      <w:r w:rsidR="00A7221C">
        <w:rPr>
          <w:rStyle w:val="A2"/>
        </w:rPr>
        <w:t xml:space="preserve">. </w:t>
      </w:r>
    </w:p>
    <w:p w14:paraId="27B38368" w14:textId="77777777" w:rsidR="00D57E40" w:rsidRDefault="00D57E40" w:rsidP="000005B0">
      <w:pPr>
        <w:spacing w:before="120" w:after="120"/>
        <w:rPr>
          <w:lang w:val="en-US"/>
        </w:rPr>
      </w:pPr>
    </w:p>
    <w:p w14:paraId="2CC4E4E7" w14:textId="255CBABD" w:rsidR="005D56B9" w:rsidRPr="0024472A" w:rsidRDefault="0024472A" w:rsidP="000005B0">
      <w:pPr>
        <w:pStyle w:val="Heading3"/>
        <w:spacing w:before="120"/>
        <w:rPr>
          <w:rStyle w:val="A2"/>
          <w:rFonts w:cs="Arial"/>
          <w:color w:val="687522"/>
          <w:szCs w:val="26"/>
        </w:rPr>
      </w:pPr>
      <w:r w:rsidRPr="0024472A">
        <w:rPr>
          <w:rStyle w:val="A2"/>
          <w:rFonts w:cs="Arial"/>
          <w:color w:val="687522"/>
          <w:szCs w:val="26"/>
        </w:rPr>
        <w:t>2.</w:t>
      </w:r>
      <w:r w:rsidR="00AA4522" w:rsidRPr="0024472A">
        <w:rPr>
          <w:rStyle w:val="A2"/>
          <w:rFonts w:cs="Arial"/>
          <w:color w:val="687522"/>
          <w:szCs w:val="26"/>
        </w:rPr>
        <w:t>1</w:t>
      </w:r>
      <w:r w:rsidR="00AA4522">
        <w:rPr>
          <w:rStyle w:val="A2"/>
          <w:rFonts w:cs="Arial"/>
          <w:color w:val="687522"/>
          <w:szCs w:val="26"/>
        </w:rPr>
        <w:t>2</w:t>
      </w:r>
      <w:r w:rsidR="00AA4522" w:rsidRPr="0024472A">
        <w:rPr>
          <w:rStyle w:val="A2"/>
          <w:rFonts w:cs="Arial"/>
          <w:color w:val="687522"/>
          <w:szCs w:val="26"/>
        </w:rPr>
        <w:t xml:space="preserve"> </w:t>
      </w:r>
      <w:r w:rsidR="005D56B9" w:rsidRPr="0024472A">
        <w:rPr>
          <w:rStyle w:val="A2"/>
          <w:rFonts w:cs="Arial"/>
          <w:color w:val="687522"/>
          <w:szCs w:val="26"/>
        </w:rPr>
        <w:t xml:space="preserve">Conversion of biogas co-generation plants to biomethane </w:t>
      </w:r>
    </w:p>
    <w:p w14:paraId="188E4DA2" w14:textId="77777777" w:rsidR="009B7456" w:rsidRDefault="00286EBB" w:rsidP="000005B0">
      <w:pPr>
        <w:spacing w:before="120" w:after="120"/>
        <w:rPr>
          <w:rStyle w:val="A2"/>
        </w:rPr>
      </w:pPr>
      <w:r>
        <w:t xml:space="preserve">As highlighted in the </w:t>
      </w:r>
      <w:hyperlink r:id="rId18" w:history="1">
        <w:r w:rsidRPr="00413541">
          <w:rPr>
            <w:rStyle w:val="Hyperlink"/>
            <w:rFonts w:eastAsiaTheme="minorHAnsi" w:cs="Calibri"/>
          </w:rPr>
          <w:t>REA Bioenergy Strategy Vision report</w:t>
        </w:r>
      </w:hyperlink>
      <w:r>
        <w:rPr>
          <w:rFonts w:eastAsiaTheme="minorHAnsi" w:cs="Calibri"/>
          <w:color w:val="000000"/>
        </w:rPr>
        <w:t>, c</w:t>
      </w:r>
      <w:r>
        <w:rPr>
          <w:rStyle w:val="A2"/>
        </w:rPr>
        <w:t xml:space="preserve">urrently most biogas (including sewage and landfill gases) produced in the UK (19 </w:t>
      </w:r>
      <w:proofErr w:type="spellStart"/>
      <w:r>
        <w:rPr>
          <w:rStyle w:val="A2"/>
        </w:rPr>
        <w:t>TWh</w:t>
      </w:r>
      <w:proofErr w:type="spellEnd"/>
      <w:r>
        <w:rPr>
          <w:rStyle w:val="A2"/>
        </w:rPr>
        <w:t>) is used for power generation</w:t>
      </w:r>
      <w:r w:rsidR="009B7456">
        <w:rPr>
          <w:rStyle w:val="A2"/>
        </w:rPr>
        <w:t xml:space="preserve">, supported under either FITs or ROs. </w:t>
      </w:r>
    </w:p>
    <w:p w14:paraId="2644FFEB" w14:textId="2DEAEDF5" w:rsidR="009B7456" w:rsidRDefault="007F5CA6" w:rsidP="000005B0">
      <w:pPr>
        <w:spacing w:before="120" w:after="120"/>
        <w:rPr>
          <w:rStyle w:val="A2"/>
        </w:rPr>
      </w:pPr>
      <w:r>
        <w:rPr>
          <w:rStyle w:val="A2"/>
        </w:rPr>
        <w:t>T</w:t>
      </w:r>
      <w:r w:rsidR="009B7456">
        <w:rPr>
          <w:rStyle w:val="A2"/>
        </w:rPr>
        <w:t>here could be a mechan</w:t>
      </w:r>
      <w:r>
        <w:rPr>
          <w:rStyle w:val="A2"/>
        </w:rPr>
        <w:t>ism within the support scheme</w:t>
      </w:r>
      <w:r w:rsidR="009B7456">
        <w:rPr>
          <w:rStyle w:val="A2"/>
        </w:rPr>
        <w:t xml:space="preserve"> to incentivise plants with co-generation to upgrade to biomethane production sooner than their </w:t>
      </w:r>
      <w:r w:rsidR="00C13427">
        <w:rPr>
          <w:rStyle w:val="A2"/>
        </w:rPr>
        <w:t xml:space="preserve">FITs </w:t>
      </w:r>
      <w:r w:rsidR="009B7456">
        <w:rPr>
          <w:rStyle w:val="A2"/>
        </w:rPr>
        <w:t>tariffs</w:t>
      </w:r>
      <w:r w:rsidR="00C13427">
        <w:rPr>
          <w:rStyle w:val="A2"/>
        </w:rPr>
        <w:t>/ROCs</w:t>
      </w:r>
      <w:r w:rsidR="009B7456">
        <w:rPr>
          <w:rStyle w:val="A2"/>
        </w:rPr>
        <w:t xml:space="preserve"> lifetime comes to an end.  </w:t>
      </w:r>
    </w:p>
    <w:p w14:paraId="401A9976" w14:textId="77777777" w:rsidR="00286EBB" w:rsidRPr="00915B9B" w:rsidRDefault="007F5CA6" w:rsidP="000005B0">
      <w:pPr>
        <w:spacing w:before="120" w:after="120"/>
        <w:rPr>
          <w:color w:val="1F497D"/>
        </w:rPr>
      </w:pPr>
      <w:r>
        <w:t>Under the Italian Scheme described in Appendix 1,</w:t>
      </w:r>
      <w:r w:rsidR="009B7456">
        <w:t xml:space="preserve"> for example, these plants are eligible under the obligation and can convert or expand their production to biomethane, but they need to reduce their total electrical installed capacity by a certain percentage and can continue to claim the renewable power subsidy for the remainder of the capacity until the end of their tariff lifetime. </w:t>
      </w:r>
    </w:p>
    <w:p w14:paraId="577E1B75" w14:textId="77777777" w:rsidR="00FA6504" w:rsidRDefault="00FA6504" w:rsidP="000005B0">
      <w:pPr>
        <w:autoSpaceDE w:val="0"/>
        <w:autoSpaceDN w:val="0"/>
        <w:adjustRightInd w:val="0"/>
        <w:spacing w:before="120" w:after="120"/>
        <w:jc w:val="left"/>
        <w:rPr>
          <w:rStyle w:val="A2"/>
        </w:rPr>
      </w:pPr>
    </w:p>
    <w:p w14:paraId="28B78A60" w14:textId="26BAF913" w:rsidR="00C13427" w:rsidRDefault="00FA6504" w:rsidP="000005B0">
      <w:pPr>
        <w:pStyle w:val="Heading3"/>
        <w:spacing w:before="120"/>
        <w:rPr>
          <w:rStyle w:val="A2"/>
          <w:rFonts w:cs="Arial"/>
          <w:color w:val="687522"/>
          <w:szCs w:val="26"/>
        </w:rPr>
      </w:pPr>
      <w:r w:rsidRPr="00B44294">
        <w:rPr>
          <w:rStyle w:val="A2"/>
          <w:rFonts w:cs="Arial"/>
          <w:color w:val="687522"/>
          <w:szCs w:val="26"/>
        </w:rPr>
        <w:t>2.</w:t>
      </w:r>
      <w:r w:rsidR="00AA4522" w:rsidRPr="00B44294">
        <w:rPr>
          <w:rStyle w:val="A2"/>
          <w:rFonts w:cs="Arial"/>
          <w:color w:val="687522"/>
          <w:szCs w:val="26"/>
        </w:rPr>
        <w:t>1</w:t>
      </w:r>
      <w:r w:rsidR="00AA4522">
        <w:rPr>
          <w:rStyle w:val="A2"/>
          <w:rFonts w:cs="Arial"/>
          <w:color w:val="687522"/>
          <w:szCs w:val="26"/>
        </w:rPr>
        <w:t>3</w:t>
      </w:r>
      <w:r w:rsidR="00AA4522" w:rsidRPr="00B44294">
        <w:rPr>
          <w:rStyle w:val="A2"/>
          <w:rFonts w:cs="Arial"/>
          <w:color w:val="687522"/>
          <w:szCs w:val="26"/>
        </w:rPr>
        <w:t xml:space="preserve"> </w:t>
      </w:r>
      <w:r w:rsidR="00C13427">
        <w:rPr>
          <w:rStyle w:val="A2"/>
          <w:rFonts w:cs="Arial"/>
          <w:color w:val="687522"/>
          <w:szCs w:val="26"/>
        </w:rPr>
        <w:t xml:space="preserve">Other </w:t>
      </w:r>
      <w:r w:rsidR="00474F89">
        <w:rPr>
          <w:rStyle w:val="A2"/>
          <w:rFonts w:cs="Arial"/>
          <w:color w:val="687522"/>
          <w:szCs w:val="26"/>
        </w:rPr>
        <w:t>options</w:t>
      </w:r>
    </w:p>
    <w:p w14:paraId="1BF03E4F" w14:textId="46CED961" w:rsidR="00FA6504" w:rsidRPr="00B44294" w:rsidRDefault="008265E3" w:rsidP="000005B0">
      <w:pPr>
        <w:pStyle w:val="Heading3"/>
        <w:spacing w:before="120"/>
        <w:rPr>
          <w:rStyle w:val="A2"/>
          <w:rFonts w:cs="Arial"/>
          <w:color w:val="687522"/>
          <w:szCs w:val="26"/>
        </w:rPr>
      </w:pPr>
      <w:r>
        <w:rPr>
          <w:rStyle w:val="A2"/>
          <w:rFonts w:cs="Arial"/>
          <w:color w:val="687522"/>
          <w:szCs w:val="26"/>
        </w:rPr>
        <w:t xml:space="preserve">2.13a </w:t>
      </w:r>
      <w:proofErr w:type="spellStart"/>
      <w:r w:rsidR="00FA6504" w:rsidRPr="00B44294">
        <w:rPr>
          <w:rStyle w:val="A2"/>
          <w:rFonts w:cs="Arial"/>
          <w:color w:val="687522"/>
          <w:szCs w:val="26"/>
        </w:rPr>
        <w:t>CfD</w:t>
      </w:r>
      <w:proofErr w:type="spellEnd"/>
      <w:r w:rsidR="00FA6504" w:rsidRPr="00B44294">
        <w:rPr>
          <w:rStyle w:val="A2"/>
          <w:rFonts w:cs="Arial"/>
          <w:color w:val="687522"/>
          <w:szCs w:val="26"/>
        </w:rPr>
        <w:t xml:space="preserve"> type mechanism</w:t>
      </w:r>
    </w:p>
    <w:p w14:paraId="6A931844" w14:textId="77777777" w:rsidR="00FA6504" w:rsidRDefault="00FA6504" w:rsidP="000005B0">
      <w:pPr>
        <w:spacing w:before="120" w:after="120"/>
        <w:rPr>
          <w:lang w:val="en-US"/>
        </w:rPr>
      </w:pPr>
      <w:r>
        <w:t xml:space="preserve">There may be some appetite from Government to introduce a </w:t>
      </w:r>
      <w:proofErr w:type="spellStart"/>
      <w:r>
        <w:t>CfD</w:t>
      </w:r>
      <w:proofErr w:type="spellEnd"/>
      <w:r>
        <w:t xml:space="preserve"> type policy to support renewable gas. This could be a top-up payment linked to market price of gas. The top-up payment would be determined by the difference between a strike price (price a plant would require to be commercially viable) and the wholesale market reference price. This approach could also cater for Bio-SNG, renewable hydrogen and other green gases.</w:t>
      </w:r>
    </w:p>
    <w:p w14:paraId="2816D20E" w14:textId="77777777" w:rsidR="00FA6504" w:rsidRDefault="00FA6504" w:rsidP="000005B0">
      <w:pPr>
        <w:spacing w:before="120" w:after="120"/>
      </w:pPr>
      <w:r>
        <w:t>The price discovery aspect would probably appeal to government and it may be more politically popular than other options as it introduces competition to support, theoretically driving down costs to consumers, and aligning with State Aid requirements.</w:t>
      </w:r>
    </w:p>
    <w:p w14:paraId="0E852567" w14:textId="00023DCB" w:rsidR="00D57E40" w:rsidRDefault="00FA6504" w:rsidP="000005B0">
      <w:pPr>
        <w:spacing w:before="120" w:after="120"/>
      </w:pPr>
      <w:r>
        <w:lastRenderedPageBreak/>
        <w:t>However, this option is not favoured by industry because</w:t>
      </w:r>
      <w:r w:rsidR="007F5CA6">
        <w:t xml:space="preserve"> of the high allocation risk associated with this approach. </w:t>
      </w:r>
      <w:r w:rsidR="00C13427">
        <w:t xml:space="preserve">[We need to </w:t>
      </w:r>
      <w:r w:rsidR="008265E3">
        <w:t xml:space="preserve">set out this argument much more strongly. </w:t>
      </w:r>
      <w:r w:rsidR="00C13427">
        <w:t xml:space="preserve">What are the issues of this approach from Government and industry?]. </w:t>
      </w:r>
    </w:p>
    <w:p w14:paraId="1B1B94FC" w14:textId="77777777" w:rsidR="008265E3" w:rsidRDefault="008265E3" w:rsidP="000005B0">
      <w:pPr>
        <w:spacing w:before="120" w:after="120"/>
      </w:pPr>
    </w:p>
    <w:p w14:paraId="74E48984" w14:textId="0876421F" w:rsidR="008265E3" w:rsidRPr="008265E3" w:rsidRDefault="008265E3" w:rsidP="008265E3">
      <w:pPr>
        <w:pStyle w:val="Heading3"/>
        <w:spacing w:before="120"/>
        <w:rPr>
          <w:rStyle w:val="A2"/>
          <w:rFonts w:cs="Arial"/>
          <w:color w:val="687522"/>
          <w:szCs w:val="26"/>
        </w:rPr>
      </w:pPr>
      <w:r w:rsidRPr="008265E3">
        <w:rPr>
          <w:rStyle w:val="A2"/>
          <w:rFonts w:cs="Arial"/>
          <w:color w:val="687522"/>
          <w:szCs w:val="26"/>
        </w:rPr>
        <w:t xml:space="preserve">2.13b </w:t>
      </w:r>
      <w:proofErr w:type="gramStart"/>
      <w:r w:rsidRPr="008265E3">
        <w:rPr>
          <w:rStyle w:val="A2"/>
          <w:rFonts w:cs="Arial"/>
          <w:color w:val="687522"/>
          <w:szCs w:val="26"/>
        </w:rPr>
        <w:t>Other</w:t>
      </w:r>
      <w:proofErr w:type="gramEnd"/>
      <w:r w:rsidRPr="008265E3">
        <w:rPr>
          <w:rStyle w:val="A2"/>
          <w:rFonts w:cs="Arial"/>
          <w:color w:val="687522"/>
          <w:szCs w:val="26"/>
        </w:rPr>
        <w:t xml:space="preserve"> approaches</w:t>
      </w:r>
    </w:p>
    <w:p w14:paraId="5EB14874" w14:textId="24D3F059" w:rsidR="00B956CB" w:rsidRDefault="00B956CB" w:rsidP="00B956CB">
      <w:pPr>
        <w:autoSpaceDE w:val="0"/>
        <w:autoSpaceDN w:val="0"/>
        <w:adjustRightInd w:val="0"/>
        <w:spacing w:before="120" w:after="120"/>
        <w:jc w:val="left"/>
        <w:rPr>
          <w:rFonts w:eastAsiaTheme="minorHAnsi" w:cs="Calibri"/>
        </w:rPr>
      </w:pPr>
      <w:r>
        <w:rPr>
          <w:rFonts w:eastAsiaTheme="minorHAnsi" w:cs="Calibri"/>
        </w:rPr>
        <w:t>The paper focuses on an obligation on gas suppliers. This seems to be the most favoured option from our members. Is it worth considering different routes? Examples could be:</w:t>
      </w:r>
    </w:p>
    <w:p w14:paraId="0A9F1086" w14:textId="67320FDE" w:rsidR="008265E3" w:rsidRPr="00B956CB" w:rsidRDefault="00B956CB" w:rsidP="00B956CB">
      <w:pPr>
        <w:pStyle w:val="ListParagraph"/>
        <w:numPr>
          <w:ilvl w:val="0"/>
          <w:numId w:val="35"/>
        </w:numPr>
        <w:autoSpaceDE w:val="0"/>
        <w:autoSpaceDN w:val="0"/>
        <w:adjustRightInd w:val="0"/>
        <w:spacing w:before="120"/>
        <w:jc w:val="left"/>
        <w:rPr>
          <w:rFonts w:eastAsiaTheme="minorHAnsi" w:cs="Calibri"/>
        </w:rPr>
      </w:pPr>
      <w:r w:rsidRPr="00B956CB">
        <w:rPr>
          <w:rFonts w:eastAsiaTheme="minorHAnsi" w:cs="Calibri"/>
        </w:rPr>
        <w:t>S</w:t>
      </w:r>
      <w:r w:rsidR="008265E3" w:rsidRPr="00B956CB">
        <w:rPr>
          <w:rFonts w:eastAsiaTheme="minorHAnsi" w:cs="Calibri"/>
        </w:rPr>
        <w:t>tronger GHG emission reporting requirements for public sector - with incentives for biomethane use</w:t>
      </w:r>
    </w:p>
    <w:p w14:paraId="13499F5A" w14:textId="71B84678" w:rsidR="008265E3" w:rsidRPr="00B956CB" w:rsidRDefault="008265E3" w:rsidP="00B956CB">
      <w:pPr>
        <w:pStyle w:val="ListParagraph"/>
        <w:numPr>
          <w:ilvl w:val="0"/>
          <w:numId w:val="35"/>
        </w:numPr>
        <w:autoSpaceDE w:val="0"/>
        <w:autoSpaceDN w:val="0"/>
        <w:adjustRightInd w:val="0"/>
        <w:spacing w:before="120"/>
        <w:jc w:val="left"/>
        <w:rPr>
          <w:rFonts w:eastAsiaTheme="minorHAnsi" w:cs="Calibri"/>
        </w:rPr>
      </w:pPr>
      <w:r w:rsidRPr="00B956CB">
        <w:rPr>
          <w:rFonts w:eastAsiaTheme="minorHAnsi" w:cs="Calibri"/>
        </w:rPr>
        <w:t>Stronger GHG emission reporting requirements for private sector - with incentives for biomethane use</w:t>
      </w:r>
    </w:p>
    <w:p w14:paraId="0A72FBCB" w14:textId="02F0E6C9" w:rsidR="008265E3" w:rsidRPr="00B956CB" w:rsidRDefault="008265E3" w:rsidP="00B956CB">
      <w:pPr>
        <w:pStyle w:val="ListParagraph"/>
        <w:numPr>
          <w:ilvl w:val="0"/>
          <w:numId w:val="35"/>
        </w:numPr>
        <w:autoSpaceDE w:val="0"/>
        <w:autoSpaceDN w:val="0"/>
        <w:adjustRightInd w:val="0"/>
        <w:spacing w:before="120"/>
        <w:jc w:val="left"/>
        <w:rPr>
          <w:rFonts w:eastAsiaTheme="minorHAnsi" w:cs="Calibri"/>
        </w:rPr>
      </w:pPr>
      <w:r w:rsidRPr="00B956CB">
        <w:rPr>
          <w:rFonts w:eastAsiaTheme="minorHAnsi" w:cs="Calibri"/>
        </w:rPr>
        <w:t>Support for biomethane use for parties obligated under a new UK emissions trading scheme</w:t>
      </w:r>
    </w:p>
    <w:p w14:paraId="783241C8" w14:textId="39A7A603" w:rsidR="008265E3" w:rsidRPr="00B956CB" w:rsidRDefault="008265E3" w:rsidP="00B956CB">
      <w:pPr>
        <w:pStyle w:val="ListParagraph"/>
        <w:numPr>
          <w:ilvl w:val="0"/>
          <w:numId w:val="35"/>
        </w:numPr>
        <w:autoSpaceDE w:val="0"/>
        <w:autoSpaceDN w:val="0"/>
        <w:adjustRightInd w:val="0"/>
        <w:spacing w:before="120"/>
        <w:jc w:val="left"/>
        <w:rPr>
          <w:rFonts w:eastAsiaTheme="minorHAnsi" w:cs="Calibri"/>
        </w:rPr>
      </w:pPr>
      <w:r w:rsidRPr="00B956CB">
        <w:rPr>
          <w:rFonts w:eastAsiaTheme="minorHAnsi" w:cs="Calibri"/>
        </w:rPr>
        <w:t>Exemption of the Climate Change Levy (CCL) for end users who purchase green gas</w:t>
      </w:r>
    </w:p>
    <w:p w14:paraId="3B1287D9" w14:textId="3F263F70" w:rsidR="008265E3" w:rsidRPr="00B956CB" w:rsidRDefault="00B956CB" w:rsidP="00B956CB">
      <w:pPr>
        <w:pStyle w:val="ListParagraph"/>
        <w:numPr>
          <w:ilvl w:val="0"/>
          <w:numId w:val="35"/>
        </w:numPr>
        <w:autoSpaceDE w:val="0"/>
        <w:autoSpaceDN w:val="0"/>
        <w:adjustRightInd w:val="0"/>
        <w:spacing w:before="120"/>
        <w:jc w:val="left"/>
        <w:rPr>
          <w:rFonts w:eastAsiaTheme="minorHAnsi" w:cs="Calibri"/>
        </w:rPr>
      </w:pPr>
      <w:r w:rsidRPr="00B956CB">
        <w:rPr>
          <w:rFonts w:eastAsiaTheme="minorHAnsi" w:cs="Calibri"/>
        </w:rPr>
        <w:t xml:space="preserve">Tax </w:t>
      </w:r>
      <w:r w:rsidR="008265E3" w:rsidRPr="00B956CB">
        <w:rPr>
          <w:rFonts w:eastAsiaTheme="minorHAnsi" w:cs="Calibri"/>
        </w:rPr>
        <w:t>incentives for biomethane to grid producers</w:t>
      </w:r>
    </w:p>
    <w:p w14:paraId="50F262C7" w14:textId="7A0A6D30" w:rsidR="008265E3" w:rsidRPr="00B956CB" w:rsidRDefault="00B956CB" w:rsidP="00B956CB">
      <w:pPr>
        <w:pStyle w:val="ListParagraph"/>
        <w:numPr>
          <w:ilvl w:val="0"/>
          <w:numId w:val="35"/>
        </w:numPr>
        <w:autoSpaceDE w:val="0"/>
        <w:autoSpaceDN w:val="0"/>
        <w:adjustRightInd w:val="0"/>
        <w:spacing w:before="120"/>
        <w:jc w:val="left"/>
        <w:rPr>
          <w:rFonts w:eastAsiaTheme="minorHAnsi" w:cs="Calibri"/>
        </w:rPr>
      </w:pPr>
      <w:r w:rsidRPr="00B956CB">
        <w:rPr>
          <w:rFonts w:eastAsiaTheme="minorHAnsi" w:cs="Calibri"/>
        </w:rPr>
        <w:t>C</w:t>
      </w:r>
      <w:r w:rsidR="008265E3" w:rsidRPr="00B956CB">
        <w:rPr>
          <w:rFonts w:eastAsiaTheme="minorHAnsi" w:cs="Calibri"/>
        </w:rPr>
        <w:t>apital grants/innovation support for RENEWABLE green gas producers</w:t>
      </w:r>
    </w:p>
    <w:p w14:paraId="7DC4490D" w14:textId="42585FFA" w:rsidR="008265E3" w:rsidRPr="00B956CB" w:rsidRDefault="008265E3" w:rsidP="00B956CB">
      <w:pPr>
        <w:pStyle w:val="ListParagraph"/>
        <w:numPr>
          <w:ilvl w:val="0"/>
          <w:numId w:val="35"/>
        </w:numPr>
        <w:autoSpaceDE w:val="0"/>
        <w:autoSpaceDN w:val="0"/>
        <w:adjustRightInd w:val="0"/>
        <w:spacing w:before="120"/>
        <w:jc w:val="left"/>
        <w:rPr>
          <w:rFonts w:eastAsiaTheme="minorHAnsi" w:cs="Calibri"/>
        </w:rPr>
      </w:pPr>
      <w:r w:rsidRPr="00B956CB">
        <w:rPr>
          <w:rFonts w:eastAsiaTheme="minorHAnsi" w:cs="Calibri"/>
        </w:rPr>
        <w:t xml:space="preserve">GDNO incentives for attracting biomethane to grid schemes </w:t>
      </w:r>
    </w:p>
    <w:p w14:paraId="6E3372FA" w14:textId="29C4983A" w:rsidR="008265E3" w:rsidRPr="00B956CB" w:rsidRDefault="008265E3" w:rsidP="00B956CB">
      <w:pPr>
        <w:pStyle w:val="ListParagraph"/>
        <w:numPr>
          <w:ilvl w:val="0"/>
          <w:numId w:val="35"/>
        </w:numPr>
        <w:autoSpaceDE w:val="0"/>
        <w:autoSpaceDN w:val="0"/>
        <w:adjustRightInd w:val="0"/>
        <w:spacing w:before="120"/>
        <w:jc w:val="left"/>
        <w:rPr>
          <w:rFonts w:eastAsiaTheme="minorHAnsi" w:cs="Calibri"/>
        </w:rPr>
      </w:pPr>
      <w:r w:rsidRPr="00B956CB">
        <w:rPr>
          <w:rFonts w:eastAsiaTheme="minorHAnsi" w:cs="Calibri"/>
        </w:rPr>
        <w:t>Stronger push for renewable gas transport</w:t>
      </w:r>
    </w:p>
    <w:p w14:paraId="7E7C88F5" w14:textId="77777777" w:rsidR="008265E3" w:rsidRPr="00B956CB" w:rsidRDefault="008265E3" w:rsidP="00B956CB">
      <w:pPr>
        <w:autoSpaceDE w:val="0"/>
        <w:autoSpaceDN w:val="0"/>
        <w:adjustRightInd w:val="0"/>
        <w:spacing w:before="120" w:after="120"/>
        <w:jc w:val="left"/>
        <w:rPr>
          <w:rFonts w:eastAsiaTheme="minorHAnsi" w:cs="Calibri"/>
        </w:rPr>
      </w:pPr>
    </w:p>
    <w:p w14:paraId="24F88A61" w14:textId="77777777" w:rsidR="007F5CA6" w:rsidRDefault="007F5CA6" w:rsidP="000005B0">
      <w:pPr>
        <w:spacing w:before="120" w:after="120"/>
      </w:pPr>
    </w:p>
    <w:p w14:paraId="6DE17A49" w14:textId="77777777" w:rsidR="007F5CA6" w:rsidRDefault="007F5CA6" w:rsidP="000005B0">
      <w:pPr>
        <w:spacing w:before="120" w:after="120"/>
        <w:rPr>
          <w:rStyle w:val="A2"/>
        </w:rPr>
      </w:pPr>
    </w:p>
    <w:p w14:paraId="7E1D348F" w14:textId="77777777" w:rsidR="00D57E40" w:rsidRDefault="00D57E40" w:rsidP="000005B0">
      <w:pPr>
        <w:autoSpaceDE w:val="0"/>
        <w:autoSpaceDN w:val="0"/>
        <w:adjustRightInd w:val="0"/>
        <w:spacing w:before="120" w:after="120"/>
        <w:jc w:val="left"/>
        <w:rPr>
          <w:rStyle w:val="A2"/>
        </w:rPr>
        <w:sectPr w:rsidR="00D57E40">
          <w:headerReference w:type="default" r:id="rId19"/>
          <w:footerReference w:type="default" r:id="rId20"/>
          <w:pgSz w:w="11906" w:h="16838"/>
          <w:pgMar w:top="1440" w:right="1440" w:bottom="1440" w:left="1440" w:header="708" w:footer="708" w:gutter="0"/>
          <w:cols w:space="708"/>
          <w:docGrid w:linePitch="360"/>
        </w:sectPr>
      </w:pPr>
    </w:p>
    <w:p w14:paraId="41763D79" w14:textId="77777777" w:rsidR="004172C5" w:rsidRPr="004172C5" w:rsidRDefault="004172C5" w:rsidP="000005B0">
      <w:pPr>
        <w:pStyle w:val="Heading2"/>
        <w:spacing w:before="120"/>
      </w:pPr>
      <w:r w:rsidRPr="004172C5">
        <w:lastRenderedPageBreak/>
        <w:t>Appendix I</w:t>
      </w:r>
    </w:p>
    <w:p w14:paraId="56F64D0B" w14:textId="36646EE1" w:rsidR="00743508" w:rsidRPr="00C13427" w:rsidRDefault="00C13427" w:rsidP="00C13427">
      <w:pPr>
        <w:pStyle w:val="Heading3"/>
        <w:spacing w:before="120"/>
        <w:rPr>
          <w:color w:val="1F497D"/>
        </w:rPr>
      </w:pPr>
      <w:bookmarkStart w:id="0" w:name="_GoBack"/>
      <w:bookmarkEnd w:id="0"/>
      <w:r>
        <w:t xml:space="preserve">The Zero Emission Vehicle (ZEV) program in California </w:t>
      </w:r>
    </w:p>
    <w:p w14:paraId="709E8203" w14:textId="77777777" w:rsidR="00743508" w:rsidRDefault="00743508" w:rsidP="00743508">
      <w:pPr>
        <w:spacing w:before="120"/>
      </w:pPr>
      <w:r>
        <w:t xml:space="preserve">The </w:t>
      </w:r>
      <w:r w:rsidRPr="00E72386">
        <w:t xml:space="preserve">Zero Emission Vehicle (ZEV) program </w:t>
      </w:r>
      <w:r>
        <w:t xml:space="preserve">adopted in </w:t>
      </w:r>
      <w:r w:rsidRPr="00E72386">
        <w:t>California</w:t>
      </w:r>
      <w:r>
        <w:t xml:space="preserve">, which is </w:t>
      </w:r>
      <w:r w:rsidRPr="00E72386">
        <w:t>considered one of the nation’s most forward-looking climate policies</w:t>
      </w:r>
      <w:r>
        <w:t xml:space="preserve">, is a useful example of a similar type of approach. The Californian scheme is described in detail </w:t>
      </w:r>
      <w:hyperlink r:id="rId21" w:anchor=".XDdgCFX7Tcs" w:history="1">
        <w:r w:rsidRPr="000C7F18">
          <w:rPr>
            <w:rStyle w:val="Hyperlink"/>
          </w:rPr>
          <w:t>here.</w:t>
        </w:r>
      </w:hyperlink>
      <w:r>
        <w:t xml:space="preserve"> In a similar way, gas suppliers could have a carbon credit requirement that equals to the percentage of their sales of ‘non-renewable’ or ‘non-low carbon’ gas. Each unit of renewable and low carbon gas sold would earn a certain number of carbon credits based on the type of gas and associated carbon intensity. Different renewable and low carbon gases would earn different carbon credits. The credit requirement could be made to increase on an annual basis. </w:t>
      </w:r>
    </w:p>
    <w:p w14:paraId="6FA6D386" w14:textId="77777777" w:rsidR="00743508" w:rsidRPr="00743508" w:rsidRDefault="00743508" w:rsidP="00743508">
      <w:pPr>
        <w:spacing w:before="120"/>
        <w:contextualSpacing/>
        <w:jc w:val="left"/>
        <w:rPr>
          <w:color w:val="1F497D"/>
        </w:rPr>
      </w:pPr>
    </w:p>
    <w:p w14:paraId="0A032415" w14:textId="77777777" w:rsidR="00D57E40" w:rsidRDefault="00D57E40" w:rsidP="000005B0">
      <w:pPr>
        <w:spacing w:before="120" w:after="120"/>
        <w:rPr>
          <w:highlight w:val="yellow"/>
          <w:lang w:val="en-US"/>
        </w:rPr>
      </w:pPr>
    </w:p>
    <w:p w14:paraId="358BF9FE" w14:textId="77777777" w:rsidR="00D57E40" w:rsidRDefault="00D57E40" w:rsidP="000005B0">
      <w:pPr>
        <w:spacing w:before="120" w:after="120"/>
        <w:rPr>
          <w:highlight w:val="yellow"/>
          <w:lang w:val="en-US"/>
        </w:rPr>
      </w:pPr>
    </w:p>
    <w:p w14:paraId="5602603C" w14:textId="77777777" w:rsidR="00D57E40" w:rsidRDefault="00D57E40" w:rsidP="000005B0">
      <w:pPr>
        <w:spacing w:before="120" w:after="120"/>
        <w:rPr>
          <w:highlight w:val="yellow"/>
          <w:lang w:val="en-US"/>
        </w:rPr>
      </w:pPr>
    </w:p>
    <w:p w14:paraId="3432CB45" w14:textId="77777777" w:rsidR="00D57E40" w:rsidRDefault="00D57E40" w:rsidP="000005B0">
      <w:pPr>
        <w:spacing w:before="120" w:after="120"/>
        <w:rPr>
          <w:highlight w:val="yellow"/>
          <w:lang w:val="en-US"/>
        </w:rPr>
      </w:pPr>
    </w:p>
    <w:p w14:paraId="1BACD801" w14:textId="77777777" w:rsidR="00D57E40" w:rsidRDefault="00D57E40" w:rsidP="000005B0">
      <w:pPr>
        <w:spacing w:before="120" w:after="120"/>
      </w:pPr>
    </w:p>
    <w:p w14:paraId="50E77235" w14:textId="77777777" w:rsidR="00D57E40" w:rsidRDefault="00D57E40" w:rsidP="000005B0">
      <w:pPr>
        <w:spacing w:before="120" w:after="120"/>
      </w:pPr>
    </w:p>
    <w:p w14:paraId="5A153EE8" w14:textId="77777777" w:rsidR="00D57E40" w:rsidRDefault="00D57E40" w:rsidP="000005B0">
      <w:pPr>
        <w:spacing w:before="120" w:after="120"/>
      </w:pPr>
    </w:p>
    <w:p w14:paraId="7C1B3A72" w14:textId="77777777" w:rsidR="00D57E40" w:rsidRDefault="00D57E40" w:rsidP="000005B0">
      <w:pPr>
        <w:spacing w:before="120" w:after="120"/>
      </w:pPr>
    </w:p>
    <w:p w14:paraId="3B9E2465" w14:textId="77777777" w:rsidR="00D57E40" w:rsidRDefault="00D57E40" w:rsidP="000005B0">
      <w:pPr>
        <w:spacing w:before="120" w:after="120"/>
      </w:pPr>
    </w:p>
    <w:p w14:paraId="3CE70FA2" w14:textId="77777777" w:rsidR="00D57E40" w:rsidRDefault="00D57E40" w:rsidP="000005B0">
      <w:pPr>
        <w:spacing w:before="120" w:after="120"/>
      </w:pPr>
    </w:p>
    <w:p w14:paraId="074F84A2" w14:textId="77777777" w:rsidR="00D57E40" w:rsidRDefault="00D57E40" w:rsidP="000005B0">
      <w:pPr>
        <w:spacing w:before="120" w:after="120"/>
      </w:pPr>
    </w:p>
    <w:sectPr w:rsidR="00D57E40" w:rsidSect="008971F1">
      <w:headerReference w:type="default" r:id="rId22"/>
      <w:footerReference w:type="even" r:id="rId23"/>
      <w:footerReference w:type="default" r:id="rId24"/>
      <w:headerReference w:type="first" r:id="rId25"/>
      <w:footerReference w:type="first" r:id="rId26"/>
      <w:pgSz w:w="11906" w:h="16838"/>
      <w:pgMar w:top="900" w:right="1134" w:bottom="1440" w:left="1701" w:header="709" w:footer="6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07EAC" w14:textId="77777777" w:rsidR="005E7988" w:rsidRDefault="005E7988">
      <w:r>
        <w:separator/>
      </w:r>
    </w:p>
  </w:endnote>
  <w:endnote w:type="continuationSeparator" w:id="0">
    <w:p w14:paraId="6DDDE823" w14:textId="77777777" w:rsidR="005E7988" w:rsidRDefault="005E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vant garde">
    <w:altName w:val="Century Gothic"/>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420832"/>
      <w:docPartObj>
        <w:docPartGallery w:val="Page Numbers (Bottom of Page)"/>
        <w:docPartUnique/>
      </w:docPartObj>
    </w:sdtPr>
    <w:sdtEndPr>
      <w:rPr>
        <w:noProof/>
      </w:rPr>
    </w:sdtEndPr>
    <w:sdtContent>
      <w:p w14:paraId="5E2F9F5F" w14:textId="77777777" w:rsidR="00686B66" w:rsidRDefault="00686B66">
        <w:pPr>
          <w:pStyle w:val="Footer"/>
          <w:jc w:val="center"/>
        </w:pPr>
        <w:r>
          <w:fldChar w:fldCharType="begin"/>
        </w:r>
        <w:r>
          <w:instrText xml:space="preserve"> PAGE   \* MERGEFORMAT </w:instrText>
        </w:r>
        <w:r>
          <w:fldChar w:fldCharType="separate"/>
        </w:r>
        <w:r w:rsidR="008E02A1">
          <w:rPr>
            <w:noProof/>
          </w:rPr>
          <w:t>9</w:t>
        </w:r>
        <w:r>
          <w:rPr>
            <w:noProof/>
          </w:rPr>
          <w:fldChar w:fldCharType="end"/>
        </w:r>
      </w:p>
    </w:sdtContent>
  </w:sdt>
  <w:p w14:paraId="6401E2A4" w14:textId="77777777" w:rsidR="00686B66" w:rsidRDefault="00686B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4ADB8" w14:textId="77777777" w:rsidR="00686B66" w:rsidRDefault="00686B66" w:rsidP="006643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2697531" w14:textId="77777777" w:rsidR="00686B66" w:rsidRDefault="00686B66" w:rsidP="007D575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2D41" w14:textId="77777777" w:rsidR="00686B66" w:rsidRDefault="00686B66" w:rsidP="006643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02A1">
      <w:rPr>
        <w:rStyle w:val="PageNumber"/>
        <w:noProof/>
      </w:rPr>
      <w:t>11</w:t>
    </w:r>
    <w:r>
      <w:rPr>
        <w:rStyle w:val="PageNumber"/>
      </w:rPr>
      <w:fldChar w:fldCharType="end"/>
    </w:r>
  </w:p>
  <w:p w14:paraId="1D58ED02" w14:textId="77777777" w:rsidR="00686B66" w:rsidRDefault="00686B66" w:rsidP="007D575F">
    <w:pPr>
      <w:pStyle w:val="Footer"/>
      <w:tabs>
        <w:tab w:val="clear" w:pos="4153"/>
        <w:tab w:val="clear" w:pos="8306"/>
        <w:tab w:val="center" w:pos="5103"/>
        <w:tab w:val="right" w:pos="8222"/>
      </w:tabs>
      <w:ind w:left="-1134"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B764C" w14:textId="77777777" w:rsidR="00686B66" w:rsidRPr="00C509D2" w:rsidRDefault="00686B66" w:rsidP="00FD0462">
    <w:pPr>
      <w:pStyle w:val="Footer"/>
      <w:tabs>
        <w:tab w:val="clear" w:pos="4153"/>
        <w:tab w:val="clear" w:pos="8306"/>
        <w:tab w:val="center" w:pos="3402"/>
        <w:tab w:val="right" w:pos="9072"/>
      </w:tabs>
      <w:rPr>
        <w:rFonts w:cs="Arial"/>
        <w:color w:val="999999"/>
        <w:sz w:val="16"/>
      </w:rPr>
    </w:pPr>
    <w:r>
      <w:rPr>
        <w:rFonts w:cs="Arial"/>
        <w:color w:val="999999"/>
        <w:sz w:val="16"/>
      </w:rPr>
      <w:t>80 Strand,</w:t>
    </w:r>
    <w:r w:rsidRPr="00C509D2">
      <w:rPr>
        <w:rFonts w:cs="Arial"/>
        <w:color w:val="999999"/>
        <w:sz w:val="16"/>
      </w:rPr>
      <w:tab/>
    </w:r>
    <w:r>
      <w:rPr>
        <w:rFonts w:cs="Arial"/>
        <w:color w:val="999999"/>
        <w:sz w:val="16"/>
      </w:rPr>
      <w:t xml:space="preserve">                 </w:t>
    </w:r>
    <w:r w:rsidRPr="00C509D2">
      <w:rPr>
        <w:rFonts w:cs="Arial"/>
        <w:color w:val="999999"/>
        <w:sz w:val="16"/>
      </w:rPr>
      <w:t>Tel: 020 7925 3570</w:t>
    </w:r>
    <w:r w:rsidRPr="00C509D2">
      <w:rPr>
        <w:rFonts w:cs="Arial"/>
        <w:color w:val="999999"/>
        <w:sz w:val="16"/>
      </w:rPr>
      <w:tab/>
    </w:r>
    <w:hyperlink r:id="rId1" w:history="1">
      <w:r w:rsidRPr="00C509D2">
        <w:rPr>
          <w:rStyle w:val="Hyperlink"/>
          <w:sz w:val="16"/>
        </w:rPr>
        <w:t>http://www.r-e-a.net/</w:t>
      </w:r>
    </w:hyperlink>
  </w:p>
  <w:p w14:paraId="280624BE" w14:textId="77777777" w:rsidR="00686B66" w:rsidRPr="00C509D2" w:rsidRDefault="00686B66" w:rsidP="00767B11">
    <w:pPr>
      <w:jc w:val="left"/>
      <w:rPr>
        <w:sz w:val="20"/>
      </w:rPr>
    </w:pPr>
    <w:proofErr w:type="gramStart"/>
    <w:r w:rsidRPr="00C509D2">
      <w:rPr>
        <w:rFonts w:cs="Arial"/>
        <w:color w:val="999999"/>
        <w:sz w:val="16"/>
      </w:rPr>
      <w:t xml:space="preserve">London  </w:t>
    </w:r>
    <w:r>
      <w:rPr>
        <w:rFonts w:cs="Arial"/>
        <w:color w:val="999999"/>
        <w:sz w:val="16"/>
      </w:rPr>
      <w:t>WC2R</w:t>
    </w:r>
    <w:proofErr w:type="gramEnd"/>
    <w:r>
      <w:rPr>
        <w:rFonts w:cs="Arial"/>
        <w:color w:val="999999"/>
        <w:sz w:val="16"/>
      </w:rPr>
      <w:t xml:space="preserve"> 0DT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C72AF" w14:textId="77777777" w:rsidR="005E7988" w:rsidRDefault="005E7988">
      <w:r>
        <w:separator/>
      </w:r>
    </w:p>
  </w:footnote>
  <w:footnote w:type="continuationSeparator" w:id="0">
    <w:p w14:paraId="5D401D2E" w14:textId="77777777" w:rsidR="005E7988" w:rsidRDefault="005E7988">
      <w:r>
        <w:continuationSeparator/>
      </w:r>
    </w:p>
  </w:footnote>
  <w:footnote w:id="1">
    <w:p w14:paraId="5D3898C3" w14:textId="77777777" w:rsidR="00173A31" w:rsidRDefault="00173A31" w:rsidP="00173A31">
      <w:pPr>
        <w:pStyle w:val="FootnoteText"/>
      </w:pPr>
      <w:r>
        <w:rPr>
          <w:rStyle w:val="FootnoteReference"/>
        </w:rPr>
        <w:footnoteRef/>
      </w:r>
      <w:r>
        <w:t xml:space="preserve"> </w:t>
      </w:r>
      <w:r w:rsidRPr="00C41D33">
        <w:rPr>
          <w:sz w:val="18"/>
          <w:szCs w:val="18"/>
        </w:rPr>
        <w:t>Currently, u</w:t>
      </w:r>
      <w:r>
        <w:rPr>
          <w:sz w:val="18"/>
          <w:szCs w:val="18"/>
        </w:rPr>
        <w:t xml:space="preserve">nder the RHI </w:t>
      </w:r>
      <w:r w:rsidRPr="00C41D33">
        <w:rPr>
          <w:sz w:val="18"/>
          <w:szCs w:val="18"/>
        </w:rPr>
        <w:t xml:space="preserve">biogas/biomethane </w:t>
      </w:r>
      <w:r>
        <w:rPr>
          <w:sz w:val="18"/>
          <w:szCs w:val="18"/>
        </w:rPr>
        <w:t xml:space="preserve">must </w:t>
      </w:r>
      <w:r w:rsidRPr="00C41D33">
        <w:rPr>
          <w:sz w:val="18"/>
          <w:szCs w:val="18"/>
        </w:rPr>
        <w:t>achieve 60%</w:t>
      </w:r>
      <w:r>
        <w:rPr>
          <w:sz w:val="18"/>
          <w:szCs w:val="18"/>
        </w:rPr>
        <w:t xml:space="preserve"> </w:t>
      </w:r>
      <w:r w:rsidRPr="00C41D33">
        <w:rPr>
          <w:sz w:val="18"/>
          <w:szCs w:val="18"/>
        </w:rPr>
        <w:t>GHG savings compared to the GHG</w:t>
      </w:r>
      <w:r>
        <w:rPr>
          <w:sz w:val="18"/>
          <w:szCs w:val="18"/>
        </w:rPr>
        <w:t xml:space="preserve"> </w:t>
      </w:r>
      <w:r w:rsidRPr="00C41D33">
        <w:rPr>
          <w:sz w:val="18"/>
          <w:szCs w:val="18"/>
        </w:rPr>
        <w:t>emissions of the EU fossil heat average; this</w:t>
      </w:r>
      <w:r>
        <w:rPr>
          <w:sz w:val="18"/>
          <w:szCs w:val="18"/>
        </w:rPr>
        <w:t xml:space="preserve"> </w:t>
      </w:r>
      <w:r w:rsidRPr="00C41D33">
        <w:rPr>
          <w:sz w:val="18"/>
          <w:szCs w:val="18"/>
        </w:rPr>
        <w:t>equates to lifecycle emissions of less than or</w:t>
      </w:r>
      <w:r>
        <w:rPr>
          <w:sz w:val="18"/>
          <w:szCs w:val="18"/>
        </w:rPr>
        <w:t xml:space="preserve"> </w:t>
      </w:r>
      <w:r w:rsidRPr="00C41D33">
        <w:rPr>
          <w:sz w:val="18"/>
          <w:szCs w:val="18"/>
        </w:rPr>
        <w:t>equal to 125.28kg CO</w:t>
      </w:r>
      <w:r w:rsidRPr="00C41D33">
        <w:rPr>
          <w:sz w:val="18"/>
          <w:szCs w:val="18"/>
          <w:vertAlign w:val="subscript"/>
        </w:rPr>
        <w:t>2</w:t>
      </w:r>
      <w:r w:rsidRPr="00C41D33">
        <w:rPr>
          <w:sz w:val="18"/>
          <w:szCs w:val="18"/>
        </w:rPr>
        <w:t xml:space="preserve"> equivalent per MWh</w:t>
      </w:r>
      <w:r>
        <w:rPr>
          <w:sz w:val="18"/>
          <w:szCs w:val="18"/>
        </w:rPr>
        <w:t xml:space="preserve"> </w:t>
      </w:r>
      <w:r w:rsidRPr="00C41D33">
        <w:rPr>
          <w:sz w:val="18"/>
          <w:szCs w:val="18"/>
        </w:rPr>
        <w:t>[34.8gCO</w:t>
      </w:r>
      <w:r w:rsidRPr="00C41D33">
        <w:rPr>
          <w:sz w:val="18"/>
          <w:szCs w:val="18"/>
          <w:vertAlign w:val="subscript"/>
        </w:rPr>
        <w:t>2</w:t>
      </w:r>
      <w:r w:rsidRPr="00C41D33">
        <w:rPr>
          <w:sz w:val="18"/>
          <w:szCs w:val="18"/>
        </w:rPr>
        <w:t>e/MJ] of biomass heat generated</w:t>
      </w:r>
      <w:r>
        <w:rPr>
          <w:sz w:val="18"/>
          <w:szCs w:val="18"/>
        </w:rPr>
        <w:t>. B</w:t>
      </w:r>
      <w:r w:rsidRPr="00612228">
        <w:rPr>
          <w:sz w:val="18"/>
          <w:szCs w:val="18"/>
        </w:rPr>
        <w:t xml:space="preserve">iomethane producers </w:t>
      </w:r>
      <w:r>
        <w:rPr>
          <w:sz w:val="18"/>
          <w:szCs w:val="18"/>
        </w:rPr>
        <w:t>are not currently required to</w:t>
      </w:r>
      <w:r w:rsidRPr="00612228">
        <w:rPr>
          <w:sz w:val="18"/>
          <w:szCs w:val="18"/>
        </w:rPr>
        <w:t xml:space="preserve"> take end</w:t>
      </w:r>
      <w:r>
        <w:rPr>
          <w:sz w:val="18"/>
          <w:szCs w:val="18"/>
        </w:rPr>
        <w:t>-</w:t>
      </w:r>
      <w:r w:rsidRPr="00612228">
        <w:rPr>
          <w:sz w:val="18"/>
          <w:szCs w:val="18"/>
        </w:rPr>
        <w:t>use efficiency into account when calculating</w:t>
      </w:r>
      <w:r>
        <w:rPr>
          <w:sz w:val="18"/>
          <w:szCs w:val="18"/>
        </w:rPr>
        <w:t xml:space="preserve"> </w:t>
      </w:r>
      <w:r w:rsidRPr="00612228">
        <w:rPr>
          <w:sz w:val="18"/>
          <w:szCs w:val="18"/>
        </w:rPr>
        <w:t>their life-cycle GHG savings, i.e. they need to produce life-cycle GHG emissions</w:t>
      </w:r>
      <w:r>
        <w:rPr>
          <w:sz w:val="18"/>
          <w:szCs w:val="18"/>
        </w:rPr>
        <w:t xml:space="preserve"> </w:t>
      </w:r>
      <w:r w:rsidRPr="00612228">
        <w:rPr>
          <w:sz w:val="18"/>
          <w:szCs w:val="18"/>
        </w:rPr>
        <w:t>of 34.8gCO</w:t>
      </w:r>
      <w:r w:rsidRPr="00C41D33">
        <w:rPr>
          <w:sz w:val="18"/>
          <w:szCs w:val="18"/>
          <w:vertAlign w:val="subscript"/>
        </w:rPr>
        <w:t>2</w:t>
      </w:r>
      <w:r w:rsidRPr="00612228">
        <w:rPr>
          <w:sz w:val="18"/>
          <w:szCs w:val="18"/>
        </w:rPr>
        <w:t>e/MJ or less at the point of</w:t>
      </w:r>
      <w:r>
        <w:rPr>
          <w:sz w:val="18"/>
          <w:szCs w:val="18"/>
        </w:rPr>
        <w:t xml:space="preserve"> </w:t>
      </w:r>
      <w:r w:rsidRPr="00612228">
        <w:rPr>
          <w:sz w:val="18"/>
          <w:szCs w:val="18"/>
        </w:rPr>
        <w:t>injection</w:t>
      </w:r>
      <w:r>
        <w:rPr>
          <w:sz w:val="18"/>
          <w:szCs w:val="18"/>
        </w:rPr>
        <w:t xml:space="preserve">. See </w:t>
      </w:r>
      <w:hyperlink r:id="rId1" w:history="1">
        <w:r w:rsidRPr="00612228">
          <w:rPr>
            <w:rStyle w:val="Hyperlink"/>
            <w:sz w:val="18"/>
            <w:szCs w:val="18"/>
          </w:rPr>
          <w:t>here</w:t>
        </w:r>
      </w:hyperlink>
      <w:r>
        <w:rPr>
          <w:sz w:val="18"/>
          <w:szCs w:val="18"/>
        </w:rPr>
        <w:t xml:space="preserve"> for further information.</w:t>
      </w:r>
    </w:p>
  </w:footnote>
  <w:footnote w:id="2">
    <w:p w14:paraId="0F854519" w14:textId="533472C0" w:rsidR="00686B66" w:rsidRDefault="00686B66" w:rsidP="00D57E40">
      <w:pPr>
        <w:pStyle w:val="FootnoteText"/>
      </w:pPr>
      <w:r w:rsidRPr="007A5156">
        <w:rPr>
          <w:rStyle w:val="FootnoteReference"/>
        </w:rPr>
        <w:footnoteRef/>
      </w:r>
      <w:r w:rsidRPr="007A5156">
        <w:t xml:space="preserve"> Any person who holds a Gas Supply Licence, which is a licence granted or treated as granted under section </w:t>
      </w:r>
      <w:proofErr w:type="gramStart"/>
      <w:r w:rsidRPr="007A5156">
        <w:t>7A(</w:t>
      </w:r>
      <w:proofErr w:type="gramEnd"/>
      <w:r w:rsidRPr="007A5156">
        <w:t>1) of the Gas Act 1986. This is restricted gas which has been conveyed through pipes to the relevant premises. Very small gas suppliers could be exempted.</w:t>
      </w:r>
      <w:r>
        <w:t xml:space="preserve"> </w:t>
      </w:r>
      <w:r w:rsidR="00BD0FF3">
        <w:t>[</w:t>
      </w:r>
      <w:proofErr w:type="gramStart"/>
      <w:r>
        <w:t>should</w:t>
      </w:r>
      <w:proofErr w:type="gramEnd"/>
      <w:r>
        <w:t xml:space="preserve"> think</w:t>
      </w:r>
      <w:r w:rsidR="00BD0FF3">
        <w:t xml:space="preserve"> of what the threshold might be]</w:t>
      </w:r>
      <w:r>
        <w:t>.</w:t>
      </w:r>
    </w:p>
  </w:footnote>
  <w:footnote w:id="3">
    <w:p w14:paraId="23A31D39" w14:textId="13B32854" w:rsidR="00743508" w:rsidRDefault="00743508">
      <w:pPr>
        <w:pStyle w:val="FootnoteText"/>
      </w:pPr>
      <w:r>
        <w:rPr>
          <w:rStyle w:val="FootnoteReference"/>
        </w:rPr>
        <w:footnoteRef/>
      </w:r>
      <w:r>
        <w:t xml:space="preserve"> Depending on the type of obligation that is chosen </w:t>
      </w:r>
    </w:p>
  </w:footnote>
  <w:footnote w:id="4">
    <w:p w14:paraId="51E1D2EC" w14:textId="77777777" w:rsidR="008A4DB2" w:rsidRDefault="008A4DB2" w:rsidP="008A4DB2">
      <w:pPr>
        <w:pStyle w:val="FootnoteText"/>
      </w:pPr>
      <w:r>
        <w:rPr>
          <w:rStyle w:val="FootnoteReference"/>
        </w:rPr>
        <w:footnoteRef/>
      </w:r>
      <w:r>
        <w:t xml:space="preserve"> In the Netherlands and Denmark Guarantees of Origin are administered based on data from the national balancing system. In the Netherlands </w:t>
      </w:r>
      <w:proofErr w:type="spellStart"/>
      <w:r>
        <w:t>GoO</w:t>
      </w:r>
      <w:proofErr w:type="spellEnd"/>
      <w:r>
        <w:t xml:space="preserve"> can, if no feed-in-tariff was received be moved into the biofuel registry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DFDE3" w14:textId="02449E93" w:rsidR="00686B66" w:rsidRDefault="005E7988">
    <w:pPr>
      <w:pStyle w:val="Header"/>
    </w:pPr>
    <w:sdt>
      <w:sdtPr>
        <w:id w:val="-1992011851"/>
        <w:docPartObj>
          <w:docPartGallery w:val="Watermarks"/>
          <w:docPartUnique/>
        </w:docPartObj>
      </w:sdtPr>
      <w:sdtEndPr/>
      <w:sdtContent>
        <w:r>
          <w:rPr>
            <w:noProof/>
            <w:lang w:val="en-US" w:eastAsia="zh-TW"/>
          </w:rPr>
          <w:pict w14:anchorId="007D7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86B66">
      <w:t xml:space="preserve">REA, </w:t>
    </w:r>
    <w:r w:rsidR="0058642B">
      <w:t>02/07</w:t>
    </w:r>
    <w:r w:rsidR="00C8603B">
      <w:t>/2019</w:t>
    </w:r>
    <w:r w:rsidR="00173A31">
      <w:t>, 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0F0FC" w14:textId="77777777" w:rsidR="00686B66" w:rsidRPr="00A65B78" w:rsidRDefault="00686B66" w:rsidP="00A65B78">
    <w:pPr>
      <w:pStyle w:val="Header"/>
      <w:jc w:val="center"/>
      <w:rPr>
        <w:i/>
      </w:rPr>
    </w:pPr>
    <w:r>
      <w:rPr>
        <w:i/>
      </w:rPr>
      <w:t>Whole System Licence Conditions consultation – REA response</w:t>
    </w:r>
  </w:p>
  <w:p w14:paraId="3229A381" w14:textId="77777777" w:rsidR="00686B66" w:rsidRDefault="00686B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3F4FB" w14:textId="77777777" w:rsidR="00686B66" w:rsidRDefault="00686B66" w:rsidP="00767B11">
    <w:pPr>
      <w:pStyle w:val="Header"/>
      <w:jc w:val="right"/>
    </w:pPr>
    <w:r>
      <w:rPr>
        <w:noProof/>
        <w:lang w:eastAsia="en-GB"/>
      </w:rPr>
      <w:drawing>
        <wp:inline distT="0" distB="0" distL="0" distR="0" wp14:anchorId="68244E56" wp14:editId="53DE3ADE">
          <wp:extent cx="1345997" cy="721143"/>
          <wp:effectExtent l="0" t="0" r="6985" b="3175"/>
          <wp:docPr id="2" name="Picture 2" descr="C:\Users\fgordon\AppData\Local\Microsoft\Windows\Temporary Internet Files\Content.Outlook\FIK161OV\REA MASTER BRIGHT LOGO1 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gordon\AppData\Local\Microsoft\Windows\Temporary Internet Files\Content.Outlook\FIK161OV\REA MASTER BRIGHT LOGO1 compress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9402" cy="72296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090"/>
    <w:multiLevelType w:val="hybridMultilevel"/>
    <w:tmpl w:val="EC1E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C96AAF"/>
    <w:multiLevelType w:val="hybridMultilevel"/>
    <w:tmpl w:val="4A564C4E"/>
    <w:lvl w:ilvl="0" w:tplc="9F44A488">
      <w:start w:val="1"/>
      <w:numFmt w:val="bullet"/>
      <w:pStyle w:val="BulletNormal"/>
      <w:lvlText w:val=""/>
      <w:lvlJc w:val="left"/>
      <w:pPr>
        <w:tabs>
          <w:tab w:val="num" w:pos="720"/>
        </w:tabs>
        <w:ind w:left="720" w:hanging="360"/>
      </w:pPr>
      <w:rPr>
        <w:rFonts w:ascii="Symbol" w:hAnsi="Symbol" w:hint="default"/>
        <w:b/>
        <w:i w:val="0"/>
        <w:color w:val="8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964AA4"/>
    <w:multiLevelType w:val="hybridMultilevel"/>
    <w:tmpl w:val="5AC2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717444"/>
    <w:multiLevelType w:val="hybridMultilevel"/>
    <w:tmpl w:val="2E80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FF3E33"/>
    <w:multiLevelType w:val="hybridMultilevel"/>
    <w:tmpl w:val="DFD8122C"/>
    <w:lvl w:ilvl="0" w:tplc="2DBCE326">
      <w:start w:val="2"/>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AE423D"/>
    <w:multiLevelType w:val="hybridMultilevel"/>
    <w:tmpl w:val="C27E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7401E2"/>
    <w:multiLevelType w:val="hybridMultilevel"/>
    <w:tmpl w:val="CF10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27232"/>
    <w:multiLevelType w:val="hybridMultilevel"/>
    <w:tmpl w:val="8C0061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862F38"/>
    <w:multiLevelType w:val="hybridMultilevel"/>
    <w:tmpl w:val="481A7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BC5CE6"/>
    <w:multiLevelType w:val="hybridMultilevel"/>
    <w:tmpl w:val="5ADE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E4596B"/>
    <w:multiLevelType w:val="hybridMultilevel"/>
    <w:tmpl w:val="636C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4F5F05"/>
    <w:multiLevelType w:val="hybridMultilevel"/>
    <w:tmpl w:val="1FAA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D567A5"/>
    <w:multiLevelType w:val="hybridMultilevel"/>
    <w:tmpl w:val="022E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0F5DAD"/>
    <w:multiLevelType w:val="hybridMultilevel"/>
    <w:tmpl w:val="EE18AF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0E6675"/>
    <w:multiLevelType w:val="hybridMultilevel"/>
    <w:tmpl w:val="C766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D83C4F"/>
    <w:multiLevelType w:val="hybridMultilevel"/>
    <w:tmpl w:val="A48C2E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F46E33"/>
    <w:multiLevelType w:val="hybridMultilevel"/>
    <w:tmpl w:val="C14877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nsid w:val="2C532DAB"/>
    <w:multiLevelType w:val="hybridMultilevel"/>
    <w:tmpl w:val="4612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D17975"/>
    <w:multiLevelType w:val="hybridMultilevel"/>
    <w:tmpl w:val="B90C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2717F7"/>
    <w:multiLevelType w:val="hybridMultilevel"/>
    <w:tmpl w:val="44BE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154F94"/>
    <w:multiLevelType w:val="hybridMultilevel"/>
    <w:tmpl w:val="B0D8C3FC"/>
    <w:lvl w:ilvl="0" w:tplc="451256D6">
      <w:start w:val="1"/>
      <w:numFmt w:val="decimal"/>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37224DE8"/>
    <w:multiLevelType w:val="hybridMultilevel"/>
    <w:tmpl w:val="F502FA9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3F7A6977"/>
    <w:multiLevelType w:val="hybridMultilevel"/>
    <w:tmpl w:val="835A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446CA9"/>
    <w:multiLevelType w:val="hybridMultilevel"/>
    <w:tmpl w:val="DCA0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CE5201"/>
    <w:multiLevelType w:val="hybridMultilevel"/>
    <w:tmpl w:val="740C4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E94F9C"/>
    <w:multiLevelType w:val="hybridMultilevel"/>
    <w:tmpl w:val="CB5C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FF357F"/>
    <w:multiLevelType w:val="hybridMultilevel"/>
    <w:tmpl w:val="194E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FB5328"/>
    <w:multiLevelType w:val="hybridMultilevel"/>
    <w:tmpl w:val="CFBE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236366"/>
    <w:multiLevelType w:val="hybridMultilevel"/>
    <w:tmpl w:val="F59E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3E4CEF"/>
    <w:multiLevelType w:val="hybridMultilevel"/>
    <w:tmpl w:val="33D27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BCD67D5"/>
    <w:multiLevelType w:val="hybridMultilevel"/>
    <w:tmpl w:val="54EE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CD4CE8"/>
    <w:multiLevelType w:val="hybridMultilevel"/>
    <w:tmpl w:val="5D30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713961"/>
    <w:multiLevelType w:val="hybridMultilevel"/>
    <w:tmpl w:val="F2EC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761B25"/>
    <w:multiLevelType w:val="hybridMultilevel"/>
    <w:tmpl w:val="93C09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5A46633"/>
    <w:multiLevelType w:val="hybridMultilevel"/>
    <w:tmpl w:val="FB14C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75CF449C"/>
    <w:multiLevelType w:val="hybridMultilevel"/>
    <w:tmpl w:val="A0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240386"/>
    <w:multiLevelType w:val="hybridMultilevel"/>
    <w:tmpl w:val="7A2A0BCE"/>
    <w:lvl w:ilvl="0" w:tplc="ED3EEFD6">
      <w:start w:val="1"/>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77263669"/>
    <w:multiLevelType w:val="hybridMultilevel"/>
    <w:tmpl w:val="546C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4A41B7"/>
    <w:multiLevelType w:val="multilevel"/>
    <w:tmpl w:val="7A48C01C"/>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7D14438B"/>
    <w:multiLevelType w:val="hybridMultilevel"/>
    <w:tmpl w:val="C2AE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2"/>
  </w:num>
  <w:num w:numId="4">
    <w:abstractNumId w:val="11"/>
  </w:num>
  <w:num w:numId="5">
    <w:abstractNumId w:val="5"/>
  </w:num>
  <w:num w:numId="6">
    <w:abstractNumId w:val="14"/>
  </w:num>
  <w:num w:numId="7">
    <w:abstractNumId w:val="10"/>
  </w:num>
  <w:num w:numId="8">
    <w:abstractNumId w:val="2"/>
  </w:num>
  <w:num w:numId="9">
    <w:abstractNumId w:val="26"/>
  </w:num>
  <w:num w:numId="10">
    <w:abstractNumId w:val="37"/>
  </w:num>
  <w:num w:numId="11">
    <w:abstractNumId w:val="17"/>
  </w:num>
  <w:num w:numId="12">
    <w:abstractNumId w:val="18"/>
  </w:num>
  <w:num w:numId="13">
    <w:abstractNumId w:val="30"/>
  </w:num>
  <w:num w:numId="14">
    <w:abstractNumId w:val="25"/>
  </w:num>
  <w:num w:numId="15">
    <w:abstractNumId w:val="15"/>
  </w:num>
  <w:num w:numId="16">
    <w:abstractNumId w:val="7"/>
  </w:num>
  <w:num w:numId="17">
    <w:abstractNumId w:val="39"/>
  </w:num>
  <w:num w:numId="18">
    <w:abstractNumId w:val="31"/>
  </w:num>
  <w:num w:numId="19">
    <w:abstractNumId w:val="8"/>
  </w:num>
  <w:num w:numId="20">
    <w:abstractNumId w:val="36"/>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5"/>
  </w:num>
  <w:num w:numId="25">
    <w:abstractNumId w:val="6"/>
  </w:num>
  <w:num w:numId="26">
    <w:abstractNumId w:val="28"/>
  </w:num>
  <w:num w:numId="27">
    <w:abstractNumId w:val="32"/>
  </w:num>
  <w:num w:numId="28">
    <w:abstractNumId w:val="19"/>
  </w:num>
  <w:num w:numId="29">
    <w:abstractNumId w:val="27"/>
  </w:num>
  <w:num w:numId="30">
    <w:abstractNumId w:val="23"/>
  </w:num>
  <w:num w:numId="31">
    <w:abstractNumId w:val="13"/>
  </w:num>
  <w:num w:numId="32">
    <w:abstractNumId w:val="9"/>
  </w:num>
  <w:num w:numId="33">
    <w:abstractNumId w:val="34"/>
  </w:num>
  <w:num w:numId="34">
    <w:abstractNumId w:val="3"/>
  </w:num>
  <w:num w:numId="35">
    <w:abstractNumId w:val="0"/>
  </w:num>
  <w:num w:numId="36">
    <w:abstractNumId w:val="29"/>
  </w:num>
  <w:num w:numId="37">
    <w:abstractNumId w:val="38"/>
  </w:num>
  <w:num w:numId="38">
    <w:abstractNumId w:val="4"/>
  </w:num>
  <w:num w:numId="39">
    <w:abstractNumId w:val="33"/>
  </w:num>
  <w:num w:numId="40">
    <w:abstractNumId w:val="20"/>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A9D"/>
    <w:rsid w:val="000005B0"/>
    <w:rsid w:val="00000F4D"/>
    <w:rsid w:val="0000106E"/>
    <w:rsid w:val="00004D0B"/>
    <w:rsid w:val="00006F3B"/>
    <w:rsid w:val="000077C6"/>
    <w:rsid w:val="00013833"/>
    <w:rsid w:val="00024BAA"/>
    <w:rsid w:val="000267F2"/>
    <w:rsid w:val="00026BB9"/>
    <w:rsid w:val="0002709C"/>
    <w:rsid w:val="000305F5"/>
    <w:rsid w:val="0003273C"/>
    <w:rsid w:val="00037C32"/>
    <w:rsid w:val="00040C28"/>
    <w:rsid w:val="00042567"/>
    <w:rsid w:val="00044253"/>
    <w:rsid w:val="00045156"/>
    <w:rsid w:val="00053A1A"/>
    <w:rsid w:val="00054F2A"/>
    <w:rsid w:val="00055927"/>
    <w:rsid w:val="00055BAE"/>
    <w:rsid w:val="000566E5"/>
    <w:rsid w:val="000571F2"/>
    <w:rsid w:val="0006229D"/>
    <w:rsid w:val="00062CED"/>
    <w:rsid w:val="000641CB"/>
    <w:rsid w:val="000643FA"/>
    <w:rsid w:val="000649E0"/>
    <w:rsid w:val="0007012D"/>
    <w:rsid w:val="00075CCF"/>
    <w:rsid w:val="00080299"/>
    <w:rsid w:val="00080490"/>
    <w:rsid w:val="0008128D"/>
    <w:rsid w:val="00085B7C"/>
    <w:rsid w:val="00085DA8"/>
    <w:rsid w:val="000864DC"/>
    <w:rsid w:val="000874E9"/>
    <w:rsid w:val="00087C50"/>
    <w:rsid w:val="00092859"/>
    <w:rsid w:val="00092CDB"/>
    <w:rsid w:val="000A4A8D"/>
    <w:rsid w:val="000A4E15"/>
    <w:rsid w:val="000A50BA"/>
    <w:rsid w:val="000A6402"/>
    <w:rsid w:val="000A6E88"/>
    <w:rsid w:val="000B128B"/>
    <w:rsid w:val="000B3BBA"/>
    <w:rsid w:val="000B4CAC"/>
    <w:rsid w:val="000B6788"/>
    <w:rsid w:val="000C1A13"/>
    <w:rsid w:val="000D2FC5"/>
    <w:rsid w:val="000E1B5E"/>
    <w:rsid w:val="000E1C14"/>
    <w:rsid w:val="000E2C28"/>
    <w:rsid w:val="000E4926"/>
    <w:rsid w:val="000E4D0D"/>
    <w:rsid w:val="000F2EC7"/>
    <w:rsid w:val="000F3E68"/>
    <w:rsid w:val="0010459A"/>
    <w:rsid w:val="00106EA5"/>
    <w:rsid w:val="0010718C"/>
    <w:rsid w:val="00107EB3"/>
    <w:rsid w:val="0011000C"/>
    <w:rsid w:val="0011136A"/>
    <w:rsid w:val="00113ED5"/>
    <w:rsid w:val="001141F9"/>
    <w:rsid w:val="0011670A"/>
    <w:rsid w:val="0011708E"/>
    <w:rsid w:val="00120F65"/>
    <w:rsid w:val="001227A1"/>
    <w:rsid w:val="00123F24"/>
    <w:rsid w:val="0012740A"/>
    <w:rsid w:val="001278CC"/>
    <w:rsid w:val="0012792C"/>
    <w:rsid w:val="00131F86"/>
    <w:rsid w:val="00133159"/>
    <w:rsid w:val="00136303"/>
    <w:rsid w:val="00136B6F"/>
    <w:rsid w:val="00140B60"/>
    <w:rsid w:val="001417D4"/>
    <w:rsid w:val="0015390C"/>
    <w:rsid w:val="00153971"/>
    <w:rsid w:val="001577A6"/>
    <w:rsid w:val="0016162F"/>
    <w:rsid w:val="00171375"/>
    <w:rsid w:val="00173A31"/>
    <w:rsid w:val="00177E21"/>
    <w:rsid w:val="00180882"/>
    <w:rsid w:val="00180B7D"/>
    <w:rsid w:val="001856A6"/>
    <w:rsid w:val="00187851"/>
    <w:rsid w:val="001903F2"/>
    <w:rsid w:val="00196913"/>
    <w:rsid w:val="001A0F8C"/>
    <w:rsid w:val="001A19E6"/>
    <w:rsid w:val="001A235C"/>
    <w:rsid w:val="001A75AD"/>
    <w:rsid w:val="001B0497"/>
    <w:rsid w:val="001B128E"/>
    <w:rsid w:val="001B55F8"/>
    <w:rsid w:val="001B73EE"/>
    <w:rsid w:val="001C1206"/>
    <w:rsid w:val="001C30AF"/>
    <w:rsid w:val="001C527C"/>
    <w:rsid w:val="001C5723"/>
    <w:rsid w:val="001C62F4"/>
    <w:rsid w:val="001C688B"/>
    <w:rsid w:val="001D1E2A"/>
    <w:rsid w:val="001D4572"/>
    <w:rsid w:val="001D66B9"/>
    <w:rsid w:val="001E089C"/>
    <w:rsid w:val="001E0C74"/>
    <w:rsid w:val="001E104A"/>
    <w:rsid w:val="001E3AEE"/>
    <w:rsid w:val="001E3F6C"/>
    <w:rsid w:val="001E4249"/>
    <w:rsid w:val="001E4727"/>
    <w:rsid w:val="001E60B5"/>
    <w:rsid w:val="001E736F"/>
    <w:rsid w:val="001E7E9D"/>
    <w:rsid w:val="001F1688"/>
    <w:rsid w:val="001F1D09"/>
    <w:rsid w:val="001F5D85"/>
    <w:rsid w:val="00206B60"/>
    <w:rsid w:val="0021009A"/>
    <w:rsid w:val="00214B78"/>
    <w:rsid w:val="002202C2"/>
    <w:rsid w:val="002230E1"/>
    <w:rsid w:val="00224F53"/>
    <w:rsid w:val="00226AA8"/>
    <w:rsid w:val="00232784"/>
    <w:rsid w:val="00232927"/>
    <w:rsid w:val="00236C85"/>
    <w:rsid w:val="00242326"/>
    <w:rsid w:val="00244023"/>
    <w:rsid w:val="0024472A"/>
    <w:rsid w:val="00244E2C"/>
    <w:rsid w:val="0025226F"/>
    <w:rsid w:val="002522DC"/>
    <w:rsid w:val="0025459F"/>
    <w:rsid w:val="002602E0"/>
    <w:rsid w:val="00261ED4"/>
    <w:rsid w:val="00263E41"/>
    <w:rsid w:val="0026522F"/>
    <w:rsid w:val="002653A9"/>
    <w:rsid w:val="002709C0"/>
    <w:rsid w:val="00272B0D"/>
    <w:rsid w:val="00272BC3"/>
    <w:rsid w:val="00272DA9"/>
    <w:rsid w:val="0027486A"/>
    <w:rsid w:val="00280E7E"/>
    <w:rsid w:val="00281823"/>
    <w:rsid w:val="00282D4C"/>
    <w:rsid w:val="00286EBB"/>
    <w:rsid w:val="00287D37"/>
    <w:rsid w:val="00291076"/>
    <w:rsid w:val="002A0F13"/>
    <w:rsid w:val="002A1CE1"/>
    <w:rsid w:val="002A2950"/>
    <w:rsid w:val="002A2AD5"/>
    <w:rsid w:val="002A5880"/>
    <w:rsid w:val="002A7309"/>
    <w:rsid w:val="002A7B06"/>
    <w:rsid w:val="002B3F47"/>
    <w:rsid w:val="002C0A83"/>
    <w:rsid w:val="002C1F9A"/>
    <w:rsid w:val="002C4617"/>
    <w:rsid w:val="002C5B45"/>
    <w:rsid w:val="002D00BB"/>
    <w:rsid w:val="002D0271"/>
    <w:rsid w:val="002E24CF"/>
    <w:rsid w:val="002E3F52"/>
    <w:rsid w:val="002E4FB6"/>
    <w:rsid w:val="002E6EAD"/>
    <w:rsid w:val="002F1599"/>
    <w:rsid w:val="002F451D"/>
    <w:rsid w:val="002F63E9"/>
    <w:rsid w:val="002F7A9D"/>
    <w:rsid w:val="003002B4"/>
    <w:rsid w:val="003008E4"/>
    <w:rsid w:val="0030136D"/>
    <w:rsid w:val="0030156A"/>
    <w:rsid w:val="00302170"/>
    <w:rsid w:val="00302BC8"/>
    <w:rsid w:val="00302D1A"/>
    <w:rsid w:val="00307216"/>
    <w:rsid w:val="0031153D"/>
    <w:rsid w:val="0031342D"/>
    <w:rsid w:val="003148B1"/>
    <w:rsid w:val="00316B7E"/>
    <w:rsid w:val="00321DFD"/>
    <w:rsid w:val="00323CB9"/>
    <w:rsid w:val="00323FB7"/>
    <w:rsid w:val="00326200"/>
    <w:rsid w:val="0032695A"/>
    <w:rsid w:val="00333D41"/>
    <w:rsid w:val="003343B2"/>
    <w:rsid w:val="003401CA"/>
    <w:rsid w:val="003420A6"/>
    <w:rsid w:val="00346D33"/>
    <w:rsid w:val="00355315"/>
    <w:rsid w:val="00356FDB"/>
    <w:rsid w:val="00360E39"/>
    <w:rsid w:val="00363D8C"/>
    <w:rsid w:val="00366534"/>
    <w:rsid w:val="00366EA8"/>
    <w:rsid w:val="003712E7"/>
    <w:rsid w:val="00374496"/>
    <w:rsid w:val="00374EF8"/>
    <w:rsid w:val="00375010"/>
    <w:rsid w:val="00376B6B"/>
    <w:rsid w:val="00381518"/>
    <w:rsid w:val="00381D03"/>
    <w:rsid w:val="00393FB4"/>
    <w:rsid w:val="00394D37"/>
    <w:rsid w:val="00395395"/>
    <w:rsid w:val="00395E91"/>
    <w:rsid w:val="00396FB6"/>
    <w:rsid w:val="00397991"/>
    <w:rsid w:val="003A2F65"/>
    <w:rsid w:val="003A4068"/>
    <w:rsid w:val="003A4391"/>
    <w:rsid w:val="003A7177"/>
    <w:rsid w:val="003B046D"/>
    <w:rsid w:val="003B4016"/>
    <w:rsid w:val="003B5B7D"/>
    <w:rsid w:val="003C176D"/>
    <w:rsid w:val="003C1F67"/>
    <w:rsid w:val="003C20E5"/>
    <w:rsid w:val="003C3025"/>
    <w:rsid w:val="003C4C36"/>
    <w:rsid w:val="003C724F"/>
    <w:rsid w:val="003C7FF1"/>
    <w:rsid w:val="003D2F43"/>
    <w:rsid w:val="003D55E1"/>
    <w:rsid w:val="003D63BA"/>
    <w:rsid w:val="003E3375"/>
    <w:rsid w:val="003E69DA"/>
    <w:rsid w:val="003F2EE1"/>
    <w:rsid w:val="003F4657"/>
    <w:rsid w:val="0040602A"/>
    <w:rsid w:val="00407D4A"/>
    <w:rsid w:val="004100C3"/>
    <w:rsid w:val="00410304"/>
    <w:rsid w:val="00411406"/>
    <w:rsid w:val="004172C5"/>
    <w:rsid w:val="0042290B"/>
    <w:rsid w:val="004233CC"/>
    <w:rsid w:val="00426457"/>
    <w:rsid w:val="004304E9"/>
    <w:rsid w:val="00433F17"/>
    <w:rsid w:val="004406E3"/>
    <w:rsid w:val="00440F1E"/>
    <w:rsid w:val="0044188E"/>
    <w:rsid w:val="004419E5"/>
    <w:rsid w:val="00441F1D"/>
    <w:rsid w:val="004423CB"/>
    <w:rsid w:val="00443C0F"/>
    <w:rsid w:val="00443CEA"/>
    <w:rsid w:val="00444C35"/>
    <w:rsid w:val="00445C4F"/>
    <w:rsid w:val="00446B5F"/>
    <w:rsid w:val="00452BBC"/>
    <w:rsid w:val="00453D9E"/>
    <w:rsid w:val="004542EE"/>
    <w:rsid w:val="00456C12"/>
    <w:rsid w:val="004605DC"/>
    <w:rsid w:val="00463B3C"/>
    <w:rsid w:val="00465B8B"/>
    <w:rsid w:val="00471789"/>
    <w:rsid w:val="00474177"/>
    <w:rsid w:val="00474F89"/>
    <w:rsid w:val="00476756"/>
    <w:rsid w:val="00477CC9"/>
    <w:rsid w:val="00482128"/>
    <w:rsid w:val="00482E15"/>
    <w:rsid w:val="004866ED"/>
    <w:rsid w:val="00492F66"/>
    <w:rsid w:val="0049664A"/>
    <w:rsid w:val="00496852"/>
    <w:rsid w:val="00497BEF"/>
    <w:rsid w:val="004A1624"/>
    <w:rsid w:val="004A28F3"/>
    <w:rsid w:val="004A7612"/>
    <w:rsid w:val="004B3090"/>
    <w:rsid w:val="004B7783"/>
    <w:rsid w:val="004B78FF"/>
    <w:rsid w:val="004C0280"/>
    <w:rsid w:val="004C0BA9"/>
    <w:rsid w:val="004C3FCE"/>
    <w:rsid w:val="004C7B1E"/>
    <w:rsid w:val="004D4687"/>
    <w:rsid w:val="004D49AB"/>
    <w:rsid w:val="004D5E80"/>
    <w:rsid w:val="004D5F9C"/>
    <w:rsid w:val="004D600D"/>
    <w:rsid w:val="004E4345"/>
    <w:rsid w:val="004E64F2"/>
    <w:rsid w:val="004E662A"/>
    <w:rsid w:val="004E6F46"/>
    <w:rsid w:val="004E7E91"/>
    <w:rsid w:val="004F1462"/>
    <w:rsid w:val="004F512D"/>
    <w:rsid w:val="005035FD"/>
    <w:rsid w:val="00507ABF"/>
    <w:rsid w:val="005111D3"/>
    <w:rsid w:val="005174C6"/>
    <w:rsid w:val="00517F16"/>
    <w:rsid w:val="00523650"/>
    <w:rsid w:val="00524BD0"/>
    <w:rsid w:val="005256EB"/>
    <w:rsid w:val="00532F02"/>
    <w:rsid w:val="005332D5"/>
    <w:rsid w:val="005350B8"/>
    <w:rsid w:val="0054209D"/>
    <w:rsid w:val="005420F8"/>
    <w:rsid w:val="005423BA"/>
    <w:rsid w:val="005454DE"/>
    <w:rsid w:val="005459BD"/>
    <w:rsid w:val="00546950"/>
    <w:rsid w:val="005471D7"/>
    <w:rsid w:val="0054767B"/>
    <w:rsid w:val="00547856"/>
    <w:rsid w:val="005502F7"/>
    <w:rsid w:val="005522FA"/>
    <w:rsid w:val="0055326A"/>
    <w:rsid w:val="00554DBB"/>
    <w:rsid w:val="00562331"/>
    <w:rsid w:val="0056591F"/>
    <w:rsid w:val="0056743C"/>
    <w:rsid w:val="00571AEB"/>
    <w:rsid w:val="00584DA7"/>
    <w:rsid w:val="0058642B"/>
    <w:rsid w:val="00586C8F"/>
    <w:rsid w:val="00594E49"/>
    <w:rsid w:val="00596955"/>
    <w:rsid w:val="005A1501"/>
    <w:rsid w:val="005A3B0E"/>
    <w:rsid w:val="005A3D9E"/>
    <w:rsid w:val="005B307A"/>
    <w:rsid w:val="005B677D"/>
    <w:rsid w:val="005B69C2"/>
    <w:rsid w:val="005B6E6B"/>
    <w:rsid w:val="005C23AE"/>
    <w:rsid w:val="005D08D7"/>
    <w:rsid w:val="005D106E"/>
    <w:rsid w:val="005D56B9"/>
    <w:rsid w:val="005D5E05"/>
    <w:rsid w:val="005E579C"/>
    <w:rsid w:val="005E6B47"/>
    <w:rsid w:val="005E7988"/>
    <w:rsid w:val="005F1296"/>
    <w:rsid w:val="005F1AC2"/>
    <w:rsid w:val="00600F85"/>
    <w:rsid w:val="006101F7"/>
    <w:rsid w:val="0061021B"/>
    <w:rsid w:val="00612228"/>
    <w:rsid w:val="00614460"/>
    <w:rsid w:val="006175D3"/>
    <w:rsid w:val="00621FF2"/>
    <w:rsid w:val="006220FE"/>
    <w:rsid w:val="00623CFC"/>
    <w:rsid w:val="0062493C"/>
    <w:rsid w:val="00624C93"/>
    <w:rsid w:val="00625404"/>
    <w:rsid w:val="00627986"/>
    <w:rsid w:val="00627C97"/>
    <w:rsid w:val="00630A0B"/>
    <w:rsid w:val="006329C9"/>
    <w:rsid w:val="006408FF"/>
    <w:rsid w:val="006428DB"/>
    <w:rsid w:val="006452DA"/>
    <w:rsid w:val="00652EA8"/>
    <w:rsid w:val="006557AC"/>
    <w:rsid w:val="00656E0F"/>
    <w:rsid w:val="0066025C"/>
    <w:rsid w:val="00661111"/>
    <w:rsid w:val="006643C5"/>
    <w:rsid w:val="00665339"/>
    <w:rsid w:val="006706B2"/>
    <w:rsid w:val="006708C9"/>
    <w:rsid w:val="00672A69"/>
    <w:rsid w:val="00677FB5"/>
    <w:rsid w:val="00680840"/>
    <w:rsid w:val="006815E5"/>
    <w:rsid w:val="00683171"/>
    <w:rsid w:val="00686B66"/>
    <w:rsid w:val="00692B54"/>
    <w:rsid w:val="00695FDB"/>
    <w:rsid w:val="00696FE9"/>
    <w:rsid w:val="006A1399"/>
    <w:rsid w:val="006A39E0"/>
    <w:rsid w:val="006A5421"/>
    <w:rsid w:val="006B0975"/>
    <w:rsid w:val="006B588D"/>
    <w:rsid w:val="006B665D"/>
    <w:rsid w:val="006B6D25"/>
    <w:rsid w:val="006B6F9F"/>
    <w:rsid w:val="006B744C"/>
    <w:rsid w:val="006B7987"/>
    <w:rsid w:val="006C11F9"/>
    <w:rsid w:val="006C2C2B"/>
    <w:rsid w:val="006C349F"/>
    <w:rsid w:val="006C4C3B"/>
    <w:rsid w:val="006C5E5D"/>
    <w:rsid w:val="006C74E2"/>
    <w:rsid w:val="006D370A"/>
    <w:rsid w:val="006E2D5C"/>
    <w:rsid w:val="006E395A"/>
    <w:rsid w:val="006E3F9B"/>
    <w:rsid w:val="006E63EA"/>
    <w:rsid w:val="006E6873"/>
    <w:rsid w:val="006E702B"/>
    <w:rsid w:val="006E77B9"/>
    <w:rsid w:val="006F29F0"/>
    <w:rsid w:val="006F523A"/>
    <w:rsid w:val="006F5272"/>
    <w:rsid w:val="006F5FD7"/>
    <w:rsid w:val="006F604F"/>
    <w:rsid w:val="007002D5"/>
    <w:rsid w:val="00706204"/>
    <w:rsid w:val="00706BBC"/>
    <w:rsid w:val="007103BB"/>
    <w:rsid w:val="00710BAC"/>
    <w:rsid w:val="00710C3F"/>
    <w:rsid w:val="00711F67"/>
    <w:rsid w:val="00713929"/>
    <w:rsid w:val="0071508A"/>
    <w:rsid w:val="0071789F"/>
    <w:rsid w:val="00722E57"/>
    <w:rsid w:val="00724093"/>
    <w:rsid w:val="00724A51"/>
    <w:rsid w:val="00724D07"/>
    <w:rsid w:val="0072509A"/>
    <w:rsid w:val="00735650"/>
    <w:rsid w:val="007413BD"/>
    <w:rsid w:val="007423F7"/>
    <w:rsid w:val="00743508"/>
    <w:rsid w:val="0074363A"/>
    <w:rsid w:val="00743CDA"/>
    <w:rsid w:val="007443C1"/>
    <w:rsid w:val="007504CB"/>
    <w:rsid w:val="007516C1"/>
    <w:rsid w:val="00751BE1"/>
    <w:rsid w:val="00760A65"/>
    <w:rsid w:val="00760E7C"/>
    <w:rsid w:val="007611C3"/>
    <w:rsid w:val="0076326B"/>
    <w:rsid w:val="00764B85"/>
    <w:rsid w:val="0076535A"/>
    <w:rsid w:val="00767B11"/>
    <w:rsid w:val="00774CEC"/>
    <w:rsid w:val="00780435"/>
    <w:rsid w:val="00782D98"/>
    <w:rsid w:val="00784A1A"/>
    <w:rsid w:val="00785EE6"/>
    <w:rsid w:val="0078616B"/>
    <w:rsid w:val="00790E79"/>
    <w:rsid w:val="007912BC"/>
    <w:rsid w:val="00792815"/>
    <w:rsid w:val="0079310A"/>
    <w:rsid w:val="0079373E"/>
    <w:rsid w:val="00793E13"/>
    <w:rsid w:val="00795920"/>
    <w:rsid w:val="00796F57"/>
    <w:rsid w:val="0079735E"/>
    <w:rsid w:val="007A24E2"/>
    <w:rsid w:val="007A3AAA"/>
    <w:rsid w:val="007A5156"/>
    <w:rsid w:val="007A7DF2"/>
    <w:rsid w:val="007B06C3"/>
    <w:rsid w:val="007B117A"/>
    <w:rsid w:val="007B190D"/>
    <w:rsid w:val="007B2945"/>
    <w:rsid w:val="007B6600"/>
    <w:rsid w:val="007B7908"/>
    <w:rsid w:val="007C1FF3"/>
    <w:rsid w:val="007C332F"/>
    <w:rsid w:val="007C34F3"/>
    <w:rsid w:val="007C4909"/>
    <w:rsid w:val="007C6362"/>
    <w:rsid w:val="007C686B"/>
    <w:rsid w:val="007D0B08"/>
    <w:rsid w:val="007D25C8"/>
    <w:rsid w:val="007D575F"/>
    <w:rsid w:val="007D6FE1"/>
    <w:rsid w:val="007E4C33"/>
    <w:rsid w:val="007F4806"/>
    <w:rsid w:val="007F5CA6"/>
    <w:rsid w:val="008003EA"/>
    <w:rsid w:val="00801579"/>
    <w:rsid w:val="00806595"/>
    <w:rsid w:val="0080670B"/>
    <w:rsid w:val="00810ACC"/>
    <w:rsid w:val="00813049"/>
    <w:rsid w:val="00814A8F"/>
    <w:rsid w:val="00822C3E"/>
    <w:rsid w:val="008242DA"/>
    <w:rsid w:val="00824A2E"/>
    <w:rsid w:val="00824FB1"/>
    <w:rsid w:val="008265E3"/>
    <w:rsid w:val="00833CC3"/>
    <w:rsid w:val="00837CC0"/>
    <w:rsid w:val="00841BF7"/>
    <w:rsid w:val="00847465"/>
    <w:rsid w:val="00851E20"/>
    <w:rsid w:val="0085667E"/>
    <w:rsid w:val="00863A0F"/>
    <w:rsid w:val="0086442E"/>
    <w:rsid w:val="00864AC2"/>
    <w:rsid w:val="008765D7"/>
    <w:rsid w:val="00880685"/>
    <w:rsid w:val="00881064"/>
    <w:rsid w:val="008819A6"/>
    <w:rsid w:val="008838C4"/>
    <w:rsid w:val="00884A82"/>
    <w:rsid w:val="00890501"/>
    <w:rsid w:val="008935AC"/>
    <w:rsid w:val="00893C86"/>
    <w:rsid w:val="00896BCF"/>
    <w:rsid w:val="008971F1"/>
    <w:rsid w:val="0089720D"/>
    <w:rsid w:val="00897917"/>
    <w:rsid w:val="008A0670"/>
    <w:rsid w:val="008A4DB2"/>
    <w:rsid w:val="008B16F9"/>
    <w:rsid w:val="008B3251"/>
    <w:rsid w:val="008B43D0"/>
    <w:rsid w:val="008B7F5D"/>
    <w:rsid w:val="008C3417"/>
    <w:rsid w:val="008C40AF"/>
    <w:rsid w:val="008C7EC9"/>
    <w:rsid w:val="008D58E3"/>
    <w:rsid w:val="008D5EED"/>
    <w:rsid w:val="008D6824"/>
    <w:rsid w:val="008D72C2"/>
    <w:rsid w:val="008E02A1"/>
    <w:rsid w:val="008E284C"/>
    <w:rsid w:val="008E6646"/>
    <w:rsid w:val="008E73E1"/>
    <w:rsid w:val="008F00A1"/>
    <w:rsid w:val="008F0BF6"/>
    <w:rsid w:val="008F4AD5"/>
    <w:rsid w:val="008F6C1A"/>
    <w:rsid w:val="00905616"/>
    <w:rsid w:val="00912CDC"/>
    <w:rsid w:val="009145D3"/>
    <w:rsid w:val="00920934"/>
    <w:rsid w:val="00922D35"/>
    <w:rsid w:val="00925F3F"/>
    <w:rsid w:val="00927183"/>
    <w:rsid w:val="00930ACB"/>
    <w:rsid w:val="00930E32"/>
    <w:rsid w:val="00932665"/>
    <w:rsid w:val="009414D4"/>
    <w:rsid w:val="00942F5C"/>
    <w:rsid w:val="0094312A"/>
    <w:rsid w:val="0094511C"/>
    <w:rsid w:val="009453B0"/>
    <w:rsid w:val="009471B5"/>
    <w:rsid w:val="00954C67"/>
    <w:rsid w:val="009558D9"/>
    <w:rsid w:val="00962135"/>
    <w:rsid w:val="009640C3"/>
    <w:rsid w:val="00964C67"/>
    <w:rsid w:val="00965DB9"/>
    <w:rsid w:val="00966F96"/>
    <w:rsid w:val="00970ED5"/>
    <w:rsid w:val="0097132F"/>
    <w:rsid w:val="009719C0"/>
    <w:rsid w:val="00981433"/>
    <w:rsid w:val="00984AE6"/>
    <w:rsid w:val="00986FF2"/>
    <w:rsid w:val="00991D16"/>
    <w:rsid w:val="00992F15"/>
    <w:rsid w:val="009979B1"/>
    <w:rsid w:val="00997C5A"/>
    <w:rsid w:val="009A0CB9"/>
    <w:rsid w:val="009A3775"/>
    <w:rsid w:val="009A53A1"/>
    <w:rsid w:val="009A5EF6"/>
    <w:rsid w:val="009A6115"/>
    <w:rsid w:val="009A6AC1"/>
    <w:rsid w:val="009B0B25"/>
    <w:rsid w:val="009B2D6F"/>
    <w:rsid w:val="009B3867"/>
    <w:rsid w:val="009B7390"/>
    <w:rsid w:val="009B7456"/>
    <w:rsid w:val="009B79F6"/>
    <w:rsid w:val="009B7DE0"/>
    <w:rsid w:val="009C17C6"/>
    <w:rsid w:val="009C444A"/>
    <w:rsid w:val="009C75C4"/>
    <w:rsid w:val="009D1A83"/>
    <w:rsid w:val="009D2B76"/>
    <w:rsid w:val="009D46A4"/>
    <w:rsid w:val="009D6CE2"/>
    <w:rsid w:val="009E11E5"/>
    <w:rsid w:val="009E3A4E"/>
    <w:rsid w:val="009E49E3"/>
    <w:rsid w:val="009E4BBF"/>
    <w:rsid w:val="009E5042"/>
    <w:rsid w:val="009E7342"/>
    <w:rsid w:val="009E75B5"/>
    <w:rsid w:val="009F2BFC"/>
    <w:rsid w:val="009F2E81"/>
    <w:rsid w:val="009F6561"/>
    <w:rsid w:val="00A0314B"/>
    <w:rsid w:val="00A04C16"/>
    <w:rsid w:val="00A12103"/>
    <w:rsid w:val="00A14ADD"/>
    <w:rsid w:val="00A15925"/>
    <w:rsid w:val="00A2504A"/>
    <w:rsid w:val="00A25069"/>
    <w:rsid w:val="00A3222E"/>
    <w:rsid w:val="00A32FD2"/>
    <w:rsid w:val="00A34F43"/>
    <w:rsid w:val="00A3682F"/>
    <w:rsid w:val="00A3768F"/>
    <w:rsid w:val="00A378D6"/>
    <w:rsid w:val="00A42A8D"/>
    <w:rsid w:val="00A42AC8"/>
    <w:rsid w:val="00A43891"/>
    <w:rsid w:val="00A46733"/>
    <w:rsid w:val="00A474ED"/>
    <w:rsid w:val="00A52636"/>
    <w:rsid w:val="00A52D63"/>
    <w:rsid w:val="00A54542"/>
    <w:rsid w:val="00A57912"/>
    <w:rsid w:val="00A60906"/>
    <w:rsid w:val="00A65B78"/>
    <w:rsid w:val="00A6690B"/>
    <w:rsid w:val="00A66F45"/>
    <w:rsid w:val="00A7221C"/>
    <w:rsid w:val="00A7339A"/>
    <w:rsid w:val="00A760FD"/>
    <w:rsid w:val="00A8020D"/>
    <w:rsid w:val="00A80EBE"/>
    <w:rsid w:val="00A87112"/>
    <w:rsid w:val="00A9070F"/>
    <w:rsid w:val="00A92751"/>
    <w:rsid w:val="00A95754"/>
    <w:rsid w:val="00A95E3C"/>
    <w:rsid w:val="00A96563"/>
    <w:rsid w:val="00A976AC"/>
    <w:rsid w:val="00AA1C21"/>
    <w:rsid w:val="00AA4522"/>
    <w:rsid w:val="00AA5F93"/>
    <w:rsid w:val="00AB177B"/>
    <w:rsid w:val="00AB5940"/>
    <w:rsid w:val="00AB79F2"/>
    <w:rsid w:val="00AC194D"/>
    <w:rsid w:val="00AC288B"/>
    <w:rsid w:val="00AC4C7F"/>
    <w:rsid w:val="00AD0E66"/>
    <w:rsid w:val="00AD21D8"/>
    <w:rsid w:val="00AD4807"/>
    <w:rsid w:val="00AE1D5B"/>
    <w:rsid w:val="00AE2642"/>
    <w:rsid w:val="00AE6EB2"/>
    <w:rsid w:val="00AF0609"/>
    <w:rsid w:val="00AF1A3B"/>
    <w:rsid w:val="00AF1E0E"/>
    <w:rsid w:val="00AF540B"/>
    <w:rsid w:val="00AF6C20"/>
    <w:rsid w:val="00B03D5B"/>
    <w:rsid w:val="00B05498"/>
    <w:rsid w:val="00B07ABD"/>
    <w:rsid w:val="00B07CD3"/>
    <w:rsid w:val="00B14FBE"/>
    <w:rsid w:val="00B15E2E"/>
    <w:rsid w:val="00B1606C"/>
    <w:rsid w:val="00B16C37"/>
    <w:rsid w:val="00B17A1C"/>
    <w:rsid w:val="00B213F0"/>
    <w:rsid w:val="00B30052"/>
    <w:rsid w:val="00B306C0"/>
    <w:rsid w:val="00B37127"/>
    <w:rsid w:val="00B3751D"/>
    <w:rsid w:val="00B43280"/>
    <w:rsid w:val="00B44294"/>
    <w:rsid w:val="00B467D6"/>
    <w:rsid w:val="00B51E14"/>
    <w:rsid w:val="00B52BEA"/>
    <w:rsid w:val="00B62EE4"/>
    <w:rsid w:val="00B62F2C"/>
    <w:rsid w:val="00B64E15"/>
    <w:rsid w:val="00B6646A"/>
    <w:rsid w:val="00B70E96"/>
    <w:rsid w:val="00B7285D"/>
    <w:rsid w:val="00B81CFE"/>
    <w:rsid w:val="00B87532"/>
    <w:rsid w:val="00B911E3"/>
    <w:rsid w:val="00B956CB"/>
    <w:rsid w:val="00BA03A3"/>
    <w:rsid w:val="00BA15BC"/>
    <w:rsid w:val="00BA28F7"/>
    <w:rsid w:val="00BA4EA1"/>
    <w:rsid w:val="00BA602F"/>
    <w:rsid w:val="00BB017A"/>
    <w:rsid w:val="00BB1558"/>
    <w:rsid w:val="00BB1ED1"/>
    <w:rsid w:val="00BB72DF"/>
    <w:rsid w:val="00BC19F9"/>
    <w:rsid w:val="00BC1C4F"/>
    <w:rsid w:val="00BC46D9"/>
    <w:rsid w:val="00BC58E4"/>
    <w:rsid w:val="00BC7DA9"/>
    <w:rsid w:val="00BD0FF3"/>
    <w:rsid w:val="00BD52C1"/>
    <w:rsid w:val="00BD73A0"/>
    <w:rsid w:val="00BE053A"/>
    <w:rsid w:val="00BE0A73"/>
    <w:rsid w:val="00BE38E1"/>
    <w:rsid w:val="00BE5909"/>
    <w:rsid w:val="00BE79C2"/>
    <w:rsid w:val="00BF0F75"/>
    <w:rsid w:val="00BF136F"/>
    <w:rsid w:val="00BF5D72"/>
    <w:rsid w:val="00C00311"/>
    <w:rsid w:val="00C0505F"/>
    <w:rsid w:val="00C0656B"/>
    <w:rsid w:val="00C06904"/>
    <w:rsid w:val="00C071C9"/>
    <w:rsid w:val="00C07399"/>
    <w:rsid w:val="00C13427"/>
    <w:rsid w:val="00C139E3"/>
    <w:rsid w:val="00C14E66"/>
    <w:rsid w:val="00C1513C"/>
    <w:rsid w:val="00C1562F"/>
    <w:rsid w:val="00C16105"/>
    <w:rsid w:val="00C24C0B"/>
    <w:rsid w:val="00C3138F"/>
    <w:rsid w:val="00C31477"/>
    <w:rsid w:val="00C32569"/>
    <w:rsid w:val="00C37BDD"/>
    <w:rsid w:val="00C41172"/>
    <w:rsid w:val="00C41880"/>
    <w:rsid w:val="00C41D33"/>
    <w:rsid w:val="00C429F1"/>
    <w:rsid w:val="00C4367C"/>
    <w:rsid w:val="00C454D1"/>
    <w:rsid w:val="00C45ACF"/>
    <w:rsid w:val="00C47C82"/>
    <w:rsid w:val="00C509D2"/>
    <w:rsid w:val="00C55710"/>
    <w:rsid w:val="00C579EA"/>
    <w:rsid w:val="00C6014C"/>
    <w:rsid w:val="00C66E4B"/>
    <w:rsid w:val="00C744E6"/>
    <w:rsid w:val="00C74B74"/>
    <w:rsid w:val="00C74CCA"/>
    <w:rsid w:val="00C75D06"/>
    <w:rsid w:val="00C824E1"/>
    <w:rsid w:val="00C825E7"/>
    <w:rsid w:val="00C8352D"/>
    <w:rsid w:val="00C8603B"/>
    <w:rsid w:val="00C91823"/>
    <w:rsid w:val="00C95B00"/>
    <w:rsid w:val="00CA1779"/>
    <w:rsid w:val="00CA443B"/>
    <w:rsid w:val="00CA5D7B"/>
    <w:rsid w:val="00CA7BD0"/>
    <w:rsid w:val="00CB1784"/>
    <w:rsid w:val="00CB1D9B"/>
    <w:rsid w:val="00CB430E"/>
    <w:rsid w:val="00CB5ACA"/>
    <w:rsid w:val="00CC0D21"/>
    <w:rsid w:val="00CC0F87"/>
    <w:rsid w:val="00CC3435"/>
    <w:rsid w:val="00CC3533"/>
    <w:rsid w:val="00CC37FE"/>
    <w:rsid w:val="00CD19E8"/>
    <w:rsid w:val="00CD2C5C"/>
    <w:rsid w:val="00CD65CA"/>
    <w:rsid w:val="00CE19F1"/>
    <w:rsid w:val="00CE392C"/>
    <w:rsid w:val="00CF1860"/>
    <w:rsid w:val="00CF63A3"/>
    <w:rsid w:val="00D0327E"/>
    <w:rsid w:val="00D042FB"/>
    <w:rsid w:val="00D05B34"/>
    <w:rsid w:val="00D06F31"/>
    <w:rsid w:val="00D10741"/>
    <w:rsid w:val="00D111ED"/>
    <w:rsid w:val="00D15ED6"/>
    <w:rsid w:val="00D16550"/>
    <w:rsid w:val="00D17275"/>
    <w:rsid w:val="00D2102F"/>
    <w:rsid w:val="00D21145"/>
    <w:rsid w:val="00D22D54"/>
    <w:rsid w:val="00D230FF"/>
    <w:rsid w:val="00D234CD"/>
    <w:rsid w:val="00D26BA2"/>
    <w:rsid w:val="00D33066"/>
    <w:rsid w:val="00D40F4B"/>
    <w:rsid w:val="00D42919"/>
    <w:rsid w:val="00D43A86"/>
    <w:rsid w:val="00D46E05"/>
    <w:rsid w:val="00D47E50"/>
    <w:rsid w:val="00D55691"/>
    <w:rsid w:val="00D57E40"/>
    <w:rsid w:val="00D7294E"/>
    <w:rsid w:val="00D72BE0"/>
    <w:rsid w:val="00D7470B"/>
    <w:rsid w:val="00D81B00"/>
    <w:rsid w:val="00D81CA7"/>
    <w:rsid w:val="00D820FA"/>
    <w:rsid w:val="00D82346"/>
    <w:rsid w:val="00D861EE"/>
    <w:rsid w:val="00D94BEC"/>
    <w:rsid w:val="00D97AD4"/>
    <w:rsid w:val="00DA0B54"/>
    <w:rsid w:val="00DA33DC"/>
    <w:rsid w:val="00DA3C03"/>
    <w:rsid w:val="00DA5AE9"/>
    <w:rsid w:val="00DA6E20"/>
    <w:rsid w:val="00DB276F"/>
    <w:rsid w:val="00DB79BD"/>
    <w:rsid w:val="00DC04B0"/>
    <w:rsid w:val="00DC2B3A"/>
    <w:rsid w:val="00DC424A"/>
    <w:rsid w:val="00DC59D7"/>
    <w:rsid w:val="00DD5D7E"/>
    <w:rsid w:val="00DE205E"/>
    <w:rsid w:val="00DE38A4"/>
    <w:rsid w:val="00DE3BAD"/>
    <w:rsid w:val="00DE5C26"/>
    <w:rsid w:val="00DE64FD"/>
    <w:rsid w:val="00DE75DD"/>
    <w:rsid w:val="00DF007E"/>
    <w:rsid w:val="00DF164A"/>
    <w:rsid w:val="00DF242C"/>
    <w:rsid w:val="00DF2AC8"/>
    <w:rsid w:val="00DF510D"/>
    <w:rsid w:val="00DF513E"/>
    <w:rsid w:val="00DF6449"/>
    <w:rsid w:val="00E01CA7"/>
    <w:rsid w:val="00E03C01"/>
    <w:rsid w:val="00E10572"/>
    <w:rsid w:val="00E1192A"/>
    <w:rsid w:val="00E1308A"/>
    <w:rsid w:val="00E14C5D"/>
    <w:rsid w:val="00E20DA4"/>
    <w:rsid w:val="00E236D3"/>
    <w:rsid w:val="00E241E2"/>
    <w:rsid w:val="00E279F2"/>
    <w:rsid w:val="00E27E5C"/>
    <w:rsid w:val="00E3237F"/>
    <w:rsid w:val="00E32AAC"/>
    <w:rsid w:val="00E330FE"/>
    <w:rsid w:val="00E3351C"/>
    <w:rsid w:val="00E356EC"/>
    <w:rsid w:val="00E3597F"/>
    <w:rsid w:val="00E40BEC"/>
    <w:rsid w:val="00E41570"/>
    <w:rsid w:val="00E46647"/>
    <w:rsid w:val="00E46B10"/>
    <w:rsid w:val="00E479FE"/>
    <w:rsid w:val="00E56964"/>
    <w:rsid w:val="00E614C3"/>
    <w:rsid w:val="00E626D7"/>
    <w:rsid w:val="00E629D3"/>
    <w:rsid w:val="00E65CA3"/>
    <w:rsid w:val="00E67A63"/>
    <w:rsid w:val="00E70BAA"/>
    <w:rsid w:val="00E7104E"/>
    <w:rsid w:val="00E72386"/>
    <w:rsid w:val="00E72A30"/>
    <w:rsid w:val="00E72F77"/>
    <w:rsid w:val="00E7557F"/>
    <w:rsid w:val="00E769CD"/>
    <w:rsid w:val="00E82E12"/>
    <w:rsid w:val="00E83566"/>
    <w:rsid w:val="00E840DE"/>
    <w:rsid w:val="00E85808"/>
    <w:rsid w:val="00E94877"/>
    <w:rsid w:val="00E96C1C"/>
    <w:rsid w:val="00E973CD"/>
    <w:rsid w:val="00EA0D84"/>
    <w:rsid w:val="00EA6919"/>
    <w:rsid w:val="00EA7397"/>
    <w:rsid w:val="00EB1450"/>
    <w:rsid w:val="00EB3ACD"/>
    <w:rsid w:val="00EB3DFE"/>
    <w:rsid w:val="00EB6E92"/>
    <w:rsid w:val="00EC3C56"/>
    <w:rsid w:val="00EC4EB7"/>
    <w:rsid w:val="00EC5808"/>
    <w:rsid w:val="00ED1210"/>
    <w:rsid w:val="00ED12DD"/>
    <w:rsid w:val="00ED1C3F"/>
    <w:rsid w:val="00ED49AF"/>
    <w:rsid w:val="00ED7D8E"/>
    <w:rsid w:val="00EE0951"/>
    <w:rsid w:val="00EE0F32"/>
    <w:rsid w:val="00EE3644"/>
    <w:rsid w:val="00EF13BC"/>
    <w:rsid w:val="00EF3C16"/>
    <w:rsid w:val="00EF4700"/>
    <w:rsid w:val="00EF4C36"/>
    <w:rsid w:val="00EF7E18"/>
    <w:rsid w:val="00F05E10"/>
    <w:rsid w:val="00F0776F"/>
    <w:rsid w:val="00F101CD"/>
    <w:rsid w:val="00F21065"/>
    <w:rsid w:val="00F227F0"/>
    <w:rsid w:val="00F23B03"/>
    <w:rsid w:val="00F23E30"/>
    <w:rsid w:val="00F24A30"/>
    <w:rsid w:val="00F305DE"/>
    <w:rsid w:val="00F3183B"/>
    <w:rsid w:val="00F34BB6"/>
    <w:rsid w:val="00F34EC4"/>
    <w:rsid w:val="00F35221"/>
    <w:rsid w:val="00F360EC"/>
    <w:rsid w:val="00F3663B"/>
    <w:rsid w:val="00F37051"/>
    <w:rsid w:val="00F403C1"/>
    <w:rsid w:val="00F4193A"/>
    <w:rsid w:val="00F45D61"/>
    <w:rsid w:val="00F508F4"/>
    <w:rsid w:val="00F52CF0"/>
    <w:rsid w:val="00F62715"/>
    <w:rsid w:val="00F635C8"/>
    <w:rsid w:val="00F6404B"/>
    <w:rsid w:val="00F64626"/>
    <w:rsid w:val="00F74545"/>
    <w:rsid w:val="00F8433C"/>
    <w:rsid w:val="00F860DC"/>
    <w:rsid w:val="00F86B2C"/>
    <w:rsid w:val="00F93433"/>
    <w:rsid w:val="00F96C25"/>
    <w:rsid w:val="00FA054C"/>
    <w:rsid w:val="00FA168F"/>
    <w:rsid w:val="00FA6504"/>
    <w:rsid w:val="00FA76C9"/>
    <w:rsid w:val="00FA7B81"/>
    <w:rsid w:val="00FA7E65"/>
    <w:rsid w:val="00FB0411"/>
    <w:rsid w:val="00FB1F2E"/>
    <w:rsid w:val="00FB6684"/>
    <w:rsid w:val="00FB7192"/>
    <w:rsid w:val="00FC48D2"/>
    <w:rsid w:val="00FD0462"/>
    <w:rsid w:val="00FD0719"/>
    <w:rsid w:val="00FD413C"/>
    <w:rsid w:val="00FD52C3"/>
    <w:rsid w:val="00FE0042"/>
    <w:rsid w:val="00FE0BB4"/>
    <w:rsid w:val="00FE74C7"/>
    <w:rsid w:val="00FF295B"/>
    <w:rsid w:val="00FF32C0"/>
    <w:rsid w:val="00FF5B71"/>
    <w:rsid w:val="00FF71A0"/>
    <w:rsid w:val="00FF7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16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950"/>
    <w:pPr>
      <w:jc w:val="both"/>
    </w:pPr>
    <w:rPr>
      <w:rFonts w:ascii="avant garde" w:hAnsi="avant garde"/>
      <w:sz w:val="22"/>
      <w:szCs w:val="24"/>
      <w:lang w:eastAsia="en-US"/>
    </w:rPr>
  </w:style>
  <w:style w:type="paragraph" w:styleId="Heading1">
    <w:name w:val="heading 1"/>
    <w:basedOn w:val="Normal"/>
    <w:next w:val="Normal"/>
    <w:qFormat/>
    <w:pPr>
      <w:keepNext/>
      <w:outlineLvl w:val="0"/>
    </w:pPr>
    <w:rPr>
      <w:rFonts w:cs="Arial"/>
      <w:b/>
      <w:bCs/>
      <w:color w:val="687522"/>
      <w:sz w:val="32"/>
    </w:rPr>
  </w:style>
  <w:style w:type="paragraph" w:styleId="Heading2">
    <w:name w:val="heading 2"/>
    <w:basedOn w:val="Normal"/>
    <w:next w:val="Normal"/>
    <w:qFormat/>
    <w:pPr>
      <w:keepNext/>
      <w:spacing w:before="240" w:after="120"/>
      <w:outlineLvl w:val="1"/>
    </w:pPr>
    <w:rPr>
      <w:rFonts w:cs="Arial"/>
      <w:b/>
      <w:bCs/>
      <w:color w:val="667305"/>
      <w:sz w:val="28"/>
    </w:rPr>
  </w:style>
  <w:style w:type="paragraph" w:styleId="Heading3">
    <w:name w:val="heading 3"/>
    <w:basedOn w:val="Normal"/>
    <w:next w:val="Normal"/>
    <w:qFormat/>
    <w:pPr>
      <w:keepNext/>
      <w:pBdr>
        <w:top w:val="single" w:sz="4" w:space="1" w:color="667305"/>
      </w:pBdr>
      <w:tabs>
        <w:tab w:val="left" w:pos="567"/>
      </w:tabs>
      <w:spacing w:before="240" w:after="120"/>
      <w:outlineLvl w:val="2"/>
    </w:pPr>
    <w:rPr>
      <w:rFonts w:cs="Arial"/>
      <w:b/>
      <w:bCs/>
      <w:color w:val="687522"/>
      <w:szCs w:val="26"/>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1134"/>
    </w:pPr>
    <w:rPr>
      <w:rFonts w:cs="Arial"/>
    </w:rPr>
  </w:style>
  <w:style w:type="paragraph" w:styleId="Header">
    <w:name w:val="header"/>
    <w:basedOn w:val="Normal"/>
    <w:link w:val="HeaderChar"/>
    <w:uiPriority w:val="99"/>
    <w:pPr>
      <w:tabs>
        <w:tab w:val="center" w:pos="4153"/>
        <w:tab w:val="right" w:pos="8306"/>
      </w:tabs>
    </w:pPr>
  </w:style>
  <w:style w:type="paragraph" w:customStyle="1" w:styleId="BulletNormal">
    <w:name w:val="BulletNormal"/>
    <w:basedOn w:val="Normal"/>
    <w:pPr>
      <w:numPr>
        <w:numId w:val="1"/>
      </w:numP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FootnoteText">
    <w:name w:val="footnote text"/>
    <w:basedOn w:val="Normal"/>
    <w:link w:val="FootnoteTextChar"/>
    <w:uiPriority w:val="99"/>
    <w:rsid w:val="00CC3533"/>
    <w:rPr>
      <w:sz w:val="20"/>
      <w:szCs w:val="20"/>
    </w:rPr>
  </w:style>
  <w:style w:type="paragraph" w:customStyle="1" w:styleId="BulletBody">
    <w:name w:val="BulletBody"/>
    <w:basedOn w:val="BulletNormal"/>
    <w:pPr>
      <w:tabs>
        <w:tab w:val="clear" w:pos="720"/>
        <w:tab w:val="num" w:pos="1843"/>
      </w:tabs>
      <w:ind w:left="1843"/>
    </w:pPr>
  </w:style>
  <w:style w:type="paragraph" w:customStyle="1" w:styleId="TopHead">
    <w:name w:val="TopHead"/>
    <w:basedOn w:val="Heading1"/>
    <w:pPr>
      <w:jc w:val="center"/>
    </w:pPr>
    <w:rPr>
      <w:color w:val="325078"/>
    </w:rPr>
  </w:style>
  <w:style w:type="character" w:styleId="FootnoteReference">
    <w:name w:val="footnote reference"/>
    <w:basedOn w:val="DefaultParagraphFont"/>
    <w:uiPriority w:val="99"/>
    <w:rsid w:val="00CC3533"/>
    <w:rPr>
      <w:vertAlign w:val="superscript"/>
    </w:rPr>
  </w:style>
  <w:style w:type="table" w:styleId="TableGrid">
    <w:name w:val="Table Grid"/>
    <w:basedOn w:val="TableNormal"/>
    <w:uiPriority w:val="59"/>
    <w:rsid w:val="00CB17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966F9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966F96"/>
    <w:rPr>
      <w:rFonts w:ascii="Cambria" w:eastAsia="Times New Roman" w:hAnsi="Cambria" w:cs="Times New Roman"/>
      <w:b/>
      <w:bCs/>
      <w:kern w:val="28"/>
      <w:sz w:val="32"/>
      <w:szCs w:val="32"/>
      <w:lang w:eastAsia="en-US"/>
    </w:rPr>
  </w:style>
  <w:style w:type="character" w:styleId="Hyperlink">
    <w:name w:val="Hyperlink"/>
    <w:basedOn w:val="DefaultParagraphFont"/>
    <w:uiPriority w:val="99"/>
    <w:unhideWhenUsed/>
    <w:rsid w:val="00D46E05"/>
    <w:rPr>
      <w:color w:val="0000FF"/>
      <w:u w:val="single"/>
    </w:rPr>
  </w:style>
  <w:style w:type="character" w:styleId="FollowedHyperlink">
    <w:name w:val="FollowedHyperlink"/>
    <w:basedOn w:val="DefaultParagraphFont"/>
    <w:uiPriority w:val="99"/>
    <w:semiHidden/>
    <w:unhideWhenUsed/>
    <w:rsid w:val="00C825E7"/>
    <w:rPr>
      <w:color w:val="800080"/>
      <w:u w:val="single"/>
    </w:rPr>
  </w:style>
  <w:style w:type="paragraph" w:styleId="NoSpacing">
    <w:name w:val="No Spacing"/>
    <w:uiPriority w:val="1"/>
    <w:qFormat/>
    <w:rsid w:val="006E77B9"/>
    <w:pPr>
      <w:jc w:val="both"/>
    </w:pPr>
    <w:rPr>
      <w:rFonts w:ascii="avant garde" w:hAnsi="avant garde"/>
      <w:sz w:val="22"/>
      <w:szCs w:val="24"/>
      <w:lang w:eastAsia="en-US"/>
    </w:rPr>
  </w:style>
  <w:style w:type="paragraph" w:styleId="BalloonText">
    <w:name w:val="Balloon Text"/>
    <w:basedOn w:val="Normal"/>
    <w:link w:val="BalloonTextChar"/>
    <w:uiPriority w:val="99"/>
    <w:semiHidden/>
    <w:unhideWhenUsed/>
    <w:rsid w:val="00BE38E1"/>
    <w:rPr>
      <w:rFonts w:ascii="Tahoma" w:hAnsi="Tahoma" w:cs="Tahoma"/>
      <w:sz w:val="16"/>
      <w:szCs w:val="16"/>
    </w:rPr>
  </w:style>
  <w:style w:type="character" w:customStyle="1" w:styleId="BalloonTextChar">
    <w:name w:val="Balloon Text Char"/>
    <w:basedOn w:val="DefaultParagraphFont"/>
    <w:link w:val="BalloonText"/>
    <w:uiPriority w:val="99"/>
    <w:semiHidden/>
    <w:rsid w:val="00BE38E1"/>
    <w:rPr>
      <w:rFonts w:ascii="Tahoma" w:hAnsi="Tahoma" w:cs="Tahoma"/>
      <w:sz w:val="16"/>
      <w:szCs w:val="16"/>
      <w:lang w:eastAsia="en-US"/>
    </w:rPr>
  </w:style>
  <w:style w:type="paragraph" w:styleId="ListParagraph">
    <w:name w:val="List Paragraph"/>
    <w:aliases w:val="Dot pt"/>
    <w:basedOn w:val="Normal"/>
    <w:link w:val="ListParagraphChar"/>
    <w:uiPriority w:val="34"/>
    <w:qFormat/>
    <w:rsid w:val="00C00311"/>
    <w:pPr>
      <w:spacing w:after="120"/>
      <w:ind w:left="720"/>
    </w:pPr>
  </w:style>
  <w:style w:type="paragraph" w:customStyle="1" w:styleId="Default">
    <w:name w:val="Default"/>
    <w:uiPriority w:val="99"/>
    <w:rsid w:val="00DC2B3A"/>
    <w:pPr>
      <w:autoSpaceDE w:val="0"/>
      <w:autoSpaceDN w:val="0"/>
      <w:adjustRightInd w:val="0"/>
    </w:pPr>
    <w:rPr>
      <w:rFonts w:ascii="Arial MT" w:hAnsi="Arial MT" w:cs="Arial MT"/>
      <w:color w:val="000000"/>
      <w:sz w:val="24"/>
      <w:szCs w:val="24"/>
    </w:rPr>
  </w:style>
  <w:style w:type="character" w:customStyle="1" w:styleId="FootnoteTextChar">
    <w:name w:val="Footnote Text Char"/>
    <w:basedOn w:val="DefaultParagraphFont"/>
    <w:link w:val="FootnoteText"/>
    <w:uiPriority w:val="99"/>
    <w:rsid w:val="00814A8F"/>
    <w:rPr>
      <w:rFonts w:ascii="avant garde" w:hAnsi="avant garde"/>
      <w:lang w:eastAsia="en-US"/>
    </w:rPr>
  </w:style>
  <w:style w:type="character" w:customStyle="1" w:styleId="ListParagraphChar">
    <w:name w:val="List Paragraph Char"/>
    <w:aliases w:val="Dot pt Char"/>
    <w:basedOn w:val="DefaultParagraphFont"/>
    <w:link w:val="ListParagraph"/>
    <w:uiPriority w:val="34"/>
    <w:locked/>
    <w:rsid w:val="00D57E40"/>
    <w:rPr>
      <w:rFonts w:ascii="avant garde" w:hAnsi="avant garde"/>
      <w:sz w:val="22"/>
      <w:szCs w:val="24"/>
      <w:lang w:eastAsia="en-US"/>
    </w:rPr>
  </w:style>
  <w:style w:type="character" w:customStyle="1" w:styleId="HeaderChar">
    <w:name w:val="Header Char"/>
    <w:basedOn w:val="DefaultParagraphFont"/>
    <w:link w:val="Header"/>
    <w:uiPriority w:val="99"/>
    <w:rsid w:val="00D57E40"/>
    <w:rPr>
      <w:rFonts w:ascii="avant garde" w:hAnsi="avant garde"/>
      <w:sz w:val="22"/>
      <w:szCs w:val="24"/>
      <w:lang w:eastAsia="en-US"/>
    </w:rPr>
  </w:style>
  <w:style w:type="character" w:customStyle="1" w:styleId="FooterChar">
    <w:name w:val="Footer Char"/>
    <w:basedOn w:val="DefaultParagraphFont"/>
    <w:link w:val="Footer"/>
    <w:uiPriority w:val="99"/>
    <w:rsid w:val="00D57E40"/>
    <w:rPr>
      <w:rFonts w:ascii="avant garde" w:hAnsi="avant garde"/>
      <w:sz w:val="22"/>
      <w:szCs w:val="24"/>
      <w:lang w:eastAsia="en-US"/>
    </w:rPr>
  </w:style>
  <w:style w:type="character" w:customStyle="1" w:styleId="A2">
    <w:name w:val="A2"/>
    <w:uiPriority w:val="99"/>
    <w:rsid w:val="00D57E40"/>
    <w:rPr>
      <w:rFonts w:cs="Helvetica Neue"/>
      <w:color w:val="000000"/>
      <w:sz w:val="22"/>
      <w:szCs w:val="22"/>
    </w:rPr>
  </w:style>
  <w:style w:type="character" w:styleId="CommentReference">
    <w:name w:val="annotation reference"/>
    <w:basedOn w:val="DefaultParagraphFont"/>
    <w:uiPriority w:val="99"/>
    <w:semiHidden/>
    <w:unhideWhenUsed/>
    <w:rsid w:val="00A57912"/>
    <w:rPr>
      <w:sz w:val="16"/>
      <w:szCs w:val="16"/>
    </w:rPr>
  </w:style>
  <w:style w:type="paragraph" w:styleId="CommentText">
    <w:name w:val="annotation text"/>
    <w:basedOn w:val="Normal"/>
    <w:link w:val="CommentTextChar"/>
    <w:uiPriority w:val="99"/>
    <w:unhideWhenUsed/>
    <w:rsid w:val="00A57912"/>
    <w:rPr>
      <w:sz w:val="20"/>
      <w:szCs w:val="20"/>
    </w:rPr>
  </w:style>
  <w:style w:type="character" w:customStyle="1" w:styleId="CommentTextChar">
    <w:name w:val="Comment Text Char"/>
    <w:basedOn w:val="DefaultParagraphFont"/>
    <w:link w:val="CommentText"/>
    <w:uiPriority w:val="99"/>
    <w:rsid w:val="00A57912"/>
    <w:rPr>
      <w:rFonts w:ascii="avant garde" w:hAnsi="avant garde"/>
      <w:lang w:eastAsia="en-US"/>
    </w:rPr>
  </w:style>
  <w:style w:type="paragraph" w:styleId="CommentSubject">
    <w:name w:val="annotation subject"/>
    <w:basedOn w:val="CommentText"/>
    <w:next w:val="CommentText"/>
    <w:link w:val="CommentSubjectChar"/>
    <w:uiPriority w:val="99"/>
    <w:semiHidden/>
    <w:unhideWhenUsed/>
    <w:rsid w:val="00A57912"/>
    <w:rPr>
      <w:b/>
      <w:bCs/>
    </w:rPr>
  </w:style>
  <w:style w:type="character" w:customStyle="1" w:styleId="CommentSubjectChar">
    <w:name w:val="Comment Subject Char"/>
    <w:basedOn w:val="CommentTextChar"/>
    <w:link w:val="CommentSubject"/>
    <w:uiPriority w:val="99"/>
    <w:semiHidden/>
    <w:rsid w:val="00A57912"/>
    <w:rPr>
      <w:rFonts w:ascii="avant garde" w:hAnsi="avant garde"/>
      <w:b/>
      <w:bCs/>
      <w:lang w:eastAsia="en-US"/>
    </w:rPr>
  </w:style>
  <w:style w:type="paragraph" w:styleId="NormalWeb">
    <w:name w:val="Normal (Web)"/>
    <w:basedOn w:val="Normal"/>
    <w:uiPriority w:val="99"/>
    <w:semiHidden/>
    <w:unhideWhenUsed/>
    <w:rsid w:val="008265E3"/>
    <w:pPr>
      <w:jc w:val="left"/>
    </w:pPr>
    <w:rPr>
      <w:rFonts w:ascii="Times New Roman" w:eastAsiaTheme="minorHAnsi" w:hAnsi="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950"/>
    <w:pPr>
      <w:jc w:val="both"/>
    </w:pPr>
    <w:rPr>
      <w:rFonts w:ascii="avant garde" w:hAnsi="avant garde"/>
      <w:sz w:val="22"/>
      <w:szCs w:val="24"/>
      <w:lang w:eastAsia="en-US"/>
    </w:rPr>
  </w:style>
  <w:style w:type="paragraph" w:styleId="Heading1">
    <w:name w:val="heading 1"/>
    <w:basedOn w:val="Normal"/>
    <w:next w:val="Normal"/>
    <w:qFormat/>
    <w:pPr>
      <w:keepNext/>
      <w:outlineLvl w:val="0"/>
    </w:pPr>
    <w:rPr>
      <w:rFonts w:cs="Arial"/>
      <w:b/>
      <w:bCs/>
      <w:color w:val="687522"/>
      <w:sz w:val="32"/>
    </w:rPr>
  </w:style>
  <w:style w:type="paragraph" w:styleId="Heading2">
    <w:name w:val="heading 2"/>
    <w:basedOn w:val="Normal"/>
    <w:next w:val="Normal"/>
    <w:qFormat/>
    <w:pPr>
      <w:keepNext/>
      <w:spacing w:before="240" w:after="120"/>
      <w:outlineLvl w:val="1"/>
    </w:pPr>
    <w:rPr>
      <w:rFonts w:cs="Arial"/>
      <w:b/>
      <w:bCs/>
      <w:color w:val="667305"/>
      <w:sz w:val="28"/>
    </w:rPr>
  </w:style>
  <w:style w:type="paragraph" w:styleId="Heading3">
    <w:name w:val="heading 3"/>
    <w:basedOn w:val="Normal"/>
    <w:next w:val="Normal"/>
    <w:qFormat/>
    <w:pPr>
      <w:keepNext/>
      <w:pBdr>
        <w:top w:val="single" w:sz="4" w:space="1" w:color="667305"/>
      </w:pBdr>
      <w:tabs>
        <w:tab w:val="left" w:pos="567"/>
      </w:tabs>
      <w:spacing w:before="240" w:after="120"/>
      <w:outlineLvl w:val="2"/>
    </w:pPr>
    <w:rPr>
      <w:rFonts w:cs="Arial"/>
      <w:b/>
      <w:bCs/>
      <w:color w:val="687522"/>
      <w:szCs w:val="26"/>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1134"/>
    </w:pPr>
    <w:rPr>
      <w:rFonts w:cs="Arial"/>
    </w:rPr>
  </w:style>
  <w:style w:type="paragraph" w:styleId="Header">
    <w:name w:val="header"/>
    <w:basedOn w:val="Normal"/>
    <w:link w:val="HeaderChar"/>
    <w:uiPriority w:val="99"/>
    <w:pPr>
      <w:tabs>
        <w:tab w:val="center" w:pos="4153"/>
        <w:tab w:val="right" w:pos="8306"/>
      </w:tabs>
    </w:pPr>
  </w:style>
  <w:style w:type="paragraph" w:customStyle="1" w:styleId="BulletNormal">
    <w:name w:val="BulletNormal"/>
    <w:basedOn w:val="Normal"/>
    <w:pPr>
      <w:numPr>
        <w:numId w:val="1"/>
      </w:numP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FootnoteText">
    <w:name w:val="footnote text"/>
    <w:basedOn w:val="Normal"/>
    <w:link w:val="FootnoteTextChar"/>
    <w:uiPriority w:val="99"/>
    <w:rsid w:val="00CC3533"/>
    <w:rPr>
      <w:sz w:val="20"/>
      <w:szCs w:val="20"/>
    </w:rPr>
  </w:style>
  <w:style w:type="paragraph" w:customStyle="1" w:styleId="BulletBody">
    <w:name w:val="BulletBody"/>
    <w:basedOn w:val="BulletNormal"/>
    <w:pPr>
      <w:tabs>
        <w:tab w:val="clear" w:pos="720"/>
        <w:tab w:val="num" w:pos="1843"/>
      </w:tabs>
      <w:ind w:left="1843"/>
    </w:pPr>
  </w:style>
  <w:style w:type="paragraph" w:customStyle="1" w:styleId="TopHead">
    <w:name w:val="TopHead"/>
    <w:basedOn w:val="Heading1"/>
    <w:pPr>
      <w:jc w:val="center"/>
    </w:pPr>
    <w:rPr>
      <w:color w:val="325078"/>
    </w:rPr>
  </w:style>
  <w:style w:type="character" w:styleId="FootnoteReference">
    <w:name w:val="footnote reference"/>
    <w:basedOn w:val="DefaultParagraphFont"/>
    <w:uiPriority w:val="99"/>
    <w:rsid w:val="00CC3533"/>
    <w:rPr>
      <w:vertAlign w:val="superscript"/>
    </w:rPr>
  </w:style>
  <w:style w:type="table" w:styleId="TableGrid">
    <w:name w:val="Table Grid"/>
    <w:basedOn w:val="TableNormal"/>
    <w:uiPriority w:val="59"/>
    <w:rsid w:val="00CB17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966F9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966F96"/>
    <w:rPr>
      <w:rFonts w:ascii="Cambria" w:eastAsia="Times New Roman" w:hAnsi="Cambria" w:cs="Times New Roman"/>
      <w:b/>
      <w:bCs/>
      <w:kern w:val="28"/>
      <w:sz w:val="32"/>
      <w:szCs w:val="32"/>
      <w:lang w:eastAsia="en-US"/>
    </w:rPr>
  </w:style>
  <w:style w:type="character" w:styleId="Hyperlink">
    <w:name w:val="Hyperlink"/>
    <w:basedOn w:val="DefaultParagraphFont"/>
    <w:uiPriority w:val="99"/>
    <w:unhideWhenUsed/>
    <w:rsid w:val="00D46E05"/>
    <w:rPr>
      <w:color w:val="0000FF"/>
      <w:u w:val="single"/>
    </w:rPr>
  </w:style>
  <w:style w:type="character" w:styleId="FollowedHyperlink">
    <w:name w:val="FollowedHyperlink"/>
    <w:basedOn w:val="DefaultParagraphFont"/>
    <w:uiPriority w:val="99"/>
    <w:semiHidden/>
    <w:unhideWhenUsed/>
    <w:rsid w:val="00C825E7"/>
    <w:rPr>
      <w:color w:val="800080"/>
      <w:u w:val="single"/>
    </w:rPr>
  </w:style>
  <w:style w:type="paragraph" w:styleId="NoSpacing">
    <w:name w:val="No Spacing"/>
    <w:uiPriority w:val="1"/>
    <w:qFormat/>
    <w:rsid w:val="006E77B9"/>
    <w:pPr>
      <w:jc w:val="both"/>
    </w:pPr>
    <w:rPr>
      <w:rFonts w:ascii="avant garde" w:hAnsi="avant garde"/>
      <w:sz w:val="22"/>
      <w:szCs w:val="24"/>
      <w:lang w:eastAsia="en-US"/>
    </w:rPr>
  </w:style>
  <w:style w:type="paragraph" w:styleId="BalloonText">
    <w:name w:val="Balloon Text"/>
    <w:basedOn w:val="Normal"/>
    <w:link w:val="BalloonTextChar"/>
    <w:uiPriority w:val="99"/>
    <w:semiHidden/>
    <w:unhideWhenUsed/>
    <w:rsid w:val="00BE38E1"/>
    <w:rPr>
      <w:rFonts w:ascii="Tahoma" w:hAnsi="Tahoma" w:cs="Tahoma"/>
      <w:sz w:val="16"/>
      <w:szCs w:val="16"/>
    </w:rPr>
  </w:style>
  <w:style w:type="character" w:customStyle="1" w:styleId="BalloonTextChar">
    <w:name w:val="Balloon Text Char"/>
    <w:basedOn w:val="DefaultParagraphFont"/>
    <w:link w:val="BalloonText"/>
    <w:uiPriority w:val="99"/>
    <w:semiHidden/>
    <w:rsid w:val="00BE38E1"/>
    <w:rPr>
      <w:rFonts w:ascii="Tahoma" w:hAnsi="Tahoma" w:cs="Tahoma"/>
      <w:sz w:val="16"/>
      <w:szCs w:val="16"/>
      <w:lang w:eastAsia="en-US"/>
    </w:rPr>
  </w:style>
  <w:style w:type="paragraph" w:styleId="ListParagraph">
    <w:name w:val="List Paragraph"/>
    <w:aliases w:val="Dot pt"/>
    <w:basedOn w:val="Normal"/>
    <w:link w:val="ListParagraphChar"/>
    <w:uiPriority w:val="34"/>
    <w:qFormat/>
    <w:rsid w:val="00C00311"/>
    <w:pPr>
      <w:spacing w:after="120"/>
      <w:ind w:left="720"/>
    </w:pPr>
  </w:style>
  <w:style w:type="paragraph" w:customStyle="1" w:styleId="Default">
    <w:name w:val="Default"/>
    <w:uiPriority w:val="99"/>
    <w:rsid w:val="00DC2B3A"/>
    <w:pPr>
      <w:autoSpaceDE w:val="0"/>
      <w:autoSpaceDN w:val="0"/>
      <w:adjustRightInd w:val="0"/>
    </w:pPr>
    <w:rPr>
      <w:rFonts w:ascii="Arial MT" w:hAnsi="Arial MT" w:cs="Arial MT"/>
      <w:color w:val="000000"/>
      <w:sz w:val="24"/>
      <w:szCs w:val="24"/>
    </w:rPr>
  </w:style>
  <w:style w:type="character" w:customStyle="1" w:styleId="FootnoteTextChar">
    <w:name w:val="Footnote Text Char"/>
    <w:basedOn w:val="DefaultParagraphFont"/>
    <w:link w:val="FootnoteText"/>
    <w:uiPriority w:val="99"/>
    <w:rsid w:val="00814A8F"/>
    <w:rPr>
      <w:rFonts w:ascii="avant garde" w:hAnsi="avant garde"/>
      <w:lang w:eastAsia="en-US"/>
    </w:rPr>
  </w:style>
  <w:style w:type="character" w:customStyle="1" w:styleId="ListParagraphChar">
    <w:name w:val="List Paragraph Char"/>
    <w:aliases w:val="Dot pt Char"/>
    <w:basedOn w:val="DefaultParagraphFont"/>
    <w:link w:val="ListParagraph"/>
    <w:uiPriority w:val="34"/>
    <w:locked/>
    <w:rsid w:val="00D57E40"/>
    <w:rPr>
      <w:rFonts w:ascii="avant garde" w:hAnsi="avant garde"/>
      <w:sz w:val="22"/>
      <w:szCs w:val="24"/>
      <w:lang w:eastAsia="en-US"/>
    </w:rPr>
  </w:style>
  <w:style w:type="character" w:customStyle="1" w:styleId="HeaderChar">
    <w:name w:val="Header Char"/>
    <w:basedOn w:val="DefaultParagraphFont"/>
    <w:link w:val="Header"/>
    <w:uiPriority w:val="99"/>
    <w:rsid w:val="00D57E40"/>
    <w:rPr>
      <w:rFonts w:ascii="avant garde" w:hAnsi="avant garde"/>
      <w:sz w:val="22"/>
      <w:szCs w:val="24"/>
      <w:lang w:eastAsia="en-US"/>
    </w:rPr>
  </w:style>
  <w:style w:type="character" w:customStyle="1" w:styleId="FooterChar">
    <w:name w:val="Footer Char"/>
    <w:basedOn w:val="DefaultParagraphFont"/>
    <w:link w:val="Footer"/>
    <w:uiPriority w:val="99"/>
    <w:rsid w:val="00D57E40"/>
    <w:rPr>
      <w:rFonts w:ascii="avant garde" w:hAnsi="avant garde"/>
      <w:sz w:val="22"/>
      <w:szCs w:val="24"/>
      <w:lang w:eastAsia="en-US"/>
    </w:rPr>
  </w:style>
  <w:style w:type="character" w:customStyle="1" w:styleId="A2">
    <w:name w:val="A2"/>
    <w:uiPriority w:val="99"/>
    <w:rsid w:val="00D57E40"/>
    <w:rPr>
      <w:rFonts w:cs="Helvetica Neue"/>
      <w:color w:val="000000"/>
      <w:sz w:val="22"/>
      <w:szCs w:val="22"/>
    </w:rPr>
  </w:style>
  <w:style w:type="character" w:styleId="CommentReference">
    <w:name w:val="annotation reference"/>
    <w:basedOn w:val="DefaultParagraphFont"/>
    <w:uiPriority w:val="99"/>
    <w:semiHidden/>
    <w:unhideWhenUsed/>
    <w:rsid w:val="00A57912"/>
    <w:rPr>
      <w:sz w:val="16"/>
      <w:szCs w:val="16"/>
    </w:rPr>
  </w:style>
  <w:style w:type="paragraph" w:styleId="CommentText">
    <w:name w:val="annotation text"/>
    <w:basedOn w:val="Normal"/>
    <w:link w:val="CommentTextChar"/>
    <w:uiPriority w:val="99"/>
    <w:unhideWhenUsed/>
    <w:rsid w:val="00A57912"/>
    <w:rPr>
      <w:sz w:val="20"/>
      <w:szCs w:val="20"/>
    </w:rPr>
  </w:style>
  <w:style w:type="character" w:customStyle="1" w:styleId="CommentTextChar">
    <w:name w:val="Comment Text Char"/>
    <w:basedOn w:val="DefaultParagraphFont"/>
    <w:link w:val="CommentText"/>
    <w:uiPriority w:val="99"/>
    <w:rsid w:val="00A57912"/>
    <w:rPr>
      <w:rFonts w:ascii="avant garde" w:hAnsi="avant garde"/>
      <w:lang w:eastAsia="en-US"/>
    </w:rPr>
  </w:style>
  <w:style w:type="paragraph" w:styleId="CommentSubject">
    <w:name w:val="annotation subject"/>
    <w:basedOn w:val="CommentText"/>
    <w:next w:val="CommentText"/>
    <w:link w:val="CommentSubjectChar"/>
    <w:uiPriority w:val="99"/>
    <w:semiHidden/>
    <w:unhideWhenUsed/>
    <w:rsid w:val="00A57912"/>
    <w:rPr>
      <w:b/>
      <w:bCs/>
    </w:rPr>
  </w:style>
  <w:style w:type="character" w:customStyle="1" w:styleId="CommentSubjectChar">
    <w:name w:val="Comment Subject Char"/>
    <w:basedOn w:val="CommentTextChar"/>
    <w:link w:val="CommentSubject"/>
    <w:uiPriority w:val="99"/>
    <w:semiHidden/>
    <w:rsid w:val="00A57912"/>
    <w:rPr>
      <w:rFonts w:ascii="avant garde" w:hAnsi="avant garde"/>
      <w:b/>
      <w:bCs/>
      <w:lang w:eastAsia="en-US"/>
    </w:rPr>
  </w:style>
  <w:style w:type="paragraph" w:styleId="NormalWeb">
    <w:name w:val="Normal (Web)"/>
    <w:basedOn w:val="Normal"/>
    <w:uiPriority w:val="99"/>
    <w:semiHidden/>
    <w:unhideWhenUsed/>
    <w:rsid w:val="008265E3"/>
    <w:pPr>
      <w:jc w:val="left"/>
    </w:pPr>
    <w:rPr>
      <w:rFonts w:ascii="Times New Roman" w:eastAsiaTheme="minorHAnsi"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16013">
      <w:bodyDiv w:val="1"/>
      <w:marLeft w:val="0"/>
      <w:marRight w:val="0"/>
      <w:marTop w:val="0"/>
      <w:marBottom w:val="0"/>
      <w:divBdr>
        <w:top w:val="none" w:sz="0" w:space="0" w:color="auto"/>
        <w:left w:val="none" w:sz="0" w:space="0" w:color="auto"/>
        <w:bottom w:val="none" w:sz="0" w:space="0" w:color="auto"/>
        <w:right w:val="none" w:sz="0" w:space="0" w:color="auto"/>
      </w:divBdr>
    </w:div>
    <w:div w:id="226040732">
      <w:bodyDiv w:val="1"/>
      <w:marLeft w:val="0"/>
      <w:marRight w:val="0"/>
      <w:marTop w:val="0"/>
      <w:marBottom w:val="0"/>
      <w:divBdr>
        <w:top w:val="none" w:sz="0" w:space="0" w:color="auto"/>
        <w:left w:val="none" w:sz="0" w:space="0" w:color="auto"/>
        <w:bottom w:val="none" w:sz="0" w:space="0" w:color="auto"/>
        <w:right w:val="none" w:sz="0" w:space="0" w:color="auto"/>
      </w:divBdr>
    </w:div>
    <w:div w:id="537089281">
      <w:bodyDiv w:val="1"/>
      <w:marLeft w:val="0"/>
      <w:marRight w:val="0"/>
      <w:marTop w:val="0"/>
      <w:marBottom w:val="0"/>
      <w:divBdr>
        <w:top w:val="none" w:sz="0" w:space="0" w:color="auto"/>
        <w:left w:val="none" w:sz="0" w:space="0" w:color="auto"/>
        <w:bottom w:val="none" w:sz="0" w:space="0" w:color="auto"/>
        <w:right w:val="none" w:sz="0" w:space="0" w:color="auto"/>
      </w:divBdr>
    </w:div>
    <w:div w:id="562520766">
      <w:bodyDiv w:val="1"/>
      <w:marLeft w:val="0"/>
      <w:marRight w:val="0"/>
      <w:marTop w:val="0"/>
      <w:marBottom w:val="0"/>
      <w:divBdr>
        <w:top w:val="none" w:sz="0" w:space="0" w:color="auto"/>
        <w:left w:val="none" w:sz="0" w:space="0" w:color="auto"/>
        <w:bottom w:val="none" w:sz="0" w:space="0" w:color="auto"/>
        <w:right w:val="none" w:sz="0" w:space="0" w:color="auto"/>
      </w:divBdr>
    </w:div>
    <w:div w:id="563490675">
      <w:bodyDiv w:val="1"/>
      <w:marLeft w:val="0"/>
      <w:marRight w:val="0"/>
      <w:marTop w:val="0"/>
      <w:marBottom w:val="0"/>
      <w:divBdr>
        <w:top w:val="none" w:sz="0" w:space="0" w:color="auto"/>
        <w:left w:val="none" w:sz="0" w:space="0" w:color="auto"/>
        <w:bottom w:val="none" w:sz="0" w:space="0" w:color="auto"/>
        <w:right w:val="none" w:sz="0" w:space="0" w:color="auto"/>
      </w:divBdr>
    </w:div>
    <w:div w:id="566188651">
      <w:bodyDiv w:val="1"/>
      <w:marLeft w:val="0"/>
      <w:marRight w:val="0"/>
      <w:marTop w:val="0"/>
      <w:marBottom w:val="0"/>
      <w:divBdr>
        <w:top w:val="none" w:sz="0" w:space="0" w:color="auto"/>
        <w:left w:val="none" w:sz="0" w:space="0" w:color="auto"/>
        <w:bottom w:val="none" w:sz="0" w:space="0" w:color="auto"/>
        <w:right w:val="none" w:sz="0" w:space="0" w:color="auto"/>
      </w:divBdr>
    </w:div>
    <w:div w:id="627705691">
      <w:bodyDiv w:val="1"/>
      <w:marLeft w:val="0"/>
      <w:marRight w:val="0"/>
      <w:marTop w:val="0"/>
      <w:marBottom w:val="0"/>
      <w:divBdr>
        <w:top w:val="none" w:sz="0" w:space="0" w:color="auto"/>
        <w:left w:val="none" w:sz="0" w:space="0" w:color="auto"/>
        <w:bottom w:val="none" w:sz="0" w:space="0" w:color="auto"/>
        <w:right w:val="none" w:sz="0" w:space="0" w:color="auto"/>
      </w:divBdr>
    </w:div>
    <w:div w:id="637805969">
      <w:bodyDiv w:val="1"/>
      <w:marLeft w:val="0"/>
      <w:marRight w:val="0"/>
      <w:marTop w:val="0"/>
      <w:marBottom w:val="0"/>
      <w:divBdr>
        <w:top w:val="none" w:sz="0" w:space="0" w:color="auto"/>
        <w:left w:val="none" w:sz="0" w:space="0" w:color="auto"/>
        <w:bottom w:val="none" w:sz="0" w:space="0" w:color="auto"/>
        <w:right w:val="none" w:sz="0" w:space="0" w:color="auto"/>
      </w:divBdr>
    </w:div>
    <w:div w:id="707533904">
      <w:bodyDiv w:val="1"/>
      <w:marLeft w:val="0"/>
      <w:marRight w:val="0"/>
      <w:marTop w:val="0"/>
      <w:marBottom w:val="0"/>
      <w:divBdr>
        <w:top w:val="none" w:sz="0" w:space="0" w:color="auto"/>
        <w:left w:val="none" w:sz="0" w:space="0" w:color="auto"/>
        <w:bottom w:val="none" w:sz="0" w:space="0" w:color="auto"/>
        <w:right w:val="none" w:sz="0" w:space="0" w:color="auto"/>
      </w:divBdr>
    </w:div>
    <w:div w:id="999887632">
      <w:bodyDiv w:val="1"/>
      <w:marLeft w:val="0"/>
      <w:marRight w:val="0"/>
      <w:marTop w:val="0"/>
      <w:marBottom w:val="0"/>
      <w:divBdr>
        <w:top w:val="none" w:sz="0" w:space="0" w:color="auto"/>
        <w:left w:val="none" w:sz="0" w:space="0" w:color="auto"/>
        <w:bottom w:val="none" w:sz="0" w:space="0" w:color="auto"/>
        <w:right w:val="none" w:sz="0" w:space="0" w:color="auto"/>
      </w:divBdr>
    </w:div>
    <w:div w:id="1009871513">
      <w:bodyDiv w:val="1"/>
      <w:marLeft w:val="0"/>
      <w:marRight w:val="0"/>
      <w:marTop w:val="0"/>
      <w:marBottom w:val="0"/>
      <w:divBdr>
        <w:top w:val="none" w:sz="0" w:space="0" w:color="auto"/>
        <w:left w:val="none" w:sz="0" w:space="0" w:color="auto"/>
        <w:bottom w:val="none" w:sz="0" w:space="0" w:color="auto"/>
        <w:right w:val="none" w:sz="0" w:space="0" w:color="auto"/>
      </w:divBdr>
    </w:div>
    <w:div w:id="1093742276">
      <w:bodyDiv w:val="1"/>
      <w:marLeft w:val="0"/>
      <w:marRight w:val="0"/>
      <w:marTop w:val="0"/>
      <w:marBottom w:val="0"/>
      <w:divBdr>
        <w:top w:val="none" w:sz="0" w:space="0" w:color="auto"/>
        <w:left w:val="none" w:sz="0" w:space="0" w:color="auto"/>
        <w:bottom w:val="none" w:sz="0" w:space="0" w:color="auto"/>
        <w:right w:val="none" w:sz="0" w:space="0" w:color="auto"/>
      </w:divBdr>
    </w:div>
    <w:div w:id="1097746502">
      <w:bodyDiv w:val="1"/>
      <w:marLeft w:val="0"/>
      <w:marRight w:val="0"/>
      <w:marTop w:val="0"/>
      <w:marBottom w:val="0"/>
      <w:divBdr>
        <w:top w:val="none" w:sz="0" w:space="0" w:color="auto"/>
        <w:left w:val="none" w:sz="0" w:space="0" w:color="auto"/>
        <w:bottom w:val="none" w:sz="0" w:space="0" w:color="auto"/>
        <w:right w:val="none" w:sz="0" w:space="0" w:color="auto"/>
      </w:divBdr>
    </w:div>
    <w:div w:id="1275138629">
      <w:bodyDiv w:val="1"/>
      <w:marLeft w:val="0"/>
      <w:marRight w:val="0"/>
      <w:marTop w:val="0"/>
      <w:marBottom w:val="0"/>
      <w:divBdr>
        <w:top w:val="none" w:sz="0" w:space="0" w:color="auto"/>
        <w:left w:val="none" w:sz="0" w:space="0" w:color="auto"/>
        <w:bottom w:val="none" w:sz="0" w:space="0" w:color="auto"/>
        <w:right w:val="none" w:sz="0" w:space="0" w:color="auto"/>
      </w:divBdr>
    </w:div>
    <w:div w:id="1935280287">
      <w:bodyDiv w:val="1"/>
      <w:marLeft w:val="0"/>
      <w:marRight w:val="0"/>
      <w:marTop w:val="0"/>
      <w:marBottom w:val="0"/>
      <w:divBdr>
        <w:top w:val="none" w:sz="0" w:space="0" w:color="auto"/>
        <w:left w:val="none" w:sz="0" w:space="0" w:color="auto"/>
        <w:bottom w:val="none" w:sz="0" w:space="0" w:color="auto"/>
        <w:right w:val="none" w:sz="0" w:space="0" w:color="auto"/>
      </w:divBdr>
    </w:div>
    <w:div w:id="21197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net/upload/190222_rea_response_to_beis_overview_of_evidence_on_decarbonisation_of_heat_final_.pdf" TargetMode="External"/><Relationship Id="rId18" Type="http://schemas.openxmlformats.org/officeDocument/2006/relationships/hyperlink" Target="https://www.r-e-a.net/resources/rea-publication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ucsusa.org/clean-vehicles/california-and-western-states/what-is-zev" TargetMode="External"/><Relationship Id="rId7" Type="http://schemas.openxmlformats.org/officeDocument/2006/relationships/footnotes" Target="footnotes.xml"/><Relationship Id="rId12" Type="http://schemas.openxmlformats.org/officeDocument/2006/relationships/hyperlink" Target="https://www.bioenergy-strategy.com/" TargetMode="External"/><Relationship Id="rId17" Type="http://schemas.openxmlformats.org/officeDocument/2006/relationships/hyperlink" Target="https://www.r-e-a.net/resources/rea-publication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a.net/resources/rea-public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a.net/upload/190222_rea_response_to_beis_overview_of_evidence_on_decarbonisation_of_heat_final_.pdf"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eur-lex.europa.eu/legal-content/EN/TXT/PDF/?uri=CELEX:32009L0030&amp;from=EN"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gov.uk/government/publications/heat-decarbonisation-overview-of-current-evidence-base"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uk/government/news/spring-statement-2019-what-you-need-to-know" TargetMode="External"/><Relationship Id="rId14" Type="http://schemas.openxmlformats.org/officeDocument/2006/relationships/hyperlink" Target="mailto:kiara@r-e-a.net"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r-e-a.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403106/Non-domestic_RHI_-_Biomass_and_Biomethane_Sustainability_Feb15_Fina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Consultation%20Responses\Template%20REA%20consultation%20response%20Strand%20Addr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460FC-A7CA-4DAA-BF9E-3449098D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REA consultation response Strand Address</Template>
  <TotalTime>19</TotalTime>
  <Pages>10</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Heading 1</vt:lpstr>
    </vt:vector>
  </TitlesOfParts>
  <Company>REA</Company>
  <LinksUpToDate>false</LinksUpToDate>
  <CharactersWithSpaces>23156</CharactersWithSpaces>
  <SharedDoc>false</SharedDoc>
  <HLinks>
    <vt:vector size="36" baseType="variant">
      <vt:variant>
        <vt:i4>5242910</vt:i4>
      </vt:variant>
      <vt:variant>
        <vt:i4>12</vt:i4>
      </vt:variant>
      <vt:variant>
        <vt:i4>0</vt:i4>
      </vt:variant>
      <vt:variant>
        <vt:i4>5</vt:i4>
      </vt:variant>
      <vt:variant>
        <vt:lpwstr>http://eur-lex.europa.eu/LexUriServ/LexUriServ.do?uri=OJ:L:2009:140:0016:0062:EN:PDF</vt:lpwstr>
      </vt:variant>
      <vt:variant>
        <vt:lpwstr/>
      </vt:variant>
      <vt:variant>
        <vt:i4>7733358</vt:i4>
      </vt:variant>
      <vt:variant>
        <vt:i4>9</vt:i4>
      </vt:variant>
      <vt:variant>
        <vt:i4>0</vt:i4>
      </vt:variant>
      <vt:variant>
        <vt:i4>5</vt:i4>
      </vt:variant>
      <vt:variant>
        <vt:lpwstr>http://www.decc.gov.uk/en/content/cms/meeting_energy/renewable_ener/renew_obs/renew_obs.aspx</vt:lpwstr>
      </vt:variant>
      <vt:variant>
        <vt:lpwstr/>
      </vt:variant>
      <vt:variant>
        <vt:i4>3473443</vt:i4>
      </vt:variant>
      <vt:variant>
        <vt:i4>6</vt:i4>
      </vt:variant>
      <vt:variant>
        <vt:i4>0</vt:i4>
      </vt:variant>
      <vt:variant>
        <vt:i4>5</vt:i4>
      </vt:variant>
      <vt:variant>
        <vt:lpwstr>http://www.ofgem.gov.uk/e-serve/RHI/Pages/RHI.aspx</vt:lpwstr>
      </vt:variant>
      <vt:variant>
        <vt:lpwstr/>
      </vt:variant>
      <vt:variant>
        <vt:i4>7274531</vt:i4>
      </vt:variant>
      <vt:variant>
        <vt:i4>3</vt:i4>
      </vt:variant>
      <vt:variant>
        <vt:i4>0</vt:i4>
      </vt:variant>
      <vt:variant>
        <vt:i4>5</vt:i4>
      </vt:variant>
      <vt:variant>
        <vt:lpwstr>http://www.legislation.gov.uk/uksi/2011/2860/contents/made</vt:lpwstr>
      </vt:variant>
      <vt:variant>
        <vt:lpwstr/>
      </vt:variant>
      <vt:variant>
        <vt:i4>1179743</vt:i4>
      </vt:variant>
      <vt:variant>
        <vt:i4>0</vt:i4>
      </vt:variant>
      <vt:variant>
        <vt:i4>0</vt:i4>
      </vt:variant>
      <vt:variant>
        <vt:i4>5</vt:i4>
      </vt:variant>
      <vt:variant>
        <vt:lpwstr>http://www.decc.gov.uk/assets/decc/What we do/UK energy supply/Energy mix/Renewable energy/policy/renewableheat/1387-renewable-heat-incentive.pdf</vt:lpwstr>
      </vt:variant>
      <vt:variant>
        <vt:lpwstr/>
      </vt:variant>
      <vt:variant>
        <vt:i4>4653083</vt:i4>
      </vt:variant>
      <vt:variant>
        <vt:i4>5</vt:i4>
      </vt:variant>
      <vt:variant>
        <vt:i4>0</vt:i4>
      </vt:variant>
      <vt:variant>
        <vt:i4>5</vt:i4>
      </vt:variant>
      <vt:variant>
        <vt:lpwstr>http://www.r-e-a.net/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Kiara Zennaro</dc:creator>
  <cp:lastModifiedBy>Kiara Zennaro</cp:lastModifiedBy>
  <cp:revision>5</cp:revision>
  <cp:lastPrinted>2012-12-07T14:38:00Z</cp:lastPrinted>
  <dcterms:created xsi:type="dcterms:W3CDTF">2019-07-23T15:59:00Z</dcterms:created>
  <dcterms:modified xsi:type="dcterms:W3CDTF">2019-07-23T16:18:00Z</dcterms:modified>
</cp:coreProperties>
</file>