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2829"/>
        <w:gridCol w:w="3831"/>
      </w:tblGrid>
      <w:tr w:rsidR="00F470C0" w:rsidRPr="0084372B" w:rsidTr="00F470C0">
        <w:trPr>
          <w:trHeight w:val="426"/>
        </w:trPr>
        <w:tc>
          <w:tcPr>
            <w:tcW w:w="2474" w:type="dxa"/>
          </w:tcPr>
          <w:p w:rsidR="00F470C0" w:rsidRPr="0084372B" w:rsidRDefault="007E1726" w:rsidP="008D383E">
            <w:pPr>
              <w:spacing w:before="120" w:after="120"/>
              <w:rPr>
                <w:noProof/>
                <w:lang w:eastAsia="en-GB"/>
              </w:rPr>
            </w:pPr>
            <w:r w:rsidRPr="0084372B">
              <w:rPr>
                <w:noProof/>
                <w:lang w:eastAsia="en-GB"/>
              </w:rPr>
              <w:drawing>
                <wp:anchor distT="0" distB="0" distL="114300" distR="114300" simplePos="0" relativeHeight="251659264" behindDoc="0" locked="0" layoutInCell="1" allowOverlap="1" wp14:anchorId="62554086" wp14:editId="7B993F25">
                  <wp:simplePos x="0" y="0"/>
                  <wp:positionH relativeFrom="margin">
                    <wp:posOffset>38100</wp:posOffset>
                  </wp:positionH>
                  <wp:positionV relativeFrom="margin">
                    <wp:posOffset>228600</wp:posOffset>
                  </wp:positionV>
                  <wp:extent cx="1274445" cy="666750"/>
                  <wp:effectExtent l="0" t="0" r="1905" b="0"/>
                  <wp:wrapSquare wrapText="bothSides"/>
                  <wp:docPr id="2" name="Picture 1" descr="REA MASTER BRIGHT LOGO1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 MASTER BRIGHT LOGO1medium.png"/>
                          <pic:cNvPicPr/>
                        </pic:nvPicPr>
                        <pic:blipFill>
                          <a:blip r:embed="rId9" cstate="print"/>
                          <a:stretch>
                            <a:fillRect/>
                          </a:stretch>
                        </pic:blipFill>
                        <pic:spPr>
                          <a:xfrm>
                            <a:off x="0" y="0"/>
                            <a:ext cx="1274445" cy="666750"/>
                          </a:xfrm>
                          <a:prstGeom prst="rect">
                            <a:avLst/>
                          </a:prstGeom>
                        </pic:spPr>
                      </pic:pic>
                    </a:graphicData>
                  </a:graphic>
                </wp:anchor>
              </w:drawing>
            </w:r>
          </w:p>
        </w:tc>
        <w:tc>
          <w:tcPr>
            <w:tcW w:w="2829" w:type="dxa"/>
          </w:tcPr>
          <w:p w:rsidR="00F470C0" w:rsidRPr="0084372B" w:rsidRDefault="00F470C0" w:rsidP="008D383E">
            <w:pPr>
              <w:spacing w:before="120" w:after="120"/>
              <w:jc w:val="center"/>
              <w:rPr>
                <w:b/>
              </w:rPr>
            </w:pPr>
          </w:p>
        </w:tc>
        <w:tc>
          <w:tcPr>
            <w:tcW w:w="3831" w:type="dxa"/>
          </w:tcPr>
          <w:p w:rsidR="00F470C0" w:rsidRPr="0084372B" w:rsidRDefault="00780C68" w:rsidP="008D383E">
            <w:pPr>
              <w:spacing w:before="120" w:after="120"/>
              <w:jc w:val="center"/>
              <w:rPr>
                <w:b/>
              </w:rPr>
            </w:pPr>
            <w:r w:rsidRPr="0084372B">
              <w:rPr>
                <w:b/>
                <w:noProof/>
                <w:lang w:eastAsia="en-GB"/>
              </w:rPr>
              <w:drawing>
                <wp:anchor distT="0" distB="0" distL="114300" distR="114300" simplePos="0" relativeHeight="251661312" behindDoc="1" locked="0" layoutInCell="1" allowOverlap="1" wp14:anchorId="6FE2F669" wp14:editId="7113FAA6">
                  <wp:simplePos x="0" y="0"/>
                  <wp:positionH relativeFrom="column">
                    <wp:posOffset>305435</wp:posOffset>
                  </wp:positionH>
                  <wp:positionV relativeFrom="paragraph">
                    <wp:posOffset>233045</wp:posOffset>
                  </wp:positionV>
                  <wp:extent cx="1449070" cy="739140"/>
                  <wp:effectExtent l="0" t="0" r="0" b="3810"/>
                  <wp:wrapTight wrapText="bothSides">
                    <wp:wrapPolygon edited="0">
                      <wp:start x="0" y="0"/>
                      <wp:lineTo x="0" y="21155"/>
                      <wp:lineTo x="21297" y="21155"/>
                      <wp:lineTo x="2129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gas logo REA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9070" cy="739140"/>
                          </a:xfrm>
                          <a:prstGeom prst="rect">
                            <a:avLst/>
                          </a:prstGeom>
                        </pic:spPr>
                      </pic:pic>
                    </a:graphicData>
                  </a:graphic>
                  <wp14:sizeRelH relativeFrom="page">
                    <wp14:pctWidth>0</wp14:pctWidth>
                  </wp14:sizeRelH>
                  <wp14:sizeRelV relativeFrom="page">
                    <wp14:pctHeight>0</wp14:pctHeight>
                  </wp14:sizeRelV>
                </wp:anchor>
              </w:drawing>
            </w:r>
          </w:p>
        </w:tc>
      </w:tr>
    </w:tbl>
    <w:p w:rsidR="00CF2C9B" w:rsidRPr="00C708C9" w:rsidRDefault="00A61CB8" w:rsidP="008D383E">
      <w:pPr>
        <w:autoSpaceDE w:val="0"/>
        <w:autoSpaceDN w:val="0"/>
        <w:adjustRightInd w:val="0"/>
        <w:spacing w:before="120" w:after="120" w:line="240" w:lineRule="auto"/>
        <w:rPr>
          <w:b/>
          <w:sz w:val="36"/>
          <w:szCs w:val="36"/>
        </w:rPr>
      </w:pPr>
      <w:r>
        <w:rPr>
          <w:b/>
          <w:sz w:val="36"/>
          <w:szCs w:val="36"/>
        </w:rPr>
        <w:t>Anaerobic digestion</w:t>
      </w:r>
      <w:r w:rsidR="008E596A">
        <w:rPr>
          <w:b/>
          <w:sz w:val="36"/>
          <w:szCs w:val="36"/>
        </w:rPr>
        <w:t xml:space="preserve">: </w:t>
      </w:r>
      <w:r w:rsidR="007E668D">
        <w:rPr>
          <w:b/>
          <w:sz w:val="36"/>
          <w:szCs w:val="36"/>
        </w:rPr>
        <w:t>a multi-faceted technology</w:t>
      </w:r>
      <w:r w:rsidR="008E596A">
        <w:rPr>
          <w:b/>
          <w:sz w:val="36"/>
          <w:szCs w:val="36"/>
        </w:rPr>
        <w:t xml:space="preserve"> that can help Government meet its commitments </w:t>
      </w:r>
    </w:p>
    <w:p w:rsidR="00270992" w:rsidRDefault="00270992" w:rsidP="008D383E">
      <w:pPr>
        <w:autoSpaceDE w:val="0"/>
        <w:autoSpaceDN w:val="0"/>
        <w:adjustRightInd w:val="0"/>
        <w:spacing w:before="120" w:after="120" w:line="240" w:lineRule="auto"/>
        <w:rPr>
          <w:b/>
          <w:sz w:val="28"/>
          <w:szCs w:val="28"/>
        </w:rPr>
      </w:pPr>
    </w:p>
    <w:p w:rsidR="00A61CB8" w:rsidRDefault="00270992" w:rsidP="008D383E">
      <w:pPr>
        <w:autoSpaceDE w:val="0"/>
        <w:autoSpaceDN w:val="0"/>
        <w:adjustRightInd w:val="0"/>
        <w:spacing w:before="120" w:after="120" w:line="240" w:lineRule="auto"/>
        <w:rPr>
          <w:b/>
          <w:sz w:val="28"/>
          <w:szCs w:val="28"/>
        </w:rPr>
      </w:pPr>
      <w:r>
        <w:rPr>
          <w:b/>
          <w:sz w:val="28"/>
          <w:szCs w:val="28"/>
        </w:rPr>
        <w:t>What is AD?</w:t>
      </w:r>
    </w:p>
    <w:p w:rsidR="008D383E" w:rsidRDefault="008D383E" w:rsidP="008D383E">
      <w:pPr>
        <w:spacing w:before="120" w:after="120" w:line="240" w:lineRule="auto"/>
      </w:pPr>
      <w:r>
        <w:t>Anaerobic digestion</w:t>
      </w:r>
      <w:r w:rsidR="00DE6FE1">
        <w:t xml:space="preserve"> (AD) </w:t>
      </w:r>
      <w:r>
        <w:t>is a natural process where plant and animal materials are broken down by micro-organisms in an air-tight tank, or digester. A wide range of organic materials are suitable for AD, including unavoidable food waste, slurry and manure, as well as crops and crop residues.</w:t>
      </w:r>
    </w:p>
    <w:p w:rsidR="00E36E17" w:rsidRDefault="008D383E" w:rsidP="008D383E">
      <w:pPr>
        <w:spacing w:before="120" w:after="120" w:line="240" w:lineRule="auto"/>
      </w:pPr>
      <w:r>
        <w:t>This process releases a methane rich biogas that can be used to generate renewable heat</w:t>
      </w:r>
      <w:r w:rsidR="00E36E17">
        <w:t xml:space="preserve"> and power. </w:t>
      </w:r>
      <w:r>
        <w:t xml:space="preserve">Biogas can be also upgraded to grid quality </w:t>
      </w:r>
      <w:bookmarkStart w:id="0" w:name="_GoBack"/>
      <w:bookmarkEnd w:id="0"/>
      <w:r>
        <w:t xml:space="preserve">gas (biomethane), and injected into the national gas network, where it can be stored until needed then used for heating, power or </w:t>
      </w:r>
      <w:r w:rsidR="00DE6FE1">
        <w:t xml:space="preserve">used to re-fuel vehicles. Biomethane </w:t>
      </w:r>
      <w:r w:rsidR="00E36E17">
        <w:t>can</w:t>
      </w:r>
      <w:r w:rsidR="00DE6FE1">
        <w:t xml:space="preserve"> also</w:t>
      </w:r>
      <w:r w:rsidR="00E36E17">
        <w:t xml:space="preserve"> be supplied </w:t>
      </w:r>
      <w:r w:rsidR="00DE6FE1">
        <w:t>directly to transport</w:t>
      </w:r>
      <w:r>
        <w:t xml:space="preserve">. </w:t>
      </w:r>
    </w:p>
    <w:p w:rsidR="008D383E" w:rsidRDefault="00DE6FE1" w:rsidP="008D383E">
      <w:pPr>
        <w:spacing w:before="120" w:after="120" w:line="240" w:lineRule="auto"/>
      </w:pPr>
      <w:r>
        <w:t xml:space="preserve">Finally, </w:t>
      </w:r>
      <w:r w:rsidR="008D383E">
        <w:t>AD also produces a valuable, nutrient rich, biofertiliser which can displace expensive and carbon intensive synthetic fertil</w:t>
      </w:r>
      <w:r>
        <w:t>isers whilst improving the soil.</w:t>
      </w:r>
    </w:p>
    <w:p w:rsidR="00E36E17" w:rsidRDefault="00E36E17" w:rsidP="008D383E">
      <w:pPr>
        <w:autoSpaceDE w:val="0"/>
        <w:autoSpaceDN w:val="0"/>
        <w:adjustRightInd w:val="0"/>
        <w:spacing w:before="120" w:after="120" w:line="240" w:lineRule="auto"/>
        <w:rPr>
          <w:b/>
          <w:sz w:val="28"/>
          <w:szCs w:val="28"/>
        </w:rPr>
      </w:pPr>
    </w:p>
    <w:p w:rsidR="00A61CB8" w:rsidRPr="00A61CB8" w:rsidRDefault="00A61CB8" w:rsidP="008D383E">
      <w:pPr>
        <w:autoSpaceDE w:val="0"/>
        <w:autoSpaceDN w:val="0"/>
        <w:adjustRightInd w:val="0"/>
        <w:spacing w:before="120" w:after="120" w:line="240" w:lineRule="auto"/>
        <w:rPr>
          <w:b/>
          <w:sz w:val="28"/>
          <w:szCs w:val="28"/>
        </w:rPr>
      </w:pPr>
      <w:r w:rsidRPr="00A61CB8">
        <w:rPr>
          <w:b/>
          <w:sz w:val="28"/>
          <w:szCs w:val="28"/>
        </w:rPr>
        <w:t>The state of the sector</w:t>
      </w:r>
    </w:p>
    <w:p w:rsidR="00A61CB8" w:rsidRPr="00A61CB8" w:rsidRDefault="00A61CB8" w:rsidP="008D383E">
      <w:pPr>
        <w:spacing w:before="120" w:after="120" w:line="240" w:lineRule="auto"/>
        <w:rPr>
          <w:b/>
          <w:lang w:val="en-US"/>
        </w:rPr>
      </w:pPr>
      <w:r w:rsidRPr="00A61CB8">
        <w:rPr>
          <w:b/>
          <w:lang w:val="en-US"/>
        </w:rPr>
        <w:t>Operational plants</w:t>
      </w:r>
    </w:p>
    <w:p w:rsidR="00A61CB8" w:rsidRPr="00A61CB8" w:rsidRDefault="00A61CB8" w:rsidP="008D383E">
      <w:pPr>
        <w:spacing w:before="120" w:after="120" w:line="240" w:lineRule="auto"/>
        <w:rPr>
          <w:lang w:val="en-US"/>
        </w:rPr>
      </w:pPr>
      <w:r>
        <w:rPr>
          <w:lang w:val="en-US"/>
        </w:rPr>
        <w:t>According to NNFCC</w:t>
      </w:r>
      <w:r w:rsidR="00872BDD" w:rsidRPr="0084372B">
        <w:rPr>
          <w:rStyle w:val="FootnoteReference"/>
        </w:rPr>
        <w:footnoteReference w:id="1"/>
      </w:r>
      <w:r>
        <w:rPr>
          <w:lang w:val="en-US"/>
        </w:rPr>
        <w:t>, t</w:t>
      </w:r>
      <w:r w:rsidRPr="00A61CB8">
        <w:rPr>
          <w:lang w:val="en-US"/>
        </w:rPr>
        <w:t>here are currently 473 operational AD plants in the United Kingdom totalling 392.7 MWe of electrical installed capacity. 329 are farm-fed (cumulative installed capacity of 170.9MWe) and 144 are waste-fed (cumulative installed capacity of 221.8MWe).</w:t>
      </w:r>
    </w:p>
    <w:p w:rsidR="00A61CB8" w:rsidRDefault="00A61CB8" w:rsidP="008D383E">
      <w:pPr>
        <w:spacing w:before="120" w:after="120" w:line="240" w:lineRule="auto"/>
        <w:rPr>
          <w:lang w:val="en-US"/>
        </w:rPr>
      </w:pPr>
      <w:r w:rsidRPr="00A61CB8">
        <w:rPr>
          <w:lang w:val="en-US"/>
        </w:rPr>
        <w:t xml:space="preserve">Of the AD plants operational in the United Kingdom, 118 are small scale plants (cumulative installed capacity of 18.1MWe), 154 are medium scale plants (cumulative installed capacity of 72.4MWe) and 115 are large scale plants (cumulative installed capacity of 232.4MWe). </w:t>
      </w:r>
    </w:p>
    <w:p w:rsidR="00A61CB8" w:rsidRPr="0063102E" w:rsidRDefault="00A61CB8" w:rsidP="008D383E">
      <w:pPr>
        <w:spacing w:before="120" w:after="120" w:line="240" w:lineRule="auto"/>
        <w:rPr>
          <w:lang w:val="en-US"/>
        </w:rPr>
      </w:pPr>
      <w:r w:rsidRPr="0063102E">
        <w:rPr>
          <w:lang w:val="en-US"/>
        </w:rPr>
        <w:t>AD plants currently operational in the United Kingdom cumulatively require 1,932,000tpa of manure or slurry, 3,789,000tpa of crops, 3,777,000tpa of food waste, 460,000tpa of crop waste and 2,322,000tpa of other waste feedstocks.</w:t>
      </w:r>
    </w:p>
    <w:p w:rsidR="00A61CB8" w:rsidRDefault="00A61CB8" w:rsidP="008D383E">
      <w:pPr>
        <w:spacing w:before="120" w:after="120" w:line="240" w:lineRule="auto"/>
        <w:rPr>
          <w:lang w:val="en-US"/>
        </w:rPr>
      </w:pPr>
      <w:r w:rsidRPr="00A61CB8">
        <w:rPr>
          <w:lang w:val="en-US"/>
        </w:rPr>
        <w:t>The estimated cropping area required by operational AD plants in the United Kingdom is 84,000 hectares</w:t>
      </w:r>
      <w:r w:rsidR="00FC3402">
        <w:rPr>
          <w:lang w:val="en-US"/>
        </w:rPr>
        <w:t>, which represents around 1.4% of the</w:t>
      </w:r>
      <w:r w:rsidR="006A073D">
        <w:rPr>
          <w:lang w:val="en-US"/>
        </w:rPr>
        <w:t xml:space="preserve"> UK </w:t>
      </w:r>
      <w:r w:rsidR="00FC3402">
        <w:rPr>
          <w:lang w:val="en-US"/>
        </w:rPr>
        <w:t xml:space="preserve">total arable land. </w:t>
      </w:r>
    </w:p>
    <w:p w:rsidR="00FC3402" w:rsidRDefault="00FC3402" w:rsidP="008D383E">
      <w:pPr>
        <w:spacing w:before="120" w:after="120" w:line="240" w:lineRule="auto"/>
      </w:pPr>
      <w:r>
        <w:t>According to Defra’s most recent statistics on crops used for bioenergy</w:t>
      </w:r>
      <w:r w:rsidR="006A073D">
        <w:rPr>
          <w:rStyle w:val="FootnoteReference"/>
        </w:rPr>
        <w:footnoteReference w:id="2"/>
      </w:r>
      <w:r>
        <w:t xml:space="preserve">, </w:t>
      </w:r>
      <w:r w:rsidR="006A073D">
        <w:t xml:space="preserve">the area of land used to grow </w:t>
      </w:r>
      <w:r>
        <w:t xml:space="preserve">maize for AD </w:t>
      </w:r>
      <w:r w:rsidR="006A073D">
        <w:t>represents just</w:t>
      </w:r>
      <w:r>
        <w:t xml:space="preserve"> under 1% of the total arable land. </w:t>
      </w:r>
    </w:p>
    <w:p w:rsidR="00FC3402" w:rsidRDefault="00FC3402" w:rsidP="008D383E">
      <w:pPr>
        <w:spacing w:before="120" w:after="120" w:line="240" w:lineRule="auto"/>
        <w:rPr>
          <w:b/>
          <w:lang w:val="en-US"/>
        </w:rPr>
      </w:pPr>
    </w:p>
    <w:p w:rsidR="00A61CB8" w:rsidRPr="00DE28F0" w:rsidRDefault="00A61CB8" w:rsidP="008D383E">
      <w:pPr>
        <w:spacing w:before="120" w:after="120" w:line="240" w:lineRule="auto"/>
        <w:rPr>
          <w:b/>
          <w:lang w:val="en-US"/>
        </w:rPr>
      </w:pPr>
      <w:r w:rsidRPr="00DE28F0">
        <w:rPr>
          <w:b/>
          <w:lang w:val="en-US"/>
        </w:rPr>
        <w:t>Projects under development</w:t>
      </w:r>
    </w:p>
    <w:p w:rsidR="00A61CB8" w:rsidRPr="00A61CB8" w:rsidRDefault="00872BDD" w:rsidP="008D383E">
      <w:pPr>
        <w:spacing w:before="120" w:after="120" w:line="240" w:lineRule="auto"/>
        <w:rPr>
          <w:lang w:val="en-US"/>
        </w:rPr>
      </w:pPr>
      <w:r>
        <w:rPr>
          <w:lang w:val="en-US"/>
        </w:rPr>
        <w:t>According to the NNFCC</w:t>
      </w:r>
      <w:r w:rsidRPr="00872BDD">
        <w:rPr>
          <w:vertAlign w:val="superscript"/>
          <w:lang w:val="en-US"/>
        </w:rPr>
        <w:t>1</w:t>
      </w:r>
      <w:r w:rsidR="00A61CB8">
        <w:rPr>
          <w:lang w:val="en-US"/>
        </w:rPr>
        <w:t>, t</w:t>
      </w:r>
      <w:r w:rsidR="00A61CB8" w:rsidRPr="00A61CB8">
        <w:rPr>
          <w:lang w:val="en-US"/>
        </w:rPr>
        <w:t>here are 326 AD projects under development in the United Kingdom</w:t>
      </w:r>
      <w:r w:rsidR="00A61CB8">
        <w:rPr>
          <w:lang w:val="en-US"/>
        </w:rPr>
        <w:t xml:space="preserve"> </w:t>
      </w:r>
      <w:r w:rsidR="00A61CB8" w:rsidRPr="00A61CB8">
        <w:rPr>
          <w:lang w:val="en-US"/>
        </w:rPr>
        <w:t>totalling 224.6 MWe of electrical installed capacity. 226 are farm-fed (cumulative installed capacity of 102MWe) and 100 are waste-fed (cumulative installed capacity of 142.6MWe).</w:t>
      </w:r>
    </w:p>
    <w:p w:rsidR="00A61CB8" w:rsidRDefault="00A61CB8" w:rsidP="008D383E">
      <w:pPr>
        <w:spacing w:before="120" w:after="120" w:line="240" w:lineRule="auto"/>
        <w:rPr>
          <w:lang w:val="en-US"/>
        </w:rPr>
      </w:pPr>
      <w:r w:rsidRPr="00A61CB8">
        <w:rPr>
          <w:lang w:val="en-US"/>
        </w:rPr>
        <w:lastRenderedPageBreak/>
        <w:t xml:space="preserve">Of the projects under development in the United Kingdom, 104 are small scale plants (cumulative installed capacity of 15.7MWe), 79 are medium scale plants (cumulative installed capacity of 38.5MWe) and 91 are large scale plants (cumulative installed capacity of 166.9MWe). </w:t>
      </w:r>
    </w:p>
    <w:p w:rsidR="00A61CB8" w:rsidRPr="00DE28F0" w:rsidRDefault="00A61CB8" w:rsidP="008D383E">
      <w:pPr>
        <w:spacing w:before="120" w:after="120" w:line="240" w:lineRule="auto"/>
        <w:rPr>
          <w:lang w:val="en-US"/>
        </w:rPr>
      </w:pPr>
      <w:r w:rsidRPr="00DE28F0">
        <w:rPr>
          <w:lang w:val="en-US"/>
        </w:rPr>
        <w:t>AD projects under development in the United Kingdom are anticipated to cumulatively require 1,453,000tpa of manure or slurry, 1,876,000tpa of crops, 23,</w:t>
      </w:r>
      <w:r w:rsidR="000E389A">
        <w:rPr>
          <w:lang w:val="en-US"/>
        </w:rPr>
        <w:t xml:space="preserve"> </w:t>
      </w:r>
      <w:r w:rsidRPr="00DE28F0">
        <w:rPr>
          <w:lang w:val="en-US"/>
        </w:rPr>
        <w:t>90,000tpa of food waste, 305,000tpa of crop waste and 1420,000tpa of other waste feedstocks.</w:t>
      </w:r>
    </w:p>
    <w:p w:rsidR="00A61CB8" w:rsidRPr="00A61CB8" w:rsidRDefault="00A61CB8" w:rsidP="008D383E">
      <w:pPr>
        <w:spacing w:before="120" w:after="120" w:line="240" w:lineRule="auto"/>
        <w:rPr>
          <w:lang w:val="en-US"/>
        </w:rPr>
      </w:pPr>
      <w:r w:rsidRPr="00A61CB8">
        <w:rPr>
          <w:lang w:val="en-US"/>
        </w:rPr>
        <w:t>The anticipated cropping area that would be required by AD projects under development in the United Kingdom is 42,000 hectares.</w:t>
      </w:r>
      <w:r w:rsidR="000E389A">
        <w:rPr>
          <w:lang w:val="en-US"/>
        </w:rPr>
        <w:t xml:space="preserve"> Assuming all the projects are completed (which is highly unlikely), this would bring the total land used to grow crops for AD to just above 2% of the UK total arable land. </w:t>
      </w:r>
    </w:p>
    <w:p w:rsidR="00CF2C9B" w:rsidRPr="0084372B" w:rsidRDefault="00CF2C9B" w:rsidP="008D383E">
      <w:pPr>
        <w:autoSpaceDE w:val="0"/>
        <w:autoSpaceDN w:val="0"/>
        <w:adjustRightInd w:val="0"/>
        <w:spacing w:before="120" w:after="120" w:line="240" w:lineRule="auto"/>
      </w:pPr>
      <w:r w:rsidRPr="0084372B">
        <w:t>Before the introduction of the RHI there were no full scale biomethane plants in operation in the UK. However, according to NNFCC as many as 80 projects with a cumulative capacity of 48,000Nm</w:t>
      </w:r>
      <w:r w:rsidRPr="0084372B">
        <w:rPr>
          <w:vertAlign w:val="superscript"/>
        </w:rPr>
        <w:t>3</w:t>
      </w:r>
      <w:r w:rsidRPr="0084372B">
        <w:t xml:space="preserve">/hr </w:t>
      </w:r>
      <w:r w:rsidR="004046B9">
        <w:t>(</w:t>
      </w:r>
      <w:r w:rsidR="00573091">
        <w:t>around</w:t>
      </w:r>
      <w:r w:rsidR="004046B9">
        <w:t xml:space="preserve"> 4.4 TWh/annum, </w:t>
      </w:r>
      <w:r w:rsidRPr="0084372B">
        <w:t>with the exclusion of BtG plants at sewage treatment works) are now operating and there are further 47 biomethane projects in development with a cumulative capacity of 25,000Nm</w:t>
      </w:r>
      <w:r w:rsidRPr="0084372B">
        <w:rPr>
          <w:vertAlign w:val="superscript"/>
        </w:rPr>
        <w:t>3</w:t>
      </w:r>
      <w:r w:rsidRPr="0084372B">
        <w:t>/hr</w:t>
      </w:r>
      <w:r w:rsidR="004046B9">
        <w:t xml:space="preserve"> (</w:t>
      </w:r>
      <w:r w:rsidR="00573091">
        <w:t>around</w:t>
      </w:r>
      <w:r w:rsidR="004046B9">
        <w:t xml:space="preserve"> 2.3 TWh/annum)</w:t>
      </w:r>
      <w:r w:rsidRPr="0084372B">
        <w:t>.</w:t>
      </w:r>
    </w:p>
    <w:p w:rsidR="00A61CB8" w:rsidRPr="0084372B" w:rsidRDefault="00A61CB8" w:rsidP="008D383E">
      <w:pPr>
        <w:autoSpaceDE w:val="0"/>
        <w:autoSpaceDN w:val="0"/>
        <w:adjustRightInd w:val="0"/>
        <w:spacing w:before="120" w:after="120" w:line="240" w:lineRule="auto"/>
        <w:rPr>
          <w:rFonts w:cs="Calibri"/>
        </w:rPr>
      </w:pPr>
      <w:r w:rsidRPr="0084372B">
        <w:t>Underpinned by the introduction of the Renewable Heat Incentive, the UK biomethane market has been thriving in the period 2014-17 (</w:t>
      </w:r>
      <w:r>
        <w:t>discounting the</w:t>
      </w:r>
      <w:r w:rsidRPr="0084372B">
        <w:t xml:space="preserve"> hiatus caused by delay in </w:t>
      </w:r>
      <w:r>
        <w:t xml:space="preserve">introducing the </w:t>
      </w:r>
      <w:r w:rsidRPr="0084372B">
        <w:t>new RHI</w:t>
      </w:r>
      <w:r>
        <w:t xml:space="preserve"> tariffs</w:t>
      </w:r>
      <w:r w:rsidR="000E389A">
        <w:t xml:space="preserve">) </w:t>
      </w:r>
      <w:r w:rsidRPr="0084372B">
        <w:t xml:space="preserve">delivering significant benefits and helping Government meet the 2020 renewable energy targets and its own Carbon Budgets. Since 2011 the UK has become the fastest growing and most innovative biomethane in market in Europe, with </w:t>
      </w:r>
      <w:r w:rsidR="008122BE">
        <w:t>85</w:t>
      </w:r>
      <w:r w:rsidRPr="0084372B">
        <w:t xml:space="preserve"> sites currently accredited under the scheme, </w:t>
      </w:r>
      <w:r>
        <w:t xml:space="preserve">which so far have </w:t>
      </w:r>
      <w:r w:rsidRPr="0084372B">
        <w:t>inject</w:t>
      </w:r>
      <w:r>
        <w:t xml:space="preserve">ed </w:t>
      </w:r>
      <w:r w:rsidRPr="0084372B">
        <w:t>5.1 TWh of biomethane</w:t>
      </w:r>
      <w:r>
        <w:t xml:space="preserve"> to the grid</w:t>
      </w:r>
      <w:r w:rsidRPr="0084372B">
        <w:t xml:space="preserve">. </w:t>
      </w:r>
      <w:r w:rsidRPr="0084372B">
        <w:rPr>
          <w:rFonts w:cs="Calibri"/>
        </w:rPr>
        <w:t xml:space="preserve"> </w:t>
      </w:r>
    </w:p>
    <w:p w:rsidR="00A61CB8" w:rsidRDefault="00A61CB8" w:rsidP="008D383E">
      <w:pPr>
        <w:autoSpaceDE w:val="0"/>
        <w:autoSpaceDN w:val="0"/>
        <w:adjustRightInd w:val="0"/>
        <w:spacing w:before="120" w:after="120" w:line="240" w:lineRule="auto"/>
        <w:rPr>
          <w:rFonts w:eastAsia="Times New Roman" w:cs="Times New Roman"/>
        </w:rPr>
      </w:pPr>
      <w:r w:rsidRPr="0084372B">
        <w:t>According to the REA</w:t>
      </w:r>
      <w:r w:rsidRPr="0084372B">
        <w:rPr>
          <w:rStyle w:val="FootnoteReference"/>
        </w:rPr>
        <w:footnoteReference w:id="3"/>
      </w:r>
      <w:r w:rsidRPr="0084372B">
        <w:t xml:space="preserve">, the biogas sector currently employs around 3,000 people across </w:t>
      </w:r>
      <w:r w:rsidR="00542406">
        <w:t>158 companies in the</w:t>
      </w:r>
      <w:r w:rsidRPr="0084372B">
        <w:t xml:space="preserve"> UK supply chain and this sector turnover is around £3</w:t>
      </w:r>
      <w:r w:rsidR="00542406">
        <w:t>71</w:t>
      </w:r>
      <w:r w:rsidRPr="0084372B">
        <w:t>m.</w:t>
      </w:r>
      <w:r w:rsidRPr="0084372B">
        <w:rPr>
          <w:rFonts w:eastAsia="Times New Roman" w:cs="Times New Roman"/>
        </w:rPr>
        <w:t xml:space="preserve"> The sector also generated over £300,000 of export revenue in 2017 via the sale of Green Gas Certificates to non UK gas consumers, a figure that is expected to rise significantly in 2018.</w:t>
      </w:r>
      <w:r w:rsidRPr="0084372B">
        <w:rPr>
          <w:rStyle w:val="FootnoteReference"/>
          <w:rFonts w:eastAsia="Times New Roman" w:cs="Times New Roman"/>
        </w:rPr>
        <w:footnoteReference w:id="4"/>
      </w:r>
    </w:p>
    <w:p w:rsidR="00CF2C9B" w:rsidRPr="0084372B" w:rsidRDefault="00CF2C9B" w:rsidP="008D383E">
      <w:pPr>
        <w:autoSpaceDE w:val="0"/>
        <w:autoSpaceDN w:val="0"/>
        <w:adjustRightInd w:val="0"/>
        <w:spacing w:before="120" w:after="120" w:line="240" w:lineRule="auto"/>
        <w:rPr>
          <w:rFonts w:eastAsia="Times New Roman" w:cs="Times New Roman"/>
        </w:rPr>
      </w:pPr>
      <w:r w:rsidRPr="0084372B">
        <w:t xml:space="preserve">Within the biomethane sector, the RHI has stimulated business investment in the range of £400 – £800m, (on average £10 million per project) supporting the development of competitive supply chains, with a number of AD and biomethane equipment providers </w:t>
      </w:r>
      <w:r w:rsidRPr="0084372B">
        <w:rPr>
          <w:rFonts w:eastAsia="Times New Roman" w:cs="Times New Roman"/>
        </w:rPr>
        <w:t>currently active in the UK and companies involved in the design, construction, operation of AD plants as well as grid connections and gas trading</w:t>
      </w:r>
      <w:r w:rsidRPr="0084372B">
        <w:t>.</w:t>
      </w:r>
      <w:r w:rsidRPr="0084372B">
        <w:rPr>
          <w:rFonts w:eastAsia="Times New Roman" w:cs="Times New Roman"/>
        </w:rPr>
        <w:t xml:space="preserve">  </w:t>
      </w:r>
    </w:p>
    <w:p w:rsidR="006F459D" w:rsidRDefault="006F459D" w:rsidP="008D383E">
      <w:pPr>
        <w:spacing w:before="120" w:after="120" w:line="240" w:lineRule="auto"/>
        <w:jc w:val="both"/>
        <w:rPr>
          <w:b/>
        </w:rPr>
      </w:pPr>
    </w:p>
    <w:p w:rsidR="00CF2C9B" w:rsidRPr="00A32D1F" w:rsidRDefault="00CF2C9B" w:rsidP="008D383E">
      <w:pPr>
        <w:autoSpaceDE w:val="0"/>
        <w:autoSpaceDN w:val="0"/>
        <w:adjustRightInd w:val="0"/>
        <w:spacing w:before="120" w:after="120" w:line="240" w:lineRule="auto"/>
        <w:rPr>
          <w:b/>
          <w:sz w:val="28"/>
          <w:szCs w:val="28"/>
        </w:rPr>
      </w:pPr>
      <w:r w:rsidRPr="00A32D1F">
        <w:rPr>
          <w:b/>
          <w:sz w:val="28"/>
          <w:szCs w:val="28"/>
        </w:rPr>
        <w:t>Anaerobic diges</w:t>
      </w:r>
      <w:r w:rsidR="00872BDD" w:rsidRPr="00A32D1F">
        <w:rPr>
          <w:b/>
          <w:sz w:val="28"/>
          <w:szCs w:val="28"/>
        </w:rPr>
        <w:t>tion can help Government achieve its</w:t>
      </w:r>
      <w:r w:rsidRPr="00A32D1F">
        <w:rPr>
          <w:b/>
          <w:sz w:val="28"/>
          <w:szCs w:val="28"/>
        </w:rPr>
        <w:t xml:space="preserve"> goals </w:t>
      </w:r>
    </w:p>
    <w:p w:rsidR="00CF2C9B" w:rsidRDefault="00CF2C9B" w:rsidP="008D383E">
      <w:pPr>
        <w:spacing w:before="120" w:after="120" w:line="240" w:lineRule="auto"/>
        <w:jc w:val="both"/>
      </w:pPr>
      <w:r w:rsidRPr="0084372B">
        <w:t xml:space="preserve">Anaerobic digestion can help Government to deliver its wider goals. As well as helping decarbonise heat and provide energy security, this sector is key to deliver many of the public goods and help Government achieve many of the goals set out in its Clean Growth Strategy, Industrial Strategy and 25 Year Environment Plan.  </w:t>
      </w:r>
    </w:p>
    <w:p w:rsidR="0041474D" w:rsidRDefault="0041474D" w:rsidP="008D383E">
      <w:pPr>
        <w:spacing w:before="120" w:after="120" w:line="240" w:lineRule="auto"/>
        <w:jc w:val="both"/>
      </w:pPr>
    </w:p>
    <w:p w:rsidR="0041474D" w:rsidRPr="008E596A" w:rsidRDefault="0041474D" w:rsidP="008D383E">
      <w:pPr>
        <w:spacing w:before="120" w:after="120" w:line="240" w:lineRule="auto"/>
        <w:jc w:val="both"/>
        <w:rPr>
          <w:i/>
        </w:rPr>
      </w:pPr>
      <w:r w:rsidRPr="008E596A">
        <w:rPr>
          <w:i/>
        </w:rPr>
        <w:t xml:space="preserve">AD can play an important role in decarbonising heat and providing energy security </w:t>
      </w:r>
    </w:p>
    <w:p w:rsidR="0041474D" w:rsidRPr="0084372B" w:rsidRDefault="0041474D" w:rsidP="008D383E">
      <w:pPr>
        <w:autoSpaceDE w:val="0"/>
        <w:autoSpaceDN w:val="0"/>
        <w:adjustRightInd w:val="0"/>
        <w:spacing w:before="120" w:after="120" w:line="240" w:lineRule="auto"/>
      </w:pPr>
      <w:r>
        <w:t>G</w:t>
      </w:r>
      <w:r w:rsidRPr="0084372B">
        <w:t xml:space="preserve">reening the gas grid is essential if we are to meet the fourth (2023-27) and fifth (2028-32) carbon budgets, on the path to reducing UK emissions by at least 80% in 2050 (compared to 1990 levels). </w:t>
      </w:r>
    </w:p>
    <w:p w:rsidR="0041474D" w:rsidRPr="0084372B" w:rsidRDefault="0041474D" w:rsidP="008D383E">
      <w:pPr>
        <w:autoSpaceDE w:val="0"/>
        <w:autoSpaceDN w:val="0"/>
        <w:adjustRightInd w:val="0"/>
        <w:spacing w:before="120" w:after="120" w:line="240" w:lineRule="auto"/>
        <w:rPr>
          <w:rFonts w:cs="Calibri"/>
        </w:rPr>
      </w:pPr>
      <w:r w:rsidRPr="0084372B">
        <w:rPr>
          <w:rFonts w:cs="Calibri"/>
        </w:rPr>
        <w:t xml:space="preserve">The UK benefits from one of the longest established and most comprehensive gas networks in the world, serving 85% of domestic properties. Unlike other low carbon heat options, such as electric </w:t>
      </w:r>
      <w:r w:rsidRPr="0084372B">
        <w:rPr>
          <w:rFonts w:cs="Calibri"/>
        </w:rPr>
        <w:lastRenderedPageBreak/>
        <w:t>heat pumps or heat networks, the use of biomethane utilises this existing infrastructure and requires no expansion of the gas or electricity network, saving customers money</w:t>
      </w:r>
      <w:r w:rsidRPr="0084372B">
        <w:rPr>
          <w:rStyle w:val="FootnoteReference"/>
          <w:rFonts w:cs="Calibri"/>
        </w:rPr>
        <w:footnoteReference w:id="5"/>
      </w:r>
      <w:r w:rsidRPr="0084372B">
        <w:rPr>
          <w:rFonts w:cs="Calibri"/>
        </w:rPr>
        <w:t>. Removing the need to build new infrastructure, there is an added economic benefit in minimising disruption to road users and businesses from new developments. Furthermore, biomethane does not require new domestic appliances to be installed, meaning further cost savings for bill payers and making it an attractive option from the perspective of customers.</w:t>
      </w:r>
    </w:p>
    <w:p w:rsidR="0041474D" w:rsidRPr="0084372B" w:rsidRDefault="0041474D" w:rsidP="008D383E">
      <w:pPr>
        <w:autoSpaceDE w:val="0"/>
        <w:autoSpaceDN w:val="0"/>
        <w:adjustRightInd w:val="0"/>
        <w:spacing w:before="120" w:after="120" w:line="240" w:lineRule="auto"/>
        <w:rPr>
          <w:rFonts w:cs="Calibri"/>
        </w:rPr>
      </w:pPr>
      <w:r w:rsidRPr="0084372B">
        <w:rPr>
          <w:rFonts w:cs="Calibri"/>
        </w:rPr>
        <w:t xml:space="preserve">In addition to environmental and financial benefits of biomethane to grid, it offers a source of domestic gas which increases the diversity and security of supply, reducing the UK’s reliance on foreign imports. </w:t>
      </w:r>
    </w:p>
    <w:p w:rsidR="0041474D" w:rsidRPr="0084372B" w:rsidRDefault="0041474D" w:rsidP="008D383E">
      <w:pPr>
        <w:shd w:val="clear" w:color="auto" w:fill="FFFFFF" w:themeFill="background1"/>
        <w:autoSpaceDE w:val="0"/>
        <w:autoSpaceDN w:val="0"/>
        <w:adjustRightInd w:val="0"/>
        <w:spacing w:before="120" w:after="120" w:line="240" w:lineRule="auto"/>
        <w:rPr>
          <w:rFonts w:cs="Calibri"/>
        </w:rPr>
      </w:pPr>
      <w:r w:rsidRPr="0084372B">
        <w:rPr>
          <w:rFonts w:cs="Calibri"/>
        </w:rPr>
        <w:t>Once all the UK biomethane plants operational and under development operate at full capacity, they will be injecting approximately 4 – 6 TWh of green gas per annum into the gas grid, enough to meet the heating and cooking needs of around 400,000 homes. This will represent around 240,000 tonnes of LNG that the country won’t need to import from the Middle East or four 60,000-tonne LNG tankers not needing to dock at domestic ports.</w:t>
      </w:r>
    </w:p>
    <w:p w:rsidR="0041474D" w:rsidRPr="0084372B" w:rsidRDefault="0041474D" w:rsidP="008D383E">
      <w:pPr>
        <w:pStyle w:val="Default"/>
        <w:spacing w:before="120" w:after="120"/>
        <w:rPr>
          <w:rFonts w:asciiTheme="minorHAnsi" w:hAnsiTheme="minorHAnsi" w:cs="Calibri"/>
          <w:color w:val="auto"/>
          <w:sz w:val="22"/>
          <w:szCs w:val="22"/>
        </w:rPr>
      </w:pPr>
      <w:r w:rsidRPr="0084372B">
        <w:rPr>
          <w:rFonts w:asciiTheme="minorHAnsi" w:hAnsiTheme="minorHAnsi" w:cs="Calibri"/>
          <w:color w:val="auto"/>
          <w:sz w:val="22"/>
          <w:szCs w:val="22"/>
        </w:rPr>
        <w:t>Unlike other green gases such as Bio-SNG and Hydrogen</w:t>
      </w:r>
      <w:r w:rsidRPr="00E36652">
        <w:rPr>
          <w:rFonts w:asciiTheme="minorHAnsi" w:hAnsiTheme="minorHAnsi" w:cs="Calibri"/>
          <w:b/>
          <w:color w:val="auto"/>
          <w:sz w:val="22"/>
          <w:szCs w:val="22"/>
        </w:rPr>
        <w:t>, biomethane from AD is an established and commercially ready technology. This means it is the only technology that can help in the short and medium term to make progress towards decarbonising the gas grid.</w:t>
      </w:r>
      <w:r w:rsidRPr="00E36652">
        <w:rPr>
          <w:rFonts w:asciiTheme="minorHAnsi" w:hAnsiTheme="minorHAnsi" w:cs="Calibri"/>
          <w:color w:val="auto"/>
          <w:sz w:val="22"/>
          <w:szCs w:val="22"/>
        </w:rPr>
        <w:t xml:space="preserve"> </w:t>
      </w:r>
      <w:r w:rsidRPr="0084372B">
        <w:rPr>
          <w:rFonts w:asciiTheme="minorHAnsi" w:hAnsiTheme="minorHAnsi" w:cs="Calibri"/>
          <w:color w:val="auto"/>
          <w:sz w:val="22"/>
          <w:szCs w:val="22"/>
        </w:rPr>
        <w:t>The UK cannot afford to wait until other technologies are ready, as firm action must be taken now to achieve the necessary carbon emissions reductions. In its response to the Clean Growth Strategy</w:t>
      </w:r>
      <w:r w:rsidRPr="00474BF0">
        <w:rPr>
          <w:rFonts w:asciiTheme="minorHAnsi" w:hAnsiTheme="minorHAnsi" w:cs="Calibri"/>
          <w:color w:val="auto"/>
          <w:sz w:val="22"/>
          <w:szCs w:val="22"/>
          <w:vertAlign w:val="superscript"/>
        </w:rPr>
        <w:t>6</w:t>
      </w:r>
      <w:r>
        <w:rPr>
          <w:rFonts w:asciiTheme="minorHAnsi" w:hAnsiTheme="minorHAnsi" w:cs="Calibri"/>
          <w:color w:val="auto"/>
          <w:sz w:val="22"/>
          <w:szCs w:val="22"/>
        </w:rPr>
        <w:t xml:space="preserve"> as well its latest Progress Report to Parliament on Carbon Emissions</w:t>
      </w:r>
      <w:r w:rsidRPr="00474BF0">
        <w:rPr>
          <w:rFonts w:asciiTheme="minorHAnsi" w:hAnsiTheme="minorHAnsi" w:cs="Calibri"/>
          <w:color w:val="auto"/>
          <w:sz w:val="22"/>
          <w:szCs w:val="22"/>
          <w:vertAlign w:val="superscript"/>
        </w:rPr>
        <w:t>7</w:t>
      </w:r>
      <w:r>
        <w:rPr>
          <w:rFonts w:asciiTheme="minorHAnsi" w:hAnsiTheme="minorHAnsi" w:cs="Calibri"/>
          <w:color w:val="auto"/>
          <w:sz w:val="22"/>
          <w:szCs w:val="22"/>
        </w:rPr>
        <w:t xml:space="preserve"> on </w:t>
      </w:r>
      <w:r w:rsidRPr="0084372B">
        <w:rPr>
          <w:rFonts w:asciiTheme="minorHAnsi" w:hAnsiTheme="minorHAnsi" w:cs="Calibri"/>
          <w:color w:val="auto"/>
          <w:sz w:val="22"/>
          <w:szCs w:val="22"/>
        </w:rPr>
        <w:t>the Committee on Climate Change has recently identified as immediate priorities retargeting the Renewable Heat Incentive</w:t>
      </w:r>
      <w:r>
        <w:rPr>
          <w:rFonts w:asciiTheme="minorHAnsi" w:hAnsiTheme="minorHAnsi" w:cs="Calibri"/>
          <w:color w:val="auto"/>
          <w:sz w:val="22"/>
          <w:szCs w:val="22"/>
        </w:rPr>
        <w:t xml:space="preserve"> </w:t>
      </w:r>
      <w:r w:rsidRPr="0084372B">
        <w:rPr>
          <w:rFonts w:asciiTheme="minorHAnsi" w:hAnsiTheme="minorHAnsi" w:cs="Calibri"/>
          <w:color w:val="auto"/>
          <w:sz w:val="22"/>
          <w:szCs w:val="22"/>
        </w:rPr>
        <w:t>towards heat pumps and biomethane, developing and setting out proposals for the fossil fuel phase-out for buildings off the gas grid, and further work to secure low-carbon supply mixes for new and existing heat networks (including waste heat from industry and large water- and sewage-source heat pumps).</w:t>
      </w:r>
    </w:p>
    <w:p w:rsidR="0041474D" w:rsidRPr="0084372B" w:rsidRDefault="0041474D" w:rsidP="008D383E">
      <w:pPr>
        <w:pStyle w:val="Default"/>
        <w:spacing w:before="120" w:after="120"/>
        <w:rPr>
          <w:rFonts w:asciiTheme="minorHAnsi" w:hAnsiTheme="minorHAnsi"/>
          <w:sz w:val="22"/>
          <w:szCs w:val="22"/>
        </w:rPr>
      </w:pPr>
      <w:r w:rsidRPr="0084372B">
        <w:rPr>
          <w:rFonts w:asciiTheme="minorHAnsi" w:hAnsiTheme="minorHAnsi"/>
          <w:sz w:val="22"/>
          <w:szCs w:val="22"/>
        </w:rPr>
        <w:t>As soon as technologies to produce Bio-SNG are also commercially ready, the two green gases combined can make a significant contribution to meet our domestic gas demand. Biomethane from both sources (AD and gasification) can deliver 47 – 56 TWh from waste feedstocks and potentially another 21-127 TWh from non-waste feedstocks (mainly energy crops) and has therefore the potential to meet a significant proportion of domestic UK heat demand by 2050</w:t>
      </w:r>
      <w:r w:rsidRPr="0084372B">
        <w:rPr>
          <w:rStyle w:val="FootnoteReference"/>
          <w:rFonts w:asciiTheme="minorHAnsi" w:hAnsiTheme="minorHAnsi"/>
          <w:sz w:val="22"/>
          <w:szCs w:val="22"/>
        </w:rPr>
        <w:footnoteReference w:id="6"/>
      </w:r>
      <w:r w:rsidRPr="00A6014B">
        <w:rPr>
          <w:rFonts w:asciiTheme="minorHAnsi" w:hAnsiTheme="minorHAnsi"/>
          <w:sz w:val="22"/>
          <w:szCs w:val="22"/>
          <w:vertAlign w:val="superscript"/>
        </w:rPr>
        <w:t>,</w:t>
      </w:r>
      <w:r w:rsidRPr="0084372B">
        <w:rPr>
          <w:rStyle w:val="FootnoteReference"/>
          <w:rFonts w:asciiTheme="minorHAnsi" w:hAnsiTheme="minorHAnsi"/>
          <w:sz w:val="22"/>
          <w:szCs w:val="22"/>
        </w:rPr>
        <w:footnoteReference w:id="7"/>
      </w:r>
      <w:r w:rsidRPr="0084372B">
        <w:rPr>
          <w:rFonts w:asciiTheme="minorHAnsi" w:hAnsiTheme="minorHAnsi"/>
          <w:sz w:val="22"/>
          <w:szCs w:val="22"/>
        </w:rPr>
        <w:t xml:space="preserve">.  </w:t>
      </w:r>
    </w:p>
    <w:p w:rsidR="0041474D" w:rsidRDefault="0041474D" w:rsidP="008D383E">
      <w:pPr>
        <w:autoSpaceDE w:val="0"/>
        <w:autoSpaceDN w:val="0"/>
        <w:adjustRightInd w:val="0"/>
        <w:spacing w:before="120" w:after="120" w:line="240" w:lineRule="auto"/>
        <w:rPr>
          <w:i/>
        </w:rPr>
      </w:pPr>
    </w:p>
    <w:p w:rsidR="0041474D" w:rsidRPr="0084372B" w:rsidRDefault="0041474D" w:rsidP="008D383E">
      <w:pPr>
        <w:autoSpaceDE w:val="0"/>
        <w:autoSpaceDN w:val="0"/>
        <w:adjustRightInd w:val="0"/>
        <w:spacing w:before="120" w:after="120" w:line="240" w:lineRule="auto"/>
        <w:rPr>
          <w:i/>
        </w:rPr>
      </w:pPr>
      <w:r w:rsidRPr="0084372B">
        <w:rPr>
          <w:i/>
        </w:rPr>
        <w:t xml:space="preserve">Biomethane can help decarbonise the transport sector </w:t>
      </w:r>
    </w:p>
    <w:p w:rsidR="0041474D" w:rsidRPr="0084372B" w:rsidRDefault="0041474D" w:rsidP="008D383E">
      <w:pPr>
        <w:autoSpaceDE w:val="0"/>
        <w:autoSpaceDN w:val="0"/>
        <w:adjustRightInd w:val="0"/>
        <w:spacing w:before="120" w:after="120" w:line="240" w:lineRule="auto"/>
      </w:pPr>
      <w:r>
        <w:t xml:space="preserve">Once biomethane is injected into the grid, it could theoretically go to various end uses.  At present there is considerable demand for biomethane as a vehicle fuel, particularly for long distance Heavy Goods Vehicles – one of the hardest transport sub-sectors to decarbonise.  It is sought after for its </w:t>
      </w:r>
      <w:r w:rsidRPr="0084372B">
        <w:t xml:space="preserve">significant carbon savings and </w:t>
      </w:r>
      <w:r>
        <w:t>improvements in air quality and noise.  This is taking place over much of Europe and for trading purposes the UK will need a fuelling infrastructure to service delivery vehicles entering the country.</w:t>
      </w:r>
      <w:r w:rsidRPr="0084372B" w:rsidDel="009C5B66">
        <w:t xml:space="preserve"> </w:t>
      </w:r>
      <w:r>
        <w:t xml:space="preserve">The growth in biomethane for HGVs is expected to continue, provided the existing fuel duty differential is maintained until 2024, or preferably 2030.The Renewable Transport Fuel Obligation might stimulate the development of new biomethane injection projects, but there is significant uncertainty on whether RTFCs will be seen as sufficiently bankable.  The flexibility to deliver to either heat (via the RHI) or transport (and claim RTFCs) adds value to both </w:t>
      </w:r>
      <w:r>
        <w:lastRenderedPageBreak/>
        <w:t>support mechanisms (as we have argued before – Kiara reference paper).   Most important is to get new projects built.  If, in the long run, electrification of heavy haulage takes place (eg with catenaries or vastly superior battery technology) the output from biomethane injection facilities can revert to supplying low carbon heat.</w:t>
      </w:r>
    </w:p>
    <w:p w:rsidR="008E596A" w:rsidRPr="0084372B" w:rsidRDefault="008E596A" w:rsidP="008D383E">
      <w:pPr>
        <w:spacing w:before="120" w:after="120" w:line="240" w:lineRule="auto"/>
        <w:jc w:val="both"/>
      </w:pPr>
    </w:p>
    <w:p w:rsidR="00CF2C9B" w:rsidRPr="0084372B" w:rsidRDefault="00CF2C9B" w:rsidP="008D383E">
      <w:pPr>
        <w:autoSpaceDE w:val="0"/>
        <w:autoSpaceDN w:val="0"/>
        <w:adjustRightInd w:val="0"/>
        <w:spacing w:before="120" w:after="120" w:line="240" w:lineRule="auto"/>
        <w:rPr>
          <w:i/>
        </w:rPr>
      </w:pPr>
      <w:r w:rsidRPr="0084372B">
        <w:rPr>
          <w:i/>
        </w:rPr>
        <w:t xml:space="preserve">AD can deliver significant GHG emission abatement from agriculture </w:t>
      </w:r>
    </w:p>
    <w:p w:rsidR="00CF2C9B" w:rsidRPr="0084372B" w:rsidRDefault="00CF2C9B" w:rsidP="008D383E">
      <w:pPr>
        <w:autoSpaceDE w:val="0"/>
        <w:autoSpaceDN w:val="0"/>
        <w:adjustRightInd w:val="0"/>
        <w:spacing w:before="120" w:after="120" w:line="240" w:lineRule="auto"/>
      </w:pPr>
      <w:r w:rsidRPr="0084372B">
        <w:t xml:space="preserve">There has been no progress in reducing agricultural emissions over the past six years. In its response to the Clean Growth Plan, the CCC have said ‘a stronger policy framework for reducing emissions from agriculture and land use in all UK nations to 2022 should be delivered’, and ‘strong policies to deliver emissions reductions in agriculture need to be developed soon. …’. </w:t>
      </w:r>
    </w:p>
    <w:p w:rsidR="00CF2C9B" w:rsidRPr="0084372B" w:rsidRDefault="00CF2C9B" w:rsidP="008D383E">
      <w:pPr>
        <w:autoSpaceDE w:val="0"/>
        <w:autoSpaceDN w:val="0"/>
        <w:adjustRightInd w:val="0"/>
        <w:spacing w:before="120" w:after="120" w:line="240" w:lineRule="auto"/>
      </w:pPr>
      <w:r w:rsidRPr="0084372B">
        <w:t>AD allows significant GHG emission abatement from agriculture by better handling, storing and capturing methane from livestock slurries and manures on farms. UK emissions from manure management are currently 7.2 MtCO</w:t>
      </w:r>
      <w:r w:rsidRPr="0084372B">
        <w:rPr>
          <w:vertAlign w:val="subscript"/>
        </w:rPr>
        <w:t>2</w:t>
      </w:r>
      <w:r w:rsidRPr="0084372B">
        <w:t>e and the CCC says that AD needs to be used more widely on farms if the UK is to meet the fifth carbon budget.</w:t>
      </w:r>
    </w:p>
    <w:p w:rsidR="00CF2C9B" w:rsidRPr="0084372B" w:rsidRDefault="00CF2C9B" w:rsidP="008D383E">
      <w:pPr>
        <w:autoSpaceDE w:val="0"/>
        <w:autoSpaceDN w:val="0"/>
        <w:adjustRightInd w:val="0"/>
        <w:spacing w:before="120" w:after="120" w:line="240" w:lineRule="auto"/>
      </w:pPr>
      <w:r w:rsidRPr="0084372B">
        <w:t>If slurry from all UK medium and large dairy farms was treated in AD plants, 1.8 Mt CO</w:t>
      </w:r>
      <w:r w:rsidRPr="0084372B">
        <w:rPr>
          <w:vertAlign w:val="subscript"/>
        </w:rPr>
        <w:t>2</w:t>
      </w:r>
      <w:r w:rsidRPr="0084372B">
        <w:t xml:space="preserve">e could be saved each year across the UK, which is the equivalent of taking almost 900,000 cars off the road. </w:t>
      </w:r>
    </w:p>
    <w:p w:rsidR="00CF2C9B" w:rsidRPr="0084372B" w:rsidRDefault="00CF2C9B" w:rsidP="008D383E">
      <w:pPr>
        <w:autoSpaceDE w:val="0"/>
        <w:autoSpaceDN w:val="0"/>
        <w:adjustRightInd w:val="0"/>
        <w:spacing w:before="120" w:after="120" w:line="240" w:lineRule="auto"/>
      </w:pPr>
      <w:r w:rsidRPr="0084372B">
        <w:t xml:space="preserve">With less 2 million tonnes of manures/slurries (out of 90 million tonnes generated each year) currently going to AD this sector has still a long way to go before its full potential to tackle GHG emissions from agriculture can be fulfilled. </w:t>
      </w:r>
    </w:p>
    <w:p w:rsidR="008E596A" w:rsidRDefault="008E596A" w:rsidP="008D383E">
      <w:pPr>
        <w:autoSpaceDE w:val="0"/>
        <w:autoSpaceDN w:val="0"/>
        <w:adjustRightInd w:val="0"/>
        <w:spacing w:before="120" w:after="120" w:line="240" w:lineRule="auto"/>
        <w:rPr>
          <w:i/>
        </w:rPr>
      </w:pPr>
    </w:p>
    <w:p w:rsidR="00CF2C9B" w:rsidRPr="0084372B" w:rsidRDefault="00CF2C9B" w:rsidP="008D383E">
      <w:pPr>
        <w:autoSpaceDE w:val="0"/>
        <w:autoSpaceDN w:val="0"/>
        <w:adjustRightInd w:val="0"/>
        <w:spacing w:before="120" w:after="120" w:line="240" w:lineRule="auto"/>
        <w:rPr>
          <w:i/>
        </w:rPr>
      </w:pPr>
      <w:r w:rsidRPr="0084372B">
        <w:rPr>
          <w:i/>
        </w:rPr>
        <w:t xml:space="preserve">AD can improve soil health, food security, farm productivity and profitability </w:t>
      </w:r>
    </w:p>
    <w:p w:rsidR="00CF2C9B" w:rsidRPr="0084372B" w:rsidRDefault="00CF2C9B" w:rsidP="008D383E">
      <w:pPr>
        <w:autoSpaceDE w:val="0"/>
        <w:autoSpaceDN w:val="0"/>
        <w:adjustRightInd w:val="0"/>
        <w:spacing w:before="120" w:after="120" w:line="240" w:lineRule="auto"/>
      </w:pPr>
      <w:r w:rsidRPr="0084372B">
        <w:t>There is extensive scientific evidence</w:t>
      </w:r>
      <w:r w:rsidRPr="0084372B">
        <w:rPr>
          <w:rStyle w:val="FootnoteReference"/>
        </w:rPr>
        <w:footnoteReference w:id="8"/>
      </w:r>
      <w:r w:rsidRPr="0084372B">
        <w:t xml:space="preserve"> available showing the benefits to soil health and crops of repeated organic materials applications such as composts and digestates to agricultural land. These include reduced soil erosion and compaction, increased soil biodiversity, improved soil physical and biological processes and organic matter, improved nutrient availability. Composts and digestates help farmers deliver more and better food with fewer manufactured fertiliser inputs. </w:t>
      </w:r>
    </w:p>
    <w:p w:rsidR="00CF2C9B" w:rsidRPr="0084372B" w:rsidRDefault="00CF2C9B" w:rsidP="008D383E">
      <w:pPr>
        <w:autoSpaceDE w:val="0"/>
        <w:autoSpaceDN w:val="0"/>
        <w:adjustRightInd w:val="0"/>
        <w:spacing w:before="120" w:after="120" w:line="240" w:lineRule="auto"/>
      </w:pPr>
      <w:r w:rsidRPr="0084372B">
        <w:t xml:space="preserve">There is </w:t>
      </w:r>
      <w:r w:rsidR="00C65A1D">
        <w:t xml:space="preserve">also </w:t>
      </w:r>
      <w:r w:rsidRPr="0084372B">
        <w:t xml:space="preserve">significant evidence showing benefits of growing sustainable crops for anaerobic digestion in rotations with food crops, including enhanced soil fertility, rebuilt soil structure, added organic matter and reduced soil erosion. </w:t>
      </w:r>
    </w:p>
    <w:p w:rsidR="00CF2C9B" w:rsidRPr="0084372B" w:rsidRDefault="00CF2C9B" w:rsidP="008D383E">
      <w:pPr>
        <w:spacing w:before="120" w:after="120" w:line="240" w:lineRule="auto"/>
      </w:pPr>
      <w:r w:rsidRPr="0084372B">
        <w:t>There is increasing recognition (and requirement under EU subsidy regimes) to increase diversification in farms, leading to the use of break crops such as those intended for AD. Crops that can be used for energy can therefore give a useful economic return to the farmer and improve the overall performance of the farm.</w:t>
      </w:r>
    </w:p>
    <w:p w:rsidR="0090300A" w:rsidRDefault="0090300A" w:rsidP="008D383E">
      <w:pPr>
        <w:autoSpaceDE w:val="0"/>
        <w:autoSpaceDN w:val="0"/>
        <w:adjustRightInd w:val="0"/>
        <w:spacing w:before="120" w:after="120" w:line="240" w:lineRule="auto"/>
        <w:rPr>
          <w:i/>
        </w:rPr>
      </w:pPr>
    </w:p>
    <w:p w:rsidR="00CF2C9B" w:rsidRPr="0084372B" w:rsidRDefault="00CF2C9B" w:rsidP="008D383E">
      <w:pPr>
        <w:autoSpaceDE w:val="0"/>
        <w:autoSpaceDN w:val="0"/>
        <w:adjustRightInd w:val="0"/>
        <w:spacing w:before="120" w:after="120" w:line="240" w:lineRule="auto"/>
        <w:rPr>
          <w:i/>
        </w:rPr>
      </w:pPr>
      <w:r w:rsidRPr="0084372B">
        <w:rPr>
          <w:i/>
        </w:rPr>
        <w:t xml:space="preserve">AD can help abate GHG emissions from the waste sector and meet our recycling targets  </w:t>
      </w:r>
    </w:p>
    <w:p w:rsidR="00C473D3" w:rsidRDefault="00C473D3" w:rsidP="008D383E">
      <w:pPr>
        <w:autoSpaceDE w:val="0"/>
        <w:autoSpaceDN w:val="0"/>
        <w:adjustRightInd w:val="0"/>
        <w:spacing w:before="120" w:after="120" w:line="240" w:lineRule="auto"/>
      </w:pPr>
      <w:r w:rsidRPr="0084372B">
        <w:t>Treating household and catering food waste, as well as a range of factory residues in AD offers the “greatest environmental benefit” of any food waste treatment, according to Defra’s 2011 Review of Waste Policy in England. With 3.8 million tonnes of food wastes (out of 1</w:t>
      </w:r>
      <w:r w:rsidR="00B05501">
        <w:t>0</w:t>
      </w:r>
      <w:r w:rsidRPr="0084372B">
        <w:t xml:space="preserve"> million tonnes generated each year) currently going to AD the biogas sector has still a long way to go before its full potential can be fulfilled.</w:t>
      </w:r>
    </w:p>
    <w:p w:rsidR="00CF2C9B" w:rsidRPr="0084372B" w:rsidRDefault="00CF2C9B" w:rsidP="008D383E">
      <w:pPr>
        <w:autoSpaceDE w:val="0"/>
        <w:autoSpaceDN w:val="0"/>
        <w:adjustRightInd w:val="0"/>
        <w:spacing w:before="120" w:after="120" w:line="240" w:lineRule="auto"/>
        <w:rPr>
          <w:rFonts w:cs="Arial"/>
        </w:rPr>
      </w:pPr>
      <w:r w:rsidRPr="0084372B">
        <w:rPr>
          <w:rFonts w:cs="Arial"/>
        </w:rPr>
        <w:t xml:space="preserve">The waste management sector was responsible for around 4% of UK greenhouse gas emissions in 2016, with methane being by far the most prominent gas (accounting for 92% of emissions). The vast majority of these emissions are from landfill sites. </w:t>
      </w:r>
    </w:p>
    <w:p w:rsidR="00C473D3" w:rsidRPr="0084372B" w:rsidRDefault="00C473D3" w:rsidP="008D383E">
      <w:pPr>
        <w:autoSpaceDE w:val="0"/>
        <w:autoSpaceDN w:val="0"/>
        <w:adjustRightInd w:val="0"/>
        <w:spacing w:before="120" w:after="120" w:line="240" w:lineRule="auto"/>
      </w:pPr>
      <w:r w:rsidRPr="0084372B">
        <w:lastRenderedPageBreak/>
        <w:t>Diversion of unavoidable food wastes from landfill to AD enables significant reduction in GHG emissions (especially methane that would be released by the rotting if these wastes in landfill) and enables the Government to meet its 2020 recycling targets and any future targets. The UK and of food wastes enables significant abatement of GHG emissions that would otherwise be released if these wastes are landfilled.</w:t>
      </w:r>
    </w:p>
    <w:p w:rsidR="00C473D3" w:rsidRPr="0084372B" w:rsidRDefault="00C473D3" w:rsidP="008D383E">
      <w:pPr>
        <w:spacing w:before="120" w:after="120" w:line="240" w:lineRule="auto"/>
        <w:rPr>
          <w:rFonts w:cs="Arial"/>
        </w:rPr>
      </w:pPr>
      <w:r w:rsidRPr="0084372B">
        <w:rPr>
          <w:rFonts w:cs="Arial"/>
        </w:rPr>
        <w:t>Within its Clean Growth Plan and 25 year Environment Plan, the Government has committed to work towards no food waste entering landfill by 2030 and to support an increase in the number of local authorities that separately collect food wastes. However, in its response to the Clean Growth Plan, the Committee for Climate Change</w:t>
      </w:r>
      <w:r w:rsidRPr="0084372B">
        <w:rPr>
          <w:vertAlign w:val="superscript"/>
        </w:rPr>
        <w:footnoteReference w:id="9"/>
      </w:r>
      <w:r w:rsidRPr="0084372B">
        <w:rPr>
          <w:rFonts w:cs="Arial"/>
          <w:vertAlign w:val="superscript"/>
        </w:rPr>
        <w:t xml:space="preserve"> </w:t>
      </w:r>
      <w:r w:rsidR="00BA1BC0">
        <w:rPr>
          <w:rFonts w:cs="Arial"/>
          <w:vertAlign w:val="superscript"/>
        </w:rPr>
        <w:t xml:space="preserve"> </w:t>
      </w:r>
      <w:r w:rsidR="00BA1BC0">
        <w:rPr>
          <w:rFonts w:cs="Arial"/>
        </w:rPr>
        <w:t>as well as its more recent report Progress Report to Parliament on Reducing Carbon Emissions</w:t>
      </w:r>
      <w:r w:rsidR="00BA1BC0">
        <w:rPr>
          <w:rStyle w:val="FootnoteReference"/>
          <w:rFonts w:cs="Arial"/>
        </w:rPr>
        <w:footnoteReference w:id="10"/>
      </w:r>
      <w:r w:rsidR="00BA1BC0">
        <w:rPr>
          <w:rFonts w:cs="Arial"/>
        </w:rPr>
        <w:t xml:space="preserve"> </w:t>
      </w:r>
      <w:r w:rsidRPr="0084372B">
        <w:rPr>
          <w:rFonts w:cs="Arial"/>
        </w:rPr>
        <w:t xml:space="preserve">have said that these policies are not sufficient to meet our carbon budgets. Much firmer policies must be set to end food waste going to landfill and these should be implemented by 2025, five years earlier than currently planned. Without such measures in this and other sectors, we are set to fail to meet the fourth and fifth carbon budgets. </w:t>
      </w:r>
    </w:p>
    <w:p w:rsidR="00C473D3" w:rsidRPr="0084372B" w:rsidRDefault="00C473D3" w:rsidP="008D383E">
      <w:pPr>
        <w:spacing w:before="120" w:after="120" w:line="240" w:lineRule="auto"/>
        <w:rPr>
          <w:rFonts w:cs="Arial"/>
        </w:rPr>
      </w:pPr>
      <w:r w:rsidRPr="0084372B">
        <w:t xml:space="preserve">In April the EU Parliament adopted ambitious recycling targets (65% recycling by 2035), under </w:t>
      </w:r>
      <w:r w:rsidRPr="0084372B">
        <w:rPr>
          <w:rFonts w:cs="Arial"/>
        </w:rPr>
        <w:t xml:space="preserve">legislation on waste and the circular economy. Mandatory separate collections of food wastes will also have to be rolled out my Member States by 2023. </w:t>
      </w:r>
      <w:r>
        <w:rPr>
          <w:rFonts w:cs="Arial"/>
        </w:rPr>
        <w:t xml:space="preserve">Defra’s Secretary of State Michael Gove has recently stated that he wants the UK to match the new EU targets and even go beyond.  </w:t>
      </w:r>
    </w:p>
    <w:p w:rsidR="008430F6" w:rsidRDefault="00CF2C9B" w:rsidP="008D383E">
      <w:pPr>
        <w:spacing w:before="120" w:after="120" w:line="240" w:lineRule="auto"/>
        <w:rPr>
          <w:rFonts w:cs="Arial"/>
        </w:rPr>
      </w:pPr>
      <w:r w:rsidRPr="0084372B">
        <w:rPr>
          <w:rFonts w:cs="Arial"/>
        </w:rPr>
        <w:t>According to the WRAP Food Waste Action Plan, 10.2 million tonnes of food wastes are generated every year, out of which 7.3 million (72%) come from households</w:t>
      </w:r>
      <w:r w:rsidR="008122BE">
        <w:rPr>
          <w:rFonts w:cs="Arial"/>
        </w:rPr>
        <w:t xml:space="preserve">. A proportion </w:t>
      </w:r>
      <w:r w:rsidR="00AD3316">
        <w:rPr>
          <w:rFonts w:cs="Arial"/>
        </w:rPr>
        <w:t>of these wastes can be avoided, but the remainder is regarded as unavoidable and could therefore be process</w:t>
      </w:r>
      <w:r w:rsidR="008122BE">
        <w:rPr>
          <w:rFonts w:cs="Arial"/>
        </w:rPr>
        <w:t>ed</w:t>
      </w:r>
      <w:r w:rsidR="00AD3316">
        <w:rPr>
          <w:rFonts w:cs="Arial"/>
        </w:rPr>
        <w:t xml:space="preserve"> through AD. </w:t>
      </w:r>
      <w:r w:rsidR="008430F6">
        <w:rPr>
          <w:rFonts w:cs="Arial"/>
        </w:rPr>
        <w:t xml:space="preserve">If we apply the </w:t>
      </w:r>
      <w:r w:rsidR="008430F6" w:rsidRPr="008430F6">
        <w:rPr>
          <w:rFonts w:cs="Arial"/>
        </w:rPr>
        <w:t>C</w:t>
      </w:r>
      <w:r w:rsidR="00FF1B4F">
        <w:rPr>
          <w:rFonts w:cs="Arial"/>
        </w:rPr>
        <w:t xml:space="preserve">ourtauld </w:t>
      </w:r>
      <w:r w:rsidR="008430F6" w:rsidRPr="008430F6">
        <w:rPr>
          <w:rFonts w:cs="Arial"/>
        </w:rPr>
        <w:t>2</w:t>
      </w:r>
      <w:r w:rsidR="008430F6">
        <w:rPr>
          <w:rFonts w:cs="Arial"/>
        </w:rPr>
        <w:t>025 food waste reduction target (</w:t>
      </w:r>
      <w:r w:rsidR="008430F6" w:rsidRPr="008430F6">
        <w:rPr>
          <w:rFonts w:cs="Arial"/>
        </w:rPr>
        <w:t>which is for a 20% reduction (per capita) from 2015 to 2025</w:t>
      </w:r>
      <w:r w:rsidR="008430F6">
        <w:rPr>
          <w:rFonts w:cs="Arial"/>
        </w:rPr>
        <w:t xml:space="preserve">), WRAP estimates that by 2025 we could still generate around 8.6 million tonnes of unavoidable food wastes in the UK that </w:t>
      </w:r>
      <w:r w:rsidR="00D87A89">
        <w:rPr>
          <w:rFonts w:cs="Arial"/>
        </w:rPr>
        <w:t xml:space="preserve">will </w:t>
      </w:r>
      <w:r w:rsidR="007012F6">
        <w:rPr>
          <w:rFonts w:cs="Arial"/>
        </w:rPr>
        <w:t>need to be diverted from</w:t>
      </w:r>
      <w:r w:rsidR="00474BF0">
        <w:rPr>
          <w:rFonts w:cs="Arial"/>
        </w:rPr>
        <w:t xml:space="preserve"> landfill, </w:t>
      </w:r>
      <w:r w:rsidR="00DE67F1">
        <w:rPr>
          <w:rFonts w:cs="Arial"/>
        </w:rPr>
        <w:t>in line</w:t>
      </w:r>
      <w:r w:rsidR="00D87A89">
        <w:rPr>
          <w:rFonts w:cs="Arial"/>
        </w:rPr>
        <w:t xml:space="preserve"> the Waste Hierarchy. </w:t>
      </w:r>
    </w:p>
    <w:p w:rsidR="008E596A" w:rsidRDefault="008E596A" w:rsidP="008D383E">
      <w:pPr>
        <w:autoSpaceDE w:val="0"/>
        <w:autoSpaceDN w:val="0"/>
        <w:adjustRightInd w:val="0"/>
        <w:spacing w:before="120" w:after="120" w:line="240" w:lineRule="auto"/>
        <w:rPr>
          <w:i/>
        </w:rPr>
      </w:pPr>
    </w:p>
    <w:p w:rsidR="00CF2C9B" w:rsidRPr="0084372B" w:rsidRDefault="00CF2C9B" w:rsidP="008D383E">
      <w:pPr>
        <w:autoSpaceDE w:val="0"/>
        <w:autoSpaceDN w:val="0"/>
        <w:adjustRightInd w:val="0"/>
        <w:spacing w:before="120" w:after="120" w:line="240" w:lineRule="auto"/>
        <w:rPr>
          <w:i/>
        </w:rPr>
      </w:pPr>
      <w:r w:rsidRPr="0084372B">
        <w:rPr>
          <w:i/>
        </w:rPr>
        <w:t xml:space="preserve">AD is central to circular and bio-economies </w:t>
      </w:r>
    </w:p>
    <w:p w:rsidR="00CF2C9B" w:rsidRPr="0084372B" w:rsidRDefault="00CF2C9B" w:rsidP="008D383E">
      <w:pPr>
        <w:autoSpaceDE w:val="0"/>
        <w:autoSpaceDN w:val="0"/>
        <w:adjustRightInd w:val="0"/>
        <w:spacing w:before="120" w:after="120" w:line="240" w:lineRule="auto"/>
      </w:pPr>
      <w:r w:rsidRPr="0084372B">
        <w:t xml:space="preserve">AD is an important pillar of the circular economy and has a crucial role to play in the Bioeconomy. </w:t>
      </w:r>
    </w:p>
    <w:p w:rsidR="00CF2C9B" w:rsidRPr="0084372B" w:rsidRDefault="00CF2C9B" w:rsidP="008D383E">
      <w:pPr>
        <w:autoSpaceDE w:val="0"/>
        <w:autoSpaceDN w:val="0"/>
        <w:adjustRightInd w:val="0"/>
        <w:spacing w:before="120" w:after="120" w:line="240" w:lineRule="auto"/>
      </w:pPr>
      <w:r w:rsidRPr="0084372B">
        <w:t xml:space="preserve">It utilises carbon-containing wastes and residues at the place or very close to the place of production and generates high value outputs such as renewable, low carbon fuels that can be used to generate power, heat or deployed in transport. It also generates organic fertilisers and soil improvers that recycle nutrients and organic carbon back to the land, closing biological cycles and improving soil health. </w:t>
      </w:r>
    </w:p>
    <w:p w:rsidR="00CF2C9B" w:rsidRPr="0084372B" w:rsidRDefault="00CF2C9B" w:rsidP="008D383E">
      <w:pPr>
        <w:autoSpaceDE w:val="0"/>
        <w:autoSpaceDN w:val="0"/>
        <w:adjustRightInd w:val="0"/>
        <w:spacing w:before="120" w:after="120" w:line="240" w:lineRule="auto"/>
      </w:pPr>
      <w:r w:rsidRPr="0084372B">
        <w:t xml:space="preserve">Biorefineries and other innovative technologies can also be developed in conjunction with anaerobic digestion. </w:t>
      </w:r>
    </w:p>
    <w:p w:rsidR="00CF2C9B" w:rsidRDefault="00CF2C9B" w:rsidP="008D383E">
      <w:pPr>
        <w:autoSpaceDE w:val="0"/>
        <w:autoSpaceDN w:val="0"/>
        <w:adjustRightInd w:val="0"/>
        <w:spacing w:before="120" w:after="120" w:line="240" w:lineRule="auto"/>
        <w:rPr>
          <w:b/>
        </w:rPr>
      </w:pPr>
    </w:p>
    <w:p w:rsidR="00D26191" w:rsidRDefault="00D26191" w:rsidP="008D383E">
      <w:pPr>
        <w:autoSpaceDE w:val="0"/>
        <w:autoSpaceDN w:val="0"/>
        <w:adjustRightInd w:val="0"/>
        <w:spacing w:before="120" w:after="120" w:line="240" w:lineRule="auto"/>
        <w:rPr>
          <w:b/>
        </w:rPr>
      </w:pPr>
    </w:p>
    <w:p w:rsidR="00D26191" w:rsidRPr="00D26191" w:rsidRDefault="00D26191" w:rsidP="008D383E">
      <w:pPr>
        <w:autoSpaceDE w:val="0"/>
        <w:autoSpaceDN w:val="0"/>
        <w:adjustRightInd w:val="0"/>
        <w:spacing w:before="120" w:after="120" w:line="240" w:lineRule="auto"/>
      </w:pPr>
      <w:r w:rsidRPr="00D26191">
        <w:t>Kiara Zennaro, 2</w:t>
      </w:r>
      <w:r w:rsidR="0041474D">
        <w:t>8</w:t>
      </w:r>
      <w:r w:rsidRPr="00D26191">
        <w:t>/06/2018</w:t>
      </w:r>
    </w:p>
    <w:p w:rsidR="00CF636F" w:rsidRPr="0090300A" w:rsidRDefault="00CF636F" w:rsidP="008D383E">
      <w:pPr>
        <w:autoSpaceDE w:val="0"/>
        <w:autoSpaceDN w:val="0"/>
        <w:adjustRightInd w:val="0"/>
        <w:spacing w:before="120" w:after="120" w:line="240" w:lineRule="auto"/>
        <w:rPr>
          <w:b/>
          <w:sz w:val="28"/>
          <w:szCs w:val="28"/>
        </w:rPr>
      </w:pPr>
    </w:p>
    <w:sectPr w:rsidR="00CF636F" w:rsidRPr="0090300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A7" w:rsidRDefault="005249A7" w:rsidP="00635C1C">
      <w:pPr>
        <w:spacing w:after="0" w:line="240" w:lineRule="auto"/>
      </w:pPr>
      <w:r>
        <w:separator/>
      </w:r>
    </w:p>
  </w:endnote>
  <w:endnote w:type="continuationSeparator" w:id="0">
    <w:p w:rsidR="005249A7" w:rsidRDefault="005249A7" w:rsidP="00635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584603"/>
      <w:docPartObj>
        <w:docPartGallery w:val="Page Numbers (Bottom of Page)"/>
        <w:docPartUnique/>
      </w:docPartObj>
    </w:sdtPr>
    <w:sdtEndPr>
      <w:rPr>
        <w:noProof/>
      </w:rPr>
    </w:sdtEndPr>
    <w:sdtContent>
      <w:p w:rsidR="000F5A68" w:rsidRDefault="000F5A68">
        <w:pPr>
          <w:pStyle w:val="Footer"/>
          <w:jc w:val="right"/>
        </w:pPr>
        <w:r>
          <w:fldChar w:fldCharType="begin"/>
        </w:r>
        <w:r>
          <w:instrText xml:space="preserve"> PAGE   \* MERGEFORMAT </w:instrText>
        </w:r>
        <w:r>
          <w:fldChar w:fldCharType="separate"/>
        </w:r>
        <w:r w:rsidR="008369D1">
          <w:rPr>
            <w:noProof/>
          </w:rPr>
          <w:t>3</w:t>
        </w:r>
        <w:r>
          <w:rPr>
            <w:noProof/>
          </w:rPr>
          <w:fldChar w:fldCharType="end"/>
        </w:r>
      </w:p>
    </w:sdtContent>
  </w:sdt>
  <w:p w:rsidR="000F5A68" w:rsidRDefault="000F5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A7" w:rsidRDefault="005249A7" w:rsidP="00635C1C">
      <w:pPr>
        <w:spacing w:after="0" w:line="240" w:lineRule="auto"/>
      </w:pPr>
      <w:r>
        <w:separator/>
      </w:r>
    </w:p>
  </w:footnote>
  <w:footnote w:type="continuationSeparator" w:id="0">
    <w:p w:rsidR="005249A7" w:rsidRDefault="005249A7" w:rsidP="00635C1C">
      <w:pPr>
        <w:spacing w:after="0" w:line="240" w:lineRule="auto"/>
      </w:pPr>
      <w:r>
        <w:continuationSeparator/>
      </w:r>
    </w:p>
  </w:footnote>
  <w:footnote w:id="1">
    <w:p w:rsidR="00872BDD" w:rsidRDefault="00872BDD" w:rsidP="00872BDD">
      <w:pPr>
        <w:pStyle w:val="FootnoteText"/>
      </w:pPr>
      <w:r>
        <w:rPr>
          <w:rStyle w:val="FootnoteReference"/>
        </w:rPr>
        <w:footnoteRef/>
      </w:r>
      <w:r>
        <w:t xml:space="preserve"> NNFCC, 2018. Anaerobic digestion deployment in the United Kingdom, Fifth Annual Report, April 2018. </w:t>
      </w:r>
    </w:p>
  </w:footnote>
  <w:footnote w:id="2">
    <w:p w:rsidR="006A073D" w:rsidRDefault="006A073D">
      <w:pPr>
        <w:pStyle w:val="FootnoteText"/>
      </w:pPr>
      <w:r>
        <w:rPr>
          <w:rStyle w:val="FootnoteReference"/>
        </w:rPr>
        <w:footnoteRef/>
      </w:r>
      <w:r>
        <w:t xml:space="preserve"> </w:t>
      </w:r>
      <w:r w:rsidR="0093213C" w:rsidRPr="0093213C">
        <w:t>https://assets.publishing.service.gov.uk/government/uploads/system/uploads/attachment_data/file/664991/nonfood-statsnotice2016-6dec17b.pdf</w:t>
      </w:r>
    </w:p>
  </w:footnote>
  <w:footnote w:id="3">
    <w:p w:rsidR="00A61CB8" w:rsidRDefault="00A61CB8" w:rsidP="00A61CB8">
      <w:pPr>
        <w:pStyle w:val="FootnoteText"/>
      </w:pPr>
      <w:r w:rsidRPr="00DB02BD">
        <w:rPr>
          <w:rStyle w:val="FootnoteReference"/>
        </w:rPr>
        <w:footnoteRef/>
      </w:r>
      <w:r w:rsidRPr="00DB02BD">
        <w:t xml:space="preserve"> </w:t>
      </w:r>
      <w:hyperlink r:id="rId1" w:anchor="21/z" w:history="1">
        <w:r w:rsidRPr="00542406">
          <w:rPr>
            <w:rStyle w:val="Hyperlink"/>
            <w:rFonts w:eastAsia="Times New Roman" w:cs="Times New Roman"/>
            <w:szCs w:val="24"/>
          </w:rPr>
          <w:t>REVIEW publication, 201</w:t>
        </w:r>
        <w:r w:rsidR="00542406" w:rsidRPr="00542406">
          <w:rPr>
            <w:rStyle w:val="Hyperlink"/>
            <w:rFonts w:eastAsia="Times New Roman" w:cs="Times New Roman"/>
            <w:szCs w:val="24"/>
          </w:rPr>
          <w:t>8</w:t>
        </w:r>
      </w:hyperlink>
    </w:p>
  </w:footnote>
  <w:footnote w:id="4">
    <w:p w:rsidR="00A61CB8" w:rsidRDefault="00A61CB8" w:rsidP="00A61CB8">
      <w:pPr>
        <w:pStyle w:val="FootnoteText"/>
      </w:pPr>
      <w:r>
        <w:rPr>
          <w:rStyle w:val="FootnoteReference"/>
        </w:rPr>
        <w:footnoteRef/>
      </w:r>
      <w:r>
        <w:t xml:space="preserve"> The Green Gas Certification Scheme (</w:t>
      </w:r>
      <w:hyperlink r:id="rId2" w:history="1">
        <w:r w:rsidRPr="002737C6">
          <w:rPr>
            <w:rStyle w:val="Hyperlink"/>
          </w:rPr>
          <w:t>www.greengas.org.uk</w:t>
        </w:r>
      </w:hyperlink>
      <w:r>
        <w:t xml:space="preserve">) tracked 200,000 MWh of Green Gas Certificates sold to non-UK gas consumers, with biomethane plants receiving an estimated £1.50/MWh  </w:t>
      </w:r>
    </w:p>
  </w:footnote>
  <w:footnote w:id="5">
    <w:p w:rsidR="0041474D" w:rsidRDefault="0041474D" w:rsidP="0041474D">
      <w:pPr>
        <w:pStyle w:val="FootnoteText"/>
      </w:pPr>
      <w:r>
        <w:rPr>
          <w:rStyle w:val="FootnoteReference"/>
        </w:rPr>
        <w:footnoteRef/>
      </w:r>
      <w:r>
        <w:t xml:space="preserve"> </w:t>
      </w:r>
      <w:r>
        <w:rPr>
          <w:rFonts w:ascii="Calibri" w:hAnsi="Calibri" w:cs="Calibri"/>
        </w:rPr>
        <w:t>Research commissioned by ENA has revealed that without a role for gas, the reinforcement of the electricity network to handle increased load and greater seasonal peaks from heat demand is projected to cost £16-28bn to 2050. The report found that if gas plays a role in a balanced transition to a zero carbon future it will reduce the cost of additional investment in the electricity network by £8billion.</w:t>
      </w:r>
    </w:p>
  </w:footnote>
  <w:footnote w:id="6">
    <w:p w:rsidR="0041474D" w:rsidRDefault="0041474D" w:rsidP="0041474D">
      <w:pPr>
        <w:pStyle w:val="FootnoteText"/>
      </w:pPr>
      <w:r>
        <w:rPr>
          <w:rStyle w:val="FootnoteReference"/>
        </w:rPr>
        <w:footnoteRef/>
      </w:r>
      <w:r>
        <w:t xml:space="preserve"> Cadent, 2017. Renewable gas potential in the UK. Natural gas currently provides 292 TWh per annum to domestic consumers through the national gas network</w:t>
      </w:r>
    </w:p>
  </w:footnote>
  <w:footnote w:id="7">
    <w:p w:rsidR="0041474D" w:rsidRDefault="0041474D" w:rsidP="0041474D">
      <w:pPr>
        <w:pStyle w:val="FootnoteText"/>
      </w:pPr>
      <w:r>
        <w:rPr>
          <w:rStyle w:val="FootnoteReference"/>
        </w:rPr>
        <w:footnoteRef/>
      </w:r>
      <w:r>
        <w:t xml:space="preserve"> Natural gas currently provides 292 TWh per annum to domestic consumers through the national gas network</w:t>
      </w:r>
    </w:p>
  </w:footnote>
  <w:footnote w:id="8">
    <w:p w:rsidR="00CF2C9B" w:rsidRDefault="00CF2C9B" w:rsidP="00CF2C9B">
      <w:pPr>
        <w:pStyle w:val="FootnoteText"/>
      </w:pPr>
      <w:r>
        <w:rPr>
          <w:rStyle w:val="FootnoteReference"/>
        </w:rPr>
        <w:footnoteRef/>
      </w:r>
      <w:r>
        <w:t xml:space="preserve"> </w:t>
      </w:r>
      <w:hyperlink r:id="rId3" w:history="1">
        <w:r w:rsidR="0084372B" w:rsidRPr="0010788F">
          <w:rPr>
            <w:rStyle w:val="Hyperlink"/>
          </w:rPr>
          <w:t>http://www.wrap.org.uk/content/digestate-and-compost-agriculture-dc-agri-reports</w:t>
        </w:r>
      </w:hyperlink>
      <w:r w:rsidR="0084372B">
        <w:t xml:space="preserve"> </w:t>
      </w:r>
    </w:p>
  </w:footnote>
  <w:footnote w:id="9">
    <w:p w:rsidR="00C473D3" w:rsidRDefault="00C473D3" w:rsidP="00C473D3">
      <w:pPr>
        <w:pStyle w:val="FootnoteText"/>
      </w:pPr>
      <w:r>
        <w:rPr>
          <w:rStyle w:val="FootnoteReference"/>
        </w:rPr>
        <w:footnoteRef/>
      </w:r>
      <w:r>
        <w:t xml:space="preserve"> </w:t>
      </w:r>
      <w:hyperlink r:id="rId4" w:history="1">
        <w:r w:rsidRPr="0084372B">
          <w:rPr>
            <w:rStyle w:val="Hyperlink"/>
            <w:rFonts w:cs="Arial"/>
            <w:sz w:val="18"/>
            <w:szCs w:val="18"/>
          </w:rPr>
          <w:t>https://www.theccc.org.uk/publication/independent-assessment-uks-clean-growth-strategy-ambition-action/</w:t>
        </w:r>
      </w:hyperlink>
      <w:r>
        <w:rPr>
          <w:rFonts w:ascii="Arial" w:hAnsi="Arial" w:cs="Arial"/>
        </w:rPr>
        <w:t xml:space="preserve"> </w:t>
      </w:r>
    </w:p>
  </w:footnote>
  <w:footnote w:id="10">
    <w:p w:rsidR="00BA1BC0" w:rsidRDefault="00BA1BC0">
      <w:pPr>
        <w:pStyle w:val="FootnoteText"/>
      </w:pPr>
      <w:r>
        <w:rPr>
          <w:rStyle w:val="FootnoteReference"/>
        </w:rPr>
        <w:footnoteRef/>
      </w:r>
      <w:r>
        <w:t xml:space="preserve"> </w:t>
      </w:r>
      <w:hyperlink r:id="rId5" w:history="1">
        <w:r w:rsidRPr="00023E14">
          <w:rPr>
            <w:rStyle w:val="Hyperlink"/>
          </w:rPr>
          <w:t>https://www.theccc.org.uk/publication/reducing-uk-emissions-2018-progress-report-to-parliament/</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237"/>
    <w:multiLevelType w:val="hybridMultilevel"/>
    <w:tmpl w:val="FB0CB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E12706"/>
    <w:multiLevelType w:val="hybridMultilevel"/>
    <w:tmpl w:val="7FBA6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915315"/>
    <w:multiLevelType w:val="hybridMultilevel"/>
    <w:tmpl w:val="31D4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961DD5"/>
    <w:multiLevelType w:val="hybridMultilevel"/>
    <w:tmpl w:val="7B643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40C4058"/>
    <w:multiLevelType w:val="hybridMultilevel"/>
    <w:tmpl w:val="64024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5285CD2"/>
    <w:multiLevelType w:val="hybridMultilevel"/>
    <w:tmpl w:val="7872454E"/>
    <w:lvl w:ilvl="0" w:tplc="180CC1D0">
      <w:start w:val="1"/>
      <w:numFmt w:val="bullet"/>
      <w:lvlText w:val="-"/>
      <w:lvlJc w:val="left"/>
      <w:pPr>
        <w:tabs>
          <w:tab w:val="num" w:pos="720"/>
        </w:tabs>
        <w:ind w:left="720" w:hanging="360"/>
      </w:pPr>
      <w:rPr>
        <w:rFonts w:ascii="Times New Roman" w:hAnsi="Times New Roman" w:hint="default"/>
      </w:rPr>
    </w:lvl>
    <w:lvl w:ilvl="1" w:tplc="DFEE57A4">
      <w:start w:val="1732"/>
      <w:numFmt w:val="bullet"/>
      <w:lvlText w:val="-"/>
      <w:lvlJc w:val="left"/>
      <w:pPr>
        <w:tabs>
          <w:tab w:val="num" w:pos="1440"/>
        </w:tabs>
        <w:ind w:left="1440" w:hanging="360"/>
      </w:pPr>
      <w:rPr>
        <w:rFonts w:ascii="Times New Roman" w:hAnsi="Times New Roman" w:hint="default"/>
      </w:rPr>
    </w:lvl>
    <w:lvl w:ilvl="2" w:tplc="C36820FC" w:tentative="1">
      <w:start w:val="1"/>
      <w:numFmt w:val="bullet"/>
      <w:lvlText w:val="-"/>
      <w:lvlJc w:val="left"/>
      <w:pPr>
        <w:tabs>
          <w:tab w:val="num" w:pos="2160"/>
        </w:tabs>
        <w:ind w:left="2160" w:hanging="360"/>
      </w:pPr>
      <w:rPr>
        <w:rFonts w:ascii="Times New Roman" w:hAnsi="Times New Roman" w:hint="default"/>
      </w:rPr>
    </w:lvl>
    <w:lvl w:ilvl="3" w:tplc="C65C5C1E" w:tentative="1">
      <w:start w:val="1"/>
      <w:numFmt w:val="bullet"/>
      <w:lvlText w:val="-"/>
      <w:lvlJc w:val="left"/>
      <w:pPr>
        <w:tabs>
          <w:tab w:val="num" w:pos="2880"/>
        </w:tabs>
        <w:ind w:left="2880" w:hanging="360"/>
      </w:pPr>
      <w:rPr>
        <w:rFonts w:ascii="Times New Roman" w:hAnsi="Times New Roman" w:hint="default"/>
      </w:rPr>
    </w:lvl>
    <w:lvl w:ilvl="4" w:tplc="47A6024C" w:tentative="1">
      <w:start w:val="1"/>
      <w:numFmt w:val="bullet"/>
      <w:lvlText w:val="-"/>
      <w:lvlJc w:val="left"/>
      <w:pPr>
        <w:tabs>
          <w:tab w:val="num" w:pos="3600"/>
        </w:tabs>
        <w:ind w:left="3600" w:hanging="360"/>
      </w:pPr>
      <w:rPr>
        <w:rFonts w:ascii="Times New Roman" w:hAnsi="Times New Roman" w:hint="default"/>
      </w:rPr>
    </w:lvl>
    <w:lvl w:ilvl="5" w:tplc="7068D440" w:tentative="1">
      <w:start w:val="1"/>
      <w:numFmt w:val="bullet"/>
      <w:lvlText w:val="-"/>
      <w:lvlJc w:val="left"/>
      <w:pPr>
        <w:tabs>
          <w:tab w:val="num" w:pos="4320"/>
        </w:tabs>
        <w:ind w:left="4320" w:hanging="360"/>
      </w:pPr>
      <w:rPr>
        <w:rFonts w:ascii="Times New Roman" w:hAnsi="Times New Roman" w:hint="default"/>
      </w:rPr>
    </w:lvl>
    <w:lvl w:ilvl="6" w:tplc="5AFC07FA" w:tentative="1">
      <w:start w:val="1"/>
      <w:numFmt w:val="bullet"/>
      <w:lvlText w:val="-"/>
      <w:lvlJc w:val="left"/>
      <w:pPr>
        <w:tabs>
          <w:tab w:val="num" w:pos="5040"/>
        </w:tabs>
        <w:ind w:left="5040" w:hanging="360"/>
      </w:pPr>
      <w:rPr>
        <w:rFonts w:ascii="Times New Roman" w:hAnsi="Times New Roman" w:hint="default"/>
      </w:rPr>
    </w:lvl>
    <w:lvl w:ilvl="7" w:tplc="3BDCF9F6" w:tentative="1">
      <w:start w:val="1"/>
      <w:numFmt w:val="bullet"/>
      <w:lvlText w:val="-"/>
      <w:lvlJc w:val="left"/>
      <w:pPr>
        <w:tabs>
          <w:tab w:val="num" w:pos="5760"/>
        </w:tabs>
        <w:ind w:left="5760" w:hanging="360"/>
      </w:pPr>
      <w:rPr>
        <w:rFonts w:ascii="Times New Roman" w:hAnsi="Times New Roman" w:hint="default"/>
      </w:rPr>
    </w:lvl>
    <w:lvl w:ilvl="8" w:tplc="0E60CE72" w:tentative="1">
      <w:start w:val="1"/>
      <w:numFmt w:val="bullet"/>
      <w:lvlText w:val="-"/>
      <w:lvlJc w:val="left"/>
      <w:pPr>
        <w:tabs>
          <w:tab w:val="num" w:pos="6480"/>
        </w:tabs>
        <w:ind w:left="6480" w:hanging="360"/>
      </w:pPr>
      <w:rPr>
        <w:rFonts w:ascii="Times New Roman" w:hAnsi="Times New Roman" w:hint="default"/>
      </w:rPr>
    </w:lvl>
  </w:abstractNum>
  <w:abstractNum w:abstractNumId="6">
    <w:nsid w:val="16B6772F"/>
    <w:multiLevelType w:val="hybridMultilevel"/>
    <w:tmpl w:val="2928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6C58D2"/>
    <w:multiLevelType w:val="hybridMultilevel"/>
    <w:tmpl w:val="8DE4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F266B5"/>
    <w:multiLevelType w:val="hybridMultilevel"/>
    <w:tmpl w:val="04F0E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16A282D"/>
    <w:multiLevelType w:val="hybridMultilevel"/>
    <w:tmpl w:val="F61E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EC1B6C"/>
    <w:multiLevelType w:val="hybridMultilevel"/>
    <w:tmpl w:val="6CC89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A869B9"/>
    <w:multiLevelType w:val="hybridMultilevel"/>
    <w:tmpl w:val="6C8C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F44B63"/>
    <w:multiLevelType w:val="hybridMultilevel"/>
    <w:tmpl w:val="99E0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9901CD"/>
    <w:multiLevelType w:val="hybridMultilevel"/>
    <w:tmpl w:val="98E07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43C1AA2"/>
    <w:multiLevelType w:val="hybridMultilevel"/>
    <w:tmpl w:val="D7EC0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3364A1"/>
    <w:multiLevelType w:val="hybridMultilevel"/>
    <w:tmpl w:val="6E4A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0C5455"/>
    <w:multiLevelType w:val="hybridMultilevel"/>
    <w:tmpl w:val="DEEA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DE76A4E"/>
    <w:multiLevelType w:val="multilevel"/>
    <w:tmpl w:val="209A0A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5565E0F"/>
    <w:multiLevelType w:val="hybridMultilevel"/>
    <w:tmpl w:val="85F2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BCB0D02"/>
    <w:multiLevelType w:val="multilevel"/>
    <w:tmpl w:val="5238A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C774ECD"/>
    <w:multiLevelType w:val="hybridMultilevel"/>
    <w:tmpl w:val="37760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2976E6F"/>
    <w:multiLevelType w:val="multilevel"/>
    <w:tmpl w:val="BFF466C0"/>
    <w:lvl w:ilvl="0">
      <w:start w:val="1"/>
      <w:numFmt w:val="decimal"/>
      <w:pStyle w:val="Heading1"/>
      <w:lvlText w:val="%1"/>
      <w:lvlJc w:val="left"/>
      <w:pPr>
        <w:ind w:left="432" w:hanging="432"/>
      </w:pPr>
      <w:rPr>
        <w:rFonts w:asciiTheme="minorHAnsi" w:hAnsiTheme="minorHAnsi" w:cs="Times New Roman" w:hint="default"/>
        <w:b/>
        <w:sz w:val="28"/>
        <w:szCs w:val="28"/>
      </w:rPr>
    </w:lvl>
    <w:lvl w:ilvl="1">
      <w:start w:val="1"/>
      <w:numFmt w:val="decimal"/>
      <w:pStyle w:val="Heading2"/>
      <w:lvlText w:val="%1.%2"/>
      <w:lvlJc w:val="left"/>
      <w:pPr>
        <w:ind w:left="1711" w:hanging="576"/>
      </w:pPr>
      <w:rPr>
        <w:rFonts w:asciiTheme="minorHAnsi" w:hAnsiTheme="minorHAnsi" w:cs="Times New Roman" w:hint="default"/>
        <w:b/>
        <w:color w:val="auto"/>
        <w:sz w:val="26"/>
        <w:szCs w:val="26"/>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75FE6CC6"/>
    <w:multiLevelType w:val="hybridMultilevel"/>
    <w:tmpl w:val="7AA2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
  </w:num>
  <w:num w:numId="4">
    <w:abstractNumId w:val="18"/>
  </w:num>
  <w:num w:numId="5">
    <w:abstractNumId w:val="6"/>
  </w:num>
  <w:num w:numId="6">
    <w:abstractNumId w:val="0"/>
  </w:num>
  <w:num w:numId="7">
    <w:abstractNumId w:val="8"/>
  </w:num>
  <w:num w:numId="8">
    <w:abstractNumId w:val="14"/>
  </w:num>
  <w:num w:numId="9">
    <w:abstractNumId w:val="15"/>
  </w:num>
  <w:num w:numId="10">
    <w:abstractNumId w:val="18"/>
  </w:num>
  <w:num w:numId="11">
    <w:abstractNumId w:val="6"/>
  </w:num>
  <w:num w:numId="12">
    <w:abstractNumId w:val="0"/>
  </w:num>
  <w:num w:numId="13">
    <w:abstractNumId w:val="15"/>
  </w:num>
  <w:num w:numId="14">
    <w:abstractNumId w:val="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
  </w:num>
  <w:num w:numId="18">
    <w:abstractNumId w:val="12"/>
  </w:num>
  <w:num w:numId="19">
    <w:abstractNumId w:val="9"/>
  </w:num>
  <w:num w:numId="20">
    <w:abstractNumId w:val="7"/>
  </w:num>
  <w:num w:numId="21">
    <w:abstractNumId w:val="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5"/>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74"/>
    <w:rsid w:val="0000415A"/>
    <w:rsid w:val="000327AC"/>
    <w:rsid w:val="00045DFE"/>
    <w:rsid w:val="00074FB7"/>
    <w:rsid w:val="000D3674"/>
    <w:rsid w:val="000E389A"/>
    <w:rsid w:val="000F5A68"/>
    <w:rsid w:val="0010612F"/>
    <w:rsid w:val="0012589D"/>
    <w:rsid w:val="001262C2"/>
    <w:rsid w:val="001402AE"/>
    <w:rsid w:val="00144047"/>
    <w:rsid w:val="0015576F"/>
    <w:rsid w:val="00174220"/>
    <w:rsid w:val="00192CEE"/>
    <w:rsid w:val="001C146F"/>
    <w:rsid w:val="001F3A4E"/>
    <w:rsid w:val="00201C39"/>
    <w:rsid w:val="00221E93"/>
    <w:rsid w:val="002702F0"/>
    <w:rsid w:val="00270992"/>
    <w:rsid w:val="002B3463"/>
    <w:rsid w:val="00326B15"/>
    <w:rsid w:val="003457A9"/>
    <w:rsid w:val="00350FC2"/>
    <w:rsid w:val="003615C5"/>
    <w:rsid w:val="003A3E57"/>
    <w:rsid w:val="003D097E"/>
    <w:rsid w:val="003E5B12"/>
    <w:rsid w:val="003E78DB"/>
    <w:rsid w:val="003E7FE4"/>
    <w:rsid w:val="004046B9"/>
    <w:rsid w:val="0041005F"/>
    <w:rsid w:val="0041474D"/>
    <w:rsid w:val="004269F0"/>
    <w:rsid w:val="0043040D"/>
    <w:rsid w:val="00470757"/>
    <w:rsid w:val="00474BF0"/>
    <w:rsid w:val="00485EF9"/>
    <w:rsid w:val="00507443"/>
    <w:rsid w:val="00520980"/>
    <w:rsid w:val="005249A7"/>
    <w:rsid w:val="00524C39"/>
    <w:rsid w:val="00526235"/>
    <w:rsid w:val="00542406"/>
    <w:rsid w:val="00555C67"/>
    <w:rsid w:val="005703A9"/>
    <w:rsid w:val="00573091"/>
    <w:rsid w:val="00573129"/>
    <w:rsid w:val="005857E4"/>
    <w:rsid w:val="005C6BCD"/>
    <w:rsid w:val="005D2359"/>
    <w:rsid w:val="005E5D75"/>
    <w:rsid w:val="006105C2"/>
    <w:rsid w:val="00615418"/>
    <w:rsid w:val="006214F9"/>
    <w:rsid w:val="00631B2A"/>
    <w:rsid w:val="00635C1C"/>
    <w:rsid w:val="006871A7"/>
    <w:rsid w:val="006A073D"/>
    <w:rsid w:val="006A26B2"/>
    <w:rsid w:val="006B422D"/>
    <w:rsid w:val="006E6819"/>
    <w:rsid w:val="006F459D"/>
    <w:rsid w:val="006F49FD"/>
    <w:rsid w:val="007012F6"/>
    <w:rsid w:val="0070456F"/>
    <w:rsid w:val="0072218E"/>
    <w:rsid w:val="007263BD"/>
    <w:rsid w:val="00740182"/>
    <w:rsid w:val="007746E2"/>
    <w:rsid w:val="00775300"/>
    <w:rsid w:val="00780C68"/>
    <w:rsid w:val="007A4871"/>
    <w:rsid w:val="007C1FC6"/>
    <w:rsid w:val="007E1726"/>
    <w:rsid w:val="007E2BE2"/>
    <w:rsid w:val="007E668D"/>
    <w:rsid w:val="007E66BC"/>
    <w:rsid w:val="007F6680"/>
    <w:rsid w:val="008032FE"/>
    <w:rsid w:val="00810121"/>
    <w:rsid w:val="008122BE"/>
    <w:rsid w:val="008212B1"/>
    <w:rsid w:val="008369D1"/>
    <w:rsid w:val="00836DD1"/>
    <w:rsid w:val="008430F6"/>
    <w:rsid w:val="0084372B"/>
    <w:rsid w:val="008458F6"/>
    <w:rsid w:val="00850412"/>
    <w:rsid w:val="008531BB"/>
    <w:rsid w:val="00866694"/>
    <w:rsid w:val="00872BDD"/>
    <w:rsid w:val="00872FF9"/>
    <w:rsid w:val="008B3FDC"/>
    <w:rsid w:val="008D0FEC"/>
    <w:rsid w:val="008D383E"/>
    <w:rsid w:val="008D619D"/>
    <w:rsid w:val="008E596A"/>
    <w:rsid w:val="00902576"/>
    <w:rsid w:val="0090300A"/>
    <w:rsid w:val="0091574D"/>
    <w:rsid w:val="00916C2E"/>
    <w:rsid w:val="00926648"/>
    <w:rsid w:val="009312F9"/>
    <w:rsid w:val="0093213C"/>
    <w:rsid w:val="00942A3D"/>
    <w:rsid w:val="00974FFB"/>
    <w:rsid w:val="0098026E"/>
    <w:rsid w:val="00982B68"/>
    <w:rsid w:val="00983237"/>
    <w:rsid w:val="0099486A"/>
    <w:rsid w:val="009A40CF"/>
    <w:rsid w:val="009B5EC3"/>
    <w:rsid w:val="009C5B66"/>
    <w:rsid w:val="00A03AB6"/>
    <w:rsid w:val="00A15BF7"/>
    <w:rsid w:val="00A32D1F"/>
    <w:rsid w:val="00A6014B"/>
    <w:rsid w:val="00A61CB8"/>
    <w:rsid w:val="00A95C03"/>
    <w:rsid w:val="00AA5512"/>
    <w:rsid w:val="00AC2EFB"/>
    <w:rsid w:val="00AC66BA"/>
    <w:rsid w:val="00AD0231"/>
    <w:rsid w:val="00AD2865"/>
    <w:rsid w:val="00AD3316"/>
    <w:rsid w:val="00AF4E6B"/>
    <w:rsid w:val="00AF52F1"/>
    <w:rsid w:val="00B05501"/>
    <w:rsid w:val="00B5724D"/>
    <w:rsid w:val="00B82D62"/>
    <w:rsid w:val="00BA1BC0"/>
    <w:rsid w:val="00BB2F5C"/>
    <w:rsid w:val="00BC6138"/>
    <w:rsid w:val="00C10AF8"/>
    <w:rsid w:val="00C160ED"/>
    <w:rsid w:val="00C167E9"/>
    <w:rsid w:val="00C20DF4"/>
    <w:rsid w:val="00C473D3"/>
    <w:rsid w:val="00C65A1D"/>
    <w:rsid w:val="00C708C9"/>
    <w:rsid w:val="00C73CF1"/>
    <w:rsid w:val="00C747DF"/>
    <w:rsid w:val="00C91443"/>
    <w:rsid w:val="00C932C1"/>
    <w:rsid w:val="00C95ECB"/>
    <w:rsid w:val="00CA6C76"/>
    <w:rsid w:val="00CE1D09"/>
    <w:rsid w:val="00CF2C9B"/>
    <w:rsid w:val="00CF636F"/>
    <w:rsid w:val="00CF6413"/>
    <w:rsid w:val="00D239F9"/>
    <w:rsid w:val="00D2524A"/>
    <w:rsid w:val="00D26191"/>
    <w:rsid w:val="00D30B11"/>
    <w:rsid w:val="00D42C0A"/>
    <w:rsid w:val="00D50B8F"/>
    <w:rsid w:val="00D7583C"/>
    <w:rsid w:val="00D87A89"/>
    <w:rsid w:val="00DC4854"/>
    <w:rsid w:val="00DE481D"/>
    <w:rsid w:val="00DE67F1"/>
    <w:rsid w:val="00DE6FE1"/>
    <w:rsid w:val="00DF13F8"/>
    <w:rsid w:val="00E14493"/>
    <w:rsid w:val="00E2182F"/>
    <w:rsid w:val="00E22A31"/>
    <w:rsid w:val="00E36652"/>
    <w:rsid w:val="00E36E17"/>
    <w:rsid w:val="00E72DDC"/>
    <w:rsid w:val="00EB47DB"/>
    <w:rsid w:val="00EE6B77"/>
    <w:rsid w:val="00EF4B69"/>
    <w:rsid w:val="00F101E2"/>
    <w:rsid w:val="00F2462E"/>
    <w:rsid w:val="00F470C0"/>
    <w:rsid w:val="00F670EC"/>
    <w:rsid w:val="00F67A0D"/>
    <w:rsid w:val="00FA73CC"/>
    <w:rsid w:val="00FC3402"/>
    <w:rsid w:val="00FC67CB"/>
    <w:rsid w:val="00FF1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50B8F"/>
    <w:pPr>
      <w:numPr>
        <w:numId w:val="15"/>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D50B8F"/>
    <w:pPr>
      <w:numPr>
        <w:ilvl w:val="1"/>
        <w:numId w:val="15"/>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D50B8F"/>
    <w:pPr>
      <w:numPr>
        <w:ilvl w:val="2"/>
        <w:numId w:val="15"/>
      </w:numPr>
      <w:spacing w:before="200" w:after="0" w:line="266"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semiHidden/>
    <w:unhideWhenUsed/>
    <w:qFormat/>
    <w:rsid w:val="00D50B8F"/>
    <w:pPr>
      <w:numPr>
        <w:ilvl w:val="3"/>
        <w:numId w:val="15"/>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semiHidden/>
    <w:unhideWhenUsed/>
    <w:qFormat/>
    <w:rsid w:val="00D50B8F"/>
    <w:pPr>
      <w:numPr>
        <w:ilvl w:val="4"/>
        <w:numId w:val="15"/>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semiHidden/>
    <w:unhideWhenUsed/>
    <w:qFormat/>
    <w:rsid w:val="00D50B8F"/>
    <w:pPr>
      <w:numPr>
        <w:ilvl w:val="5"/>
        <w:numId w:val="15"/>
      </w:numPr>
      <w:spacing w:after="0" w:line="266"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unhideWhenUsed/>
    <w:qFormat/>
    <w:rsid w:val="00D50B8F"/>
    <w:pPr>
      <w:numPr>
        <w:ilvl w:val="6"/>
        <w:numId w:val="15"/>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D50B8F"/>
    <w:pPr>
      <w:numPr>
        <w:ilvl w:val="7"/>
        <w:numId w:val="15"/>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D50B8F"/>
    <w:pPr>
      <w:numPr>
        <w:ilvl w:val="8"/>
        <w:numId w:val="15"/>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Numbered Para 1,Dot pt,No Spacing1,List Paragraph Char Char Char,Indicator Text,List Paragraph1,Bullet Points,MAIN CONTENT,OBC Bullet,List Paragraph11,List Paragraph12,F5 List Paragraph,Colorful List - Accent 11,Normal numbered"/>
    <w:basedOn w:val="Normal"/>
    <w:link w:val="ListParagraphChar"/>
    <w:uiPriority w:val="34"/>
    <w:qFormat/>
    <w:rsid w:val="00FA73CC"/>
    <w:pPr>
      <w:ind w:left="720"/>
      <w:contextualSpacing/>
    </w:p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OBC Bullet Char,List Paragraph11 Char"/>
    <w:link w:val="ListParagraph"/>
    <w:uiPriority w:val="34"/>
    <w:qFormat/>
    <w:locked/>
    <w:rsid w:val="00F670EC"/>
  </w:style>
  <w:style w:type="paragraph" w:customStyle="1" w:styleId="Default">
    <w:name w:val="Default"/>
    <w:rsid w:val="00D7583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C6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12F9"/>
    <w:rPr>
      <w:b/>
      <w:bCs/>
    </w:rPr>
  </w:style>
  <w:style w:type="paragraph" w:styleId="CommentText">
    <w:name w:val="annotation text"/>
    <w:basedOn w:val="Normal"/>
    <w:link w:val="CommentTextChar"/>
    <w:uiPriority w:val="99"/>
    <w:unhideWhenUsed/>
    <w:rsid w:val="0015576F"/>
    <w:pPr>
      <w:spacing w:line="240" w:lineRule="auto"/>
    </w:pPr>
    <w:rPr>
      <w:sz w:val="20"/>
      <w:szCs w:val="20"/>
    </w:rPr>
  </w:style>
  <w:style w:type="character" w:customStyle="1" w:styleId="CommentTextChar">
    <w:name w:val="Comment Text Char"/>
    <w:basedOn w:val="DefaultParagraphFont"/>
    <w:link w:val="CommentText"/>
    <w:uiPriority w:val="99"/>
    <w:rsid w:val="0015576F"/>
    <w:rPr>
      <w:sz w:val="20"/>
      <w:szCs w:val="20"/>
    </w:rPr>
  </w:style>
  <w:style w:type="character" w:styleId="CommentReference">
    <w:name w:val="annotation reference"/>
    <w:basedOn w:val="DefaultParagraphFont"/>
    <w:uiPriority w:val="99"/>
    <w:semiHidden/>
    <w:unhideWhenUsed/>
    <w:rsid w:val="0015576F"/>
    <w:rPr>
      <w:sz w:val="16"/>
      <w:szCs w:val="16"/>
    </w:rPr>
  </w:style>
  <w:style w:type="paragraph" w:styleId="BalloonText">
    <w:name w:val="Balloon Text"/>
    <w:basedOn w:val="Normal"/>
    <w:link w:val="BalloonTextChar"/>
    <w:uiPriority w:val="99"/>
    <w:semiHidden/>
    <w:unhideWhenUsed/>
    <w:rsid w:val="00155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6F"/>
    <w:rPr>
      <w:rFonts w:ascii="Tahoma" w:hAnsi="Tahoma" w:cs="Tahoma"/>
      <w:sz w:val="16"/>
      <w:szCs w:val="16"/>
    </w:rPr>
  </w:style>
  <w:style w:type="character" w:styleId="Hyperlink">
    <w:name w:val="Hyperlink"/>
    <w:basedOn w:val="DefaultParagraphFont"/>
    <w:uiPriority w:val="99"/>
    <w:unhideWhenUsed/>
    <w:rsid w:val="00F470C0"/>
    <w:rPr>
      <w:color w:val="0000FF" w:themeColor="hyperlink"/>
      <w:u w:val="single"/>
    </w:rPr>
  </w:style>
  <w:style w:type="character" w:customStyle="1" w:styleId="Heading1Char">
    <w:name w:val="Heading 1 Char"/>
    <w:basedOn w:val="DefaultParagraphFont"/>
    <w:link w:val="Heading1"/>
    <w:rsid w:val="00D50B8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D50B8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semiHidden/>
    <w:rsid w:val="00D50B8F"/>
    <w:rPr>
      <w:rFonts w:asciiTheme="majorHAnsi" w:eastAsiaTheme="majorEastAsia" w:hAnsiTheme="majorHAnsi" w:cstheme="majorBidi"/>
      <w:b/>
      <w:bCs/>
    </w:rPr>
  </w:style>
  <w:style w:type="character" w:customStyle="1" w:styleId="Heading4Char">
    <w:name w:val="Heading 4 Char"/>
    <w:basedOn w:val="DefaultParagraphFont"/>
    <w:link w:val="Heading4"/>
    <w:semiHidden/>
    <w:rsid w:val="00D50B8F"/>
    <w:rPr>
      <w:rFonts w:asciiTheme="majorHAnsi" w:eastAsiaTheme="majorEastAsia" w:hAnsiTheme="majorHAnsi" w:cstheme="majorBidi"/>
      <w:b/>
      <w:bCs/>
      <w:i/>
      <w:iCs/>
    </w:rPr>
  </w:style>
  <w:style w:type="character" w:customStyle="1" w:styleId="Heading5Char">
    <w:name w:val="Heading 5 Char"/>
    <w:basedOn w:val="DefaultParagraphFont"/>
    <w:link w:val="Heading5"/>
    <w:semiHidden/>
    <w:rsid w:val="00D50B8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semiHidden/>
    <w:rsid w:val="00D50B8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semiHidden/>
    <w:rsid w:val="00D50B8F"/>
    <w:rPr>
      <w:rFonts w:asciiTheme="majorHAnsi" w:eastAsiaTheme="majorEastAsia" w:hAnsiTheme="majorHAnsi" w:cstheme="majorBidi"/>
      <w:i/>
      <w:iCs/>
    </w:rPr>
  </w:style>
  <w:style w:type="character" w:customStyle="1" w:styleId="Heading8Char">
    <w:name w:val="Heading 8 Char"/>
    <w:basedOn w:val="DefaultParagraphFont"/>
    <w:link w:val="Heading8"/>
    <w:semiHidden/>
    <w:rsid w:val="00D50B8F"/>
    <w:rPr>
      <w:rFonts w:asciiTheme="majorHAnsi" w:eastAsiaTheme="majorEastAsia" w:hAnsiTheme="majorHAnsi" w:cstheme="majorBidi"/>
      <w:sz w:val="20"/>
      <w:szCs w:val="20"/>
    </w:rPr>
  </w:style>
  <w:style w:type="character" w:customStyle="1" w:styleId="Heading9Char">
    <w:name w:val="Heading 9 Char"/>
    <w:basedOn w:val="DefaultParagraphFont"/>
    <w:link w:val="Heading9"/>
    <w:semiHidden/>
    <w:rsid w:val="00D50B8F"/>
    <w:rPr>
      <w:rFonts w:asciiTheme="majorHAnsi" w:eastAsiaTheme="majorEastAsia" w:hAnsiTheme="majorHAnsi" w:cstheme="majorBidi"/>
      <w:i/>
      <w:iCs/>
      <w:spacing w:val="5"/>
      <w:sz w:val="20"/>
      <w:szCs w:val="20"/>
    </w:rPr>
  </w:style>
  <w:style w:type="paragraph" w:styleId="NormalWeb">
    <w:name w:val="Normal (Web)"/>
    <w:basedOn w:val="Normal"/>
    <w:uiPriority w:val="99"/>
    <w:unhideWhenUsed/>
    <w:rsid w:val="00555C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35C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C1C"/>
    <w:rPr>
      <w:sz w:val="20"/>
      <w:szCs w:val="20"/>
    </w:rPr>
  </w:style>
  <w:style w:type="character" w:styleId="FootnoteReference">
    <w:name w:val="footnote reference"/>
    <w:basedOn w:val="DefaultParagraphFont"/>
    <w:uiPriority w:val="99"/>
    <w:semiHidden/>
    <w:unhideWhenUsed/>
    <w:rsid w:val="00635C1C"/>
    <w:rPr>
      <w:vertAlign w:val="superscript"/>
    </w:rPr>
  </w:style>
  <w:style w:type="paragraph" w:styleId="CommentSubject">
    <w:name w:val="annotation subject"/>
    <w:basedOn w:val="CommentText"/>
    <w:next w:val="CommentText"/>
    <w:link w:val="CommentSubjectChar"/>
    <w:uiPriority w:val="99"/>
    <w:semiHidden/>
    <w:unhideWhenUsed/>
    <w:rsid w:val="00AF52F1"/>
    <w:rPr>
      <w:b/>
      <w:bCs/>
    </w:rPr>
  </w:style>
  <w:style w:type="character" w:customStyle="1" w:styleId="CommentSubjectChar">
    <w:name w:val="Comment Subject Char"/>
    <w:basedOn w:val="CommentTextChar"/>
    <w:link w:val="CommentSubject"/>
    <w:uiPriority w:val="99"/>
    <w:semiHidden/>
    <w:rsid w:val="00AF52F1"/>
    <w:rPr>
      <w:b/>
      <w:bCs/>
      <w:sz w:val="20"/>
      <w:szCs w:val="20"/>
    </w:rPr>
  </w:style>
  <w:style w:type="paragraph" w:styleId="Header">
    <w:name w:val="header"/>
    <w:basedOn w:val="Normal"/>
    <w:link w:val="HeaderChar"/>
    <w:uiPriority w:val="99"/>
    <w:unhideWhenUsed/>
    <w:rsid w:val="000F5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A68"/>
  </w:style>
  <w:style w:type="paragraph" w:styleId="Footer">
    <w:name w:val="footer"/>
    <w:basedOn w:val="Normal"/>
    <w:link w:val="FooterChar"/>
    <w:uiPriority w:val="99"/>
    <w:unhideWhenUsed/>
    <w:rsid w:val="000F5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A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50B8F"/>
    <w:pPr>
      <w:numPr>
        <w:numId w:val="15"/>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D50B8F"/>
    <w:pPr>
      <w:numPr>
        <w:ilvl w:val="1"/>
        <w:numId w:val="15"/>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D50B8F"/>
    <w:pPr>
      <w:numPr>
        <w:ilvl w:val="2"/>
        <w:numId w:val="15"/>
      </w:numPr>
      <w:spacing w:before="200" w:after="0" w:line="266"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semiHidden/>
    <w:unhideWhenUsed/>
    <w:qFormat/>
    <w:rsid w:val="00D50B8F"/>
    <w:pPr>
      <w:numPr>
        <w:ilvl w:val="3"/>
        <w:numId w:val="15"/>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semiHidden/>
    <w:unhideWhenUsed/>
    <w:qFormat/>
    <w:rsid w:val="00D50B8F"/>
    <w:pPr>
      <w:numPr>
        <w:ilvl w:val="4"/>
        <w:numId w:val="15"/>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semiHidden/>
    <w:unhideWhenUsed/>
    <w:qFormat/>
    <w:rsid w:val="00D50B8F"/>
    <w:pPr>
      <w:numPr>
        <w:ilvl w:val="5"/>
        <w:numId w:val="15"/>
      </w:numPr>
      <w:spacing w:after="0" w:line="266"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unhideWhenUsed/>
    <w:qFormat/>
    <w:rsid w:val="00D50B8F"/>
    <w:pPr>
      <w:numPr>
        <w:ilvl w:val="6"/>
        <w:numId w:val="15"/>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D50B8F"/>
    <w:pPr>
      <w:numPr>
        <w:ilvl w:val="7"/>
        <w:numId w:val="15"/>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D50B8F"/>
    <w:pPr>
      <w:numPr>
        <w:ilvl w:val="8"/>
        <w:numId w:val="15"/>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Numbered Para 1,Dot pt,No Spacing1,List Paragraph Char Char Char,Indicator Text,List Paragraph1,Bullet Points,MAIN CONTENT,OBC Bullet,List Paragraph11,List Paragraph12,F5 List Paragraph,Colorful List - Accent 11,Normal numbered"/>
    <w:basedOn w:val="Normal"/>
    <w:link w:val="ListParagraphChar"/>
    <w:uiPriority w:val="34"/>
    <w:qFormat/>
    <w:rsid w:val="00FA73CC"/>
    <w:pPr>
      <w:ind w:left="720"/>
      <w:contextualSpacing/>
    </w:p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OBC Bullet Char,List Paragraph11 Char"/>
    <w:link w:val="ListParagraph"/>
    <w:uiPriority w:val="34"/>
    <w:qFormat/>
    <w:locked/>
    <w:rsid w:val="00F670EC"/>
  </w:style>
  <w:style w:type="paragraph" w:customStyle="1" w:styleId="Default">
    <w:name w:val="Default"/>
    <w:rsid w:val="00D7583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C6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12F9"/>
    <w:rPr>
      <w:b/>
      <w:bCs/>
    </w:rPr>
  </w:style>
  <w:style w:type="paragraph" w:styleId="CommentText">
    <w:name w:val="annotation text"/>
    <w:basedOn w:val="Normal"/>
    <w:link w:val="CommentTextChar"/>
    <w:uiPriority w:val="99"/>
    <w:unhideWhenUsed/>
    <w:rsid w:val="0015576F"/>
    <w:pPr>
      <w:spacing w:line="240" w:lineRule="auto"/>
    </w:pPr>
    <w:rPr>
      <w:sz w:val="20"/>
      <w:szCs w:val="20"/>
    </w:rPr>
  </w:style>
  <w:style w:type="character" w:customStyle="1" w:styleId="CommentTextChar">
    <w:name w:val="Comment Text Char"/>
    <w:basedOn w:val="DefaultParagraphFont"/>
    <w:link w:val="CommentText"/>
    <w:uiPriority w:val="99"/>
    <w:rsid w:val="0015576F"/>
    <w:rPr>
      <w:sz w:val="20"/>
      <w:szCs w:val="20"/>
    </w:rPr>
  </w:style>
  <w:style w:type="character" w:styleId="CommentReference">
    <w:name w:val="annotation reference"/>
    <w:basedOn w:val="DefaultParagraphFont"/>
    <w:uiPriority w:val="99"/>
    <w:semiHidden/>
    <w:unhideWhenUsed/>
    <w:rsid w:val="0015576F"/>
    <w:rPr>
      <w:sz w:val="16"/>
      <w:szCs w:val="16"/>
    </w:rPr>
  </w:style>
  <w:style w:type="paragraph" w:styleId="BalloonText">
    <w:name w:val="Balloon Text"/>
    <w:basedOn w:val="Normal"/>
    <w:link w:val="BalloonTextChar"/>
    <w:uiPriority w:val="99"/>
    <w:semiHidden/>
    <w:unhideWhenUsed/>
    <w:rsid w:val="00155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6F"/>
    <w:rPr>
      <w:rFonts w:ascii="Tahoma" w:hAnsi="Tahoma" w:cs="Tahoma"/>
      <w:sz w:val="16"/>
      <w:szCs w:val="16"/>
    </w:rPr>
  </w:style>
  <w:style w:type="character" w:styleId="Hyperlink">
    <w:name w:val="Hyperlink"/>
    <w:basedOn w:val="DefaultParagraphFont"/>
    <w:uiPriority w:val="99"/>
    <w:unhideWhenUsed/>
    <w:rsid w:val="00F470C0"/>
    <w:rPr>
      <w:color w:val="0000FF" w:themeColor="hyperlink"/>
      <w:u w:val="single"/>
    </w:rPr>
  </w:style>
  <w:style w:type="character" w:customStyle="1" w:styleId="Heading1Char">
    <w:name w:val="Heading 1 Char"/>
    <w:basedOn w:val="DefaultParagraphFont"/>
    <w:link w:val="Heading1"/>
    <w:rsid w:val="00D50B8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D50B8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semiHidden/>
    <w:rsid w:val="00D50B8F"/>
    <w:rPr>
      <w:rFonts w:asciiTheme="majorHAnsi" w:eastAsiaTheme="majorEastAsia" w:hAnsiTheme="majorHAnsi" w:cstheme="majorBidi"/>
      <w:b/>
      <w:bCs/>
    </w:rPr>
  </w:style>
  <w:style w:type="character" w:customStyle="1" w:styleId="Heading4Char">
    <w:name w:val="Heading 4 Char"/>
    <w:basedOn w:val="DefaultParagraphFont"/>
    <w:link w:val="Heading4"/>
    <w:semiHidden/>
    <w:rsid w:val="00D50B8F"/>
    <w:rPr>
      <w:rFonts w:asciiTheme="majorHAnsi" w:eastAsiaTheme="majorEastAsia" w:hAnsiTheme="majorHAnsi" w:cstheme="majorBidi"/>
      <w:b/>
      <w:bCs/>
      <w:i/>
      <w:iCs/>
    </w:rPr>
  </w:style>
  <w:style w:type="character" w:customStyle="1" w:styleId="Heading5Char">
    <w:name w:val="Heading 5 Char"/>
    <w:basedOn w:val="DefaultParagraphFont"/>
    <w:link w:val="Heading5"/>
    <w:semiHidden/>
    <w:rsid w:val="00D50B8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semiHidden/>
    <w:rsid w:val="00D50B8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semiHidden/>
    <w:rsid w:val="00D50B8F"/>
    <w:rPr>
      <w:rFonts w:asciiTheme="majorHAnsi" w:eastAsiaTheme="majorEastAsia" w:hAnsiTheme="majorHAnsi" w:cstheme="majorBidi"/>
      <w:i/>
      <w:iCs/>
    </w:rPr>
  </w:style>
  <w:style w:type="character" w:customStyle="1" w:styleId="Heading8Char">
    <w:name w:val="Heading 8 Char"/>
    <w:basedOn w:val="DefaultParagraphFont"/>
    <w:link w:val="Heading8"/>
    <w:semiHidden/>
    <w:rsid w:val="00D50B8F"/>
    <w:rPr>
      <w:rFonts w:asciiTheme="majorHAnsi" w:eastAsiaTheme="majorEastAsia" w:hAnsiTheme="majorHAnsi" w:cstheme="majorBidi"/>
      <w:sz w:val="20"/>
      <w:szCs w:val="20"/>
    </w:rPr>
  </w:style>
  <w:style w:type="character" w:customStyle="1" w:styleId="Heading9Char">
    <w:name w:val="Heading 9 Char"/>
    <w:basedOn w:val="DefaultParagraphFont"/>
    <w:link w:val="Heading9"/>
    <w:semiHidden/>
    <w:rsid w:val="00D50B8F"/>
    <w:rPr>
      <w:rFonts w:asciiTheme="majorHAnsi" w:eastAsiaTheme="majorEastAsia" w:hAnsiTheme="majorHAnsi" w:cstheme="majorBidi"/>
      <w:i/>
      <w:iCs/>
      <w:spacing w:val="5"/>
      <w:sz w:val="20"/>
      <w:szCs w:val="20"/>
    </w:rPr>
  </w:style>
  <w:style w:type="paragraph" w:styleId="NormalWeb">
    <w:name w:val="Normal (Web)"/>
    <w:basedOn w:val="Normal"/>
    <w:uiPriority w:val="99"/>
    <w:unhideWhenUsed/>
    <w:rsid w:val="00555C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35C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C1C"/>
    <w:rPr>
      <w:sz w:val="20"/>
      <w:szCs w:val="20"/>
    </w:rPr>
  </w:style>
  <w:style w:type="character" w:styleId="FootnoteReference">
    <w:name w:val="footnote reference"/>
    <w:basedOn w:val="DefaultParagraphFont"/>
    <w:uiPriority w:val="99"/>
    <w:semiHidden/>
    <w:unhideWhenUsed/>
    <w:rsid w:val="00635C1C"/>
    <w:rPr>
      <w:vertAlign w:val="superscript"/>
    </w:rPr>
  </w:style>
  <w:style w:type="paragraph" w:styleId="CommentSubject">
    <w:name w:val="annotation subject"/>
    <w:basedOn w:val="CommentText"/>
    <w:next w:val="CommentText"/>
    <w:link w:val="CommentSubjectChar"/>
    <w:uiPriority w:val="99"/>
    <w:semiHidden/>
    <w:unhideWhenUsed/>
    <w:rsid w:val="00AF52F1"/>
    <w:rPr>
      <w:b/>
      <w:bCs/>
    </w:rPr>
  </w:style>
  <w:style w:type="character" w:customStyle="1" w:styleId="CommentSubjectChar">
    <w:name w:val="Comment Subject Char"/>
    <w:basedOn w:val="CommentTextChar"/>
    <w:link w:val="CommentSubject"/>
    <w:uiPriority w:val="99"/>
    <w:semiHidden/>
    <w:rsid w:val="00AF52F1"/>
    <w:rPr>
      <w:b/>
      <w:bCs/>
      <w:sz w:val="20"/>
      <w:szCs w:val="20"/>
    </w:rPr>
  </w:style>
  <w:style w:type="paragraph" w:styleId="Header">
    <w:name w:val="header"/>
    <w:basedOn w:val="Normal"/>
    <w:link w:val="HeaderChar"/>
    <w:uiPriority w:val="99"/>
    <w:unhideWhenUsed/>
    <w:rsid w:val="000F5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A68"/>
  </w:style>
  <w:style w:type="paragraph" w:styleId="Footer">
    <w:name w:val="footer"/>
    <w:basedOn w:val="Normal"/>
    <w:link w:val="FooterChar"/>
    <w:uiPriority w:val="99"/>
    <w:unhideWhenUsed/>
    <w:rsid w:val="000F5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059">
      <w:bodyDiv w:val="1"/>
      <w:marLeft w:val="0"/>
      <w:marRight w:val="0"/>
      <w:marTop w:val="0"/>
      <w:marBottom w:val="0"/>
      <w:divBdr>
        <w:top w:val="none" w:sz="0" w:space="0" w:color="auto"/>
        <w:left w:val="none" w:sz="0" w:space="0" w:color="auto"/>
        <w:bottom w:val="none" w:sz="0" w:space="0" w:color="auto"/>
        <w:right w:val="none" w:sz="0" w:space="0" w:color="auto"/>
      </w:divBdr>
    </w:div>
    <w:div w:id="57822671">
      <w:bodyDiv w:val="1"/>
      <w:marLeft w:val="0"/>
      <w:marRight w:val="0"/>
      <w:marTop w:val="0"/>
      <w:marBottom w:val="0"/>
      <w:divBdr>
        <w:top w:val="none" w:sz="0" w:space="0" w:color="auto"/>
        <w:left w:val="none" w:sz="0" w:space="0" w:color="auto"/>
        <w:bottom w:val="none" w:sz="0" w:space="0" w:color="auto"/>
        <w:right w:val="none" w:sz="0" w:space="0" w:color="auto"/>
      </w:divBdr>
    </w:div>
    <w:div w:id="116527818">
      <w:bodyDiv w:val="1"/>
      <w:marLeft w:val="0"/>
      <w:marRight w:val="0"/>
      <w:marTop w:val="0"/>
      <w:marBottom w:val="0"/>
      <w:divBdr>
        <w:top w:val="none" w:sz="0" w:space="0" w:color="auto"/>
        <w:left w:val="none" w:sz="0" w:space="0" w:color="auto"/>
        <w:bottom w:val="none" w:sz="0" w:space="0" w:color="auto"/>
        <w:right w:val="none" w:sz="0" w:space="0" w:color="auto"/>
      </w:divBdr>
    </w:div>
    <w:div w:id="213082079">
      <w:bodyDiv w:val="1"/>
      <w:marLeft w:val="0"/>
      <w:marRight w:val="0"/>
      <w:marTop w:val="0"/>
      <w:marBottom w:val="0"/>
      <w:divBdr>
        <w:top w:val="none" w:sz="0" w:space="0" w:color="auto"/>
        <w:left w:val="none" w:sz="0" w:space="0" w:color="auto"/>
        <w:bottom w:val="none" w:sz="0" w:space="0" w:color="auto"/>
        <w:right w:val="none" w:sz="0" w:space="0" w:color="auto"/>
      </w:divBdr>
    </w:div>
    <w:div w:id="312370447">
      <w:bodyDiv w:val="1"/>
      <w:marLeft w:val="0"/>
      <w:marRight w:val="0"/>
      <w:marTop w:val="0"/>
      <w:marBottom w:val="0"/>
      <w:divBdr>
        <w:top w:val="none" w:sz="0" w:space="0" w:color="auto"/>
        <w:left w:val="none" w:sz="0" w:space="0" w:color="auto"/>
        <w:bottom w:val="none" w:sz="0" w:space="0" w:color="auto"/>
        <w:right w:val="none" w:sz="0" w:space="0" w:color="auto"/>
      </w:divBdr>
    </w:div>
    <w:div w:id="396056547">
      <w:bodyDiv w:val="1"/>
      <w:marLeft w:val="0"/>
      <w:marRight w:val="0"/>
      <w:marTop w:val="0"/>
      <w:marBottom w:val="0"/>
      <w:divBdr>
        <w:top w:val="none" w:sz="0" w:space="0" w:color="auto"/>
        <w:left w:val="none" w:sz="0" w:space="0" w:color="auto"/>
        <w:bottom w:val="none" w:sz="0" w:space="0" w:color="auto"/>
        <w:right w:val="none" w:sz="0" w:space="0" w:color="auto"/>
      </w:divBdr>
    </w:div>
    <w:div w:id="800148130">
      <w:bodyDiv w:val="1"/>
      <w:marLeft w:val="0"/>
      <w:marRight w:val="0"/>
      <w:marTop w:val="0"/>
      <w:marBottom w:val="0"/>
      <w:divBdr>
        <w:top w:val="none" w:sz="0" w:space="0" w:color="auto"/>
        <w:left w:val="none" w:sz="0" w:space="0" w:color="auto"/>
        <w:bottom w:val="none" w:sz="0" w:space="0" w:color="auto"/>
        <w:right w:val="none" w:sz="0" w:space="0" w:color="auto"/>
      </w:divBdr>
    </w:div>
    <w:div w:id="802161323">
      <w:bodyDiv w:val="1"/>
      <w:marLeft w:val="0"/>
      <w:marRight w:val="0"/>
      <w:marTop w:val="0"/>
      <w:marBottom w:val="0"/>
      <w:divBdr>
        <w:top w:val="none" w:sz="0" w:space="0" w:color="auto"/>
        <w:left w:val="none" w:sz="0" w:space="0" w:color="auto"/>
        <w:bottom w:val="none" w:sz="0" w:space="0" w:color="auto"/>
        <w:right w:val="none" w:sz="0" w:space="0" w:color="auto"/>
      </w:divBdr>
      <w:divsChild>
        <w:div w:id="394550461">
          <w:marLeft w:val="547"/>
          <w:marRight w:val="0"/>
          <w:marTop w:val="0"/>
          <w:marBottom w:val="0"/>
          <w:divBdr>
            <w:top w:val="none" w:sz="0" w:space="0" w:color="auto"/>
            <w:left w:val="none" w:sz="0" w:space="0" w:color="auto"/>
            <w:bottom w:val="none" w:sz="0" w:space="0" w:color="auto"/>
            <w:right w:val="none" w:sz="0" w:space="0" w:color="auto"/>
          </w:divBdr>
        </w:div>
        <w:div w:id="1880390856">
          <w:marLeft w:val="547"/>
          <w:marRight w:val="0"/>
          <w:marTop w:val="0"/>
          <w:marBottom w:val="0"/>
          <w:divBdr>
            <w:top w:val="none" w:sz="0" w:space="0" w:color="auto"/>
            <w:left w:val="none" w:sz="0" w:space="0" w:color="auto"/>
            <w:bottom w:val="none" w:sz="0" w:space="0" w:color="auto"/>
            <w:right w:val="none" w:sz="0" w:space="0" w:color="auto"/>
          </w:divBdr>
        </w:div>
        <w:div w:id="1700816449">
          <w:marLeft w:val="1267"/>
          <w:marRight w:val="0"/>
          <w:marTop w:val="0"/>
          <w:marBottom w:val="0"/>
          <w:divBdr>
            <w:top w:val="none" w:sz="0" w:space="0" w:color="auto"/>
            <w:left w:val="none" w:sz="0" w:space="0" w:color="auto"/>
            <w:bottom w:val="none" w:sz="0" w:space="0" w:color="auto"/>
            <w:right w:val="none" w:sz="0" w:space="0" w:color="auto"/>
          </w:divBdr>
        </w:div>
        <w:div w:id="1670717223">
          <w:marLeft w:val="1267"/>
          <w:marRight w:val="0"/>
          <w:marTop w:val="0"/>
          <w:marBottom w:val="0"/>
          <w:divBdr>
            <w:top w:val="none" w:sz="0" w:space="0" w:color="auto"/>
            <w:left w:val="none" w:sz="0" w:space="0" w:color="auto"/>
            <w:bottom w:val="none" w:sz="0" w:space="0" w:color="auto"/>
            <w:right w:val="none" w:sz="0" w:space="0" w:color="auto"/>
          </w:divBdr>
        </w:div>
        <w:div w:id="1315337736">
          <w:marLeft w:val="1267"/>
          <w:marRight w:val="0"/>
          <w:marTop w:val="0"/>
          <w:marBottom w:val="0"/>
          <w:divBdr>
            <w:top w:val="none" w:sz="0" w:space="0" w:color="auto"/>
            <w:left w:val="none" w:sz="0" w:space="0" w:color="auto"/>
            <w:bottom w:val="none" w:sz="0" w:space="0" w:color="auto"/>
            <w:right w:val="none" w:sz="0" w:space="0" w:color="auto"/>
          </w:divBdr>
        </w:div>
      </w:divsChild>
    </w:div>
    <w:div w:id="940992842">
      <w:bodyDiv w:val="1"/>
      <w:marLeft w:val="0"/>
      <w:marRight w:val="0"/>
      <w:marTop w:val="0"/>
      <w:marBottom w:val="0"/>
      <w:divBdr>
        <w:top w:val="none" w:sz="0" w:space="0" w:color="auto"/>
        <w:left w:val="none" w:sz="0" w:space="0" w:color="auto"/>
        <w:bottom w:val="none" w:sz="0" w:space="0" w:color="auto"/>
        <w:right w:val="none" w:sz="0" w:space="0" w:color="auto"/>
      </w:divBdr>
    </w:div>
    <w:div w:id="977757377">
      <w:bodyDiv w:val="1"/>
      <w:marLeft w:val="0"/>
      <w:marRight w:val="0"/>
      <w:marTop w:val="0"/>
      <w:marBottom w:val="0"/>
      <w:divBdr>
        <w:top w:val="none" w:sz="0" w:space="0" w:color="auto"/>
        <w:left w:val="none" w:sz="0" w:space="0" w:color="auto"/>
        <w:bottom w:val="none" w:sz="0" w:space="0" w:color="auto"/>
        <w:right w:val="none" w:sz="0" w:space="0" w:color="auto"/>
      </w:divBdr>
    </w:div>
    <w:div w:id="1023284643">
      <w:bodyDiv w:val="1"/>
      <w:marLeft w:val="0"/>
      <w:marRight w:val="0"/>
      <w:marTop w:val="0"/>
      <w:marBottom w:val="0"/>
      <w:divBdr>
        <w:top w:val="none" w:sz="0" w:space="0" w:color="auto"/>
        <w:left w:val="none" w:sz="0" w:space="0" w:color="auto"/>
        <w:bottom w:val="none" w:sz="0" w:space="0" w:color="auto"/>
        <w:right w:val="none" w:sz="0" w:space="0" w:color="auto"/>
      </w:divBdr>
    </w:div>
    <w:div w:id="1126587745">
      <w:bodyDiv w:val="1"/>
      <w:marLeft w:val="0"/>
      <w:marRight w:val="0"/>
      <w:marTop w:val="0"/>
      <w:marBottom w:val="0"/>
      <w:divBdr>
        <w:top w:val="none" w:sz="0" w:space="0" w:color="auto"/>
        <w:left w:val="none" w:sz="0" w:space="0" w:color="auto"/>
        <w:bottom w:val="none" w:sz="0" w:space="0" w:color="auto"/>
        <w:right w:val="none" w:sz="0" w:space="0" w:color="auto"/>
      </w:divBdr>
    </w:div>
    <w:div w:id="1200048874">
      <w:bodyDiv w:val="1"/>
      <w:marLeft w:val="0"/>
      <w:marRight w:val="0"/>
      <w:marTop w:val="0"/>
      <w:marBottom w:val="0"/>
      <w:divBdr>
        <w:top w:val="none" w:sz="0" w:space="0" w:color="auto"/>
        <w:left w:val="none" w:sz="0" w:space="0" w:color="auto"/>
        <w:bottom w:val="none" w:sz="0" w:space="0" w:color="auto"/>
        <w:right w:val="none" w:sz="0" w:space="0" w:color="auto"/>
      </w:divBdr>
    </w:div>
    <w:div w:id="1617759963">
      <w:bodyDiv w:val="1"/>
      <w:marLeft w:val="0"/>
      <w:marRight w:val="0"/>
      <w:marTop w:val="0"/>
      <w:marBottom w:val="0"/>
      <w:divBdr>
        <w:top w:val="none" w:sz="0" w:space="0" w:color="auto"/>
        <w:left w:val="none" w:sz="0" w:space="0" w:color="auto"/>
        <w:bottom w:val="none" w:sz="0" w:space="0" w:color="auto"/>
        <w:right w:val="none" w:sz="0" w:space="0" w:color="auto"/>
      </w:divBdr>
    </w:div>
    <w:div w:id="1685403895">
      <w:bodyDiv w:val="1"/>
      <w:marLeft w:val="0"/>
      <w:marRight w:val="0"/>
      <w:marTop w:val="0"/>
      <w:marBottom w:val="0"/>
      <w:divBdr>
        <w:top w:val="none" w:sz="0" w:space="0" w:color="auto"/>
        <w:left w:val="none" w:sz="0" w:space="0" w:color="auto"/>
        <w:bottom w:val="none" w:sz="0" w:space="0" w:color="auto"/>
        <w:right w:val="none" w:sz="0" w:space="0" w:color="auto"/>
      </w:divBdr>
    </w:div>
    <w:div w:id="1902864443">
      <w:bodyDiv w:val="1"/>
      <w:marLeft w:val="0"/>
      <w:marRight w:val="0"/>
      <w:marTop w:val="0"/>
      <w:marBottom w:val="0"/>
      <w:divBdr>
        <w:top w:val="none" w:sz="0" w:space="0" w:color="auto"/>
        <w:left w:val="none" w:sz="0" w:space="0" w:color="auto"/>
        <w:bottom w:val="none" w:sz="0" w:space="0" w:color="auto"/>
        <w:right w:val="none" w:sz="0" w:space="0" w:color="auto"/>
      </w:divBdr>
    </w:div>
    <w:div w:id="192402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wrap.org.uk/content/digestate-and-compost-agriculture-dc-agri-reports" TargetMode="External"/><Relationship Id="rId2" Type="http://schemas.openxmlformats.org/officeDocument/2006/relationships/hyperlink" Target="http://www.greengas.org.uk" TargetMode="External"/><Relationship Id="rId1" Type="http://schemas.openxmlformats.org/officeDocument/2006/relationships/hyperlink" Target="http://www.nnebooks.co.uk/REA/REA%20REview%202018/index.html" TargetMode="External"/><Relationship Id="rId5" Type="http://schemas.openxmlformats.org/officeDocument/2006/relationships/hyperlink" Target="https://www.theccc.org.uk/publication/reducing-uk-emissions-2018-progress-report-to-parliament/" TargetMode="External"/><Relationship Id="rId4" Type="http://schemas.openxmlformats.org/officeDocument/2006/relationships/hyperlink" Target="https://www.theccc.org.uk/publication/independent-assessment-uks-clean-growth-strategy-ambition-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7C614-87AC-4AA2-B9BD-EE298CCA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REA</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Kiara Zennaro</dc:creator>
  <cp:lastModifiedBy>Kiara Zennaro</cp:lastModifiedBy>
  <cp:revision>2</cp:revision>
  <cp:lastPrinted>2018-06-28T11:37:00Z</cp:lastPrinted>
  <dcterms:created xsi:type="dcterms:W3CDTF">2019-08-01T20:12:00Z</dcterms:created>
  <dcterms:modified xsi:type="dcterms:W3CDTF">2019-08-01T20:12:00Z</dcterms:modified>
</cp:coreProperties>
</file>