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45249" w14:textId="77777777" w:rsidR="00D56F58" w:rsidRPr="00603613" w:rsidRDefault="00F312F8" w:rsidP="004B11A1">
      <w:pPr>
        <w:pStyle w:val="Heading1"/>
        <w:jc w:val="center"/>
        <w:rPr>
          <w:rFonts w:ascii="Open Sans" w:hAnsi="Open Sans" w:cs="Open Sans"/>
          <w:color w:val="C2D69B" w:themeColor="accent3" w:themeTint="99"/>
          <w:sz w:val="40"/>
        </w:rPr>
      </w:pPr>
      <w:r w:rsidRPr="00603613">
        <w:rPr>
          <w:rFonts w:ascii="Open Sans" w:hAnsi="Open Sans" w:cs="Open Sans"/>
          <w:color w:val="C2D69B" w:themeColor="accent3" w:themeTint="99"/>
          <w:sz w:val="40"/>
        </w:rPr>
        <w:t xml:space="preserve">REA </w:t>
      </w:r>
      <w:r w:rsidR="00AC73F5" w:rsidRPr="00603613">
        <w:rPr>
          <w:rFonts w:ascii="Open Sans" w:hAnsi="Open Sans" w:cs="Open Sans"/>
          <w:color w:val="C2D69B" w:themeColor="accent3" w:themeTint="99"/>
          <w:sz w:val="40"/>
        </w:rPr>
        <w:t xml:space="preserve">Response to </w:t>
      </w:r>
      <w:r w:rsidR="00603613">
        <w:rPr>
          <w:rFonts w:ascii="Open Sans" w:hAnsi="Open Sans" w:cs="Open Sans"/>
          <w:color w:val="C2D69B" w:themeColor="accent3" w:themeTint="99"/>
          <w:sz w:val="40"/>
        </w:rPr>
        <w:t xml:space="preserve">Further </w:t>
      </w:r>
      <w:r w:rsidR="00AC73F5" w:rsidRPr="00603613">
        <w:rPr>
          <w:rFonts w:ascii="Open Sans" w:hAnsi="Open Sans" w:cs="Open Sans"/>
          <w:color w:val="C2D69B" w:themeColor="accent3" w:themeTint="99"/>
          <w:sz w:val="40"/>
        </w:rPr>
        <w:t>BEIS</w:t>
      </w:r>
      <w:r w:rsidR="0094491C" w:rsidRPr="00603613">
        <w:rPr>
          <w:rFonts w:ascii="Open Sans" w:hAnsi="Open Sans" w:cs="Open Sans"/>
          <w:color w:val="C2D69B" w:themeColor="accent3" w:themeTint="99"/>
          <w:sz w:val="40"/>
        </w:rPr>
        <w:t xml:space="preserve"> C</w:t>
      </w:r>
      <w:r w:rsidRPr="00603613">
        <w:rPr>
          <w:rFonts w:ascii="Open Sans" w:hAnsi="Open Sans" w:cs="Open Sans"/>
          <w:color w:val="C2D69B" w:themeColor="accent3" w:themeTint="99"/>
          <w:sz w:val="40"/>
        </w:rPr>
        <w:t>onsultation</w:t>
      </w:r>
      <w:r w:rsidR="001D399D" w:rsidRPr="00603613">
        <w:rPr>
          <w:rFonts w:ascii="Open Sans" w:hAnsi="Open Sans" w:cs="Open Sans"/>
          <w:color w:val="C2D69B" w:themeColor="accent3" w:themeTint="99"/>
          <w:sz w:val="40"/>
        </w:rPr>
        <w:t xml:space="preserve"> on </w:t>
      </w:r>
      <w:r w:rsidR="00B90572" w:rsidRPr="00603613">
        <w:rPr>
          <w:rFonts w:ascii="Open Sans" w:hAnsi="Open Sans" w:cs="Open Sans"/>
          <w:color w:val="C2D69B" w:themeColor="accent3" w:themeTint="99"/>
          <w:sz w:val="40"/>
        </w:rPr>
        <w:t xml:space="preserve">the Planning </w:t>
      </w:r>
      <w:r w:rsidR="00603613">
        <w:rPr>
          <w:rFonts w:ascii="Open Sans" w:hAnsi="Open Sans" w:cs="Open Sans"/>
          <w:color w:val="C2D69B" w:themeColor="accent3" w:themeTint="99"/>
          <w:sz w:val="40"/>
        </w:rPr>
        <w:t>authority threshold</w:t>
      </w:r>
      <w:r w:rsidR="00B90572" w:rsidRPr="00603613">
        <w:rPr>
          <w:rFonts w:ascii="Open Sans" w:hAnsi="Open Sans" w:cs="Open Sans"/>
          <w:color w:val="C2D69B" w:themeColor="accent3" w:themeTint="99"/>
          <w:sz w:val="40"/>
        </w:rPr>
        <w:t xml:space="preserve"> for Energy Storage</w:t>
      </w:r>
      <w:r w:rsidR="00603613">
        <w:rPr>
          <w:rFonts w:ascii="Open Sans" w:hAnsi="Open Sans" w:cs="Open Sans"/>
          <w:color w:val="C2D69B" w:themeColor="accent3" w:themeTint="99"/>
          <w:sz w:val="40"/>
        </w:rPr>
        <w:t xml:space="preserve"> projects</w:t>
      </w:r>
    </w:p>
    <w:p w14:paraId="22356F59" w14:textId="77777777" w:rsidR="00F312F8" w:rsidRPr="00966E91" w:rsidRDefault="00F312F8" w:rsidP="00F312F8">
      <w:pPr>
        <w:rPr>
          <w:rFonts w:ascii="Open Sans" w:hAnsi="Open Sans" w:cs="Open Sans"/>
        </w:rPr>
      </w:pPr>
    </w:p>
    <w:p w14:paraId="76FD5EFA" w14:textId="77777777" w:rsidR="005A164A" w:rsidRPr="00966E91" w:rsidRDefault="005D6A74" w:rsidP="00F312F8">
      <w:pPr>
        <w:rPr>
          <w:rFonts w:ascii="Open Sans" w:hAnsi="Open Sans" w:cs="Open Sans"/>
          <w:b/>
        </w:rPr>
      </w:pPr>
      <w:r w:rsidRPr="00966E91">
        <w:rPr>
          <w:rFonts w:ascii="Open Sans" w:hAnsi="Open Sans" w:cs="Open Sans"/>
          <w:b/>
        </w:rPr>
        <w:t xml:space="preserve">Introduction &amp; </w:t>
      </w:r>
      <w:r w:rsidR="005A164A" w:rsidRPr="00966E91">
        <w:rPr>
          <w:rFonts w:ascii="Open Sans" w:hAnsi="Open Sans" w:cs="Open Sans"/>
          <w:b/>
        </w:rPr>
        <w:t>Context</w:t>
      </w:r>
    </w:p>
    <w:p w14:paraId="71319F1E" w14:textId="77777777" w:rsidR="00AB2820" w:rsidRPr="00966E91" w:rsidRDefault="00AB2820" w:rsidP="00F312F8">
      <w:pPr>
        <w:rPr>
          <w:rFonts w:ascii="Open Sans" w:hAnsi="Open Sans" w:cs="Open Sans"/>
        </w:rPr>
      </w:pPr>
      <w:r w:rsidRPr="00966E91">
        <w:rPr>
          <w:rFonts w:ascii="Open Sans" w:hAnsi="Open Sans" w:cs="Open Sans"/>
        </w:rPr>
        <w:t xml:space="preserve">The REA is the largest trade organisation for the energy storage industry, representing </w:t>
      </w:r>
      <w:r w:rsidR="003A2B20">
        <w:rPr>
          <w:rFonts w:ascii="Open Sans" w:hAnsi="Open Sans" w:cs="Open Sans"/>
        </w:rPr>
        <w:t xml:space="preserve">around </w:t>
      </w:r>
      <w:r w:rsidRPr="00966E91">
        <w:rPr>
          <w:rFonts w:ascii="Open Sans" w:hAnsi="Open Sans" w:cs="Open Sans"/>
        </w:rPr>
        <w:t xml:space="preserve">200 organisations involved in the market in some way, from manufacturers and developers to consultancies and academic institutions. </w:t>
      </w:r>
    </w:p>
    <w:p w14:paraId="17B23D4F" w14:textId="77777777" w:rsidR="00D8006C" w:rsidRPr="00966E91" w:rsidRDefault="00D8006C" w:rsidP="00F312F8">
      <w:pPr>
        <w:rPr>
          <w:rFonts w:ascii="Open Sans" w:hAnsi="Open Sans" w:cs="Open Sans"/>
        </w:rPr>
      </w:pPr>
    </w:p>
    <w:p w14:paraId="2BE6B978" w14:textId="71103639" w:rsidR="0014567B" w:rsidRDefault="0014567B" w:rsidP="00F312F8">
      <w:pPr>
        <w:rPr>
          <w:rFonts w:ascii="Open Sans" w:hAnsi="Open Sans" w:cs="Open Sans"/>
        </w:rPr>
      </w:pPr>
      <w:r w:rsidRPr="0014567B">
        <w:rPr>
          <w:rFonts w:ascii="Open Sans" w:hAnsi="Open Sans" w:cs="Open Sans"/>
        </w:rPr>
        <w:t>The treatment of energy storage under the planning policy framework should be</w:t>
      </w:r>
      <w:r>
        <w:rPr>
          <w:rFonts w:ascii="Open Sans" w:hAnsi="Open Sans" w:cs="Open Sans"/>
        </w:rPr>
        <w:t xml:space="preserve"> fair and</w:t>
      </w:r>
      <w:r w:rsidRPr="0014567B">
        <w:rPr>
          <w:rFonts w:ascii="Open Sans" w:hAnsi="Open Sans" w:cs="Open Sans"/>
        </w:rPr>
        <w:t xml:space="preserve"> proportionate to the impact that energy storage projects may have on their surrounding areas and only escalated to the NSIP regime where its potential impact on the environment warrants such treatment</w:t>
      </w:r>
      <w:r w:rsidR="006475F7">
        <w:rPr>
          <w:rFonts w:ascii="Open Sans" w:hAnsi="Open Sans" w:cs="Open Sans"/>
        </w:rPr>
        <w:t>, as such we agree with the proposals</w:t>
      </w:r>
      <w:r w:rsidRPr="0014567B">
        <w:rPr>
          <w:rFonts w:ascii="Open Sans" w:hAnsi="Open Sans" w:cs="Open Sans"/>
        </w:rPr>
        <w:t>.</w:t>
      </w:r>
    </w:p>
    <w:p w14:paraId="4D660C28" w14:textId="77777777" w:rsidR="0014567B" w:rsidRDefault="0014567B" w:rsidP="00F312F8">
      <w:pPr>
        <w:rPr>
          <w:rFonts w:ascii="Open Sans" w:hAnsi="Open Sans" w:cs="Open Sans"/>
        </w:rPr>
      </w:pPr>
    </w:p>
    <w:p w14:paraId="5EED3305" w14:textId="05776DEC" w:rsidR="003A2B20" w:rsidRDefault="003A2B20" w:rsidP="00F312F8">
      <w:pPr>
        <w:rPr>
          <w:rFonts w:ascii="Open Sans" w:hAnsi="Open Sans" w:cs="Open Sans"/>
        </w:rPr>
      </w:pPr>
      <w:r>
        <w:rPr>
          <w:rFonts w:ascii="Open Sans" w:hAnsi="Open Sans" w:cs="Open Sans"/>
        </w:rPr>
        <w:t xml:space="preserve">The REA agrees with </w:t>
      </w:r>
      <w:r w:rsidR="004C231A">
        <w:rPr>
          <w:rFonts w:ascii="Open Sans" w:hAnsi="Open Sans" w:cs="Open Sans"/>
        </w:rPr>
        <w:t xml:space="preserve">the </w:t>
      </w:r>
      <w:r>
        <w:rPr>
          <w:rFonts w:ascii="Open Sans" w:hAnsi="Open Sans" w:cs="Open Sans"/>
        </w:rPr>
        <w:t>proposal</w:t>
      </w:r>
      <w:r w:rsidR="004C231A">
        <w:rPr>
          <w:rFonts w:ascii="Open Sans" w:hAnsi="Open Sans" w:cs="Open Sans"/>
        </w:rPr>
        <w:t xml:space="preserve"> to carve out electricity storage, except pumped hydro, from the NSIP regime.</w:t>
      </w:r>
      <w:r>
        <w:rPr>
          <w:rFonts w:ascii="Open Sans" w:hAnsi="Open Sans" w:cs="Open Sans"/>
        </w:rPr>
        <w:t xml:space="preserve"> As such we are keen that the proposals go ahead and wish to re-state the benefits of energy storage and why we need more such projects in the UK. </w:t>
      </w:r>
    </w:p>
    <w:p w14:paraId="4CCB3483" w14:textId="77777777" w:rsidR="003A2B20" w:rsidRDefault="003A2B20" w:rsidP="00F312F8">
      <w:pPr>
        <w:rPr>
          <w:rFonts w:ascii="Open Sans" w:hAnsi="Open Sans" w:cs="Open Sans"/>
        </w:rPr>
      </w:pPr>
    </w:p>
    <w:p w14:paraId="2AAA5C6F" w14:textId="793520E9" w:rsidR="00BC16EB" w:rsidRDefault="00021530" w:rsidP="00F312F8">
      <w:pPr>
        <w:rPr>
          <w:rFonts w:ascii="Open Sans" w:hAnsi="Open Sans" w:cs="Open Sans"/>
        </w:rPr>
      </w:pPr>
      <w:r>
        <w:rPr>
          <w:rFonts w:ascii="Open Sans" w:hAnsi="Open Sans" w:cs="Open Sans"/>
        </w:rPr>
        <w:t>Energy storage is a critical enabler for the UK’s energy transition. However, s</w:t>
      </w:r>
      <w:r w:rsidR="00BC16EB">
        <w:rPr>
          <w:rFonts w:ascii="Open Sans" w:hAnsi="Open Sans" w:cs="Open Sans"/>
        </w:rPr>
        <w:t xml:space="preserve">ince </w:t>
      </w:r>
      <w:r w:rsidR="00A175DD">
        <w:rPr>
          <w:rFonts w:ascii="Open Sans" w:hAnsi="Open Sans" w:cs="Open Sans"/>
        </w:rPr>
        <w:t>BEIS’s</w:t>
      </w:r>
      <w:r w:rsidR="00BC16EB">
        <w:rPr>
          <w:rFonts w:ascii="Open Sans" w:hAnsi="Open Sans" w:cs="Open Sans"/>
        </w:rPr>
        <w:t xml:space="preserve"> original consultation on </w:t>
      </w:r>
      <w:r w:rsidR="00A175DD">
        <w:rPr>
          <w:rFonts w:ascii="Open Sans" w:hAnsi="Open Sans" w:cs="Open Sans"/>
        </w:rPr>
        <w:t xml:space="preserve">the treatment of storage </w:t>
      </w:r>
      <w:r>
        <w:rPr>
          <w:rFonts w:ascii="Open Sans" w:hAnsi="Open Sans" w:cs="Open Sans"/>
        </w:rPr>
        <w:t>in</w:t>
      </w:r>
      <w:r w:rsidR="00A175DD">
        <w:rPr>
          <w:rFonts w:ascii="Open Sans" w:hAnsi="Open Sans" w:cs="Open Sans"/>
        </w:rPr>
        <w:t xml:space="preserve"> the planning regime</w:t>
      </w:r>
      <w:r w:rsidR="00BC16EB">
        <w:rPr>
          <w:rFonts w:ascii="Open Sans" w:hAnsi="Open Sans" w:cs="Open Sans"/>
        </w:rPr>
        <w:t xml:space="preserve">, </w:t>
      </w:r>
      <w:r w:rsidR="00A175DD">
        <w:rPr>
          <w:rFonts w:ascii="Open Sans" w:hAnsi="Open Sans" w:cs="Open Sans"/>
        </w:rPr>
        <w:t>Ofgem</w:t>
      </w:r>
      <w:r>
        <w:rPr>
          <w:rFonts w:ascii="Open Sans" w:hAnsi="Open Sans" w:cs="Open Sans"/>
        </w:rPr>
        <w:t>’s decisions in its</w:t>
      </w:r>
      <w:r w:rsidR="00BC16EB">
        <w:rPr>
          <w:rFonts w:ascii="Open Sans" w:hAnsi="Open Sans" w:cs="Open Sans"/>
        </w:rPr>
        <w:t xml:space="preserve"> Targeted Charging Review (TCR) </w:t>
      </w:r>
      <w:r>
        <w:rPr>
          <w:rFonts w:ascii="Open Sans" w:hAnsi="Open Sans" w:cs="Open Sans"/>
        </w:rPr>
        <w:t xml:space="preserve">will </w:t>
      </w:r>
      <w:r w:rsidR="00EA1AC5">
        <w:rPr>
          <w:rFonts w:ascii="Open Sans" w:hAnsi="Open Sans" w:cs="Open Sans"/>
        </w:rPr>
        <w:t>introduce</w:t>
      </w:r>
      <w:r>
        <w:rPr>
          <w:rFonts w:ascii="Open Sans" w:hAnsi="Open Sans" w:cs="Open Sans"/>
        </w:rPr>
        <w:t xml:space="preserve"> new barriers to the deployment of energy storage projects </w:t>
      </w:r>
      <w:r w:rsidR="00AA3C9C">
        <w:rPr>
          <w:rFonts w:ascii="Open Sans" w:hAnsi="Open Sans" w:cs="Open Sans"/>
        </w:rPr>
        <w:t xml:space="preserve">that will </w:t>
      </w:r>
      <w:r>
        <w:rPr>
          <w:rFonts w:ascii="Open Sans" w:hAnsi="Open Sans" w:cs="Open Sans"/>
        </w:rPr>
        <w:t xml:space="preserve">have </w:t>
      </w:r>
      <w:r w:rsidR="00AA3C9C">
        <w:rPr>
          <w:rFonts w:ascii="Open Sans" w:hAnsi="Open Sans" w:cs="Open Sans"/>
        </w:rPr>
        <w:t xml:space="preserve">a </w:t>
      </w:r>
      <w:r w:rsidR="00BC16EB">
        <w:rPr>
          <w:rFonts w:ascii="Open Sans" w:hAnsi="Open Sans" w:cs="Open Sans"/>
        </w:rPr>
        <w:t xml:space="preserve">negative impact on </w:t>
      </w:r>
      <w:r>
        <w:rPr>
          <w:rFonts w:ascii="Open Sans" w:hAnsi="Open Sans" w:cs="Open Sans"/>
        </w:rPr>
        <w:t xml:space="preserve">the development of </w:t>
      </w:r>
      <w:r w:rsidR="00AA3C9C">
        <w:rPr>
          <w:rFonts w:ascii="Open Sans" w:hAnsi="Open Sans" w:cs="Open Sans"/>
        </w:rPr>
        <w:t xml:space="preserve">storage and </w:t>
      </w:r>
      <w:r>
        <w:rPr>
          <w:rFonts w:ascii="Open Sans" w:hAnsi="Open Sans" w:cs="Open Sans"/>
        </w:rPr>
        <w:t xml:space="preserve">new </w:t>
      </w:r>
      <w:r w:rsidR="00BC16EB">
        <w:rPr>
          <w:rFonts w:ascii="Open Sans" w:hAnsi="Open Sans" w:cs="Open Sans"/>
        </w:rPr>
        <w:t xml:space="preserve">flexibility services in general. </w:t>
      </w:r>
      <w:r>
        <w:rPr>
          <w:rFonts w:ascii="Open Sans" w:hAnsi="Open Sans" w:cs="Open Sans"/>
        </w:rPr>
        <w:t xml:space="preserve">If the government is serious about delivering on its legislated emissions reductions </w:t>
      </w:r>
      <w:r w:rsidR="00EA1AC5">
        <w:rPr>
          <w:rFonts w:ascii="Open Sans" w:hAnsi="Open Sans" w:cs="Open Sans"/>
        </w:rPr>
        <w:t>target</w:t>
      </w:r>
      <w:r>
        <w:rPr>
          <w:rFonts w:ascii="Open Sans" w:hAnsi="Open Sans" w:cs="Open Sans"/>
        </w:rPr>
        <w:t xml:space="preserve"> </w:t>
      </w:r>
      <w:r w:rsidR="00EA1AC5">
        <w:rPr>
          <w:rFonts w:ascii="Open Sans" w:hAnsi="Open Sans" w:cs="Open Sans"/>
        </w:rPr>
        <w:t>of</w:t>
      </w:r>
      <w:r>
        <w:rPr>
          <w:rFonts w:ascii="Open Sans" w:hAnsi="Open Sans" w:cs="Open Sans"/>
        </w:rPr>
        <w:t xml:space="preserve"> net-zero by 2050, barriers to </w:t>
      </w:r>
      <w:r w:rsidR="00EA1AC5">
        <w:rPr>
          <w:rFonts w:ascii="Open Sans" w:hAnsi="Open Sans" w:cs="Open Sans"/>
        </w:rPr>
        <w:t xml:space="preserve">the </w:t>
      </w:r>
      <w:r>
        <w:rPr>
          <w:rFonts w:ascii="Open Sans" w:hAnsi="Open Sans" w:cs="Open Sans"/>
        </w:rPr>
        <w:t xml:space="preserve">deployment </w:t>
      </w:r>
      <w:r w:rsidR="00EA1AC5">
        <w:rPr>
          <w:rFonts w:ascii="Open Sans" w:hAnsi="Open Sans" w:cs="Open Sans"/>
        </w:rPr>
        <w:t xml:space="preserve">of energy storage </w:t>
      </w:r>
      <w:r>
        <w:rPr>
          <w:rFonts w:ascii="Open Sans" w:hAnsi="Open Sans" w:cs="Open Sans"/>
        </w:rPr>
        <w:t xml:space="preserve">– including </w:t>
      </w:r>
      <w:r w:rsidR="00BC16EB">
        <w:rPr>
          <w:rFonts w:ascii="Open Sans" w:hAnsi="Open Sans" w:cs="Open Sans"/>
        </w:rPr>
        <w:t xml:space="preserve">other market barriers, such as </w:t>
      </w:r>
      <w:r w:rsidR="00B93344">
        <w:rPr>
          <w:rFonts w:ascii="Open Sans" w:hAnsi="Open Sans" w:cs="Open Sans"/>
        </w:rPr>
        <w:t>lack of a clear route to market, difficulties securing suitable finance and grid connection constraints</w:t>
      </w:r>
      <w:r>
        <w:rPr>
          <w:rFonts w:ascii="Open Sans" w:hAnsi="Open Sans" w:cs="Open Sans"/>
        </w:rPr>
        <w:t xml:space="preserve"> – need to be systematically reviewed and removed to provide con</w:t>
      </w:r>
      <w:r w:rsidR="00AA3C9C">
        <w:rPr>
          <w:rFonts w:ascii="Open Sans" w:hAnsi="Open Sans" w:cs="Open Sans"/>
        </w:rPr>
        <w:t xml:space="preserve">sistent and coordinated, </w:t>
      </w:r>
      <w:r>
        <w:rPr>
          <w:rFonts w:ascii="Open Sans" w:hAnsi="Open Sans" w:cs="Open Sans"/>
        </w:rPr>
        <w:t xml:space="preserve">rather than conflicting, signals </w:t>
      </w:r>
      <w:r w:rsidR="008421E4">
        <w:rPr>
          <w:rFonts w:ascii="Open Sans" w:hAnsi="Open Sans" w:cs="Open Sans"/>
        </w:rPr>
        <w:t>for the UK’s energy transition.</w:t>
      </w:r>
    </w:p>
    <w:p w14:paraId="64A8D5CE" w14:textId="77777777" w:rsidR="00BC16EB" w:rsidRDefault="00BC16EB" w:rsidP="00F312F8">
      <w:pPr>
        <w:rPr>
          <w:rFonts w:ascii="Open Sans" w:hAnsi="Open Sans" w:cs="Open Sans"/>
        </w:rPr>
      </w:pPr>
    </w:p>
    <w:p w14:paraId="3C1F249D" w14:textId="588F230A" w:rsidR="0016288B" w:rsidRPr="00966E91" w:rsidRDefault="006475F7" w:rsidP="00F312F8">
      <w:pPr>
        <w:rPr>
          <w:rFonts w:ascii="Open Sans" w:hAnsi="Open Sans" w:cs="Open Sans"/>
        </w:rPr>
      </w:pPr>
      <w:r>
        <w:rPr>
          <w:rFonts w:ascii="Open Sans" w:hAnsi="Open Sans" w:cs="Open Sans"/>
        </w:rPr>
        <w:t>In terms of the financial importance of this change for developing projects, w</w:t>
      </w:r>
      <w:r>
        <w:rPr>
          <w:rFonts w:ascii="Open Sans" w:hAnsi="Open Sans" w:cs="Open Sans"/>
        </w:rPr>
        <w:t>hat is critical is</w:t>
      </w:r>
      <w:r w:rsidRPr="00966E91">
        <w:rPr>
          <w:rFonts w:ascii="Open Sans" w:hAnsi="Open Sans" w:cs="Open Sans"/>
        </w:rPr>
        <w:t xml:space="preserve"> the percentage costs of </w:t>
      </w:r>
      <w:r>
        <w:rPr>
          <w:rFonts w:ascii="Open Sans" w:hAnsi="Open Sans" w:cs="Open Sans"/>
        </w:rPr>
        <w:t>project</w:t>
      </w:r>
      <w:r w:rsidRPr="00966E91">
        <w:rPr>
          <w:rFonts w:ascii="Open Sans" w:hAnsi="Open Sans" w:cs="Open Sans"/>
        </w:rPr>
        <w:t xml:space="preserve"> planning applications compared to the </w:t>
      </w:r>
      <w:r w:rsidRPr="00966E91">
        <w:rPr>
          <w:rFonts w:ascii="Open Sans" w:hAnsi="Open Sans" w:cs="Open Sans"/>
          <w:u w:val="single"/>
        </w:rPr>
        <w:t>development</w:t>
      </w:r>
      <w:r w:rsidRPr="00966E91">
        <w:rPr>
          <w:rFonts w:ascii="Open Sans" w:hAnsi="Open Sans" w:cs="Open Sans"/>
        </w:rPr>
        <w:t xml:space="preserve"> spend on a</w:t>
      </w:r>
      <w:r>
        <w:rPr>
          <w:rFonts w:ascii="Open Sans" w:hAnsi="Open Sans" w:cs="Open Sans"/>
        </w:rPr>
        <w:t xml:space="preserve"> project, not the capital spend</w:t>
      </w:r>
      <w:r w:rsidRPr="00966E91">
        <w:rPr>
          <w:rFonts w:ascii="Open Sans" w:hAnsi="Open Sans" w:cs="Open Sans"/>
        </w:rPr>
        <w:t>.</w:t>
      </w:r>
      <w:r>
        <w:rPr>
          <w:rFonts w:ascii="Open Sans" w:hAnsi="Open Sans" w:cs="Open Sans"/>
        </w:rPr>
        <w:t xml:space="preserve"> </w:t>
      </w:r>
      <w:r w:rsidR="00B93344">
        <w:rPr>
          <w:rFonts w:ascii="Open Sans" w:hAnsi="Open Sans" w:cs="Open Sans"/>
        </w:rPr>
        <w:t>As</w:t>
      </w:r>
      <w:r w:rsidR="002A3D46" w:rsidRPr="00966E91">
        <w:rPr>
          <w:rFonts w:ascii="Open Sans" w:hAnsi="Open Sans" w:cs="Open Sans"/>
        </w:rPr>
        <w:t xml:space="preserve"> a developer only faces the full costs of a project if it achieves planning, in the developers eyes the most important consideration is to remove big risks as quickly as possible with finite resources. It is a huge risk to commit DCO funds to a project that might fail and therefore few try. </w:t>
      </w:r>
    </w:p>
    <w:p w14:paraId="11CC80A4" w14:textId="77777777" w:rsidR="003273B5" w:rsidRPr="00966E91" w:rsidRDefault="003273B5" w:rsidP="00F312F8">
      <w:pPr>
        <w:rPr>
          <w:rFonts w:ascii="Open Sans" w:hAnsi="Open Sans" w:cs="Open Sans"/>
        </w:rPr>
      </w:pPr>
    </w:p>
    <w:p w14:paraId="6D6FD2BD" w14:textId="77777777" w:rsidR="00BC16EB" w:rsidRDefault="00DE5B4F" w:rsidP="00F312F8">
      <w:pPr>
        <w:rPr>
          <w:rFonts w:ascii="Open Sans" w:hAnsi="Open Sans" w:cs="Open Sans"/>
          <w:b/>
        </w:rPr>
      </w:pPr>
      <w:r w:rsidRPr="00966E91">
        <w:rPr>
          <w:rFonts w:ascii="Open Sans" w:hAnsi="Open Sans" w:cs="Open Sans"/>
          <w:b/>
        </w:rPr>
        <w:t>REA</w:t>
      </w:r>
      <w:r w:rsidR="00BC16EB">
        <w:rPr>
          <w:rFonts w:ascii="Open Sans" w:hAnsi="Open Sans" w:cs="Open Sans"/>
          <w:b/>
        </w:rPr>
        <w:t xml:space="preserve"> Support the Proposals</w:t>
      </w:r>
      <w:r w:rsidR="00B93344">
        <w:rPr>
          <w:rFonts w:ascii="Open Sans" w:hAnsi="Open Sans" w:cs="Open Sans"/>
          <w:b/>
        </w:rPr>
        <w:t>, because:</w:t>
      </w:r>
    </w:p>
    <w:p w14:paraId="75F4A194" w14:textId="77777777" w:rsidR="003273B5" w:rsidRPr="00966E91" w:rsidRDefault="00BC16EB" w:rsidP="00F312F8">
      <w:pPr>
        <w:rPr>
          <w:rFonts w:ascii="Open Sans" w:hAnsi="Open Sans" w:cs="Open Sans"/>
          <w:b/>
        </w:rPr>
      </w:pPr>
      <w:r>
        <w:rPr>
          <w:rFonts w:ascii="Open Sans" w:hAnsi="Open Sans" w:cs="Open Sans"/>
          <w:b/>
        </w:rPr>
        <w:t xml:space="preserve"> </w:t>
      </w:r>
      <w:r w:rsidR="00DE5B4F" w:rsidRPr="00966E91">
        <w:rPr>
          <w:rFonts w:ascii="Open Sans" w:hAnsi="Open Sans" w:cs="Open Sans"/>
          <w:b/>
        </w:rPr>
        <w:t xml:space="preserve"> </w:t>
      </w:r>
    </w:p>
    <w:p w14:paraId="44E7B3F6" w14:textId="77777777" w:rsidR="008F0127" w:rsidRPr="00966E91" w:rsidRDefault="00B93344" w:rsidP="008F0127">
      <w:pPr>
        <w:pStyle w:val="ListParagraph"/>
        <w:numPr>
          <w:ilvl w:val="0"/>
          <w:numId w:val="37"/>
        </w:numPr>
        <w:rPr>
          <w:rFonts w:ascii="Open Sans" w:hAnsi="Open Sans" w:cs="Open Sans"/>
        </w:rPr>
      </w:pPr>
      <w:r>
        <w:rPr>
          <w:rFonts w:ascii="Open Sans" w:hAnsi="Open Sans" w:cs="Open Sans"/>
        </w:rPr>
        <w:t>We need</w:t>
      </w:r>
      <w:r w:rsidR="008F0127" w:rsidRPr="00966E91">
        <w:rPr>
          <w:rFonts w:ascii="Open Sans" w:hAnsi="Open Sans" w:cs="Open Sans"/>
        </w:rPr>
        <w:t xml:space="preserve"> to vigorously and ambitiously plan for the </w:t>
      </w:r>
      <w:r>
        <w:rPr>
          <w:rFonts w:ascii="Open Sans" w:hAnsi="Open Sans" w:cs="Open Sans"/>
        </w:rPr>
        <w:t xml:space="preserve">Net Zero </w:t>
      </w:r>
      <w:r w:rsidR="008F0127" w:rsidRPr="00966E91">
        <w:rPr>
          <w:rFonts w:ascii="Open Sans" w:hAnsi="Open Sans" w:cs="Open Sans"/>
        </w:rPr>
        <w:t>future by entirely exempting energy storage projects from the NSIP.</w:t>
      </w:r>
    </w:p>
    <w:p w14:paraId="07EFAE53" w14:textId="2B6483DB" w:rsidR="003F71DF" w:rsidRDefault="00470196" w:rsidP="005E2569">
      <w:pPr>
        <w:pStyle w:val="ListParagraph"/>
        <w:numPr>
          <w:ilvl w:val="0"/>
          <w:numId w:val="37"/>
        </w:numPr>
        <w:rPr>
          <w:rFonts w:ascii="Open Sans" w:hAnsi="Open Sans" w:cs="Open Sans"/>
        </w:rPr>
      </w:pPr>
      <w:r w:rsidRPr="00966E91">
        <w:rPr>
          <w:rFonts w:ascii="Open Sans" w:hAnsi="Open Sans" w:cs="Open Sans"/>
        </w:rPr>
        <w:lastRenderedPageBreak/>
        <w:t>There is a n</w:t>
      </w:r>
      <w:r w:rsidR="003F71DF" w:rsidRPr="00966E91">
        <w:rPr>
          <w:rFonts w:ascii="Open Sans" w:hAnsi="Open Sans" w:cs="Open Sans"/>
        </w:rPr>
        <w:t xml:space="preserve">eed to consider a dedicated Use Case for storage devices in the planning system – this would be enabled further by and closely relates to, the need for a dedicated legislative basis for storage in the electricity system (requiring primary legislation). </w:t>
      </w:r>
      <w:r w:rsidR="00B27B37">
        <w:rPr>
          <w:rFonts w:ascii="Open Sans" w:hAnsi="Open Sans" w:cs="Open Sans"/>
        </w:rPr>
        <w:t xml:space="preserve">Such a case would make it really clear and explicit what an energy storage application is and how it should be treated. </w:t>
      </w:r>
    </w:p>
    <w:p w14:paraId="10FF6459" w14:textId="77777777" w:rsidR="00B93344" w:rsidRPr="00966E91" w:rsidRDefault="00B93344" w:rsidP="005E2569">
      <w:pPr>
        <w:pStyle w:val="ListParagraph"/>
        <w:numPr>
          <w:ilvl w:val="0"/>
          <w:numId w:val="37"/>
        </w:numPr>
        <w:rPr>
          <w:rFonts w:ascii="Open Sans" w:hAnsi="Open Sans" w:cs="Open Sans"/>
        </w:rPr>
      </w:pPr>
      <w:r w:rsidRPr="00966E91">
        <w:rPr>
          <w:rFonts w:ascii="Open Sans" w:hAnsi="Open Sans" w:cs="Open Sans"/>
        </w:rPr>
        <w:t>The energy system is changing, and the energy transition needs energy storage. Therefore, it is essential that reforms whose purpose is to support the energy transition – like this reform – holistically considers the energy storage needs of the transition and works to remove barriers to their deployment.</w:t>
      </w:r>
    </w:p>
    <w:p w14:paraId="30B954AB" w14:textId="77777777" w:rsidR="00470196" w:rsidRPr="00966E91" w:rsidRDefault="00470196" w:rsidP="008B4521">
      <w:pPr>
        <w:pStyle w:val="ListParagraph"/>
        <w:numPr>
          <w:ilvl w:val="0"/>
          <w:numId w:val="37"/>
        </w:numPr>
        <w:rPr>
          <w:rFonts w:ascii="Open Sans" w:hAnsi="Open Sans" w:cs="Open Sans"/>
        </w:rPr>
      </w:pPr>
      <w:r w:rsidRPr="00966E91">
        <w:rPr>
          <w:rFonts w:ascii="Open Sans" w:hAnsi="Open Sans" w:cs="Open Sans"/>
        </w:rPr>
        <w:t>The REA would</w:t>
      </w:r>
      <w:r w:rsidR="00B93344">
        <w:rPr>
          <w:rFonts w:ascii="Open Sans" w:hAnsi="Open Sans" w:cs="Open Sans"/>
        </w:rPr>
        <w:t xml:space="preserve"> also</w:t>
      </w:r>
      <w:r w:rsidRPr="00966E91">
        <w:rPr>
          <w:rFonts w:ascii="Open Sans" w:hAnsi="Open Sans" w:cs="Open Sans"/>
        </w:rPr>
        <w:t xml:space="preserve"> like to raise awareness within Government and industry of some of the actions being undertaken by the REA with project partners to try and bring greater awareness and clarity to planning departments and the market on some planning and related issues, this includes the production of guidance briefings for local planning departments and homebuilders. </w:t>
      </w:r>
    </w:p>
    <w:p w14:paraId="50F1EFA6" w14:textId="77777777" w:rsidR="005D6A74" w:rsidRPr="00966E91" w:rsidRDefault="005D6A74" w:rsidP="00DC1C73">
      <w:pPr>
        <w:rPr>
          <w:rFonts w:ascii="Open Sans" w:hAnsi="Open Sans" w:cs="Open Sans"/>
          <w:u w:val="single"/>
        </w:rPr>
      </w:pPr>
    </w:p>
    <w:p w14:paraId="6C8390BD" w14:textId="77777777" w:rsidR="000D0464" w:rsidRPr="00A84A9D" w:rsidRDefault="00935456" w:rsidP="00A84A9D">
      <w:pPr>
        <w:rPr>
          <w:rFonts w:ascii="Open Sans" w:hAnsi="Open Sans" w:cs="Open Sans"/>
          <w:b/>
        </w:rPr>
      </w:pPr>
      <w:r w:rsidRPr="00966E91">
        <w:rPr>
          <w:rFonts w:ascii="Open Sans" w:hAnsi="Open Sans" w:cs="Open Sans"/>
          <w:b/>
        </w:rPr>
        <w:t>Specific consultation questions</w:t>
      </w:r>
    </w:p>
    <w:p w14:paraId="0E548FE9" w14:textId="77777777" w:rsidR="002102E1" w:rsidRPr="00966E91" w:rsidRDefault="002102E1" w:rsidP="00AF066E">
      <w:pPr>
        <w:jc w:val="left"/>
        <w:rPr>
          <w:rFonts w:ascii="Open Sans" w:hAnsi="Open Sans" w:cs="Open Sans"/>
        </w:rPr>
      </w:pPr>
    </w:p>
    <w:p w14:paraId="5D218AD3" w14:textId="77777777" w:rsidR="002102E1" w:rsidRDefault="002102E1" w:rsidP="00D72A50">
      <w:pPr>
        <w:rPr>
          <w:rFonts w:ascii="Open Sans" w:hAnsi="Open Sans" w:cs="Open Sans"/>
          <w:b/>
        </w:rPr>
      </w:pPr>
      <w:r w:rsidRPr="002102E1">
        <w:rPr>
          <w:rFonts w:ascii="Open Sans" w:hAnsi="Open Sans" w:cs="Open Sans"/>
          <w:b/>
        </w:rPr>
        <w:t xml:space="preserve">1. Do you agree that it is appropriate to carve out electricity storage, except pumped hydro from the NSIP regime in England and Wales? If not, please provide justification and evidence to support your answer. </w:t>
      </w:r>
    </w:p>
    <w:p w14:paraId="6AD7AECB" w14:textId="77777777" w:rsidR="002102E1" w:rsidRDefault="002102E1" w:rsidP="00D72A50">
      <w:pPr>
        <w:rPr>
          <w:rFonts w:ascii="Open Sans" w:hAnsi="Open Sans" w:cs="Open Sans"/>
          <w:b/>
        </w:rPr>
      </w:pPr>
    </w:p>
    <w:p w14:paraId="6F59A265" w14:textId="77777777" w:rsidR="00A84A9D" w:rsidRDefault="00A84A9D" w:rsidP="00A84A9D">
      <w:pPr>
        <w:spacing w:after="160" w:line="256" w:lineRule="auto"/>
        <w:ind w:left="720"/>
        <w:contextualSpacing/>
        <w:jc w:val="left"/>
        <w:rPr>
          <w:rFonts w:ascii="Open Sans" w:hAnsi="Open Sans" w:cs="Open Sans"/>
        </w:rPr>
      </w:pPr>
      <w:r w:rsidRPr="00966E91">
        <w:rPr>
          <w:rFonts w:ascii="Open Sans" w:hAnsi="Open Sans" w:cs="Open Sans"/>
        </w:rPr>
        <w:t xml:space="preserve">The energy system is changing, and the energy transition needs energy storage. Therefore, it is essential that reforms whose purpose is to support the energy transition – like this reform – holistically considers the energy storage needs of the transition and works to remove barriers to their deployment. The treatment of energy storage under the planning policy framework should be proportionate to the impact that energy storage projects may have on their surrounding areas and only escalated to the NSIP regime where its potential impact on the environment warrants such treatment.  </w:t>
      </w:r>
    </w:p>
    <w:p w14:paraId="5CB7F83F" w14:textId="77777777" w:rsidR="00A84A9D" w:rsidRDefault="00A84A9D" w:rsidP="00A84A9D">
      <w:pPr>
        <w:spacing w:after="160" w:line="256" w:lineRule="auto"/>
        <w:ind w:left="720"/>
        <w:contextualSpacing/>
        <w:jc w:val="left"/>
        <w:rPr>
          <w:rFonts w:ascii="Open Sans" w:hAnsi="Open Sans" w:cs="Open Sans"/>
        </w:rPr>
      </w:pPr>
    </w:p>
    <w:p w14:paraId="3864D672" w14:textId="02E4DFA5" w:rsidR="003D30F7" w:rsidRDefault="006A524F">
      <w:pPr>
        <w:spacing w:after="160" w:line="256" w:lineRule="auto"/>
        <w:ind w:left="720"/>
        <w:contextualSpacing/>
        <w:jc w:val="left"/>
        <w:rPr>
          <w:rFonts w:ascii="Open Sans" w:hAnsi="Open Sans" w:cs="Open Sans"/>
        </w:rPr>
      </w:pPr>
      <w:r>
        <w:rPr>
          <w:rFonts w:ascii="Open Sans" w:hAnsi="Open Sans" w:cs="Open Sans"/>
        </w:rPr>
        <w:t>S</w:t>
      </w:r>
      <w:r w:rsidRPr="006A524F">
        <w:rPr>
          <w:rFonts w:ascii="Open Sans" w:hAnsi="Open Sans" w:cs="Open Sans"/>
        </w:rPr>
        <w:t>torage</w:t>
      </w:r>
      <w:r>
        <w:rPr>
          <w:rFonts w:ascii="Open Sans" w:hAnsi="Open Sans" w:cs="Open Sans"/>
        </w:rPr>
        <w:t xml:space="preserve"> projects</w:t>
      </w:r>
      <w:r w:rsidRPr="006A524F">
        <w:rPr>
          <w:rFonts w:ascii="Open Sans" w:hAnsi="Open Sans" w:cs="Open Sans"/>
        </w:rPr>
        <w:t>, and batteries in particular, have much lower</w:t>
      </w:r>
      <w:r>
        <w:rPr>
          <w:rFonts w:ascii="Open Sans" w:hAnsi="Open Sans" w:cs="Open Sans"/>
        </w:rPr>
        <w:t xml:space="preserve"> </w:t>
      </w:r>
      <w:r w:rsidRPr="006A524F">
        <w:rPr>
          <w:rFonts w:ascii="Open Sans" w:hAnsi="Open Sans" w:cs="Open Sans"/>
        </w:rPr>
        <w:t>planning impacts in comparison to other forms of generation, both in terms of the footprint of</w:t>
      </w:r>
      <w:r>
        <w:rPr>
          <w:rFonts w:ascii="Open Sans" w:hAnsi="Open Sans" w:cs="Open Sans"/>
        </w:rPr>
        <w:t xml:space="preserve"> </w:t>
      </w:r>
      <w:r w:rsidRPr="006A524F">
        <w:rPr>
          <w:rFonts w:ascii="Open Sans" w:hAnsi="Open Sans" w:cs="Open Sans"/>
        </w:rPr>
        <w:t>the facility as well as the total construction time.</w:t>
      </w:r>
      <w:r w:rsidR="003D30F7">
        <w:rPr>
          <w:rFonts w:ascii="Open Sans" w:hAnsi="Open Sans" w:cs="Open Sans"/>
        </w:rPr>
        <w:t xml:space="preserve"> On this basis, o</w:t>
      </w:r>
      <w:r w:rsidR="00A84A9D" w:rsidRPr="00966E91">
        <w:rPr>
          <w:rFonts w:ascii="Open Sans" w:hAnsi="Open Sans" w:cs="Open Sans"/>
        </w:rPr>
        <w:t>ur members explicitly tell us that energy storage projects should be entirely excluded from NSIP as the existing 50MW threshold represents an arbitrary boundary which disproportionately affects storage and forces developers to reduce the optimum size of new projects</w:t>
      </w:r>
      <w:r w:rsidR="00B27B37">
        <w:rPr>
          <w:rFonts w:ascii="Open Sans" w:hAnsi="Open Sans" w:cs="Open Sans"/>
        </w:rPr>
        <w:t xml:space="preserve"> -</w:t>
      </w:r>
      <w:r w:rsidR="00A84A9D" w:rsidRPr="00966E91">
        <w:rPr>
          <w:rFonts w:ascii="Open Sans" w:hAnsi="Open Sans" w:cs="Open Sans"/>
        </w:rPr>
        <w:t xml:space="preserve"> </w:t>
      </w:r>
      <w:r w:rsidR="00B27B37">
        <w:rPr>
          <w:rFonts w:ascii="Open Sans" w:hAnsi="Open Sans" w:cs="Open Sans"/>
        </w:rPr>
        <w:t>w</w:t>
      </w:r>
      <w:r w:rsidR="009F20D7">
        <w:rPr>
          <w:rFonts w:ascii="Open Sans" w:hAnsi="Open Sans" w:cs="Open Sans"/>
        </w:rPr>
        <w:t xml:space="preserve">e </w:t>
      </w:r>
      <w:r w:rsidR="00B27B37">
        <w:rPr>
          <w:rFonts w:ascii="Open Sans" w:hAnsi="Open Sans" w:cs="Open Sans"/>
        </w:rPr>
        <w:t xml:space="preserve">therefore </w:t>
      </w:r>
      <w:r w:rsidR="009F20D7">
        <w:rPr>
          <w:rFonts w:ascii="Open Sans" w:hAnsi="Open Sans" w:cs="Open Sans"/>
        </w:rPr>
        <w:t xml:space="preserve">agree with BEIS’ </w:t>
      </w:r>
      <w:r w:rsidR="004D5486">
        <w:rPr>
          <w:rFonts w:ascii="Open Sans" w:hAnsi="Open Sans" w:cs="Open Sans"/>
        </w:rPr>
        <w:t>conclusion</w:t>
      </w:r>
      <w:r w:rsidR="009F20D7">
        <w:rPr>
          <w:rFonts w:ascii="Open Sans" w:hAnsi="Open Sans" w:cs="Open Sans"/>
        </w:rPr>
        <w:t xml:space="preserve"> that the NSIP regime is not appropriate for storage and that storage </w:t>
      </w:r>
      <w:r w:rsidR="004D5486">
        <w:rPr>
          <w:rFonts w:ascii="Open Sans" w:hAnsi="Open Sans" w:cs="Open Sans"/>
        </w:rPr>
        <w:t>projects</w:t>
      </w:r>
      <w:r w:rsidR="009F20D7">
        <w:rPr>
          <w:rFonts w:ascii="Open Sans" w:hAnsi="Open Sans" w:cs="Open Sans"/>
        </w:rPr>
        <w:t xml:space="preserve"> (except for pumped hydro) should be excluded from the NSIP regime.</w:t>
      </w:r>
    </w:p>
    <w:p w14:paraId="73A87C68" w14:textId="77777777" w:rsidR="003D30F7" w:rsidRDefault="003D30F7" w:rsidP="00A84A9D">
      <w:pPr>
        <w:spacing w:after="160" w:line="256" w:lineRule="auto"/>
        <w:ind w:left="720"/>
        <w:contextualSpacing/>
        <w:jc w:val="left"/>
        <w:rPr>
          <w:rFonts w:ascii="Open Sans" w:hAnsi="Open Sans" w:cs="Open Sans"/>
        </w:rPr>
      </w:pPr>
    </w:p>
    <w:p w14:paraId="18BB76F6" w14:textId="4070D3F1" w:rsidR="00A84A9D" w:rsidRPr="00966E91" w:rsidRDefault="003D30F7" w:rsidP="00A84A9D">
      <w:pPr>
        <w:spacing w:after="160" w:line="256" w:lineRule="auto"/>
        <w:ind w:left="720"/>
        <w:contextualSpacing/>
        <w:jc w:val="left"/>
        <w:rPr>
          <w:rFonts w:ascii="Open Sans" w:hAnsi="Open Sans" w:cs="Open Sans"/>
        </w:rPr>
      </w:pPr>
      <w:r w:rsidRPr="00966E91">
        <w:rPr>
          <w:rFonts w:ascii="Open Sans" w:hAnsi="Open Sans" w:cs="Open Sans"/>
        </w:rPr>
        <w:t>Th</w:t>
      </w:r>
      <w:r>
        <w:rPr>
          <w:rFonts w:ascii="Open Sans" w:hAnsi="Open Sans" w:cs="Open Sans"/>
        </w:rPr>
        <w:t xml:space="preserve">e </w:t>
      </w:r>
      <w:r w:rsidR="004D5486">
        <w:rPr>
          <w:rFonts w:ascii="Open Sans" w:hAnsi="Open Sans" w:cs="Open Sans"/>
        </w:rPr>
        <w:t>limiting effect</w:t>
      </w:r>
      <w:r>
        <w:rPr>
          <w:rFonts w:ascii="Open Sans" w:hAnsi="Open Sans" w:cs="Open Sans"/>
        </w:rPr>
        <w:t xml:space="preserve"> of the 50MW threshold on project size</w:t>
      </w:r>
      <w:r w:rsidRPr="00966E91">
        <w:rPr>
          <w:rFonts w:ascii="Open Sans" w:hAnsi="Open Sans" w:cs="Open Sans"/>
        </w:rPr>
        <w:t xml:space="preserve"> </w:t>
      </w:r>
      <w:r w:rsidR="00A84A9D" w:rsidRPr="00966E91">
        <w:rPr>
          <w:rFonts w:ascii="Open Sans" w:hAnsi="Open Sans" w:cs="Open Sans"/>
        </w:rPr>
        <w:t>is evidenced by the experience with the threshold changing in Wales – prior to the lifting of the threshold above 50MW</w:t>
      </w:r>
      <w:r>
        <w:rPr>
          <w:rFonts w:ascii="Open Sans" w:hAnsi="Open Sans" w:cs="Open Sans"/>
        </w:rPr>
        <w:t>,</w:t>
      </w:r>
      <w:r w:rsidR="00A84A9D" w:rsidRPr="00966E91">
        <w:rPr>
          <w:rFonts w:ascii="Open Sans" w:hAnsi="Open Sans" w:cs="Open Sans"/>
        </w:rPr>
        <w:t xml:space="preserve"> the size </w:t>
      </w:r>
      <w:r>
        <w:rPr>
          <w:rFonts w:ascii="Open Sans" w:hAnsi="Open Sans" w:cs="Open Sans"/>
        </w:rPr>
        <w:t xml:space="preserve">of </w:t>
      </w:r>
      <w:r w:rsidR="00A84A9D" w:rsidRPr="00966E91">
        <w:rPr>
          <w:rFonts w:ascii="Open Sans" w:hAnsi="Open Sans" w:cs="Open Sans"/>
        </w:rPr>
        <w:t>applications was around 49MW</w:t>
      </w:r>
      <w:r>
        <w:rPr>
          <w:rFonts w:ascii="Open Sans" w:hAnsi="Open Sans" w:cs="Open Sans"/>
        </w:rPr>
        <w:t>.</w:t>
      </w:r>
      <w:r w:rsidR="00A84A9D" w:rsidRPr="00966E91">
        <w:rPr>
          <w:rFonts w:ascii="Open Sans" w:hAnsi="Open Sans" w:cs="Open Sans"/>
        </w:rPr>
        <w:t xml:space="preserve"> </w:t>
      </w:r>
      <w:r>
        <w:rPr>
          <w:rFonts w:ascii="Open Sans" w:hAnsi="Open Sans" w:cs="Open Sans"/>
        </w:rPr>
        <w:t>B</w:t>
      </w:r>
      <w:r w:rsidRPr="00966E91">
        <w:rPr>
          <w:rFonts w:ascii="Open Sans" w:hAnsi="Open Sans" w:cs="Open Sans"/>
        </w:rPr>
        <w:t xml:space="preserve">ut </w:t>
      </w:r>
      <w:r w:rsidR="00A84A9D" w:rsidRPr="00966E91">
        <w:rPr>
          <w:rFonts w:ascii="Open Sans" w:hAnsi="Open Sans" w:cs="Open Sans"/>
        </w:rPr>
        <w:t xml:space="preserve">after </w:t>
      </w:r>
      <w:r w:rsidRPr="00966E91">
        <w:rPr>
          <w:rFonts w:ascii="Open Sans" w:hAnsi="Open Sans" w:cs="Open Sans"/>
        </w:rPr>
        <w:t>th</w:t>
      </w:r>
      <w:r>
        <w:rPr>
          <w:rFonts w:ascii="Open Sans" w:hAnsi="Open Sans" w:cs="Open Sans"/>
        </w:rPr>
        <w:t>e threshold</w:t>
      </w:r>
      <w:r w:rsidRPr="00966E91">
        <w:rPr>
          <w:rFonts w:ascii="Open Sans" w:hAnsi="Open Sans" w:cs="Open Sans"/>
        </w:rPr>
        <w:t xml:space="preserve"> </w:t>
      </w:r>
      <w:r w:rsidR="00A84A9D" w:rsidRPr="00966E91">
        <w:rPr>
          <w:rFonts w:ascii="Open Sans" w:hAnsi="Open Sans" w:cs="Open Sans"/>
        </w:rPr>
        <w:t xml:space="preserve">was increased to 350MW we understand that project </w:t>
      </w:r>
      <w:r w:rsidR="00A84A9D" w:rsidRPr="00966E91">
        <w:rPr>
          <w:rFonts w:ascii="Open Sans" w:hAnsi="Open Sans" w:cs="Open Sans"/>
        </w:rPr>
        <w:lastRenderedPageBreak/>
        <w:t xml:space="preserve">sized increased to 75-90 MW and above. We would argue that this was a case of projects finding their most efficient, optimum capacity (given the market and regulatory signals at the time) following the lifting of the threshold. </w:t>
      </w:r>
    </w:p>
    <w:p w14:paraId="6ACF6852" w14:textId="77777777" w:rsidR="00A84A9D" w:rsidRPr="00966E91" w:rsidRDefault="00A84A9D" w:rsidP="00A84A9D">
      <w:pPr>
        <w:spacing w:after="160" w:line="256" w:lineRule="auto"/>
        <w:ind w:left="720"/>
        <w:contextualSpacing/>
        <w:jc w:val="left"/>
        <w:rPr>
          <w:rFonts w:ascii="Open Sans" w:hAnsi="Open Sans" w:cs="Open Sans"/>
        </w:rPr>
      </w:pPr>
    </w:p>
    <w:p w14:paraId="31E21165" w14:textId="77777777" w:rsidR="00A84A9D" w:rsidRPr="00966E91" w:rsidRDefault="00A84A9D" w:rsidP="00A84A9D">
      <w:pPr>
        <w:spacing w:after="160" w:line="256" w:lineRule="auto"/>
        <w:ind w:left="720"/>
        <w:contextualSpacing/>
        <w:jc w:val="left"/>
        <w:rPr>
          <w:rFonts w:ascii="Open Sans" w:hAnsi="Open Sans" w:cs="Open Sans"/>
        </w:rPr>
      </w:pPr>
      <w:r w:rsidRPr="00966E91">
        <w:rPr>
          <w:rFonts w:ascii="Open Sans" w:hAnsi="Open Sans" w:cs="Open Sans"/>
        </w:rPr>
        <w:t>The risks and barriers to the NSIP process are numerous. These include the fact that the NSIP process can add 1-2 years to process, compared to a typical timeline of 8-16 weeks under the TCPA framework. In addition, under the NSIP process, an applicant often does not know how much they will spend until the process has ended. The number of inspectors has huge bearing on this, again not determined until the process has begun. In addition, when a DCO is active the local planning authority/council is still expected to do a considerable amount of work, but receives no payment at all, whereas under the TCPA process they can charge a fee. This does not appear to adequately resource a relevant local representation for the DCO process.</w:t>
      </w:r>
    </w:p>
    <w:p w14:paraId="48C2100E" w14:textId="77777777" w:rsidR="00A84A9D" w:rsidRPr="00966E91" w:rsidRDefault="00A84A9D" w:rsidP="00A84A9D">
      <w:pPr>
        <w:spacing w:after="160" w:line="256" w:lineRule="auto"/>
        <w:ind w:left="720"/>
        <w:contextualSpacing/>
        <w:jc w:val="left"/>
        <w:rPr>
          <w:rFonts w:ascii="Open Sans" w:hAnsi="Open Sans" w:cs="Open Sans"/>
        </w:rPr>
      </w:pPr>
    </w:p>
    <w:p w14:paraId="57EEC40C" w14:textId="77777777" w:rsidR="00A84A9D" w:rsidRPr="00966E91" w:rsidRDefault="00A84A9D" w:rsidP="00A84A9D">
      <w:pPr>
        <w:spacing w:after="160" w:line="256" w:lineRule="auto"/>
        <w:ind w:left="720"/>
        <w:contextualSpacing/>
        <w:jc w:val="left"/>
        <w:rPr>
          <w:rFonts w:ascii="Open Sans" w:hAnsi="Open Sans" w:cs="Open Sans"/>
        </w:rPr>
      </w:pPr>
      <w:r w:rsidRPr="00966E91">
        <w:rPr>
          <w:rFonts w:ascii="Open Sans" w:hAnsi="Open Sans" w:cs="Open Sans"/>
        </w:rPr>
        <w:t xml:space="preserve">A case study from a member-company indicates that one third of their total development spend to date has been due to progressing through the NSIP process, whereas this would have been under 10% if taken through the LPA route. The question of how many planning inspectors would sit on the case proved critical as these come at a cost of £350k per inspector. The DCO/NSIP process also added two years to the development process, as opposed to a number of months.    </w:t>
      </w:r>
    </w:p>
    <w:p w14:paraId="7DE3EDD3" w14:textId="77777777" w:rsidR="00A84A9D" w:rsidRPr="00966E91" w:rsidRDefault="00A84A9D" w:rsidP="00A84A9D">
      <w:pPr>
        <w:spacing w:after="160" w:line="256" w:lineRule="auto"/>
        <w:ind w:left="720"/>
        <w:contextualSpacing/>
        <w:jc w:val="left"/>
        <w:rPr>
          <w:rFonts w:ascii="Open Sans" w:hAnsi="Open Sans" w:cs="Open Sans"/>
        </w:rPr>
      </w:pPr>
    </w:p>
    <w:p w14:paraId="2C27C651" w14:textId="77777777" w:rsidR="00A84A9D" w:rsidRPr="00966E91" w:rsidRDefault="00A84A9D" w:rsidP="00A84A9D">
      <w:pPr>
        <w:spacing w:after="160" w:line="256" w:lineRule="auto"/>
        <w:ind w:left="720"/>
        <w:contextualSpacing/>
        <w:jc w:val="left"/>
        <w:rPr>
          <w:rFonts w:ascii="Open Sans" w:hAnsi="Open Sans" w:cs="Open Sans"/>
        </w:rPr>
      </w:pPr>
      <w:r w:rsidRPr="00966E91">
        <w:rPr>
          <w:rFonts w:ascii="Open Sans" w:hAnsi="Open Sans" w:cs="Open Sans"/>
        </w:rPr>
        <w:t>The Progress Update to the Smart Systems and Flexibility Plan rightly sets out an intention to consider a ‘fair’ treatment for storage in the planning framework. In this context, while it may be convenient to nominally consider storage as generation (at least while there is no explicit provision for storage in the planning regime), it is not clear that it actually makes sense to do so in the planning context. We note:</w:t>
      </w:r>
    </w:p>
    <w:p w14:paraId="0CEFE546" w14:textId="437F8BBC" w:rsidR="00A84A9D" w:rsidRPr="00966E91" w:rsidRDefault="00A84A9D" w:rsidP="00A84A9D">
      <w:pPr>
        <w:pStyle w:val="ListParagraph"/>
        <w:numPr>
          <w:ilvl w:val="0"/>
          <w:numId w:val="42"/>
        </w:numPr>
        <w:spacing w:after="160" w:line="256" w:lineRule="auto"/>
        <w:contextualSpacing/>
        <w:jc w:val="left"/>
        <w:rPr>
          <w:rFonts w:ascii="Open Sans" w:hAnsi="Open Sans" w:cs="Open Sans"/>
        </w:rPr>
      </w:pPr>
      <w:r w:rsidRPr="00966E91">
        <w:rPr>
          <w:rFonts w:ascii="Open Sans" w:hAnsi="Open Sans" w:cs="Open Sans"/>
        </w:rPr>
        <w:t xml:space="preserve">50MW of most types of storage do not have the same visual or land use impact as 50MW of solar or wind for example. Members have reported estimates that energy storage occupies much less than 1% of the land space needed for a solar installation of the same output power capacity (MW). </w:t>
      </w:r>
    </w:p>
    <w:p w14:paraId="6A3B6BB8" w14:textId="0F207435" w:rsidR="00A84A9D" w:rsidRPr="00966E91" w:rsidRDefault="00A84A9D" w:rsidP="00A84A9D">
      <w:pPr>
        <w:pStyle w:val="ListParagraph"/>
        <w:numPr>
          <w:ilvl w:val="0"/>
          <w:numId w:val="42"/>
        </w:numPr>
        <w:spacing w:after="160" w:line="256" w:lineRule="auto"/>
        <w:contextualSpacing/>
        <w:jc w:val="left"/>
        <w:rPr>
          <w:rFonts w:ascii="Open Sans" w:hAnsi="Open Sans" w:cs="Open Sans"/>
        </w:rPr>
      </w:pPr>
      <w:r w:rsidRPr="00966E91">
        <w:rPr>
          <w:rFonts w:ascii="Open Sans" w:hAnsi="Open Sans" w:cs="Open Sans"/>
        </w:rPr>
        <w:t xml:space="preserve">Energy storage projects can be delivered in much faster timeframes than many other types of generation. </w:t>
      </w:r>
      <w:r w:rsidR="003D30F7">
        <w:rPr>
          <w:rFonts w:ascii="Open Sans" w:hAnsi="Open Sans" w:cs="Open Sans"/>
        </w:rPr>
        <w:t>For example, t</w:t>
      </w:r>
      <w:r w:rsidRPr="00966E91">
        <w:rPr>
          <w:rFonts w:ascii="Open Sans" w:hAnsi="Open Sans" w:cs="Open Sans"/>
        </w:rPr>
        <w:t xml:space="preserve">he 100MW/129MWh Honsdale battery installation in South Australia was delivered in 100 days. </w:t>
      </w:r>
      <w:r w:rsidR="004D5486">
        <w:rPr>
          <w:rFonts w:ascii="Open Sans" w:hAnsi="Open Sans" w:cs="Open Sans"/>
        </w:rPr>
        <w:t>W</w:t>
      </w:r>
      <w:r w:rsidR="003D30F7">
        <w:rPr>
          <w:rFonts w:ascii="Open Sans" w:hAnsi="Open Sans" w:cs="Open Sans"/>
        </w:rPr>
        <w:t>e believe that reasonably reflects the timescales for delivering UK battery projects as well.</w:t>
      </w:r>
    </w:p>
    <w:p w14:paraId="04A06204" w14:textId="77777777" w:rsidR="00A84A9D" w:rsidRPr="00966E91" w:rsidRDefault="00A84A9D" w:rsidP="00A84A9D">
      <w:pPr>
        <w:pStyle w:val="ListParagraph"/>
        <w:numPr>
          <w:ilvl w:val="0"/>
          <w:numId w:val="42"/>
        </w:numPr>
        <w:spacing w:after="160" w:line="256" w:lineRule="auto"/>
        <w:contextualSpacing/>
        <w:jc w:val="left"/>
        <w:rPr>
          <w:rFonts w:ascii="Open Sans" w:hAnsi="Open Sans" w:cs="Open Sans"/>
        </w:rPr>
      </w:pPr>
      <w:r w:rsidRPr="00966E91">
        <w:rPr>
          <w:rFonts w:ascii="Open Sans" w:hAnsi="Open Sans" w:cs="Open Sans"/>
        </w:rPr>
        <w:t xml:space="preserve">We know that there is an urgent need to more generally facilitate more flexible capacity on the system to transition to a low carbon, lower cost network. As such, it is important that thresholds for triggering the much longer and more expensive NSIP process for electricity storage should be proportionate so that the framework does not unnecessarily create barriers to deployment. </w:t>
      </w:r>
    </w:p>
    <w:p w14:paraId="17DCE3B6" w14:textId="7C563458" w:rsidR="00A84A9D" w:rsidRPr="006125B9" w:rsidRDefault="00976107">
      <w:pPr>
        <w:pStyle w:val="ListParagraph"/>
        <w:numPr>
          <w:ilvl w:val="0"/>
          <w:numId w:val="42"/>
        </w:numPr>
        <w:spacing w:after="160" w:line="256" w:lineRule="auto"/>
        <w:contextualSpacing/>
        <w:jc w:val="left"/>
        <w:rPr>
          <w:rFonts w:ascii="Open Sans" w:hAnsi="Open Sans" w:cs="Open Sans"/>
        </w:rPr>
      </w:pPr>
      <w:r>
        <w:rPr>
          <w:rFonts w:ascii="Open Sans" w:hAnsi="Open Sans" w:cs="Open Sans"/>
        </w:rPr>
        <w:t xml:space="preserve">The majority of energy storage projects </w:t>
      </w:r>
      <w:r w:rsidR="003D30F7">
        <w:rPr>
          <w:rFonts w:ascii="Open Sans" w:hAnsi="Open Sans" w:cs="Open Sans"/>
        </w:rPr>
        <w:t xml:space="preserve">(particularly battery storage) </w:t>
      </w:r>
      <w:r>
        <w:rPr>
          <w:rFonts w:ascii="Open Sans" w:hAnsi="Open Sans" w:cs="Open Sans"/>
        </w:rPr>
        <w:t xml:space="preserve">have very little similarity to the types of projects that would generally </w:t>
      </w:r>
      <w:r>
        <w:rPr>
          <w:rFonts w:ascii="Open Sans" w:hAnsi="Open Sans" w:cs="Open Sans"/>
        </w:rPr>
        <w:lastRenderedPageBreak/>
        <w:t xml:space="preserve">fall for consideration under the NSIP regime – such as the </w:t>
      </w:r>
      <w:r w:rsidRPr="00976107">
        <w:rPr>
          <w:rFonts w:ascii="Open Sans" w:hAnsi="Open Sans" w:cs="Open Sans"/>
        </w:rPr>
        <w:t xml:space="preserve">construction of airports, harbours, LNG storage facilities, railways, dams and reservoirs and hazardous waste facilities (see section 14 Planning Act 2008). </w:t>
      </w:r>
      <w:r w:rsidRPr="006125B9">
        <w:rPr>
          <w:rFonts w:ascii="Open Sans" w:hAnsi="Open Sans" w:cs="Open Sans"/>
        </w:rPr>
        <w:t xml:space="preserve">Electricity storage installations </w:t>
      </w:r>
      <w:r w:rsidR="00A84A9D" w:rsidRPr="006125B9">
        <w:rPr>
          <w:rFonts w:ascii="Open Sans" w:hAnsi="Open Sans" w:cs="Open Sans"/>
        </w:rPr>
        <w:t xml:space="preserve">are in many ways similar in size and impact to </w:t>
      </w:r>
      <w:r w:rsidRPr="006125B9">
        <w:rPr>
          <w:rFonts w:ascii="Open Sans" w:hAnsi="Open Sans" w:cs="Open Sans"/>
        </w:rPr>
        <w:t xml:space="preserve">electricity substations which </w:t>
      </w:r>
      <w:r w:rsidR="00A84A9D" w:rsidRPr="006125B9">
        <w:rPr>
          <w:rFonts w:ascii="Open Sans" w:hAnsi="Open Sans" w:cs="Open Sans"/>
        </w:rPr>
        <w:t xml:space="preserve">are not subject at all to the NSIP framework. Given the similarities, BEIS should consider </w:t>
      </w:r>
      <w:r w:rsidRPr="006125B9">
        <w:rPr>
          <w:rFonts w:ascii="Open Sans" w:hAnsi="Open Sans" w:cs="Open Sans"/>
        </w:rPr>
        <w:t xml:space="preserve">that </w:t>
      </w:r>
      <w:r w:rsidR="00A84A9D" w:rsidRPr="006125B9">
        <w:rPr>
          <w:rFonts w:ascii="Open Sans" w:hAnsi="Open Sans" w:cs="Open Sans"/>
        </w:rPr>
        <w:t xml:space="preserve">electricity storage should </w:t>
      </w:r>
      <w:r w:rsidR="00FD2B13" w:rsidRPr="006125B9">
        <w:rPr>
          <w:rFonts w:ascii="Open Sans" w:hAnsi="Open Sans" w:cs="Open Sans"/>
        </w:rPr>
        <w:t>be treated in a similar way and</w:t>
      </w:r>
      <w:r w:rsidR="00A84A9D" w:rsidRPr="006125B9">
        <w:rPr>
          <w:rFonts w:ascii="Open Sans" w:hAnsi="Open Sans" w:cs="Open Sans"/>
        </w:rPr>
        <w:t xml:space="preserve"> be entirely excluded from the NSIP regime.</w:t>
      </w:r>
    </w:p>
    <w:p w14:paraId="10186FB2" w14:textId="66A052B2" w:rsidR="00A84A9D" w:rsidRPr="00A84A9D" w:rsidRDefault="00A84A9D" w:rsidP="00D72A50">
      <w:pPr>
        <w:rPr>
          <w:rFonts w:ascii="Open Sans" w:hAnsi="Open Sans" w:cs="Open Sans"/>
        </w:rPr>
      </w:pPr>
      <w:r w:rsidRPr="00A84A9D">
        <w:rPr>
          <w:rFonts w:ascii="Open Sans" w:hAnsi="Open Sans" w:cs="Open Sans"/>
        </w:rPr>
        <w:t xml:space="preserve">We note that the proposals probably have in mind battery storage projects in the majority but that there are a range of energy storage </w:t>
      </w:r>
      <w:r w:rsidR="00C47D0E">
        <w:rPr>
          <w:rFonts w:ascii="Open Sans" w:hAnsi="Open Sans" w:cs="Open Sans"/>
        </w:rPr>
        <w:t>technologies</w:t>
      </w:r>
      <w:r w:rsidRPr="00A84A9D">
        <w:rPr>
          <w:rFonts w:ascii="Open Sans" w:hAnsi="Open Sans" w:cs="Open Sans"/>
        </w:rPr>
        <w:t xml:space="preserve"> to consider</w:t>
      </w:r>
      <w:r w:rsidR="00C47D0E">
        <w:rPr>
          <w:rFonts w:ascii="Open Sans" w:hAnsi="Open Sans" w:cs="Open Sans"/>
        </w:rPr>
        <w:t>, many of which have yet to be commercially deployed in the UK</w:t>
      </w:r>
      <w:bookmarkStart w:id="0" w:name="_GoBack"/>
      <w:bookmarkEnd w:id="0"/>
      <w:r w:rsidRPr="00A84A9D">
        <w:rPr>
          <w:rFonts w:ascii="Open Sans" w:hAnsi="Open Sans" w:cs="Open Sans"/>
        </w:rPr>
        <w:t>.</w:t>
      </w:r>
      <w:r w:rsidR="00FD2B13">
        <w:rPr>
          <w:rFonts w:ascii="Open Sans" w:hAnsi="Open Sans" w:cs="Open Sans"/>
        </w:rPr>
        <w:t xml:space="preserve"> As such, where a particular type of storage technology does raise significant planning or environmental impact concerns that warrant consideration under the NSIP regime, the REA considers it makes sense that the Secretary of State should retain a power to call in projects where it is necessary and </w:t>
      </w:r>
      <w:r w:rsidR="00B47D07">
        <w:rPr>
          <w:rFonts w:ascii="Open Sans" w:hAnsi="Open Sans" w:cs="Open Sans"/>
        </w:rPr>
        <w:t>proportionate</w:t>
      </w:r>
      <w:r w:rsidR="00FD2B13">
        <w:rPr>
          <w:rFonts w:ascii="Open Sans" w:hAnsi="Open Sans" w:cs="Open Sans"/>
        </w:rPr>
        <w:t xml:space="preserve"> to do so. </w:t>
      </w:r>
      <w:r w:rsidRPr="00A84A9D">
        <w:rPr>
          <w:rFonts w:ascii="Open Sans" w:hAnsi="Open Sans" w:cs="Open Sans"/>
        </w:rPr>
        <w:t xml:space="preserve"> </w:t>
      </w:r>
    </w:p>
    <w:p w14:paraId="1481CA72" w14:textId="77777777" w:rsidR="002102E1" w:rsidRDefault="002102E1" w:rsidP="00D72A50">
      <w:pPr>
        <w:rPr>
          <w:rFonts w:ascii="Open Sans" w:hAnsi="Open Sans" w:cs="Open Sans"/>
          <w:b/>
        </w:rPr>
      </w:pPr>
    </w:p>
    <w:p w14:paraId="52403587" w14:textId="77777777" w:rsidR="002102E1" w:rsidRDefault="002102E1" w:rsidP="00D72A50">
      <w:pPr>
        <w:rPr>
          <w:rFonts w:ascii="Open Sans" w:hAnsi="Open Sans" w:cs="Open Sans"/>
          <w:b/>
        </w:rPr>
      </w:pPr>
      <w:r w:rsidRPr="002102E1">
        <w:rPr>
          <w:rFonts w:ascii="Open Sans" w:hAnsi="Open Sans" w:cs="Open Sans"/>
          <w:b/>
        </w:rPr>
        <w:t xml:space="preserve">2. Do you agree that we should carve out electricity storage, except pumped hydro, from the offshore planning regime (NSIP and s.36 consent)? Please provide evidence to support your answer where appropriate. </w:t>
      </w:r>
    </w:p>
    <w:p w14:paraId="04526C24" w14:textId="77777777" w:rsidR="00A84A9D" w:rsidRDefault="00A84A9D" w:rsidP="00D72A50">
      <w:pPr>
        <w:rPr>
          <w:rFonts w:ascii="Open Sans" w:hAnsi="Open Sans" w:cs="Open Sans"/>
        </w:rPr>
      </w:pPr>
    </w:p>
    <w:p w14:paraId="690B4A5D" w14:textId="77777777" w:rsidR="002102E1" w:rsidRPr="00A84A9D" w:rsidRDefault="00A84A9D" w:rsidP="00D72A50">
      <w:pPr>
        <w:rPr>
          <w:rFonts w:ascii="Open Sans" w:hAnsi="Open Sans" w:cs="Open Sans"/>
        </w:rPr>
      </w:pPr>
      <w:r w:rsidRPr="00A84A9D">
        <w:rPr>
          <w:rFonts w:ascii="Open Sans" w:hAnsi="Open Sans" w:cs="Open Sans"/>
        </w:rPr>
        <w:t xml:space="preserve">Yes, for the reasons provided above. </w:t>
      </w:r>
    </w:p>
    <w:p w14:paraId="7130AED8" w14:textId="77777777" w:rsidR="002102E1" w:rsidRDefault="002102E1" w:rsidP="00D72A50">
      <w:pPr>
        <w:rPr>
          <w:rFonts w:ascii="Open Sans" w:hAnsi="Open Sans" w:cs="Open Sans"/>
          <w:b/>
        </w:rPr>
      </w:pPr>
    </w:p>
    <w:p w14:paraId="73B0853C" w14:textId="77777777" w:rsidR="00E073CB" w:rsidRPr="00966E91" w:rsidRDefault="002102E1" w:rsidP="00D72A50">
      <w:pPr>
        <w:rPr>
          <w:rFonts w:ascii="Open Sans" w:hAnsi="Open Sans" w:cs="Open Sans"/>
          <w:b/>
        </w:rPr>
      </w:pPr>
      <w:r w:rsidRPr="002102E1">
        <w:rPr>
          <w:rFonts w:ascii="Open Sans" w:hAnsi="Open Sans" w:cs="Open Sans"/>
          <w:b/>
        </w:rPr>
        <w:t>3. Do you have any comments on the draft legislation or transitional arrangements? Please specify which areas of the legislation you are referring to.</w:t>
      </w:r>
    </w:p>
    <w:p w14:paraId="55F436DF" w14:textId="77777777" w:rsidR="002102E1" w:rsidRDefault="002102E1" w:rsidP="00D72A50">
      <w:pPr>
        <w:rPr>
          <w:rFonts w:ascii="Open Sans" w:hAnsi="Open Sans" w:cs="Open Sans"/>
          <w:b/>
        </w:rPr>
      </w:pPr>
    </w:p>
    <w:p w14:paraId="1F07F236" w14:textId="6331D71D" w:rsidR="0061462C" w:rsidRDefault="002102E1" w:rsidP="00D72A50">
      <w:pPr>
        <w:rPr>
          <w:rFonts w:ascii="Open Sans" w:hAnsi="Open Sans" w:cs="Open Sans"/>
        </w:rPr>
      </w:pPr>
      <w:r w:rsidRPr="002102E1">
        <w:rPr>
          <w:rFonts w:ascii="Open Sans" w:hAnsi="Open Sans" w:cs="Open Sans"/>
        </w:rPr>
        <w:t xml:space="preserve">We </w:t>
      </w:r>
      <w:r w:rsidR="00C60463">
        <w:rPr>
          <w:rFonts w:ascii="Open Sans" w:hAnsi="Open Sans" w:cs="Open Sans"/>
        </w:rPr>
        <w:t xml:space="preserve">urge BEIS to reconsider its proposed transitional arrangements to ensure that storage projects receive a ‘fair’ treatment under the planning regime whether or not they are already being considered within the planning regime. For the reasons provided above, the REA </w:t>
      </w:r>
      <w:r w:rsidR="00860935">
        <w:rPr>
          <w:rFonts w:ascii="Open Sans" w:hAnsi="Open Sans" w:cs="Open Sans"/>
        </w:rPr>
        <w:t xml:space="preserve">agrees with BEIS </w:t>
      </w:r>
      <w:r w:rsidR="006125B9">
        <w:rPr>
          <w:rFonts w:ascii="Open Sans" w:hAnsi="Open Sans" w:cs="Open Sans"/>
        </w:rPr>
        <w:t>that</w:t>
      </w:r>
      <w:r w:rsidR="00C60463">
        <w:rPr>
          <w:rFonts w:ascii="Open Sans" w:hAnsi="Open Sans" w:cs="Open Sans"/>
        </w:rPr>
        <w:t xml:space="preserve"> it is much fairer to carve out electricity storage, except pumped hydro, from the NSIP regime</w:t>
      </w:r>
      <w:r w:rsidR="006125B9">
        <w:rPr>
          <w:rFonts w:ascii="Open Sans" w:hAnsi="Open Sans" w:cs="Open Sans"/>
        </w:rPr>
        <w:t xml:space="preserve"> than to continue to apply the 50MW threshold for ‘generation’</w:t>
      </w:r>
      <w:r w:rsidR="00C60463">
        <w:rPr>
          <w:rFonts w:ascii="Open Sans" w:hAnsi="Open Sans" w:cs="Open Sans"/>
        </w:rPr>
        <w:t xml:space="preserve">. Therefore, BEIS’s proposal to keep storage projects that are already in the NSIP regime when the changes are introduced </w:t>
      </w:r>
      <w:r w:rsidR="00860935">
        <w:rPr>
          <w:rFonts w:ascii="Open Sans" w:hAnsi="Open Sans" w:cs="Open Sans"/>
        </w:rPr>
        <w:t>is logically inconsistent with the overall direction of the latest proposals</w:t>
      </w:r>
      <w:r w:rsidR="00575009">
        <w:rPr>
          <w:rFonts w:ascii="Open Sans" w:hAnsi="Open Sans" w:cs="Open Sans"/>
        </w:rPr>
        <w:t xml:space="preserve"> and would extend and perpetuate the ‘unfair’ treatment of those projects</w:t>
      </w:r>
      <w:r w:rsidR="00860935">
        <w:rPr>
          <w:rFonts w:ascii="Open Sans" w:hAnsi="Open Sans" w:cs="Open Sans"/>
        </w:rPr>
        <w:t xml:space="preserve">. </w:t>
      </w:r>
    </w:p>
    <w:p w14:paraId="6CF39A14" w14:textId="711BB76E" w:rsidR="00557004" w:rsidRDefault="00557004" w:rsidP="00D72A50">
      <w:pPr>
        <w:rPr>
          <w:rFonts w:ascii="Open Sans" w:hAnsi="Open Sans" w:cs="Open Sans"/>
        </w:rPr>
      </w:pPr>
    </w:p>
    <w:p w14:paraId="4F58DFEF" w14:textId="759568C0" w:rsidR="00557004" w:rsidRDefault="00557004" w:rsidP="00D72A50">
      <w:pPr>
        <w:rPr>
          <w:rFonts w:ascii="Open Sans" w:hAnsi="Open Sans" w:cs="Open Sans"/>
        </w:rPr>
      </w:pPr>
      <w:r>
        <w:rPr>
          <w:rFonts w:ascii="Open Sans" w:hAnsi="Open Sans" w:cs="Open Sans"/>
        </w:rPr>
        <w:t xml:space="preserve">As such, we call on BEIS to revise </w:t>
      </w:r>
      <w:r w:rsidR="00C4070F">
        <w:rPr>
          <w:rFonts w:ascii="Open Sans" w:hAnsi="Open Sans" w:cs="Open Sans"/>
        </w:rPr>
        <w:t xml:space="preserve">article 5 </w:t>
      </w:r>
      <w:r w:rsidR="00AA3C9C">
        <w:rPr>
          <w:rFonts w:ascii="Open Sans" w:hAnsi="Open Sans" w:cs="Open Sans"/>
        </w:rPr>
        <w:t xml:space="preserve">of </w:t>
      </w:r>
      <w:r w:rsidR="00C4070F">
        <w:rPr>
          <w:rFonts w:ascii="Open Sans" w:hAnsi="Open Sans" w:cs="Open Sans"/>
        </w:rPr>
        <w:t>t</w:t>
      </w:r>
      <w:r w:rsidR="00C4070F" w:rsidRPr="00C4070F">
        <w:rPr>
          <w:rFonts w:ascii="Open Sans" w:hAnsi="Open Sans" w:cs="Open Sans"/>
        </w:rPr>
        <w:t xml:space="preserve">he </w:t>
      </w:r>
      <w:r w:rsidR="00C4070F">
        <w:rPr>
          <w:rFonts w:ascii="Open Sans" w:hAnsi="Open Sans" w:cs="Open Sans"/>
        </w:rPr>
        <w:t xml:space="preserve">draft </w:t>
      </w:r>
      <w:r w:rsidR="00C4070F" w:rsidRPr="00C4070F">
        <w:rPr>
          <w:rFonts w:ascii="Open Sans" w:hAnsi="Open Sans" w:cs="Open Sans"/>
        </w:rPr>
        <w:t xml:space="preserve">Infrastructure Planning (Electricity Storage Facilities) Order </w:t>
      </w:r>
      <w:r w:rsidR="00C4070F">
        <w:rPr>
          <w:rFonts w:ascii="Open Sans" w:hAnsi="Open Sans" w:cs="Open Sans"/>
        </w:rPr>
        <w:t xml:space="preserve">together with any necessary consequential amendments so that where an application for DCO under the NSIP has already been accepted but not decided, that the application should be decided under the new regime introduced by these proposals. </w:t>
      </w:r>
    </w:p>
    <w:p w14:paraId="70524F29" w14:textId="77777777" w:rsidR="0061462C" w:rsidRDefault="0061462C" w:rsidP="00D72A50">
      <w:pPr>
        <w:rPr>
          <w:rFonts w:ascii="Open Sans" w:hAnsi="Open Sans" w:cs="Open Sans"/>
        </w:rPr>
      </w:pPr>
    </w:p>
    <w:p w14:paraId="14E9EE65" w14:textId="3971E444" w:rsidR="002102E1" w:rsidRPr="002102E1" w:rsidRDefault="00C4070F" w:rsidP="00D72A50">
      <w:pPr>
        <w:rPr>
          <w:rFonts w:ascii="Open Sans" w:hAnsi="Open Sans" w:cs="Open Sans"/>
        </w:rPr>
      </w:pPr>
      <w:r>
        <w:rPr>
          <w:rFonts w:ascii="Open Sans" w:hAnsi="Open Sans" w:cs="Open Sans"/>
        </w:rPr>
        <w:t>Finally, w</w:t>
      </w:r>
      <w:r w:rsidR="0061462C">
        <w:rPr>
          <w:rFonts w:ascii="Open Sans" w:hAnsi="Open Sans" w:cs="Open Sans"/>
        </w:rPr>
        <w:t xml:space="preserve">e </w:t>
      </w:r>
      <w:r w:rsidR="002102E1">
        <w:rPr>
          <w:rFonts w:ascii="Open Sans" w:hAnsi="Open Sans" w:cs="Open Sans"/>
        </w:rPr>
        <w:t>reitera</w:t>
      </w:r>
      <w:r w:rsidR="000A6627">
        <w:rPr>
          <w:rFonts w:ascii="Open Sans" w:hAnsi="Open Sans" w:cs="Open Sans"/>
        </w:rPr>
        <w:t xml:space="preserve">te that in our view there must </w:t>
      </w:r>
      <w:r w:rsidR="002102E1">
        <w:rPr>
          <w:rFonts w:ascii="Open Sans" w:hAnsi="Open Sans" w:cs="Open Sans"/>
        </w:rPr>
        <w:t xml:space="preserve">be a separate asset class or definition enshrined in primary legislation for energy storage. The REA will gather further evidence on this to inform the debate. </w:t>
      </w:r>
    </w:p>
    <w:p w14:paraId="6D6B42F3" w14:textId="77777777" w:rsidR="002102E1" w:rsidRDefault="002102E1" w:rsidP="00D72A50">
      <w:pPr>
        <w:rPr>
          <w:rFonts w:ascii="Open Sans" w:hAnsi="Open Sans" w:cs="Open Sans"/>
          <w:b/>
        </w:rPr>
      </w:pPr>
    </w:p>
    <w:p w14:paraId="46F44F33" w14:textId="77777777" w:rsidR="002102E1" w:rsidRDefault="002102E1" w:rsidP="00D72A50">
      <w:pPr>
        <w:rPr>
          <w:rFonts w:ascii="Open Sans" w:hAnsi="Open Sans" w:cs="Open Sans"/>
          <w:b/>
        </w:rPr>
      </w:pPr>
    </w:p>
    <w:p w14:paraId="258F3929" w14:textId="77777777" w:rsidR="00D72A50" w:rsidRPr="00966E91" w:rsidRDefault="00AC73F5" w:rsidP="00D72A50">
      <w:pPr>
        <w:rPr>
          <w:rFonts w:ascii="Open Sans" w:hAnsi="Open Sans" w:cs="Open Sans"/>
          <w:b/>
        </w:rPr>
      </w:pPr>
      <w:r w:rsidRPr="00966E91">
        <w:rPr>
          <w:rFonts w:ascii="Open Sans" w:hAnsi="Open Sans" w:cs="Open Sans"/>
          <w:b/>
        </w:rPr>
        <w:t>Conclusion</w:t>
      </w:r>
    </w:p>
    <w:p w14:paraId="0290A760" w14:textId="77777777" w:rsidR="00EF6878" w:rsidRDefault="00EF6878" w:rsidP="008B4521">
      <w:pPr>
        <w:jc w:val="left"/>
        <w:rPr>
          <w:rFonts w:ascii="Open Sans" w:hAnsi="Open Sans" w:cs="Open Sans"/>
        </w:rPr>
      </w:pPr>
      <w:r>
        <w:rPr>
          <w:rFonts w:ascii="Open Sans" w:hAnsi="Open Sans" w:cs="Open Sans"/>
        </w:rPr>
        <w:lastRenderedPageBreak/>
        <w:t>The REA strongly</w:t>
      </w:r>
      <w:r w:rsidR="00B672BB" w:rsidRPr="00966E91">
        <w:rPr>
          <w:rFonts w:ascii="Open Sans" w:hAnsi="Open Sans" w:cs="Open Sans"/>
        </w:rPr>
        <w:t xml:space="preserve"> welcome the proposal regarding storage projects</w:t>
      </w:r>
      <w:r>
        <w:rPr>
          <w:rFonts w:ascii="Open Sans" w:hAnsi="Open Sans" w:cs="Open Sans"/>
        </w:rPr>
        <w:t xml:space="preserve"> in the planning regime and support the work BEIS has done in this area.</w:t>
      </w:r>
    </w:p>
    <w:p w14:paraId="0271BA50" w14:textId="77777777" w:rsidR="00EF6878" w:rsidRDefault="00EF6878" w:rsidP="008B4521">
      <w:pPr>
        <w:jc w:val="left"/>
        <w:rPr>
          <w:rFonts w:ascii="Open Sans" w:hAnsi="Open Sans" w:cs="Open Sans"/>
        </w:rPr>
      </w:pPr>
    </w:p>
    <w:p w14:paraId="60053786" w14:textId="17C52978" w:rsidR="005A12F0" w:rsidRPr="00966E91" w:rsidRDefault="00EF6878" w:rsidP="008B4521">
      <w:pPr>
        <w:jc w:val="left"/>
        <w:rPr>
          <w:rFonts w:ascii="Open Sans" w:hAnsi="Open Sans" w:cs="Open Sans"/>
        </w:rPr>
      </w:pPr>
      <w:r>
        <w:rPr>
          <w:rFonts w:ascii="Open Sans" w:hAnsi="Open Sans" w:cs="Open Sans"/>
        </w:rPr>
        <w:t>W</w:t>
      </w:r>
      <w:r w:rsidR="00B672BB" w:rsidRPr="00966E91">
        <w:rPr>
          <w:rFonts w:ascii="Open Sans" w:hAnsi="Open Sans" w:cs="Open Sans"/>
        </w:rPr>
        <w:t xml:space="preserve">e </w:t>
      </w:r>
      <w:r w:rsidR="004F2F87" w:rsidRPr="00966E91">
        <w:rPr>
          <w:rFonts w:ascii="Open Sans" w:hAnsi="Open Sans" w:cs="Open Sans"/>
        </w:rPr>
        <w:t xml:space="preserve">believe </w:t>
      </w:r>
      <w:r>
        <w:rPr>
          <w:rFonts w:ascii="Open Sans" w:hAnsi="Open Sans" w:cs="Open Sans"/>
        </w:rPr>
        <w:t xml:space="preserve">the </w:t>
      </w:r>
      <w:r w:rsidR="004F2F87" w:rsidRPr="00966E91">
        <w:rPr>
          <w:rFonts w:ascii="Open Sans" w:hAnsi="Open Sans" w:cs="Open Sans"/>
        </w:rPr>
        <w:t xml:space="preserve">case </w:t>
      </w:r>
      <w:r>
        <w:rPr>
          <w:rFonts w:ascii="Open Sans" w:hAnsi="Open Sans" w:cs="Open Sans"/>
        </w:rPr>
        <w:t xml:space="preserve">is </w:t>
      </w:r>
      <w:r w:rsidR="00E85400">
        <w:rPr>
          <w:rFonts w:ascii="Open Sans" w:hAnsi="Open Sans" w:cs="Open Sans"/>
        </w:rPr>
        <w:t xml:space="preserve">strong </w:t>
      </w:r>
      <w:r w:rsidR="004F2F87" w:rsidRPr="00966E91">
        <w:rPr>
          <w:rFonts w:ascii="Open Sans" w:hAnsi="Open Sans" w:cs="Open Sans"/>
        </w:rPr>
        <w:t xml:space="preserve">for </w:t>
      </w:r>
      <w:r w:rsidR="00212952" w:rsidRPr="00966E91">
        <w:rPr>
          <w:rFonts w:ascii="Open Sans" w:hAnsi="Open Sans" w:cs="Open Sans"/>
        </w:rPr>
        <w:t>exempting storage entirely</w:t>
      </w:r>
      <w:r w:rsidR="00E85400">
        <w:rPr>
          <w:rFonts w:ascii="Open Sans" w:hAnsi="Open Sans" w:cs="Open Sans"/>
        </w:rPr>
        <w:t xml:space="preserve"> from the NSIP regime</w:t>
      </w:r>
      <w:r w:rsidR="004F2F87" w:rsidRPr="00966E91">
        <w:rPr>
          <w:rFonts w:ascii="Open Sans" w:hAnsi="Open Sans" w:cs="Open Sans"/>
        </w:rPr>
        <w:t xml:space="preserve">, based on the </w:t>
      </w:r>
      <w:r w:rsidR="00AA3C9C">
        <w:rPr>
          <w:rFonts w:ascii="Open Sans" w:hAnsi="Open Sans" w:cs="Open Sans"/>
        </w:rPr>
        <w:t>disproportionate impact of</w:t>
      </w:r>
      <w:r w:rsidR="004F2F87" w:rsidRPr="00966E91">
        <w:rPr>
          <w:rFonts w:ascii="Open Sans" w:hAnsi="Open Sans" w:cs="Open Sans"/>
        </w:rPr>
        <w:t xml:space="preserve"> development costs </w:t>
      </w:r>
      <w:r w:rsidR="00AA3C9C">
        <w:rPr>
          <w:rFonts w:ascii="Open Sans" w:hAnsi="Open Sans" w:cs="Open Sans"/>
        </w:rPr>
        <w:t xml:space="preserve">for storage projects </w:t>
      </w:r>
      <w:r w:rsidR="004F2F87" w:rsidRPr="00966E91">
        <w:rPr>
          <w:rFonts w:ascii="Open Sans" w:hAnsi="Open Sans" w:cs="Open Sans"/>
        </w:rPr>
        <w:t xml:space="preserve">(a case study shows this to be a third of total development costs), relatively uncontroversial nature of most technologies, </w:t>
      </w:r>
      <w:r w:rsidR="0061462C">
        <w:rPr>
          <w:rFonts w:ascii="Open Sans" w:hAnsi="Open Sans" w:cs="Open Sans"/>
        </w:rPr>
        <w:t xml:space="preserve">the vastly reduced visual, land and environmental impact of storage projects compared to other types of generation of a comparable MW size, </w:t>
      </w:r>
      <w:r w:rsidR="004F2F87" w:rsidRPr="00966E91">
        <w:rPr>
          <w:rFonts w:ascii="Open Sans" w:hAnsi="Open Sans" w:cs="Open Sans"/>
        </w:rPr>
        <w:t xml:space="preserve">additional time required that this results in for such projects and enhanced system benefits that they provide. </w:t>
      </w:r>
    </w:p>
    <w:p w14:paraId="433003D0" w14:textId="77777777" w:rsidR="004F2F87" w:rsidRPr="00966E91" w:rsidRDefault="004F2F87" w:rsidP="008B4521">
      <w:pPr>
        <w:jc w:val="left"/>
        <w:rPr>
          <w:rFonts w:ascii="Open Sans" w:hAnsi="Open Sans" w:cs="Open Sans"/>
        </w:rPr>
      </w:pPr>
    </w:p>
    <w:p w14:paraId="240F2997" w14:textId="01D494BF" w:rsidR="00B672BB" w:rsidRDefault="00EF6878" w:rsidP="008B4521">
      <w:pPr>
        <w:jc w:val="left"/>
        <w:rPr>
          <w:rFonts w:ascii="Open Sans" w:hAnsi="Open Sans" w:cs="Open Sans"/>
        </w:rPr>
      </w:pPr>
      <w:r>
        <w:rPr>
          <w:rFonts w:ascii="Open Sans" w:hAnsi="Open Sans" w:cs="Open Sans"/>
        </w:rPr>
        <w:t>This will help ease the pressures on projects f</w:t>
      </w:r>
      <w:r w:rsidR="0061462C">
        <w:rPr>
          <w:rFonts w:ascii="Open Sans" w:hAnsi="Open Sans" w:cs="Open Sans"/>
        </w:rPr>
        <w:t>r</w:t>
      </w:r>
      <w:r>
        <w:rPr>
          <w:rFonts w:ascii="Open Sans" w:hAnsi="Open Sans" w:cs="Open Sans"/>
        </w:rPr>
        <w:t>om continued lack of route to market, grid connection and use of system charges, and higher level economic changes.</w:t>
      </w:r>
    </w:p>
    <w:p w14:paraId="74BB5653" w14:textId="77777777" w:rsidR="00EF6878" w:rsidRDefault="00EF6878" w:rsidP="008B4521">
      <w:pPr>
        <w:jc w:val="left"/>
        <w:rPr>
          <w:rFonts w:ascii="Open Sans" w:hAnsi="Open Sans" w:cs="Open Sans"/>
        </w:rPr>
      </w:pPr>
    </w:p>
    <w:p w14:paraId="51EBB180" w14:textId="0B99A188" w:rsidR="00EF6878" w:rsidRDefault="00EF6878" w:rsidP="008B4521">
      <w:pPr>
        <w:jc w:val="left"/>
        <w:rPr>
          <w:rFonts w:ascii="Open Sans" w:hAnsi="Open Sans" w:cs="Open Sans"/>
        </w:rPr>
      </w:pPr>
      <w:r>
        <w:rPr>
          <w:rFonts w:ascii="Open Sans" w:hAnsi="Open Sans" w:cs="Open Sans"/>
        </w:rPr>
        <w:t>The REA would also like to see an update to the Smart Systems and Flexibility Plan in 2020</w:t>
      </w:r>
      <w:r w:rsidR="00AA3C9C">
        <w:rPr>
          <w:rFonts w:ascii="Open Sans" w:hAnsi="Open Sans" w:cs="Open Sans"/>
        </w:rPr>
        <w:t xml:space="preserve"> that provides a holistic and fully coordinated program of reform that provides consistent signals for flexibility</w:t>
      </w:r>
      <w:r>
        <w:rPr>
          <w:rFonts w:ascii="Open Sans" w:hAnsi="Open Sans" w:cs="Open Sans"/>
        </w:rPr>
        <w:t xml:space="preserve">, building on the positive work by BEIS and Ofgem here, and would be happy to assist with the development of this where possible. We believe this should include a commitment to develop a standalone definition or asset class for energy storage in the energy system. </w:t>
      </w:r>
    </w:p>
    <w:p w14:paraId="5A05655F" w14:textId="77777777" w:rsidR="00EF6878" w:rsidRPr="00966E91" w:rsidRDefault="00EF6878" w:rsidP="008B4521">
      <w:pPr>
        <w:jc w:val="left"/>
        <w:rPr>
          <w:rFonts w:ascii="Open Sans" w:hAnsi="Open Sans" w:cs="Open Sans"/>
        </w:rPr>
      </w:pPr>
    </w:p>
    <w:p w14:paraId="1C0EE09B" w14:textId="77777777" w:rsidR="00B672BB" w:rsidRPr="00966E91" w:rsidRDefault="00B672BB" w:rsidP="008B4521">
      <w:pPr>
        <w:jc w:val="left"/>
        <w:rPr>
          <w:rFonts w:ascii="Open Sans" w:hAnsi="Open Sans" w:cs="Open Sans"/>
        </w:rPr>
      </w:pPr>
      <w:r w:rsidRPr="00966E91">
        <w:rPr>
          <w:rFonts w:ascii="Open Sans" w:hAnsi="Open Sans" w:cs="Open Sans"/>
        </w:rPr>
        <w:t>Please do not hesitate to contact us (</w:t>
      </w:r>
      <w:hyperlink r:id="rId8" w:history="1">
        <w:r w:rsidR="001E7953" w:rsidRPr="00966E91">
          <w:rPr>
            <w:rStyle w:val="Hyperlink"/>
            <w:rFonts w:ascii="Open Sans" w:hAnsi="Open Sans" w:cs="Open Sans"/>
          </w:rPr>
          <w:t>Frank Gordon</w:t>
        </w:r>
      </w:hyperlink>
      <w:r w:rsidRPr="00966E91">
        <w:rPr>
          <w:rFonts w:ascii="Open Sans" w:hAnsi="Open Sans" w:cs="Open Sans"/>
        </w:rPr>
        <w:t>) to discuss any of the content in this response further.</w:t>
      </w:r>
    </w:p>
    <w:p w14:paraId="01CB4DCA" w14:textId="77777777" w:rsidR="005A12F0" w:rsidRPr="00966E91" w:rsidRDefault="005A12F0" w:rsidP="001F503B">
      <w:pPr>
        <w:jc w:val="left"/>
        <w:rPr>
          <w:rFonts w:ascii="Open Sans" w:hAnsi="Open Sans" w:cs="Open Sans"/>
        </w:rPr>
      </w:pPr>
    </w:p>
    <w:p w14:paraId="6F73E9B0" w14:textId="77777777" w:rsidR="00E073CB" w:rsidRPr="00966E91" w:rsidRDefault="00E073CB" w:rsidP="001F503B">
      <w:pPr>
        <w:jc w:val="left"/>
        <w:rPr>
          <w:rFonts w:ascii="Open Sans" w:hAnsi="Open Sans" w:cs="Open Sans"/>
        </w:rPr>
      </w:pPr>
    </w:p>
    <w:p w14:paraId="4CD904B1" w14:textId="77777777" w:rsidR="00D72A50" w:rsidRPr="008D3E30" w:rsidRDefault="006A1652" w:rsidP="008D3E30">
      <w:pPr>
        <w:jc w:val="right"/>
        <w:rPr>
          <w:b/>
        </w:rPr>
      </w:pPr>
      <w:r w:rsidRPr="00966E91">
        <w:rPr>
          <w:rFonts w:ascii="Open Sans" w:hAnsi="Open Sans" w:cs="Open Sans"/>
          <w:b/>
        </w:rPr>
        <w:t xml:space="preserve">REA, </w:t>
      </w:r>
      <w:r w:rsidR="00603613">
        <w:rPr>
          <w:rFonts w:ascii="Open Sans" w:hAnsi="Open Sans" w:cs="Open Sans"/>
          <w:b/>
        </w:rPr>
        <w:t>December</w:t>
      </w:r>
      <w:r w:rsidR="00DC1C73" w:rsidRPr="00966E91">
        <w:rPr>
          <w:rFonts w:ascii="Open Sans" w:hAnsi="Open Sans" w:cs="Open Sans"/>
          <w:b/>
        </w:rPr>
        <w:t xml:space="preserve"> 2019</w:t>
      </w:r>
    </w:p>
    <w:sectPr w:rsidR="00D72A50" w:rsidRPr="008D3E30" w:rsidSect="008971F1">
      <w:headerReference w:type="default" r:id="rId9"/>
      <w:footerReference w:type="even" r:id="rId10"/>
      <w:footerReference w:type="default" r:id="rId11"/>
      <w:headerReference w:type="first" r:id="rId12"/>
      <w:footerReference w:type="first" r:id="rId13"/>
      <w:pgSz w:w="11906" w:h="16838"/>
      <w:pgMar w:top="900" w:right="1134" w:bottom="1440" w:left="1701"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53505" w14:textId="77777777" w:rsidR="003D000A" w:rsidRDefault="003D000A">
      <w:r>
        <w:separator/>
      </w:r>
    </w:p>
  </w:endnote>
  <w:endnote w:type="continuationSeparator" w:id="0">
    <w:p w14:paraId="7DC0268F" w14:textId="77777777" w:rsidR="003D000A" w:rsidRDefault="003D000A">
      <w:r>
        <w:continuationSeparator/>
      </w:r>
    </w:p>
  </w:endnote>
  <w:endnote w:type="continuationNotice" w:id="1">
    <w:p w14:paraId="0621E6EB" w14:textId="77777777" w:rsidR="003D000A" w:rsidRDefault="003D0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 garde">
    <w:altName w:val="Century Gothic"/>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Open Sans">
    <w:altName w:val="Verdan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EDF8" w14:textId="77777777" w:rsidR="005B69C2" w:rsidRDefault="00F0589D" w:rsidP="006643C5">
    <w:pPr>
      <w:pStyle w:val="Footer"/>
      <w:framePr w:wrap="around" w:vAnchor="text" w:hAnchor="margin" w:xAlign="right" w:y="1"/>
      <w:rPr>
        <w:rStyle w:val="PageNumber"/>
      </w:rPr>
    </w:pPr>
    <w:r>
      <w:rPr>
        <w:rStyle w:val="PageNumber"/>
      </w:rPr>
      <w:fldChar w:fldCharType="begin"/>
    </w:r>
    <w:r w:rsidR="005B69C2">
      <w:rPr>
        <w:rStyle w:val="PageNumber"/>
      </w:rPr>
      <w:instrText xml:space="preserve">PAGE  </w:instrText>
    </w:r>
    <w:r>
      <w:rPr>
        <w:rStyle w:val="PageNumber"/>
      </w:rPr>
      <w:fldChar w:fldCharType="separate"/>
    </w:r>
    <w:r w:rsidR="005B69C2">
      <w:rPr>
        <w:rStyle w:val="PageNumber"/>
        <w:noProof/>
      </w:rPr>
      <w:t>19</w:t>
    </w:r>
    <w:r>
      <w:rPr>
        <w:rStyle w:val="PageNumber"/>
      </w:rPr>
      <w:fldChar w:fldCharType="end"/>
    </w:r>
  </w:p>
  <w:p w14:paraId="1B5E1824" w14:textId="77777777" w:rsidR="005B69C2" w:rsidRDefault="005B69C2" w:rsidP="007D5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C3E85" w14:textId="0C3CE3B5" w:rsidR="005B69C2" w:rsidRDefault="00F0589D" w:rsidP="006643C5">
    <w:pPr>
      <w:pStyle w:val="Footer"/>
      <w:framePr w:wrap="around" w:vAnchor="text" w:hAnchor="margin" w:xAlign="right" w:y="1"/>
      <w:rPr>
        <w:rStyle w:val="PageNumber"/>
      </w:rPr>
    </w:pPr>
    <w:r>
      <w:rPr>
        <w:rStyle w:val="PageNumber"/>
      </w:rPr>
      <w:fldChar w:fldCharType="begin"/>
    </w:r>
    <w:r w:rsidR="005B69C2">
      <w:rPr>
        <w:rStyle w:val="PageNumber"/>
      </w:rPr>
      <w:instrText xml:space="preserve">PAGE  </w:instrText>
    </w:r>
    <w:r>
      <w:rPr>
        <w:rStyle w:val="PageNumber"/>
      </w:rPr>
      <w:fldChar w:fldCharType="separate"/>
    </w:r>
    <w:r w:rsidR="004D5486">
      <w:rPr>
        <w:rStyle w:val="PageNumber"/>
        <w:noProof/>
      </w:rPr>
      <w:t>5</w:t>
    </w:r>
    <w:r>
      <w:rPr>
        <w:rStyle w:val="PageNumber"/>
      </w:rPr>
      <w:fldChar w:fldCharType="end"/>
    </w:r>
  </w:p>
  <w:p w14:paraId="1F87774B" w14:textId="77777777" w:rsidR="005B69C2" w:rsidRDefault="005B69C2" w:rsidP="007D575F">
    <w:pPr>
      <w:pStyle w:val="Footer"/>
      <w:tabs>
        <w:tab w:val="clear" w:pos="4153"/>
        <w:tab w:val="clear" w:pos="8306"/>
        <w:tab w:val="center" w:pos="5103"/>
        <w:tab w:val="right" w:pos="8222"/>
      </w:tabs>
      <w:ind w:left="-1134"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12EF" w14:textId="77777777" w:rsidR="005B69C2" w:rsidRPr="00C509D2" w:rsidRDefault="00D72A50" w:rsidP="00FD0462">
    <w:pPr>
      <w:pStyle w:val="Footer"/>
      <w:tabs>
        <w:tab w:val="clear" w:pos="4153"/>
        <w:tab w:val="clear" w:pos="8306"/>
        <w:tab w:val="center" w:pos="3402"/>
        <w:tab w:val="right" w:pos="9072"/>
      </w:tabs>
      <w:rPr>
        <w:rFonts w:cs="Arial"/>
        <w:color w:val="999999"/>
        <w:sz w:val="16"/>
      </w:rPr>
    </w:pPr>
    <w:r>
      <w:rPr>
        <w:rFonts w:cs="Arial"/>
        <w:color w:val="999999"/>
        <w:sz w:val="16"/>
      </w:rPr>
      <w:t>80 Strand</w:t>
    </w:r>
    <w:r w:rsidR="00533753">
      <w:rPr>
        <w:rFonts w:cs="Arial"/>
        <w:color w:val="999999"/>
        <w:sz w:val="16"/>
      </w:rPr>
      <w:t xml:space="preserve">, </w:t>
    </w:r>
    <w:r w:rsidR="005B69C2" w:rsidRPr="00C509D2">
      <w:rPr>
        <w:rFonts w:cs="Arial"/>
        <w:color w:val="999999"/>
        <w:sz w:val="16"/>
      </w:rPr>
      <w:tab/>
    </w:r>
    <w:r w:rsidR="009B7DE0">
      <w:rPr>
        <w:rFonts w:cs="Arial"/>
        <w:color w:val="999999"/>
        <w:sz w:val="16"/>
      </w:rPr>
      <w:t xml:space="preserve">                 </w:t>
    </w:r>
    <w:r w:rsidR="005B69C2" w:rsidRPr="00C509D2">
      <w:rPr>
        <w:rFonts w:cs="Arial"/>
        <w:color w:val="999999"/>
        <w:sz w:val="16"/>
      </w:rPr>
      <w:t>Tel: 020 7925 3570</w:t>
    </w:r>
    <w:r w:rsidR="005B69C2" w:rsidRPr="00C509D2">
      <w:rPr>
        <w:rFonts w:cs="Arial"/>
        <w:color w:val="999999"/>
        <w:sz w:val="16"/>
      </w:rPr>
      <w:tab/>
    </w:r>
    <w:hyperlink r:id="rId1" w:history="1">
      <w:r w:rsidR="005B69C2" w:rsidRPr="00C509D2">
        <w:rPr>
          <w:rStyle w:val="Hyperlink"/>
          <w:sz w:val="16"/>
        </w:rPr>
        <w:t>http://www.r-e-a.net/</w:t>
      </w:r>
    </w:hyperlink>
  </w:p>
  <w:p w14:paraId="75822BAB" w14:textId="77777777" w:rsidR="005B69C2" w:rsidRDefault="005B69C2" w:rsidP="00767B11">
    <w:pPr>
      <w:jc w:val="left"/>
      <w:rPr>
        <w:rFonts w:cs="Arial"/>
        <w:color w:val="999999"/>
        <w:sz w:val="16"/>
      </w:rPr>
    </w:pPr>
    <w:r w:rsidRPr="00C509D2">
      <w:rPr>
        <w:rFonts w:cs="Arial"/>
        <w:color w:val="999999"/>
        <w:sz w:val="16"/>
      </w:rPr>
      <w:t>London</w:t>
    </w:r>
    <w:r w:rsidR="00533753">
      <w:rPr>
        <w:rFonts w:cs="Arial"/>
        <w:color w:val="999999"/>
        <w:sz w:val="16"/>
      </w:rPr>
      <w:t>,</w:t>
    </w:r>
    <w:r w:rsidRPr="00C509D2">
      <w:rPr>
        <w:rFonts w:cs="Arial"/>
        <w:color w:val="999999"/>
        <w:sz w:val="16"/>
      </w:rPr>
      <w:t xml:space="preserve">  </w:t>
    </w:r>
    <w:r w:rsidR="00D72A50">
      <w:rPr>
        <w:rFonts w:cs="Arial"/>
        <w:color w:val="999999"/>
        <w:sz w:val="16"/>
      </w:rPr>
      <w:t>WC2R 0DT</w:t>
    </w:r>
  </w:p>
  <w:p w14:paraId="1DD23EF4" w14:textId="77777777" w:rsidR="00452265" w:rsidRDefault="00452265" w:rsidP="00767B11">
    <w:pPr>
      <w:jc w:val="left"/>
      <w:rPr>
        <w:rFonts w:cs="Arial"/>
        <w:color w:val="999999"/>
        <w:sz w:val="16"/>
      </w:rPr>
    </w:pPr>
  </w:p>
  <w:p w14:paraId="25C5C59F" w14:textId="77777777" w:rsidR="00452265" w:rsidRPr="00452265" w:rsidRDefault="00452265" w:rsidP="00452265">
    <w:pPr>
      <w:jc w:val="left"/>
      <w:rPr>
        <w:sz w:val="16"/>
        <w:szCs w:val="16"/>
      </w:rPr>
    </w:pPr>
    <w:r w:rsidRPr="00452265">
      <w:rPr>
        <w:i/>
        <w:iCs/>
        <w:sz w:val="16"/>
        <w:szCs w:val="16"/>
      </w:rPr>
      <w:t>The information and opinions within this briefing are for information purposes only. They are not intended to constitute legal or other professional advice, and should not be relied on or treated as a substitute for specific advice relevant to particular circumstances. The Renewable Energy Association, or any of its subsidiaries, shall accept no responsibility for any errors, omissions or misleading statements in this briefing, or for any loss which may arise from reliance on materials contained in it.</w:t>
    </w:r>
  </w:p>
  <w:p w14:paraId="2F3B3A55" w14:textId="77777777" w:rsidR="00452265" w:rsidRPr="00C509D2" w:rsidRDefault="00452265" w:rsidP="00452265">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92844" w14:textId="77777777" w:rsidR="003D000A" w:rsidRDefault="003D000A">
      <w:r>
        <w:separator/>
      </w:r>
    </w:p>
  </w:footnote>
  <w:footnote w:type="continuationSeparator" w:id="0">
    <w:p w14:paraId="0B573801" w14:textId="77777777" w:rsidR="003D000A" w:rsidRDefault="003D000A">
      <w:r>
        <w:continuationSeparator/>
      </w:r>
    </w:p>
  </w:footnote>
  <w:footnote w:type="continuationNotice" w:id="1">
    <w:p w14:paraId="6D19FD2B" w14:textId="77777777" w:rsidR="003D000A" w:rsidRDefault="003D0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3BAF0" w14:textId="77777777" w:rsidR="005B69C2" w:rsidRPr="00A65B78" w:rsidRDefault="00005A29" w:rsidP="00A65B78">
    <w:pPr>
      <w:pStyle w:val="Header"/>
      <w:jc w:val="center"/>
      <w:rPr>
        <w:i/>
      </w:rPr>
    </w:pPr>
    <w:r>
      <w:rPr>
        <w:i/>
      </w:rPr>
      <w:t xml:space="preserve">Follow up </w:t>
    </w:r>
    <w:r w:rsidR="00B90572">
      <w:rPr>
        <w:i/>
      </w:rPr>
      <w:t>Planning for Energy Storage</w:t>
    </w:r>
    <w:r w:rsidR="00D72A50">
      <w:rPr>
        <w:i/>
      </w:rPr>
      <w:t xml:space="preserve"> Consultation</w:t>
    </w:r>
    <w:r w:rsidR="005B69C2">
      <w:rPr>
        <w:i/>
      </w:rPr>
      <w:t xml:space="preserve"> – REA </w:t>
    </w:r>
    <w:r w:rsidR="00CA47C9">
      <w:rPr>
        <w:i/>
      </w:rPr>
      <w:t>Response</w:t>
    </w:r>
  </w:p>
  <w:p w14:paraId="5AD74D5F" w14:textId="77777777" w:rsidR="005B69C2" w:rsidRDefault="005B6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D8842" w14:textId="77777777" w:rsidR="005B69C2" w:rsidRDefault="00966E91" w:rsidP="00767B11">
    <w:pPr>
      <w:pStyle w:val="Header"/>
      <w:jc w:val="right"/>
    </w:pPr>
    <w:r>
      <w:rPr>
        <w:noProof/>
        <w:lang w:val="en-US"/>
      </w:rPr>
      <w:drawing>
        <wp:inline distT="0" distB="0" distL="0" distR="0" wp14:anchorId="202DE90D" wp14:editId="1C526C65">
          <wp:extent cx="1427906"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_logo_rgb_HR_cropped s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726" cy="7438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6AAF"/>
    <w:multiLevelType w:val="hybridMultilevel"/>
    <w:tmpl w:val="4A564C4E"/>
    <w:lvl w:ilvl="0" w:tplc="9F44A488">
      <w:start w:val="1"/>
      <w:numFmt w:val="bullet"/>
      <w:pStyle w:val="BulletNormal"/>
      <w:lvlText w:val=""/>
      <w:lvlJc w:val="left"/>
      <w:pPr>
        <w:tabs>
          <w:tab w:val="num" w:pos="720"/>
        </w:tabs>
        <w:ind w:left="720" w:hanging="360"/>
      </w:pPr>
      <w:rPr>
        <w:rFonts w:ascii="Symbol" w:hAnsi="Symbol" w:hint="default"/>
        <w:b/>
        <w:i w:val="0"/>
        <w:color w:val="8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64AA4"/>
    <w:multiLevelType w:val="hybridMultilevel"/>
    <w:tmpl w:val="5AC2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E423D"/>
    <w:multiLevelType w:val="hybridMultilevel"/>
    <w:tmpl w:val="C27E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401E2"/>
    <w:multiLevelType w:val="hybridMultilevel"/>
    <w:tmpl w:val="CF10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27232"/>
    <w:multiLevelType w:val="hybridMultilevel"/>
    <w:tmpl w:val="8C0061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62F38"/>
    <w:multiLevelType w:val="hybridMultilevel"/>
    <w:tmpl w:val="481A7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23716"/>
    <w:multiLevelType w:val="hybridMultilevel"/>
    <w:tmpl w:val="67FE1C1C"/>
    <w:lvl w:ilvl="0" w:tplc="7DEC3A2E">
      <w:numFmt w:val="bullet"/>
      <w:lvlText w:val="-"/>
      <w:lvlJc w:val="left"/>
      <w:pPr>
        <w:ind w:left="720" w:hanging="360"/>
      </w:pPr>
      <w:rPr>
        <w:rFonts w:ascii="avant garde" w:eastAsia="Times New Roman" w:hAnsi="avant gard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B07C2"/>
    <w:multiLevelType w:val="hybridMultilevel"/>
    <w:tmpl w:val="6264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4596B"/>
    <w:multiLevelType w:val="hybridMultilevel"/>
    <w:tmpl w:val="636C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F5F05"/>
    <w:multiLevelType w:val="hybridMultilevel"/>
    <w:tmpl w:val="1FAA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567A5"/>
    <w:multiLevelType w:val="hybridMultilevel"/>
    <w:tmpl w:val="022E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6675"/>
    <w:multiLevelType w:val="hybridMultilevel"/>
    <w:tmpl w:val="C766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83C4F"/>
    <w:multiLevelType w:val="hybridMultilevel"/>
    <w:tmpl w:val="A48C2E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46E33"/>
    <w:multiLevelType w:val="hybridMultilevel"/>
    <w:tmpl w:val="C14877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C532DAB"/>
    <w:multiLevelType w:val="hybridMultilevel"/>
    <w:tmpl w:val="4612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17975"/>
    <w:multiLevelType w:val="hybridMultilevel"/>
    <w:tmpl w:val="B90C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C41CB"/>
    <w:multiLevelType w:val="hybridMultilevel"/>
    <w:tmpl w:val="AE9E7962"/>
    <w:lvl w:ilvl="0" w:tplc="B0E0199A">
      <w:numFmt w:val="bullet"/>
      <w:lvlText w:val="-"/>
      <w:lvlJc w:val="left"/>
      <w:pPr>
        <w:ind w:left="720" w:hanging="360"/>
      </w:pPr>
      <w:rPr>
        <w:rFonts w:ascii="avant garde" w:eastAsia="Times New Roman" w:hAnsi="avant gard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717F7"/>
    <w:multiLevelType w:val="hybridMultilevel"/>
    <w:tmpl w:val="44BE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14166"/>
    <w:multiLevelType w:val="hybridMultilevel"/>
    <w:tmpl w:val="43D8230E"/>
    <w:lvl w:ilvl="0" w:tplc="1C2E92F4">
      <w:start w:val="60"/>
      <w:numFmt w:val="bullet"/>
      <w:lvlText w:val="-"/>
      <w:lvlJc w:val="left"/>
      <w:pPr>
        <w:ind w:left="1080" w:hanging="360"/>
      </w:pPr>
      <w:rPr>
        <w:rFonts w:ascii="avant garde" w:eastAsia="Times New Roman" w:hAnsi="avant gard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224DE8"/>
    <w:multiLevelType w:val="hybridMultilevel"/>
    <w:tmpl w:val="F502FA9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8A83BAC"/>
    <w:multiLevelType w:val="hybridMultilevel"/>
    <w:tmpl w:val="6A3AD182"/>
    <w:lvl w:ilvl="0" w:tplc="B0E0199A">
      <w:numFmt w:val="bullet"/>
      <w:lvlText w:val="-"/>
      <w:lvlJc w:val="left"/>
      <w:pPr>
        <w:ind w:left="720" w:hanging="360"/>
      </w:pPr>
      <w:rPr>
        <w:rFonts w:ascii="avant garde" w:eastAsia="Times New Roman" w:hAnsi="avant gard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53BF6"/>
    <w:multiLevelType w:val="hybridMultilevel"/>
    <w:tmpl w:val="F72C1E9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3F7A6977"/>
    <w:multiLevelType w:val="hybridMultilevel"/>
    <w:tmpl w:val="835A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446CA9"/>
    <w:multiLevelType w:val="hybridMultilevel"/>
    <w:tmpl w:val="DCA0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350C3"/>
    <w:multiLevelType w:val="hybridMultilevel"/>
    <w:tmpl w:val="4564640C"/>
    <w:lvl w:ilvl="0" w:tplc="50B0DC92">
      <w:numFmt w:val="bullet"/>
      <w:lvlText w:val="-"/>
      <w:lvlJc w:val="left"/>
      <w:pPr>
        <w:ind w:left="1080" w:hanging="360"/>
      </w:pPr>
      <w:rPr>
        <w:rFonts w:ascii="avant garde" w:eastAsia="Times New Roman" w:hAnsi="avant garde"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FCE5201"/>
    <w:multiLevelType w:val="hybridMultilevel"/>
    <w:tmpl w:val="740C4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94F9C"/>
    <w:multiLevelType w:val="hybridMultilevel"/>
    <w:tmpl w:val="CB5C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C0E85"/>
    <w:multiLevelType w:val="hybridMultilevel"/>
    <w:tmpl w:val="977E671C"/>
    <w:lvl w:ilvl="0" w:tplc="E0B07E5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F357F"/>
    <w:multiLevelType w:val="hybridMultilevel"/>
    <w:tmpl w:val="194E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D71B6"/>
    <w:multiLevelType w:val="hybridMultilevel"/>
    <w:tmpl w:val="E258FFFA"/>
    <w:lvl w:ilvl="0" w:tplc="B05AF4C6">
      <w:numFmt w:val="bullet"/>
      <w:lvlText w:val="-"/>
      <w:lvlJc w:val="left"/>
      <w:pPr>
        <w:ind w:left="720" w:hanging="360"/>
      </w:pPr>
      <w:rPr>
        <w:rFonts w:ascii="avant garde" w:eastAsia="Times New Roman" w:hAnsi="avant gard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B90F95"/>
    <w:multiLevelType w:val="hybridMultilevel"/>
    <w:tmpl w:val="0F9886DE"/>
    <w:lvl w:ilvl="0" w:tplc="6D76D1F0">
      <w:start w:val="1"/>
      <w:numFmt w:val="bullet"/>
      <w:lvlText w:val="•"/>
      <w:lvlJc w:val="left"/>
      <w:pPr>
        <w:tabs>
          <w:tab w:val="num" w:pos="720"/>
        </w:tabs>
        <w:ind w:left="720" w:hanging="360"/>
      </w:pPr>
      <w:rPr>
        <w:rFonts w:ascii="Arial" w:hAnsi="Arial" w:hint="default"/>
      </w:rPr>
    </w:lvl>
    <w:lvl w:ilvl="1" w:tplc="8B106DA2" w:tentative="1">
      <w:start w:val="1"/>
      <w:numFmt w:val="bullet"/>
      <w:lvlText w:val="•"/>
      <w:lvlJc w:val="left"/>
      <w:pPr>
        <w:tabs>
          <w:tab w:val="num" w:pos="1440"/>
        </w:tabs>
        <w:ind w:left="1440" w:hanging="360"/>
      </w:pPr>
      <w:rPr>
        <w:rFonts w:ascii="Arial" w:hAnsi="Arial" w:hint="default"/>
      </w:rPr>
    </w:lvl>
    <w:lvl w:ilvl="2" w:tplc="46A4589A" w:tentative="1">
      <w:start w:val="1"/>
      <w:numFmt w:val="bullet"/>
      <w:lvlText w:val="•"/>
      <w:lvlJc w:val="left"/>
      <w:pPr>
        <w:tabs>
          <w:tab w:val="num" w:pos="2160"/>
        </w:tabs>
        <w:ind w:left="2160" w:hanging="360"/>
      </w:pPr>
      <w:rPr>
        <w:rFonts w:ascii="Arial" w:hAnsi="Arial" w:hint="default"/>
      </w:rPr>
    </w:lvl>
    <w:lvl w:ilvl="3" w:tplc="82D24CFE" w:tentative="1">
      <w:start w:val="1"/>
      <w:numFmt w:val="bullet"/>
      <w:lvlText w:val="•"/>
      <w:lvlJc w:val="left"/>
      <w:pPr>
        <w:tabs>
          <w:tab w:val="num" w:pos="2880"/>
        </w:tabs>
        <w:ind w:left="2880" w:hanging="360"/>
      </w:pPr>
      <w:rPr>
        <w:rFonts w:ascii="Arial" w:hAnsi="Arial" w:hint="default"/>
      </w:rPr>
    </w:lvl>
    <w:lvl w:ilvl="4" w:tplc="42148150" w:tentative="1">
      <w:start w:val="1"/>
      <w:numFmt w:val="bullet"/>
      <w:lvlText w:val="•"/>
      <w:lvlJc w:val="left"/>
      <w:pPr>
        <w:tabs>
          <w:tab w:val="num" w:pos="3600"/>
        </w:tabs>
        <w:ind w:left="3600" w:hanging="360"/>
      </w:pPr>
      <w:rPr>
        <w:rFonts w:ascii="Arial" w:hAnsi="Arial" w:hint="default"/>
      </w:rPr>
    </w:lvl>
    <w:lvl w:ilvl="5" w:tplc="6C5C678E" w:tentative="1">
      <w:start w:val="1"/>
      <w:numFmt w:val="bullet"/>
      <w:lvlText w:val="•"/>
      <w:lvlJc w:val="left"/>
      <w:pPr>
        <w:tabs>
          <w:tab w:val="num" w:pos="4320"/>
        </w:tabs>
        <w:ind w:left="4320" w:hanging="360"/>
      </w:pPr>
      <w:rPr>
        <w:rFonts w:ascii="Arial" w:hAnsi="Arial" w:hint="default"/>
      </w:rPr>
    </w:lvl>
    <w:lvl w:ilvl="6" w:tplc="244492D0" w:tentative="1">
      <w:start w:val="1"/>
      <w:numFmt w:val="bullet"/>
      <w:lvlText w:val="•"/>
      <w:lvlJc w:val="left"/>
      <w:pPr>
        <w:tabs>
          <w:tab w:val="num" w:pos="5040"/>
        </w:tabs>
        <w:ind w:left="5040" w:hanging="360"/>
      </w:pPr>
      <w:rPr>
        <w:rFonts w:ascii="Arial" w:hAnsi="Arial" w:hint="default"/>
      </w:rPr>
    </w:lvl>
    <w:lvl w:ilvl="7" w:tplc="B8F2BCB4" w:tentative="1">
      <w:start w:val="1"/>
      <w:numFmt w:val="bullet"/>
      <w:lvlText w:val="•"/>
      <w:lvlJc w:val="left"/>
      <w:pPr>
        <w:tabs>
          <w:tab w:val="num" w:pos="5760"/>
        </w:tabs>
        <w:ind w:left="5760" w:hanging="360"/>
      </w:pPr>
      <w:rPr>
        <w:rFonts w:ascii="Arial" w:hAnsi="Arial" w:hint="default"/>
      </w:rPr>
    </w:lvl>
    <w:lvl w:ilvl="8" w:tplc="B842561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FB5328"/>
    <w:multiLevelType w:val="hybridMultilevel"/>
    <w:tmpl w:val="CFBE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36366"/>
    <w:multiLevelType w:val="hybridMultilevel"/>
    <w:tmpl w:val="F59E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611BE"/>
    <w:multiLevelType w:val="hybridMultilevel"/>
    <w:tmpl w:val="D7823542"/>
    <w:lvl w:ilvl="0" w:tplc="C8F03EB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6BCD67D5"/>
    <w:multiLevelType w:val="hybridMultilevel"/>
    <w:tmpl w:val="54EE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D4CE8"/>
    <w:multiLevelType w:val="hybridMultilevel"/>
    <w:tmpl w:val="5D30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75D28"/>
    <w:multiLevelType w:val="hybridMultilevel"/>
    <w:tmpl w:val="8054B7A2"/>
    <w:lvl w:ilvl="0" w:tplc="08090001">
      <w:start w:val="1"/>
      <w:numFmt w:val="bullet"/>
      <w:lvlText w:val=""/>
      <w:lvlJc w:val="left"/>
      <w:pPr>
        <w:ind w:left="720" w:hanging="360"/>
      </w:pPr>
      <w:rPr>
        <w:rFonts w:ascii="Symbol" w:hAnsi="Symbol" w:hint="default"/>
      </w:rPr>
    </w:lvl>
    <w:lvl w:ilvl="1" w:tplc="39B423C6">
      <w:numFmt w:val="bullet"/>
      <w:lvlText w:val="-"/>
      <w:lvlJc w:val="left"/>
      <w:pPr>
        <w:ind w:left="1440" w:hanging="360"/>
      </w:pPr>
      <w:rPr>
        <w:rFonts w:ascii="Calibri" w:eastAsiaTheme="minorHAns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13961"/>
    <w:multiLevelType w:val="hybridMultilevel"/>
    <w:tmpl w:val="F2EC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CF449C"/>
    <w:multiLevelType w:val="hybridMultilevel"/>
    <w:tmpl w:val="A0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40386"/>
    <w:multiLevelType w:val="hybridMultilevel"/>
    <w:tmpl w:val="7A2A0BCE"/>
    <w:lvl w:ilvl="0" w:tplc="ED3EEFD6">
      <w:start w:val="1"/>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7263669"/>
    <w:multiLevelType w:val="hybridMultilevel"/>
    <w:tmpl w:val="546C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14438B"/>
    <w:multiLevelType w:val="hybridMultilevel"/>
    <w:tmpl w:val="C2AE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2"/>
  </w:num>
  <w:num w:numId="4">
    <w:abstractNumId w:val="9"/>
  </w:num>
  <w:num w:numId="5">
    <w:abstractNumId w:val="2"/>
  </w:num>
  <w:num w:numId="6">
    <w:abstractNumId w:val="11"/>
  </w:num>
  <w:num w:numId="7">
    <w:abstractNumId w:val="8"/>
  </w:num>
  <w:num w:numId="8">
    <w:abstractNumId w:val="1"/>
  </w:num>
  <w:num w:numId="9">
    <w:abstractNumId w:val="28"/>
  </w:num>
  <w:num w:numId="10">
    <w:abstractNumId w:val="40"/>
  </w:num>
  <w:num w:numId="11">
    <w:abstractNumId w:val="14"/>
  </w:num>
  <w:num w:numId="12">
    <w:abstractNumId w:val="15"/>
  </w:num>
  <w:num w:numId="13">
    <w:abstractNumId w:val="34"/>
  </w:num>
  <w:num w:numId="14">
    <w:abstractNumId w:val="26"/>
  </w:num>
  <w:num w:numId="15">
    <w:abstractNumId w:val="12"/>
  </w:num>
  <w:num w:numId="16">
    <w:abstractNumId w:val="4"/>
  </w:num>
  <w:num w:numId="17">
    <w:abstractNumId w:val="41"/>
  </w:num>
  <w:num w:numId="18">
    <w:abstractNumId w:val="35"/>
  </w:num>
  <w:num w:numId="19">
    <w:abstractNumId w:val="5"/>
  </w:num>
  <w:num w:numId="20">
    <w:abstractNumId w:val="39"/>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8"/>
  </w:num>
  <w:num w:numId="25">
    <w:abstractNumId w:val="3"/>
  </w:num>
  <w:num w:numId="26">
    <w:abstractNumId w:val="32"/>
  </w:num>
  <w:num w:numId="27">
    <w:abstractNumId w:val="37"/>
  </w:num>
  <w:num w:numId="28">
    <w:abstractNumId w:val="17"/>
  </w:num>
  <w:num w:numId="29">
    <w:abstractNumId w:val="31"/>
  </w:num>
  <w:num w:numId="30">
    <w:abstractNumId w:val="23"/>
  </w:num>
  <w:num w:numId="31">
    <w:abstractNumId w:val="27"/>
  </w:num>
  <w:num w:numId="32">
    <w:abstractNumId w:val="30"/>
  </w:num>
  <w:num w:numId="33">
    <w:abstractNumId w:val="20"/>
  </w:num>
  <w:num w:numId="34">
    <w:abstractNumId w:val="16"/>
  </w:num>
  <w:num w:numId="35">
    <w:abstractNumId w:val="21"/>
  </w:num>
  <w:num w:numId="36">
    <w:abstractNumId w:val="36"/>
  </w:num>
  <w:num w:numId="37">
    <w:abstractNumId w:val="7"/>
  </w:num>
  <w:num w:numId="38">
    <w:abstractNumId w:val="29"/>
  </w:num>
  <w:num w:numId="39">
    <w:abstractNumId w:val="6"/>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D51"/>
    <w:rsid w:val="00000F4D"/>
    <w:rsid w:val="0000106E"/>
    <w:rsid w:val="00004D0B"/>
    <w:rsid w:val="00005A29"/>
    <w:rsid w:val="0000656F"/>
    <w:rsid w:val="000077C6"/>
    <w:rsid w:val="00013833"/>
    <w:rsid w:val="00021530"/>
    <w:rsid w:val="00024BAA"/>
    <w:rsid w:val="0002533E"/>
    <w:rsid w:val="000267F2"/>
    <w:rsid w:val="00026BB9"/>
    <w:rsid w:val="0002709C"/>
    <w:rsid w:val="000305F5"/>
    <w:rsid w:val="0003554C"/>
    <w:rsid w:val="00037C32"/>
    <w:rsid w:val="00040C28"/>
    <w:rsid w:val="00042567"/>
    <w:rsid w:val="00044253"/>
    <w:rsid w:val="00045156"/>
    <w:rsid w:val="00053A1A"/>
    <w:rsid w:val="00054F2A"/>
    <w:rsid w:val="00055BAE"/>
    <w:rsid w:val="000566E5"/>
    <w:rsid w:val="0006229D"/>
    <w:rsid w:val="00062CED"/>
    <w:rsid w:val="000641CB"/>
    <w:rsid w:val="000649E0"/>
    <w:rsid w:val="0007012D"/>
    <w:rsid w:val="00075CCF"/>
    <w:rsid w:val="00076B69"/>
    <w:rsid w:val="000773AE"/>
    <w:rsid w:val="00080490"/>
    <w:rsid w:val="0008128D"/>
    <w:rsid w:val="00085B7C"/>
    <w:rsid w:val="00085DA8"/>
    <w:rsid w:val="000864DC"/>
    <w:rsid w:val="00087C50"/>
    <w:rsid w:val="00092859"/>
    <w:rsid w:val="00092CDB"/>
    <w:rsid w:val="000A4A8D"/>
    <w:rsid w:val="000A4E15"/>
    <w:rsid w:val="000A50BA"/>
    <w:rsid w:val="000A6402"/>
    <w:rsid w:val="000A6627"/>
    <w:rsid w:val="000A6E88"/>
    <w:rsid w:val="000B3BBA"/>
    <w:rsid w:val="000B6788"/>
    <w:rsid w:val="000C1436"/>
    <w:rsid w:val="000D0464"/>
    <w:rsid w:val="000D2FC5"/>
    <w:rsid w:val="000E1B5E"/>
    <w:rsid w:val="000E2C28"/>
    <w:rsid w:val="000E4926"/>
    <w:rsid w:val="000E4D0D"/>
    <w:rsid w:val="000E50A9"/>
    <w:rsid w:val="000F1C49"/>
    <w:rsid w:val="000F2EC7"/>
    <w:rsid w:val="000F3E68"/>
    <w:rsid w:val="0010718C"/>
    <w:rsid w:val="00107EB3"/>
    <w:rsid w:val="0011000C"/>
    <w:rsid w:val="0011136A"/>
    <w:rsid w:val="00113ED5"/>
    <w:rsid w:val="001141F9"/>
    <w:rsid w:val="0011670A"/>
    <w:rsid w:val="0011708E"/>
    <w:rsid w:val="001227A1"/>
    <w:rsid w:val="00123F24"/>
    <w:rsid w:val="00131F86"/>
    <w:rsid w:val="00133159"/>
    <w:rsid w:val="00136303"/>
    <w:rsid w:val="00136B6F"/>
    <w:rsid w:val="00140B60"/>
    <w:rsid w:val="001417D4"/>
    <w:rsid w:val="0014567B"/>
    <w:rsid w:val="00152154"/>
    <w:rsid w:val="00154CA9"/>
    <w:rsid w:val="001577A6"/>
    <w:rsid w:val="0016288B"/>
    <w:rsid w:val="00171375"/>
    <w:rsid w:val="00175564"/>
    <w:rsid w:val="00177E21"/>
    <w:rsid w:val="00180B7D"/>
    <w:rsid w:val="001856A6"/>
    <w:rsid w:val="00187851"/>
    <w:rsid w:val="001903F2"/>
    <w:rsid w:val="00196913"/>
    <w:rsid w:val="001A0F8C"/>
    <w:rsid w:val="001A125E"/>
    <w:rsid w:val="001A19E6"/>
    <w:rsid w:val="001A235C"/>
    <w:rsid w:val="001A75AD"/>
    <w:rsid w:val="001B0497"/>
    <w:rsid w:val="001B0AD1"/>
    <w:rsid w:val="001B55F8"/>
    <w:rsid w:val="001B73EE"/>
    <w:rsid w:val="001C1206"/>
    <w:rsid w:val="001C30AF"/>
    <w:rsid w:val="001C62F4"/>
    <w:rsid w:val="001D1E2A"/>
    <w:rsid w:val="001D3389"/>
    <w:rsid w:val="001D399D"/>
    <w:rsid w:val="001D4572"/>
    <w:rsid w:val="001D66B9"/>
    <w:rsid w:val="001D7BAE"/>
    <w:rsid w:val="001E104A"/>
    <w:rsid w:val="001E1B2F"/>
    <w:rsid w:val="001E3AEE"/>
    <w:rsid w:val="001E3F6C"/>
    <w:rsid w:val="001E5AB7"/>
    <w:rsid w:val="001E736F"/>
    <w:rsid w:val="001E7953"/>
    <w:rsid w:val="001E7E9D"/>
    <w:rsid w:val="001F1688"/>
    <w:rsid w:val="001F1D09"/>
    <w:rsid w:val="001F503B"/>
    <w:rsid w:val="001F5D85"/>
    <w:rsid w:val="00206B60"/>
    <w:rsid w:val="0021009A"/>
    <w:rsid w:val="002102E1"/>
    <w:rsid w:val="00212952"/>
    <w:rsid w:val="00212CF0"/>
    <w:rsid w:val="002202C2"/>
    <w:rsid w:val="00224F53"/>
    <w:rsid w:val="002266C3"/>
    <w:rsid w:val="00232784"/>
    <w:rsid w:val="00232927"/>
    <w:rsid w:val="00236C85"/>
    <w:rsid w:val="00244E2C"/>
    <w:rsid w:val="002522DC"/>
    <w:rsid w:val="0025459F"/>
    <w:rsid w:val="00261ED4"/>
    <w:rsid w:val="0026522F"/>
    <w:rsid w:val="002709C0"/>
    <w:rsid w:val="00272BC3"/>
    <w:rsid w:val="00272DA9"/>
    <w:rsid w:val="0027486A"/>
    <w:rsid w:val="00281823"/>
    <w:rsid w:val="00282D4C"/>
    <w:rsid w:val="00287D37"/>
    <w:rsid w:val="00291076"/>
    <w:rsid w:val="00291B58"/>
    <w:rsid w:val="00295E3C"/>
    <w:rsid w:val="002A1CE1"/>
    <w:rsid w:val="002A2950"/>
    <w:rsid w:val="002A2AD5"/>
    <w:rsid w:val="002A3D46"/>
    <w:rsid w:val="002A71BF"/>
    <w:rsid w:val="002A7309"/>
    <w:rsid w:val="002A7B06"/>
    <w:rsid w:val="002B3F47"/>
    <w:rsid w:val="002C0A83"/>
    <w:rsid w:val="002C1F9A"/>
    <w:rsid w:val="002D0271"/>
    <w:rsid w:val="002D2C44"/>
    <w:rsid w:val="002D4AF9"/>
    <w:rsid w:val="002E24CF"/>
    <w:rsid w:val="002E3F52"/>
    <w:rsid w:val="002E6EAD"/>
    <w:rsid w:val="002F451D"/>
    <w:rsid w:val="002F63E9"/>
    <w:rsid w:val="003008E4"/>
    <w:rsid w:val="0030136D"/>
    <w:rsid w:val="00302170"/>
    <w:rsid w:val="0030272A"/>
    <w:rsid w:val="00302BC8"/>
    <w:rsid w:val="00305F83"/>
    <w:rsid w:val="00307216"/>
    <w:rsid w:val="0031153D"/>
    <w:rsid w:val="0031342D"/>
    <w:rsid w:val="003148B1"/>
    <w:rsid w:val="00316B7E"/>
    <w:rsid w:val="00321DFD"/>
    <w:rsid w:val="00323CB9"/>
    <w:rsid w:val="0032695A"/>
    <w:rsid w:val="003273B5"/>
    <w:rsid w:val="0033159E"/>
    <w:rsid w:val="00333D41"/>
    <w:rsid w:val="00350C6C"/>
    <w:rsid w:val="00355315"/>
    <w:rsid w:val="00356FDB"/>
    <w:rsid w:val="00362359"/>
    <w:rsid w:val="00363D8C"/>
    <w:rsid w:val="00370593"/>
    <w:rsid w:val="003712E7"/>
    <w:rsid w:val="003726D6"/>
    <w:rsid w:val="00374496"/>
    <w:rsid w:val="00374EF8"/>
    <w:rsid w:val="00381518"/>
    <w:rsid w:val="00381D03"/>
    <w:rsid w:val="00393FB4"/>
    <w:rsid w:val="00393FBF"/>
    <w:rsid w:val="00394548"/>
    <w:rsid w:val="00394D37"/>
    <w:rsid w:val="0039500B"/>
    <w:rsid w:val="00395395"/>
    <w:rsid w:val="00395E91"/>
    <w:rsid w:val="00396FB6"/>
    <w:rsid w:val="00397991"/>
    <w:rsid w:val="003A17A8"/>
    <w:rsid w:val="003A2B20"/>
    <w:rsid w:val="003A4068"/>
    <w:rsid w:val="003A4391"/>
    <w:rsid w:val="003B046D"/>
    <w:rsid w:val="003B4016"/>
    <w:rsid w:val="003B4324"/>
    <w:rsid w:val="003B5B7D"/>
    <w:rsid w:val="003B7DA1"/>
    <w:rsid w:val="003C0F99"/>
    <w:rsid w:val="003C1F67"/>
    <w:rsid w:val="003C20E5"/>
    <w:rsid w:val="003C7FF1"/>
    <w:rsid w:val="003D000A"/>
    <w:rsid w:val="003D2F43"/>
    <w:rsid w:val="003D30F7"/>
    <w:rsid w:val="003D55E1"/>
    <w:rsid w:val="003D63BA"/>
    <w:rsid w:val="003E3375"/>
    <w:rsid w:val="003E69DA"/>
    <w:rsid w:val="003F2252"/>
    <w:rsid w:val="003F2EE1"/>
    <w:rsid w:val="003F4657"/>
    <w:rsid w:val="003F71DF"/>
    <w:rsid w:val="0040602A"/>
    <w:rsid w:val="00407D4A"/>
    <w:rsid w:val="004100C3"/>
    <w:rsid w:val="00410304"/>
    <w:rsid w:val="0042290B"/>
    <w:rsid w:val="00426457"/>
    <w:rsid w:val="004305A1"/>
    <w:rsid w:val="004406E3"/>
    <w:rsid w:val="0044188E"/>
    <w:rsid w:val="00443CEA"/>
    <w:rsid w:val="00444C35"/>
    <w:rsid w:val="00445C4F"/>
    <w:rsid w:val="00446B5F"/>
    <w:rsid w:val="00452265"/>
    <w:rsid w:val="004542EE"/>
    <w:rsid w:val="00463B3C"/>
    <w:rsid w:val="00465B8B"/>
    <w:rsid w:val="00470196"/>
    <w:rsid w:val="00471789"/>
    <w:rsid w:val="00474177"/>
    <w:rsid w:val="00476756"/>
    <w:rsid w:val="00477CC9"/>
    <w:rsid w:val="00480ED3"/>
    <w:rsid w:val="00482128"/>
    <w:rsid w:val="00482E15"/>
    <w:rsid w:val="004866ED"/>
    <w:rsid w:val="00492F66"/>
    <w:rsid w:val="00493973"/>
    <w:rsid w:val="0049664A"/>
    <w:rsid w:val="00496852"/>
    <w:rsid w:val="00497BEF"/>
    <w:rsid w:val="004A28F3"/>
    <w:rsid w:val="004A7612"/>
    <w:rsid w:val="004B11A1"/>
    <w:rsid w:val="004B3090"/>
    <w:rsid w:val="004B7783"/>
    <w:rsid w:val="004B78FF"/>
    <w:rsid w:val="004C0BA9"/>
    <w:rsid w:val="004C231A"/>
    <w:rsid w:val="004C2E5B"/>
    <w:rsid w:val="004C3FCE"/>
    <w:rsid w:val="004C5C25"/>
    <w:rsid w:val="004C7208"/>
    <w:rsid w:val="004C7B1E"/>
    <w:rsid w:val="004D1C64"/>
    <w:rsid w:val="004D5486"/>
    <w:rsid w:val="004D5E80"/>
    <w:rsid w:val="004D5F9C"/>
    <w:rsid w:val="004D600D"/>
    <w:rsid w:val="004E64F2"/>
    <w:rsid w:val="004E662A"/>
    <w:rsid w:val="004E6F46"/>
    <w:rsid w:val="004E7E91"/>
    <w:rsid w:val="004F0B91"/>
    <w:rsid w:val="004F2F87"/>
    <w:rsid w:val="004F512D"/>
    <w:rsid w:val="00507ABF"/>
    <w:rsid w:val="005111D3"/>
    <w:rsid w:val="005169EC"/>
    <w:rsid w:val="005174C6"/>
    <w:rsid w:val="00517F16"/>
    <w:rsid w:val="0052163B"/>
    <w:rsid w:val="005256EB"/>
    <w:rsid w:val="00530A1A"/>
    <w:rsid w:val="005332D5"/>
    <w:rsid w:val="00533753"/>
    <w:rsid w:val="005350B8"/>
    <w:rsid w:val="005354AA"/>
    <w:rsid w:val="0054209D"/>
    <w:rsid w:val="005420F8"/>
    <w:rsid w:val="005459BD"/>
    <w:rsid w:val="005471D7"/>
    <w:rsid w:val="0054767B"/>
    <w:rsid w:val="00547856"/>
    <w:rsid w:val="005502F7"/>
    <w:rsid w:val="005522FA"/>
    <w:rsid w:val="005528AC"/>
    <w:rsid w:val="0055326A"/>
    <w:rsid w:val="0055388C"/>
    <w:rsid w:val="0055459D"/>
    <w:rsid w:val="00554DBB"/>
    <w:rsid w:val="00557004"/>
    <w:rsid w:val="00562331"/>
    <w:rsid w:val="0056591F"/>
    <w:rsid w:val="0056743C"/>
    <w:rsid w:val="00571AEB"/>
    <w:rsid w:val="00575009"/>
    <w:rsid w:val="00584DA7"/>
    <w:rsid w:val="00586C8F"/>
    <w:rsid w:val="00596955"/>
    <w:rsid w:val="005A12F0"/>
    <w:rsid w:val="005A1501"/>
    <w:rsid w:val="005A164A"/>
    <w:rsid w:val="005A2D23"/>
    <w:rsid w:val="005A3B0E"/>
    <w:rsid w:val="005B307A"/>
    <w:rsid w:val="005B69C2"/>
    <w:rsid w:val="005B7B2A"/>
    <w:rsid w:val="005C23AE"/>
    <w:rsid w:val="005C426C"/>
    <w:rsid w:val="005D106E"/>
    <w:rsid w:val="005D3829"/>
    <w:rsid w:val="005D5E05"/>
    <w:rsid w:val="005D6A74"/>
    <w:rsid w:val="005E2569"/>
    <w:rsid w:val="005E4298"/>
    <w:rsid w:val="005E579C"/>
    <w:rsid w:val="005E6B47"/>
    <w:rsid w:val="005F1296"/>
    <w:rsid w:val="005F1AC2"/>
    <w:rsid w:val="00603613"/>
    <w:rsid w:val="006101F7"/>
    <w:rsid w:val="006125B9"/>
    <w:rsid w:val="00614460"/>
    <w:rsid w:val="0061462C"/>
    <w:rsid w:val="00614CB7"/>
    <w:rsid w:val="006220FE"/>
    <w:rsid w:val="00623CFC"/>
    <w:rsid w:val="0062493C"/>
    <w:rsid w:val="00624C93"/>
    <w:rsid w:val="00627986"/>
    <w:rsid w:val="00630A0B"/>
    <w:rsid w:val="00632443"/>
    <w:rsid w:val="006329C9"/>
    <w:rsid w:val="006373ED"/>
    <w:rsid w:val="00637ECD"/>
    <w:rsid w:val="006428DB"/>
    <w:rsid w:val="00643ACB"/>
    <w:rsid w:val="00643C3E"/>
    <w:rsid w:val="006452DA"/>
    <w:rsid w:val="006475F7"/>
    <w:rsid w:val="00652EA8"/>
    <w:rsid w:val="00655F07"/>
    <w:rsid w:val="00656E0F"/>
    <w:rsid w:val="00661111"/>
    <w:rsid w:val="00662572"/>
    <w:rsid w:val="006643C5"/>
    <w:rsid w:val="00665339"/>
    <w:rsid w:val="00666897"/>
    <w:rsid w:val="006706B2"/>
    <w:rsid w:val="00672A69"/>
    <w:rsid w:val="00675888"/>
    <w:rsid w:val="00677FB5"/>
    <w:rsid w:val="00680840"/>
    <w:rsid w:val="006815E5"/>
    <w:rsid w:val="00683171"/>
    <w:rsid w:val="00692B54"/>
    <w:rsid w:val="00695FDB"/>
    <w:rsid w:val="006A1399"/>
    <w:rsid w:val="006A1652"/>
    <w:rsid w:val="006A39E0"/>
    <w:rsid w:val="006A524F"/>
    <w:rsid w:val="006A6DDC"/>
    <w:rsid w:val="006B588D"/>
    <w:rsid w:val="006B665D"/>
    <w:rsid w:val="006B6D25"/>
    <w:rsid w:val="006B744C"/>
    <w:rsid w:val="006B7987"/>
    <w:rsid w:val="006C03CA"/>
    <w:rsid w:val="006C11F9"/>
    <w:rsid w:val="006C2C2B"/>
    <w:rsid w:val="006C349F"/>
    <w:rsid w:val="006C4C3B"/>
    <w:rsid w:val="006C5E5D"/>
    <w:rsid w:val="006D1EC2"/>
    <w:rsid w:val="006D370A"/>
    <w:rsid w:val="006D4029"/>
    <w:rsid w:val="006E3F9B"/>
    <w:rsid w:val="006E6873"/>
    <w:rsid w:val="006E6B93"/>
    <w:rsid w:val="006E77B9"/>
    <w:rsid w:val="006F12E8"/>
    <w:rsid w:val="006F29F0"/>
    <w:rsid w:val="006F523A"/>
    <w:rsid w:val="006F5272"/>
    <w:rsid w:val="006F5FD7"/>
    <w:rsid w:val="007002D5"/>
    <w:rsid w:val="00706BBC"/>
    <w:rsid w:val="00710C3F"/>
    <w:rsid w:val="00713929"/>
    <w:rsid w:val="0071508A"/>
    <w:rsid w:val="0071789F"/>
    <w:rsid w:val="00722E57"/>
    <w:rsid w:val="00724093"/>
    <w:rsid w:val="007247A1"/>
    <w:rsid w:val="00724A51"/>
    <w:rsid w:val="00724D07"/>
    <w:rsid w:val="00735650"/>
    <w:rsid w:val="007413BD"/>
    <w:rsid w:val="007423F7"/>
    <w:rsid w:val="00743CDA"/>
    <w:rsid w:val="007451EC"/>
    <w:rsid w:val="007516C1"/>
    <w:rsid w:val="00751BE1"/>
    <w:rsid w:val="0075490D"/>
    <w:rsid w:val="00756DEB"/>
    <w:rsid w:val="00760E7C"/>
    <w:rsid w:val="007611C3"/>
    <w:rsid w:val="0076326B"/>
    <w:rsid w:val="00764B85"/>
    <w:rsid w:val="00767B11"/>
    <w:rsid w:val="00774CEC"/>
    <w:rsid w:val="00782D98"/>
    <w:rsid w:val="00784A1A"/>
    <w:rsid w:val="00785EE6"/>
    <w:rsid w:val="0078616B"/>
    <w:rsid w:val="007904E7"/>
    <w:rsid w:val="00790E79"/>
    <w:rsid w:val="007912BC"/>
    <w:rsid w:val="00792815"/>
    <w:rsid w:val="0079310A"/>
    <w:rsid w:val="00793E13"/>
    <w:rsid w:val="00795920"/>
    <w:rsid w:val="00796F57"/>
    <w:rsid w:val="0079735E"/>
    <w:rsid w:val="007A24E2"/>
    <w:rsid w:val="007A3AAA"/>
    <w:rsid w:val="007A7B67"/>
    <w:rsid w:val="007A7DF2"/>
    <w:rsid w:val="007B06C3"/>
    <w:rsid w:val="007B117A"/>
    <w:rsid w:val="007B190D"/>
    <w:rsid w:val="007B2945"/>
    <w:rsid w:val="007B6477"/>
    <w:rsid w:val="007B6600"/>
    <w:rsid w:val="007B7908"/>
    <w:rsid w:val="007C07B8"/>
    <w:rsid w:val="007C1FF3"/>
    <w:rsid w:val="007C332F"/>
    <w:rsid w:val="007C34F3"/>
    <w:rsid w:val="007C6362"/>
    <w:rsid w:val="007C686B"/>
    <w:rsid w:val="007D0B08"/>
    <w:rsid w:val="007D575F"/>
    <w:rsid w:val="007D62E6"/>
    <w:rsid w:val="007D6FE1"/>
    <w:rsid w:val="007E4C33"/>
    <w:rsid w:val="007E5997"/>
    <w:rsid w:val="00801579"/>
    <w:rsid w:val="0080670B"/>
    <w:rsid w:val="008075A0"/>
    <w:rsid w:val="00810ACC"/>
    <w:rsid w:val="00813049"/>
    <w:rsid w:val="00814A8F"/>
    <w:rsid w:val="00824A2E"/>
    <w:rsid w:val="00824FB1"/>
    <w:rsid w:val="00825A2A"/>
    <w:rsid w:val="00833CC3"/>
    <w:rsid w:val="00841BF7"/>
    <w:rsid w:val="008421E4"/>
    <w:rsid w:val="00847465"/>
    <w:rsid w:val="00851E20"/>
    <w:rsid w:val="00853B20"/>
    <w:rsid w:val="00854D69"/>
    <w:rsid w:val="0085667E"/>
    <w:rsid w:val="00860935"/>
    <w:rsid w:val="00863A0F"/>
    <w:rsid w:val="00864AC2"/>
    <w:rsid w:val="008651FB"/>
    <w:rsid w:val="0087303C"/>
    <w:rsid w:val="008765D7"/>
    <w:rsid w:val="00880685"/>
    <w:rsid w:val="00880BA1"/>
    <w:rsid w:val="00881064"/>
    <w:rsid w:val="008819A6"/>
    <w:rsid w:val="00882557"/>
    <w:rsid w:val="00884A82"/>
    <w:rsid w:val="00890501"/>
    <w:rsid w:val="00890EAF"/>
    <w:rsid w:val="008935AC"/>
    <w:rsid w:val="0089553A"/>
    <w:rsid w:val="00896BCF"/>
    <w:rsid w:val="008971F1"/>
    <w:rsid w:val="0089720D"/>
    <w:rsid w:val="00897917"/>
    <w:rsid w:val="008A0670"/>
    <w:rsid w:val="008A48C5"/>
    <w:rsid w:val="008A5DB6"/>
    <w:rsid w:val="008B3251"/>
    <w:rsid w:val="008B4521"/>
    <w:rsid w:val="008B4BCC"/>
    <w:rsid w:val="008B7F5D"/>
    <w:rsid w:val="008C0D50"/>
    <w:rsid w:val="008C40AF"/>
    <w:rsid w:val="008C7EC9"/>
    <w:rsid w:val="008D3E30"/>
    <w:rsid w:val="008D5EED"/>
    <w:rsid w:val="008D6824"/>
    <w:rsid w:val="008D72C2"/>
    <w:rsid w:val="008E6646"/>
    <w:rsid w:val="008F00A1"/>
    <w:rsid w:val="008F0127"/>
    <w:rsid w:val="008F0BF6"/>
    <w:rsid w:val="008F4AD5"/>
    <w:rsid w:val="008F6C1A"/>
    <w:rsid w:val="00905616"/>
    <w:rsid w:val="009117FE"/>
    <w:rsid w:val="00912CDC"/>
    <w:rsid w:val="009156A6"/>
    <w:rsid w:val="00920934"/>
    <w:rsid w:val="00922D35"/>
    <w:rsid w:val="00925F3F"/>
    <w:rsid w:val="00927183"/>
    <w:rsid w:val="00930ACB"/>
    <w:rsid w:val="00932665"/>
    <w:rsid w:val="00935456"/>
    <w:rsid w:val="0094112A"/>
    <w:rsid w:val="009414D4"/>
    <w:rsid w:val="00941D51"/>
    <w:rsid w:val="00942F5C"/>
    <w:rsid w:val="00944245"/>
    <w:rsid w:val="0094491C"/>
    <w:rsid w:val="0094511C"/>
    <w:rsid w:val="009453B0"/>
    <w:rsid w:val="00952726"/>
    <w:rsid w:val="00954C67"/>
    <w:rsid w:val="009558D9"/>
    <w:rsid w:val="00955FE6"/>
    <w:rsid w:val="00962135"/>
    <w:rsid w:val="009640C3"/>
    <w:rsid w:val="00964C67"/>
    <w:rsid w:val="00965DB9"/>
    <w:rsid w:val="0096613C"/>
    <w:rsid w:val="00966E91"/>
    <w:rsid w:val="00966F96"/>
    <w:rsid w:val="0097132F"/>
    <w:rsid w:val="0097261E"/>
    <w:rsid w:val="00976065"/>
    <w:rsid w:val="00976107"/>
    <w:rsid w:val="00981433"/>
    <w:rsid w:val="00983869"/>
    <w:rsid w:val="00984AE6"/>
    <w:rsid w:val="00986FF2"/>
    <w:rsid w:val="00992F15"/>
    <w:rsid w:val="00997C5A"/>
    <w:rsid w:val="009A3775"/>
    <w:rsid w:val="009A53A1"/>
    <w:rsid w:val="009A5EF6"/>
    <w:rsid w:val="009A6115"/>
    <w:rsid w:val="009A6AC1"/>
    <w:rsid w:val="009B0B25"/>
    <w:rsid w:val="009B1886"/>
    <w:rsid w:val="009B2D6F"/>
    <w:rsid w:val="009B3867"/>
    <w:rsid w:val="009B6E9F"/>
    <w:rsid w:val="009B7390"/>
    <w:rsid w:val="009B7DE0"/>
    <w:rsid w:val="009C444A"/>
    <w:rsid w:val="009C75C4"/>
    <w:rsid w:val="009D2B76"/>
    <w:rsid w:val="009D6CE2"/>
    <w:rsid w:val="009E11E5"/>
    <w:rsid w:val="009E3A4E"/>
    <w:rsid w:val="009E49E3"/>
    <w:rsid w:val="009E4BBF"/>
    <w:rsid w:val="009E5042"/>
    <w:rsid w:val="009E7342"/>
    <w:rsid w:val="009F20D7"/>
    <w:rsid w:val="009F2BFC"/>
    <w:rsid w:val="009F2E81"/>
    <w:rsid w:val="00A0314B"/>
    <w:rsid w:val="00A04C16"/>
    <w:rsid w:val="00A07C51"/>
    <w:rsid w:val="00A12103"/>
    <w:rsid w:val="00A14ADD"/>
    <w:rsid w:val="00A175DD"/>
    <w:rsid w:val="00A243E7"/>
    <w:rsid w:val="00A2504A"/>
    <w:rsid w:val="00A25B50"/>
    <w:rsid w:val="00A3222E"/>
    <w:rsid w:val="00A3682F"/>
    <w:rsid w:val="00A3768F"/>
    <w:rsid w:val="00A378D6"/>
    <w:rsid w:val="00A40EFC"/>
    <w:rsid w:val="00A42A8D"/>
    <w:rsid w:val="00A42AC8"/>
    <w:rsid w:val="00A474ED"/>
    <w:rsid w:val="00A52636"/>
    <w:rsid w:val="00A52D63"/>
    <w:rsid w:val="00A57C0D"/>
    <w:rsid w:val="00A60906"/>
    <w:rsid w:val="00A65B78"/>
    <w:rsid w:val="00A6690B"/>
    <w:rsid w:val="00A66F45"/>
    <w:rsid w:val="00A71689"/>
    <w:rsid w:val="00A7339A"/>
    <w:rsid w:val="00A760FD"/>
    <w:rsid w:val="00A8020D"/>
    <w:rsid w:val="00A80EBE"/>
    <w:rsid w:val="00A84A9D"/>
    <w:rsid w:val="00A87112"/>
    <w:rsid w:val="00A9070F"/>
    <w:rsid w:val="00A95754"/>
    <w:rsid w:val="00A96563"/>
    <w:rsid w:val="00AA3C9C"/>
    <w:rsid w:val="00AA5F93"/>
    <w:rsid w:val="00AB177B"/>
    <w:rsid w:val="00AB2820"/>
    <w:rsid w:val="00AB5940"/>
    <w:rsid w:val="00AB79F2"/>
    <w:rsid w:val="00AC288B"/>
    <w:rsid w:val="00AC73F5"/>
    <w:rsid w:val="00AD21D8"/>
    <w:rsid w:val="00AD4807"/>
    <w:rsid w:val="00AE1D5B"/>
    <w:rsid w:val="00AE2642"/>
    <w:rsid w:val="00AE6EB2"/>
    <w:rsid w:val="00AF0609"/>
    <w:rsid w:val="00AF066E"/>
    <w:rsid w:val="00AF1A3B"/>
    <w:rsid w:val="00AF1E0E"/>
    <w:rsid w:val="00AF1F68"/>
    <w:rsid w:val="00AF6C20"/>
    <w:rsid w:val="00B0376A"/>
    <w:rsid w:val="00B05498"/>
    <w:rsid w:val="00B07ABD"/>
    <w:rsid w:val="00B15E2E"/>
    <w:rsid w:val="00B1606C"/>
    <w:rsid w:val="00B16C37"/>
    <w:rsid w:val="00B17A1C"/>
    <w:rsid w:val="00B213F0"/>
    <w:rsid w:val="00B2265D"/>
    <w:rsid w:val="00B27B37"/>
    <w:rsid w:val="00B30052"/>
    <w:rsid w:val="00B306C0"/>
    <w:rsid w:val="00B37127"/>
    <w:rsid w:val="00B3751D"/>
    <w:rsid w:val="00B43280"/>
    <w:rsid w:val="00B45B83"/>
    <w:rsid w:val="00B47D07"/>
    <w:rsid w:val="00B51E14"/>
    <w:rsid w:val="00B52BEA"/>
    <w:rsid w:val="00B56500"/>
    <w:rsid w:val="00B62EE4"/>
    <w:rsid w:val="00B62F2C"/>
    <w:rsid w:val="00B64E15"/>
    <w:rsid w:val="00B6646A"/>
    <w:rsid w:val="00B672BB"/>
    <w:rsid w:val="00B70E96"/>
    <w:rsid w:val="00B81CFE"/>
    <w:rsid w:val="00B90572"/>
    <w:rsid w:val="00B911E3"/>
    <w:rsid w:val="00B93344"/>
    <w:rsid w:val="00BA03A3"/>
    <w:rsid w:val="00BA15BC"/>
    <w:rsid w:val="00BA4EA1"/>
    <w:rsid w:val="00BA602F"/>
    <w:rsid w:val="00BB3852"/>
    <w:rsid w:val="00BB72DF"/>
    <w:rsid w:val="00BC16EB"/>
    <w:rsid w:val="00BC1C4F"/>
    <w:rsid w:val="00BC46D9"/>
    <w:rsid w:val="00BC58E4"/>
    <w:rsid w:val="00BC7DA9"/>
    <w:rsid w:val="00BD52C1"/>
    <w:rsid w:val="00BD73A0"/>
    <w:rsid w:val="00BD7E57"/>
    <w:rsid w:val="00BE053A"/>
    <w:rsid w:val="00BE0A73"/>
    <w:rsid w:val="00BE38E1"/>
    <w:rsid w:val="00BE5909"/>
    <w:rsid w:val="00BE79C2"/>
    <w:rsid w:val="00BF0F75"/>
    <w:rsid w:val="00BF136F"/>
    <w:rsid w:val="00BF5D72"/>
    <w:rsid w:val="00C00311"/>
    <w:rsid w:val="00C0505F"/>
    <w:rsid w:val="00C0656B"/>
    <w:rsid w:val="00C06904"/>
    <w:rsid w:val="00C071C9"/>
    <w:rsid w:val="00C07399"/>
    <w:rsid w:val="00C126D6"/>
    <w:rsid w:val="00C139E3"/>
    <w:rsid w:val="00C14E66"/>
    <w:rsid w:val="00C1513C"/>
    <w:rsid w:val="00C1562F"/>
    <w:rsid w:val="00C16105"/>
    <w:rsid w:val="00C25F06"/>
    <w:rsid w:val="00C32569"/>
    <w:rsid w:val="00C341EB"/>
    <w:rsid w:val="00C37BDD"/>
    <w:rsid w:val="00C4070F"/>
    <w:rsid w:val="00C41172"/>
    <w:rsid w:val="00C41880"/>
    <w:rsid w:val="00C429F1"/>
    <w:rsid w:val="00C4367C"/>
    <w:rsid w:val="00C454D1"/>
    <w:rsid w:val="00C45ACF"/>
    <w:rsid w:val="00C46C4E"/>
    <w:rsid w:val="00C47C82"/>
    <w:rsid w:val="00C47D0E"/>
    <w:rsid w:val="00C509D2"/>
    <w:rsid w:val="00C55710"/>
    <w:rsid w:val="00C56660"/>
    <w:rsid w:val="00C579EA"/>
    <w:rsid w:val="00C6014C"/>
    <w:rsid w:val="00C60463"/>
    <w:rsid w:val="00C65446"/>
    <w:rsid w:val="00C66E4B"/>
    <w:rsid w:val="00C744E6"/>
    <w:rsid w:val="00C74B74"/>
    <w:rsid w:val="00C74CCA"/>
    <w:rsid w:val="00C825A5"/>
    <w:rsid w:val="00C825E7"/>
    <w:rsid w:val="00C8352D"/>
    <w:rsid w:val="00C84849"/>
    <w:rsid w:val="00C91823"/>
    <w:rsid w:val="00C95B00"/>
    <w:rsid w:val="00CA1779"/>
    <w:rsid w:val="00CA443B"/>
    <w:rsid w:val="00CA47C9"/>
    <w:rsid w:val="00CA5D7B"/>
    <w:rsid w:val="00CB1784"/>
    <w:rsid w:val="00CB430E"/>
    <w:rsid w:val="00CB5ACA"/>
    <w:rsid w:val="00CC0D21"/>
    <w:rsid w:val="00CC0F87"/>
    <w:rsid w:val="00CC3533"/>
    <w:rsid w:val="00CC37FE"/>
    <w:rsid w:val="00CD19E8"/>
    <w:rsid w:val="00CD2C5C"/>
    <w:rsid w:val="00CD65CA"/>
    <w:rsid w:val="00CE19F1"/>
    <w:rsid w:val="00CE392C"/>
    <w:rsid w:val="00CF0E97"/>
    <w:rsid w:val="00CF1860"/>
    <w:rsid w:val="00CF63A3"/>
    <w:rsid w:val="00D01A63"/>
    <w:rsid w:val="00D0327E"/>
    <w:rsid w:val="00D042FB"/>
    <w:rsid w:val="00D05B34"/>
    <w:rsid w:val="00D06F31"/>
    <w:rsid w:val="00D10741"/>
    <w:rsid w:val="00D10B15"/>
    <w:rsid w:val="00D16550"/>
    <w:rsid w:val="00D2102F"/>
    <w:rsid w:val="00D21145"/>
    <w:rsid w:val="00D22D54"/>
    <w:rsid w:val="00D230FF"/>
    <w:rsid w:val="00D234CD"/>
    <w:rsid w:val="00D2403C"/>
    <w:rsid w:val="00D26BA2"/>
    <w:rsid w:val="00D33066"/>
    <w:rsid w:val="00D43A86"/>
    <w:rsid w:val="00D464A1"/>
    <w:rsid w:val="00D46E05"/>
    <w:rsid w:val="00D47E50"/>
    <w:rsid w:val="00D55691"/>
    <w:rsid w:val="00D56F58"/>
    <w:rsid w:val="00D639A9"/>
    <w:rsid w:val="00D64C69"/>
    <w:rsid w:val="00D72A50"/>
    <w:rsid w:val="00D72BE0"/>
    <w:rsid w:val="00D7470B"/>
    <w:rsid w:val="00D8006C"/>
    <w:rsid w:val="00D81CA7"/>
    <w:rsid w:val="00D820FA"/>
    <w:rsid w:val="00D84263"/>
    <w:rsid w:val="00D90AB5"/>
    <w:rsid w:val="00D94BEC"/>
    <w:rsid w:val="00D95F65"/>
    <w:rsid w:val="00D97AD4"/>
    <w:rsid w:val="00DA33DC"/>
    <w:rsid w:val="00DA6736"/>
    <w:rsid w:val="00DB79BD"/>
    <w:rsid w:val="00DC04B0"/>
    <w:rsid w:val="00DC1C73"/>
    <w:rsid w:val="00DC1F53"/>
    <w:rsid w:val="00DC2B3A"/>
    <w:rsid w:val="00DC59D7"/>
    <w:rsid w:val="00DD5D7E"/>
    <w:rsid w:val="00DE205E"/>
    <w:rsid w:val="00DE38A4"/>
    <w:rsid w:val="00DE3BAD"/>
    <w:rsid w:val="00DE5B4F"/>
    <w:rsid w:val="00DE5C26"/>
    <w:rsid w:val="00DE64FD"/>
    <w:rsid w:val="00DE75DD"/>
    <w:rsid w:val="00DF007E"/>
    <w:rsid w:val="00DF510D"/>
    <w:rsid w:val="00DF513E"/>
    <w:rsid w:val="00DF6449"/>
    <w:rsid w:val="00E00771"/>
    <w:rsid w:val="00E01CA7"/>
    <w:rsid w:val="00E03C01"/>
    <w:rsid w:val="00E073CB"/>
    <w:rsid w:val="00E10572"/>
    <w:rsid w:val="00E1308A"/>
    <w:rsid w:val="00E14C5D"/>
    <w:rsid w:val="00E241E2"/>
    <w:rsid w:val="00E279F2"/>
    <w:rsid w:val="00E27E5C"/>
    <w:rsid w:val="00E3237F"/>
    <w:rsid w:val="00E32AAC"/>
    <w:rsid w:val="00E3351C"/>
    <w:rsid w:val="00E356EC"/>
    <w:rsid w:val="00E3597F"/>
    <w:rsid w:val="00E40BEC"/>
    <w:rsid w:val="00E41570"/>
    <w:rsid w:val="00E430BD"/>
    <w:rsid w:val="00E46647"/>
    <w:rsid w:val="00E46B10"/>
    <w:rsid w:val="00E479FE"/>
    <w:rsid w:val="00E56964"/>
    <w:rsid w:val="00E614C3"/>
    <w:rsid w:val="00E626D7"/>
    <w:rsid w:val="00E67B29"/>
    <w:rsid w:val="00E70BAA"/>
    <w:rsid w:val="00E7104E"/>
    <w:rsid w:val="00E72A30"/>
    <w:rsid w:val="00E7557F"/>
    <w:rsid w:val="00E769CD"/>
    <w:rsid w:val="00E8260A"/>
    <w:rsid w:val="00E82E12"/>
    <w:rsid w:val="00E83566"/>
    <w:rsid w:val="00E840DE"/>
    <w:rsid w:val="00E85400"/>
    <w:rsid w:val="00E973CD"/>
    <w:rsid w:val="00EA0D84"/>
    <w:rsid w:val="00EA1AC5"/>
    <w:rsid w:val="00EA6919"/>
    <w:rsid w:val="00EA7397"/>
    <w:rsid w:val="00EB1450"/>
    <w:rsid w:val="00EB3ACD"/>
    <w:rsid w:val="00EB3DFE"/>
    <w:rsid w:val="00EB63B1"/>
    <w:rsid w:val="00EC4EB7"/>
    <w:rsid w:val="00EC5808"/>
    <w:rsid w:val="00EC66C7"/>
    <w:rsid w:val="00EC7714"/>
    <w:rsid w:val="00ED1210"/>
    <w:rsid w:val="00ED1C3F"/>
    <w:rsid w:val="00ED49AF"/>
    <w:rsid w:val="00ED5791"/>
    <w:rsid w:val="00ED7D8E"/>
    <w:rsid w:val="00EE0F32"/>
    <w:rsid w:val="00EE3644"/>
    <w:rsid w:val="00EF13BC"/>
    <w:rsid w:val="00EF3C16"/>
    <w:rsid w:val="00EF4700"/>
    <w:rsid w:val="00EF4C36"/>
    <w:rsid w:val="00EF6878"/>
    <w:rsid w:val="00EF7E18"/>
    <w:rsid w:val="00F0589D"/>
    <w:rsid w:val="00F05E10"/>
    <w:rsid w:val="00F0776F"/>
    <w:rsid w:val="00F12503"/>
    <w:rsid w:val="00F1395D"/>
    <w:rsid w:val="00F16A4F"/>
    <w:rsid w:val="00F21065"/>
    <w:rsid w:val="00F227F0"/>
    <w:rsid w:val="00F23B03"/>
    <w:rsid w:val="00F23E30"/>
    <w:rsid w:val="00F305DE"/>
    <w:rsid w:val="00F312F8"/>
    <w:rsid w:val="00F3183B"/>
    <w:rsid w:val="00F32BF1"/>
    <w:rsid w:val="00F34BB6"/>
    <w:rsid w:val="00F34EC4"/>
    <w:rsid w:val="00F360EC"/>
    <w:rsid w:val="00F3663B"/>
    <w:rsid w:val="00F37051"/>
    <w:rsid w:val="00F403C1"/>
    <w:rsid w:val="00F4193A"/>
    <w:rsid w:val="00F45D61"/>
    <w:rsid w:val="00F52CF0"/>
    <w:rsid w:val="00F5339C"/>
    <w:rsid w:val="00F57F57"/>
    <w:rsid w:val="00F62715"/>
    <w:rsid w:val="00F635C8"/>
    <w:rsid w:val="00F6404B"/>
    <w:rsid w:val="00F66353"/>
    <w:rsid w:val="00F74545"/>
    <w:rsid w:val="00F8433C"/>
    <w:rsid w:val="00F860DC"/>
    <w:rsid w:val="00F86B2C"/>
    <w:rsid w:val="00F96C25"/>
    <w:rsid w:val="00FA054C"/>
    <w:rsid w:val="00FA7B81"/>
    <w:rsid w:val="00FA7E65"/>
    <w:rsid w:val="00FB0411"/>
    <w:rsid w:val="00FB369D"/>
    <w:rsid w:val="00FB6684"/>
    <w:rsid w:val="00FB7192"/>
    <w:rsid w:val="00FC48D2"/>
    <w:rsid w:val="00FD0462"/>
    <w:rsid w:val="00FD0719"/>
    <w:rsid w:val="00FD2B13"/>
    <w:rsid w:val="00FD52C3"/>
    <w:rsid w:val="00FE0042"/>
    <w:rsid w:val="00FE0BB4"/>
    <w:rsid w:val="00FE27B4"/>
    <w:rsid w:val="00FE4D5A"/>
    <w:rsid w:val="00FE6158"/>
    <w:rsid w:val="00FF295B"/>
    <w:rsid w:val="00FF32C0"/>
    <w:rsid w:val="00FF5B71"/>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F9E8CD"/>
  <w15:docId w15:val="{A7A7AA81-F0B4-4C0D-B161-4A0A95B7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950"/>
    <w:pPr>
      <w:jc w:val="both"/>
    </w:pPr>
    <w:rPr>
      <w:rFonts w:ascii="avant garde" w:hAnsi="avant garde"/>
      <w:sz w:val="22"/>
      <w:szCs w:val="24"/>
      <w:lang w:eastAsia="en-US"/>
    </w:rPr>
  </w:style>
  <w:style w:type="paragraph" w:styleId="Heading1">
    <w:name w:val="heading 1"/>
    <w:basedOn w:val="Normal"/>
    <w:next w:val="Normal"/>
    <w:qFormat/>
    <w:rsid w:val="00D01A63"/>
    <w:pPr>
      <w:keepNext/>
      <w:outlineLvl w:val="0"/>
    </w:pPr>
    <w:rPr>
      <w:rFonts w:cs="Arial"/>
      <w:b/>
      <w:bCs/>
      <w:color w:val="687522"/>
      <w:sz w:val="32"/>
    </w:rPr>
  </w:style>
  <w:style w:type="paragraph" w:styleId="Heading2">
    <w:name w:val="heading 2"/>
    <w:basedOn w:val="Normal"/>
    <w:next w:val="Normal"/>
    <w:qFormat/>
    <w:rsid w:val="00D01A63"/>
    <w:pPr>
      <w:keepNext/>
      <w:spacing w:before="240" w:after="120"/>
      <w:outlineLvl w:val="1"/>
    </w:pPr>
    <w:rPr>
      <w:rFonts w:cs="Arial"/>
      <w:b/>
      <w:bCs/>
      <w:color w:val="667305"/>
      <w:sz w:val="28"/>
    </w:rPr>
  </w:style>
  <w:style w:type="paragraph" w:styleId="Heading3">
    <w:name w:val="heading 3"/>
    <w:basedOn w:val="Normal"/>
    <w:next w:val="Normal"/>
    <w:qFormat/>
    <w:rsid w:val="00D01A63"/>
    <w:pPr>
      <w:keepNext/>
      <w:pBdr>
        <w:top w:val="single" w:sz="4" w:space="1" w:color="667305"/>
      </w:pBdr>
      <w:tabs>
        <w:tab w:val="left" w:pos="567"/>
      </w:tabs>
      <w:spacing w:before="240" w:after="120"/>
      <w:outlineLvl w:val="2"/>
    </w:pPr>
    <w:rPr>
      <w:rFonts w:cs="Arial"/>
      <w:b/>
      <w:bCs/>
      <w:color w:val="687522"/>
      <w:szCs w:val="26"/>
    </w:rPr>
  </w:style>
  <w:style w:type="paragraph" w:styleId="Heading4">
    <w:name w:val="heading 4"/>
    <w:basedOn w:val="Normal"/>
    <w:next w:val="Normal"/>
    <w:qFormat/>
    <w:rsid w:val="00D01A63"/>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01A63"/>
    <w:pPr>
      <w:ind w:left="1134"/>
    </w:pPr>
    <w:rPr>
      <w:rFonts w:cs="Arial"/>
    </w:rPr>
  </w:style>
  <w:style w:type="paragraph" w:styleId="Header">
    <w:name w:val="header"/>
    <w:basedOn w:val="Normal"/>
    <w:semiHidden/>
    <w:rsid w:val="00D01A63"/>
    <w:pPr>
      <w:tabs>
        <w:tab w:val="center" w:pos="4153"/>
        <w:tab w:val="right" w:pos="8306"/>
      </w:tabs>
    </w:pPr>
  </w:style>
  <w:style w:type="paragraph" w:customStyle="1" w:styleId="BulletNormal">
    <w:name w:val="BulletNormal"/>
    <w:basedOn w:val="Normal"/>
    <w:rsid w:val="00D01A63"/>
    <w:pPr>
      <w:numPr>
        <w:numId w:val="1"/>
      </w:numPr>
      <w:tabs>
        <w:tab w:val="clear" w:pos="720"/>
        <w:tab w:val="num" w:pos="360"/>
      </w:tabs>
      <w:ind w:left="0" w:firstLine="0"/>
    </w:pPr>
  </w:style>
  <w:style w:type="paragraph" w:styleId="Footer">
    <w:name w:val="footer"/>
    <w:basedOn w:val="Normal"/>
    <w:semiHidden/>
    <w:rsid w:val="00D01A63"/>
    <w:pPr>
      <w:tabs>
        <w:tab w:val="center" w:pos="4153"/>
        <w:tab w:val="right" w:pos="8306"/>
      </w:tabs>
    </w:pPr>
  </w:style>
  <w:style w:type="character" w:styleId="PageNumber">
    <w:name w:val="page number"/>
    <w:basedOn w:val="DefaultParagraphFont"/>
    <w:semiHidden/>
    <w:rsid w:val="00D01A63"/>
  </w:style>
  <w:style w:type="paragraph" w:styleId="FootnoteText">
    <w:name w:val="footnote text"/>
    <w:basedOn w:val="Normal"/>
    <w:link w:val="FootnoteTextChar"/>
    <w:rsid w:val="00CC3533"/>
    <w:rPr>
      <w:sz w:val="20"/>
      <w:szCs w:val="20"/>
    </w:rPr>
  </w:style>
  <w:style w:type="paragraph" w:customStyle="1" w:styleId="BulletBody">
    <w:name w:val="BulletBody"/>
    <w:basedOn w:val="BulletNormal"/>
    <w:rsid w:val="00D01A63"/>
    <w:pPr>
      <w:tabs>
        <w:tab w:val="num" w:pos="1843"/>
      </w:tabs>
      <w:ind w:left="1843"/>
    </w:pPr>
  </w:style>
  <w:style w:type="paragraph" w:customStyle="1" w:styleId="TopHead">
    <w:name w:val="TopHead"/>
    <w:basedOn w:val="Heading1"/>
    <w:rsid w:val="00D01A63"/>
    <w:pPr>
      <w:jc w:val="center"/>
    </w:pPr>
    <w:rPr>
      <w:color w:val="325078"/>
    </w:rPr>
  </w:style>
  <w:style w:type="character" w:styleId="FootnoteReference">
    <w:name w:val="footnote reference"/>
    <w:basedOn w:val="DefaultParagraphFont"/>
    <w:rsid w:val="00CC3533"/>
    <w:rPr>
      <w:vertAlign w:val="superscript"/>
    </w:rPr>
  </w:style>
  <w:style w:type="table" w:styleId="TableGrid">
    <w:name w:val="Table Grid"/>
    <w:basedOn w:val="TableNormal"/>
    <w:uiPriority w:val="59"/>
    <w:rsid w:val="00CB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966F9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966F96"/>
    <w:rPr>
      <w:rFonts w:ascii="Cambria" w:eastAsia="Times New Roman" w:hAnsi="Cambria" w:cs="Times New Roman"/>
      <w:b/>
      <w:bCs/>
      <w:kern w:val="28"/>
      <w:sz w:val="32"/>
      <w:szCs w:val="32"/>
      <w:lang w:eastAsia="en-US"/>
    </w:rPr>
  </w:style>
  <w:style w:type="character" w:styleId="Hyperlink">
    <w:name w:val="Hyperlink"/>
    <w:basedOn w:val="DefaultParagraphFont"/>
    <w:uiPriority w:val="99"/>
    <w:unhideWhenUsed/>
    <w:rsid w:val="00D46E05"/>
    <w:rPr>
      <w:color w:val="0000FF"/>
      <w:u w:val="single"/>
    </w:rPr>
  </w:style>
  <w:style w:type="character" w:styleId="FollowedHyperlink">
    <w:name w:val="FollowedHyperlink"/>
    <w:basedOn w:val="DefaultParagraphFont"/>
    <w:uiPriority w:val="99"/>
    <w:semiHidden/>
    <w:unhideWhenUsed/>
    <w:rsid w:val="00C825E7"/>
    <w:rPr>
      <w:color w:val="800080"/>
      <w:u w:val="single"/>
    </w:rPr>
  </w:style>
  <w:style w:type="paragraph" w:styleId="NoSpacing">
    <w:name w:val="No Spacing"/>
    <w:uiPriority w:val="1"/>
    <w:qFormat/>
    <w:rsid w:val="006E77B9"/>
    <w:pPr>
      <w:jc w:val="both"/>
    </w:pPr>
    <w:rPr>
      <w:rFonts w:ascii="avant garde" w:hAnsi="avant garde"/>
      <w:sz w:val="22"/>
      <w:szCs w:val="24"/>
      <w:lang w:eastAsia="en-US"/>
    </w:rPr>
  </w:style>
  <w:style w:type="paragraph" w:styleId="BalloonText">
    <w:name w:val="Balloon Text"/>
    <w:basedOn w:val="Normal"/>
    <w:link w:val="BalloonTextChar"/>
    <w:uiPriority w:val="99"/>
    <w:semiHidden/>
    <w:unhideWhenUsed/>
    <w:rsid w:val="00BE38E1"/>
    <w:rPr>
      <w:rFonts w:ascii="Tahoma" w:hAnsi="Tahoma" w:cs="Tahoma"/>
      <w:sz w:val="16"/>
      <w:szCs w:val="16"/>
    </w:rPr>
  </w:style>
  <w:style w:type="character" w:customStyle="1" w:styleId="BalloonTextChar">
    <w:name w:val="Balloon Text Char"/>
    <w:basedOn w:val="DefaultParagraphFont"/>
    <w:link w:val="BalloonText"/>
    <w:uiPriority w:val="99"/>
    <w:semiHidden/>
    <w:rsid w:val="00BE38E1"/>
    <w:rPr>
      <w:rFonts w:ascii="Tahoma" w:hAnsi="Tahoma" w:cs="Tahoma"/>
      <w:sz w:val="16"/>
      <w:szCs w:val="16"/>
      <w:lang w:eastAsia="en-US"/>
    </w:rPr>
  </w:style>
  <w:style w:type="paragraph" w:styleId="ListParagraph">
    <w:name w:val="List Paragraph"/>
    <w:basedOn w:val="Normal"/>
    <w:uiPriority w:val="34"/>
    <w:qFormat/>
    <w:rsid w:val="00C00311"/>
    <w:pPr>
      <w:spacing w:after="120"/>
      <w:ind w:left="720"/>
    </w:pPr>
  </w:style>
  <w:style w:type="paragraph" w:customStyle="1" w:styleId="Default">
    <w:name w:val="Default"/>
    <w:uiPriority w:val="99"/>
    <w:rsid w:val="00DC2B3A"/>
    <w:pPr>
      <w:autoSpaceDE w:val="0"/>
      <w:autoSpaceDN w:val="0"/>
      <w:adjustRightInd w:val="0"/>
    </w:pPr>
    <w:rPr>
      <w:rFonts w:ascii="Arial MT" w:hAnsi="Arial MT" w:cs="Arial MT"/>
      <w:color w:val="000000"/>
      <w:sz w:val="24"/>
      <w:szCs w:val="24"/>
    </w:rPr>
  </w:style>
  <w:style w:type="character" w:customStyle="1" w:styleId="FootnoteTextChar">
    <w:name w:val="Footnote Text Char"/>
    <w:basedOn w:val="DefaultParagraphFont"/>
    <w:link w:val="FootnoteText"/>
    <w:rsid w:val="00814A8F"/>
    <w:rPr>
      <w:rFonts w:ascii="avant garde" w:hAnsi="avant garde"/>
      <w:lang w:eastAsia="en-US"/>
    </w:rPr>
  </w:style>
  <w:style w:type="character" w:styleId="CommentReference">
    <w:name w:val="annotation reference"/>
    <w:basedOn w:val="DefaultParagraphFont"/>
    <w:uiPriority w:val="99"/>
    <w:semiHidden/>
    <w:unhideWhenUsed/>
    <w:rsid w:val="00666897"/>
    <w:rPr>
      <w:sz w:val="16"/>
      <w:szCs w:val="16"/>
    </w:rPr>
  </w:style>
  <w:style w:type="paragraph" w:styleId="CommentText">
    <w:name w:val="annotation text"/>
    <w:basedOn w:val="Normal"/>
    <w:link w:val="CommentTextChar"/>
    <w:uiPriority w:val="99"/>
    <w:unhideWhenUsed/>
    <w:rsid w:val="00666897"/>
    <w:rPr>
      <w:sz w:val="20"/>
      <w:szCs w:val="20"/>
    </w:rPr>
  </w:style>
  <w:style w:type="character" w:customStyle="1" w:styleId="CommentTextChar">
    <w:name w:val="Comment Text Char"/>
    <w:basedOn w:val="DefaultParagraphFont"/>
    <w:link w:val="CommentText"/>
    <w:uiPriority w:val="99"/>
    <w:rsid w:val="00666897"/>
    <w:rPr>
      <w:rFonts w:ascii="avant garde" w:hAnsi="avant garde"/>
      <w:lang w:eastAsia="en-US"/>
    </w:rPr>
  </w:style>
  <w:style w:type="paragraph" w:styleId="CommentSubject">
    <w:name w:val="annotation subject"/>
    <w:basedOn w:val="CommentText"/>
    <w:next w:val="CommentText"/>
    <w:link w:val="CommentSubjectChar"/>
    <w:uiPriority w:val="99"/>
    <w:semiHidden/>
    <w:unhideWhenUsed/>
    <w:rsid w:val="00666897"/>
    <w:rPr>
      <w:b/>
      <w:bCs/>
    </w:rPr>
  </w:style>
  <w:style w:type="character" w:customStyle="1" w:styleId="CommentSubjectChar">
    <w:name w:val="Comment Subject Char"/>
    <w:basedOn w:val="CommentTextChar"/>
    <w:link w:val="CommentSubject"/>
    <w:uiPriority w:val="99"/>
    <w:semiHidden/>
    <w:rsid w:val="00666897"/>
    <w:rPr>
      <w:rFonts w:ascii="avant garde" w:hAnsi="avant garde"/>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88420">
      <w:bodyDiv w:val="1"/>
      <w:marLeft w:val="0"/>
      <w:marRight w:val="0"/>
      <w:marTop w:val="0"/>
      <w:marBottom w:val="0"/>
      <w:divBdr>
        <w:top w:val="none" w:sz="0" w:space="0" w:color="auto"/>
        <w:left w:val="none" w:sz="0" w:space="0" w:color="auto"/>
        <w:bottom w:val="none" w:sz="0" w:space="0" w:color="auto"/>
        <w:right w:val="none" w:sz="0" w:space="0" w:color="auto"/>
      </w:divBdr>
      <w:divsChild>
        <w:div w:id="1038314494">
          <w:marLeft w:val="446"/>
          <w:marRight w:val="0"/>
          <w:marTop w:val="77"/>
          <w:marBottom w:val="0"/>
          <w:divBdr>
            <w:top w:val="none" w:sz="0" w:space="0" w:color="auto"/>
            <w:left w:val="none" w:sz="0" w:space="0" w:color="auto"/>
            <w:bottom w:val="none" w:sz="0" w:space="0" w:color="auto"/>
            <w:right w:val="none" w:sz="0" w:space="0" w:color="auto"/>
          </w:divBdr>
        </w:div>
      </w:divsChild>
    </w:div>
    <w:div w:id="226040732">
      <w:bodyDiv w:val="1"/>
      <w:marLeft w:val="0"/>
      <w:marRight w:val="0"/>
      <w:marTop w:val="0"/>
      <w:marBottom w:val="0"/>
      <w:divBdr>
        <w:top w:val="none" w:sz="0" w:space="0" w:color="auto"/>
        <w:left w:val="none" w:sz="0" w:space="0" w:color="auto"/>
        <w:bottom w:val="none" w:sz="0" w:space="0" w:color="auto"/>
        <w:right w:val="none" w:sz="0" w:space="0" w:color="auto"/>
      </w:divBdr>
    </w:div>
    <w:div w:id="537089281">
      <w:bodyDiv w:val="1"/>
      <w:marLeft w:val="0"/>
      <w:marRight w:val="0"/>
      <w:marTop w:val="0"/>
      <w:marBottom w:val="0"/>
      <w:divBdr>
        <w:top w:val="none" w:sz="0" w:space="0" w:color="auto"/>
        <w:left w:val="none" w:sz="0" w:space="0" w:color="auto"/>
        <w:bottom w:val="none" w:sz="0" w:space="0" w:color="auto"/>
        <w:right w:val="none" w:sz="0" w:space="0" w:color="auto"/>
      </w:divBdr>
    </w:div>
    <w:div w:id="566188651">
      <w:bodyDiv w:val="1"/>
      <w:marLeft w:val="0"/>
      <w:marRight w:val="0"/>
      <w:marTop w:val="0"/>
      <w:marBottom w:val="0"/>
      <w:divBdr>
        <w:top w:val="none" w:sz="0" w:space="0" w:color="auto"/>
        <w:left w:val="none" w:sz="0" w:space="0" w:color="auto"/>
        <w:bottom w:val="none" w:sz="0" w:space="0" w:color="auto"/>
        <w:right w:val="none" w:sz="0" w:space="0" w:color="auto"/>
      </w:divBdr>
    </w:div>
    <w:div w:id="637805969">
      <w:bodyDiv w:val="1"/>
      <w:marLeft w:val="0"/>
      <w:marRight w:val="0"/>
      <w:marTop w:val="0"/>
      <w:marBottom w:val="0"/>
      <w:divBdr>
        <w:top w:val="none" w:sz="0" w:space="0" w:color="auto"/>
        <w:left w:val="none" w:sz="0" w:space="0" w:color="auto"/>
        <w:bottom w:val="none" w:sz="0" w:space="0" w:color="auto"/>
        <w:right w:val="none" w:sz="0" w:space="0" w:color="auto"/>
      </w:divBdr>
    </w:div>
    <w:div w:id="707533904">
      <w:bodyDiv w:val="1"/>
      <w:marLeft w:val="0"/>
      <w:marRight w:val="0"/>
      <w:marTop w:val="0"/>
      <w:marBottom w:val="0"/>
      <w:divBdr>
        <w:top w:val="none" w:sz="0" w:space="0" w:color="auto"/>
        <w:left w:val="none" w:sz="0" w:space="0" w:color="auto"/>
        <w:bottom w:val="none" w:sz="0" w:space="0" w:color="auto"/>
        <w:right w:val="none" w:sz="0" w:space="0" w:color="auto"/>
      </w:divBdr>
    </w:div>
    <w:div w:id="833492629">
      <w:bodyDiv w:val="1"/>
      <w:marLeft w:val="0"/>
      <w:marRight w:val="0"/>
      <w:marTop w:val="0"/>
      <w:marBottom w:val="0"/>
      <w:divBdr>
        <w:top w:val="none" w:sz="0" w:space="0" w:color="auto"/>
        <w:left w:val="none" w:sz="0" w:space="0" w:color="auto"/>
        <w:bottom w:val="none" w:sz="0" w:space="0" w:color="auto"/>
        <w:right w:val="none" w:sz="0" w:space="0" w:color="auto"/>
      </w:divBdr>
    </w:div>
    <w:div w:id="999887632">
      <w:bodyDiv w:val="1"/>
      <w:marLeft w:val="0"/>
      <w:marRight w:val="0"/>
      <w:marTop w:val="0"/>
      <w:marBottom w:val="0"/>
      <w:divBdr>
        <w:top w:val="none" w:sz="0" w:space="0" w:color="auto"/>
        <w:left w:val="none" w:sz="0" w:space="0" w:color="auto"/>
        <w:bottom w:val="none" w:sz="0" w:space="0" w:color="auto"/>
        <w:right w:val="none" w:sz="0" w:space="0" w:color="auto"/>
      </w:divBdr>
    </w:div>
    <w:div w:id="1009871513">
      <w:bodyDiv w:val="1"/>
      <w:marLeft w:val="0"/>
      <w:marRight w:val="0"/>
      <w:marTop w:val="0"/>
      <w:marBottom w:val="0"/>
      <w:divBdr>
        <w:top w:val="none" w:sz="0" w:space="0" w:color="auto"/>
        <w:left w:val="none" w:sz="0" w:space="0" w:color="auto"/>
        <w:bottom w:val="none" w:sz="0" w:space="0" w:color="auto"/>
        <w:right w:val="none" w:sz="0" w:space="0" w:color="auto"/>
      </w:divBdr>
    </w:div>
    <w:div w:id="1093742276">
      <w:bodyDiv w:val="1"/>
      <w:marLeft w:val="0"/>
      <w:marRight w:val="0"/>
      <w:marTop w:val="0"/>
      <w:marBottom w:val="0"/>
      <w:divBdr>
        <w:top w:val="none" w:sz="0" w:space="0" w:color="auto"/>
        <w:left w:val="none" w:sz="0" w:space="0" w:color="auto"/>
        <w:bottom w:val="none" w:sz="0" w:space="0" w:color="auto"/>
        <w:right w:val="none" w:sz="0" w:space="0" w:color="auto"/>
      </w:divBdr>
    </w:div>
    <w:div w:id="1097746502">
      <w:bodyDiv w:val="1"/>
      <w:marLeft w:val="0"/>
      <w:marRight w:val="0"/>
      <w:marTop w:val="0"/>
      <w:marBottom w:val="0"/>
      <w:divBdr>
        <w:top w:val="none" w:sz="0" w:space="0" w:color="auto"/>
        <w:left w:val="none" w:sz="0" w:space="0" w:color="auto"/>
        <w:bottom w:val="none" w:sz="0" w:space="0" w:color="auto"/>
        <w:right w:val="none" w:sz="0" w:space="0" w:color="auto"/>
      </w:divBdr>
    </w:div>
    <w:div w:id="1207452916">
      <w:bodyDiv w:val="1"/>
      <w:marLeft w:val="0"/>
      <w:marRight w:val="0"/>
      <w:marTop w:val="0"/>
      <w:marBottom w:val="0"/>
      <w:divBdr>
        <w:top w:val="none" w:sz="0" w:space="0" w:color="auto"/>
        <w:left w:val="none" w:sz="0" w:space="0" w:color="auto"/>
        <w:bottom w:val="none" w:sz="0" w:space="0" w:color="auto"/>
        <w:right w:val="none" w:sz="0" w:space="0" w:color="auto"/>
      </w:divBdr>
    </w:div>
    <w:div w:id="1275138629">
      <w:bodyDiv w:val="1"/>
      <w:marLeft w:val="0"/>
      <w:marRight w:val="0"/>
      <w:marTop w:val="0"/>
      <w:marBottom w:val="0"/>
      <w:divBdr>
        <w:top w:val="none" w:sz="0" w:space="0" w:color="auto"/>
        <w:left w:val="none" w:sz="0" w:space="0" w:color="auto"/>
        <w:bottom w:val="none" w:sz="0" w:space="0" w:color="auto"/>
        <w:right w:val="none" w:sz="0" w:space="0" w:color="auto"/>
      </w:divBdr>
    </w:div>
    <w:div w:id="1935280287">
      <w:bodyDiv w:val="1"/>
      <w:marLeft w:val="0"/>
      <w:marRight w:val="0"/>
      <w:marTop w:val="0"/>
      <w:marBottom w:val="0"/>
      <w:divBdr>
        <w:top w:val="none" w:sz="0" w:space="0" w:color="auto"/>
        <w:left w:val="none" w:sz="0" w:space="0" w:color="auto"/>
        <w:bottom w:val="none" w:sz="0" w:space="0" w:color="auto"/>
        <w:right w:val="none" w:sz="0" w:space="0" w:color="auto"/>
      </w:divBdr>
    </w:div>
    <w:div w:id="2066681547">
      <w:bodyDiv w:val="1"/>
      <w:marLeft w:val="0"/>
      <w:marRight w:val="0"/>
      <w:marTop w:val="0"/>
      <w:marBottom w:val="0"/>
      <w:divBdr>
        <w:top w:val="none" w:sz="0" w:space="0" w:color="auto"/>
        <w:left w:val="none" w:sz="0" w:space="0" w:color="auto"/>
        <w:bottom w:val="none" w:sz="0" w:space="0" w:color="auto"/>
        <w:right w:val="none" w:sz="0" w:space="0" w:color="auto"/>
      </w:divBdr>
    </w:div>
    <w:div w:id="21197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gordon@r-e-a.net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r-e-a.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65523-6F64-4C69-A2B8-36A94093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Heading 1</vt:lpstr>
    </vt:vector>
  </TitlesOfParts>
  <Company>REA</Company>
  <LinksUpToDate>false</LinksUpToDate>
  <CharactersWithSpaces>12576</CharactersWithSpaces>
  <SharedDoc>false</SharedDoc>
  <HLinks>
    <vt:vector size="36" baseType="variant">
      <vt:variant>
        <vt:i4>5242910</vt:i4>
      </vt:variant>
      <vt:variant>
        <vt:i4>12</vt:i4>
      </vt:variant>
      <vt:variant>
        <vt:i4>0</vt:i4>
      </vt:variant>
      <vt:variant>
        <vt:i4>5</vt:i4>
      </vt:variant>
      <vt:variant>
        <vt:lpwstr>http://eur-lex.europa.eu/LexUriServ/LexUriServ.do?uri=OJ:L:2009:140:0016:0062:EN:PDF</vt:lpwstr>
      </vt:variant>
      <vt:variant>
        <vt:lpwstr/>
      </vt:variant>
      <vt:variant>
        <vt:i4>7733358</vt:i4>
      </vt:variant>
      <vt:variant>
        <vt:i4>9</vt:i4>
      </vt:variant>
      <vt:variant>
        <vt:i4>0</vt:i4>
      </vt:variant>
      <vt:variant>
        <vt:i4>5</vt:i4>
      </vt:variant>
      <vt:variant>
        <vt:lpwstr>http://www.decc.gov.uk/en/content/cms/meeting_energy/renewable_ener/renew_obs/renew_obs.aspx</vt:lpwstr>
      </vt:variant>
      <vt:variant>
        <vt:lpwstr/>
      </vt:variant>
      <vt:variant>
        <vt:i4>3473443</vt:i4>
      </vt:variant>
      <vt:variant>
        <vt:i4>6</vt:i4>
      </vt:variant>
      <vt:variant>
        <vt:i4>0</vt:i4>
      </vt:variant>
      <vt:variant>
        <vt:i4>5</vt:i4>
      </vt:variant>
      <vt:variant>
        <vt:lpwstr>http://www.ofgem.gov.uk/e-serve/RHI/Pages/RHI.aspx</vt:lpwstr>
      </vt:variant>
      <vt:variant>
        <vt:lpwstr/>
      </vt:variant>
      <vt:variant>
        <vt:i4>7274531</vt:i4>
      </vt:variant>
      <vt:variant>
        <vt:i4>3</vt:i4>
      </vt:variant>
      <vt:variant>
        <vt:i4>0</vt:i4>
      </vt:variant>
      <vt:variant>
        <vt:i4>5</vt:i4>
      </vt:variant>
      <vt:variant>
        <vt:lpwstr>http://www.legislation.gov.uk/uksi/2011/2860/contents/made</vt:lpwstr>
      </vt:variant>
      <vt:variant>
        <vt:lpwstr/>
      </vt:variant>
      <vt:variant>
        <vt:i4>1179743</vt:i4>
      </vt:variant>
      <vt:variant>
        <vt:i4>0</vt:i4>
      </vt:variant>
      <vt:variant>
        <vt:i4>0</vt:i4>
      </vt:variant>
      <vt:variant>
        <vt:i4>5</vt:i4>
      </vt:variant>
      <vt:variant>
        <vt:lpwstr>http://www.decc.gov.uk/assets/decc/What we do/UK energy supply/Energy mix/Renewable energy/policy/renewableheat/1387-renewable-heat-incentive.pdf</vt:lpwstr>
      </vt:variant>
      <vt:variant>
        <vt:lpwstr/>
      </vt:variant>
      <vt:variant>
        <vt:i4>4653083</vt:i4>
      </vt:variant>
      <vt:variant>
        <vt:i4>5</vt:i4>
      </vt:variant>
      <vt:variant>
        <vt:i4>0</vt:i4>
      </vt:variant>
      <vt:variant>
        <vt:i4>5</vt:i4>
      </vt:variant>
      <vt:variant>
        <vt:lpwstr>http://www.r-e-a.net/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Frank Gordon</dc:creator>
  <cp:lastModifiedBy>A G</cp:lastModifiedBy>
  <cp:revision>6</cp:revision>
  <cp:lastPrinted>2019-03-25T15:33:00Z</cp:lastPrinted>
  <dcterms:created xsi:type="dcterms:W3CDTF">2019-12-10T18:43:00Z</dcterms:created>
  <dcterms:modified xsi:type="dcterms:W3CDTF">2019-12-10T18:47:00Z</dcterms:modified>
</cp:coreProperties>
</file>