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58" w:rsidRPr="009E185A" w:rsidRDefault="00F312F8" w:rsidP="00D229D6">
      <w:pPr>
        <w:pStyle w:val="Heading1"/>
        <w:spacing w:before="120" w:after="120"/>
        <w:jc w:val="center"/>
        <w:rPr>
          <w:rFonts w:ascii="Open Sans" w:hAnsi="Open Sans" w:cs="Open Sans"/>
          <w:color w:val="C2D69B" w:themeColor="accent3" w:themeTint="99"/>
          <w:szCs w:val="32"/>
        </w:rPr>
      </w:pPr>
      <w:r w:rsidRPr="009E185A">
        <w:rPr>
          <w:rFonts w:ascii="Open Sans" w:hAnsi="Open Sans" w:cs="Open Sans"/>
          <w:color w:val="C2D69B" w:themeColor="accent3" w:themeTint="99"/>
          <w:szCs w:val="32"/>
        </w:rPr>
        <w:t xml:space="preserve">REA </w:t>
      </w:r>
      <w:r w:rsidR="00AC73F5" w:rsidRPr="009E185A">
        <w:rPr>
          <w:rFonts w:ascii="Open Sans" w:hAnsi="Open Sans" w:cs="Open Sans"/>
          <w:color w:val="C2D69B" w:themeColor="accent3" w:themeTint="99"/>
          <w:szCs w:val="32"/>
        </w:rPr>
        <w:t xml:space="preserve">Response to </w:t>
      </w:r>
      <w:proofErr w:type="spellStart"/>
      <w:r w:rsidR="006E551F" w:rsidRPr="009E185A">
        <w:rPr>
          <w:rFonts w:ascii="Open Sans" w:hAnsi="Open Sans" w:cs="Open Sans"/>
          <w:color w:val="C2D69B" w:themeColor="accent3" w:themeTint="99"/>
          <w:szCs w:val="32"/>
        </w:rPr>
        <w:t>Ofgem</w:t>
      </w:r>
      <w:proofErr w:type="spellEnd"/>
      <w:r w:rsidR="006E551F" w:rsidRPr="009E185A">
        <w:rPr>
          <w:rFonts w:ascii="Open Sans" w:hAnsi="Open Sans" w:cs="Open Sans"/>
          <w:color w:val="C2D69B" w:themeColor="accent3" w:themeTint="99"/>
          <w:szCs w:val="32"/>
        </w:rPr>
        <w:t xml:space="preserve"> Call for Evidence on Industry standards and practices for commissioning equipment used in the production of biomethane</w:t>
      </w:r>
    </w:p>
    <w:p w:rsidR="00F312F8" w:rsidRPr="009E185A" w:rsidRDefault="00F312F8" w:rsidP="00D229D6">
      <w:pPr>
        <w:spacing w:before="120" w:after="120"/>
        <w:rPr>
          <w:rFonts w:ascii="Open Sans" w:hAnsi="Open Sans" w:cs="Open Sans"/>
          <w:szCs w:val="22"/>
        </w:rPr>
      </w:pPr>
    </w:p>
    <w:p w:rsidR="005A164A" w:rsidRPr="009E185A" w:rsidRDefault="005D6A74" w:rsidP="00D229D6">
      <w:pPr>
        <w:spacing w:before="120" w:after="120"/>
        <w:rPr>
          <w:rFonts w:ascii="Open Sans" w:hAnsi="Open Sans" w:cs="Open Sans"/>
          <w:b/>
          <w:szCs w:val="22"/>
        </w:rPr>
      </w:pPr>
      <w:r w:rsidRPr="009E185A">
        <w:rPr>
          <w:rFonts w:ascii="Open Sans" w:hAnsi="Open Sans" w:cs="Open Sans"/>
          <w:b/>
          <w:szCs w:val="22"/>
        </w:rPr>
        <w:t xml:space="preserve">Introduction &amp; </w:t>
      </w:r>
      <w:r w:rsidR="005A164A" w:rsidRPr="009E185A">
        <w:rPr>
          <w:rFonts w:ascii="Open Sans" w:hAnsi="Open Sans" w:cs="Open Sans"/>
          <w:b/>
          <w:szCs w:val="22"/>
        </w:rPr>
        <w:t>Context</w:t>
      </w:r>
    </w:p>
    <w:p w:rsidR="00D8006C" w:rsidRPr="009E185A" w:rsidRDefault="006E551F" w:rsidP="00D229D6">
      <w:pPr>
        <w:spacing w:before="120" w:after="120"/>
        <w:rPr>
          <w:rFonts w:ascii="Open Sans" w:hAnsi="Open Sans" w:cs="Open Sans"/>
          <w:szCs w:val="22"/>
        </w:rPr>
      </w:pPr>
      <w:r w:rsidRPr="009E185A">
        <w:rPr>
          <w:rFonts w:ascii="Open Sans" w:hAnsi="Open Sans" w:cs="Open Sans"/>
          <w:szCs w:val="22"/>
        </w:rPr>
        <w:t xml:space="preserve">The REA represents a wide variety of organisations, including generators, project developers, fuel and power suppliers, investors, equipment producers and service providers. Members range in size from major multinationals to sole traders. There are over 550 corporate members of the REA, making it the largest renewable energy trade association in the UK. </w:t>
      </w:r>
      <w:r w:rsidR="00FD52CB" w:rsidRPr="009E185A">
        <w:rPr>
          <w:rFonts w:ascii="Open Sans" w:hAnsi="Open Sans" w:cs="Open Sans"/>
          <w:szCs w:val="22"/>
        </w:rPr>
        <w:t xml:space="preserve">These include around 200 companies involved in the funding, development and operation of AD plants as well as renewable gas injection and supply chains.  </w:t>
      </w:r>
    </w:p>
    <w:p w:rsidR="00D229D6" w:rsidRPr="009E185A" w:rsidRDefault="00D229D6" w:rsidP="00D229D6">
      <w:pPr>
        <w:spacing w:before="120" w:after="120"/>
        <w:rPr>
          <w:rFonts w:ascii="Open Sans" w:hAnsi="Open Sans" w:cs="Open Sans"/>
          <w:szCs w:val="22"/>
        </w:rPr>
      </w:pPr>
      <w:r w:rsidRPr="009E185A">
        <w:rPr>
          <w:rFonts w:ascii="Open Sans" w:hAnsi="Open Sans" w:cs="Open Sans"/>
          <w:szCs w:val="22"/>
        </w:rPr>
        <w:t xml:space="preserve">In a recent </w:t>
      </w:r>
      <w:hyperlink r:id="rId9" w:history="1">
        <w:r w:rsidRPr="009E185A">
          <w:rPr>
            <w:rStyle w:val="Hyperlink"/>
            <w:rFonts w:ascii="Open Sans" w:hAnsi="Open Sans" w:cs="Open Sans"/>
            <w:szCs w:val="22"/>
          </w:rPr>
          <w:t>call for evidence</w:t>
        </w:r>
      </w:hyperlink>
      <w:r w:rsidRPr="009E185A">
        <w:rPr>
          <w:rFonts w:ascii="Open Sans" w:hAnsi="Open Sans" w:cs="Open Sans"/>
          <w:b/>
          <w:szCs w:val="22"/>
        </w:rPr>
        <w:t xml:space="preserve"> </w:t>
      </w:r>
      <w:r w:rsidRPr="009E185A">
        <w:rPr>
          <w:rFonts w:ascii="Open Sans" w:hAnsi="Open Sans" w:cs="Open Sans"/>
          <w:szCs w:val="22"/>
        </w:rPr>
        <w:t xml:space="preserve">Ofgem has invited industry’s views on the industry standards and practices that are currently used for commissioning equipment used in the production of biomethane for injection. </w:t>
      </w:r>
    </w:p>
    <w:p w:rsidR="00D229D6" w:rsidRPr="009E185A" w:rsidRDefault="00FD52CB" w:rsidP="00D229D6">
      <w:pPr>
        <w:spacing w:before="120" w:after="120"/>
        <w:rPr>
          <w:rFonts w:ascii="Open Sans" w:hAnsi="Open Sans" w:cs="Open Sans"/>
          <w:b/>
          <w:color w:val="FF0000"/>
          <w:szCs w:val="22"/>
        </w:rPr>
      </w:pPr>
      <w:r w:rsidRPr="009E185A">
        <w:rPr>
          <w:rFonts w:ascii="Open Sans" w:hAnsi="Open Sans" w:cs="Open Sans"/>
          <w:b/>
          <w:color w:val="FF0000"/>
          <w:szCs w:val="22"/>
        </w:rPr>
        <w:t>We</w:t>
      </w:r>
      <w:r w:rsidR="00D229D6" w:rsidRPr="009E185A">
        <w:rPr>
          <w:rFonts w:ascii="Open Sans" w:hAnsi="Open Sans" w:cs="Open Sans"/>
          <w:b/>
          <w:color w:val="FF0000"/>
          <w:szCs w:val="22"/>
        </w:rPr>
        <w:t xml:space="preserve"> urge Ofgem to confirm that, whatever is the outcome of this call for evidence, a project should not be ineligible as a result of practices that have previously been considered acceptable. In particular, we would strongly recommend that no project that had already injected or was due to inject within 4-6 months of Ofgem publishing its response to this call for evidence should be adversely affected in this way. </w:t>
      </w:r>
    </w:p>
    <w:p w:rsidR="00D229D6" w:rsidRPr="009E185A" w:rsidRDefault="00D229D6" w:rsidP="00D229D6">
      <w:pPr>
        <w:spacing w:before="120" w:after="120"/>
        <w:rPr>
          <w:rFonts w:ascii="Open Sans" w:hAnsi="Open Sans" w:cs="Open Sans"/>
          <w:szCs w:val="22"/>
        </w:rPr>
      </w:pPr>
      <w:r w:rsidRPr="009E185A">
        <w:rPr>
          <w:rFonts w:ascii="Open Sans" w:hAnsi="Open Sans" w:cs="Open Sans"/>
          <w:szCs w:val="22"/>
        </w:rPr>
        <w:t xml:space="preserve">In the absence of more detailed guidance on the tests and procedures required to demonstrate commissioning, biomethane producers would have made their own judgement on what is required and based this on practices previously accepted by Ofgem (e.g. for commissioning of biogas </w:t>
      </w:r>
      <w:r w:rsidR="006110DD">
        <w:rPr>
          <w:rFonts w:ascii="Open Sans" w:hAnsi="Open Sans" w:cs="Open Sans"/>
          <w:szCs w:val="22"/>
        </w:rPr>
        <w:t>heat</w:t>
      </w:r>
      <w:r w:rsidR="0014681D">
        <w:rPr>
          <w:rFonts w:ascii="Open Sans" w:hAnsi="Open Sans" w:cs="Open Sans"/>
          <w:szCs w:val="22"/>
        </w:rPr>
        <w:t xml:space="preserve"> /biogas CHP</w:t>
      </w:r>
      <w:r w:rsidRPr="009E185A">
        <w:rPr>
          <w:rFonts w:ascii="Open Sans" w:hAnsi="Open Sans" w:cs="Open Sans"/>
          <w:szCs w:val="22"/>
        </w:rPr>
        <w:t xml:space="preserve"> plants under the </w:t>
      </w:r>
      <w:r w:rsidR="001761F2" w:rsidRPr="009E185A">
        <w:rPr>
          <w:rFonts w:ascii="Open Sans" w:hAnsi="Open Sans" w:cs="Open Sans"/>
          <w:szCs w:val="22"/>
        </w:rPr>
        <w:t>R</w:t>
      </w:r>
      <w:r w:rsidR="001761F2">
        <w:rPr>
          <w:rFonts w:ascii="Open Sans" w:hAnsi="Open Sans" w:cs="Open Sans"/>
          <w:szCs w:val="22"/>
        </w:rPr>
        <w:t xml:space="preserve">enewable Heat Incentive, </w:t>
      </w:r>
      <w:r w:rsidRPr="009E185A">
        <w:rPr>
          <w:rFonts w:ascii="Open Sans" w:hAnsi="Open Sans" w:cs="Open Sans"/>
          <w:szCs w:val="22"/>
        </w:rPr>
        <w:t xml:space="preserve">or </w:t>
      </w:r>
      <w:r w:rsidR="00B039F5">
        <w:rPr>
          <w:rFonts w:ascii="Open Sans" w:hAnsi="Open Sans" w:cs="Open Sans"/>
          <w:szCs w:val="22"/>
        </w:rPr>
        <w:t xml:space="preserve">the </w:t>
      </w:r>
      <w:r w:rsidR="001761F2" w:rsidRPr="009E185A">
        <w:rPr>
          <w:rFonts w:ascii="Open Sans" w:hAnsi="Open Sans" w:cs="Open Sans"/>
          <w:szCs w:val="22"/>
        </w:rPr>
        <w:t>R</w:t>
      </w:r>
      <w:r w:rsidR="001761F2">
        <w:rPr>
          <w:rFonts w:ascii="Open Sans" w:hAnsi="Open Sans" w:cs="Open Sans"/>
          <w:szCs w:val="22"/>
        </w:rPr>
        <w:t xml:space="preserve">enewable Obligation </w:t>
      </w:r>
      <w:r w:rsidR="00B039F5">
        <w:rPr>
          <w:rFonts w:ascii="Open Sans" w:hAnsi="Open Sans" w:cs="Open Sans"/>
          <w:szCs w:val="22"/>
        </w:rPr>
        <w:t xml:space="preserve">and </w:t>
      </w:r>
      <w:r w:rsidR="001761F2">
        <w:rPr>
          <w:rFonts w:ascii="Open Sans" w:hAnsi="Open Sans" w:cs="Open Sans"/>
          <w:szCs w:val="22"/>
        </w:rPr>
        <w:t>Feed-In tariffs schemes)</w:t>
      </w:r>
      <w:r w:rsidR="00B039F5">
        <w:rPr>
          <w:rFonts w:ascii="Open Sans" w:hAnsi="Open Sans" w:cs="Open Sans"/>
          <w:szCs w:val="22"/>
        </w:rPr>
        <w:t>,</w:t>
      </w:r>
      <w:r w:rsidRPr="009E185A">
        <w:rPr>
          <w:rFonts w:ascii="Open Sans" w:hAnsi="Open Sans" w:cs="Open Sans"/>
          <w:szCs w:val="22"/>
        </w:rPr>
        <w:t xml:space="preserve"> or practices that they deemed to be acceptable. </w:t>
      </w:r>
      <w:r w:rsidR="009E185A" w:rsidRPr="009E185A">
        <w:rPr>
          <w:rFonts w:ascii="Open Sans" w:hAnsi="Open Sans" w:cs="Open Sans"/>
          <w:szCs w:val="22"/>
        </w:rPr>
        <w:t>Furthermore</w:t>
      </w:r>
      <w:r w:rsidR="00FD52CB" w:rsidRPr="009E185A">
        <w:rPr>
          <w:rFonts w:ascii="Open Sans" w:hAnsi="Open Sans" w:cs="Open Sans"/>
          <w:szCs w:val="22"/>
        </w:rPr>
        <w:t>, t</w:t>
      </w:r>
      <w:r w:rsidRPr="009E185A">
        <w:rPr>
          <w:rFonts w:ascii="Open Sans" w:hAnsi="Open Sans" w:cs="Open Sans"/>
          <w:szCs w:val="22"/>
        </w:rPr>
        <w:t>he Ofgem RHI team already ha</w:t>
      </w:r>
      <w:r w:rsidR="00FD52CB" w:rsidRPr="009E185A">
        <w:rPr>
          <w:rFonts w:ascii="Open Sans" w:hAnsi="Open Sans" w:cs="Open Sans"/>
          <w:szCs w:val="22"/>
        </w:rPr>
        <w:t>s</w:t>
      </w:r>
      <w:r w:rsidRPr="009E185A">
        <w:rPr>
          <w:rFonts w:ascii="Open Sans" w:hAnsi="Open Sans" w:cs="Open Sans"/>
          <w:szCs w:val="22"/>
        </w:rPr>
        <w:t xml:space="preserve"> excellent knowledge of biogas production plant commissioning practices </w:t>
      </w:r>
      <w:r w:rsidR="009C4857">
        <w:rPr>
          <w:rFonts w:ascii="Open Sans" w:hAnsi="Open Sans" w:cs="Open Sans"/>
          <w:szCs w:val="22"/>
        </w:rPr>
        <w:t xml:space="preserve">that have been used </w:t>
      </w:r>
      <w:r w:rsidRPr="009E185A">
        <w:rPr>
          <w:rFonts w:ascii="Open Sans" w:hAnsi="Open Sans" w:cs="Open Sans"/>
          <w:szCs w:val="22"/>
        </w:rPr>
        <w:t xml:space="preserve">over the last few years as many plants will have applied for RHI heat – and so will have been required to meet the commissioning definition in relation to biogas heat. </w:t>
      </w:r>
    </w:p>
    <w:p w:rsidR="00D229D6" w:rsidRDefault="00D229D6" w:rsidP="00D229D6">
      <w:pPr>
        <w:spacing w:before="120" w:after="120"/>
        <w:rPr>
          <w:rFonts w:ascii="Open Sans" w:hAnsi="Open Sans" w:cs="Open Sans"/>
          <w:szCs w:val="22"/>
        </w:rPr>
      </w:pPr>
      <w:r w:rsidRPr="009E185A">
        <w:rPr>
          <w:rFonts w:ascii="Open Sans" w:hAnsi="Open Sans" w:cs="Open Sans"/>
          <w:szCs w:val="22"/>
        </w:rPr>
        <w:t xml:space="preserve">We have included in this response examples of ‘normal practices’ </w:t>
      </w:r>
      <w:proofErr w:type="spellStart"/>
      <w:r w:rsidRPr="009E185A">
        <w:rPr>
          <w:rFonts w:ascii="Open Sans" w:hAnsi="Open Sans" w:cs="Open Sans"/>
          <w:szCs w:val="22"/>
        </w:rPr>
        <w:t>ie</w:t>
      </w:r>
      <w:proofErr w:type="spellEnd"/>
      <w:r w:rsidRPr="009E185A">
        <w:rPr>
          <w:rFonts w:ascii="Open Sans" w:hAnsi="Open Sans" w:cs="Open Sans"/>
          <w:szCs w:val="22"/>
        </w:rPr>
        <w:t xml:space="preserve"> practices that have been used by industry to date to demonstrate that biogas plant or biomethane plant has been commissioned, in the absence of specific, published guidance or standards</w:t>
      </w:r>
      <w:r w:rsidR="00B039F5">
        <w:rPr>
          <w:rFonts w:ascii="Open Sans" w:hAnsi="Open Sans" w:cs="Open Sans"/>
          <w:szCs w:val="22"/>
        </w:rPr>
        <w:t xml:space="preserve"> or legal requirements</w:t>
      </w:r>
      <w:r w:rsidRPr="009E185A">
        <w:rPr>
          <w:rFonts w:ascii="Open Sans" w:hAnsi="Open Sans" w:cs="Open Sans"/>
          <w:szCs w:val="22"/>
        </w:rPr>
        <w:t xml:space="preserve">. </w:t>
      </w:r>
    </w:p>
    <w:p w:rsidR="005400FD" w:rsidRPr="009E185A" w:rsidRDefault="005400FD" w:rsidP="005400FD">
      <w:pPr>
        <w:spacing w:before="120" w:after="120"/>
        <w:rPr>
          <w:rFonts w:ascii="Open Sans" w:hAnsi="Open Sans" w:cs="Open Sans"/>
          <w:szCs w:val="22"/>
        </w:rPr>
      </w:pPr>
      <w:r w:rsidRPr="009E185A">
        <w:rPr>
          <w:rFonts w:ascii="Open Sans" w:hAnsi="Open Sans" w:cs="Open Sans"/>
          <w:szCs w:val="22"/>
        </w:rPr>
        <w:t xml:space="preserve">This response has been co-ordinated with other trade associations. </w:t>
      </w:r>
    </w:p>
    <w:p w:rsidR="005400FD" w:rsidRDefault="005400FD" w:rsidP="00D229D6">
      <w:pPr>
        <w:spacing w:before="120" w:after="120"/>
        <w:rPr>
          <w:rFonts w:ascii="Open Sans" w:hAnsi="Open Sans" w:cs="Open Sans"/>
          <w:szCs w:val="22"/>
        </w:rPr>
      </w:pPr>
      <w:bookmarkStart w:id="0" w:name="_GoBack"/>
      <w:bookmarkEnd w:id="0"/>
    </w:p>
    <w:p w:rsidR="00265F97" w:rsidRPr="00B039F5" w:rsidRDefault="00B039F5" w:rsidP="00D229D6">
      <w:pPr>
        <w:spacing w:before="120" w:after="120"/>
        <w:rPr>
          <w:rFonts w:ascii="Open Sans" w:hAnsi="Open Sans" w:cs="Open Sans"/>
          <w:b/>
          <w:szCs w:val="22"/>
        </w:rPr>
      </w:pPr>
      <w:r w:rsidRPr="00B039F5">
        <w:rPr>
          <w:rFonts w:ascii="Open Sans" w:hAnsi="Open Sans" w:cs="Open Sans"/>
          <w:b/>
          <w:szCs w:val="22"/>
        </w:rPr>
        <w:t>Definition of commissioning in the RHI</w:t>
      </w:r>
    </w:p>
    <w:p w:rsidR="00D229D6" w:rsidRPr="009E185A" w:rsidRDefault="00D229D6" w:rsidP="00D229D6">
      <w:pPr>
        <w:spacing w:before="120" w:after="120"/>
        <w:rPr>
          <w:rFonts w:ascii="Open Sans" w:hAnsi="Open Sans" w:cs="Open Sans"/>
          <w:i/>
          <w:szCs w:val="22"/>
          <w:u w:val="single"/>
        </w:rPr>
      </w:pPr>
      <w:r w:rsidRPr="009E185A">
        <w:rPr>
          <w:rFonts w:ascii="Open Sans" w:hAnsi="Open Sans" w:cs="Open Sans"/>
          <w:i/>
          <w:szCs w:val="22"/>
          <w:u w:val="single"/>
        </w:rPr>
        <w:t>Regulation 2 of the Renewable Heat Incentive Regulations 2018</w:t>
      </w:r>
    </w:p>
    <w:p w:rsidR="0063253F" w:rsidRDefault="00D229D6" w:rsidP="00D229D6">
      <w:pPr>
        <w:spacing w:before="120" w:after="120"/>
        <w:rPr>
          <w:rFonts w:ascii="Open Sans" w:hAnsi="Open Sans" w:cs="Open Sans"/>
          <w:szCs w:val="22"/>
        </w:rPr>
      </w:pPr>
      <w:r w:rsidRPr="009E185A">
        <w:rPr>
          <w:rFonts w:ascii="Open Sans" w:hAnsi="Open Sans" w:cs="Open Sans"/>
          <w:i/>
          <w:szCs w:val="22"/>
        </w:rPr>
        <w:t xml:space="preserve">”Commissioned”, in relation to an eligible installation or equipment used to produce biomethane for injection, means the completion of such procedures and tests as </w:t>
      </w:r>
      <w:r w:rsidRPr="009E185A">
        <w:rPr>
          <w:rFonts w:ascii="Open Sans" w:hAnsi="Open Sans" w:cs="Open Sans"/>
          <w:i/>
          <w:szCs w:val="22"/>
        </w:rPr>
        <w:lastRenderedPageBreak/>
        <w:t xml:space="preserve">constitute, at the time they are undertaken, the usual industry standards and practices for commissioning that type of eligible installation or equipment used to produce biomethane for injection in order to demonstrate that it is capable of operating and delivering heat to the premises or process for which it was installed, or producing biomethane for injection”. </w:t>
      </w:r>
    </w:p>
    <w:p w:rsidR="00D229D6" w:rsidRDefault="00D229D6" w:rsidP="00D229D6">
      <w:pPr>
        <w:spacing w:before="120" w:after="120"/>
        <w:rPr>
          <w:rFonts w:ascii="Open Sans" w:hAnsi="Open Sans" w:cs="Open Sans"/>
        </w:rPr>
      </w:pPr>
      <w:r w:rsidRPr="009E185A">
        <w:rPr>
          <w:rFonts w:ascii="Open Sans" w:hAnsi="Open Sans" w:cs="Open Sans"/>
          <w:szCs w:val="22"/>
        </w:rPr>
        <w:t xml:space="preserve">In our view the key is to demonstrate the </w:t>
      </w:r>
      <w:r w:rsidRPr="009E185A">
        <w:rPr>
          <w:rFonts w:ascii="Open Sans" w:hAnsi="Open Sans" w:cs="Open Sans"/>
          <w:szCs w:val="22"/>
          <w:u w:val="single"/>
        </w:rPr>
        <w:t>capability</w:t>
      </w:r>
      <w:r w:rsidRPr="009E185A">
        <w:rPr>
          <w:rFonts w:ascii="Open Sans" w:hAnsi="Open Sans" w:cs="Open Sans"/>
          <w:szCs w:val="22"/>
        </w:rPr>
        <w:t xml:space="preserve"> of the plant to operate / produce biomethane for injec</w:t>
      </w:r>
      <w:r w:rsidR="00265F97" w:rsidRPr="009E185A">
        <w:rPr>
          <w:rFonts w:ascii="Open Sans" w:hAnsi="Open Sans" w:cs="Open Sans"/>
          <w:szCs w:val="22"/>
        </w:rPr>
        <w:t xml:space="preserve">tion through a documented plan, as opposed to the </w:t>
      </w:r>
      <w:r w:rsidR="00265F97" w:rsidRPr="009E185A">
        <w:rPr>
          <w:rFonts w:ascii="Open Sans" w:hAnsi="Open Sans" w:cs="Open Sans"/>
          <w:szCs w:val="22"/>
          <w:u w:val="single"/>
        </w:rPr>
        <w:t>actuality</w:t>
      </w:r>
      <w:r w:rsidR="00265F97" w:rsidRPr="009E185A">
        <w:rPr>
          <w:rFonts w:ascii="Open Sans" w:hAnsi="Open Sans" w:cs="Open Sans"/>
          <w:szCs w:val="22"/>
        </w:rPr>
        <w:t xml:space="preserve"> (</w:t>
      </w:r>
      <w:proofErr w:type="spellStart"/>
      <w:r w:rsidR="00265F97" w:rsidRPr="009E185A">
        <w:rPr>
          <w:rFonts w:ascii="Open Sans" w:hAnsi="Open Sans" w:cs="Open Sans"/>
          <w:szCs w:val="22"/>
        </w:rPr>
        <w:t>ie</w:t>
      </w:r>
      <w:proofErr w:type="spellEnd"/>
      <w:r w:rsidR="00265F97" w:rsidRPr="009E185A">
        <w:rPr>
          <w:rFonts w:ascii="Open Sans" w:hAnsi="Open Sans" w:cs="Open Sans"/>
          <w:szCs w:val="22"/>
        </w:rPr>
        <w:t xml:space="preserve"> demonstrate </w:t>
      </w:r>
      <w:r w:rsidR="00AA1022">
        <w:rPr>
          <w:rFonts w:ascii="Open Sans" w:hAnsi="Open Sans" w:cs="Open Sans"/>
          <w:szCs w:val="22"/>
        </w:rPr>
        <w:t xml:space="preserve">that </w:t>
      </w:r>
      <w:r w:rsidR="00265F97" w:rsidRPr="009E185A">
        <w:rPr>
          <w:rFonts w:ascii="Open Sans" w:hAnsi="Open Sans" w:cs="Open Sans"/>
          <w:szCs w:val="22"/>
        </w:rPr>
        <w:t>the plant is actually operating).  This is line with was set out by Ofgem in the</w:t>
      </w:r>
      <w:r w:rsidR="009E185A" w:rsidRPr="009E185A">
        <w:rPr>
          <w:rFonts w:ascii="Open Sans" w:hAnsi="Open Sans" w:cs="Open Sans"/>
          <w:szCs w:val="22"/>
        </w:rPr>
        <w:t>ir</w:t>
      </w:r>
      <w:r w:rsidR="00265F97" w:rsidRPr="009E185A">
        <w:rPr>
          <w:rFonts w:ascii="Open Sans" w:hAnsi="Open Sans" w:cs="Open Sans"/>
          <w:szCs w:val="22"/>
        </w:rPr>
        <w:t xml:space="preserve"> August 2016 </w:t>
      </w:r>
      <w:hyperlink r:id="rId10" w:history="1">
        <w:r w:rsidR="00265F97" w:rsidRPr="009E185A">
          <w:rPr>
            <w:rStyle w:val="Hyperlink"/>
            <w:rFonts w:ascii="Open Sans" w:hAnsi="Open Sans" w:cs="Open Sans"/>
            <w:szCs w:val="22"/>
          </w:rPr>
          <w:t>Call for Evidence</w:t>
        </w:r>
      </w:hyperlink>
      <w:r w:rsidR="00265F97" w:rsidRPr="009E185A">
        <w:rPr>
          <w:rFonts w:ascii="Open Sans" w:hAnsi="Open Sans" w:cs="Open Sans"/>
          <w:szCs w:val="22"/>
        </w:rPr>
        <w:t xml:space="preserve"> on Industry standards and practices for commissioning fuel burning generating stations</w:t>
      </w:r>
      <w:r w:rsidR="00FB294F" w:rsidRPr="009E185A">
        <w:rPr>
          <w:rFonts w:ascii="Open Sans" w:hAnsi="Open Sans" w:cs="Open Sans"/>
          <w:szCs w:val="22"/>
        </w:rPr>
        <w:t xml:space="preserve"> and </w:t>
      </w:r>
      <w:hyperlink r:id="rId11" w:history="1">
        <w:r w:rsidR="00FB294F" w:rsidRPr="009E185A">
          <w:rPr>
            <w:rStyle w:val="Hyperlink"/>
            <w:rFonts w:ascii="Open Sans" w:hAnsi="Open Sans" w:cs="Open Sans"/>
            <w:szCs w:val="22"/>
          </w:rPr>
          <w:t>associated response</w:t>
        </w:r>
      </w:hyperlink>
      <w:r w:rsidR="00265F97" w:rsidRPr="009E185A">
        <w:rPr>
          <w:rFonts w:ascii="Open Sans" w:hAnsi="Open Sans" w:cs="Open Sans"/>
          <w:szCs w:val="22"/>
        </w:rPr>
        <w:t xml:space="preserve">. </w:t>
      </w:r>
      <w:r w:rsidR="00265F97" w:rsidRPr="009E185A">
        <w:rPr>
          <w:rFonts w:ascii="Open Sans" w:hAnsi="Open Sans" w:cs="Open Sans"/>
        </w:rPr>
        <w:t xml:space="preserve"> </w:t>
      </w:r>
    </w:p>
    <w:p w:rsidR="00394733" w:rsidRDefault="00394733" w:rsidP="00394733">
      <w:pPr>
        <w:spacing w:before="120" w:after="120"/>
        <w:rPr>
          <w:rFonts w:ascii="Open Sans" w:hAnsi="Open Sans" w:cs="Open Sans"/>
          <w:szCs w:val="22"/>
        </w:rPr>
      </w:pPr>
      <w:r w:rsidRPr="009E185A">
        <w:rPr>
          <w:rFonts w:ascii="Open Sans" w:hAnsi="Open Sans" w:cs="Open Sans"/>
          <w:szCs w:val="22"/>
        </w:rPr>
        <w:t xml:space="preserve">In the absence of published guidance or standards on how to meet this definition, some operators may have adopted different procedures or practices. In some cases, they may have gone beyond the minimum required for of demonstrating </w:t>
      </w:r>
      <w:r w:rsidRPr="009E185A">
        <w:rPr>
          <w:rFonts w:ascii="Open Sans" w:hAnsi="Open Sans" w:cs="Open Sans"/>
          <w:szCs w:val="22"/>
          <w:u w:val="single"/>
        </w:rPr>
        <w:t>capability</w:t>
      </w:r>
      <w:r w:rsidRPr="009E185A">
        <w:rPr>
          <w:rFonts w:ascii="Open Sans" w:hAnsi="Open Sans" w:cs="Open Sans"/>
          <w:szCs w:val="22"/>
        </w:rPr>
        <w:t xml:space="preserve">, as explained in further detail in the table below. </w:t>
      </w:r>
    </w:p>
    <w:p w:rsidR="00394733" w:rsidRPr="009E185A" w:rsidRDefault="00394733" w:rsidP="00394733">
      <w:pPr>
        <w:spacing w:before="120" w:after="120"/>
        <w:rPr>
          <w:rFonts w:ascii="Open Sans" w:hAnsi="Open Sans" w:cs="Open Sans"/>
          <w:szCs w:val="22"/>
        </w:rPr>
      </w:pPr>
      <w:r>
        <w:rPr>
          <w:rFonts w:ascii="Open Sans" w:hAnsi="Open Sans" w:cs="Open Sans"/>
          <w:szCs w:val="22"/>
        </w:rPr>
        <w:t>P</w:t>
      </w:r>
      <w:r w:rsidRPr="009E185A">
        <w:rPr>
          <w:rFonts w:ascii="Open Sans" w:hAnsi="Open Sans" w:cs="Open Sans"/>
          <w:szCs w:val="22"/>
        </w:rPr>
        <w:t xml:space="preserve">lease note that the examples given below </w:t>
      </w:r>
      <w:r w:rsidRPr="00394733">
        <w:rPr>
          <w:rFonts w:ascii="Open Sans" w:hAnsi="Open Sans" w:cs="Open Sans"/>
          <w:szCs w:val="22"/>
          <w:u w:val="single"/>
        </w:rPr>
        <w:t>are not necessarily inclusive of all practices and procedures used by industry to commission a plant to date.</w:t>
      </w:r>
      <w:r w:rsidRPr="009E185A">
        <w:rPr>
          <w:rFonts w:ascii="Open Sans" w:hAnsi="Open Sans" w:cs="Open Sans"/>
          <w:szCs w:val="22"/>
        </w:rPr>
        <w:t xml:space="preserve"> They are rather the practices we have been made aware of from our members who responded to this Call for Evidence. </w:t>
      </w:r>
    </w:p>
    <w:p w:rsidR="00265F97" w:rsidRPr="009E185A" w:rsidRDefault="00265F97" w:rsidP="00265F97">
      <w:pPr>
        <w:tabs>
          <w:tab w:val="left" w:pos="426"/>
        </w:tabs>
        <w:spacing w:before="120" w:after="120"/>
        <w:rPr>
          <w:rFonts w:ascii="Open Sans" w:hAnsi="Open Sans" w:cs="Open Sans"/>
          <w:szCs w:val="22"/>
        </w:rPr>
      </w:pPr>
      <w:r w:rsidRPr="009E185A">
        <w:rPr>
          <w:rFonts w:ascii="Open Sans" w:hAnsi="Open Sans" w:cs="Open Sans"/>
          <w:szCs w:val="22"/>
        </w:rPr>
        <w:t xml:space="preserve">It is important to note that what may be required to demonstrate commissioning to meet the relevant legal definition given in regulation 2 of the Renewable Heat Incentive regulations 2018 (quoted </w:t>
      </w:r>
      <w:r w:rsidR="00B039F5">
        <w:rPr>
          <w:rFonts w:ascii="Open Sans" w:hAnsi="Open Sans" w:cs="Open Sans"/>
          <w:szCs w:val="22"/>
        </w:rPr>
        <w:t>a</w:t>
      </w:r>
      <w:r w:rsidR="009E185A" w:rsidRPr="009E185A">
        <w:rPr>
          <w:rFonts w:ascii="Open Sans" w:hAnsi="Open Sans" w:cs="Open Sans"/>
          <w:szCs w:val="22"/>
        </w:rPr>
        <w:t>bove</w:t>
      </w:r>
      <w:r w:rsidRPr="009E185A">
        <w:rPr>
          <w:rFonts w:ascii="Open Sans" w:hAnsi="Open Sans" w:cs="Open Sans"/>
          <w:szCs w:val="22"/>
        </w:rPr>
        <w:t>) may not be in line with definitions of commissioning used in other contexts, by industry</w:t>
      </w:r>
      <w:r w:rsidR="00B039F5">
        <w:rPr>
          <w:rFonts w:ascii="Open Sans" w:hAnsi="Open Sans" w:cs="Open Sans"/>
          <w:szCs w:val="22"/>
        </w:rPr>
        <w:t>,</w:t>
      </w:r>
      <w:r w:rsidR="00E507C7">
        <w:rPr>
          <w:rFonts w:ascii="Open Sans" w:hAnsi="Open Sans" w:cs="Open Sans"/>
          <w:szCs w:val="22"/>
        </w:rPr>
        <w:t xml:space="preserve"> </w:t>
      </w:r>
      <w:r w:rsidRPr="009E185A">
        <w:rPr>
          <w:rFonts w:ascii="Open Sans" w:hAnsi="Open Sans" w:cs="Open Sans"/>
          <w:szCs w:val="22"/>
        </w:rPr>
        <w:t xml:space="preserve">other regulatory bodies such as the Environment Agency or the Animal &amp; Plant Health Agency, or </w:t>
      </w:r>
      <w:r w:rsidR="00B039F5">
        <w:rPr>
          <w:rFonts w:ascii="Open Sans" w:hAnsi="Open Sans" w:cs="Open Sans"/>
          <w:szCs w:val="22"/>
        </w:rPr>
        <w:t xml:space="preserve">within </w:t>
      </w:r>
      <w:r w:rsidRPr="009E185A">
        <w:rPr>
          <w:rFonts w:ascii="Open Sans" w:hAnsi="Open Sans" w:cs="Open Sans"/>
          <w:szCs w:val="22"/>
        </w:rPr>
        <w:t xml:space="preserve">takeover contractual arrangements.   </w:t>
      </w:r>
    </w:p>
    <w:p w:rsidR="00265F97" w:rsidRPr="0018547A" w:rsidRDefault="00265F97" w:rsidP="00265F97">
      <w:pPr>
        <w:pStyle w:val="FootnoteText"/>
        <w:rPr>
          <w:rFonts w:ascii="Open Sans" w:hAnsi="Open Sans" w:cs="Open Sans"/>
          <w:b/>
          <w:color w:val="FF0000"/>
          <w:sz w:val="22"/>
          <w:szCs w:val="22"/>
        </w:rPr>
      </w:pPr>
      <w:r w:rsidRPr="00FF1FA5">
        <w:rPr>
          <w:rFonts w:ascii="Open Sans" w:hAnsi="Open Sans" w:cs="Open Sans"/>
          <w:sz w:val="22"/>
          <w:szCs w:val="22"/>
        </w:rPr>
        <w:t xml:space="preserve">For example, contracts between a project owner and the developer will often have terms like ‘commissioning complete’ as a milestone, which is likely to be tied contractually to the project owner ‘take over’ of the complete installation. </w:t>
      </w:r>
      <w:r w:rsidR="00417ABB" w:rsidRPr="00FF1FA5">
        <w:rPr>
          <w:rFonts w:ascii="Open Sans" w:hAnsi="Open Sans" w:cs="Open Sans"/>
          <w:sz w:val="22"/>
          <w:szCs w:val="22"/>
        </w:rPr>
        <w:t xml:space="preserve">Further money will be paid on that basis, which will mean it is much harder for the project owner to dispute whether any work was done (or its quality) beyond that point. </w:t>
      </w:r>
      <w:r w:rsidRPr="0018547A">
        <w:rPr>
          <w:rFonts w:ascii="Open Sans" w:hAnsi="Open Sans" w:cs="Open Sans"/>
          <w:b/>
          <w:color w:val="FF0000"/>
          <w:sz w:val="22"/>
          <w:szCs w:val="22"/>
        </w:rPr>
        <w:t xml:space="preserve">This however goes way beyond what is required to demonstrate that the legal definition of commissioning set out in the RHI regulations is met. </w:t>
      </w:r>
    </w:p>
    <w:p w:rsidR="00265F97" w:rsidRPr="00FF1FA5" w:rsidRDefault="00265F97" w:rsidP="00265F97">
      <w:pPr>
        <w:pStyle w:val="FootnoteText"/>
        <w:rPr>
          <w:rFonts w:ascii="Open Sans" w:hAnsi="Open Sans" w:cs="Open Sans"/>
          <w:sz w:val="22"/>
          <w:szCs w:val="22"/>
        </w:rPr>
      </w:pPr>
    </w:p>
    <w:p w:rsidR="00265F97" w:rsidRPr="00FF1FA5" w:rsidRDefault="00265F97" w:rsidP="00265F97">
      <w:pPr>
        <w:pStyle w:val="FootnoteText"/>
        <w:rPr>
          <w:rFonts w:ascii="Open Sans" w:hAnsi="Open Sans" w:cs="Open Sans"/>
          <w:sz w:val="22"/>
          <w:szCs w:val="22"/>
        </w:rPr>
      </w:pPr>
      <w:r w:rsidRPr="00FF1FA5">
        <w:rPr>
          <w:rFonts w:ascii="Open Sans" w:hAnsi="Open Sans" w:cs="Open Sans"/>
          <w:sz w:val="22"/>
          <w:szCs w:val="22"/>
        </w:rPr>
        <w:t>Th</w:t>
      </w:r>
      <w:r w:rsidR="0042689B">
        <w:rPr>
          <w:rFonts w:ascii="Open Sans" w:hAnsi="Open Sans" w:cs="Open Sans"/>
          <w:sz w:val="22"/>
          <w:szCs w:val="22"/>
        </w:rPr>
        <w:t>e</w:t>
      </w:r>
      <w:r w:rsidRPr="00FF1FA5">
        <w:rPr>
          <w:rFonts w:ascii="Open Sans" w:hAnsi="Open Sans" w:cs="Open Sans"/>
          <w:sz w:val="22"/>
          <w:szCs w:val="22"/>
        </w:rPr>
        <w:t xml:space="preserve"> </w:t>
      </w:r>
      <w:r w:rsidR="0042689B">
        <w:rPr>
          <w:rFonts w:ascii="Open Sans" w:hAnsi="Open Sans" w:cs="Open Sans"/>
          <w:sz w:val="22"/>
          <w:szCs w:val="22"/>
        </w:rPr>
        <w:t xml:space="preserve">‘commissioning complete’ milestone in takeover contractual contracts </w:t>
      </w:r>
      <w:r w:rsidRPr="00FF1FA5">
        <w:rPr>
          <w:rFonts w:ascii="Open Sans" w:hAnsi="Open Sans" w:cs="Open Sans"/>
          <w:sz w:val="22"/>
          <w:szCs w:val="22"/>
        </w:rPr>
        <w:t>is likely to be triggered only when:</w:t>
      </w:r>
    </w:p>
    <w:p w:rsidR="00265F97" w:rsidRPr="00FF1FA5" w:rsidRDefault="00265F97" w:rsidP="00265F97">
      <w:pPr>
        <w:pStyle w:val="FootnoteText"/>
        <w:rPr>
          <w:rFonts w:ascii="Open Sans" w:hAnsi="Open Sans" w:cs="Open Sans"/>
          <w:sz w:val="22"/>
          <w:szCs w:val="22"/>
        </w:rPr>
      </w:pPr>
    </w:p>
    <w:p w:rsidR="00265F97" w:rsidRPr="00FF1FA5" w:rsidRDefault="00265F97" w:rsidP="0018547A">
      <w:pPr>
        <w:pStyle w:val="FootnoteText"/>
        <w:tabs>
          <w:tab w:val="left" w:pos="142"/>
        </w:tabs>
        <w:rPr>
          <w:rFonts w:ascii="Open Sans" w:hAnsi="Open Sans" w:cs="Open Sans"/>
          <w:sz w:val="22"/>
          <w:szCs w:val="22"/>
        </w:rPr>
      </w:pPr>
      <w:r w:rsidRPr="00FF1FA5">
        <w:rPr>
          <w:rFonts w:ascii="Open Sans" w:hAnsi="Open Sans" w:cs="Open Sans"/>
          <w:sz w:val="22"/>
          <w:szCs w:val="22"/>
        </w:rPr>
        <w:t>•</w:t>
      </w:r>
      <w:r w:rsidRPr="00FF1FA5">
        <w:rPr>
          <w:rFonts w:ascii="Open Sans" w:hAnsi="Open Sans" w:cs="Open Sans"/>
          <w:sz w:val="22"/>
          <w:szCs w:val="22"/>
        </w:rPr>
        <w:tab/>
        <w:t xml:space="preserve">Everything has been built and commissioned, and that might include a number of things that are not included within the RHI ‘commissioned’ scope. This could include feedstock storage (either clamps or waste storage/handling), pre-digestion feedstock treatment/handling, digestate storage, post-digestion pasteurisers or other work such as connection </w:t>
      </w:r>
      <w:r w:rsidR="00F02B44">
        <w:rPr>
          <w:rFonts w:ascii="Open Sans" w:hAnsi="Open Sans" w:cs="Open Sans"/>
          <w:sz w:val="22"/>
          <w:szCs w:val="22"/>
        </w:rPr>
        <w:t>of permanent electricity supply</w:t>
      </w:r>
    </w:p>
    <w:p w:rsidR="00265F97" w:rsidRPr="00FF1FA5" w:rsidRDefault="00265F97" w:rsidP="00A636D4">
      <w:pPr>
        <w:pStyle w:val="FootnoteText"/>
        <w:tabs>
          <w:tab w:val="left" w:pos="142"/>
        </w:tabs>
        <w:rPr>
          <w:rFonts w:ascii="Open Sans" w:hAnsi="Open Sans" w:cs="Open Sans"/>
          <w:sz w:val="22"/>
          <w:szCs w:val="22"/>
        </w:rPr>
      </w:pPr>
      <w:r w:rsidRPr="00FF1FA5">
        <w:rPr>
          <w:rFonts w:ascii="Open Sans" w:hAnsi="Open Sans" w:cs="Open Sans"/>
          <w:sz w:val="22"/>
          <w:szCs w:val="22"/>
        </w:rPr>
        <w:t>•</w:t>
      </w:r>
      <w:r w:rsidRPr="00FF1FA5">
        <w:rPr>
          <w:rFonts w:ascii="Open Sans" w:hAnsi="Open Sans" w:cs="Open Sans"/>
          <w:sz w:val="22"/>
          <w:szCs w:val="22"/>
        </w:rPr>
        <w:tab/>
        <w:t>Snagging has been completed to owner’s satisfaction</w:t>
      </w:r>
    </w:p>
    <w:p w:rsidR="00265F97" w:rsidRPr="00FF1FA5" w:rsidRDefault="00265F97" w:rsidP="00A636D4">
      <w:pPr>
        <w:pStyle w:val="FootnoteText"/>
        <w:tabs>
          <w:tab w:val="left" w:pos="142"/>
        </w:tabs>
        <w:rPr>
          <w:rFonts w:ascii="Open Sans" w:hAnsi="Open Sans" w:cs="Open Sans"/>
          <w:sz w:val="22"/>
          <w:szCs w:val="22"/>
        </w:rPr>
      </w:pPr>
      <w:r w:rsidRPr="00FF1FA5">
        <w:rPr>
          <w:rFonts w:ascii="Open Sans" w:hAnsi="Open Sans" w:cs="Open Sans"/>
          <w:sz w:val="22"/>
          <w:szCs w:val="22"/>
        </w:rPr>
        <w:t>•</w:t>
      </w:r>
      <w:r w:rsidRPr="00FF1FA5">
        <w:rPr>
          <w:rFonts w:ascii="Open Sans" w:hAnsi="Open Sans" w:cs="Open Sans"/>
          <w:sz w:val="22"/>
          <w:szCs w:val="22"/>
        </w:rPr>
        <w:tab/>
        <w:t xml:space="preserve">All relevant documentation has been provided to owner (as </w:t>
      </w:r>
      <w:proofErr w:type="spellStart"/>
      <w:r w:rsidRPr="00FF1FA5">
        <w:rPr>
          <w:rFonts w:ascii="Open Sans" w:hAnsi="Open Sans" w:cs="Open Sans"/>
          <w:sz w:val="22"/>
          <w:szCs w:val="22"/>
        </w:rPr>
        <w:t>builts</w:t>
      </w:r>
      <w:proofErr w:type="spellEnd"/>
      <w:r w:rsidRPr="00FF1FA5">
        <w:rPr>
          <w:rFonts w:ascii="Open Sans" w:hAnsi="Open Sans" w:cs="Open Sans"/>
          <w:sz w:val="22"/>
          <w:szCs w:val="22"/>
        </w:rPr>
        <w:t>, operator manuals etc</w:t>
      </w:r>
      <w:r w:rsidR="003E4369">
        <w:rPr>
          <w:rFonts w:ascii="Open Sans" w:hAnsi="Open Sans" w:cs="Open Sans"/>
          <w:sz w:val="22"/>
          <w:szCs w:val="22"/>
        </w:rPr>
        <w:t>.</w:t>
      </w:r>
      <w:r w:rsidRPr="00FF1FA5">
        <w:rPr>
          <w:rFonts w:ascii="Open Sans" w:hAnsi="Open Sans" w:cs="Open Sans"/>
          <w:sz w:val="22"/>
          <w:szCs w:val="22"/>
        </w:rPr>
        <w:t xml:space="preserve"> – since these are different for each plant, some of these may well only be written after commissioning)</w:t>
      </w:r>
    </w:p>
    <w:p w:rsidR="00265F97" w:rsidRPr="00FF1FA5" w:rsidRDefault="00265F97" w:rsidP="00A636D4">
      <w:pPr>
        <w:pStyle w:val="FootnoteText"/>
        <w:tabs>
          <w:tab w:val="left" w:pos="142"/>
        </w:tabs>
        <w:rPr>
          <w:rFonts w:ascii="Open Sans" w:hAnsi="Open Sans" w:cs="Open Sans"/>
          <w:sz w:val="22"/>
          <w:szCs w:val="22"/>
        </w:rPr>
      </w:pPr>
      <w:r w:rsidRPr="00FF1FA5">
        <w:rPr>
          <w:rFonts w:ascii="Open Sans" w:hAnsi="Open Sans" w:cs="Open Sans"/>
          <w:sz w:val="22"/>
          <w:szCs w:val="22"/>
        </w:rPr>
        <w:lastRenderedPageBreak/>
        <w:t>•</w:t>
      </w:r>
      <w:r w:rsidRPr="00FF1FA5">
        <w:rPr>
          <w:rFonts w:ascii="Open Sans" w:hAnsi="Open Sans" w:cs="Open Sans"/>
          <w:sz w:val="22"/>
          <w:szCs w:val="22"/>
        </w:rPr>
        <w:tab/>
        <w:t xml:space="preserve">Plant has passed some kind of performance test – it has performed at or near </w:t>
      </w:r>
      <w:r w:rsidR="0063253F">
        <w:rPr>
          <w:rFonts w:ascii="Open Sans" w:hAnsi="Open Sans" w:cs="Open Sans"/>
          <w:sz w:val="22"/>
          <w:szCs w:val="22"/>
        </w:rPr>
        <w:t xml:space="preserve">the </w:t>
      </w:r>
      <w:r w:rsidRPr="00FF1FA5">
        <w:rPr>
          <w:rFonts w:ascii="Open Sans" w:hAnsi="Open Sans" w:cs="Open Sans"/>
          <w:sz w:val="22"/>
          <w:szCs w:val="22"/>
        </w:rPr>
        <w:t>designed intention consistently for a period (</w:t>
      </w:r>
      <w:r w:rsidR="0063253F">
        <w:rPr>
          <w:rFonts w:ascii="Open Sans" w:hAnsi="Open Sans" w:cs="Open Sans"/>
          <w:sz w:val="22"/>
          <w:szCs w:val="22"/>
        </w:rPr>
        <w:t>e.g.</w:t>
      </w:r>
      <w:r w:rsidRPr="00FF1FA5">
        <w:rPr>
          <w:rFonts w:ascii="Open Sans" w:hAnsi="Open Sans" w:cs="Open Sans"/>
          <w:sz w:val="22"/>
          <w:szCs w:val="22"/>
        </w:rPr>
        <w:t xml:space="preserve"> a month)</w:t>
      </w:r>
    </w:p>
    <w:p w:rsidR="00265F97" w:rsidRPr="00FF1FA5" w:rsidRDefault="00265F97" w:rsidP="00265F97">
      <w:pPr>
        <w:pStyle w:val="FootnoteText"/>
        <w:tabs>
          <w:tab w:val="left" w:pos="284"/>
        </w:tabs>
        <w:rPr>
          <w:rFonts w:ascii="Open Sans" w:hAnsi="Open Sans" w:cs="Open Sans"/>
          <w:sz w:val="22"/>
          <w:szCs w:val="22"/>
        </w:rPr>
      </w:pPr>
    </w:p>
    <w:p w:rsidR="00FB294F" w:rsidRPr="00FF1FA5" w:rsidRDefault="00265F97" w:rsidP="00FB294F">
      <w:pPr>
        <w:spacing w:before="120" w:after="120"/>
        <w:rPr>
          <w:rFonts w:ascii="Open Sans" w:hAnsi="Open Sans" w:cs="Open Sans"/>
          <w:szCs w:val="22"/>
        </w:rPr>
      </w:pPr>
      <w:r w:rsidRPr="00FF1FA5">
        <w:rPr>
          <w:rFonts w:ascii="Open Sans" w:hAnsi="Open Sans" w:cs="Open Sans"/>
          <w:b/>
          <w:color w:val="FF0000"/>
          <w:szCs w:val="22"/>
        </w:rPr>
        <w:t>All these conditions are likely to be met at a much later stage than wh</w:t>
      </w:r>
      <w:r w:rsidR="00FF1FA5" w:rsidRPr="00FF1FA5">
        <w:rPr>
          <w:rFonts w:ascii="Open Sans" w:hAnsi="Open Sans" w:cs="Open Sans"/>
          <w:b/>
          <w:color w:val="FF0000"/>
          <w:szCs w:val="22"/>
        </w:rPr>
        <w:t xml:space="preserve">en the </w:t>
      </w:r>
      <w:r w:rsidRPr="00FF1FA5">
        <w:rPr>
          <w:rFonts w:ascii="Open Sans" w:hAnsi="Open Sans" w:cs="Open Sans"/>
          <w:b/>
          <w:color w:val="FF0000"/>
          <w:szCs w:val="22"/>
        </w:rPr>
        <w:t>definition of commissioning set out in the RHI regulations</w:t>
      </w:r>
      <w:r w:rsidR="00FF1FA5" w:rsidRPr="00FF1FA5">
        <w:rPr>
          <w:rFonts w:ascii="Open Sans" w:hAnsi="Open Sans" w:cs="Open Sans"/>
          <w:b/>
          <w:color w:val="FF0000"/>
          <w:szCs w:val="22"/>
        </w:rPr>
        <w:t xml:space="preserve"> </w:t>
      </w:r>
      <w:r w:rsidR="0063253F">
        <w:rPr>
          <w:rFonts w:ascii="Open Sans" w:hAnsi="Open Sans" w:cs="Open Sans"/>
          <w:b/>
          <w:color w:val="FF0000"/>
          <w:szCs w:val="22"/>
        </w:rPr>
        <w:t>should be</w:t>
      </w:r>
      <w:r w:rsidR="00FF1FA5" w:rsidRPr="00FF1FA5">
        <w:rPr>
          <w:rFonts w:ascii="Open Sans" w:hAnsi="Open Sans" w:cs="Open Sans"/>
          <w:b/>
          <w:color w:val="FF0000"/>
          <w:szCs w:val="22"/>
        </w:rPr>
        <w:t xml:space="preserve"> met</w:t>
      </w:r>
      <w:r w:rsidRPr="00FF1FA5">
        <w:rPr>
          <w:rFonts w:ascii="Open Sans" w:hAnsi="Open Sans" w:cs="Open Sans"/>
          <w:b/>
          <w:color w:val="FF0000"/>
          <w:szCs w:val="22"/>
        </w:rPr>
        <w:t>.</w:t>
      </w:r>
      <w:r w:rsidRPr="00FF1FA5">
        <w:rPr>
          <w:rFonts w:ascii="Open Sans" w:hAnsi="Open Sans" w:cs="Open Sans"/>
          <w:color w:val="FF0000"/>
          <w:szCs w:val="22"/>
        </w:rPr>
        <w:t xml:space="preserve"> </w:t>
      </w:r>
      <w:r w:rsidR="00FB294F" w:rsidRPr="00FF1FA5">
        <w:rPr>
          <w:rFonts w:ascii="Open Sans" w:hAnsi="Open Sans" w:cs="Open Sans"/>
          <w:szCs w:val="22"/>
        </w:rPr>
        <w:t xml:space="preserve">This is </w:t>
      </w:r>
      <w:r w:rsidR="0063253F">
        <w:rPr>
          <w:rFonts w:ascii="Open Sans" w:hAnsi="Open Sans" w:cs="Open Sans"/>
          <w:szCs w:val="22"/>
        </w:rPr>
        <w:t xml:space="preserve">also </w:t>
      </w:r>
      <w:r w:rsidR="00FB294F" w:rsidRPr="00FF1FA5">
        <w:rPr>
          <w:rFonts w:ascii="Open Sans" w:hAnsi="Open Sans" w:cs="Open Sans"/>
          <w:szCs w:val="22"/>
        </w:rPr>
        <w:t xml:space="preserve">in line with </w:t>
      </w:r>
      <w:proofErr w:type="spellStart"/>
      <w:r w:rsidR="00FB294F" w:rsidRPr="00FF1FA5">
        <w:rPr>
          <w:rFonts w:ascii="Open Sans" w:hAnsi="Open Sans" w:cs="Open Sans"/>
          <w:szCs w:val="22"/>
        </w:rPr>
        <w:t>Ofgem</w:t>
      </w:r>
      <w:proofErr w:type="spellEnd"/>
      <w:r w:rsidR="00FB294F" w:rsidRPr="00FF1FA5">
        <w:rPr>
          <w:rFonts w:ascii="Open Sans" w:hAnsi="Open Sans" w:cs="Open Sans"/>
          <w:szCs w:val="22"/>
        </w:rPr>
        <w:t xml:space="preserve"> </w:t>
      </w:r>
      <w:hyperlink r:id="rId12" w:history="1">
        <w:r w:rsidR="00FB294F" w:rsidRPr="00FF1FA5">
          <w:rPr>
            <w:rStyle w:val="Hyperlink"/>
            <w:rFonts w:ascii="Open Sans" w:hAnsi="Open Sans" w:cs="Open Sans"/>
            <w:szCs w:val="22"/>
          </w:rPr>
          <w:t>Call for Evidence</w:t>
        </w:r>
      </w:hyperlink>
      <w:r w:rsidR="00FB294F" w:rsidRPr="00FF1FA5">
        <w:rPr>
          <w:rFonts w:ascii="Open Sans" w:hAnsi="Open Sans" w:cs="Open Sans"/>
          <w:szCs w:val="22"/>
        </w:rPr>
        <w:t xml:space="preserve"> on Industry standards and practices for commissioning fuel burning generating stations and </w:t>
      </w:r>
      <w:hyperlink r:id="rId13" w:history="1">
        <w:r w:rsidR="00FB294F" w:rsidRPr="00FF1FA5">
          <w:rPr>
            <w:rStyle w:val="Hyperlink"/>
            <w:rFonts w:ascii="Open Sans" w:hAnsi="Open Sans" w:cs="Open Sans"/>
            <w:szCs w:val="22"/>
          </w:rPr>
          <w:t>associated response</w:t>
        </w:r>
      </w:hyperlink>
      <w:r w:rsidR="00FF1FA5" w:rsidRPr="00FF1FA5">
        <w:rPr>
          <w:rFonts w:ascii="Open Sans" w:hAnsi="Open Sans" w:cs="Open Sans"/>
          <w:szCs w:val="22"/>
        </w:rPr>
        <w:t xml:space="preserve"> (relevant excerpt below):</w:t>
      </w:r>
      <w:r w:rsidR="00FB294F" w:rsidRPr="00FF1FA5">
        <w:rPr>
          <w:rFonts w:ascii="Open Sans" w:hAnsi="Open Sans" w:cs="Open Sans"/>
          <w:szCs w:val="22"/>
        </w:rPr>
        <w:t xml:space="preserve">  </w:t>
      </w:r>
    </w:p>
    <w:p w:rsidR="00FB294F" w:rsidRPr="00FF1FA5" w:rsidRDefault="00FF1FA5" w:rsidP="00FB294F">
      <w:pPr>
        <w:spacing w:before="120" w:after="120"/>
        <w:rPr>
          <w:rFonts w:ascii="Open Sans" w:hAnsi="Open Sans" w:cs="Open Sans"/>
          <w:szCs w:val="22"/>
        </w:rPr>
      </w:pPr>
      <w:r w:rsidRPr="00FF1FA5">
        <w:rPr>
          <w:rFonts w:ascii="Open Sans" w:hAnsi="Open Sans" w:cs="Open Sans"/>
          <w:i/>
          <w:szCs w:val="22"/>
        </w:rPr>
        <w:t xml:space="preserve"> </w:t>
      </w:r>
      <w:r w:rsidR="00FB294F" w:rsidRPr="00FF1FA5">
        <w:rPr>
          <w:rFonts w:ascii="Open Sans" w:hAnsi="Open Sans" w:cs="Open Sans"/>
          <w:i/>
          <w:szCs w:val="22"/>
        </w:rPr>
        <w:t>‘2.13 As mentioned in our call for evidence, we generally don’t consider reliability or acceptance tests to naturally fit within the definition of ‘usual industry standards and practices’ as these tests often relate to contractual obligations which are enforced once</w:t>
      </w:r>
      <w:r w:rsidR="00FB294F" w:rsidRPr="00FF1FA5">
        <w:rPr>
          <w:rFonts w:ascii="Open Sans" w:hAnsi="Open Sans" w:cs="Open Sans"/>
          <w:szCs w:val="22"/>
        </w:rPr>
        <w:t xml:space="preserve"> </w:t>
      </w:r>
      <w:r w:rsidR="00FB294F" w:rsidRPr="00FF1FA5">
        <w:rPr>
          <w:rFonts w:ascii="Open Sans" w:hAnsi="Open Sans" w:cs="Open Sans"/>
          <w:i/>
          <w:szCs w:val="22"/>
        </w:rPr>
        <w:t>the station is operating and selling its power under a commercial arrangement.</w:t>
      </w:r>
      <w:r w:rsidR="00FB294F" w:rsidRPr="00FF1FA5">
        <w:rPr>
          <w:rFonts w:ascii="Open Sans" w:hAnsi="Open Sans" w:cs="Open Sans"/>
          <w:szCs w:val="22"/>
        </w:rPr>
        <w:t xml:space="preserve"> …..</w:t>
      </w:r>
    </w:p>
    <w:p w:rsidR="00FB294F" w:rsidRDefault="00FB294F" w:rsidP="00FB294F">
      <w:pPr>
        <w:spacing w:before="120" w:after="120"/>
        <w:rPr>
          <w:rFonts w:ascii="Open Sans" w:hAnsi="Open Sans" w:cs="Open Sans"/>
          <w:i/>
          <w:szCs w:val="22"/>
        </w:rPr>
      </w:pPr>
      <w:r w:rsidRPr="009E185A">
        <w:rPr>
          <w:rFonts w:ascii="Open Sans" w:hAnsi="Open Sans" w:cs="Open Sans"/>
          <w:i/>
          <w:szCs w:val="22"/>
        </w:rPr>
        <w:t>2.14. In our call for evidence we explained why we do not generally consider performance and acceptance testing to align with the definition of commissioned, and the majority of respondents agreed with us.’</w:t>
      </w:r>
    </w:p>
    <w:p w:rsidR="00FD372D" w:rsidRDefault="00FD372D" w:rsidP="00FB294F">
      <w:pPr>
        <w:spacing w:before="120" w:after="120"/>
        <w:rPr>
          <w:rFonts w:ascii="Open Sans" w:hAnsi="Open Sans" w:cs="Open Sans"/>
          <w:szCs w:val="22"/>
        </w:rPr>
      </w:pPr>
    </w:p>
    <w:p w:rsidR="0063253F" w:rsidRPr="000630E0" w:rsidRDefault="000630E0" w:rsidP="00FB294F">
      <w:pPr>
        <w:spacing w:before="120" w:after="120"/>
        <w:rPr>
          <w:rFonts w:ascii="Open Sans" w:hAnsi="Open Sans" w:cs="Open Sans"/>
          <w:b/>
          <w:szCs w:val="22"/>
        </w:rPr>
      </w:pPr>
      <w:r w:rsidRPr="000630E0">
        <w:rPr>
          <w:rFonts w:ascii="Open Sans" w:hAnsi="Open Sans" w:cs="Open Sans"/>
          <w:b/>
          <w:szCs w:val="22"/>
        </w:rPr>
        <w:t xml:space="preserve">Biogas Production Plant and Biomethane Production Equipment </w:t>
      </w:r>
    </w:p>
    <w:p w:rsidR="0063253F" w:rsidRDefault="00745160" w:rsidP="00FB294F">
      <w:pPr>
        <w:spacing w:before="120" w:after="120"/>
        <w:rPr>
          <w:rFonts w:ascii="Open Sans" w:hAnsi="Open Sans" w:cs="Open Sans"/>
          <w:szCs w:val="22"/>
        </w:rPr>
      </w:pPr>
      <w:r>
        <w:rPr>
          <w:rFonts w:ascii="Open Sans" w:hAnsi="Open Sans" w:cs="Open Sans"/>
          <w:szCs w:val="22"/>
        </w:rPr>
        <w:t>It is worth flagging that some members have interpreted the regulations in a different way</w:t>
      </w:r>
      <w:r w:rsidR="00454252">
        <w:rPr>
          <w:rFonts w:ascii="Open Sans" w:hAnsi="Open Sans" w:cs="Open Sans"/>
          <w:szCs w:val="22"/>
        </w:rPr>
        <w:t xml:space="preserve"> from </w:t>
      </w:r>
      <w:proofErr w:type="spellStart"/>
      <w:r w:rsidR="00454252">
        <w:rPr>
          <w:rFonts w:ascii="Open Sans" w:hAnsi="Open Sans" w:cs="Open Sans"/>
          <w:szCs w:val="22"/>
        </w:rPr>
        <w:t>Ofgem</w:t>
      </w:r>
      <w:proofErr w:type="spellEnd"/>
      <w:r>
        <w:rPr>
          <w:rFonts w:ascii="Open Sans" w:hAnsi="Open Sans" w:cs="Open Sans"/>
          <w:szCs w:val="22"/>
        </w:rPr>
        <w:t>, in particular in relation to whether commissioning of the biogas production plant is required</w:t>
      </w:r>
      <w:r w:rsidR="00E10EFA">
        <w:rPr>
          <w:rFonts w:ascii="Open Sans" w:hAnsi="Open Sans" w:cs="Open Sans"/>
          <w:szCs w:val="22"/>
        </w:rPr>
        <w:t xml:space="preserve"> for the purpose of registration</w:t>
      </w:r>
      <w:r>
        <w:rPr>
          <w:rFonts w:ascii="Open Sans" w:hAnsi="Open Sans" w:cs="Open Sans"/>
          <w:szCs w:val="22"/>
        </w:rPr>
        <w:t xml:space="preserve">. It </w:t>
      </w:r>
      <w:r w:rsidR="00FD372D">
        <w:rPr>
          <w:rFonts w:ascii="Open Sans" w:hAnsi="Open Sans" w:cs="Open Sans"/>
          <w:szCs w:val="22"/>
        </w:rPr>
        <w:t xml:space="preserve">could actually </w:t>
      </w:r>
      <w:r>
        <w:rPr>
          <w:rFonts w:ascii="Open Sans" w:hAnsi="Open Sans" w:cs="Open Sans"/>
          <w:szCs w:val="22"/>
        </w:rPr>
        <w:t xml:space="preserve">be </w:t>
      </w:r>
      <w:r w:rsidR="00FD372D">
        <w:rPr>
          <w:rFonts w:ascii="Open Sans" w:hAnsi="Open Sans" w:cs="Open Sans"/>
          <w:szCs w:val="22"/>
        </w:rPr>
        <w:t xml:space="preserve">argued that nowhere the regulations state that the biogas production plant </w:t>
      </w:r>
      <w:r w:rsidR="00482571">
        <w:rPr>
          <w:rFonts w:ascii="Open Sans" w:hAnsi="Open Sans" w:cs="Open Sans"/>
          <w:szCs w:val="22"/>
        </w:rPr>
        <w:t>will need</w:t>
      </w:r>
      <w:r w:rsidR="00FD372D">
        <w:rPr>
          <w:rFonts w:ascii="Open Sans" w:hAnsi="Open Sans" w:cs="Open Sans"/>
          <w:szCs w:val="22"/>
        </w:rPr>
        <w:t xml:space="preserve"> to be commissioned </w:t>
      </w:r>
      <w:r w:rsidR="00FA0A07">
        <w:rPr>
          <w:rFonts w:ascii="Open Sans" w:hAnsi="Open Sans" w:cs="Open Sans"/>
          <w:szCs w:val="22"/>
        </w:rPr>
        <w:t xml:space="preserve">for registration. </w:t>
      </w:r>
    </w:p>
    <w:p w:rsidR="00983D72" w:rsidRDefault="00983D72" w:rsidP="00FD372D">
      <w:pPr>
        <w:spacing w:before="120" w:after="120"/>
        <w:rPr>
          <w:rFonts w:ascii="Open Sans" w:hAnsi="Open Sans" w:cs="Open Sans"/>
          <w:szCs w:val="22"/>
        </w:rPr>
      </w:pPr>
      <w:proofErr w:type="spellStart"/>
      <w:r>
        <w:rPr>
          <w:rFonts w:ascii="Open Sans" w:hAnsi="Open Sans" w:cs="Open Sans"/>
          <w:szCs w:val="22"/>
        </w:rPr>
        <w:t>Ofgem</w:t>
      </w:r>
      <w:proofErr w:type="spellEnd"/>
      <w:r>
        <w:rPr>
          <w:rFonts w:ascii="Open Sans" w:hAnsi="Open Sans" w:cs="Open Sans"/>
          <w:szCs w:val="22"/>
        </w:rPr>
        <w:t xml:space="preserve"> </w:t>
      </w:r>
      <w:r w:rsidRPr="00E5567C">
        <w:rPr>
          <w:rFonts w:ascii="Open Sans" w:hAnsi="Open Sans" w:cs="Open Sans"/>
          <w:szCs w:val="22"/>
        </w:rPr>
        <w:t xml:space="preserve">Guidance Volume 1: </w:t>
      </w:r>
      <w:r w:rsidRPr="00454252">
        <w:rPr>
          <w:rFonts w:ascii="Open Sans" w:hAnsi="Open Sans" w:cs="Open Sans"/>
          <w:i/>
          <w:szCs w:val="22"/>
        </w:rPr>
        <w:t>Eligibility and how to apply</w:t>
      </w:r>
      <w:r w:rsidRPr="00E5567C">
        <w:rPr>
          <w:rFonts w:ascii="Open Sans" w:hAnsi="Open Sans" w:cs="Open Sans"/>
          <w:szCs w:val="22"/>
        </w:rPr>
        <w:t xml:space="preserve"> (Oct 2018)</w:t>
      </w:r>
      <w:r w:rsidR="00FD372D">
        <w:rPr>
          <w:rFonts w:ascii="Open Sans" w:hAnsi="Open Sans" w:cs="Open Sans"/>
          <w:szCs w:val="22"/>
        </w:rPr>
        <w:t xml:space="preserve"> states the integral equipment usually included in the definition of ‘equipment used to produced biomethane’ is the equipment </w:t>
      </w:r>
      <w:r w:rsidR="00FD372D" w:rsidRPr="00A92D92">
        <w:rPr>
          <w:rFonts w:ascii="Open Sans" w:hAnsi="Open Sans" w:cs="Open Sans"/>
          <w:szCs w:val="22"/>
        </w:rPr>
        <w:t>required to convert raw biogas into biomethane suitable for injection (e.g. where appropriate - CO</w:t>
      </w:r>
      <w:r w:rsidR="00FD372D" w:rsidRPr="00FD372D">
        <w:rPr>
          <w:rFonts w:ascii="Open Sans" w:hAnsi="Open Sans" w:cs="Open Sans"/>
          <w:szCs w:val="22"/>
          <w:vertAlign w:val="subscript"/>
        </w:rPr>
        <w:t>2</w:t>
      </w:r>
      <w:r w:rsidR="00FD372D" w:rsidRPr="00A92D92">
        <w:rPr>
          <w:rFonts w:ascii="Open Sans" w:hAnsi="Open Sans" w:cs="Open Sans"/>
          <w:szCs w:val="22"/>
        </w:rPr>
        <w:t xml:space="preserve"> and oxygen removal, pressurisation equipment, propanation, odorant equipment)</w:t>
      </w:r>
      <w:r w:rsidR="00FD372D">
        <w:rPr>
          <w:rFonts w:ascii="Open Sans" w:hAnsi="Open Sans" w:cs="Open Sans"/>
          <w:szCs w:val="22"/>
        </w:rPr>
        <w:t>’</w:t>
      </w:r>
      <w:r w:rsidR="00FD372D" w:rsidRPr="00A92D92">
        <w:rPr>
          <w:rFonts w:ascii="Open Sans" w:hAnsi="Open Sans" w:cs="Open Sans"/>
          <w:szCs w:val="22"/>
        </w:rPr>
        <w:t>.</w:t>
      </w:r>
      <w:r w:rsidR="00FD372D">
        <w:rPr>
          <w:rFonts w:ascii="Open Sans" w:hAnsi="Open Sans" w:cs="Open Sans"/>
          <w:szCs w:val="22"/>
        </w:rPr>
        <w:t xml:space="preserve"> </w:t>
      </w:r>
      <w:r w:rsidR="008E68DB" w:rsidRPr="00FD372D">
        <w:rPr>
          <w:rFonts w:ascii="Open Sans" w:hAnsi="Open Sans" w:cs="Open Sans"/>
          <w:szCs w:val="22"/>
        </w:rPr>
        <w:t xml:space="preserve">The Biogas Production Plant </w:t>
      </w:r>
      <w:r>
        <w:rPr>
          <w:rFonts w:ascii="Open Sans" w:hAnsi="Open Sans" w:cs="Open Sans"/>
          <w:szCs w:val="22"/>
        </w:rPr>
        <w:t xml:space="preserve">is not included in this definition and </w:t>
      </w:r>
      <w:r w:rsidR="008E68DB" w:rsidRPr="00FD372D">
        <w:rPr>
          <w:rFonts w:ascii="Open Sans" w:hAnsi="Open Sans" w:cs="Open Sans"/>
          <w:szCs w:val="22"/>
        </w:rPr>
        <w:t xml:space="preserve">consists of digesters, holding tanks, pumps, motors and other equipment associated with the delivery and digestion of material and the production and delivery of raw biogas. </w:t>
      </w:r>
    </w:p>
    <w:p w:rsidR="00FD372D" w:rsidRDefault="00FD372D" w:rsidP="00482571">
      <w:pPr>
        <w:spacing w:before="120" w:after="120"/>
        <w:rPr>
          <w:rFonts w:ascii="Open Sans" w:hAnsi="Open Sans" w:cs="Open Sans"/>
          <w:szCs w:val="22"/>
        </w:rPr>
      </w:pPr>
      <w:r w:rsidRPr="00CB1169">
        <w:rPr>
          <w:rFonts w:ascii="Open Sans" w:hAnsi="Open Sans" w:cs="Open Sans"/>
          <w:szCs w:val="22"/>
        </w:rPr>
        <w:t>As of</w:t>
      </w:r>
      <w:r w:rsidRPr="00983D72">
        <w:rPr>
          <w:rFonts w:ascii="Open Sans" w:hAnsi="Open Sans" w:cs="Open Sans"/>
          <w:szCs w:val="22"/>
        </w:rPr>
        <w:t xml:space="preserve"> 20 June 2018</w:t>
      </w:r>
      <w:r w:rsidRPr="00CB1169">
        <w:rPr>
          <w:rFonts w:ascii="Open Sans" w:hAnsi="Open Sans" w:cs="Open Sans"/>
          <w:szCs w:val="22"/>
        </w:rPr>
        <w:t xml:space="preserve">, the regulations require applicants to specify the biogas production plant to be used for the purposes </w:t>
      </w:r>
      <w:r w:rsidR="00482571">
        <w:rPr>
          <w:rFonts w:ascii="Open Sans" w:hAnsi="Open Sans" w:cs="Open Sans"/>
          <w:szCs w:val="22"/>
        </w:rPr>
        <w:t xml:space="preserve">of its registration, </w:t>
      </w:r>
      <w:r w:rsidRPr="00CB1169">
        <w:rPr>
          <w:rFonts w:ascii="Open Sans" w:hAnsi="Open Sans" w:cs="Open Sans"/>
          <w:szCs w:val="22"/>
        </w:rPr>
        <w:t xml:space="preserve">and </w:t>
      </w:r>
      <w:r w:rsidR="00482571">
        <w:rPr>
          <w:rFonts w:ascii="Open Sans" w:hAnsi="Open Sans" w:cs="Open Sans"/>
          <w:szCs w:val="22"/>
        </w:rPr>
        <w:t xml:space="preserve">to confirm </w:t>
      </w:r>
      <w:r w:rsidRPr="00CB1169">
        <w:rPr>
          <w:rFonts w:ascii="Open Sans" w:hAnsi="Open Sans" w:cs="Open Sans"/>
          <w:szCs w:val="22"/>
        </w:rPr>
        <w:t>that the equipment used to produce b</w:t>
      </w:r>
      <w:r w:rsidR="00482571">
        <w:rPr>
          <w:rFonts w:ascii="Open Sans" w:hAnsi="Open Sans" w:cs="Open Sans"/>
          <w:szCs w:val="22"/>
        </w:rPr>
        <w:t xml:space="preserve">iomethane has been commissioned (and </w:t>
      </w:r>
      <w:r w:rsidR="00482571" w:rsidRPr="00482571">
        <w:rPr>
          <w:rFonts w:ascii="Open Sans" w:hAnsi="Open Sans" w:cs="Open Sans"/>
          <w:szCs w:val="22"/>
        </w:rPr>
        <w:t>may only use a biogas production plant</w:t>
      </w:r>
      <w:r w:rsidR="00482571">
        <w:rPr>
          <w:rFonts w:ascii="Open Sans" w:hAnsi="Open Sans" w:cs="Open Sans"/>
          <w:szCs w:val="22"/>
        </w:rPr>
        <w:t xml:space="preserve"> </w:t>
      </w:r>
      <w:r w:rsidR="00482571" w:rsidRPr="00482571">
        <w:rPr>
          <w:rFonts w:ascii="Open Sans" w:hAnsi="Open Sans" w:cs="Open Sans"/>
          <w:szCs w:val="22"/>
        </w:rPr>
        <w:t>for the purposes of one registration</w:t>
      </w:r>
      <w:r w:rsidR="00482571">
        <w:rPr>
          <w:rFonts w:ascii="Open Sans" w:hAnsi="Open Sans" w:cs="Open Sans"/>
          <w:szCs w:val="22"/>
        </w:rPr>
        <w:t xml:space="preserve">. </w:t>
      </w:r>
    </w:p>
    <w:p w:rsidR="00983D72" w:rsidRPr="00CB1169" w:rsidRDefault="00983D72" w:rsidP="00983D72">
      <w:pPr>
        <w:spacing w:before="120" w:after="120"/>
        <w:rPr>
          <w:rFonts w:ascii="Open Sans" w:hAnsi="Open Sans" w:cs="Open Sans"/>
          <w:szCs w:val="22"/>
        </w:rPr>
      </w:pPr>
      <w:r w:rsidRPr="00983D72">
        <w:rPr>
          <w:rFonts w:ascii="Open Sans" w:hAnsi="Open Sans" w:cs="Open Sans"/>
          <w:szCs w:val="22"/>
        </w:rPr>
        <w:t>The Regulations</w:t>
      </w:r>
      <w:r w:rsidR="00825377" w:rsidRPr="00FD372D">
        <w:rPr>
          <w:rFonts w:ascii="Open Sans" w:hAnsi="Open Sans" w:cs="Open Sans"/>
          <w:szCs w:val="22"/>
        </w:rPr>
        <w:t xml:space="preserve"> state that biomethane producers will need to provide </w:t>
      </w:r>
      <w:r w:rsidR="00825377" w:rsidRPr="00FD372D">
        <w:rPr>
          <w:rFonts w:ascii="Open Sans" w:hAnsi="Open Sans" w:cs="Open Sans" w:hint="eastAsia"/>
          <w:szCs w:val="22"/>
        </w:rPr>
        <w:t>‘</w:t>
      </w:r>
      <w:r w:rsidR="00825377" w:rsidRPr="00FD372D">
        <w:rPr>
          <w:rFonts w:ascii="Open Sans" w:hAnsi="Open Sans" w:cs="Open Sans"/>
          <w:szCs w:val="22"/>
        </w:rPr>
        <w:t>details of the process by which the applicant proposes to produce biomethane and arrange for its inject</w:t>
      </w:r>
      <w:r w:rsidRPr="00983D72">
        <w:rPr>
          <w:rFonts w:ascii="Open Sans" w:hAnsi="Open Sans" w:cs="Open Sans"/>
          <w:szCs w:val="22"/>
        </w:rPr>
        <w:t>ion’</w:t>
      </w:r>
      <w:r w:rsidR="00825377" w:rsidRPr="00FD372D">
        <w:rPr>
          <w:rFonts w:ascii="Open Sans" w:hAnsi="Open Sans" w:cs="Open Sans"/>
          <w:szCs w:val="22"/>
        </w:rPr>
        <w:t>.</w:t>
      </w:r>
      <w:r w:rsidR="00E10EFA">
        <w:rPr>
          <w:rFonts w:ascii="Open Sans" w:hAnsi="Open Sans" w:cs="Open Sans"/>
          <w:szCs w:val="22"/>
        </w:rPr>
        <w:t xml:space="preserve"> However, </w:t>
      </w:r>
      <w:r>
        <w:rPr>
          <w:rFonts w:ascii="Open Sans" w:hAnsi="Open Sans" w:cs="Open Sans"/>
          <w:szCs w:val="22"/>
        </w:rPr>
        <w:t>w</w:t>
      </w:r>
      <w:r w:rsidR="008E68DB" w:rsidRPr="00FD372D">
        <w:rPr>
          <w:rFonts w:ascii="Open Sans" w:hAnsi="Open Sans" w:cs="Open Sans"/>
          <w:szCs w:val="22"/>
        </w:rPr>
        <w:t xml:space="preserve">hilst the guidance published by </w:t>
      </w:r>
      <w:proofErr w:type="spellStart"/>
      <w:r w:rsidR="008E68DB" w:rsidRPr="00FD372D">
        <w:rPr>
          <w:rFonts w:ascii="Open Sans" w:hAnsi="Open Sans" w:cs="Open Sans"/>
          <w:szCs w:val="22"/>
        </w:rPr>
        <w:t>Ofgem</w:t>
      </w:r>
      <w:proofErr w:type="spellEnd"/>
      <w:r w:rsidR="008E68DB" w:rsidRPr="00FD372D">
        <w:rPr>
          <w:rFonts w:ascii="Open Sans" w:hAnsi="Open Sans" w:cs="Open Sans"/>
          <w:szCs w:val="22"/>
        </w:rPr>
        <w:t xml:space="preserve"> states that they require details of the Biogas Production Plant (BPP) where biogas is produced, there is no reference </w:t>
      </w:r>
      <w:r w:rsidR="00482571">
        <w:rPr>
          <w:rFonts w:ascii="Open Sans" w:hAnsi="Open Sans" w:cs="Open Sans"/>
          <w:szCs w:val="22"/>
        </w:rPr>
        <w:t xml:space="preserve">in the regulations </w:t>
      </w:r>
      <w:r w:rsidR="008E68DB" w:rsidRPr="00FD372D">
        <w:rPr>
          <w:rFonts w:ascii="Open Sans" w:hAnsi="Open Sans" w:cs="Open Sans"/>
          <w:szCs w:val="22"/>
        </w:rPr>
        <w:t>to the Authority (</w:t>
      </w:r>
      <w:proofErr w:type="spellStart"/>
      <w:r w:rsidR="008E68DB" w:rsidRPr="00FD372D">
        <w:rPr>
          <w:rFonts w:ascii="Open Sans" w:hAnsi="Open Sans" w:cs="Open Sans"/>
          <w:szCs w:val="22"/>
        </w:rPr>
        <w:t>Ofgem</w:t>
      </w:r>
      <w:proofErr w:type="spellEnd"/>
      <w:r w:rsidR="008E68DB" w:rsidRPr="00FD372D">
        <w:rPr>
          <w:rFonts w:ascii="Open Sans" w:hAnsi="Open Sans" w:cs="Open Sans"/>
          <w:szCs w:val="22"/>
        </w:rPr>
        <w:t xml:space="preserve">) specifically requiring details of the </w:t>
      </w:r>
      <w:r w:rsidR="008E68DB" w:rsidRPr="00FD372D">
        <w:rPr>
          <w:rFonts w:ascii="Open Sans" w:hAnsi="Open Sans" w:cs="Open Sans" w:hint="eastAsia"/>
          <w:szCs w:val="22"/>
        </w:rPr>
        <w:t>‘</w:t>
      </w:r>
      <w:r w:rsidR="008E68DB" w:rsidRPr="00FD372D">
        <w:rPr>
          <w:rFonts w:ascii="Open Sans" w:hAnsi="Open Sans" w:cs="Open Sans"/>
          <w:szCs w:val="22"/>
        </w:rPr>
        <w:t>biogas production plant</w:t>
      </w:r>
      <w:r w:rsidR="008E68DB" w:rsidRPr="00FD372D">
        <w:rPr>
          <w:rFonts w:ascii="Open Sans" w:hAnsi="Open Sans" w:cs="Open Sans" w:hint="eastAsia"/>
          <w:szCs w:val="22"/>
        </w:rPr>
        <w:t>’</w:t>
      </w:r>
      <w:r w:rsidR="008E68DB" w:rsidRPr="00FD372D">
        <w:rPr>
          <w:rFonts w:ascii="Open Sans" w:hAnsi="Open Sans" w:cs="Open Sans"/>
          <w:szCs w:val="22"/>
        </w:rPr>
        <w:t xml:space="preserve"> in the </w:t>
      </w:r>
      <w:hyperlink r:id="rId14" w:history="1">
        <w:r w:rsidR="008E68DB" w:rsidRPr="00FD372D">
          <w:rPr>
            <w:rFonts w:ascii="Open Sans" w:hAnsi="Open Sans" w:cs="Open Sans"/>
            <w:szCs w:val="22"/>
          </w:rPr>
          <w:t>regulations</w:t>
        </w:r>
      </w:hyperlink>
      <w:r w:rsidR="008E68DB" w:rsidRPr="00FD372D">
        <w:rPr>
          <w:rFonts w:ascii="Open Sans" w:hAnsi="Open Sans" w:cs="Open Sans"/>
          <w:szCs w:val="22"/>
        </w:rPr>
        <w:t xml:space="preserve">, other than specifying the biogas production plant involved in the production of biogas. </w:t>
      </w:r>
    </w:p>
    <w:p w:rsidR="008E68DB" w:rsidRDefault="008E68DB" w:rsidP="00FD372D">
      <w:pPr>
        <w:tabs>
          <w:tab w:val="left" w:pos="0"/>
        </w:tabs>
        <w:spacing w:before="120" w:after="120"/>
        <w:rPr>
          <w:rFonts w:ascii="Open Sans" w:hAnsi="Open Sans" w:cs="Open Sans"/>
          <w:szCs w:val="22"/>
        </w:rPr>
      </w:pPr>
      <w:r w:rsidRPr="00FD372D">
        <w:rPr>
          <w:rFonts w:ascii="Open Sans" w:hAnsi="Open Sans" w:cs="Open Sans"/>
          <w:szCs w:val="22"/>
        </w:rPr>
        <w:lastRenderedPageBreak/>
        <w:t>Other than this, the regulations only require details of the feedstock used in th</w:t>
      </w:r>
      <w:r w:rsidR="00553758">
        <w:rPr>
          <w:rFonts w:ascii="Open Sans" w:hAnsi="Open Sans" w:cs="Open Sans"/>
          <w:szCs w:val="22"/>
        </w:rPr>
        <w:t>e</w:t>
      </w:r>
      <w:r w:rsidRPr="00FD372D">
        <w:rPr>
          <w:rFonts w:ascii="Open Sans" w:hAnsi="Open Sans" w:cs="Open Sans"/>
          <w:szCs w:val="22"/>
        </w:rPr>
        <w:t xml:space="preserve"> plant. </w:t>
      </w:r>
      <w:r w:rsidR="00553758">
        <w:rPr>
          <w:rFonts w:ascii="Open Sans" w:hAnsi="Open Sans" w:cs="Open Sans"/>
          <w:szCs w:val="22"/>
        </w:rPr>
        <w:t>The</w:t>
      </w:r>
      <w:r w:rsidRPr="00FD372D">
        <w:rPr>
          <w:rFonts w:ascii="Open Sans" w:hAnsi="Open Sans" w:cs="Open Sans"/>
          <w:szCs w:val="22"/>
        </w:rPr>
        <w:t xml:space="preserve"> Authority </w:t>
      </w:r>
      <w:r w:rsidR="00553758">
        <w:rPr>
          <w:rFonts w:ascii="Open Sans" w:hAnsi="Open Sans" w:cs="Open Sans"/>
          <w:szCs w:val="22"/>
        </w:rPr>
        <w:t xml:space="preserve">can still consider </w:t>
      </w:r>
      <w:r w:rsidRPr="00FD372D">
        <w:rPr>
          <w:rFonts w:ascii="Open Sans" w:hAnsi="Open Sans" w:cs="Open Sans" w:hint="eastAsia"/>
          <w:szCs w:val="22"/>
        </w:rPr>
        <w:t>‘</w:t>
      </w:r>
      <w:r w:rsidRPr="00FD372D">
        <w:rPr>
          <w:rFonts w:ascii="Open Sans" w:hAnsi="Open Sans" w:cs="Open Sans"/>
          <w:szCs w:val="22"/>
        </w:rPr>
        <w:t>that further information is necessary for the purpose of determining an application</w:t>
      </w:r>
      <w:r w:rsidRPr="00FD372D">
        <w:rPr>
          <w:rFonts w:ascii="Open Sans" w:hAnsi="Open Sans" w:cs="Open Sans" w:hint="eastAsia"/>
          <w:szCs w:val="22"/>
        </w:rPr>
        <w:t>’</w:t>
      </w:r>
      <w:r w:rsidRPr="00FD372D">
        <w:rPr>
          <w:rFonts w:ascii="Open Sans" w:hAnsi="Open Sans" w:cs="Open Sans"/>
          <w:szCs w:val="22"/>
        </w:rPr>
        <w:t xml:space="preserve">, however </w:t>
      </w:r>
      <w:r w:rsidR="00E10EFA">
        <w:rPr>
          <w:rFonts w:ascii="Open Sans" w:hAnsi="Open Sans" w:cs="Open Sans"/>
          <w:szCs w:val="22"/>
        </w:rPr>
        <w:t>it could be argued</w:t>
      </w:r>
      <w:r w:rsidRPr="00FD372D">
        <w:rPr>
          <w:rFonts w:ascii="Open Sans" w:hAnsi="Open Sans" w:cs="Open Sans"/>
          <w:szCs w:val="22"/>
        </w:rPr>
        <w:t xml:space="preserve"> that details of the Biogas Production Plant (BPP) is </w:t>
      </w:r>
      <w:r w:rsidR="00E10EFA">
        <w:rPr>
          <w:rFonts w:ascii="Open Sans" w:hAnsi="Open Sans" w:cs="Open Sans"/>
          <w:szCs w:val="22"/>
        </w:rPr>
        <w:t xml:space="preserve">currently </w:t>
      </w:r>
      <w:r w:rsidRPr="00FD372D">
        <w:rPr>
          <w:rFonts w:ascii="Open Sans" w:hAnsi="Open Sans" w:cs="Open Sans"/>
          <w:szCs w:val="22"/>
        </w:rPr>
        <w:t xml:space="preserve">outside of </w:t>
      </w:r>
      <w:proofErr w:type="spellStart"/>
      <w:r w:rsidRPr="00FD372D">
        <w:rPr>
          <w:rFonts w:ascii="Open Sans" w:hAnsi="Open Sans" w:cs="Open Sans"/>
          <w:szCs w:val="22"/>
        </w:rPr>
        <w:t>Ofgem</w:t>
      </w:r>
      <w:r w:rsidRPr="00FD372D">
        <w:rPr>
          <w:rFonts w:ascii="Open Sans" w:hAnsi="Open Sans" w:cs="Open Sans" w:hint="eastAsia"/>
          <w:szCs w:val="22"/>
        </w:rPr>
        <w:t>’</w:t>
      </w:r>
      <w:r w:rsidR="00E10EFA">
        <w:rPr>
          <w:rFonts w:ascii="Open Sans" w:hAnsi="Open Sans" w:cs="Open Sans"/>
          <w:szCs w:val="22"/>
        </w:rPr>
        <w:t>s</w:t>
      </w:r>
      <w:proofErr w:type="spellEnd"/>
      <w:r w:rsidR="00E10EFA">
        <w:rPr>
          <w:rFonts w:ascii="Open Sans" w:hAnsi="Open Sans" w:cs="Open Sans"/>
          <w:szCs w:val="22"/>
        </w:rPr>
        <w:t xml:space="preserve"> scope. </w:t>
      </w:r>
    </w:p>
    <w:p w:rsidR="009379D0" w:rsidRPr="00FD372D" w:rsidRDefault="009379D0" w:rsidP="009379D0">
      <w:pPr>
        <w:tabs>
          <w:tab w:val="left" w:pos="0"/>
        </w:tabs>
        <w:spacing w:before="120" w:after="120"/>
        <w:jc w:val="left"/>
        <w:rPr>
          <w:rFonts w:ascii="Open Sans" w:hAnsi="Open Sans" w:cs="Open Sans"/>
          <w:szCs w:val="22"/>
        </w:rPr>
      </w:pPr>
      <w:r>
        <w:rPr>
          <w:rFonts w:ascii="Open Sans" w:hAnsi="Open Sans" w:cs="Open Sans"/>
          <w:szCs w:val="22"/>
        </w:rPr>
        <w:t>Furthermore, t</w:t>
      </w:r>
      <w:r w:rsidRPr="00FD372D">
        <w:rPr>
          <w:rFonts w:ascii="Open Sans" w:hAnsi="Open Sans" w:cs="Open Sans"/>
          <w:szCs w:val="22"/>
        </w:rPr>
        <w:t xml:space="preserve">here </w:t>
      </w:r>
      <w:r>
        <w:rPr>
          <w:rFonts w:ascii="Open Sans" w:hAnsi="Open Sans" w:cs="Open Sans"/>
          <w:szCs w:val="22"/>
        </w:rPr>
        <w:t>are</w:t>
      </w:r>
      <w:r w:rsidRPr="00FD372D">
        <w:rPr>
          <w:rFonts w:ascii="Open Sans" w:hAnsi="Open Sans" w:cs="Open Sans"/>
          <w:szCs w:val="22"/>
        </w:rPr>
        <w:t xml:space="preserve"> existing comprehensive requirements in relation to satisfying the registration of biomethane producers </w:t>
      </w:r>
      <w:r>
        <w:rPr>
          <w:rFonts w:ascii="Open Sans" w:hAnsi="Open Sans" w:cs="Open Sans"/>
          <w:szCs w:val="22"/>
        </w:rPr>
        <w:t xml:space="preserve">and it would be significantly </w:t>
      </w:r>
      <w:r w:rsidRPr="00FD372D">
        <w:rPr>
          <w:rFonts w:ascii="Open Sans" w:hAnsi="Open Sans" w:cs="Open Sans"/>
          <w:szCs w:val="22"/>
        </w:rPr>
        <w:t xml:space="preserve">onerous to add any further evidence requirements. The length of time that </w:t>
      </w:r>
      <w:proofErr w:type="spellStart"/>
      <w:r w:rsidRPr="00FD372D">
        <w:rPr>
          <w:rFonts w:ascii="Open Sans" w:hAnsi="Open Sans" w:cs="Open Sans"/>
          <w:szCs w:val="22"/>
        </w:rPr>
        <w:t>Ofgem</w:t>
      </w:r>
      <w:proofErr w:type="spellEnd"/>
      <w:r w:rsidRPr="00FD372D">
        <w:rPr>
          <w:rFonts w:ascii="Open Sans" w:hAnsi="Open Sans" w:cs="Open Sans"/>
          <w:szCs w:val="22"/>
        </w:rPr>
        <w:t xml:space="preserve"> are currently taking to review information and approve applications is causing issues in relation to cashflow for these operations such that those that have previously been involved in the RHI acc</w:t>
      </w:r>
      <w:r>
        <w:rPr>
          <w:rFonts w:ascii="Open Sans" w:hAnsi="Open Sans" w:cs="Open Sans"/>
          <w:szCs w:val="22"/>
        </w:rPr>
        <w:t>reditation/registration process</w:t>
      </w:r>
      <w:r w:rsidRPr="00FD372D">
        <w:rPr>
          <w:rFonts w:ascii="Open Sans" w:hAnsi="Open Sans" w:cs="Open Sans"/>
          <w:szCs w:val="22"/>
        </w:rPr>
        <w:t xml:space="preserve"> consider this to be the limiting factor to their investment in future projects. </w:t>
      </w:r>
    </w:p>
    <w:p w:rsidR="00FD372D" w:rsidRPr="00FD372D" w:rsidRDefault="00FD372D" w:rsidP="00FD372D">
      <w:pPr>
        <w:tabs>
          <w:tab w:val="left" w:pos="0"/>
        </w:tabs>
        <w:spacing w:before="120" w:after="120"/>
        <w:rPr>
          <w:rFonts w:ascii="Open Sans" w:hAnsi="Open Sans" w:cs="Open Sans"/>
          <w:szCs w:val="22"/>
        </w:rPr>
      </w:pPr>
    </w:p>
    <w:p w:rsidR="00EE25EF" w:rsidRDefault="00EE25EF" w:rsidP="00D229D6">
      <w:pPr>
        <w:spacing w:before="120" w:after="120"/>
        <w:rPr>
          <w:rFonts w:ascii="Open Sans" w:hAnsi="Open Sans" w:cs="Open Sans"/>
          <w:szCs w:val="22"/>
        </w:rPr>
      </w:pPr>
    </w:p>
    <w:p w:rsidR="00957000" w:rsidRPr="009E185A" w:rsidRDefault="00957000" w:rsidP="00D229D6">
      <w:pPr>
        <w:spacing w:before="120" w:after="120"/>
        <w:rPr>
          <w:rFonts w:ascii="Open Sans" w:hAnsi="Open Sans" w:cs="Open Sans"/>
          <w:szCs w:val="22"/>
        </w:rPr>
        <w:sectPr w:rsidR="00957000" w:rsidRPr="009E185A">
          <w:headerReference w:type="default" r:id="rId15"/>
          <w:footerReference w:type="default" r:id="rId16"/>
          <w:pgSz w:w="11906" w:h="16838"/>
          <w:pgMar w:top="1440" w:right="1440" w:bottom="1440" w:left="1440" w:header="708" w:footer="708" w:gutter="0"/>
          <w:cols w:space="708"/>
          <w:docGrid w:linePitch="360"/>
        </w:sectPr>
      </w:pPr>
    </w:p>
    <w:p w:rsidR="00D229D6" w:rsidRPr="009E185A" w:rsidRDefault="00EE25EF" w:rsidP="00D229D6">
      <w:pPr>
        <w:spacing w:before="120" w:after="120"/>
        <w:rPr>
          <w:rFonts w:ascii="Open Sans" w:hAnsi="Open Sans" w:cs="Open Sans"/>
          <w:b/>
          <w:szCs w:val="22"/>
        </w:rPr>
      </w:pPr>
      <w:r w:rsidRPr="009E185A">
        <w:rPr>
          <w:rFonts w:ascii="Open Sans" w:hAnsi="Open Sans" w:cs="Open Sans"/>
          <w:b/>
          <w:szCs w:val="22"/>
        </w:rPr>
        <w:lastRenderedPageBreak/>
        <w:t>Examples of the ‘normal’</w:t>
      </w:r>
      <w:r w:rsidR="00D229D6" w:rsidRPr="009E185A">
        <w:rPr>
          <w:rFonts w:ascii="Open Sans" w:hAnsi="Open Sans" w:cs="Open Sans"/>
          <w:b/>
          <w:szCs w:val="22"/>
        </w:rPr>
        <w:t xml:space="preserve"> industry practices </w:t>
      </w:r>
      <w:r w:rsidRPr="009E185A">
        <w:rPr>
          <w:rFonts w:ascii="Open Sans" w:hAnsi="Open Sans" w:cs="Open Sans"/>
          <w:b/>
          <w:szCs w:val="22"/>
        </w:rPr>
        <w:t xml:space="preserve">used </w:t>
      </w:r>
      <w:r w:rsidR="00D229D6" w:rsidRPr="009E185A">
        <w:rPr>
          <w:rFonts w:ascii="Open Sans" w:hAnsi="Open Sans" w:cs="Open Sans"/>
          <w:b/>
          <w:szCs w:val="22"/>
        </w:rPr>
        <w:t xml:space="preserve">for biomethane commissioning </w:t>
      </w:r>
      <w:r w:rsidRPr="009E185A">
        <w:rPr>
          <w:rFonts w:ascii="Open Sans" w:hAnsi="Open Sans" w:cs="Open Sans"/>
          <w:b/>
          <w:szCs w:val="22"/>
        </w:rPr>
        <w:t>to meet the definition given in Regulation 2 of the Renewable Heat Incentive Regulations 2018</w:t>
      </w:r>
    </w:p>
    <w:tbl>
      <w:tblPr>
        <w:tblStyle w:val="TableGrid"/>
        <w:tblW w:w="14317" w:type="dxa"/>
        <w:tblLook w:val="04A0" w:firstRow="1" w:lastRow="0" w:firstColumn="1" w:lastColumn="0" w:noHBand="0" w:noVBand="1"/>
      </w:tblPr>
      <w:tblGrid>
        <w:gridCol w:w="1327"/>
        <w:gridCol w:w="2228"/>
        <w:gridCol w:w="2177"/>
        <w:gridCol w:w="1861"/>
        <w:gridCol w:w="1988"/>
        <w:gridCol w:w="2479"/>
        <w:gridCol w:w="2257"/>
      </w:tblGrid>
      <w:tr w:rsidR="00D229D6" w:rsidRPr="009E185A" w:rsidTr="0071483F">
        <w:trPr>
          <w:trHeight w:val="3353"/>
        </w:trPr>
        <w:tc>
          <w:tcPr>
            <w:tcW w:w="1327" w:type="dxa"/>
          </w:tcPr>
          <w:p w:rsidR="00D229D6" w:rsidRPr="009E185A" w:rsidRDefault="00D229D6" w:rsidP="00F635FD">
            <w:pPr>
              <w:spacing w:before="120" w:after="120"/>
              <w:jc w:val="left"/>
              <w:rPr>
                <w:rFonts w:ascii="Open Sans" w:hAnsi="Open Sans" w:cs="Open Sans"/>
                <w:b/>
                <w:sz w:val="20"/>
                <w:szCs w:val="20"/>
              </w:rPr>
            </w:pPr>
            <w:r w:rsidRPr="009E185A">
              <w:rPr>
                <w:rFonts w:ascii="Open Sans" w:hAnsi="Open Sans" w:cs="Open Sans"/>
                <w:b/>
                <w:sz w:val="20"/>
                <w:szCs w:val="20"/>
              </w:rPr>
              <w:t xml:space="preserve">Relevant equipment </w:t>
            </w:r>
          </w:p>
        </w:tc>
        <w:tc>
          <w:tcPr>
            <w:tcW w:w="2228" w:type="dxa"/>
          </w:tcPr>
          <w:p w:rsidR="00D229D6" w:rsidRPr="009E185A" w:rsidRDefault="00D229D6" w:rsidP="00F635FD">
            <w:pPr>
              <w:spacing w:before="120" w:after="120"/>
              <w:jc w:val="left"/>
              <w:rPr>
                <w:rFonts w:ascii="Open Sans" w:hAnsi="Open Sans" w:cs="Open Sans"/>
                <w:b/>
                <w:sz w:val="20"/>
                <w:szCs w:val="20"/>
              </w:rPr>
            </w:pPr>
            <w:r w:rsidRPr="009E185A">
              <w:rPr>
                <w:rFonts w:ascii="Open Sans" w:hAnsi="Open Sans" w:cs="Open Sans"/>
                <w:b/>
                <w:sz w:val="20"/>
                <w:szCs w:val="20"/>
              </w:rPr>
              <w:t>Usual industry standards and practices – explain what it establishes, and / or what conclusions it supports and what you understand to be its objective or aim</w:t>
            </w:r>
          </w:p>
        </w:tc>
        <w:tc>
          <w:tcPr>
            <w:tcW w:w="2177" w:type="dxa"/>
          </w:tcPr>
          <w:p w:rsidR="00D229D6" w:rsidRPr="009E185A" w:rsidRDefault="00D229D6" w:rsidP="00F635FD">
            <w:pPr>
              <w:spacing w:before="120" w:after="120"/>
              <w:jc w:val="left"/>
              <w:rPr>
                <w:rFonts w:ascii="Open Sans" w:hAnsi="Open Sans" w:cs="Open Sans"/>
                <w:b/>
                <w:sz w:val="20"/>
                <w:szCs w:val="20"/>
              </w:rPr>
            </w:pPr>
            <w:r w:rsidRPr="009E185A">
              <w:rPr>
                <w:rFonts w:ascii="Open Sans" w:hAnsi="Open Sans" w:cs="Open Sans"/>
                <w:b/>
                <w:sz w:val="20"/>
                <w:szCs w:val="20"/>
              </w:rPr>
              <w:t>Evidence required to demonstrate relevant tests and procedures have been completed</w:t>
            </w:r>
          </w:p>
        </w:tc>
        <w:tc>
          <w:tcPr>
            <w:tcW w:w="1861" w:type="dxa"/>
          </w:tcPr>
          <w:p w:rsidR="00D229D6" w:rsidRPr="009E185A" w:rsidRDefault="00D229D6" w:rsidP="00F635FD">
            <w:pPr>
              <w:spacing w:before="120" w:after="120"/>
              <w:jc w:val="left"/>
              <w:rPr>
                <w:rFonts w:ascii="Open Sans" w:hAnsi="Open Sans" w:cs="Open Sans"/>
                <w:b/>
                <w:sz w:val="20"/>
                <w:szCs w:val="20"/>
              </w:rPr>
            </w:pPr>
            <w:r w:rsidRPr="009E185A">
              <w:rPr>
                <w:rFonts w:ascii="Open Sans" w:hAnsi="Open Sans" w:cs="Open Sans"/>
                <w:b/>
                <w:sz w:val="20"/>
                <w:szCs w:val="20"/>
              </w:rPr>
              <w:t>Who can perform, make or apply it</w:t>
            </w:r>
          </w:p>
        </w:tc>
        <w:tc>
          <w:tcPr>
            <w:tcW w:w="1988" w:type="dxa"/>
          </w:tcPr>
          <w:p w:rsidR="00D229D6" w:rsidRPr="009E185A" w:rsidRDefault="00D229D6" w:rsidP="00F635FD">
            <w:pPr>
              <w:spacing w:before="120" w:after="120"/>
              <w:jc w:val="left"/>
              <w:rPr>
                <w:rFonts w:ascii="Open Sans" w:hAnsi="Open Sans" w:cs="Open Sans"/>
                <w:b/>
                <w:sz w:val="20"/>
                <w:szCs w:val="20"/>
              </w:rPr>
            </w:pPr>
            <w:r w:rsidRPr="009E185A">
              <w:rPr>
                <w:rFonts w:ascii="Open Sans" w:hAnsi="Open Sans" w:cs="Open Sans"/>
                <w:b/>
                <w:sz w:val="20"/>
                <w:szCs w:val="20"/>
              </w:rPr>
              <w:t>What do you understand to be the reason for its existence (for example do you understand it to be a legal requirement, or best practice as recommended by an industry body)?</w:t>
            </w:r>
          </w:p>
        </w:tc>
        <w:tc>
          <w:tcPr>
            <w:tcW w:w="2479" w:type="dxa"/>
          </w:tcPr>
          <w:p w:rsidR="00D229D6" w:rsidRPr="009E185A" w:rsidRDefault="00D229D6" w:rsidP="00AF7B39">
            <w:pPr>
              <w:spacing w:before="120" w:after="120"/>
              <w:jc w:val="left"/>
              <w:rPr>
                <w:rFonts w:ascii="Open Sans" w:hAnsi="Open Sans" w:cs="Open Sans"/>
                <w:b/>
                <w:sz w:val="20"/>
                <w:szCs w:val="20"/>
              </w:rPr>
            </w:pPr>
            <w:r w:rsidRPr="009E185A">
              <w:rPr>
                <w:rFonts w:ascii="Open Sans" w:hAnsi="Open Sans" w:cs="Open Sans"/>
                <w:b/>
                <w:sz w:val="20"/>
                <w:szCs w:val="20"/>
              </w:rPr>
              <w:t xml:space="preserve">Do you understand it to be a: </w:t>
            </w:r>
            <w:proofErr w:type="spellStart"/>
            <w:r w:rsidRPr="009E185A">
              <w:rPr>
                <w:rFonts w:ascii="Open Sans" w:hAnsi="Open Sans" w:cs="Open Sans"/>
                <w:b/>
                <w:sz w:val="20"/>
                <w:szCs w:val="20"/>
              </w:rPr>
              <w:t>i</w:t>
            </w:r>
            <w:proofErr w:type="spellEnd"/>
            <w:r w:rsidRPr="009E185A">
              <w:rPr>
                <w:rFonts w:ascii="Open Sans" w:hAnsi="Open Sans" w:cs="Open Sans"/>
                <w:b/>
                <w:sz w:val="20"/>
                <w:szCs w:val="20"/>
              </w:rPr>
              <w:t xml:space="preserve">. “mechanical” procedure, test, standard or practice or a “hot” or “cold” procedure, test, standard or practice  </w:t>
            </w:r>
          </w:p>
        </w:tc>
        <w:tc>
          <w:tcPr>
            <w:tcW w:w="2257" w:type="dxa"/>
          </w:tcPr>
          <w:p w:rsidR="00D229D6" w:rsidRPr="009E185A" w:rsidRDefault="00D229D6" w:rsidP="00F635FD">
            <w:pPr>
              <w:spacing w:before="120" w:after="120"/>
              <w:jc w:val="left"/>
              <w:rPr>
                <w:rFonts w:ascii="Open Sans" w:hAnsi="Open Sans" w:cs="Open Sans"/>
                <w:b/>
                <w:sz w:val="20"/>
                <w:szCs w:val="20"/>
              </w:rPr>
            </w:pPr>
            <w:r w:rsidRPr="009E185A">
              <w:rPr>
                <w:rFonts w:ascii="Open Sans" w:hAnsi="Open Sans" w:cs="Open Sans"/>
                <w:b/>
                <w:sz w:val="20"/>
                <w:szCs w:val="20"/>
              </w:rPr>
              <w:t>Once it is completed, what more would be required in order to put the relevant plant or equipment into operation?</w:t>
            </w:r>
          </w:p>
        </w:tc>
      </w:tr>
      <w:tr w:rsidR="00D229D6" w:rsidRPr="009E185A" w:rsidTr="0071483F">
        <w:trPr>
          <w:trHeight w:val="274"/>
        </w:trPr>
        <w:tc>
          <w:tcPr>
            <w:tcW w:w="1327" w:type="dxa"/>
            <w:vMerge w:val="restart"/>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Biogas production plant - BPP (</w:t>
            </w:r>
            <w:proofErr w:type="spellStart"/>
            <w:r w:rsidRPr="009E185A">
              <w:rPr>
                <w:rFonts w:ascii="Open Sans" w:hAnsi="Open Sans" w:cs="Open Sans"/>
                <w:sz w:val="20"/>
                <w:szCs w:val="20"/>
              </w:rPr>
              <w:t>ie</w:t>
            </w:r>
            <w:proofErr w:type="spellEnd"/>
            <w:r w:rsidRPr="009E185A">
              <w:rPr>
                <w:rFonts w:ascii="Open Sans" w:hAnsi="Open Sans" w:cs="Open Sans"/>
                <w:sz w:val="20"/>
                <w:szCs w:val="20"/>
              </w:rPr>
              <w:t xml:space="preserve"> digesters).</w:t>
            </w:r>
          </w:p>
          <w:p w:rsidR="00D229D6" w:rsidRPr="009E185A" w:rsidRDefault="00D229D6" w:rsidP="00F635FD">
            <w:pPr>
              <w:spacing w:before="120" w:after="120"/>
              <w:jc w:val="left"/>
              <w:rPr>
                <w:rFonts w:ascii="Open Sans" w:hAnsi="Open Sans" w:cs="Open Sans"/>
                <w:sz w:val="20"/>
                <w:szCs w:val="20"/>
              </w:rPr>
            </w:pPr>
          </w:p>
        </w:tc>
        <w:tc>
          <w:tcPr>
            <w:tcW w:w="2228" w:type="dxa"/>
          </w:tcPr>
          <w:p w:rsidR="00D229D6" w:rsidRPr="009E185A" w:rsidRDefault="00D229D6" w:rsidP="00F635FD">
            <w:pPr>
              <w:spacing w:before="120" w:after="120"/>
              <w:jc w:val="left"/>
              <w:rPr>
                <w:rFonts w:ascii="Open Sans" w:hAnsi="Open Sans" w:cs="Open Sans"/>
                <w:i/>
                <w:sz w:val="20"/>
                <w:szCs w:val="20"/>
              </w:rPr>
            </w:pPr>
            <w:r w:rsidRPr="009E185A">
              <w:rPr>
                <w:rFonts w:ascii="Open Sans" w:hAnsi="Open Sans" w:cs="Open Sans"/>
                <w:i/>
                <w:sz w:val="20"/>
                <w:szCs w:val="20"/>
              </w:rPr>
              <w:t xml:space="preserve">Mechanical tests / Cold commissioning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The plant has been built to the extent it enables verification that it is </w:t>
            </w:r>
            <w:r w:rsidRPr="009E185A">
              <w:rPr>
                <w:rFonts w:ascii="Open Sans" w:hAnsi="Open Sans" w:cs="Open Sans"/>
                <w:sz w:val="20"/>
                <w:szCs w:val="20"/>
                <w:u w:val="single"/>
              </w:rPr>
              <w:t>capable</w:t>
            </w:r>
            <w:r w:rsidRPr="009E185A">
              <w:rPr>
                <w:rFonts w:ascii="Open Sans" w:hAnsi="Open Sans" w:cs="Open Sans"/>
                <w:sz w:val="20"/>
                <w:szCs w:val="20"/>
              </w:rPr>
              <w:t xml:space="preserve"> of producing some biogas. </w:t>
            </w: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tc>
        <w:tc>
          <w:tcPr>
            <w:tcW w:w="2177"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Examples of evidence that has been normally provided by members to show that mechanical test /cold commissioning has been completed: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Evidence of pressure/leak testing for the tanks that have been built to </w:t>
            </w:r>
            <w:r w:rsidRPr="009E185A">
              <w:rPr>
                <w:rFonts w:ascii="Open Sans" w:hAnsi="Open Sans" w:cs="Open Sans"/>
                <w:sz w:val="20"/>
                <w:szCs w:val="20"/>
              </w:rPr>
              <w:lastRenderedPageBreak/>
              <w:t>show their suitability for the acceptance of material (</w:t>
            </w:r>
            <w:proofErr w:type="spellStart"/>
            <w:r w:rsidRPr="009E185A">
              <w:rPr>
                <w:rFonts w:ascii="Open Sans" w:hAnsi="Open Sans" w:cs="Open Sans"/>
                <w:sz w:val="20"/>
                <w:szCs w:val="20"/>
              </w:rPr>
              <w:t>ie</w:t>
            </w:r>
            <w:proofErr w:type="spellEnd"/>
            <w:r w:rsidRPr="009E185A">
              <w:rPr>
                <w:rFonts w:ascii="Open Sans" w:hAnsi="Open Sans" w:cs="Open Sans"/>
                <w:sz w:val="20"/>
                <w:szCs w:val="20"/>
              </w:rPr>
              <w:t xml:space="preserve"> physically sound).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Installation of pressure gauges.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The functionality of the mixers and pumps has been tested.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Electrical/mechanical functionality testing of plant room and controls. </w:t>
            </w:r>
          </w:p>
          <w:p w:rsidR="00D229D6" w:rsidRDefault="002A6BE0" w:rsidP="00F635FD">
            <w:pPr>
              <w:spacing w:before="120" w:after="120"/>
              <w:jc w:val="left"/>
              <w:rPr>
                <w:rFonts w:ascii="Open Sans" w:hAnsi="Open Sans" w:cs="Open Sans"/>
                <w:sz w:val="20"/>
                <w:szCs w:val="20"/>
              </w:rPr>
            </w:pPr>
            <w:r>
              <w:rPr>
                <w:rFonts w:ascii="Open Sans" w:hAnsi="Open Sans" w:cs="Open Sans"/>
                <w:sz w:val="20"/>
                <w:szCs w:val="20"/>
              </w:rPr>
              <w:t>This would need</w:t>
            </w:r>
            <w:r w:rsidR="00D229D6" w:rsidRPr="009E185A">
              <w:rPr>
                <w:rFonts w:ascii="Open Sans" w:hAnsi="Open Sans" w:cs="Open Sans"/>
                <w:sz w:val="20"/>
                <w:szCs w:val="20"/>
              </w:rPr>
              <w:t xml:space="preserve"> further thoughts as a large plant will have </w:t>
            </w:r>
            <w:r>
              <w:rPr>
                <w:rFonts w:ascii="Open Sans" w:hAnsi="Open Sans" w:cs="Open Sans"/>
                <w:sz w:val="20"/>
                <w:szCs w:val="20"/>
              </w:rPr>
              <w:t>several</w:t>
            </w:r>
            <w:r w:rsidR="00D229D6" w:rsidRPr="009E185A">
              <w:rPr>
                <w:rFonts w:ascii="Open Sans" w:hAnsi="Open Sans" w:cs="Open Sans"/>
                <w:sz w:val="20"/>
                <w:szCs w:val="20"/>
              </w:rPr>
              <w:t xml:space="preserve"> test certificates. </w:t>
            </w:r>
            <w:r>
              <w:rPr>
                <w:rFonts w:ascii="Open Sans" w:hAnsi="Open Sans" w:cs="Open Sans"/>
                <w:sz w:val="20"/>
                <w:szCs w:val="20"/>
              </w:rPr>
              <w:t>It has been suggested that it</w:t>
            </w:r>
            <w:r w:rsidR="00D229D6" w:rsidRPr="009E185A">
              <w:rPr>
                <w:rFonts w:ascii="Open Sans" w:hAnsi="Open Sans" w:cs="Open Sans"/>
                <w:sz w:val="20"/>
                <w:szCs w:val="20"/>
              </w:rPr>
              <w:t xml:space="preserve"> would make more sense to have an agreed pro forma over view test certificate, however cu</w:t>
            </w:r>
            <w:r>
              <w:rPr>
                <w:rFonts w:ascii="Open Sans" w:hAnsi="Open Sans" w:cs="Open Sans"/>
                <w:sz w:val="20"/>
                <w:szCs w:val="20"/>
              </w:rPr>
              <w:t xml:space="preserve">rrently this is not available. </w:t>
            </w:r>
          </w:p>
          <w:p w:rsidR="00A15931" w:rsidRPr="009E185A" w:rsidRDefault="00A15931" w:rsidP="002A6BE0">
            <w:pPr>
              <w:tabs>
                <w:tab w:val="num" w:pos="273"/>
              </w:tabs>
              <w:spacing w:before="120" w:after="120"/>
              <w:jc w:val="left"/>
              <w:rPr>
                <w:rFonts w:ascii="Open Sans" w:hAnsi="Open Sans" w:cs="Open Sans"/>
                <w:sz w:val="20"/>
                <w:szCs w:val="20"/>
              </w:rPr>
            </w:pPr>
            <w:r w:rsidRPr="002A6BE0">
              <w:rPr>
                <w:rFonts w:ascii="Open Sans" w:hAnsi="Open Sans" w:cs="Open Sans"/>
                <w:sz w:val="20"/>
                <w:szCs w:val="20"/>
              </w:rPr>
              <w:t xml:space="preserve">Whilst documentation such as commissioning certificates for </w:t>
            </w:r>
            <w:r w:rsidRPr="002A6BE0">
              <w:rPr>
                <w:rFonts w:ascii="Open Sans" w:hAnsi="Open Sans" w:cs="Open Sans"/>
                <w:sz w:val="20"/>
                <w:szCs w:val="20"/>
              </w:rPr>
              <w:lastRenderedPageBreak/>
              <w:t xml:space="preserve">digesters etc. should be easy to </w:t>
            </w:r>
            <w:r w:rsidR="002A6BE0">
              <w:rPr>
                <w:rFonts w:ascii="Open Sans" w:hAnsi="Open Sans" w:cs="Open Sans"/>
                <w:sz w:val="20"/>
                <w:szCs w:val="20"/>
              </w:rPr>
              <w:t>obtain</w:t>
            </w:r>
            <w:r w:rsidRPr="002A6BE0">
              <w:rPr>
                <w:rFonts w:ascii="Open Sans" w:hAnsi="Open Sans" w:cs="Open Sans"/>
                <w:sz w:val="20"/>
                <w:szCs w:val="20"/>
              </w:rPr>
              <w:t xml:space="preserve">, </w:t>
            </w:r>
            <w:r w:rsidR="002A6BE0">
              <w:rPr>
                <w:rFonts w:ascii="Open Sans" w:hAnsi="Open Sans" w:cs="Open Sans"/>
                <w:sz w:val="20"/>
                <w:szCs w:val="20"/>
              </w:rPr>
              <w:t xml:space="preserve">there are many </w:t>
            </w:r>
            <w:r w:rsidRPr="002A6BE0">
              <w:rPr>
                <w:rFonts w:ascii="Open Sans" w:hAnsi="Open Sans" w:cs="Open Sans"/>
                <w:sz w:val="20"/>
                <w:szCs w:val="20"/>
              </w:rPr>
              <w:t>processes involved in the commissioning of an AD plant. To source and provide extensive evidence from biogas production plant installers producing evidence beyond a simple commissioning certificate would be unnecessarily onerous.</w:t>
            </w:r>
            <w:r>
              <w:rPr>
                <w:rFonts w:ascii="Open Sans" w:hAnsi="Open Sans" w:cs="Open Sans"/>
                <w:sz w:val="20"/>
                <w:szCs w:val="20"/>
              </w:rPr>
              <w:t xml:space="preserve"> </w:t>
            </w:r>
          </w:p>
        </w:tc>
        <w:tc>
          <w:tcPr>
            <w:tcW w:w="1861"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Previous sites have usually had this completed by the manufacturer of pressure relief valves (</w:t>
            </w:r>
            <w:proofErr w:type="spellStart"/>
            <w:r w:rsidRPr="009E185A">
              <w:rPr>
                <w:rFonts w:ascii="Open Sans" w:hAnsi="Open Sans" w:cs="Open Sans"/>
                <w:sz w:val="20"/>
                <w:szCs w:val="20"/>
              </w:rPr>
              <w:t>eg</w:t>
            </w:r>
            <w:proofErr w:type="spellEnd"/>
            <w:r w:rsidRPr="009E185A">
              <w:rPr>
                <w:rFonts w:ascii="Open Sans" w:hAnsi="Open Sans" w:cs="Open Sans"/>
                <w:sz w:val="20"/>
                <w:szCs w:val="20"/>
              </w:rPr>
              <w:t xml:space="preserve"> Motherwell Tank Protection).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Other said the tank and pipework </w:t>
            </w:r>
            <w:r w:rsidRPr="009E185A">
              <w:rPr>
                <w:rFonts w:ascii="Open Sans" w:hAnsi="Open Sans" w:cs="Open Sans"/>
                <w:sz w:val="20"/>
                <w:szCs w:val="20"/>
              </w:rPr>
              <w:lastRenderedPageBreak/>
              <w:t xml:space="preserve">installers, or </w:t>
            </w:r>
            <w:proofErr w:type="gramStart"/>
            <w:r w:rsidRPr="009E185A">
              <w:rPr>
                <w:rFonts w:ascii="Open Sans" w:hAnsi="Open Sans" w:cs="Open Sans"/>
                <w:sz w:val="20"/>
                <w:szCs w:val="20"/>
              </w:rPr>
              <w:t>the  AD</w:t>
            </w:r>
            <w:proofErr w:type="gramEnd"/>
            <w:r w:rsidRPr="009E185A">
              <w:rPr>
                <w:rFonts w:ascii="Open Sans" w:hAnsi="Open Sans" w:cs="Open Sans"/>
                <w:sz w:val="20"/>
                <w:szCs w:val="20"/>
              </w:rPr>
              <w:t xml:space="preserve"> Technology provider.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Ofgem generally accept evidence from any 3</w:t>
            </w:r>
            <w:r w:rsidRPr="009E185A">
              <w:rPr>
                <w:rFonts w:ascii="Open Sans" w:hAnsi="Open Sans" w:cs="Open Sans"/>
                <w:sz w:val="20"/>
                <w:szCs w:val="20"/>
                <w:vertAlign w:val="superscript"/>
              </w:rPr>
              <w:t xml:space="preserve">rd </w:t>
            </w:r>
            <w:r w:rsidRPr="009E185A">
              <w:rPr>
                <w:rFonts w:ascii="Open Sans" w:hAnsi="Open Sans" w:cs="Open Sans"/>
                <w:sz w:val="20"/>
                <w:szCs w:val="20"/>
              </w:rPr>
              <w:t xml:space="preserve">party that is “competent” in supplying </w:t>
            </w:r>
            <w:proofErr w:type="spellStart"/>
            <w:r w:rsidRPr="009E185A">
              <w:rPr>
                <w:rFonts w:ascii="Open Sans" w:hAnsi="Open Sans" w:cs="Open Sans"/>
                <w:sz w:val="20"/>
                <w:szCs w:val="20"/>
              </w:rPr>
              <w:t>ie</w:t>
            </w:r>
            <w:proofErr w:type="spellEnd"/>
            <w:r w:rsidRPr="009E185A">
              <w:rPr>
                <w:rFonts w:ascii="Open Sans" w:hAnsi="Open Sans" w:cs="Open Sans"/>
                <w:sz w:val="20"/>
                <w:szCs w:val="20"/>
              </w:rPr>
              <w:t xml:space="preserve"> from relevant industry </w:t>
            </w:r>
          </w:p>
        </w:tc>
        <w:tc>
          <w:tcPr>
            <w:tcW w:w="1988"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 xml:space="preserve">This is not a legal requirement, but rather what has been followed by industry in the absence of more specific standards or guidance, or a legal requirement.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Notwithstanding that, it must satisfy H&amp;S for safe </w:t>
            </w:r>
            <w:r w:rsidRPr="009E185A">
              <w:rPr>
                <w:rFonts w:ascii="Open Sans" w:hAnsi="Open Sans" w:cs="Open Sans"/>
                <w:sz w:val="20"/>
                <w:szCs w:val="20"/>
              </w:rPr>
              <w:lastRenderedPageBreak/>
              <w:t xml:space="preserve">operation and, if the plant is an installation, it will have to follow BAT under environmental control.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This evidence will show partial completion of the tank ready for use with biogas. This among other evidence Ofgem request has come about due to the lack of industry standards for the commissioning of a biogas production plant. </w:t>
            </w:r>
          </w:p>
        </w:tc>
        <w:tc>
          <w:tcPr>
            <w:tcW w:w="2479"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 xml:space="preserve">This is sometimes referred to as mechanical test or cold commissioning.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It ensures that all equipment is fitted and connected correctly within the facility.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This is also sometimes referred to as wet commissioning of process line, which can </w:t>
            </w:r>
            <w:r w:rsidRPr="009E185A">
              <w:rPr>
                <w:rFonts w:ascii="Open Sans" w:hAnsi="Open Sans" w:cs="Open Sans"/>
                <w:sz w:val="20"/>
                <w:szCs w:val="20"/>
              </w:rPr>
              <w:lastRenderedPageBreak/>
              <w:t xml:space="preserve">be signed off by the supplier of process equipment.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This would be a physical inspection followed by inspection protocol when filling the tank. </w:t>
            </w:r>
          </w:p>
        </w:tc>
        <w:tc>
          <w:tcPr>
            <w:tcW w:w="2257"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 xml:space="preserve">Mechanical tests / cold commissioning would be sufficient to meet the legal definition of commissioning (as per regulation 2 of the RHI regulations </w:t>
            </w:r>
            <w:proofErr w:type="spellStart"/>
            <w:r w:rsidRPr="009E185A">
              <w:rPr>
                <w:rFonts w:ascii="Open Sans" w:hAnsi="Open Sans" w:cs="Open Sans"/>
                <w:sz w:val="20"/>
                <w:szCs w:val="20"/>
              </w:rPr>
              <w:t>ie</w:t>
            </w:r>
            <w:proofErr w:type="spellEnd"/>
            <w:r w:rsidRPr="009E185A">
              <w:rPr>
                <w:rFonts w:ascii="Open Sans" w:hAnsi="Open Sans" w:cs="Open Sans"/>
                <w:sz w:val="20"/>
                <w:szCs w:val="20"/>
              </w:rPr>
              <w:t xml:space="preserve"> to demonstrate </w:t>
            </w:r>
            <w:r w:rsidRPr="009E185A">
              <w:rPr>
                <w:rFonts w:ascii="Open Sans" w:hAnsi="Open Sans" w:cs="Open Sans"/>
                <w:sz w:val="20"/>
                <w:szCs w:val="20"/>
                <w:u w:val="single"/>
              </w:rPr>
              <w:t>capability</w:t>
            </w:r>
            <w:r w:rsidRPr="009E185A">
              <w:rPr>
                <w:rFonts w:ascii="Open Sans" w:hAnsi="Open Sans" w:cs="Open Sans"/>
                <w:sz w:val="20"/>
                <w:szCs w:val="20"/>
              </w:rPr>
              <w:t xml:space="preserve"> to operate the biogas production plant </w:t>
            </w:r>
            <w:r w:rsidRPr="009E185A">
              <w:rPr>
                <w:rFonts w:ascii="Open Sans" w:hAnsi="Open Sans" w:cs="Open Sans"/>
                <w:sz w:val="20"/>
                <w:szCs w:val="20"/>
              </w:rPr>
              <w:lastRenderedPageBreak/>
              <w:t xml:space="preserve">(BPP).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A member said the mechanical test will be needed to achieve the sign off of the certificate from the AD technology supplier or the tank erector verifying the test and outcome. </w:t>
            </w:r>
          </w:p>
          <w:p w:rsidR="00D229D6" w:rsidRPr="009E185A" w:rsidRDefault="00D229D6" w:rsidP="008126EC">
            <w:pPr>
              <w:spacing w:before="120" w:after="120"/>
              <w:jc w:val="left"/>
              <w:rPr>
                <w:rFonts w:ascii="Open Sans" w:hAnsi="Open Sans" w:cs="Open Sans"/>
                <w:sz w:val="20"/>
                <w:szCs w:val="20"/>
              </w:rPr>
            </w:pPr>
            <w:r w:rsidRPr="009E185A">
              <w:rPr>
                <w:rFonts w:ascii="Open Sans" w:hAnsi="Open Sans" w:cs="Open Sans"/>
                <w:sz w:val="20"/>
                <w:szCs w:val="20"/>
              </w:rPr>
              <w:t xml:space="preserve">Another member also said that this would enable the completion of the cold procedure and mechanical on heating systems and diaphram roof. </w:t>
            </w:r>
          </w:p>
        </w:tc>
      </w:tr>
      <w:tr w:rsidR="00D229D6" w:rsidRPr="009E185A" w:rsidTr="0071483F">
        <w:trPr>
          <w:trHeight w:val="1487"/>
        </w:trPr>
        <w:tc>
          <w:tcPr>
            <w:tcW w:w="1327" w:type="dxa"/>
            <w:vMerge/>
          </w:tcPr>
          <w:p w:rsidR="00D229D6" w:rsidRPr="009E185A" w:rsidRDefault="00D229D6" w:rsidP="00D229D6">
            <w:pPr>
              <w:spacing w:before="120" w:after="120"/>
              <w:rPr>
                <w:rFonts w:ascii="Open Sans" w:hAnsi="Open Sans" w:cs="Open Sans"/>
                <w:sz w:val="20"/>
                <w:szCs w:val="20"/>
              </w:rPr>
            </w:pPr>
          </w:p>
        </w:tc>
        <w:tc>
          <w:tcPr>
            <w:tcW w:w="2228" w:type="dxa"/>
          </w:tcPr>
          <w:p w:rsidR="00D229D6" w:rsidRPr="009E185A" w:rsidRDefault="00D229D6" w:rsidP="00F635FD">
            <w:pPr>
              <w:spacing w:before="120" w:after="120"/>
              <w:jc w:val="left"/>
              <w:rPr>
                <w:rFonts w:ascii="Open Sans" w:hAnsi="Open Sans" w:cs="Open Sans"/>
                <w:sz w:val="20"/>
                <w:szCs w:val="20"/>
              </w:rPr>
            </w:pPr>
            <w:r w:rsidRPr="00162669">
              <w:rPr>
                <w:rFonts w:ascii="Open Sans" w:hAnsi="Open Sans" w:cs="Open Sans"/>
                <w:sz w:val="20"/>
                <w:szCs w:val="20"/>
              </w:rPr>
              <w:t xml:space="preserve">Hot </w:t>
            </w:r>
            <w:r w:rsidRPr="009E185A">
              <w:rPr>
                <w:rFonts w:ascii="Open Sans" w:hAnsi="Open Sans" w:cs="Open Sans"/>
                <w:sz w:val="20"/>
                <w:szCs w:val="20"/>
              </w:rPr>
              <w:t xml:space="preserve">commissioning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Following completion of all relevant mechanical tests/cold commissioning, seeding and time would normally be needed to achieve a meaningful production of biogas and full operation (see below, the so </w:t>
            </w:r>
            <w:r w:rsidRPr="009E185A">
              <w:rPr>
                <w:rFonts w:ascii="Open Sans" w:hAnsi="Open Sans" w:cs="Open Sans"/>
                <w:sz w:val="20"/>
                <w:szCs w:val="20"/>
              </w:rPr>
              <w:lastRenderedPageBreak/>
              <w:t xml:space="preserve">called </w:t>
            </w:r>
            <w:r w:rsidRPr="00162669">
              <w:rPr>
                <w:rFonts w:ascii="Open Sans" w:hAnsi="Open Sans" w:cs="Open Sans"/>
                <w:sz w:val="20"/>
                <w:szCs w:val="20"/>
              </w:rPr>
              <w:t xml:space="preserve">Hot </w:t>
            </w:r>
            <w:r w:rsidRPr="009E185A">
              <w:rPr>
                <w:rFonts w:ascii="Open Sans" w:hAnsi="Open Sans" w:cs="Open Sans"/>
                <w:sz w:val="20"/>
                <w:szCs w:val="20"/>
              </w:rPr>
              <w:t xml:space="preserve">commissioning).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However, this is seen by some as not essential to meet the legal definition of commissioning in the RHI, which only requires demonstrating </w:t>
            </w:r>
            <w:r w:rsidRPr="00162669">
              <w:rPr>
                <w:rFonts w:ascii="Open Sans" w:hAnsi="Open Sans" w:cs="Open Sans"/>
                <w:sz w:val="20"/>
                <w:szCs w:val="20"/>
              </w:rPr>
              <w:t>capability</w:t>
            </w:r>
            <w:r w:rsidRPr="009E185A">
              <w:rPr>
                <w:rFonts w:ascii="Open Sans" w:hAnsi="Open Sans" w:cs="Open Sans"/>
                <w:sz w:val="20"/>
                <w:szCs w:val="20"/>
              </w:rPr>
              <w:t xml:space="preserve">.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Some members have started the seeding of the appropriate tank before applying for RHI TG3 stage. This would have enabled them to start producing very limited biogas on site, its upgrade and first injection of biomethane into the grid.  </w:t>
            </w:r>
          </w:p>
          <w:p w:rsidR="00D229D6"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Anything beyond the above - performance testing/optimisation and contractual arrangements to do with final takeover should definitely not </w:t>
            </w:r>
            <w:r w:rsidRPr="009E185A">
              <w:rPr>
                <w:rFonts w:ascii="Open Sans" w:hAnsi="Open Sans" w:cs="Open Sans"/>
                <w:sz w:val="20"/>
                <w:szCs w:val="20"/>
              </w:rPr>
              <w:lastRenderedPageBreak/>
              <w:t xml:space="preserve">be required to demonstrated that the plant is </w:t>
            </w:r>
            <w:r w:rsidRPr="00162669">
              <w:rPr>
                <w:rFonts w:ascii="Open Sans" w:hAnsi="Open Sans" w:cs="Open Sans"/>
                <w:sz w:val="20"/>
                <w:szCs w:val="20"/>
              </w:rPr>
              <w:t>capable</w:t>
            </w:r>
            <w:r w:rsidRPr="009E185A">
              <w:rPr>
                <w:rFonts w:ascii="Open Sans" w:hAnsi="Open Sans" w:cs="Open Sans"/>
                <w:sz w:val="20"/>
                <w:szCs w:val="20"/>
              </w:rPr>
              <w:t xml:space="preserve"> of commissioning (</w:t>
            </w:r>
            <w:proofErr w:type="spellStart"/>
            <w:r w:rsidRPr="009E185A">
              <w:rPr>
                <w:rFonts w:ascii="Open Sans" w:hAnsi="Open Sans" w:cs="Open Sans"/>
                <w:sz w:val="20"/>
                <w:szCs w:val="20"/>
              </w:rPr>
              <w:t>ie</w:t>
            </w:r>
            <w:proofErr w:type="spellEnd"/>
            <w:r w:rsidRPr="009E185A">
              <w:rPr>
                <w:rFonts w:ascii="Open Sans" w:hAnsi="Open Sans" w:cs="Open Sans"/>
                <w:sz w:val="20"/>
                <w:szCs w:val="20"/>
              </w:rPr>
              <w:t xml:space="preserve"> that the digester have been built and tested). </w:t>
            </w:r>
          </w:p>
          <w:p w:rsidR="00C0011F" w:rsidRPr="00162669" w:rsidRDefault="00C0011F" w:rsidP="00162669">
            <w:pPr>
              <w:tabs>
                <w:tab w:val="left" w:pos="0"/>
              </w:tabs>
              <w:spacing w:before="120" w:after="120"/>
              <w:jc w:val="left"/>
              <w:rPr>
                <w:rFonts w:ascii="Open Sans" w:hAnsi="Open Sans" w:cs="Open Sans"/>
                <w:sz w:val="20"/>
                <w:szCs w:val="20"/>
              </w:rPr>
            </w:pPr>
            <w:r w:rsidRPr="00162669">
              <w:rPr>
                <w:rFonts w:ascii="Open Sans" w:hAnsi="Open Sans" w:cs="Open Sans"/>
                <w:sz w:val="20"/>
                <w:szCs w:val="20"/>
              </w:rPr>
              <w:t xml:space="preserve">As we have previously discussed, ramp up of a plant to its full biomethane injection rate is a long process (as acknowledged by </w:t>
            </w:r>
            <w:proofErr w:type="spellStart"/>
            <w:r w:rsidRPr="00162669">
              <w:rPr>
                <w:rFonts w:ascii="Open Sans" w:hAnsi="Open Sans" w:cs="Open Sans"/>
                <w:sz w:val="20"/>
                <w:szCs w:val="20"/>
              </w:rPr>
              <w:t>Ofgem</w:t>
            </w:r>
            <w:proofErr w:type="spellEnd"/>
            <w:r w:rsidRPr="00162669">
              <w:rPr>
                <w:rFonts w:ascii="Open Sans" w:hAnsi="Open Sans" w:cs="Open Sans"/>
                <w:sz w:val="20"/>
                <w:szCs w:val="20"/>
              </w:rPr>
              <w:t>)</w:t>
            </w:r>
            <w:r w:rsidR="00162669">
              <w:rPr>
                <w:rFonts w:ascii="Open Sans" w:hAnsi="Open Sans" w:cs="Open Sans"/>
                <w:sz w:val="20"/>
                <w:szCs w:val="20"/>
              </w:rPr>
              <w:t>. T</w:t>
            </w:r>
            <w:r w:rsidRPr="00162669">
              <w:rPr>
                <w:rFonts w:ascii="Open Sans" w:hAnsi="Open Sans" w:cs="Open Sans"/>
                <w:sz w:val="20"/>
                <w:szCs w:val="20"/>
              </w:rPr>
              <w:t xml:space="preserve">his is primarily a result of biogas production levels and the need to increase feedstock to the plant, not a limitation of the biomethane production equipment. </w:t>
            </w:r>
          </w:p>
          <w:p w:rsidR="00C0011F" w:rsidRPr="009E185A" w:rsidRDefault="00C0011F" w:rsidP="00F635FD">
            <w:pPr>
              <w:spacing w:before="120" w:after="120"/>
              <w:jc w:val="left"/>
              <w:rPr>
                <w:rFonts w:ascii="Open Sans" w:hAnsi="Open Sans" w:cs="Open Sans"/>
                <w:sz w:val="20"/>
                <w:szCs w:val="20"/>
              </w:rPr>
            </w:pPr>
          </w:p>
        </w:tc>
        <w:tc>
          <w:tcPr>
            <w:tcW w:w="2177" w:type="dxa"/>
          </w:tcPr>
          <w:p w:rsidR="00D229D6"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Fee</w:t>
            </w:r>
            <w:r w:rsidR="001159D1" w:rsidRPr="009E185A">
              <w:rPr>
                <w:rFonts w:ascii="Open Sans" w:hAnsi="Open Sans" w:cs="Open Sans"/>
                <w:sz w:val="20"/>
                <w:szCs w:val="20"/>
              </w:rPr>
              <w:t xml:space="preserve">dback from some members is that in many circumstances </w:t>
            </w:r>
            <w:r w:rsidRPr="009E185A">
              <w:rPr>
                <w:rFonts w:ascii="Open Sans" w:hAnsi="Open Sans" w:cs="Open Sans"/>
                <w:sz w:val="20"/>
                <w:szCs w:val="20"/>
              </w:rPr>
              <w:t xml:space="preserve">Ofgem has not requested any evidence for seeding of tank in previous applications (e.g. for biogas heat applications). </w:t>
            </w:r>
          </w:p>
          <w:p w:rsidR="00B27159" w:rsidRPr="00162669" w:rsidRDefault="00B27159" w:rsidP="00162669">
            <w:pPr>
              <w:pStyle w:val="CommentText"/>
              <w:jc w:val="left"/>
              <w:rPr>
                <w:rFonts w:ascii="Open Sans" w:hAnsi="Open Sans" w:cs="Open Sans"/>
              </w:rPr>
            </w:pPr>
            <w:r w:rsidRPr="00162669">
              <w:rPr>
                <w:rFonts w:ascii="Open Sans" w:hAnsi="Open Sans" w:cs="Open Sans"/>
              </w:rPr>
              <w:t xml:space="preserve">In circumstances where evidence of seeding has been </w:t>
            </w:r>
            <w:r w:rsidRPr="00162669">
              <w:rPr>
                <w:rFonts w:ascii="Open Sans" w:hAnsi="Open Sans" w:cs="Open Sans"/>
              </w:rPr>
              <w:lastRenderedPageBreak/>
              <w:t xml:space="preserve">asked for </w:t>
            </w:r>
            <w:r w:rsidR="00162669">
              <w:rPr>
                <w:rFonts w:ascii="Open Sans" w:hAnsi="Open Sans" w:cs="Open Sans"/>
              </w:rPr>
              <w:t>a</w:t>
            </w:r>
            <w:r w:rsidRPr="00162669">
              <w:rPr>
                <w:rFonts w:ascii="Open Sans" w:hAnsi="Open Sans" w:cs="Open Sans"/>
              </w:rPr>
              <w:t xml:space="preserve"> delivery invoice for the seed material satisfied </w:t>
            </w:r>
            <w:proofErr w:type="spellStart"/>
            <w:r w:rsidRPr="00162669">
              <w:rPr>
                <w:rFonts w:ascii="Open Sans" w:hAnsi="Open Sans" w:cs="Open Sans"/>
              </w:rPr>
              <w:t>Ofgem</w:t>
            </w:r>
            <w:proofErr w:type="spellEnd"/>
            <w:r w:rsidRPr="00162669">
              <w:rPr>
                <w:rFonts w:ascii="Open Sans" w:hAnsi="Open Sans" w:cs="Open Sans"/>
              </w:rPr>
              <w:t>.</w:t>
            </w:r>
          </w:p>
          <w:p w:rsidR="00D229D6" w:rsidRPr="009E185A" w:rsidRDefault="00D229D6" w:rsidP="00F635FD">
            <w:pPr>
              <w:spacing w:before="120" w:after="120"/>
              <w:ind w:left="34"/>
              <w:jc w:val="left"/>
              <w:rPr>
                <w:rFonts w:ascii="Open Sans" w:hAnsi="Open Sans" w:cs="Open Sans"/>
                <w:sz w:val="20"/>
                <w:szCs w:val="20"/>
              </w:rPr>
            </w:pPr>
            <w:r w:rsidRPr="009E185A">
              <w:rPr>
                <w:rFonts w:ascii="Open Sans" w:hAnsi="Open Sans" w:cs="Open Sans"/>
                <w:sz w:val="20"/>
                <w:szCs w:val="20"/>
              </w:rPr>
              <w:t xml:space="preserve">Some operators have started seeding the appropriate tank. This entails filing the relevant process vessel with the seeding material to inoculate the system with anaerobic bacteria and heating the inoculum to the appropriate temperature. </w:t>
            </w:r>
            <w:r w:rsidR="001159D1" w:rsidRPr="009E185A">
              <w:rPr>
                <w:rFonts w:ascii="Open Sans" w:hAnsi="Open Sans" w:cs="Open Sans"/>
                <w:sz w:val="20"/>
                <w:szCs w:val="20"/>
              </w:rPr>
              <w:t xml:space="preserve">In some cases warming may not be needed if, for example, the seeding material is warm digester. </w:t>
            </w:r>
            <w:r w:rsidRPr="009E185A">
              <w:rPr>
                <w:rFonts w:ascii="Open Sans" w:hAnsi="Open Sans" w:cs="Open Sans"/>
                <w:sz w:val="20"/>
                <w:szCs w:val="20"/>
              </w:rPr>
              <w:t xml:space="preserve"> </w:t>
            </w:r>
          </w:p>
          <w:p w:rsidR="00D229D6" w:rsidRPr="009E185A" w:rsidRDefault="00D229D6" w:rsidP="00F635FD">
            <w:pPr>
              <w:spacing w:before="120" w:after="120"/>
              <w:ind w:left="34"/>
              <w:jc w:val="left"/>
              <w:rPr>
                <w:rFonts w:ascii="Open Sans" w:hAnsi="Open Sans" w:cs="Open Sans"/>
                <w:sz w:val="20"/>
                <w:szCs w:val="20"/>
              </w:rPr>
            </w:pPr>
            <w:r w:rsidRPr="009E185A">
              <w:rPr>
                <w:rFonts w:ascii="Open Sans" w:hAnsi="Open Sans" w:cs="Open Sans"/>
                <w:sz w:val="20"/>
                <w:szCs w:val="20"/>
              </w:rPr>
              <w:t xml:space="preserve">However, seeding a tank would precede by some weeks the ability to produce meaningful quantities of biogas. </w:t>
            </w:r>
          </w:p>
          <w:p w:rsidR="00D229D6" w:rsidRPr="009E185A" w:rsidRDefault="00D229D6" w:rsidP="00F635FD">
            <w:pPr>
              <w:spacing w:before="120" w:after="120"/>
              <w:ind w:left="34"/>
              <w:jc w:val="left"/>
              <w:rPr>
                <w:rFonts w:ascii="Open Sans" w:hAnsi="Open Sans" w:cs="Open Sans"/>
                <w:sz w:val="20"/>
                <w:szCs w:val="20"/>
              </w:rPr>
            </w:pPr>
            <w:r w:rsidRPr="009E185A">
              <w:rPr>
                <w:rFonts w:ascii="Open Sans" w:hAnsi="Open Sans" w:cs="Open Sans"/>
                <w:sz w:val="20"/>
                <w:szCs w:val="20"/>
              </w:rPr>
              <w:t xml:space="preserve">Examples of </w:t>
            </w:r>
            <w:r w:rsidRPr="009E185A">
              <w:rPr>
                <w:rFonts w:ascii="Open Sans" w:hAnsi="Open Sans" w:cs="Open Sans"/>
                <w:sz w:val="20"/>
                <w:szCs w:val="20"/>
              </w:rPr>
              <w:lastRenderedPageBreak/>
              <w:t>evidence provided in the past by different members are:</w:t>
            </w:r>
          </w:p>
          <w:p w:rsidR="00D229D6" w:rsidRPr="009E185A" w:rsidRDefault="00D229D6" w:rsidP="00F635FD">
            <w:pPr>
              <w:spacing w:before="120" w:after="120"/>
              <w:ind w:left="34"/>
              <w:jc w:val="left"/>
              <w:rPr>
                <w:rFonts w:ascii="Open Sans" w:hAnsi="Open Sans" w:cs="Open Sans"/>
                <w:sz w:val="20"/>
                <w:szCs w:val="20"/>
              </w:rPr>
            </w:pPr>
            <w:r w:rsidRPr="009E185A">
              <w:rPr>
                <w:rFonts w:ascii="Open Sans" w:hAnsi="Open Sans" w:cs="Open Sans"/>
                <w:sz w:val="20"/>
                <w:szCs w:val="20"/>
              </w:rPr>
              <w:t xml:space="preserve">The operator log </w:t>
            </w:r>
            <w:r w:rsidR="00FF4F18">
              <w:rPr>
                <w:rFonts w:ascii="Open Sans" w:hAnsi="Open Sans" w:cs="Open Sans"/>
                <w:sz w:val="20"/>
                <w:szCs w:val="20"/>
              </w:rPr>
              <w:t>book for the feeding quantities.</w:t>
            </w:r>
          </w:p>
          <w:p w:rsidR="001D3A7B" w:rsidRDefault="001D3A7B" w:rsidP="00F635FD">
            <w:pPr>
              <w:spacing w:before="120" w:after="120"/>
              <w:ind w:left="34"/>
              <w:jc w:val="left"/>
              <w:rPr>
                <w:rFonts w:ascii="Open Sans" w:hAnsi="Open Sans" w:cs="Open Sans"/>
                <w:sz w:val="20"/>
                <w:szCs w:val="20"/>
              </w:rPr>
            </w:pPr>
            <w:r>
              <w:rPr>
                <w:rFonts w:ascii="Open Sans" w:hAnsi="Open Sans" w:cs="Open Sans"/>
                <w:sz w:val="20"/>
                <w:szCs w:val="20"/>
              </w:rPr>
              <w:t>CHP G99 Certification to confirm grid connection.</w:t>
            </w:r>
          </w:p>
          <w:p w:rsidR="00D229D6" w:rsidRPr="009E185A" w:rsidRDefault="00D229D6" w:rsidP="00F635FD">
            <w:pPr>
              <w:spacing w:before="120" w:after="120"/>
              <w:ind w:left="34"/>
              <w:jc w:val="left"/>
              <w:rPr>
                <w:rFonts w:ascii="Open Sans" w:hAnsi="Open Sans" w:cs="Open Sans"/>
                <w:sz w:val="20"/>
                <w:szCs w:val="20"/>
              </w:rPr>
            </w:pPr>
            <w:r w:rsidRPr="009E185A">
              <w:rPr>
                <w:rFonts w:ascii="Open Sans" w:hAnsi="Open Sans" w:cs="Open Sans"/>
                <w:sz w:val="20"/>
                <w:szCs w:val="20"/>
              </w:rPr>
              <w:t xml:space="preserve">CHP engine operating hours for the usage of the biogas. </w:t>
            </w:r>
          </w:p>
          <w:p w:rsidR="00D229D6" w:rsidRPr="009E185A" w:rsidRDefault="00D229D6" w:rsidP="00F635FD">
            <w:pPr>
              <w:spacing w:before="120" w:after="120"/>
              <w:ind w:left="34"/>
              <w:jc w:val="left"/>
              <w:rPr>
                <w:rFonts w:ascii="Open Sans" w:hAnsi="Open Sans" w:cs="Open Sans"/>
                <w:sz w:val="20"/>
                <w:szCs w:val="20"/>
              </w:rPr>
            </w:pPr>
            <w:r w:rsidRPr="009E185A">
              <w:rPr>
                <w:rFonts w:ascii="Open Sans" w:hAnsi="Open Sans" w:cs="Open Sans"/>
                <w:sz w:val="20"/>
                <w:szCs w:val="20"/>
              </w:rPr>
              <w:t xml:space="preserve">For plants processing animal by-products, the ability of the relevant tank to reach temperature could also be provided. Also, when required by the site’s environmental authorisation: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Environmental risk assessment</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HAZOP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Emergency plans</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DSEAR/</w:t>
            </w:r>
            <w:proofErr w:type="spellStart"/>
            <w:r w:rsidRPr="009E185A">
              <w:rPr>
                <w:rFonts w:ascii="Open Sans" w:hAnsi="Open Sans" w:cs="Open Sans"/>
                <w:sz w:val="20"/>
                <w:szCs w:val="20"/>
              </w:rPr>
              <w:t>Atex</w:t>
            </w:r>
            <w:proofErr w:type="spellEnd"/>
            <w:r w:rsidRPr="009E185A">
              <w:rPr>
                <w:rFonts w:ascii="Open Sans" w:hAnsi="Open Sans" w:cs="Open Sans"/>
                <w:sz w:val="20"/>
                <w:szCs w:val="20"/>
              </w:rPr>
              <w:t xml:space="preserve"> plan</w:t>
            </w:r>
          </w:p>
          <w:p w:rsidR="00D229D6" w:rsidRPr="009E185A" w:rsidRDefault="00D229D6" w:rsidP="00F635FD">
            <w:pPr>
              <w:spacing w:before="120" w:after="120"/>
              <w:ind w:left="34"/>
              <w:jc w:val="left"/>
              <w:rPr>
                <w:rFonts w:ascii="Open Sans" w:hAnsi="Open Sans" w:cs="Open Sans"/>
                <w:sz w:val="20"/>
                <w:szCs w:val="20"/>
              </w:rPr>
            </w:pPr>
            <w:r w:rsidRPr="009E185A">
              <w:rPr>
                <w:rFonts w:ascii="Open Sans" w:hAnsi="Open Sans" w:cs="Open Sans"/>
                <w:sz w:val="20"/>
                <w:szCs w:val="20"/>
              </w:rPr>
              <w:t>Testing protocols to monitor quality of biogas</w:t>
            </w:r>
          </w:p>
        </w:tc>
        <w:tc>
          <w:tcPr>
            <w:tcW w:w="1861"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 xml:space="preserve">Seeding is usually organised and completed by the owner/operator, often in conjunction with the AD technology supplier.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Some may seed the plant from other owned plants.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 xml:space="preserve">For plants taking animal by-products, SCADA system for temperature (in relation to the relevant tank) - a screen shot should suffice.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Confirmation of pasteurisation would be part of this.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Sign off of process kit above should satisfy ability to feed.</w:t>
            </w:r>
          </w:p>
          <w:p w:rsidR="00D229D6" w:rsidRPr="009E185A" w:rsidRDefault="00D229D6" w:rsidP="00F635FD">
            <w:pPr>
              <w:spacing w:before="120" w:after="120"/>
              <w:jc w:val="left"/>
              <w:rPr>
                <w:rFonts w:ascii="Open Sans" w:hAnsi="Open Sans" w:cs="Open Sans"/>
                <w:sz w:val="20"/>
                <w:szCs w:val="20"/>
              </w:rPr>
            </w:pPr>
          </w:p>
        </w:tc>
        <w:tc>
          <w:tcPr>
            <w:tcW w:w="1988"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 xml:space="preserve">This is not a legal requirement.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Note that seeding of the tank will not be started unless the operator is confident that the tank has been completed to a standard where it is now ready to begin producing biogas, therefore </w:t>
            </w:r>
            <w:r w:rsidRPr="009E185A">
              <w:rPr>
                <w:rFonts w:ascii="Open Sans" w:hAnsi="Open Sans" w:cs="Open Sans"/>
                <w:sz w:val="20"/>
                <w:szCs w:val="20"/>
              </w:rPr>
              <w:lastRenderedPageBreak/>
              <w:t>is capable of operating (</w:t>
            </w:r>
            <w:proofErr w:type="spellStart"/>
            <w:r w:rsidRPr="009E185A">
              <w:rPr>
                <w:rFonts w:ascii="Open Sans" w:hAnsi="Open Sans" w:cs="Open Sans"/>
                <w:sz w:val="20"/>
                <w:szCs w:val="20"/>
              </w:rPr>
              <w:t>ie</w:t>
            </w:r>
            <w:proofErr w:type="spellEnd"/>
            <w:r w:rsidRPr="009E185A">
              <w:rPr>
                <w:rFonts w:ascii="Open Sans" w:hAnsi="Open Sans" w:cs="Open Sans"/>
                <w:sz w:val="20"/>
                <w:szCs w:val="20"/>
              </w:rPr>
              <w:t xml:space="preserve"> producing biogas).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If this is an installation, it will have to follow BAT under environmental control in order to have an environmental permit or relevant authorisation </w:t>
            </w:r>
          </w:p>
        </w:tc>
        <w:tc>
          <w:tcPr>
            <w:tcW w:w="2479" w:type="dxa"/>
          </w:tcPr>
          <w:p w:rsidR="00CF76B3" w:rsidRPr="009E185A" w:rsidRDefault="00CF76B3" w:rsidP="00CF76B3">
            <w:pPr>
              <w:spacing w:before="120" w:after="120"/>
              <w:jc w:val="left"/>
              <w:rPr>
                <w:rFonts w:ascii="Open Sans" w:hAnsi="Open Sans" w:cs="Open Sans"/>
                <w:sz w:val="20"/>
                <w:szCs w:val="20"/>
              </w:rPr>
            </w:pPr>
            <w:r w:rsidRPr="009E185A">
              <w:rPr>
                <w:rFonts w:ascii="Open Sans" w:hAnsi="Open Sans" w:cs="Open Sans"/>
                <w:sz w:val="20"/>
                <w:szCs w:val="20"/>
              </w:rPr>
              <w:lastRenderedPageBreak/>
              <w:t xml:space="preserve">This is sometimes referred to </w:t>
            </w:r>
            <w:r w:rsidRPr="009E185A">
              <w:rPr>
                <w:rFonts w:ascii="Open Sans" w:hAnsi="Open Sans" w:cs="Open Sans"/>
                <w:i/>
                <w:sz w:val="20"/>
                <w:szCs w:val="20"/>
              </w:rPr>
              <w:t>hot</w:t>
            </w:r>
            <w:r w:rsidRPr="009E185A">
              <w:rPr>
                <w:rFonts w:ascii="Open Sans" w:hAnsi="Open Sans" w:cs="Open Sans"/>
                <w:sz w:val="20"/>
                <w:szCs w:val="20"/>
              </w:rPr>
              <w:t xml:space="preserve"> commissioning </w:t>
            </w: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tc>
        <w:tc>
          <w:tcPr>
            <w:tcW w:w="2257"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The tank should not need to have begun seeding in order to be considered commissioned. Seeding commences</w:t>
            </w:r>
            <w:r w:rsidR="00FF4F18">
              <w:rPr>
                <w:rFonts w:ascii="Open Sans" w:hAnsi="Open Sans" w:cs="Open Sans"/>
                <w:sz w:val="20"/>
                <w:szCs w:val="20"/>
              </w:rPr>
              <w:t xml:space="preserve"> as the tank is ready to begin </w:t>
            </w:r>
            <w:r w:rsidRPr="009E185A">
              <w:rPr>
                <w:rFonts w:ascii="Open Sans" w:hAnsi="Open Sans" w:cs="Open Sans"/>
                <w:sz w:val="20"/>
                <w:szCs w:val="20"/>
              </w:rPr>
              <w:t xml:space="preserve">operation. A tank may have sat idle for days or even weeks while awaiting suitable seeding material this does not however mean it has </w:t>
            </w:r>
            <w:r w:rsidRPr="009E185A">
              <w:rPr>
                <w:rFonts w:ascii="Open Sans" w:hAnsi="Open Sans" w:cs="Open Sans"/>
                <w:sz w:val="20"/>
                <w:szCs w:val="20"/>
              </w:rPr>
              <w:lastRenderedPageBreak/>
              <w:t xml:space="preserve">not been capable of accepting seeding material or even producing biogas.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If a tank is airtight and its mechanics work, that is all that is required to produce biogas and should suffice.</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Commissioning as per the legal definition above occurs before seeding. If a tank is ready to be filled with seeding material in order to begin the process of production clearly it is “capable of operating” in line with Ofgem’s definition of commissioning.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For example, for reasons beyond the operator’s control, the seed could fail. This isn’t proof of a plants inability to produce gas.</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 xml:space="preserve">Seeding is the beginning of operation and some operators may have decided to start it to show that commissioning has been completed.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Sign off certificates. </w:t>
            </w:r>
          </w:p>
          <w:p w:rsidR="00D229D6" w:rsidRPr="009E185A" w:rsidRDefault="00D229D6" w:rsidP="00F635FD">
            <w:pPr>
              <w:spacing w:before="120" w:after="120"/>
              <w:jc w:val="left"/>
              <w:rPr>
                <w:rFonts w:ascii="Open Sans" w:hAnsi="Open Sans" w:cs="Open Sans"/>
                <w:sz w:val="20"/>
                <w:szCs w:val="20"/>
              </w:rPr>
            </w:pPr>
          </w:p>
        </w:tc>
      </w:tr>
      <w:tr w:rsidR="00D229D6" w:rsidRPr="009E185A" w:rsidTr="00C87260">
        <w:trPr>
          <w:trHeight w:val="416"/>
        </w:trPr>
        <w:tc>
          <w:tcPr>
            <w:tcW w:w="1327" w:type="dxa"/>
          </w:tcPr>
          <w:p w:rsidR="00D229D6" w:rsidRPr="009E185A" w:rsidRDefault="00D229D6" w:rsidP="00D229D6">
            <w:pPr>
              <w:spacing w:before="120" w:after="120"/>
              <w:rPr>
                <w:rFonts w:ascii="Open Sans" w:hAnsi="Open Sans" w:cs="Open Sans"/>
                <w:sz w:val="20"/>
                <w:szCs w:val="20"/>
              </w:rPr>
            </w:pPr>
            <w:r w:rsidRPr="009E185A">
              <w:rPr>
                <w:rFonts w:ascii="Open Sans" w:hAnsi="Open Sans" w:cs="Open Sans"/>
                <w:sz w:val="20"/>
                <w:szCs w:val="20"/>
              </w:rPr>
              <w:lastRenderedPageBreak/>
              <w:t xml:space="preserve">Biogas upgrader (Ofgem states this should include the </w:t>
            </w:r>
          </w:p>
          <w:p w:rsidR="00D229D6" w:rsidRPr="009E185A" w:rsidRDefault="00D229D6" w:rsidP="00CF76B3">
            <w:pPr>
              <w:spacing w:before="120" w:after="120"/>
              <w:jc w:val="left"/>
              <w:rPr>
                <w:rFonts w:ascii="Open Sans" w:hAnsi="Open Sans" w:cs="Open Sans"/>
                <w:sz w:val="20"/>
                <w:szCs w:val="20"/>
              </w:rPr>
            </w:pPr>
          </w:p>
          <w:p w:rsidR="00D229D6" w:rsidRPr="009E185A" w:rsidRDefault="00D229D6" w:rsidP="00CF76B3">
            <w:pPr>
              <w:spacing w:before="120" w:after="120"/>
              <w:jc w:val="left"/>
              <w:rPr>
                <w:rFonts w:ascii="Open Sans" w:hAnsi="Open Sans" w:cs="Open Sans"/>
                <w:sz w:val="20"/>
                <w:szCs w:val="20"/>
              </w:rPr>
            </w:pPr>
            <w:r w:rsidRPr="009E185A">
              <w:rPr>
                <w:rFonts w:ascii="Open Sans" w:hAnsi="Open Sans" w:cs="Open Sans"/>
                <w:sz w:val="20"/>
                <w:szCs w:val="20"/>
              </w:rPr>
              <w:t xml:space="preserve">Equipment used to blend propane and odorant) – see </w:t>
            </w:r>
            <w:r w:rsidR="00CF76B3" w:rsidRPr="009E185A">
              <w:rPr>
                <w:rFonts w:ascii="Open Sans" w:hAnsi="Open Sans" w:cs="Open Sans"/>
                <w:sz w:val="20"/>
                <w:szCs w:val="20"/>
              </w:rPr>
              <w:t xml:space="preserve">comments under </w:t>
            </w:r>
            <w:r w:rsidRPr="009E185A">
              <w:rPr>
                <w:rFonts w:ascii="Open Sans" w:hAnsi="Open Sans" w:cs="Open Sans"/>
                <w:sz w:val="20"/>
                <w:szCs w:val="20"/>
              </w:rPr>
              <w:t xml:space="preserve">right hand side column) </w:t>
            </w:r>
          </w:p>
          <w:p w:rsidR="00D229D6" w:rsidRPr="009E185A" w:rsidRDefault="00D229D6" w:rsidP="00D229D6">
            <w:pPr>
              <w:spacing w:before="120" w:after="120"/>
              <w:rPr>
                <w:rFonts w:ascii="Open Sans" w:hAnsi="Open Sans" w:cs="Open Sans"/>
                <w:sz w:val="20"/>
                <w:szCs w:val="20"/>
              </w:rPr>
            </w:pPr>
          </w:p>
          <w:p w:rsidR="00D229D6" w:rsidRPr="009E185A" w:rsidRDefault="00D229D6" w:rsidP="00D229D6">
            <w:pPr>
              <w:spacing w:before="120" w:after="120"/>
              <w:rPr>
                <w:rFonts w:ascii="Open Sans" w:hAnsi="Open Sans" w:cs="Open Sans"/>
                <w:sz w:val="20"/>
                <w:szCs w:val="20"/>
              </w:rPr>
            </w:pPr>
          </w:p>
          <w:p w:rsidR="00D229D6" w:rsidRPr="009E185A" w:rsidRDefault="00D229D6" w:rsidP="00D229D6">
            <w:pPr>
              <w:pStyle w:val="CommentText"/>
              <w:spacing w:before="120" w:after="120"/>
              <w:rPr>
                <w:rFonts w:ascii="Open Sans" w:hAnsi="Open Sans" w:cs="Open Sans"/>
              </w:rPr>
            </w:pPr>
          </w:p>
        </w:tc>
        <w:tc>
          <w:tcPr>
            <w:tcW w:w="2228"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Confirmation from the supplier / installer that the equipment has been commissioned </w:t>
            </w: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tc>
        <w:tc>
          <w:tcPr>
            <w:tcW w:w="2177"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Letter or certificate from the supplier/installer and a detailed commissioning checklist of the procedures performed signed by the commissioning engineer who carried them out</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Letter from the supplier/installer and a detailed commissioning checklist of the procedures performed signed by the commissioning engineer who carried them out</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PSSR compliance</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Propane sign off</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Odorant purchase</w:t>
            </w:r>
            <w:r w:rsidR="00CF76B3" w:rsidRPr="009E185A">
              <w:rPr>
                <w:rFonts w:ascii="Open Sans" w:hAnsi="Open Sans" w:cs="Open Sans"/>
                <w:sz w:val="20"/>
                <w:szCs w:val="20"/>
              </w:rPr>
              <w:t xml:space="preserve">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A biomethane sample can be achieved at this point with the upgrader commissioned and running to flare. This is usually a requirement of the NEA (as per the GQ8). Therefore, the sample could be used as evidence of working unit. During commissioning the upgrader and the propanisation equipment run to flare to set up and prove the site can control and produce compliant biomethane before being allowed to flow to network (without odorant -  as odorant systems require the meter to turn to determine how much odorant to add).</w:t>
            </w:r>
          </w:p>
          <w:p w:rsidR="00D229D6" w:rsidRPr="009E185A" w:rsidRDefault="00CF76B3"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A member </w:t>
            </w:r>
            <w:r w:rsidRPr="009E185A">
              <w:rPr>
                <w:rFonts w:ascii="Open Sans" w:hAnsi="Open Sans" w:cs="Open Sans"/>
                <w:sz w:val="20"/>
                <w:szCs w:val="20"/>
              </w:rPr>
              <w:lastRenderedPageBreak/>
              <w:t>commented that the DNO</w:t>
            </w:r>
            <w:r w:rsidR="00D229D6" w:rsidRPr="009E185A">
              <w:rPr>
                <w:rFonts w:ascii="Open Sans" w:hAnsi="Open Sans" w:cs="Open Sans"/>
                <w:sz w:val="20"/>
                <w:szCs w:val="20"/>
              </w:rPr>
              <w:t xml:space="preserve"> will not let a inject run until odourant tests have been approved by their rhinologist and it satisfies various system tests.</w:t>
            </w:r>
          </w:p>
          <w:p w:rsidR="00D229D6" w:rsidRPr="009E185A" w:rsidRDefault="00D229D6" w:rsidP="00775BD3">
            <w:pPr>
              <w:spacing w:before="120" w:after="120"/>
              <w:jc w:val="left"/>
              <w:rPr>
                <w:rFonts w:ascii="Open Sans" w:hAnsi="Open Sans" w:cs="Open Sans"/>
                <w:sz w:val="20"/>
                <w:szCs w:val="20"/>
              </w:rPr>
            </w:pPr>
            <w:r w:rsidRPr="009E185A">
              <w:rPr>
                <w:rFonts w:ascii="Open Sans" w:hAnsi="Open Sans" w:cs="Open Sans"/>
                <w:sz w:val="20"/>
                <w:szCs w:val="20"/>
              </w:rPr>
              <w:t>Propane is different - not all plants will require it and if the CV falls below the permissible level the RoV will close. Once a plant has injected it means propane is good. The fact that it might subsequently fail isn’t an issue for OFGEM. Usually the Grid Entry provider is responsible for commissioning the propane injection so a fall back is that this would be covered under their commissioning certificate. It is the</w:t>
            </w:r>
            <w:r w:rsidR="00CF76B3" w:rsidRPr="009E185A">
              <w:rPr>
                <w:rFonts w:ascii="Open Sans" w:hAnsi="Open Sans" w:cs="Open Sans"/>
                <w:sz w:val="20"/>
                <w:szCs w:val="20"/>
              </w:rPr>
              <w:t xml:space="preserve"> </w:t>
            </w:r>
            <w:r w:rsidRPr="009E185A">
              <w:rPr>
                <w:rFonts w:ascii="Open Sans" w:hAnsi="Open Sans" w:cs="Open Sans"/>
                <w:sz w:val="20"/>
                <w:szCs w:val="20"/>
              </w:rPr>
              <w:t xml:space="preserve">DNO regulates this area. </w:t>
            </w:r>
          </w:p>
        </w:tc>
        <w:tc>
          <w:tcPr>
            <w:tcW w:w="1861"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 xml:space="preserve">Supplier/installer. This is typically provided for final payment of kit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Installer of upgrader and GEU</w:t>
            </w:r>
          </w:p>
        </w:tc>
        <w:tc>
          <w:tcPr>
            <w:tcW w:w="1988"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T</w:t>
            </w:r>
            <w:r w:rsidR="00CF76B3" w:rsidRPr="009E185A">
              <w:rPr>
                <w:rFonts w:ascii="Open Sans" w:hAnsi="Open Sans" w:cs="Open Sans"/>
                <w:sz w:val="20"/>
                <w:szCs w:val="20"/>
              </w:rPr>
              <w:t>his is not a legal requirement (other than for the odourant and propane)</w:t>
            </w: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p w:rsidR="00D229D6" w:rsidRPr="009E185A" w:rsidRDefault="00D229D6" w:rsidP="00F635FD">
            <w:pPr>
              <w:spacing w:before="120" w:after="120"/>
              <w:jc w:val="left"/>
              <w:rPr>
                <w:rFonts w:ascii="Open Sans" w:hAnsi="Open Sans" w:cs="Open Sans"/>
                <w:sz w:val="20"/>
                <w:szCs w:val="20"/>
              </w:rPr>
            </w:pPr>
          </w:p>
        </w:tc>
        <w:tc>
          <w:tcPr>
            <w:tcW w:w="2479"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Mechanical / cold commissioning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Please note that odorant is added within the grid entry unit and tested by the relevant GDN in olfactory test at commissioning, odorant </w:t>
            </w:r>
            <w:r w:rsidR="008F517A">
              <w:rPr>
                <w:rFonts w:ascii="Open Sans" w:hAnsi="Open Sans" w:cs="Open Sans"/>
                <w:sz w:val="20"/>
                <w:szCs w:val="20"/>
              </w:rPr>
              <w:t>is not present within the clean-</w:t>
            </w:r>
            <w:r w:rsidRPr="009E185A">
              <w:rPr>
                <w:rFonts w:ascii="Open Sans" w:hAnsi="Open Sans" w:cs="Open Sans"/>
                <w:sz w:val="20"/>
                <w:szCs w:val="20"/>
              </w:rPr>
              <w:t xml:space="preserve">up plant. </w:t>
            </w:r>
          </w:p>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This is the last process prior to biomethane entering the network through the ROV, hence within the grid entry unit. </w:t>
            </w:r>
          </w:p>
          <w:p w:rsidR="00D229D6" w:rsidRPr="009E185A" w:rsidRDefault="00D229D6" w:rsidP="00C87260">
            <w:pPr>
              <w:spacing w:before="120" w:after="120"/>
              <w:jc w:val="left"/>
              <w:rPr>
                <w:rFonts w:ascii="Open Sans" w:hAnsi="Open Sans" w:cs="Open Sans"/>
                <w:sz w:val="20"/>
                <w:szCs w:val="20"/>
              </w:rPr>
            </w:pPr>
            <w:r w:rsidRPr="009E185A">
              <w:rPr>
                <w:rFonts w:ascii="Open Sans" w:hAnsi="Open Sans" w:cs="Open Sans"/>
                <w:sz w:val="20"/>
                <w:szCs w:val="20"/>
              </w:rPr>
              <w:t xml:space="preserve">In respect to propanisation this can be undertaken within the biogas upgrader or within the network entry system. However, in all instances this process is undertaken prior to the diversion </w:t>
            </w:r>
            <w:r w:rsidRPr="009E185A">
              <w:rPr>
                <w:rFonts w:ascii="Open Sans" w:hAnsi="Open Sans" w:cs="Open Sans"/>
                <w:sz w:val="20"/>
                <w:szCs w:val="20"/>
              </w:rPr>
              <w:lastRenderedPageBreak/>
              <w:t xml:space="preserve">system (biomethane reject valve) which takes the biomethane produced by the upgrader back to flare or back to the AD. </w:t>
            </w:r>
          </w:p>
        </w:tc>
        <w:tc>
          <w:tcPr>
            <w:tcW w:w="2257" w:type="dxa"/>
          </w:tcPr>
          <w:p w:rsidR="00D229D6" w:rsidRPr="009E185A" w:rsidRDefault="00D229D6" w:rsidP="00F635FD">
            <w:pPr>
              <w:spacing w:before="120" w:after="120"/>
              <w:jc w:val="left"/>
              <w:rPr>
                <w:rFonts w:ascii="Open Sans" w:hAnsi="Open Sans" w:cs="Open Sans"/>
                <w:sz w:val="20"/>
                <w:szCs w:val="20"/>
              </w:rPr>
            </w:pPr>
            <w:r w:rsidRPr="009E185A">
              <w:rPr>
                <w:rFonts w:ascii="Open Sans" w:hAnsi="Open Sans" w:cs="Open Sans"/>
                <w:sz w:val="20"/>
                <w:szCs w:val="20"/>
              </w:rPr>
              <w:lastRenderedPageBreak/>
              <w:t xml:space="preserve">Sign off certificates </w:t>
            </w:r>
          </w:p>
          <w:p w:rsidR="00D229D6" w:rsidRPr="009E185A" w:rsidRDefault="00D229D6" w:rsidP="00F635FD">
            <w:pPr>
              <w:spacing w:before="120" w:after="120"/>
              <w:jc w:val="left"/>
              <w:rPr>
                <w:rFonts w:ascii="Open Sans" w:hAnsi="Open Sans" w:cs="Open Sans"/>
                <w:sz w:val="20"/>
                <w:szCs w:val="20"/>
              </w:rPr>
            </w:pPr>
          </w:p>
        </w:tc>
      </w:tr>
      <w:tr w:rsidR="0071483F" w:rsidRPr="009E185A" w:rsidTr="0071483F">
        <w:trPr>
          <w:trHeight w:val="1824"/>
        </w:trPr>
        <w:tc>
          <w:tcPr>
            <w:tcW w:w="1327" w:type="dxa"/>
          </w:tcPr>
          <w:p w:rsidR="0071483F" w:rsidRPr="009E185A" w:rsidRDefault="0071483F" w:rsidP="00D229D6">
            <w:pPr>
              <w:spacing w:before="120" w:after="120"/>
              <w:rPr>
                <w:rFonts w:ascii="Open Sans" w:hAnsi="Open Sans" w:cs="Open Sans"/>
                <w:sz w:val="20"/>
                <w:szCs w:val="20"/>
              </w:rPr>
            </w:pPr>
            <w:r w:rsidRPr="009E185A">
              <w:rPr>
                <w:rFonts w:ascii="Open Sans" w:hAnsi="Open Sans" w:cs="Open Sans"/>
                <w:sz w:val="20"/>
                <w:szCs w:val="20"/>
              </w:rPr>
              <w:lastRenderedPageBreak/>
              <w:t xml:space="preserve">Grid entry </w:t>
            </w:r>
          </w:p>
        </w:tc>
        <w:tc>
          <w:tcPr>
            <w:tcW w:w="12990" w:type="dxa"/>
            <w:gridSpan w:val="6"/>
          </w:tcPr>
          <w:p w:rsidR="0071483F" w:rsidRPr="009E185A" w:rsidRDefault="0071483F" w:rsidP="00F635FD">
            <w:pPr>
              <w:spacing w:before="120" w:after="120"/>
              <w:jc w:val="left"/>
              <w:rPr>
                <w:rFonts w:ascii="Open Sans" w:hAnsi="Open Sans" w:cs="Open Sans"/>
                <w:sz w:val="20"/>
                <w:szCs w:val="20"/>
              </w:rPr>
            </w:pPr>
            <w:r w:rsidRPr="009E185A">
              <w:rPr>
                <w:rFonts w:ascii="Open Sans" w:hAnsi="Open Sans" w:cs="Open Sans"/>
                <w:sz w:val="20"/>
                <w:szCs w:val="20"/>
              </w:rPr>
              <w:t>The ENA published on 13</w:t>
            </w:r>
            <w:r w:rsidRPr="009E185A">
              <w:rPr>
                <w:rFonts w:ascii="Open Sans" w:hAnsi="Open Sans" w:cs="Open Sans"/>
                <w:sz w:val="20"/>
                <w:szCs w:val="20"/>
                <w:vertAlign w:val="superscript"/>
              </w:rPr>
              <w:t>th</w:t>
            </w:r>
            <w:r w:rsidRPr="009E185A">
              <w:rPr>
                <w:rFonts w:ascii="Open Sans" w:hAnsi="Open Sans" w:cs="Open Sans"/>
                <w:sz w:val="20"/>
                <w:szCs w:val="20"/>
              </w:rPr>
              <w:t xml:space="preserve"> September an open letter setting out the industry standards and practice concerning commissioning of grid entry unit. This is what the gas network companies need to do to demonstrate that a plant is capable of injecting biomethane to specification. If accepted, this should then satisfy the definition of "commissioned" under the RHI Tariff Guarantee even if full flow is then not achieved for another few weeks. You can find the open letter </w:t>
            </w:r>
            <w:hyperlink r:id="rId17" w:history="1">
              <w:r w:rsidRPr="009E185A">
                <w:rPr>
                  <w:rStyle w:val="Hyperlink"/>
                  <w:rFonts w:ascii="Open Sans" w:hAnsi="Open Sans" w:cs="Open Sans"/>
                  <w:sz w:val="20"/>
                  <w:szCs w:val="20"/>
                </w:rPr>
                <w:t>here.</w:t>
              </w:r>
            </w:hyperlink>
            <w:r w:rsidRPr="009E185A">
              <w:rPr>
                <w:rFonts w:ascii="Open Sans" w:hAnsi="Open Sans" w:cs="Open Sans"/>
                <w:sz w:val="20"/>
                <w:szCs w:val="20"/>
              </w:rPr>
              <w:t xml:space="preserve"> </w:t>
            </w:r>
          </w:p>
          <w:p w:rsidR="0071483F" w:rsidRPr="009E185A" w:rsidRDefault="0071483F" w:rsidP="00F635FD">
            <w:pPr>
              <w:spacing w:before="120" w:after="120"/>
              <w:jc w:val="left"/>
              <w:rPr>
                <w:rFonts w:ascii="Open Sans" w:hAnsi="Open Sans" w:cs="Open Sans"/>
                <w:sz w:val="20"/>
                <w:szCs w:val="20"/>
              </w:rPr>
            </w:pPr>
            <w:r w:rsidRPr="009E185A">
              <w:rPr>
                <w:rFonts w:ascii="Open Sans" w:hAnsi="Open Sans" w:cs="Open Sans"/>
                <w:sz w:val="20"/>
                <w:szCs w:val="20"/>
              </w:rPr>
              <w:t xml:space="preserve">Ofgem call for evidence is specifically seeking views on the production of biomethane, and not the network connection requirements and processes. Therefore, we will not provide any further feedback on this.  </w:t>
            </w:r>
          </w:p>
        </w:tc>
      </w:tr>
    </w:tbl>
    <w:p w:rsidR="00D229D6" w:rsidRPr="009E185A" w:rsidRDefault="00D229D6" w:rsidP="00D229D6">
      <w:pPr>
        <w:spacing w:before="120" w:after="120"/>
        <w:rPr>
          <w:rFonts w:ascii="Open Sans" w:hAnsi="Open Sans" w:cs="Open Sans"/>
          <w:szCs w:val="22"/>
        </w:rPr>
      </w:pPr>
    </w:p>
    <w:p w:rsidR="00D229D6" w:rsidRPr="009E185A" w:rsidRDefault="00D229D6" w:rsidP="00D229D6">
      <w:pPr>
        <w:spacing w:before="120" w:after="120"/>
        <w:rPr>
          <w:rFonts w:ascii="Open Sans" w:hAnsi="Open Sans" w:cs="Open Sans"/>
          <w:szCs w:val="22"/>
        </w:rPr>
      </w:pPr>
    </w:p>
    <w:p w:rsidR="006E551F" w:rsidRPr="009E185A" w:rsidRDefault="006E551F" w:rsidP="00D229D6">
      <w:pPr>
        <w:spacing w:before="120" w:after="120"/>
        <w:rPr>
          <w:rFonts w:ascii="Open Sans" w:hAnsi="Open Sans" w:cs="Open Sans"/>
          <w:szCs w:val="22"/>
        </w:rPr>
      </w:pPr>
    </w:p>
    <w:p w:rsidR="00E073CB" w:rsidRPr="009E185A" w:rsidRDefault="00E073CB" w:rsidP="00D229D6">
      <w:pPr>
        <w:spacing w:before="120" w:after="120"/>
        <w:jc w:val="left"/>
        <w:rPr>
          <w:rFonts w:ascii="Open Sans" w:hAnsi="Open Sans" w:cs="Open Sans"/>
          <w:szCs w:val="22"/>
        </w:rPr>
      </w:pPr>
    </w:p>
    <w:p w:rsidR="00D72A50" w:rsidRPr="009E185A" w:rsidRDefault="006A1652" w:rsidP="00D229D6">
      <w:pPr>
        <w:spacing w:before="120" w:after="120"/>
        <w:jc w:val="right"/>
        <w:rPr>
          <w:rFonts w:ascii="Open Sans" w:hAnsi="Open Sans" w:cs="Open Sans"/>
          <w:b/>
          <w:szCs w:val="22"/>
        </w:rPr>
      </w:pPr>
      <w:r w:rsidRPr="009E185A">
        <w:rPr>
          <w:rFonts w:ascii="Open Sans" w:hAnsi="Open Sans" w:cs="Open Sans"/>
          <w:b/>
          <w:szCs w:val="22"/>
        </w:rPr>
        <w:t xml:space="preserve">REA, </w:t>
      </w:r>
      <w:r w:rsidR="00603613" w:rsidRPr="009E185A">
        <w:rPr>
          <w:rFonts w:ascii="Open Sans" w:hAnsi="Open Sans" w:cs="Open Sans"/>
          <w:b/>
          <w:szCs w:val="22"/>
        </w:rPr>
        <w:t>December</w:t>
      </w:r>
      <w:r w:rsidR="00DC1C73" w:rsidRPr="009E185A">
        <w:rPr>
          <w:rFonts w:ascii="Open Sans" w:hAnsi="Open Sans" w:cs="Open Sans"/>
          <w:b/>
          <w:szCs w:val="22"/>
        </w:rPr>
        <w:t xml:space="preserve"> 2019</w:t>
      </w:r>
    </w:p>
    <w:sectPr w:rsidR="00D72A50" w:rsidRPr="009E185A" w:rsidSect="00EE25EF">
      <w:headerReference w:type="default" r:id="rId18"/>
      <w:footerReference w:type="even" r:id="rId19"/>
      <w:footerReference w:type="default" r:id="rId20"/>
      <w:headerReference w:type="first" r:id="rId21"/>
      <w:footerReference w:type="first" r:id="rId22"/>
      <w:pgSz w:w="16838" w:h="11906" w:orient="landscape"/>
      <w:pgMar w:top="1701" w:right="900" w:bottom="1134" w:left="1440" w:header="709" w:footer="6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063" w:rsidRDefault="00560063">
      <w:r>
        <w:separator/>
      </w:r>
    </w:p>
  </w:endnote>
  <w:endnote w:type="continuationSeparator" w:id="0">
    <w:p w:rsidR="00560063" w:rsidRDefault="00560063">
      <w:r>
        <w:continuationSeparator/>
      </w:r>
    </w:p>
  </w:endnote>
  <w:endnote w:type="continuationNotice" w:id="1">
    <w:p w:rsidR="00560063" w:rsidRDefault="00560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vant garde">
    <w:altName w:val="Century Gothic"/>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251949"/>
      <w:docPartObj>
        <w:docPartGallery w:val="Page Numbers (Bottom of Page)"/>
        <w:docPartUnique/>
      </w:docPartObj>
    </w:sdtPr>
    <w:sdtEndPr>
      <w:rPr>
        <w:noProof/>
      </w:rPr>
    </w:sdtEndPr>
    <w:sdtContent>
      <w:p w:rsidR="00D229D6" w:rsidRDefault="00D229D6">
        <w:pPr>
          <w:pStyle w:val="Footer"/>
          <w:jc w:val="center"/>
        </w:pPr>
        <w:r>
          <w:fldChar w:fldCharType="begin"/>
        </w:r>
        <w:r>
          <w:instrText xml:space="preserve"> PAGE   \* MERGEFORMAT </w:instrText>
        </w:r>
        <w:r>
          <w:fldChar w:fldCharType="separate"/>
        </w:r>
        <w:r w:rsidR="00FC563C">
          <w:rPr>
            <w:noProof/>
          </w:rPr>
          <w:t>1</w:t>
        </w:r>
        <w:r>
          <w:rPr>
            <w:noProof/>
          </w:rPr>
          <w:fldChar w:fldCharType="end"/>
        </w:r>
      </w:p>
    </w:sdtContent>
  </w:sdt>
  <w:p w:rsidR="00D229D6" w:rsidRDefault="00D229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9C2" w:rsidRDefault="00F0589D" w:rsidP="006643C5">
    <w:pPr>
      <w:pStyle w:val="Footer"/>
      <w:framePr w:wrap="around" w:vAnchor="text" w:hAnchor="margin" w:xAlign="right" w:y="1"/>
      <w:rPr>
        <w:rStyle w:val="PageNumber"/>
      </w:rPr>
    </w:pPr>
    <w:r>
      <w:rPr>
        <w:rStyle w:val="PageNumber"/>
      </w:rPr>
      <w:fldChar w:fldCharType="begin"/>
    </w:r>
    <w:r w:rsidR="005B69C2">
      <w:rPr>
        <w:rStyle w:val="PageNumber"/>
      </w:rPr>
      <w:instrText xml:space="preserve">PAGE  </w:instrText>
    </w:r>
    <w:r>
      <w:rPr>
        <w:rStyle w:val="PageNumber"/>
      </w:rPr>
      <w:fldChar w:fldCharType="separate"/>
    </w:r>
    <w:r w:rsidR="005B69C2">
      <w:rPr>
        <w:rStyle w:val="PageNumber"/>
        <w:noProof/>
      </w:rPr>
      <w:t>19</w:t>
    </w:r>
    <w:r>
      <w:rPr>
        <w:rStyle w:val="PageNumber"/>
      </w:rPr>
      <w:fldChar w:fldCharType="end"/>
    </w:r>
  </w:p>
  <w:p w:rsidR="005B69C2" w:rsidRDefault="005B69C2" w:rsidP="007D575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9C2" w:rsidRDefault="00F0589D" w:rsidP="006643C5">
    <w:pPr>
      <w:pStyle w:val="Footer"/>
      <w:framePr w:wrap="around" w:vAnchor="text" w:hAnchor="margin" w:xAlign="right" w:y="1"/>
      <w:rPr>
        <w:rStyle w:val="PageNumber"/>
      </w:rPr>
    </w:pPr>
    <w:r>
      <w:rPr>
        <w:rStyle w:val="PageNumber"/>
      </w:rPr>
      <w:fldChar w:fldCharType="begin"/>
    </w:r>
    <w:r w:rsidR="005B69C2">
      <w:rPr>
        <w:rStyle w:val="PageNumber"/>
      </w:rPr>
      <w:instrText xml:space="preserve">PAGE  </w:instrText>
    </w:r>
    <w:r>
      <w:rPr>
        <w:rStyle w:val="PageNumber"/>
      </w:rPr>
      <w:fldChar w:fldCharType="separate"/>
    </w:r>
    <w:r w:rsidR="00FC563C">
      <w:rPr>
        <w:rStyle w:val="PageNumber"/>
        <w:noProof/>
      </w:rPr>
      <w:t>6</w:t>
    </w:r>
    <w:r>
      <w:rPr>
        <w:rStyle w:val="PageNumber"/>
      </w:rPr>
      <w:fldChar w:fldCharType="end"/>
    </w:r>
  </w:p>
  <w:p w:rsidR="005B69C2" w:rsidRDefault="005B69C2" w:rsidP="007D575F">
    <w:pPr>
      <w:pStyle w:val="Footer"/>
      <w:tabs>
        <w:tab w:val="clear" w:pos="4153"/>
        <w:tab w:val="clear" w:pos="8306"/>
        <w:tab w:val="center" w:pos="5103"/>
        <w:tab w:val="right" w:pos="8222"/>
      </w:tabs>
      <w:ind w:left="-1134"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9C2" w:rsidRPr="00C509D2" w:rsidRDefault="00D72A50" w:rsidP="00FD0462">
    <w:pPr>
      <w:pStyle w:val="Footer"/>
      <w:tabs>
        <w:tab w:val="clear" w:pos="4153"/>
        <w:tab w:val="clear" w:pos="8306"/>
        <w:tab w:val="center" w:pos="3402"/>
        <w:tab w:val="right" w:pos="9072"/>
      </w:tabs>
      <w:rPr>
        <w:rFonts w:cs="Arial"/>
        <w:color w:val="999999"/>
        <w:sz w:val="16"/>
      </w:rPr>
    </w:pPr>
    <w:r>
      <w:rPr>
        <w:rFonts w:cs="Arial"/>
        <w:color w:val="999999"/>
        <w:sz w:val="16"/>
      </w:rPr>
      <w:t>80 Strand</w:t>
    </w:r>
    <w:r w:rsidR="00533753">
      <w:rPr>
        <w:rFonts w:cs="Arial"/>
        <w:color w:val="999999"/>
        <w:sz w:val="16"/>
      </w:rPr>
      <w:t xml:space="preserve">, </w:t>
    </w:r>
    <w:r w:rsidR="005B69C2" w:rsidRPr="00C509D2">
      <w:rPr>
        <w:rFonts w:cs="Arial"/>
        <w:color w:val="999999"/>
        <w:sz w:val="16"/>
      </w:rPr>
      <w:tab/>
    </w:r>
    <w:r w:rsidR="009B7DE0">
      <w:rPr>
        <w:rFonts w:cs="Arial"/>
        <w:color w:val="999999"/>
        <w:sz w:val="16"/>
      </w:rPr>
      <w:t xml:space="preserve">                 </w:t>
    </w:r>
    <w:r w:rsidR="005B69C2" w:rsidRPr="00C509D2">
      <w:rPr>
        <w:rFonts w:cs="Arial"/>
        <w:color w:val="999999"/>
        <w:sz w:val="16"/>
      </w:rPr>
      <w:t>Tel: 020 7925 3570</w:t>
    </w:r>
    <w:r w:rsidR="005B69C2" w:rsidRPr="00C509D2">
      <w:rPr>
        <w:rFonts w:cs="Arial"/>
        <w:color w:val="999999"/>
        <w:sz w:val="16"/>
      </w:rPr>
      <w:tab/>
    </w:r>
    <w:hyperlink r:id="rId1" w:history="1">
      <w:r w:rsidR="005B69C2" w:rsidRPr="00C509D2">
        <w:rPr>
          <w:rStyle w:val="Hyperlink"/>
          <w:sz w:val="16"/>
        </w:rPr>
        <w:t>http://www.r-e-a.net/</w:t>
      </w:r>
    </w:hyperlink>
  </w:p>
  <w:p w:rsidR="005B69C2" w:rsidRDefault="005B69C2" w:rsidP="00767B11">
    <w:pPr>
      <w:jc w:val="left"/>
      <w:rPr>
        <w:rFonts w:cs="Arial"/>
        <w:color w:val="999999"/>
        <w:sz w:val="16"/>
      </w:rPr>
    </w:pPr>
    <w:r w:rsidRPr="00C509D2">
      <w:rPr>
        <w:rFonts w:cs="Arial"/>
        <w:color w:val="999999"/>
        <w:sz w:val="16"/>
      </w:rPr>
      <w:t>London</w:t>
    </w:r>
    <w:proofErr w:type="gramStart"/>
    <w:r w:rsidR="00533753">
      <w:rPr>
        <w:rFonts w:cs="Arial"/>
        <w:color w:val="999999"/>
        <w:sz w:val="16"/>
      </w:rPr>
      <w:t>,</w:t>
    </w:r>
    <w:r w:rsidRPr="00C509D2">
      <w:rPr>
        <w:rFonts w:cs="Arial"/>
        <w:color w:val="999999"/>
        <w:sz w:val="16"/>
      </w:rPr>
      <w:t xml:space="preserve">  </w:t>
    </w:r>
    <w:r w:rsidR="00D72A50">
      <w:rPr>
        <w:rFonts w:cs="Arial"/>
        <w:color w:val="999999"/>
        <w:sz w:val="16"/>
      </w:rPr>
      <w:t>WC2R</w:t>
    </w:r>
    <w:proofErr w:type="gramEnd"/>
    <w:r w:rsidR="00D72A50">
      <w:rPr>
        <w:rFonts w:cs="Arial"/>
        <w:color w:val="999999"/>
        <w:sz w:val="16"/>
      </w:rPr>
      <w:t xml:space="preserve"> 0DT</w:t>
    </w:r>
  </w:p>
  <w:p w:rsidR="00452265" w:rsidRDefault="00452265" w:rsidP="00767B11">
    <w:pPr>
      <w:jc w:val="left"/>
      <w:rPr>
        <w:rFonts w:cs="Arial"/>
        <w:color w:val="999999"/>
        <w:sz w:val="16"/>
      </w:rPr>
    </w:pPr>
  </w:p>
  <w:p w:rsidR="00452265" w:rsidRPr="00452265" w:rsidRDefault="00452265" w:rsidP="00452265">
    <w:pPr>
      <w:jc w:val="left"/>
      <w:rPr>
        <w:sz w:val="16"/>
        <w:szCs w:val="16"/>
      </w:rPr>
    </w:pPr>
    <w:r w:rsidRPr="00452265">
      <w:rPr>
        <w:i/>
        <w:iCs/>
        <w:sz w:val="16"/>
        <w:szCs w:val="16"/>
      </w:rPr>
      <w:t>The information and opinions within this briefing are for information purposes only. They are not intended to constitute legal or other professional advice, and should not be relied on or treated as a substitute for specific advice relevant to particular circumstances. The Renewable Energy Association, or any of its subsidiaries, shall accept no responsibility for any errors, omissions or misleading statements in this briefing, or for any loss which may arise from reliance on materials contained in it.</w:t>
    </w:r>
  </w:p>
  <w:p w:rsidR="00452265" w:rsidRPr="00C509D2" w:rsidRDefault="00452265" w:rsidP="00452265">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063" w:rsidRDefault="00560063">
      <w:r>
        <w:separator/>
      </w:r>
    </w:p>
  </w:footnote>
  <w:footnote w:type="continuationSeparator" w:id="0">
    <w:p w:rsidR="00560063" w:rsidRDefault="00560063">
      <w:r>
        <w:continuationSeparator/>
      </w:r>
    </w:p>
  </w:footnote>
  <w:footnote w:type="continuationNotice" w:id="1">
    <w:p w:rsidR="00560063" w:rsidRDefault="005600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D6" w:rsidRDefault="00F635FD">
    <w:pPr>
      <w:pStyle w:val="Header"/>
    </w:pPr>
    <w:r>
      <w:t>REA</w:t>
    </w:r>
    <w:r w:rsidR="008E7563">
      <w:t>,</w:t>
    </w:r>
    <w:r>
      <w:t xml:space="preserve"> December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9C2" w:rsidRDefault="005B69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9C2" w:rsidRDefault="00966E91" w:rsidP="00767B11">
    <w:pPr>
      <w:pStyle w:val="Header"/>
      <w:jc w:val="right"/>
    </w:pPr>
    <w:r>
      <w:rPr>
        <w:noProof/>
        <w:lang w:eastAsia="en-GB"/>
      </w:rPr>
      <w:drawing>
        <wp:inline distT="0" distB="0" distL="0" distR="0" wp14:anchorId="2BBBCC9E" wp14:editId="5EA58F28">
          <wp:extent cx="1427906"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_logo_rgb_HR_cropped s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726" cy="7438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AAF"/>
    <w:multiLevelType w:val="hybridMultilevel"/>
    <w:tmpl w:val="4A564C4E"/>
    <w:lvl w:ilvl="0" w:tplc="9F44A488">
      <w:start w:val="1"/>
      <w:numFmt w:val="bullet"/>
      <w:pStyle w:val="BulletNormal"/>
      <w:lvlText w:val=""/>
      <w:lvlJc w:val="left"/>
      <w:pPr>
        <w:tabs>
          <w:tab w:val="num" w:pos="720"/>
        </w:tabs>
        <w:ind w:left="720" w:hanging="360"/>
      </w:pPr>
      <w:rPr>
        <w:rFonts w:ascii="Symbol" w:hAnsi="Symbol" w:hint="default"/>
        <w:b/>
        <w:i w:val="0"/>
        <w:color w:val="8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964AA4"/>
    <w:multiLevelType w:val="hybridMultilevel"/>
    <w:tmpl w:val="5AC2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8F435A"/>
    <w:multiLevelType w:val="multilevel"/>
    <w:tmpl w:val="1A6E4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6AE423D"/>
    <w:multiLevelType w:val="hybridMultilevel"/>
    <w:tmpl w:val="C27E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7401E2"/>
    <w:multiLevelType w:val="hybridMultilevel"/>
    <w:tmpl w:val="CF10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27232"/>
    <w:multiLevelType w:val="hybridMultilevel"/>
    <w:tmpl w:val="8C0061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862F38"/>
    <w:multiLevelType w:val="hybridMultilevel"/>
    <w:tmpl w:val="481A7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623716"/>
    <w:multiLevelType w:val="hybridMultilevel"/>
    <w:tmpl w:val="67FE1C1C"/>
    <w:lvl w:ilvl="0" w:tplc="7DEC3A2E">
      <w:numFmt w:val="bullet"/>
      <w:lvlText w:val="-"/>
      <w:lvlJc w:val="left"/>
      <w:pPr>
        <w:ind w:left="720" w:hanging="360"/>
      </w:pPr>
      <w:rPr>
        <w:rFonts w:ascii="avant garde" w:eastAsia="Times New Roman" w:hAnsi="avant gard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2B07C2"/>
    <w:multiLevelType w:val="hybridMultilevel"/>
    <w:tmpl w:val="6264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E4596B"/>
    <w:multiLevelType w:val="hybridMultilevel"/>
    <w:tmpl w:val="636C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4F5F05"/>
    <w:multiLevelType w:val="hybridMultilevel"/>
    <w:tmpl w:val="1FAA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D567A5"/>
    <w:multiLevelType w:val="hybridMultilevel"/>
    <w:tmpl w:val="022E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0E6675"/>
    <w:multiLevelType w:val="hybridMultilevel"/>
    <w:tmpl w:val="C766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D83C4F"/>
    <w:multiLevelType w:val="hybridMultilevel"/>
    <w:tmpl w:val="A48C2E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F46E33"/>
    <w:multiLevelType w:val="hybridMultilevel"/>
    <w:tmpl w:val="C14877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2C532DAB"/>
    <w:multiLevelType w:val="hybridMultilevel"/>
    <w:tmpl w:val="4612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D17975"/>
    <w:multiLevelType w:val="hybridMultilevel"/>
    <w:tmpl w:val="B90C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0C41CB"/>
    <w:multiLevelType w:val="hybridMultilevel"/>
    <w:tmpl w:val="AE9E7962"/>
    <w:lvl w:ilvl="0" w:tplc="B0E0199A">
      <w:numFmt w:val="bullet"/>
      <w:lvlText w:val="-"/>
      <w:lvlJc w:val="left"/>
      <w:pPr>
        <w:ind w:left="720" w:hanging="360"/>
      </w:pPr>
      <w:rPr>
        <w:rFonts w:ascii="avant garde" w:eastAsia="Times New Roman" w:hAnsi="avant gard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2717F7"/>
    <w:multiLevelType w:val="hybridMultilevel"/>
    <w:tmpl w:val="44BE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14166"/>
    <w:multiLevelType w:val="hybridMultilevel"/>
    <w:tmpl w:val="43D8230E"/>
    <w:lvl w:ilvl="0" w:tplc="1C2E92F4">
      <w:start w:val="60"/>
      <w:numFmt w:val="bullet"/>
      <w:lvlText w:val="-"/>
      <w:lvlJc w:val="left"/>
      <w:pPr>
        <w:ind w:left="1080" w:hanging="360"/>
      </w:pPr>
      <w:rPr>
        <w:rFonts w:ascii="avant garde" w:eastAsia="Times New Roman" w:hAnsi="avant gard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224DE8"/>
    <w:multiLevelType w:val="hybridMultilevel"/>
    <w:tmpl w:val="F502FA9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38A83BAC"/>
    <w:multiLevelType w:val="hybridMultilevel"/>
    <w:tmpl w:val="6A3AD182"/>
    <w:lvl w:ilvl="0" w:tplc="B0E0199A">
      <w:numFmt w:val="bullet"/>
      <w:lvlText w:val="-"/>
      <w:lvlJc w:val="left"/>
      <w:pPr>
        <w:ind w:left="720" w:hanging="360"/>
      </w:pPr>
      <w:rPr>
        <w:rFonts w:ascii="avant garde" w:eastAsia="Times New Roman" w:hAnsi="avant gard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353BF6"/>
    <w:multiLevelType w:val="hybridMultilevel"/>
    <w:tmpl w:val="F72C1E9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nsid w:val="3F7A6977"/>
    <w:multiLevelType w:val="hybridMultilevel"/>
    <w:tmpl w:val="835A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3774D2"/>
    <w:multiLevelType w:val="multilevel"/>
    <w:tmpl w:val="E7A89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49446CA9"/>
    <w:multiLevelType w:val="hybridMultilevel"/>
    <w:tmpl w:val="DCA0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D350C3"/>
    <w:multiLevelType w:val="hybridMultilevel"/>
    <w:tmpl w:val="4564640C"/>
    <w:lvl w:ilvl="0" w:tplc="50B0DC92">
      <w:numFmt w:val="bullet"/>
      <w:lvlText w:val="-"/>
      <w:lvlJc w:val="left"/>
      <w:pPr>
        <w:ind w:left="1080" w:hanging="360"/>
      </w:pPr>
      <w:rPr>
        <w:rFonts w:ascii="avant garde" w:eastAsia="Times New Roman" w:hAnsi="avant garde"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FCE5201"/>
    <w:multiLevelType w:val="hybridMultilevel"/>
    <w:tmpl w:val="740C4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E94F9C"/>
    <w:multiLevelType w:val="hybridMultilevel"/>
    <w:tmpl w:val="CB5C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3C0E85"/>
    <w:multiLevelType w:val="hybridMultilevel"/>
    <w:tmpl w:val="977E671C"/>
    <w:lvl w:ilvl="0" w:tplc="E0B07E5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FF357F"/>
    <w:multiLevelType w:val="hybridMultilevel"/>
    <w:tmpl w:val="194E1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AD71B6"/>
    <w:multiLevelType w:val="hybridMultilevel"/>
    <w:tmpl w:val="E258FFFA"/>
    <w:lvl w:ilvl="0" w:tplc="B05AF4C6">
      <w:numFmt w:val="bullet"/>
      <w:lvlText w:val="-"/>
      <w:lvlJc w:val="left"/>
      <w:pPr>
        <w:ind w:left="720" w:hanging="360"/>
      </w:pPr>
      <w:rPr>
        <w:rFonts w:ascii="avant garde" w:eastAsia="Times New Roman" w:hAnsi="avant gard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B90F95"/>
    <w:multiLevelType w:val="hybridMultilevel"/>
    <w:tmpl w:val="0F9886DE"/>
    <w:lvl w:ilvl="0" w:tplc="6D76D1F0">
      <w:start w:val="1"/>
      <w:numFmt w:val="bullet"/>
      <w:lvlText w:val="•"/>
      <w:lvlJc w:val="left"/>
      <w:pPr>
        <w:tabs>
          <w:tab w:val="num" w:pos="720"/>
        </w:tabs>
        <w:ind w:left="720" w:hanging="360"/>
      </w:pPr>
      <w:rPr>
        <w:rFonts w:ascii="Arial" w:hAnsi="Arial" w:hint="default"/>
      </w:rPr>
    </w:lvl>
    <w:lvl w:ilvl="1" w:tplc="8B106DA2" w:tentative="1">
      <w:start w:val="1"/>
      <w:numFmt w:val="bullet"/>
      <w:lvlText w:val="•"/>
      <w:lvlJc w:val="left"/>
      <w:pPr>
        <w:tabs>
          <w:tab w:val="num" w:pos="1440"/>
        </w:tabs>
        <w:ind w:left="1440" w:hanging="360"/>
      </w:pPr>
      <w:rPr>
        <w:rFonts w:ascii="Arial" w:hAnsi="Arial" w:hint="default"/>
      </w:rPr>
    </w:lvl>
    <w:lvl w:ilvl="2" w:tplc="46A4589A" w:tentative="1">
      <w:start w:val="1"/>
      <w:numFmt w:val="bullet"/>
      <w:lvlText w:val="•"/>
      <w:lvlJc w:val="left"/>
      <w:pPr>
        <w:tabs>
          <w:tab w:val="num" w:pos="2160"/>
        </w:tabs>
        <w:ind w:left="2160" w:hanging="360"/>
      </w:pPr>
      <w:rPr>
        <w:rFonts w:ascii="Arial" w:hAnsi="Arial" w:hint="default"/>
      </w:rPr>
    </w:lvl>
    <w:lvl w:ilvl="3" w:tplc="82D24CFE" w:tentative="1">
      <w:start w:val="1"/>
      <w:numFmt w:val="bullet"/>
      <w:lvlText w:val="•"/>
      <w:lvlJc w:val="left"/>
      <w:pPr>
        <w:tabs>
          <w:tab w:val="num" w:pos="2880"/>
        </w:tabs>
        <w:ind w:left="2880" w:hanging="360"/>
      </w:pPr>
      <w:rPr>
        <w:rFonts w:ascii="Arial" w:hAnsi="Arial" w:hint="default"/>
      </w:rPr>
    </w:lvl>
    <w:lvl w:ilvl="4" w:tplc="42148150" w:tentative="1">
      <w:start w:val="1"/>
      <w:numFmt w:val="bullet"/>
      <w:lvlText w:val="•"/>
      <w:lvlJc w:val="left"/>
      <w:pPr>
        <w:tabs>
          <w:tab w:val="num" w:pos="3600"/>
        </w:tabs>
        <w:ind w:left="3600" w:hanging="360"/>
      </w:pPr>
      <w:rPr>
        <w:rFonts w:ascii="Arial" w:hAnsi="Arial" w:hint="default"/>
      </w:rPr>
    </w:lvl>
    <w:lvl w:ilvl="5" w:tplc="6C5C678E" w:tentative="1">
      <w:start w:val="1"/>
      <w:numFmt w:val="bullet"/>
      <w:lvlText w:val="•"/>
      <w:lvlJc w:val="left"/>
      <w:pPr>
        <w:tabs>
          <w:tab w:val="num" w:pos="4320"/>
        </w:tabs>
        <w:ind w:left="4320" w:hanging="360"/>
      </w:pPr>
      <w:rPr>
        <w:rFonts w:ascii="Arial" w:hAnsi="Arial" w:hint="default"/>
      </w:rPr>
    </w:lvl>
    <w:lvl w:ilvl="6" w:tplc="244492D0" w:tentative="1">
      <w:start w:val="1"/>
      <w:numFmt w:val="bullet"/>
      <w:lvlText w:val="•"/>
      <w:lvlJc w:val="left"/>
      <w:pPr>
        <w:tabs>
          <w:tab w:val="num" w:pos="5040"/>
        </w:tabs>
        <w:ind w:left="5040" w:hanging="360"/>
      </w:pPr>
      <w:rPr>
        <w:rFonts w:ascii="Arial" w:hAnsi="Arial" w:hint="default"/>
      </w:rPr>
    </w:lvl>
    <w:lvl w:ilvl="7" w:tplc="B8F2BCB4" w:tentative="1">
      <w:start w:val="1"/>
      <w:numFmt w:val="bullet"/>
      <w:lvlText w:val="•"/>
      <w:lvlJc w:val="left"/>
      <w:pPr>
        <w:tabs>
          <w:tab w:val="num" w:pos="5760"/>
        </w:tabs>
        <w:ind w:left="5760" w:hanging="360"/>
      </w:pPr>
      <w:rPr>
        <w:rFonts w:ascii="Arial" w:hAnsi="Arial" w:hint="default"/>
      </w:rPr>
    </w:lvl>
    <w:lvl w:ilvl="8" w:tplc="B842561A" w:tentative="1">
      <w:start w:val="1"/>
      <w:numFmt w:val="bullet"/>
      <w:lvlText w:val="•"/>
      <w:lvlJc w:val="left"/>
      <w:pPr>
        <w:tabs>
          <w:tab w:val="num" w:pos="6480"/>
        </w:tabs>
        <w:ind w:left="6480" w:hanging="360"/>
      </w:pPr>
      <w:rPr>
        <w:rFonts w:ascii="Arial" w:hAnsi="Arial" w:hint="default"/>
      </w:rPr>
    </w:lvl>
  </w:abstractNum>
  <w:abstractNum w:abstractNumId="33">
    <w:nsid w:val="63FB5328"/>
    <w:multiLevelType w:val="hybridMultilevel"/>
    <w:tmpl w:val="CFBE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4236366"/>
    <w:multiLevelType w:val="hybridMultilevel"/>
    <w:tmpl w:val="F59E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6611BE"/>
    <w:multiLevelType w:val="hybridMultilevel"/>
    <w:tmpl w:val="D7823542"/>
    <w:lvl w:ilvl="0" w:tplc="C8F03EB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nsid w:val="6BCD67D5"/>
    <w:multiLevelType w:val="hybridMultilevel"/>
    <w:tmpl w:val="54EE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CD4CE8"/>
    <w:multiLevelType w:val="hybridMultilevel"/>
    <w:tmpl w:val="5D30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C75D28"/>
    <w:multiLevelType w:val="hybridMultilevel"/>
    <w:tmpl w:val="8054B7A2"/>
    <w:lvl w:ilvl="0" w:tplc="08090001">
      <w:start w:val="1"/>
      <w:numFmt w:val="bullet"/>
      <w:lvlText w:val=""/>
      <w:lvlJc w:val="left"/>
      <w:pPr>
        <w:ind w:left="720" w:hanging="360"/>
      </w:pPr>
      <w:rPr>
        <w:rFonts w:ascii="Symbol" w:hAnsi="Symbol" w:hint="default"/>
      </w:rPr>
    </w:lvl>
    <w:lvl w:ilvl="1" w:tplc="39B423C6">
      <w:numFmt w:val="bullet"/>
      <w:lvlText w:val="-"/>
      <w:lvlJc w:val="left"/>
      <w:pPr>
        <w:ind w:left="1440" w:hanging="360"/>
      </w:pPr>
      <w:rPr>
        <w:rFonts w:ascii="Calibri" w:eastAsiaTheme="minorHAns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1713961"/>
    <w:multiLevelType w:val="hybridMultilevel"/>
    <w:tmpl w:val="F2EC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CF449C"/>
    <w:multiLevelType w:val="hybridMultilevel"/>
    <w:tmpl w:val="A0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240386"/>
    <w:multiLevelType w:val="hybridMultilevel"/>
    <w:tmpl w:val="7A2A0BCE"/>
    <w:lvl w:ilvl="0" w:tplc="ED3EEFD6">
      <w:start w:val="1"/>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77263669"/>
    <w:multiLevelType w:val="hybridMultilevel"/>
    <w:tmpl w:val="546C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14438B"/>
    <w:multiLevelType w:val="hybridMultilevel"/>
    <w:tmpl w:val="C2AE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23"/>
  </w:num>
  <w:num w:numId="4">
    <w:abstractNumId w:val="10"/>
  </w:num>
  <w:num w:numId="5">
    <w:abstractNumId w:val="3"/>
  </w:num>
  <w:num w:numId="6">
    <w:abstractNumId w:val="12"/>
  </w:num>
  <w:num w:numId="7">
    <w:abstractNumId w:val="9"/>
  </w:num>
  <w:num w:numId="8">
    <w:abstractNumId w:val="1"/>
  </w:num>
  <w:num w:numId="9">
    <w:abstractNumId w:val="30"/>
  </w:num>
  <w:num w:numId="10">
    <w:abstractNumId w:val="42"/>
  </w:num>
  <w:num w:numId="11">
    <w:abstractNumId w:val="15"/>
  </w:num>
  <w:num w:numId="12">
    <w:abstractNumId w:val="16"/>
  </w:num>
  <w:num w:numId="13">
    <w:abstractNumId w:val="36"/>
  </w:num>
  <w:num w:numId="14">
    <w:abstractNumId w:val="28"/>
  </w:num>
  <w:num w:numId="15">
    <w:abstractNumId w:val="13"/>
  </w:num>
  <w:num w:numId="16">
    <w:abstractNumId w:val="5"/>
  </w:num>
  <w:num w:numId="17">
    <w:abstractNumId w:val="43"/>
  </w:num>
  <w:num w:numId="18">
    <w:abstractNumId w:val="37"/>
  </w:num>
  <w:num w:numId="19">
    <w:abstractNumId w:val="6"/>
  </w:num>
  <w:num w:numId="20">
    <w:abstractNumId w:val="41"/>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0"/>
  </w:num>
  <w:num w:numId="25">
    <w:abstractNumId w:val="4"/>
  </w:num>
  <w:num w:numId="26">
    <w:abstractNumId w:val="34"/>
  </w:num>
  <w:num w:numId="27">
    <w:abstractNumId w:val="39"/>
  </w:num>
  <w:num w:numId="28">
    <w:abstractNumId w:val="18"/>
  </w:num>
  <w:num w:numId="29">
    <w:abstractNumId w:val="33"/>
  </w:num>
  <w:num w:numId="30">
    <w:abstractNumId w:val="25"/>
  </w:num>
  <w:num w:numId="31">
    <w:abstractNumId w:val="29"/>
  </w:num>
  <w:num w:numId="32">
    <w:abstractNumId w:val="32"/>
  </w:num>
  <w:num w:numId="33">
    <w:abstractNumId w:val="21"/>
  </w:num>
  <w:num w:numId="34">
    <w:abstractNumId w:val="17"/>
  </w:num>
  <w:num w:numId="35">
    <w:abstractNumId w:val="22"/>
  </w:num>
  <w:num w:numId="36">
    <w:abstractNumId w:val="38"/>
  </w:num>
  <w:num w:numId="37">
    <w:abstractNumId w:val="8"/>
  </w:num>
  <w:num w:numId="38">
    <w:abstractNumId w:val="31"/>
  </w:num>
  <w:num w:numId="39">
    <w:abstractNumId w:val="7"/>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19"/>
  </w:num>
  <w:num w:numId="43">
    <w:abstractNumId w:val="24"/>
  </w:num>
  <w:num w:numId="44">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se, Peter">
    <w15:presenceInfo w15:providerId="AD" w15:userId="S::Peter.Bense@sweco.co.uk::f1504415-917f-4ff1-a907-f3bd309c82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D51"/>
    <w:rsid w:val="00000F4D"/>
    <w:rsid w:val="0000106E"/>
    <w:rsid w:val="00004D0B"/>
    <w:rsid w:val="00005A29"/>
    <w:rsid w:val="0000656F"/>
    <w:rsid w:val="000077C6"/>
    <w:rsid w:val="00013833"/>
    <w:rsid w:val="00024BAA"/>
    <w:rsid w:val="0002533E"/>
    <w:rsid w:val="000267F2"/>
    <w:rsid w:val="0002693E"/>
    <w:rsid w:val="00026BB9"/>
    <w:rsid w:val="0002709C"/>
    <w:rsid w:val="000305F5"/>
    <w:rsid w:val="00031857"/>
    <w:rsid w:val="0003554C"/>
    <w:rsid w:val="00037C32"/>
    <w:rsid w:val="00040C28"/>
    <w:rsid w:val="00042567"/>
    <w:rsid w:val="00044253"/>
    <w:rsid w:val="00045156"/>
    <w:rsid w:val="00050B21"/>
    <w:rsid w:val="00053A1A"/>
    <w:rsid w:val="00054F2A"/>
    <w:rsid w:val="00055BAE"/>
    <w:rsid w:val="000566E5"/>
    <w:rsid w:val="0006229D"/>
    <w:rsid w:val="00062CED"/>
    <w:rsid w:val="000630E0"/>
    <w:rsid w:val="000641CB"/>
    <w:rsid w:val="000649E0"/>
    <w:rsid w:val="0007012D"/>
    <w:rsid w:val="00075CCF"/>
    <w:rsid w:val="00076B69"/>
    <w:rsid w:val="000773AE"/>
    <w:rsid w:val="00080490"/>
    <w:rsid w:val="0008128D"/>
    <w:rsid w:val="00085B7C"/>
    <w:rsid w:val="00085DA8"/>
    <w:rsid w:val="000864DC"/>
    <w:rsid w:val="00087C50"/>
    <w:rsid w:val="00092859"/>
    <w:rsid w:val="00092CDB"/>
    <w:rsid w:val="000A4A8D"/>
    <w:rsid w:val="000A4E15"/>
    <w:rsid w:val="000A50BA"/>
    <w:rsid w:val="000A6402"/>
    <w:rsid w:val="000A6627"/>
    <w:rsid w:val="000A6E88"/>
    <w:rsid w:val="000B3BBA"/>
    <w:rsid w:val="000B6788"/>
    <w:rsid w:val="000C1436"/>
    <w:rsid w:val="000D0464"/>
    <w:rsid w:val="000D2FC5"/>
    <w:rsid w:val="000E1B5E"/>
    <w:rsid w:val="000E2C28"/>
    <w:rsid w:val="000E4926"/>
    <w:rsid w:val="000E4D0D"/>
    <w:rsid w:val="000E50A9"/>
    <w:rsid w:val="000F1C49"/>
    <w:rsid w:val="000F2EC7"/>
    <w:rsid w:val="000F3E68"/>
    <w:rsid w:val="0010718C"/>
    <w:rsid w:val="00107EB3"/>
    <w:rsid w:val="0011000C"/>
    <w:rsid w:val="0011136A"/>
    <w:rsid w:val="00113ED5"/>
    <w:rsid w:val="001141F9"/>
    <w:rsid w:val="001159D1"/>
    <w:rsid w:val="0011670A"/>
    <w:rsid w:val="0011708E"/>
    <w:rsid w:val="00120454"/>
    <w:rsid w:val="001227A1"/>
    <w:rsid w:val="00123F24"/>
    <w:rsid w:val="00131F86"/>
    <w:rsid w:val="00133159"/>
    <w:rsid w:val="00136303"/>
    <w:rsid w:val="00136B6F"/>
    <w:rsid w:val="00140B60"/>
    <w:rsid w:val="001417D4"/>
    <w:rsid w:val="0014681D"/>
    <w:rsid w:val="00152154"/>
    <w:rsid w:val="00154CA9"/>
    <w:rsid w:val="001577A6"/>
    <w:rsid w:val="00160E54"/>
    <w:rsid w:val="00162669"/>
    <w:rsid w:val="0016288B"/>
    <w:rsid w:val="00171375"/>
    <w:rsid w:val="00175564"/>
    <w:rsid w:val="001761F2"/>
    <w:rsid w:val="00177E21"/>
    <w:rsid w:val="00180B7D"/>
    <w:rsid w:val="0018547A"/>
    <w:rsid w:val="001856A6"/>
    <w:rsid w:val="00187851"/>
    <w:rsid w:val="001903F2"/>
    <w:rsid w:val="00196913"/>
    <w:rsid w:val="001A0F8C"/>
    <w:rsid w:val="001A125E"/>
    <w:rsid w:val="001A19E6"/>
    <w:rsid w:val="001A235C"/>
    <w:rsid w:val="001A75AD"/>
    <w:rsid w:val="001B0497"/>
    <w:rsid w:val="001B0AD1"/>
    <w:rsid w:val="001B55F8"/>
    <w:rsid w:val="001B73EE"/>
    <w:rsid w:val="001C1206"/>
    <w:rsid w:val="001C30AF"/>
    <w:rsid w:val="001C62F4"/>
    <w:rsid w:val="001D1E2A"/>
    <w:rsid w:val="001D3389"/>
    <w:rsid w:val="001D399D"/>
    <w:rsid w:val="001D3A7B"/>
    <w:rsid w:val="001D4572"/>
    <w:rsid w:val="001D66B9"/>
    <w:rsid w:val="001D7BAE"/>
    <w:rsid w:val="001E104A"/>
    <w:rsid w:val="001E1B2F"/>
    <w:rsid w:val="001E3AEE"/>
    <w:rsid w:val="001E3F6C"/>
    <w:rsid w:val="001E736F"/>
    <w:rsid w:val="001E7953"/>
    <w:rsid w:val="001E7E9D"/>
    <w:rsid w:val="001F1688"/>
    <w:rsid w:val="001F1D09"/>
    <w:rsid w:val="001F503B"/>
    <w:rsid w:val="001F5D85"/>
    <w:rsid w:val="00206B60"/>
    <w:rsid w:val="0021009A"/>
    <w:rsid w:val="002102E1"/>
    <w:rsid w:val="00212952"/>
    <w:rsid w:val="00212CF0"/>
    <w:rsid w:val="002202C2"/>
    <w:rsid w:val="00224F53"/>
    <w:rsid w:val="002266C3"/>
    <w:rsid w:val="00232784"/>
    <w:rsid w:val="00232927"/>
    <w:rsid w:val="00236C85"/>
    <w:rsid w:val="00244E2C"/>
    <w:rsid w:val="002522DC"/>
    <w:rsid w:val="0025459F"/>
    <w:rsid w:val="00261ED4"/>
    <w:rsid w:val="0026522F"/>
    <w:rsid w:val="00265F97"/>
    <w:rsid w:val="002709C0"/>
    <w:rsid w:val="00272BC3"/>
    <w:rsid w:val="00272DA9"/>
    <w:rsid w:val="0027486A"/>
    <w:rsid w:val="00281823"/>
    <w:rsid w:val="00282D4C"/>
    <w:rsid w:val="00287D37"/>
    <w:rsid w:val="00291076"/>
    <w:rsid w:val="00291B58"/>
    <w:rsid w:val="00295E3C"/>
    <w:rsid w:val="002A1CE1"/>
    <w:rsid w:val="002A2950"/>
    <w:rsid w:val="002A2AD5"/>
    <w:rsid w:val="002A3D46"/>
    <w:rsid w:val="002A6BE0"/>
    <w:rsid w:val="002A71BF"/>
    <w:rsid w:val="002A7309"/>
    <w:rsid w:val="002A7B06"/>
    <w:rsid w:val="002B3F47"/>
    <w:rsid w:val="002C0A83"/>
    <w:rsid w:val="002C1F9A"/>
    <w:rsid w:val="002D0271"/>
    <w:rsid w:val="002D2C44"/>
    <w:rsid w:val="002D4AF9"/>
    <w:rsid w:val="002E24CF"/>
    <w:rsid w:val="002E3F52"/>
    <w:rsid w:val="002E6EAD"/>
    <w:rsid w:val="002F451D"/>
    <w:rsid w:val="002F63E9"/>
    <w:rsid w:val="003008E4"/>
    <w:rsid w:val="0030136D"/>
    <w:rsid w:val="00302170"/>
    <w:rsid w:val="0030272A"/>
    <w:rsid w:val="00302BC8"/>
    <w:rsid w:val="00305F83"/>
    <w:rsid w:val="00307216"/>
    <w:rsid w:val="0031153D"/>
    <w:rsid w:val="0031342D"/>
    <w:rsid w:val="003148B1"/>
    <w:rsid w:val="00316B7E"/>
    <w:rsid w:val="00321DFD"/>
    <w:rsid w:val="00323CB9"/>
    <w:rsid w:val="0032695A"/>
    <w:rsid w:val="003273B5"/>
    <w:rsid w:val="0033159E"/>
    <w:rsid w:val="00333D41"/>
    <w:rsid w:val="00350C6C"/>
    <w:rsid w:val="00355315"/>
    <w:rsid w:val="00356FDB"/>
    <w:rsid w:val="00362359"/>
    <w:rsid w:val="00363D8C"/>
    <w:rsid w:val="00370593"/>
    <w:rsid w:val="003712E7"/>
    <w:rsid w:val="003726D6"/>
    <w:rsid w:val="00374496"/>
    <w:rsid w:val="00374EF8"/>
    <w:rsid w:val="00381518"/>
    <w:rsid w:val="00381D03"/>
    <w:rsid w:val="00393FB4"/>
    <w:rsid w:val="00393FBF"/>
    <w:rsid w:val="00394548"/>
    <w:rsid w:val="00394733"/>
    <w:rsid w:val="00394D37"/>
    <w:rsid w:val="0039500B"/>
    <w:rsid w:val="00395395"/>
    <w:rsid w:val="00395E91"/>
    <w:rsid w:val="00396FB6"/>
    <w:rsid w:val="00397991"/>
    <w:rsid w:val="003A17A8"/>
    <w:rsid w:val="003A2B20"/>
    <w:rsid w:val="003A4068"/>
    <w:rsid w:val="003A4391"/>
    <w:rsid w:val="003B046D"/>
    <w:rsid w:val="003B4016"/>
    <w:rsid w:val="003B4324"/>
    <w:rsid w:val="003B4766"/>
    <w:rsid w:val="003B5B7D"/>
    <w:rsid w:val="003B7DA1"/>
    <w:rsid w:val="003C0F99"/>
    <w:rsid w:val="003C1F67"/>
    <w:rsid w:val="003C20E5"/>
    <w:rsid w:val="003C7FF1"/>
    <w:rsid w:val="003D2F43"/>
    <w:rsid w:val="003D55E1"/>
    <w:rsid w:val="003D63BA"/>
    <w:rsid w:val="003E3375"/>
    <w:rsid w:val="003E4369"/>
    <w:rsid w:val="003E69DA"/>
    <w:rsid w:val="003F2EE1"/>
    <w:rsid w:val="003F4657"/>
    <w:rsid w:val="003F71DF"/>
    <w:rsid w:val="0040602A"/>
    <w:rsid w:val="00407D4A"/>
    <w:rsid w:val="004100C3"/>
    <w:rsid w:val="00410304"/>
    <w:rsid w:val="00417ABB"/>
    <w:rsid w:val="0042290B"/>
    <w:rsid w:val="00426457"/>
    <w:rsid w:val="0042689B"/>
    <w:rsid w:val="004305A1"/>
    <w:rsid w:val="004406E3"/>
    <w:rsid w:val="0044188E"/>
    <w:rsid w:val="00443CEA"/>
    <w:rsid w:val="00444C35"/>
    <w:rsid w:val="00445C4F"/>
    <w:rsid w:val="00446B5F"/>
    <w:rsid w:val="00452265"/>
    <w:rsid w:val="00454252"/>
    <w:rsid w:val="004542EE"/>
    <w:rsid w:val="00463B3C"/>
    <w:rsid w:val="00465B8B"/>
    <w:rsid w:val="00470196"/>
    <w:rsid w:val="00471789"/>
    <w:rsid w:val="00474177"/>
    <w:rsid w:val="00476756"/>
    <w:rsid w:val="00477CC9"/>
    <w:rsid w:val="00480ED3"/>
    <w:rsid w:val="00482128"/>
    <w:rsid w:val="00482571"/>
    <w:rsid w:val="00482E15"/>
    <w:rsid w:val="004866ED"/>
    <w:rsid w:val="00490AA2"/>
    <w:rsid w:val="00492F66"/>
    <w:rsid w:val="00493973"/>
    <w:rsid w:val="0049664A"/>
    <w:rsid w:val="00496852"/>
    <w:rsid w:val="00497BEF"/>
    <w:rsid w:val="004A28F3"/>
    <w:rsid w:val="004A71BD"/>
    <w:rsid w:val="004A7612"/>
    <w:rsid w:val="004B11A1"/>
    <w:rsid w:val="004B3090"/>
    <w:rsid w:val="004B7783"/>
    <w:rsid w:val="004B78FF"/>
    <w:rsid w:val="004C0BA9"/>
    <w:rsid w:val="004C2E5B"/>
    <w:rsid w:val="004C3FCE"/>
    <w:rsid w:val="004C5C25"/>
    <w:rsid w:val="004C7208"/>
    <w:rsid w:val="004C7B1E"/>
    <w:rsid w:val="004D1C64"/>
    <w:rsid w:val="004D5E80"/>
    <w:rsid w:val="004D5F9C"/>
    <w:rsid w:val="004D600D"/>
    <w:rsid w:val="004E64F2"/>
    <w:rsid w:val="004E662A"/>
    <w:rsid w:val="004E6F46"/>
    <w:rsid w:val="004E7E91"/>
    <w:rsid w:val="004F0B91"/>
    <w:rsid w:val="004F2F87"/>
    <w:rsid w:val="004F512D"/>
    <w:rsid w:val="00507ABF"/>
    <w:rsid w:val="005111D3"/>
    <w:rsid w:val="005169EC"/>
    <w:rsid w:val="005174C6"/>
    <w:rsid w:val="00517F16"/>
    <w:rsid w:val="0052163B"/>
    <w:rsid w:val="005256EB"/>
    <w:rsid w:val="005332D5"/>
    <w:rsid w:val="00533753"/>
    <w:rsid w:val="005350B8"/>
    <w:rsid w:val="005354AA"/>
    <w:rsid w:val="005400FD"/>
    <w:rsid w:val="0054209D"/>
    <w:rsid w:val="005420F8"/>
    <w:rsid w:val="005459BD"/>
    <w:rsid w:val="005471D7"/>
    <w:rsid w:val="0054767B"/>
    <w:rsid w:val="00547856"/>
    <w:rsid w:val="005502F7"/>
    <w:rsid w:val="005522FA"/>
    <w:rsid w:val="005528AC"/>
    <w:rsid w:val="0055326A"/>
    <w:rsid w:val="00553758"/>
    <w:rsid w:val="0055388C"/>
    <w:rsid w:val="0055459D"/>
    <w:rsid w:val="00554DBB"/>
    <w:rsid w:val="00560063"/>
    <w:rsid w:val="00562331"/>
    <w:rsid w:val="0056591F"/>
    <w:rsid w:val="0056743C"/>
    <w:rsid w:val="00571AEB"/>
    <w:rsid w:val="00584DA7"/>
    <w:rsid w:val="00586C8F"/>
    <w:rsid w:val="00596955"/>
    <w:rsid w:val="005A12F0"/>
    <w:rsid w:val="005A1501"/>
    <w:rsid w:val="005A164A"/>
    <w:rsid w:val="005A3B0E"/>
    <w:rsid w:val="005B307A"/>
    <w:rsid w:val="005B69C2"/>
    <w:rsid w:val="005B7B2A"/>
    <w:rsid w:val="005C23AE"/>
    <w:rsid w:val="005C426C"/>
    <w:rsid w:val="005C489D"/>
    <w:rsid w:val="005D106E"/>
    <w:rsid w:val="005D3829"/>
    <w:rsid w:val="005D5E05"/>
    <w:rsid w:val="005D6A74"/>
    <w:rsid w:val="005E2569"/>
    <w:rsid w:val="005E4298"/>
    <w:rsid w:val="005E579C"/>
    <w:rsid w:val="005E6B47"/>
    <w:rsid w:val="005F1296"/>
    <w:rsid w:val="005F1AC2"/>
    <w:rsid w:val="005F7E1C"/>
    <w:rsid w:val="00603613"/>
    <w:rsid w:val="00604632"/>
    <w:rsid w:val="00604F19"/>
    <w:rsid w:val="006101F7"/>
    <w:rsid w:val="006110DD"/>
    <w:rsid w:val="00614460"/>
    <w:rsid w:val="00614CB7"/>
    <w:rsid w:val="006220FE"/>
    <w:rsid w:val="00623CFC"/>
    <w:rsid w:val="0062493C"/>
    <w:rsid w:val="00624C93"/>
    <w:rsid w:val="00627986"/>
    <w:rsid w:val="00630A0B"/>
    <w:rsid w:val="00632443"/>
    <w:rsid w:val="0063253F"/>
    <w:rsid w:val="006329C9"/>
    <w:rsid w:val="006373ED"/>
    <w:rsid w:val="00637ECD"/>
    <w:rsid w:val="006428DB"/>
    <w:rsid w:val="00643ACB"/>
    <w:rsid w:val="00643C3E"/>
    <w:rsid w:val="006452DA"/>
    <w:rsid w:val="00652EA8"/>
    <w:rsid w:val="0065578B"/>
    <w:rsid w:val="00655F07"/>
    <w:rsid w:val="00656E0F"/>
    <w:rsid w:val="00661111"/>
    <w:rsid w:val="00662572"/>
    <w:rsid w:val="006643C5"/>
    <w:rsid w:val="00665339"/>
    <w:rsid w:val="00666897"/>
    <w:rsid w:val="006706B2"/>
    <w:rsid w:val="00672A69"/>
    <w:rsid w:val="00675888"/>
    <w:rsid w:val="00677FB5"/>
    <w:rsid w:val="00680840"/>
    <w:rsid w:val="006815E5"/>
    <w:rsid w:val="00683171"/>
    <w:rsid w:val="00690A99"/>
    <w:rsid w:val="00692B54"/>
    <w:rsid w:val="00695FDB"/>
    <w:rsid w:val="006A1399"/>
    <w:rsid w:val="006A1652"/>
    <w:rsid w:val="006A39E0"/>
    <w:rsid w:val="006A6DDC"/>
    <w:rsid w:val="006B588D"/>
    <w:rsid w:val="006B665D"/>
    <w:rsid w:val="006B6D25"/>
    <w:rsid w:val="006B744C"/>
    <w:rsid w:val="006B7987"/>
    <w:rsid w:val="006C03CA"/>
    <w:rsid w:val="006C11F9"/>
    <w:rsid w:val="006C2C2B"/>
    <w:rsid w:val="006C349F"/>
    <w:rsid w:val="006C4C3B"/>
    <w:rsid w:val="006C5E5D"/>
    <w:rsid w:val="006D1EC2"/>
    <w:rsid w:val="006D370A"/>
    <w:rsid w:val="006D4029"/>
    <w:rsid w:val="006E3F9B"/>
    <w:rsid w:val="006E551F"/>
    <w:rsid w:val="006E6873"/>
    <w:rsid w:val="006E6B93"/>
    <w:rsid w:val="006E77B9"/>
    <w:rsid w:val="006F12E8"/>
    <w:rsid w:val="006F29F0"/>
    <w:rsid w:val="006F523A"/>
    <w:rsid w:val="006F5272"/>
    <w:rsid w:val="006F5FD7"/>
    <w:rsid w:val="007002D5"/>
    <w:rsid w:val="00706BBC"/>
    <w:rsid w:val="00710C3F"/>
    <w:rsid w:val="007136A1"/>
    <w:rsid w:val="00713929"/>
    <w:rsid w:val="0071483F"/>
    <w:rsid w:val="0071508A"/>
    <w:rsid w:val="0071789F"/>
    <w:rsid w:val="00722E57"/>
    <w:rsid w:val="00724093"/>
    <w:rsid w:val="007247A1"/>
    <w:rsid w:val="00724A51"/>
    <w:rsid w:val="00724D07"/>
    <w:rsid w:val="00735650"/>
    <w:rsid w:val="007413BD"/>
    <w:rsid w:val="007423F7"/>
    <w:rsid w:val="00743CDA"/>
    <w:rsid w:val="00745160"/>
    <w:rsid w:val="007451EC"/>
    <w:rsid w:val="007516C1"/>
    <w:rsid w:val="00751BE1"/>
    <w:rsid w:val="0075490D"/>
    <w:rsid w:val="00756DEB"/>
    <w:rsid w:val="00760E7C"/>
    <w:rsid w:val="007611C3"/>
    <w:rsid w:val="0076326B"/>
    <w:rsid w:val="00764B85"/>
    <w:rsid w:val="007650D4"/>
    <w:rsid w:val="00767B11"/>
    <w:rsid w:val="00774CEC"/>
    <w:rsid w:val="00775BD3"/>
    <w:rsid w:val="00782D98"/>
    <w:rsid w:val="00784A1A"/>
    <w:rsid w:val="00785EE6"/>
    <w:rsid w:val="0078616B"/>
    <w:rsid w:val="007904E7"/>
    <w:rsid w:val="00790E79"/>
    <w:rsid w:val="007912BC"/>
    <w:rsid w:val="00792815"/>
    <w:rsid w:val="0079310A"/>
    <w:rsid w:val="00793E13"/>
    <w:rsid w:val="00795920"/>
    <w:rsid w:val="00796F57"/>
    <w:rsid w:val="0079735E"/>
    <w:rsid w:val="007A24E2"/>
    <w:rsid w:val="007A3AAA"/>
    <w:rsid w:val="007A7B67"/>
    <w:rsid w:val="007A7DF2"/>
    <w:rsid w:val="007B06C3"/>
    <w:rsid w:val="007B117A"/>
    <w:rsid w:val="007B190D"/>
    <w:rsid w:val="007B2945"/>
    <w:rsid w:val="007B6477"/>
    <w:rsid w:val="007B6600"/>
    <w:rsid w:val="007B7908"/>
    <w:rsid w:val="007C07B8"/>
    <w:rsid w:val="007C1FF3"/>
    <w:rsid w:val="007C332F"/>
    <w:rsid w:val="007C34F3"/>
    <w:rsid w:val="007C6362"/>
    <w:rsid w:val="007C686B"/>
    <w:rsid w:val="007D0B08"/>
    <w:rsid w:val="007D575F"/>
    <w:rsid w:val="007D62E6"/>
    <w:rsid w:val="007D6FE1"/>
    <w:rsid w:val="007E4C33"/>
    <w:rsid w:val="00801579"/>
    <w:rsid w:val="0080670B"/>
    <w:rsid w:val="008075A0"/>
    <w:rsid w:val="00810ACC"/>
    <w:rsid w:val="008126EC"/>
    <w:rsid w:val="00813049"/>
    <w:rsid w:val="00814A8F"/>
    <w:rsid w:val="00824A2E"/>
    <w:rsid w:val="00824FB1"/>
    <w:rsid w:val="00825377"/>
    <w:rsid w:val="00825A2A"/>
    <w:rsid w:val="00833CC3"/>
    <w:rsid w:val="00841BF7"/>
    <w:rsid w:val="00847465"/>
    <w:rsid w:val="00851E20"/>
    <w:rsid w:val="00853B20"/>
    <w:rsid w:val="00854D69"/>
    <w:rsid w:val="0085667E"/>
    <w:rsid w:val="00863A0F"/>
    <w:rsid w:val="00864AC2"/>
    <w:rsid w:val="0087303C"/>
    <w:rsid w:val="008765D7"/>
    <w:rsid w:val="00880685"/>
    <w:rsid w:val="00880BA1"/>
    <w:rsid w:val="00881064"/>
    <w:rsid w:val="008819A6"/>
    <w:rsid w:val="00882557"/>
    <w:rsid w:val="00884A82"/>
    <w:rsid w:val="00890501"/>
    <w:rsid w:val="00890EAF"/>
    <w:rsid w:val="008935AC"/>
    <w:rsid w:val="0089553A"/>
    <w:rsid w:val="00896BCF"/>
    <w:rsid w:val="008971F1"/>
    <w:rsid w:val="0089720D"/>
    <w:rsid w:val="00897917"/>
    <w:rsid w:val="008A0670"/>
    <w:rsid w:val="008A48C5"/>
    <w:rsid w:val="008A5DB6"/>
    <w:rsid w:val="008B3251"/>
    <w:rsid w:val="008B4521"/>
    <w:rsid w:val="008B4BCC"/>
    <w:rsid w:val="008B7F5D"/>
    <w:rsid w:val="008C0D50"/>
    <w:rsid w:val="008C40AF"/>
    <w:rsid w:val="008C7EC9"/>
    <w:rsid w:val="008D3E30"/>
    <w:rsid w:val="008D5EED"/>
    <w:rsid w:val="008D6824"/>
    <w:rsid w:val="008D72C2"/>
    <w:rsid w:val="008E6646"/>
    <w:rsid w:val="008E68DB"/>
    <w:rsid w:val="008E7563"/>
    <w:rsid w:val="008F00A1"/>
    <w:rsid w:val="008F0127"/>
    <w:rsid w:val="008F0BF6"/>
    <w:rsid w:val="008F1E2E"/>
    <w:rsid w:val="008F4AD5"/>
    <w:rsid w:val="008F517A"/>
    <w:rsid w:val="008F6C1A"/>
    <w:rsid w:val="00905616"/>
    <w:rsid w:val="009117FE"/>
    <w:rsid w:val="00912CDC"/>
    <w:rsid w:val="009156A6"/>
    <w:rsid w:val="00920934"/>
    <w:rsid w:val="00922D35"/>
    <w:rsid w:val="00925F3F"/>
    <w:rsid w:val="00927183"/>
    <w:rsid w:val="00930ACB"/>
    <w:rsid w:val="00932665"/>
    <w:rsid w:val="00935456"/>
    <w:rsid w:val="009379D0"/>
    <w:rsid w:val="0094112A"/>
    <w:rsid w:val="009414D4"/>
    <w:rsid w:val="00941D51"/>
    <w:rsid w:val="00942F5C"/>
    <w:rsid w:val="00944245"/>
    <w:rsid w:val="0094491C"/>
    <w:rsid w:val="0094511C"/>
    <w:rsid w:val="009453B0"/>
    <w:rsid w:val="00952726"/>
    <w:rsid w:val="00954C67"/>
    <w:rsid w:val="009558D9"/>
    <w:rsid w:val="00955FE6"/>
    <w:rsid w:val="00957000"/>
    <w:rsid w:val="00962135"/>
    <w:rsid w:val="009640C3"/>
    <w:rsid w:val="00964C67"/>
    <w:rsid w:val="00965DB9"/>
    <w:rsid w:val="0096613C"/>
    <w:rsid w:val="00966E91"/>
    <w:rsid w:val="00966F96"/>
    <w:rsid w:val="0097132F"/>
    <w:rsid w:val="0097261E"/>
    <w:rsid w:val="00976065"/>
    <w:rsid w:val="00981433"/>
    <w:rsid w:val="00983869"/>
    <w:rsid w:val="00983D72"/>
    <w:rsid w:val="00984AE6"/>
    <w:rsid w:val="00986FF2"/>
    <w:rsid w:val="00992F15"/>
    <w:rsid w:val="00997C5A"/>
    <w:rsid w:val="009A3775"/>
    <w:rsid w:val="009A53A1"/>
    <w:rsid w:val="009A5EF6"/>
    <w:rsid w:val="009A6115"/>
    <w:rsid w:val="009A6AC1"/>
    <w:rsid w:val="009B0B25"/>
    <w:rsid w:val="009B1886"/>
    <w:rsid w:val="009B2D6F"/>
    <w:rsid w:val="009B3867"/>
    <w:rsid w:val="009B6E9F"/>
    <w:rsid w:val="009B7390"/>
    <w:rsid w:val="009B7DE0"/>
    <w:rsid w:val="009C444A"/>
    <w:rsid w:val="009C4857"/>
    <w:rsid w:val="009C75C4"/>
    <w:rsid w:val="009D2B76"/>
    <w:rsid w:val="009D6CE2"/>
    <w:rsid w:val="009E11E5"/>
    <w:rsid w:val="009E185A"/>
    <w:rsid w:val="009E3A4E"/>
    <w:rsid w:val="009E49E3"/>
    <w:rsid w:val="009E4BBF"/>
    <w:rsid w:val="009E5042"/>
    <w:rsid w:val="009E7342"/>
    <w:rsid w:val="009F2BFC"/>
    <w:rsid w:val="009F2E81"/>
    <w:rsid w:val="00A0314B"/>
    <w:rsid w:val="00A04C16"/>
    <w:rsid w:val="00A07C51"/>
    <w:rsid w:val="00A12103"/>
    <w:rsid w:val="00A14ADD"/>
    <w:rsid w:val="00A15931"/>
    <w:rsid w:val="00A243E7"/>
    <w:rsid w:val="00A2504A"/>
    <w:rsid w:val="00A25B50"/>
    <w:rsid w:val="00A3222E"/>
    <w:rsid w:val="00A3682F"/>
    <w:rsid w:val="00A3768F"/>
    <w:rsid w:val="00A378D6"/>
    <w:rsid w:val="00A40EFC"/>
    <w:rsid w:val="00A42A8D"/>
    <w:rsid w:val="00A42AC8"/>
    <w:rsid w:val="00A44257"/>
    <w:rsid w:val="00A474ED"/>
    <w:rsid w:val="00A52636"/>
    <w:rsid w:val="00A52D63"/>
    <w:rsid w:val="00A57C0D"/>
    <w:rsid w:val="00A60906"/>
    <w:rsid w:val="00A636D4"/>
    <w:rsid w:val="00A65B78"/>
    <w:rsid w:val="00A6690B"/>
    <w:rsid w:val="00A66F45"/>
    <w:rsid w:val="00A71689"/>
    <w:rsid w:val="00A7339A"/>
    <w:rsid w:val="00A760FD"/>
    <w:rsid w:val="00A8020D"/>
    <w:rsid w:val="00A80EBE"/>
    <w:rsid w:val="00A84A9D"/>
    <w:rsid w:val="00A87112"/>
    <w:rsid w:val="00A9070F"/>
    <w:rsid w:val="00A95754"/>
    <w:rsid w:val="00A96563"/>
    <w:rsid w:val="00AA1022"/>
    <w:rsid w:val="00AA5F93"/>
    <w:rsid w:val="00AB177B"/>
    <w:rsid w:val="00AB2820"/>
    <w:rsid w:val="00AB5940"/>
    <w:rsid w:val="00AB79F2"/>
    <w:rsid w:val="00AC0D57"/>
    <w:rsid w:val="00AC288B"/>
    <w:rsid w:val="00AC73F5"/>
    <w:rsid w:val="00AD21D8"/>
    <w:rsid w:val="00AD4807"/>
    <w:rsid w:val="00AE1D5B"/>
    <w:rsid w:val="00AE2642"/>
    <w:rsid w:val="00AE6EB2"/>
    <w:rsid w:val="00AF0609"/>
    <w:rsid w:val="00AF066E"/>
    <w:rsid w:val="00AF1A3B"/>
    <w:rsid w:val="00AF1E0E"/>
    <w:rsid w:val="00AF1F68"/>
    <w:rsid w:val="00AF6C20"/>
    <w:rsid w:val="00AF7B39"/>
    <w:rsid w:val="00B0376A"/>
    <w:rsid w:val="00B039F5"/>
    <w:rsid w:val="00B05498"/>
    <w:rsid w:val="00B07ABD"/>
    <w:rsid w:val="00B15E2E"/>
    <w:rsid w:val="00B1606C"/>
    <w:rsid w:val="00B16A40"/>
    <w:rsid w:val="00B16C37"/>
    <w:rsid w:val="00B17A1C"/>
    <w:rsid w:val="00B213F0"/>
    <w:rsid w:val="00B2265D"/>
    <w:rsid w:val="00B27159"/>
    <w:rsid w:val="00B30052"/>
    <w:rsid w:val="00B306C0"/>
    <w:rsid w:val="00B37127"/>
    <w:rsid w:val="00B3751D"/>
    <w:rsid w:val="00B43280"/>
    <w:rsid w:val="00B45B83"/>
    <w:rsid w:val="00B51E14"/>
    <w:rsid w:val="00B52BEA"/>
    <w:rsid w:val="00B56500"/>
    <w:rsid w:val="00B62EE4"/>
    <w:rsid w:val="00B62F2C"/>
    <w:rsid w:val="00B64E15"/>
    <w:rsid w:val="00B6646A"/>
    <w:rsid w:val="00B672BB"/>
    <w:rsid w:val="00B70E96"/>
    <w:rsid w:val="00B75C47"/>
    <w:rsid w:val="00B81CFE"/>
    <w:rsid w:val="00B90572"/>
    <w:rsid w:val="00B911E3"/>
    <w:rsid w:val="00B93344"/>
    <w:rsid w:val="00BA03A3"/>
    <w:rsid w:val="00BA15BC"/>
    <w:rsid w:val="00BA4EA1"/>
    <w:rsid w:val="00BA602F"/>
    <w:rsid w:val="00BB3852"/>
    <w:rsid w:val="00BB72DF"/>
    <w:rsid w:val="00BC16EB"/>
    <w:rsid w:val="00BC1C4F"/>
    <w:rsid w:val="00BC46D9"/>
    <w:rsid w:val="00BC58E4"/>
    <w:rsid w:val="00BC7DA9"/>
    <w:rsid w:val="00BD52C1"/>
    <w:rsid w:val="00BD73A0"/>
    <w:rsid w:val="00BD7E57"/>
    <w:rsid w:val="00BE053A"/>
    <w:rsid w:val="00BE0A73"/>
    <w:rsid w:val="00BE38E1"/>
    <w:rsid w:val="00BE5909"/>
    <w:rsid w:val="00BE79C2"/>
    <w:rsid w:val="00BF0F75"/>
    <w:rsid w:val="00BF136F"/>
    <w:rsid w:val="00BF5D72"/>
    <w:rsid w:val="00C0011F"/>
    <w:rsid w:val="00C00311"/>
    <w:rsid w:val="00C0505F"/>
    <w:rsid w:val="00C0656B"/>
    <w:rsid w:val="00C06904"/>
    <w:rsid w:val="00C071C9"/>
    <w:rsid w:val="00C07399"/>
    <w:rsid w:val="00C126D6"/>
    <w:rsid w:val="00C139E3"/>
    <w:rsid w:val="00C14E66"/>
    <w:rsid w:val="00C1513C"/>
    <w:rsid w:val="00C1562F"/>
    <w:rsid w:val="00C16105"/>
    <w:rsid w:val="00C25F06"/>
    <w:rsid w:val="00C32569"/>
    <w:rsid w:val="00C341EB"/>
    <w:rsid w:val="00C37BDD"/>
    <w:rsid w:val="00C41172"/>
    <w:rsid w:val="00C41880"/>
    <w:rsid w:val="00C429F1"/>
    <w:rsid w:val="00C4367C"/>
    <w:rsid w:val="00C454D1"/>
    <w:rsid w:val="00C45ACF"/>
    <w:rsid w:val="00C46C4E"/>
    <w:rsid w:val="00C47C82"/>
    <w:rsid w:val="00C509D2"/>
    <w:rsid w:val="00C55710"/>
    <w:rsid w:val="00C56660"/>
    <w:rsid w:val="00C579EA"/>
    <w:rsid w:val="00C6014C"/>
    <w:rsid w:val="00C66E4B"/>
    <w:rsid w:val="00C744E6"/>
    <w:rsid w:val="00C74B74"/>
    <w:rsid w:val="00C74CCA"/>
    <w:rsid w:val="00C825E7"/>
    <w:rsid w:val="00C8352D"/>
    <w:rsid w:val="00C84849"/>
    <w:rsid w:val="00C87260"/>
    <w:rsid w:val="00C91823"/>
    <w:rsid w:val="00C957CB"/>
    <w:rsid w:val="00C95B00"/>
    <w:rsid w:val="00CA1779"/>
    <w:rsid w:val="00CA443B"/>
    <w:rsid w:val="00CA47C9"/>
    <w:rsid w:val="00CA5D7B"/>
    <w:rsid w:val="00CB1784"/>
    <w:rsid w:val="00CB430E"/>
    <w:rsid w:val="00CB5ACA"/>
    <w:rsid w:val="00CC0D21"/>
    <w:rsid w:val="00CC0F87"/>
    <w:rsid w:val="00CC3533"/>
    <w:rsid w:val="00CC37FE"/>
    <w:rsid w:val="00CD12F1"/>
    <w:rsid w:val="00CD19E8"/>
    <w:rsid w:val="00CD2C5C"/>
    <w:rsid w:val="00CD65CA"/>
    <w:rsid w:val="00CE19F1"/>
    <w:rsid w:val="00CE392C"/>
    <w:rsid w:val="00CF0E97"/>
    <w:rsid w:val="00CF1860"/>
    <w:rsid w:val="00CF63A3"/>
    <w:rsid w:val="00CF7586"/>
    <w:rsid w:val="00CF76B3"/>
    <w:rsid w:val="00D01A63"/>
    <w:rsid w:val="00D0327E"/>
    <w:rsid w:val="00D042FB"/>
    <w:rsid w:val="00D05B34"/>
    <w:rsid w:val="00D06F31"/>
    <w:rsid w:val="00D10741"/>
    <w:rsid w:val="00D10B15"/>
    <w:rsid w:val="00D16550"/>
    <w:rsid w:val="00D2102F"/>
    <w:rsid w:val="00D21145"/>
    <w:rsid w:val="00D229D6"/>
    <w:rsid w:val="00D22D54"/>
    <w:rsid w:val="00D230FF"/>
    <w:rsid w:val="00D234CD"/>
    <w:rsid w:val="00D2403C"/>
    <w:rsid w:val="00D26BA2"/>
    <w:rsid w:val="00D33066"/>
    <w:rsid w:val="00D43A86"/>
    <w:rsid w:val="00D464A1"/>
    <w:rsid w:val="00D46E05"/>
    <w:rsid w:val="00D47E50"/>
    <w:rsid w:val="00D55691"/>
    <w:rsid w:val="00D56F58"/>
    <w:rsid w:val="00D639A9"/>
    <w:rsid w:val="00D64C69"/>
    <w:rsid w:val="00D72A50"/>
    <w:rsid w:val="00D72BE0"/>
    <w:rsid w:val="00D7470B"/>
    <w:rsid w:val="00D8006C"/>
    <w:rsid w:val="00D81CA7"/>
    <w:rsid w:val="00D820FA"/>
    <w:rsid w:val="00D84263"/>
    <w:rsid w:val="00D8480B"/>
    <w:rsid w:val="00D90AB5"/>
    <w:rsid w:val="00D94BEC"/>
    <w:rsid w:val="00D95F65"/>
    <w:rsid w:val="00D97AD4"/>
    <w:rsid w:val="00DA33DC"/>
    <w:rsid w:val="00DA6736"/>
    <w:rsid w:val="00DB79BD"/>
    <w:rsid w:val="00DC04B0"/>
    <w:rsid w:val="00DC1C73"/>
    <w:rsid w:val="00DC1F53"/>
    <w:rsid w:val="00DC2B3A"/>
    <w:rsid w:val="00DC59D7"/>
    <w:rsid w:val="00DD5D7E"/>
    <w:rsid w:val="00DE06A4"/>
    <w:rsid w:val="00DE205E"/>
    <w:rsid w:val="00DE38A4"/>
    <w:rsid w:val="00DE3BAD"/>
    <w:rsid w:val="00DE5B4F"/>
    <w:rsid w:val="00DE5C26"/>
    <w:rsid w:val="00DE64FD"/>
    <w:rsid w:val="00DE75DD"/>
    <w:rsid w:val="00DF007E"/>
    <w:rsid w:val="00DF510D"/>
    <w:rsid w:val="00DF513E"/>
    <w:rsid w:val="00DF6449"/>
    <w:rsid w:val="00DF6B4F"/>
    <w:rsid w:val="00E00771"/>
    <w:rsid w:val="00E01CA7"/>
    <w:rsid w:val="00E03C01"/>
    <w:rsid w:val="00E073CB"/>
    <w:rsid w:val="00E10572"/>
    <w:rsid w:val="00E10EFA"/>
    <w:rsid w:val="00E1308A"/>
    <w:rsid w:val="00E14C5D"/>
    <w:rsid w:val="00E241E2"/>
    <w:rsid w:val="00E279F2"/>
    <w:rsid w:val="00E27E5C"/>
    <w:rsid w:val="00E30FA6"/>
    <w:rsid w:val="00E3237F"/>
    <w:rsid w:val="00E32AAC"/>
    <w:rsid w:val="00E3351C"/>
    <w:rsid w:val="00E356EC"/>
    <w:rsid w:val="00E3597F"/>
    <w:rsid w:val="00E40BEC"/>
    <w:rsid w:val="00E41570"/>
    <w:rsid w:val="00E430BD"/>
    <w:rsid w:val="00E46647"/>
    <w:rsid w:val="00E46B10"/>
    <w:rsid w:val="00E479FE"/>
    <w:rsid w:val="00E507C7"/>
    <w:rsid w:val="00E56964"/>
    <w:rsid w:val="00E614C3"/>
    <w:rsid w:val="00E626D7"/>
    <w:rsid w:val="00E67B29"/>
    <w:rsid w:val="00E70BAA"/>
    <w:rsid w:val="00E7104E"/>
    <w:rsid w:val="00E72A30"/>
    <w:rsid w:val="00E7557F"/>
    <w:rsid w:val="00E769CD"/>
    <w:rsid w:val="00E8260A"/>
    <w:rsid w:val="00E82E12"/>
    <w:rsid w:val="00E83566"/>
    <w:rsid w:val="00E840DE"/>
    <w:rsid w:val="00E84786"/>
    <w:rsid w:val="00E973CD"/>
    <w:rsid w:val="00EA0D84"/>
    <w:rsid w:val="00EA6919"/>
    <w:rsid w:val="00EA7397"/>
    <w:rsid w:val="00EB1450"/>
    <w:rsid w:val="00EB3ACD"/>
    <w:rsid w:val="00EB3DFE"/>
    <w:rsid w:val="00EB59D0"/>
    <w:rsid w:val="00EB63B1"/>
    <w:rsid w:val="00EC4EB7"/>
    <w:rsid w:val="00EC5808"/>
    <w:rsid w:val="00EC66C7"/>
    <w:rsid w:val="00ED1210"/>
    <w:rsid w:val="00ED1C3F"/>
    <w:rsid w:val="00ED49AF"/>
    <w:rsid w:val="00ED5791"/>
    <w:rsid w:val="00ED7D8E"/>
    <w:rsid w:val="00EE0F32"/>
    <w:rsid w:val="00EE25EF"/>
    <w:rsid w:val="00EE3644"/>
    <w:rsid w:val="00EF13BC"/>
    <w:rsid w:val="00EF3C16"/>
    <w:rsid w:val="00EF4700"/>
    <w:rsid w:val="00EF4C36"/>
    <w:rsid w:val="00EF6878"/>
    <w:rsid w:val="00EF7E18"/>
    <w:rsid w:val="00F02B44"/>
    <w:rsid w:val="00F0589D"/>
    <w:rsid w:val="00F05E10"/>
    <w:rsid w:val="00F0776F"/>
    <w:rsid w:val="00F12503"/>
    <w:rsid w:val="00F1395D"/>
    <w:rsid w:val="00F16A4F"/>
    <w:rsid w:val="00F21065"/>
    <w:rsid w:val="00F227F0"/>
    <w:rsid w:val="00F23B03"/>
    <w:rsid w:val="00F23E30"/>
    <w:rsid w:val="00F27375"/>
    <w:rsid w:val="00F305DE"/>
    <w:rsid w:val="00F312F8"/>
    <w:rsid w:val="00F3183B"/>
    <w:rsid w:val="00F32474"/>
    <w:rsid w:val="00F32BF1"/>
    <w:rsid w:val="00F32F87"/>
    <w:rsid w:val="00F34BB6"/>
    <w:rsid w:val="00F34EC4"/>
    <w:rsid w:val="00F360EC"/>
    <w:rsid w:val="00F3663B"/>
    <w:rsid w:val="00F37051"/>
    <w:rsid w:val="00F403C1"/>
    <w:rsid w:val="00F4193A"/>
    <w:rsid w:val="00F45D61"/>
    <w:rsid w:val="00F47E98"/>
    <w:rsid w:val="00F52CF0"/>
    <w:rsid w:val="00F5339C"/>
    <w:rsid w:val="00F57F57"/>
    <w:rsid w:val="00F62715"/>
    <w:rsid w:val="00F635C8"/>
    <w:rsid w:val="00F635FD"/>
    <w:rsid w:val="00F6404B"/>
    <w:rsid w:val="00F66353"/>
    <w:rsid w:val="00F74545"/>
    <w:rsid w:val="00F8433C"/>
    <w:rsid w:val="00F860DC"/>
    <w:rsid w:val="00F86B2C"/>
    <w:rsid w:val="00F96C25"/>
    <w:rsid w:val="00FA054C"/>
    <w:rsid w:val="00FA0A07"/>
    <w:rsid w:val="00FA7B81"/>
    <w:rsid w:val="00FA7E65"/>
    <w:rsid w:val="00FB0411"/>
    <w:rsid w:val="00FB294F"/>
    <w:rsid w:val="00FB369D"/>
    <w:rsid w:val="00FB6684"/>
    <w:rsid w:val="00FB7192"/>
    <w:rsid w:val="00FC48D2"/>
    <w:rsid w:val="00FC563C"/>
    <w:rsid w:val="00FD0462"/>
    <w:rsid w:val="00FD0719"/>
    <w:rsid w:val="00FD372D"/>
    <w:rsid w:val="00FD52C3"/>
    <w:rsid w:val="00FD52CB"/>
    <w:rsid w:val="00FD57E5"/>
    <w:rsid w:val="00FE0042"/>
    <w:rsid w:val="00FE0BB4"/>
    <w:rsid w:val="00FE27B4"/>
    <w:rsid w:val="00FE4D5A"/>
    <w:rsid w:val="00FE6158"/>
    <w:rsid w:val="00FF1FA5"/>
    <w:rsid w:val="00FF295B"/>
    <w:rsid w:val="00FF32C0"/>
    <w:rsid w:val="00FF4F18"/>
    <w:rsid w:val="00FF5B71"/>
    <w:rsid w:val="00FF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950"/>
    <w:pPr>
      <w:jc w:val="both"/>
    </w:pPr>
    <w:rPr>
      <w:rFonts w:ascii="avant garde" w:hAnsi="avant garde"/>
      <w:sz w:val="22"/>
      <w:szCs w:val="24"/>
      <w:lang w:eastAsia="en-US"/>
    </w:rPr>
  </w:style>
  <w:style w:type="paragraph" w:styleId="Heading1">
    <w:name w:val="heading 1"/>
    <w:basedOn w:val="Normal"/>
    <w:next w:val="Normal"/>
    <w:qFormat/>
    <w:rsid w:val="00D01A63"/>
    <w:pPr>
      <w:keepNext/>
      <w:outlineLvl w:val="0"/>
    </w:pPr>
    <w:rPr>
      <w:rFonts w:cs="Arial"/>
      <w:b/>
      <w:bCs/>
      <w:color w:val="687522"/>
      <w:sz w:val="32"/>
    </w:rPr>
  </w:style>
  <w:style w:type="paragraph" w:styleId="Heading2">
    <w:name w:val="heading 2"/>
    <w:basedOn w:val="Normal"/>
    <w:next w:val="Normal"/>
    <w:qFormat/>
    <w:rsid w:val="00D01A63"/>
    <w:pPr>
      <w:keepNext/>
      <w:spacing w:before="240" w:after="120"/>
      <w:outlineLvl w:val="1"/>
    </w:pPr>
    <w:rPr>
      <w:rFonts w:cs="Arial"/>
      <w:b/>
      <w:bCs/>
      <w:color w:val="667305"/>
      <w:sz w:val="28"/>
    </w:rPr>
  </w:style>
  <w:style w:type="paragraph" w:styleId="Heading3">
    <w:name w:val="heading 3"/>
    <w:basedOn w:val="Normal"/>
    <w:next w:val="Normal"/>
    <w:qFormat/>
    <w:rsid w:val="00D01A63"/>
    <w:pPr>
      <w:keepNext/>
      <w:pBdr>
        <w:top w:val="single" w:sz="4" w:space="1" w:color="667305"/>
      </w:pBdr>
      <w:tabs>
        <w:tab w:val="left" w:pos="567"/>
      </w:tabs>
      <w:spacing w:before="240" w:after="120"/>
      <w:outlineLvl w:val="2"/>
    </w:pPr>
    <w:rPr>
      <w:rFonts w:cs="Arial"/>
      <w:b/>
      <w:bCs/>
      <w:color w:val="687522"/>
      <w:szCs w:val="26"/>
    </w:rPr>
  </w:style>
  <w:style w:type="paragraph" w:styleId="Heading4">
    <w:name w:val="heading 4"/>
    <w:basedOn w:val="Normal"/>
    <w:next w:val="Normal"/>
    <w:qFormat/>
    <w:rsid w:val="00D01A63"/>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01A63"/>
    <w:pPr>
      <w:ind w:left="1134"/>
    </w:pPr>
    <w:rPr>
      <w:rFonts w:cs="Arial"/>
    </w:rPr>
  </w:style>
  <w:style w:type="paragraph" w:styleId="Header">
    <w:name w:val="header"/>
    <w:basedOn w:val="Normal"/>
    <w:link w:val="HeaderChar"/>
    <w:uiPriority w:val="99"/>
    <w:rsid w:val="00D01A63"/>
    <w:pPr>
      <w:tabs>
        <w:tab w:val="center" w:pos="4153"/>
        <w:tab w:val="right" w:pos="8306"/>
      </w:tabs>
    </w:pPr>
  </w:style>
  <w:style w:type="paragraph" w:customStyle="1" w:styleId="BulletNormal">
    <w:name w:val="BulletNormal"/>
    <w:basedOn w:val="Normal"/>
    <w:rsid w:val="00D01A63"/>
    <w:pPr>
      <w:numPr>
        <w:numId w:val="1"/>
      </w:numPr>
      <w:tabs>
        <w:tab w:val="clear" w:pos="720"/>
        <w:tab w:val="num" w:pos="360"/>
      </w:tabs>
      <w:ind w:left="0" w:firstLine="0"/>
    </w:pPr>
  </w:style>
  <w:style w:type="paragraph" w:styleId="Footer">
    <w:name w:val="footer"/>
    <w:basedOn w:val="Normal"/>
    <w:link w:val="FooterChar"/>
    <w:uiPriority w:val="99"/>
    <w:rsid w:val="00D01A63"/>
    <w:pPr>
      <w:tabs>
        <w:tab w:val="center" w:pos="4153"/>
        <w:tab w:val="right" w:pos="8306"/>
      </w:tabs>
    </w:pPr>
  </w:style>
  <w:style w:type="character" w:styleId="PageNumber">
    <w:name w:val="page number"/>
    <w:basedOn w:val="DefaultParagraphFont"/>
    <w:semiHidden/>
    <w:rsid w:val="00D01A63"/>
  </w:style>
  <w:style w:type="paragraph" w:styleId="FootnoteText">
    <w:name w:val="footnote text"/>
    <w:basedOn w:val="Normal"/>
    <w:link w:val="FootnoteTextChar"/>
    <w:uiPriority w:val="99"/>
    <w:rsid w:val="00CC3533"/>
    <w:rPr>
      <w:sz w:val="20"/>
      <w:szCs w:val="20"/>
    </w:rPr>
  </w:style>
  <w:style w:type="paragraph" w:customStyle="1" w:styleId="BulletBody">
    <w:name w:val="BulletBody"/>
    <w:basedOn w:val="BulletNormal"/>
    <w:rsid w:val="00D01A63"/>
    <w:pPr>
      <w:tabs>
        <w:tab w:val="num" w:pos="1843"/>
      </w:tabs>
      <w:ind w:left="1843"/>
    </w:pPr>
  </w:style>
  <w:style w:type="paragraph" w:customStyle="1" w:styleId="TopHead">
    <w:name w:val="TopHead"/>
    <w:basedOn w:val="Heading1"/>
    <w:rsid w:val="00D01A63"/>
    <w:pPr>
      <w:jc w:val="center"/>
    </w:pPr>
    <w:rPr>
      <w:color w:val="325078"/>
    </w:rPr>
  </w:style>
  <w:style w:type="character" w:styleId="FootnoteReference">
    <w:name w:val="footnote reference"/>
    <w:basedOn w:val="DefaultParagraphFont"/>
    <w:uiPriority w:val="99"/>
    <w:rsid w:val="00CC3533"/>
    <w:rPr>
      <w:vertAlign w:val="superscript"/>
    </w:rPr>
  </w:style>
  <w:style w:type="table" w:styleId="TableGrid">
    <w:name w:val="Table Grid"/>
    <w:basedOn w:val="TableNormal"/>
    <w:uiPriority w:val="59"/>
    <w:rsid w:val="00CB17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966F9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966F96"/>
    <w:rPr>
      <w:rFonts w:ascii="Cambria" w:eastAsia="Times New Roman" w:hAnsi="Cambria" w:cs="Times New Roman"/>
      <w:b/>
      <w:bCs/>
      <w:kern w:val="28"/>
      <w:sz w:val="32"/>
      <w:szCs w:val="32"/>
      <w:lang w:eastAsia="en-US"/>
    </w:rPr>
  </w:style>
  <w:style w:type="character" w:styleId="Hyperlink">
    <w:name w:val="Hyperlink"/>
    <w:basedOn w:val="DefaultParagraphFont"/>
    <w:uiPriority w:val="99"/>
    <w:unhideWhenUsed/>
    <w:rsid w:val="00D46E05"/>
    <w:rPr>
      <w:color w:val="0000FF"/>
      <w:u w:val="single"/>
    </w:rPr>
  </w:style>
  <w:style w:type="character" w:styleId="FollowedHyperlink">
    <w:name w:val="FollowedHyperlink"/>
    <w:basedOn w:val="DefaultParagraphFont"/>
    <w:uiPriority w:val="99"/>
    <w:semiHidden/>
    <w:unhideWhenUsed/>
    <w:rsid w:val="00C825E7"/>
    <w:rPr>
      <w:color w:val="800080"/>
      <w:u w:val="single"/>
    </w:rPr>
  </w:style>
  <w:style w:type="paragraph" w:styleId="NoSpacing">
    <w:name w:val="No Spacing"/>
    <w:uiPriority w:val="1"/>
    <w:qFormat/>
    <w:rsid w:val="006E77B9"/>
    <w:pPr>
      <w:jc w:val="both"/>
    </w:pPr>
    <w:rPr>
      <w:rFonts w:ascii="avant garde" w:hAnsi="avant garde"/>
      <w:sz w:val="22"/>
      <w:szCs w:val="24"/>
      <w:lang w:eastAsia="en-US"/>
    </w:rPr>
  </w:style>
  <w:style w:type="paragraph" w:styleId="BalloonText">
    <w:name w:val="Balloon Text"/>
    <w:basedOn w:val="Normal"/>
    <w:link w:val="BalloonTextChar"/>
    <w:uiPriority w:val="99"/>
    <w:semiHidden/>
    <w:unhideWhenUsed/>
    <w:rsid w:val="00BE38E1"/>
    <w:rPr>
      <w:rFonts w:ascii="Tahoma" w:hAnsi="Tahoma" w:cs="Tahoma"/>
      <w:sz w:val="16"/>
      <w:szCs w:val="16"/>
    </w:rPr>
  </w:style>
  <w:style w:type="character" w:customStyle="1" w:styleId="BalloonTextChar">
    <w:name w:val="Balloon Text Char"/>
    <w:basedOn w:val="DefaultParagraphFont"/>
    <w:link w:val="BalloonText"/>
    <w:uiPriority w:val="99"/>
    <w:semiHidden/>
    <w:rsid w:val="00BE38E1"/>
    <w:rPr>
      <w:rFonts w:ascii="Tahoma" w:hAnsi="Tahoma" w:cs="Tahoma"/>
      <w:sz w:val="16"/>
      <w:szCs w:val="16"/>
      <w:lang w:eastAsia="en-US"/>
    </w:rPr>
  </w:style>
  <w:style w:type="paragraph" w:styleId="ListParagraph">
    <w:name w:val="List Paragraph"/>
    <w:basedOn w:val="Normal"/>
    <w:uiPriority w:val="34"/>
    <w:qFormat/>
    <w:rsid w:val="00C00311"/>
    <w:pPr>
      <w:spacing w:after="120"/>
      <w:ind w:left="720"/>
    </w:pPr>
  </w:style>
  <w:style w:type="paragraph" w:customStyle="1" w:styleId="Default">
    <w:name w:val="Default"/>
    <w:uiPriority w:val="99"/>
    <w:rsid w:val="00DC2B3A"/>
    <w:pPr>
      <w:autoSpaceDE w:val="0"/>
      <w:autoSpaceDN w:val="0"/>
      <w:adjustRightInd w:val="0"/>
    </w:pPr>
    <w:rPr>
      <w:rFonts w:ascii="Arial MT" w:hAnsi="Arial MT" w:cs="Arial MT"/>
      <w:color w:val="000000"/>
      <w:sz w:val="24"/>
      <w:szCs w:val="24"/>
    </w:rPr>
  </w:style>
  <w:style w:type="character" w:customStyle="1" w:styleId="FootnoteTextChar">
    <w:name w:val="Footnote Text Char"/>
    <w:basedOn w:val="DefaultParagraphFont"/>
    <w:link w:val="FootnoteText"/>
    <w:uiPriority w:val="99"/>
    <w:rsid w:val="00814A8F"/>
    <w:rPr>
      <w:rFonts w:ascii="avant garde" w:hAnsi="avant garde"/>
      <w:lang w:eastAsia="en-US"/>
    </w:rPr>
  </w:style>
  <w:style w:type="character" w:styleId="CommentReference">
    <w:name w:val="annotation reference"/>
    <w:basedOn w:val="DefaultParagraphFont"/>
    <w:uiPriority w:val="99"/>
    <w:semiHidden/>
    <w:unhideWhenUsed/>
    <w:rsid w:val="00666897"/>
    <w:rPr>
      <w:sz w:val="16"/>
      <w:szCs w:val="16"/>
    </w:rPr>
  </w:style>
  <w:style w:type="paragraph" w:styleId="CommentText">
    <w:name w:val="annotation text"/>
    <w:basedOn w:val="Normal"/>
    <w:link w:val="CommentTextChar"/>
    <w:uiPriority w:val="99"/>
    <w:semiHidden/>
    <w:unhideWhenUsed/>
    <w:rsid w:val="00666897"/>
    <w:rPr>
      <w:sz w:val="20"/>
      <w:szCs w:val="20"/>
    </w:rPr>
  </w:style>
  <w:style w:type="character" w:customStyle="1" w:styleId="CommentTextChar">
    <w:name w:val="Comment Text Char"/>
    <w:basedOn w:val="DefaultParagraphFont"/>
    <w:link w:val="CommentText"/>
    <w:uiPriority w:val="99"/>
    <w:semiHidden/>
    <w:rsid w:val="00666897"/>
    <w:rPr>
      <w:rFonts w:ascii="avant garde" w:hAnsi="avant garde"/>
      <w:lang w:eastAsia="en-US"/>
    </w:rPr>
  </w:style>
  <w:style w:type="paragraph" w:styleId="CommentSubject">
    <w:name w:val="annotation subject"/>
    <w:basedOn w:val="CommentText"/>
    <w:next w:val="CommentText"/>
    <w:link w:val="CommentSubjectChar"/>
    <w:uiPriority w:val="99"/>
    <w:semiHidden/>
    <w:unhideWhenUsed/>
    <w:rsid w:val="00666897"/>
    <w:rPr>
      <w:b/>
      <w:bCs/>
    </w:rPr>
  </w:style>
  <w:style w:type="character" w:customStyle="1" w:styleId="CommentSubjectChar">
    <w:name w:val="Comment Subject Char"/>
    <w:basedOn w:val="CommentTextChar"/>
    <w:link w:val="CommentSubject"/>
    <w:uiPriority w:val="99"/>
    <w:semiHidden/>
    <w:rsid w:val="00666897"/>
    <w:rPr>
      <w:rFonts w:ascii="avant garde" w:hAnsi="avant garde"/>
      <w:b/>
      <w:bCs/>
      <w:lang w:eastAsia="en-US"/>
    </w:rPr>
  </w:style>
  <w:style w:type="character" w:customStyle="1" w:styleId="HeaderChar">
    <w:name w:val="Header Char"/>
    <w:basedOn w:val="DefaultParagraphFont"/>
    <w:link w:val="Header"/>
    <w:uiPriority w:val="99"/>
    <w:rsid w:val="00D229D6"/>
    <w:rPr>
      <w:rFonts w:ascii="avant garde" w:hAnsi="avant garde"/>
      <w:sz w:val="22"/>
      <w:szCs w:val="24"/>
      <w:lang w:eastAsia="en-US"/>
    </w:rPr>
  </w:style>
  <w:style w:type="character" w:customStyle="1" w:styleId="FooterChar">
    <w:name w:val="Footer Char"/>
    <w:basedOn w:val="DefaultParagraphFont"/>
    <w:link w:val="Footer"/>
    <w:uiPriority w:val="99"/>
    <w:rsid w:val="00D229D6"/>
    <w:rPr>
      <w:rFonts w:ascii="avant garde" w:hAnsi="avant garde"/>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950"/>
    <w:pPr>
      <w:jc w:val="both"/>
    </w:pPr>
    <w:rPr>
      <w:rFonts w:ascii="avant garde" w:hAnsi="avant garde"/>
      <w:sz w:val="22"/>
      <w:szCs w:val="24"/>
      <w:lang w:eastAsia="en-US"/>
    </w:rPr>
  </w:style>
  <w:style w:type="paragraph" w:styleId="Heading1">
    <w:name w:val="heading 1"/>
    <w:basedOn w:val="Normal"/>
    <w:next w:val="Normal"/>
    <w:qFormat/>
    <w:rsid w:val="00D01A63"/>
    <w:pPr>
      <w:keepNext/>
      <w:outlineLvl w:val="0"/>
    </w:pPr>
    <w:rPr>
      <w:rFonts w:cs="Arial"/>
      <w:b/>
      <w:bCs/>
      <w:color w:val="687522"/>
      <w:sz w:val="32"/>
    </w:rPr>
  </w:style>
  <w:style w:type="paragraph" w:styleId="Heading2">
    <w:name w:val="heading 2"/>
    <w:basedOn w:val="Normal"/>
    <w:next w:val="Normal"/>
    <w:qFormat/>
    <w:rsid w:val="00D01A63"/>
    <w:pPr>
      <w:keepNext/>
      <w:spacing w:before="240" w:after="120"/>
      <w:outlineLvl w:val="1"/>
    </w:pPr>
    <w:rPr>
      <w:rFonts w:cs="Arial"/>
      <w:b/>
      <w:bCs/>
      <w:color w:val="667305"/>
      <w:sz w:val="28"/>
    </w:rPr>
  </w:style>
  <w:style w:type="paragraph" w:styleId="Heading3">
    <w:name w:val="heading 3"/>
    <w:basedOn w:val="Normal"/>
    <w:next w:val="Normal"/>
    <w:qFormat/>
    <w:rsid w:val="00D01A63"/>
    <w:pPr>
      <w:keepNext/>
      <w:pBdr>
        <w:top w:val="single" w:sz="4" w:space="1" w:color="667305"/>
      </w:pBdr>
      <w:tabs>
        <w:tab w:val="left" w:pos="567"/>
      </w:tabs>
      <w:spacing w:before="240" w:after="120"/>
      <w:outlineLvl w:val="2"/>
    </w:pPr>
    <w:rPr>
      <w:rFonts w:cs="Arial"/>
      <w:b/>
      <w:bCs/>
      <w:color w:val="687522"/>
      <w:szCs w:val="26"/>
    </w:rPr>
  </w:style>
  <w:style w:type="paragraph" w:styleId="Heading4">
    <w:name w:val="heading 4"/>
    <w:basedOn w:val="Normal"/>
    <w:next w:val="Normal"/>
    <w:qFormat/>
    <w:rsid w:val="00D01A63"/>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01A63"/>
    <w:pPr>
      <w:ind w:left="1134"/>
    </w:pPr>
    <w:rPr>
      <w:rFonts w:cs="Arial"/>
    </w:rPr>
  </w:style>
  <w:style w:type="paragraph" w:styleId="Header">
    <w:name w:val="header"/>
    <w:basedOn w:val="Normal"/>
    <w:link w:val="HeaderChar"/>
    <w:uiPriority w:val="99"/>
    <w:rsid w:val="00D01A63"/>
    <w:pPr>
      <w:tabs>
        <w:tab w:val="center" w:pos="4153"/>
        <w:tab w:val="right" w:pos="8306"/>
      </w:tabs>
    </w:pPr>
  </w:style>
  <w:style w:type="paragraph" w:customStyle="1" w:styleId="BulletNormal">
    <w:name w:val="BulletNormal"/>
    <w:basedOn w:val="Normal"/>
    <w:rsid w:val="00D01A63"/>
    <w:pPr>
      <w:numPr>
        <w:numId w:val="1"/>
      </w:numPr>
      <w:tabs>
        <w:tab w:val="clear" w:pos="720"/>
        <w:tab w:val="num" w:pos="360"/>
      </w:tabs>
      <w:ind w:left="0" w:firstLine="0"/>
    </w:pPr>
  </w:style>
  <w:style w:type="paragraph" w:styleId="Footer">
    <w:name w:val="footer"/>
    <w:basedOn w:val="Normal"/>
    <w:link w:val="FooterChar"/>
    <w:uiPriority w:val="99"/>
    <w:rsid w:val="00D01A63"/>
    <w:pPr>
      <w:tabs>
        <w:tab w:val="center" w:pos="4153"/>
        <w:tab w:val="right" w:pos="8306"/>
      </w:tabs>
    </w:pPr>
  </w:style>
  <w:style w:type="character" w:styleId="PageNumber">
    <w:name w:val="page number"/>
    <w:basedOn w:val="DefaultParagraphFont"/>
    <w:semiHidden/>
    <w:rsid w:val="00D01A63"/>
  </w:style>
  <w:style w:type="paragraph" w:styleId="FootnoteText">
    <w:name w:val="footnote text"/>
    <w:basedOn w:val="Normal"/>
    <w:link w:val="FootnoteTextChar"/>
    <w:uiPriority w:val="99"/>
    <w:rsid w:val="00CC3533"/>
    <w:rPr>
      <w:sz w:val="20"/>
      <w:szCs w:val="20"/>
    </w:rPr>
  </w:style>
  <w:style w:type="paragraph" w:customStyle="1" w:styleId="BulletBody">
    <w:name w:val="BulletBody"/>
    <w:basedOn w:val="BulletNormal"/>
    <w:rsid w:val="00D01A63"/>
    <w:pPr>
      <w:tabs>
        <w:tab w:val="num" w:pos="1843"/>
      </w:tabs>
      <w:ind w:left="1843"/>
    </w:pPr>
  </w:style>
  <w:style w:type="paragraph" w:customStyle="1" w:styleId="TopHead">
    <w:name w:val="TopHead"/>
    <w:basedOn w:val="Heading1"/>
    <w:rsid w:val="00D01A63"/>
    <w:pPr>
      <w:jc w:val="center"/>
    </w:pPr>
    <w:rPr>
      <w:color w:val="325078"/>
    </w:rPr>
  </w:style>
  <w:style w:type="character" w:styleId="FootnoteReference">
    <w:name w:val="footnote reference"/>
    <w:basedOn w:val="DefaultParagraphFont"/>
    <w:uiPriority w:val="99"/>
    <w:rsid w:val="00CC3533"/>
    <w:rPr>
      <w:vertAlign w:val="superscript"/>
    </w:rPr>
  </w:style>
  <w:style w:type="table" w:styleId="TableGrid">
    <w:name w:val="Table Grid"/>
    <w:basedOn w:val="TableNormal"/>
    <w:uiPriority w:val="59"/>
    <w:rsid w:val="00CB17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966F9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966F96"/>
    <w:rPr>
      <w:rFonts w:ascii="Cambria" w:eastAsia="Times New Roman" w:hAnsi="Cambria" w:cs="Times New Roman"/>
      <w:b/>
      <w:bCs/>
      <w:kern w:val="28"/>
      <w:sz w:val="32"/>
      <w:szCs w:val="32"/>
      <w:lang w:eastAsia="en-US"/>
    </w:rPr>
  </w:style>
  <w:style w:type="character" w:styleId="Hyperlink">
    <w:name w:val="Hyperlink"/>
    <w:basedOn w:val="DefaultParagraphFont"/>
    <w:uiPriority w:val="99"/>
    <w:unhideWhenUsed/>
    <w:rsid w:val="00D46E05"/>
    <w:rPr>
      <w:color w:val="0000FF"/>
      <w:u w:val="single"/>
    </w:rPr>
  </w:style>
  <w:style w:type="character" w:styleId="FollowedHyperlink">
    <w:name w:val="FollowedHyperlink"/>
    <w:basedOn w:val="DefaultParagraphFont"/>
    <w:uiPriority w:val="99"/>
    <w:semiHidden/>
    <w:unhideWhenUsed/>
    <w:rsid w:val="00C825E7"/>
    <w:rPr>
      <w:color w:val="800080"/>
      <w:u w:val="single"/>
    </w:rPr>
  </w:style>
  <w:style w:type="paragraph" w:styleId="NoSpacing">
    <w:name w:val="No Spacing"/>
    <w:uiPriority w:val="1"/>
    <w:qFormat/>
    <w:rsid w:val="006E77B9"/>
    <w:pPr>
      <w:jc w:val="both"/>
    </w:pPr>
    <w:rPr>
      <w:rFonts w:ascii="avant garde" w:hAnsi="avant garde"/>
      <w:sz w:val="22"/>
      <w:szCs w:val="24"/>
      <w:lang w:eastAsia="en-US"/>
    </w:rPr>
  </w:style>
  <w:style w:type="paragraph" w:styleId="BalloonText">
    <w:name w:val="Balloon Text"/>
    <w:basedOn w:val="Normal"/>
    <w:link w:val="BalloonTextChar"/>
    <w:uiPriority w:val="99"/>
    <w:semiHidden/>
    <w:unhideWhenUsed/>
    <w:rsid w:val="00BE38E1"/>
    <w:rPr>
      <w:rFonts w:ascii="Tahoma" w:hAnsi="Tahoma" w:cs="Tahoma"/>
      <w:sz w:val="16"/>
      <w:szCs w:val="16"/>
    </w:rPr>
  </w:style>
  <w:style w:type="character" w:customStyle="1" w:styleId="BalloonTextChar">
    <w:name w:val="Balloon Text Char"/>
    <w:basedOn w:val="DefaultParagraphFont"/>
    <w:link w:val="BalloonText"/>
    <w:uiPriority w:val="99"/>
    <w:semiHidden/>
    <w:rsid w:val="00BE38E1"/>
    <w:rPr>
      <w:rFonts w:ascii="Tahoma" w:hAnsi="Tahoma" w:cs="Tahoma"/>
      <w:sz w:val="16"/>
      <w:szCs w:val="16"/>
      <w:lang w:eastAsia="en-US"/>
    </w:rPr>
  </w:style>
  <w:style w:type="paragraph" w:styleId="ListParagraph">
    <w:name w:val="List Paragraph"/>
    <w:basedOn w:val="Normal"/>
    <w:uiPriority w:val="34"/>
    <w:qFormat/>
    <w:rsid w:val="00C00311"/>
    <w:pPr>
      <w:spacing w:after="120"/>
      <w:ind w:left="720"/>
    </w:pPr>
  </w:style>
  <w:style w:type="paragraph" w:customStyle="1" w:styleId="Default">
    <w:name w:val="Default"/>
    <w:uiPriority w:val="99"/>
    <w:rsid w:val="00DC2B3A"/>
    <w:pPr>
      <w:autoSpaceDE w:val="0"/>
      <w:autoSpaceDN w:val="0"/>
      <w:adjustRightInd w:val="0"/>
    </w:pPr>
    <w:rPr>
      <w:rFonts w:ascii="Arial MT" w:hAnsi="Arial MT" w:cs="Arial MT"/>
      <w:color w:val="000000"/>
      <w:sz w:val="24"/>
      <w:szCs w:val="24"/>
    </w:rPr>
  </w:style>
  <w:style w:type="character" w:customStyle="1" w:styleId="FootnoteTextChar">
    <w:name w:val="Footnote Text Char"/>
    <w:basedOn w:val="DefaultParagraphFont"/>
    <w:link w:val="FootnoteText"/>
    <w:uiPriority w:val="99"/>
    <w:rsid w:val="00814A8F"/>
    <w:rPr>
      <w:rFonts w:ascii="avant garde" w:hAnsi="avant garde"/>
      <w:lang w:eastAsia="en-US"/>
    </w:rPr>
  </w:style>
  <w:style w:type="character" w:styleId="CommentReference">
    <w:name w:val="annotation reference"/>
    <w:basedOn w:val="DefaultParagraphFont"/>
    <w:uiPriority w:val="99"/>
    <w:semiHidden/>
    <w:unhideWhenUsed/>
    <w:rsid w:val="00666897"/>
    <w:rPr>
      <w:sz w:val="16"/>
      <w:szCs w:val="16"/>
    </w:rPr>
  </w:style>
  <w:style w:type="paragraph" w:styleId="CommentText">
    <w:name w:val="annotation text"/>
    <w:basedOn w:val="Normal"/>
    <w:link w:val="CommentTextChar"/>
    <w:uiPriority w:val="99"/>
    <w:semiHidden/>
    <w:unhideWhenUsed/>
    <w:rsid w:val="00666897"/>
    <w:rPr>
      <w:sz w:val="20"/>
      <w:szCs w:val="20"/>
    </w:rPr>
  </w:style>
  <w:style w:type="character" w:customStyle="1" w:styleId="CommentTextChar">
    <w:name w:val="Comment Text Char"/>
    <w:basedOn w:val="DefaultParagraphFont"/>
    <w:link w:val="CommentText"/>
    <w:uiPriority w:val="99"/>
    <w:semiHidden/>
    <w:rsid w:val="00666897"/>
    <w:rPr>
      <w:rFonts w:ascii="avant garde" w:hAnsi="avant garde"/>
      <w:lang w:eastAsia="en-US"/>
    </w:rPr>
  </w:style>
  <w:style w:type="paragraph" w:styleId="CommentSubject">
    <w:name w:val="annotation subject"/>
    <w:basedOn w:val="CommentText"/>
    <w:next w:val="CommentText"/>
    <w:link w:val="CommentSubjectChar"/>
    <w:uiPriority w:val="99"/>
    <w:semiHidden/>
    <w:unhideWhenUsed/>
    <w:rsid w:val="00666897"/>
    <w:rPr>
      <w:b/>
      <w:bCs/>
    </w:rPr>
  </w:style>
  <w:style w:type="character" w:customStyle="1" w:styleId="CommentSubjectChar">
    <w:name w:val="Comment Subject Char"/>
    <w:basedOn w:val="CommentTextChar"/>
    <w:link w:val="CommentSubject"/>
    <w:uiPriority w:val="99"/>
    <w:semiHidden/>
    <w:rsid w:val="00666897"/>
    <w:rPr>
      <w:rFonts w:ascii="avant garde" w:hAnsi="avant garde"/>
      <w:b/>
      <w:bCs/>
      <w:lang w:eastAsia="en-US"/>
    </w:rPr>
  </w:style>
  <w:style w:type="character" w:customStyle="1" w:styleId="HeaderChar">
    <w:name w:val="Header Char"/>
    <w:basedOn w:val="DefaultParagraphFont"/>
    <w:link w:val="Header"/>
    <w:uiPriority w:val="99"/>
    <w:rsid w:val="00D229D6"/>
    <w:rPr>
      <w:rFonts w:ascii="avant garde" w:hAnsi="avant garde"/>
      <w:sz w:val="22"/>
      <w:szCs w:val="24"/>
      <w:lang w:eastAsia="en-US"/>
    </w:rPr>
  </w:style>
  <w:style w:type="character" w:customStyle="1" w:styleId="FooterChar">
    <w:name w:val="Footer Char"/>
    <w:basedOn w:val="DefaultParagraphFont"/>
    <w:link w:val="Footer"/>
    <w:uiPriority w:val="99"/>
    <w:rsid w:val="00D229D6"/>
    <w:rPr>
      <w:rFonts w:ascii="avant garde" w:hAnsi="avant garde"/>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7235">
      <w:bodyDiv w:val="1"/>
      <w:marLeft w:val="0"/>
      <w:marRight w:val="0"/>
      <w:marTop w:val="0"/>
      <w:marBottom w:val="0"/>
      <w:divBdr>
        <w:top w:val="none" w:sz="0" w:space="0" w:color="auto"/>
        <w:left w:val="none" w:sz="0" w:space="0" w:color="auto"/>
        <w:bottom w:val="none" w:sz="0" w:space="0" w:color="auto"/>
        <w:right w:val="none" w:sz="0" w:space="0" w:color="auto"/>
      </w:divBdr>
    </w:div>
    <w:div w:id="209388420">
      <w:bodyDiv w:val="1"/>
      <w:marLeft w:val="0"/>
      <w:marRight w:val="0"/>
      <w:marTop w:val="0"/>
      <w:marBottom w:val="0"/>
      <w:divBdr>
        <w:top w:val="none" w:sz="0" w:space="0" w:color="auto"/>
        <w:left w:val="none" w:sz="0" w:space="0" w:color="auto"/>
        <w:bottom w:val="none" w:sz="0" w:space="0" w:color="auto"/>
        <w:right w:val="none" w:sz="0" w:space="0" w:color="auto"/>
      </w:divBdr>
      <w:divsChild>
        <w:div w:id="1038314494">
          <w:marLeft w:val="446"/>
          <w:marRight w:val="0"/>
          <w:marTop w:val="77"/>
          <w:marBottom w:val="0"/>
          <w:divBdr>
            <w:top w:val="none" w:sz="0" w:space="0" w:color="auto"/>
            <w:left w:val="none" w:sz="0" w:space="0" w:color="auto"/>
            <w:bottom w:val="none" w:sz="0" w:space="0" w:color="auto"/>
            <w:right w:val="none" w:sz="0" w:space="0" w:color="auto"/>
          </w:divBdr>
        </w:div>
      </w:divsChild>
    </w:div>
    <w:div w:id="226040732">
      <w:bodyDiv w:val="1"/>
      <w:marLeft w:val="0"/>
      <w:marRight w:val="0"/>
      <w:marTop w:val="0"/>
      <w:marBottom w:val="0"/>
      <w:divBdr>
        <w:top w:val="none" w:sz="0" w:space="0" w:color="auto"/>
        <w:left w:val="none" w:sz="0" w:space="0" w:color="auto"/>
        <w:bottom w:val="none" w:sz="0" w:space="0" w:color="auto"/>
        <w:right w:val="none" w:sz="0" w:space="0" w:color="auto"/>
      </w:divBdr>
    </w:div>
    <w:div w:id="537089281">
      <w:bodyDiv w:val="1"/>
      <w:marLeft w:val="0"/>
      <w:marRight w:val="0"/>
      <w:marTop w:val="0"/>
      <w:marBottom w:val="0"/>
      <w:divBdr>
        <w:top w:val="none" w:sz="0" w:space="0" w:color="auto"/>
        <w:left w:val="none" w:sz="0" w:space="0" w:color="auto"/>
        <w:bottom w:val="none" w:sz="0" w:space="0" w:color="auto"/>
        <w:right w:val="none" w:sz="0" w:space="0" w:color="auto"/>
      </w:divBdr>
    </w:div>
    <w:div w:id="566188651">
      <w:bodyDiv w:val="1"/>
      <w:marLeft w:val="0"/>
      <w:marRight w:val="0"/>
      <w:marTop w:val="0"/>
      <w:marBottom w:val="0"/>
      <w:divBdr>
        <w:top w:val="none" w:sz="0" w:space="0" w:color="auto"/>
        <w:left w:val="none" w:sz="0" w:space="0" w:color="auto"/>
        <w:bottom w:val="none" w:sz="0" w:space="0" w:color="auto"/>
        <w:right w:val="none" w:sz="0" w:space="0" w:color="auto"/>
      </w:divBdr>
    </w:div>
    <w:div w:id="637805969">
      <w:bodyDiv w:val="1"/>
      <w:marLeft w:val="0"/>
      <w:marRight w:val="0"/>
      <w:marTop w:val="0"/>
      <w:marBottom w:val="0"/>
      <w:divBdr>
        <w:top w:val="none" w:sz="0" w:space="0" w:color="auto"/>
        <w:left w:val="none" w:sz="0" w:space="0" w:color="auto"/>
        <w:bottom w:val="none" w:sz="0" w:space="0" w:color="auto"/>
        <w:right w:val="none" w:sz="0" w:space="0" w:color="auto"/>
      </w:divBdr>
    </w:div>
    <w:div w:id="707533904">
      <w:bodyDiv w:val="1"/>
      <w:marLeft w:val="0"/>
      <w:marRight w:val="0"/>
      <w:marTop w:val="0"/>
      <w:marBottom w:val="0"/>
      <w:divBdr>
        <w:top w:val="none" w:sz="0" w:space="0" w:color="auto"/>
        <w:left w:val="none" w:sz="0" w:space="0" w:color="auto"/>
        <w:bottom w:val="none" w:sz="0" w:space="0" w:color="auto"/>
        <w:right w:val="none" w:sz="0" w:space="0" w:color="auto"/>
      </w:divBdr>
    </w:div>
    <w:div w:id="754790826">
      <w:bodyDiv w:val="1"/>
      <w:marLeft w:val="0"/>
      <w:marRight w:val="0"/>
      <w:marTop w:val="0"/>
      <w:marBottom w:val="0"/>
      <w:divBdr>
        <w:top w:val="none" w:sz="0" w:space="0" w:color="auto"/>
        <w:left w:val="none" w:sz="0" w:space="0" w:color="auto"/>
        <w:bottom w:val="none" w:sz="0" w:space="0" w:color="auto"/>
        <w:right w:val="none" w:sz="0" w:space="0" w:color="auto"/>
      </w:divBdr>
    </w:div>
    <w:div w:id="833492629">
      <w:bodyDiv w:val="1"/>
      <w:marLeft w:val="0"/>
      <w:marRight w:val="0"/>
      <w:marTop w:val="0"/>
      <w:marBottom w:val="0"/>
      <w:divBdr>
        <w:top w:val="none" w:sz="0" w:space="0" w:color="auto"/>
        <w:left w:val="none" w:sz="0" w:space="0" w:color="auto"/>
        <w:bottom w:val="none" w:sz="0" w:space="0" w:color="auto"/>
        <w:right w:val="none" w:sz="0" w:space="0" w:color="auto"/>
      </w:divBdr>
    </w:div>
    <w:div w:id="999887632">
      <w:bodyDiv w:val="1"/>
      <w:marLeft w:val="0"/>
      <w:marRight w:val="0"/>
      <w:marTop w:val="0"/>
      <w:marBottom w:val="0"/>
      <w:divBdr>
        <w:top w:val="none" w:sz="0" w:space="0" w:color="auto"/>
        <w:left w:val="none" w:sz="0" w:space="0" w:color="auto"/>
        <w:bottom w:val="none" w:sz="0" w:space="0" w:color="auto"/>
        <w:right w:val="none" w:sz="0" w:space="0" w:color="auto"/>
      </w:divBdr>
    </w:div>
    <w:div w:id="1009871513">
      <w:bodyDiv w:val="1"/>
      <w:marLeft w:val="0"/>
      <w:marRight w:val="0"/>
      <w:marTop w:val="0"/>
      <w:marBottom w:val="0"/>
      <w:divBdr>
        <w:top w:val="none" w:sz="0" w:space="0" w:color="auto"/>
        <w:left w:val="none" w:sz="0" w:space="0" w:color="auto"/>
        <w:bottom w:val="none" w:sz="0" w:space="0" w:color="auto"/>
        <w:right w:val="none" w:sz="0" w:space="0" w:color="auto"/>
      </w:divBdr>
    </w:div>
    <w:div w:id="1081633898">
      <w:bodyDiv w:val="1"/>
      <w:marLeft w:val="0"/>
      <w:marRight w:val="0"/>
      <w:marTop w:val="0"/>
      <w:marBottom w:val="0"/>
      <w:divBdr>
        <w:top w:val="none" w:sz="0" w:space="0" w:color="auto"/>
        <w:left w:val="none" w:sz="0" w:space="0" w:color="auto"/>
        <w:bottom w:val="none" w:sz="0" w:space="0" w:color="auto"/>
        <w:right w:val="none" w:sz="0" w:space="0" w:color="auto"/>
      </w:divBdr>
    </w:div>
    <w:div w:id="1093742276">
      <w:bodyDiv w:val="1"/>
      <w:marLeft w:val="0"/>
      <w:marRight w:val="0"/>
      <w:marTop w:val="0"/>
      <w:marBottom w:val="0"/>
      <w:divBdr>
        <w:top w:val="none" w:sz="0" w:space="0" w:color="auto"/>
        <w:left w:val="none" w:sz="0" w:space="0" w:color="auto"/>
        <w:bottom w:val="none" w:sz="0" w:space="0" w:color="auto"/>
        <w:right w:val="none" w:sz="0" w:space="0" w:color="auto"/>
      </w:divBdr>
    </w:div>
    <w:div w:id="1097746502">
      <w:bodyDiv w:val="1"/>
      <w:marLeft w:val="0"/>
      <w:marRight w:val="0"/>
      <w:marTop w:val="0"/>
      <w:marBottom w:val="0"/>
      <w:divBdr>
        <w:top w:val="none" w:sz="0" w:space="0" w:color="auto"/>
        <w:left w:val="none" w:sz="0" w:space="0" w:color="auto"/>
        <w:bottom w:val="none" w:sz="0" w:space="0" w:color="auto"/>
        <w:right w:val="none" w:sz="0" w:space="0" w:color="auto"/>
      </w:divBdr>
    </w:div>
    <w:div w:id="1207452916">
      <w:bodyDiv w:val="1"/>
      <w:marLeft w:val="0"/>
      <w:marRight w:val="0"/>
      <w:marTop w:val="0"/>
      <w:marBottom w:val="0"/>
      <w:divBdr>
        <w:top w:val="none" w:sz="0" w:space="0" w:color="auto"/>
        <w:left w:val="none" w:sz="0" w:space="0" w:color="auto"/>
        <w:bottom w:val="none" w:sz="0" w:space="0" w:color="auto"/>
        <w:right w:val="none" w:sz="0" w:space="0" w:color="auto"/>
      </w:divBdr>
    </w:div>
    <w:div w:id="1275138629">
      <w:bodyDiv w:val="1"/>
      <w:marLeft w:val="0"/>
      <w:marRight w:val="0"/>
      <w:marTop w:val="0"/>
      <w:marBottom w:val="0"/>
      <w:divBdr>
        <w:top w:val="none" w:sz="0" w:space="0" w:color="auto"/>
        <w:left w:val="none" w:sz="0" w:space="0" w:color="auto"/>
        <w:bottom w:val="none" w:sz="0" w:space="0" w:color="auto"/>
        <w:right w:val="none" w:sz="0" w:space="0" w:color="auto"/>
      </w:divBdr>
    </w:div>
    <w:div w:id="1424112294">
      <w:bodyDiv w:val="1"/>
      <w:marLeft w:val="0"/>
      <w:marRight w:val="0"/>
      <w:marTop w:val="0"/>
      <w:marBottom w:val="0"/>
      <w:divBdr>
        <w:top w:val="none" w:sz="0" w:space="0" w:color="auto"/>
        <w:left w:val="none" w:sz="0" w:space="0" w:color="auto"/>
        <w:bottom w:val="none" w:sz="0" w:space="0" w:color="auto"/>
        <w:right w:val="none" w:sz="0" w:space="0" w:color="auto"/>
      </w:divBdr>
    </w:div>
    <w:div w:id="1427112744">
      <w:bodyDiv w:val="1"/>
      <w:marLeft w:val="0"/>
      <w:marRight w:val="0"/>
      <w:marTop w:val="0"/>
      <w:marBottom w:val="0"/>
      <w:divBdr>
        <w:top w:val="none" w:sz="0" w:space="0" w:color="auto"/>
        <w:left w:val="none" w:sz="0" w:space="0" w:color="auto"/>
        <w:bottom w:val="none" w:sz="0" w:space="0" w:color="auto"/>
        <w:right w:val="none" w:sz="0" w:space="0" w:color="auto"/>
      </w:divBdr>
    </w:div>
    <w:div w:id="1935280287">
      <w:bodyDiv w:val="1"/>
      <w:marLeft w:val="0"/>
      <w:marRight w:val="0"/>
      <w:marTop w:val="0"/>
      <w:marBottom w:val="0"/>
      <w:divBdr>
        <w:top w:val="none" w:sz="0" w:space="0" w:color="auto"/>
        <w:left w:val="none" w:sz="0" w:space="0" w:color="auto"/>
        <w:bottom w:val="none" w:sz="0" w:space="0" w:color="auto"/>
        <w:right w:val="none" w:sz="0" w:space="0" w:color="auto"/>
      </w:divBdr>
    </w:div>
    <w:div w:id="2066681547">
      <w:bodyDiv w:val="1"/>
      <w:marLeft w:val="0"/>
      <w:marRight w:val="0"/>
      <w:marTop w:val="0"/>
      <w:marBottom w:val="0"/>
      <w:divBdr>
        <w:top w:val="none" w:sz="0" w:space="0" w:color="auto"/>
        <w:left w:val="none" w:sz="0" w:space="0" w:color="auto"/>
        <w:bottom w:val="none" w:sz="0" w:space="0" w:color="auto"/>
        <w:right w:val="none" w:sz="0" w:space="0" w:color="auto"/>
      </w:divBdr>
    </w:div>
    <w:div w:id="21197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fgem.gov.uk/system/files/docs/2016/11/call_for_evidence_response.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ofgem.gov.uk/system/files/docs/2016/07/industry_standards_and_practices_for_commissioning_fuel_burning_generating_stations_final_28_07.pdf" TargetMode="External"/><Relationship Id="rId17" Type="http://schemas.openxmlformats.org/officeDocument/2006/relationships/hyperlink" Target="https://r-e-a.us8.list-manage.com/track/click?u=57981e55e365722b7bb40867b&amp;id=b97ea983f8&amp;e=811064210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fgem.gov.uk/system/files/docs/2016/11/call_for_evidence_response.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ofgem.gov.uk/system/files/docs/2016/07/industry_standards_and_practices_for_commissioning_fuel_burning_generating_stations_final_28_07.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ofgem.gov.uk/publications-and-updates/industry-standards-and-practices-commissioning-equipment-used-production-biomethane-call-evidence" TargetMode="External"/><Relationship Id="rId14" Type="http://schemas.openxmlformats.org/officeDocument/2006/relationships/hyperlink" Target="https://www.legislation.gov.uk/ukdsi/2018/9780111166734/pdfs/ukdsi_9780111166734_en.pdf" TargetMode="Externa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hyperlink" Target="http://www.r-e-a.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C5595-712F-463F-B5F4-1A75B511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3304</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Heading 1</vt:lpstr>
    </vt:vector>
  </TitlesOfParts>
  <Company>REA</Company>
  <LinksUpToDate>false</LinksUpToDate>
  <CharactersWithSpaces>22072</CharactersWithSpaces>
  <SharedDoc>false</SharedDoc>
  <HLinks>
    <vt:vector size="36" baseType="variant">
      <vt:variant>
        <vt:i4>5242910</vt:i4>
      </vt:variant>
      <vt:variant>
        <vt:i4>12</vt:i4>
      </vt:variant>
      <vt:variant>
        <vt:i4>0</vt:i4>
      </vt:variant>
      <vt:variant>
        <vt:i4>5</vt:i4>
      </vt:variant>
      <vt:variant>
        <vt:lpwstr>http://eur-lex.europa.eu/LexUriServ/LexUriServ.do?uri=OJ:L:2009:140:0016:0062:EN:PDF</vt:lpwstr>
      </vt:variant>
      <vt:variant>
        <vt:lpwstr/>
      </vt:variant>
      <vt:variant>
        <vt:i4>7733358</vt:i4>
      </vt:variant>
      <vt:variant>
        <vt:i4>9</vt:i4>
      </vt:variant>
      <vt:variant>
        <vt:i4>0</vt:i4>
      </vt:variant>
      <vt:variant>
        <vt:i4>5</vt:i4>
      </vt:variant>
      <vt:variant>
        <vt:lpwstr>http://www.decc.gov.uk/en/content/cms/meeting_energy/renewable_ener/renew_obs/renew_obs.aspx</vt:lpwstr>
      </vt:variant>
      <vt:variant>
        <vt:lpwstr/>
      </vt:variant>
      <vt:variant>
        <vt:i4>3473443</vt:i4>
      </vt:variant>
      <vt:variant>
        <vt:i4>6</vt:i4>
      </vt:variant>
      <vt:variant>
        <vt:i4>0</vt:i4>
      </vt:variant>
      <vt:variant>
        <vt:i4>5</vt:i4>
      </vt:variant>
      <vt:variant>
        <vt:lpwstr>http://www.ofgem.gov.uk/e-serve/RHI/Pages/RHI.aspx</vt:lpwstr>
      </vt:variant>
      <vt:variant>
        <vt:lpwstr/>
      </vt:variant>
      <vt:variant>
        <vt:i4>7274531</vt:i4>
      </vt:variant>
      <vt:variant>
        <vt:i4>3</vt:i4>
      </vt:variant>
      <vt:variant>
        <vt:i4>0</vt:i4>
      </vt:variant>
      <vt:variant>
        <vt:i4>5</vt:i4>
      </vt:variant>
      <vt:variant>
        <vt:lpwstr>http://www.legislation.gov.uk/uksi/2011/2860/contents/made</vt:lpwstr>
      </vt:variant>
      <vt:variant>
        <vt:lpwstr/>
      </vt:variant>
      <vt:variant>
        <vt:i4>1179743</vt:i4>
      </vt:variant>
      <vt:variant>
        <vt:i4>0</vt:i4>
      </vt:variant>
      <vt:variant>
        <vt:i4>0</vt:i4>
      </vt:variant>
      <vt:variant>
        <vt:i4>5</vt:i4>
      </vt:variant>
      <vt:variant>
        <vt:lpwstr>http://www.decc.gov.uk/assets/decc/What we do/UK energy supply/Energy mix/Renewable energy/policy/renewableheat/1387-renewable-heat-incentive.pdf</vt:lpwstr>
      </vt:variant>
      <vt:variant>
        <vt:lpwstr/>
      </vt:variant>
      <vt:variant>
        <vt:i4>4653083</vt:i4>
      </vt:variant>
      <vt:variant>
        <vt:i4>5</vt:i4>
      </vt:variant>
      <vt:variant>
        <vt:i4>0</vt:i4>
      </vt:variant>
      <vt:variant>
        <vt:i4>5</vt:i4>
      </vt:variant>
      <vt:variant>
        <vt:lpwstr>http://www.r-e-a.net/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Kiara Zennaro</dc:creator>
  <cp:lastModifiedBy>Kiara Zennaro</cp:lastModifiedBy>
  <cp:revision>4</cp:revision>
  <cp:lastPrinted>2019-12-12T14:03:00Z</cp:lastPrinted>
  <dcterms:created xsi:type="dcterms:W3CDTF">2019-12-16T11:09:00Z</dcterms:created>
  <dcterms:modified xsi:type="dcterms:W3CDTF">2019-12-16T20:54:00Z</dcterms:modified>
</cp:coreProperties>
</file>