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1C446" w14:textId="020364FC" w:rsidR="004A00DA" w:rsidRPr="004A00DA" w:rsidRDefault="004A00DA" w:rsidP="00124696">
      <w:pPr>
        <w:pStyle w:val="BodyText"/>
        <w:rPr>
          <w:rStyle w:val="wixguard"/>
          <w:rFonts w:ascii="Open Sans" w:hAnsi="Open Sans" w:cs="Open Sans"/>
          <w:bCs/>
          <w:i/>
          <w:iCs/>
          <w:color w:val="06926B"/>
        </w:rPr>
      </w:pPr>
    </w:p>
    <w:p w14:paraId="5745C9D3" w14:textId="2B5C78ED"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597DB57" w14:textId="7DC657C4"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3D21FF20" w14:textId="5C455174"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6A52BF62" w14:textId="0384F031"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DFF3642" w14:textId="62D14D21"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288CBF3" w14:textId="2504DE67"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0D756B6E" w14:textId="3A928D8B"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
          <w:color w:val="06926B"/>
          <w:sz w:val="32"/>
          <w:szCs w:val="32"/>
          <w:u w:val="single"/>
        </w:rPr>
      </w:pPr>
      <w:r w:rsidRPr="004A00DA">
        <w:rPr>
          <w:rStyle w:val="wixguard"/>
          <w:rFonts w:ascii="Open Sans" w:hAnsi="Open Sans" w:cs="Open Sans"/>
          <w:b/>
          <w:color w:val="06926B"/>
          <w:sz w:val="32"/>
          <w:szCs w:val="32"/>
          <w:u w:val="single"/>
        </w:rPr>
        <w:t>REA position paper on the decarbonisation of road transport</w:t>
      </w:r>
    </w:p>
    <w:p w14:paraId="6CA7066B" w14:textId="02B4CDF2"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sidRPr="004A00DA">
        <w:rPr>
          <w:rStyle w:val="wixguard"/>
          <w:rFonts w:ascii="Open Sans" w:hAnsi="Open Sans" w:cs="Open Sans"/>
          <w:bCs/>
          <w:i/>
          <w:iCs/>
          <w:color w:val="06926B"/>
          <w:sz w:val="20"/>
          <w:szCs w:val="20"/>
        </w:rPr>
        <w:t xml:space="preserve">Draft for member comment, as of </w:t>
      </w:r>
      <w:r w:rsidR="00A349D2">
        <w:rPr>
          <w:rStyle w:val="wixguard"/>
          <w:rFonts w:ascii="Open Sans" w:hAnsi="Open Sans" w:cs="Open Sans"/>
          <w:bCs/>
          <w:i/>
          <w:iCs/>
          <w:color w:val="06926B"/>
          <w:sz w:val="20"/>
          <w:szCs w:val="20"/>
        </w:rPr>
        <w:t>24th</w:t>
      </w:r>
      <w:r w:rsidRPr="004A00DA">
        <w:rPr>
          <w:rStyle w:val="wixguard"/>
          <w:rFonts w:ascii="Open Sans" w:hAnsi="Open Sans" w:cs="Open Sans"/>
          <w:bCs/>
          <w:i/>
          <w:iCs/>
          <w:color w:val="06926B"/>
          <w:sz w:val="20"/>
          <w:szCs w:val="20"/>
        </w:rPr>
        <w:t xml:space="preserve"> April 2020</w:t>
      </w:r>
    </w:p>
    <w:p w14:paraId="46D4E6F1" w14:textId="3F25A00C" w:rsidR="004A00DA" w:rsidRPr="004A00DA" w:rsidRDefault="00984981"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Pr>
          <w:rStyle w:val="wixguard"/>
          <w:rFonts w:ascii="Open Sans" w:hAnsi="Open Sans" w:cs="Open Sans"/>
          <w:bCs/>
          <w:i/>
          <w:iCs/>
          <w:color w:val="06926B"/>
          <w:sz w:val="20"/>
          <w:szCs w:val="20"/>
        </w:rPr>
        <w:t xml:space="preserve">REA policy leads: Daniel Brown </w:t>
      </w:r>
      <w:r w:rsidR="009C7715">
        <w:rPr>
          <w:rStyle w:val="wixguard"/>
          <w:rFonts w:ascii="Open Sans" w:hAnsi="Open Sans" w:cs="Open Sans"/>
          <w:bCs/>
          <w:i/>
          <w:iCs/>
          <w:color w:val="06926B"/>
          <w:sz w:val="20"/>
          <w:szCs w:val="20"/>
        </w:rPr>
        <w:t>(</w:t>
      </w:r>
      <w:hyperlink r:id="rId8" w:history="1">
        <w:r w:rsidR="009C7715" w:rsidRPr="00C755BA">
          <w:rPr>
            <w:rStyle w:val="Hyperlink"/>
            <w:rFonts w:ascii="Open Sans" w:hAnsi="Open Sans" w:cs="Open Sans"/>
            <w:bCs/>
            <w:i/>
            <w:iCs/>
            <w:sz w:val="20"/>
            <w:szCs w:val="20"/>
          </w:rPr>
          <w:t>dbrown@r-e-a.net</w:t>
        </w:r>
      </w:hyperlink>
      <w:r w:rsidR="009C7715">
        <w:rPr>
          <w:rStyle w:val="wixguard"/>
          <w:rFonts w:ascii="Open Sans" w:hAnsi="Open Sans" w:cs="Open Sans"/>
          <w:bCs/>
          <w:i/>
          <w:iCs/>
          <w:color w:val="06926B"/>
          <w:sz w:val="20"/>
          <w:szCs w:val="20"/>
        </w:rPr>
        <w:t>) and Gaynor Hartnell (</w:t>
      </w:r>
      <w:hyperlink r:id="rId9" w:history="1">
        <w:r w:rsidR="00954DB1">
          <w:rPr>
            <w:rStyle w:val="Hyperlink"/>
            <w:rFonts w:ascii="Open Sans" w:hAnsi="Open Sans" w:cs="Open Sans"/>
            <w:bCs/>
            <w:i/>
            <w:iCs/>
            <w:sz w:val="20"/>
            <w:szCs w:val="20"/>
          </w:rPr>
          <w:t>ghartnell</w:t>
        </w:r>
        <w:r w:rsidR="0041229A" w:rsidRPr="00C755BA">
          <w:rPr>
            <w:rStyle w:val="Hyperlink"/>
            <w:rFonts w:ascii="Open Sans" w:hAnsi="Open Sans" w:cs="Open Sans"/>
            <w:bCs/>
            <w:i/>
            <w:iCs/>
            <w:sz w:val="20"/>
            <w:szCs w:val="20"/>
          </w:rPr>
          <w:t>@r-e-a.net</w:t>
        </w:r>
      </w:hyperlink>
      <w:r w:rsidR="009C7715">
        <w:rPr>
          <w:rStyle w:val="wixguard"/>
          <w:rFonts w:ascii="Open Sans" w:hAnsi="Open Sans" w:cs="Open Sans"/>
          <w:bCs/>
          <w:i/>
          <w:iCs/>
          <w:color w:val="06926B"/>
          <w:sz w:val="20"/>
          <w:szCs w:val="20"/>
        </w:rPr>
        <w:t>)</w:t>
      </w:r>
    </w:p>
    <w:p w14:paraId="235E37D5" w14:textId="7090B188"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79F78F5C" w14:textId="2943BE6D"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26ED14C5" w14:textId="704293BE"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452AD97B" w14:textId="17E62E76"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7491121F" w14:textId="7C71245F"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B8D4D1F" w14:textId="16D45470"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6AB80CAD" w14:textId="31CB2755"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59B0C397" w14:textId="6D4C5E48"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25C9D59C" w14:textId="4B14996A" w:rsidR="004A00DA" w:rsidRP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704E45E1" w14:textId="1555ABCE" w:rsid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2ACBA3B" w14:textId="077137DA" w:rsid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1D7849D3" w14:textId="2AB4F883" w:rsidR="004A00DA" w:rsidRDefault="004A00DA" w:rsidP="004A00DA">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p>
    <w:p w14:paraId="4D47C9B0" w14:textId="77777777" w:rsidR="004A00DA" w:rsidRPr="004A00DA" w:rsidRDefault="004A00DA" w:rsidP="004A00DA">
      <w:pPr>
        <w:pStyle w:val="font8"/>
        <w:tabs>
          <w:tab w:val="left" w:pos="426"/>
          <w:tab w:val="left" w:pos="993"/>
          <w:tab w:val="center" w:pos="4513"/>
          <w:tab w:val="left" w:pos="6208"/>
        </w:tabs>
        <w:rPr>
          <w:rStyle w:val="wixguard"/>
          <w:rFonts w:ascii="Open Sans" w:hAnsi="Open Sans" w:cs="Open Sans"/>
          <w:bCs/>
          <w:i/>
          <w:iCs/>
          <w:color w:val="06926B"/>
          <w:sz w:val="20"/>
          <w:szCs w:val="20"/>
        </w:rPr>
      </w:pPr>
    </w:p>
    <w:p w14:paraId="7AC539CA" w14:textId="312061E9" w:rsidR="004A00DA" w:rsidRPr="004A00DA" w:rsidRDefault="004A00DA" w:rsidP="004A00DA">
      <w:pPr>
        <w:pStyle w:val="font8"/>
        <w:tabs>
          <w:tab w:val="left" w:pos="426"/>
          <w:tab w:val="left" w:pos="993"/>
          <w:tab w:val="center" w:pos="4513"/>
          <w:tab w:val="left" w:pos="8139"/>
        </w:tabs>
        <w:rPr>
          <w:rStyle w:val="wixguard"/>
          <w:rFonts w:ascii="Open Sans" w:hAnsi="Open Sans" w:cs="Open Sans"/>
          <w:bCs/>
          <w:i/>
          <w:iCs/>
          <w:color w:val="06926B"/>
          <w:sz w:val="20"/>
          <w:szCs w:val="20"/>
        </w:rPr>
      </w:pPr>
    </w:p>
    <w:sdt>
      <w:sdtPr>
        <w:rPr>
          <w:rFonts w:ascii="Open Sans" w:eastAsiaTheme="minorHAnsi" w:hAnsi="Open Sans" w:cs="Open Sans"/>
          <w:b w:val="0"/>
          <w:bCs/>
          <w:color w:val="auto"/>
          <w:sz w:val="20"/>
          <w:szCs w:val="20"/>
          <w:lang w:val="en-GB" w:eastAsia="en-US"/>
        </w:rPr>
        <w:id w:val="-213591916"/>
        <w:docPartObj>
          <w:docPartGallery w:val="Table of Contents"/>
          <w:docPartUnique/>
        </w:docPartObj>
      </w:sdtPr>
      <w:sdtEndPr>
        <w:rPr>
          <w:bCs w:val="0"/>
          <w:lang w:eastAsia="en-GB"/>
        </w:rPr>
      </w:sdtEndPr>
      <w:sdtContent>
        <w:p w14:paraId="1AF528EF" w14:textId="234CEBE8" w:rsidR="00F727AF" w:rsidRPr="004A00DA" w:rsidRDefault="00F727AF" w:rsidP="004A00DA">
          <w:pPr>
            <w:pStyle w:val="TOCHeading"/>
            <w:tabs>
              <w:tab w:val="left" w:pos="426"/>
              <w:tab w:val="left" w:pos="993"/>
            </w:tabs>
            <w:rPr>
              <w:rFonts w:ascii="Open Sans" w:hAnsi="Open Sans" w:cs="Open Sans"/>
              <w:sz w:val="28"/>
              <w:szCs w:val="28"/>
            </w:rPr>
          </w:pPr>
          <w:r w:rsidRPr="004A00DA">
            <w:rPr>
              <w:rFonts w:ascii="Open Sans" w:hAnsi="Open Sans" w:cs="Open Sans"/>
              <w:sz w:val="28"/>
              <w:szCs w:val="28"/>
            </w:rPr>
            <w:t>Contents</w:t>
          </w:r>
        </w:p>
        <w:p w14:paraId="5902F806" w14:textId="77777777" w:rsidR="004A00DA" w:rsidRPr="004A00DA" w:rsidRDefault="004A00DA" w:rsidP="004A00DA">
          <w:pPr>
            <w:tabs>
              <w:tab w:val="left" w:pos="426"/>
              <w:tab w:val="left" w:pos="993"/>
            </w:tabs>
            <w:rPr>
              <w:rFonts w:ascii="Open Sans" w:hAnsi="Open Sans" w:cs="Open Sans"/>
              <w:sz w:val="20"/>
              <w:szCs w:val="20"/>
              <w:lang w:val="en-US" w:eastAsia="ja-JP"/>
            </w:rPr>
          </w:pPr>
        </w:p>
        <w:p w14:paraId="4A3029D2" w14:textId="77777777" w:rsidR="00F3663C" w:rsidRPr="004A00DA" w:rsidRDefault="00F727AF" w:rsidP="004A00DA">
          <w:pPr>
            <w:pStyle w:val="TOC1"/>
            <w:tabs>
              <w:tab w:val="left" w:pos="426"/>
              <w:tab w:val="left" w:pos="993"/>
              <w:tab w:val="right" w:leader="dot" w:pos="9016"/>
            </w:tabs>
            <w:rPr>
              <w:rFonts w:ascii="Open Sans" w:eastAsiaTheme="minorEastAsia" w:hAnsi="Open Sans" w:cs="Open Sans"/>
              <w:noProof/>
              <w:sz w:val="20"/>
              <w:szCs w:val="20"/>
              <w:lang w:eastAsia="en-GB"/>
            </w:rPr>
          </w:pPr>
          <w:r w:rsidRPr="004A00DA">
            <w:rPr>
              <w:rFonts w:ascii="Open Sans" w:hAnsi="Open Sans" w:cs="Open Sans"/>
              <w:sz w:val="20"/>
              <w:szCs w:val="20"/>
            </w:rPr>
            <w:fldChar w:fldCharType="begin"/>
          </w:r>
          <w:r w:rsidRPr="004A00DA">
            <w:rPr>
              <w:rFonts w:ascii="Open Sans" w:hAnsi="Open Sans" w:cs="Open Sans"/>
              <w:sz w:val="20"/>
              <w:szCs w:val="20"/>
            </w:rPr>
            <w:instrText xml:space="preserve"> TOC \o "1-3" \h \z \u </w:instrText>
          </w:r>
          <w:r w:rsidRPr="004A00DA">
            <w:rPr>
              <w:rFonts w:ascii="Open Sans" w:hAnsi="Open Sans" w:cs="Open Sans"/>
              <w:sz w:val="20"/>
              <w:szCs w:val="20"/>
            </w:rPr>
            <w:fldChar w:fldCharType="separate"/>
          </w:r>
          <w:hyperlink w:anchor="_Toc34921704" w:history="1">
            <w:r w:rsidR="00F3663C" w:rsidRPr="004A00DA">
              <w:rPr>
                <w:rStyle w:val="Hyperlink"/>
                <w:rFonts w:ascii="Open Sans" w:hAnsi="Open Sans" w:cs="Open Sans"/>
                <w:noProof/>
                <w:sz w:val="20"/>
                <w:szCs w:val="20"/>
                <w:lang w:eastAsia="en-GB"/>
              </w:rPr>
              <w:t>Objectives of this paper</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_Toc34921704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2</w:t>
            </w:r>
            <w:r w:rsidR="00F3663C" w:rsidRPr="004A00DA">
              <w:rPr>
                <w:rFonts w:ascii="Open Sans" w:hAnsi="Open Sans" w:cs="Open Sans"/>
                <w:noProof/>
                <w:webHidden/>
                <w:sz w:val="20"/>
                <w:szCs w:val="20"/>
              </w:rPr>
              <w:fldChar w:fldCharType="end"/>
            </w:r>
          </w:hyperlink>
        </w:p>
        <w:p w14:paraId="34C144B1" w14:textId="77777777" w:rsidR="00F3663C" w:rsidRPr="004A00DA" w:rsidRDefault="004547AC" w:rsidP="004A00DA">
          <w:pPr>
            <w:pStyle w:val="TOC1"/>
            <w:tabs>
              <w:tab w:val="left" w:pos="426"/>
              <w:tab w:val="left" w:pos="993"/>
              <w:tab w:val="right" w:leader="dot" w:pos="9016"/>
            </w:tabs>
            <w:rPr>
              <w:rFonts w:ascii="Open Sans" w:eastAsiaTheme="minorEastAsia" w:hAnsi="Open Sans" w:cs="Open Sans"/>
              <w:noProof/>
              <w:sz w:val="20"/>
              <w:szCs w:val="20"/>
              <w:lang w:eastAsia="en-GB"/>
            </w:rPr>
          </w:pPr>
          <w:hyperlink w:anchor="_Toc34921705" w:history="1">
            <w:r w:rsidR="00F3663C" w:rsidRPr="004A00DA">
              <w:rPr>
                <w:rStyle w:val="Hyperlink"/>
                <w:rFonts w:ascii="Open Sans" w:hAnsi="Open Sans" w:cs="Open Sans"/>
                <w:noProof/>
                <w:sz w:val="20"/>
                <w:szCs w:val="20"/>
                <w:lang w:eastAsia="en-GB"/>
              </w:rPr>
              <w:t>Executive Summary</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_Toc34921705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2</w:t>
            </w:r>
            <w:r w:rsidR="00F3663C" w:rsidRPr="004A00DA">
              <w:rPr>
                <w:rFonts w:ascii="Open Sans" w:hAnsi="Open Sans" w:cs="Open Sans"/>
                <w:noProof/>
                <w:webHidden/>
                <w:sz w:val="20"/>
                <w:szCs w:val="20"/>
              </w:rPr>
              <w:fldChar w:fldCharType="end"/>
            </w:r>
          </w:hyperlink>
        </w:p>
        <w:p w14:paraId="75750740" w14:textId="040BCBCF" w:rsidR="00F3663C" w:rsidRPr="004A00DA" w:rsidRDefault="00725415" w:rsidP="004A00DA">
          <w:pPr>
            <w:pStyle w:val="TOC1"/>
            <w:tabs>
              <w:tab w:val="left" w:pos="426"/>
              <w:tab w:val="left" w:pos="993"/>
              <w:tab w:val="right" w:leader="dot" w:pos="9016"/>
            </w:tabs>
            <w:rPr>
              <w:rFonts w:ascii="Open Sans" w:eastAsiaTheme="minorEastAsia" w:hAnsi="Open Sans" w:cs="Open Sans"/>
              <w:noProof/>
              <w:sz w:val="20"/>
              <w:szCs w:val="20"/>
              <w:lang w:eastAsia="en-GB"/>
            </w:rPr>
          </w:pPr>
          <w:r w:rsidRPr="004A00DA">
            <w:rPr>
              <w:rFonts w:ascii="Open Sans" w:hAnsi="Open Sans" w:cs="Open Sans"/>
              <w:sz w:val="20"/>
              <w:szCs w:val="20"/>
            </w:rPr>
            <w:t xml:space="preserve">1. </w:t>
          </w:r>
          <w:hyperlink w:anchor="_Toc34921706" w:history="1">
            <w:r w:rsidR="00F3663C" w:rsidRPr="004A00DA">
              <w:rPr>
                <w:rStyle w:val="Hyperlink"/>
                <w:rFonts w:ascii="Open Sans" w:hAnsi="Open Sans" w:cs="Open Sans"/>
                <w:noProof/>
                <w:sz w:val="20"/>
                <w:szCs w:val="20"/>
                <w:lang w:eastAsia="en-GB"/>
              </w:rPr>
              <w:t>GHG emissions from fuels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_Toc34921706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3</w:t>
            </w:r>
            <w:r w:rsidR="00F3663C" w:rsidRPr="004A00DA">
              <w:rPr>
                <w:rFonts w:ascii="Open Sans" w:hAnsi="Open Sans" w:cs="Open Sans"/>
                <w:noProof/>
                <w:webHidden/>
                <w:sz w:val="20"/>
                <w:szCs w:val="20"/>
              </w:rPr>
              <w:fldChar w:fldCharType="end"/>
            </w:r>
          </w:hyperlink>
        </w:p>
        <w:p w14:paraId="25A410FF" w14:textId="18BF8A5F" w:rsidR="00F3663C" w:rsidRPr="004A00DA" w:rsidRDefault="00984981"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sidR="00725415" w:rsidRPr="004A00DA">
            <w:rPr>
              <w:rFonts w:ascii="Open Sans" w:hAnsi="Open Sans" w:cs="Open Sans"/>
              <w:sz w:val="20"/>
              <w:szCs w:val="20"/>
            </w:rPr>
            <w:t>1.</w:t>
          </w:r>
          <w:r w:rsidR="004A00DA" w:rsidRPr="004A00DA">
            <w:rPr>
              <w:rFonts w:ascii="Open Sans" w:hAnsi="Open Sans" w:cs="Open Sans"/>
              <w:sz w:val="20"/>
              <w:szCs w:val="20"/>
            </w:rPr>
            <w:t>1</w:t>
          </w:r>
          <w:r w:rsidR="00725415" w:rsidRPr="004A00DA">
            <w:rPr>
              <w:rFonts w:ascii="Open Sans" w:hAnsi="Open Sans" w:cs="Open Sans"/>
              <w:sz w:val="20"/>
              <w:szCs w:val="20"/>
            </w:rPr>
            <w:t xml:space="preserve"> </w:t>
          </w:r>
          <w:hyperlink w:anchor="_Toc34921707" w:history="1">
            <w:r w:rsidR="00F3663C" w:rsidRPr="004A00DA">
              <w:rPr>
                <w:rStyle w:val="Hyperlink"/>
                <w:rFonts w:ascii="Open Sans" w:hAnsi="Open Sans" w:cs="Open Sans"/>
                <w:noProof/>
                <w:sz w:val="20"/>
                <w:szCs w:val="20"/>
              </w:rPr>
              <w:t>A brief note on other emissions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_Toc34921707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6</w:t>
            </w:r>
            <w:r w:rsidR="00F3663C" w:rsidRPr="004A00DA">
              <w:rPr>
                <w:rFonts w:ascii="Open Sans" w:hAnsi="Open Sans" w:cs="Open Sans"/>
                <w:noProof/>
                <w:webHidden/>
                <w:sz w:val="20"/>
                <w:szCs w:val="20"/>
              </w:rPr>
              <w:fldChar w:fldCharType="end"/>
            </w:r>
          </w:hyperlink>
        </w:p>
        <w:p w14:paraId="222CCC19" w14:textId="50EB1D50" w:rsidR="00F3663C" w:rsidRPr="004A00DA" w:rsidRDefault="004A00DA" w:rsidP="004A00DA">
          <w:pPr>
            <w:pStyle w:val="TOC2"/>
            <w:tabs>
              <w:tab w:val="left" w:pos="426"/>
              <w:tab w:val="left" w:pos="993"/>
              <w:tab w:val="right" w:leader="dot" w:pos="9016"/>
            </w:tabs>
            <w:ind w:left="0"/>
            <w:rPr>
              <w:rFonts w:ascii="Open Sans" w:eastAsiaTheme="minorEastAsia" w:hAnsi="Open Sans" w:cs="Open Sans"/>
              <w:noProof/>
              <w:sz w:val="20"/>
              <w:szCs w:val="20"/>
              <w:lang w:eastAsia="en-GB"/>
            </w:rPr>
          </w:pPr>
          <w:r w:rsidRPr="004A00DA">
            <w:rPr>
              <w:rFonts w:ascii="Open Sans" w:hAnsi="Open Sans" w:cs="Open Sans"/>
              <w:sz w:val="20"/>
              <w:szCs w:val="20"/>
            </w:rPr>
            <w:t xml:space="preserve">       1.</w:t>
          </w:r>
          <w:r w:rsidR="00725415" w:rsidRPr="004A00DA">
            <w:rPr>
              <w:rFonts w:ascii="Open Sans" w:hAnsi="Open Sans" w:cs="Open Sans"/>
              <w:sz w:val="20"/>
              <w:szCs w:val="20"/>
            </w:rPr>
            <w:t xml:space="preserve">2 </w:t>
          </w:r>
          <w:hyperlink w:anchor="_Toc34921708" w:history="1">
            <w:r w:rsidR="00F3663C" w:rsidRPr="004A00DA">
              <w:rPr>
                <w:rStyle w:val="Hyperlink"/>
                <w:rFonts w:ascii="Open Sans" w:hAnsi="Open Sans" w:cs="Open Sans"/>
                <w:noProof/>
                <w:sz w:val="20"/>
                <w:szCs w:val="20"/>
                <w:lang w:eastAsia="en-GB"/>
              </w:rPr>
              <w:t>The decarbonisation options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_Toc34921708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6</w:t>
            </w:r>
            <w:r w:rsidR="00F3663C" w:rsidRPr="004A00DA">
              <w:rPr>
                <w:rFonts w:ascii="Open Sans" w:hAnsi="Open Sans" w:cs="Open Sans"/>
                <w:noProof/>
                <w:webHidden/>
                <w:sz w:val="20"/>
                <w:szCs w:val="20"/>
              </w:rPr>
              <w:fldChar w:fldCharType="end"/>
            </w:r>
          </w:hyperlink>
        </w:p>
        <w:p w14:paraId="2B9E9D2C" w14:textId="062ADC15" w:rsidR="00F3663C" w:rsidRPr="004A00DA" w:rsidRDefault="004A00DA" w:rsidP="004A00DA">
          <w:pPr>
            <w:pStyle w:val="TOC1"/>
            <w:tabs>
              <w:tab w:val="left" w:pos="426"/>
              <w:tab w:val="left" w:pos="993"/>
              <w:tab w:val="right" w:leader="dot" w:pos="9016"/>
            </w:tabs>
            <w:rPr>
              <w:rFonts w:ascii="Open Sans" w:eastAsiaTheme="minorEastAsia" w:hAnsi="Open Sans" w:cs="Open Sans"/>
              <w:noProof/>
              <w:sz w:val="20"/>
              <w:szCs w:val="20"/>
              <w:lang w:eastAsia="en-GB"/>
            </w:rPr>
          </w:pPr>
          <w:r w:rsidRPr="004A00DA">
            <w:rPr>
              <w:rFonts w:ascii="Open Sans" w:hAnsi="Open Sans" w:cs="Open Sans"/>
              <w:sz w:val="20"/>
              <w:szCs w:val="20"/>
            </w:rPr>
            <w:t xml:space="preserve">2. </w:t>
          </w:r>
          <w:hyperlink w:anchor="_Toc34921709" w:history="1">
            <w:r w:rsidR="00F3663C" w:rsidRPr="004A00DA">
              <w:rPr>
                <w:rStyle w:val="Hyperlink"/>
                <w:rFonts w:ascii="Open Sans" w:hAnsi="Open Sans" w:cs="Open Sans"/>
                <w:noProof/>
                <w:sz w:val="20"/>
                <w:szCs w:val="20"/>
                <w:lang w:eastAsia="en-GB"/>
              </w:rPr>
              <w:t>Technology and fuelling options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_Toc34921709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7</w:t>
            </w:r>
            <w:r w:rsidR="00F3663C" w:rsidRPr="004A00DA">
              <w:rPr>
                <w:rFonts w:ascii="Open Sans" w:hAnsi="Open Sans" w:cs="Open Sans"/>
                <w:noProof/>
                <w:webHidden/>
                <w:sz w:val="20"/>
                <w:szCs w:val="20"/>
              </w:rPr>
              <w:fldChar w:fldCharType="end"/>
            </w:r>
          </w:hyperlink>
        </w:p>
        <w:p w14:paraId="7F005C66" w14:textId="1372C7D5"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sidRPr="004A00DA">
            <w:rPr>
              <w:rFonts w:ascii="Open Sans" w:hAnsi="Open Sans" w:cs="Open Sans"/>
              <w:sz w:val="20"/>
              <w:szCs w:val="20"/>
            </w:rPr>
            <w:tab/>
            <w:t xml:space="preserve">2.1 </w:t>
          </w:r>
          <w:hyperlink w:anchor="_Toc34921710" w:history="1">
            <w:r w:rsidR="00F3663C" w:rsidRPr="004A00DA">
              <w:rPr>
                <w:rStyle w:val="Hyperlink"/>
                <w:rFonts w:ascii="Open Sans" w:hAnsi="Open Sans" w:cs="Open Sans"/>
                <w:noProof/>
                <w:sz w:val="20"/>
                <w:szCs w:val="20"/>
                <w:lang w:eastAsia="en-GB"/>
              </w:rPr>
              <w:t>The ICE and its potential replacement</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_Toc34921710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7</w:t>
            </w:r>
            <w:r w:rsidR="00F3663C" w:rsidRPr="004A00DA">
              <w:rPr>
                <w:rFonts w:ascii="Open Sans" w:hAnsi="Open Sans" w:cs="Open Sans"/>
                <w:noProof/>
                <w:webHidden/>
                <w:sz w:val="20"/>
                <w:szCs w:val="20"/>
              </w:rPr>
              <w:fldChar w:fldCharType="end"/>
            </w:r>
          </w:hyperlink>
        </w:p>
        <w:p w14:paraId="4BE5B6D5" w14:textId="199AAB08" w:rsidR="00F3663C" w:rsidRPr="004A00DA" w:rsidRDefault="004A00DA" w:rsidP="004A00DA">
          <w:pPr>
            <w:pStyle w:val="TOC2"/>
            <w:tabs>
              <w:tab w:val="left" w:pos="426"/>
              <w:tab w:val="left" w:pos="993"/>
              <w:tab w:val="right" w:leader="dot" w:pos="9016"/>
            </w:tabs>
            <w:ind w:left="0"/>
            <w:rPr>
              <w:rFonts w:ascii="Open Sans" w:eastAsiaTheme="minorEastAsia" w:hAnsi="Open Sans" w:cs="Open Sans"/>
              <w:noProof/>
              <w:sz w:val="20"/>
              <w:szCs w:val="20"/>
              <w:lang w:eastAsia="en-GB"/>
            </w:rPr>
          </w:pPr>
          <w:r w:rsidRPr="004A00DA">
            <w:rPr>
              <w:rFonts w:ascii="Open Sans" w:hAnsi="Open Sans" w:cs="Open Sans"/>
              <w:sz w:val="20"/>
              <w:szCs w:val="20"/>
            </w:rPr>
            <w:tab/>
            <w:t xml:space="preserve">2.2 </w:t>
          </w:r>
          <w:hyperlink w:anchor="_Toc34921711" w:history="1">
            <w:r w:rsidR="00F3663C" w:rsidRPr="004A00DA">
              <w:rPr>
                <w:rStyle w:val="Hyperlink"/>
                <w:rFonts w:ascii="Open Sans" w:hAnsi="Open Sans" w:cs="Open Sans"/>
                <w:noProof/>
                <w:sz w:val="20"/>
                <w:szCs w:val="20"/>
                <w:lang w:eastAsia="en-GB"/>
              </w:rPr>
              <w:t>Renewable fuels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_Toc34921711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8</w:t>
            </w:r>
            <w:r w:rsidR="00F3663C" w:rsidRPr="004A00DA">
              <w:rPr>
                <w:rFonts w:ascii="Open Sans" w:hAnsi="Open Sans" w:cs="Open Sans"/>
                <w:noProof/>
                <w:webHidden/>
                <w:sz w:val="20"/>
                <w:szCs w:val="20"/>
              </w:rPr>
              <w:fldChar w:fldCharType="end"/>
            </w:r>
          </w:hyperlink>
        </w:p>
        <w:p w14:paraId="46A3D3EF" w14:textId="2A340B32"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2.2.1 </w:t>
          </w:r>
          <w:hyperlink w:anchor="_Toc34921712" w:history="1">
            <w:r w:rsidR="00F3663C" w:rsidRPr="004A00DA">
              <w:rPr>
                <w:rStyle w:val="Hyperlink"/>
                <w:rFonts w:ascii="Open Sans" w:hAnsi="Open Sans" w:cs="Open Sans"/>
                <w:noProof/>
                <w:sz w:val="20"/>
                <w:szCs w:val="20"/>
              </w:rPr>
              <w:t>Biofuels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_Toc34921712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8</w:t>
            </w:r>
            <w:r w:rsidR="00F3663C" w:rsidRPr="004A00DA">
              <w:rPr>
                <w:rFonts w:ascii="Open Sans" w:hAnsi="Open Sans" w:cs="Open Sans"/>
                <w:noProof/>
                <w:webHidden/>
                <w:sz w:val="20"/>
                <w:szCs w:val="20"/>
              </w:rPr>
              <w:fldChar w:fldCharType="end"/>
            </w:r>
          </w:hyperlink>
        </w:p>
        <w:p w14:paraId="09EDEA27" w14:textId="299E4147"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2.2.2 </w:t>
          </w:r>
          <w:hyperlink w:anchor="_Toc34921714" w:history="1">
            <w:r w:rsidR="00F3663C" w:rsidRPr="004A00DA">
              <w:rPr>
                <w:rStyle w:val="Hyperlink"/>
                <w:rFonts w:ascii="Open Sans" w:hAnsi="Open Sans" w:cs="Open Sans"/>
                <w:noProof/>
                <w:sz w:val="20"/>
                <w:szCs w:val="20"/>
                <w:lang w:eastAsia="en-GB"/>
              </w:rPr>
              <w:t>Biodiesel</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_Toc34921714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9</w:t>
            </w:r>
            <w:r w:rsidR="00F3663C" w:rsidRPr="004A00DA">
              <w:rPr>
                <w:rFonts w:ascii="Open Sans" w:hAnsi="Open Sans" w:cs="Open Sans"/>
                <w:noProof/>
                <w:webHidden/>
                <w:sz w:val="20"/>
                <w:szCs w:val="20"/>
              </w:rPr>
              <w:fldChar w:fldCharType="end"/>
            </w:r>
          </w:hyperlink>
        </w:p>
        <w:p w14:paraId="073C8255" w14:textId="373AF88A"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2.2.3 </w:t>
          </w:r>
          <w:hyperlink w:anchor="_Toc34921715" w:history="1">
            <w:r w:rsidR="00F3663C" w:rsidRPr="004A00DA">
              <w:rPr>
                <w:rStyle w:val="Hyperlink"/>
                <w:rFonts w:ascii="Open Sans" w:hAnsi="Open Sans" w:cs="Open Sans"/>
                <w:noProof/>
                <w:sz w:val="20"/>
                <w:szCs w:val="20"/>
              </w:rPr>
              <w:t>HVO (Hydro-</w:t>
            </w:r>
            <w:r>
              <w:rPr>
                <w:rStyle w:val="Hyperlink"/>
                <w:rFonts w:ascii="Open Sans" w:hAnsi="Open Sans" w:cs="Open Sans"/>
                <w:noProof/>
                <w:sz w:val="20"/>
                <w:szCs w:val="20"/>
              </w:rPr>
              <w:t>T</w:t>
            </w:r>
            <w:r w:rsidR="00F3663C" w:rsidRPr="004A00DA">
              <w:rPr>
                <w:rStyle w:val="Hyperlink"/>
                <w:rFonts w:ascii="Open Sans" w:hAnsi="Open Sans" w:cs="Open Sans"/>
                <w:noProof/>
                <w:sz w:val="20"/>
                <w:szCs w:val="20"/>
              </w:rPr>
              <w:t xml:space="preserve">reated </w:t>
            </w:r>
            <w:r>
              <w:rPr>
                <w:rStyle w:val="Hyperlink"/>
                <w:rFonts w:ascii="Open Sans" w:hAnsi="Open Sans" w:cs="Open Sans"/>
                <w:noProof/>
                <w:sz w:val="20"/>
                <w:szCs w:val="20"/>
              </w:rPr>
              <w:t>V</w:t>
            </w:r>
            <w:r w:rsidR="00F3663C" w:rsidRPr="004A00DA">
              <w:rPr>
                <w:rStyle w:val="Hyperlink"/>
                <w:rFonts w:ascii="Open Sans" w:hAnsi="Open Sans" w:cs="Open Sans"/>
                <w:noProof/>
                <w:sz w:val="20"/>
                <w:szCs w:val="20"/>
              </w:rPr>
              <w:t xml:space="preserve">egetable </w:t>
            </w:r>
            <w:r>
              <w:rPr>
                <w:rStyle w:val="Hyperlink"/>
                <w:rFonts w:ascii="Open Sans" w:hAnsi="Open Sans" w:cs="Open Sans"/>
                <w:noProof/>
                <w:sz w:val="20"/>
                <w:szCs w:val="20"/>
              </w:rPr>
              <w:t>O</w:t>
            </w:r>
            <w:r w:rsidR="00F3663C" w:rsidRPr="004A00DA">
              <w:rPr>
                <w:rStyle w:val="Hyperlink"/>
                <w:rFonts w:ascii="Open Sans" w:hAnsi="Open Sans" w:cs="Open Sans"/>
                <w:noProof/>
                <w:sz w:val="20"/>
                <w:szCs w:val="20"/>
              </w:rPr>
              <w:t>il or “</w:t>
            </w:r>
            <w:r>
              <w:rPr>
                <w:rStyle w:val="Hyperlink"/>
                <w:rFonts w:ascii="Open Sans" w:hAnsi="Open Sans" w:cs="Open Sans"/>
                <w:noProof/>
                <w:sz w:val="20"/>
                <w:szCs w:val="20"/>
              </w:rPr>
              <w:t>P</w:t>
            </w:r>
            <w:r w:rsidR="00F3663C" w:rsidRPr="004A00DA">
              <w:rPr>
                <w:rStyle w:val="Hyperlink"/>
                <w:rFonts w:ascii="Open Sans" w:hAnsi="Open Sans" w:cs="Open Sans"/>
                <w:noProof/>
                <w:sz w:val="20"/>
                <w:szCs w:val="20"/>
              </w:rPr>
              <w:t xml:space="preserve">araffinic </w:t>
            </w:r>
            <w:r>
              <w:rPr>
                <w:rStyle w:val="Hyperlink"/>
                <w:rFonts w:ascii="Open Sans" w:hAnsi="Open Sans" w:cs="Open Sans"/>
                <w:noProof/>
                <w:sz w:val="20"/>
                <w:szCs w:val="20"/>
              </w:rPr>
              <w:t>D</w:t>
            </w:r>
            <w:r w:rsidR="00F3663C" w:rsidRPr="004A00DA">
              <w:rPr>
                <w:rStyle w:val="Hyperlink"/>
                <w:rFonts w:ascii="Open Sans" w:hAnsi="Open Sans" w:cs="Open Sans"/>
                <w:noProof/>
                <w:sz w:val="20"/>
                <w:szCs w:val="20"/>
              </w:rPr>
              <w:t>iesel”)</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_Toc34921715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10</w:t>
            </w:r>
            <w:r w:rsidR="00F3663C" w:rsidRPr="004A00DA">
              <w:rPr>
                <w:rFonts w:ascii="Open Sans" w:hAnsi="Open Sans" w:cs="Open Sans"/>
                <w:noProof/>
                <w:webHidden/>
                <w:sz w:val="20"/>
                <w:szCs w:val="20"/>
              </w:rPr>
              <w:fldChar w:fldCharType="end"/>
            </w:r>
          </w:hyperlink>
        </w:p>
        <w:p w14:paraId="3760B824" w14:textId="6C5DA55D"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2.2.4 </w:t>
          </w:r>
          <w:hyperlink w:anchor="_Toc34921716" w:history="1">
            <w:r w:rsidR="00F3663C" w:rsidRPr="004A00DA">
              <w:rPr>
                <w:rStyle w:val="Hyperlink"/>
                <w:rFonts w:ascii="Open Sans" w:hAnsi="Open Sans" w:cs="Open Sans"/>
                <w:noProof/>
                <w:sz w:val="20"/>
                <w:szCs w:val="20"/>
                <w:lang w:eastAsia="en-GB"/>
              </w:rPr>
              <w:t>Bioethanol</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_Toc34921716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10</w:t>
            </w:r>
            <w:r w:rsidR="00F3663C" w:rsidRPr="004A00DA">
              <w:rPr>
                <w:rFonts w:ascii="Open Sans" w:hAnsi="Open Sans" w:cs="Open Sans"/>
                <w:noProof/>
                <w:webHidden/>
                <w:sz w:val="20"/>
                <w:szCs w:val="20"/>
              </w:rPr>
              <w:fldChar w:fldCharType="end"/>
            </w:r>
          </w:hyperlink>
        </w:p>
        <w:p w14:paraId="14851EF0" w14:textId="5F9DDBD1"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2.2.5 </w:t>
          </w:r>
          <w:hyperlink w:anchor="_Toc34921717" w:history="1">
            <w:r w:rsidR="00F3663C" w:rsidRPr="004A00DA">
              <w:rPr>
                <w:rStyle w:val="Hyperlink"/>
                <w:rFonts w:ascii="Open Sans" w:hAnsi="Open Sans" w:cs="Open Sans"/>
                <w:noProof/>
                <w:sz w:val="20"/>
                <w:szCs w:val="20"/>
                <w:lang w:eastAsia="en-GB"/>
              </w:rPr>
              <w:t xml:space="preserve">Bio </w:t>
            </w:r>
            <w:r>
              <w:rPr>
                <w:rStyle w:val="Hyperlink"/>
                <w:rFonts w:ascii="Open Sans" w:hAnsi="Open Sans" w:cs="Open Sans"/>
                <w:noProof/>
                <w:sz w:val="20"/>
                <w:szCs w:val="20"/>
                <w:lang w:eastAsia="en-GB"/>
              </w:rPr>
              <w:t>P</w:t>
            </w:r>
            <w:r w:rsidR="00F3663C" w:rsidRPr="004A00DA">
              <w:rPr>
                <w:rStyle w:val="Hyperlink"/>
                <w:rFonts w:ascii="Open Sans" w:hAnsi="Open Sans" w:cs="Open Sans"/>
                <w:noProof/>
                <w:sz w:val="20"/>
                <w:szCs w:val="20"/>
                <w:lang w:eastAsia="en-GB"/>
              </w:rPr>
              <w:t>ropane</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_Toc34921717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11</w:t>
            </w:r>
            <w:r w:rsidR="00F3663C" w:rsidRPr="004A00DA">
              <w:rPr>
                <w:rFonts w:ascii="Open Sans" w:hAnsi="Open Sans" w:cs="Open Sans"/>
                <w:noProof/>
                <w:webHidden/>
                <w:sz w:val="20"/>
                <w:szCs w:val="20"/>
              </w:rPr>
              <w:fldChar w:fldCharType="end"/>
            </w:r>
          </w:hyperlink>
        </w:p>
        <w:p w14:paraId="52009934" w14:textId="4606C4A8"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 xml:space="preserve">2.2.6 </w:t>
          </w:r>
          <w:hyperlink w:anchor="_Toc34921718" w:history="1">
            <w:r w:rsidR="00F3663C" w:rsidRPr="004A00DA">
              <w:rPr>
                <w:rStyle w:val="Hyperlink"/>
                <w:rFonts w:ascii="Open Sans" w:hAnsi="Open Sans" w:cs="Open Sans"/>
                <w:noProof/>
                <w:sz w:val="20"/>
                <w:szCs w:val="20"/>
                <w:lang w:eastAsia="en-GB"/>
              </w:rPr>
              <w:t>Biomethane</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_Toc34921718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11</w:t>
            </w:r>
            <w:r w:rsidR="00F3663C" w:rsidRPr="004A00DA">
              <w:rPr>
                <w:rFonts w:ascii="Open Sans" w:hAnsi="Open Sans" w:cs="Open Sans"/>
                <w:noProof/>
                <w:webHidden/>
                <w:sz w:val="20"/>
                <w:szCs w:val="20"/>
              </w:rPr>
              <w:fldChar w:fldCharType="end"/>
            </w:r>
          </w:hyperlink>
        </w:p>
        <w:p w14:paraId="7C024CAF" w14:textId="6B0B68A0"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t>2.</w:t>
          </w:r>
          <w:r w:rsidR="00984981">
            <w:rPr>
              <w:rFonts w:ascii="Open Sans" w:hAnsi="Open Sans" w:cs="Open Sans"/>
              <w:sz w:val="20"/>
              <w:szCs w:val="20"/>
            </w:rPr>
            <w:t>3</w:t>
          </w:r>
          <w:r>
            <w:rPr>
              <w:rFonts w:ascii="Open Sans" w:hAnsi="Open Sans" w:cs="Open Sans"/>
              <w:sz w:val="20"/>
              <w:szCs w:val="20"/>
            </w:rPr>
            <w:t xml:space="preserve"> </w:t>
          </w:r>
          <w:hyperlink w:anchor="_Toc34921719" w:history="1">
            <w:r w:rsidR="00F3663C" w:rsidRPr="004A00DA">
              <w:rPr>
                <w:rStyle w:val="Hyperlink"/>
                <w:rFonts w:ascii="Open Sans" w:hAnsi="Open Sans" w:cs="Open Sans"/>
                <w:noProof/>
                <w:sz w:val="20"/>
                <w:szCs w:val="20"/>
                <w:lang w:eastAsia="en-GB"/>
              </w:rPr>
              <w:t>Renewable Fuels of Non-</w:t>
            </w:r>
            <w:r>
              <w:rPr>
                <w:rStyle w:val="Hyperlink"/>
                <w:rFonts w:ascii="Open Sans" w:hAnsi="Open Sans" w:cs="Open Sans"/>
                <w:noProof/>
                <w:sz w:val="20"/>
                <w:szCs w:val="20"/>
                <w:lang w:eastAsia="en-GB"/>
              </w:rPr>
              <w:t>B</w:t>
            </w:r>
            <w:r w:rsidR="00F3663C" w:rsidRPr="004A00DA">
              <w:rPr>
                <w:rStyle w:val="Hyperlink"/>
                <w:rFonts w:ascii="Open Sans" w:hAnsi="Open Sans" w:cs="Open Sans"/>
                <w:noProof/>
                <w:sz w:val="20"/>
                <w:szCs w:val="20"/>
                <w:lang w:eastAsia="en-GB"/>
              </w:rPr>
              <w:t xml:space="preserve">iological </w:t>
            </w:r>
            <w:r>
              <w:rPr>
                <w:rStyle w:val="Hyperlink"/>
                <w:rFonts w:ascii="Open Sans" w:hAnsi="Open Sans" w:cs="Open Sans"/>
                <w:noProof/>
                <w:sz w:val="20"/>
                <w:szCs w:val="20"/>
                <w:lang w:eastAsia="en-GB"/>
              </w:rPr>
              <w:t>O</w:t>
            </w:r>
            <w:r w:rsidR="00F3663C" w:rsidRPr="004A00DA">
              <w:rPr>
                <w:rStyle w:val="Hyperlink"/>
                <w:rFonts w:ascii="Open Sans" w:hAnsi="Open Sans" w:cs="Open Sans"/>
                <w:noProof/>
                <w:sz w:val="20"/>
                <w:szCs w:val="20"/>
                <w:lang w:eastAsia="en-GB"/>
              </w:rPr>
              <w:t>rigin</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_Toc34921719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12</w:t>
            </w:r>
            <w:r w:rsidR="00F3663C" w:rsidRPr="004A00DA">
              <w:rPr>
                <w:rFonts w:ascii="Open Sans" w:hAnsi="Open Sans" w:cs="Open Sans"/>
                <w:noProof/>
                <w:webHidden/>
                <w:sz w:val="20"/>
                <w:szCs w:val="20"/>
              </w:rPr>
              <w:fldChar w:fldCharType="end"/>
            </w:r>
          </w:hyperlink>
        </w:p>
        <w:p w14:paraId="7F44CBE2" w14:textId="00D6BB33"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2.</w:t>
          </w:r>
          <w:r w:rsidR="00984981">
            <w:rPr>
              <w:rFonts w:ascii="Open Sans" w:hAnsi="Open Sans" w:cs="Open Sans"/>
              <w:sz w:val="20"/>
              <w:szCs w:val="20"/>
            </w:rPr>
            <w:t>3</w:t>
          </w:r>
          <w:r>
            <w:rPr>
              <w:rFonts w:ascii="Open Sans" w:hAnsi="Open Sans" w:cs="Open Sans"/>
              <w:sz w:val="20"/>
              <w:szCs w:val="20"/>
            </w:rPr>
            <w:t>.</w:t>
          </w:r>
          <w:r w:rsidR="00984981">
            <w:rPr>
              <w:rFonts w:ascii="Open Sans" w:hAnsi="Open Sans" w:cs="Open Sans"/>
              <w:sz w:val="20"/>
              <w:szCs w:val="20"/>
            </w:rPr>
            <w:t>1</w:t>
          </w:r>
          <w:r>
            <w:rPr>
              <w:rFonts w:ascii="Open Sans" w:hAnsi="Open Sans" w:cs="Open Sans"/>
              <w:sz w:val="20"/>
              <w:szCs w:val="20"/>
            </w:rPr>
            <w:t xml:space="preserve"> </w:t>
          </w:r>
          <w:hyperlink w:anchor="_Toc34921720" w:history="1">
            <w:r w:rsidR="00F3663C" w:rsidRPr="004A00DA">
              <w:rPr>
                <w:rStyle w:val="Hyperlink"/>
                <w:rFonts w:ascii="Open Sans" w:hAnsi="Open Sans" w:cs="Open Sans"/>
                <w:noProof/>
                <w:sz w:val="20"/>
                <w:szCs w:val="20"/>
                <w:lang w:eastAsia="en-GB"/>
              </w:rPr>
              <w:t>Hydrogen</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_Toc34921720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12</w:t>
            </w:r>
            <w:r w:rsidR="00F3663C" w:rsidRPr="004A00DA">
              <w:rPr>
                <w:rFonts w:ascii="Open Sans" w:hAnsi="Open Sans" w:cs="Open Sans"/>
                <w:noProof/>
                <w:webHidden/>
                <w:sz w:val="20"/>
                <w:szCs w:val="20"/>
              </w:rPr>
              <w:fldChar w:fldCharType="end"/>
            </w:r>
          </w:hyperlink>
        </w:p>
        <w:p w14:paraId="0D4E961D" w14:textId="3850F88D" w:rsidR="00F3663C" w:rsidRPr="004A00DA" w:rsidRDefault="004A00DA" w:rsidP="004A00DA">
          <w:pPr>
            <w:pStyle w:val="TOC3"/>
            <w:tabs>
              <w:tab w:val="left" w:pos="993"/>
            </w:tabs>
            <w:rPr>
              <w:rFonts w:ascii="Open Sans" w:eastAsiaTheme="minorEastAsia" w:hAnsi="Open Sans" w:cs="Open Sans"/>
              <w:noProof/>
              <w:sz w:val="20"/>
              <w:szCs w:val="20"/>
              <w:lang w:eastAsia="en-GB"/>
            </w:rPr>
          </w:pPr>
          <w:r>
            <w:rPr>
              <w:rFonts w:ascii="Open Sans" w:hAnsi="Open Sans" w:cs="Open Sans"/>
              <w:sz w:val="20"/>
              <w:szCs w:val="20"/>
            </w:rPr>
            <w:tab/>
            <w:t>2.</w:t>
          </w:r>
          <w:r w:rsidR="00984981">
            <w:rPr>
              <w:rFonts w:ascii="Open Sans" w:hAnsi="Open Sans" w:cs="Open Sans"/>
              <w:sz w:val="20"/>
              <w:szCs w:val="20"/>
            </w:rPr>
            <w:t>4</w:t>
          </w:r>
          <w:r>
            <w:rPr>
              <w:rFonts w:ascii="Open Sans" w:hAnsi="Open Sans" w:cs="Open Sans"/>
              <w:sz w:val="20"/>
              <w:szCs w:val="20"/>
            </w:rPr>
            <w:t xml:space="preserve"> </w:t>
          </w:r>
          <w:hyperlink w:anchor="_Toc34921721" w:history="1">
            <w:r w:rsidR="00F3663C" w:rsidRPr="004A00DA">
              <w:rPr>
                <w:rStyle w:val="Hyperlink"/>
                <w:rFonts w:ascii="Open Sans" w:hAnsi="Open Sans" w:cs="Open Sans"/>
                <w:noProof/>
                <w:sz w:val="20"/>
                <w:szCs w:val="20"/>
                <w:lang w:eastAsia="en-GB"/>
              </w:rPr>
              <w:t>Electricity</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_Toc34921721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12</w:t>
            </w:r>
            <w:r w:rsidR="00F3663C" w:rsidRPr="004A00DA">
              <w:rPr>
                <w:rFonts w:ascii="Open Sans" w:hAnsi="Open Sans" w:cs="Open Sans"/>
                <w:noProof/>
                <w:webHidden/>
                <w:sz w:val="20"/>
                <w:szCs w:val="20"/>
              </w:rPr>
              <w:fldChar w:fldCharType="end"/>
            </w:r>
          </w:hyperlink>
        </w:p>
        <w:p w14:paraId="1AE19780" w14:textId="0998EFE0" w:rsidR="00F3663C" w:rsidRPr="004A00DA" w:rsidRDefault="004A00DA" w:rsidP="004A00DA">
          <w:pPr>
            <w:pStyle w:val="TOC2"/>
            <w:tabs>
              <w:tab w:val="left" w:pos="426"/>
              <w:tab w:val="left" w:pos="993"/>
              <w:tab w:val="right" w:leader="dot" w:pos="9016"/>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2.</w:t>
          </w:r>
          <w:r w:rsidR="00984981">
            <w:rPr>
              <w:rFonts w:ascii="Open Sans" w:hAnsi="Open Sans" w:cs="Open Sans"/>
              <w:sz w:val="20"/>
              <w:szCs w:val="20"/>
            </w:rPr>
            <w:t>4</w:t>
          </w:r>
          <w:r>
            <w:rPr>
              <w:rFonts w:ascii="Open Sans" w:hAnsi="Open Sans" w:cs="Open Sans"/>
              <w:sz w:val="20"/>
              <w:szCs w:val="20"/>
            </w:rPr>
            <w:t xml:space="preserve">.1 </w:t>
          </w:r>
          <w:hyperlink w:anchor="_Toc34921722" w:history="1">
            <w:r w:rsidR="00F3663C" w:rsidRPr="004A00DA">
              <w:rPr>
                <w:rStyle w:val="Hyperlink"/>
                <w:rFonts w:ascii="Open Sans" w:hAnsi="Open Sans" w:cs="Open Sans"/>
                <w:noProof/>
                <w:sz w:val="20"/>
                <w:szCs w:val="20"/>
              </w:rPr>
              <w:t>Fuel cells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_Toc34921722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12</w:t>
            </w:r>
            <w:r w:rsidR="00F3663C" w:rsidRPr="004A00DA">
              <w:rPr>
                <w:rFonts w:ascii="Open Sans" w:hAnsi="Open Sans" w:cs="Open Sans"/>
                <w:noProof/>
                <w:webHidden/>
                <w:sz w:val="20"/>
                <w:szCs w:val="20"/>
              </w:rPr>
              <w:fldChar w:fldCharType="end"/>
            </w:r>
          </w:hyperlink>
        </w:p>
        <w:p w14:paraId="5B7DCF7B" w14:textId="1ABD81D4" w:rsidR="00F3663C" w:rsidRPr="004A00DA" w:rsidRDefault="004A00DA" w:rsidP="004A00DA">
          <w:pPr>
            <w:pStyle w:val="TOC2"/>
            <w:tabs>
              <w:tab w:val="left" w:pos="426"/>
              <w:tab w:val="left" w:pos="993"/>
              <w:tab w:val="right" w:leader="dot" w:pos="9016"/>
            </w:tabs>
            <w:rPr>
              <w:rFonts w:ascii="Open Sans" w:eastAsiaTheme="minorEastAsia" w:hAnsi="Open Sans" w:cs="Open Sans"/>
              <w:noProof/>
              <w:sz w:val="20"/>
              <w:szCs w:val="20"/>
              <w:lang w:eastAsia="en-GB"/>
            </w:rPr>
          </w:pPr>
          <w:r>
            <w:rPr>
              <w:rFonts w:ascii="Open Sans" w:hAnsi="Open Sans" w:cs="Open Sans"/>
              <w:sz w:val="20"/>
              <w:szCs w:val="20"/>
            </w:rPr>
            <w:tab/>
          </w:r>
          <w:r>
            <w:rPr>
              <w:rFonts w:ascii="Open Sans" w:hAnsi="Open Sans" w:cs="Open Sans"/>
              <w:sz w:val="20"/>
              <w:szCs w:val="20"/>
            </w:rPr>
            <w:tab/>
            <w:t>2.</w:t>
          </w:r>
          <w:r w:rsidR="00984981">
            <w:rPr>
              <w:rFonts w:ascii="Open Sans" w:hAnsi="Open Sans" w:cs="Open Sans"/>
              <w:sz w:val="20"/>
              <w:szCs w:val="20"/>
            </w:rPr>
            <w:t>4</w:t>
          </w:r>
          <w:r>
            <w:rPr>
              <w:rFonts w:ascii="Open Sans" w:hAnsi="Open Sans" w:cs="Open Sans"/>
              <w:sz w:val="20"/>
              <w:szCs w:val="20"/>
            </w:rPr>
            <w:t xml:space="preserve">.2 </w:t>
          </w:r>
          <w:hyperlink w:anchor="_Toc34921723" w:history="1">
            <w:r w:rsidR="00F3663C" w:rsidRPr="004A00DA">
              <w:rPr>
                <w:rStyle w:val="Hyperlink"/>
                <w:rFonts w:ascii="Open Sans" w:hAnsi="Open Sans" w:cs="Open Sans"/>
                <w:noProof/>
                <w:sz w:val="20"/>
                <w:szCs w:val="20"/>
                <w:lang w:eastAsia="en-GB"/>
              </w:rPr>
              <w:t>Electric Vehicles and Charging Infrastructure</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_Toc34921723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14</w:t>
            </w:r>
            <w:r w:rsidR="00F3663C" w:rsidRPr="004A00DA">
              <w:rPr>
                <w:rFonts w:ascii="Open Sans" w:hAnsi="Open Sans" w:cs="Open Sans"/>
                <w:noProof/>
                <w:webHidden/>
                <w:sz w:val="20"/>
                <w:szCs w:val="20"/>
              </w:rPr>
              <w:fldChar w:fldCharType="end"/>
            </w:r>
          </w:hyperlink>
        </w:p>
        <w:p w14:paraId="048D948D" w14:textId="5E452ED0" w:rsidR="00F3663C" w:rsidRPr="004A00DA" w:rsidRDefault="00984981" w:rsidP="00984981">
          <w:pPr>
            <w:pStyle w:val="TOC2"/>
            <w:tabs>
              <w:tab w:val="left" w:pos="426"/>
              <w:tab w:val="left" w:pos="993"/>
              <w:tab w:val="right" w:leader="dot" w:pos="9016"/>
            </w:tabs>
            <w:ind w:left="0"/>
            <w:rPr>
              <w:rFonts w:ascii="Open Sans" w:eastAsiaTheme="minorEastAsia" w:hAnsi="Open Sans" w:cs="Open Sans"/>
              <w:noProof/>
              <w:sz w:val="20"/>
              <w:szCs w:val="20"/>
              <w:lang w:eastAsia="en-GB"/>
            </w:rPr>
          </w:pPr>
          <w:r>
            <w:rPr>
              <w:rFonts w:ascii="Open Sans" w:hAnsi="Open Sans" w:cs="Open Sans"/>
              <w:sz w:val="20"/>
              <w:szCs w:val="20"/>
            </w:rPr>
            <w:t xml:space="preserve">3. </w:t>
          </w:r>
          <w:hyperlink w:anchor="_Toc34921724" w:history="1">
            <w:r w:rsidR="00F3663C" w:rsidRPr="004A00DA">
              <w:rPr>
                <w:rStyle w:val="Hyperlink"/>
                <w:rFonts w:ascii="Open Sans" w:hAnsi="Open Sans" w:cs="Open Sans"/>
                <w:noProof/>
                <w:sz w:val="20"/>
                <w:szCs w:val="20"/>
                <w:lang w:eastAsia="en-GB"/>
              </w:rPr>
              <w:t>REA anticipated roadmap to 2040</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_Toc34921724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15</w:t>
            </w:r>
            <w:r w:rsidR="00F3663C" w:rsidRPr="004A00DA">
              <w:rPr>
                <w:rFonts w:ascii="Open Sans" w:hAnsi="Open Sans" w:cs="Open Sans"/>
                <w:noProof/>
                <w:webHidden/>
                <w:sz w:val="20"/>
                <w:szCs w:val="20"/>
              </w:rPr>
              <w:fldChar w:fldCharType="end"/>
            </w:r>
          </w:hyperlink>
        </w:p>
        <w:p w14:paraId="4688AA28" w14:textId="0F4B6B74" w:rsidR="00F3663C" w:rsidRPr="004A00DA" w:rsidRDefault="00984981" w:rsidP="00984981">
          <w:pPr>
            <w:pStyle w:val="TOC2"/>
            <w:tabs>
              <w:tab w:val="left" w:pos="426"/>
              <w:tab w:val="left" w:pos="993"/>
              <w:tab w:val="right" w:leader="dot" w:pos="9016"/>
            </w:tabs>
            <w:ind w:left="0"/>
            <w:rPr>
              <w:rFonts w:ascii="Open Sans" w:eastAsiaTheme="minorEastAsia" w:hAnsi="Open Sans" w:cs="Open Sans"/>
              <w:noProof/>
              <w:sz w:val="20"/>
              <w:szCs w:val="20"/>
              <w:lang w:eastAsia="en-GB"/>
            </w:rPr>
          </w:pPr>
          <w:r>
            <w:rPr>
              <w:rFonts w:ascii="Open Sans" w:hAnsi="Open Sans" w:cs="Open Sans"/>
              <w:sz w:val="20"/>
              <w:szCs w:val="20"/>
            </w:rPr>
            <w:t xml:space="preserve">4. </w:t>
          </w:r>
          <w:hyperlink w:anchor="_Toc34921725" w:history="1">
            <w:r w:rsidR="00F3663C" w:rsidRPr="004A00DA">
              <w:rPr>
                <w:rStyle w:val="Hyperlink"/>
                <w:rFonts w:ascii="Open Sans" w:hAnsi="Open Sans" w:cs="Open Sans"/>
                <w:noProof/>
                <w:sz w:val="20"/>
                <w:szCs w:val="20"/>
                <w:lang w:eastAsia="en-GB"/>
              </w:rPr>
              <w:t>REA recommended policy actions for renewable fuels</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_Toc34921725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16</w:t>
            </w:r>
            <w:r w:rsidR="00F3663C" w:rsidRPr="004A00DA">
              <w:rPr>
                <w:rFonts w:ascii="Open Sans" w:hAnsi="Open Sans" w:cs="Open Sans"/>
                <w:noProof/>
                <w:webHidden/>
                <w:sz w:val="20"/>
                <w:szCs w:val="20"/>
              </w:rPr>
              <w:fldChar w:fldCharType="end"/>
            </w:r>
          </w:hyperlink>
        </w:p>
        <w:p w14:paraId="03F49E92" w14:textId="4928682D" w:rsidR="00F3663C" w:rsidRPr="004A00DA" w:rsidRDefault="00984981" w:rsidP="00984981">
          <w:pPr>
            <w:pStyle w:val="TOC2"/>
            <w:tabs>
              <w:tab w:val="left" w:pos="426"/>
              <w:tab w:val="left" w:pos="993"/>
              <w:tab w:val="right" w:leader="dot" w:pos="9016"/>
            </w:tabs>
            <w:ind w:left="0"/>
            <w:rPr>
              <w:rFonts w:ascii="Open Sans" w:eastAsiaTheme="minorEastAsia" w:hAnsi="Open Sans" w:cs="Open Sans"/>
              <w:noProof/>
              <w:sz w:val="20"/>
              <w:szCs w:val="20"/>
              <w:lang w:eastAsia="en-GB"/>
            </w:rPr>
          </w:pPr>
          <w:r>
            <w:rPr>
              <w:rFonts w:ascii="Open Sans" w:hAnsi="Open Sans" w:cs="Open Sans"/>
              <w:sz w:val="20"/>
              <w:szCs w:val="20"/>
            </w:rPr>
            <w:t xml:space="preserve">5. </w:t>
          </w:r>
          <w:hyperlink w:anchor="_Toc34921726" w:history="1">
            <w:r w:rsidR="00F3663C" w:rsidRPr="004A00DA">
              <w:rPr>
                <w:rStyle w:val="Hyperlink"/>
                <w:rFonts w:ascii="Open Sans" w:eastAsia="Times New Roman" w:hAnsi="Open Sans" w:cs="Open Sans"/>
                <w:noProof/>
                <w:sz w:val="20"/>
                <w:szCs w:val="20"/>
                <w:lang w:eastAsia="en-GB"/>
              </w:rPr>
              <w:t>REA recommended p</w:t>
            </w:r>
            <w:r w:rsidR="00F3663C" w:rsidRPr="004A00DA">
              <w:rPr>
                <w:rStyle w:val="Hyperlink"/>
                <w:rFonts w:ascii="Open Sans" w:hAnsi="Open Sans" w:cs="Open Sans"/>
                <w:noProof/>
                <w:sz w:val="20"/>
                <w:szCs w:val="20"/>
                <w:lang w:eastAsia="en-GB"/>
              </w:rPr>
              <w:t xml:space="preserve">olicy actions </w:t>
            </w:r>
            <w:r w:rsidR="00F3663C" w:rsidRPr="004A00DA">
              <w:rPr>
                <w:rStyle w:val="Hyperlink"/>
                <w:rFonts w:ascii="Open Sans" w:eastAsia="Times New Roman" w:hAnsi="Open Sans" w:cs="Open Sans"/>
                <w:noProof/>
                <w:sz w:val="20"/>
                <w:szCs w:val="20"/>
                <w:lang w:eastAsia="en-GB"/>
              </w:rPr>
              <w:t xml:space="preserve">for </w:t>
            </w:r>
            <w:r w:rsidR="00F3663C" w:rsidRPr="004A00DA">
              <w:rPr>
                <w:rStyle w:val="Hyperlink"/>
                <w:rFonts w:ascii="Open Sans" w:hAnsi="Open Sans" w:cs="Open Sans"/>
                <w:noProof/>
                <w:sz w:val="20"/>
                <w:szCs w:val="20"/>
                <w:lang w:eastAsia="en-GB"/>
              </w:rPr>
              <w:t>electrification</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_Toc34921726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16</w:t>
            </w:r>
            <w:r w:rsidR="00F3663C" w:rsidRPr="004A00DA">
              <w:rPr>
                <w:rFonts w:ascii="Open Sans" w:hAnsi="Open Sans" w:cs="Open Sans"/>
                <w:noProof/>
                <w:webHidden/>
                <w:sz w:val="20"/>
                <w:szCs w:val="20"/>
              </w:rPr>
              <w:fldChar w:fldCharType="end"/>
            </w:r>
          </w:hyperlink>
        </w:p>
        <w:p w14:paraId="5A73F8F1" w14:textId="3ACDFFB3" w:rsidR="00F3663C" w:rsidRDefault="00984981" w:rsidP="004A00DA">
          <w:pPr>
            <w:pStyle w:val="TOC1"/>
            <w:tabs>
              <w:tab w:val="left" w:pos="426"/>
              <w:tab w:val="left" w:pos="993"/>
              <w:tab w:val="right" w:leader="dot" w:pos="9016"/>
            </w:tabs>
            <w:rPr>
              <w:rFonts w:ascii="Open Sans" w:hAnsi="Open Sans" w:cs="Open Sans"/>
              <w:noProof/>
              <w:sz w:val="20"/>
              <w:szCs w:val="20"/>
            </w:rPr>
          </w:pPr>
          <w:r>
            <w:rPr>
              <w:rFonts w:ascii="Open Sans" w:hAnsi="Open Sans" w:cs="Open Sans"/>
              <w:sz w:val="20"/>
              <w:szCs w:val="20"/>
            </w:rPr>
            <w:t xml:space="preserve">6. </w:t>
          </w:r>
          <w:hyperlink w:anchor="_Toc34921727" w:history="1">
            <w:r w:rsidR="00F3663C" w:rsidRPr="004A00DA">
              <w:rPr>
                <w:rStyle w:val="Hyperlink"/>
                <w:rFonts w:ascii="Open Sans" w:hAnsi="Open Sans" w:cs="Open Sans"/>
                <w:noProof/>
                <w:sz w:val="20"/>
                <w:szCs w:val="20"/>
              </w:rPr>
              <w:t>Conclusion</w:t>
            </w:r>
            <w:r w:rsidR="00F3663C" w:rsidRPr="004A00DA">
              <w:rPr>
                <w:rFonts w:ascii="Open Sans" w:hAnsi="Open Sans" w:cs="Open Sans"/>
                <w:noProof/>
                <w:webHidden/>
                <w:sz w:val="20"/>
                <w:szCs w:val="20"/>
              </w:rPr>
              <w:tab/>
            </w:r>
            <w:r w:rsidR="00F3663C" w:rsidRPr="004A00DA">
              <w:rPr>
                <w:rFonts w:ascii="Open Sans" w:hAnsi="Open Sans" w:cs="Open Sans"/>
                <w:noProof/>
                <w:webHidden/>
                <w:sz w:val="20"/>
                <w:szCs w:val="20"/>
              </w:rPr>
              <w:fldChar w:fldCharType="begin"/>
            </w:r>
            <w:r w:rsidR="00F3663C" w:rsidRPr="004A00DA">
              <w:rPr>
                <w:rFonts w:ascii="Open Sans" w:hAnsi="Open Sans" w:cs="Open Sans"/>
                <w:noProof/>
                <w:webHidden/>
                <w:sz w:val="20"/>
                <w:szCs w:val="20"/>
              </w:rPr>
              <w:instrText xml:space="preserve"> PAGEREF _Toc34921727 \h </w:instrText>
            </w:r>
            <w:r w:rsidR="00F3663C" w:rsidRPr="004A00DA">
              <w:rPr>
                <w:rFonts w:ascii="Open Sans" w:hAnsi="Open Sans" w:cs="Open Sans"/>
                <w:noProof/>
                <w:webHidden/>
                <w:sz w:val="20"/>
                <w:szCs w:val="20"/>
              </w:rPr>
            </w:r>
            <w:r w:rsidR="00F3663C" w:rsidRPr="004A00DA">
              <w:rPr>
                <w:rFonts w:ascii="Open Sans" w:hAnsi="Open Sans" w:cs="Open Sans"/>
                <w:noProof/>
                <w:webHidden/>
                <w:sz w:val="20"/>
                <w:szCs w:val="20"/>
              </w:rPr>
              <w:fldChar w:fldCharType="separate"/>
            </w:r>
            <w:r w:rsidR="00F3663C" w:rsidRPr="004A00DA">
              <w:rPr>
                <w:rFonts w:ascii="Open Sans" w:hAnsi="Open Sans" w:cs="Open Sans"/>
                <w:noProof/>
                <w:webHidden/>
                <w:sz w:val="20"/>
                <w:szCs w:val="20"/>
              </w:rPr>
              <w:t>17</w:t>
            </w:r>
            <w:r w:rsidR="00F3663C" w:rsidRPr="004A00DA">
              <w:rPr>
                <w:rFonts w:ascii="Open Sans" w:hAnsi="Open Sans" w:cs="Open Sans"/>
                <w:noProof/>
                <w:webHidden/>
                <w:sz w:val="20"/>
                <w:szCs w:val="20"/>
              </w:rPr>
              <w:fldChar w:fldCharType="end"/>
            </w:r>
          </w:hyperlink>
        </w:p>
        <w:p w14:paraId="0BD74574" w14:textId="1A30C84F" w:rsidR="00984981" w:rsidRPr="00984981" w:rsidRDefault="00984981" w:rsidP="00984981">
          <w:r>
            <w:t>Appendix 1</w:t>
          </w:r>
        </w:p>
        <w:p w14:paraId="1BB1ABEC" w14:textId="6080E7E0" w:rsidR="00614935" w:rsidRPr="004A00DA" w:rsidRDefault="00F727AF" w:rsidP="004A00DA">
          <w:pPr>
            <w:tabs>
              <w:tab w:val="left" w:pos="426"/>
              <w:tab w:val="left" w:pos="993"/>
            </w:tabs>
            <w:rPr>
              <w:rFonts w:ascii="Open Sans" w:hAnsi="Open Sans" w:cs="Open Sans"/>
              <w:sz w:val="20"/>
              <w:szCs w:val="20"/>
              <w:lang w:eastAsia="en-GB"/>
            </w:rPr>
          </w:pPr>
          <w:r w:rsidRPr="004A00DA">
            <w:rPr>
              <w:rFonts w:ascii="Open Sans" w:hAnsi="Open Sans" w:cs="Open Sans"/>
              <w:b/>
              <w:bCs/>
              <w:noProof/>
              <w:sz w:val="20"/>
              <w:szCs w:val="20"/>
            </w:rPr>
            <w:fldChar w:fldCharType="end"/>
          </w:r>
        </w:p>
      </w:sdtContent>
    </w:sdt>
    <w:bookmarkStart w:id="0" w:name="_Toc34921704" w:displacedByCustomXml="prev"/>
    <w:p w14:paraId="29C7B44E" w14:textId="38BC999C" w:rsidR="005618F1" w:rsidRPr="004A00DA" w:rsidRDefault="005618F1" w:rsidP="004A00DA">
      <w:pPr>
        <w:pStyle w:val="Heading1"/>
        <w:tabs>
          <w:tab w:val="left" w:pos="426"/>
          <w:tab w:val="left" w:pos="993"/>
        </w:tabs>
        <w:rPr>
          <w:rFonts w:ascii="Open Sans" w:hAnsi="Open Sans" w:cs="Open Sans"/>
          <w:sz w:val="20"/>
          <w:szCs w:val="20"/>
          <w:lang w:eastAsia="en-GB"/>
        </w:rPr>
      </w:pPr>
    </w:p>
    <w:p w14:paraId="365DD85A" w14:textId="5D069476" w:rsidR="004A00DA" w:rsidRDefault="004A00DA" w:rsidP="004A00DA">
      <w:pPr>
        <w:tabs>
          <w:tab w:val="left" w:pos="426"/>
          <w:tab w:val="left" w:pos="993"/>
        </w:tabs>
        <w:rPr>
          <w:rFonts w:ascii="Open Sans" w:hAnsi="Open Sans" w:cs="Open Sans"/>
          <w:sz w:val="20"/>
          <w:szCs w:val="20"/>
          <w:lang w:eastAsia="en-GB"/>
        </w:rPr>
      </w:pPr>
    </w:p>
    <w:p w14:paraId="607A6B6D" w14:textId="53781867" w:rsidR="00984981" w:rsidRDefault="00984981" w:rsidP="004A00DA">
      <w:pPr>
        <w:tabs>
          <w:tab w:val="left" w:pos="426"/>
          <w:tab w:val="left" w:pos="993"/>
        </w:tabs>
        <w:rPr>
          <w:rFonts w:ascii="Open Sans" w:hAnsi="Open Sans" w:cs="Open Sans"/>
          <w:sz w:val="20"/>
          <w:szCs w:val="20"/>
          <w:lang w:eastAsia="en-GB"/>
        </w:rPr>
      </w:pPr>
    </w:p>
    <w:p w14:paraId="414CFF29" w14:textId="77777777" w:rsidR="00984981" w:rsidRPr="004A00DA" w:rsidRDefault="00984981" w:rsidP="004A00DA">
      <w:pPr>
        <w:tabs>
          <w:tab w:val="left" w:pos="426"/>
          <w:tab w:val="left" w:pos="993"/>
        </w:tabs>
        <w:rPr>
          <w:rFonts w:ascii="Open Sans" w:hAnsi="Open Sans" w:cs="Open Sans"/>
          <w:sz w:val="20"/>
          <w:szCs w:val="20"/>
          <w:lang w:eastAsia="en-GB"/>
        </w:rPr>
      </w:pPr>
    </w:p>
    <w:p w14:paraId="7DE200D3" w14:textId="62469915" w:rsidR="004A00DA" w:rsidRPr="004A00DA" w:rsidRDefault="004A00DA" w:rsidP="004A00DA">
      <w:pPr>
        <w:tabs>
          <w:tab w:val="left" w:pos="426"/>
          <w:tab w:val="left" w:pos="993"/>
        </w:tabs>
        <w:rPr>
          <w:rFonts w:ascii="Open Sans" w:hAnsi="Open Sans" w:cs="Open Sans"/>
          <w:sz w:val="20"/>
          <w:szCs w:val="20"/>
          <w:lang w:eastAsia="en-GB"/>
        </w:rPr>
      </w:pPr>
    </w:p>
    <w:p w14:paraId="7EC3220B" w14:textId="77777777" w:rsidR="004A00DA" w:rsidRPr="004A00DA" w:rsidRDefault="004A00DA" w:rsidP="004A00DA">
      <w:pPr>
        <w:tabs>
          <w:tab w:val="left" w:pos="426"/>
          <w:tab w:val="left" w:pos="993"/>
        </w:tabs>
        <w:rPr>
          <w:rFonts w:ascii="Open Sans" w:hAnsi="Open Sans" w:cs="Open Sans"/>
          <w:sz w:val="20"/>
          <w:szCs w:val="20"/>
          <w:lang w:eastAsia="en-GB"/>
        </w:rPr>
      </w:pPr>
    </w:p>
    <w:p w14:paraId="0A1D45CB" w14:textId="3B153C71" w:rsidR="000A0DF3" w:rsidRPr="00984981" w:rsidRDefault="00444DF0" w:rsidP="004A00DA">
      <w:pPr>
        <w:pStyle w:val="Heading1"/>
        <w:tabs>
          <w:tab w:val="left" w:pos="426"/>
          <w:tab w:val="left" w:pos="993"/>
        </w:tabs>
        <w:rPr>
          <w:rFonts w:ascii="Open Sans" w:hAnsi="Open Sans" w:cs="Open Sans"/>
          <w:sz w:val="28"/>
          <w:szCs w:val="28"/>
          <w:lang w:eastAsia="en-GB"/>
        </w:rPr>
      </w:pPr>
      <w:r w:rsidRPr="00984981">
        <w:rPr>
          <w:rFonts w:ascii="Open Sans" w:hAnsi="Open Sans" w:cs="Open Sans"/>
          <w:sz w:val="28"/>
          <w:szCs w:val="28"/>
          <w:lang w:eastAsia="en-GB"/>
        </w:rPr>
        <w:lastRenderedPageBreak/>
        <w:t>Objectives of this paper</w:t>
      </w:r>
      <w:bookmarkEnd w:id="0"/>
    </w:p>
    <w:p w14:paraId="200B340C" w14:textId="77777777" w:rsidR="00444DF0" w:rsidRPr="004A00DA" w:rsidRDefault="00444DF0"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 </w:t>
      </w:r>
    </w:p>
    <w:p w14:paraId="68D865C8" w14:textId="6818B1B4" w:rsidR="00444DF0" w:rsidRPr="004A00DA" w:rsidRDefault="00444DF0" w:rsidP="004A00DA">
      <w:pPr>
        <w:pStyle w:val="ListParagraph"/>
        <w:numPr>
          <w:ilvl w:val="0"/>
          <w:numId w:val="10"/>
        </w:numPr>
        <w:tabs>
          <w:tab w:val="left" w:pos="426"/>
          <w:tab w:val="left" w:pos="993"/>
        </w:tabs>
        <w:rPr>
          <w:rFonts w:ascii="Open Sans" w:eastAsia="Times New Roman" w:hAnsi="Open Sans" w:cs="Open Sans"/>
          <w:sz w:val="20"/>
          <w:szCs w:val="20"/>
          <w:u w:val="single"/>
          <w:lang w:eastAsia="en-GB"/>
        </w:rPr>
      </w:pPr>
      <w:r w:rsidRPr="004A00DA">
        <w:rPr>
          <w:rFonts w:ascii="Open Sans" w:eastAsia="Times New Roman" w:hAnsi="Open Sans" w:cs="Open Sans"/>
          <w:sz w:val="20"/>
          <w:szCs w:val="20"/>
          <w:lang w:eastAsia="en-GB"/>
        </w:rPr>
        <w:t xml:space="preserve">To give an overview of the REA’s position on the role </w:t>
      </w:r>
      <w:r w:rsidR="009E749B" w:rsidRPr="004A00DA">
        <w:rPr>
          <w:rFonts w:ascii="Open Sans" w:eastAsia="Times New Roman" w:hAnsi="Open Sans" w:cs="Open Sans"/>
          <w:sz w:val="20"/>
          <w:szCs w:val="20"/>
          <w:lang w:eastAsia="en-GB"/>
        </w:rPr>
        <w:t xml:space="preserve">that </w:t>
      </w:r>
      <w:r w:rsidR="00CB0F30" w:rsidRPr="004A00DA">
        <w:rPr>
          <w:rFonts w:ascii="Open Sans" w:eastAsia="Times New Roman" w:hAnsi="Open Sans" w:cs="Open Sans"/>
          <w:sz w:val="20"/>
          <w:szCs w:val="20"/>
          <w:lang w:eastAsia="en-GB"/>
        </w:rPr>
        <w:t xml:space="preserve">electrification and </w:t>
      </w:r>
      <w:r w:rsidR="009E749B" w:rsidRPr="004A00DA">
        <w:rPr>
          <w:rFonts w:ascii="Open Sans" w:eastAsia="Times New Roman" w:hAnsi="Open Sans" w:cs="Open Sans"/>
          <w:sz w:val="20"/>
          <w:szCs w:val="20"/>
          <w:lang w:eastAsia="en-GB"/>
        </w:rPr>
        <w:t xml:space="preserve">fuels </w:t>
      </w:r>
      <w:r w:rsidR="00D372E8" w:rsidRPr="004A00DA">
        <w:rPr>
          <w:rFonts w:ascii="Open Sans" w:eastAsia="Times New Roman" w:hAnsi="Open Sans" w:cs="Open Sans"/>
          <w:sz w:val="20"/>
          <w:szCs w:val="20"/>
          <w:lang w:eastAsia="en-GB"/>
        </w:rPr>
        <w:t xml:space="preserve">(including hydrogen) </w:t>
      </w:r>
      <w:r w:rsidR="009E749B" w:rsidRPr="004A00DA">
        <w:rPr>
          <w:rFonts w:ascii="Open Sans" w:eastAsia="Times New Roman" w:hAnsi="Open Sans" w:cs="Open Sans"/>
          <w:sz w:val="20"/>
          <w:szCs w:val="20"/>
          <w:lang w:eastAsia="en-GB"/>
        </w:rPr>
        <w:t xml:space="preserve">can play </w:t>
      </w:r>
      <w:r w:rsidRPr="004A00DA">
        <w:rPr>
          <w:rFonts w:ascii="Open Sans" w:eastAsia="Times New Roman" w:hAnsi="Open Sans" w:cs="Open Sans"/>
          <w:sz w:val="20"/>
          <w:szCs w:val="20"/>
          <w:lang w:eastAsia="en-GB"/>
        </w:rPr>
        <w:t xml:space="preserve">in decarbonising the UK road transport system to 2040 </w:t>
      </w:r>
    </w:p>
    <w:p w14:paraId="50C5970D" w14:textId="77777777" w:rsidR="00444DF0" w:rsidRPr="004A00DA" w:rsidRDefault="00444DF0" w:rsidP="004A00DA">
      <w:pPr>
        <w:pStyle w:val="ListParagraph"/>
        <w:numPr>
          <w:ilvl w:val="0"/>
          <w:numId w:val="10"/>
        </w:numPr>
        <w:tabs>
          <w:tab w:val="left" w:pos="426"/>
          <w:tab w:val="left" w:pos="993"/>
        </w:tabs>
        <w:rPr>
          <w:rFonts w:ascii="Open Sans" w:eastAsia="Times New Roman" w:hAnsi="Open Sans" w:cs="Open Sans"/>
          <w:sz w:val="20"/>
          <w:szCs w:val="20"/>
          <w:u w:val="single"/>
          <w:lang w:eastAsia="en-GB"/>
        </w:rPr>
      </w:pPr>
      <w:r w:rsidRPr="004A00DA">
        <w:rPr>
          <w:rFonts w:ascii="Open Sans" w:eastAsia="Times New Roman" w:hAnsi="Open Sans" w:cs="Open Sans"/>
          <w:sz w:val="20"/>
          <w:szCs w:val="20"/>
          <w:lang w:eastAsia="en-GB"/>
        </w:rPr>
        <w:t xml:space="preserve">To suggest policies </w:t>
      </w:r>
      <w:r w:rsidR="009E749B" w:rsidRPr="004A00DA">
        <w:rPr>
          <w:rFonts w:ascii="Open Sans" w:eastAsia="Times New Roman" w:hAnsi="Open Sans" w:cs="Open Sans"/>
          <w:sz w:val="20"/>
          <w:szCs w:val="20"/>
          <w:lang w:eastAsia="en-GB"/>
        </w:rPr>
        <w:t xml:space="preserve">to hasten the </w:t>
      </w:r>
      <w:r w:rsidRPr="004A00DA">
        <w:rPr>
          <w:rFonts w:ascii="Open Sans" w:eastAsia="Times New Roman" w:hAnsi="Open Sans" w:cs="Open Sans"/>
          <w:sz w:val="20"/>
          <w:szCs w:val="20"/>
          <w:lang w:eastAsia="en-GB"/>
        </w:rPr>
        <w:t>decarbonis</w:t>
      </w:r>
      <w:r w:rsidR="009E749B" w:rsidRPr="004A00DA">
        <w:rPr>
          <w:rFonts w:ascii="Open Sans" w:eastAsia="Times New Roman" w:hAnsi="Open Sans" w:cs="Open Sans"/>
          <w:sz w:val="20"/>
          <w:szCs w:val="20"/>
          <w:lang w:eastAsia="en-GB"/>
        </w:rPr>
        <w:t xml:space="preserve">ation of </w:t>
      </w:r>
      <w:r w:rsidRPr="004A00DA">
        <w:rPr>
          <w:rFonts w:ascii="Open Sans" w:eastAsia="Times New Roman" w:hAnsi="Open Sans" w:cs="Open Sans"/>
          <w:sz w:val="20"/>
          <w:szCs w:val="20"/>
          <w:lang w:eastAsia="en-GB"/>
        </w:rPr>
        <w:t xml:space="preserve">road transport </w:t>
      </w:r>
    </w:p>
    <w:p w14:paraId="5081489F" w14:textId="20D06231" w:rsidR="00725415" w:rsidRPr="00984981" w:rsidRDefault="0060267B" w:rsidP="004A00DA">
      <w:pPr>
        <w:pStyle w:val="Heading1"/>
        <w:tabs>
          <w:tab w:val="left" w:pos="426"/>
          <w:tab w:val="left" w:pos="993"/>
        </w:tabs>
        <w:rPr>
          <w:rFonts w:ascii="Open Sans" w:hAnsi="Open Sans" w:cs="Open Sans"/>
          <w:sz w:val="28"/>
          <w:szCs w:val="28"/>
          <w:lang w:eastAsia="en-GB"/>
        </w:rPr>
      </w:pPr>
      <w:bookmarkStart w:id="1" w:name="_Toc34921705"/>
      <w:r w:rsidRPr="00984981">
        <w:rPr>
          <w:rFonts w:ascii="Open Sans" w:hAnsi="Open Sans" w:cs="Open Sans"/>
          <w:sz w:val="28"/>
          <w:szCs w:val="28"/>
          <w:lang w:eastAsia="en-GB"/>
        </w:rPr>
        <w:t>Executive Summary</w:t>
      </w:r>
      <w:bookmarkEnd w:id="1"/>
    </w:p>
    <w:p w14:paraId="47D711BD" w14:textId="77777777" w:rsidR="00725415" w:rsidRPr="004A00DA" w:rsidRDefault="00725415" w:rsidP="004A00DA">
      <w:pPr>
        <w:tabs>
          <w:tab w:val="left" w:pos="426"/>
          <w:tab w:val="left" w:pos="993"/>
        </w:tabs>
        <w:rPr>
          <w:rFonts w:ascii="Open Sans" w:eastAsia="Times New Roman" w:hAnsi="Open Sans" w:cs="Open Sans"/>
          <w:sz w:val="20"/>
          <w:szCs w:val="20"/>
          <w:lang w:eastAsia="en-GB"/>
        </w:rPr>
      </w:pPr>
    </w:p>
    <w:p w14:paraId="1788840E" w14:textId="0ACBCF29" w:rsidR="00771C4D" w:rsidRPr="004A00DA" w:rsidRDefault="00771C4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Decarbonisation of the transport sector, in line with </w:t>
      </w:r>
      <w:r w:rsidR="00E95CDD" w:rsidRPr="004A00DA">
        <w:rPr>
          <w:rFonts w:ascii="Open Sans" w:eastAsia="Times New Roman" w:hAnsi="Open Sans" w:cs="Open Sans"/>
          <w:sz w:val="20"/>
          <w:szCs w:val="20"/>
          <w:lang w:eastAsia="en-GB"/>
        </w:rPr>
        <w:t>UK</w:t>
      </w:r>
      <w:r w:rsidRPr="004A00DA">
        <w:rPr>
          <w:rFonts w:ascii="Open Sans" w:eastAsia="Times New Roman" w:hAnsi="Open Sans" w:cs="Open Sans"/>
          <w:sz w:val="20"/>
          <w:szCs w:val="20"/>
          <w:lang w:eastAsia="en-GB"/>
        </w:rPr>
        <w:t xml:space="preserve"> Carbon Budgets and legal commitment to Net Zero greenhouse gas </w:t>
      </w:r>
      <w:r w:rsidR="00B42995" w:rsidRPr="004A00DA">
        <w:rPr>
          <w:rFonts w:ascii="Open Sans" w:eastAsia="Times New Roman" w:hAnsi="Open Sans" w:cs="Open Sans"/>
          <w:sz w:val="20"/>
          <w:szCs w:val="20"/>
          <w:lang w:eastAsia="en-GB"/>
        </w:rPr>
        <w:t xml:space="preserve">(GHG) </w:t>
      </w:r>
      <w:r w:rsidRPr="004A00DA">
        <w:rPr>
          <w:rFonts w:ascii="Open Sans" w:eastAsia="Times New Roman" w:hAnsi="Open Sans" w:cs="Open Sans"/>
          <w:sz w:val="20"/>
          <w:szCs w:val="20"/>
          <w:lang w:eastAsia="en-GB"/>
        </w:rPr>
        <w:t>emissions by 2050, is an urgent national priority and one for which there are numerous solutions available to industry and policy-make</w:t>
      </w:r>
      <w:r w:rsidR="00BC32E5" w:rsidRPr="004A00DA">
        <w:rPr>
          <w:rFonts w:ascii="Open Sans" w:eastAsia="Times New Roman" w:hAnsi="Open Sans" w:cs="Open Sans"/>
          <w:sz w:val="20"/>
          <w:szCs w:val="20"/>
          <w:lang w:eastAsia="en-GB"/>
        </w:rPr>
        <w:t>r</w:t>
      </w:r>
      <w:r w:rsidRPr="004A00DA">
        <w:rPr>
          <w:rFonts w:ascii="Open Sans" w:eastAsia="Times New Roman" w:hAnsi="Open Sans" w:cs="Open Sans"/>
          <w:sz w:val="20"/>
          <w:szCs w:val="20"/>
          <w:lang w:eastAsia="en-GB"/>
        </w:rPr>
        <w:t xml:space="preserve">s. Strategic and timely intervention by Government, </w:t>
      </w:r>
      <w:r w:rsidR="00EF2427" w:rsidRPr="004A00DA">
        <w:rPr>
          <w:rFonts w:ascii="Open Sans" w:eastAsia="Times New Roman" w:hAnsi="Open Sans" w:cs="Open Sans"/>
          <w:sz w:val="20"/>
          <w:szCs w:val="20"/>
          <w:lang w:eastAsia="en-GB"/>
        </w:rPr>
        <w:t>in coordination with industry</w:t>
      </w:r>
      <w:r w:rsidRPr="004A00DA">
        <w:rPr>
          <w:rFonts w:ascii="Open Sans" w:eastAsia="Times New Roman" w:hAnsi="Open Sans" w:cs="Open Sans"/>
          <w:sz w:val="20"/>
          <w:szCs w:val="20"/>
          <w:lang w:eastAsia="en-GB"/>
        </w:rPr>
        <w:t xml:space="preserve">, </w:t>
      </w:r>
      <w:r w:rsidR="00EF2427" w:rsidRPr="004A00DA">
        <w:rPr>
          <w:rFonts w:ascii="Open Sans" w:eastAsia="Times New Roman" w:hAnsi="Open Sans" w:cs="Open Sans"/>
          <w:sz w:val="20"/>
          <w:szCs w:val="20"/>
          <w:lang w:eastAsia="en-GB"/>
        </w:rPr>
        <w:t>can result in the UK achieving its decarbonisation goals whilst</w:t>
      </w:r>
      <w:r w:rsidRPr="004A00DA">
        <w:rPr>
          <w:rFonts w:ascii="Open Sans" w:eastAsia="Times New Roman" w:hAnsi="Open Sans" w:cs="Open Sans"/>
          <w:sz w:val="20"/>
          <w:szCs w:val="20"/>
          <w:lang w:eastAsia="en-GB"/>
        </w:rPr>
        <w:t xml:space="preserve"> creat</w:t>
      </w:r>
      <w:r w:rsidR="00EF2427" w:rsidRPr="004A00DA">
        <w:rPr>
          <w:rFonts w:ascii="Open Sans" w:eastAsia="Times New Roman" w:hAnsi="Open Sans" w:cs="Open Sans"/>
          <w:sz w:val="20"/>
          <w:szCs w:val="20"/>
          <w:lang w:eastAsia="en-GB"/>
        </w:rPr>
        <w:t>ing</w:t>
      </w:r>
      <w:r w:rsidRPr="004A00DA">
        <w:rPr>
          <w:rFonts w:ascii="Open Sans" w:eastAsia="Times New Roman" w:hAnsi="Open Sans" w:cs="Open Sans"/>
          <w:sz w:val="20"/>
          <w:szCs w:val="20"/>
          <w:lang w:eastAsia="en-GB"/>
        </w:rPr>
        <w:t xml:space="preserve"> jobs </w:t>
      </w:r>
      <w:r w:rsidR="00EF2427" w:rsidRPr="004A00DA">
        <w:rPr>
          <w:rFonts w:ascii="Open Sans" w:eastAsia="Times New Roman" w:hAnsi="Open Sans" w:cs="Open Sans"/>
          <w:sz w:val="20"/>
          <w:szCs w:val="20"/>
          <w:lang w:eastAsia="en-GB"/>
        </w:rPr>
        <w:t xml:space="preserve">at home and products that can be </w:t>
      </w:r>
      <w:r w:rsidRPr="004A00DA">
        <w:rPr>
          <w:rFonts w:ascii="Open Sans" w:eastAsia="Times New Roman" w:hAnsi="Open Sans" w:cs="Open Sans"/>
          <w:sz w:val="20"/>
          <w:szCs w:val="20"/>
          <w:lang w:eastAsia="en-GB"/>
        </w:rPr>
        <w:t>export</w:t>
      </w:r>
      <w:r w:rsidR="00EF2427" w:rsidRPr="004A00DA">
        <w:rPr>
          <w:rFonts w:ascii="Open Sans" w:eastAsia="Times New Roman" w:hAnsi="Open Sans" w:cs="Open Sans"/>
          <w:sz w:val="20"/>
          <w:szCs w:val="20"/>
          <w:lang w:eastAsia="en-GB"/>
        </w:rPr>
        <w:t>ed</w:t>
      </w:r>
      <w:r w:rsidRPr="004A00DA">
        <w:rPr>
          <w:rFonts w:ascii="Open Sans" w:eastAsia="Times New Roman" w:hAnsi="Open Sans" w:cs="Open Sans"/>
          <w:sz w:val="20"/>
          <w:szCs w:val="20"/>
          <w:lang w:eastAsia="en-GB"/>
        </w:rPr>
        <w:t xml:space="preserve"> abroad. </w:t>
      </w:r>
    </w:p>
    <w:p w14:paraId="6B3ECA00" w14:textId="1ABE37E9" w:rsidR="00771C4D" w:rsidRPr="004A00DA" w:rsidRDefault="00771C4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REA is well</w:t>
      </w:r>
      <w:r w:rsidR="009E749B"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placed to comment on this major industrial shift as the</w:t>
      </w:r>
      <w:r w:rsidR="00EF2427" w:rsidRPr="004A00DA">
        <w:rPr>
          <w:rFonts w:ascii="Open Sans" w:eastAsia="Times New Roman" w:hAnsi="Open Sans" w:cs="Open Sans"/>
          <w:sz w:val="20"/>
          <w:szCs w:val="20"/>
          <w:lang w:eastAsia="en-GB"/>
        </w:rPr>
        <w:t xml:space="preserve"> UK’s</w:t>
      </w:r>
      <w:r w:rsidRPr="004A00DA">
        <w:rPr>
          <w:rFonts w:ascii="Open Sans" w:eastAsia="Times New Roman" w:hAnsi="Open Sans" w:cs="Open Sans"/>
          <w:sz w:val="20"/>
          <w:szCs w:val="20"/>
          <w:lang w:eastAsia="en-GB"/>
        </w:rPr>
        <w:t xml:space="preserve"> </w:t>
      </w:r>
      <w:r w:rsidR="00EF2427" w:rsidRPr="004A00DA">
        <w:rPr>
          <w:rFonts w:ascii="Open Sans" w:eastAsia="Times New Roman" w:hAnsi="Open Sans" w:cs="Open Sans"/>
          <w:sz w:val="20"/>
          <w:szCs w:val="20"/>
          <w:lang w:eastAsia="en-GB"/>
        </w:rPr>
        <w:t xml:space="preserve">largest trade association for renewable energy and clean technologies, with over 550 members operating across the power, heat, transport, and natural capital sectors. Specifically, the REA’s Renewable Transport Fuels Forum and Electric Vehicle Forum </w:t>
      </w:r>
      <w:r w:rsidRPr="004A00DA">
        <w:rPr>
          <w:rFonts w:ascii="Open Sans" w:eastAsia="Times New Roman" w:hAnsi="Open Sans" w:cs="Open Sans"/>
          <w:sz w:val="20"/>
          <w:szCs w:val="20"/>
          <w:lang w:eastAsia="en-GB"/>
        </w:rPr>
        <w:t xml:space="preserve">represent companies </w:t>
      </w:r>
      <w:r w:rsidR="009E749B" w:rsidRPr="004A00DA">
        <w:rPr>
          <w:rFonts w:ascii="Open Sans" w:eastAsia="Times New Roman" w:hAnsi="Open Sans" w:cs="Open Sans"/>
          <w:sz w:val="20"/>
          <w:szCs w:val="20"/>
          <w:lang w:eastAsia="en-GB"/>
        </w:rPr>
        <w:t>involved in renewable fuels</w:t>
      </w:r>
      <w:r w:rsidRPr="004A00DA">
        <w:rPr>
          <w:rFonts w:ascii="Open Sans" w:eastAsia="Times New Roman" w:hAnsi="Open Sans" w:cs="Open Sans"/>
          <w:sz w:val="20"/>
          <w:szCs w:val="20"/>
          <w:lang w:eastAsia="en-GB"/>
        </w:rPr>
        <w:t xml:space="preserve">, renewable power </w:t>
      </w:r>
      <w:r w:rsidR="00EF2427" w:rsidRPr="004A00DA">
        <w:rPr>
          <w:rFonts w:ascii="Open Sans" w:eastAsia="Times New Roman" w:hAnsi="Open Sans" w:cs="Open Sans"/>
          <w:sz w:val="20"/>
          <w:szCs w:val="20"/>
          <w:lang w:eastAsia="en-GB"/>
        </w:rPr>
        <w:t xml:space="preserve">developers and </w:t>
      </w:r>
      <w:r w:rsidRPr="004A00DA">
        <w:rPr>
          <w:rFonts w:ascii="Open Sans" w:eastAsia="Times New Roman" w:hAnsi="Open Sans" w:cs="Open Sans"/>
          <w:sz w:val="20"/>
          <w:szCs w:val="20"/>
          <w:lang w:eastAsia="en-GB"/>
        </w:rPr>
        <w:t>generators</w:t>
      </w:r>
      <w:r w:rsidR="00EF2427"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project developers, and the electric vehicle charging infrastructure supply chain.</w:t>
      </w:r>
    </w:p>
    <w:p w14:paraId="62D855B0" w14:textId="38C028A8" w:rsidR="00771C4D" w:rsidRPr="004A00DA" w:rsidRDefault="00771C4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This paper focuses on road transport, </w:t>
      </w:r>
      <w:r w:rsidR="009E749B" w:rsidRPr="004A00DA">
        <w:rPr>
          <w:rFonts w:ascii="Open Sans" w:eastAsia="Times New Roman" w:hAnsi="Open Sans" w:cs="Open Sans"/>
          <w:sz w:val="20"/>
          <w:szCs w:val="20"/>
          <w:lang w:eastAsia="en-GB"/>
        </w:rPr>
        <w:t>which accounts for over 90% of domestic CO</w:t>
      </w:r>
      <w:r w:rsidR="009E749B" w:rsidRPr="004A00DA">
        <w:rPr>
          <w:rFonts w:ascii="Open Sans" w:eastAsia="Times New Roman" w:hAnsi="Open Sans" w:cs="Open Sans"/>
          <w:sz w:val="20"/>
          <w:szCs w:val="20"/>
          <w:vertAlign w:val="subscript"/>
          <w:lang w:eastAsia="en-GB"/>
        </w:rPr>
        <w:t>2</w:t>
      </w:r>
      <w:r w:rsidR="009E749B" w:rsidRPr="004A00DA">
        <w:rPr>
          <w:rFonts w:ascii="Open Sans" w:eastAsia="Times New Roman" w:hAnsi="Open Sans" w:cs="Open Sans"/>
          <w:sz w:val="20"/>
          <w:szCs w:val="20"/>
          <w:lang w:eastAsia="en-GB"/>
        </w:rPr>
        <w:t xml:space="preserve"> emissions from transport</w:t>
      </w:r>
      <w:r w:rsidR="0060267B" w:rsidRPr="004A00DA">
        <w:rPr>
          <w:rFonts w:ascii="Open Sans" w:eastAsia="Times New Roman" w:hAnsi="Open Sans" w:cs="Open Sans"/>
          <w:sz w:val="20"/>
          <w:szCs w:val="20"/>
          <w:lang w:eastAsia="en-GB"/>
        </w:rPr>
        <w:t xml:space="preserve">. </w:t>
      </w:r>
      <w:r w:rsidR="009E749B" w:rsidRPr="004A00DA">
        <w:rPr>
          <w:rFonts w:ascii="Open Sans" w:eastAsia="Times New Roman" w:hAnsi="Open Sans" w:cs="Open Sans"/>
          <w:sz w:val="20"/>
          <w:szCs w:val="20"/>
          <w:lang w:eastAsia="en-GB"/>
        </w:rPr>
        <w:t xml:space="preserve">It </w:t>
      </w:r>
      <w:r w:rsidR="006F4DA7" w:rsidRPr="004A00DA">
        <w:rPr>
          <w:rFonts w:ascii="Open Sans" w:eastAsia="Times New Roman" w:hAnsi="Open Sans" w:cs="Open Sans"/>
          <w:sz w:val="20"/>
          <w:szCs w:val="20"/>
          <w:lang w:eastAsia="en-GB"/>
        </w:rPr>
        <w:t xml:space="preserve">agrees with the Government’s position </w:t>
      </w:r>
      <w:r w:rsidR="009E749B" w:rsidRPr="004A00DA">
        <w:rPr>
          <w:rFonts w:ascii="Open Sans" w:eastAsia="Times New Roman" w:hAnsi="Open Sans" w:cs="Open Sans"/>
          <w:sz w:val="20"/>
          <w:szCs w:val="20"/>
          <w:lang w:eastAsia="en-GB"/>
        </w:rPr>
        <w:t>that both fuels and electrification have a major role to play</w:t>
      </w:r>
      <w:r w:rsidR="001320B7" w:rsidRPr="004A00DA">
        <w:rPr>
          <w:rFonts w:ascii="Open Sans" w:eastAsia="Times New Roman" w:hAnsi="Open Sans" w:cs="Open Sans"/>
          <w:sz w:val="20"/>
          <w:szCs w:val="20"/>
          <w:lang w:eastAsia="en-GB"/>
        </w:rPr>
        <w:t xml:space="preserve">.  Other means of reducing </w:t>
      </w:r>
      <w:r w:rsidR="00EF2427" w:rsidRPr="004A00DA">
        <w:rPr>
          <w:rFonts w:ascii="Open Sans" w:eastAsia="Times New Roman" w:hAnsi="Open Sans" w:cs="Open Sans"/>
          <w:sz w:val="20"/>
          <w:szCs w:val="20"/>
          <w:lang w:eastAsia="en-GB"/>
        </w:rPr>
        <w:t>Greenhouse Gases (</w:t>
      </w:r>
      <w:r w:rsidR="001320B7" w:rsidRPr="004A00DA">
        <w:rPr>
          <w:rFonts w:ascii="Open Sans" w:eastAsia="Times New Roman" w:hAnsi="Open Sans" w:cs="Open Sans"/>
          <w:sz w:val="20"/>
          <w:szCs w:val="20"/>
          <w:lang w:eastAsia="en-GB"/>
        </w:rPr>
        <w:t>GHG</w:t>
      </w:r>
      <w:r w:rsidR="00E95CDD" w:rsidRPr="004A00DA">
        <w:rPr>
          <w:rFonts w:ascii="Open Sans" w:eastAsia="Times New Roman" w:hAnsi="Open Sans" w:cs="Open Sans"/>
          <w:sz w:val="20"/>
          <w:szCs w:val="20"/>
          <w:lang w:eastAsia="en-GB"/>
        </w:rPr>
        <w:t>s</w:t>
      </w:r>
      <w:r w:rsidR="00EF2427" w:rsidRPr="004A00DA">
        <w:rPr>
          <w:rFonts w:ascii="Open Sans" w:eastAsia="Times New Roman" w:hAnsi="Open Sans" w:cs="Open Sans"/>
          <w:sz w:val="20"/>
          <w:szCs w:val="20"/>
          <w:lang w:eastAsia="en-GB"/>
        </w:rPr>
        <w:t>)</w:t>
      </w:r>
      <w:r w:rsidR="001320B7" w:rsidRPr="004A00DA">
        <w:rPr>
          <w:rFonts w:ascii="Open Sans" w:eastAsia="Times New Roman" w:hAnsi="Open Sans" w:cs="Open Sans"/>
          <w:sz w:val="20"/>
          <w:szCs w:val="20"/>
          <w:lang w:eastAsia="en-GB"/>
        </w:rPr>
        <w:t xml:space="preserve"> are also important, (such as demand reduction, vehicle efficiency improvements, modal shift, improved logistics </w:t>
      </w:r>
      <w:r w:rsidR="000A0DF3" w:rsidRPr="004A00DA">
        <w:rPr>
          <w:rFonts w:ascii="Open Sans" w:eastAsia="Times New Roman" w:hAnsi="Open Sans" w:cs="Open Sans"/>
          <w:sz w:val="20"/>
          <w:szCs w:val="20"/>
          <w:lang w:eastAsia="en-GB"/>
        </w:rPr>
        <w:t>etc.</w:t>
      </w:r>
      <w:r w:rsidR="001320B7" w:rsidRPr="004A00DA">
        <w:rPr>
          <w:rFonts w:ascii="Open Sans" w:eastAsia="Times New Roman" w:hAnsi="Open Sans" w:cs="Open Sans"/>
          <w:sz w:val="20"/>
          <w:szCs w:val="20"/>
          <w:lang w:eastAsia="en-GB"/>
        </w:rPr>
        <w:t xml:space="preserve">) and </w:t>
      </w:r>
      <w:r w:rsidR="00B42995" w:rsidRPr="004A00DA">
        <w:rPr>
          <w:rFonts w:ascii="Open Sans" w:eastAsia="Times New Roman" w:hAnsi="Open Sans" w:cs="Open Sans"/>
          <w:sz w:val="20"/>
          <w:szCs w:val="20"/>
          <w:lang w:eastAsia="en-GB"/>
        </w:rPr>
        <w:t xml:space="preserve">such actions </w:t>
      </w:r>
      <w:r w:rsidR="001320B7" w:rsidRPr="004A00DA">
        <w:rPr>
          <w:rFonts w:ascii="Open Sans" w:eastAsia="Times New Roman" w:hAnsi="Open Sans" w:cs="Open Sans"/>
          <w:sz w:val="20"/>
          <w:szCs w:val="20"/>
          <w:lang w:eastAsia="en-GB"/>
        </w:rPr>
        <w:t xml:space="preserve">may be higher up </w:t>
      </w:r>
      <w:r w:rsidR="00B42995" w:rsidRPr="004A00DA">
        <w:rPr>
          <w:rFonts w:ascii="Open Sans" w:eastAsia="Times New Roman" w:hAnsi="Open Sans" w:cs="Open Sans"/>
          <w:sz w:val="20"/>
          <w:szCs w:val="20"/>
          <w:lang w:eastAsia="en-GB"/>
        </w:rPr>
        <w:t xml:space="preserve">within </w:t>
      </w:r>
      <w:r w:rsidR="001320B7" w:rsidRPr="004A00DA">
        <w:rPr>
          <w:rFonts w:ascii="Open Sans" w:eastAsia="Times New Roman" w:hAnsi="Open Sans" w:cs="Open Sans"/>
          <w:sz w:val="20"/>
          <w:szCs w:val="20"/>
          <w:lang w:eastAsia="en-GB"/>
        </w:rPr>
        <w:t>a transport hierarchy</w:t>
      </w:r>
      <w:r w:rsidR="006C27CA" w:rsidRPr="004A00DA">
        <w:rPr>
          <w:rStyle w:val="FootnoteReference"/>
          <w:rFonts w:ascii="Open Sans" w:eastAsia="Times New Roman" w:hAnsi="Open Sans" w:cs="Open Sans"/>
          <w:sz w:val="20"/>
          <w:szCs w:val="20"/>
          <w:lang w:eastAsia="en-GB"/>
        </w:rPr>
        <w:footnoteReference w:id="1"/>
      </w:r>
      <w:r w:rsidR="001320B7" w:rsidRPr="004A00DA">
        <w:rPr>
          <w:rFonts w:ascii="Open Sans" w:eastAsia="Times New Roman" w:hAnsi="Open Sans" w:cs="Open Sans"/>
          <w:sz w:val="20"/>
          <w:szCs w:val="20"/>
          <w:lang w:eastAsia="en-GB"/>
        </w:rPr>
        <w:t xml:space="preserve"> – but these are beyond our scope of expertise and are not considered in this paper.  </w:t>
      </w:r>
      <w:r w:rsidR="00E95CDD" w:rsidRPr="004A00DA">
        <w:rPr>
          <w:rFonts w:ascii="Open Sans" w:eastAsia="Times New Roman" w:hAnsi="Open Sans" w:cs="Open Sans"/>
          <w:sz w:val="20"/>
          <w:szCs w:val="20"/>
          <w:lang w:eastAsia="en-GB"/>
        </w:rPr>
        <w:t>Irrespective of</w:t>
      </w:r>
      <w:r w:rsidR="00B42995" w:rsidRPr="004A00DA">
        <w:rPr>
          <w:rFonts w:ascii="Open Sans" w:eastAsia="Times New Roman" w:hAnsi="Open Sans" w:cs="Open Sans"/>
          <w:sz w:val="20"/>
          <w:szCs w:val="20"/>
          <w:lang w:eastAsia="en-GB"/>
        </w:rPr>
        <w:t xml:space="preserve"> the transport </w:t>
      </w:r>
      <w:r w:rsidR="00E95CDD" w:rsidRPr="004A00DA">
        <w:rPr>
          <w:rFonts w:ascii="Open Sans" w:eastAsia="Times New Roman" w:hAnsi="Open Sans" w:cs="Open Sans"/>
          <w:sz w:val="20"/>
          <w:szCs w:val="20"/>
          <w:lang w:eastAsia="en-GB"/>
        </w:rPr>
        <w:t xml:space="preserve">hierarchy, </w:t>
      </w:r>
      <w:r w:rsidR="00B42995" w:rsidRPr="004A00DA">
        <w:rPr>
          <w:rFonts w:ascii="Open Sans" w:eastAsia="Times New Roman" w:hAnsi="Open Sans" w:cs="Open Sans"/>
          <w:sz w:val="20"/>
          <w:szCs w:val="20"/>
          <w:lang w:eastAsia="en-GB"/>
        </w:rPr>
        <w:t xml:space="preserve">action on fuels and electrification </w:t>
      </w:r>
      <w:r w:rsidR="00E95CDD" w:rsidRPr="004A00DA">
        <w:rPr>
          <w:rFonts w:ascii="Open Sans" w:eastAsia="Times New Roman" w:hAnsi="Open Sans" w:cs="Open Sans"/>
          <w:sz w:val="20"/>
          <w:szCs w:val="20"/>
          <w:lang w:eastAsia="en-GB"/>
        </w:rPr>
        <w:t>is necessary</w:t>
      </w:r>
      <w:r w:rsidR="006C27CA" w:rsidRPr="004A00DA">
        <w:rPr>
          <w:rFonts w:ascii="Open Sans" w:eastAsia="Times New Roman" w:hAnsi="Open Sans" w:cs="Open Sans"/>
          <w:sz w:val="20"/>
          <w:szCs w:val="20"/>
          <w:lang w:eastAsia="en-GB"/>
        </w:rPr>
        <w:t>,</w:t>
      </w:r>
      <w:r w:rsidR="00E95CDD" w:rsidRPr="004A00DA">
        <w:rPr>
          <w:rFonts w:ascii="Open Sans" w:eastAsia="Times New Roman" w:hAnsi="Open Sans" w:cs="Open Sans"/>
          <w:sz w:val="20"/>
          <w:szCs w:val="20"/>
          <w:lang w:eastAsia="en-GB"/>
        </w:rPr>
        <w:t xml:space="preserve"> </w:t>
      </w:r>
      <w:r w:rsidR="00B42995" w:rsidRPr="004A00DA">
        <w:rPr>
          <w:rFonts w:ascii="Open Sans" w:eastAsia="Times New Roman" w:hAnsi="Open Sans" w:cs="Open Sans"/>
          <w:sz w:val="20"/>
          <w:szCs w:val="20"/>
          <w:lang w:eastAsia="en-GB"/>
        </w:rPr>
        <w:t>in parallel</w:t>
      </w:r>
      <w:r w:rsidR="00E95CDD" w:rsidRPr="004A00DA">
        <w:rPr>
          <w:rFonts w:ascii="Open Sans" w:eastAsia="Times New Roman" w:hAnsi="Open Sans" w:cs="Open Sans"/>
          <w:sz w:val="20"/>
          <w:szCs w:val="20"/>
          <w:lang w:eastAsia="en-GB"/>
        </w:rPr>
        <w:t xml:space="preserve"> with other measures</w:t>
      </w:r>
      <w:r w:rsidR="00B42995" w:rsidRPr="004A00DA">
        <w:rPr>
          <w:rFonts w:ascii="Open Sans" w:eastAsia="Times New Roman" w:hAnsi="Open Sans" w:cs="Open Sans"/>
          <w:sz w:val="20"/>
          <w:szCs w:val="20"/>
          <w:lang w:eastAsia="en-GB"/>
        </w:rPr>
        <w:t xml:space="preserve">.  </w:t>
      </w:r>
    </w:p>
    <w:p w14:paraId="32629FC6" w14:textId="1D07A982" w:rsidR="00FB4EED" w:rsidRPr="004A00DA" w:rsidRDefault="00B42995"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At present </w:t>
      </w:r>
      <w:r w:rsidR="00EF2427" w:rsidRPr="004A00DA">
        <w:rPr>
          <w:rFonts w:ascii="Open Sans" w:eastAsia="Times New Roman" w:hAnsi="Open Sans" w:cs="Open Sans"/>
          <w:sz w:val="20"/>
          <w:szCs w:val="20"/>
          <w:lang w:eastAsia="en-GB"/>
        </w:rPr>
        <w:t xml:space="preserve">the </w:t>
      </w:r>
      <w:r w:rsidRPr="004A00DA">
        <w:rPr>
          <w:rFonts w:ascii="Open Sans" w:eastAsia="Times New Roman" w:hAnsi="Open Sans" w:cs="Open Sans"/>
          <w:sz w:val="20"/>
          <w:szCs w:val="20"/>
          <w:lang w:eastAsia="en-GB"/>
        </w:rPr>
        <w:t xml:space="preserve">sale of </w:t>
      </w:r>
      <w:r w:rsidR="00EF2427" w:rsidRPr="004A00DA">
        <w:rPr>
          <w:rFonts w:ascii="Open Sans" w:eastAsia="Times New Roman" w:hAnsi="Open Sans" w:cs="Open Sans"/>
          <w:sz w:val="20"/>
          <w:szCs w:val="20"/>
          <w:lang w:eastAsia="en-GB"/>
        </w:rPr>
        <w:t>new cars</w:t>
      </w:r>
      <w:r w:rsidRPr="004A00DA">
        <w:rPr>
          <w:rFonts w:ascii="Open Sans" w:eastAsia="Times New Roman" w:hAnsi="Open Sans" w:cs="Open Sans"/>
          <w:sz w:val="20"/>
          <w:szCs w:val="20"/>
          <w:lang w:eastAsia="en-GB"/>
        </w:rPr>
        <w:t xml:space="preserve"> </w:t>
      </w:r>
      <w:r w:rsidR="00EF2427" w:rsidRPr="004A00DA">
        <w:rPr>
          <w:rFonts w:ascii="Open Sans" w:eastAsia="Times New Roman" w:hAnsi="Open Sans" w:cs="Open Sans"/>
          <w:sz w:val="20"/>
          <w:szCs w:val="20"/>
          <w:lang w:eastAsia="en-GB"/>
        </w:rPr>
        <w:t xml:space="preserve">is </w:t>
      </w:r>
      <w:r w:rsidRPr="004A00DA">
        <w:rPr>
          <w:rFonts w:ascii="Open Sans" w:eastAsia="Times New Roman" w:hAnsi="Open Sans" w:cs="Open Sans"/>
          <w:sz w:val="20"/>
          <w:szCs w:val="20"/>
          <w:lang w:eastAsia="en-GB"/>
        </w:rPr>
        <w:t>dominated by those with internal combustion engines (ICEs)</w:t>
      </w:r>
      <w:r w:rsidR="00EF2427" w:rsidRPr="004A00DA">
        <w:rPr>
          <w:rFonts w:ascii="Open Sans" w:eastAsia="Times New Roman" w:hAnsi="Open Sans" w:cs="Open Sans"/>
          <w:sz w:val="20"/>
          <w:szCs w:val="20"/>
          <w:lang w:eastAsia="en-GB"/>
        </w:rPr>
        <w:t xml:space="preserve">, with 25% of the new car market </w:t>
      </w:r>
      <w:r w:rsidR="00FB4EED" w:rsidRPr="004A00DA">
        <w:rPr>
          <w:rFonts w:ascii="Open Sans" w:eastAsia="Times New Roman" w:hAnsi="Open Sans" w:cs="Open Sans"/>
          <w:sz w:val="20"/>
          <w:szCs w:val="20"/>
          <w:lang w:eastAsia="en-GB"/>
        </w:rPr>
        <w:t xml:space="preserve">made up of </w:t>
      </w:r>
      <w:r w:rsidR="00204608" w:rsidRPr="004A00DA">
        <w:rPr>
          <w:rFonts w:ascii="Open Sans" w:eastAsia="Times New Roman" w:hAnsi="Open Sans" w:cs="Open Sans"/>
          <w:sz w:val="20"/>
          <w:szCs w:val="20"/>
          <w:lang w:eastAsia="en-GB"/>
        </w:rPr>
        <w:t>diesel</w:t>
      </w:r>
      <w:r w:rsidR="00FB4EED" w:rsidRPr="004A00DA">
        <w:rPr>
          <w:rFonts w:ascii="Open Sans" w:eastAsia="Times New Roman" w:hAnsi="Open Sans" w:cs="Open Sans"/>
          <w:sz w:val="20"/>
          <w:szCs w:val="20"/>
          <w:lang w:eastAsia="en-GB"/>
        </w:rPr>
        <w:t xml:space="preserve"> sales</w:t>
      </w:r>
      <w:r w:rsidR="00C56703" w:rsidRPr="004A00DA">
        <w:rPr>
          <w:rFonts w:ascii="Open Sans" w:eastAsia="Times New Roman" w:hAnsi="Open Sans" w:cs="Open Sans"/>
          <w:sz w:val="20"/>
          <w:szCs w:val="20"/>
          <w:lang w:eastAsia="en-GB"/>
        </w:rPr>
        <w:t xml:space="preserve"> in 2019</w:t>
      </w:r>
      <w:r w:rsidR="00FB4EED" w:rsidRPr="004A00DA">
        <w:rPr>
          <w:rFonts w:ascii="Open Sans" w:eastAsia="Times New Roman" w:hAnsi="Open Sans" w:cs="Open Sans"/>
          <w:sz w:val="20"/>
          <w:szCs w:val="20"/>
          <w:lang w:eastAsia="en-GB"/>
        </w:rPr>
        <w:t xml:space="preserve"> and 65% by </w:t>
      </w:r>
      <w:r w:rsidR="00204608" w:rsidRPr="004A00DA">
        <w:rPr>
          <w:rFonts w:ascii="Open Sans" w:eastAsia="Times New Roman" w:hAnsi="Open Sans" w:cs="Open Sans"/>
          <w:sz w:val="20"/>
          <w:szCs w:val="20"/>
          <w:lang w:eastAsia="en-GB"/>
        </w:rPr>
        <w:t>petrol</w:t>
      </w:r>
      <w:r w:rsidR="00FB4EED" w:rsidRPr="004A00DA">
        <w:rPr>
          <w:rFonts w:ascii="Open Sans" w:eastAsia="Times New Roman" w:hAnsi="Open Sans" w:cs="Open Sans"/>
          <w:sz w:val="20"/>
          <w:szCs w:val="20"/>
          <w:lang w:eastAsia="en-GB"/>
        </w:rPr>
        <w:t xml:space="preserve"> sales. In comparison, new electric vehicle (BEV and PHEV) registrations in 2019 represented 3% of the market. However, EV sales are surging and Battery Electric Vehicle (BEV) sales increased 144% in 2019 compared to 2018, with an additional 23 new electrified </w:t>
      </w:r>
      <w:r w:rsidR="00C56703" w:rsidRPr="004A00DA">
        <w:rPr>
          <w:rFonts w:ascii="Open Sans" w:eastAsia="Times New Roman" w:hAnsi="Open Sans" w:cs="Open Sans"/>
          <w:sz w:val="20"/>
          <w:szCs w:val="20"/>
          <w:lang w:eastAsia="en-GB"/>
        </w:rPr>
        <w:t xml:space="preserve">car </w:t>
      </w:r>
      <w:r w:rsidR="00FB4EED" w:rsidRPr="004A00DA">
        <w:rPr>
          <w:rFonts w:ascii="Open Sans" w:eastAsia="Times New Roman" w:hAnsi="Open Sans" w:cs="Open Sans"/>
          <w:sz w:val="20"/>
          <w:szCs w:val="20"/>
          <w:lang w:eastAsia="en-GB"/>
        </w:rPr>
        <w:t>models set to become available in 2020. New diesel car sales, in comparison, fell by 22%.</w:t>
      </w:r>
      <w:r w:rsidR="00C56703" w:rsidRPr="004A00DA">
        <w:rPr>
          <w:rStyle w:val="FootnoteReference"/>
          <w:rFonts w:ascii="Open Sans" w:eastAsia="Times New Roman" w:hAnsi="Open Sans" w:cs="Open Sans"/>
          <w:sz w:val="20"/>
          <w:szCs w:val="20"/>
          <w:lang w:eastAsia="en-GB"/>
        </w:rPr>
        <w:footnoteReference w:id="2"/>
      </w:r>
      <w:r w:rsidR="00FB4EED" w:rsidRPr="004A00DA">
        <w:rPr>
          <w:rFonts w:ascii="Open Sans" w:eastAsia="Times New Roman" w:hAnsi="Open Sans" w:cs="Open Sans"/>
          <w:sz w:val="20"/>
          <w:szCs w:val="20"/>
          <w:lang w:eastAsia="en-GB"/>
        </w:rPr>
        <w:t xml:space="preserve"> </w:t>
      </w:r>
    </w:p>
    <w:p w14:paraId="52A20518" w14:textId="3520646A" w:rsidR="00FB4EED" w:rsidRPr="004A00DA" w:rsidRDefault="00FB4EE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With the UK Government committed to Net Zero greenhouse gas emissions by 2050, the phase-out of new conventional petrol and diesel car and van sales by 2040</w:t>
      </w:r>
      <w:r w:rsidR="00C56703"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and a consultation currently underway to bring forward that date to 2035</w:t>
      </w:r>
      <w:r w:rsidR="00C56703"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new </w:t>
      </w:r>
      <w:r w:rsidR="00C56703" w:rsidRPr="004A00DA">
        <w:rPr>
          <w:rFonts w:ascii="Open Sans" w:eastAsia="Times New Roman" w:hAnsi="Open Sans" w:cs="Open Sans"/>
          <w:sz w:val="20"/>
          <w:szCs w:val="20"/>
          <w:lang w:eastAsia="en-GB"/>
        </w:rPr>
        <w:t xml:space="preserve">supportive </w:t>
      </w:r>
      <w:r w:rsidRPr="004A00DA">
        <w:rPr>
          <w:rFonts w:ascii="Open Sans" w:eastAsia="Times New Roman" w:hAnsi="Open Sans" w:cs="Open Sans"/>
          <w:sz w:val="20"/>
          <w:szCs w:val="20"/>
          <w:lang w:eastAsia="en-GB"/>
        </w:rPr>
        <w:t xml:space="preserve">tax measures for BEVs and an extension to vehicle grants announced in the Budget, the rate of EV deployment is expected to increase rapidly. </w:t>
      </w:r>
    </w:p>
    <w:p w14:paraId="36B90D47" w14:textId="07BF9E28" w:rsidR="00541AA6" w:rsidRPr="004A00DA" w:rsidRDefault="00541AA6"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Politically, the push to decarbonise the transport sector comes from the twin forces of public pressure to address air quality and public concern over climate change. Simultaneously, the range of viable options for decarbonising a range of market segments is steadily improving. </w:t>
      </w:r>
    </w:p>
    <w:p w14:paraId="16B45096" w14:textId="23C432FB" w:rsidR="00FB4EED" w:rsidRPr="004A00DA" w:rsidRDefault="00FB4EE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Although impacted by different policy drivers, the market for electric light vans is also expected to increase rapidly in the coming decade, driven by similar technology advancements underpinning the advance of electric cars and the roll-out of clean air zones in cities across the UK. </w:t>
      </w:r>
    </w:p>
    <w:p w14:paraId="205C2C2A" w14:textId="20A1B645" w:rsidR="00B42995" w:rsidRPr="004A00DA" w:rsidRDefault="00FB4EED"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For other vehicle classes, such as heavy goods vehicles (HGVs), the pathway to Net Zero looks different with multiple technologies likely to drive decarbonisation. This is the result of the weight of current battery technology likely restricting t</w:t>
      </w:r>
      <w:r w:rsidR="00C56703" w:rsidRPr="004A00DA">
        <w:rPr>
          <w:rFonts w:ascii="Open Sans" w:eastAsia="Times New Roman" w:hAnsi="Open Sans" w:cs="Open Sans"/>
          <w:sz w:val="20"/>
          <w:szCs w:val="20"/>
          <w:lang w:eastAsia="en-GB"/>
        </w:rPr>
        <w:t xml:space="preserve">he capacity for long-distance haulage for some usage cases. </w:t>
      </w:r>
    </w:p>
    <w:p w14:paraId="0B16F7F7" w14:textId="2CFE4F64" w:rsidR="004308B4" w:rsidRPr="004A00DA" w:rsidRDefault="004308B4"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By </w:t>
      </w:r>
      <w:r w:rsidR="00634C8C" w:rsidRPr="004A00DA">
        <w:rPr>
          <w:rFonts w:ascii="Open Sans" w:eastAsia="Times New Roman" w:hAnsi="Open Sans" w:cs="Open Sans"/>
          <w:sz w:val="20"/>
          <w:szCs w:val="20"/>
          <w:lang w:eastAsia="en-GB"/>
        </w:rPr>
        <w:t>2035</w:t>
      </w:r>
      <w:r w:rsidRPr="004A00DA">
        <w:rPr>
          <w:rFonts w:ascii="Open Sans" w:eastAsia="Times New Roman" w:hAnsi="Open Sans" w:cs="Open Sans"/>
          <w:sz w:val="20"/>
          <w:szCs w:val="20"/>
          <w:lang w:eastAsia="en-GB"/>
        </w:rPr>
        <w:t xml:space="preserve"> the REA </w:t>
      </w:r>
      <w:r w:rsidR="00204608" w:rsidRPr="004A00DA">
        <w:rPr>
          <w:rFonts w:ascii="Open Sans" w:eastAsia="Times New Roman" w:hAnsi="Open Sans" w:cs="Open Sans"/>
          <w:sz w:val="20"/>
          <w:szCs w:val="20"/>
          <w:lang w:eastAsia="en-GB"/>
        </w:rPr>
        <w:t>expects</w:t>
      </w:r>
      <w:r w:rsidR="00C56703" w:rsidRPr="004A00DA">
        <w:rPr>
          <w:rFonts w:ascii="Open Sans" w:eastAsia="Times New Roman" w:hAnsi="Open Sans" w:cs="Open Sans"/>
          <w:sz w:val="20"/>
          <w:szCs w:val="20"/>
          <w:lang w:eastAsia="en-GB"/>
        </w:rPr>
        <w:t xml:space="preserve"> that:</w:t>
      </w:r>
      <w:r w:rsidRPr="004A00DA">
        <w:rPr>
          <w:rFonts w:ascii="Open Sans" w:eastAsia="Times New Roman" w:hAnsi="Open Sans" w:cs="Open Sans"/>
          <w:sz w:val="20"/>
          <w:szCs w:val="20"/>
          <w:lang w:eastAsia="en-GB"/>
        </w:rPr>
        <w:t xml:space="preserve"> </w:t>
      </w:r>
    </w:p>
    <w:p w14:paraId="0B3374C2" w14:textId="0A04BDE7" w:rsidR="002B59FE" w:rsidRPr="004A00DA" w:rsidRDefault="006C27CA"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w:t>
      </w:r>
      <w:r w:rsidR="002B59FE" w:rsidRPr="004A00DA">
        <w:rPr>
          <w:rFonts w:ascii="Open Sans" w:eastAsia="Times New Roman" w:hAnsi="Open Sans" w:cs="Open Sans"/>
          <w:sz w:val="20"/>
          <w:szCs w:val="20"/>
          <w:lang w:eastAsia="en-GB"/>
        </w:rPr>
        <w:t>he global economics underpinning electric drive chains</w:t>
      </w:r>
      <w:r w:rsidR="000D6650" w:rsidRPr="004A00DA">
        <w:rPr>
          <w:rFonts w:ascii="Open Sans" w:eastAsia="Times New Roman" w:hAnsi="Open Sans" w:cs="Open Sans"/>
          <w:sz w:val="20"/>
          <w:szCs w:val="20"/>
          <w:lang w:eastAsia="en-GB"/>
        </w:rPr>
        <w:t>, batteries,</w:t>
      </w:r>
      <w:r w:rsidR="002B59FE" w:rsidRPr="004A00DA">
        <w:rPr>
          <w:rFonts w:ascii="Open Sans" w:eastAsia="Times New Roman" w:hAnsi="Open Sans" w:cs="Open Sans"/>
          <w:sz w:val="20"/>
          <w:szCs w:val="20"/>
          <w:lang w:eastAsia="en-GB"/>
        </w:rPr>
        <w:t xml:space="preserve"> and expanded manufacturing capacity to result in widespread deployment of electric cars and vans</w:t>
      </w:r>
      <w:r w:rsidR="00C56703" w:rsidRPr="004A00DA">
        <w:rPr>
          <w:rFonts w:ascii="Open Sans" w:eastAsia="Times New Roman" w:hAnsi="Open Sans" w:cs="Open Sans"/>
          <w:sz w:val="20"/>
          <w:szCs w:val="20"/>
          <w:lang w:eastAsia="en-GB"/>
        </w:rPr>
        <w:t xml:space="preserve"> in the UK and globally</w:t>
      </w:r>
      <w:r w:rsidR="00C56703" w:rsidRPr="004A00DA">
        <w:rPr>
          <w:rStyle w:val="FootnoteReference"/>
          <w:rFonts w:ascii="Open Sans" w:eastAsia="Times New Roman" w:hAnsi="Open Sans" w:cs="Open Sans"/>
          <w:sz w:val="20"/>
          <w:szCs w:val="20"/>
          <w:lang w:eastAsia="en-GB"/>
        </w:rPr>
        <w:footnoteReference w:id="3"/>
      </w:r>
      <w:r w:rsidR="00C56703" w:rsidRPr="004A00DA">
        <w:rPr>
          <w:rStyle w:val="FootnoteReference"/>
          <w:rFonts w:ascii="Open Sans" w:eastAsia="Times New Roman" w:hAnsi="Open Sans" w:cs="Open Sans"/>
          <w:sz w:val="20"/>
          <w:szCs w:val="20"/>
          <w:lang w:eastAsia="en-GB"/>
        </w:rPr>
        <w:footnoteReference w:id="4"/>
      </w:r>
    </w:p>
    <w:p w14:paraId="5012E887" w14:textId="77278EFF" w:rsidR="00B42995" w:rsidRPr="004A00DA" w:rsidRDefault="00204608"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petrol and diesel consumption to fall. </w:t>
      </w:r>
      <w:r w:rsidR="0047398E" w:rsidRPr="004A00DA">
        <w:rPr>
          <w:rFonts w:ascii="Open Sans" w:eastAsia="Times New Roman" w:hAnsi="Open Sans" w:cs="Open Sans"/>
          <w:sz w:val="20"/>
          <w:szCs w:val="20"/>
          <w:lang w:eastAsia="en-GB"/>
        </w:rPr>
        <w:t xml:space="preserve">Modelling by the RTFG suggests </w:t>
      </w:r>
      <w:r w:rsidR="006C27CA" w:rsidRPr="004A00DA">
        <w:rPr>
          <w:rFonts w:ascii="Open Sans" w:eastAsia="Times New Roman" w:hAnsi="Open Sans" w:cs="Open Sans"/>
          <w:sz w:val="20"/>
          <w:szCs w:val="20"/>
          <w:lang w:eastAsia="en-GB"/>
        </w:rPr>
        <w:t>p</w:t>
      </w:r>
      <w:r w:rsidR="002B59FE" w:rsidRPr="004A00DA">
        <w:rPr>
          <w:rFonts w:ascii="Open Sans" w:eastAsia="Times New Roman" w:hAnsi="Open Sans" w:cs="Open Sans"/>
          <w:sz w:val="20"/>
          <w:szCs w:val="20"/>
          <w:lang w:eastAsia="en-GB"/>
        </w:rPr>
        <w:t>etrol</w:t>
      </w:r>
      <w:r w:rsidR="00B42995" w:rsidRPr="004A00DA">
        <w:rPr>
          <w:rFonts w:ascii="Open Sans" w:eastAsia="Times New Roman" w:hAnsi="Open Sans" w:cs="Open Sans"/>
          <w:sz w:val="20"/>
          <w:szCs w:val="20"/>
          <w:lang w:eastAsia="en-GB"/>
        </w:rPr>
        <w:t xml:space="preserve"> and </w:t>
      </w:r>
      <w:r w:rsidR="002B59FE" w:rsidRPr="004A00DA">
        <w:rPr>
          <w:rFonts w:ascii="Open Sans" w:eastAsia="Times New Roman" w:hAnsi="Open Sans" w:cs="Open Sans"/>
          <w:sz w:val="20"/>
          <w:szCs w:val="20"/>
          <w:lang w:eastAsia="en-GB"/>
        </w:rPr>
        <w:t>diesel</w:t>
      </w:r>
      <w:r w:rsidR="00B42995" w:rsidRPr="004A00DA">
        <w:rPr>
          <w:rFonts w:ascii="Open Sans" w:eastAsia="Times New Roman" w:hAnsi="Open Sans" w:cs="Open Sans"/>
          <w:sz w:val="20"/>
          <w:szCs w:val="20"/>
          <w:lang w:eastAsia="en-GB"/>
        </w:rPr>
        <w:t xml:space="preserve"> consumption in cars </w:t>
      </w:r>
      <w:r w:rsidR="004308B4"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check to see if light vans included in model</w:t>
      </w:r>
      <w:r w:rsidR="004308B4" w:rsidRPr="004A00DA">
        <w:rPr>
          <w:rFonts w:ascii="Open Sans" w:eastAsia="Times New Roman" w:hAnsi="Open Sans" w:cs="Open Sans"/>
          <w:sz w:val="20"/>
          <w:szCs w:val="20"/>
          <w:lang w:eastAsia="en-GB"/>
        </w:rPr>
        <w:t>)</w:t>
      </w:r>
      <w:r w:rsidR="00B42995" w:rsidRPr="004A00DA">
        <w:rPr>
          <w:rFonts w:ascii="Open Sans" w:eastAsia="Times New Roman" w:hAnsi="Open Sans" w:cs="Open Sans"/>
          <w:sz w:val="20"/>
          <w:szCs w:val="20"/>
          <w:lang w:eastAsia="en-GB"/>
        </w:rPr>
        <w:t xml:space="preserve"> will </w:t>
      </w:r>
      <w:r w:rsidR="004308B4" w:rsidRPr="004A00DA">
        <w:rPr>
          <w:rFonts w:ascii="Open Sans" w:eastAsia="Times New Roman" w:hAnsi="Open Sans" w:cs="Open Sans"/>
          <w:sz w:val="20"/>
          <w:szCs w:val="20"/>
          <w:lang w:eastAsia="en-GB"/>
        </w:rPr>
        <w:t xml:space="preserve">have declined from around 40 billion litres in 2018 to </w:t>
      </w:r>
      <w:r w:rsidR="002572D7" w:rsidRPr="004A00DA">
        <w:rPr>
          <w:rFonts w:ascii="Open Sans" w:eastAsia="Times New Roman" w:hAnsi="Open Sans" w:cs="Open Sans"/>
          <w:sz w:val="20"/>
          <w:szCs w:val="20"/>
          <w:lang w:eastAsia="en-GB"/>
        </w:rPr>
        <w:t>32 billion litres by 2032</w:t>
      </w:r>
      <w:r w:rsidR="00B42995" w:rsidRPr="004A00DA">
        <w:rPr>
          <w:rFonts w:ascii="Open Sans" w:eastAsia="Times New Roman" w:hAnsi="Open Sans" w:cs="Open Sans"/>
          <w:sz w:val="20"/>
          <w:szCs w:val="20"/>
          <w:lang w:eastAsia="en-GB"/>
        </w:rPr>
        <w:t xml:space="preserve">, </w:t>
      </w:r>
      <w:r w:rsidR="002572D7" w:rsidRPr="004A00DA">
        <w:rPr>
          <w:rFonts w:ascii="Open Sans" w:eastAsia="Times New Roman" w:hAnsi="Open Sans" w:cs="Open Sans"/>
          <w:sz w:val="20"/>
          <w:szCs w:val="20"/>
          <w:lang w:eastAsia="en-GB"/>
        </w:rPr>
        <w:t xml:space="preserve">and will continue </w:t>
      </w:r>
      <w:r w:rsidR="00B42995" w:rsidRPr="004A00DA">
        <w:rPr>
          <w:rFonts w:ascii="Open Sans" w:eastAsia="Times New Roman" w:hAnsi="Open Sans" w:cs="Open Sans"/>
          <w:sz w:val="20"/>
          <w:szCs w:val="20"/>
          <w:lang w:eastAsia="en-GB"/>
        </w:rPr>
        <w:t>on a downward trend as older cars and vans are retired</w:t>
      </w:r>
    </w:p>
    <w:p w14:paraId="006F69C6" w14:textId="3D6B2982" w:rsidR="004308B4" w:rsidRPr="004A00DA" w:rsidRDefault="0047398E"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G</w:t>
      </w:r>
      <w:r w:rsidR="004308B4" w:rsidRPr="004A00DA">
        <w:rPr>
          <w:rFonts w:ascii="Open Sans" w:eastAsia="Times New Roman" w:hAnsi="Open Sans" w:cs="Open Sans"/>
          <w:sz w:val="20"/>
          <w:szCs w:val="20"/>
          <w:lang w:eastAsia="en-GB"/>
        </w:rPr>
        <w:t>as</w:t>
      </w:r>
      <w:r w:rsidR="002B59FE" w:rsidRPr="004A00DA">
        <w:rPr>
          <w:rFonts w:ascii="Open Sans" w:eastAsia="Times New Roman" w:hAnsi="Open Sans" w:cs="Open Sans"/>
          <w:sz w:val="20"/>
          <w:szCs w:val="20"/>
          <w:lang w:eastAsia="en-GB"/>
        </w:rPr>
        <w:t>-</w:t>
      </w:r>
      <w:r w:rsidR="004308B4" w:rsidRPr="004A00DA">
        <w:rPr>
          <w:rFonts w:ascii="Open Sans" w:eastAsia="Times New Roman" w:hAnsi="Open Sans" w:cs="Open Sans"/>
          <w:sz w:val="20"/>
          <w:szCs w:val="20"/>
          <w:lang w:eastAsia="en-GB"/>
        </w:rPr>
        <w:t xml:space="preserve">fuelled </w:t>
      </w:r>
      <w:r w:rsidR="00CB0F30" w:rsidRPr="004A00DA">
        <w:rPr>
          <w:rFonts w:ascii="Open Sans" w:eastAsia="Times New Roman" w:hAnsi="Open Sans" w:cs="Open Sans"/>
          <w:sz w:val="20"/>
          <w:szCs w:val="20"/>
          <w:lang w:eastAsia="en-GB"/>
        </w:rPr>
        <w:t>Heavy Goods Vehicles (</w:t>
      </w:r>
      <w:r w:rsidR="00634C8C" w:rsidRPr="004A00DA">
        <w:rPr>
          <w:rFonts w:ascii="Open Sans" w:eastAsia="Times New Roman" w:hAnsi="Open Sans" w:cs="Open Sans"/>
          <w:sz w:val="20"/>
          <w:szCs w:val="20"/>
          <w:lang w:eastAsia="en-GB"/>
        </w:rPr>
        <w:t>HGV</w:t>
      </w:r>
      <w:r w:rsidR="00CB0F30" w:rsidRPr="004A00DA">
        <w:rPr>
          <w:rFonts w:ascii="Open Sans" w:eastAsia="Times New Roman" w:hAnsi="Open Sans" w:cs="Open Sans"/>
          <w:sz w:val="20"/>
          <w:szCs w:val="20"/>
          <w:lang w:eastAsia="en-GB"/>
        </w:rPr>
        <w:t>)</w:t>
      </w:r>
      <w:r w:rsidR="004308B4" w:rsidRPr="004A00DA">
        <w:rPr>
          <w:rFonts w:ascii="Open Sans" w:eastAsia="Times New Roman" w:hAnsi="Open Sans" w:cs="Open Sans"/>
          <w:sz w:val="20"/>
          <w:szCs w:val="20"/>
          <w:lang w:eastAsia="en-GB"/>
        </w:rPr>
        <w:t xml:space="preserve"> sales </w:t>
      </w:r>
      <w:r w:rsidRPr="004A00DA">
        <w:rPr>
          <w:rFonts w:ascii="Open Sans" w:eastAsia="Times New Roman" w:hAnsi="Open Sans" w:cs="Open Sans"/>
          <w:sz w:val="20"/>
          <w:szCs w:val="20"/>
          <w:lang w:eastAsia="en-GB"/>
        </w:rPr>
        <w:t xml:space="preserve">are also expected to </w:t>
      </w:r>
      <w:r w:rsidR="004308B4" w:rsidRPr="004A00DA">
        <w:rPr>
          <w:rFonts w:ascii="Open Sans" w:eastAsia="Times New Roman" w:hAnsi="Open Sans" w:cs="Open Sans"/>
          <w:sz w:val="20"/>
          <w:szCs w:val="20"/>
          <w:lang w:eastAsia="en-GB"/>
        </w:rPr>
        <w:t xml:space="preserve">grow </w:t>
      </w:r>
      <w:r w:rsidRPr="004A00DA">
        <w:rPr>
          <w:rFonts w:ascii="Open Sans" w:eastAsia="Times New Roman" w:hAnsi="Open Sans" w:cs="Open Sans"/>
          <w:sz w:val="20"/>
          <w:szCs w:val="20"/>
          <w:lang w:eastAsia="en-GB"/>
        </w:rPr>
        <w:t xml:space="preserve">such </w:t>
      </w:r>
      <w:r w:rsidR="004308B4" w:rsidRPr="004A00DA">
        <w:rPr>
          <w:rFonts w:ascii="Open Sans" w:eastAsia="Times New Roman" w:hAnsi="Open Sans" w:cs="Open Sans"/>
          <w:sz w:val="20"/>
          <w:szCs w:val="20"/>
          <w:lang w:eastAsia="en-GB"/>
        </w:rPr>
        <w:t xml:space="preserve">that biomethane may account for </w:t>
      </w:r>
      <w:r w:rsidR="002572D7" w:rsidRPr="004A00DA">
        <w:rPr>
          <w:rFonts w:ascii="Open Sans" w:eastAsia="Times New Roman" w:hAnsi="Open Sans" w:cs="Open Sans"/>
          <w:sz w:val="20"/>
          <w:szCs w:val="20"/>
          <w:lang w:eastAsia="en-GB"/>
        </w:rPr>
        <w:t>around 1.7 billion litres equivalent</w:t>
      </w:r>
      <w:r w:rsidR="004308B4" w:rsidRPr="004A00DA">
        <w:rPr>
          <w:rFonts w:ascii="Open Sans" w:eastAsia="Times New Roman" w:hAnsi="Open Sans" w:cs="Open Sans"/>
          <w:sz w:val="20"/>
          <w:szCs w:val="20"/>
          <w:lang w:eastAsia="en-GB"/>
        </w:rPr>
        <w:t xml:space="preserve"> by </w:t>
      </w:r>
      <w:r w:rsidR="006C27CA" w:rsidRPr="004A00DA">
        <w:rPr>
          <w:rFonts w:ascii="Open Sans" w:eastAsia="Times New Roman" w:hAnsi="Open Sans" w:cs="Open Sans"/>
          <w:sz w:val="20"/>
          <w:szCs w:val="20"/>
          <w:lang w:eastAsia="en-GB"/>
        </w:rPr>
        <w:t>2032</w:t>
      </w:r>
    </w:p>
    <w:p w14:paraId="0821960D" w14:textId="2E47C1B2" w:rsidR="00556991" w:rsidRPr="004A00DA" w:rsidRDefault="006C27CA"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h</w:t>
      </w:r>
      <w:r w:rsidR="004308B4" w:rsidRPr="004A00DA">
        <w:rPr>
          <w:rFonts w:ascii="Open Sans" w:eastAsia="Times New Roman" w:hAnsi="Open Sans" w:cs="Open Sans"/>
          <w:sz w:val="20"/>
          <w:szCs w:val="20"/>
          <w:lang w:eastAsia="en-GB"/>
        </w:rPr>
        <w:t xml:space="preserve">ybrid vehicles (using gaseous renewable fuels), fully gas </w:t>
      </w:r>
      <w:r w:rsidR="002B59FE" w:rsidRPr="004A00DA">
        <w:rPr>
          <w:rFonts w:ascii="Open Sans" w:eastAsia="Times New Roman" w:hAnsi="Open Sans" w:cs="Open Sans"/>
          <w:sz w:val="20"/>
          <w:szCs w:val="20"/>
          <w:lang w:eastAsia="en-GB"/>
        </w:rPr>
        <w:t>fuelled</w:t>
      </w:r>
      <w:r w:rsidR="004308B4" w:rsidRPr="004A00DA">
        <w:rPr>
          <w:rFonts w:ascii="Open Sans" w:eastAsia="Times New Roman" w:hAnsi="Open Sans" w:cs="Open Sans"/>
          <w:sz w:val="20"/>
          <w:szCs w:val="20"/>
          <w:lang w:eastAsia="en-GB"/>
        </w:rPr>
        <w:t xml:space="preserve"> vehicles (biomethane and renewable hydrogen) and some electrification of road infrastructure will be the longer</w:t>
      </w:r>
      <w:r w:rsidR="0047446C" w:rsidRPr="004A00DA">
        <w:rPr>
          <w:rFonts w:ascii="Open Sans" w:eastAsia="Times New Roman" w:hAnsi="Open Sans" w:cs="Open Sans"/>
          <w:sz w:val="20"/>
          <w:szCs w:val="20"/>
          <w:lang w:eastAsia="en-GB"/>
        </w:rPr>
        <w:t>-</w:t>
      </w:r>
      <w:r w:rsidR="004308B4" w:rsidRPr="004A00DA">
        <w:rPr>
          <w:rFonts w:ascii="Open Sans" w:eastAsia="Times New Roman" w:hAnsi="Open Sans" w:cs="Open Sans"/>
          <w:sz w:val="20"/>
          <w:szCs w:val="20"/>
          <w:lang w:eastAsia="en-GB"/>
        </w:rPr>
        <w:t xml:space="preserve">term solution to decarbonising road freight (coupled with a range of options higher up the transport </w:t>
      </w:r>
      <w:r w:rsidR="002B59FE" w:rsidRPr="004A00DA">
        <w:rPr>
          <w:rFonts w:ascii="Open Sans" w:eastAsia="Times New Roman" w:hAnsi="Open Sans" w:cs="Open Sans"/>
          <w:sz w:val="20"/>
          <w:szCs w:val="20"/>
          <w:lang w:eastAsia="en-GB"/>
        </w:rPr>
        <w:t>hierarchy</w:t>
      </w:r>
      <w:r w:rsidR="004308B4" w:rsidRPr="004A00DA">
        <w:rPr>
          <w:rFonts w:ascii="Open Sans" w:eastAsia="Times New Roman" w:hAnsi="Open Sans" w:cs="Open Sans"/>
          <w:sz w:val="20"/>
          <w:szCs w:val="20"/>
          <w:lang w:eastAsia="en-GB"/>
        </w:rPr>
        <w:t>)</w:t>
      </w:r>
    </w:p>
    <w:p w14:paraId="4D398587" w14:textId="37B3CF39" w:rsidR="004308B4" w:rsidRPr="004A00DA" w:rsidRDefault="006C27CA"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By </w:t>
      </w:r>
      <w:r w:rsidR="002572D7" w:rsidRPr="004A00DA">
        <w:rPr>
          <w:rFonts w:ascii="Open Sans" w:eastAsia="Times New Roman" w:hAnsi="Open Sans" w:cs="Open Sans"/>
          <w:sz w:val="20"/>
          <w:szCs w:val="20"/>
          <w:lang w:eastAsia="en-GB"/>
        </w:rPr>
        <w:t xml:space="preserve">2032 liquid fuel </w:t>
      </w:r>
      <w:r w:rsidR="002B59FE" w:rsidRPr="004A00DA">
        <w:rPr>
          <w:rFonts w:ascii="Open Sans" w:eastAsia="Times New Roman" w:hAnsi="Open Sans" w:cs="Open Sans"/>
          <w:sz w:val="20"/>
          <w:szCs w:val="20"/>
          <w:lang w:eastAsia="en-GB"/>
        </w:rPr>
        <w:t xml:space="preserve">for road freight </w:t>
      </w:r>
      <w:r w:rsidR="002572D7" w:rsidRPr="004A00DA">
        <w:rPr>
          <w:rFonts w:ascii="Open Sans" w:eastAsia="Times New Roman" w:hAnsi="Open Sans" w:cs="Open Sans"/>
          <w:sz w:val="20"/>
          <w:szCs w:val="20"/>
          <w:lang w:eastAsia="en-GB"/>
        </w:rPr>
        <w:t>will have fallen from around 52 to 4</w:t>
      </w:r>
      <w:r w:rsidR="004F5D64" w:rsidRPr="004A00DA">
        <w:rPr>
          <w:rFonts w:ascii="Open Sans" w:eastAsia="Times New Roman" w:hAnsi="Open Sans" w:cs="Open Sans"/>
          <w:sz w:val="20"/>
          <w:szCs w:val="20"/>
          <w:lang w:eastAsia="en-GB"/>
        </w:rPr>
        <w:t>3</w:t>
      </w:r>
      <w:r w:rsidR="002572D7" w:rsidRPr="004A00DA">
        <w:rPr>
          <w:rFonts w:ascii="Open Sans" w:eastAsia="Times New Roman" w:hAnsi="Open Sans" w:cs="Open Sans"/>
          <w:sz w:val="20"/>
          <w:szCs w:val="20"/>
          <w:lang w:eastAsia="en-GB"/>
        </w:rPr>
        <w:t xml:space="preserve"> billion litres</w:t>
      </w:r>
      <w:r w:rsidR="004F5D64" w:rsidRPr="004A00DA">
        <w:rPr>
          <w:rStyle w:val="FootnoteReference"/>
          <w:rFonts w:ascii="Open Sans" w:eastAsia="Times New Roman" w:hAnsi="Open Sans" w:cs="Open Sans"/>
          <w:sz w:val="20"/>
          <w:szCs w:val="20"/>
          <w:lang w:eastAsia="en-GB"/>
        </w:rPr>
        <w:footnoteReference w:id="5"/>
      </w:r>
      <w:r w:rsidR="00634C8C" w:rsidRPr="004A00DA">
        <w:rPr>
          <w:rFonts w:ascii="Open Sans" w:eastAsia="Times New Roman" w:hAnsi="Open Sans" w:cs="Open Sans"/>
          <w:sz w:val="20"/>
          <w:szCs w:val="20"/>
          <w:lang w:eastAsia="en-GB"/>
        </w:rPr>
        <w:t xml:space="preserve"> </w:t>
      </w:r>
    </w:p>
    <w:p w14:paraId="32C47984" w14:textId="752A750F" w:rsidR="004308B4" w:rsidRPr="004A00DA" w:rsidRDefault="002572D7"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road passenger mass transit option will be dominated by </w:t>
      </w:r>
      <w:r w:rsidR="00904C58" w:rsidRPr="004A00DA">
        <w:rPr>
          <w:rFonts w:ascii="Open Sans" w:eastAsia="Times New Roman" w:hAnsi="Open Sans" w:cs="Open Sans"/>
          <w:sz w:val="20"/>
          <w:szCs w:val="20"/>
          <w:lang w:eastAsia="en-GB"/>
        </w:rPr>
        <w:t>low-carbon busses, predominantly electric</w:t>
      </w:r>
      <w:r w:rsidR="0047446C" w:rsidRPr="004A00DA">
        <w:rPr>
          <w:rStyle w:val="FootnoteReference"/>
          <w:rFonts w:ascii="Open Sans" w:eastAsia="Times New Roman" w:hAnsi="Open Sans" w:cs="Open Sans"/>
          <w:sz w:val="20"/>
          <w:szCs w:val="20"/>
          <w:lang w:eastAsia="en-GB"/>
        </w:rPr>
        <w:footnoteReference w:id="6"/>
      </w:r>
      <w:r w:rsidR="00904C58" w:rsidRPr="004A00DA">
        <w:rPr>
          <w:rFonts w:ascii="Open Sans" w:eastAsia="Times New Roman" w:hAnsi="Open Sans" w:cs="Open Sans"/>
          <w:sz w:val="20"/>
          <w:szCs w:val="20"/>
          <w:lang w:eastAsia="en-GB"/>
        </w:rPr>
        <w:t xml:space="preserve"> but also fuelled in some instances by gaseous fuels</w:t>
      </w:r>
    </w:p>
    <w:p w14:paraId="73277337" w14:textId="11DE9C50" w:rsidR="0047446C" w:rsidRPr="004A00DA" w:rsidRDefault="0047446C"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Renewable fuels in road transport should continue to be part of the Government’s decarbonisation strategy in order to best decarbonis</w:t>
      </w:r>
      <w:r w:rsidR="00FD0541" w:rsidRPr="004A00DA">
        <w:rPr>
          <w:rFonts w:ascii="Open Sans" w:eastAsia="Times New Roman" w:hAnsi="Open Sans" w:cs="Open Sans"/>
          <w:sz w:val="20"/>
          <w:szCs w:val="20"/>
          <w:lang w:eastAsia="en-GB"/>
        </w:rPr>
        <w:t>e</w:t>
      </w:r>
      <w:r w:rsidRPr="004A00DA">
        <w:rPr>
          <w:rFonts w:ascii="Open Sans" w:eastAsia="Times New Roman" w:hAnsi="Open Sans" w:cs="Open Sans"/>
          <w:sz w:val="20"/>
          <w:szCs w:val="20"/>
          <w:lang w:eastAsia="en-GB"/>
        </w:rPr>
        <w:t xml:space="preserve"> the existing vehicle parc both now and for the remaining petrol and diesel cars and vans on UK roads following the phase-out of new petrol and diesel car and van sales</w:t>
      </w:r>
    </w:p>
    <w:p w14:paraId="36768A5B" w14:textId="4C847E3D" w:rsidR="002B59FE" w:rsidRPr="004A00DA" w:rsidRDefault="0047446C" w:rsidP="004A00DA">
      <w:pPr>
        <w:pStyle w:val="ListParagraph"/>
        <w:numPr>
          <w:ilvl w:val="0"/>
          <w:numId w:val="13"/>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As the market for fossil and renewable road transport fuels shrinks due to the rise of electric vehicles, the </w:t>
      </w:r>
      <w:r w:rsidR="002B59FE" w:rsidRPr="004A00DA">
        <w:rPr>
          <w:rFonts w:ascii="Open Sans" w:eastAsia="Times New Roman" w:hAnsi="Open Sans" w:cs="Open Sans"/>
          <w:sz w:val="20"/>
          <w:szCs w:val="20"/>
          <w:lang w:eastAsia="en-GB"/>
        </w:rPr>
        <w:t xml:space="preserve">renewable fuels </w:t>
      </w:r>
      <w:r w:rsidRPr="004A00DA">
        <w:rPr>
          <w:rFonts w:ascii="Open Sans" w:eastAsia="Times New Roman" w:hAnsi="Open Sans" w:cs="Open Sans"/>
          <w:sz w:val="20"/>
          <w:szCs w:val="20"/>
          <w:lang w:eastAsia="en-GB"/>
        </w:rPr>
        <w:t xml:space="preserve">sector </w:t>
      </w:r>
      <w:r w:rsidR="002B59FE" w:rsidRPr="004A00DA">
        <w:rPr>
          <w:rFonts w:ascii="Open Sans" w:eastAsia="Times New Roman" w:hAnsi="Open Sans" w:cs="Open Sans"/>
          <w:sz w:val="20"/>
          <w:szCs w:val="20"/>
          <w:lang w:eastAsia="en-GB"/>
        </w:rPr>
        <w:t xml:space="preserve">(both made from biomass and from renewable electricity) </w:t>
      </w:r>
      <w:r w:rsidRPr="004A00DA">
        <w:rPr>
          <w:rFonts w:ascii="Open Sans" w:eastAsia="Times New Roman" w:hAnsi="Open Sans" w:cs="Open Sans"/>
          <w:sz w:val="20"/>
          <w:szCs w:val="20"/>
          <w:lang w:eastAsia="en-GB"/>
        </w:rPr>
        <w:t>will expand into the</w:t>
      </w:r>
      <w:r w:rsidR="002B59FE" w:rsidRPr="004A00DA">
        <w:rPr>
          <w:rFonts w:ascii="Open Sans" w:eastAsia="Times New Roman" w:hAnsi="Open Sans" w:cs="Open Sans"/>
          <w:sz w:val="20"/>
          <w:szCs w:val="20"/>
          <w:lang w:eastAsia="en-GB"/>
        </w:rPr>
        <w:t xml:space="preserve"> aviation and marine transportation</w:t>
      </w:r>
      <w:r w:rsidRPr="004A00DA">
        <w:rPr>
          <w:rFonts w:ascii="Open Sans" w:eastAsia="Times New Roman" w:hAnsi="Open Sans" w:cs="Open Sans"/>
          <w:sz w:val="20"/>
          <w:szCs w:val="20"/>
          <w:lang w:eastAsia="en-GB"/>
        </w:rPr>
        <w:t xml:space="preserve"> as a leading decarbonisation option</w:t>
      </w:r>
      <w:r w:rsidR="002B59FE" w:rsidRPr="004A00DA">
        <w:rPr>
          <w:rFonts w:ascii="Open Sans" w:eastAsia="Times New Roman" w:hAnsi="Open Sans" w:cs="Open Sans"/>
          <w:sz w:val="20"/>
          <w:szCs w:val="20"/>
          <w:lang w:eastAsia="en-GB"/>
        </w:rPr>
        <w:t>.</w:t>
      </w:r>
    </w:p>
    <w:p w14:paraId="1D11276A" w14:textId="73DAC99E" w:rsidR="00016EFF" w:rsidRPr="004A00DA" w:rsidRDefault="002572D7"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It is clear that in the transition to electrification of </w:t>
      </w:r>
      <w:r w:rsidR="00634C8C" w:rsidRPr="004A00DA">
        <w:rPr>
          <w:rFonts w:ascii="Open Sans" w:eastAsia="Times New Roman" w:hAnsi="Open Sans" w:cs="Open Sans"/>
          <w:sz w:val="20"/>
          <w:szCs w:val="20"/>
          <w:lang w:eastAsia="en-GB"/>
        </w:rPr>
        <w:t>Light Duty Vehicles (</w:t>
      </w:r>
      <w:r w:rsidRPr="004A00DA">
        <w:rPr>
          <w:rFonts w:ascii="Open Sans" w:eastAsia="Times New Roman" w:hAnsi="Open Sans" w:cs="Open Sans"/>
          <w:sz w:val="20"/>
          <w:szCs w:val="20"/>
          <w:lang w:eastAsia="en-GB"/>
        </w:rPr>
        <w:t>LDVs</w:t>
      </w:r>
      <w:r w:rsidR="00634C8C"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and the decarbonisation of </w:t>
      </w:r>
      <w:r w:rsidR="00634C8C" w:rsidRPr="004A00DA">
        <w:rPr>
          <w:rFonts w:ascii="Open Sans" w:eastAsia="Times New Roman" w:hAnsi="Open Sans" w:cs="Open Sans"/>
          <w:sz w:val="20"/>
          <w:szCs w:val="20"/>
          <w:lang w:eastAsia="en-GB"/>
        </w:rPr>
        <w:t>HGV</w:t>
      </w:r>
      <w:r w:rsidRPr="004A00DA">
        <w:rPr>
          <w:rFonts w:ascii="Open Sans" w:eastAsia="Times New Roman" w:hAnsi="Open Sans" w:cs="Open Sans"/>
          <w:sz w:val="20"/>
          <w:szCs w:val="20"/>
          <w:lang w:eastAsia="en-GB"/>
        </w:rPr>
        <w:t xml:space="preserve">s, liquid fuel consumption in ICEs will continue to be significant, and all </w:t>
      </w:r>
      <w:r w:rsidR="00016EFF" w:rsidRPr="004A00DA">
        <w:rPr>
          <w:rFonts w:ascii="Open Sans" w:eastAsia="Times New Roman" w:hAnsi="Open Sans" w:cs="Open Sans"/>
          <w:sz w:val="20"/>
          <w:szCs w:val="20"/>
          <w:lang w:eastAsia="en-GB"/>
        </w:rPr>
        <w:t>efforts</w:t>
      </w:r>
      <w:r w:rsidRPr="004A00DA">
        <w:rPr>
          <w:rFonts w:ascii="Open Sans" w:eastAsia="Times New Roman" w:hAnsi="Open Sans" w:cs="Open Sans"/>
          <w:sz w:val="20"/>
          <w:szCs w:val="20"/>
          <w:lang w:eastAsia="en-GB"/>
        </w:rPr>
        <w:t xml:space="preserve"> must be made to d</w:t>
      </w:r>
      <w:r w:rsidR="00016EFF" w:rsidRPr="004A00DA">
        <w:rPr>
          <w:rFonts w:ascii="Open Sans" w:eastAsia="Times New Roman" w:hAnsi="Open Sans" w:cs="Open Sans"/>
          <w:sz w:val="20"/>
          <w:szCs w:val="20"/>
          <w:lang w:eastAsia="en-GB"/>
        </w:rPr>
        <w:t xml:space="preserve">ecarbonise the fuels </w:t>
      </w:r>
      <w:r w:rsidR="006C27CA" w:rsidRPr="004A00DA">
        <w:rPr>
          <w:rFonts w:ascii="Open Sans" w:eastAsia="Times New Roman" w:hAnsi="Open Sans" w:cs="Open Sans"/>
          <w:sz w:val="20"/>
          <w:szCs w:val="20"/>
          <w:lang w:eastAsia="en-GB"/>
        </w:rPr>
        <w:t>consumed as rapidly as possible</w:t>
      </w:r>
      <w:r w:rsidR="00016EFF" w:rsidRPr="004A00DA">
        <w:rPr>
          <w:rFonts w:ascii="Open Sans" w:eastAsia="Times New Roman" w:hAnsi="Open Sans" w:cs="Open Sans"/>
          <w:sz w:val="20"/>
          <w:szCs w:val="20"/>
          <w:lang w:eastAsia="en-GB"/>
        </w:rPr>
        <w:t>.</w:t>
      </w:r>
      <w:r w:rsidR="00B42995" w:rsidRPr="004A00DA">
        <w:rPr>
          <w:rFonts w:ascii="Open Sans" w:eastAsia="Times New Roman" w:hAnsi="Open Sans" w:cs="Open Sans"/>
          <w:sz w:val="20"/>
          <w:szCs w:val="20"/>
          <w:lang w:eastAsia="en-GB"/>
        </w:rPr>
        <w:t xml:space="preserve"> </w:t>
      </w:r>
      <w:r w:rsidR="00016EFF" w:rsidRPr="004A00DA">
        <w:rPr>
          <w:rFonts w:ascii="Open Sans" w:eastAsia="Times New Roman" w:hAnsi="Open Sans" w:cs="Open Sans"/>
          <w:sz w:val="20"/>
          <w:szCs w:val="20"/>
          <w:lang w:eastAsia="en-GB"/>
        </w:rPr>
        <w:t xml:space="preserve"> It is also important that growth in </w:t>
      </w:r>
      <w:r w:rsidR="00F727AF" w:rsidRPr="004A00DA">
        <w:rPr>
          <w:rFonts w:ascii="Open Sans" w:eastAsia="Times New Roman" w:hAnsi="Open Sans" w:cs="Open Sans"/>
          <w:sz w:val="20"/>
          <w:szCs w:val="20"/>
          <w:lang w:eastAsia="en-GB"/>
        </w:rPr>
        <w:t>renewable</w:t>
      </w:r>
      <w:r w:rsidR="00016EFF" w:rsidRPr="004A00DA">
        <w:rPr>
          <w:rFonts w:ascii="Open Sans" w:eastAsia="Times New Roman" w:hAnsi="Open Sans" w:cs="Open Sans"/>
          <w:sz w:val="20"/>
          <w:szCs w:val="20"/>
          <w:lang w:eastAsia="en-GB"/>
        </w:rPr>
        <w:t xml:space="preserve"> </w:t>
      </w:r>
      <w:r w:rsidR="00904C58" w:rsidRPr="004A00DA">
        <w:rPr>
          <w:rFonts w:ascii="Open Sans" w:eastAsia="Times New Roman" w:hAnsi="Open Sans" w:cs="Open Sans"/>
          <w:sz w:val="20"/>
          <w:szCs w:val="20"/>
          <w:lang w:eastAsia="en-GB"/>
        </w:rPr>
        <w:t xml:space="preserve">power </w:t>
      </w:r>
      <w:r w:rsidR="00016EFF" w:rsidRPr="004A00DA">
        <w:rPr>
          <w:rFonts w:ascii="Open Sans" w:eastAsia="Times New Roman" w:hAnsi="Open Sans" w:cs="Open Sans"/>
          <w:sz w:val="20"/>
          <w:szCs w:val="20"/>
          <w:lang w:eastAsia="en-GB"/>
        </w:rPr>
        <w:t xml:space="preserve">generation capacity is accelerated, so </w:t>
      </w:r>
      <w:r w:rsidR="00F727AF" w:rsidRPr="004A00DA">
        <w:rPr>
          <w:rFonts w:ascii="Open Sans" w:eastAsia="Times New Roman" w:hAnsi="Open Sans" w:cs="Open Sans"/>
          <w:sz w:val="20"/>
          <w:szCs w:val="20"/>
          <w:lang w:eastAsia="en-GB"/>
        </w:rPr>
        <w:t xml:space="preserve">that the well-to-tank carbon </w:t>
      </w:r>
      <w:r w:rsidR="00016EFF" w:rsidRPr="004A00DA">
        <w:rPr>
          <w:rFonts w:ascii="Open Sans" w:eastAsia="Times New Roman" w:hAnsi="Open Sans" w:cs="Open Sans"/>
          <w:sz w:val="20"/>
          <w:szCs w:val="20"/>
          <w:lang w:eastAsia="en-GB"/>
        </w:rPr>
        <w:t xml:space="preserve">contributions from electrification </w:t>
      </w:r>
      <w:r w:rsidR="00F727AF" w:rsidRPr="004A00DA">
        <w:rPr>
          <w:rFonts w:ascii="Open Sans" w:eastAsia="Times New Roman" w:hAnsi="Open Sans" w:cs="Open Sans"/>
          <w:sz w:val="20"/>
          <w:szCs w:val="20"/>
          <w:lang w:eastAsia="en-GB"/>
        </w:rPr>
        <w:t>and renewable fuels of non-biological origin (</w:t>
      </w:r>
      <w:r w:rsidR="002B59FE" w:rsidRPr="004A00DA">
        <w:rPr>
          <w:rFonts w:ascii="Open Sans" w:eastAsia="Times New Roman" w:hAnsi="Open Sans" w:cs="Open Sans"/>
          <w:sz w:val="20"/>
          <w:szCs w:val="20"/>
          <w:lang w:eastAsia="en-GB"/>
        </w:rPr>
        <w:t>e.g.</w:t>
      </w:r>
      <w:r w:rsidR="00F727AF" w:rsidRPr="004A00DA">
        <w:rPr>
          <w:rFonts w:ascii="Open Sans" w:eastAsia="Times New Roman" w:hAnsi="Open Sans" w:cs="Open Sans"/>
          <w:sz w:val="20"/>
          <w:szCs w:val="20"/>
          <w:lang w:eastAsia="en-GB"/>
        </w:rPr>
        <w:t xml:space="preserve"> hydrogen) deliver the overall GHG reductions required.</w:t>
      </w:r>
    </w:p>
    <w:p w14:paraId="3621C3FB" w14:textId="73A55A57" w:rsidR="006C27CA" w:rsidRPr="004A00DA" w:rsidRDefault="006C27CA" w:rsidP="004A00DA">
      <w:pPr>
        <w:shd w:val="clear" w:color="auto" w:fill="C4BC96" w:themeFill="background2" w:themeFillShade="BF"/>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[Insert graphic to illustrate how actions now are more effective than equivalent savings levels delivered later. </w:t>
      </w:r>
      <w:r w:rsidR="00C3464A" w:rsidRPr="004A00DA">
        <w:rPr>
          <w:rFonts w:ascii="Open Sans" w:eastAsia="Times New Roman" w:hAnsi="Open Sans" w:cs="Open Sans"/>
          <w:sz w:val="20"/>
          <w:szCs w:val="20"/>
          <w:lang w:eastAsia="en-GB"/>
        </w:rPr>
        <w:t xml:space="preserve">Member view sought on </w:t>
      </w:r>
      <w:r w:rsidRPr="004A00DA">
        <w:rPr>
          <w:rFonts w:ascii="Open Sans" w:eastAsia="Times New Roman" w:hAnsi="Open Sans" w:cs="Open Sans"/>
          <w:sz w:val="20"/>
          <w:szCs w:val="20"/>
          <w:lang w:eastAsia="en-GB"/>
        </w:rPr>
        <w:t>best source for this]</w:t>
      </w:r>
    </w:p>
    <w:p w14:paraId="4868500C" w14:textId="77777777" w:rsidR="006C27CA" w:rsidRPr="004A00DA" w:rsidRDefault="006C27CA"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transport sector is responsible for the largest share of greenhouse gas emissions of any sector in the UK economy, accounting for 23% of total UK emissions with 90% of this coming from road transport. Emissions from this sector are not currently falling and significant action is needed now on behalf of Government and industry to ensure that we are on-target for the fifth and sixth Carbon Budgets.</w:t>
      </w:r>
    </w:p>
    <w:p w14:paraId="2D29E732" w14:textId="7553C62B" w:rsidR="006C27CA" w:rsidRPr="004A00DA" w:rsidRDefault="006C27CA"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Government’s Road to Zero strategy of 2018 goes some way to </w:t>
      </w:r>
      <w:r w:rsidR="00541AA6" w:rsidRPr="004A00DA">
        <w:rPr>
          <w:rFonts w:ascii="Open Sans" w:eastAsia="Times New Roman" w:hAnsi="Open Sans" w:cs="Open Sans"/>
          <w:sz w:val="20"/>
          <w:szCs w:val="20"/>
          <w:lang w:eastAsia="en-GB"/>
        </w:rPr>
        <w:t xml:space="preserve">identifying the policy needed to decarbonise the road transport sector. At the time of publishing, a window presently exists to </w:t>
      </w:r>
      <w:r w:rsidR="00E445E7" w:rsidRPr="004A00DA">
        <w:rPr>
          <w:rFonts w:ascii="Open Sans" w:eastAsia="Times New Roman" w:hAnsi="Open Sans" w:cs="Open Sans"/>
          <w:sz w:val="20"/>
          <w:szCs w:val="20"/>
          <w:lang w:eastAsia="en-GB"/>
        </w:rPr>
        <w:t xml:space="preserve">inform future road transport policy as Government prepares its </w:t>
      </w:r>
      <w:r w:rsidRPr="004A00DA">
        <w:rPr>
          <w:rFonts w:ascii="Open Sans" w:eastAsia="Times New Roman" w:hAnsi="Open Sans" w:cs="Open Sans"/>
          <w:sz w:val="20"/>
          <w:szCs w:val="20"/>
          <w:lang w:eastAsia="en-GB"/>
        </w:rPr>
        <w:t xml:space="preserve">Transport Decarbonisation Plan. </w:t>
      </w:r>
      <w:r w:rsidR="00541AA6" w:rsidRPr="004A00DA">
        <w:rPr>
          <w:rFonts w:ascii="Open Sans" w:eastAsia="Times New Roman" w:hAnsi="Open Sans" w:cs="Open Sans"/>
          <w:sz w:val="20"/>
          <w:szCs w:val="20"/>
          <w:lang w:eastAsia="en-GB"/>
        </w:rPr>
        <w:t>The REA is</w:t>
      </w:r>
      <w:r w:rsidR="00E445E7" w:rsidRPr="004A00DA">
        <w:rPr>
          <w:rFonts w:ascii="Open Sans" w:eastAsia="Times New Roman" w:hAnsi="Open Sans" w:cs="Open Sans"/>
          <w:sz w:val="20"/>
          <w:szCs w:val="20"/>
          <w:lang w:eastAsia="en-GB"/>
        </w:rPr>
        <w:t xml:space="preserve"> also</w:t>
      </w:r>
      <w:r w:rsidR="00541AA6" w:rsidRPr="004A00DA">
        <w:rPr>
          <w:rFonts w:ascii="Open Sans" w:eastAsia="Times New Roman" w:hAnsi="Open Sans" w:cs="Open Sans"/>
          <w:sz w:val="20"/>
          <w:szCs w:val="20"/>
          <w:lang w:eastAsia="en-GB"/>
        </w:rPr>
        <w:t xml:space="preserve"> expecting further policy in the Government’s response to the current consultation </w:t>
      </w:r>
      <w:r w:rsidRPr="004A00DA">
        <w:rPr>
          <w:rFonts w:ascii="Open Sans" w:eastAsia="Times New Roman" w:hAnsi="Open Sans" w:cs="Open Sans"/>
          <w:sz w:val="20"/>
          <w:szCs w:val="20"/>
          <w:lang w:eastAsia="en-GB"/>
        </w:rPr>
        <w:t>on moving the ban on the sale of new petrol and diesel cars and vans from 2040 to 2035</w:t>
      </w:r>
      <w:r w:rsidR="00E445E7" w:rsidRPr="004A00DA">
        <w:rPr>
          <w:rFonts w:ascii="Open Sans" w:eastAsia="Times New Roman" w:hAnsi="Open Sans" w:cs="Open Sans"/>
          <w:sz w:val="20"/>
          <w:szCs w:val="20"/>
          <w:lang w:eastAsia="en-GB"/>
        </w:rPr>
        <w:t xml:space="preserve"> (</w:t>
      </w:r>
      <w:r w:rsidR="00470D1B" w:rsidRPr="004A00DA">
        <w:rPr>
          <w:rFonts w:ascii="Open Sans" w:eastAsia="Times New Roman" w:hAnsi="Open Sans" w:cs="Open Sans"/>
          <w:sz w:val="20"/>
          <w:szCs w:val="20"/>
          <w:lang w:eastAsia="en-GB"/>
        </w:rPr>
        <w:t>or sooner</w:t>
      </w:r>
      <w:r w:rsidR="00E445E7" w:rsidRPr="004A00DA">
        <w:rPr>
          <w:rFonts w:ascii="Open Sans" w:eastAsia="Times New Roman" w:hAnsi="Open Sans" w:cs="Open Sans"/>
          <w:sz w:val="20"/>
          <w:szCs w:val="20"/>
          <w:lang w:eastAsia="en-GB"/>
        </w:rPr>
        <w:t>)</w:t>
      </w:r>
      <w:r w:rsidR="00541AA6" w:rsidRPr="004A00DA">
        <w:rPr>
          <w:rFonts w:ascii="Open Sans" w:eastAsia="Times New Roman" w:hAnsi="Open Sans" w:cs="Open Sans"/>
          <w:sz w:val="20"/>
          <w:szCs w:val="20"/>
          <w:lang w:eastAsia="en-GB"/>
        </w:rPr>
        <w:t>, and in the lead up to the UN climate conference COP26, to be hosted by the UK in 2021</w:t>
      </w:r>
      <w:r w:rsidRPr="004A00DA">
        <w:rPr>
          <w:rFonts w:ascii="Open Sans" w:eastAsia="Times New Roman" w:hAnsi="Open Sans" w:cs="Open Sans"/>
          <w:sz w:val="20"/>
          <w:szCs w:val="20"/>
          <w:lang w:eastAsia="en-GB"/>
        </w:rPr>
        <w:t xml:space="preserve">. </w:t>
      </w:r>
      <w:r w:rsidR="00204608" w:rsidRPr="004A00DA">
        <w:rPr>
          <w:rFonts w:ascii="Open Sans" w:eastAsia="Times New Roman" w:hAnsi="Open Sans" w:cs="Open Sans"/>
          <w:sz w:val="20"/>
          <w:szCs w:val="20"/>
          <w:lang w:eastAsia="en-GB"/>
        </w:rPr>
        <w:t xml:space="preserve">REA policy recommendations to Government can be found in Appendix A. </w:t>
      </w:r>
    </w:p>
    <w:p w14:paraId="3B97228F" w14:textId="7903EAE8" w:rsidR="000A7594" w:rsidRPr="00984981" w:rsidRDefault="00725415" w:rsidP="004A00DA">
      <w:pPr>
        <w:pStyle w:val="Heading1"/>
        <w:tabs>
          <w:tab w:val="left" w:pos="426"/>
          <w:tab w:val="left" w:pos="993"/>
        </w:tabs>
        <w:rPr>
          <w:rFonts w:ascii="Open Sans" w:hAnsi="Open Sans" w:cs="Open Sans"/>
          <w:sz w:val="28"/>
          <w:szCs w:val="28"/>
          <w:lang w:eastAsia="en-GB"/>
        </w:rPr>
      </w:pPr>
      <w:bookmarkStart w:id="2" w:name="_Toc34921706"/>
      <w:r w:rsidRPr="00984981">
        <w:rPr>
          <w:rFonts w:ascii="Open Sans" w:hAnsi="Open Sans" w:cs="Open Sans"/>
          <w:sz w:val="28"/>
          <w:szCs w:val="28"/>
          <w:lang w:eastAsia="en-GB"/>
        </w:rPr>
        <w:t xml:space="preserve">1. </w:t>
      </w:r>
      <w:r w:rsidR="00EC11BD" w:rsidRPr="00984981">
        <w:rPr>
          <w:rFonts w:ascii="Open Sans" w:hAnsi="Open Sans" w:cs="Open Sans"/>
          <w:sz w:val="28"/>
          <w:szCs w:val="28"/>
          <w:lang w:eastAsia="en-GB"/>
        </w:rPr>
        <w:t xml:space="preserve">GHG </w:t>
      </w:r>
      <w:r w:rsidR="00237707" w:rsidRPr="00984981">
        <w:rPr>
          <w:rFonts w:ascii="Open Sans" w:hAnsi="Open Sans" w:cs="Open Sans"/>
          <w:sz w:val="28"/>
          <w:szCs w:val="28"/>
          <w:lang w:eastAsia="en-GB"/>
        </w:rPr>
        <w:t>emissions from fuels</w:t>
      </w:r>
      <w:bookmarkEnd w:id="2"/>
    </w:p>
    <w:p w14:paraId="033F52B3" w14:textId="77777777" w:rsidR="00725415" w:rsidRPr="004A00DA" w:rsidRDefault="00725415" w:rsidP="004A00DA">
      <w:pPr>
        <w:tabs>
          <w:tab w:val="left" w:pos="426"/>
          <w:tab w:val="left" w:pos="993"/>
        </w:tabs>
        <w:rPr>
          <w:rFonts w:ascii="Open Sans" w:hAnsi="Open Sans" w:cs="Open Sans"/>
          <w:sz w:val="20"/>
          <w:szCs w:val="20"/>
          <w:lang w:eastAsia="en-GB"/>
        </w:rPr>
      </w:pPr>
    </w:p>
    <w:p w14:paraId="3015A709" w14:textId="77777777" w:rsidR="000A7594" w:rsidRPr="004A00DA" w:rsidRDefault="000A7594" w:rsidP="004A00DA">
      <w:pPr>
        <w:tabs>
          <w:tab w:val="left" w:pos="426"/>
          <w:tab w:val="left" w:pos="993"/>
        </w:tabs>
        <w:rPr>
          <w:rFonts w:ascii="Open Sans" w:hAnsi="Open Sans" w:cs="Open Sans"/>
          <w:sz w:val="20"/>
          <w:szCs w:val="20"/>
          <w:lang w:eastAsia="en-GB"/>
        </w:rPr>
      </w:pPr>
      <w:r w:rsidRPr="004A00DA">
        <w:rPr>
          <w:rFonts w:ascii="Open Sans" w:eastAsia="Times New Roman" w:hAnsi="Open Sans" w:cs="Open Sans"/>
          <w:sz w:val="20"/>
          <w:szCs w:val="20"/>
          <w:lang w:eastAsia="en-GB"/>
        </w:rPr>
        <w:t xml:space="preserve">The environmental impacts of decarbonisation options can be misunderstood and </w:t>
      </w:r>
      <w:r w:rsidR="006C27CA" w:rsidRPr="004A00DA">
        <w:rPr>
          <w:rFonts w:ascii="Open Sans" w:eastAsia="Times New Roman" w:hAnsi="Open Sans" w:cs="Open Sans"/>
          <w:sz w:val="20"/>
          <w:szCs w:val="20"/>
          <w:lang w:eastAsia="en-GB"/>
        </w:rPr>
        <w:t xml:space="preserve">the </w:t>
      </w:r>
      <w:r w:rsidRPr="004A00DA">
        <w:rPr>
          <w:rFonts w:ascii="Open Sans" w:eastAsia="Times New Roman" w:hAnsi="Open Sans" w:cs="Open Sans"/>
          <w:sz w:val="20"/>
          <w:szCs w:val="20"/>
          <w:lang w:eastAsia="en-GB"/>
        </w:rPr>
        <w:t xml:space="preserve">terminology </w:t>
      </w:r>
      <w:r w:rsidR="006C27CA" w:rsidRPr="004A00DA">
        <w:rPr>
          <w:rFonts w:ascii="Open Sans" w:eastAsia="Times New Roman" w:hAnsi="Open Sans" w:cs="Open Sans"/>
          <w:sz w:val="20"/>
          <w:szCs w:val="20"/>
          <w:lang w:eastAsia="en-GB"/>
        </w:rPr>
        <w:t>is often</w:t>
      </w:r>
      <w:r w:rsidRPr="004A00DA">
        <w:rPr>
          <w:rFonts w:ascii="Open Sans" w:eastAsia="Times New Roman" w:hAnsi="Open Sans" w:cs="Open Sans"/>
          <w:sz w:val="20"/>
          <w:szCs w:val="20"/>
          <w:lang w:eastAsia="en-GB"/>
        </w:rPr>
        <w:t xml:space="preserve"> misleading.  </w:t>
      </w:r>
      <w:r w:rsidRPr="004A00DA">
        <w:rPr>
          <w:rFonts w:ascii="Open Sans" w:hAnsi="Open Sans" w:cs="Open Sans"/>
          <w:sz w:val="20"/>
          <w:szCs w:val="20"/>
          <w:lang w:eastAsia="en-GB"/>
        </w:rPr>
        <w:t>The table below summarises the terminology</w:t>
      </w:r>
      <w:r w:rsidR="006C27CA" w:rsidRPr="004A00DA">
        <w:rPr>
          <w:rFonts w:ascii="Open Sans" w:hAnsi="Open Sans" w:cs="Open Sans"/>
          <w:sz w:val="20"/>
          <w:szCs w:val="20"/>
          <w:lang w:eastAsia="en-GB"/>
        </w:rPr>
        <w:t xml:space="preserve">.  The emissions in the </w:t>
      </w:r>
      <w:r w:rsidRPr="004A00DA">
        <w:rPr>
          <w:rFonts w:ascii="Open Sans" w:hAnsi="Open Sans" w:cs="Open Sans"/>
          <w:sz w:val="20"/>
          <w:szCs w:val="20"/>
          <w:lang w:eastAsia="en-GB"/>
        </w:rPr>
        <w:t xml:space="preserve">unshaded </w:t>
      </w:r>
      <w:r w:rsidR="006C27CA" w:rsidRPr="004A00DA">
        <w:rPr>
          <w:rFonts w:ascii="Open Sans" w:hAnsi="Open Sans" w:cs="Open Sans"/>
          <w:sz w:val="20"/>
          <w:szCs w:val="20"/>
          <w:lang w:eastAsia="en-GB"/>
        </w:rPr>
        <w:t xml:space="preserve">rows </w:t>
      </w:r>
      <w:r w:rsidRPr="004A00DA">
        <w:rPr>
          <w:rFonts w:ascii="Open Sans" w:hAnsi="Open Sans" w:cs="Open Sans"/>
          <w:sz w:val="20"/>
          <w:szCs w:val="20"/>
          <w:lang w:eastAsia="en-GB"/>
        </w:rPr>
        <w:t>are within the scope with respect to this paper.</w:t>
      </w:r>
    </w:p>
    <w:tbl>
      <w:tblPr>
        <w:tblStyle w:val="TableGrid"/>
        <w:tblW w:w="0" w:type="auto"/>
        <w:tblLook w:val="04A0" w:firstRow="1" w:lastRow="0" w:firstColumn="1" w:lastColumn="0" w:noHBand="0" w:noVBand="1"/>
      </w:tblPr>
      <w:tblGrid>
        <w:gridCol w:w="2332"/>
        <w:gridCol w:w="6684"/>
      </w:tblGrid>
      <w:tr w:rsidR="000A7594" w:rsidRPr="004A00DA" w14:paraId="655B22BD" w14:textId="77777777" w:rsidTr="006919BB">
        <w:tc>
          <w:tcPr>
            <w:tcW w:w="2376" w:type="dxa"/>
          </w:tcPr>
          <w:p w14:paraId="49B5CB00" w14:textId="77777777" w:rsidR="000A7594" w:rsidRPr="004A00DA" w:rsidRDefault="000A7594" w:rsidP="004A00DA">
            <w:pPr>
              <w:tabs>
                <w:tab w:val="left" w:pos="426"/>
                <w:tab w:val="left" w:pos="993"/>
              </w:tabs>
              <w:rPr>
                <w:rFonts w:ascii="Open Sans" w:hAnsi="Open Sans" w:cs="Open Sans"/>
                <w:b/>
                <w:sz w:val="20"/>
                <w:szCs w:val="20"/>
              </w:rPr>
            </w:pPr>
            <w:r w:rsidRPr="004A00DA">
              <w:rPr>
                <w:rFonts w:ascii="Open Sans" w:hAnsi="Open Sans" w:cs="Open Sans"/>
                <w:b/>
                <w:sz w:val="20"/>
                <w:szCs w:val="20"/>
              </w:rPr>
              <w:t>Terms used</w:t>
            </w:r>
          </w:p>
        </w:tc>
        <w:tc>
          <w:tcPr>
            <w:tcW w:w="6866" w:type="dxa"/>
          </w:tcPr>
          <w:p w14:paraId="5E39AAD2" w14:textId="77777777" w:rsidR="000A7594" w:rsidRPr="004A00DA" w:rsidRDefault="000A7594" w:rsidP="004A00DA">
            <w:pPr>
              <w:tabs>
                <w:tab w:val="left" w:pos="426"/>
                <w:tab w:val="left" w:pos="993"/>
              </w:tabs>
              <w:rPr>
                <w:rFonts w:ascii="Open Sans" w:hAnsi="Open Sans" w:cs="Open Sans"/>
                <w:b/>
                <w:sz w:val="20"/>
                <w:szCs w:val="20"/>
              </w:rPr>
            </w:pPr>
            <w:r w:rsidRPr="004A00DA">
              <w:rPr>
                <w:rFonts w:ascii="Open Sans" w:hAnsi="Open Sans" w:cs="Open Sans"/>
                <w:b/>
                <w:sz w:val="20"/>
                <w:szCs w:val="20"/>
              </w:rPr>
              <w:t>What emissions does this refer to?</w:t>
            </w:r>
          </w:p>
        </w:tc>
      </w:tr>
      <w:tr w:rsidR="000A7594" w:rsidRPr="004A00DA" w14:paraId="1F027FC9" w14:textId="77777777" w:rsidTr="006919BB">
        <w:tc>
          <w:tcPr>
            <w:tcW w:w="2376" w:type="dxa"/>
          </w:tcPr>
          <w:p w14:paraId="74508E70"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Tank-to-wheel (TTW) or tailpipe emissions</w:t>
            </w:r>
          </w:p>
        </w:tc>
        <w:tc>
          <w:tcPr>
            <w:tcW w:w="6866" w:type="dxa"/>
          </w:tcPr>
          <w:p w14:paraId="51756076" w14:textId="201BBB42"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 emissions that come out of the exhaust pipe (if there is one).</w:t>
            </w:r>
          </w:p>
        </w:tc>
      </w:tr>
      <w:tr w:rsidR="000A7594" w:rsidRPr="004A00DA" w14:paraId="14062D97" w14:textId="77777777" w:rsidTr="006919BB">
        <w:tc>
          <w:tcPr>
            <w:tcW w:w="2376" w:type="dxa"/>
          </w:tcPr>
          <w:p w14:paraId="3DED1198"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Well-to-tank (WTT) or upstream emissions</w:t>
            </w:r>
          </w:p>
        </w:tc>
        <w:tc>
          <w:tcPr>
            <w:tcW w:w="6866" w:type="dxa"/>
          </w:tcPr>
          <w:p w14:paraId="4AC8CA50"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 xml:space="preserve">The emissions incurred in the production, processing and delivery of fuel, i.e. the upstream carbon emissions </w:t>
            </w:r>
          </w:p>
        </w:tc>
      </w:tr>
      <w:tr w:rsidR="000A7594" w:rsidRPr="004A00DA" w14:paraId="49CEAB92" w14:textId="77777777" w:rsidTr="006919BB">
        <w:tc>
          <w:tcPr>
            <w:tcW w:w="2376" w:type="dxa"/>
          </w:tcPr>
          <w:p w14:paraId="4C0FBB1E"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Well-to-wheel</w:t>
            </w:r>
          </w:p>
          <w:p w14:paraId="128A4FC2"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(WTW)</w:t>
            </w:r>
          </w:p>
        </w:tc>
        <w:tc>
          <w:tcPr>
            <w:tcW w:w="6866" w:type="dxa"/>
          </w:tcPr>
          <w:p w14:paraId="5F22817E" w14:textId="71F1B47A"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 two above considered together, i.e. upstream emissions and tailpipe emissions</w:t>
            </w:r>
          </w:p>
        </w:tc>
      </w:tr>
      <w:tr w:rsidR="000A7594" w:rsidRPr="004A00DA" w14:paraId="164321F8" w14:textId="77777777" w:rsidTr="00614935">
        <w:tc>
          <w:tcPr>
            <w:tcW w:w="2376" w:type="dxa"/>
            <w:shd w:val="clear" w:color="auto" w:fill="D9D9D9" w:themeFill="background1" w:themeFillShade="D9"/>
          </w:tcPr>
          <w:p w14:paraId="1898CFFE"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 xml:space="preserve">Non exhaust emissions </w:t>
            </w:r>
          </w:p>
        </w:tc>
        <w:tc>
          <w:tcPr>
            <w:tcW w:w="6866" w:type="dxa"/>
            <w:shd w:val="clear" w:color="auto" w:fill="D9D9D9" w:themeFill="background1" w:themeFillShade="D9"/>
          </w:tcPr>
          <w:p w14:paraId="396FEF7B" w14:textId="4D1FC3C5"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Tyre and brake wear particulate emissions.  As above, these are also not considered further in this paper</w:t>
            </w:r>
          </w:p>
        </w:tc>
      </w:tr>
      <w:tr w:rsidR="000A7594" w:rsidRPr="004A00DA" w14:paraId="461266A8" w14:textId="77777777" w:rsidTr="00614935">
        <w:tc>
          <w:tcPr>
            <w:tcW w:w="2376" w:type="dxa"/>
            <w:shd w:val="clear" w:color="auto" w:fill="D9D9D9" w:themeFill="background1" w:themeFillShade="D9"/>
          </w:tcPr>
          <w:p w14:paraId="287AEA3B" w14:textId="6C8B6D02"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Lifecycle emissions</w:t>
            </w:r>
          </w:p>
        </w:tc>
        <w:tc>
          <w:tcPr>
            <w:tcW w:w="6866" w:type="dxa"/>
            <w:shd w:val="clear" w:color="auto" w:fill="D9D9D9" w:themeFill="background1" w:themeFillShade="D9"/>
          </w:tcPr>
          <w:p w14:paraId="0E78A9AF" w14:textId="4CD0DCB4"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 emissions associated with the manufacturing of the vehicle, through use to end of life recycling or disposal options.  Due to the battery and the zero tailpipe characteristics of EVs, ICE and EVs have very different lifecycle impacts.  This is important, but is largely outside the remit of this paper.</w:t>
            </w:r>
          </w:p>
        </w:tc>
      </w:tr>
      <w:tr w:rsidR="000A7594" w:rsidRPr="004A00DA" w14:paraId="4C54259D" w14:textId="77777777" w:rsidTr="00614935">
        <w:tc>
          <w:tcPr>
            <w:tcW w:w="2376" w:type="dxa"/>
            <w:shd w:val="clear" w:color="auto" w:fill="D9D9D9" w:themeFill="background1" w:themeFillShade="D9"/>
          </w:tcPr>
          <w:p w14:paraId="4AF90AD4" w14:textId="509D7B6F"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rPr>
              <w:t>Other negative socio-economic / health impacts</w:t>
            </w:r>
          </w:p>
        </w:tc>
        <w:tc>
          <w:tcPr>
            <w:tcW w:w="6866" w:type="dxa"/>
            <w:shd w:val="clear" w:color="auto" w:fill="D9D9D9" w:themeFill="background1" w:themeFillShade="D9"/>
          </w:tcPr>
          <w:p w14:paraId="4F215203" w14:textId="77777777" w:rsidR="000A7594" w:rsidRPr="004A00DA" w:rsidRDefault="000A7594" w:rsidP="004A00DA">
            <w:pPr>
              <w:tabs>
                <w:tab w:val="left" w:pos="426"/>
                <w:tab w:val="left" w:pos="993"/>
              </w:tabs>
              <w:rPr>
                <w:rFonts w:ascii="Open Sans" w:hAnsi="Open Sans" w:cs="Open Sans"/>
                <w:sz w:val="20"/>
                <w:szCs w:val="20"/>
              </w:rPr>
            </w:pPr>
            <w:r w:rsidRPr="004A00DA">
              <w:rPr>
                <w:rFonts w:ascii="Open Sans" w:hAnsi="Open Sans" w:cs="Open Sans"/>
                <w:sz w:val="20"/>
                <w:szCs w:val="20"/>
                <w:lang w:val="fr-FR"/>
              </w:rPr>
              <w:t xml:space="preserve">E.g. </w:t>
            </w:r>
            <w:r w:rsidR="000A0DF3" w:rsidRPr="004A00DA">
              <w:rPr>
                <w:rFonts w:ascii="Open Sans" w:hAnsi="Open Sans" w:cs="Open Sans"/>
                <w:sz w:val="20"/>
                <w:szCs w:val="20"/>
                <w:lang w:val="fr-FR"/>
              </w:rPr>
              <w:t>Child</w:t>
            </w:r>
            <w:r w:rsidRPr="004A00DA">
              <w:rPr>
                <w:rFonts w:ascii="Open Sans" w:hAnsi="Open Sans" w:cs="Open Sans"/>
                <w:sz w:val="20"/>
                <w:szCs w:val="20"/>
                <w:lang w:val="fr-FR"/>
              </w:rPr>
              <w:t xml:space="preserve"> labour etc. etc. </w:t>
            </w:r>
            <w:r w:rsidRPr="004A00DA">
              <w:rPr>
                <w:rFonts w:ascii="Open Sans" w:hAnsi="Open Sans" w:cs="Open Sans"/>
                <w:sz w:val="20"/>
                <w:szCs w:val="20"/>
              </w:rPr>
              <w:t xml:space="preserve">Again, out with the scope of this paper, but clearly not a subject to be overlooked. </w:t>
            </w:r>
          </w:p>
        </w:tc>
      </w:tr>
    </w:tbl>
    <w:p w14:paraId="5333E0C9" w14:textId="3F244437" w:rsidR="000A7594" w:rsidRPr="004A00DA" w:rsidRDefault="000A7594" w:rsidP="004A00DA">
      <w:pPr>
        <w:tabs>
          <w:tab w:val="left" w:pos="426"/>
          <w:tab w:val="left" w:pos="993"/>
        </w:tabs>
        <w:rPr>
          <w:rFonts w:ascii="Open Sans" w:eastAsia="Times New Roman" w:hAnsi="Open Sans" w:cs="Open Sans"/>
          <w:sz w:val="20"/>
          <w:szCs w:val="20"/>
          <w:lang w:eastAsia="en-GB"/>
        </w:rPr>
      </w:pPr>
    </w:p>
    <w:p w14:paraId="2AE95FB1" w14:textId="46EA3CC0" w:rsidR="0094586A" w:rsidRPr="004A00DA" w:rsidRDefault="004C1443"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use of the term “Zero Emissions” vehicle is widespread, but </w:t>
      </w:r>
      <w:r w:rsidR="006C27CA" w:rsidRPr="004A00DA">
        <w:rPr>
          <w:rFonts w:ascii="Open Sans" w:eastAsia="Times New Roman" w:hAnsi="Open Sans" w:cs="Open Sans"/>
          <w:sz w:val="20"/>
          <w:szCs w:val="20"/>
          <w:lang w:eastAsia="en-GB"/>
        </w:rPr>
        <w:t xml:space="preserve">usually in the context of </w:t>
      </w:r>
      <w:r w:rsidRPr="004A00DA">
        <w:rPr>
          <w:rFonts w:ascii="Open Sans" w:eastAsia="Times New Roman" w:hAnsi="Open Sans" w:cs="Open Sans"/>
          <w:sz w:val="20"/>
          <w:szCs w:val="20"/>
          <w:lang w:eastAsia="en-GB"/>
        </w:rPr>
        <w:t>tailpipe emissions only.  Such vehicles are not necessarily zero carbon</w:t>
      </w:r>
      <w:r w:rsidR="00F076DA" w:rsidRPr="004A00DA">
        <w:rPr>
          <w:rFonts w:ascii="Open Sans" w:eastAsia="Times New Roman" w:hAnsi="Open Sans" w:cs="Open Sans"/>
          <w:sz w:val="20"/>
          <w:szCs w:val="20"/>
          <w:lang w:eastAsia="en-GB"/>
        </w:rPr>
        <w:t xml:space="preserve"> in terms of WTW emissions</w:t>
      </w:r>
      <w:r w:rsidRPr="004A00DA">
        <w:rPr>
          <w:rFonts w:ascii="Open Sans" w:eastAsia="Times New Roman" w:hAnsi="Open Sans" w:cs="Open Sans"/>
          <w:sz w:val="20"/>
          <w:szCs w:val="20"/>
          <w:lang w:eastAsia="en-GB"/>
        </w:rPr>
        <w:t xml:space="preserve">.  Depending on the pathway of the fuel (or electricity) production, </w:t>
      </w:r>
      <w:r w:rsidR="0094586A" w:rsidRPr="004A00DA">
        <w:rPr>
          <w:rFonts w:ascii="Open Sans" w:eastAsia="Times New Roman" w:hAnsi="Open Sans" w:cs="Open Sans"/>
          <w:sz w:val="20"/>
          <w:szCs w:val="20"/>
          <w:lang w:eastAsia="en-GB"/>
        </w:rPr>
        <w:t xml:space="preserve">lifecycle emissions can vary significantly. For electric vehicles, both the supply of electricity to vehicle in use and the supply of energy during the manufacturing of batteries and the vehicle body itself needs to be accounted for. Figure X highlights the importance for a decarbonised electricity system at the point of use and in manufacturing processes. </w:t>
      </w:r>
    </w:p>
    <w:p w14:paraId="6FF8D6E2" w14:textId="77777777" w:rsidR="00E130C3" w:rsidRDefault="00E130C3">
      <w:pPr>
        <w:rPr>
          <w:rFonts w:ascii="Open Sans" w:eastAsia="Times New Roman" w:hAnsi="Open Sans" w:cs="Open Sans"/>
          <w:b/>
          <w:bCs/>
          <w:sz w:val="20"/>
          <w:szCs w:val="20"/>
          <w:lang w:eastAsia="en-GB"/>
        </w:rPr>
      </w:pPr>
      <w:r>
        <w:rPr>
          <w:rFonts w:ascii="Open Sans" w:eastAsia="Times New Roman" w:hAnsi="Open Sans" w:cs="Open Sans"/>
          <w:b/>
          <w:bCs/>
          <w:sz w:val="20"/>
          <w:szCs w:val="20"/>
          <w:lang w:eastAsia="en-GB"/>
        </w:rPr>
        <w:br w:type="page"/>
      </w:r>
    </w:p>
    <w:p w14:paraId="187745FF" w14:textId="08BD01BD" w:rsidR="000332A1" w:rsidRPr="004A00DA" w:rsidRDefault="000332A1" w:rsidP="00E130C3">
      <w:pPr>
        <w:shd w:val="clear" w:color="auto" w:fill="D9D9D9" w:themeFill="background1" w:themeFillShade="D9"/>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b/>
          <w:bCs/>
          <w:sz w:val="20"/>
          <w:szCs w:val="20"/>
          <w:lang w:eastAsia="en-GB"/>
        </w:rPr>
        <w:t xml:space="preserve">Note for REA members reviewing this document: </w:t>
      </w:r>
      <w:r w:rsidRPr="004A00DA">
        <w:rPr>
          <w:rFonts w:ascii="Open Sans" w:eastAsia="Times New Roman" w:hAnsi="Open Sans" w:cs="Open Sans"/>
          <w:sz w:val="20"/>
          <w:szCs w:val="20"/>
          <w:lang w:eastAsia="en-GB"/>
        </w:rPr>
        <w:t>the REA is seeking a graphic/graphs to demonstrate Well to Tank and Tank to Wheel emissions factors of a range of conventional fuels, biofuels and zero tailpipe solutions (i.e. EV and H Fuel Cells) enabling a fair comparison.  Such</w:t>
      </w:r>
      <w:r w:rsidR="00E130C3">
        <w:rPr>
          <w:rFonts w:ascii="Open Sans" w:eastAsia="Times New Roman" w:hAnsi="Open Sans" w:cs="Open Sans"/>
          <w:sz w:val="20"/>
          <w:szCs w:val="20"/>
          <w:lang w:eastAsia="en-GB"/>
        </w:rPr>
        <w:t xml:space="preserve"> a</w:t>
      </w:r>
      <w:r w:rsidRPr="004A00DA">
        <w:rPr>
          <w:rFonts w:ascii="Open Sans" w:eastAsia="Times New Roman" w:hAnsi="Open Sans" w:cs="Open Sans"/>
          <w:sz w:val="20"/>
          <w:szCs w:val="20"/>
          <w:lang w:eastAsia="en-GB"/>
        </w:rPr>
        <w:t xml:space="preserve"> graphic should demonstrate that all fuels have well to tank emissions, with those from hydrogen and electricity varying markedly depending on the fuel production pathway.  It should also enable comparison of efficiency of vehicles (i.e. take account of the increased drive train efficiency of the electric motor). Potential sources include the Transport Energy Model and the Carbon Brief analysis</w:t>
      </w:r>
      <w:r w:rsidR="00E130C3">
        <w:rPr>
          <w:rStyle w:val="FootnoteReference"/>
          <w:rFonts w:ascii="Open Sans" w:eastAsia="Times New Roman" w:hAnsi="Open Sans" w:cs="Open Sans"/>
          <w:sz w:val="20"/>
          <w:szCs w:val="20"/>
          <w:lang w:eastAsia="en-GB"/>
        </w:rPr>
        <w:footnoteReference w:id="7"/>
      </w:r>
      <w:r w:rsidRPr="004A00DA">
        <w:rPr>
          <w:rFonts w:ascii="Open Sans" w:eastAsia="Times New Roman" w:hAnsi="Open Sans" w:cs="Open Sans"/>
          <w:sz w:val="20"/>
          <w:szCs w:val="20"/>
          <w:lang w:eastAsia="en-GB"/>
        </w:rPr>
        <w:t xml:space="preserve">  </w:t>
      </w:r>
      <w:r w:rsidR="00E130C3">
        <w:rPr>
          <w:rFonts w:ascii="Open Sans" w:eastAsia="Times New Roman" w:hAnsi="Open Sans" w:cs="Open Sans"/>
          <w:sz w:val="20"/>
          <w:szCs w:val="20"/>
          <w:lang w:eastAsia="en-GB"/>
        </w:rPr>
        <w:t>These are shown below, but will be replaced if we receive better suggestions from members as to what graphics to use.</w:t>
      </w:r>
    </w:p>
    <w:p w14:paraId="65AC1D8D" w14:textId="0A70CBFA" w:rsidR="00725415" w:rsidRPr="004A00DA" w:rsidRDefault="009C7715"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noProof/>
          <w:sz w:val="20"/>
          <w:szCs w:val="20"/>
          <w:lang w:eastAsia="en-GB"/>
        </w:rPr>
        <w:drawing>
          <wp:anchor distT="0" distB="0" distL="114300" distR="114300" simplePos="0" relativeHeight="251658240" behindDoc="0" locked="0" layoutInCell="1" allowOverlap="1" wp14:anchorId="1B744F05" wp14:editId="022D3222">
            <wp:simplePos x="0" y="0"/>
            <wp:positionH relativeFrom="margin">
              <wp:align>left</wp:align>
            </wp:positionH>
            <wp:positionV relativeFrom="margin">
              <wp:posOffset>3510004</wp:posOffset>
            </wp:positionV>
            <wp:extent cx="4476115" cy="3346450"/>
            <wp:effectExtent l="0" t="0" r="63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9684" cy="3348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2A1" w:rsidRPr="004A00DA">
        <w:rPr>
          <w:rFonts w:ascii="Open Sans" w:eastAsia="Times New Roman" w:hAnsi="Open Sans" w:cs="Open Sans"/>
          <w:sz w:val="20"/>
          <w:szCs w:val="20"/>
          <w:lang w:eastAsia="en-GB"/>
        </w:rPr>
        <w:t>Figure X: EV emissions depending on electricity mix – 40kW Nissan Leaf</w:t>
      </w:r>
      <w:r w:rsidR="000332A1" w:rsidRPr="004A00DA">
        <w:rPr>
          <w:rStyle w:val="FootnoteReference"/>
          <w:rFonts w:ascii="Open Sans" w:eastAsia="Times New Roman" w:hAnsi="Open Sans" w:cs="Open Sans"/>
          <w:sz w:val="20"/>
          <w:szCs w:val="20"/>
          <w:lang w:eastAsia="en-GB"/>
        </w:rPr>
        <w:footnoteReference w:id="8"/>
      </w:r>
    </w:p>
    <w:p w14:paraId="3550D884" w14:textId="514F31A3" w:rsidR="00E130C3" w:rsidRDefault="00E130C3" w:rsidP="004A00DA">
      <w:pPr>
        <w:tabs>
          <w:tab w:val="left" w:pos="426"/>
          <w:tab w:val="left" w:pos="993"/>
        </w:tabs>
        <w:rPr>
          <w:rFonts w:ascii="Open Sans" w:eastAsia="Times New Roman" w:hAnsi="Open Sans" w:cs="Open Sans"/>
          <w:sz w:val="20"/>
          <w:szCs w:val="20"/>
          <w:lang w:eastAsia="en-GB"/>
        </w:rPr>
      </w:pPr>
      <w:r w:rsidRPr="004A00DA">
        <w:rPr>
          <w:rFonts w:ascii="Open Sans" w:hAnsi="Open Sans" w:cs="Open Sans"/>
          <w:noProof/>
          <w:sz w:val="20"/>
          <w:szCs w:val="20"/>
          <w:lang w:eastAsia="en-GB"/>
        </w:rPr>
        <w:drawing>
          <wp:inline distT="0" distB="0" distL="0" distR="0" wp14:anchorId="715C1CB5" wp14:editId="610A60EE">
            <wp:extent cx="5159133" cy="335978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61483" cy="3361311"/>
                    </a:xfrm>
                    <a:prstGeom prst="rect">
                      <a:avLst/>
                    </a:prstGeom>
                  </pic:spPr>
                </pic:pic>
              </a:graphicData>
            </a:graphic>
          </wp:inline>
        </w:drawing>
      </w:r>
    </w:p>
    <w:p w14:paraId="5EE57E97" w14:textId="32C73966" w:rsidR="00E130C3" w:rsidRDefault="00E130C3" w:rsidP="00E130C3">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Department for Transport’s </w:t>
      </w:r>
      <w:r w:rsidRPr="004A00DA">
        <w:rPr>
          <w:rFonts w:ascii="Open Sans" w:eastAsia="Times New Roman" w:hAnsi="Open Sans" w:cs="Open Sans"/>
          <w:i/>
          <w:iCs/>
          <w:sz w:val="20"/>
          <w:szCs w:val="20"/>
          <w:lang w:eastAsia="en-GB"/>
        </w:rPr>
        <w:t>Transport Energy Model</w:t>
      </w:r>
      <w:r w:rsidRPr="004A00DA">
        <w:rPr>
          <w:rFonts w:ascii="Open Sans" w:eastAsia="Times New Roman" w:hAnsi="Open Sans" w:cs="Open Sans"/>
          <w:sz w:val="20"/>
          <w:szCs w:val="20"/>
          <w:lang w:eastAsia="en-GB"/>
        </w:rPr>
        <w:t xml:space="preserve"> is an additional authoritative source which shows both WTT and TTW for fossil fuels, for hydrogen, and for electricity. Note that the below </w:t>
      </w:r>
      <w:r>
        <w:rPr>
          <w:rFonts w:ascii="Open Sans" w:eastAsia="Times New Roman" w:hAnsi="Open Sans" w:cs="Open Sans"/>
          <w:sz w:val="20"/>
          <w:szCs w:val="20"/>
          <w:lang w:eastAsia="en-GB"/>
        </w:rPr>
        <w:t>above</w:t>
      </w:r>
      <w:r w:rsidRPr="004A00DA">
        <w:rPr>
          <w:rFonts w:ascii="Open Sans" w:eastAsia="Times New Roman" w:hAnsi="Open Sans" w:cs="Open Sans"/>
          <w:sz w:val="20"/>
          <w:szCs w:val="20"/>
          <w:lang w:eastAsia="en-GB"/>
        </w:rPr>
        <w:t xml:space="preserve"> outlines CO</w:t>
      </w:r>
      <w:r w:rsidRPr="00E130C3">
        <w:rPr>
          <w:rFonts w:ascii="Open Sans" w:eastAsia="Times New Roman" w:hAnsi="Open Sans" w:cs="Open Sans"/>
          <w:sz w:val="20"/>
          <w:szCs w:val="20"/>
          <w:vertAlign w:val="subscript"/>
          <w:lang w:eastAsia="en-GB"/>
        </w:rPr>
        <w:t>2</w:t>
      </w:r>
      <w:r w:rsidRPr="004A00DA">
        <w:rPr>
          <w:rFonts w:ascii="Open Sans" w:eastAsia="Times New Roman" w:hAnsi="Open Sans" w:cs="Open Sans"/>
          <w:sz w:val="20"/>
          <w:szCs w:val="20"/>
          <w:lang w:eastAsia="en-GB"/>
        </w:rPr>
        <w:t xml:space="preserve"> intensity per unit of energy, and does not account for the efficiency that vehicles convert that energy into propulsion.</w:t>
      </w:r>
    </w:p>
    <w:p w14:paraId="601E44C4" w14:textId="22BA70FF" w:rsidR="00E130C3" w:rsidRDefault="00E130C3" w:rsidP="00E130C3">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image </w:t>
      </w:r>
      <w:r>
        <w:rPr>
          <w:rFonts w:ascii="Open Sans" w:eastAsia="Times New Roman" w:hAnsi="Open Sans" w:cs="Open Sans"/>
          <w:sz w:val="20"/>
          <w:szCs w:val="20"/>
          <w:lang w:eastAsia="en-GB"/>
        </w:rPr>
        <w:t xml:space="preserve">below </w:t>
      </w:r>
      <w:r w:rsidRPr="004A00DA">
        <w:rPr>
          <w:rFonts w:ascii="Open Sans" w:eastAsia="Times New Roman" w:hAnsi="Open Sans" w:cs="Open Sans"/>
          <w:sz w:val="20"/>
          <w:szCs w:val="20"/>
          <w:lang w:eastAsia="en-GB"/>
        </w:rPr>
        <w:t>shows the CO</w:t>
      </w:r>
      <w:r w:rsidRPr="00E130C3">
        <w:rPr>
          <w:rFonts w:ascii="Open Sans" w:eastAsia="Times New Roman" w:hAnsi="Open Sans" w:cs="Open Sans"/>
          <w:sz w:val="20"/>
          <w:szCs w:val="20"/>
          <w:vertAlign w:val="subscript"/>
          <w:lang w:eastAsia="en-GB"/>
        </w:rPr>
        <w:t>2</w:t>
      </w:r>
      <w:r w:rsidRPr="004A00DA">
        <w:rPr>
          <w:rFonts w:ascii="Open Sans" w:eastAsia="Times New Roman" w:hAnsi="Open Sans" w:cs="Open Sans"/>
          <w:sz w:val="20"/>
          <w:szCs w:val="20"/>
          <w:lang w:eastAsia="en-GB"/>
        </w:rPr>
        <w:t xml:space="preserve"> intensity of biofuels in comparison with fossil equivalents.  The “other” emission shown below are due to ILUC – emissions from indirect land-use change (i.e. emissions from cropland expansion caused by impact of biofuels on global agricultural commodity demand).</w:t>
      </w:r>
    </w:p>
    <w:p w14:paraId="1DB13EC5" w14:textId="42CC1B18" w:rsidR="000332A1" w:rsidRDefault="000332A1" w:rsidP="004A00DA">
      <w:pPr>
        <w:tabs>
          <w:tab w:val="left" w:pos="426"/>
          <w:tab w:val="left" w:pos="993"/>
        </w:tabs>
        <w:rPr>
          <w:rFonts w:ascii="Open Sans" w:eastAsia="Times New Roman" w:hAnsi="Open Sans" w:cs="Open Sans"/>
          <w:sz w:val="20"/>
          <w:szCs w:val="20"/>
          <w:lang w:eastAsia="en-GB"/>
        </w:rPr>
      </w:pPr>
      <w:r w:rsidRPr="004A00DA">
        <w:rPr>
          <w:rFonts w:ascii="Open Sans" w:hAnsi="Open Sans" w:cs="Open Sans"/>
          <w:noProof/>
          <w:sz w:val="20"/>
          <w:szCs w:val="20"/>
          <w:lang w:eastAsia="en-GB"/>
        </w:rPr>
        <w:drawing>
          <wp:inline distT="0" distB="0" distL="0" distR="0" wp14:anchorId="17C797B8" wp14:editId="7A13BFE5">
            <wp:extent cx="5223830" cy="2943986"/>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28765" cy="2946767"/>
                    </a:xfrm>
                    <a:prstGeom prst="rect">
                      <a:avLst/>
                    </a:prstGeom>
                  </pic:spPr>
                </pic:pic>
              </a:graphicData>
            </a:graphic>
          </wp:inline>
        </w:drawing>
      </w:r>
    </w:p>
    <w:p w14:paraId="7E19AD52" w14:textId="256DBF93" w:rsidR="008A7506" w:rsidRPr="004A00DA" w:rsidRDefault="000332A1"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Source: Transport Energy Model (2018)</w:t>
      </w:r>
      <w:r w:rsidR="00725415" w:rsidRPr="004A00DA">
        <w:rPr>
          <w:rStyle w:val="FootnoteReference"/>
          <w:rFonts w:ascii="Open Sans" w:eastAsia="Times New Roman" w:hAnsi="Open Sans" w:cs="Open Sans"/>
          <w:sz w:val="20"/>
          <w:szCs w:val="20"/>
          <w:lang w:eastAsia="en-GB"/>
        </w:rPr>
        <w:footnoteReference w:id="9"/>
      </w:r>
    </w:p>
    <w:p w14:paraId="0866047A" w14:textId="1181940A" w:rsidR="000A7594" w:rsidRPr="004A00DA" w:rsidRDefault="000A7594"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It is clear from the above that it is important to consider </w:t>
      </w:r>
      <w:r w:rsidR="006C27CA" w:rsidRPr="004A00DA">
        <w:rPr>
          <w:rFonts w:ascii="Open Sans" w:eastAsia="Times New Roman" w:hAnsi="Open Sans" w:cs="Open Sans"/>
          <w:sz w:val="20"/>
          <w:szCs w:val="20"/>
          <w:lang w:eastAsia="en-GB"/>
        </w:rPr>
        <w:t>WTW</w:t>
      </w:r>
      <w:r w:rsidRPr="004A00DA">
        <w:rPr>
          <w:rFonts w:ascii="Open Sans" w:eastAsia="Times New Roman" w:hAnsi="Open Sans" w:cs="Open Sans"/>
          <w:sz w:val="20"/>
          <w:szCs w:val="20"/>
          <w:lang w:eastAsia="en-GB"/>
        </w:rPr>
        <w:t xml:space="preserve"> emissions, not just tailpipe emissions, and to note that the situation is evolving.</w:t>
      </w:r>
      <w:r w:rsidR="00237707"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 xml:space="preserve">The WTT emissions from </w:t>
      </w:r>
      <w:r w:rsidR="00E92C99"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Zero emissions</w:t>
      </w:r>
      <w:r w:rsidR="00E92C99"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vehicles will fall as the carbon intensity of the grid falls, but it is </w:t>
      </w:r>
      <w:r w:rsidR="00237707" w:rsidRPr="004A00DA">
        <w:rPr>
          <w:rFonts w:ascii="Open Sans" w:eastAsia="Times New Roman" w:hAnsi="Open Sans" w:cs="Open Sans"/>
          <w:sz w:val="20"/>
          <w:szCs w:val="20"/>
          <w:lang w:eastAsia="en-GB"/>
        </w:rPr>
        <w:t>essential that the proportion of renewable electricity generation grows continually, and outstrips the absolute growth associated with the extra demand for the electrification of transport and heating.</w:t>
      </w:r>
    </w:p>
    <w:p w14:paraId="4CC67065" w14:textId="44D6F940" w:rsidR="002B59FE" w:rsidRPr="00984981" w:rsidRDefault="00725415" w:rsidP="004A00DA">
      <w:pPr>
        <w:pStyle w:val="Heading3"/>
        <w:tabs>
          <w:tab w:val="left" w:pos="426"/>
          <w:tab w:val="left" w:pos="993"/>
        </w:tabs>
        <w:rPr>
          <w:rFonts w:ascii="Open Sans" w:hAnsi="Open Sans" w:cs="Open Sans"/>
          <w:sz w:val="28"/>
        </w:rPr>
      </w:pPr>
      <w:bookmarkStart w:id="3" w:name="_Toc34921707"/>
      <w:r w:rsidRPr="00984981">
        <w:rPr>
          <w:rFonts w:ascii="Open Sans" w:hAnsi="Open Sans" w:cs="Open Sans"/>
          <w:sz w:val="28"/>
        </w:rPr>
        <w:t>1.</w:t>
      </w:r>
      <w:r w:rsidR="00984981">
        <w:rPr>
          <w:rFonts w:ascii="Open Sans" w:hAnsi="Open Sans" w:cs="Open Sans"/>
          <w:sz w:val="28"/>
        </w:rPr>
        <w:t>1</w:t>
      </w:r>
      <w:r w:rsidRPr="00984981">
        <w:rPr>
          <w:rFonts w:ascii="Open Sans" w:hAnsi="Open Sans" w:cs="Open Sans"/>
          <w:sz w:val="28"/>
        </w:rPr>
        <w:t xml:space="preserve"> </w:t>
      </w:r>
      <w:r w:rsidR="002B59FE" w:rsidRPr="00984981">
        <w:rPr>
          <w:rFonts w:ascii="Open Sans" w:hAnsi="Open Sans" w:cs="Open Sans"/>
          <w:sz w:val="28"/>
        </w:rPr>
        <w:t>A brief note on other emissions</w:t>
      </w:r>
      <w:bookmarkEnd w:id="3"/>
      <w:r w:rsidR="002B59FE" w:rsidRPr="00984981">
        <w:rPr>
          <w:rFonts w:ascii="Open Sans" w:hAnsi="Open Sans" w:cs="Open Sans"/>
          <w:sz w:val="28"/>
        </w:rPr>
        <w:t xml:space="preserve"> </w:t>
      </w:r>
    </w:p>
    <w:p w14:paraId="73D2B5BE" w14:textId="10609F77" w:rsidR="000A0DF3" w:rsidRPr="004A00DA" w:rsidRDefault="000A0DF3" w:rsidP="004A00DA">
      <w:pPr>
        <w:tabs>
          <w:tab w:val="left" w:pos="426"/>
          <w:tab w:val="left" w:pos="993"/>
        </w:tabs>
        <w:rPr>
          <w:rFonts w:ascii="Open Sans" w:hAnsi="Open Sans" w:cs="Open Sans"/>
          <w:sz w:val="20"/>
          <w:szCs w:val="20"/>
        </w:rPr>
      </w:pPr>
    </w:p>
    <w:p w14:paraId="75933F2B" w14:textId="3318F9F5" w:rsidR="007166E9" w:rsidRPr="004A00DA" w:rsidRDefault="007166E9"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It is widely accepted that the transition from ICEs to </w:t>
      </w:r>
      <w:r w:rsidR="00F076DA" w:rsidRPr="004A00DA">
        <w:rPr>
          <w:rFonts w:ascii="Open Sans" w:eastAsia="Times New Roman" w:hAnsi="Open Sans" w:cs="Open Sans"/>
          <w:sz w:val="20"/>
          <w:szCs w:val="20"/>
          <w:lang w:eastAsia="en-GB"/>
        </w:rPr>
        <w:t>electric</w:t>
      </w:r>
      <w:r w:rsidRPr="004A00DA">
        <w:rPr>
          <w:rFonts w:ascii="Open Sans" w:eastAsia="Times New Roman" w:hAnsi="Open Sans" w:cs="Open Sans"/>
          <w:sz w:val="20"/>
          <w:szCs w:val="20"/>
          <w:lang w:eastAsia="en-GB"/>
        </w:rPr>
        <w:t xml:space="preserve"> vehicles involves a shift in GHG emissions away from those produced during</w:t>
      </w:r>
      <w:r w:rsidR="006C27CA" w:rsidRPr="004A00DA">
        <w:rPr>
          <w:rFonts w:ascii="Open Sans" w:eastAsia="Times New Roman" w:hAnsi="Open Sans" w:cs="Open Sans"/>
          <w:sz w:val="20"/>
          <w:szCs w:val="20"/>
          <w:lang w:eastAsia="en-GB"/>
        </w:rPr>
        <w:t xml:space="preserve"> </w:t>
      </w:r>
      <w:r w:rsidR="00402A9E" w:rsidRPr="004A00DA">
        <w:rPr>
          <w:rFonts w:ascii="Open Sans" w:eastAsia="Times New Roman" w:hAnsi="Open Sans" w:cs="Open Sans"/>
          <w:sz w:val="20"/>
          <w:szCs w:val="20"/>
          <w:lang w:eastAsia="en-GB"/>
        </w:rPr>
        <w:t>vehicles</w:t>
      </w:r>
      <w:r w:rsidR="006C27CA"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use, to those </w:t>
      </w:r>
      <w:r w:rsidR="006706C1" w:rsidRPr="004A00DA">
        <w:rPr>
          <w:rFonts w:ascii="Open Sans" w:eastAsia="Times New Roman" w:hAnsi="Open Sans" w:cs="Open Sans"/>
          <w:sz w:val="20"/>
          <w:szCs w:val="20"/>
          <w:lang w:eastAsia="en-GB"/>
        </w:rPr>
        <w:t xml:space="preserve">produced during </w:t>
      </w:r>
      <w:r w:rsidR="006C27CA" w:rsidRPr="004A00DA">
        <w:rPr>
          <w:rFonts w:ascii="Open Sans" w:eastAsia="Times New Roman" w:hAnsi="Open Sans" w:cs="Open Sans"/>
          <w:sz w:val="20"/>
          <w:szCs w:val="20"/>
          <w:lang w:eastAsia="en-GB"/>
        </w:rPr>
        <w:t xml:space="preserve">their </w:t>
      </w:r>
      <w:r w:rsidR="006706C1" w:rsidRPr="004A00DA">
        <w:rPr>
          <w:rFonts w:ascii="Open Sans" w:eastAsia="Times New Roman" w:hAnsi="Open Sans" w:cs="Open Sans"/>
          <w:sz w:val="20"/>
          <w:szCs w:val="20"/>
          <w:lang w:eastAsia="en-GB"/>
        </w:rPr>
        <w:t>manufacture, a</w:t>
      </w:r>
      <w:r w:rsidRPr="004A00DA">
        <w:rPr>
          <w:rFonts w:ascii="Open Sans" w:eastAsia="Times New Roman" w:hAnsi="Open Sans" w:cs="Open Sans"/>
          <w:sz w:val="20"/>
          <w:szCs w:val="20"/>
          <w:lang w:eastAsia="en-GB"/>
        </w:rPr>
        <w:t>nd that due to the components involved in batteries, wider l</w:t>
      </w:r>
      <w:r w:rsidR="002B59FE" w:rsidRPr="004A00DA">
        <w:rPr>
          <w:rFonts w:ascii="Open Sans" w:eastAsia="Times New Roman" w:hAnsi="Open Sans" w:cs="Open Sans"/>
          <w:sz w:val="20"/>
          <w:szCs w:val="20"/>
          <w:lang w:eastAsia="en-GB"/>
        </w:rPr>
        <w:t xml:space="preserve">ifecycle </w:t>
      </w:r>
      <w:r w:rsidRPr="004A00DA">
        <w:rPr>
          <w:rFonts w:ascii="Open Sans" w:eastAsia="Times New Roman" w:hAnsi="Open Sans" w:cs="Open Sans"/>
          <w:sz w:val="20"/>
          <w:szCs w:val="20"/>
          <w:lang w:eastAsia="en-GB"/>
        </w:rPr>
        <w:t>emissions and impacts become important.</w:t>
      </w:r>
    </w:p>
    <w:p w14:paraId="2CEB4C48" w14:textId="77777777" w:rsidR="00FC41BB" w:rsidRPr="004A00DA" w:rsidRDefault="006C27CA"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w:t>
      </w:r>
      <w:r w:rsidR="007166E9" w:rsidRPr="004A00DA">
        <w:rPr>
          <w:rFonts w:ascii="Open Sans" w:eastAsia="Times New Roman" w:hAnsi="Open Sans" w:cs="Open Sans"/>
          <w:sz w:val="20"/>
          <w:szCs w:val="20"/>
          <w:lang w:eastAsia="en-GB"/>
        </w:rPr>
        <w:t xml:space="preserve">achievement of GHG and sustainability requirements </w:t>
      </w:r>
      <w:r w:rsidR="00FC41BB" w:rsidRPr="004A00DA">
        <w:rPr>
          <w:rFonts w:ascii="Open Sans" w:eastAsia="Times New Roman" w:hAnsi="Open Sans" w:cs="Open Sans"/>
          <w:sz w:val="20"/>
          <w:szCs w:val="20"/>
          <w:lang w:eastAsia="en-GB"/>
        </w:rPr>
        <w:t xml:space="preserve">are effectively </w:t>
      </w:r>
      <w:r w:rsidR="007166E9" w:rsidRPr="004A00DA">
        <w:rPr>
          <w:rFonts w:ascii="Open Sans" w:eastAsia="Times New Roman" w:hAnsi="Open Sans" w:cs="Open Sans"/>
          <w:sz w:val="20"/>
          <w:szCs w:val="20"/>
          <w:lang w:eastAsia="en-GB"/>
        </w:rPr>
        <w:t>a licence to operate in the biofuels sector</w:t>
      </w:r>
      <w:r w:rsidR="00FC41BB" w:rsidRPr="004A00DA">
        <w:rPr>
          <w:rFonts w:ascii="Open Sans" w:eastAsia="Times New Roman" w:hAnsi="Open Sans" w:cs="Open Sans"/>
          <w:sz w:val="20"/>
          <w:szCs w:val="20"/>
          <w:lang w:eastAsia="en-GB"/>
        </w:rPr>
        <w:t xml:space="preserve">.  Sustainable </w:t>
      </w:r>
      <w:r w:rsidR="007166E9" w:rsidRPr="004A00DA">
        <w:rPr>
          <w:rFonts w:ascii="Open Sans" w:eastAsia="Times New Roman" w:hAnsi="Open Sans" w:cs="Open Sans"/>
          <w:sz w:val="20"/>
          <w:szCs w:val="20"/>
          <w:lang w:eastAsia="en-GB"/>
        </w:rPr>
        <w:t xml:space="preserve">metal and mineral extraction and </w:t>
      </w:r>
      <w:r w:rsidR="006706C1" w:rsidRPr="004A00DA">
        <w:rPr>
          <w:rFonts w:ascii="Open Sans" w:eastAsia="Times New Roman" w:hAnsi="Open Sans" w:cs="Open Sans"/>
          <w:sz w:val="20"/>
          <w:szCs w:val="20"/>
          <w:lang w:eastAsia="en-GB"/>
        </w:rPr>
        <w:t>recycling</w:t>
      </w:r>
      <w:r w:rsidR="007166E9" w:rsidRPr="004A00DA">
        <w:rPr>
          <w:rFonts w:ascii="Open Sans" w:eastAsia="Times New Roman" w:hAnsi="Open Sans" w:cs="Open Sans"/>
          <w:sz w:val="20"/>
          <w:szCs w:val="20"/>
          <w:lang w:eastAsia="en-GB"/>
        </w:rPr>
        <w:t xml:space="preserve"> processes </w:t>
      </w:r>
      <w:r w:rsidR="00FC41BB" w:rsidRPr="004A00DA">
        <w:rPr>
          <w:rFonts w:ascii="Open Sans" w:eastAsia="Times New Roman" w:hAnsi="Open Sans" w:cs="Open Sans"/>
          <w:sz w:val="20"/>
          <w:szCs w:val="20"/>
          <w:lang w:eastAsia="en-GB"/>
        </w:rPr>
        <w:t xml:space="preserve">as well as GHG reductions </w:t>
      </w:r>
      <w:r w:rsidR="007166E9" w:rsidRPr="004A00DA">
        <w:rPr>
          <w:rFonts w:ascii="Open Sans" w:eastAsia="Times New Roman" w:hAnsi="Open Sans" w:cs="Open Sans"/>
          <w:sz w:val="20"/>
          <w:szCs w:val="20"/>
          <w:lang w:eastAsia="en-GB"/>
        </w:rPr>
        <w:t>are essential</w:t>
      </w:r>
      <w:r w:rsidR="00FC41BB" w:rsidRPr="004A00DA">
        <w:rPr>
          <w:rFonts w:ascii="Open Sans" w:eastAsia="Times New Roman" w:hAnsi="Open Sans" w:cs="Open Sans"/>
          <w:sz w:val="20"/>
          <w:szCs w:val="20"/>
          <w:lang w:eastAsia="en-GB"/>
        </w:rPr>
        <w:t xml:space="preserve"> to delivering the environmental performance potential of electric vehicles</w:t>
      </w:r>
      <w:r w:rsidR="007166E9" w:rsidRPr="004A00DA">
        <w:rPr>
          <w:rFonts w:ascii="Open Sans" w:eastAsia="Times New Roman" w:hAnsi="Open Sans" w:cs="Open Sans"/>
          <w:sz w:val="20"/>
          <w:szCs w:val="20"/>
          <w:lang w:eastAsia="en-GB"/>
        </w:rPr>
        <w:t xml:space="preserve"> (and other </w:t>
      </w:r>
      <w:r w:rsidR="00FC41BB" w:rsidRPr="004A00DA">
        <w:rPr>
          <w:rFonts w:ascii="Open Sans" w:eastAsia="Times New Roman" w:hAnsi="Open Sans" w:cs="Open Sans"/>
          <w:sz w:val="20"/>
          <w:szCs w:val="20"/>
          <w:lang w:eastAsia="en-GB"/>
        </w:rPr>
        <w:t>clean technologies</w:t>
      </w:r>
      <w:r w:rsidR="007166E9" w:rsidRPr="004A00DA">
        <w:rPr>
          <w:rFonts w:ascii="Open Sans" w:eastAsia="Times New Roman" w:hAnsi="Open Sans" w:cs="Open Sans"/>
          <w:sz w:val="20"/>
          <w:szCs w:val="20"/>
          <w:lang w:eastAsia="en-GB"/>
        </w:rPr>
        <w:t xml:space="preserve">).  </w:t>
      </w:r>
    </w:p>
    <w:p w14:paraId="59DA4324" w14:textId="5127385F" w:rsidR="007166E9" w:rsidRPr="004A00DA" w:rsidRDefault="006706C1"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REA </w:t>
      </w:r>
      <w:r w:rsidR="00F076DA" w:rsidRPr="004A00DA">
        <w:rPr>
          <w:rFonts w:ascii="Open Sans" w:eastAsia="Times New Roman" w:hAnsi="Open Sans" w:cs="Open Sans"/>
          <w:sz w:val="20"/>
          <w:szCs w:val="20"/>
          <w:lang w:eastAsia="en-GB"/>
        </w:rPr>
        <w:t>encourages the battery and vehicle manufacturing industry to commit to use</w:t>
      </w:r>
      <w:r w:rsidRPr="004A00DA">
        <w:rPr>
          <w:rFonts w:ascii="Open Sans" w:eastAsia="Times New Roman" w:hAnsi="Open Sans" w:cs="Open Sans"/>
          <w:sz w:val="20"/>
          <w:szCs w:val="20"/>
          <w:lang w:eastAsia="en-GB"/>
        </w:rPr>
        <w:t xml:space="preserve"> sustainably-extracted and processed materials for EVs (and any other technology) just as only sustainably-sourced biofuels feedstocks should be used. Whilst it is not the REA’s job to develop certification schemes it </w:t>
      </w:r>
      <w:r w:rsidR="00683802" w:rsidRPr="004A00DA">
        <w:rPr>
          <w:rFonts w:ascii="Open Sans" w:eastAsia="Times New Roman" w:hAnsi="Open Sans" w:cs="Open Sans"/>
          <w:sz w:val="20"/>
          <w:szCs w:val="20"/>
          <w:lang w:eastAsia="en-GB"/>
        </w:rPr>
        <w:t xml:space="preserve">is </w:t>
      </w:r>
      <w:r w:rsidRPr="004A00DA">
        <w:rPr>
          <w:rFonts w:ascii="Open Sans" w:eastAsia="Times New Roman" w:hAnsi="Open Sans" w:cs="Open Sans"/>
          <w:sz w:val="20"/>
          <w:szCs w:val="20"/>
          <w:lang w:eastAsia="en-GB"/>
        </w:rPr>
        <w:t>supportive of effective schemes being developed</w:t>
      </w:r>
      <w:r w:rsidR="00FC41BB" w:rsidRPr="004A00DA">
        <w:rPr>
          <w:rFonts w:ascii="Open Sans" w:eastAsia="Times New Roman" w:hAnsi="Open Sans" w:cs="Open Sans"/>
          <w:sz w:val="20"/>
          <w:szCs w:val="20"/>
          <w:lang w:eastAsia="en-GB"/>
        </w:rPr>
        <w:t xml:space="preserve"> elsewhere</w:t>
      </w:r>
      <w:r w:rsidRPr="004A00DA">
        <w:rPr>
          <w:rFonts w:ascii="Open Sans" w:eastAsia="Times New Roman" w:hAnsi="Open Sans" w:cs="Open Sans"/>
          <w:sz w:val="20"/>
          <w:szCs w:val="20"/>
          <w:lang w:eastAsia="en-GB"/>
        </w:rPr>
        <w:t>.</w:t>
      </w:r>
    </w:p>
    <w:p w14:paraId="254EA5E1" w14:textId="0BC3E95B" w:rsidR="006706C1" w:rsidRPr="004A00DA" w:rsidRDefault="006706C1"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Non-exhaust emissions (NEE) from road traffic </w:t>
      </w:r>
      <w:r w:rsidR="00B0182E" w:rsidRPr="004A00DA">
        <w:rPr>
          <w:rFonts w:ascii="Open Sans" w:eastAsia="Times New Roman" w:hAnsi="Open Sans" w:cs="Open Sans"/>
          <w:sz w:val="20"/>
          <w:szCs w:val="20"/>
          <w:lang w:eastAsia="en-GB"/>
        </w:rPr>
        <w:t xml:space="preserve">are </w:t>
      </w:r>
      <w:r w:rsidRPr="004A00DA">
        <w:rPr>
          <w:rFonts w:ascii="Open Sans" w:eastAsia="Times New Roman" w:hAnsi="Open Sans" w:cs="Open Sans"/>
          <w:sz w:val="20"/>
          <w:szCs w:val="20"/>
          <w:lang w:eastAsia="en-GB"/>
        </w:rPr>
        <w:t xml:space="preserve">particles </w:t>
      </w:r>
      <w:r w:rsidR="00B0182E" w:rsidRPr="004A00DA">
        <w:rPr>
          <w:rFonts w:ascii="Open Sans" w:eastAsia="Times New Roman" w:hAnsi="Open Sans" w:cs="Open Sans"/>
          <w:sz w:val="20"/>
          <w:szCs w:val="20"/>
          <w:lang w:eastAsia="en-GB"/>
        </w:rPr>
        <w:t xml:space="preserve">from </w:t>
      </w:r>
      <w:r w:rsidRPr="004A00DA">
        <w:rPr>
          <w:rFonts w:ascii="Open Sans" w:eastAsia="Times New Roman" w:hAnsi="Open Sans" w:cs="Open Sans"/>
          <w:sz w:val="20"/>
          <w:szCs w:val="20"/>
          <w:lang w:eastAsia="en-GB"/>
        </w:rPr>
        <w:t>brake, tyre</w:t>
      </w:r>
      <w:r w:rsidR="00B0182E" w:rsidRPr="004A00DA">
        <w:rPr>
          <w:rFonts w:ascii="Open Sans" w:eastAsia="Times New Roman" w:hAnsi="Open Sans" w:cs="Open Sans"/>
          <w:sz w:val="20"/>
          <w:szCs w:val="20"/>
          <w:lang w:eastAsia="en-GB"/>
        </w:rPr>
        <w:t xml:space="preserve"> and </w:t>
      </w:r>
      <w:r w:rsidRPr="004A00DA">
        <w:rPr>
          <w:rFonts w:ascii="Open Sans" w:eastAsia="Times New Roman" w:hAnsi="Open Sans" w:cs="Open Sans"/>
          <w:sz w:val="20"/>
          <w:szCs w:val="20"/>
          <w:lang w:eastAsia="en-GB"/>
        </w:rPr>
        <w:t>road surface wear</w:t>
      </w:r>
      <w:r w:rsidR="00B0182E" w:rsidRPr="004A00DA">
        <w:rPr>
          <w:rFonts w:ascii="Open Sans" w:eastAsia="Times New Roman" w:hAnsi="Open Sans" w:cs="Open Sans"/>
          <w:sz w:val="20"/>
          <w:szCs w:val="20"/>
          <w:lang w:eastAsia="en-GB"/>
        </w:rPr>
        <w:t xml:space="preserve">.  These are not covered by </w:t>
      </w:r>
      <w:r w:rsidRPr="004A00DA">
        <w:rPr>
          <w:rFonts w:ascii="Open Sans" w:eastAsia="Times New Roman" w:hAnsi="Open Sans" w:cs="Open Sans"/>
          <w:sz w:val="20"/>
          <w:szCs w:val="20"/>
          <w:lang w:eastAsia="en-GB"/>
        </w:rPr>
        <w:t xml:space="preserve">legislation </w:t>
      </w:r>
      <w:r w:rsidR="00B0182E" w:rsidRPr="004A00DA">
        <w:rPr>
          <w:rFonts w:ascii="Open Sans" w:eastAsia="Times New Roman" w:hAnsi="Open Sans" w:cs="Open Sans"/>
          <w:sz w:val="20"/>
          <w:szCs w:val="20"/>
          <w:lang w:eastAsia="en-GB"/>
        </w:rPr>
        <w:t xml:space="preserve">and are increasing as a </w:t>
      </w:r>
      <w:r w:rsidRPr="004A00DA">
        <w:rPr>
          <w:rFonts w:ascii="Open Sans" w:eastAsia="Times New Roman" w:hAnsi="Open Sans" w:cs="Open Sans"/>
          <w:sz w:val="20"/>
          <w:szCs w:val="20"/>
          <w:lang w:eastAsia="en-GB"/>
        </w:rPr>
        <w:t>proportion of road traffic emissions</w:t>
      </w:r>
      <w:r w:rsidR="00B0182E" w:rsidRPr="004A00DA">
        <w:rPr>
          <w:rFonts w:ascii="Open Sans" w:eastAsia="Times New Roman" w:hAnsi="Open Sans" w:cs="Open Sans"/>
          <w:sz w:val="20"/>
          <w:szCs w:val="20"/>
          <w:lang w:eastAsia="en-GB"/>
        </w:rPr>
        <w:t>, a trend which is expected to continue. They c</w:t>
      </w:r>
      <w:r w:rsidRPr="004A00DA">
        <w:rPr>
          <w:rFonts w:ascii="Open Sans" w:eastAsia="Times New Roman" w:hAnsi="Open Sans" w:cs="Open Sans"/>
          <w:sz w:val="20"/>
          <w:szCs w:val="20"/>
          <w:lang w:eastAsia="en-GB"/>
        </w:rPr>
        <w:t xml:space="preserve">urrently </w:t>
      </w:r>
      <w:r w:rsidR="00B0182E" w:rsidRPr="004A00DA">
        <w:rPr>
          <w:rFonts w:ascii="Open Sans" w:eastAsia="Times New Roman" w:hAnsi="Open Sans" w:cs="Open Sans"/>
          <w:sz w:val="20"/>
          <w:szCs w:val="20"/>
          <w:lang w:eastAsia="en-GB"/>
        </w:rPr>
        <w:t xml:space="preserve">account for </w:t>
      </w:r>
      <w:r w:rsidRPr="004A00DA">
        <w:rPr>
          <w:rFonts w:ascii="Open Sans" w:eastAsia="Times New Roman" w:hAnsi="Open Sans" w:cs="Open Sans"/>
          <w:sz w:val="20"/>
          <w:szCs w:val="20"/>
          <w:lang w:eastAsia="en-GB"/>
        </w:rPr>
        <w:t xml:space="preserve">7.4% and 8.5% of all UK primary PM2.5 and PM10 emissions. </w:t>
      </w:r>
      <w:r w:rsidR="00FC41BB"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 xml:space="preserve">Regenerative braking </w:t>
      </w:r>
      <w:r w:rsidR="00B0182E" w:rsidRPr="004A00DA">
        <w:rPr>
          <w:rFonts w:ascii="Open Sans" w:eastAsia="Times New Roman" w:hAnsi="Open Sans" w:cs="Open Sans"/>
          <w:sz w:val="20"/>
          <w:szCs w:val="20"/>
          <w:lang w:eastAsia="en-GB"/>
        </w:rPr>
        <w:t xml:space="preserve">(as is used in EVs) </w:t>
      </w:r>
      <w:r w:rsidRPr="004A00DA">
        <w:rPr>
          <w:rFonts w:ascii="Open Sans" w:eastAsia="Times New Roman" w:hAnsi="Open Sans" w:cs="Open Sans"/>
          <w:sz w:val="20"/>
          <w:szCs w:val="20"/>
          <w:lang w:eastAsia="en-GB"/>
        </w:rPr>
        <w:t xml:space="preserve">does not </w:t>
      </w:r>
      <w:r w:rsidR="00B0182E" w:rsidRPr="004A00DA">
        <w:rPr>
          <w:rFonts w:ascii="Open Sans" w:eastAsia="Times New Roman" w:hAnsi="Open Sans" w:cs="Open Sans"/>
          <w:sz w:val="20"/>
          <w:szCs w:val="20"/>
          <w:lang w:eastAsia="en-GB"/>
        </w:rPr>
        <w:t xml:space="preserve">give rise to NEE, although </w:t>
      </w:r>
      <w:r w:rsidRPr="004A00DA">
        <w:rPr>
          <w:rFonts w:ascii="Open Sans" w:eastAsia="Times New Roman" w:hAnsi="Open Sans" w:cs="Open Sans"/>
          <w:sz w:val="20"/>
          <w:szCs w:val="20"/>
          <w:lang w:eastAsia="en-GB"/>
        </w:rPr>
        <w:t xml:space="preserve">tyre and road wear emissions increase </w:t>
      </w:r>
      <w:r w:rsidR="00B0182E" w:rsidRPr="004A00DA">
        <w:rPr>
          <w:rFonts w:ascii="Open Sans" w:eastAsia="Times New Roman" w:hAnsi="Open Sans" w:cs="Open Sans"/>
          <w:sz w:val="20"/>
          <w:szCs w:val="20"/>
          <w:lang w:eastAsia="en-GB"/>
        </w:rPr>
        <w:t xml:space="preserve">in proportion to </w:t>
      </w:r>
      <w:r w:rsidRPr="004A00DA">
        <w:rPr>
          <w:rFonts w:ascii="Open Sans" w:eastAsia="Times New Roman" w:hAnsi="Open Sans" w:cs="Open Sans"/>
          <w:sz w:val="20"/>
          <w:szCs w:val="20"/>
          <w:lang w:eastAsia="en-GB"/>
        </w:rPr>
        <w:t>vehicle mass</w:t>
      </w:r>
      <w:r w:rsidR="00B0182E"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 xml:space="preserve">The </w:t>
      </w:r>
      <w:r w:rsidR="00B0182E" w:rsidRPr="004A00DA">
        <w:rPr>
          <w:rFonts w:ascii="Open Sans" w:eastAsia="Times New Roman" w:hAnsi="Open Sans" w:cs="Open Sans"/>
          <w:sz w:val="20"/>
          <w:szCs w:val="20"/>
          <w:lang w:eastAsia="en-GB"/>
        </w:rPr>
        <w:t>impact of electrification of LDVs has not been quantified</w:t>
      </w:r>
      <w:r w:rsidR="00FC41BB" w:rsidRPr="004A00DA">
        <w:rPr>
          <w:rStyle w:val="FootnoteReference"/>
          <w:rFonts w:ascii="Open Sans" w:eastAsia="Times New Roman" w:hAnsi="Open Sans" w:cs="Open Sans"/>
          <w:sz w:val="20"/>
          <w:szCs w:val="20"/>
          <w:lang w:eastAsia="en-GB"/>
        </w:rPr>
        <w:footnoteReference w:id="10"/>
      </w:r>
      <w:r w:rsidR="00B0182E" w:rsidRPr="004A00DA">
        <w:rPr>
          <w:rFonts w:ascii="Open Sans" w:eastAsia="Times New Roman" w:hAnsi="Open Sans" w:cs="Open Sans"/>
          <w:sz w:val="20"/>
          <w:szCs w:val="20"/>
          <w:lang w:eastAsia="en-GB"/>
        </w:rPr>
        <w:t xml:space="preserve">. </w:t>
      </w:r>
      <w:r w:rsidR="00683802" w:rsidRPr="004A00DA">
        <w:rPr>
          <w:rFonts w:ascii="Open Sans" w:eastAsia="Times New Roman" w:hAnsi="Open Sans" w:cs="Open Sans"/>
          <w:sz w:val="20"/>
          <w:szCs w:val="20"/>
          <w:lang w:eastAsia="en-GB"/>
        </w:rPr>
        <w:t>The LowCVP</w:t>
      </w:r>
      <w:r w:rsidR="00683802" w:rsidRPr="004A00DA">
        <w:rPr>
          <w:rStyle w:val="FootnoteReference"/>
          <w:rFonts w:ascii="Open Sans" w:eastAsia="Times New Roman" w:hAnsi="Open Sans" w:cs="Open Sans"/>
          <w:sz w:val="20"/>
          <w:szCs w:val="20"/>
          <w:lang w:eastAsia="en-GB"/>
        </w:rPr>
        <w:footnoteReference w:id="11"/>
      </w:r>
      <w:r w:rsidR="00683802" w:rsidRPr="004A00DA">
        <w:rPr>
          <w:rFonts w:ascii="Open Sans" w:eastAsia="Times New Roman" w:hAnsi="Open Sans" w:cs="Open Sans"/>
          <w:sz w:val="20"/>
          <w:szCs w:val="20"/>
          <w:lang w:eastAsia="en-GB"/>
        </w:rPr>
        <w:t xml:space="preserve"> </w:t>
      </w:r>
      <w:r w:rsidR="002508AA" w:rsidRPr="004A00DA">
        <w:rPr>
          <w:rFonts w:ascii="Open Sans" w:eastAsia="Times New Roman" w:hAnsi="Open Sans" w:cs="Open Sans"/>
          <w:sz w:val="20"/>
          <w:szCs w:val="20"/>
          <w:lang w:eastAsia="en-GB"/>
        </w:rPr>
        <w:t>has carried out a useful analysis of</w:t>
      </w:r>
      <w:r w:rsidR="00683802" w:rsidRPr="004A00DA">
        <w:rPr>
          <w:rFonts w:ascii="Open Sans" w:eastAsia="Times New Roman" w:hAnsi="Open Sans" w:cs="Open Sans"/>
          <w:sz w:val="20"/>
          <w:szCs w:val="20"/>
          <w:lang w:eastAsia="en-GB"/>
        </w:rPr>
        <w:t xml:space="preserve"> NEE and WTT from different drive-chain </w:t>
      </w:r>
      <w:r w:rsidR="00B9599E" w:rsidRPr="004A00DA">
        <w:rPr>
          <w:rFonts w:ascii="Open Sans" w:eastAsia="Times New Roman" w:hAnsi="Open Sans" w:cs="Open Sans"/>
          <w:sz w:val="20"/>
          <w:szCs w:val="20"/>
          <w:lang w:eastAsia="en-GB"/>
        </w:rPr>
        <w:t xml:space="preserve">and fuel </w:t>
      </w:r>
      <w:r w:rsidR="00683802" w:rsidRPr="004A00DA">
        <w:rPr>
          <w:rFonts w:ascii="Open Sans" w:eastAsia="Times New Roman" w:hAnsi="Open Sans" w:cs="Open Sans"/>
          <w:sz w:val="20"/>
          <w:szCs w:val="20"/>
          <w:lang w:eastAsia="en-GB"/>
        </w:rPr>
        <w:t>types in the UK.</w:t>
      </w:r>
    </w:p>
    <w:p w14:paraId="553E6E7F" w14:textId="4EB8E7C1" w:rsidR="002823CA" w:rsidRPr="00984981" w:rsidRDefault="00984981" w:rsidP="004A00DA">
      <w:pPr>
        <w:pStyle w:val="Heading2"/>
        <w:tabs>
          <w:tab w:val="left" w:pos="426"/>
          <w:tab w:val="left" w:pos="993"/>
        </w:tabs>
        <w:rPr>
          <w:rFonts w:ascii="Open Sans" w:hAnsi="Open Sans" w:cs="Open Sans"/>
          <w:lang w:eastAsia="en-GB"/>
        </w:rPr>
      </w:pPr>
      <w:bookmarkStart w:id="4" w:name="_Toc34921708"/>
      <w:r w:rsidRPr="00984981">
        <w:rPr>
          <w:rFonts w:ascii="Open Sans" w:hAnsi="Open Sans" w:cs="Open Sans"/>
          <w:lang w:eastAsia="en-GB"/>
        </w:rPr>
        <w:t xml:space="preserve">1.2 </w:t>
      </w:r>
      <w:r w:rsidR="00FC41BB" w:rsidRPr="00984981">
        <w:rPr>
          <w:rFonts w:ascii="Open Sans" w:hAnsi="Open Sans" w:cs="Open Sans"/>
          <w:lang w:eastAsia="en-GB"/>
        </w:rPr>
        <w:t>The decarbonisation options</w:t>
      </w:r>
      <w:bookmarkEnd w:id="4"/>
    </w:p>
    <w:p w14:paraId="5721DC19" w14:textId="77777777" w:rsidR="000A0DF3" w:rsidRPr="004A00DA" w:rsidRDefault="000A0DF3" w:rsidP="004A00DA">
      <w:pPr>
        <w:tabs>
          <w:tab w:val="left" w:pos="426"/>
          <w:tab w:val="left" w:pos="993"/>
        </w:tabs>
        <w:rPr>
          <w:rFonts w:ascii="Open Sans" w:hAnsi="Open Sans" w:cs="Open Sans"/>
          <w:sz w:val="20"/>
          <w:szCs w:val="20"/>
          <w:lang w:eastAsia="en-GB"/>
        </w:rPr>
      </w:pPr>
    </w:p>
    <w:p w14:paraId="49057C61" w14:textId="014851E5" w:rsidR="00D74964" w:rsidRPr="004A00DA" w:rsidRDefault="0060267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To achieve the aim of all new cars and vans to be effectively zero </w:t>
      </w:r>
      <w:r w:rsidR="0081446F" w:rsidRPr="004A00DA">
        <w:rPr>
          <w:rFonts w:ascii="Open Sans" w:eastAsia="Times New Roman" w:hAnsi="Open Sans" w:cs="Open Sans"/>
          <w:sz w:val="20"/>
          <w:szCs w:val="20"/>
          <w:lang w:eastAsia="en-GB"/>
        </w:rPr>
        <w:t xml:space="preserve">tailpipe </w:t>
      </w:r>
      <w:r w:rsidRPr="004A00DA">
        <w:rPr>
          <w:rFonts w:ascii="Open Sans" w:eastAsia="Times New Roman" w:hAnsi="Open Sans" w:cs="Open Sans"/>
          <w:sz w:val="20"/>
          <w:szCs w:val="20"/>
          <w:lang w:eastAsia="en-GB"/>
        </w:rPr>
        <w:t xml:space="preserve">emission by </w:t>
      </w:r>
      <w:r w:rsidR="00B64C49" w:rsidRPr="004A00DA">
        <w:rPr>
          <w:rFonts w:ascii="Open Sans" w:eastAsia="Times New Roman" w:hAnsi="Open Sans" w:cs="Open Sans"/>
          <w:sz w:val="20"/>
          <w:szCs w:val="20"/>
          <w:lang w:eastAsia="en-GB"/>
        </w:rPr>
        <w:t>2035</w:t>
      </w:r>
      <w:r w:rsidR="00F076DA" w:rsidRPr="004A00DA">
        <w:rPr>
          <w:rFonts w:ascii="Open Sans" w:eastAsia="Times New Roman" w:hAnsi="Open Sans" w:cs="Open Sans"/>
          <w:sz w:val="20"/>
          <w:szCs w:val="20"/>
          <w:lang w:eastAsia="en-GB"/>
        </w:rPr>
        <w:t xml:space="preserve"> ‘or sooner’</w:t>
      </w:r>
      <w:r w:rsidRPr="004A00DA">
        <w:rPr>
          <w:rFonts w:ascii="Open Sans" w:eastAsia="Times New Roman" w:hAnsi="Open Sans" w:cs="Open Sans"/>
          <w:sz w:val="20"/>
          <w:szCs w:val="20"/>
          <w:lang w:eastAsia="en-GB"/>
        </w:rPr>
        <w:t>,</w:t>
      </w:r>
      <w:r w:rsidR="00D74964" w:rsidRPr="004A00DA">
        <w:rPr>
          <w:rFonts w:ascii="Open Sans" w:eastAsia="Times New Roman" w:hAnsi="Open Sans" w:cs="Open Sans"/>
          <w:sz w:val="20"/>
          <w:szCs w:val="20"/>
          <w:lang w:eastAsia="en-GB"/>
        </w:rPr>
        <w:t xml:space="preserve"> and to support the decarbonisation of the vehicle parc prior to then</w:t>
      </w:r>
      <w:r w:rsidR="00612E97" w:rsidRPr="004A00DA">
        <w:rPr>
          <w:rFonts w:ascii="Open Sans" w:eastAsia="Times New Roman" w:hAnsi="Open Sans" w:cs="Open Sans"/>
          <w:sz w:val="20"/>
          <w:szCs w:val="20"/>
          <w:lang w:eastAsia="en-GB"/>
        </w:rPr>
        <w:t xml:space="preserve"> and beyond</w:t>
      </w:r>
      <w:r w:rsidR="00D74964"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w:t>
      </w:r>
      <w:r w:rsidR="00F076DA" w:rsidRPr="004A00DA">
        <w:rPr>
          <w:rFonts w:ascii="Open Sans" w:eastAsia="Times New Roman" w:hAnsi="Open Sans" w:cs="Open Sans"/>
          <w:sz w:val="20"/>
          <w:szCs w:val="20"/>
          <w:lang w:eastAsia="en-GB"/>
        </w:rPr>
        <w:t xml:space="preserve">four </w:t>
      </w:r>
      <w:r w:rsidRPr="004A00DA">
        <w:rPr>
          <w:rFonts w:ascii="Open Sans" w:eastAsia="Times New Roman" w:hAnsi="Open Sans" w:cs="Open Sans"/>
          <w:sz w:val="20"/>
          <w:szCs w:val="20"/>
          <w:lang w:eastAsia="en-GB"/>
        </w:rPr>
        <w:t>prevailing technologies are apparent</w:t>
      </w:r>
      <w:r w:rsidR="00FC41BB" w:rsidRPr="004A00DA">
        <w:rPr>
          <w:rFonts w:ascii="Open Sans" w:eastAsia="Times New Roman" w:hAnsi="Open Sans" w:cs="Open Sans"/>
          <w:sz w:val="20"/>
          <w:szCs w:val="20"/>
          <w:lang w:eastAsia="en-GB"/>
        </w:rPr>
        <w:t>;</w:t>
      </w:r>
      <w:r w:rsidR="00B64C49"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biofuels</w:t>
      </w:r>
      <w:r w:rsidR="00FC41BB" w:rsidRPr="004A00DA">
        <w:rPr>
          <w:rFonts w:ascii="Open Sans" w:eastAsia="Times New Roman" w:hAnsi="Open Sans" w:cs="Open Sans"/>
          <w:sz w:val="20"/>
          <w:szCs w:val="20"/>
          <w:lang w:eastAsia="en-GB"/>
        </w:rPr>
        <w:t xml:space="preserve"> used in ICEs</w:t>
      </w:r>
      <w:r w:rsidRPr="004A00DA">
        <w:rPr>
          <w:rFonts w:ascii="Open Sans" w:eastAsia="Times New Roman" w:hAnsi="Open Sans" w:cs="Open Sans"/>
          <w:sz w:val="20"/>
          <w:szCs w:val="20"/>
          <w:lang w:eastAsia="en-GB"/>
        </w:rPr>
        <w:t>, hydrogen fuel cell vehicles</w:t>
      </w:r>
      <w:r w:rsidR="00F076DA"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battery electric</w:t>
      </w:r>
      <w:r w:rsidR="00F076DA" w:rsidRPr="004A00DA">
        <w:rPr>
          <w:rFonts w:ascii="Open Sans" w:eastAsia="Times New Roman" w:hAnsi="Open Sans" w:cs="Open Sans"/>
          <w:sz w:val="20"/>
          <w:szCs w:val="20"/>
          <w:lang w:eastAsia="en-GB"/>
        </w:rPr>
        <w:t xml:space="preserve"> vehicles and </w:t>
      </w:r>
      <w:r w:rsidRPr="004A00DA">
        <w:rPr>
          <w:rFonts w:ascii="Open Sans" w:eastAsia="Times New Roman" w:hAnsi="Open Sans" w:cs="Open Sans"/>
          <w:sz w:val="20"/>
          <w:szCs w:val="20"/>
          <w:lang w:eastAsia="en-GB"/>
        </w:rPr>
        <w:t>plug-in hybrid electric vehicles. Each holds benefits at varying scales and in different sectors</w:t>
      </w:r>
      <w:r w:rsidR="00D74964" w:rsidRPr="004A00DA">
        <w:rPr>
          <w:rFonts w:ascii="Open Sans" w:eastAsia="Times New Roman" w:hAnsi="Open Sans" w:cs="Open Sans"/>
          <w:sz w:val="20"/>
          <w:szCs w:val="20"/>
          <w:lang w:eastAsia="en-GB"/>
        </w:rPr>
        <w:t xml:space="preserve">, in addition to </w:t>
      </w:r>
      <w:r w:rsidR="00F076DA" w:rsidRPr="004A00DA">
        <w:rPr>
          <w:rFonts w:ascii="Open Sans" w:eastAsia="Times New Roman" w:hAnsi="Open Sans" w:cs="Open Sans"/>
          <w:sz w:val="20"/>
          <w:szCs w:val="20"/>
          <w:lang w:eastAsia="en-GB"/>
        </w:rPr>
        <w:t xml:space="preserve">their own </w:t>
      </w:r>
      <w:r w:rsidR="00D74964" w:rsidRPr="004A00DA">
        <w:rPr>
          <w:rFonts w:ascii="Open Sans" w:eastAsia="Times New Roman" w:hAnsi="Open Sans" w:cs="Open Sans"/>
          <w:sz w:val="20"/>
          <w:szCs w:val="20"/>
          <w:lang w:eastAsia="en-GB"/>
        </w:rPr>
        <w:t>infrastructure requirements</w:t>
      </w:r>
      <w:r w:rsidRPr="004A00DA">
        <w:rPr>
          <w:rFonts w:ascii="Open Sans" w:eastAsia="Times New Roman" w:hAnsi="Open Sans" w:cs="Open Sans"/>
          <w:sz w:val="20"/>
          <w:szCs w:val="20"/>
          <w:lang w:eastAsia="en-GB"/>
        </w:rPr>
        <w:t xml:space="preserve">. </w:t>
      </w:r>
    </w:p>
    <w:p w14:paraId="72817226" w14:textId="77777777" w:rsidR="0060267B" w:rsidRPr="004A00DA" w:rsidRDefault="00D74964"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w:t>
      </w:r>
      <w:r w:rsidR="0060267B" w:rsidRPr="004A00DA">
        <w:rPr>
          <w:rFonts w:ascii="Open Sans" w:eastAsia="Times New Roman" w:hAnsi="Open Sans" w:cs="Open Sans"/>
          <w:sz w:val="20"/>
          <w:szCs w:val="20"/>
          <w:lang w:eastAsia="en-GB"/>
        </w:rPr>
        <w:t>o provide insight into the transition of the transport sector, the purpose of this report is to give a combined vision of potential decarbonisation pathways for the UK. This will include market factors encouraging trends and policy steps to be taken to drive forward the decarbonisation of the transport sector.</w:t>
      </w:r>
    </w:p>
    <w:p w14:paraId="6B04FEA2" w14:textId="77777777" w:rsidR="00B64C49" w:rsidRPr="004A00DA" w:rsidRDefault="0060267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Biofuels, hydrogen fuel cells and battery electric vehicles will each play a role. An overview of the current state of each method of decarbonisation in the UK is provided, alongside relevant policies and market/industry trends and barriers to widespread rollout. An REA comment will follow each section to provide advice on future applications, current barriers to the market and further policy requirements. </w:t>
      </w:r>
    </w:p>
    <w:p w14:paraId="39A97D2B" w14:textId="77777777" w:rsidR="0060267B" w:rsidRPr="004A00DA" w:rsidRDefault="0060267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REA is</w:t>
      </w:r>
      <w:r w:rsidR="00B64C49" w:rsidRPr="004A00DA">
        <w:rPr>
          <w:rFonts w:ascii="Open Sans" w:eastAsia="Times New Roman" w:hAnsi="Open Sans" w:cs="Open Sans"/>
          <w:sz w:val="20"/>
          <w:szCs w:val="20"/>
          <w:lang w:eastAsia="en-GB"/>
        </w:rPr>
        <w:t xml:space="preserve"> well-placed to bring together the views of these industry as </w:t>
      </w:r>
      <w:r w:rsidRPr="004A00DA">
        <w:rPr>
          <w:rFonts w:ascii="Open Sans" w:eastAsia="Times New Roman" w:hAnsi="Open Sans" w:cs="Open Sans"/>
          <w:sz w:val="20"/>
          <w:szCs w:val="20"/>
          <w:lang w:eastAsia="en-GB"/>
        </w:rPr>
        <w:t xml:space="preserve">the UK’s largest </w:t>
      </w:r>
      <w:r w:rsidR="00B64C49" w:rsidRPr="004A00DA">
        <w:rPr>
          <w:rFonts w:ascii="Open Sans" w:eastAsia="Times New Roman" w:hAnsi="Open Sans" w:cs="Open Sans"/>
          <w:sz w:val="20"/>
          <w:szCs w:val="20"/>
          <w:lang w:eastAsia="en-GB"/>
        </w:rPr>
        <w:t xml:space="preserve">trade association for </w:t>
      </w:r>
      <w:r w:rsidRPr="004A00DA">
        <w:rPr>
          <w:rFonts w:ascii="Open Sans" w:eastAsia="Times New Roman" w:hAnsi="Open Sans" w:cs="Open Sans"/>
          <w:sz w:val="20"/>
          <w:szCs w:val="20"/>
          <w:lang w:eastAsia="en-GB"/>
        </w:rPr>
        <w:t>renewable energy and clean technolog</w:t>
      </w:r>
      <w:r w:rsidR="00B64C49" w:rsidRPr="004A00DA">
        <w:rPr>
          <w:rFonts w:ascii="Open Sans" w:eastAsia="Times New Roman" w:hAnsi="Open Sans" w:cs="Open Sans"/>
          <w:sz w:val="20"/>
          <w:szCs w:val="20"/>
          <w:lang w:eastAsia="en-GB"/>
        </w:rPr>
        <w:t xml:space="preserve">ies. The REA represents around 550 members across the decarbonisation of heat, power, and transport, ranging from renewable power generators to biofuels and hydrogen manufacturers, and the electric vehicle charging infrastructure supply chain. </w:t>
      </w:r>
    </w:p>
    <w:p w14:paraId="4EBBE016" w14:textId="638E5898" w:rsidR="005618F1" w:rsidRDefault="00F20437"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biofuels examined in this report include</w:t>
      </w:r>
      <w:r w:rsidR="0060267B" w:rsidRPr="004A00DA">
        <w:rPr>
          <w:rFonts w:ascii="Open Sans" w:eastAsia="Times New Roman" w:hAnsi="Open Sans" w:cs="Open Sans"/>
          <w:sz w:val="20"/>
          <w:szCs w:val="20"/>
          <w:lang w:eastAsia="en-GB"/>
        </w:rPr>
        <w:t xml:space="preserve"> biodiesel, bio-propane, bioethanol</w:t>
      </w:r>
      <w:r w:rsidRPr="004A00DA">
        <w:rPr>
          <w:rFonts w:ascii="Open Sans" w:eastAsia="Times New Roman" w:hAnsi="Open Sans" w:cs="Open Sans"/>
          <w:sz w:val="20"/>
          <w:szCs w:val="20"/>
          <w:lang w:eastAsia="en-GB"/>
        </w:rPr>
        <w:t>,</w:t>
      </w:r>
      <w:r w:rsidR="0060267B" w:rsidRPr="004A00DA">
        <w:rPr>
          <w:rFonts w:ascii="Open Sans" w:eastAsia="Times New Roman" w:hAnsi="Open Sans" w:cs="Open Sans"/>
          <w:sz w:val="20"/>
          <w:szCs w:val="20"/>
          <w:lang w:eastAsia="en-GB"/>
        </w:rPr>
        <w:t xml:space="preserve"> and biomethane. </w:t>
      </w:r>
      <w:r w:rsidR="00FC41BB" w:rsidRPr="004A00DA">
        <w:rPr>
          <w:rFonts w:ascii="Open Sans" w:eastAsia="Times New Roman" w:hAnsi="Open Sans" w:cs="Open Sans"/>
          <w:sz w:val="20"/>
          <w:szCs w:val="20"/>
          <w:lang w:eastAsia="en-GB"/>
        </w:rPr>
        <w:t xml:space="preserve">The characteristics of </w:t>
      </w:r>
      <w:r w:rsidR="0060267B" w:rsidRPr="004A00DA">
        <w:rPr>
          <w:rFonts w:ascii="Open Sans" w:eastAsia="Times New Roman" w:hAnsi="Open Sans" w:cs="Open Sans"/>
          <w:sz w:val="20"/>
          <w:szCs w:val="20"/>
          <w:lang w:eastAsia="en-GB"/>
        </w:rPr>
        <w:t xml:space="preserve">each </w:t>
      </w:r>
      <w:r w:rsidR="00FC41BB" w:rsidRPr="004A00DA">
        <w:rPr>
          <w:rFonts w:ascii="Open Sans" w:eastAsia="Times New Roman" w:hAnsi="Open Sans" w:cs="Open Sans"/>
          <w:sz w:val="20"/>
          <w:szCs w:val="20"/>
          <w:lang w:eastAsia="en-GB"/>
        </w:rPr>
        <w:t>are described</w:t>
      </w:r>
      <w:r w:rsidR="0060267B" w:rsidRPr="004A00DA">
        <w:rPr>
          <w:rFonts w:ascii="Open Sans" w:eastAsia="Times New Roman" w:hAnsi="Open Sans" w:cs="Open Sans"/>
          <w:sz w:val="20"/>
          <w:szCs w:val="20"/>
          <w:lang w:eastAsia="en-GB"/>
        </w:rPr>
        <w:t xml:space="preserve">. Secondly, hydrogen fuel cell electric vehicles </w:t>
      </w:r>
      <w:r w:rsidRPr="004A00DA">
        <w:rPr>
          <w:rFonts w:ascii="Open Sans" w:eastAsia="Times New Roman" w:hAnsi="Open Sans" w:cs="Open Sans"/>
          <w:sz w:val="20"/>
          <w:szCs w:val="20"/>
          <w:lang w:eastAsia="en-GB"/>
        </w:rPr>
        <w:t xml:space="preserve">are </w:t>
      </w:r>
      <w:r w:rsidR="0060267B" w:rsidRPr="004A00DA">
        <w:rPr>
          <w:rFonts w:ascii="Open Sans" w:eastAsia="Times New Roman" w:hAnsi="Open Sans" w:cs="Open Sans"/>
          <w:sz w:val="20"/>
          <w:szCs w:val="20"/>
          <w:lang w:eastAsia="en-GB"/>
        </w:rPr>
        <w:t>examined. The final decarbonisation pathway included is that of battery electric vehicles and the charging infrastructure network required as the market grows.</w:t>
      </w:r>
    </w:p>
    <w:p w14:paraId="66E9B800" w14:textId="77777777" w:rsidR="00984981" w:rsidRPr="004A00DA" w:rsidRDefault="00984981" w:rsidP="004A00DA">
      <w:pPr>
        <w:tabs>
          <w:tab w:val="left" w:pos="426"/>
          <w:tab w:val="left" w:pos="993"/>
        </w:tabs>
        <w:rPr>
          <w:rFonts w:ascii="Open Sans" w:eastAsia="Times New Roman" w:hAnsi="Open Sans" w:cs="Open Sans"/>
          <w:sz w:val="20"/>
          <w:szCs w:val="20"/>
          <w:lang w:eastAsia="en-GB"/>
        </w:rPr>
      </w:pPr>
    </w:p>
    <w:p w14:paraId="0A4DEBC8" w14:textId="21BF260A" w:rsidR="00FC41BB" w:rsidRPr="00984981" w:rsidRDefault="00984981" w:rsidP="00984981">
      <w:pPr>
        <w:pStyle w:val="Heading1"/>
        <w:tabs>
          <w:tab w:val="left" w:pos="426"/>
          <w:tab w:val="left" w:pos="993"/>
        </w:tabs>
        <w:rPr>
          <w:rFonts w:ascii="Open Sans" w:hAnsi="Open Sans" w:cs="Open Sans"/>
          <w:sz w:val="28"/>
          <w:szCs w:val="28"/>
          <w:lang w:eastAsia="en-GB"/>
        </w:rPr>
      </w:pPr>
      <w:bookmarkStart w:id="5" w:name="_Toc34921709"/>
      <w:r w:rsidRPr="00984981">
        <w:rPr>
          <w:rFonts w:ascii="Open Sans" w:hAnsi="Open Sans" w:cs="Open Sans"/>
          <w:sz w:val="28"/>
          <w:szCs w:val="28"/>
          <w:lang w:eastAsia="en-GB"/>
        </w:rPr>
        <w:t xml:space="preserve">2. </w:t>
      </w:r>
      <w:r w:rsidR="00FC41BB" w:rsidRPr="00984981">
        <w:rPr>
          <w:rFonts w:ascii="Open Sans" w:hAnsi="Open Sans" w:cs="Open Sans"/>
          <w:sz w:val="28"/>
          <w:szCs w:val="28"/>
          <w:lang w:eastAsia="en-GB"/>
        </w:rPr>
        <w:t>Technology and fuelling options</w:t>
      </w:r>
      <w:bookmarkEnd w:id="5"/>
    </w:p>
    <w:p w14:paraId="6A5B0F2D" w14:textId="376B12DB" w:rsidR="00FC41BB" w:rsidRPr="00984981" w:rsidRDefault="00984981" w:rsidP="004A00DA">
      <w:pPr>
        <w:pStyle w:val="Heading3"/>
        <w:tabs>
          <w:tab w:val="left" w:pos="426"/>
          <w:tab w:val="left" w:pos="993"/>
        </w:tabs>
        <w:rPr>
          <w:rFonts w:ascii="Open Sans" w:hAnsi="Open Sans" w:cs="Open Sans"/>
          <w:sz w:val="28"/>
          <w:lang w:eastAsia="en-GB"/>
        </w:rPr>
      </w:pPr>
      <w:bookmarkStart w:id="6" w:name="_Toc34921710"/>
      <w:r w:rsidRPr="00984981">
        <w:rPr>
          <w:rFonts w:ascii="Open Sans" w:hAnsi="Open Sans" w:cs="Open Sans"/>
          <w:sz w:val="28"/>
          <w:lang w:eastAsia="en-GB"/>
        </w:rPr>
        <w:t xml:space="preserve">2.1 </w:t>
      </w:r>
      <w:r w:rsidR="00FC41BB" w:rsidRPr="00984981">
        <w:rPr>
          <w:rFonts w:ascii="Open Sans" w:hAnsi="Open Sans" w:cs="Open Sans"/>
          <w:sz w:val="28"/>
          <w:lang w:eastAsia="en-GB"/>
        </w:rPr>
        <w:t>The ICE and its potential replacement</w:t>
      </w:r>
      <w:bookmarkEnd w:id="6"/>
    </w:p>
    <w:p w14:paraId="0D4E9DD9" w14:textId="77777777" w:rsidR="005618F1" w:rsidRPr="004A00DA" w:rsidRDefault="005618F1" w:rsidP="004A00DA">
      <w:pPr>
        <w:tabs>
          <w:tab w:val="left" w:pos="426"/>
          <w:tab w:val="left" w:pos="993"/>
        </w:tabs>
        <w:rPr>
          <w:rFonts w:ascii="Open Sans" w:hAnsi="Open Sans" w:cs="Open Sans"/>
          <w:sz w:val="20"/>
          <w:szCs w:val="20"/>
          <w:lang w:eastAsia="en-GB"/>
        </w:rPr>
      </w:pPr>
    </w:p>
    <w:p w14:paraId="4262220A" w14:textId="7FCA41E3" w:rsidR="00D74964" w:rsidRPr="004A00DA" w:rsidRDefault="00D74964"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Internal Combustion Engine (ICE) has played a fundamental role in the creation of the modern global economy, and in propelling growth in the 20</w:t>
      </w:r>
      <w:r w:rsidRPr="004A00DA">
        <w:rPr>
          <w:rFonts w:ascii="Open Sans" w:hAnsi="Open Sans" w:cs="Open Sans"/>
          <w:sz w:val="20"/>
          <w:szCs w:val="20"/>
          <w:vertAlign w:val="superscript"/>
          <w:lang w:eastAsia="en-GB"/>
        </w:rPr>
        <w:t>th</w:t>
      </w:r>
      <w:r w:rsidRPr="004A00DA">
        <w:rPr>
          <w:rFonts w:ascii="Open Sans" w:hAnsi="Open Sans" w:cs="Open Sans"/>
          <w:sz w:val="20"/>
          <w:szCs w:val="20"/>
          <w:lang w:eastAsia="en-GB"/>
        </w:rPr>
        <w:t xml:space="preserve"> Century. However, for many market segments it will not be economically or environmentally sustainable to maintain internal combustion engine production into the future.</w:t>
      </w:r>
    </w:p>
    <w:p w14:paraId="49C0BAAA" w14:textId="4E7A6049" w:rsidR="0060267B" w:rsidRPr="004A00DA" w:rsidRDefault="00F20437"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For new cars and light-duty vans</w:t>
      </w:r>
      <w:r w:rsidR="00D74964" w:rsidRPr="004A00DA">
        <w:rPr>
          <w:rFonts w:ascii="Open Sans" w:hAnsi="Open Sans" w:cs="Open Sans"/>
          <w:sz w:val="20"/>
          <w:szCs w:val="20"/>
          <w:lang w:eastAsia="en-GB"/>
        </w:rPr>
        <w:t xml:space="preserve"> in the European Union (EU)</w:t>
      </w:r>
      <w:r w:rsidRPr="004A00DA">
        <w:rPr>
          <w:rFonts w:ascii="Open Sans" w:hAnsi="Open Sans" w:cs="Open Sans"/>
          <w:sz w:val="20"/>
          <w:szCs w:val="20"/>
          <w:lang w:eastAsia="en-GB"/>
        </w:rPr>
        <w:t xml:space="preserve">, the Euro 6/VI standard is now in place which represents a significant improvement in air quality and greenhouse gas emissions over the previous Euro 5/V standard. </w:t>
      </w:r>
      <w:r w:rsidR="00C04E83" w:rsidRPr="004A00DA">
        <w:rPr>
          <w:rFonts w:ascii="Open Sans" w:hAnsi="Open Sans" w:cs="Open Sans"/>
          <w:sz w:val="20"/>
          <w:szCs w:val="20"/>
          <w:lang w:eastAsia="en-GB"/>
        </w:rPr>
        <w:t xml:space="preserve">Further improvements are planned. </w:t>
      </w:r>
      <w:r w:rsidRPr="004A00DA">
        <w:rPr>
          <w:rFonts w:ascii="Open Sans" w:hAnsi="Open Sans" w:cs="Open Sans"/>
          <w:sz w:val="20"/>
          <w:szCs w:val="20"/>
          <w:lang w:eastAsia="en-GB"/>
        </w:rPr>
        <w:t xml:space="preserve">However, </w:t>
      </w:r>
      <w:r w:rsidR="00237707" w:rsidRPr="004A00DA">
        <w:rPr>
          <w:rFonts w:ascii="Open Sans" w:hAnsi="Open Sans" w:cs="Open Sans"/>
          <w:sz w:val="20"/>
          <w:szCs w:val="20"/>
          <w:lang w:eastAsia="en-GB"/>
        </w:rPr>
        <w:t xml:space="preserve">improvements in engine efficiency coupled with renewable fuels </w:t>
      </w:r>
      <w:r w:rsidR="00BC32E5" w:rsidRPr="004A00DA">
        <w:rPr>
          <w:rFonts w:ascii="Open Sans" w:hAnsi="Open Sans" w:cs="Open Sans"/>
          <w:sz w:val="20"/>
          <w:szCs w:val="20"/>
          <w:lang w:eastAsia="en-GB"/>
        </w:rPr>
        <w:t>will not</w:t>
      </w:r>
      <w:r w:rsidRPr="004A00DA">
        <w:rPr>
          <w:rFonts w:ascii="Open Sans" w:hAnsi="Open Sans" w:cs="Open Sans"/>
          <w:sz w:val="20"/>
          <w:szCs w:val="20"/>
          <w:lang w:eastAsia="en-GB"/>
        </w:rPr>
        <w:t xml:space="preserve"> achieve Net Zero and for many market </w:t>
      </w:r>
      <w:r w:rsidR="000A0DF3" w:rsidRPr="004A00DA">
        <w:rPr>
          <w:rFonts w:ascii="Open Sans" w:hAnsi="Open Sans" w:cs="Open Sans"/>
          <w:sz w:val="20"/>
          <w:szCs w:val="20"/>
          <w:lang w:eastAsia="en-GB"/>
        </w:rPr>
        <w:t>segments</w:t>
      </w:r>
      <w:r w:rsidRPr="004A00DA">
        <w:rPr>
          <w:rFonts w:ascii="Open Sans" w:hAnsi="Open Sans" w:cs="Open Sans"/>
          <w:sz w:val="20"/>
          <w:szCs w:val="20"/>
          <w:lang w:eastAsia="en-GB"/>
        </w:rPr>
        <w:t xml:space="preserve"> we are approaching the point where the continuation of ICE power trains will no longer be a viable option to achieve national policy goals. The G</w:t>
      </w:r>
      <w:r w:rsidR="005D7EAF" w:rsidRPr="004A00DA">
        <w:rPr>
          <w:rFonts w:ascii="Open Sans" w:hAnsi="Open Sans" w:cs="Open Sans"/>
          <w:sz w:val="20"/>
          <w:szCs w:val="20"/>
          <w:lang w:eastAsia="en-GB"/>
        </w:rPr>
        <w:t>overnment has acknowledged this in it</w:t>
      </w:r>
      <w:r w:rsidRPr="004A00DA">
        <w:rPr>
          <w:rFonts w:ascii="Open Sans" w:hAnsi="Open Sans" w:cs="Open Sans"/>
          <w:sz w:val="20"/>
          <w:szCs w:val="20"/>
          <w:lang w:eastAsia="en-GB"/>
        </w:rPr>
        <w:t xml:space="preserve">s </w:t>
      </w:r>
      <w:r w:rsidR="00CA2506" w:rsidRPr="004A00DA">
        <w:rPr>
          <w:rFonts w:ascii="Open Sans" w:hAnsi="Open Sans" w:cs="Open Sans"/>
          <w:sz w:val="20"/>
          <w:szCs w:val="20"/>
          <w:lang w:eastAsia="en-GB"/>
        </w:rPr>
        <w:t>announced ban on the sale of new ‘conventional’ petrol and diesel cars and vans by 2040, and in its consultation to move forward that date to 2035</w:t>
      </w:r>
      <w:r w:rsidR="00AF1EC8" w:rsidRPr="004A00DA">
        <w:rPr>
          <w:rFonts w:ascii="Open Sans" w:hAnsi="Open Sans" w:cs="Open Sans"/>
          <w:sz w:val="20"/>
          <w:szCs w:val="20"/>
          <w:lang w:eastAsia="en-GB"/>
        </w:rPr>
        <w:t xml:space="preserve"> ‘or sooner’</w:t>
      </w:r>
      <w:r w:rsidR="00CA2506" w:rsidRPr="004A00DA">
        <w:rPr>
          <w:rFonts w:ascii="Open Sans" w:hAnsi="Open Sans" w:cs="Open Sans"/>
          <w:sz w:val="20"/>
          <w:szCs w:val="20"/>
          <w:lang w:eastAsia="en-GB"/>
        </w:rPr>
        <w:t xml:space="preserve">. </w:t>
      </w:r>
    </w:p>
    <w:p w14:paraId="01C5EE38" w14:textId="47CCB3CB" w:rsidR="00237707" w:rsidRPr="004A00DA" w:rsidRDefault="005D7EA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In the </w:t>
      </w:r>
      <w:r w:rsidR="000A0DF3" w:rsidRPr="004A00DA">
        <w:rPr>
          <w:rFonts w:ascii="Open Sans" w:hAnsi="Open Sans" w:cs="Open Sans"/>
          <w:sz w:val="20"/>
          <w:szCs w:val="20"/>
          <w:lang w:eastAsia="en-GB"/>
        </w:rPr>
        <w:t>interim</w:t>
      </w:r>
      <w:r w:rsidR="005A5FA4" w:rsidRPr="004A00DA">
        <w:rPr>
          <w:rFonts w:ascii="Open Sans" w:hAnsi="Open Sans" w:cs="Open Sans"/>
          <w:sz w:val="20"/>
          <w:szCs w:val="20"/>
          <w:lang w:eastAsia="en-GB"/>
        </w:rPr>
        <w:t xml:space="preserve"> and for all the while that petrol and </w:t>
      </w:r>
      <w:r w:rsidR="00237707" w:rsidRPr="004A00DA">
        <w:rPr>
          <w:rFonts w:ascii="Open Sans" w:hAnsi="Open Sans" w:cs="Open Sans"/>
          <w:sz w:val="20"/>
          <w:szCs w:val="20"/>
          <w:lang w:eastAsia="en-GB"/>
        </w:rPr>
        <w:t>diesel</w:t>
      </w:r>
      <w:r w:rsidR="005A5FA4" w:rsidRPr="004A00DA">
        <w:rPr>
          <w:rFonts w:ascii="Open Sans" w:hAnsi="Open Sans" w:cs="Open Sans"/>
          <w:sz w:val="20"/>
          <w:szCs w:val="20"/>
          <w:lang w:eastAsia="en-GB"/>
        </w:rPr>
        <w:t xml:space="preserve"> cars remain on the roads</w:t>
      </w:r>
      <w:r w:rsidR="000A0DF3" w:rsidRPr="004A00DA">
        <w:rPr>
          <w:rFonts w:ascii="Open Sans" w:hAnsi="Open Sans" w:cs="Open Sans"/>
          <w:sz w:val="20"/>
          <w:szCs w:val="20"/>
          <w:lang w:eastAsia="en-GB"/>
        </w:rPr>
        <w:t>,</w:t>
      </w:r>
      <w:r w:rsidRPr="004A00DA">
        <w:rPr>
          <w:rFonts w:ascii="Open Sans" w:hAnsi="Open Sans" w:cs="Open Sans"/>
          <w:sz w:val="20"/>
          <w:szCs w:val="20"/>
          <w:lang w:eastAsia="en-GB"/>
        </w:rPr>
        <w:t xml:space="preserve"> the Government should </w:t>
      </w:r>
      <w:r w:rsidR="005A5FA4" w:rsidRPr="004A00DA">
        <w:rPr>
          <w:rFonts w:ascii="Open Sans" w:hAnsi="Open Sans" w:cs="Open Sans"/>
          <w:sz w:val="20"/>
          <w:szCs w:val="20"/>
          <w:lang w:eastAsia="en-GB"/>
        </w:rPr>
        <w:t xml:space="preserve">ensure that renewable fuels make the maximum contribution they can.  Where these fuels are made from biomass, only sustainable biomass should be used, and policies should </w:t>
      </w:r>
      <w:r w:rsidR="00237707" w:rsidRPr="004A00DA">
        <w:rPr>
          <w:rFonts w:ascii="Open Sans" w:hAnsi="Open Sans" w:cs="Open Sans"/>
          <w:sz w:val="20"/>
          <w:szCs w:val="20"/>
          <w:lang w:eastAsia="en-GB"/>
        </w:rPr>
        <w:t>encourage</w:t>
      </w:r>
      <w:r w:rsidR="005A5FA4" w:rsidRPr="004A00DA">
        <w:rPr>
          <w:rFonts w:ascii="Open Sans" w:hAnsi="Open Sans" w:cs="Open Sans"/>
          <w:sz w:val="20"/>
          <w:szCs w:val="20"/>
          <w:lang w:eastAsia="en-GB"/>
        </w:rPr>
        <w:t xml:space="preserve"> the maximum GHG savings possible (i.e. going beyond the </w:t>
      </w:r>
      <w:r w:rsidR="00047F6B" w:rsidRPr="004A00DA">
        <w:rPr>
          <w:rFonts w:ascii="Open Sans" w:hAnsi="Open Sans" w:cs="Open Sans"/>
          <w:sz w:val="20"/>
          <w:szCs w:val="20"/>
          <w:lang w:eastAsia="en-GB"/>
        </w:rPr>
        <w:t>minimum</w:t>
      </w:r>
      <w:r w:rsidR="005A5FA4" w:rsidRPr="004A00DA">
        <w:rPr>
          <w:rFonts w:ascii="Open Sans" w:hAnsi="Open Sans" w:cs="Open Sans"/>
          <w:sz w:val="20"/>
          <w:szCs w:val="20"/>
          <w:lang w:eastAsia="en-GB"/>
        </w:rPr>
        <w:t xml:space="preserve"> thresholds in REDII</w:t>
      </w:r>
      <w:r w:rsidR="00237707" w:rsidRPr="004A00DA">
        <w:rPr>
          <w:rFonts w:ascii="Open Sans" w:hAnsi="Open Sans" w:cs="Open Sans"/>
          <w:sz w:val="20"/>
          <w:szCs w:val="20"/>
          <w:lang w:eastAsia="en-GB"/>
        </w:rPr>
        <w:t>)</w:t>
      </w:r>
      <w:r w:rsidR="005A5FA4" w:rsidRPr="004A00DA">
        <w:rPr>
          <w:rFonts w:ascii="Open Sans" w:hAnsi="Open Sans" w:cs="Open Sans"/>
          <w:sz w:val="20"/>
          <w:szCs w:val="20"/>
          <w:lang w:eastAsia="en-GB"/>
        </w:rPr>
        <w:t xml:space="preserve">  </w:t>
      </w:r>
      <w:r w:rsidR="002508AA" w:rsidRPr="004A00DA">
        <w:rPr>
          <w:rFonts w:ascii="Open Sans" w:hAnsi="Open Sans" w:cs="Open Sans"/>
          <w:sz w:val="20"/>
          <w:szCs w:val="20"/>
          <w:lang w:eastAsia="en-GB"/>
        </w:rPr>
        <w:t xml:space="preserve">and encouraging higher blend rates.  </w:t>
      </w:r>
      <w:r w:rsidR="00237707" w:rsidRPr="004A00DA">
        <w:rPr>
          <w:rFonts w:ascii="Open Sans" w:hAnsi="Open Sans" w:cs="Open Sans"/>
          <w:sz w:val="20"/>
          <w:szCs w:val="20"/>
          <w:lang w:eastAsia="en-GB"/>
        </w:rPr>
        <w:t>Different renewable fuels and their characteristics are described below.</w:t>
      </w:r>
    </w:p>
    <w:p w14:paraId="2880586F" w14:textId="0E056397" w:rsidR="0060267B" w:rsidRPr="004A00DA" w:rsidDel="00F20437" w:rsidRDefault="005A5FA4" w:rsidP="004A00DA">
      <w:pPr>
        <w:tabs>
          <w:tab w:val="left" w:pos="426"/>
          <w:tab w:val="left" w:pos="993"/>
        </w:tabs>
        <w:rPr>
          <w:rFonts w:ascii="Open Sans" w:hAnsi="Open Sans" w:cs="Open Sans"/>
          <w:sz w:val="20"/>
          <w:szCs w:val="20"/>
        </w:rPr>
      </w:pPr>
      <w:r w:rsidRPr="004A00DA">
        <w:rPr>
          <w:rFonts w:ascii="Open Sans" w:hAnsi="Open Sans" w:cs="Open Sans"/>
          <w:sz w:val="20"/>
          <w:szCs w:val="20"/>
          <w:lang w:eastAsia="en-GB"/>
        </w:rPr>
        <w:t xml:space="preserve">It is likely that the ICE will dominate heavier duty </w:t>
      </w:r>
      <w:r w:rsidR="00AF1EC8" w:rsidRPr="004A00DA">
        <w:rPr>
          <w:rFonts w:ascii="Open Sans" w:hAnsi="Open Sans" w:cs="Open Sans"/>
          <w:sz w:val="20"/>
          <w:szCs w:val="20"/>
          <w:lang w:eastAsia="en-GB"/>
        </w:rPr>
        <w:t xml:space="preserve">powertrains </w:t>
      </w:r>
      <w:r w:rsidRPr="004A00DA">
        <w:rPr>
          <w:rFonts w:ascii="Open Sans" w:hAnsi="Open Sans" w:cs="Open Sans"/>
          <w:sz w:val="20"/>
          <w:szCs w:val="20"/>
          <w:lang w:eastAsia="en-GB"/>
        </w:rPr>
        <w:t xml:space="preserve">well into this century, as alternatives such as </w:t>
      </w:r>
      <w:r w:rsidR="00AF1EC8" w:rsidRPr="004A00DA">
        <w:rPr>
          <w:rFonts w:ascii="Open Sans" w:hAnsi="Open Sans" w:cs="Open Sans"/>
          <w:sz w:val="20"/>
          <w:szCs w:val="20"/>
          <w:lang w:eastAsia="en-GB"/>
        </w:rPr>
        <w:t xml:space="preserve">battery electric </w:t>
      </w:r>
      <w:r w:rsidRPr="004A00DA">
        <w:rPr>
          <w:rFonts w:ascii="Open Sans" w:hAnsi="Open Sans" w:cs="Open Sans"/>
          <w:sz w:val="20"/>
          <w:szCs w:val="20"/>
          <w:lang w:eastAsia="en-GB"/>
        </w:rPr>
        <w:t xml:space="preserve">HGVs, electrified road infrastructure (induction / catenaries) or hydrogen fuel cell vehicles are currently </w:t>
      </w:r>
      <w:r w:rsidR="00402A9E" w:rsidRPr="004A00DA">
        <w:rPr>
          <w:rFonts w:ascii="Open Sans" w:hAnsi="Open Sans" w:cs="Open Sans"/>
          <w:sz w:val="20"/>
          <w:szCs w:val="20"/>
          <w:lang w:eastAsia="en-GB"/>
        </w:rPr>
        <w:t>earlier in the technology development cycle</w:t>
      </w:r>
      <w:r w:rsidRPr="004A00DA">
        <w:rPr>
          <w:rFonts w:ascii="Open Sans" w:hAnsi="Open Sans" w:cs="Open Sans"/>
          <w:sz w:val="20"/>
          <w:szCs w:val="20"/>
          <w:lang w:eastAsia="en-GB"/>
        </w:rPr>
        <w:t>.  The CCC commissioned work on decarbonisation options for H</w:t>
      </w:r>
      <w:r w:rsidR="00AF4AB8" w:rsidRPr="004A00DA">
        <w:rPr>
          <w:rFonts w:ascii="Open Sans" w:hAnsi="Open Sans" w:cs="Open Sans"/>
          <w:sz w:val="20"/>
          <w:szCs w:val="20"/>
          <w:lang w:eastAsia="en-GB"/>
        </w:rPr>
        <w:t>G</w:t>
      </w:r>
      <w:r w:rsidRPr="004A00DA">
        <w:rPr>
          <w:rFonts w:ascii="Open Sans" w:hAnsi="Open Sans" w:cs="Open Sans"/>
          <w:sz w:val="20"/>
          <w:szCs w:val="20"/>
          <w:lang w:eastAsia="en-GB"/>
        </w:rPr>
        <w:t>Vs</w:t>
      </w:r>
      <w:r w:rsidR="00047F6B" w:rsidRPr="004A00DA">
        <w:rPr>
          <w:rStyle w:val="FootnoteReference"/>
          <w:rFonts w:ascii="Open Sans" w:eastAsia="Times New Roman" w:hAnsi="Open Sans" w:cs="Open Sans"/>
          <w:i/>
          <w:sz w:val="20"/>
          <w:szCs w:val="20"/>
          <w:lang w:eastAsia="en-GB"/>
        </w:rPr>
        <w:footnoteReference w:id="12"/>
      </w:r>
      <w:r w:rsidR="00047F6B" w:rsidRPr="004A00DA">
        <w:rPr>
          <w:rFonts w:ascii="Open Sans" w:hAnsi="Open Sans" w:cs="Open Sans"/>
          <w:sz w:val="20"/>
          <w:szCs w:val="20"/>
          <w:lang w:eastAsia="en-GB"/>
        </w:rPr>
        <w:t>.  It concluded that “</w:t>
      </w:r>
      <w:r w:rsidR="00047F6B" w:rsidRPr="004A00DA">
        <w:rPr>
          <w:rFonts w:ascii="Open Sans" w:hAnsi="Open Sans" w:cs="Open Sans"/>
          <w:sz w:val="20"/>
          <w:szCs w:val="20"/>
        </w:rPr>
        <w:t>Moving to zero-carbon infrastructure for HDVs is a significant challenge and requires planning, co-ordination, supply chains, resource and materials and a skilled workforce as well as strong government policy to enable the market to deliver. However, our analysis and discussion with stakeholders found that the infrastructure required to serve scenarios reaching a near zero HDV fleet by 2050-2060, could be delivered.”  ….. “</w:t>
      </w:r>
      <w:r w:rsidR="000A0DF3" w:rsidRPr="004A00DA">
        <w:rPr>
          <w:rFonts w:ascii="Open Sans" w:hAnsi="Open Sans" w:cs="Open Sans"/>
          <w:sz w:val="20"/>
          <w:szCs w:val="20"/>
        </w:rPr>
        <w:t>From</w:t>
      </w:r>
      <w:r w:rsidR="00047F6B" w:rsidRPr="004A00DA">
        <w:rPr>
          <w:rFonts w:ascii="Open Sans" w:hAnsi="Open Sans" w:cs="Open Sans"/>
          <w:sz w:val="20"/>
          <w:szCs w:val="20"/>
        </w:rPr>
        <w:t xml:space="preserve"> a cost perspective, the hydrogen infrastructure scenario represents the least cost investment option for a transition to zero emission HGVs by 2060.”</w:t>
      </w:r>
    </w:p>
    <w:p w14:paraId="5ECD5DE8" w14:textId="3CDE7A54" w:rsidR="0060267B" w:rsidRPr="00984981" w:rsidRDefault="00984981" w:rsidP="004A00DA">
      <w:pPr>
        <w:pStyle w:val="Heading2"/>
        <w:tabs>
          <w:tab w:val="left" w:pos="426"/>
          <w:tab w:val="left" w:pos="993"/>
        </w:tabs>
        <w:rPr>
          <w:rFonts w:ascii="Open Sans" w:hAnsi="Open Sans" w:cs="Open Sans"/>
          <w:lang w:eastAsia="en-GB"/>
        </w:rPr>
      </w:pPr>
      <w:bookmarkStart w:id="7" w:name="_Toc34921711"/>
      <w:r w:rsidRPr="00984981">
        <w:rPr>
          <w:rFonts w:ascii="Open Sans" w:hAnsi="Open Sans" w:cs="Open Sans"/>
          <w:lang w:eastAsia="en-GB"/>
        </w:rPr>
        <w:t xml:space="preserve">2.2 </w:t>
      </w:r>
      <w:r w:rsidR="003E16AE" w:rsidRPr="00984981">
        <w:rPr>
          <w:rFonts w:ascii="Open Sans" w:hAnsi="Open Sans" w:cs="Open Sans"/>
          <w:lang w:eastAsia="en-GB"/>
        </w:rPr>
        <w:t>Renewable fuels</w:t>
      </w:r>
      <w:bookmarkEnd w:id="7"/>
    </w:p>
    <w:p w14:paraId="07988758" w14:textId="77777777" w:rsidR="000A0DF3" w:rsidRPr="004A00DA" w:rsidRDefault="000A0DF3" w:rsidP="004A00DA">
      <w:pPr>
        <w:tabs>
          <w:tab w:val="left" w:pos="426"/>
          <w:tab w:val="left" w:pos="993"/>
        </w:tabs>
        <w:rPr>
          <w:rFonts w:ascii="Open Sans" w:hAnsi="Open Sans" w:cs="Open Sans"/>
          <w:sz w:val="20"/>
          <w:szCs w:val="20"/>
          <w:lang w:eastAsia="en-GB"/>
        </w:rPr>
      </w:pPr>
    </w:p>
    <w:p w14:paraId="018CEA54" w14:textId="487D1441" w:rsidR="003E16AE" w:rsidRPr="004A00DA" w:rsidRDefault="003E16AE"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Renewable fuels can be made from biomass feedstocks (“biofuels”) or from renewable energy (“RFNBOs”</w:t>
      </w:r>
      <w:r w:rsidR="00AF4AB8" w:rsidRPr="004A00DA">
        <w:rPr>
          <w:rFonts w:ascii="Open Sans" w:eastAsia="Times New Roman" w:hAnsi="Open Sans" w:cs="Open Sans"/>
          <w:sz w:val="20"/>
          <w:szCs w:val="20"/>
          <w:lang w:eastAsia="en-GB"/>
        </w:rPr>
        <w:t xml:space="preserve"> or</w:t>
      </w:r>
      <w:r w:rsidRPr="004A00DA">
        <w:rPr>
          <w:rFonts w:ascii="Open Sans" w:eastAsia="Times New Roman" w:hAnsi="Open Sans" w:cs="Open Sans"/>
          <w:sz w:val="20"/>
          <w:szCs w:val="20"/>
          <w:lang w:eastAsia="en-GB"/>
        </w:rPr>
        <w:t xml:space="preserve"> Renewable Fuels of Non </w:t>
      </w:r>
      <w:r w:rsidR="000A0DF3" w:rsidRPr="004A00DA">
        <w:rPr>
          <w:rFonts w:ascii="Open Sans" w:eastAsia="Times New Roman" w:hAnsi="Open Sans" w:cs="Open Sans"/>
          <w:sz w:val="20"/>
          <w:szCs w:val="20"/>
          <w:lang w:eastAsia="en-GB"/>
        </w:rPr>
        <w:t>Biological</w:t>
      </w:r>
      <w:r w:rsidRPr="004A00DA">
        <w:rPr>
          <w:rFonts w:ascii="Open Sans" w:eastAsia="Times New Roman" w:hAnsi="Open Sans" w:cs="Open Sans"/>
          <w:sz w:val="20"/>
          <w:szCs w:val="20"/>
          <w:lang w:eastAsia="en-GB"/>
        </w:rPr>
        <w:t xml:space="preserve"> </w:t>
      </w:r>
      <w:r w:rsidR="000A0DF3" w:rsidRPr="004A00DA">
        <w:rPr>
          <w:rFonts w:ascii="Open Sans" w:eastAsia="Times New Roman" w:hAnsi="Open Sans" w:cs="Open Sans"/>
          <w:sz w:val="20"/>
          <w:szCs w:val="20"/>
          <w:lang w:eastAsia="en-GB"/>
        </w:rPr>
        <w:t>Origin</w:t>
      </w:r>
      <w:r w:rsidR="00AF4AB8"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Hydrogen from electrolysis using renewable electricity is the most straightforward RFNBO.  The latter have no land use implications, and the DfT is encouraging their development via awarding RFNBO hydrogen (and drop in fuels) “development fuel” status in the </w:t>
      </w:r>
      <w:r w:rsidR="00441429" w:rsidRPr="004A00DA">
        <w:rPr>
          <w:rFonts w:ascii="Open Sans" w:eastAsia="Times New Roman" w:hAnsi="Open Sans" w:cs="Open Sans"/>
          <w:sz w:val="20"/>
          <w:szCs w:val="20"/>
          <w:lang w:eastAsia="en-GB"/>
        </w:rPr>
        <w:t>Renewable Transport Fuels Obligation (</w:t>
      </w:r>
      <w:r w:rsidRPr="004A00DA">
        <w:rPr>
          <w:rFonts w:ascii="Open Sans" w:eastAsia="Times New Roman" w:hAnsi="Open Sans" w:cs="Open Sans"/>
          <w:sz w:val="20"/>
          <w:szCs w:val="20"/>
          <w:lang w:eastAsia="en-GB"/>
        </w:rPr>
        <w:t>RTFO</w:t>
      </w:r>
      <w:r w:rsidR="00441429"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 xml:space="preserve"> due to their strategic importance.</w:t>
      </w:r>
    </w:p>
    <w:p w14:paraId="16064434" w14:textId="77777777" w:rsidR="003E16AE" w:rsidRPr="004A00DA" w:rsidRDefault="003E16AE"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following paragraphs discuss biofuel, RFNBO and electricity as fuel sources.</w:t>
      </w:r>
    </w:p>
    <w:p w14:paraId="398EE6D8" w14:textId="7B8BD9BB" w:rsidR="00984981" w:rsidRDefault="00984981" w:rsidP="00984981">
      <w:pPr>
        <w:pStyle w:val="Heading3"/>
        <w:tabs>
          <w:tab w:val="left" w:pos="426"/>
          <w:tab w:val="left" w:pos="993"/>
        </w:tabs>
        <w:rPr>
          <w:rFonts w:ascii="Open Sans" w:hAnsi="Open Sans" w:cs="Open Sans"/>
          <w:sz w:val="20"/>
          <w:szCs w:val="20"/>
        </w:rPr>
      </w:pPr>
      <w:bookmarkStart w:id="8" w:name="_Toc34921712"/>
      <w:r w:rsidRPr="00984981">
        <w:rPr>
          <w:rFonts w:ascii="Open Sans" w:hAnsi="Open Sans" w:cs="Open Sans"/>
          <w:sz w:val="20"/>
          <w:szCs w:val="20"/>
        </w:rPr>
        <w:t xml:space="preserve">2.2.1 </w:t>
      </w:r>
      <w:r w:rsidR="003E16AE" w:rsidRPr="00984981">
        <w:rPr>
          <w:rFonts w:ascii="Open Sans" w:hAnsi="Open Sans" w:cs="Open Sans"/>
          <w:sz w:val="20"/>
          <w:szCs w:val="20"/>
        </w:rPr>
        <w:t>Biofuels</w:t>
      </w:r>
      <w:bookmarkEnd w:id="8"/>
    </w:p>
    <w:p w14:paraId="64BDCE9F" w14:textId="6320F357" w:rsidR="00FC41BB" w:rsidRPr="004A00DA" w:rsidRDefault="0060267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current percentage of UK liquid biofuels required in </w:t>
      </w:r>
      <w:r w:rsidR="00780A49" w:rsidRPr="004A00DA">
        <w:rPr>
          <w:rFonts w:ascii="Open Sans" w:eastAsia="Times New Roman" w:hAnsi="Open Sans" w:cs="Open Sans"/>
          <w:sz w:val="20"/>
          <w:szCs w:val="20"/>
          <w:lang w:eastAsia="en-GB"/>
        </w:rPr>
        <w:t xml:space="preserve">road </w:t>
      </w:r>
      <w:r w:rsidRPr="004A00DA">
        <w:rPr>
          <w:rFonts w:ascii="Open Sans" w:eastAsia="Times New Roman" w:hAnsi="Open Sans" w:cs="Open Sans"/>
          <w:sz w:val="20"/>
          <w:szCs w:val="20"/>
          <w:lang w:eastAsia="en-GB"/>
        </w:rPr>
        <w:t xml:space="preserve">transport is around </w:t>
      </w:r>
      <w:r w:rsidR="00047F6B" w:rsidRPr="004A00DA">
        <w:rPr>
          <w:rFonts w:ascii="Open Sans" w:eastAsia="Times New Roman" w:hAnsi="Open Sans" w:cs="Open Sans"/>
          <w:sz w:val="20"/>
          <w:szCs w:val="20"/>
          <w:lang w:eastAsia="en-GB"/>
        </w:rPr>
        <w:t>5</w:t>
      </w:r>
      <w:r w:rsidRPr="004A00DA">
        <w:rPr>
          <w:rFonts w:ascii="Open Sans" w:eastAsia="Times New Roman" w:hAnsi="Open Sans" w:cs="Open Sans"/>
          <w:sz w:val="20"/>
          <w:szCs w:val="20"/>
          <w:lang w:eastAsia="en-GB"/>
        </w:rPr>
        <w:t xml:space="preserve">%, </w:t>
      </w:r>
      <w:r w:rsidR="00047F6B" w:rsidRPr="004A00DA">
        <w:rPr>
          <w:rFonts w:ascii="Open Sans" w:eastAsia="Times New Roman" w:hAnsi="Open Sans" w:cs="Open Sans"/>
          <w:sz w:val="20"/>
          <w:szCs w:val="20"/>
          <w:lang w:eastAsia="en-GB"/>
        </w:rPr>
        <w:t xml:space="preserve">due to </w:t>
      </w:r>
      <w:r w:rsidR="00FC41BB" w:rsidRPr="004A00DA">
        <w:rPr>
          <w:rFonts w:ascii="Open Sans" w:eastAsia="Times New Roman" w:hAnsi="Open Sans" w:cs="Open Sans"/>
          <w:sz w:val="20"/>
          <w:szCs w:val="20"/>
          <w:lang w:eastAsia="en-GB"/>
        </w:rPr>
        <w:t xml:space="preserve">the incentive provided by </w:t>
      </w:r>
      <w:r w:rsidRPr="004A00DA">
        <w:rPr>
          <w:rFonts w:ascii="Open Sans" w:eastAsia="Times New Roman" w:hAnsi="Open Sans" w:cs="Open Sans"/>
          <w:sz w:val="20"/>
          <w:szCs w:val="20"/>
          <w:lang w:eastAsia="en-GB"/>
        </w:rPr>
        <w:t xml:space="preserve">the Renewable Transport Fuels Obligation (RTFO). </w:t>
      </w:r>
      <w:r w:rsidR="00047F6B" w:rsidRPr="004A00DA">
        <w:rPr>
          <w:rFonts w:ascii="Open Sans" w:eastAsia="Times New Roman" w:hAnsi="Open Sans" w:cs="Open Sans"/>
          <w:sz w:val="20"/>
          <w:szCs w:val="20"/>
          <w:lang w:eastAsia="en-GB"/>
        </w:rPr>
        <w:t xml:space="preserve">The target level for </w:t>
      </w:r>
      <w:r w:rsidR="00237707" w:rsidRPr="004A00DA">
        <w:rPr>
          <w:rFonts w:ascii="Open Sans" w:eastAsia="Times New Roman" w:hAnsi="Open Sans" w:cs="Open Sans"/>
          <w:sz w:val="20"/>
          <w:szCs w:val="20"/>
          <w:lang w:eastAsia="en-GB"/>
        </w:rPr>
        <w:t>basic biofuels</w:t>
      </w:r>
      <w:r w:rsidR="00A51F8B" w:rsidRPr="004A00DA">
        <w:rPr>
          <w:rFonts w:ascii="Open Sans" w:eastAsia="Times New Roman" w:hAnsi="Open Sans" w:cs="Open Sans"/>
          <w:sz w:val="20"/>
          <w:szCs w:val="20"/>
          <w:lang w:eastAsia="en-GB"/>
        </w:rPr>
        <w:t xml:space="preserve"> is 9.6% in </w:t>
      </w:r>
      <w:r w:rsidRPr="004A00DA">
        <w:rPr>
          <w:rFonts w:ascii="Open Sans" w:eastAsia="Times New Roman" w:hAnsi="Open Sans" w:cs="Open Sans"/>
          <w:sz w:val="20"/>
          <w:szCs w:val="20"/>
          <w:lang w:eastAsia="en-GB"/>
        </w:rPr>
        <w:t>2020</w:t>
      </w:r>
      <w:r w:rsidR="00A51F8B" w:rsidRPr="004A00DA">
        <w:rPr>
          <w:rFonts w:ascii="Open Sans" w:eastAsia="Times New Roman" w:hAnsi="Open Sans" w:cs="Open Sans"/>
          <w:sz w:val="20"/>
          <w:szCs w:val="20"/>
          <w:lang w:eastAsia="en-GB"/>
        </w:rPr>
        <w:t xml:space="preserve"> and remains at that level until 2032.  </w:t>
      </w:r>
      <w:r w:rsidR="00FC41BB" w:rsidRPr="004A00DA">
        <w:rPr>
          <w:rFonts w:ascii="Open Sans" w:eastAsia="Times New Roman" w:hAnsi="Open Sans" w:cs="Open Sans"/>
          <w:sz w:val="20"/>
          <w:szCs w:val="20"/>
          <w:shd w:val="clear" w:color="auto" w:fill="C4BC96" w:themeFill="background2" w:themeFillShade="BF"/>
          <w:lang w:eastAsia="en-GB"/>
        </w:rPr>
        <w:t>[Describe what development fuels are].</w:t>
      </w:r>
      <w:r w:rsidR="00FC41BB" w:rsidRPr="004A00DA">
        <w:rPr>
          <w:rFonts w:ascii="Open Sans" w:eastAsia="Times New Roman" w:hAnsi="Open Sans" w:cs="Open Sans"/>
          <w:sz w:val="20"/>
          <w:szCs w:val="20"/>
          <w:lang w:eastAsia="en-GB"/>
        </w:rPr>
        <w:t xml:space="preserve">  </w:t>
      </w:r>
      <w:r w:rsidR="00A51F8B" w:rsidRPr="004A00DA">
        <w:rPr>
          <w:rFonts w:ascii="Open Sans" w:eastAsia="Times New Roman" w:hAnsi="Open Sans" w:cs="Open Sans"/>
          <w:sz w:val="20"/>
          <w:szCs w:val="20"/>
          <w:lang w:eastAsia="en-GB"/>
        </w:rPr>
        <w:t xml:space="preserve">The sub target for “development fuels” is </w:t>
      </w:r>
      <w:r w:rsidR="00612E97" w:rsidRPr="004A00DA">
        <w:rPr>
          <w:rFonts w:ascii="Open Sans" w:hAnsi="Open Sans" w:cs="Open Sans"/>
          <w:sz w:val="20"/>
          <w:szCs w:val="20"/>
        </w:rPr>
        <w:t xml:space="preserve">0.15% </w:t>
      </w:r>
      <w:r w:rsidR="00A51F8B" w:rsidRPr="004A00DA">
        <w:rPr>
          <w:rFonts w:ascii="Open Sans" w:eastAsia="Times New Roman" w:hAnsi="Open Sans" w:cs="Open Sans"/>
          <w:sz w:val="20"/>
          <w:szCs w:val="20"/>
          <w:lang w:eastAsia="en-GB"/>
        </w:rPr>
        <w:t xml:space="preserve">in 2020, and grows to reach </w:t>
      </w:r>
      <w:r w:rsidR="00612E97" w:rsidRPr="004A00DA">
        <w:rPr>
          <w:rFonts w:ascii="Open Sans" w:hAnsi="Open Sans" w:cs="Open Sans"/>
          <w:sz w:val="20"/>
          <w:szCs w:val="20"/>
        </w:rPr>
        <w:t xml:space="preserve">2.8% </w:t>
      </w:r>
      <w:r w:rsidR="00A51F8B" w:rsidRPr="004A00DA">
        <w:rPr>
          <w:rFonts w:ascii="Open Sans" w:eastAsia="Times New Roman" w:hAnsi="Open Sans" w:cs="Open Sans"/>
          <w:sz w:val="20"/>
          <w:szCs w:val="20"/>
          <w:lang w:eastAsia="en-GB"/>
        </w:rPr>
        <w:t xml:space="preserve">in 2032.  </w:t>
      </w:r>
    </w:p>
    <w:p w14:paraId="71173EDE" w14:textId="54C13946" w:rsidR="00725415" w:rsidRDefault="00A51F8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In order to maintain the current level of biodiesel consumption the basic RTFO needs to be increased to over 16%.  This takes account of the intro</w:t>
      </w:r>
      <w:r w:rsidR="00612E97" w:rsidRPr="004A00DA">
        <w:rPr>
          <w:rFonts w:ascii="Open Sans" w:eastAsia="Times New Roman" w:hAnsi="Open Sans" w:cs="Open Sans"/>
          <w:sz w:val="20"/>
          <w:szCs w:val="20"/>
          <w:lang w:eastAsia="en-GB"/>
        </w:rPr>
        <w:t>du</w:t>
      </w:r>
      <w:r w:rsidRPr="004A00DA">
        <w:rPr>
          <w:rFonts w:ascii="Open Sans" w:eastAsia="Times New Roman" w:hAnsi="Open Sans" w:cs="Open Sans"/>
          <w:sz w:val="20"/>
          <w:szCs w:val="20"/>
          <w:lang w:eastAsia="en-GB"/>
        </w:rPr>
        <w:t xml:space="preserve">ction of E10 in 2020, the expected growth rate in electrification </w:t>
      </w:r>
      <w:r w:rsidR="00612E97" w:rsidRPr="004A00DA">
        <w:rPr>
          <w:rFonts w:ascii="Open Sans" w:eastAsia="Times New Roman" w:hAnsi="Open Sans" w:cs="Open Sans"/>
          <w:sz w:val="20"/>
          <w:szCs w:val="20"/>
          <w:lang w:eastAsia="en-GB"/>
        </w:rPr>
        <w:t>between</w:t>
      </w:r>
      <w:r w:rsidRPr="004A00DA">
        <w:rPr>
          <w:rFonts w:ascii="Open Sans" w:eastAsia="Times New Roman" w:hAnsi="Open Sans" w:cs="Open Sans"/>
          <w:sz w:val="20"/>
          <w:szCs w:val="20"/>
          <w:lang w:eastAsia="en-GB"/>
        </w:rPr>
        <w:t xml:space="preserve"> now and 2032, coupled with </w:t>
      </w:r>
      <w:r w:rsidR="00612E97" w:rsidRPr="004A00DA">
        <w:rPr>
          <w:rFonts w:ascii="Open Sans" w:eastAsia="Times New Roman" w:hAnsi="Open Sans" w:cs="Open Sans"/>
          <w:sz w:val="20"/>
          <w:szCs w:val="20"/>
          <w:lang w:eastAsia="en-GB"/>
        </w:rPr>
        <w:t>vehicle</w:t>
      </w:r>
      <w:r w:rsidRPr="004A00DA">
        <w:rPr>
          <w:rFonts w:ascii="Open Sans" w:eastAsia="Times New Roman" w:hAnsi="Open Sans" w:cs="Open Sans"/>
          <w:sz w:val="20"/>
          <w:szCs w:val="20"/>
          <w:lang w:eastAsia="en-GB"/>
        </w:rPr>
        <w:t xml:space="preserve"> efficiency </w:t>
      </w:r>
      <w:r w:rsidR="00612E97" w:rsidRPr="004A00DA">
        <w:rPr>
          <w:rFonts w:ascii="Open Sans" w:eastAsia="Times New Roman" w:hAnsi="Open Sans" w:cs="Open Sans"/>
          <w:sz w:val="20"/>
          <w:szCs w:val="20"/>
          <w:lang w:eastAsia="en-GB"/>
        </w:rPr>
        <w:t>improvements</w:t>
      </w:r>
      <w:r w:rsidRPr="004A00DA">
        <w:rPr>
          <w:rFonts w:ascii="Open Sans" w:eastAsia="Times New Roman" w:hAnsi="Open Sans" w:cs="Open Sans"/>
          <w:sz w:val="20"/>
          <w:szCs w:val="20"/>
          <w:lang w:eastAsia="en-GB"/>
        </w:rPr>
        <w:t xml:space="preserve">, the </w:t>
      </w:r>
      <w:r w:rsidR="00612E97" w:rsidRPr="004A00DA">
        <w:rPr>
          <w:rFonts w:ascii="Open Sans" w:eastAsia="Times New Roman" w:hAnsi="Open Sans" w:cs="Open Sans"/>
          <w:sz w:val="20"/>
          <w:szCs w:val="20"/>
          <w:lang w:eastAsia="en-GB"/>
        </w:rPr>
        <w:t>anticipated</w:t>
      </w:r>
      <w:r w:rsidRPr="004A00DA">
        <w:rPr>
          <w:rFonts w:ascii="Open Sans" w:eastAsia="Times New Roman" w:hAnsi="Open Sans" w:cs="Open Sans"/>
          <w:sz w:val="20"/>
          <w:szCs w:val="20"/>
          <w:lang w:eastAsia="en-GB"/>
        </w:rPr>
        <w:t xml:space="preserve"> growth in biomethane for HGVs.</w:t>
      </w:r>
      <w:r w:rsidR="00780A49" w:rsidRPr="004A00DA">
        <w:rPr>
          <w:rStyle w:val="FootnoteReference"/>
          <w:rFonts w:ascii="Open Sans" w:eastAsia="Times New Roman" w:hAnsi="Open Sans" w:cs="Open Sans"/>
          <w:sz w:val="20"/>
          <w:szCs w:val="20"/>
          <w:lang w:eastAsia="en-GB"/>
        </w:rPr>
        <w:footnoteReference w:id="13"/>
      </w:r>
      <w:bookmarkStart w:id="9" w:name="_Toc34921713"/>
    </w:p>
    <w:p w14:paraId="5659C00B" w14:textId="64ED1239" w:rsidR="005D7EAF" w:rsidRPr="004A00DA" w:rsidRDefault="00A73D3F" w:rsidP="004A00DA">
      <w:pPr>
        <w:pStyle w:val="Heading3"/>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Summary table</w:t>
      </w:r>
      <w:bookmarkEnd w:id="9"/>
      <w:r w:rsidR="00984981">
        <w:rPr>
          <w:rFonts w:ascii="Open Sans" w:hAnsi="Open Sans" w:cs="Open Sans"/>
          <w:sz w:val="20"/>
          <w:szCs w:val="20"/>
          <w:lang w:eastAsia="en-GB"/>
        </w:rPr>
        <w:t xml:space="preserve"> – low carbon fuel types</w:t>
      </w:r>
    </w:p>
    <w:tbl>
      <w:tblPr>
        <w:tblStyle w:val="TableGrid"/>
        <w:tblW w:w="0" w:type="auto"/>
        <w:tblLook w:val="04A0" w:firstRow="1" w:lastRow="0" w:firstColumn="1" w:lastColumn="0" w:noHBand="0" w:noVBand="1"/>
      </w:tblPr>
      <w:tblGrid>
        <w:gridCol w:w="1275"/>
        <w:gridCol w:w="2142"/>
        <w:gridCol w:w="933"/>
        <w:gridCol w:w="1756"/>
        <w:gridCol w:w="1449"/>
        <w:gridCol w:w="1461"/>
      </w:tblGrid>
      <w:tr w:rsidR="000A0DF3" w:rsidRPr="004A00DA" w14:paraId="70997A87" w14:textId="77777777" w:rsidTr="00E130C3">
        <w:tc>
          <w:tcPr>
            <w:tcW w:w="0" w:type="auto"/>
          </w:tcPr>
          <w:p w14:paraId="68FDDE52" w14:textId="77777777" w:rsidR="000A0DF3" w:rsidRPr="004A00DA" w:rsidRDefault="000A0DF3" w:rsidP="004A00DA">
            <w:pPr>
              <w:tabs>
                <w:tab w:val="left" w:pos="426"/>
                <w:tab w:val="left" w:pos="993"/>
              </w:tabs>
              <w:rPr>
                <w:rFonts w:ascii="Open Sans" w:eastAsia="Times New Roman" w:hAnsi="Open Sans" w:cs="Open Sans"/>
                <w:b/>
                <w:sz w:val="20"/>
                <w:szCs w:val="20"/>
                <w:lang w:eastAsia="en-GB"/>
              </w:rPr>
            </w:pPr>
            <w:r w:rsidRPr="004A00DA">
              <w:rPr>
                <w:rFonts w:ascii="Open Sans" w:eastAsia="Times New Roman" w:hAnsi="Open Sans" w:cs="Open Sans"/>
                <w:b/>
                <w:sz w:val="20"/>
                <w:szCs w:val="20"/>
                <w:lang w:eastAsia="en-GB"/>
              </w:rPr>
              <w:t>Fuel</w:t>
            </w:r>
          </w:p>
        </w:tc>
        <w:tc>
          <w:tcPr>
            <w:tcW w:w="0" w:type="auto"/>
          </w:tcPr>
          <w:p w14:paraId="6E46E400" w14:textId="77777777" w:rsidR="000A0DF3" w:rsidRPr="004A00DA" w:rsidRDefault="000A0DF3" w:rsidP="004A00DA">
            <w:pPr>
              <w:tabs>
                <w:tab w:val="left" w:pos="426"/>
                <w:tab w:val="left" w:pos="993"/>
              </w:tabs>
              <w:rPr>
                <w:rFonts w:ascii="Open Sans" w:eastAsia="Times New Roman" w:hAnsi="Open Sans" w:cs="Open Sans"/>
                <w:b/>
                <w:sz w:val="20"/>
                <w:szCs w:val="20"/>
                <w:lang w:eastAsia="en-GB"/>
              </w:rPr>
            </w:pPr>
            <w:r w:rsidRPr="004A00DA">
              <w:rPr>
                <w:rFonts w:ascii="Open Sans" w:eastAsia="Times New Roman" w:hAnsi="Open Sans" w:cs="Open Sans"/>
                <w:b/>
                <w:sz w:val="20"/>
                <w:szCs w:val="20"/>
                <w:lang w:eastAsia="en-GB"/>
              </w:rPr>
              <w:t>Feedstocks</w:t>
            </w:r>
          </w:p>
        </w:tc>
        <w:tc>
          <w:tcPr>
            <w:tcW w:w="0" w:type="auto"/>
          </w:tcPr>
          <w:p w14:paraId="30A5C9A4" w14:textId="34187B80" w:rsidR="000A0DF3" w:rsidRPr="004A00DA" w:rsidRDefault="00367B2D" w:rsidP="004A00DA">
            <w:pPr>
              <w:tabs>
                <w:tab w:val="left" w:pos="426"/>
                <w:tab w:val="left" w:pos="993"/>
              </w:tabs>
              <w:rPr>
                <w:rFonts w:ascii="Open Sans" w:eastAsia="Times New Roman" w:hAnsi="Open Sans" w:cs="Open Sans"/>
                <w:b/>
                <w:sz w:val="20"/>
                <w:szCs w:val="20"/>
                <w:lang w:eastAsia="en-GB"/>
              </w:rPr>
            </w:pPr>
            <w:r>
              <w:rPr>
                <w:rFonts w:ascii="Open Sans" w:eastAsia="Times New Roman" w:hAnsi="Open Sans" w:cs="Open Sans"/>
                <w:b/>
                <w:sz w:val="20"/>
                <w:szCs w:val="20"/>
                <w:lang w:eastAsia="en-GB"/>
              </w:rPr>
              <w:t>GHG savings</w:t>
            </w:r>
          </w:p>
        </w:tc>
        <w:tc>
          <w:tcPr>
            <w:tcW w:w="0" w:type="auto"/>
          </w:tcPr>
          <w:p w14:paraId="633552F2" w14:textId="77777777" w:rsidR="000A0DF3" w:rsidRPr="004A00DA" w:rsidRDefault="000A0DF3" w:rsidP="004A00DA">
            <w:pPr>
              <w:tabs>
                <w:tab w:val="left" w:pos="426"/>
                <w:tab w:val="left" w:pos="993"/>
              </w:tabs>
              <w:rPr>
                <w:rFonts w:ascii="Open Sans" w:eastAsia="Times New Roman" w:hAnsi="Open Sans" w:cs="Open Sans"/>
                <w:b/>
                <w:sz w:val="20"/>
                <w:szCs w:val="20"/>
                <w:lang w:eastAsia="en-GB"/>
              </w:rPr>
            </w:pPr>
            <w:r w:rsidRPr="004A00DA">
              <w:rPr>
                <w:rFonts w:ascii="Open Sans" w:eastAsia="Times New Roman" w:hAnsi="Open Sans" w:cs="Open Sans"/>
                <w:b/>
                <w:sz w:val="20"/>
                <w:szCs w:val="20"/>
                <w:lang w:eastAsia="en-GB"/>
              </w:rPr>
              <w:t>Comments on blend levels</w:t>
            </w:r>
          </w:p>
        </w:tc>
        <w:tc>
          <w:tcPr>
            <w:tcW w:w="0" w:type="auto"/>
          </w:tcPr>
          <w:p w14:paraId="0FBBFADD" w14:textId="77777777" w:rsidR="000A0DF3" w:rsidRPr="004A00DA" w:rsidRDefault="000A0DF3" w:rsidP="004A00DA">
            <w:pPr>
              <w:tabs>
                <w:tab w:val="left" w:pos="426"/>
                <w:tab w:val="left" w:pos="993"/>
              </w:tabs>
              <w:rPr>
                <w:rFonts w:ascii="Open Sans" w:eastAsia="Times New Roman" w:hAnsi="Open Sans" w:cs="Open Sans"/>
                <w:b/>
                <w:sz w:val="20"/>
                <w:szCs w:val="20"/>
                <w:lang w:eastAsia="en-GB"/>
              </w:rPr>
            </w:pPr>
            <w:r w:rsidRPr="004A00DA">
              <w:rPr>
                <w:rFonts w:ascii="Open Sans" w:eastAsia="Times New Roman" w:hAnsi="Open Sans" w:cs="Open Sans"/>
                <w:b/>
                <w:sz w:val="20"/>
                <w:szCs w:val="20"/>
                <w:lang w:eastAsia="en-GB"/>
              </w:rPr>
              <w:t>Fuel duty and VAT rate</w:t>
            </w:r>
          </w:p>
        </w:tc>
        <w:tc>
          <w:tcPr>
            <w:tcW w:w="0" w:type="auto"/>
          </w:tcPr>
          <w:p w14:paraId="3993A7CF" w14:textId="77777777" w:rsidR="000A0DF3" w:rsidRPr="004A00DA" w:rsidRDefault="000A0DF3" w:rsidP="004A00DA">
            <w:pPr>
              <w:tabs>
                <w:tab w:val="left" w:pos="426"/>
                <w:tab w:val="left" w:pos="993"/>
              </w:tabs>
              <w:rPr>
                <w:rFonts w:ascii="Open Sans" w:eastAsia="Times New Roman" w:hAnsi="Open Sans" w:cs="Open Sans"/>
                <w:b/>
                <w:sz w:val="20"/>
                <w:szCs w:val="20"/>
                <w:lang w:eastAsia="en-GB"/>
              </w:rPr>
            </w:pPr>
            <w:r w:rsidRPr="004A00DA">
              <w:rPr>
                <w:rFonts w:ascii="Open Sans" w:eastAsia="Times New Roman" w:hAnsi="Open Sans" w:cs="Open Sans"/>
                <w:b/>
                <w:sz w:val="20"/>
                <w:szCs w:val="20"/>
                <w:lang w:eastAsia="en-GB"/>
              </w:rPr>
              <w:t>Equivalent in terms of £ per tonne of CO</w:t>
            </w:r>
            <w:r w:rsidRPr="004A00DA">
              <w:rPr>
                <w:rFonts w:ascii="Open Sans" w:eastAsia="Times New Roman" w:hAnsi="Open Sans" w:cs="Open Sans"/>
                <w:b/>
                <w:sz w:val="20"/>
                <w:szCs w:val="20"/>
                <w:vertAlign w:val="subscript"/>
                <w:lang w:eastAsia="en-GB"/>
              </w:rPr>
              <w:t>2</w:t>
            </w:r>
            <w:r w:rsidRPr="004A00DA">
              <w:rPr>
                <w:rFonts w:ascii="Open Sans" w:eastAsia="Times New Roman" w:hAnsi="Open Sans" w:cs="Open Sans"/>
                <w:b/>
                <w:sz w:val="20"/>
                <w:szCs w:val="20"/>
                <w:lang w:eastAsia="en-GB"/>
              </w:rPr>
              <w:t xml:space="preserve"> saved</w:t>
            </w:r>
          </w:p>
        </w:tc>
      </w:tr>
      <w:tr w:rsidR="000A0DF3" w:rsidRPr="004A00DA" w14:paraId="2DDB060D" w14:textId="77777777" w:rsidTr="00E130C3">
        <w:tc>
          <w:tcPr>
            <w:tcW w:w="0" w:type="auto"/>
          </w:tcPr>
          <w:p w14:paraId="4AFE6E13"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Biodiesel</w:t>
            </w:r>
          </w:p>
        </w:tc>
        <w:tc>
          <w:tcPr>
            <w:tcW w:w="0" w:type="auto"/>
          </w:tcPr>
          <w:p w14:paraId="1DD1B16F" w14:textId="43DE6229"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Used cooking oil, waste fats and greases(</w:t>
            </w:r>
            <w:r w:rsidR="00780A49" w:rsidRPr="004A00DA">
              <w:rPr>
                <w:rFonts w:ascii="Open Sans" w:hAnsi="Open Sans" w:cs="Open Sans"/>
                <w:sz w:val="20"/>
                <w:szCs w:val="20"/>
                <w:lang w:eastAsia="en-GB"/>
              </w:rPr>
              <w:t>c</w:t>
            </w:r>
            <w:r w:rsidRPr="004A00DA">
              <w:rPr>
                <w:rFonts w:ascii="Open Sans" w:hAnsi="Open Sans" w:cs="Open Sans"/>
                <w:sz w:val="20"/>
                <w:szCs w:val="20"/>
                <w:lang w:eastAsia="en-GB"/>
              </w:rPr>
              <w:t>an be made from crop feedstocks, but the GHG savings are poor</w:t>
            </w:r>
            <w:r w:rsidR="00780A49" w:rsidRPr="004A00DA">
              <w:rPr>
                <w:rFonts w:ascii="Open Sans" w:hAnsi="Open Sans" w:cs="Open Sans"/>
                <w:sz w:val="20"/>
                <w:szCs w:val="20"/>
                <w:lang w:eastAsia="en-GB"/>
              </w:rPr>
              <w:t>)</w:t>
            </w:r>
            <w:r w:rsidRPr="004A00DA">
              <w:rPr>
                <w:rFonts w:ascii="Open Sans" w:hAnsi="Open Sans" w:cs="Open Sans"/>
                <w:sz w:val="20"/>
                <w:szCs w:val="20"/>
                <w:lang w:eastAsia="en-GB"/>
              </w:rPr>
              <w:t>.</w:t>
            </w:r>
          </w:p>
        </w:tc>
        <w:tc>
          <w:tcPr>
            <w:tcW w:w="0" w:type="auto"/>
          </w:tcPr>
          <w:p w14:paraId="1090C3B2"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85%</w:t>
            </w:r>
          </w:p>
        </w:tc>
        <w:tc>
          <w:tcPr>
            <w:tcW w:w="0" w:type="auto"/>
          </w:tcPr>
          <w:p w14:paraId="1CB04B5F"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Regularly blended at 7%.  Higher blend use possible with vehicle modifications.</w:t>
            </w:r>
          </w:p>
        </w:tc>
        <w:tc>
          <w:tcPr>
            <w:tcW w:w="0" w:type="auto"/>
          </w:tcPr>
          <w:p w14:paraId="32484ED5" w14:textId="77777777"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57.95p/litre, VAT @ 20%</w:t>
            </w:r>
          </w:p>
        </w:tc>
        <w:tc>
          <w:tcPr>
            <w:tcW w:w="0" w:type="auto"/>
          </w:tcPr>
          <w:p w14:paraId="1B051A9F" w14:textId="45688B79"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To be </w:t>
            </w:r>
            <w:r w:rsidR="002A035C" w:rsidRPr="004A00DA">
              <w:rPr>
                <w:rFonts w:ascii="Open Sans" w:hAnsi="Open Sans" w:cs="Open Sans"/>
                <w:sz w:val="20"/>
                <w:szCs w:val="20"/>
                <w:lang w:eastAsia="en-GB"/>
              </w:rPr>
              <w:t>added</w:t>
            </w:r>
            <w:r w:rsidR="002508AA" w:rsidRPr="004A00DA">
              <w:rPr>
                <w:rFonts w:ascii="Open Sans" w:hAnsi="Open Sans" w:cs="Open Sans"/>
                <w:sz w:val="20"/>
                <w:szCs w:val="20"/>
                <w:lang w:eastAsia="en-GB"/>
              </w:rPr>
              <w:t xml:space="preserve">.  Member suggestions </w:t>
            </w:r>
            <w:r w:rsidR="002A035C" w:rsidRPr="004A00DA">
              <w:rPr>
                <w:rFonts w:ascii="Open Sans" w:hAnsi="Open Sans" w:cs="Open Sans"/>
                <w:sz w:val="20"/>
                <w:szCs w:val="20"/>
                <w:lang w:eastAsia="en-GB"/>
              </w:rPr>
              <w:t>on sources, welcome.</w:t>
            </w:r>
          </w:p>
        </w:tc>
      </w:tr>
      <w:tr w:rsidR="000A0DF3" w:rsidRPr="004A00DA" w14:paraId="36C8F443" w14:textId="77777777" w:rsidTr="00E130C3">
        <w:tc>
          <w:tcPr>
            <w:tcW w:w="0" w:type="auto"/>
          </w:tcPr>
          <w:p w14:paraId="4683F4B8"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Bioethanol</w:t>
            </w:r>
          </w:p>
        </w:tc>
        <w:tc>
          <w:tcPr>
            <w:tcW w:w="0" w:type="auto"/>
          </w:tcPr>
          <w:p w14:paraId="4F500212"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Feed wheat, corn, starch waste and other cellulosic wastes</w:t>
            </w:r>
          </w:p>
        </w:tc>
        <w:tc>
          <w:tcPr>
            <w:tcW w:w="0" w:type="auto"/>
          </w:tcPr>
          <w:p w14:paraId="4B6C5477"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55% - 65%</w:t>
            </w:r>
          </w:p>
        </w:tc>
        <w:tc>
          <w:tcPr>
            <w:tcW w:w="0" w:type="auto"/>
          </w:tcPr>
          <w:p w14:paraId="15F1309A"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Petrol specification allows for blends of up to 10%</w:t>
            </w:r>
          </w:p>
        </w:tc>
        <w:tc>
          <w:tcPr>
            <w:tcW w:w="0" w:type="auto"/>
          </w:tcPr>
          <w:p w14:paraId="60E22F7A" w14:textId="77777777"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57.95p/litre, VAT @ 20%</w:t>
            </w:r>
          </w:p>
        </w:tc>
        <w:tc>
          <w:tcPr>
            <w:tcW w:w="0" w:type="auto"/>
          </w:tcPr>
          <w:p w14:paraId="6044499D" w14:textId="77777777" w:rsidR="000A0DF3" w:rsidRPr="004A00DA" w:rsidRDefault="000A0DF3" w:rsidP="004A00DA">
            <w:pPr>
              <w:tabs>
                <w:tab w:val="left" w:pos="426"/>
                <w:tab w:val="left" w:pos="993"/>
              </w:tabs>
              <w:rPr>
                <w:rFonts w:ascii="Open Sans" w:hAnsi="Open Sans" w:cs="Open Sans"/>
                <w:sz w:val="20"/>
                <w:szCs w:val="20"/>
                <w:lang w:eastAsia="en-GB"/>
              </w:rPr>
            </w:pPr>
          </w:p>
        </w:tc>
      </w:tr>
      <w:tr w:rsidR="000A0DF3" w:rsidRPr="004A00DA" w14:paraId="731CDA04" w14:textId="77777777" w:rsidTr="00E130C3">
        <w:tc>
          <w:tcPr>
            <w:tcW w:w="0" w:type="auto"/>
          </w:tcPr>
          <w:p w14:paraId="564F7B37"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Biomethane</w:t>
            </w:r>
          </w:p>
        </w:tc>
        <w:tc>
          <w:tcPr>
            <w:tcW w:w="0" w:type="auto"/>
          </w:tcPr>
          <w:p w14:paraId="4236D4C2"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Putrescible biomass wastes and energy crops</w:t>
            </w:r>
          </w:p>
        </w:tc>
        <w:tc>
          <w:tcPr>
            <w:tcW w:w="0" w:type="auto"/>
          </w:tcPr>
          <w:p w14:paraId="4C8CDFE8" w14:textId="77777777" w:rsidR="000A0DF3" w:rsidRPr="004A00DA" w:rsidRDefault="000A0DF3" w:rsidP="004A00DA">
            <w:pPr>
              <w:tabs>
                <w:tab w:val="left" w:pos="426"/>
                <w:tab w:val="left" w:pos="993"/>
              </w:tabs>
              <w:rPr>
                <w:rFonts w:ascii="Open Sans" w:hAnsi="Open Sans" w:cs="Open Sans"/>
                <w:sz w:val="20"/>
                <w:szCs w:val="20"/>
                <w:lang w:eastAsia="en-GB"/>
              </w:rPr>
            </w:pPr>
          </w:p>
        </w:tc>
        <w:tc>
          <w:tcPr>
            <w:tcW w:w="0" w:type="auto"/>
          </w:tcPr>
          <w:p w14:paraId="5376A16B"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A drop in fuel, which can be used in any gas vehicle designed to run on methane.</w:t>
            </w:r>
          </w:p>
        </w:tc>
        <w:tc>
          <w:tcPr>
            <w:tcW w:w="0" w:type="auto"/>
          </w:tcPr>
          <w:p w14:paraId="091B736C" w14:textId="77777777"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24.7p/kg VAT @ 20%</w:t>
            </w:r>
          </w:p>
        </w:tc>
        <w:tc>
          <w:tcPr>
            <w:tcW w:w="0" w:type="auto"/>
          </w:tcPr>
          <w:p w14:paraId="7D2798C6" w14:textId="77777777" w:rsidR="000A0DF3" w:rsidRPr="004A00DA" w:rsidRDefault="000A0DF3" w:rsidP="004A00DA">
            <w:pPr>
              <w:tabs>
                <w:tab w:val="left" w:pos="426"/>
                <w:tab w:val="left" w:pos="993"/>
              </w:tabs>
              <w:rPr>
                <w:rFonts w:ascii="Open Sans" w:hAnsi="Open Sans" w:cs="Open Sans"/>
                <w:sz w:val="20"/>
                <w:szCs w:val="20"/>
                <w:lang w:eastAsia="en-GB"/>
              </w:rPr>
            </w:pPr>
          </w:p>
        </w:tc>
      </w:tr>
      <w:tr w:rsidR="000A0DF3" w:rsidRPr="004A00DA" w14:paraId="6BD7747B" w14:textId="77777777" w:rsidTr="00E130C3">
        <w:tc>
          <w:tcPr>
            <w:tcW w:w="0" w:type="auto"/>
          </w:tcPr>
          <w:p w14:paraId="34E4AF7C"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Biopropane</w:t>
            </w:r>
          </w:p>
        </w:tc>
        <w:tc>
          <w:tcPr>
            <w:tcW w:w="0" w:type="auto"/>
          </w:tcPr>
          <w:p w14:paraId="442CEE68"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Produced as a by-product from HVO manufacture</w:t>
            </w:r>
          </w:p>
        </w:tc>
        <w:tc>
          <w:tcPr>
            <w:tcW w:w="0" w:type="auto"/>
          </w:tcPr>
          <w:p w14:paraId="0AC2D4C4" w14:textId="77777777" w:rsidR="000A0DF3" w:rsidRPr="004A00DA" w:rsidRDefault="000A0DF3" w:rsidP="004A00DA">
            <w:pPr>
              <w:tabs>
                <w:tab w:val="left" w:pos="426"/>
                <w:tab w:val="left" w:pos="993"/>
              </w:tabs>
              <w:rPr>
                <w:rFonts w:ascii="Open Sans" w:hAnsi="Open Sans" w:cs="Open Sans"/>
                <w:sz w:val="20"/>
                <w:szCs w:val="20"/>
                <w:lang w:eastAsia="en-GB"/>
              </w:rPr>
            </w:pPr>
          </w:p>
        </w:tc>
        <w:tc>
          <w:tcPr>
            <w:tcW w:w="0" w:type="auto"/>
          </w:tcPr>
          <w:p w14:paraId="6F691388"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A drop in fuel, which can be used in any gas vehicle designed to run on LPG (propane).</w:t>
            </w:r>
          </w:p>
        </w:tc>
        <w:tc>
          <w:tcPr>
            <w:tcW w:w="0" w:type="auto"/>
          </w:tcPr>
          <w:p w14:paraId="2D1F2851" w14:textId="77777777"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31.6p/kg VAT @ 20%</w:t>
            </w:r>
          </w:p>
        </w:tc>
        <w:tc>
          <w:tcPr>
            <w:tcW w:w="0" w:type="auto"/>
          </w:tcPr>
          <w:p w14:paraId="1F5A7216" w14:textId="77777777" w:rsidR="000A0DF3" w:rsidRPr="004A00DA" w:rsidRDefault="000A0DF3" w:rsidP="004A00DA">
            <w:pPr>
              <w:tabs>
                <w:tab w:val="left" w:pos="426"/>
                <w:tab w:val="left" w:pos="993"/>
              </w:tabs>
              <w:rPr>
                <w:rFonts w:ascii="Open Sans" w:hAnsi="Open Sans" w:cs="Open Sans"/>
                <w:sz w:val="20"/>
                <w:szCs w:val="20"/>
                <w:lang w:eastAsia="en-GB"/>
              </w:rPr>
            </w:pPr>
          </w:p>
        </w:tc>
      </w:tr>
      <w:tr w:rsidR="000A0DF3" w:rsidRPr="004A00DA" w14:paraId="028E6ADB" w14:textId="77777777" w:rsidTr="00E130C3">
        <w:tc>
          <w:tcPr>
            <w:tcW w:w="0" w:type="auto"/>
          </w:tcPr>
          <w:p w14:paraId="439C7F41" w14:textId="77777777" w:rsidR="000A0DF3" w:rsidRPr="004A00DA" w:rsidRDefault="000A0D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HVO</w:t>
            </w:r>
          </w:p>
        </w:tc>
        <w:tc>
          <w:tcPr>
            <w:tcW w:w="0" w:type="auto"/>
          </w:tcPr>
          <w:p w14:paraId="65CAC218" w14:textId="45F4C426" w:rsidR="000A0DF3" w:rsidRPr="004A00DA" w:rsidRDefault="00CA2048"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UCO, vegetable oils, wastes</w:t>
            </w:r>
          </w:p>
        </w:tc>
        <w:tc>
          <w:tcPr>
            <w:tcW w:w="0" w:type="auto"/>
          </w:tcPr>
          <w:p w14:paraId="2E84F89F" w14:textId="77777777" w:rsidR="000A0DF3" w:rsidRPr="004A00DA" w:rsidRDefault="000A0DF3" w:rsidP="004A00DA">
            <w:pPr>
              <w:tabs>
                <w:tab w:val="left" w:pos="426"/>
                <w:tab w:val="left" w:pos="993"/>
              </w:tabs>
              <w:rPr>
                <w:rFonts w:ascii="Open Sans" w:hAnsi="Open Sans" w:cs="Open Sans"/>
                <w:sz w:val="20"/>
                <w:szCs w:val="20"/>
                <w:lang w:eastAsia="en-GB"/>
              </w:rPr>
            </w:pPr>
          </w:p>
        </w:tc>
        <w:tc>
          <w:tcPr>
            <w:tcW w:w="0" w:type="auto"/>
          </w:tcPr>
          <w:p w14:paraId="3E42C6CD" w14:textId="77777777" w:rsidR="000A0DF3" w:rsidRPr="004A00DA" w:rsidRDefault="000A0DF3" w:rsidP="004A00DA">
            <w:pPr>
              <w:tabs>
                <w:tab w:val="left" w:pos="426"/>
                <w:tab w:val="left" w:pos="993"/>
              </w:tabs>
              <w:rPr>
                <w:rFonts w:ascii="Open Sans" w:hAnsi="Open Sans" w:cs="Open Sans"/>
                <w:sz w:val="20"/>
                <w:szCs w:val="20"/>
                <w:lang w:eastAsia="en-GB"/>
              </w:rPr>
            </w:pPr>
          </w:p>
        </w:tc>
        <w:tc>
          <w:tcPr>
            <w:tcW w:w="0" w:type="auto"/>
          </w:tcPr>
          <w:p w14:paraId="22D1748D" w14:textId="77777777" w:rsidR="000A0DF3"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57.95p/litre, VAT @ 20%</w:t>
            </w:r>
          </w:p>
        </w:tc>
        <w:tc>
          <w:tcPr>
            <w:tcW w:w="0" w:type="auto"/>
          </w:tcPr>
          <w:p w14:paraId="5871030A" w14:textId="77777777" w:rsidR="000A0DF3" w:rsidRPr="004A00DA" w:rsidRDefault="000A0DF3" w:rsidP="004A00DA">
            <w:pPr>
              <w:tabs>
                <w:tab w:val="left" w:pos="426"/>
                <w:tab w:val="left" w:pos="993"/>
              </w:tabs>
              <w:rPr>
                <w:rFonts w:ascii="Open Sans" w:hAnsi="Open Sans" w:cs="Open Sans"/>
                <w:sz w:val="20"/>
                <w:szCs w:val="20"/>
                <w:lang w:eastAsia="en-GB"/>
              </w:rPr>
            </w:pPr>
          </w:p>
        </w:tc>
      </w:tr>
      <w:tr w:rsidR="00FC41BB" w:rsidRPr="004A00DA" w14:paraId="171F5B62" w14:textId="77777777" w:rsidTr="00E130C3">
        <w:tc>
          <w:tcPr>
            <w:tcW w:w="0" w:type="auto"/>
          </w:tcPr>
          <w:p w14:paraId="2CA60D54" w14:textId="77777777" w:rsidR="00FC41BB"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Hydrogen</w:t>
            </w:r>
          </w:p>
        </w:tc>
        <w:tc>
          <w:tcPr>
            <w:tcW w:w="0" w:type="auto"/>
          </w:tcPr>
          <w:p w14:paraId="795A2B14" w14:textId="7F61CC73" w:rsidR="00FC41BB" w:rsidRPr="004A00DA" w:rsidRDefault="00CA2048"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Electricity, methane reforming, biosyngas/biogas reforming</w:t>
            </w:r>
          </w:p>
        </w:tc>
        <w:tc>
          <w:tcPr>
            <w:tcW w:w="0" w:type="auto"/>
          </w:tcPr>
          <w:p w14:paraId="13338DC3" w14:textId="77777777" w:rsidR="00FC41BB" w:rsidRPr="004A00DA" w:rsidRDefault="00FC41BB" w:rsidP="004A00DA">
            <w:pPr>
              <w:tabs>
                <w:tab w:val="left" w:pos="426"/>
                <w:tab w:val="left" w:pos="993"/>
              </w:tabs>
              <w:rPr>
                <w:rFonts w:ascii="Open Sans" w:hAnsi="Open Sans" w:cs="Open Sans"/>
                <w:sz w:val="20"/>
                <w:szCs w:val="20"/>
                <w:lang w:eastAsia="en-GB"/>
              </w:rPr>
            </w:pPr>
          </w:p>
        </w:tc>
        <w:tc>
          <w:tcPr>
            <w:tcW w:w="0" w:type="auto"/>
          </w:tcPr>
          <w:p w14:paraId="3BD2301B" w14:textId="77777777" w:rsidR="00FC41BB" w:rsidRPr="004A00DA" w:rsidRDefault="00FC41BB" w:rsidP="004A00DA">
            <w:pPr>
              <w:tabs>
                <w:tab w:val="left" w:pos="426"/>
                <w:tab w:val="left" w:pos="993"/>
              </w:tabs>
              <w:rPr>
                <w:rFonts w:ascii="Open Sans" w:hAnsi="Open Sans" w:cs="Open Sans"/>
                <w:sz w:val="20"/>
                <w:szCs w:val="20"/>
                <w:lang w:eastAsia="en-GB"/>
              </w:rPr>
            </w:pPr>
          </w:p>
        </w:tc>
        <w:tc>
          <w:tcPr>
            <w:tcW w:w="0" w:type="auto"/>
          </w:tcPr>
          <w:p w14:paraId="098C537A" w14:textId="77777777" w:rsidR="00FC41BB"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0 fuel duty, VAT @ 20%</w:t>
            </w:r>
          </w:p>
        </w:tc>
        <w:tc>
          <w:tcPr>
            <w:tcW w:w="0" w:type="auto"/>
          </w:tcPr>
          <w:p w14:paraId="676B36BA" w14:textId="77777777" w:rsidR="00FC41BB" w:rsidRPr="004A00DA" w:rsidRDefault="00FC41BB" w:rsidP="004A00DA">
            <w:pPr>
              <w:tabs>
                <w:tab w:val="left" w:pos="426"/>
                <w:tab w:val="left" w:pos="993"/>
              </w:tabs>
              <w:rPr>
                <w:rFonts w:ascii="Open Sans" w:hAnsi="Open Sans" w:cs="Open Sans"/>
                <w:sz w:val="20"/>
                <w:szCs w:val="20"/>
                <w:lang w:eastAsia="en-GB"/>
              </w:rPr>
            </w:pPr>
          </w:p>
        </w:tc>
      </w:tr>
      <w:tr w:rsidR="00FC41BB" w:rsidRPr="004A00DA" w14:paraId="7B3D6CD0" w14:textId="77777777" w:rsidTr="00E130C3">
        <w:tc>
          <w:tcPr>
            <w:tcW w:w="0" w:type="auto"/>
          </w:tcPr>
          <w:p w14:paraId="290181F7" w14:textId="77777777" w:rsidR="00FC41BB"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Electricity</w:t>
            </w:r>
          </w:p>
        </w:tc>
        <w:tc>
          <w:tcPr>
            <w:tcW w:w="0" w:type="auto"/>
          </w:tcPr>
          <w:p w14:paraId="39E39F85" w14:textId="56BB83DC" w:rsidR="00FC41BB" w:rsidRPr="004A00DA" w:rsidRDefault="00CA2048"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Grid electricity / renewable </w:t>
            </w:r>
            <w:r w:rsidR="002A035C" w:rsidRPr="004A00DA">
              <w:rPr>
                <w:rFonts w:ascii="Open Sans" w:hAnsi="Open Sans" w:cs="Open Sans"/>
                <w:sz w:val="20"/>
                <w:szCs w:val="20"/>
                <w:lang w:eastAsia="en-GB"/>
              </w:rPr>
              <w:t>electricity</w:t>
            </w:r>
          </w:p>
        </w:tc>
        <w:tc>
          <w:tcPr>
            <w:tcW w:w="0" w:type="auto"/>
          </w:tcPr>
          <w:p w14:paraId="6C6B9365" w14:textId="77777777" w:rsidR="00FC41BB" w:rsidRPr="004A00DA" w:rsidRDefault="00FC41BB" w:rsidP="004A00DA">
            <w:pPr>
              <w:tabs>
                <w:tab w:val="left" w:pos="426"/>
                <w:tab w:val="left" w:pos="993"/>
              </w:tabs>
              <w:rPr>
                <w:rFonts w:ascii="Open Sans" w:hAnsi="Open Sans" w:cs="Open Sans"/>
                <w:sz w:val="20"/>
                <w:szCs w:val="20"/>
                <w:lang w:eastAsia="en-GB"/>
              </w:rPr>
            </w:pPr>
          </w:p>
        </w:tc>
        <w:tc>
          <w:tcPr>
            <w:tcW w:w="0" w:type="auto"/>
          </w:tcPr>
          <w:p w14:paraId="760280F9" w14:textId="77777777" w:rsidR="00FC41BB" w:rsidRPr="004A00DA" w:rsidRDefault="00FC41BB" w:rsidP="004A00DA">
            <w:pPr>
              <w:tabs>
                <w:tab w:val="left" w:pos="426"/>
                <w:tab w:val="left" w:pos="993"/>
              </w:tabs>
              <w:rPr>
                <w:rFonts w:ascii="Open Sans" w:hAnsi="Open Sans" w:cs="Open Sans"/>
                <w:sz w:val="20"/>
                <w:szCs w:val="20"/>
                <w:lang w:eastAsia="en-GB"/>
              </w:rPr>
            </w:pPr>
          </w:p>
        </w:tc>
        <w:tc>
          <w:tcPr>
            <w:tcW w:w="0" w:type="auto"/>
          </w:tcPr>
          <w:p w14:paraId="591AD740" w14:textId="2E63AB1E" w:rsidR="00FC41BB" w:rsidRPr="004A00DA" w:rsidRDefault="00FC41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VAT @ 5%</w:t>
            </w:r>
            <w:r w:rsidR="00780A49" w:rsidRPr="004A00DA">
              <w:rPr>
                <w:rFonts w:ascii="Open Sans" w:hAnsi="Open Sans" w:cs="Open Sans"/>
                <w:sz w:val="20"/>
                <w:szCs w:val="20"/>
                <w:lang w:eastAsia="en-GB"/>
              </w:rPr>
              <w:t xml:space="preserve"> for home charging, 20% for public charging </w:t>
            </w:r>
          </w:p>
        </w:tc>
        <w:tc>
          <w:tcPr>
            <w:tcW w:w="0" w:type="auto"/>
          </w:tcPr>
          <w:p w14:paraId="75C0A9C2" w14:textId="77777777" w:rsidR="00FC41BB" w:rsidRPr="004A00DA" w:rsidRDefault="00FC41BB" w:rsidP="004A00DA">
            <w:pPr>
              <w:tabs>
                <w:tab w:val="left" w:pos="426"/>
                <w:tab w:val="left" w:pos="993"/>
              </w:tabs>
              <w:rPr>
                <w:rFonts w:ascii="Open Sans" w:hAnsi="Open Sans" w:cs="Open Sans"/>
                <w:sz w:val="20"/>
                <w:szCs w:val="20"/>
                <w:lang w:eastAsia="en-GB"/>
              </w:rPr>
            </w:pPr>
          </w:p>
        </w:tc>
      </w:tr>
    </w:tbl>
    <w:p w14:paraId="3568C02A" w14:textId="1AEC623A" w:rsidR="0060267B" w:rsidRPr="00984981" w:rsidRDefault="00984981" w:rsidP="004A00DA">
      <w:pPr>
        <w:pStyle w:val="Heading3"/>
        <w:tabs>
          <w:tab w:val="left" w:pos="426"/>
          <w:tab w:val="left" w:pos="993"/>
        </w:tabs>
        <w:rPr>
          <w:rFonts w:ascii="Open Sans" w:hAnsi="Open Sans" w:cs="Open Sans"/>
          <w:sz w:val="20"/>
          <w:szCs w:val="20"/>
          <w:lang w:eastAsia="en-GB"/>
        </w:rPr>
      </w:pPr>
      <w:bookmarkStart w:id="10" w:name="_Toc34921714"/>
      <w:r w:rsidRPr="00984981">
        <w:rPr>
          <w:rFonts w:ascii="Open Sans" w:hAnsi="Open Sans" w:cs="Open Sans"/>
          <w:sz w:val="20"/>
          <w:szCs w:val="20"/>
          <w:lang w:eastAsia="en-GB"/>
        </w:rPr>
        <w:t xml:space="preserve">2.2.2 </w:t>
      </w:r>
      <w:r w:rsidR="0060267B" w:rsidRPr="00984981">
        <w:rPr>
          <w:rFonts w:ascii="Open Sans" w:hAnsi="Open Sans" w:cs="Open Sans"/>
          <w:sz w:val="20"/>
          <w:szCs w:val="20"/>
          <w:lang w:eastAsia="en-GB"/>
        </w:rPr>
        <w:t>Biodiesel</w:t>
      </w:r>
      <w:bookmarkEnd w:id="10"/>
    </w:p>
    <w:p w14:paraId="79A7C25A" w14:textId="77777777" w:rsidR="005618F1" w:rsidRPr="004A00DA" w:rsidRDefault="005618F1" w:rsidP="004A00DA">
      <w:pPr>
        <w:tabs>
          <w:tab w:val="left" w:pos="426"/>
          <w:tab w:val="left" w:pos="993"/>
        </w:tabs>
        <w:rPr>
          <w:rFonts w:ascii="Open Sans" w:hAnsi="Open Sans" w:cs="Open Sans"/>
          <w:sz w:val="20"/>
          <w:szCs w:val="20"/>
          <w:lang w:eastAsia="en-GB"/>
        </w:rPr>
      </w:pPr>
    </w:p>
    <w:p w14:paraId="0EA0C854" w14:textId="77777777" w:rsidR="00A84DCF" w:rsidRPr="004A00DA" w:rsidRDefault="00A84DCF" w:rsidP="004A00DA">
      <w:pPr>
        <w:tabs>
          <w:tab w:val="left" w:pos="426"/>
          <w:tab w:val="left" w:pos="993"/>
        </w:tabs>
        <w:rPr>
          <w:rFonts w:ascii="Open Sans" w:hAnsi="Open Sans" w:cs="Open Sans"/>
          <w:sz w:val="20"/>
          <w:szCs w:val="20"/>
        </w:rPr>
      </w:pPr>
      <w:r w:rsidRPr="004A00DA">
        <w:rPr>
          <w:rFonts w:ascii="Open Sans" w:hAnsi="Open Sans" w:cs="Open Sans"/>
          <w:sz w:val="20"/>
          <w:szCs w:val="20"/>
        </w:rPr>
        <w:t>Biodiesel has numerous supply sources and it is globally recognised that waste-based raw materials should be the preferred production precursor. These feedstocks give the highest carbon savings.</w:t>
      </w:r>
    </w:p>
    <w:p w14:paraId="4931F36A" w14:textId="77777777" w:rsidR="0060267B" w:rsidRPr="004A00DA" w:rsidRDefault="0060267B"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In 2019, the UK produced 1,400 million litres equivalent of verified renewable fuel. Of this, 60% was biodiesel. 81% of UK biodiesel was produced from used cooking oil in 2019 (DfT 2020). </w:t>
      </w:r>
      <w:r w:rsidR="00A73D3F" w:rsidRPr="004A00DA">
        <w:rPr>
          <w:rFonts w:ascii="Open Sans" w:eastAsia="Times New Roman" w:hAnsi="Open Sans" w:cs="Open Sans"/>
          <w:sz w:val="20"/>
          <w:szCs w:val="20"/>
          <w:lang w:eastAsia="en-GB"/>
        </w:rPr>
        <w:t>B</w:t>
      </w:r>
      <w:r w:rsidRPr="004A00DA">
        <w:rPr>
          <w:rFonts w:ascii="Open Sans" w:eastAsia="Times New Roman" w:hAnsi="Open Sans" w:cs="Open Sans"/>
          <w:sz w:val="20"/>
          <w:szCs w:val="20"/>
          <w:lang w:eastAsia="en-GB"/>
        </w:rPr>
        <w:t xml:space="preserve">iodiesel </w:t>
      </w:r>
      <w:r w:rsidR="00A73D3F" w:rsidRPr="004A00DA">
        <w:rPr>
          <w:rFonts w:ascii="Open Sans" w:eastAsia="Times New Roman" w:hAnsi="Open Sans" w:cs="Open Sans"/>
          <w:sz w:val="20"/>
          <w:szCs w:val="20"/>
          <w:lang w:eastAsia="en-GB"/>
        </w:rPr>
        <w:t>achieves 8</w:t>
      </w:r>
      <w:r w:rsidR="00FC41BB" w:rsidRPr="004A00DA">
        <w:rPr>
          <w:rFonts w:ascii="Open Sans" w:eastAsia="Times New Roman" w:hAnsi="Open Sans" w:cs="Open Sans"/>
          <w:sz w:val="20"/>
          <w:szCs w:val="20"/>
          <w:lang w:eastAsia="en-GB"/>
        </w:rPr>
        <w:t>8</w:t>
      </w:r>
      <w:r w:rsidRPr="004A00DA">
        <w:rPr>
          <w:rFonts w:ascii="Open Sans" w:eastAsia="Times New Roman" w:hAnsi="Open Sans" w:cs="Open Sans"/>
          <w:sz w:val="20"/>
          <w:szCs w:val="20"/>
          <w:lang w:eastAsia="en-GB"/>
        </w:rPr>
        <w:t xml:space="preserve">% </w:t>
      </w:r>
      <w:r w:rsidR="00FC41BB" w:rsidRPr="004A00DA">
        <w:rPr>
          <w:rFonts w:ascii="Open Sans" w:eastAsia="Times New Roman" w:hAnsi="Open Sans" w:cs="Open Sans"/>
          <w:sz w:val="20"/>
          <w:szCs w:val="20"/>
          <w:lang w:eastAsia="en-GB"/>
        </w:rPr>
        <w:t xml:space="preserve">GHG savings compared to </w:t>
      </w:r>
      <w:r w:rsidRPr="004A00DA">
        <w:rPr>
          <w:rFonts w:ascii="Open Sans" w:eastAsia="Times New Roman" w:hAnsi="Open Sans" w:cs="Open Sans"/>
          <w:sz w:val="20"/>
          <w:szCs w:val="20"/>
          <w:lang w:eastAsia="en-GB"/>
        </w:rPr>
        <w:t>diesel vehicles</w:t>
      </w:r>
      <w:r w:rsidR="00FC41BB" w:rsidRPr="004A00DA">
        <w:rPr>
          <w:rFonts w:ascii="Open Sans" w:eastAsia="Times New Roman" w:hAnsi="Open Sans" w:cs="Open Sans"/>
          <w:sz w:val="20"/>
          <w:szCs w:val="20"/>
          <w:lang w:eastAsia="en-GB"/>
        </w:rPr>
        <w:t>.</w:t>
      </w:r>
    </w:p>
    <w:p w14:paraId="1C540C7E" w14:textId="77777777" w:rsidR="006919BB" w:rsidRPr="004A00DA" w:rsidRDefault="00612E97"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In the UK diesel contains a </w:t>
      </w:r>
      <w:r w:rsidR="0060267B" w:rsidRPr="004A00DA">
        <w:rPr>
          <w:rFonts w:ascii="Open Sans" w:eastAsia="Times New Roman" w:hAnsi="Open Sans" w:cs="Open Sans"/>
          <w:sz w:val="20"/>
          <w:szCs w:val="20"/>
          <w:lang w:eastAsia="en-GB"/>
        </w:rPr>
        <w:t xml:space="preserve">blend of up to 7% </w:t>
      </w:r>
      <w:r w:rsidRPr="004A00DA">
        <w:rPr>
          <w:rFonts w:ascii="Open Sans" w:eastAsia="Times New Roman" w:hAnsi="Open Sans" w:cs="Open Sans"/>
          <w:sz w:val="20"/>
          <w:szCs w:val="20"/>
          <w:lang w:eastAsia="en-GB"/>
        </w:rPr>
        <w:t xml:space="preserve">biodiesel and the fuel is known as </w:t>
      </w:r>
      <w:r w:rsidR="0060267B" w:rsidRPr="004A00DA">
        <w:rPr>
          <w:rFonts w:ascii="Open Sans" w:eastAsia="Times New Roman" w:hAnsi="Open Sans" w:cs="Open Sans"/>
          <w:sz w:val="20"/>
          <w:szCs w:val="20"/>
          <w:lang w:eastAsia="en-GB"/>
        </w:rPr>
        <w:t xml:space="preserve">B7. </w:t>
      </w:r>
      <w:r w:rsidRPr="004A00DA">
        <w:rPr>
          <w:rFonts w:ascii="Open Sans" w:eastAsia="Times New Roman" w:hAnsi="Open Sans" w:cs="Open Sans"/>
          <w:sz w:val="20"/>
          <w:szCs w:val="20"/>
          <w:lang w:eastAsia="en-GB"/>
        </w:rPr>
        <w:t>A</w:t>
      </w:r>
      <w:r w:rsidR="005D7EAF" w:rsidRPr="004A00DA">
        <w:rPr>
          <w:rFonts w:ascii="Open Sans" w:eastAsia="Times New Roman" w:hAnsi="Open Sans" w:cs="Open Sans"/>
          <w:sz w:val="20"/>
          <w:szCs w:val="20"/>
          <w:lang w:eastAsia="en-GB"/>
        </w:rPr>
        <w:t>n estimated £250 million</w:t>
      </w:r>
      <w:r w:rsidRPr="004A00DA">
        <w:rPr>
          <w:rFonts w:ascii="Open Sans" w:eastAsia="Times New Roman" w:hAnsi="Open Sans" w:cs="Open Sans"/>
          <w:sz w:val="20"/>
          <w:szCs w:val="20"/>
          <w:lang w:eastAsia="en-GB"/>
        </w:rPr>
        <w:t xml:space="preserve">/pa </w:t>
      </w:r>
      <w:r w:rsidR="005D7EAF" w:rsidRPr="004A00DA">
        <w:rPr>
          <w:rFonts w:ascii="Open Sans" w:eastAsia="Times New Roman" w:hAnsi="Open Sans" w:cs="Open Sans"/>
          <w:sz w:val="20"/>
          <w:szCs w:val="20"/>
          <w:lang w:eastAsia="en-GB"/>
        </w:rPr>
        <w:t xml:space="preserve">worth of biodiesel </w:t>
      </w:r>
      <w:r w:rsidRPr="004A00DA">
        <w:rPr>
          <w:rFonts w:ascii="Open Sans" w:eastAsia="Times New Roman" w:hAnsi="Open Sans" w:cs="Open Sans"/>
          <w:sz w:val="20"/>
          <w:szCs w:val="20"/>
          <w:lang w:eastAsia="en-GB"/>
        </w:rPr>
        <w:t>is produced in the UK</w:t>
      </w:r>
      <w:r w:rsidR="005D7EAF"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 xml:space="preserve"> Higher blend biodiesels up to 20% (B20) and B30 are also found, and require only a small modification of the </w:t>
      </w:r>
      <w:r w:rsidR="006919BB" w:rsidRPr="004A00DA">
        <w:rPr>
          <w:rFonts w:ascii="Open Sans" w:eastAsia="Times New Roman" w:hAnsi="Open Sans" w:cs="Open Sans"/>
          <w:sz w:val="20"/>
          <w:szCs w:val="20"/>
          <w:lang w:eastAsia="en-GB"/>
        </w:rPr>
        <w:t xml:space="preserve">fuel tank and storage infrastructure.  The fuels are more </w:t>
      </w:r>
      <w:r w:rsidR="00A84DCF" w:rsidRPr="004A00DA">
        <w:rPr>
          <w:rFonts w:ascii="Open Sans" w:eastAsia="Times New Roman" w:hAnsi="Open Sans" w:cs="Open Sans"/>
          <w:sz w:val="20"/>
          <w:szCs w:val="20"/>
          <w:lang w:eastAsia="en-GB"/>
        </w:rPr>
        <w:t>viscous</w:t>
      </w:r>
      <w:r w:rsidR="006919BB" w:rsidRPr="004A00DA">
        <w:rPr>
          <w:rFonts w:ascii="Open Sans" w:eastAsia="Times New Roman" w:hAnsi="Open Sans" w:cs="Open Sans"/>
          <w:sz w:val="20"/>
          <w:szCs w:val="20"/>
          <w:lang w:eastAsia="en-GB"/>
        </w:rPr>
        <w:t xml:space="preserve"> and can </w:t>
      </w:r>
      <w:r w:rsidR="000A0DF3" w:rsidRPr="004A00DA">
        <w:rPr>
          <w:rFonts w:ascii="Open Sans" w:eastAsia="Times New Roman" w:hAnsi="Open Sans" w:cs="Open Sans"/>
          <w:sz w:val="20"/>
          <w:szCs w:val="20"/>
          <w:lang w:eastAsia="en-GB"/>
        </w:rPr>
        <w:t>be</w:t>
      </w:r>
      <w:r w:rsidR="006919BB" w:rsidRPr="004A00DA">
        <w:rPr>
          <w:rFonts w:ascii="Open Sans" w:eastAsia="Times New Roman" w:hAnsi="Open Sans" w:cs="Open Sans"/>
          <w:sz w:val="20"/>
          <w:szCs w:val="20"/>
          <w:lang w:eastAsia="en-GB"/>
        </w:rPr>
        <w:t xml:space="preserve"> associated with increased component wear (Royal Academy of Engineering 2017</w:t>
      </w:r>
      <w:r w:rsidR="000A0DF3" w:rsidRPr="004A00DA">
        <w:rPr>
          <w:rFonts w:ascii="Open Sans" w:eastAsia="Times New Roman" w:hAnsi="Open Sans" w:cs="Open Sans"/>
          <w:sz w:val="20"/>
          <w:szCs w:val="20"/>
          <w:lang w:eastAsia="en-GB"/>
        </w:rPr>
        <w:t>).</w:t>
      </w:r>
      <w:r w:rsidR="006919BB" w:rsidRPr="004A00DA">
        <w:rPr>
          <w:rFonts w:ascii="Open Sans" w:eastAsia="Times New Roman" w:hAnsi="Open Sans" w:cs="Open Sans"/>
          <w:sz w:val="20"/>
          <w:szCs w:val="20"/>
          <w:lang w:eastAsia="en-GB"/>
        </w:rPr>
        <w:t xml:space="preserve">  The majority of OEMs warranty new vehicles for blends of B20 and B30, and upgrade packages </w:t>
      </w:r>
      <w:r w:rsidR="000A0DF3" w:rsidRPr="004A00DA">
        <w:rPr>
          <w:rFonts w:ascii="Open Sans" w:eastAsia="Times New Roman" w:hAnsi="Open Sans" w:cs="Open Sans"/>
          <w:sz w:val="20"/>
          <w:szCs w:val="20"/>
          <w:lang w:eastAsia="en-GB"/>
        </w:rPr>
        <w:t>including</w:t>
      </w:r>
      <w:r w:rsidR="006919BB" w:rsidRPr="004A00DA">
        <w:rPr>
          <w:rFonts w:ascii="Open Sans" w:eastAsia="Times New Roman" w:hAnsi="Open Sans" w:cs="Open Sans"/>
          <w:sz w:val="20"/>
          <w:szCs w:val="20"/>
          <w:lang w:eastAsia="en-GB"/>
        </w:rPr>
        <w:t xml:space="preserve"> heated fuel tanks can be fitted to certain engine types to enable </w:t>
      </w:r>
      <w:r w:rsidR="000A0DF3" w:rsidRPr="004A00DA">
        <w:rPr>
          <w:rFonts w:ascii="Open Sans" w:eastAsia="Times New Roman" w:hAnsi="Open Sans" w:cs="Open Sans"/>
          <w:sz w:val="20"/>
          <w:szCs w:val="20"/>
          <w:lang w:eastAsia="en-GB"/>
        </w:rPr>
        <w:t>the</w:t>
      </w:r>
      <w:r w:rsidR="006919BB" w:rsidRPr="004A00DA">
        <w:rPr>
          <w:rFonts w:ascii="Open Sans" w:eastAsia="Times New Roman" w:hAnsi="Open Sans" w:cs="Open Sans"/>
          <w:sz w:val="20"/>
          <w:szCs w:val="20"/>
          <w:lang w:eastAsia="en-GB"/>
        </w:rPr>
        <w:t xml:space="preserve"> </w:t>
      </w:r>
      <w:r w:rsidR="000A0DF3" w:rsidRPr="004A00DA">
        <w:rPr>
          <w:rFonts w:ascii="Open Sans" w:eastAsia="Times New Roman" w:hAnsi="Open Sans" w:cs="Open Sans"/>
          <w:sz w:val="20"/>
          <w:szCs w:val="20"/>
          <w:lang w:eastAsia="en-GB"/>
        </w:rPr>
        <w:t>vehicles</w:t>
      </w:r>
      <w:r w:rsidR="006919BB" w:rsidRPr="004A00DA">
        <w:rPr>
          <w:rFonts w:ascii="Open Sans" w:eastAsia="Times New Roman" w:hAnsi="Open Sans" w:cs="Open Sans"/>
          <w:sz w:val="20"/>
          <w:szCs w:val="20"/>
          <w:lang w:eastAsia="en-GB"/>
        </w:rPr>
        <w:t xml:space="preserve"> to run on 100% biodiesel.</w:t>
      </w:r>
    </w:p>
    <w:p w14:paraId="5F6FEF39" w14:textId="2EA4E753" w:rsidR="00A84DCF" w:rsidRPr="004A00DA" w:rsidRDefault="005D7EAF"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Biodiesel production is a success story for the UK’s waste sector.</w:t>
      </w:r>
      <w:r w:rsidR="0060267B" w:rsidRPr="004A00DA">
        <w:rPr>
          <w:rFonts w:ascii="Open Sans" w:eastAsia="Times New Roman" w:hAnsi="Open Sans" w:cs="Open Sans"/>
          <w:sz w:val="20"/>
          <w:szCs w:val="20"/>
          <w:lang w:eastAsia="en-GB"/>
        </w:rPr>
        <w:t xml:space="preserve"> </w:t>
      </w:r>
      <w:r w:rsidRPr="004A00DA">
        <w:rPr>
          <w:rFonts w:ascii="Open Sans" w:eastAsia="Times New Roman" w:hAnsi="Open Sans" w:cs="Open Sans"/>
          <w:sz w:val="20"/>
          <w:szCs w:val="20"/>
          <w:lang w:eastAsia="en-GB"/>
        </w:rPr>
        <w:t>‘</w:t>
      </w:r>
      <w:r w:rsidR="0060267B" w:rsidRPr="004A00DA">
        <w:rPr>
          <w:rFonts w:ascii="Open Sans" w:eastAsia="Times New Roman" w:hAnsi="Open Sans" w:cs="Open Sans"/>
          <w:sz w:val="20"/>
          <w:szCs w:val="20"/>
          <w:lang w:eastAsia="en-GB"/>
        </w:rPr>
        <w:t>Fatbergs</w:t>
      </w:r>
      <w:r w:rsidRPr="004A00DA">
        <w:rPr>
          <w:rFonts w:ascii="Open Sans" w:eastAsia="Times New Roman" w:hAnsi="Open Sans" w:cs="Open Sans"/>
          <w:sz w:val="20"/>
          <w:szCs w:val="20"/>
          <w:lang w:eastAsia="en-GB"/>
        </w:rPr>
        <w:t>,’ which build up in the sewage system and need to be system</w:t>
      </w:r>
      <w:r w:rsidR="00BC32E5" w:rsidRPr="004A00DA">
        <w:rPr>
          <w:rFonts w:ascii="Open Sans" w:eastAsia="Times New Roman" w:hAnsi="Open Sans" w:cs="Open Sans"/>
          <w:sz w:val="20"/>
          <w:szCs w:val="20"/>
          <w:lang w:eastAsia="en-GB"/>
        </w:rPr>
        <w:t>at</w:t>
      </w:r>
      <w:r w:rsidRPr="004A00DA">
        <w:rPr>
          <w:rFonts w:ascii="Open Sans" w:eastAsia="Times New Roman" w:hAnsi="Open Sans" w:cs="Open Sans"/>
          <w:sz w:val="20"/>
          <w:szCs w:val="20"/>
          <w:lang w:eastAsia="en-GB"/>
        </w:rPr>
        <w:t>ically cleared,</w:t>
      </w:r>
      <w:r w:rsidR="0060267B" w:rsidRPr="004A00DA">
        <w:rPr>
          <w:rFonts w:ascii="Open Sans" w:eastAsia="Times New Roman" w:hAnsi="Open Sans" w:cs="Open Sans"/>
          <w:sz w:val="20"/>
          <w:szCs w:val="20"/>
          <w:lang w:eastAsia="en-GB"/>
        </w:rPr>
        <w:t xml:space="preserve"> have been used to produce 85 million litres of 20% biodiesel by Argent Energy</w:t>
      </w:r>
      <w:r w:rsidR="002A035C" w:rsidRPr="004A00DA">
        <w:rPr>
          <w:rStyle w:val="FootnoteReference"/>
          <w:rFonts w:ascii="Open Sans" w:eastAsia="Times New Roman" w:hAnsi="Open Sans" w:cs="Open Sans"/>
          <w:sz w:val="20"/>
          <w:szCs w:val="20"/>
          <w:lang w:eastAsia="en-GB"/>
        </w:rPr>
        <w:footnoteReference w:id="14"/>
      </w:r>
      <w:r w:rsidR="0060267B" w:rsidRPr="004A00DA">
        <w:rPr>
          <w:rFonts w:ascii="Open Sans" w:eastAsia="Times New Roman" w:hAnsi="Open Sans" w:cs="Open Sans"/>
          <w:sz w:val="20"/>
          <w:szCs w:val="20"/>
          <w:lang w:eastAsia="en-GB"/>
        </w:rPr>
        <w:t xml:space="preserve"> () and Ol</w:t>
      </w:r>
      <w:r w:rsidR="006919BB" w:rsidRPr="004A00DA">
        <w:rPr>
          <w:rFonts w:ascii="Open Sans" w:eastAsia="Times New Roman" w:hAnsi="Open Sans" w:cs="Open Sans"/>
          <w:sz w:val="20"/>
          <w:szCs w:val="20"/>
          <w:lang w:eastAsia="en-GB"/>
        </w:rPr>
        <w:t>l</w:t>
      </w:r>
      <w:r w:rsidR="0060267B" w:rsidRPr="004A00DA">
        <w:rPr>
          <w:rFonts w:ascii="Open Sans" w:eastAsia="Times New Roman" w:hAnsi="Open Sans" w:cs="Open Sans"/>
          <w:sz w:val="20"/>
          <w:szCs w:val="20"/>
          <w:lang w:eastAsia="en-GB"/>
        </w:rPr>
        <w:t>eco produce</w:t>
      </w:r>
      <w:r w:rsidR="006919BB" w:rsidRPr="004A00DA">
        <w:rPr>
          <w:rFonts w:ascii="Open Sans" w:eastAsia="Times New Roman" w:hAnsi="Open Sans" w:cs="Open Sans"/>
          <w:sz w:val="20"/>
          <w:szCs w:val="20"/>
          <w:lang w:eastAsia="en-GB"/>
        </w:rPr>
        <w:t>s</w:t>
      </w:r>
      <w:r w:rsidR="0060267B" w:rsidRPr="004A00DA">
        <w:rPr>
          <w:rFonts w:ascii="Open Sans" w:eastAsia="Times New Roman" w:hAnsi="Open Sans" w:cs="Open Sans"/>
          <w:sz w:val="20"/>
          <w:szCs w:val="20"/>
          <w:lang w:eastAsia="en-GB"/>
        </w:rPr>
        <w:t xml:space="preserve"> biodiesel from used cooking oil at </w:t>
      </w:r>
      <w:r w:rsidR="006919BB" w:rsidRPr="004A00DA">
        <w:rPr>
          <w:rFonts w:ascii="Open Sans" w:eastAsia="Times New Roman" w:hAnsi="Open Sans" w:cs="Open Sans"/>
          <w:sz w:val="20"/>
          <w:szCs w:val="20"/>
          <w:lang w:eastAsia="en-GB"/>
        </w:rPr>
        <w:t xml:space="preserve">its </w:t>
      </w:r>
      <w:r w:rsidR="0060267B" w:rsidRPr="004A00DA">
        <w:rPr>
          <w:rFonts w:ascii="Open Sans" w:eastAsia="Times New Roman" w:hAnsi="Open Sans" w:cs="Open Sans"/>
          <w:sz w:val="20"/>
          <w:szCs w:val="20"/>
          <w:lang w:eastAsia="en-GB"/>
        </w:rPr>
        <w:t>plant in Liverpool</w:t>
      </w:r>
      <w:r w:rsidR="002A035C" w:rsidRPr="004A00DA">
        <w:rPr>
          <w:rFonts w:ascii="Open Sans" w:eastAsia="Times New Roman" w:hAnsi="Open Sans" w:cs="Open Sans"/>
          <w:sz w:val="20"/>
          <w:szCs w:val="20"/>
          <w:lang w:eastAsia="en-GB"/>
        </w:rPr>
        <w:t>.</w:t>
      </w:r>
    </w:p>
    <w:p w14:paraId="64395969" w14:textId="77777777" w:rsidR="00A84DCF" w:rsidRPr="004A00DA" w:rsidRDefault="00A84DCF"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 percentage of biodiesel that can be used in an engine can be limited as some OEMs do not warranty the use of higher blends in their vehicles.  This may be due to the required tests not having been done, rather than genuine concerns over engine impact.  Thorough validation of the supply sources of feedstock is paramount given some of the recent practices that have been uncovered (this premise applies to all renewable fuels).</w:t>
      </w:r>
    </w:p>
    <w:p w14:paraId="07280D14" w14:textId="77995155" w:rsidR="00A84DCF" w:rsidRPr="00984981" w:rsidRDefault="00984981" w:rsidP="004A00DA">
      <w:pPr>
        <w:pStyle w:val="Heading3"/>
        <w:tabs>
          <w:tab w:val="left" w:pos="426"/>
          <w:tab w:val="left" w:pos="993"/>
        </w:tabs>
        <w:rPr>
          <w:rFonts w:ascii="Open Sans" w:hAnsi="Open Sans" w:cs="Open Sans"/>
          <w:sz w:val="20"/>
          <w:szCs w:val="20"/>
        </w:rPr>
      </w:pPr>
      <w:bookmarkStart w:id="11" w:name="_Toc34921715"/>
      <w:r w:rsidRPr="00984981">
        <w:rPr>
          <w:rFonts w:ascii="Open Sans" w:hAnsi="Open Sans" w:cs="Open Sans"/>
          <w:sz w:val="20"/>
          <w:szCs w:val="20"/>
        </w:rPr>
        <w:t xml:space="preserve">2.2.3 </w:t>
      </w:r>
      <w:r w:rsidR="00A84DCF" w:rsidRPr="00984981">
        <w:rPr>
          <w:rFonts w:ascii="Open Sans" w:hAnsi="Open Sans" w:cs="Open Sans"/>
          <w:sz w:val="20"/>
          <w:szCs w:val="20"/>
        </w:rPr>
        <w:t>HVO (Hydro-</w:t>
      </w:r>
      <w:r w:rsidRPr="00984981">
        <w:rPr>
          <w:rFonts w:ascii="Open Sans" w:hAnsi="Open Sans" w:cs="Open Sans"/>
          <w:sz w:val="20"/>
          <w:szCs w:val="20"/>
        </w:rPr>
        <w:t>T</w:t>
      </w:r>
      <w:r w:rsidR="00A84DCF" w:rsidRPr="00984981">
        <w:rPr>
          <w:rFonts w:ascii="Open Sans" w:hAnsi="Open Sans" w:cs="Open Sans"/>
          <w:sz w:val="20"/>
          <w:szCs w:val="20"/>
        </w:rPr>
        <w:t xml:space="preserve">reated </w:t>
      </w:r>
      <w:r w:rsidRPr="00984981">
        <w:rPr>
          <w:rFonts w:ascii="Open Sans" w:hAnsi="Open Sans" w:cs="Open Sans"/>
          <w:sz w:val="20"/>
          <w:szCs w:val="20"/>
        </w:rPr>
        <w:t>V</w:t>
      </w:r>
      <w:r w:rsidR="00A84DCF" w:rsidRPr="00984981">
        <w:rPr>
          <w:rFonts w:ascii="Open Sans" w:hAnsi="Open Sans" w:cs="Open Sans"/>
          <w:sz w:val="20"/>
          <w:szCs w:val="20"/>
        </w:rPr>
        <w:t xml:space="preserve">egetable </w:t>
      </w:r>
      <w:r w:rsidRPr="00984981">
        <w:rPr>
          <w:rFonts w:ascii="Open Sans" w:hAnsi="Open Sans" w:cs="Open Sans"/>
          <w:sz w:val="20"/>
          <w:szCs w:val="20"/>
        </w:rPr>
        <w:t>O</w:t>
      </w:r>
      <w:r w:rsidR="00A84DCF" w:rsidRPr="00984981">
        <w:rPr>
          <w:rFonts w:ascii="Open Sans" w:hAnsi="Open Sans" w:cs="Open Sans"/>
          <w:sz w:val="20"/>
          <w:szCs w:val="20"/>
        </w:rPr>
        <w:t>il or “</w:t>
      </w:r>
      <w:r w:rsidRPr="00984981">
        <w:rPr>
          <w:rFonts w:ascii="Open Sans" w:hAnsi="Open Sans" w:cs="Open Sans"/>
          <w:sz w:val="20"/>
          <w:szCs w:val="20"/>
        </w:rPr>
        <w:t>P</w:t>
      </w:r>
      <w:r w:rsidR="00A84DCF" w:rsidRPr="00984981">
        <w:rPr>
          <w:rFonts w:ascii="Open Sans" w:hAnsi="Open Sans" w:cs="Open Sans"/>
          <w:sz w:val="20"/>
          <w:szCs w:val="20"/>
        </w:rPr>
        <w:t xml:space="preserve">araffinic </w:t>
      </w:r>
      <w:r w:rsidRPr="00984981">
        <w:rPr>
          <w:rFonts w:ascii="Open Sans" w:hAnsi="Open Sans" w:cs="Open Sans"/>
          <w:sz w:val="20"/>
          <w:szCs w:val="20"/>
        </w:rPr>
        <w:t>D</w:t>
      </w:r>
      <w:r w:rsidR="00A84DCF" w:rsidRPr="00984981">
        <w:rPr>
          <w:rFonts w:ascii="Open Sans" w:hAnsi="Open Sans" w:cs="Open Sans"/>
          <w:sz w:val="20"/>
          <w:szCs w:val="20"/>
        </w:rPr>
        <w:t>iesel”)</w:t>
      </w:r>
      <w:bookmarkEnd w:id="11"/>
    </w:p>
    <w:p w14:paraId="268A7C61" w14:textId="2A46ADAD" w:rsidR="00A84DCF" w:rsidRPr="004A00DA" w:rsidRDefault="00A84DCF" w:rsidP="004A00DA">
      <w:pPr>
        <w:tabs>
          <w:tab w:val="left" w:pos="426"/>
          <w:tab w:val="left" w:pos="993"/>
        </w:tabs>
        <w:rPr>
          <w:rFonts w:ascii="Open Sans" w:hAnsi="Open Sans" w:cs="Open Sans"/>
          <w:sz w:val="20"/>
          <w:szCs w:val="20"/>
        </w:rPr>
      </w:pPr>
    </w:p>
    <w:p w14:paraId="29D24CFD" w14:textId="77777777" w:rsidR="00A84DCF" w:rsidRPr="004A00DA" w:rsidRDefault="00A84DCF" w:rsidP="004A00DA">
      <w:pPr>
        <w:tabs>
          <w:tab w:val="left" w:pos="426"/>
          <w:tab w:val="left" w:pos="993"/>
        </w:tabs>
        <w:rPr>
          <w:rFonts w:ascii="Open Sans" w:hAnsi="Open Sans" w:cs="Open Sans"/>
          <w:sz w:val="20"/>
          <w:szCs w:val="20"/>
        </w:rPr>
      </w:pPr>
      <w:r w:rsidRPr="004A00DA">
        <w:rPr>
          <w:rFonts w:ascii="Open Sans" w:hAnsi="Open Sans" w:cs="Open Sans"/>
          <w:sz w:val="20"/>
          <w:szCs w:val="20"/>
        </w:rPr>
        <w:t>Similar feedstock criteria apply to HVO as apply to biodiesel.  HVO is a drop in fuel, closely aligned to the chemical composition of diesel and with identical performance characteristics.  Warranty concerns are therefore not an issue.</w:t>
      </w:r>
    </w:p>
    <w:p w14:paraId="08222E05" w14:textId="64E29FCB" w:rsidR="00725415" w:rsidRPr="004A00DA" w:rsidRDefault="00A84DCF" w:rsidP="004A00DA">
      <w:pPr>
        <w:tabs>
          <w:tab w:val="left" w:pos="426"/>
          <w:tab w:val="left" w:pos="993"/>
        </w:tabs>
        <w:rPr>
          <w:rFonts w:ascii="Open Sans" w:hAnsi="Open Sans" w:cs="Open Sans"/>
          <w:sz w:val="20"/>
          <w:szCs w:val="20"/>
        </w:rPr>
      </w:pPr>
      <w:r w:rsidRPr="004A00DA">
        <w:rPr>
          <w:rFonts w:ascii="Open Sans" w:hAnsi="Open Sans" w:cs="Open Sans"/>
          <w:sz w:val="20"/>
          <w:szCs w:val="20"/>
        </w:rPr>
        <w:t>It is more expensive to produce than diesel (and biodiesel).  Where feedstock is waste, it benefits from double counting, but only HVO produced from feedstocks which are not “segregated oils or fats” would qualify as a development fuel.</w:t>
      </w:r>
    </w:p>
    <w:p w14:paraId="4CD55353" w14:textId="1AE24795" w:rsidR="00AD3EDC" w:rsidRPr="00984981" w:rsidRDefault="00984981" w:rsidP="004A00DA">
      <w:pPr>
        <w:pStyle w:val="Heading3"/>
        <w:tabs>
          <w:tab w:val="left" w:pos="426"/>
          <w:tab w:val="left" w:pos="993"/>
        </w:tabs>
        <w:rPr>
          <w:rFonts w:ascii="Open Sans" w:hAnsi="Open Sans" w:cs="Open Sans"/>
          <w:sz w:val="20"/>
          <w:szCs w:val="20"/>
          <w:lang w:eastAsia="en-GB"/>
        </w:rPr>
      </w:pPr>
      <w:bookmarkStart w:id="12" w:name="_Toc34921716"/>
      <w:r w:rsidRPr="00984981">
        <w:rPr>
          <w:rFonts w:ascii="Open Sans" w:hAnsi="Open Sans" w:cs="Open Sans"/>
          <w:sz w:val="20"/>
          <w:szCs w:val="20"/>
          <w:lang w:eastAsia="en-GB"/>
        </w:rPr>
        <w:t>2.</w:t>
      </w:r>
      <w:r>
        <w:rPr>
          <w:rFonts w:ascii="Open Sans" w:hAnsi="Open Sans" w:cs="Open Sans"/>
          <w:sz w:val="20"/>
          <w:szCs w:val="20"/>
          <w:lang w:eastAsia="en-GB"/>
        </w:rPr>
        <w:t>2.4</w:t>
      </w:r>
      <w:r w:rsidRPr="00984981">
        <w:rPr>
          <w:rFonts w:ascii="Open Sans" w:hAnsi="Open Sans" w:cs="Open Sans"/>
          <w:sz w:val="20"/>
          <w:szCs w:val="20"/>
          <w:lang w:eastAsia="en-GB"/>
        </w:rPr>
        <w:t xml:space="preserve"> </w:t>
      </w:r>
      <w:r w:rsidR="00AD3EDC" w:rsidRPr="00984981">
        <w:rPr>
          <w:rFonts w:ascii="Open Sans" w:hAnsi="Open Sans" w:cs="Open Sans"/>
          <w:sz w:val="20"/>
          <w:szCs w:val="20"/>
          <w:lang w:eastAsia="en-GB"/>
        </w:rPr>
        <w:t>Bioethanol</w:t>
      </w:r>
      <w:bookmarkEnd w:id="12"/>
    </w:p>
    <w:p w14:paraId="7E5010EC" w14:textId="77777777" w:rsidR="005618F1" w:rsidRPr="004A00DA" w:rsidRDefault="005618F1" w:rsidP="004A00DA">
      <w:pPr>
        <w:tabs>
          <w:tab w:val="left" w:pos="426"/>
          <w:tab w:val="left" w:pos="993"/>
        </w:tabs>
        <w:rPr>
          <w:rFonts w:ascii="Open Sans" w:hAnsi="Open Sans" w:cs="Open Sans"/>
          <w:sz w:val="20"/>
          <w:szCs w:val="20"/>
          <w:lang w:eastAsia="en-GB"/>
        </w:rPr>
      </w:pPr>
    </w:p>
    <w:p w14:paraId="2EEA7ABC" w14:textId="23304213" w:rsidR="00AD3EDC" w:rsidRPr="004A00DA" w:rsidRDefault="00AD3EDC"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current EN228 petrol fuel standard permits the use of the supply of a 5% or 10% ethanol blend.  The 10% ethanol blend, E10, has been the reference fuel for new car approval for fuel consumption and emissions standards since 2016. The Government is intending to mandate fuel suppliers to start offering E10 during 2021, and issued a consultation document on this in March 2020.  98 octane E5 will still be available as the protection grade</w:t>
      </w:r>
      <w:r w:rsidR="002A035C" w:rsidRPr="004A00DA">
        <w:rPr>
          <w:rFonts w:ascii="Open Sans" w:hAnsi="Open Sans" w:cs="Open Sans"/>
          <w:sz w:val="20"/>
          <w:szCs w:val="20"/>
          <w:lang w:eastAsia="en-GB"/>
        </w:rPr>
        <w:t xml:space="preserve"> (meaning it will have to be offered at certain filling stations, to ensure that the minority of cars for which E10 is not compatible continue to have access to fuel)</w:t>
      </w:r>
      <w:r w:rsidRPr="004A00DA">
        <w:rPr>
          <w:rFonts w:ascii="Open Sans" w:hAnsi="Open Sans" w:cs="Open Sans"/>
          <w:sz w:val="20"/>
          <w:szCs w:val="20"/>
          <w:lang w:eastAsia="en-GB"/>
        </w:rPr>
        <w:t>.  The consultation proposals have been summarised by the REA and can be found on our website</w:t>
      </w:r>
      <w:r w:rsidRPr="004A00DA">
        <w:rPr>
          <w:rStyle w:val="FootnoteReference"/>
          <w:rFonts w:ascii="Open Sans" w:eastAsia="Times New Roman" w:hAnsi="Open Sans" w:cs="Open Sans"/>
          <w:sz w:val="20"/>
          <w:szCs w:val="20"/>
          <w:lang w:eastAsia="en-GB"/>
        </w:rPr>
        <w:footnoteReference w:id="15"/>
      </w:r>
      <w:r w:rsidRPr="004A00DA">
        <w:rPr>
          <w:rFonts w:ascii="Open Sans" w:hAnsi="Open Sans" w:cs="Open Sans"/>
          <w:sz w:val="20"/>
          <w:szCs w:val="20"/>
          <w:lang w:eastAsia="en-GB"/>
        </w:rPr>
        <w:t xml:space="preserve">.  A switch from E5 to E10 </w:t>
      </w:r>
      <w:r w:rsidR="002A035C" w:rsidRPr="004A00DA">
        <w:rPr>
          <w:rFonts w:ascii="Open Sans" w:hAnsi="Open Sans" w:cs="Open Sans"/>
          <w:sz w:val="20"/>
          <w:szCs w:val="20"/>
          <w:lang w:eastAsia="en-GB"/>
        </w:rPr>
        <w:t>would reduce the CO2 emissions from a petrol vehicle by around 2%</w:t>
      </w:r>
      <w:r w:rsidR="002A035C" w:rsidRPr="004A00DA" w:rsidDel="002A035C">
        <w:rPr>
          <w:rFonts w:ascii="Open Sans" w:hAnsi="Open Sans" w:cs="Open Sans"/>
          <w:sz w:val="20"/>
          <w:szCs w:val="20"/>
          <w:lang w:eastAsia="en-GB"/>
        </w:rPr>
        <w:t xml:space="preserve"> </w:t>
      </w:r>
      <w:r w:rsidR="002A035C" w:rsidRPr="004A00DA">
        <w:rPr>
          <w:rStyle w:val="FootnoteReference"/>
          <w:rFonts w:ascii="Open Sans" w:hAnsi="Open Sans" w:cs="Open Sans"/>
          <w:sz w:val="20"/>
          <w:szCs w:val="20"/>
          <w:lang w:eastAsia="en-GB"/>
        </w:rPr>
        <w:footnoteReference w:id="16"/>
      </w:r>
      <w:r w:rsidR="002A035C" w:rsidRPr="004A00DA">
        <w:rPr>
          <w:rFonts w:ascii="Open Sans" w:hAnsi="Open Sans" w:cs="Open Sans"/>
          <w:sz w:val="20"/>
          <w:szCs w:val="20"/>
          <w:lang w:eastAsia="en-GB"/>
        </w:rPr>
        <w:t>.</w:t>
      </w:r>
    </w:p>
    <w:p w14:paraId="74734121" w14:textId="77777777" w:rsidR="00AD3EDC" w:rsidRPr="004A00DA" w:rsidRDefault="00AD3EDC"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It is possible to run cars on higher blends than E10.  The French </w:t>
      </w:r>
      <w:r w:rsidR="00A74B81" w:rsidRPr="004A00DA">
        <w:rPr>
          <w:rFonts w:ascii="Open Sans" w:hAnsi="Open Sans" w:cs="Open Sans"/>
          <w:sz w:val="20"/>
          <w:szCs w:val="20"/>
          <w:lang w:eastAsia="en-GB"/>
        </w:rPr>
        <w:t>Government</w:t>
      </w:r>
      <w:r w:rsidRPr="004A00DA">
        <w:rPr>
          <w:rFonts w:ascii="Open Sans" w:hAnsi="Open Sans" w:cs="Open Sans"/>
          <w:sz w:val="20"/>
          <w:szCs w:val="20"/>
          <w:lang w:eastAsia="en-GB"/>
        </w:rPr>
        <w:t xml:space="preserve"> approved the sale of conversion boxes, which allow standard petrol cars to run on Superethanol E85 (fuel containing 85% ethanol), which is sold at a significantly cheaper price than standard gasoline</w:t>
      </w:r>
      <w:r w:rsidRPr="004A00DA">
        <w:rPr>
          <w:rStyle w:val="FootnoteReference"/>
          <w:rFonts w:ascii="Open Sans" w:eastAsia="Times New Roman" w:hAnsi="Open Sans" w:cs="Open Sans"/>
          <w:sz w:val="20"/>
          <w:szCs w:val="20"/>
          <w:lang w:eastAsia="en-GB"/>
        </w:rPr>
        <w:footnoteReference w:id="17"/>
      </w:r>
      <w:r w:rsidRPr="004A00DA">
        <w:rPr>
          <w:rFonts w:ascii="Open Sans" w:hAnsi="Open Sans" w:cs="Open Sans"/>
          <w:sz w:val="20"/>
          <w:szCs w:val="20"/>
          <w:lang w:eastAsia="en-GB"/>
        </w:rPr>
        <w:t>.</w:t>
      </w:r>
      <w:r w:rsidRPr="004A00DA">
        <w:rPr>
          <w:rFonts w:ascii="Open Sans" w:hAnsi="Open Sans" w:cs="Open Sans"/>
          <w:color w:val="888888"/>
          <w:sz w:val="20"/>
          <w:szCs w:val="20"/>
          <w:shd w:val="clear" w:color="auto" w:fill="FFFFFF"/>
        </w:rPr>
        <w:t xml:space="preserve">  </w:t>
      </w:r>
      <w:r w:rsidR="00A74B81" w:rsidRPr="004A00DA">
        <w:rPr>
          <w:rFonts w:ascii="Open Sans" w:hAnsi="Open Sans" w:cs="Open Sans"/>
          <w:sz w:val="20"/>
          <w:szCs w:val="20"/>
        </w:rPr>
        <w:t>Brazil also has a high proportion of flexible fuel vehicles (FFVs) able to use 85% ethanol blend.</w:t>
      </w:r>
    </w:p>
    <w:p w14:paraId="04969018" w14:textId="74C0F8CA" w:rsidR="00AD3EDC" w:rsidRPr="004A00DA" w:rsidRDefault="00AD3EDC"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It was estimated that in 2017 the UK had a production capacity of 985 million litres of renewable ethanol; this was the third highest volume in Europe at the time</w:t>
      </w:r>
      <w:r w:rsidR="005618F1" w:rsidRPr="004A00DA">
        <w:rPr>
          <w:rStyle w:val="FootnoteReference"/>
          <w:rFonts w:ascii="Open Sans" w:eastAsia="Times New Roman" w:hAnsi="Open Sans" w:cs="Open Sans"/>
          <w:sz w:val="20"/>
          <w:szCs w:val="20"/>
          <w:lang w:eastAsia="en-GB"/>
        </w:rPr>
        <w:footnoteReference w:id="18"/>
      </w:r>
      <w:r w:rsidRPr="004A00DA">
        <w:rPr>
          <w:rFonts w:ascii="Open Sans" w:eastAsia="Times New Roman" w:hAnsi="Open Sans" w:cs="Open Sans"/>
          <w:sz w:val="20"/>
          <w:szCs w:val="20"/>
          <w:lang w:eastAsia="en-GB"/>
        </w:rPr>
        <w:t>. However, a lack of urgency in the introduction of E10 and low bioethanol prices has overseen a downturn in the UK industry. An accumulation of market factors has contributed to the shutting down of the Vivergo plant in Hull and Ensus plant in Teesside in 2018. The Vivergo plant had employed over 130 people and supported 3,000 jobs while contributing £600 million to the UK economy. It is estimated that around 2,000 farms are involved in the UK domestic bioethanol market</w:t>
      </w:r>
      <w:r w:rsidR="002A035C" w:rsidRPr="004A00DA">
        <w:rPr>
          <w:rStyle w:val="FootnoteReference"/>
          <w:rFonts w:ascii="Open Sans" w:eastAsia="Times New Roman" w:hAnsi="Open Sans" w:cs="Open Sans"/>
          <w:sz w:val="20"/>
          <w:szCs w:val="20"/>
          <w:lang w:eastAsia="en-GB"/>
        </w:rPr>
        <w:footnoteReference w:id="19"/>
      </w:r>
      <w:r w:rsidRPr="004A00DA">
        <w:rPr>
          <w:rFonts w:ascii="Open Sans" w:eastAsia="Times New Roman" w:hAnsi="Open Sans" w:cs="Open Sans"/>
          <w:sz w:val="20"/>
          <w:szCs w:val="20"/>
          <w:lang w:eastAsia="en-GB"/>
        </w:rPr>
        <w:t>. The figures for 2019 reveal a slight deficit based on UK capacity. 462 million litres of bioethanol was produced in the UK in 2019, with 31% of this coming from non-EC corn</w:t>
      </w:r>
      <w:r w:rsidR="00234CCF" w:rsidRPr="004A00DA">
        <w:rPr>
          <w:rStyle w:val="FootnoteReference"/>
          <w:rFonts w:ascii="Open Sans" w:eastAsia="Times New Roman" w:hAnsi="Open Sans" w:cs="Open Sans"/>
          <w:sz w:val="20"/>
          <w:szCs w:val="20"/>
          <w:lang w:eastAsia="en-GB"/>
        </w:rPr>
        <w:footnoteReference w:id="20"/>
      </w:r>
      <w:r w:rsidR="00234CCF" w:rsidRPr="004A00DA">
        <w:rPr>
          <w:rFonts w:ascii="Open Sans" w:eastAsia="Times New Roman" w:hAnsi="Open Sans" w:cs="Open Sans"/>
          <w:sz w:val="20"/>
          <w:szCs w:val="20"/>
          <w:lang w:eastAsia="en-GB"/>
        </w:rPr>
        <w:t>.</w:t>
      </w:r>
    </w:p>
    <w:p w14:paraId="1F229AFF" w14:textId="46481C0F" w:rsidR="0060267B" w:rsidRPr="00984981" w:rsidRDefault="00984981" w:rsidP="004A00DA">
      <w:pPr>
        <w:pStyle w:val="Heading3"/>
        <w:tabs>
          <w:tab w:val="left" w:pos="426"/>
          <w:tab w:val="left" w:pos="993"/>
        </w:tabs>
        <w:rPr>
          <w:rFonts w:ascii="Open Sans" w:hAnsi="Open Sans" w:cs="Open Sans"/>
          <w:sz w:val="20"/>
          <w:szCs w:val="20"/>
          <w:lang w:eastAsia="en-GB"/>
        </w:rPr>
      </w:pPr>
      <w:bookmarkStart w:id="13" w:name="_Toc34921717"/>
      <w:r w:rsidRPr="00984981">
        <w:rPr>
          <w:rFonts w:ascii="Open Sans" w:hAnsi="Open Sans" w:cs="Open Sans"/>
          <w:sz w:val="20"/>
          <w:szCs w:val="20"/>
          <w:lang w:eastAsia="en-GB"/>
        </w:rPr>
        <w:t xml:space="preserve">2.2.5 </w:t>
      </w:r>
      <w:r w:rsidR="000A0DF3" w:rsidRPr="00984981">
        <w:rPr>
          <w:rFonts w:ascii="Open Sans" w:hAnsi="Open Sans" w:cs="Open Sans"/>
          <w:sz w:val="20"/>
          <w:szCs w:val="20"/>
          <w:lang w:eastAsia="en-GB"/>
        </w:rPr>
        <w:t xml:space="preserve">Bio </w:t>
      </w:r>
      <w:r w:rsidRPr="00984981">
        <w:rPr>
          <w:rFonts w:ascii="Open Sans" w:hAnsi="Open Sans" w:cs="Open Sans"/>
          <w:sz w:val="20"/>
          <w:szCs w:val="20"/>
          <w:lang w:eastAsia="en-GB"/>
        </w:rPr>
        <w:t>P</w:t>
      </w:r>
      <w:r w:rsidR="000A0DF3" w:rsidRPr="00984981">
        <w:rPr>
          <w:rFonts w:ascii="Open Sans" w:hAnsi="Open Sans" w:cs="Open Sans"/>
          <w:sz w:val="20"/>
          <w:szCs w:val="20"/>
          <w:lang w:eastAsia="en-GB"/>
        </w:rPr>
        <w:t>ropane</w:t>
      </w:r>
      <w:bookmarkEnd w:id="13"/>
    </w:p>
    <w:p w14:paraId="627F3F08" w14:textId="77777777" w:rsidR="005618F1" w:rsidRPr="004A00DA" w:rsidRDefault="005618F1" w:rsidP="004A00DA">
      <w:pPr>
        <w:tabs>
          <w:tab w:val="left" w:pos="426"/>
          <w:tab w:val="left" w:pos="993"/>
        </w:tabs>
        <w:rPr>
          <w:rFonts w:ascii="Open Sans" w:hAnsi="Open Sans" w:cs="Open Sans"/>
          <w:sz w:val="20"/>
          <w:szCs w:val="20"/>
          <w:lang w:eastAsia="en-GB"/>
        </w:rPr>
      </w:pPr>
    </w:p>
    <w:p w14:paraId="0DA0FDE9" w14:textId="77777777" w:rsidR="00A84DCF" w:rsidRPr="004A00DA" w:rsidRDefault="00A84D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LPG is a mixture of propane and butane.  </w:t>
      </w:r>
      <w:r w:rsidR="000A0DF3" w:rsidRPr="004A00DA">
        <w:rPr>
          <w:rFonts w:ascii="Open Sans" w:hAnsi="Open Sans" w:cs="Open Sans"/>
          <w:sz w:val="20"/>
          <w:szCs w:val="20"/>
          <w:lang w:eastAsia="en-GB"/>
        </w:rPr>
        <w:t>Bio propane</w:t>
      </w:r>
      <w:r w:rsidRPr="004A00DA">
        <w:rPr>
          <w:rFonts w:ascii="Open Sans" w:hAnsi="Open Sans" w:cs="Open Sans"/>
          <w:sz w:val="20"/>
          <w:szCs w:val="20"/>
          <w:lang w:eastAsia="en-GB"/>
        </w:rPr>
        <w:t xml:space="preserve"> is the renewable equivalent of this fuel, and is a </w:t>
      </w:r>
      <w:r w:rsidR="000A0DF3" w:rsidRPr="004A00DA">
        <w:rPr>
          <w:rFonts w:ascii="Open Sans" w:hAnsi="Open Sans" w:cs="Open Sans"/>
          <w:sz w:val="20"/>
          <w:szCs w:val="20"/>
          <w:lang w:eastAsia="en-GB"/>
        </w:rPr>
        <w:t>by-product</w:t>
      </w:r>
      <w:r w:rsidRPr="004A00DA">
        <w:rPr>
          <w:rFonts w:ascii="Open Sans" w:hAnsi="Open Sans" w:cs="Open Sans"/>
          <w:sz w:val="20"/>
          <w:szCs w:val="20"/>
          <w:lang w:eastAsia="en-GB"/>
        </w:rPr>
        <w:t xml:space="preserve"> from the production of hydro treated vegetable oil (HVO).  </w:t>
      </w:r>
      <w:r w:rsidR="000A0DF3" w:rsidRPr="004A00DA">
        <w:rPr>
          <w:rFonts w:ascii="Open Sans" w:hAnsi="Open Sans" w:cs="Open Sans"/>
          <w:sz w:val="20"/>
          <w:szCs w:val="20"/>
          <w:lang w:eastAsia="en-GB"/>
        </w:rPr>
        <w:t xml:space="preserve">It may be possible to produce propane via a RFNBO route, but this has not been explored, due to its prevalence as a by-product of natural gas and oil extraction and oil refining.   It boils at a low temperature and is stored in pressurised steel vessels such as gas bottles or bulk LPG tanks.  </w:t>
      </w:r>
      <w:r w:rsidR="00F3663C" w:rsidRPr="004A00DA">
        <w:rPr>
          <w:rFonts w:ascii="Open Sans" w:hAnsi="Open Sans" w:cs="Open Sans"/>
          <w:sz w:val="20"/>
          <w:szCs w:val="20"/>
          <w:lang w:eastAsia="en-GB"/>
        </w:rPr>
        <w:t xml:space="preserve">It </w:t>
      </w:r>
      <w:r w:rsidRPr="004A00DA">
        <w:rPr>
          <w:rFonts w:ascii="Open Sans" w:hAnsi="Open Sans" w:cs="Open Sans"/>
          <w:sz w:val="20"/>
          <w:szCs w:val="20"/>
          <w:lang w:eastAsia="en-GB"/>
        </w:rPr>
        <w:t>is particularly used in forklift trucks.</w:t>
      </w:r>
    </w:p>
    <w:p w14:paraId="74397BE1" w14:textId="77777777" w:rsidR="006B5F84"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It is estimated that between 120,000 and 170,000 vehicles currently run on LPG</w:t>
      </w:r>
      <w:r w:rsidR="008168FC" w:rsidRPr="004A00DA">
        <w:rPr>
          <w:rFonts w:ascii="Open Sans" w:hAnsi="Open Sans" w:cs="Open Sans"/>
          <w:sz w:val="20"/>
          <w:szCs w:val="20"/>
          <w:lang w:eastAsia="en-GB"/>
        </w:rPr>
        <w:t xml:space="preserve"> (propane)</w:t>
      </w:r>
      <w:r w:rsidRPr="004A00DA">
        <w:rPr>
          <w:rFonts w:ascii="Open Sans" w:hAnsi="Open Sans" w:cs="Open Sans"/>
          <w:sz w:val="20"/>
          <w:szCs w:val="20"/>
          <w:lang w:eastAsia="en-GB"/>
        </w:rPr>
        <w:t xml:space="preserve">, </w:t>
      </w:r>
      <w:r w:rsidR="008168FC" w:rsidRPr="004A00DA">
        <w:rPr>
          <w:rFonts w:ascii="Open Sans" w:hAnsi="Open Sans" w:cs="Open Sans"/>
          <w:sz w:val="20"/>
          <w:szCs w:val="20"/>
          <w:lang w:eastAsia="en-GB"/>
        </w:rPr>
        <w:t>al</w:t>
      </w:r>
      <w:r w:rsidRPr="004A00DA">
        <w:rPr>
          <w:rFonts w:ascii="Open Sans" w:hAnsi="Open Sans" w:cs="Open Sans"/>
          <w:sz w:val="20"/>
          <w:szCs w:val="20"/>
          <w:lang w:eastAsia="en-GB"/>
        </w:rPr>
        <w:t xml:space="preserve">though the vast majority of this is </w:t>
      </w:r>
      <w:r w:rsidR="008168FC" w:rsidRPr="004A00DA">
        <w:rPr>
          <w:rFonts w:ascii="Open Sans" w:hAnsi="Open Sans" w:cs="Open Sans"/>
          <w:sz w:val="20"/>
          <w:szCs w:val="20"/>
          <w:lang w:eastAsia="en-GB"/>
        </w:rPr>
        <w:t>fossil fuel</w:t>
      </w:r>
      <w:r w:rsidRPr="004A00DA">
        <w:rPr>
          <w:rFonts w:ascii="Open Sans" w:hAnsi="Open Sans" w:cs="Open Sans"/>
          <w:sz w:val="20"/>
          <w:szCs w:val="20"/>
          <w:lang w:eastAsia="en-GB"/>
        </w:rPr>
        <w:t xml:space="preserve">. One UK supplier offers </w:t>
      </w:r>
      <w:r w:rsidR="000A0DF3" w:rsidRPr="004A00DA">
        <w:rPr>
          <w:rFonts w:ascii="Open Sans" w:hAnsi="Open Sans" w:cs="Open Sans"/>
          <w:sz w:val="20"/>
          <w:szCs w:val="20"/>
          <w:lang w:eastAsia="en-GB"/>
        </w:rPr>
        <w:t>bio propane</w:t>
      </w:r>
      <w:r w:rsidRPr="004A00DA">
        <w:rPr>
          <w:rFonts w:ascii="Open Sans" w:hAnsi="Open Sans" w:cs="Open Sans"/>
          <w:sz w:val="20"/>
          <w:szCs w:val="20"/>
          <w:lang w:eastAsia="en-GB"/>
        </w:rPr>
        <w:t xml:space="preserve"> and is selling it in a 40% blend with fossil-derived LPG. </w:t>
      </w:r>
      <w:r w:rsidR="008168FC" w:rsidRPr="004A00DA">
        <w:rPr>
          <w:rFonts w:ascii="Open Sans" w:hAnsi="Open Sans" w:cs="Open Sans"/>
          <w:sz w:val="20"/>
          <w:szCs w:val="20"/>
          <w:lang w:eastAsia="en-GB"/>
        </w:rPr>
        <w:t xml:space="preserve"> </w:t>
      </w:r>
    </w:p>
    <w:p w14:paraId="5C525555" w14:textId="1FC6A97F" w:rsidR="0060267B" w:rsidRPr="00984981" w:rsidRDefault="00984981" w:rsidP="004A00DA">
      <w:pPr>
        <w:pStyle w:val="Heading3"/>
        <w:tabs>
          <w:tab w:val="left" w:pos="426"/>
          <w:tab w:val="left" w:pos="993"/>
        </w:tabs>
        <w:rPr>
          <w:rFonts w:ascii="Open Sans" w:hAnsi="Open Sans" w:cs="Open Sans"/>
          <w:sz w:val="20"/>
          <w:szCs w:val="20"/>
          <w:lang w:eastAsia="en-GB"/>
        </w:rPr>
      </w:pPr>
      <w:bookmarkStart w:id="14" w:name="_Toc34921718"/>
      <w:r w:rsidRPr="00984981">
        <w:rPr>
          <w:rFonts w:ascii="Open Sans" w:hAnsi="Open Sans" w:cs="Open Sans"/>
          <w:sz w:val="20"/>
          <w:szCs w:val="20"/>
          <w:lang w:eastAsia="en-GB"/>
        </w:rPr>
        <w:t xml:space="preserve">2.2.6 </w:t>
      </w:r>
      <w:r w:rsidR="0060267B" w:rsidRPr="00984981">
        <w:rPr>
          <w:rFonts w:ascii="Open Sans" w:hAnsi="Open Sans" w:cs="Open Sans"/>
          <w:sz w:val="20"/>
          <w:szCs w:val="20"/>
          <w:lang w:eastAsia="en-GB"/>
        </w:rPr>
        <w:t>Biomethane</w:t>
      </w:r>
      <w:bookmarkEnd w:id="14"/>
      <w:r w:rsidR="0060267B" w:rsidRPr="00984981">
        <w:rPr>
          <w:rFonts w:ascii="Open Sans" w:hAnsi="Open Sans" w:cs="Open Sans"/>
          <w:sz w:val="20"/>
          <w:szCs w:val="20"/>
          <w:lang w:eastAsia="en-GB"/>
        </w:rPr>
        <w:t xml:space="preserve"> </w:t>
      </w:r>
    </w:p>
    <w:p w14:paraId="5287A9BB" w14:textId="77777777" w:rsidR="005618F1" w:rsidRPr="004A00DA" w:rsidRDefault="005618F1" w:rsidP="004A00DA">
      <w:pPr>
        <w:tabs>
          <w:tab w:val="left" w:pos="426"/>
          <w:tab w:val="left" w:pos="993"/>
        </w:tabs>
        <w:rPr>
          <w:rFonts w:ascii="Open Sans" w:hAnsi="Open Sans" w:cs="Open Sans"/>
          <w:sz w:val="20"/>
          <w:szCs w:val="20"/>
          <w:lang w:eastAsia="en-GB"/>
        </w:rPr>
      </w:pPr>
    </w:p>
    <w:p w14:paraId="5DA07B9D" w14:textId="1FDDDFA8" w:rsidR="003E16AE"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Biomethane</w:t>
      </w:r>
      <w:r w:rsidR="00F85B5B" w:rsidRPr="004A00DA">
        <w:rPr>
          <w:rFonts w:ascii="Open Sans" w:hAnsi="Open Sans" w:cs="Open Sans"/>
          <w:sz w:val="20"/>
          <w:szCs w:val="20"/>
          <w:lang w:eastAsia="en-GB"/>
        </w:rPr>
        <w:t xml:space="preserve">, derived from anaerobic digestion of wastes and other biological </w:t>
      </w:r>
      <w:r w:rsidR="000A0DF3" w:rsidRPr="004A00DA">
        <w:rPr>
          <w:rFonts w:ascii="Open Sans" w:hAnsi="Open Sans" w:cs="Open Sans"/>
          <w:sz w:val="20"/>
          <w:szCs w:val="20"/>
          <w:lang w:eastAsia="en-GB"/>
        </w:rPr>
        <w:t>materials,</w:t>
      </w:r>
      <w:r w:rsidRPr="004A00DA">
        <w:rPr>
          <w:rFonts w:ascii="Open Sans" w:hAnsi="Open Sans" w:cs="Open Sans"/>
          <w:sz w:val="20"/>
          <w:szCs w:val="20"/>
          <w:lang w:eastAsia="en-GB"/>
        </w:rPr>
        <w:t xml:space="preserve"> can provide significant environmental benefits over traditional fossil fuels</w:t>
      </w:r>
      <w:r w:rsidR="00F85B5B" w:rsidRPr="004A00DA">
        <w:rPr>
          <w:rFonts w:ascii="Open Sans" w:hAnsi="Open Sans" w:cs="Open Sans"/>
          <w:sz w:val="20"/>
          <w:szCs w:val="20"/>
          <w:lang w:eastAsia="en-GB"/>
        </w:rPr>
        <w:t xml:space="preserve"> </w:t>
      </w:r>
      <w:r w:rsidR="00F3663C" w:rsidRPr="004A00DA">
        <w:rPr>
          <w:rFonts w:ascii="Open Sans" w:hAnsi="Open Sans" w:cs="Open Sans"/>
          <w:sz w:val="20"/>
          <w:szCs w:val="20"/>
          <w:lang w:eastAsia="en-GB"/>
        </w:rPr>
        <w:t>and delivers</w:t>
      </w:r>
      <w:r w:rsidR="00F85B5B"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negative emissions if produced using livestock manure.</w:t>
      </w:r>
      <w:r w:rsidR="00F85B5B"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The UK currently mixes 0.</w:t>
      </w:r>
      <w:r w:rsidR="00A74B81" w:rsidRPr="004A00DA">
        <w:rPr>
          <w:rFonts w:ascii="Open Sans" w:hAnsi="Open Sans" w:cs="Open Sans"/>
          <w:sz w:val="20"/>
          <w:szCs w:val="20"/>
          <w:lang w:eastAsia="en-GB"/>
        </w:rPr>
        <w:t>4</w:t>
      </w:r>
      <w:r w:rsidRPr="004A00DA">
        <w:rPr>
          <w:rFonts w:ascii="Open Sans" w:hAnsi="Open Sans" w:cs="Open Sans"/>
          <w:sz w:val="20"/>
          <w:szCs w:val="20"/>
          <w:lang w:eastAsia="en-GB"/>
        </w:rPr>
        <w:t>%</w:t>
      </w:r>
      <w:r w:rsidR="00A74B81" w:rsidRPr="004A00DA">
        <w:rPr>
          <w:rFonts w:ascii="Open Sans" w:hAnsi="Open Sans" w:cs="Open Sans"/>
          <w:sz w:val="20"/>
          <w:szCs w:val="20"/>
          <w:lang w:eastAsia="en-GB"/>
        </w:rPr>
        <w:t xml:space="preserve"> </w:t>
      </w:r>
      <w:r w:rsidR="005618F1" w:rsidRPr="004A00DA">
        <w:rPr>
          <w:rFonts w:ascii="Open Sans" w:hAnsi="Open Sans" w:cs="Open Sans"/>
          <w:sz w:val="20"/>
          <w:szCs w:val="20"/>
          <w:lang w:eastAsia="en-GB"/>
        </w:rPr>
        <w:t>(</w:t>
      </w:r>
      <w:r w:rsidR="005618F1" w:rsidRPr="004A00DA">
        <w:rPr>
          <w:rFonts w:ascii="Open Sans" w:hAnsi="Open Sans" w:cs="Open Sans"/>
          <w:b/>
          <w:bCs/>
          <w:sz w:val="20"/>
          <w:szCs w:val="20"/>
          <w:lang w:eastAsia="en-GB"/>
        </w:rPr>
        <w:t>Note to members</w:t>
      </w:r>
      <w:r w:rsidR="005618F1" w:rsidRPr="004A00DA">
        <w:rPr>
          <w:rFonts w:ascii="Open Sans" w:hAnsi="Open Sans" w:cs="Open Sans"/>
          <w:sz w:val="20"/>
          <w:szCs w:val="20"/>
          <w:lang w:eastAsia="en-GB"/>
        </w:rPr>
        <w:t>: seeking input on biomethane blend rate)</w:t>
      </w:r>
      <w:r w:rsidRPr="004A00DA">
        <w:rPr>
          <w:rFonts w:ascii="Open Sans" w:hAnsi="Open Sans" w:cs="Open Sans"/>
          <w:sz w:val="20"/>
          <w:szCs w:val="20"/>
          <w:lang w:eastAsia="en-GB"/>
        </w:rPr>
        <w:t xml:space="preserve"> into</w:t>
      </w:r>
      <w:r w:rsidR="00F85B5B" w:rsidRPr="004A00DA">
        <w:rPr>
          <w:rFonts w:ascii="Open Sans" w:hAnsi="Open Sans" w:cs="Open Sans"/>
          <w:sz w:val="20"/>
          <w:szCs w:val="20"/>
          <w:lang w:eastAsia="en-GB"/>
        </w:rPr>
        <w:t xml:space="preserve"> the</w:t>
      </w:r>
      <w:r w:rsidRPr="004A00DA">
        <w:rPr>
          <w:rFonts w:ascii="Open Sans" w:hAnsi="Open Sans" w:cs="Open Sans"/>
          <w:sz w:val="20"/>
          <w:szCs w:val="20"/>
          <w:lang w:eastAsia="en-GB"/>
        </w:rPr>
        <w:t xml:space="preserve"> natural gas</w:t>
      </w:r>
      <w:r w:rsidR="00F85B5B" w:rsidRPr="004A00DA">
        <w:rPr>
          <w:rFonts w:ascii="Open Sans" w:hAnsi="Open Sans" w:cs="Open Sans"/>
          <w:sz w:val="20"/>
          <w:szCs w:val="20"/>
          <w:lang w:eastAsia="en-GB"/>
        </w:rPr>
        <w:t xml:space="preserve"> network from </w:t>
      </w:r>
      <w:r w:rsidR="00A74B81" w:rsidRPr="004A00DA">
        <w:rPr>
          <w:rFonts w:ascii="Open Sans" w:hAnsi="Open Sans" w:cs="Open Sans"/>
          <w:sz w:val="20"/>
          <w:szCs w:val="20"/>
          <w:lang w:eastAsia="en-GB"/>
        </w:rPr>
        <w:t>over</w:t>
      </w:r>
      <w:r w:rsidR="00F85B5B" w:rsidRPr="004A00DA">
        <w:rPr>
          <w:rFonts w:ascii="Open Sans" w:hAnsi="Open Sans" w:cs="Open Sans"/>
          <w:sz w:val="20"/>
          <w:szCs w:val="20"/>
          <w:lang w:eastAsia="en-GB"/>
        </w:rPr>
        <w:t xml:space="preserve"> </w:t>
      </w:r>
      <w:r w:rsidR="00F3663C" w:rsidRPr="004A00DA">
        <w:rPr>
          <w:rFonts w:ascii="Open Sans" w:hAnsi="Open Sans" w:cs="Open Sans"/>
          <w:sz w:val="20"/>
          <w:szCs w:val="20"/>
          <w:lang w:eastAsia="en-GB"/>
        </w:rPr>
        <w:t xml:space="preserve">80 </w:t>
      </w:r>
      <w:r w:rsidR="00F85B5B" w:rsidRPr="004A00DA">
        <w:rPr>
          <w:rFonts w:ascii="Open Sans" w:hAnsi="Open Sans" w:cs="Open Sans"/>
          <w:sz w:val="20"/>
          <w:szCs w:val="20"/>
          <w:lang w:eastAsia="en-GB"/>
        </w:rPr>
        <w:t>sites, largely s</w:t>
      </w:r>
      <w:r w:rsidR="007F7A05" w:rsidRPr="004A00DA">
        <w:rPr>
          <w:rFonts w:ascii="Open Sans" w:hAnsi="Open Sans" w:cs="Open Sans"/>
          <w:sz w:val="20"/>
          <w:szCs w:val="20"/>
          <w:lang w:eastAsia="en-GB"/>
        </w:rPr>
        <w:t>ituated in agricultural region</w:t>
      </w:r>
      <w:r w:rsidR="00F85B5B" w:rsidRPr="004A00DA">
        <w:rPr>
          <w:rFonts w:ascii="Open Sans" w:hAnsi="Open Sans" w:cs="Open Sans"/>
          <w:sz w:val="20"/>
          <w:szCs w:val="20"/>
          <w:lang w:eastAsia="en-GB"/>
        </w:rPr>
        <w:t>s of the UK</w:t>
      </w:r>
      <w:r w:rsidRPr="004A00DA">
        <w:rPr>
          <w:rFonts w:ascii="Open Sans" w:hAnsi="Open Sans" w:cs="Open Sans"/>
          <w:sz w:val="20"/>
          <w:szCs w:val="20"/>
          <w:lang w:eastAsia="en-GB"/>
        </w:rPr>
        <w:t xml:space="preserve">. </w:t>
      </w:r>
      <w:r w:rsidR="003E16AE" w:rsidRPr="004A00DA">
        <w:rPr>
          <w:rFonts w:ascii="Open Sans" w:hAnsi="Open Sans" w:cs="Open Sans"/>
          <w:sz w:val="20"/>
          <w:szCs w:val="20"/>
          <w:lang w:eastAsia="en-GB"/>
        </w:rPr>
        <w:t xml:space="preserve"> </w:t>
      </w:r>
      <w:r w:rsidR="00A84DCF" w:rsidRPr="004A00DA">
        <w:rPr>
          <w:rFonts w:ascii="Open Sans" w:hAnsi="Open Sans" w:cs="Open Sans"/>
          <w:sz w:val="20"/>
          <w:szCs w:val="20"/>
          <w:lang w:eastAsia="en-GB"/>
        </w:rPr>
        <w:t>Biomethane</w:t>
      </w:r>
      <w:r w:rsidR="003E16AE" w:rsidRPr="004A00DA">
        <w:rPr>
          <w:rFonts w:ascii="Open Sans" w:hAnsi="Open Sans" w:cs="Open Sans"/>
          <w:sz w:val="20"/>
          <w:szCs w:val="20"/>
          <w:lang w:eastAsia="en-GB"/>
        </w:rPr>
        <w:t xml:space="preserve"> is typically mass-</w:t>
      </w:r>
      <w:r w:rsidR="00234CCF" w:rsidRPr="004A00DA">
        <w:rPr>
          <w:rFonts w:ascii="Open Sans" w:hAnsi="Open Sans" w:cs="Open Sans"/>
          <w:sz w:val="20"/>
          <w:szCs w:val="20"/>
          <w:lang w:eastAsia="en-GB"/>
        </w:rPr>
        <w:t>balanced and</w:t>
      </w:r>
      <w:r w:rsidR="003E16AE" w:rsidRPr="004A00DA">
        <w:rPr>
          <w:rFonts w:ascii="Open Sans" w:hAnsi="Open Sans" w:cs="Open Sans"/>
          <w:sz w:val="20"/>
          <w:szCs w:val="20"/>
          <w:lang w:eastAsia="en-GB"/>
        </w:rPr>
        <w:t xml:space="preserve"> is provided either in compressed or liquefied</w:t>
      </w:r>
      <w:r w:rsidR="00F3663C" w:rsidRPr="004A00DA">
        <w:rPr>
          <w:rFonts w:ascii="Open Sans" w:hAnsi="Open Sans" w:cs="Open Sans"/>
          <w:sz w:val="20"/>
          <w:szCs w:val="20"/>
          <w:lang w:eastAsia="en-GB"/>
        </w:rPr>
        <w:t xml:space="preserve"> form</w:t>
      </w:r>
      <w:r w:rsidR="003E16AE" w:rsidRPr="004A00DA">
        <w:rPr>
          <w:rFonts w:ascii="Open Sans" w:hAnsi="Open Sans" w:cs="Open Sans"/>
          <w:sz w:val="20"/>
          <w:szCs w:val="20"/>
          <w:lang w:eastAsia="en-GB"/>
        </w:rPr>
        <w:t xml:space="preserve">.  It is used predominantly for 42 tonne HGVs and buses.  Compressed biomethane requires more storage space on the </w:t>
      </w:r>
      <w:r w:rsidR="00234CCF" w:rsidRPr="004A00DA">
        <w:rPr>
          <w:rFonts w:ascii="Open Sans" w:hAnsi="Open Sans" w:cs="Open Sans"/>
          <w:sz w:val="20"/>
          <w:szCs w:val="20"/>
          <w:lang w:eastAsia="en-GB"/>
        </w:rPr>
        <w:t>tractor and</w:t>
      </w:r>
      <w:r w:rsidR="003E16AE" w:rsidRPr="004A00DA">
        <w:rPr>
          <w:rFonts w:ascii="Open Sans" w:hAnsi="Open Sans" w:cs="Open Sans"/>
          <w:sz w:val="20"/>
          <w:szCs w:val="20"/>
          <w:lang w:eastAsia="en-GB"/>
        </w:rPr>
        <w:t xml:space="preserve"> is generally used on 2 axle tractor configurations.  It is stored at pressures of [250bar], whilst LNG is stored at 5 – 10 bar but requires refrigeration at around -160 Celsius.</w:t>
      </w:r>
      <w:r w:rsidR="00A84DCF" w:rsidRPr="004A00DA">
        <w:rPr>
          <w:rFonts w:ascii="Open Sans" w:hAnsi="Open Sans" w:cs="Open Sans"/>
          <w:sz w:val="20"/>
          <w:szCs w:val="20"/>
          <w:lang w:eastAsia="en-GB"/>
        </w:rPr>
        <w:t xml:space="preserve"> Production </w:t>
      </w:r>
      <w:r w:rsidR="003E16AE" w:rsidRPr="004A00DA">
        <w:rPr>
          <w:rFonts w:ascii="Open Sans" w:hAnsi="Open Sans" w:cs="Open Sans"/>
          <w:sz w:val="20"/>
          <w:szCs w:val="20"/>
          <w:lang w:eastAsia="en-GB"/>
        </w:rPr>
        <w:t xml:space="preserve">pathways </w:t>
      </w:r>
      <w:r w:rsidR="00A84DCF" w:rsidRPr="004A00DA">
        <w:rPr>
          <w:rFonts w:ascii="Open Sans" w:hAnsi="Open Sans" w:cs="Open Sans"/>
          <w:sz w:val="20"/>
          <w:szCs w:val="20"/>
          <w:lang w:eastAsia="en-GB"/>
        </w:rPr>
        <w:t>vary considerably</w:t>
      </w:r>
      <w:r w:rsidR="00F3663C" w:rsidRPr="004A00DA">
        <w:rPr>
          <w:rFonts w:ascii="Open Sans" w:hAnsi="Open Sans" w:cs="Open Sans"/>
          <w:sz w:val="20"/>
          <w:szCs w:val="20"/>
          <w:lang w:eastAsia="en-GB"/>
        </w:rPr>
        <w:t>, which accounts for the fairly</w:t>
      </w:r>
      <w:r w:rsidR="00A84DCF" w:rsidRPr="004A00DA">
        <w:rPr>
          <w:rFonts w:ascii="Open Sans" w:hAnsi="Open Sans" w:cs="Open Sans"/>
          <w:sz w:val="20"/>
          <w:szCs w:val="20"/>
          <w:lang w:eastAsia="en-GB"/>
        </w:rPr>
        <w:t xml:space="preserve"> wide WTT emissions factors</w:t>
      </w:r>
      <w:r w:rsidR="00F3663C" w:rsidRPr="004A00DA">
        <w:rPr>
          <w:rFonts w:ascii="Open Sans" w:hAnsi="Open Sans" w:cs="Open Sans"/>
          <w:sz w:val="20"/>
          <w:szCs w:val="20"/>
          <w:lang w:eastAsia="en-GB"/>
        </w:rPr>
        <w:t xml:space="preserve"> in </w:t>
      </w:r>
      <w:r w:rsidR="005618F1" w:rsidRPr="004A00DA">
        <w:rPr>
          <w:rFonts w:ascii="Open Sans" w:hAnsi="Open Sans" w:cs="Open Sans"/>
          <w:sz w:val="20"/>
          <w:szCs w:val="20"/>
          <w:lang w:eastAsia="en-GB"/>
        </w:rPr>
        <w:t>(</w:t>
      </w:r>
      <w:r w:rsidR="00234CCF" w:rsidRPr="004A00DA">
        <w:rPr>
          <w:rFonts w:ascii="Open Sans" w:hAnsi="Open Sans" w:cs="Open Sans"/>
          <w:sz w:val="20"/>
          <w:szCs w:val="20"/>
          <w:lang w:eastAsia="en-GB"/>
        </w:rPr>
        <w:t>XXX TBC once we have decided on what data to use earlier in the report.</w:t>
      </w:r>
      <w:r w:rsidR="005618F1" w:rsidRPr="004A00DA">
        <w:rPr>
          <w:rFonts w:ascii="Open Sans" w:hAnsi="Open Sans" w:cs="Open Sans"/>
          <w:sz w:val="20"/>
          <w:szCs w:val="20"/>
          <w:lang w:eastAsia="en-GB"/>
        </w:rPr>
        <w:t>)</w:t>
      </w:r>
      <w:r w:rsidR="003E16AE" w:rsidRPr="004A00DA">
        <w:rPr>
          <w:rFonts w:ascii="Open Sans" w:hAnsi="Open Sans" w:cs="Open Sans"/>
          <w:sz w:val="20"/>
          <w:szCs w:val="20"/>
          <w:lang w:eastAsia="en-GB"/>
        </w:rPr>
        <w:t xml:space="preserve"> </w:t>
      </w:r>
    </w:p>
    <w:p w14:paraId="70B318CA" w14:textId="77777777" w:rsidR="0060267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The primary barrier to the widespread implementation of </w:t>
      </w:r>
      <w:r w:rsidR="00F85B5B" w:rsidRPr="004A00DA">
        <w:rPr>
          <w:rFonts w:ascii="Open Sans" w:hAnsi="Open Sans" w:cs="Open Sans"/>
          <w:sz w:val="20"/>
          <w:szCs w:val="20"/>
          <w:lang w:eastAsia="en-GB"/>
        </w:rPr>
        <w:t>biomethane</w:t>
      </w:r>
      <w:r w:rsidRPr="004A00DA">
        <w:rPr>
          <w:rFonts w:ascii="Open Sans" w:hAnsi="Open Sans" w:cs="Open Sans"/>
          <w:sz w:val="20"/>
          <w:szCs w:val="20"/>
          <w:lang w:eastAsia="en-GB"/>
        </w:rPr>
        <w:t xml:space="preserve"> within the HGV sector is the location and availability of refuelling stations. Currently, there can be a wait of up to three years before a proposed biomethane fuelling station is functional (CNG Fuels 2019). </w:t>
      </w:r>
    </w:p>
    <w:p w14:paraId="21CAE6A9" w14:textId="77777777" w:rsidR="00A74B81" w:rsidRPr="004A00DA" w:rsidRDefault="00A74B81"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A map of gaseous filling stations, with information on access arrangements can be found on the Business Breathes website</w:t>
      </w:r>
      <w:r w:rsidRPr="004A00DA">
        <w:rPr>
          <w:rStyle w:val="FootnoteReference"/>
          <w:rFonts w:ascii="Open Sans" w:hAnsi="Open Sans" w:cs="Open Sans"/>
          <w:sz w:val="20"/>
          <w:szCs w:val="20"/>
          <w:lang w:eastAsia="en-GB"/>
        </w:rPr>
        <w:footnoteReference w:id="21"/>
      </w:r>
      <w:r w:rsidRPr="004A00DA">
        <w:rPr>
          <w:rFonts w:ascii="Open Sans" w:hAnsi="Open Sans" w:cs="Open Sans"/>
          <w:sz w:val="20"/>
          <w:szCs w:val="20"/>
          <w:lang w:eastAsia="en-GB"/>
        </w:rPr>
        <w:t>.</w:t>
      </w:r>
    </w:p>
    <w:p w14:paraId="7FFF9CCF" w14:textId="77777777" w:rsidR="00A74B81" w:rsidRPr="004A00DA" w:rsidRDefault="00A74B81" w:rsidP="004A00DA">
      <w:pPr>
        <w:tabs>
          <w:tab w:val="left" w:pos="426"/>
          <w:tab w:val="left" w:pos="993"/>
        </w:tabs>
        <w:rPr>
          <w:rFonts w:ascii="Open Sans" w:eastAsia="Times New Roman" w:hAnsi="Open Sans" w:cs="Open Sans"/>
          <w:b/>
          <w:sz w:val="20"/>
          <w:szCs w:val="20"/>
          <w:lang w:eastAsia="en-GB"/>
        </w:rPr>
      </w:pPr>
      <w:r w:rsidRPr="004A00DA">
        <w:rPr>
          <w:rFonts w:ascii="Open Sans" w:hAnsi="Open Sans" w:cs="Open Sans"/>
          <w:noProof/>
          <w:sz w:val="20"/>
          <w:szCs w:val="20"/>
          <w:lang w:eastAsia="en-GB"/>
        </w:rPr>
        <w:drawing>
          <wp:inline distT="0" distB="0" distL="0" distR="0" wp14:anchorId="5FC7D616" wp14:editId="106CFAB0">
            <wp:extent cx="5731510" cy="2835138"/>
            <wp:effectExtent l="0" t="0" r="254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835138"/>
                    </a:xfrm>
                    <a:prstGeom prst="rect">
                      <a:avLst/>
                    </a:prstGeom>
                  </pic:spPr>
                </pic:pic>
              </a:graphicData>
            </a:graphic>
          </wp:inline>
        </w:drawing>
      </w:r>
    </w:p>
    <w:p w14:paraId="0C2FB2FA" w14:textId="3E4DE1E6" w:rsidR="006555D5" w:rsidRPr="00984981" w:rsidRDefault="00984981" w:rsidP="004A00DA">
      <w:pPr>
        <w:pStyle w:val="Heading3"/>
        <w:tabs>
          <w:tab w:val="left" w:pos="426"/>
          <w:tab w:val="left" w:pos="993"/>
        </w:tabs>
        <w:rPr>
          <w:rFonts w:ascii="Open Sans" w:hAnsi="Open Sans" w:cs="Open Sans"/>
          <w:sz w:val="28"/>
          <w:lang w:eastAsia="en-GB"/>
        </w:rPr>
      </w:pPr>
      <w:bookmarkStart w:id="15" w:name="_Toc34921719"/>
      <w:r w:rsidRPr="00984981">
        <w:rPr>
          <w:rFonts w:ascii="Open Sans" w:hAnsi="Open Sans" w:cs="Open Sans"/>
          <w:sz w:val="28"/>
          <w:lang w:eastAsia="en-GB"/>
        </w:rPr>
        <w:t xml:space="preserve">2.3 </w:t>
      </w:r>
      <w:r w:rsidR="006555D5" w:rsidRPr="00984981">
        <w:rPr>
          <w:rFonts w:ascii="Open Sans" w:hAnsi="Open Sans" w:cs="Open Sans"/>
          <w:sz w:val="28"/>
          <w:lang w:eastAsia="en-GB"/>
        </w:rPr>
        <w:t>Renewable Fuels of Non-biological origin</w:t>
      </w:r>
      <w:bookmarkEnd w:id="15"/>
    </w:p>
    <w:p w14:paraId="1CF1EB60" w14:textId="587E7A0A" w:rsidR="0060267B" w:rsidRPr="004A00DA" w:rsidRDefault="00984981" w:rsidP="004A00DA">
      <w:pPr>
        <w:pStyle w:val="Heading3"/>
        <w:tabs>
          <w:tab w:val="left" w:pos="426"/>
          <w:tab w:val="left" w:pos="993"/>
        </w:tabs>
        <w:rPr>
          <w:rFonts w:ascii="Open Sans" w:hAnsi="Open Sans" w:cs="Open Sans"/>
          <w:sz w:val="20"/>
          <w:szCs w:val="20"/>
          <w:lang w:eastAsia="en-GB"/>
        </w:rPr>
      </w:pPr>
      <w:bookmarkStart w:id="16" w:name="_Toc34921720"/>
      <w:r>
        <w:rPr>
          <w:rFonts w:ascii="Open Sans" w:hAnsi="Open Sans" w:cs="Open Sans"/>
          <w:sz w:val="20"/>
          <w:szCs w:val="20"/>
          <w:lang w:eastAsia="en-GB"/>
        </w:rPr>
        <w:t xml:space="preserve">2.3.1 </w:t>
      </w:r>
      <w:r w:rsidR="0060267B" w:rsidRPr="004A00DA">
        <w:rPr>
          <w:rFonts w:ascii="Open Sans" w:hAnsi="Open Sans" w:cs="Open Sans"/>
          <w:sz w:val="20"/>
          <w:szCs w:val="20"/>
          <w:lang w:eastAsia="en-GB"/>
        </w:rPr>
        <w:t>Hydrogen</w:t>
      </w:r>
      <w:bookmarkEnd w:id="16"/>
    </w:p>
    <w:p w14:paraId="18826DC8" w14:textId="77777777" w:rsidR="005618F1" w:rsidRPr="004A00DA" w:rsidRDefault="005618F1" w:rsidP="004A00DA">
      <w:pPr>
        <w:tabs>
          <w:tab w:val="left" w:pos="426"/>
          <w:tab w:val="left" w:pos="993"/>
        </w:tabs>
        <w:rPr>
          <w:rFonts w:ascii="Open Sans" w:hAnsi="Open Sans" w:cs="Open Sans"/>
          <w:sz w:val="20"/>
          <w:szCs w:val="20"/>
          <w:lang w:eastAsia="en-GB"/>
        </w:rPr>
      </w:pPr>
    </w:p>
    <w:p w14:paraId="07DF9174" w14:textId="77777777" w:rsidR="003E16AE" w:rsidRPr="004A00DA" w:rsidRDefault="003E16AE" w:rsidP="004A00DA">
      <w:pPr>
        <w:tabs>
          <w:tab w:val="left" w:pos="426"/>
          <w:tab w:val="left" w:pos="993"/>
        </w:tabs>
        <w:rPr>
          <w:rFonts w:ascii="Open Sans" w:hAnsi="Open Sans" w:cs="Open Sans"/>
          <w:sz w:val="20"/>
          <w:szCs w:val="20"/>
        </w:rPr>
      </w:pPr>
      <w:r w:rsidRPr="004A00DA">
        <w:rPr>
          <w:rFonts w:ascii="Open Sans" w:hAnsi="Open Sans" w:cs="Open Sans"/>
          <w:sz w:val="20"/>
          <w:szCs w:val="20"/>
        </w:rPr>
        <w:t>Hydrogen from natural gas requires carbon capture and storage in order to be a low carbon proposition. Without carbon capture and storage hydrogen’s capability of being mass market is negated.</w:t>
      </w:r>
      <w:r w:rsidR="006B5F84" w:rsidRPr="004A00DA">
        <w:rPr>
          <w:rFonts w:ascii="Open Sans" w:hAnsi="Open Sans" w:cs="Open Sans"/>
          <w:sz w:val="20"/>
          <w:szCs w:val="20"/>
        </w:rPr>
        <w:t xml:space="preserve"> </w:t>
      </w:r>
      <w:r w:rsidRPr="004A00DA">
        <w:rPr>
          <w:rFonts w:ascii="Open Sans" w:hAnsi="Open Sans" w:cs="Open Sans"/>
          <w:sz w:val="20"/>
          <w:szCs w:val="20"/>
        </w:rPr>
        <w:t>Hydrogen from electrolysis requires substantive amounts of low carbon electricity (e.g. renewable).</w:t>
      </w:r>
      <w:r w:rsidR="006B5F84" w:rsidRPr="004A00DA">
        <w:rPr>
          <w:rFonts w:ascii="Open Sans" w:hAnsi="Open Sans" w:cs="Open Sans"/>
          <w:sz w:val="20"/>
          <w:szCs w:val="20"/>
        </w:rPr>
        <w:t xml:space="preserve"> Around 60 kWh are </w:t>
      </w:r>
      <w:r w:rsidR="000A0DF3" w:rsidRPr="004A00DA">
        <w:rPr>
          <w:rFonts w:ascii="Open Sans" w:hAnsi="Open Sans" w:cs="Open Sans"/>
          <w:sz w:val="20"/>
          <w:szCs w:val="20"/>
        </w:rPr>
        <w:t>required</w:t>
      </w:r>
      <w:r w:rsidR="006B5F84" w:rsidRPr="004A00DA">
        <w:rPr>
          <w:rFonts w:ascii="Open Sans" w:hAnsi="Open Sans" w:cs="Open Sans"/>
          <w:sz w:val="20"/>
          <w:szCs w:val="20"/>
        </w:rPr>
        <w:t xml:space="preserve"> to produce 1kg of hydrogen.</w:t>
      </w:r>
    </w:p>
    <w:p w14:paraId="26DBBEDF" w14:textId="77777777" w:rsidR="003E16AE" w:rsidRPr="004A00DA" w:rsidRDefault="003E16AE"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There are two specifications for hydrogen in the marketplace. For use in transport (i.e. in fuel cells) the hydrogen has to be extremely low in moisture and very high purity (99% plus). For adding to the distribution network, to decarbonise the gas grid the specification is nowhere near as tight.</w:t>
      </w:r>
    </w:p>
    <w:p w14:paraId="57363F89" w14:textId="77777777" w:rsidR="003E16AE" w:rsidRPr="004A00DA" w:rsidRDefault="003E16AE" w:rsidP="004A00DA">
      <w:pPr>
        <w:tabs>
          <w:tab w:val="left" w:pos="426"/>
          <w:tab w:val="left" w:pos="993"/>
        </w:tabs>
        <w:rPr>
          <w:rFonts w:ascii="Open Sans" w:hAnsi="Open Sans" w:cs="Open Sans"/>
          <w:sz w:val="20"/>
          <w:szCs w:val="20"/>
        </w:rPr>
      </w:pPr>
      <w:r w:rsidRPr="004A00DA">
        <w:rPr>
          <w:rFonts w:ascii="Open Sans" w:hAnsi="Open Sans" w:cs="Open Sans"/>
          <w:sz w:val="20"/>
          <w:szCs w:val="20"/>
        </w:rPr>
        <w:t>At standard room temperature and pressure hydrogen has one third the calorific value of natural gas and half the calorific value of diesel.</w:t>
      </w:r>
      <w:r w:rsidR="00A84DCF" w:rsidRPr="004A00DA">
        <w:rPr>
          <w:rFonts w:ascii="Open Sans" w:hAnsi="Open Sans" w:cs="Open Sans"/>
          <w:sz w:val="20"/>
          <w:szCs w:val="20"/>
        </w:rPr>
        <w:t xml:space="preserve"> </w:t>
      </w:r>
      <w:r w:rsidRPr="004A00DA">
        <w:rPr>
          <w:rFonts w:ascii="Open Sans" w:hAnsi="Open Sans" w:cs="Open Sans"/>
          <w:sz w:val="20"/>
          <w:szCs w:val="20"/>
        </w:rPr>
        <w:t>Pressurising and then storing hydrogen in excess of 700 bar to enable high-pressure filling is energy intensive.</w:t>
      </w:r>
    </w:p>
    <w:p w14:paraId="57305265" w14:textId="5B67E800" w:rsidR="00F3663C" w:rsidRPr="00984981" w:rsidRDefault="00984981" w:rsidP="004A00DA">
      <w:pPr>
        <w:pStyle w:val="Heading3"/>
        <w:tabs>
          <w:tab w:val="left" w:pos="426"/>
          <w:tab w:val="left" w:pos="993"/>
        </w:tabs>
        <w:rPr>
          <w:rFonts w:ascii="Open Sans" w:hAnsi="Open Sans" w:cs="Open Sans"/>
          <w:sz w:val="28"/>
          <w:lang w:eastAsia="en-GB"/>
        </w:rPr>
      </w:pPr>
      <w:bookmarkStart w:id="17" w:name="_Toc34921721"/>
      <w:r w:rsidRPr="00984981">
        <w:rPr>
          <w:rFonts w:ascii="Open Sans" w:hAnsi="Open Sans" w:cs="Open Sans"/>
          <w:sz w:val="28"/>
          <w:lang w:eastAsia="en-GB"/>
        </w:rPr>
        <w:t xml:space="preserve">2.4 </w:t>
      </w:r>
      <w:r w:rsidR="00F3663C" w:rsidRPr="00984981">
        <w:rPr>
          <w:rFonts w:ascii="Open Sans" w:hAnsi="Open Sans" w:cs="Open Sans"/>
          <w:sz w:val="28"/>
          <w:lang w:eastAsia="en-GB"/>
        </w:rPr>
        <w:t>Electricity</w:t>
      </w:r>
      <w:bookmarkEnd w:id="17"/>
    </w:p>
    <w:p w14:paraId="2C510BA3" w14:textId="77777777" w:rsidR="005618F1" w:rsidRPr="004A00DA" w:rsidRDefault="005618F1" w:rsidP="004A00DA">
      <w:pPr>
        <w:tabs>
          <w:tab w:val="left" w:pos="426"/>
          <w:tab w:val="left" w:pos="993"/>
        </w:tabs>
        <w:rPr>
          <w:rFonts w:ascii="Open Sans" w:hAnsi="Open Sans" w:cs="Open Sans"/>
          <w:sz w:val="20"/>
          <w:szCs w:val="20"/>
          <w:lang w:eastAsia="en-GB"/>
        </w:rPr>
      </w:pPr>
    </w:p>
    <w:p w14:paraId="73D5CE8B" w14:textId="77777777" w:rsidR="00F3663C" w:rsidRPr="004A00DA" w:rsidRDefault="00F3663C" w:rsidP="004A00DA">
      <w:pPr>
        <w:tabs>
          <w:tab w:val="left" w:pos="426"/>
          <w:tab w:val="left" w:pos="993"/>
        </w:tabs>
        <w:rPr>
          <w:rFonts w:ascii="Open Sans" w:hAnsi="Open Sans" w:cs="Open Sans"/>
          <w:sz w:val="20"/>
          <w:szCs w:val="20"/>
        </w:rPr>
      </w:pPr>
      <w:r w:rsidRPr="004A00DA">
        <w:rPr>
          <w:rFonts w:ascii="Open Sans" w:hAnsi="Open Sans" w:cs="Open Sans"/>
          <w:sz w:val="20"/>
          <w:szCs w:val="20"/>
        </w:rPr>
        <w:t>The production of electricity from any form of combustion source results in the order of 40 to 50% loss of energy compared to the original source.  Renewable electricity from non-thermal sources is not subject to these losses. The transmission and distribution of electricity result in further losses of energy (around 8%).</w:t>
      </w:r>
    </w:p>
    <w:p w14:paraId="7B261807" w14:textId="1D6766A6" w:rsidR="006B5F84" w:rsidRPr="004A00DA" w:rsidRDefault="00984981" w:rsidP="004A00DA">
      <w:pPr>
        <w:pStyle w:val="Heading2"/>
        <w:tabs>
          <w:tab w:val="left" w:pos="426"/>
          <w:tab w:val="left" w:pos="993"/>
        </w:tabs>
        <w:rPr>
          <w:rFonts w:ascii="Open Sans" w:eastAsia="Times New Roman" w:hAnsi="Open Sans" w:cs="Open Sans"/>
          <w:sz w:val="20"/>
          <w:szCs w:val="20"/>
          <w:lang w:eastAsia="en-GB"/>
        </w:rPr>
      </w:pPr>
      <w:bookmarkStart w:id="18" w:name="_Toc34921722"/>
      <w:r>
        <w:rPr>
          <w:rFonts w:ascii="Open Sans" w:hAnsi="Open Sans" w:cs="Open Sans"/>
          <w:sz w:val="20"/>
          <w:szCs w:val="20"/>
        </w:rPr>
        <w:t xml:space="preserve">2.4.1 </w:t>
      </w:r>
      <w:r w:rsidR="00F3663C" w:rsidRPr="004A00DA">
        <w:rPr>
          <w:rFonts w:ascii="Open Sans" w:hAnsi="Open Sans" w:cs="Open Sans"/>
          <w:sz w:val="20"/>
          <w:szCs w:val="20"/>
        </w:rPr>
        <w:t>Fuel cells</w:t>
      </w:r>
      <w:bookmarkEnd w:id="18"/>
    </w:p>
    <w:p w14:paraId="7F74C1E5" w14:textId="77777777" w:rsidR="006B5F84" w:rsidRPr="004A00DA" w:rsidRDefault="006B5F84" w:rsidP="004A00DA">
      <w:pPr>
        <w:tabs>
          <w:tab w:val="left" w:pos="426"/>
          <w:tab w:val="left" w:pos="993"/>
        </w:tabs>
        <w:rPr>
          <w:rFonts w:ascii="Open Sans" w:eastAsia="Times New Roman" w:hAnsi="Open Sans" w:cs="Open Sans"/>
          <w:b/>
          <w:sz w:val="20"/>
          <w:szCs w:val="20"/>
          <w:lang w:eastAsia="en-GB"/>
        </w:rPr>
      </w:pPr>
    </w:p>
    <w:p w14:paraId="3D3F6A0C" w14:textId="77777777" w:rsidR="0060267B" w:rsidRPr="004A00DA" w:rsidRDefault="007F7A05"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Hydrogen fuel</w:t>
      </w:r>
      <w:r w:rsidR="00C76F1F" w:rsidRPr="004A00DA">
        <w:rPr>
          <w:rFonts w:ascii="Open Sans" w:hAnsi="Open Sans" w:cs="Open Sans"/>
          <w:sz w:val="20"/>
          <w:szCs w:val="20"/>
          <w:lang w:eastAsia="en-GB"/>
        </w:rPr>
        <w:t xml:space="preserve"> cell vehicles are improving as a technology and, whilst earlier in their design and development for cars and vans</w:t>
      </w:r>
      <w:r w:rsidR="00280E45" w:rsidRPr="004A00DA">
        <w:rPr>
          <w:rFonts w:ascii="Open Sans" w:hAnsi="Open Sans" w:cs="Open Sans"/>
          <w:sz w:val="20"/>
          <w:szCs w:val="20"/>
          <w:lang w:eastAsia="en-GB"/>
        </w:rPr>
        <w:t xml:space="preserve"> than battery electric drive chains</w:t>
      </w:r>
      <w:r w:rsidR="00C76F1F"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could</w:t>
      </w:r>
      <w:r w:rsidR="00C76F1F" w:rsidRPr="004A00DA">
        <w:rPr>
          <w:rFonts w:ascii="Open Sans" w:hAnsi="Open Sans" w:cs="Open Sans"/>
          <w:sz w:val="20"/>
          <w:szCs w:val="20"/>
          <w:lang w:eastAsia="en-GB"/>
        </w:rPr>
        <w:t xml:space="preserve"> play an important role in HGVs and some aspects of the bus and coach market. </w:t>
      </w:r>
    </w:p>
    <w:p w14:paraId="44D431F0" w14:textId="58619469" w:rsidR="00444DF0"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Per ITM Power, an electric vehicle powered by a hydrogen fuel cell can be refuelled in three minutes and </w:t>
      </w:r>
      <w:r w:rsidR="00A74B81" w:rsidRPr="004A00DA">
        <w:rPr>
          <w:rFonts w:ascii="Open Sans" w:hAnsi="Open Sans" w:cs="Open Sans"/>
          <w:sz w:val="20"/>
          <w:szCs w:val="20"/>
          <w:lang w:eastAsia="en-GB"/>
        </w:rPr>
        <w:t xml:space="preserve">has </w:t>
      </w:r>
      <w:r w:rsidRPr="004A00DA">
        <w:rPr>
          <w:rFonts w:ascii="Open Sans" w:hAnsi="Open Sans" w:cs="Open Sans"/>
          <w:sz w:val="20"/>
          <w:szCs w:val="20"/>
          <w:lang w:eastAsia="en-GB"/>
        </w:rPr>
        <w:t xml:space="preserve">a range of 350 miles with 5kg of hydrogen. Quick refuelling and a potentially </w:t>
      </w:r>
      <w:r w:rsidR="00A74B81" w:rsidRPr="004A00DA">
        <w:rPr>
          <w:rFonts w:ascii="Open Sans" w:hAnsi="Open Sans" w:cs="Open Sans"/>
          <w:sz w:val="20"/>
          <w:szCs w:val="20"/>
          <w:lang w:eastAsia="en-GB"/>
        </w:rPr>
        <w:t xml:space="preserve">large </w:t>
      </w:r>
      <w:r w:rsidRPr="004A00DA">
        <w:rPr>
          <w:rFonts w:ascii="Open Sans" w:hAnsi="Open Sans" w:cs="Open Sans"/>
          <w:sz w:val="20"/>
          <w:szCs w:val="20"/>
          <w:lang w:eastAsia="en-GB"/>
        </w:rPr>
        <w:t xml:space="preserve">range are key factors making FCEVs well suited for HGVs. </w:t>
      </w:r>
      <w:r w:rsidR="00505D7E" w:rsidRPr="004A00DA">
        <w:rPr>
          <w:rStyle w:val="FootnoteReference"/>
          <w:rFonts w:ascii="Open Sans" w:hAnsi="Open Sans" w:cs="Open Sans"/>
          <w:sz w:val="20"/>
          <w:szCs w:val="20"/>
          <w:lang w:eastAsia="en-GB"/>
        </w:rPr>
        <w:footnoteReference w:id="22"/>
      </w:r>
    </w:p>
    <w:p w14:paraId="1B8CAD64" w14:textId="77777777" w:rsidR="00444DF0" w:rsidRPr="004A00DA" w:rsidRDefault="004025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A small number of </w:t>
      </w:r>
      <w:r w:rsidR="0060267B" w:rsidRPr="004A00DA">
        <w:rPr>
          <w:rFonts w:ascii="Open Sans" w:hAnsi="Open Sans" w:cs="Open Sans"/>
          <w:sz w:val="20"/>
          <w:szCs w:val="20"/>
          <w:lang w:eastAsia="en-GB"/>
        </w:rPr>
        <w:t>FCEV</w:t>
      </w:r>
      <w:r w:rsidRPr="004A00DA">
        <w:rPr>
          <w:rFonts w:ascii="Open Sans" w:hAnsi="Open Sans" w:cs="Open Sans"/>
          <w:sz w:val="20"/>
          <w:szCs w:val="20"/>
          <w:lang w:eastAsia="en-GB"/>
        </w:rPr>
        <w:t xml:space="preserve"> cars are</w:t>
      </w:r>
      <w:r w:rsidR="0060267B" w:rsidRPr="004A00DA">
        <w:rPr>
          <w:rFonts w:ascii="Open Sans" w:hAnsi="Open Sans" w:cs="Open Sans"/>
          <w:sz w:val="20"/>
          <w:szCs w:val="20"/>
          <w:lang w:eastAsia="en-GB"/>
        </w:rPr>
        <w:t xml:space="preserve"> available in the UK</w:t>
      </w:r>
      <w:r w:rsidRPr="004A00DA">
        <w:rPr>
          <w:rFonts w:ascii="Open Sans" w:hAnsi="Open Sans" w:cs="Open Sans"/>
          <w:sz w:val="20"/>
          <w:szCs w:val="20"/>
          <w:lang w:eastAsia="en-GB"/>
        </w:rPr>
        <w:t xml:space="preserve">, in addition to one FCEV light van and some non-road machinery such as forklifts. </w:t>
      </w:r>
      <w:r w:rsidR="00280E45" w:rsidRPr="004A00DA">
        <w:rPr>
          <w:rFonts w:ascii="Open Sans" w:hAnsi="Open Sans" w:cs="Open Sans"/>
          <w:sz w:val="20"/>
          <w:szCs w:val="20"/>
          <w:lang w:eastAsia="en-GB"/>
        </w:rPr>
        <w:t>Around</w:t>
      </w:r>
      <w:r w:rsidR="0060267B" w:rsidRPr="004A00DA">
        <w:rPr>
          <w:rFonts w:ascii="Open Sans" w:hAnsi="Open Sans" w:cs="Open Sans"/>
          <w:sz w:val="20"/>
          <w:szCs w:val="20"/>
          <w:lang w:eastAsia="en-GB"/>
        </w:rPr>
        <w:t xml:space="preserve"> 200 hydrogen fuel-cell powered vehicles are operational on UK roads at present. </w:t>
      </w:r>
    </w:p>
    <w:p w14:paraId="7EE489B3" w14:textId="1E783624" w:rsidR="004025B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Global price parity with other powertrains could be achieved by 2030</w:t>
      </w:r>
      <w:r w:rsidR="00505D7E" w:rsidRPr="004A00DA">
        <w:rPr>
          <w:rStyle w:val="FootnoteReference"/>
          <w:rFonts w:ascii="Open Sans" w:hAnsi="Open Sans" w:cs="Open Sans"/>
          <w:sz w:val="20"/>
          <w:szCs w:val="20"/>
          <w:lang w:eastAsia="en-GB"/>
        </w:rPr>
        <w:footnoteReference w:id="23"/>
      </w:r>
      <w:r w:rsidR="00505D7E" w:rsidRPr="004A00DA">
        <w:rPr>
          <w:rFonts w:ascii="Open Sans" w:hAnsi="Open Sans" w:cs="Open Sans"/>
          <w:sz w:val="20"/>
          <w:szCs w:val="20"/>
          <w:lang w:eastAsia="en-GB"/>
        </w:rPr>
        <w:t xml:space="preserve">, </w:t>
      </w:r>
      <w:r w:rsidR="004025BB" w:rsidRPr="004A00DA">
        <w:rPr>
          <w:rFonts w:ascii="Open Sans" w:hAnsi="Open Sans" w:cs="Open Sans"/>
          <w:sz w:val="20"/>
          <w:szCs w:val="20"/>
          <w:lang w:eastAsia="en-GB"/>
        </w:rPr>
        <w:t xml:space="preserve">but for the car and van market segments electric vehicles will likely have made </w:t>
      </w:r>
      <w:r w:rsidR="00280E45" w:rsidRPr="004A00DA">
        <w:rPr>
          <w:rFonts w:ascii="Open Sans" w:hAnsi="Open Sans" w:cs="Open Sans"/>
          <w:sz w:val="20"/>
          <w:szCs w:val="20"/>
          <w:lang w:eastAsia="en-GB"/>
        </w:rPr>
        <w:t>significant</w:t>
      </w:r>
      <w:r w:rsidR="004025BB" w:rsidRPr="004A00DA">
        <w:rPr>
          <w:rFonts w:ascii="Open Sans" w:hAnsi="Open Sans" w:cs="Open Sans"/>
          <w:sz w:val="20"/>
          <w:szCs w:val="20"/>
          <w:lang w:eastAsia="en-GB"/>
        </w:rPr>
        <w:t xml:space="preserve"> inroads by that time and significant global manufacturing capacity for BEVs built up.</w:t>
      </w:r>
    </w:p>
    <w:p w14:paraId="208396F5" w14:textId="77777777" w:rsidR="0060267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Hydrogen buses have been running in London since 2011, covering over 1 million miles. Ten hydrogen buses have also run in Aberdeen since 2015. </w:t>
      </w:r>
      <w:r w:rsidR="000A0DF3" w:rsidRPr="004A00DA">
        <w:rPr>
          <w:rFonts w:ascii="Open Sans" w:hAnsi="Open Sans" w:cs="Open Sans"/>
          <w:sz w:val="20"/>
          <w:szCs w:val="20"/>
          <w:lang w:eastAsia="en-GB"/>
        </w:rPr>
        <w:t>For HGVs, there is currently a relatively small selection of models on sale, providing a hindrance to the growth of Hydrogen Fuel Cell HGVs, despite the theoretical suitability of hydrogen for HGV fuelling.</w:t>
      </w:r>
    </w:p>
    <w:p w14:paraId="73430373" w14:textId="45997939" w:rsidR="0060267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Infrastructure is a prominent barrier to wider adoption of hydrogen fuel cell vehicles in the UK parc. ITM Power operates eight electrolysers to produce potentially green hydrogen in the UK with six refuelling stations under construction. There are currently a total of 15 installed Hydrogen refuelling stations in the UK and while these can collectively deliver the output of 900 BEV fast-chargers, they fail to provide as effective spatial coverage</w:t>
      </w:r>
      <w:r w:rsidR="00505D7E" w:rsidRPr="004A00DA">
        <w:rPr>
          <w:rStyle w:val="FootnoteReference"/>
          <w:rFonts w:ascii="Open Sans" w:hAnsi="Open Sans" w:cs="Open Sans"/>
          <w:sz w:val="20"/>
          <w:szCs w:val="20"/>
          <w:lang w:eastAsia="en-GB"/>
        </w:rPr>
        <w:footnoteReference w:id="24"/>
      </w:r>
      <w:r w:rsidR="00505D7E" w:rsidRPr="004A00DA">
        <w:rPr>
          <w:rFonts w:ascii="Open Sans" w:hAnsi="Open Sans" w:cs="Open Sans"/>
          <w:sz w:val="20"/>
          <w:szCs w:val="20"/>
          <w:lang w:eastAsia="en-GB"/>
        </w:rPr>
        <w:t>.</w:t>
      </w:r>
    </w:p>
    <w:p w14:paraId="6CE859CC" w14:textId="77777777" w:rsidR="0060267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Refuelling stations incur costs mostly in the storage and compression of the fuel. These costs would need to come down for widespread implementation. Refuelling stations </w:t>
      </w:r>
      <w:r w:rsidR="007F7A05" w:rsidRPr="004A00DA">
        <w:rPr>
          <w:rFonts w:ascii="Open Sans" w:hAnsi="Open Sans" w:cs="Open Sans"/>
          <w:sz w:val="20"/>
          <w:szCs w:val="20"/>
          <w:lang w:eastAsia="en-GB"/>
        </w:rPr>
        <w:t xml:space="preserve">currently are broadly </w:t>
      </w:r>
      <w:r w:rsidRPr="004A00DA">
        <w:rPr>
          <w:rFonts w:ascii="Open Sans" w:hAnsi="Open Sans" w:cs="Open Sans"/>
          <w:sz w:val="20"/>
          <w:szCs w:val="20"/>
          <w:lang w:eastAsia="en-GB"/>
        </w:rPr>
        <w:t xml:space="preserve">located in accordance with manufacturer launch plans </w:t>
      </w:r>
      <w:r w:rsidR="007F7A05" w:rsidRPr="004A00DA">
        <w:rPr>
          <w:rFonts w:ascii="Open Sans" w:hAnsi="Open Sans" w:cs="Open Sans"/>
          <w:sz w:val="20"/>
          <w:szCs w:val="20"/>
          <w:lang w:eastAsia="en-GB"/>
        </w:rPr>
        <w:t>and would require support to develop a more</w:t>
      </w:r>
      <w:r w:rsidRPr="004A00DA">
        <w:rPr>
          <w:rFonts w:ascii="Open Sans" w:hAnsi="Open Sans" w:cs="Open Sans"/>
          <w:sz w:val="20"/>
          <w:szCs w:val="20"/>
          <w:lang w:eastAsia="en-GB"/>
        </w:rPr>
        <w:t xml:space="preserve"> strategic</w:t>
      </w:r>
      <w:r w:rsidR="007F7A05" w:rsidRPr="004A00DA">
        <w:rPr>
          <w:rFonts w:ascii="Open Sans" w:hAnsi="Open Sans" w:cs="Open Sans"/>
          <w:sz w:val="20"/>
          <w:szCs w:val="20"/>
          <w:lang w:eastAsia="en-GB"/>
        </w:rPr>
        <w:t xml:space="preserve"> network to ensure</w:t>
      </w:r>
      <w:r w:rsidRPr="004A00DA">
        <w:rPr>
          <w:rFonts w:ascii="Open Sans" w:hAnsi="Open Sans" w:cs="Open Sans"/>
          <w:sz w:val="20"/>
          <w:szCs w:val="20"/>
          <w:lang w:eastAsia="en-GB"/>
        </w:rPr>
        <w:t xml:space="preserve"> widest coverage.</w:t>
      </w:r>
    </w:p>
    <w:p w14:paraId="28C9CD3D" w14:textId="17DD5AE6" w:rsidR="00B84AB4" w:rsidRPr="004A00DA" w:rsidRDefault="00107267"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proliferation of low-cost variable renewable power generation technologies, such as onshore and offshore wind, and solar PV, are creating a new opportunity for hydrogen generation</w:t>
      </w:r>
      <w:r w:rsidR="00B84AB4" w:rsidRPr="004A00DA">
        <w:rPr>
          <w:rFonts w:ascii="Open Sans" w:hAnsi="Open Sans" w:cs="Open Sans"/>
          <w:sz w:val="20"/>
          <w:szCs w:val="20"/>
          <w:lang w:eastAsia="en-GB"/>
        </w:rPr>
        <w:t>. Modelling by Bloom</w:t>
      </w:r>
      <w:r w:rsidR="00AF4AB8" w:rsidRPr="004A00DA">
        <w:rPr>
          <w:rFonts w:ascii="Open Sans" w:hAnsi="Open Sans" w:cs="Open Sans"/>
          <w:sz w:val="20"/>
          <w:szCs w:val="20"/>
          <w:lang w:eastAsia="en-GB"/>
        </w:rPr>
        <w:t>b</w:t>
      </w:r>
      <w:r w:rsidR="00B84AB4" w:rsidRPr="004A00DA">
        <w:rPr>
          <w:rFonts w:ascii="Open Sans" w:hAnsi="Open Sans" w:cs="Open Sans"/>
          <w:sz w:val="20"/>
          <w:szCs w:val="20"/>
          <w:lang w:eastAsia="en-GB"/>
        </w:rPr>
        <w:t>erg New Energy Finance indicates that these technologies are becoming, or already are, the lowest-cost form of new power generation today.</w:t>
      </w:r>
      <w:r w:rsidR="00AF4AB8" w:rsidRPr="004A00DA">
        <w:rPr>
          <w:rStyle w:val="FootnoteReference"/>
          <w:rFonts w:ascii="Open Sans" w:hAnsi="Open Sans" w:cs="Open Sans"/>
          <w:sz w:val="20"/>
          <w:szCs w:val="20"/>
          <w:lang w:eastAsia="en-GB"/>
        </w:rPr>
        <w:footnoteReference w:id="25"/>
      </w:r>
      <w:r w:rsidR="00B84AB4" w:rsidRPr="004A00DA">
        <w:rPr>
          <w:rFonts w:ascii="Open Sans" w:hAnsi="Open Sans" w:cs="Open Sans"/>
          <w:sz w:val="20"/>
          <w:szCs w:val="20"/>
          <w:lang w:eastAsia="en-GB"/>
        </w:rPr>
        <w:t xml:space="preserve"> </w:t>
      </w:r>
    </w:p>
    <w:p w14:paraId="60D366D0" w14:textId="77777777" w:rsidR="00B84AB4"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Hydrogen Fuel Cell Vehicles are most promising </w:t>
      </w:r>
      <w:r w:rsidR="00F336C6" w:rsidRPr="004A00DA">
        <w:rPr>
          <w:rFonts w:ascii="Open Sans" w:hAnsi="Open Sans" w:cs="Open Sans"/>
          <w:sz w:val="20"/>
          <w:szCs w:val="20"/>
          <w:lang w:eastAsia="en-GB"/>
        </w:rPr>
        <w:t xml:space="preserve">as a </w:t>
      </w:r>
      <w:r w:rsidR="00C76F1F" w:rsidRPr="004A00DA">
        <w:rPr>
          <w:rFonts w:ascii="Open Sans" w:hAnsi="Open Sans" w:cs="Open Sans"/>
          <w:sz w:val="20"/>
          <w:szCs w:val="20"/>
          <w:lang w:eastAsia="en-GB"/>
        </w:rPr>
        <w:t xml:space="preserve">decarbonisation solution for </w:t>
      </w:r>
      <w:r w:rsidRPr="004A00DA">
        <w:rPr>
          <w:rFonts w:ascii="Open Sans" w:hAnsi="Open Sans" w:cs="Open Sans"/>
          <w:sz w:val="20"/>
          <w:szCs w:val="20"/>
          <w:lang w:eastAsia="en-GB"/>
        </w:rPr>
        <w:t>HGV</w:t>
      </w:r>
      <w:r w:rsidR="00C76F1F" w:rsidRPr="004A00DA">
        <w:rPr>
          <w:rFonts w:ascii="Open Sans" w:hAnsi="Open Sans" w:cs="Open Sans"/>
          <w:sz w:val="20"/>
          <w:szCs w:val="20"/>
          <w:lang w:eastAsia="en-GB"/>
        </w:rPr>
        <w:t xml:space="preserve">s, and some </w:t>
      </w:r>
      <w:r w:rsidRPr="004A00DA">
        <w:rPr>
          <w:rFonts w:ascii="Open Sans" w:hAnsi="Open Sans" w:cs="Open Sans"/>
          <w:sz w:val="20"/>
          <w:szCs w:val="20"/>
          <w:lang w:eastAsia="en-GB"/>
        </w:rPr>
        <w:t>classes</w:t>
      </w:r>
      <w:r w:rsidR="00C76F1F" w:rsidRPr="004A00DA">
        <w:rPr>
          <w:rFonts w:ascii="Open Sans" w:hAnsi="Open Sans" w:cs="Open Sans"/>
          <w:sz w:val="20"/>
          <w:szCs w:val="20"/>
          <w:lang w:eastAsia="en-GB"/>
        </w:rPr>
        <w:t xml:space="preserve"> of busses and coaches</w:t>
      </w:r>
      <w:r w:rsidRPr="004A00DA">
        <w:rPr>
          <w:rFonts w:ascii="Open Sans" w:hAnsi="Open Sans" w:cs="Open Sans"/>
          <w:sz w:val="20"/>
          <w:szCs w:val="20"/>
          <w:lang w:eastAsia="en-GB"/>
        </w:rPr>
        <w:t xml:space="preserve">. This is due to their potential for long ranges and short refuelling times, both of which are comparable to ICE powertrain vehicles. </w:t>
      </w:r>
    </w:p>
    <w:p w14:paraId="291C289C" w14:textId="77777777" w:rsidR="004025B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Investment in the production of cleaner, ideally ‘green’,</w:t>
      </w:r>
      <w:r w:rsidR="007F7A05"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 xml:space="preserve">hydrogen for use in a growing number of public sector fleets will encourage the uptake of hydrogen fuel cell electric vehicles. </w:t>
      </w:r>
      <w:r w:rsidR="004025BB" w:rsidRPr="004A00DA">
        <w:rPr>
          <w:rFonts w:ascii="Open Sans" w:hAnsi="Open Sans" w:cs="Open Sans"/>
          <w:sz w:val="20"/>
          <w:szCs w:val="20"/>
          <w:lang w:eastAsia="en-GB"/>
        </w:rPr>
        <w:t xml:space="preserve">The production of green hydrogen could also encourage more variable renewable power projects to come forward in the future, as onsite electrolysis could provide a new income stream for developers during periods of curtailment or low wholesale prices. </w:t>
      </w:r>
    </w:p>
    <w:p w14:paraId="384EA37E" w14:textId="2BCC537A" w:rsidR="00F336C6" w:rsidRPr="004A00DA" w:rsidRDefault="004025B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development of a</w:t>
      </w:r>
      <w:r w:rsidR="0060267B" w:rsidRPr="004A00DA">
        <w:rPr>
          <w:rFonts w:ascii="Open Sans" w:hAnsi="Open Sans" w:cs="Open Sans"/>
          <w:sz w:val="20"/>
          <w:szCs w:val="20"/>
          <w:lang w:eastAsia="en-GB"/>
        </w:rPr>
        <w:t xml:space="preserve"> strategic refuelling infrastructure </w:t>
      </w:r>
      <w:r w:rsidRPr="004A00DA">
        <w:rPr>
          <w:rFonts w:ascii="Open Sans" w:hAnsi="Open Sans" w:cs="Open Sans"/>
          <w:sz w:val="20"/>
          <w:szCs w:val="20"/>
          <w:lang w:eastAsia="en-GB"/>
        </w:rPr>
        <w:t>for hydrogen is behind that being developed by the private sector for electric car</w:t>
      </w:r>
      <w:r w:rsidR="00AF4AB8" w:rsidRPr="004A00DA">
        <w:rPr>
          <w:rFonts w:ascii="Open Sans" w:hAnsi="Open Sans" w:cs="Open Sans"/>
          <w:sz w:val="20"/>
          <w:szCs w:val="20"/>
          <w:lang w:eastAsia="en-GB"/>
        </w:rPr>
        <w:t>s</w:t>
      </w:r>
      <w:r w:rsidRPr="004A00DA">
        <w:rPr>
          <w:rFonts w:ascii="Open Sans" w:hAnsi="Open Sans" w:cs="Open Sans"/>
          <w:sz w:val="20"/>
          <w:szCs w:val="20"/>
          <w:lang w:eastAsia="en-GB"/>
        </w:rPr>
        <w:t xml:space="preserve"> and </w:t>
      </w:r>
      <w:r w:rsidR="0060267B" w:rsidRPr="004A00DA">
        <w:rPr>
          <w:rFonts w:ascii="Open Sans" w:hAnsi="Open Sans" w:cs="Open Sans"/>
          <w:sz w:val="20"/>
          <w:szCs w:val="20"/>
          <w:lang w:eastAsia="en-GB"/>
        </w:rPr>
        <w:t>will require</w:t>
      </w:r>
      <w:r w:rsidRPr="004A00DA">
        <w:rPr>
          <w:rFonts w:ascii="Open Sans" w:hAnsi="Open Sans" w:cs="Open Sans"/>
          <w:sz w:val="20"/>
          <w:szCs w:val="20"/>
          <w:lang w:eastAsia="en-GB"/>
        </w:rPr>
        <w:t xml:space="preserve"> further</w:t>
      </w:r>
      <w:r w:rsidR="0060267B" w:rsidRPr="004A00DA">
        <w:rPr>
          <w:rFonts w:ascii="Open Sans" w:hAnsi="Open Sans" w:cs="Open Sans"/>
          <w:sz w:val="20"/>
          <w:szCs w:val="20"/>
          <w:lang w:eastAsia="en-GB"/>
        </w:rPr>
        <w:t xml:space="preserve"> investment</w:t>
      </w:r>
      <w:r w:rsidR="00BF03A2" w:rsidRPr="004A00DA">
        <w:rPr>
          <w:rFonts w:ascii="Open Sans" w:hAnsi="Open Sans" w:cs="Open Sans"/>
          <w:sz w:val="20"/>
          <w:szCs w:val="20"/>
          <w:lang w:eastAsia="en-GB"/>
        </w:rPr>
        <w:t xml:space="preserve"> and planning. </w:t>
      </w:r>
    </w:p>
    <w:p w14:paraId="3BE2E2CE" w14:textId="77777777" w:rsidR="0060267B" w:rsidRPr="004A00DA" w:rsidRDefault="00F336C6"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Significant cost reductions in electrolysis are required for wide-spread deployment by 2030.</w:t>
      </w:r>
    </w:p>
    <w:p w14:paraId="0A23BE00" w14:textId="5602CCBF" w:rsidR="0060267B" w:rsidRPr="004A00DA" w:rsidRDefault="00984981" w:rsidP="004A00DA">
      <w:pPr>
        <w:pStyle w:val="Heading2"/>
        <w:tabs>
          <w:tab w:val="left" w:pos="426"/>
          <w:tab w:val="left" w:pos="993"/>
        </w:tabs>
        <w:rPr>
          <w:rFonts w:ascii="Open Sans" w:hAnsi="Open Sans" w:cs="Open Sans"/>
          <w:sz w:val="20"/>
          <w:szCs w:val="20"/>
          <w:lang w:eastAsia="en-GB"/>
        </w:rPr>
      </w:pPr>
      <w:bookmarkStart w:id="19" w:name="_Toc34921723"/>
      <w:r>
        <w:rPr>
          <w:rFonts w:ascii="Open Sans" w:hAnsi="Open Sans" w:cs="Open Sans"/>
          <w:sz w:val="20"/>
          <w:szCs w:val="20"/>
          <w:lang w:eastAsia="en-GB"/>
        </w:rPr>
        <w:t xml:space="preserve">2.4.2 </w:t>
      </w:r>
      <w:r w:rsidR="0060267B" w:rsidRPr="004A00DA">
        <w:rPr>
          <w:rFonts w:ascii="Open Sans" w:hAnsi="Open Sans" w:cs="Open Sans"/>
          <w:sz w:val="20"/>
          <w:szCs w:val="20"/>
          <w:lang w:eastAsia="en-GB"/>
        </w:rPr>
        <w:t>Electric Vehicles and Charging Infrastructure</w:t>
      </w:r>
      <w:bookmarkEnd w:id="19"/>
    </w:p>
    <w:p w14:paraId="183CAC37" w14:textId="77777777" w:rsidR="00F3663C" w:rsidRPr="004A00DA" w:rsidRDefault="00F3663C" w:rsidP="004A00DA">
      <w:pPr>
        <w:tabs>
          <w:tab w:val="left" w:pos="426"/>
          <w:tab w:val="left" w:pos="993"/>
        </w:tabs>
        <w:rPr>
          <w:rFonts w:ascii="Open Sans" w:eastAsia="Times New Roman" w:hAnsi="Open Sans" w:cs="Open Sans"/>
          <w:b/>
          <w:sz w:val="20"/>
          <w:szCs w:val="20"/>
          <w:lang w:eastAsia="en-GB"/>
        </w:rPr>
      </w:pPr>
    </w:p>
    <w:tbl>
      <w:tblPr>
        <w:tblStyle w:val="TableGrid"/>
        <w:tblW w:w="0" w:type="auto"/>
        <w:tblLook w:val="04A0" w:firstRow="1" w:lastRow="0" w:firstColumn="1" w:lastColumn="0" w:noHBand="0" w:noVBand="1"/>
      </w:tblPr>
      <w:tblGrid>
        <w:gridCol w:w="1803"/>
        <w:gridCol w:w="1803"/>
        <w:gridCol w:w="1803"/>
        <w:gridCol w:w="1803"/>
        <w:gridCol w:w="1804"/>
      </w:tblGrid>
      <w:tr w:rsidR="00234CCF" w:rsidRPr="004A00DA" w14:paraId="556A115F" w14:textId="77777777" w:rsidTr="00234CCF">
        <w:tc>
          <w:tcPr>
            <w:tcW w:w="1803" w:type="dxa"/>
          </w:tcPr>
          <w:p w14:paraId="3BFCE859" w14:textId="77777777"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Acronym</w:t>
            </w:r>
          </w:p>
        </w:tc>
        <w:tc>
          <w:tcPr>
            <w:tcW w:w="1803" w:type="dxa"/>
          </w:tcPr>
          <w:p w14:paraId="706A5F5E" w14:textId="77777777"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Full name</w:t>
            </w:r>
          </w:p>
        </w:tc>
        <w:tc>
          <w:tcPr>
            <w:tcW w:w="1803" w:type="dxa"/>
          </w:tcPr>
          <w:p w14:paraId="3BD98C77" w14:textId="77777777"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Drive trains</w:t>
            </w:r>
          </w:p>
        </w:tc>
        <w:tc>
          <w:tcPr>
            <w:tcW w:w="1803" w:type="dxa"/>
          </w:tcPr>
          <w:p w14:paraId="23EE79B0" w14:textId="77777777"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Fuelling method</w:t>
            </w:r>
          </w:p>
        </w:tc>
        <w:tc>
          <w:tcPr>
            <w:tcW w:w="1804" w:type="dxa"/>
          </w:tcPr>
          <w:p w14:paraId="0EBF2138" w14:textId="58AB4C01" w:rsidR="00234CCF" w:rsidRPr="004A00DA" w:rsidRDefault="00780A4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Potential</w:t>
            </w:r>
            <w:r w:rsidR="00234CCF" w:rsidRPr="004A00DA">
              <w:rPr>
                <w:rFonts w:ascii="Open Sans" w:hAnsi="Open Sans" w:cs="Open Sans"/>
                <w:sz w:val="20"/>
                <w:szCs w:val="20"/>
                <w:lang w:eastAsia="en-GB"/>
              </w:rPr>
              <w:t xml:space="preserve"> range</w:t>
            </w:r>
          </w:p>
        </w:tc>
      </w:tr>
      <w:tr w:rsidR="00234CCF" w:rsidRPr="004A00DA" w14:paraId="0C422F1D" w14:textId="77777777" w:rsidTr="00234CCF">
        <w:tc>
          <w:tcPr>
            <w:tcW w:w="1803" w:type="dxa"/>
          </w:tcPr>
          <w:p w14:paraId="3F7929A6" w14:textId="4EF8DE71"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BEV</w:t>
            </w:r>
          </w:p>
        </w:tc>
        <w:tc>
          <w:tcPr>
            <w:tcW w:w="1803" w:type="dxa"/>
          </w:tcPr>
          <w:p w14:paraId="263F9E2C" w14:textId="5F9B0D94"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Battery electric vehicle</w:t>
            </w:r>
          </w:p>
        </w:tc>
        <w:tc>
          <w:tcPr>
            <w:tcW w:w="1803" w:type="dxa"/>
          </w:tcPr>
          <w:p w14:paraId="71A3C1CB" w14:textId="341CF672"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Electric motor only</w:t>
            </w:r>
          </w:p>
        </w:tc>
        <w:tc>
          <w:tcPr>
            <w:tcW w:w="1803" w:type="dxa"/>
          </w:tcPr>
          <w:p w14:paraId="324E7159" w14:textId="577B9974"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Plug in charging</w:t>
            </w:r>
          </w:p>
        </w:tc>
        <w:tc>
          <w:tcPr>
            <w:tcW w:w="1804" w:type="dxa"/>
          </w:tcPr>
          <w:p w14:paraId="065F2CB1" w14:textId="77777777" w:rsidR="00234CCF" w:rsidRPr="004A00DA" w:rsidRDefault="00234CCF" w:rsidP="004A00DA">
            <w:pPr>
              <w:tabs>
                <w:tab w:val="left" w:pos="426"/>
                <w:tab w:val="left" w:pos="993"/>
              </w:tabs>
              <w:rPr>
                <w:rFonts w:ascii="Open Sans" w:hAnsi="Open Sans" w:cs="Open Sans"/>
                <w:sz w:val="20"/>
                <w:szCs w:val="20"/>
                <w:lang w:eastAsia="en-GB"/>
              </w:rPr>
            </w:pPr>
          </w:p>
        </w:tc>
      </w:tr>
      <w:tr w:rsidR="00234CCF" w:rsidRPr="004A00DA" w14:paraId="55A03AF3" w14:textId="77777777" w:rsidTr="00234CCF">
        <w:tc>
          <w:tcPr>
            <w:tcW w:w="1803" w:type="dxa"/>
          </w:tcPr>
          <w:p w14:paraId="76C3A8AE" w14:textId="286C4795"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PHEV</w:t>
            </w:r>
          </w:p>
        </w:tc>
        <w:tc>
          <w:tcPr>
            <w:tcW w:w="1803" w:type="dxa"/>
          </w:tcPr>
          <w:p w14:paraId="4B2B0CA7" w14:textId="7601766C" w:rsidR="00234CCF" w:rsidRPr="004A00DA" w:rsidRDefault="00780A4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Plug-in Hybrid Electric Vehicle </w:t>
            </w:r>
          </w:p>
        </w:tc>
        <w:tc>
          <w:tcPr>
            <w:tcW w:w="1803" w:type="dxa"/>
          </w:tcPr>
          <w:p w14:paraId="4D913CCE" w14:textId="638A4F57"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ICE and electric motor</w:t>
            </w:r>
          </w:p>
        </w:tc>
        <w:tc>
          <w:tcPr>
            <w:tcW w:w="1803" w:type="dxa"/>
          </w:tcPr>
          <w:p w14:paraId="57D69861" w14:textId="0F25D742"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Plug in charging and liquid fuelling</w:t>
            </w:r>
          </w:p>
        </w:tc>
        <w:tc>
          <w:tcPr>
            <w:tcW w:w="1804" w:type="dxa"/>
          </w:tcPr>
          <w:p w14:paraId="5EA0B081" w14:textId="77777777" w:rsidR="00234CCF" w:rsidRPr="004A00DA" w:rsidRDefault="00234CCF" w:rsidP="004A00DA">
            <w:pPr>
              <w:tabs>
                <w:tab w:val="left" w:pos="426"/>
                <w:tab w:val="left" w:pos="993"/>
              </w:tabs>
              <w:rPr>
                <w:rFonts w:ascii="Open Sans" w:hAnsi="Open Sans" w:cs="Open Sans"/>
                <w:sz w:val="20"/>
                <w:szCs w:val="20"/>
                <w:lang w:eastAsia="en-GB"/>
              </w:rPr>
            </w:pPr>
          </w:p>
        </w:tc>
      </w:tr>
      <w:tr w:rsidR="00234CCF" w:rsidRPr="004A00DA" w14:paraId="7CD73BDB" w14:textId="77777777" w:rsidTr="00234CCF">
        <w:tc>
          <w:tcPr>
            <w:tcW w:w="1803" w:type="dxa"/>
          </w:tcPr>
          <w:p w14:paraId="48A7E55D" w14:textId="08468E6F"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Parallel hybrid</w:t>
            </w:r>
            <w:r w:rsidRPr="004A00DA">
              <w:rPr>
                <w:rFonts w:ascii="Open Sans" w:hAnsi="Open Sans" w:cs="Open Sans"/>
                <w:color w:val="000000"/>
                <w:sz w:val="20"/>
                <w:szCs w:val="20"/>
              </w:rPr>
              <w:t> </w:t>
            </w:r>
          </w:p>
        </w:tc>
        <w:tc>
          <w:tcPr>
            <w:tcW w:w="1803" w:type="dxa"/>
          </w:tcPr>
          <w:p w14:paraId="6C1709C2" w14:textId="77777777" w:rsidR="00234CCF" w:rsidRPr="004A00DA" w:rsidRDefault="00234CCF" w:rsidP="004A00DA">
            <w:pPr>
              <w:tabs>
                <w:tab w:val="left" w:pos="426"/>
                <w:tab w:val="left" w:pos="993"/>
              </w:tabs>
              <w:rPr>
                <w:rFonts w:ascii="Open Sans" w:hAnsi="Open Sans" w:cs="Open Sans"/>
                <w:sz w:val="20"/>
                <w:szCs w:val="20"/>
                <w:lang w:eastAsia="en-GB"/>
              </w:rPr>
            </w:pPr>
          </w:p>
        </w:tc>
        <w:tc>
          <w:tcPr>
            <w:tcW w:w="1803" w:type="dxa"/>
          </w:tcPr>
          <w:p w14:paraId="4ADE43AC" w14:textId="4BA3A7AD"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ICE and electric motor</w:t>
            </w:r>
          </w:p>
        </w:tc>
        <w:tc>
          <w:tcPr>
            <w:tcW w:w="1803" w:type="dxa"/>
          </w:tcPr>
          <w:p w14:paraId="4BD7026A" w14:textId="63A8C37F"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liquid fuelling</w:t>
            </w:r>
          </w:p>
        </w:tc>
        <w:tc>
          <w:tcPr>
            <w:tcW w:w="1804" w:type="dxa"/>
          </w:tcPr>
          <w:p w14:paraId="128469B0" w14:textId="77777777" w:rsidR="00234CCF" w:rsidRPr="004A00DA" w:rsidRDefault="00234CCF" w:rsidP="004A00DA">
            <w:pPr>
              <w:tabs>
                <w:tab w:val="left" w:pos="426"/>
                <w:tab w:val="left" w:pos="993"/>
              </w:tabs>
              <w:rPr>
                <w:rFonts w:ascii="Open Sans" w:hAnsi="Open Sans" w:cs="Open Sans"/>
                <w:sz w:val="20"/>
                <w:szCs w:val="20"/>
                <w:lang w:eastAsia="en-GB"/>
              </w:rPr>
            </w:pPr>
          </w:p>
        </w:tc>
      </w:tr>
      <w:tr w:rsidR="00234CCF" w:rsidRPr="004A00DA" w14:paraId="0C45B985" w14:textId="77777777" w:rsidTr="00234CCF">
        <w:tc>
          <w:tcPr>
            <w:tcW w:w="1803" w:type="dxa"/>
          </w:tcPr>
          <w:p w14:paraId="29AF9F8C" w14:textId="72B5F8D3" w:rsidR="00234CCF" w:rsidRPr="004A00DA" w:rsidRDefault="00234CCF"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Range extender</w:t>
            </w:r>
          </w:p>
        </w:tc>
        <w:tc>
          <w:tcPr>
            <w:tcW w:w="1803" w:type="dxa"/>
          </w:tcPr>
          <w:p w14:paraId="518878C1" w14:textId="77777777" w:rsidR="00234CCF" w:rsidRPr="004A00DA" w:rsidRDefault="00234CCF" w:rsidP="004A00DA">
            <w:pPr>
              <w:tabs>
                <w:tab w:val="left" w:pos="426"/>
                <w:tab w:val="left" w:pos="993"/>
              </w:tabs>
              <w:rPr>
                <w:rFonts w:ascii="Open Sans" w:hAnsi="Open Sans" w:cs="Open Sans"/>
                <w:sz w:val="20"/>
                <w:szCs w:val="20"/>
                <w:lang w:eastAsia="en-GB"/>
              </w:rPr>
            </w:pPr>
          </w:p>
        </w:tc>
        <w:tc>
          <w:tcPr>
            <w:tcW w:w="1803" w:type="dxa"/>
          </w:tcPr>
          <w:p w14:paraId="7B8D551C" w14:textId="4D7645C3"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Electric motor</w:t>
            </w:r>
          </w:p>
        </w:tc>
        <w:tc>
          <w:tcPr>
            <w:tcW w:w="1803" w:type="dxa"/>
          </w:tcPr>
          <w:p w14:paraId="7806FA92" w14:textId="0A35EAEB" w:rsidR="00234CCF"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Plug in charging and liquid fuelling</w:t>
            </w:r>
          </w:p>
        </w:tc>
        <w:tc>
          <w:tcPr>
            <w:tcW w:w="1804" w:type="dxa"/>
          </w:tcPr>
          <w:p w14:paraId="3EC7A65B" w14:textId="77777777" w:rsidR="00234CCF" w:rsidRPr="004A00DA" w:rsidRDefault="00234CCF" w:rsidP="004A00DA">
            <w:pPr>
              <w:tabs>
                <w:tab w:val="left" w:pos="426"/>
                <w:tab w:val="left" w:pos="993"/>
              </w:tabs>
              <w:rPr>
                <w:rFonts w:ascii="Open Sans" w:hAnsi="Open Sans" w:cs="Open Sans"/>
                <w:sz w:val="20"/>
                <w:szCs w:val="20"/>
                <w:lang w:eastAsia="en-GB"/>
              </w:rPr>
            </w:pPr>
          </w:p>
        </w:tc>
      </w:tr>
    </w:tbl>
    <w:p w14:paraId="700B5E24" w14:textId="77777777" w:rsidR="00367B2D" w:rsidRDefault="00367B2D" w:rsidP="004A00DA">
      <w:pPr>
        <w:tabs>
          <w:tab w:val="left" w:pos="426"/>
          <w:tab w:val="left" w:pos="993"/>
        </w:tabs>
        <w:rPr>
          <w:rFonts w:ascii="Open Sans" w:hAnsi="Open Sans" w:cs="Open Sans"/>
          <w:sz w:val="20"/>
          <w:szCs w:val="20"/>
          <w:lang w:eastAsia="en-GB"/>
        </w:rPr>
      </w:pPr>
    </w:p>
    <w:p w14:paraId="37C80904" w14:textId="28235F4A" w:rsidR="00941B1D"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Battery electric vehicles </w:t>
      </w:r>
      <w:r w:rsidR="00941B1D" w:rsidRPr="004A00DA">
        <w:rPr>
          <w:rFonts w:ascii="Open Sans" w:hAnsi="Open Sans" w:cs="Open Sans"/>
          <w:sz w:val="20"/>
          <w:szCs w:val="20"/>
          <w:lang w:eastAsia="en-GB"/>
        </w:rPr>
        <w:t xml:space="preserve">represent a significant departure from traditional thinking around ICE manufacturing and value creation. There is significant debate about their role </w:t>
      </w:r>
      <w:r w:rsidR="001479F0" w:rsidRPr="004A00DA">
        <w:rPr>
          <w:rFonts w:ascii="Open Sans" w:hAnsi="Open Sans" w:cs="Open Sans"/>
          <w:sz w:val="20"/>
          <w:szCs w:val="20"/>
          <w:lang w:eastAsia="en-GB"/>
        </w:rPr>
        <w:t xml:space="preserve">compared to </w:t>
      </w:r>
      <w:r w:rsidR="00941B1D" w:rsidRPr="004A00DA">
        <w:rPr>
          <w:rFonts w:ascii="Open Sans" w:hAnsi="Open Sans" w:cs="Open Sans"/>
          <w:sz w:val="20"/>
          <w:szCs w:val="20"/>
          <w:lang w:eastAsia="en-GB"/>
        </w:rPr>
        <w:t xml:space="preserve">that of Plug-in Hybrid Electric Vehicles (PHEVs), with </w:t>
      </w:r>
      <w:r w:rsidR="00932A07" w:rsidRPr="004A00DA">
        <w:rPr>
          <w:rFonts w:ascii="Open Sans" w:hAnsi="Open Sans" w:cs="Open Sans"/>
          <w:sz w:val="20"/>
          <w:szCs w:val="20"/>
          <w:lang w:eastAsia="en-GB"/>
        </w:rPr>
        <w:t>concerns over the environmental performance of vehicles that are run sub-optimally (i.e.</w:t>
      </w:r>
      <w:r w:rsidR="001479F0" w:rsidRPr="004A00DA">
        <w:rPr>
          <w:rFonts w:ascii="Open Sans" w:hAnsi="Open Sans" w:cs="Open Sans"/>
          <w:sz w:val="20"/>
          <w:szCs w:val="20"/>
          <w:lang w:eastAsia="en-GB"/>
        </w:rPr>
        <w:t xml:space="preserve"> </w:t>
      </w:r>
      <w:r w:rsidR="00AF6309" w:rsidRPr="004A00DA">
        <w:rPr>
          <w:rFonts w:ascii="Open Sans" w:hAnsi="Open Sans" w:cs="Open Sans"/>
          <w:sz w:val="20"/>
          <w:szCs w:val="20"/>
          <w:lang w:eastAsia="en-GB"/>
        </w:rPr>
        <w:t>where the battery is</w:t>
      </w:r>
      <w:r w:rsidR="001479F0" w:rsidRPr="004A00DA">
        <w:rPr>
          <w:rFonts w:ascii="Open Sans" w:hAnsi="Open Sans" w:cs="Open Sans"/>
          <w:sz w:val="20"/>
          <w:szCs w:val="20"/>
          <w:lang w:eastAsia="en-GB"/>
        </w:rPr>
        <w:t xml:space="preserve"> </w:t>
      </w:r>
      <w:r w:rsidR="00AF6309" w:rsidRPr="004A00DA">
        <w:rPr>
          <w:rFonts w:ascii="Open Sans" w:hAnsi="Open Sans" w:cs="Open Sans"/>
          <w:sz w:val="20"/>
          <w:szCs w:val="20"/>
          <w:lang w:eastAsia="en-GB"/>
        </w:rPr>
        <w:t xml:space="preserve">seldom if ever charged </w:t>
      </w:r>
      <w:r w:rsidR="001479F0" w:rsidRPr="004A00DA">
        <w:rPr>
          <w:rFonts w:ascii="Open Sans" w:hAnsi="Open Sans" w:cs="Open Sans"/>
          <w:sz w:val="20"/>
          <w:szCs w:val="20"/>
          <w:lang w:eastAsia="en-GB"/>
        </w:rPr>
        <w:t xml:space="preserve">and primarily relies on </w:t>
      </w:r>
      <w:r w:rsidR="00932A07" w:rsidRPr="004A00DA">
        <w:rPr>
          <w:rFonts w:ascii="Open Sans" w:hAnsi="Open Sans" w:cs="Open Sans"/>
          <w:sz w:val="20"/>
          <w:szCs w:val="20"/>
          <w:lang w:eastAsia="en-GB"/>
        </w:rPr>
        <w:t xml:space="preserve">liquid </w:t>
      </w:r>
      <w:r w:rsidR="001479F0" w:rsidRPr="004A00DA">
        <w:rPr>
          <w:rFonts w:ascii="Open Sans" w:hAnsi="Open Sans" w:cs="Open Sans"/>
          <w:sz w:val="20"/>
          <w:szCs w:val="20"/>
          <w:lang w:eastAsia="en-GB"/>
        </w:rPr>
        <w:t>fuel</w:t>
      </w:r>
      <w:r w:rsidR="00932A07" w:rsidRPr="004A00DA">
        <w:rPr>
          <w:rFonts w:ascii="Open Sans" w:hAnsi="Open Sans" w:cs="Open Sans"/>
          <w:sz w:val="20"/>
          <w:szCs w:val="20"/>
          <w:lang w:eastAsia="en-GB"/>
        </w:rPr>
        <w:t xml:space="preserve">).  </w:t>
      </w:r>
      <w:r w:rsidR="001479F0" w:rsidRPr="004A00DA">
        <w:rPr>
          <w:rFonts w:ascii="Open Sans" w:hAnsi="Open Sans" w:cs="Open Sans"/>
          <w:sz w:val="20"/>
          <w:szCs w:val="20"/>
          <w:lang w:eastAsia="en-GB"/>
        </w:rPr>
        <w:t xml:space="preserve">The current </w:t>
      </w:r>
      <w:r w:rsidR="00941B1D" w:rsidRPr="004A00DA">
        <w:rPr>
          <w:rFonts w:ascii="Open Sans" w:hAnsi="Open Sans" w:cs="Open Sans"/>
          <w:sz w:val="20"/>
          <w:szCs w:val="20"/>
          <w:lang w:eastAsia="en-GB"/>
        </w:rPr>
        <w:t>Government</w:t>
      </w:r>
      <w:r w:rsidR="001479F0" w:rsidRPr="004A00DA">
        <w:rPr>
          <w:rFonts w:ascii="Open Sans" w:hAnsi="Open Sans" w:cs="Open Sans"/>
          <w:sz w:val="20"/>
          <w:szCs w:val="20"/>
          <w:lang w:eastAsia="en-GB"/>
        </w:rPr>
        <w:t xml:space="preserve"> consultation on phasing-out new petrol and diesel car and van sales by 2035</w:t>
      </w:r>
      <w:r w:rsidR="00941B1D" w:rsidRPr="004A00DA">
        <w:rPr>
          <w:rFonts w:ascii="Open Sans" w:hAnsi="Open Sans" w:cs="Open Sans"/>
          <w:sz w:val="20"/>
          <w:szCs w:val="20"/>
          <w:lang w:eastAsia="en-GB"/>
        </w:rPr>
        <w:t xml:space="preserve"> </w:t>
      </w:r>
      <w:r w:rsidR="00932A07" w:rsidRPr="004A00DA">
        <w:rPr>
          <w:rFonts w:ascii="Open Sans" w:hAnsi="Open Sans" w:cs="Open Sans"/>
          <w:sz w:val="20"/>
          <w:szCs w:val="20"/>
          <w:lang w:eastAsia="en-GB"/>
        </w:rPr>
        <w:t xml:space="preserve">is </w:t>
      </w:r>
      <w:r w:rsidR="000A0DF3" w:rsidRPr="004A00DA">
        <w:rPr>
          <w:rFonts w:ascii="Open Sans" w:hAnsi="Open Sans" w:cs="Open Sans"/>
          <w:sz w:val="20"/>
          <w:szCs w:val="20"/>
          <w:lang w:eastAsia="en-GB"/>
        </w:rPr>
        <w:t>questioning</w:t>
      </w:r>
      <w:r w:rsidR="00932A07" w:rsidRPr="004A00DA">
        <w:rPr>
          <w:rFonts w:ascii="Open Sans" w:hAnsi="Open Sans" w:cs="Open Sans"/>
          <w:sz w:val="20"/>
          <w:szCs w:val="20"/>
          <w:lang w:eastAsia="en-GB"/>
        </w:rPr>
        <w:t xml:space="preserve"> whether PHEVs should be </w:t>
      </w:r>
      <w:r w:rsidR="001479F0" w:rsidRPr="004A00DA">
        <w:rPr>
          <w:rFonts w:ascii="Open Sans" w:hAnsi="Open Sans" w:cs="Open Sans"/>
          <w:sz w:val="20"/>
          <w:szCs w:val="20"/>
          <w:lang w:eastAsia="en-GB"/>
        </w:rPr>
        <w:t>included</w:t>
      </w:r>
      <w:r w:rsidR="00941B1D" w:rsidRPr="004A00DA">
        <w:rPr>
          <w:rFonts w:ascii="Open Sans" w:hAnsi="Open Sans" w:cs="Open Sans"/>
          <w:sz w:val="20"/>
          <w:szCs w:val="20"/>
          <w:lang w:eastAsia="en-GB"/>
        </w:rPr>
        <w:t xml:space="preserve">. </w:t>
      </w:r>
    </w:p>
    <w:p w14:paraId="6EC9DBB0" w14:textId="1855DAAB" w:rsidR="00AF6309" w:rsidRPr="004A00DA" w:rsidRDefault="00AF6309"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When PHEVs are used appropriately, however, they can be among the best performing vehicles in GHG terms.  Those which are always charged, and predominantly do shorter journeys (with only the occasional journey requiring the use of the </w:t>
      </w:r>
      <w:r w:rsidR="00780A49" w:rsidRPr="004A00DA">
        <w:rPr>
          <w:rFonts w:ascii="Open Sans" w:hAnsi="Open Sans" w:cs="Open Sans"/>
          <w:sz w:val="20"/>
          <w:szCs w:val="20"/>
          <w:lang w:eastAsia="en-GB"/>
        </w:rPr>
        <w:t>ICE engine</w:t>
      </w:r>
      <w:r w:rsidRPr="004A00DA">
        <w:rPr>
          <w:rFonts w:ascii="Open Sans" w:hAnsi="Open Sans" w:cs="Open Sans"/>
          <w:sz w:val="20"/>
          <w:szCs w:val="20"/>
          <w:lang w:eastAsia="en-GB"/>
        </w:rPr>
        <w:t xml:space="preserve">) can have a superior performance, as the smaller battery is appropriately sized for the majority of journeys.  When coupled with high blend biofuels, eg E85, this can </w:t>
      </w:r>
      <w:r w:rsidR="00F10EEA" w:rsidRPr="004A00DA">
        <w:rPr>
          <w:rFonts w:ascii="Open Sans" w:hAnsi="Open Sans" w:cs="Open Sans"/>
          <w:sz w:val="20"/>
          <w:szCs w:val="20"/>
          <w:lang w:eastAsia="en-GB"/>
        </w:rPr>
        <w:t xml:space="preserve">currently </w:t>
      </w:r>
      <w:r w:rsidRPr="004A00DA">
        <w:rPr>
          <w:rFonts w:ascii="Open Sans" w:hAnsi="Open Sans" w:cs="Open Sans"/>
          <w:sz w:val="20"/>
          <w:szCs w:val="20"/>
          <w:lang w:eastAsia="en-GB"/>
        </w:rPr>
        <w:t>give lowe</w:t>
      </w:r>
      <w:r w:rsidR="00F10EEA" w:rsidRPr="004A00DA">
        <w:rPr>
          <w:rFonts w:ascii="Open Sans" w:hAnsi="Open Sans" w:cs="Open Sans"/>
          <w:sz w:val="20"/>
          <w:szCs w:val="20"/>
          <w:lang w:eastAsia="en-GB"/>
        </w:rPr>
        <w:t>r GHG emissions/ mile than BEVs.</w:t>
      </w:r>
    </w:p>
    <w:p w14:paraId="100EB719" w14:textId="49B0425A" w:rsidR="00941B1D" w:rsidRPr="004A00DA" w:rsidRDefault="00941B1D"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The creation of a BEV supply chain </w:t>
      </w:r>
      <w:r w:rsidR="001479F0" w:rsidRPr="004A00DA">
        <w:rPr>
          <w:rFonts w:ascii="Open Sans" w:hAnsi="Open Sans" w:cs="Open Sans"/>
          <w:sz w:val="20"/>
          <w:szCs w:val="20"/>
          <w:lang w:eastAsia="en-GB"/>
        </w:rPr>
        <w:t xml:space="preserve">is </w:t>
      </w:r>
      <w:r w:rsidRPr="004A00DA">
        <w:rPr>
          <w:rFonts w:ascii="Open Sans" w:hAnsi="Open Sans" w:cs="Open Sans"/>
          <w:sz w:val="20"/>
          <w:szCs w:val="20"/>
          <w:lang w:eastAsia="en-GB"/>
        </w:rPr>
        <w:t>requir</w:t>
      </w:r>
      <w:r w:rsidR="001479F0" w:rsidRPr="004A00DA">
        <w:rPr>
          <w:rFonts w:ascii="Open Sans" w:hAnsi="Open Sans" w:cs="Open Sans"/>
          <w:sz w:val="20"/>
          <w:szCs w:val="20"/>
          <w:lang w:eastAsia="en-GB"/>
        </w:rPr>
        <w:t>ing the</w:t>
      </w:r>
      <w:r w:rsidRPr="004A00DA">
        <w:rPr>
          <w:rFonts w:ascii="Open Sans" w:hAnsi="Open Sans" w:cs="Open Sans"/>
          <w:sz w:val="20"/>
          <w:szCs w:val="20"/>
          <w:lang w:eastAsia="en-GB"/>
        </w:rPr>
        <w:t xml:space="preserve"> re-organisation of </w:t>
      </w:r>
      <w:r w:rsidR="00577095" w:rsidRPr="004A00DA">
        <w:rPr>
          <w:rFonts w:ascii="Open Sans" w:hAnsi="Open Sans" w:cs="Open Sans"/>
          <w:sz w:val="20"/>
          <w:szCs w:val="20"/>
          <w:lang w:eastAsia="en-GB"/>
        </w:rPr>
        <w:t xml:space="preserve">the existing </w:t>
      </w:r>
      <w:r w:rsidRPr="004A00DA">
        <w:rPr>
          <w:rFonts w:ascii="Open Sans" w:hAnsi="Open Sans" w:cs="Open Sans"/>
          <w:sz w:val="20"/>
          <w:szCs w:val="20"/>
          <w:lang w:eastAsia="en-GB"/>
        </w:rPr>
        <w:t>automotive manufacturing</w:t>
      </w:r>
      <w:r w:rsidR="00577095" w:rsidRPr="004A00DA">
        <w:rPr>
          <w:rFonts w:ascii="Open Sans" w:hAnsi="Open Sans" w:cs="Open Sans"/>
          <w:sz w:val="20"/>
          <w:szCs w:val="20"/>
          <w:lang w:eastAsia="en-GB"/>
        </w:rPr>
        <w:t xml:space="preserve"> industry</w:t>
      </w:r>
      <w:r w:rsidRPr="004A00DA">
        <w:rPr>
          <w:rFonts w:ascii="Open Sans" w:hAnsi="Open Sans" w:cs="Open Sans"/>
          <w:sz w:val="20"/>
          <w:szCs w:val="20"/>
          <w:lang w:eastAsia="en-GB"/>
        </w:rPr>
        <w:t>. In the REA view, with declining ICE sales it will become increasingly difficult and expensive for automotive manufacturers to maintain two distinct supply chains (one EV, the other ICE) and the trend towards automotive manufacturers quickly transitioning to 100% electric car and van manufacture, as is the case with VW</w:t>
      </w:r>
      <w:r w:rsidR="001479F0" w:rsidRPr="004A00DA">
        <w:rPr>
          <w:rStyle w:val="FootnoteReference"/>
          <w:rFonts w:ascii="Open Sans" w:hAnsi="Open Sans" w:cs="Open Sans"/>
          <w:sz w:val="20"/>
          <w:szCs w:val="20"/>
          <w:lang w:eastAsia="en-GB"/>
        </w:rPr>
        <w:footnoteReference w:id="26"/>
      </w:r>
      <w:r w:rsidRPr="004A00DA">
        <w:rPr>
          <w:rFonts w:ascii="Open Sans" w:hAnsi="Open Sans" w:cs="Open Sans"/>
          <w:sz w:val="20"/>
          <w:szCs w:val="20"/>
          <w:lang w:eastAsia="en-GB"/>
        </w:rPr>
        <w:t xml:space="preserve">, will gain speed. </w:t>
      </w:r>
    </w:p>
    <w:p w14:paraId="1F92E8FD" w14:textId="16ED856F" w:rsidR="0060267B" w:rsidRPr="004A00DA" w:rsidRDefault="0060267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UK has a burgeoning EV industry, supplying 20% of all EVs sold in the EU in 2016, with low emission vehicles in general being exported to a value of £2.2 billion, largely due to the Sunderland Nissan plant manufacturing the LEAF</w:t>
      </w:r>
      <w:r w:rsidR="00505D7E" w:rsidRPr="004A00DA">
        <w:rPr>
          <w:rStyle w:val="FootnoteReference"/>
          <w:rFonts w:ascii="Open Sans" w:hAnsi="Open Sans" w:cs="Open Sans"/>
          <w:sz w:val="20"/>
          <w:szCs w:val="20"/>
          <w:lang w:eastAsia="en-GB"/>
        </w:rPr>
        <w:footnoteReference w:id="27"/>
      </w:r>
      <w:r w:rsidRPr="004A00DA">
        <w:rPr>
          <w:rFonts w:ascii="Open Sans" w:hAnsi="Open Sans" w:cs="Open Sans"/>
          <w:sz w:val="20"/>
          <w:szCs w:val="20"/>
          <w:lang w:eastAsia="en-GB"/>
        </w:rPr>
        <w:t xml:space="preserve">. </w:t>
      </w:r>
    </w:p>
    <w:p w14:paraId="62010082" w14:textId="3DFE742D" w:rsidR="00941B1D" w:rsidRPr="004A00DA" w:rsidRDefault="00F901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w:t>
      </w:r>
      <w:r w:rsidR="001479F0" w:rsidRPr="004A00DA">
        <w:rPr>
          <w:rFonts w:ascii="Open Sans" w:hAnsi="Open Sans" w:cs="Open Sans"/>
          <w:sz w:val="20"/>
          <w:szCs w:val="20"/>
          <w:lang w:eastAsia="en-GB"/>
        </w:rPr>
        <w:t>o address concerns around the new demands that EVs will place on electricity distribution networks in the UK, t</w:t>
      </w:r>
      <w:r w:rsidR="00941B1D" w:rsidRPr="004A00DA">
        <w:rPr>
          <w:rFonts w:ascii="Open Sans" w:hAnsi="Open Sans" w:cs="Open Sans"/>
          <w:sz w:val="20"/>
          <w:szCs w:val="20"/>
          <w:lang w:eastAsia="en-GB"/>
        </w:rPr>
        <w:t xml:space="preserve">he Government is consulting on mandating all new </w:t>
      </w:r>
      <w:r w:rsidR="00B84AB4" w:rsidRPr="004A00DA">
        <w:rPr>
          <w:rFonts w:ascii="Open Sans" w:hAnsi="Open Sans" w:cs="Open Sans"/>
          <w:sz w:val="20"/>
          <w:szCs w:val="20"/>
          <w:lang w:eastAsia="en-GB"/>
        </w:rPr>
        <w:t>charge points</w:t>
      </w:r>
      <w:r w:rsidR="00941B1D" w:rsidRPr="004A00DA">
        <w:rPr>
          <w:rFonts w:ascii="Open Sans" w:hAnsi="Open Sans" w:cs="Open Sans"/>
          <w:sz w:val="20"/>
          <w:szCs w:val="20"/>
          <w:lang w:eastAsia="en-GB"/>
        </w:rPr>
        <w:t xml:space="preserve"> to be ‘smart’, meaning being able to send a</w:t>
      </w:r>
      <w:r w:rsidR="007F7A05" w:rsidRPr="004A00DA">
        <w:rPr>
          <w:rFonts w:ascii="Open Sans" w:hAnsi="Open Sans" w:cs="Open Sans"/>
          <w:sz w:val="20"/>
          <w:szCs w:val="20"/>
          <w:lang w:eastAsia="en-GB"/>
        </w:rPr>
        <w:t>nd</w:t>
      </w:r>
      <w:r w:rsidR="00941B1D" w:rsidRPr="004A00DA">
        <w:rPr>
          <w:rFonts w:ascii="Open Sans" w:hAnsi="Open Sans" w:cs="Open Sans"/>
          <w:sz w:val="20"/>
          <w:szCs w:val="20"/>
          <w:lang w:eastAsia="en-GB"/>
        </w:rPr>
        <w:t xml:space="preserve"> receive load control signals. </w:t>
      </w:r>
    </w:p>
    <w:p w14:paraId="5B7D69D2" w14:textId="65BBAA94" w:rsidR="007C6C3A" w:rsidRPr="004A00DA" w:rsidRDefault="007C6C3A"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For public charging, a network of accessible fast and rapid chargers are currently being rolled out on existing forecourts, at retail sites and other destinations, in workplaces, and on-street. Additionally, Government and National Grid are coordinating the rollout of </w:t>
      </w:r>
      <w:r w:rsidR="00441429" w:rsidRPr="004A00DA">
        <w:rPr>
          <w:rFonts w:ascii="Open Sans" w:hAnsi="Open Sans" w:cs="Open Sans"/>
          <w:sz w:val="20"/>
          <w:szCs w:val="20"/>
          <w:lang w:eastAsia="en-GB"/>
        </w:rPr>
        <w:t>~</w:t>
      </w:r>
      <w:r w:rsidRPr="004A00DA">
        <w:rPr>
          <w:rFonts w:ascii="Open Sans" w:hAnsi="Open Sans" w:cs="Open Sans"/>
          <w:sz w:val="20"/>
          <w:szCs w:val="20"/>
          <w:lang w:eastAsia="en-GB"/>
        </w:rPr>
        <w:t>50 strategically located ultra-rapid (</w:t>
      </w:r>
      <w:r w:rsidR="00441429" w:rsidRPr="004A00DA">
        <w:rPr>
          <w:rFonts w:ascii="Open Sans" w:hAnsi="Open Sans" w:cs="Open Sans"/>
          <w:sz w:val="20"/>
          <w:szCs w:val="20"/>
          <w:lang w:eastAsia="en-GB"/>
        </w:rPr>
        <w:t xml:space="preserve">up to </w:t>
      </w:r>
      <w:r w:rsidRPr="004A00DA">
        <w:rPr>
          <w:rFonts w:ascii="Open Sans" w:hAnsi="Open Sans" w:cs="Open Sans"/>
          <w:sz w:val="20"/>
          <w:szCs w:val="20"/>
          <w:lang w:eastAsia="en-GB"/>
        </w:rPr>
        <w:t>350kW) charging hubs along the major motorway network. There are currently over 11,000 public charging points across the United Kingdom totalling 21,500+ connectors at approximately 6,500 locations</w:t>
      </w:r>
      <w:r w:rsidR="00505D7E" w:rsidRPr="004A00DA">
        <w:rPr>
          <w:rStyle w:val="FootnoteReference"/>
          <w:rFonts w:ascii="Open Sans" w:hAnsi="Open Sans" w:cs="Open Sans"/>
          <w:sz w:val="20"/>
          <w:szCs w:val="20"/>
          <w:lang w:eastAsia="en-GB"/>
        </w:rPr>
        <w:footnoteReference w:id="28"/>
      </w:r>
      <w:r w:rsidRPr="004A00DA">
        <w:rPr>
          <w:rFonts w:ascii="Open Sans" w:hAnsi="Open Sans" w:cs="Open Sans"/>
          <w:sz w:val="20"/>
          <w:szCs w:val="20"/>
          <w:lang w:eastAsia="en-GB"/>
        </w:rPr>
        <w:t>.</w:t>
      </w:r>
      <w:r w:rsidR="00A32C7C" w:rsidRPr="004A00DA">
        <w:rPr>
          <w:rFonts w:ascii="Open Sans" w:hAnsi="Open Sans" w:cs="Open Sans"/>
          <w:sz w:val="20"/>
          <w:szCs w:val="20"/>
          <w:lang w:eastAsia="en-GB"/>
        </w:rPr>
        <w:t xml:space="preserve"> </w:t>
      </w:r>
      <w:r w:rsidR="00A32C7C" w:rsidRPr="004A00DA">
        <w:rPr>
          <w:rFonts w:ascii="Open Sans" w:hAnsi="Open Sans" w:cs="Open Sans"/>
          <w:sz w:val="20"/>
          <w:szCs w:val="20"/>
          <w:shd w:val="clear" w:color="auto" w:fill="FFFF00"/>
          <w:lang w:eastAsia="en-GB"/>
        </w:rPr>
        <w:t>(Numbers to be updated prior to publication).</w:t>
      </w:r>
    </w:p>
    <w:p w14:paraId="75517B05" w14:textId="608936CA" w:rsidR="007C6C3A" w:rsidRPr="004A00DA" w:rsidRDefault="00B84AB4"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The shift towards electric cars and vans is being driven globally by policy interventions in some of the largest markets. The Zero Emission Vehicle Mandate in California and New Energy Vehicle Mandate in China are disrupting global supply chains, as is the European Commission’s CO</w:t>
      </w:r>
      <w:r w:rsidRPr="004A00DA">
        <w:rPr>
          <w:rFonts w:ascii="Open Sans" w:hAnsi="Open Sans" w:cs="Open Sans"/>
          <w:sz w:val="20"/>
          <w:szCs w:val="20"/>
          <w:vertAlign w:val="subscript"/>
          <w:lang w:eastAsia="en-GB"/>
        </w:rPr>
        <w:t xml:space="preserve">2 </w:t>
      </w:r>
      <w:r w:rsidRPr="004A00DA">
        <w:rPr>
          <w:rFonts w:ascii="Open Sans" w:hAnsi="Open Sans" w:cs="Open Sans"/>
          <w:sz w:val="20"/>
          <w:szCs w:val="20"/>
          <w:lang w:eastAsia="en-GB"/>
        </w:rPr>
        <w:t>requirements which require significant reductions in the CO</w:t>
      </w:r>
      <w:r w:rsidRPr="004A00DA">
        <w:rPr>
          <w:rFonts w:ascii="Open Sans" w:hAnsi="Open Sans" w:cs="Open Sans"/>
          <w:sz w:val="20"/>
          <w:szCs w:val="20"/>
          <w:vertAlign w:val="subscript"/>
          <w:lang w:eastAsia="en-GB"/>
        </w:rPr>
        <w:t>2</w:t>
      </w:r>
      <w:r w:rsidRPr="004A00DA">
        <w:rPr>
          <w:rFonts w:ascii="Open Sans" w:hAnsi="Open Sans" w:cs="Open Sans"/>
          <w:sz w:val="20"/>
          <w:szCs w:val="20"/>
          <w:lang w:eastAsia="en-GB"/>
        </w:rPr>
        <w:t xml:space="preserve"> intensity of the fleets manufactured in Europe from a baseline of 2020/21. </w:t>
      </w:r>
    </w:p>
    <w:p w14:paraId="0B07DA5F" w14:textId="70B4CE54" w:rsidR="00583E6B" w:rsidRPr="004A00DA" w:rsidRDefault="00583E6B"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In the UK, a key driver for electric vehicle deployment is the roll-out of Clean Air Zones in major cities as proposed in the </w:t>
      </w:r>
      <w:r w:rsidRPr="004A00DA">
        <w:rPr>
          <w:rFonts w:ascii="Open Sans" w:hAnsi="Open Sans" w:cs="Open Sans"/>
          <w:i/>
          <w:iCs/>
          <w:sz w:val="20"/>
          <w:szCs w:val="20"/>
          <w:lang w:eastAsia="en-GB"/>
        </w:rPr>
        <w:t>Clean Air Strategy</w:t>
      </w:r>
      <w:r w:rsidRPr="004A00DA">
        <w:rPr>
          <w:rFonts w:ascii="Open Sans" w:hAnsi="Open Sans" w:cs="Open Sans"/>
          <w:sz w:val="20"/>
          <w:szCs w:val="20"/>
          <w:lang w:eastAsia="en-GB"/>
        </w:rPr>
        <w:t xml:space="preserve"> of 2019 and the</w:t>
      </w:r>
      <w:r w:rsidRPr="004A00DA">
        <w:rPr>
          <w:rFonts w:ascii="Open Sans" w:hAnsi="Open Sans" w:cs="Open Sans"/>
          <w:i/>
          <w:iCs/>
          <w:sz w:val="20"/>
          <w:szCs w:val="20"/>
          <w:lang w:eastAsia="en-GB"/>
        </w:rPr>
        <w:t xml:space="preserve"> Air quality plan for nitrogen dioxide (NO</w:t>
      </w:r>
      <w:r w:rsidRPr="004A00DA">
        <w:rPr>
          <w:rFonts w:ascii="Open Sans" w:hAnsi="Open Sans" w:cs="Open Sans"/>
          <w:i/>
          <w:iCs/>
          <w:sz w:val="20"/>
          <w:szCs w:val="20"/>
          <w:vertAlign w:val="subscript"/>
          <w:lang w:eastAsia="en-GB"/>
        </w:rPr>
        <w:t>2</w:t>
      </w:r>
      <w:r w:rsidRPr="004A00DA">
        <w:rPr>
          <w:rFonts w:ascii="Open Sans" w:hAnsi="Open Sans" w:cs="Open Sans"/>
          <w:i/>
          <w:iCs/>
          <w:sz w:val="20"/>
          <w:szCs w:val="20"/>
          <w:lang w:eastAsia="en-GB"/>
        </w:rPr>
        <w:t xml:space="preserve">) in UK </w:t>
      </w:r>
      <w:r w:rsidRPr="004A00DA">
        <w:rPr>
          <w:rFonts w:ascii="Open Sans" w:hAnsi="Open Sans" w:cs="Open Sans"/>
          <w:sz w:val="20"/>
          <w:szCs w:val="20"/>
          <w:lang w:eastAsia="en-GB"/>
        </w:rPr>
        <w:t>in 2017. London has been the first to launch an Ultra-Low Emission Zone (ULEZ), which chargers divers who enter the area £12.50 per day for cars and light vans, and £100 per day for heavier vehicles.</w:t>
      </w:r>
      <w:r w:rsidRPr="004A00DA">
        <w:rPr>
          <w:rStyle w:val="FootnoteReference"/>
          <w:rFonts w:ascii="Open Sans" w:hAnsi="Open Sans" w:cs="Open Sans"/>
          <w:sz w:val="20"/>
          <w:szCs w:val="20"/>
          <w:lang w:eastAsia="en-GB"/>
        </w:rPr>
        <w:footnoteReference w:id="29"/>
      </w:r>
      <w:r w:rsidRPr="004A00DA">
        <w:rPr>
          <w:rFonts w:ascii="Open Sans" w:hAnsi="Open Sans" w:cs="Open Sans"/>
          <w:sz w:val="20"/>
          <w:szCs w:val="20"/>
          <w:lang w:eastAsia="en-GB"/>
        </w:rPr>
        <w:t xml:space="preserve"> Further clean air / ultra-low emission vehicle zones are expected to be launched in major cities including Birmingham, Oxford, and Leeds.</w:t>
      </w:r>
    </w:p>
    <w:p w14:paraId="51E977EF" w14:textId="2F75DDAD" w:rsidR="00941B1D" w:rsidRPr="004A00DA" w:rsidRDefault="00577095"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 xml:space="preserve">Due to their weight and the availability of battery supply, it is expected that uptake of battery electric heavy goods vehicles will be limited based on current battery technology. </w:t>
      </w:r>
      <w:r w:rsidR="0060267B" w:rsidRPr="004A00DA">
        <w:rPr>
          <w:rFonts w:ascii="Open Sans" w:hAnsi="Open Sans" w:cs="Open Sans"/>
          <w:sz w:val="20"/>
          <w:szCs w:val="20"/>
          <w:lang w:eastAsia="en-GB"/>
        </w:rPr>
        <w:t xml:space="preserve">ICE (including full hybrid) powertrains are predicted </w:t>
      </w:r>
      <w:r w:rsidR="00505D7E" w:rsidRPr="004A00DA">
        <w:rPr>
          <w:rFonts w:ascii="Open Sans" w:hAnsi="Open Sans" w:cs="Open Sans"/>
          <w:sz w:val="20"/>
          <w:szCs w:val="20"/>
          <w:lang w:eastAsia="en-GB"/>
        </w:rPr>
        <w:t xml:space="preserve">by some </w:t>
      </w:r>
      <w:r w:rsidR="0060267B" w:rsidRPr="004A00DA">
        <w:rPr>
          <w:rFonts w:ascii="Open Sans" w:hAnsi="Open Sans" w:cs="Open Sans"/>
          <w:sz w:val="20"/>
          <w:szCs w:val="20"/>
          <w:lang w:eastAsia="en-GB"/>
        </w:rPr>
        <w:t>to remain the powertrain type in 80% of HGVs by 2030</w:t>
      </w:r>
      <w:r w:rsidR="00505D7E" w:rsidRPr="004A00DA">
        <w:rPr>
          <w:rStyle w:val="FootnoteReference"/>
          <w:rFonts w:ascii="Open Sans" w:hAnsi="Open Sans" w:cs="Open Sans"/>
          <w:sz w:val="20"/>
          <w:szCs w:val="20"/>
          <w:lang w:eastAsia="en-GB"/>
        </w:rPr>
        <w:footnoteReference w:id="30"/>
      </w:r>
      <w:r w:rsidR="0060267B" w:rsidRPr="004A00DA">
        <w:rPr>
          <w:rFonts w:ascii="Open Sans" w:hAnsi="Open Sans" w:cs="Open Sans"/>
          <w:sz w:val="20"/>
          <w:szCs w:val="20"/>
          <w:lang w:eastAsia="en-GB"/>
        </w:rPr>
        <w:t xml:space="preserve">. Following the implementation of stringent Euro 6/VI standards on HGVs, hauliers </w:t>
      </w:r>
      <w:r w:rsidR="007F7A05" w:rsidRPr="004A00DA">
        <w:rPr>
          <w:rFonts w:ascii="Open Sans" w:hAnsi="Open Sans" w:cs="Open Sans"/>
          <w:sz w:val="20"/>
          <w:szCs w:val="20"/>
          <w:lang w:eastAsia="en-GB"/>
        </w:rPr>
        <w:t>may</w:t>
      </w:r>
      <w:r w:rsidR="0060267B" w:rsidRPr="004A00DA">
        <w:rPr>
          <w:rFonts w:ascii="Open Sans" w:hAnsi="Open Sans" w:cs="Open Sans"/>
          <w:sz w:val="20"/>
          <w:szCs w:val="20"/>
          <w:lang w:eastAsia="en-GB"/>
        </w:rPr>
        <w:t xml:space="preserve"> have low confidence to invest in emerging powertrain developments. Future policy would require clear standards and pathways for HGV decarbonisation to encourage investment. </w:t>
      </w:r>
    </w:p>
    <w:p w14:paraId="04AAF541" w14:textId="2EBF9EE1" w:rsidR="0060267B" w:rsidRPr="004A00DA" w:rsidRDefault="007C6C3A"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For electric vans, the focus is currently on</w:t>
      </w:r>
      <w:r w:rsidR="0060267B"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shorter</w:t>
      </w:r>
      <w:r w:rsidR="0060267B" w:rsidRPr="004A00DA">
        <w:rPr>
          <w:rFonts w:ascii="Open Sans" w:hAnsi="Open Sans" w:cs="Open Sans"/>
          <w:sz w:val="20"/>
          <w:szCs w:val="20"/>
          <w:lang w:eastAsia="en-GB"/>
        </w:rPr>
        <w:t>-range city distribution channels rather than long-haul journeys</w:t>
      </w:r>
      <w:r w:rsidRPr="004A00DA">
        <w:rPr>
          <w:rFonts w:ascii="Open Sans" w:hAnsi="Open Sans" w:cs="Open Sans"/>
          <w:sz w:val="20"/>
          <w:szCs w:val="20"/>
          <w:lang w:eastAsia="en-GB"/>
        </w:rPr>
        <w:t xml:space="preserve">. </w:t>
      </w:r>
    </w:p>
    <w:p w14:paraId="2D8F6188" w14:textId="5BB2845F" w:rsidR="007C6C3A" w:rsidRPr="004A00DA" w:rsidRDefault="00F901F3" w:rsidP="004A00DA">
      <w:pPr>
        <w:tabs>
          <w:tab w:val="left" w:pos="426"/>
          <w:tab w:val="left" w:pos="993"/>
        </w:tabs>
        <w:rPr>
          <w:rFonts w:ascii="Open Sans" w:hAnsi="Open Sans" w:cs="Open Sans"/>
          <w:sz w:val="20"/>
          <w:szCs w:val="20"/>
          <w:lang w:eastAsia="en-GB"/>
        </w:rPr>
      </w:pPr>
      <w:r w:rsidRPr="004A00DA">
        <w:rPr>
          <w:rFonts w:ascii="Open Sans" w:hAnsi="Open Sans" w:cs="Open Sans"/>
          <w:sz w:val="20"/>
          <w:szCs w:val="20"/>
          <w:lang w:eastAsia="en-GB"/>
        </w:rPr>
        <w:t>Purchase p</w:t>
      </w:r>
      <w:r w:rsidR="0060267B" w:rsidRPr="004A00DA">
        <w:rPr>
          <w:rFonts w:ascii="Open Sans" w:hAnsi="Open Sans" w:cs="Open Sans"/>
          <w:sz w:val="20"/>
          <w:szCs w:val="20"/>
          <w:lang w:eastAsia="en-GB"/>
        </w:rPr>
        <w:t xml:space="preserve">rice parity </w:t>
      </w:r>
      <w:r w:rsidR="007C6C3A" w:rsidRPr="004A00DA">
        <w:rPr>
          <w:rFonts w:ascii="Open Sans" w:hAnsi="Open Sans" w:cs="Open Sans"/>
          <w:sz w:val="20"/>
          <w:szCs w:val="20"/>
          <w:lang w:eastAsia="en-GB"/>
        </w:rPr>
        <w:t xml:space="preserve">for battery electric cars </w:t>
      </w:r>
      <w:r w:rsidR="0060267B" w:rsidRPr="004A00DA">
        <w:rPr>
          <w:rFonts w:ascii="Open Sans" w:hAnsi="Open Sans" w:cs="Open Sans"/>
          <w:sz w:val="20"/>
          <w:szCs w:val="20"/>
          <w:lang w:eastAsia="en-GB"/>
        </w:rPr>
        <w:t>with conventional vehicles is expected in the mid-2020s</w:t>
      </w:r>
      <w:r w:rsidR="00603B08" w:rsidRPr="004A00DA">
        <w:rPr>
          <w:rStyle w:val="FootnoteReference"/>
          <w:rFonts w:ascii="Open Sans" w:hAnsi="Open Sans" w:cs="Open Sans"/>
          <w:sz w:val="20"/>
          <w:szCs w:val="20"/>
          <w:lang w:eastAsia="en-GB"/>
        </w:rPr>
        <w:footnoteReference w:id="31"/>
      </w:r>
      <w:r w:rsidR="0060267B" w:rsidRPr="004A00DA">
        <w:rPr>
          <w:rFonts w:ascii="Open Sans" w:hAnsi="Open Sans" w:cs="Open Sans"/>
          <w:sz w:val="20"/>
          <w:szCs w:val="20"/>
          <w:lang w:eastAsia="en-GB"/>
        </w:rPr>
        <w:t xml:space="preserve">. </w:t>
      </w:r>
      <w:r w:rsidRPr="004A00DA">
        <w:rPr>
          <w:rFonts w:ascii="Open Sans" w:hAnsi="Open Sans" w:cs="Open Sans"/>
          <w:sz w:val="20"/>
          <w:szCs w:val="20"/>
          <w:lang w:eastAsia="en-GB"/>
        </w:rPr>
        <w:t>Price parity for running costs including fuel and maintenance over a five year period has already been achieved</w:t>
      </w:r>
      <w:r w:rsidR="005618F1" w:rsidRPr="004A00DA">
        <w:rPr>
          <w:rStyle w:val="FootnoteReference"/>
          <w:rFonts w:ascii="Open Sans" w:hAnsi="Open Sans" w:cs="Open Sans"/>
          <w:sz w:val="20"/>
          <w:szCs w:val="20"/>
          <w:lang w:eastAsia="en-GB"/>
        </w:rPr>
        <w:footnoteReference w:id="32"/>
      </w:r>
      <w:r w:rsidRPr="004A00DA">
        <w:rPr>
          <w:rFonts w:ascii="Open Sans" w:hAnsi="Open Sans" w:cs="Open Sans"/>
          <w:sz w:val="20"/>
          <w:szCs w:val="20"/>
          <w:lang w:eastAsia="en-GB"/>
        </w:rPr>
        <w:t xml:space="preserve">. </w:t>
      </w:r>
      <w:r w:rsidR="0060267B" w:rsidRPr="004A00DA">
        <w:rPr>
          <w:rFonts w:ascii="Open Sans" w:hAnsi="Open Sans" w:cs="Open Sans"/>
          <w:sz w:val="20"/>
          <w:szCs w:val="20"/>
          <w:lang w:eastAsia="en-GB"/>
        </w:rPr>
        <w:t xml:space="preserve">This will be </w:t>
      </w:r>
      <w:r w:rsidR="007C6C3A" w:rsidRPr="004A00DA">
        <w:rPr>
          <w:rFonts w:ascii="Open Sans" w:hAnsi="Open Sans" w:cs="Open Sans"/>
          <w:sz w:val="20"/>
          <w:szCs w:val="20"/>
          <w:lang w:eastAsia="en-GB"/>
        </w:rPr>
        <w:t xml:space="preserve">a major milestone for the sector, as evidence from Norway indicates that once upfront price parity is </w:t>
      </w:r>
      <w:r w:rsidR="000A0DF3" w:rsidRPr="004A00DA">
        <w:rPr>
          <w:rFonts w:ascii="Open Sans" w:hAnsi="Open Sans" w:cs="Open Sans"/>
          <w:sz w:val="20"/>
          <w:szCs w:val="20"/>
          <w:lang w:eastAsia="en-GB"/>
        </w:rPr>
        <w:t>reached</w:t>
      </w:r>
      <w:r w:rsidR="007C6C3A" w:rsidRPr="004A00DA">
        <w:rPr>
          <w:rFonts w:ascii="Open Sans" w:hAnsi="Open Sans" w:cs="Open Sans"/>
          <w:sz w:val="20"/>
          <w:szCs w:val="20"/>
          <w:lang w:eastAsia="en-GB"/>
        </w:rPr>
        <w:t>, sales of battery electric vehicles spike due to lower running costs and driving experience.</w:t>
      </w:r>
    </w:p>
    <w:p w14:paraId="0D1914EB" w14:textId="77777777" w:rsidR="007C6C3A" w:rsidRPr="004A00DA" w:rsidRDefault="007C6C3A" w:rsidP="004A00DA">
      <w:pPr>
        <w:tabs>
          <w:tab w:val="left" w:pos="426"/>
          <w:tab w:val="left" w:pos="993"/>
        </w:tabs>
        <w:rPr>
          <w:rFonts w:ascii="Open Sans" w:eastAsia="Times New Roman" w:hAnsi="Open Sans" w:cs="Open Sans"/>
          <w:b/>
          <w:sz w:val="20"/>
          <w:szCs w:val="20"/>
          <w:u w:val="single"/>
          <w:lang w:eastAsia="en-GB"/>
        </w:rPr>
      </w:pPr>
    </w:p>
    <w:p w14:paraId="16442290" w14:textId="462A471D" w:rsidR="0060267B" w:rsidRPr="00984981" w:rsidRDefault="00984981" w:rsidP="004A00DA">
      <w:pPr>
        <w:pStyle w:val="Heading2"/>
        <w:tabs>
          <w:tab w:val="left" w:pos="426"/>
          <w:tab w:val="left" w:pos="993"/>
        </w:tabs>
        <w:rPr>
          <w:rFonts w:ascii="Open Sans" w:hAnsi="Open Sans" w:cs="Open Sans"/>
          <w:color w:val="06926B"/>
          <w:u w:val="none"/>
          <w:lang w:eastAsia="en-GB"/>
        </w:rPr>
      </w:pPr>
      <w:bookmarkStart w:id="20" w:name="_Toc34921724"/>
      <w:r w:rsidRPr="00984981">
        <w:rPr>
          <w:rFonts w:ascii="Open Sans" w:hAnsi="Open Sans" w:cs="Open Sans"/>
          <w:color w:val="06926B"/>
          <w:u w:val="none"/>
          <w:lang w:eastAsia="en-GB"/>
        </w:rPr>
        <w:t xml:space="preserve">3. </w:t>
      </w:r>
      <w:r w:rsidR="006555D5" w:rsidRPr="00984981">
        <w:rPr>
          <w:rFonts w:ascii="Open Sans" w:hAnsi="Open Sans" w:cs="Open Sans"/>
          <w:color w:val="06926B"/>
          <w:u w:val="none"/>
          <w:lang w:eastAsia="en-GB"/>
        </w:rPr>
        <w:t>REA anticipated r</w:t>
      </w:r>
      <w:r w:rsidR="0060267B" w:rsidRPr="00984981">
        <w:rPr>
          <w:rFonts w:ascii="Open Sans" w:hAnsi="Open Sans" w:cs="Open Sans"/>
          <w:color w:val="06926B"/>
          <w:u w:val="none"/>
          <w:lang w:eastAsia="en-GB"/>
        </w:rPr>
        <w:t>oadmap to 20</w:t>
      </w:r>
      <w:bookmarkEnd w:id="20"/>
      <w:r w:rsidR="00FA234A" w:rsidRPr="00984981">
        <w:rPr>
          <w:rFonts w:ascii="Open Sans" w:hAnsi="Open Sans" w:cs="Open Sans"/>
          <w:color w:val="06926B"/>
          <w:u w:val="none"/>
          <w:lang w:eastAsia="en-GB"/>
        </w:rPr>
        <w:t>35</w:t>
      </w:r>
    </w:p>
    <w:p w14:paraId="4EEEA1B6" w14:textId="77777777" w:rsidR="001B23F3" w:rsidRPr="004A00DA" w:rsidRDefault="001B23F3" w:rsidP="004A00DA">
      <w:pPr>
        <w:tabs>
          <w:tab w:val="left" w:pos="426"/>
          <w:tab w:val="left" w:pos="993"/>
        </w:tabs>
        <w:rPr>
          <w:rFonts w:ascii="Open Sans" w:hAnsi="Open Sans" w:cs="Open Sans"/>
          <w:sz w:val="20"/>
          <w:szCs w:val="20"/>
          <w:lang w:eastAsia="en-GB"/>
        </w:rPr>
      </w:pPr>
    </w:p>
    <w:p w14:paraId="33BEB42F" w14:textId="6A8D1D3B" w:rsidR="007C6C3A" w:rsidRPr="004A00DA" w:rsidRDefault="007C6C3A"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The REA expects the following to happen</w:t>
      </w:r>
      <w:r w:rsidR="00017A68" w:rsidRPr="004A00DA">
        <w:rPr>
          <w:rFonts w:ascii="Open Sans" w:eastAsia="Times New Roman" w:hAnsi="Open Sans" w:cs="Open Sans"/>
          <w:sz w:val="20"/>
          <w:szCs w:val="20"/>
          <w:lang w:eastAsia="en-GB"/>
        </w:rPr>
        <w:t xml:space="preserve"> in the UK road transport market to 203</w:t>
      </w:r>
      <w:r w:rsidR="005A6D8D" w:rsidRPr="004A00DA">
        <w:rPr>
          <w:rFonts w:ascii="Open Sans" w:eastAsia="Times New Roman" w:hAnsi="Open Sans" w:cs="Open Sans"/>
          <w:sz w:val="20"/>
          <w:szCs w:val="20"/>
          <w:lang w:eastAsia="en-GB"/>
        </w:rPr>
        <w:t>5</w:t>
      </w:r>
      <w:r w:rsidRPr="004A00DA">
        <w:rPr>
          <w:rFonts w:ascii="Open Sans" w:eastAsia="Times New Roman" w:hAnsi="Open Sans" w:cs="Open Sans"/>
          <w:sz w:val="20"/>
          <w:szCs w:val="20"/>
          <w:lang w:eastAsia="en-GB"/>
        </w:rPr>
        <w:t>:</w:t>
      </w:r>
    </w:p>
    <w:p w14:paraId="36134C96" w14:textId="42A74FC7" w:rsidR="007C6C3A" w:rsidRPr="004A00DA" w:rsidRDefault="00F901F3"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Purchase p</w:t>
      </w:r>
      <w:r w:rsidR="007C6C3A" w:rsidRPr="004A00DA">
        <w:rPr>
          <w:rFonts w:ascii="Open Sans" w:eastAsia="Times New Roman" w:hAnsi="Open Sans" w:cs="Open Sans"/>
          <w:sz w:val="20"/>
          <w:szCs w:val="20"/>
          <w:lang w:eastAsia="en-GB"/>
        </w:rPr>
        <w:t>rice parity for battery electric cars with conventional ICE cars will be achieved before 2025</w:t>
      </w:r>
    </w:p>
    <w:p w14:paraId="1D6DE458" w14:textId="21FF9841" w:rsidR="00017A68" w:rsidRPr="004A00DA" w:rsidRDefault="00017A68"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A wide variety of new battery electric</w:t>
      </w:r>
      <w:r w:rsidR="00441429" w:rsidRPr="004A00DA">
        <w:rPr>
          <w:rFonts w:ascii="Open Sans" w:eastAsia="Times New Roman" w:hAnsi="Open Sans" w:cs="Open Sans"/>
          <w:sz w:val="20"/>
          <w:szCs w:val="20"/>
          <w:lang w:eastAsia="en-GB"/>
        </w:rPr>
        <w:t xml:space="preserve"> car</w:t>
      </w:r>
      <w:r w:rsidRPr="004A00DA">
        <w:rPr>
          <w:rFonts w:ascii="Open Sans" w:eastAsia="Times New Roman" w:hAnsi="Open Sans" w:cs="Open Sans"/>
          <w:sz w:val="20"/>
          <w:szCs w:val="20"/>
          <w:lang w:eastAsia="en-GB"/>
        </w:rPr>
        <w:t xml:space="preserve"> models to be available to consumers by 2025</w:t>
      </w:r>
    </w:p>
    <w:p w14:paraId="1BDDD33F" w14:textId="77777777" w:rsidR="007C6C3A" w:rsidRPr="004A00DA" w:rsidRDefault="007C6C3A"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Global BEV share in new vehicle sales is predicted to eclipse 20% by 2030 and reach 57% by 2040</w:t>
      </w:r>
    </w:p>
    <w:p w14:paraId="27FDD21C" w14:textId="77777777" w:rsidR="007C6C3A" w:rsidRPr="004A00DA" w:rsidRDefault="007C6C3A"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Electric buses will become increasingly economic and become more widespread in the mid 2020’s</w:t>
      </w:r>
    </w:p>
    <w:p w14:paraId="6B611C0D" w14:textId="3D5E7EC0" w:rsidR="00017A68" w:rsidRPr="004A00DA" w:rsidRDefault="00017A68"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A national public charging network </w:t>
      </w:r>
      <w:r w:rsidR="00F901F3" w:rsidRPr="004A00DA">
        <w:rPr>
          <w:rFonts w:ascii="Open Sans" w:eastAsia="Times New Roman" w:hAnsi="Open Sans" w:cs="Open Sans"/>
          <w:sz w:val="20"/>
          <w:szCs w:val="20"/>
          <w:lang w:eastAsia="en-GB"/>
        </w:rPr>
        <w:t>continues to grow</w:t>
      </w:r>
      <w:r w:rsidRPr="004A00DA">
        <w:rPr>
          <w:rFonts w:ascii="Open Sans" w:eastAsia="Times New Roman" w:hAnsi="Open Sans" w:cs="Open Sans"/>
          <w:sz w:val="20"/>
          <w:szCs w:val="20"/>
          <w:lang w:eastAsia="en-GB"/>
        </w:rPr>
        <w:t>, at a range of locations, prices, and speeds</w:t>
      </w:r>
    </w:p>
    <w:p w14:paraId="077E0EAB" w14:textId="77777777" w:rsidR="00B84AB4" w:rsidRPr="004A00DA" w:rsidRDefault="00B84AB4"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Steady improvements in fuel cell electric vehicle design and in economics of electrolysis improves the viability of hydrogen as a transport fuel for several market segments </w:t>
      </w:r>
    </w:p>
    <w:p w14:paraId="0A0577FD" w14:textId="77777777" w:rsidR="00017A68" w:rsidRPr="004A00DA" w:rsidRDefault="00017A68"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Auto OEMs and oil &amp; gas majors become increasingly active in the renewable energy, charging, and software markets to make up for declining revenues from services and products targeting ICE vehicles</w:t>
      </w:r>
    </w:p>
    <w:p w14:paraId="0ED8CB6D" w14:textId="77777777" w:rsidR="00017A68" w:rsidRPr="004A00DA" w:rsidRDefault="00017A68"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The market for </w:t>
      </w:r>
      <w:r w:rsidR="00AD376C" w:rsidRPr="004A00DA">
        <w:rPr>
          <w:rFonts w:ascii="Open Sans" w:eastAsia="Times New Roman" w:hAnsi="Open Sans" w:cs="Open Sans"/>
          <w:sz w:val="20"/>
          <w:szCs w:val="20"/>
          <w:lang w:eastAsia="en-GB"/>
        </w:rPr>
        <w:t xml:space="preserve">road </w:t>
      </w:r>
      <w:r w:rsidRPr="004A00DA">
        <w:rPr>
          <w:rFonts w:ascii="Open Sans" w:eastAsia="Times New Roman" w:hAnsi="Open Sans" w:cs="Open Sans"/>
          <w:sz w:val="20"/>
          <w:szCs w:val="20"/>
          <w:lang w:eastAsia="en-GB"/>
        </w:rPr>
        <w:t>renewable transport fuels to shrink as the volume of fuel used in road transport declines</w:t>
      </w:r>
      <w:r w:rsidR="007F7A05" w:rsidRPr="004A00DA">
        <w:rPr>
          <w:rFonts w:ascii="Open Sans" w:eastAsia="Times New Roman" w:hAnsi="Open Sans" w:cs="Open Sans"/>
          <w:sz w:val="20"/>
          <w:szCs w:val="20"/>
          <w:lang w:eastAsia="en-GB"/>
        </w:rPr>
        <w:t xml:space="preserve">, creating a </w:t>
      </w:r>
      <w:r w:rsidR="00AD376C" w:rsidRPr="004A00DA">
        <w:rPr>
          <w:rFonts w:ascii="Open Sans" w:eastAsia="Times New Roman" w:hAnsi="Open Sans" w:cs="Open Sans"/>
          <w:sz w:val="20"/>
          <w:szCs w:val="20"/>
          <w:lang w:eastAsia="en-GB"/>
        </w:rPr>
        <w:t xml:space="preserve">diversification </w:t>
      </w:r>
      <w:r w:rsidR="007F7A05" w:rsidRPr="004A00DA">
        <w:rPr>
          <w:rFonts w:ascii="Open Sans" w:eastAsia="Times New Roman" w:hAnsi="Open Sans" w:cs="Open Sans"/>
          <w:sz w:val="20"/>
          <w:szCs w:val="20"/>
          <w:lang w:eastAsia="en-GB"/>
        </w:rPr>
        <w:t>challenge for manufacturers</w:t>
      </w:r>
      <w:r w:rsidR="00AD376C" w:rsidRPr="004A00DA">
        <w:rPr>
          <w:rFonts w:ascii="Open Sans" w:eastAsia="Times New Roman" w:hAnsi="Open Sans" w:cs="Open Sans"/>
          <w:sz w:val="20"/>
          <w:szCs w:val="20"/>
          <w:lang w:eastAsia="en-GB"/>
        </w:rPr>
        <w:t xml:space="preserve"> (</w:t>
      </w:r>
      <w:r w:rsidR="001B23F3" w:rsidRPr="004A00DA">
        <w:rPr>
          <w:rFonts w:ascii="Open Sans" w:eastAsia="Times New Roman" w:hAnsi="Open Sans" w:cs="Open Sans"/>
          <w:sz w:val="20"/>
          <w:szCs w:val="20"/>
          <w:lang w:eastAsia="en-GB"/>
        </w:rPr>
        <w:t xml:space="preserve">alternative </w:t>
      </w:r>
      <w:r w:rsidR="00AD376C" w:rsidRPr="004A00DA">
        <w:rPr>
          <w:rFonts w:ascii="Open Sans" w:eastAsia="Times New Roman" w:hAnsi="Open Sans" w:cs="Open Sans"/>
          <w:sz w:val="20"/>
          <w:szCs w:val="20"/>
          <w:lang w:eastAsia="en-GB"/>
        </w:rPr>
        <w:t xml:space="preserve">markets for </w:t>
      </w:r>
      <w:r w:rsidR="001B23F3" w:rsidRPr="004A00DA">
        <w:rPr>
          <w:rFonts w:ascii="Open Sans" w:eastAsia="Times New Roman" w:hAnsi="Open Sans" w:cs="Open Sans"/>
          <w:sz w:val="20"/>
          <w:szCs w:val="20"/>
          <w:lang w:eastAsia="en-GB"/>
        </w:rPr>
        <w:t xml:space="preserve">diesel fuels as </w:t>
      </w:r>
      <w:r w:rsidR="00AD376C" w:rsidRPr="004A00DA">
        <w:rPr>
          <w:rFonts w:ascii="Open Sans" w:eastAsia="Times New Roman" w:hAnsi="Open Sans" w:cs="Open Sans"/>
          <w:sz w:val="20"/>
          <w:szCs w:val="20"/>
          <w:lang w:eastAsia="en-GB"/>
        </w:rPr>
        <w:t xml:space="preserve">bio oils for hard-to-heat-homes, aviation and marine fuels </w:t>
      </w:r>
      <w:r w:rsidR="001B23F3" w:rsidRPr="004A00DA">
        <w:rPr>
          <w:rFonts w:ascii="Open Sans" w:eastAsia="Times New Roman" w:hAnsi="Open Sans" w:cs="Open Sans"/>
          <w:sz w:val="20"/>
          <w:szCs w:val="20"/>
          <w:lang w:eastAsia="en-GB"/>
        </w:rPr>
        <w:t>are likely to develop and endure)</w:t>
      </w:r>
    </w:p>
    <w:p w14:paraId="2E00D603" w14:textId="77777777" w:rsidR="00D076FF" w:rsidRPr="004A00DA" w:rsidRDefault="00017A68" w:rsidP="004A00DA">
      <w:pPr>
        <w:pStyle w:val="ListParagraph"/>
        <w:numPr>
          <w:ilvl w:val="0"/>
          <w:numId w:val="8"/>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Farming and </w:t>
      </w:r>
      <w:r w:rsidR="00B84AB4" w:rsidRPr="004A00DA">
        <w:rPr>
          <w:rFonts w:ascii="Open Sans" w:eastAsia="Times New Roman" w:hAnsi="Open Sans" w:cs="Open Sans"/>
          <w:sz w:val="20"/>
          <w:szCs w:val="20"/>
          <w:lang w:eastAsia="en-GB"/>
        </w:rPr>
        <w:t xml:space="preserve">northern </w:t>
      </w:r>
      <w:r w:rsidRPr="004A00DA">
        <w:rPr>
          <w:rFonts w:ascii="Open Sans" w:eastAsia="Times New Roman" w:hAnsi="Open Sans" w:cs="Open Sans"/>
          <w:sz w:val="20"/>
          <w:szCs w:val="20"/>
          <w:lang w:eastAsia="en-GB"/>
        </w:rPr>
        <w:t>manufacturing communities reliant on biofuels production to suffer due to declining liquid fuels production</w:t>
      </w:r>
    </w:p>
    <w:p w14:paraId="711EFA84" w14:textId="2F44D0B6" w:rsidR="006555D5" w:rsidRDefault="006555D5" w:rsidP="004A00DA">
      <w:pPr>
        <w:tabs>
          <w:tab w:val="left" w:pos="426"/>
          <w:tab w:val="left" w:pos="993"/>
        </w:tabs>
        <w:rPr>
          <w:rFonts w:ascii="Open Sans" w:eastAsia="Times New Roman" w:hAnsi="Open Sans" w:cs="Open Sans"/>
          <w:sz w:val="20"/>
          <w:szCs w:val="20"/>
          <w:lang w:eastAsia="en-GB"/>
        </w:rPr>
      </w:pPr>
    </w:p>
    <w:p w14:paraId="7E07A17E" w14:textId="54347C1F" w:rsidR="00984981" w:rsidRDefault="00984981" w:rsidP="004A00DA">
      <w:pPr>
        <w:tabs>
          <w:tab w:val="left" w:pos="426"/>
          <w:tab w:val="left" w:pos="993"/>
        </w:tabs>
        <w:rPr>
          <w:rFonts w:ascii="Open Sans" w:eastAsia="Times New Roman" w:hAnsi="Open Sans" w:cs="Open Sans"/>
          <w:sz w:val="20"/>
          <w:szCs w:val="20"/>
          <w:lang w:eastAsia="en-GB"/>
        </w:rPr>
      </w:pPr>
    </w:p>
    <w:p w14:paraId="7C8A9463" w14:textId="78F8DC10" w:rsidR="00984981" w:rsidRDefault="00984981" w:rsidP="004A00DA">
      <w:pPr>
        <w:tabs>
          <w:tab w:val="left" w:pos="426"/>
          <w:tab w:val="left" w:pos="993"/>
        </w:tabs>
        <w:rPr>
          <w:rFonts w:ascii="Open Sans" w:eastAsia="Times New Roman" w:hAnsi="Open Sans" w:cs="Open Sans"/>
          <w:sz w:val="20"/>
          <w:szCs w:val="20"/>
          <w:lang w:eastAsia="en-GB"/>
        </w:rPr>
      </w:pPr>
    </w:p>
    <w:p w14:paraId="7E1F5A54" w14:textId="58CF6FD6" w:rsidR="00984981" w:rsidRDefault="00984981" w:rsidP="004A00DA">
      <w:pPr>
        <w:tabs>
          <w:tab w:val="left" w:pos="426"/>
          <w:tab w:val="left" w:pos="993"/>
        </w:tabs>
        <w:rPr>
          <w:rFonts w:ascii="Open Sans" w:eastAsia="Times New Roman" w:hAnsi="Open Sans" w:cs="Open Sans"/>
          <w:sz w:val="20"/>
          <w:szCs w:val="20"/>
          <w:lang w:eastAsia="en-GB"/>
        </w:rPr>
      </w:pPr>
    </w:p>
    <w:p w14:paraId="29024C38" w14:textId="4D2CE16A" w:rsidR="00984981" w:rsidRDefault="00984981" w:rsidP="004A00DA">
      <w:pPr>
        <w:tabs>
          <w:tab w:val="left" w:pos="426"/>
          <w:tab w:val="left" w:pos="993"/>
        </w:tabs>
        <w:rPr>
          <w:rFonts w:ascii="Open Sans" w:eastAsia="Times New Roman" w:hAnsi="Open Sans" w:cs="Open Sans"/>
          <w:sz w:val="20"/>
          <w:szCs w:val="20"/>
          <w:lang w:eastAsia="en-GB"/>
        </w:rPr>
      </w:pPr>
    </w:p>
    <w:p w14:paraId="4DD07680" w14:textId="77777777" w:rsidR="00984981" w:rsidRPr="004A00DA" w:rsidRDefault="00984981" w:rsidP="004A00DA">
      <w:pPr>
        <w:tabs>
          <w:tab w:val="left" w:pos="426"/>
          <w:tab w:val="left" w:pos="993"/>
        </w:tabs>
        <w:rPr>
          <w:rFonts w:ascii="Open Sans" w:eastAsia="Times New Roman" w:hAnsi="Open Sans" w:cs="Open Sans"/>
          <w:sz w:val="20"/>
          <w:szCs w:val="20"/>
          <w:lang w:eastAsia="en-GB"/>
        </w:rPr>
      </w:pPr>
    </w:p>
    <w:p w14:paraId="4C7D9A74" w14:textId="34506882" w:rsidR="006555D5" w:rsidRPr="00984981" w:rsidRDefault="00984981" w:rsidP="004A00DA">
      <w:pPr>
        <w:pStyle w:val="Heading2"/>
        <w:tabs>
          <w:tab w:val="left" w:pos="426"/>
          <w:tab w:val="left" w:pos="993"/>
        </w:tabs>
        <w:rPr>
          <w:rFonts w:ascii="Open Sans" w:hAnsi="Open Sans" w:cs="Open Sans"/>
          <w:color w:val="06926B"/>
          <w:u w:val="none"/>
          <w:lang w:eastAsia="en-GB"/>
        </w:rPr>
      </w:pPr>
      <w:bookmarkStart w:id="21" w:name="_Toc34921725"/>
      <w:r w:rsidRPr="00984981">
        <w:rPr>
          <w:rFonts w:ascii="Open Sans" w:hAnsi="Open Sans" w:cs="Open Sans"/>
          <w:color w:val="06926B"/>
          <w:u w:val="none"/>
          <w:lang w:eastAsia="en-GB"/>
        </w:rPr>
        <w:t xml:space="preserve">4. </w:t>
      </w:r>
      <w:r w:rsidR="006555D5" w:rsidRPr="00984981">
        <w:rPr>
          <w:rFonts w:ascii="Open Sans" w:hAnsi="Open Sans" w:cs="Open Sans"/>
          <w:color w:val="06926B"/>
          <w:u w:val="none"/>
          <w:lang w:eastAsia="en-GB"/>
        </w:rPr>
        <w:t>REA recommended policy actions for renewable fuels</w:t>
      </w:r>
      <w:bookmarkEnd w:id="21"/>
    </w:p>
    <w:p w14:paraId="2138075A" w14:textId="6B84B321" w:rsidR="005618F1" w:rsidRPr="004A00DA" w:rsidRDefault="005618F1" w:rsidP="004A00DA">
      <w:pPr>
        <w:tabs>
          <w:tab w:val="left" w:pos="426"/>
          <w:tab w:val="left" w:pos="993"/>
        </w:tabs>
        <w:rPr>
          <w:rFonts w:ascii="Open Sans" w:eastAsia="Times New Roman" w:hAnsi="Open Sans" w:cs="Open Sans"/>
          <w:sz w:val="20"/>
          <w:szCs w:val="20"/>
          <w:lang w:eastAsia="en-GB"/>
        </w:rPr>
      </w:pPr>
    </w:p>
    <w:p w14:paraId="5CD8DED0" w14:textId="2CCCED82" w:rsidR="005618F1" w:rsidRPr="004A00DA" w:rsidRDefault="005618F1" w:rsidP="004A00DA">
      <w:pPr>
        <w:tabs>
          <w:tab w:val="left" w:pos="426"/>
          <w:tab w:val="left" w:pos="993"/>
        </w:tabs>
        <w:rPr>
          <w:rFonts w:ascii="Open Sans" w:eastAsia="Times New Roman" w:hAnsi="Open Sans" w:cs="Open Sans"/>
          <w:i/>
          <w:iCs/>
          <w:sz w:val="20"/>
          <w:szCs w:val="20"/>
          <w:lang w:eastAsia="en-GB"/>
        </w:rPr>
      </w:pPr>
      <w:r w:rsidRPr="004A00DA">
        <w:rPr>
          <w:rFonts w:ascii="Open Sans" w:eastAsia="Times New Roman" w:hAnsi="Open Sans" w:cs="Open Sans"/>
          <w:i/>
          <w:iCs/>
          <w:sz w:val="20"/>
          <w:szCs w:val="20"/>
          <w:lang w:eastAsia="en-GB"/>
        </w:rPr>
        <w:t xml:space="preserve">Note the following actions for fuels and EVs will be updated as the REA hones its response, in conjunction with members, to the 2035 consultation. </w:t>
      </w:r>
    </w:p>
    <w:p w14:paraId="099B41C4" w14:textId="623B8A5D" w:rsidR="007C6C3A" w:rsidRPr="004A00DA" w:rsidRDefault="007C6C3A"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Government should take the following </w:t>
      </w:r>
      <w:r w:rsidR="00E97FF9" w:rsidRPr="004A00DA">
        <w:rPr>
          <w:rFonts w:ascii="Open Sans" w:eastAsia="Times New Roman" w:hAnsi="Open Sans" w:cs="Open Sans"/>
          <w:sz w:val="20"/>
          <w:szCs w:val="20"/>
          <w:lang w:eastAsia="en-GB"/>
        </w:rPr>
        <w:t>renewable fuel</w:t>
      </w:r>
      <w:r w:rsidR="006B5F84" w:rsidRPr="004A00DA">
        <w:rPr>
          <w:rFonts w:ascii="Open Sans" w:eastAsia="Times New Roman" w:hAnsi="Open Sans" w:cs="Open Sans"/>
          <w:sz w:val="20"/>
          <w:szCs w:val="20"/>
          <w:lang w:eastAsia="en-GB"/>
        </w:rPr>
        <w:t>-</w:t>
      </w:r>
      <w:r w:rsidR="00E97FF9" w:rsidRPr="004A00DA">
        <w:rPr>
          <w:rFonts w:ascii="Open Sans" w:eastAsia="Times New Roman" w:hAnsi="Open Sans" w:cs="Open Sans"/>
          <w:sz w:val="20"/>
          <w:szCs w:val="20"/>
          <w:lang w:eastAsia="en-GB"/>
        </w:rPr>
        <w:t xml:space="preserve">related </w:t>
      </w:r>
      <w:r w:rsidRPr="004A00DA">
        <w:rPr>
          <w:rFonts w:ascii="Open Sans" w:eastAsia="Times New Roman" w:hAnsi="Open Sans" w:cs="Open Sans"/>
          <w:sz w:val="20"/>
          <w:szCs w:val="20"/>
          <w:lang w:eastAsia="en-GB"/>
        </w:rPr>
        <w:t>policy action</w:t>
      </w:r>
      <w:r w:rsidR="00E97FF9" w:rsidRPr="004A00DA">
        <w:rPr>
          <w:rFonts w:ascii="Open Sans" w:eastAsia="Times New Roman" w:hAnsi="Open Sans" w:cs="Open Sans"/>
          <w:sz w:val="20"/>
          <w:szCs w:val="20"/>
          <w:lang w:eastAsia="en-GB"/>
        </w:rPr>
        <w:t>s</w:t>
      </w:r>
      <w:r w:rsidRPr="004A00DA">
        <w:rPr>
          <w:rFonts w:ascii="Open Sans" w:eastAsia="Times New Roman" w:hAnsi="Open Sans" w:cs="Open Sans"/>
          <w:sz w:val="20"/>
          <w:szCs w:val="20"/>
          <w:lang w:eastAsia="en-GB"/>
        </w:rPr>
        <w:t>:</w:t>
      </w:r>
    </w:p>
    <w:p w14:paraId="2436A5B7" w14:textId="77777777" w:rsidR="007F7A05" w:rsidRPr="004A00DA" w:rsidRDefault="007F7A05"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Immediately introduce E10 </w:t>
      </w:r>
    </w:p>
    <w:p w14:paraId="5F802915" w14:textId="77777777" w:rsidR="001904CB" w:rsidRPr="004A00DA" w:rsidRDefault="001B23F3"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[for discussion </w:t>
      </w:r>
      <w:r w:rsidR="006B5F84" w:rsidRPr="004A00DA">
        <w:rPr>
          <w:rFonts w:ascii="Open Sans" w:eastAsia="Times New Roman" w:hAnsi="Open Sans" w:cs="Open Sans"/>
          <w:sz w:val="20"/>
          <w:szCs w:val="20"/>
          <w:lang w:eastAsia="en-GB"/>
        </w:rPr>
        <w:t>e</w:t>
      </w:r>
      <w:r w:rsidRPr="004A00DA">
        <w:rPr>
          <w:rFonts w:ascii="Open Sans" w:eastAsia="Times New Roman" w:hAnsi="Open Sans" w:cs="Open Sans"/>
          <w:sz w:val="20"/>
          <w:szCs w:val="20"/>
          <w:lang w:eastAsia="en-GB"/>
        </w:rPr>
        <w:t>ncourage the development of E85 range-extended hybrids]</w:t>
      </w:r>
    </w:p>
    <w:p w14:paraId="52B4EF08" w14:textId="77777777" w:rsidR="00E97FF9" w:rsidRPr="004A00DA" w:rsidRDefault="00E97FF9"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Promote the uptake of higher blend biodiesel</w:t>
      </w:r>
    </w:p>
    <w:p w14:paraId="0242EF09" w14:textId="3CBAF124" w:rsidR="00E97FF9" w:rsidRPr="004A00DA" w:rsidRDefault="00E97FF9"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Increase the RTFO targets to ensure that road vehicles continue to consume current production levels</w:t>
      </w:r>
      <w:r w:rsidR="00F10EEA" w:rsidRPr="004A00DA">
        <w:rPr>
          <w:rFonts w:ascii="Open Sans" w:eastAsia="Times New Roman" w:hAnsi="Open Sans" w:cs="Open Sans"/>
          <w:sz w:val="20"/>
          <w:szCs w:val="20"/>
          <w:lang w:eastAsia="en-GB"/>
        </w:rPr>
        <w:t xml:space="preserve"> of biodiesel</w:t>
      </w:r>
    </w:p>
    <w:p w14:paraId="5CD8D9AD" w14:textId="77777777" w:rsidR="00E97FF9" w:rsidRPr="004A00DA" w:rsidRDefault="00E97FF9"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Retain the GHG reporting regulations</w:t>
      </w:r>
    </w:p>
    <w:p w14:paraId="06239E8A" w14:textId="77777777" w:rsidR="00E97FF9" w:rsidRPr="004A00DA" w:rsidRDefault="00E97FF9"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Enable </w:t>
      </w:r>
      <w:r w:rsidR="006B5F84" w:rsidRPr="004A00DA">
        <w:rPr>
          <w:rFonts w:ascii="Open Sans" w:eastAsia="Times New Roman" w:hAnsi="Open Sans" w:cs="Open Sans"/>
          <w:sz w:val="20"/>
          <w:szCs w:val="20"/>
          <w:lang w:eastAsia="en-GB"/>
        </w:rPr>
        <w:t>h</w:t>
      </w:r>
      <w:r w:rsidRPr="004A00DA">
        <w:rPr>
          <w:rFonts w:ascii="Open Sans" w:eastAsia="Times New Roman" w:hAnsi="Open Sans" w:cs="Open Sans"/>
          <w:sz w:val="20"/>
          <w:szCs w:val="20"/>
          <w:lang w:eastAsia="en-GB"/>
        </w:rPr>
        <w:t>ydrogen production from contractually</w:t>
      </w:r>
      <w:r w:rsidR="006B5F84"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linked (rather than physically</w:t>
      </w:r>
      <w:r w:rsidR="006B5F84" w:rsidRPr="004A00DA">
        <w:rPr>
          <w:rFonts w:ascii="Open Sans" w:eastAsia="Times New Roman" w:hAnsi="Open Sans" w:cs="Open Sans"/>
          <w:sz w:val="20"/>
          <w:szCs w:val="20"/>
          <w:lang w:eastAsia="en-GB"/>
        </w:rPr>
        <w:t>-</w:t>
      </w:r>
      <w:r w:rsidRPr="004A00DA">
        <w:rPr>
          <w:rFonts w:ascii="Open Sans" w:eastAsia="Times New Roman" w:hAnsi="Open Sans" w:cs="Open Sans"/>
          <w:sz w:val="20"/>
          <w:szCs w:val="20"/>
          <w:lang w:eastAsia="en-GB"/>
        </w:rPr>
        <w:t>linked) renewable generating stations and electrolysers</w:t>
      </w:r>
    </w:p>
    <w:p w14:paraId="1455AA2E" w14:textId="00566FC4" w:rsidR="006555D5" w:rsidRPr="00984981" w:rsidRDefault="00984981" w:rsidP="004A00DA">
      <w:pPr>
        <w:pStyle w:val="Heading2"/>
        <w:tabs>
          <w:tab w:val="left" w:pos="426"/>
          <w:tab w:val="left" w:pos="993"/>
        </w:tabs>
        <w:rPr>
          <w:rFonts w:ascii="Open Sans" w:hAnsi="Open Sans" w:cs="Open Sans"/>
          <w:color w:val="06926B"/>
          <w:u w:val="none"/>
          <w:lang w:eastAsia="en-GB"/>
        </w:rPr>
      </w:pPr>
      <w:bookmarkStart w:id="22" w:name="_Toc34921726"/>
      <w:r w:rsidRPr="00984981">
        <w:rPr>
          <w:rFonts w:ascii="Open Sans" w:eastAsia="Times New Roman" w:hAnsi="Open Sans" w:cs="Open Sans"/>
          <w:color w:val="06926B"/>
          <w:u w:val="none"/>
          <w:lang w:eastAsia="en-GB"/>
        </w:rPr>
        <w:t xml:space="preserve">5. </w:t>
      </w:r>
      <w:r w:rsidR="006555D5" w:rsidRPr="00984981">
        <w:rPr>
          <w:rFonts w:ascii="Open Sans" w:eastAsia="Times New Roman" w:hAnsi="Open Sans" w:cs="Open Sans"/>
          <w:color w:val="06926B"/>
          <w:u w:val="none"/>
          <w:lang w:eastAsia="en-GB"/>
        </w:rPr>
        <w:t>REA recommended p</w:t>
      </w:r>
      <w:r w:rsidR="006555D5" w:rsidRPr="00984981">
        <w:rPr>
          <w:rFonts w:ascii="Open Sans" w:hAnsi="Open Sans" w:cs="Open Sans"/>
          <w:color w:val="06926B"/>
          <w:u w:val="none"/>
          <w:lang w:eastAsia="en-GB"/>
        </w:rPr>
        <w:t xml:space="preserve">olicy actions </w:t>
      </w:r>
      <w:r w:rsidR="006555D5" w:rsidRPr="00984981">
        <w:rPr>
          <w:rFonts w:ascii="Open Sans" w:eastAsia="Times New Roman" w:hAnsi="Open Sans" w:cs="Open Sans"/>
          <w:color w:val="06926B"/>
          <w:u w:val="none"/>
          <w:lang w:eastAsia="en-GB"/>
        </w:rPr>
        <w:t xml:space="preserve">for </w:t>
      </w:r>
      <w:r w:rsidR="006555D5" w:rsidRPr="00984981">
        <w:rPr>
          <w:rFonts w:ascii="Open Sans" w:hAnsi="Open Sans" w:cs="Open Sans"/>
          <w:color w:val="06926B"/>
          <w:u w:val="none"/>
          <w:lang w:eastAsia="en-GB"/>
        </w:rPr>
        <w:t>electrification</w:t>
      </w:r>
      <w:bookmarkEnd w:id="22"/>
    </w:p>
    <w:p w14:paraId="51526D65" w14:textId="77777777" w:rsidR="005618F1" w:rsidRPr="004A00DA" w:rsidRDefault="005618F1" w:rsidP="004A00DA">
      <w:pPr>
        <w:tabs>
          <w:tab w:val="left" w:pos="426"/>
          <w:tab w:val="left" w:pos="993"/>
        </w:tabs>
        <w:rPr>
          <w:rFonts w:ascii="Open Sans" w:eastAsia="Times New Roman" w:hAnsi="Open Sans" w:cs="Open Sans"/>
          <w:sz w:val="20"/>
          <w:szCs w:val="20"/>
          <w:lang w:eastAsia="en-GB"/>
        </w:rPr>
      </w:pPr>
    </w:p>
    <w:p w14:paraId="356E5FBB" w14:textId="3C38278F" w:rsidR="00E97FF9" w:rsidRPr="004A00DA" w:rsidRDefault="00E97FF9"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Government should take the following </w:t>
      </w:r>
      <w:r w:rsidR="006B5F84" w:rsidRPr="004A00DA">
        <w:rPr>
          <w:rFonts w:ascii="Open Sans" w:eastAsia="Times New Roman" w:hAnsi="Open Sans" w:cs="Open Sans"/>
          <w:sz w:val="20"/>
          <w:szCs w:val="20"/>
          <w:lang w:eastAsia="en-GB"/>
        </w:rPr>
        <w:t>EV-</w:t>
      </w:r>
      <w:r w:rsidRPr="004A00DA">
        <w:rPr>
          <w:rFonts w:ascii="Open Sans" w:eastAsia="Times New Roman" w:hAnsi="Open Sans" w:cs="Open Sans"/>
          <w:sz w:val="20"/>
          <w:szCs w:val="20"/>
          <w:lang w:eastAsia="en-GB"/>
        </w:rPr>
        <w:t>related policy actions:</w:t>
      </w:r>
    </w:p>
    <w:p w14:paraId="665B6B8A" w14:textId="77777777" w:rsidR="007F7A05" w:rsidRPr="004A00DA" w:rsidRDefault="001904CB"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Government should set out its intentions with respect to recovering income from fuel duty as conventional fuel sales decline.  This should remove uncertainty for would be purchasers of EVs.</w:t>
      </w:r>
    </w:p>
    <w:p w14:paraId="5C396878" w14:textId="77777777" w:rsidR="00802CEC" w:rsidRPr="004A00DA" w:rsidRDefault="00802CEC"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Continue to support</w:t>
      </w:r>
      <w:r w:rsidR="00B84AB4" w:rsidRPr="004A00DA">
        <w:rPr>
          <w:rFonts w:ascii="Open Sans" w:eastAsia="Times New Roman" w:hAnsi="Open Sans" w:cs="Open Sans"/>
          <w:sz w:val="20"/>
          <w:szCs w:val="20"/>
          <w:lang w:eastAsia="en-GB"/>
        </w:rPr>
        <w:t xml:space="preserve"> EV</w:t>
      </w:r>
      <w:r w:rsidRPr="004A00DA">
        <w:rPr>
          <w:rFonts w:ascii="Open Sans" w:eastAsia="Times New Roman" w:hAnsi="Open Sans" w:cs="Open Sans"/>
          <w:sz w:val="20"/>
          <w:szCs w:val="20"/>
          <w:lang w:eastAsia="en-GB"/>
        </w:rPr>
        <w:t xml:space="preserve"> infrastructure roll-out, particularly high-power hubs, for electric vehicles</w:t>
      </w:r>
    </w:p>
    <w:p w14:paraId="2169AD8B" w14:textId="77777777" w:rsidR="00B84AB4" w:rsidRPr="004A00DA" w:rsidRDefault="00B84AB4"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Support co-location of EV charging hubs with solar, wind, and battery storage to ensure low-carbon (and low cost) power supply to vehicles</w:t>
      </w:r>
    </w:p>
    <w:p w14:paraId="6E338130" w14:textId="77777777" w:rsidR="00D076FF" w:rsidRPr="004A00DA" w:rsidRDefault="00D076FF" w:rsidP="004A00DA">
      <w:pPr>
        <w:pStyle w:val="ListParagraph"/>
        <w:numPr>
          <w:ilvl w:val="0"/>
          <w:numId w:val="11"/>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Support trials for onsite production of green hydrogen (via electrolysis) at renewable power generation locations. </w:t>
      </w:r>
    </w:p>
    <w:p w14:paraId="48F00A85" w14:textId="7D7EBAF1" w:rsidR="00D076FF" w:rsidRPr="004A00DA" w:rsidRDefault="00D076FF" w:rsidP="004A00DA">
      <w:pPr>
        <w:tabs>
          <w:tab w:val="left" w:pos="426"/>
          <w:tab w:val="left" w:pos="993"/>
        </w:tabs>
        <w:rPr>
          <w:rFonts w:ascii="Open Sans" w:eastAsia="Times New Roman" w:hAnsi="Open Sans" w:cs="Open Sans"/>
          <w:b/>
          <w:sz w:val="20"/>
          <w:szCs w:val="20"/>
          <w:lang w:eastAsia="en-GB"/>
        </w:rPr>
      </w:pPr>
    </w:p>
    <w:p w14:paraId="01D6B90C" w14:textId="2585C0D3" w:rsidR="005618F1" w:rsidRPr="004A00DA" w:rsidRDefault="005618F1" w:rsidP="004A00DA">
      <w:pPr>
        <w:tabs>
          <w:tab w:val="left" w:pos="426"/>
          <w:tab w:val="left" w:pos="993"/>
        </w:tabs>
        <w:rPr>
          <w:rFonts w:ascii="Open Sans" w:eastAsia="Times New Roman" w:hAnsi="Open Sans" w:cs="Open Sans"/>
          <w:b/>
          <w:sz w:val="20"/>
          <w:szCs w:val="20"/>
          <w:lang w:eastAsia="en-GB"/>
        </w:rPr>
      </w:pPr>
    </w:p>
    <w:p w14:paraId="5CA4DCA0" w14:textId="6D143AA2" w:rsidR="005618F1" w:rsidRDefault="005618F1" w:rsidP="004A00DA">
      <w:pPr>
        <w:tabs>
          <w:tab w:val="left" w:pos="426"/>
          <w:tab w:val="left" w:pos="993"/>
        </w:tabs>
        <w:rPr>
          <w:rFonts w:ascii="Open Sans" w:eastAsia="Times New Roman" w:hAnsi="Open Sans" w:cs="Open Sans"/>
          <w:b/>
          <w:sz w:val="20"/>
          <w:szCs w:val="20"/>
          <w:lang w:eastAsia="en-GB"/>
        </w:rPr>
      </w:pPr>
    </w:p>
    <w:p w14:paraId="3BD0625D" w14:textId="1CF9EB8B" w:rsidR="007C6C3A" w:rsidRPr="00984981" w:rsidRDefault="00984981" w:rsidP="004A00DA">
      <w:pPr>
        <w:pStyle w:val="Heading1"/>
        <w:tabs>
          <w:tab w:val="left" w:pos="426"/>
          <w:tab w:val="left" w:pos="993"/>
        </w:tabs>
        <w:rPr>
          <w:rFonts w:ascii="Open Sans" w:hAnsi="Open Sans" w:cs="Open Sans"/>
          <w:sz w:val="28"/>
          <w:szCs w:val="28"/>
        </w:rPr>
      </w:pPr>
      <w:bookmarkStart w:id="23" w:name="_Toc34921727"/>
      <w:r w:rsidRPr="00984981">
        <w:rPr>
          <w:rFonts w:ascii="Open Sans" w:hAnsi="Open Sans" w:cs="Open Sans"/>
          <w:sz w:val="28"/>
          <w:szCs w:val="28"/>
        </w:rPr>
        <w:t xml:space="preserve">6. </w:t>
      </w:r>
      <w:r w:rsidR="006555D5" w:rsidRPr="00984981">
        <w:rPr>
          <w:rFonts w:ascii="Open Sans" w:hAnsi="Open Sans" w:cs="Open Sans"/>
          <w:sz w:val="28"/>
          <w:szCs w:val="28"/>
        </w:rPr>
        <w:t>Conclusion</w:t>
      </w:r>
      <w:bookmarkEnd w:id="23"/>
    </w:p>
    <w:p w14:paraId="075D813D" w14:textId="77777777" w:rsidR="00D2105B" w:rsidRPr="004A00DA" w:rsidRDefault="00D2105B" w:rsidP="004A00DA">
      <w:pPr>
        <w:tabs>
          <w:tab w:val="left" w:pos="426"/>
          <w:tab w:val="left" w:pos="993"/>
        </w:tabs>
        <w:rPr>
          <w:rFonts w:ascii="Open Sans" w:hAnsi="Open Sans" w:cs="Open Sans"/>
          <w:sz w:val="20"/>
          <w:szCs w:val="20"/>
        </w:rPr>
      </w:pPr>
    </w:p>
    <w:p w14:paraId="50F1C2C5" w14:textId="78F6AF2D" w:rsidR="002D5739" w:rsidRPr="004A00DA" w:rsidRDefault="00F10EEA" w:rsidP="004A00DA">
      <w:pPr>
        <w:tabs>
          <w:tab w:val="left" w:pos="426"/>
          <w:tab w:val="left" w:pos="993"/>
        </w:tabs>
        <w:rPr>
          <w:rFonts w:ascii="Open Sans" w:hAnsi="Open Sans" w:cs="Open Sans"/>
          <w:sz w:val="20"/>
          <w:szCs w:val="20"/>
        </w:rPr>
      </w:pPr>
      <w:r w:rsidRPr="004A00DA">
        <w:rPr>
          <w:rFonts w:ascii="Open Sans" w:hAnsi="Open Sans" w:cs="Open Sans"/>
          <w:sz w:val="20"/>
          <w:szCs w:val="20"/>
        </w:rPr>
        <w:t>Both renewable and low carbon fuels</w:t>
      </w:r>
      <w:r w:rsidR="00577095" w:rsidRPr="004A00DA">
        <w:rPr>
          <w:rFonts w:ascii="Open Sans" w:hAnsi="Open Sans" w:cs="Open Sans"/>
          <w:sz w:val="20"/>
          <w:szCs w:val="20"/>
        </w:rPr>
        <w:t xml:space="preserve"> (including hydrogen)</w:t>
      </w:r>
      <w:r w:rsidRPr="004A00DA">
        <w:rPr>
          <w:rFonts w:ascii="Open Sans" w:hAnsi="Open Sans" w:cs="Open Sans"/>
          <w:sz w:val="20"/>
          <w:szCs w:val="20"/>
        </w:rPr>
        <w:t xml:space="preserve">, as well as electrification </w:t>
      </w:r>
      <w:r w:rsidR="002D5739" w:rsidRPr="004A00DA">
        <w:rPr>
          <w:rFonts w:ascii="Open Sans" w:hAnsi="Open Sans" w:cs="Open Sans"/>
          <w:sz w:val="20"/>
          <w:szCs w:val="20"/>
        </w:rPr>
        <w:t xml:space="preserve">are necessary in the challenging journey of decarbonising road transport.  In parallel there must also be an increase in renewable electricity generating capacity.  </w:t>
      </w:r>
      <w:r w:rsidR="00577095" w:rsidRPr="004A00DA">
        <w:rPr>
          <w:rFonts w:ascii="Open Sans" w:hAnsi="Open Sans" w:cs="Open Sans"/>
          <w:sz w:val="20"/>
          <w:szCs w:val="20"/>
        </w:rPr>
        <w:t>Full e</w:t>
      </w:r>
      <w:r w:rsidR="002D5739" w:rsidRPr="004A00DA">
        <w:rPr>
          <w:rFonts w:ascii="Open Sans" w:hAnsi="Open Sans" w:cs="Open Sans"/>
          <w:sz w:val="20"/>
          <w:szCs w:val="20"/>
        </w:rPr>
        <w:t xml:space="preserve">lectrification is not </w:t>
      </w:r>
      <w:r w:rsidR="00577095" w:rsidRPr="004A00DA">
        <w:rPr>
          <w:rFonts w:ascii="Open Sans" w:hAnsi="Open Sans" w:cs="Open Sans"/>
          <w:sz w:val="20"/>
          <w:szCs w:val="20"/>
        </w:rPr>
        <w:t xml:space="preserve">the solution </w:t>
      </w:r>
      <w:r w:rsidR="002D5739" w:rsidRPr="004A00DA">
        <w:rPr>
          <w:rFonts w:ascii="Open Sans" w:hAnsi="Open Sans" w:cs="Open Sans"/>
          <w:sz w:val="20"/>
          <w:szCs w:val="20"/>
        </w:rPr>
        <w:t xml:space="preserve"> for all road transport modes, and the ICE fuelled by 100% renewable fuels may be an enduring feature of the heaviest duty vehicles.</w:t>
      </w:r>
    </w:p>
    <w:p w14:paraId="0761DE3B" w14:textId="67A341A4" w:rsidR="00DF4B35" w:rsidRPr="004A00DA" w:rsidRDefault="002D5739" w:rsidP="004A00DA">
      <w:pPr>
        <w:tabs>
          <w:tab w:val="left" w:pos="426"/>
          <w:tab w:val="left" w:pos="993"/>
        </w:tabs>
        <w:rPr>
          <w:rFonts w:ascii="Open Sans" w:hAnsi="Open Sans" w:cs="Open Sans"/>
          <w:sz w:val="20"/>
          <w:szCs w:val="20"/>
        </w:rPr>
      </w:pPr>
      <w:r w:rsidRPr="004A00DA">
        <w:rPr>
          <w:rFonts w:ascii="Open Sans" w:hAnsi="Open Sans" w:cs="Open Sans"/>
          <w:sz w:val="20"/>
          <w:szCs w:val="20"/>
        </w:rPr>
        <w:t xml:space="preserve">Even in the transition to electrification, renewable fuels play an important </w:t>
      </w:r>
      <w:r w:rsidR="00AE2275" w:rsidRPr="004A00DA">
        <w:rPr>
          <w:rFonts w:ascii="Open Sans" w:hAnsi="Open Sans" w:cs="Open Sans"/>
          <w:sz w:val="20"/>
          <w:szCs w:val="20"/>
        </w:rPr>
        <w:t>near- and medium-term</w:t>
      </w:r>
      <w:r w:rsidRPr="004A00DA">
        <w:rPr>
          <w:rFonts w:ascii="Open Sans" w:hAnsi="Open Sans" w:cs="Open Sans"/>
          <w:sz w:val="20"/>
          <w:szCs w:val="20"/>
        </w:rPr>
        <w:t xml:space="preserve"> role, as even if no new ICE cars are sold from 2035 (or earlier) onwards, it will take decades for the existing car parc to fully turn over.  The carbon savings made now, from renewable fuels, are valuable as they come sooner and thus contribute more significantly to the savings required to meet our carbon budgets.</w:t>
      </w:r>
    </w:p>
    <w:p w14:paraId="50C7C1EF" w14:textId="1910EB76" w:rsidR="002D5739" w:rsidRPr="004A00DA" w:rsidRDefault="00577095" w:rsidP="004A00DA">
      <w:pPr>
        <w:tabs>
          <w:tab w:val="left" w:pos="426"/>
          <w:tab w:val="left" w:pos="993"/>
        </w:tabs>
        <w:rPr>
          <w:rFonts w:ascii="Open Sans" w:hAnsi="Open Sans" w:cs="Open Sans"/>
          <w:sz w:val="20"/>
          <w:szCs w:val="20"/>
        </w:rPr>
      </w:pPr>
      <w:r w:rsidRPr="004A00DA">
        <w:rPr>
          <w:rFonts w:ascii="Open Sans" w:hAnsi="Open Sans" w:cs="Open Sans"/>
          <w:sz w:val="20"/>
          <w:szCs w:val="20"/>
        </w:rPr>
        <w:t>R</w:t>
      </w:r>
      <w:r w:rsidR="002D5739" w:rsidRPr="004A00DA">
        <w:rPr>
          <w:rFonts w:ascii="Open Sans" w:hAnsi="Open Sans" w:cs="Open Sans"/>
          <w:sz w:val="20"/>
          <w:szCs w:val="20"/>
        </w:rPr>
        <w:t xml:space="preserve">enewable fuels and electrification – should not be seen as in competition.  Both are needed – and much more besides, such as demand reduction, modal shift and </w:t>
      </w:r>
      <w:r w:rsidR="00AE2275" w:rsidRPr="004A00DA">
        <w:rPr>
          <w:rFonts w:ascii="Open Sans" w:hAnsi="Open Sans" w:cs="Open Sans"/>
          <w:sz w:val="20"/>
          <w:szCs w:val="20"/>
        </w:rPr>
        <w:t xml:space="preserve">various passenger and freight </w:t>
      </w:r>
      <w:r w:rsidR="002D5739" w:rsidRPr="004A00DA">
        <w:rPr>
          <w:rFonts w:ascii="Open Sans" w:hAnsi="Open Sans" w:cs="Open Sans"/>
          <w:sz w:val="20"/>
          <w:szCs w:val="20"/>
        </w:rPr>
        <w:t>efficiency measures</w:t>
      </w:r>
      <w:r w:rsidR="00AE2275" w:rsidRPr="004A00DA">
        <w:rPr>
          <w:rFonts w:ascii="Open Sans" w:hAnsi="Open Sans" w:cs="Open Sans"/>
          <w:sz w:val="20"/>
          <w:szCs w:val="20"/>
        </w:rPr>
        <w:t>.</w:t>
      </w:r>
    </w:p>
    <w:p w14:paraId="3925C47E" w14:textId="77F5985F" w:rsidR="00725415" w:rsidRDefault="00725415" w:rsidP="004A00DA">
      <w:pPr>
        <w:tabs>
          <w:tab w:val="left" w:pos="426"/>
          <w:tab w:val="left" w:pos="993"/>
        </w:tabs>
        <w:rPr>
          <w:rFonts w:ascii="Open Sans" w:hAnsi="Open Sans" w:cs="Open Sans"/>
          <w:sz w:val="20"/>
          <w:szCs w:val="20"/>
        </w:rPr>
      </w:pPr>
    </w:p>
    <w:p w14:paraId="23E3734B" w14:textId="408C771D" w:rsidR="00984981" w:rsidRPr="009C7715" w:rsidRDefault="009C7715" w:rsidP="004A00DA">
      <w:pPr>
        <w:tabs>
          <w:tab w:val="left" w:pos="426"/>
          <w:tab w:val="left" w:pos="993"/>
        </w:tabs>
        <w:rPr>
          <w:rFonts w:ascii="Open Sans" w:hAnsi="Open Sans" w:cs="Open Sans"/>
          <w:b/>
          <w:bCs/>
          <w:i/>
          <w:iCs/>
          <w:sz w:val="20"/>
          <w:szCs w:val="20"/>
        </w:rPr>
      </w:pPr>
      <w:r w:rsidRPr="009C7715">
        <w:rPr>
          <w:rFonts w:ascii="Open Sans" w:hAnsi="Open Sans" w:cs="Open Sans"/>
          <w:b/>
          <w:bCs/>
          <w:i/>
          <w:iCs/>
          <w:sz w:val="20"/>
          <w:szCs w:val="20"/>
        </w:rPr>
        <w:t>Note to reviewing members: the conclusion section to be further built out following member feedback on text body.</w:t>
      </w:r>
    </w:p>
    <w:p w14:paraId="2811DDC5" w14:textId="77777777" w:rsidR="00367B2D" w:rsidRDefault="00367B2D">
      <w:pPr>
        <w:rPr>
          <w:rFonts w:ascii="Open Sans" w:hAnsi="Open Sans" w:cs="Open Sans"/>
          <w:sz w:val="20"/>
          <w:szCs w:val="20"/>
        </w:rPr>
      </w:pPr>
      <w:r>
        <w:rPr>
          <w:rFonts w:ascii="Open Sans" w:hAnsi="Open Sans" w:cs="Open Sans"/>
          <w:b/>
          <w:sz w:val="20"/>
          <w:szCs w:val="20"/>
        </w:rPr>
        <w:br w:type="page"/>
      </w:r>
    </w:p>
    <w:p w14:paraId="377B7514" w14:textId="7F27771F" w:rsidR="00DF4B35" w:rsidRPr="00984981" w:rsidRDefault="00DF4B35" w:rsidP="004A00DA">
      <w:pPr>
        <w:pStyle w:val="Heading1"/>
        <w:tabs>
          <w:tab w:val="left" w:pos="426"/>
          <w:tab w:val="left" w:pos="993"/>
        </w:tabs>
        <w:rPr>
          <w:rFonts w:ascii="Open Sans" w:hAnsi="Open Sans" w:cs="Open Sans"/>
          <w:sz w:val="28"/>
          <w:szCs w:val="28"/>
        </w:rPr>
      </w:pPr>
      <w:r w:rsidRPr="00984981">
        <w:rPr>
          <w:rFonts w:ascii="Open Sans" w:hAnsi="Open Sans" w:cs="Open Sans"/>
          <w:sz w:val="28"/>
          <w:szCs w:val="28"/>
        </w:rPr>
        <w:t>Appendix 1</w:t>
      </w:r>
    </w:p>
    <w:p w14:paraId="5386E8F4" w14:textId="79A3B9F8" w:rsidR="00DF4B35" w:rsidRPr="004A00DA" w:rsidRDefault="00DF4B35" w:rsidP="004A00DA">
      <w:pPr>
        <w:tabs>
          <w:tab w:val="left" w:pos="426"/>
          <w:tab w:val="left" w:pos="993"/>
        </w:tabs>
        <w:rPr>
          <w:rFonts w:ascii="Open Sans" w:hAnsi="Open Sans" w:cs="Open Sans"/>
          <w:b/>
          <w:bCs/>
          <w:sz w:val="20"/>
          <w:szCs w:val="20"/>
        </w:rPr>
      </w:pPr>
    </w:p>
    <w:p w14:paraId="6FA8A6B3" w14:textId="23D62AB6" w:rsidR="00D2105B" w:rsidRPr="009C7715" w:rsidRDefault="00D2105B" w:rsidP="004A00DA">
      <w:pPr>
        <w:tabs>
          <w:tab w:val="left" w:pos="426"/>
          <w:tab w:val="left" w:pos="993"/>
        </w:tabs>
        <w:rPr>
          <w:rFonts w:ascii="Open Sans" w:eastAsia="Times New Roman" w:hAnsi="Open Sans" w:cs="Open Sans"/>
          <w:b/>
          <w:bCs/>
          <w:i/>
          <w:iCs/>
          <w:sz w:val="20"/>
          <w:szCs w:val="20"/>
          <w:lang w:eastAsia="en-GB"/>
        </w:rPr>
      </w:pPr>
      <w:r w:rsidRPr="009C7715">
        <w:rPr>
          <w:rFonts w:ascii="Open Sans" w:eastAsia="Times New Roman" w:hAnsi="Open Sans" w:cs="Open Sans"/>
          <w:b/>
          <w:bCs/>
          <w:i/>
          <w:iCs/>
          <w:sz w:val="20"/>
          <w:szCs w:val="20"/>
          <w:lang w:eastAsia="en-GB"/>
        </w:rPr>
        <w:t>Note</w:t>
      </w:r>
      <w:r w:rsidR="009C7715">
        <w:rPr>
          <w:rFonts w:ascii="Open Sans" w:eastAsia="Times New Roman" w:hAnsi="Open Sans" w:cs="Open Sans"/>
          <w:b/>
          <w:bCs/>
          <w:i/>
          <w:iCs/>
          <w:sz w:val="20"/>
          <w:szCs w:val="20"/>
          <w:lang w:eastAsia="en-GB"/>
        </w:rPr>
        <w:t xml:space="preserve"> to reviewing members</w:t>
      </w:r>
      <w:r w:rsidRPr="009C7715">
        <w:rPr>
          <w:rFonts w:ascii="Open Sans" w:eastAsia="Times New Roman" w:hAnsi="Open Sans" w:cs="Open Sans"/>
          <w:b/>
          <w:bCs/>
          <w:i/>
          <w:iCs/>
          <w:sz w:val="20"/>
          <w:szCs w:val="20"/>
          <w:lang w:eastAsia="en-GB"/>
        </w:rPr>
        <w:t xml:space="preserve">: the following section is under review and will be honed as the REA drafts its response with members to the 2035 consultation. </w:t>
      </w:r>
    </w:p>
    <w:p w14:paraId="5666DBAA" w14:textId="74CCCB85" w:rsidR="00DF4B35" w:rsidRPr="004A00DA" w:rsidRDefault="00DF4B35" w:rsidP="004A00DA">
      <w:p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Specific actions required to decarbonise the lighter end of the LDV segment (specific classes) include:</w:t>
      </w:r>
    </w:p>
    <w:p w14:paraId="4305E405"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Significant expansion of electric van manufacturing capacity, as there are anecdotal reports that demand currently significant exceeds supply</w:t>
      </w:r>
    </w:p>
    <w:p w14:paraId="540976CC"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Expansion of vehicle offerings by manufacturers, particularly differentiated on cost, weight, range and charging speeds.</w:t>
      </w:r>
    </w:p>
    <w:p w14:paraId="0A1F47EE"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Clarifications from Government around their proposals relating to amending building regulations (ensuring a charge point in every new home with off-street parking, ensuring charging infrastructure in new commercial premises and, in some cases, retrofit into existing commercial premises).</w:t>
      </w:r>
    </w:p>
    <w:p w14:paraId="6D172470"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This is particularly relevant for use cases where vehicles are primarily charging at home or workplaces</w:t>
      </w:r>
    </w:p>
    <w:p w14:paraId="2BDDD89F"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Clarifications from Government around their proposals relating to ‘smart charging’ and how it will be rolled out, including on a technical level. </w:t>
      </w:r>
    </w:p>
    <w:p w14:paraId="78CC1005"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This is particularly relevant for use cases where vehicles are primarily charging at home or workplaces</w:t>
      </w:r>
    </w:p>
    <w:p w14:paraId="478F7BDD"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From electricity distribution networks, deeper and more integrated markets for grid ‘flexibility’ are needed in addition to some (in well-justified cases) anticipatory investment in capacity </w:t>
      </w:r>
    </w:p>
    <w:p w14:paraId="668FA46D"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This is particularly relevant for use cases where vehicles are primarily charging at home or workplaces</w:t>
      </w:r>
    </w:p>
    <w:p w14:paraId="2FA3CCF4"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EV-industry related work on standards in order to streamline smart charging and vehicle-to-grid</w:t>
      </w:r>
    </w:p>
    <w:p w14:paraId="39FA80F0"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This is particularly relevant for use cases where vehicles are primarily charging at home or workplaces</w:t>
      </w:r>
    </w:p>
    <w:p w14:paraId="5A3137ED"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Clarifications from Ofgem relating to distribution network access and usage charges (e.g. Access and Forward Looking Charges Review)</w:t>
      </w:r>
      <w:r w:rsidRPr="004A00DA">
        <w:rPr>
          <w:rFonts w:ascii="Open Sans" w:eastAsia="Times New Roman" w:hAnsi="Open Sans" w:cs="Open Sans"/>
          <w:sz w:val="20"/>
          <w:szCs w:val="20"/>
          <w:lang w:eastAsia="en-GB"/>
        </w:rPr>
        <w:tab/>
      </w:r>
    </w:p>
    <w:p w14:paraId="2D3B568A"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Relevant to all use cases, but particularly for workplace charging, depot charging, and rapid-charging hub use cases</w:t>
      </w:r>
    </w:p>
    <w:p w14:paraId="5873C4FF"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Clarifications from Government relating to how the Rapid Charging Fund will be deployed, and the role Government will take to support the roll-out of ultra-rapid charging infrastructure along the strategic motorway network </w:t>
      </w:r>
    </w:p>
    <w:p w14:paraId="6C5954CF"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Particularly relevant for use cases which primarily rely on public charging </w:t>
      </w:r>
    </w:p>
    <w:p w14:paraId="3A1771CD" w14:textId="77777777" w:rsidR="00DF4B35" w:rsidRPr="004A00DA" w:rsidRDefault="00DF4B35" w:rsidP="004A00DA">
      <w:pPr>
        <w:pStyle w:val="ListParagraph"/>
        <w:numPr>
          <w:ilvl w:val="0"/>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Industry and Government collaboration to deliver roaming (known as interoperability) across public charging networks, improved public charging infrastructure reliability, and expanded access to customer service hotlines across networks </w:t>
      </w:r>
    </w:p>
    <w:p w14:paraId="30758ED4" w14:textId="77777777" w:rsidR="00DF4B35" w:rsidRPr="004A00DA" w:rsidRDefault="00DF4B35" w:rsidP="004A00DA">
      <w:pPr>
        <w:pStyle w:val="ListParagraph"/>
        <w:numPr>
          <w:ilvl w:val="1"/>
          <w:numId w:val="15"/>
        </w:numPr>
        <w:tabs>
          <w:tab w:val="left" w:pos="426"/>
          <w:tab w:val="left" w:pos="993"/>
        </w:tabs>
        <w:rPr>
          <w:rFonts w:ascii="Open Sans" w:eastAsia="Times New Roman" w:hAnsi="Open Sans" w:cs="Open Sans"/>
          <w:sz w:val="20"/>
          <w:szCs w:val="20"/>
          <w:lang w:eastAsia="en-GB"/>
        </w:rPr>
      </w:pPr>
      <w:r w:rsidRPr="004A00DA">
        <w:rPr>
          <w:rFonts w:ascii="Open Sans" w:eastAsia="Times New Roman" w:hAnsi="Open Sans" w:cs="Open Sans"/>
          <w:sz w:val="20"/>
          <w:szCs w:val="20"/>
          <w:lang w:eastAsia="en-GB"/>
        </w:rPr>
        <w:t xml:space="preserve">Particularly relevant for use cases which primarily rely on public charging </w:t>
      </w:r>
    </w:p>
    <w:p w14:paraId="28F52E30" w14:textId="77777777" w:rsidR="00DF4B35" w:rsidRPr="004A00DA" w:rsidRDefault="00DF4B35" w:rsidP="004A00DA">
      <w:pPr>
        <w:pStyle w:val="ListParagraph"/>
        <w:tabs>
          <w:tab w:val="left" w:pos="426"/>
          <w:tab w:val="left" w:pos="993"/>
        </w:tabs>
        <w:rPr>
          <w:rFonts w:ascii="Open Sans" w:eastAsia="Times New Roman" w:hAnsi="Open Sans" w:cs="Open Sans"/>
          <w:sz w:val="20"/>
          <w:szCs w:val="20"/>
          <w:lang w:eastAsia="en-GB"/>
        </w:rPr>
      </w:pPr>
    </w:p>
    <w:p w14:paraId="19225D6D" w14:textId="7B071E65" w:rsidR="00DF4B35" w:rsidRPr="004A00DA" w:rsidRDefault="00822D77" w:rsidP="004A00DA">
      <w:pPr>
        <w:tabs>
          <w:tab w:val="left" w:pos="426"/>
          <w:tab w:val="left" w:pos="993"/>
        </w:tabs>
        <w:rPr>
          <w:rFonts w:ascii="Open Sans" w:hAnsi="Open Sans" w:cs="Open Sans"/>
          <w:sz w:val="20"/>
          <w:szCs w:val="20"/>
        </w:rPr>
      </w:pPr>
      <w:r>
        <w:rPr>
          <w:rFonts w:ascii="Open Sans" w:hAnsi="Open Sans" w:cs="Open Sans"/>
          <w:sz w:val="20"/>
          <w:szCs w:val="20"/>
        </w:rPr>
        <w:t>To be added – specific actions we are seeking from the government relating to decarbonising those sectors we don’t envisage being battery operated by 2035.</w:t>
      </w:r>
    </w:p>
    <w:sectPr w:rsidR="00DF4B35" w:rsidRPr="004A00DA" w:rsidSect="004A00DA">
      <w:headerReference w:type="default" r:id="rId14"/>
      <w:footerReference w:type="default" r:id="rId15"/>
      <w:headerReference w:type="first" r:id="rId16"/>
      <w:footerReference w:type="first" r:id="rId17"/>
      <w:pgSz w:w="11906" w:h="16838"/>
      <w:pgMar w:top="1440" w:right="1440" w:bottom="1134" w:left="1440" w:header="708" w:footer="4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2A001" w14:textId="77777777" w:rsidR="007165A5" w:rsidRDefault="007165A5" w:rsidP="0060267B">
      <w:pPr>
        <w:spacing w:after="0" w:line="240" w:lineRule="auto"/>
      </w:pPr>
      <w:r>
        <w:separator/>
      </w:r>
    </w:p>
  </w:endnote>
  <w:endnote w:type="continuationSeparator" w:id="0">
    <w:p w14:paraId="66AC5A82" w14:textId="77777777" w:rsidR="007165A5" w:rsidRDefault="007165A5" w:rsidP="0060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Bold">
    <w:altName w:val="Century Gothic Bold"/>
    <w:panose1 w:val="020B0702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FuturaPT-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sz w:val="20"/>
        <w:szCs w:val="20"/>
      </w:rPr>
      <w:id w:val="-792136297"/>
      <w:docPartObj>
        <w:docPartGallery w:val="Page Numbers (Bottom of Page)"/>
        <w:docPartUnique/>
      </w:docPartObj>
    </w:sdtPr>
    <w:sdtEndPr/>
    <w:sdtContent>
      <w:sdt>
        <w:sdtPr>
          <w:rPr>
            <w:rFonts w:ascii="Open Sans" w:hAnsi="Open Sans" w:cs="Open Sans"/>
            <w:sz w:val="20"/>
            <w:szCs w:val="20"/>
          </w:rPr>
          <w:id w:val="-1769616900"/>
          <w:docPartObj>
            <w:docPartGallery w:val="Page Numbers (Top of Page)"/>
            <w:docPartUnique/>
          </w:docPartObj>
        </w:sdtPr>
        <w:sdtEndPr/>
        <w:sdtContent>
          <w:p w14:paraId="7D30BDE9" w14:textId="26883992" w:rsidR="00E130C3" w:rsidRPr="004A00DA" w:rsidRDefault="00E130C3" w:rsidP="004A00DA">
            <w:pPr>
              <w:pStyle w:val="Footer"/>
              <w:jc w:val="right"/>
              <w:rPr>
                <w:rFonts w:ascii="Open Sans" w:hAnsi="Open Sans" w:cs="Open Sans"/>
                <w:sz w:val="20"/>
                <w:szCs w:val="20"/>
              </w:rPr>
            </w:pPr>
            <w:r w:rsidRPr="004A00DA">
              <w:rPr>
                <w:rFonts w:ascii="Open Sans" w:hAnsi="Open Sans" w:cs="Open Sans"/>
                <w:sz w:val="20"/>
                <w:szCs w:val="20"/>
              </w:rPr>
              <w:t xml:space="preserve">Page </w:t>
            </w:r>
            <w:r w:rsidRPr="004A00DA">
              <w:rPr>
                <w:rFonts w:ascii="Open Sans" w:hAnsi="Open Sans" w:cs="Open Sans"/>
                <w:b/>
                <w:bCs/>
                <w:sz w:val="20"/>
                <w:szCs w:val="20"/>
              </w:rPr>
              <w:fldChar w:fldCharType="begin"/>
            </w:r>
            <w:r w:rsidRPr="004A00DA">
              <w:rPr>
                <w:rFonts w:ascii="Open Sans" w:hAnsi="Open Sans" w:cs="Open Sans"/>
                <w:b/>
                <w:bCs/>
                <w:sz w:val="20"/>
                <w:szCs w:val="20"/>
              </w:rPr>
              <w:instrText xml:space="preserve"> PAGE </w:instrText>
            </w:r>
            <w:r w:rsidRPr="004A00DA">
              <w:rPr>
                <w:rFonts w:ascii="Open Sans" w:hAnsi="Open Sans" w:cs="Open Sans"/>
                <w:b/>
                <w:bCs/>
                <w:sz w:val="20"/>
                <w:szCs w:val="20"/>
              </w:rPr>
              <w:fldChar w:fldCharType="separate"/>
            </w:r>
            <w:r w:rsidRPr="004A00DA">
              <w:rPr>
                <w:rFonts w:ascii="Open Sans" w:hAnsi="Open Sans" w:cs="Open Sans"/>
                <w:b/>
                <w:bCs/>
                <w:noProof/>
                <w:sz w:val="20"/>
                <w:szCs w:val="20"/>
              </w:rPr>
              <w:t>2</w:t>
            </w:r>
            <w:r w:rsidRPr="004A00DA">
              <w:rPr>
                <w:rFonts w:ascii="Open Sans" w:hAnsi="Open Sans" w:cs="Open Sans"/>
                <w:b/>
                <w:bCs/>
                <w:sz w:val="20"/>
                <w:szCs w:val="20"/>
              </w:rPr>
              <w:fldChar w:fldCharType="end"/>
            </w:r>
            <w:r w:rsidRPr="004A00DA">
              <w:rPr>
                <w:rFonts w:ascii="Open Sans" w:hAnsi="Open Sans" w:cs="Open Sans"/>
                <w:sz w:val="20"/>
                <w:szCs w:val="20"/>
              </w:rPr>
              <w:t xml:space="preserve"> of </w:t>
            </w:r>
            <w:r w:rsidRPr="004A00DA">
              <w:rPr>
                <w:rFonts w:ascii="Open Sans" w:hAnsi="Open Sans" w:cs="Open Sans"/>
                <w:b/>
                <w:bCs/>
                <w:sz w:val="20"/>
                <w:szCs w:val="20"/>
              </w:rPr>
              <w:fldChar w:fldCharType="begin"/>
            </w:r>
            <w:r w:rsidRPr="004A00DA">
              <w:rPr>
                <w:rFonts w:ascii="Open Sans" w:hAnsi="Open Sans" w:cs="Open Sans"/>
                <w:b/>
                <w:bCs/>
                <w:sz w:val="20"/>
                <w:szCs w:val="20"/>
              </w:rPr>
              <w:instrText xml:space="preserve"> NUMPAGES  </w:instrText>
            </w:r>
            <w:r w:rsidRPr="004A00DA">
              <w:rPr>
                <w:rFonts w:ascii="Open Sans" w:hAnsi="Open Sans" w:cs="Open Sans"/>
                <w:b/>
                <w:bCs/>
                <w:sz w:val="20"/>
                <w:szCs w:val="20"/>
              </w:rPr>
              <w:fldChar w:fldCharType="separate"/>
            </w:r>
            <w:r w:rsidRPr="004A00DA">
              <w:rPr>
                <w:rFonts w:ascii="Open Sans" w:hAnsi="Open Sans" w:cs="Open Sans"/>
                <w:b/>
                <w:bCs/>
                <w:noProof/>
                <w:sz w:val="20"/>
                <w:szCs w:val="20"/>
              </w:rPr>
              <w:t>2</w:t>
            </w:r>
            <w:r w:rsidRPr="004A00DA">
              <w:rPr>
                <w:rFonts w:ascii="Open Sans" w:hAnsi="Open Sans" w:cs="Open Sans"/>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0271" w14:textId="1EFDF798" w:rsidR="00E130C3" w:rsidRPr="00691FCC" w:rsidRDefault="00E130C3" w:rsidP="004A00DA">
    <w:pPr>
      <w:pStyle w:val="BodyText"/>
      <w:spacing w:before="84"/>
      <w:ind w:left="851" w:right="1088"/>
      <w:jc w:val="center"/>
      <w:rPr>
        <w:rFonts w:ascii="Open Sans" w:hAnsi="Open Sans" w:cs="Open Sans"/>
        <w:sz w:val="16"/>
        <w:szCs w:val="16"/>
      </w:rPr>
    </w:pPr>
    <w:r w:rsidRPr="00691FCC">
      <w:rPr>
        <w:rFonts w:ascii="Open Sans" w:hAnsi="Open Sans" w:cs="Open Sans"/>
        <w:noProof/>
        <w:sz w:val="16"/>
        <w:szCs w:val="16"/>
        <w:lang w:val="en-GB" w:eastAsia="en-GB"/>
      </w:rPr>
      <mc:AlternateContent>
        <mc:Choice Requires="wpg">
          <w:drawing>
            <wp:anchor distT="0" distB="0" distL="114300" distR="114300" simplePos="0" relativeHeight="251660800" behindDoc="1" locked="0" layoutInCell="1" allowOverlap="1" wp14:anchorId="6C4DCEE7" wp14:editId="7CC2DAF7">
              <wp:simplePos x="0" y="0"/>
              <wp:positionH relativeFrom="margin">
                <wp:align>right</wp:align>
              </wp:positionH>
              <wp:positionV relativeFrom="paragraph">
                <wp:posOffset>-132029</wp:posOffset>
              </wp:positionV>
              <wp:extent cx="5687060" cy="45085"/>
              <wp:effectExtent l="0" t="0" r="0" b="0"/>
              <wp:wrapTight wrapText="bothSides">
                <wp:wrapPolygon edited="0">
                  <wp:start x="0" y="0"/>
                  <wp:lineTo x="0" y="21600"/>
                  <wp:lineTo x="21600" y="21600"/>
                  <wp:lineTo x="21600" y="0"/>
                </wp:wrapPolygon>
              </wp:wrapTight>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45085"/>
                        <a:chOff x="0" y="0"/>
                        <a:chExt cx="9544" cy="25"/>
                      </a:xfrm>
                    </wpg:grpSpPr>
                    <wps:wsp>
                      <wps:cNvPr id="11"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A334A10" id="Group 10" o:spid="_x0000_s1026" style="position:absolute;margin-left:396.6pt;margin-top:-10.4pt;width:447.8pt;height:3.55pt;z-index:-251650560;mso-position-horizontal:right;mso-position-horizontal-relative:margin"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" strokecolor="#41906d" strokeweight=".43533mm"/>
              <w10:wrap type="tight" anchorx="margin"/>
            </v:group>
          </w:pict>
        </mc:Fallback>
      </mc:AlternateContent>
    </w:r>
    <w:r w:rsidRPr="00691FCC">
      <w:rPr>
        <w:rFonts w:ascii="Open Sans" w:hAnsi="Open Sans" w:cs="Open Sans"/>
        <w:color w:val="1E1E1E"/>
        <w:sz w:val="16"/>
        <w:szCs w:val="16"/>
      </w:rPr>
      <w:t xml:space="preserve">  THE ASSOCIATION FOR RENEWABLE ENERGY AND CLEAN TECHNOLOGY</w:t>
    </w:r>
  </w:p>
  <w:p w14:paraId="2913A74F" w14:textId="77777777" w:rsidR="00E130C3" w:rsidRDefault="00E130C3" w:rsidP="004A00DA">
    <w:pPr>
      <w:pStyle w:val="BodyText"/>
      <w:spacing w:before="64"/>
      <w:ind w:left="851" w:right="1088"/>
      <w:jc w:val="center"/>
      <w:rPr>
        <w:rFonts w:ascii="Open Sans" w:hAnsi="Open Sans" w:cs="Open Sans"/>
        <w:color w:val="06926B"/>
        <w:sz w:val="14"/>
        <w:szCs w:val="14"/>
      </w:rPr>
    </w:pPr>
    <w:r w:rsidRPr="00CB0F30">
      <w:rPr>
        <w:rFonts w:ascii="Open Sans" w:hAnsi="Open Sans" w:cs="Open Sans"/>
        <w:color w:val="06926B"/>
        <w:sz w:val="14"/>
        <w:szCs w:val="14"/>
      </w:rPr>
      <w:t>Brettenham House, 2-19 Lancaster Place, London WC2E 7EN</w:t>
    </w:r>
  </w:p>
  <w:p w14:paraId="720637B8" w14:textId="77777777" w:rsidR="00E130C3" w:rsidRPr="00691FCC" w:rsidRDefault="00E130C3" w:rsidP="004A00DA">
    <w:pPr>
      <w:pStyle w:val="BodyText"/>
      <w:spacing w:before="64"/>
      <w:ind w:left="851" w:right="1088"/>
      <w:jc w:val="center"/>
      <w:rPr>
        <w:rFonts w:ascii="Open Sans" w:hAnsi="Open Sans" w:cs="Open Sans"/>
        <w:color w:val="06926B"/>
        <w:sz w:val="14"/>
        <w:szCs w:val="14"/>
      </w:rPr>
    </w:pPr>
    <w:r w:rsidRPr="00691FCC">
      <w:rPr>
        <w:rFonts w:ascii="Open Sans" w:hAnsi="Open Sans" w:cs="Open Sans"/>
        <w:color w:val="06926B"/>
        <w:sz w:val="14"/>
        <w:szCs w:val="14"/>
      </w:rPr>
      <w:t xml:space="preserve">Tel: +44 (0)20 7925 3570 Email: </w:t>
    </w:r>
    <w:hyperlink r:id="rId1">
      <w:r w:rsidRPr="00691FCC">
        <w:rPr>
          <w:rFonts w:ascii="Open Sans" w:hAnsi="Open Sans" w:cs="Open Sans"/>
          <w:color w:val="06926B"/>
          <w:sz w:val="14"/>
          <w:szCs w:val="14"/>
        </w:rPr>
        <w:t>info@r-e-a.net</w:t>
      </w:r>
    </w:hyperlink>
    <w:r w:rsidRPr="00691FCC">
      <w:rPr>
        <w:rFonts w:ascii="Open Sans" w:hAnsi="Open Sans" w:cs="Open Sans"/>
        <w:color w:val="06926B"/>
        <w:sz w:val="14"/>
        <w:szCs w:val="14"/>
      </w:rPr>
      <w:t xml:space="preserve"> Web: </w:t>
    </w:r>
    <w:hyperlink r:id="rId2">
      <w:r w:rsidRPr="00691FCC">
        <w:rPr>
          <w:rFonts w:ascii="Open Sans" w:hAnsi="Open Sans" w:cs="Open Sans"/>
          <w:color w:val="06926B"/>
          <w:sz w:val="14"/>
          <w:szCs w:val="14"/>
        </w:rPr>
        <w:t>www.r-e-a.net</w:t>
      </w:r>
    </w:hyperlink>
  </w:p>
  <w:p w14:paraId="4F383FEE" w14:textId="24E3967E" w:rsidR="00E130C3" w:rsidRPr="004A00DA" w:rsidRDefault="00E130C3" w:rsidP="004A00DA">
    <w:pPr>
      <w:pStyle w:val="BodyText"/>
      <w:spacing w:before="64"/>
      <w:ind w:left="851" w:right="1088"/>
      <w:jc w:val="center"/>
      <w:rPr>
        <w:rFonts w:ascii="Open Sans" w:hAnsi="Open Sans" w:cs="Open Sans"/>
        <w:sz w:val="14"/>
        <w:szCs w:val="14"/>
      </w:rPr>
    </w:pPr>
    <w:r w:rsidRPr="00691FCC">
      <w:rPr>
        <w:rFonts w:ascii="Open Sans" w:hAnsi="Open Sans" w:cs="Open Sans"/>
        <w:color w:val="06926B"/>
        <w:sz w:val="14"/>
        <w:szCs w:val="14"/>
      </w:rPr>
      <w:t xml:space="preserve">Company no: 04241430 Registered in England and Wales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564F" w14:textId="77777777" w:rsidR="007165A5" w:rsidRDefault="007165A5" w:rsidP="0060267B">
      <w:pPr>
        <w:spacing w:after="0" w:line="240" w:lineRule="auto"/>
      </w:pPr>
      <w:r>
        <w:separator/>
      </w:r>
    </w:p>
  </w:footnote>
  <w:footnote w:type="continuationSeparator" w:id="0">
    <w:p w14:paraId="63D46CF4" w14:textId="77777777" w:rsidR="007165A5" w:rsidRDefault="007165A5" w:rsidP="0060267B">
      <w:pPr>
        <w:spacing w:after="0" w:line="240" w:lineRule="auto"/>
      </w:pPr>
      <w:r>
        <w:continuationSeparator/>
      </w:r>
    </w:p>
  </w:footnote>
  <w:footnote w:id="1">
    <w:p w14:paraId="4C1EC482" w14:textId="073EFCBD" w:rsidR="00E130C3" w:rsidRPr="00725415" w:rsidRDefault="00E130C3" w:rsidP="00625D01">
      <w:pPr>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The ImechE, Accelerating Road Transport Decarbonisation (Jan 2020)L </w:t>
      </w:r>
      <w:hyperlink r:id="rId1" w:history="1">
        <w:r w:rsidRPr="00725415">
          <w:rPr>
            <w:rStyle w:val="Hyperlink"/>
            <w:rFonts w:ascii="Open Sans" w:hAnsi="Open Sans" w:cs="Open Sans"/>
            <w:sz w:val="16"/>
            <w:szCs w:val="16"/>
          </w:rPr>
          <w:t>https://www.imeche.org/docs/default-source/1-oscar/reports-policy-statements-and-documents/imeche-decarbonisation-report-final.pdf</w:t>
        </w:r>
      </w:hyperlink>
      <w:r w:rsidRPr="00725415">
        <w:rPr>
          <w:rFonts w:ascii="Open Sans" w:hAnsi="Open Sans" w:cs="Open Sans"/>
          <w:sz w:val="16"/>
          <w:szCs w:val="16"/>
        </w:rPr>
        <w:t xml:space="preserve"> </w:t>
      </w:r>
    </w:p>
  </w:footnote>
  <w:footnote w:id="2">
    <w:p w14:paraId="5570D4E8" w14:textId="321CBF80"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SMMT, </w:t>
      </w:r>
      <w:r w:rsidRPr="00725415">
        <w:rPr>
          <w:rFonts w:ascii="Open Sans" w:hAnsi="Open Sans" w:cs="Open Sans"/>
          <w:i/>
          <w:iCs/>
          <w:sz w:val="16"/>
          <w:szCs w:val="16"/>
        </w:rPr>
        <w:t>Record year for zero emission cars fails to reboot UK market, as sector calls for supportive policies to boost uptake</w:t>
      </w:r>
      <w:r w:rsidRPr="00725415">
        <w:rPr>
          <w:rFonts w:ascii="Open Sans" w:hAnsi="Open Sans" w:cs="Open Sans"/>
          <w:sz w:val="16"/>
          <w:szCs w:val="16"/>
        </w:rPr>
        <w:t xml:space="preserve"> (06 January 2020): </w:t>
      </w:r>
      <w:hyperlink r:id="rId2" w:history="1">
        <w:r w:rsidRPr="00725415">
          <w:rPr>
            <w:rStyle w:val="Hyperlink"/>
            <w:rFonts w:ascii="Open Sans" w:hAnsi="Open Sans" w:cs="Open Sans"/>
            <w:sz w:val="16"/>
            <w:szCs w:val="16"/>
          </w:rPr>
          <w:t>https://www.smmt.co.uk/2020/01/record-year-for-zero-emission-cars-fails-to-reboot-uk-market-as-sector-calls-for-supportive-policies-to-boost-uptake/</w:t>
        </w:r>
      </w:hyperlink>
      <w:r w:rsidRPr="00725415">
        <w:rPr>
          <w:rFonts w:ascii="Open Sans" w:hAnsi="Open Sans" w:cs="Open Sans"/>
          <w:sz w:val="16"/>
          <w:szCs w:val="16"/>
        </w:rPr>
        <w:t xml:space="preserve"> </w:t>
      </w:r>
    </w:p>
  </w:footnote>
  <w:footnote w:id="3">
    <w:p w14:paraId="243755C3" w14:textId="1616F6BF"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BloombergNEF, </w:t>
      </w:r>
      <w:r w:rsidRPr="00725415">
        <w:rPr>
          <w:rFonts w:ascii="Open Sans" w:hAnsi="Open Sans" w:cs="Open Sans"/>
          <w:i/>
          <w:iCs/>
          <w:sz w:val="16"/>
          <w:szCs w:val="16"/>
        </w:rPr>
        <w:t>Electric Vehicle Outlook 2019</w:t>
      </w:r>
      <w:r w:rsidRPr="00725415">
        <w:rPr>
          <w:rFonts w:ascii="Open Sans" w:hAnsi="Open Sans" w:cs="Open Sans"/>
          <w:sz w:val="16"/>
          <w:szCs w:val="16"/>
        </w:rPr>
        <w:t xml:space="preserve"> (May 2019): </w:t>
      </w:r>
      <w:hyperlink r:id="rId3" w:history="1">
        <w:r w:rsidRPr="00725415">
          <w:rPr>
            <w:rStyle w:val="Hyperlink"/>
            <w:rFonts w:ascii="Open Sans" w:hAnsi="Open Sans" w:cs="Open Sans"/>
            <w:sz w:val="16"/>
            <w:szCs w:val="16"/>
          </w:rPr>
          <w:t>https://about.bnef.com/blog/electric-transport-revolution-set-spread-rapidly-light-medium-commercial-vehicle-market/</w:t>
        </w:r>
      </w:hyperlink>
      <w:r w:rsidRPr="00725415">
        <w:rPr>
          <w:rFonts w:ascii="Open Sans" w:hAnsi="Open Sans" w:cs="Open Sans"/>
          <w:sz w:val="16"/>
          <w:szCs w:val="16"/>
        </w:rPr>
        <w:t xml:space="preserve"> </w:t>
      </w:r>
    </w:p>
  </w:footnote>
  <w:footnote w:id="4">
    <w:p w14:paraId="72F60974" w14:textId="17D1A6CB" w:rsidR="00E130C3" w:rsidRPr="00725415" w:rsidRDefault="00E130C3" w:rsidP="00C5670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KPMG, </w:t>
      </w:r>
      <w:r w:rsidRPr="00725415">
        <w:rPr>
          <w:rFonts w:ascii="Open Sans" w:hAnsi="Open Sans" w:cs="Open Sans"/>
          <w:i/>
          <w:iCs/>
          <w:sz w:val="16"/>
          <w:szCs w:val="16"/>
        </w:rPr>
        <w:t>Mobility 2030: Transforming the mobility landscape</w:t>
      </w:r>
      <w:r w:rsidRPr="00725415">
        <w:rPr>
          <w:rFonts w:ascii="Open Sans" w:hAnsi="Open Sans" w:cs="Open Sans"/>
          <w:sz w:val="16"/>
          <w:szCs w:val="16"/>
        </w:rPr>
        <w:t xml:space="preserve"> (February 2019): </w:t>
      </w:r>
      <w:hyperlink r:id="rId4" w:history="1">
        <w:r w:rsidRPr="00725415">
          <w:rPr>
            <w:rStyle w:val="Hyperlink"/>
            <w:rFonts w:ascii="Open Sans" w:hAnsi="Open Sans" w:cs="Open Sans"/>
            <w:sz w:val="16"/>
            <w:szCs w:val="16"/>
          </w:rPr>
          <w:t>https://assets.kpmg/content/dam/kpmg/uk/pdf/2019/08/mobility-2030-transforming-the-mobility-landscape.pdf</w:t>
        </w:r>
      </w:hyperlink>
    </w:p>
  </w:footnote>
  <w:footnote w:id="5">
    <w:p w14:paraId="3E6338DF" w14:textId="3A723262" w:rsidR="00E130C3" w:rsidRPr="00725415" w:rsidRDefault="00E130C3" w:rsidP="004F5D64">
      <w:pPr>
        <w:pStyle w:val="Defaul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r w:rsidRPr="00725415">
        <w:rPr>
          <w:rFonts w:ascii="Open Sans" w:hAnsi="Open Sans" w:cs="Open Sans"/>
          <w:color w:val="auto"/>
          <w:sz w:val="16"/>
          <w:szCs w:val="16"/>
        </w:rPr>
        <w:t xml:space="preserve">In 2018 National Grid forecasts that the % of EVs in 2032 will range from 8.91% to 24.09%. In 2019 they forecast between 9.11% and 45.72%. A figure of 9% was used (giving the decline in fuel consumption figure above) by the RTFG for the purposes of arguing that the RTFO target should be increased.  NB This was a deliberately conservative figure.  A higher rate of electrification would lead to an even greater percentage increase in the RTFO being required.  The presentation made to DfT can be seen on </w:t>
      </w:r>
      <w:hyperlink r:id="rId5" w:history="1">
        <w:r w:rsidRPr="00725415">
          <w:rPr>
            <w:rStyle w:val="Hyperlink"/>
            <w:rFonts w:ascii="Open Sans" w:hAnsi="Open Sans" w:cs="Open Sans"/>
            <w:sz w:val="16"/>
            <w:szCs w:val="16"/>
          </w:rPr>
          <w:t>https://www.r-e-a.net/wp-content/uploads/2020/01/REA-modelling-on-potential-future-biofuels-target-dr-2.pdf</w:t>
        </w:r>
      </w:hyperlink>
    </w:p>
  </w:footnote>
  <w:footnote w:id="6">
    <w:p w14:paraId="47C35026" w14:textId="048972F2"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BloombergNEF, </w:t>
      </w:r>
      <w:r w:rsidRPr="00725415">
        <w:rPr>
          <w:rFonts w:ascii="Open Sans" w:hAnsi="Open Sans" w:cs="Open Sans"/>
          <w:i/>
          <w:iCs/>
          <w:sz w:val="16"/>
          <w:szCs w:val="16"/>
        </w:rPr>
        <w:t>Electric Vehicle Outlook 2019</w:t>
      </w:r>
      <w:r w:rsidRPr="00725415">
        <w:rPr>
          <w:rFonts w:ascii="Open Sans" w:hAnsi="Open Sans" w:cs="Open Sans"/>
          <w:sz w:val="16"/>
          <w:szCs w:val="16"/>
        </w:rPr>
        <w:t xml:space="preserve"> (May 2019): </w:t>
      </w:r>
      <w:hyperlink r:id="rId6" w:history="1">
        <w:r w:rsidRPr="00725415">
          <w:rPr>
            <w:rStyle w:val="Hyperlink"/>
            <w:rFonts w:ascii="Open Sans" w:hAnsi="Open Sans" w:cs="Open Sans"/>
            <w:sz w:val="16"/>
            <w:szCs w:val="16"/>
          </w:rPr>
          <w:t>https://about.bnef.com/blog/electric-transport-revolution-set-spread-rapidly-light-medium-commercial-vehicle-market/</w:t>
        </w:r>
      </w:hyperlink>
    </w:p>
  </w:footnote>
  <w:footnote w:id="7">
    <w:p w14:paraId="2BA1B2BA" w14:textId="4A5CE1C7" w:rsidR="00E130C3" w:rsidRDefault="00E130C3">
      <w:pPr>
        <w:pStyle w:val="FootnoteText"/>
      </w:pPr>
      <w:r>
        <w:rPr>
          <w:rStyle w:val="FootnoteReference"/>
        </w:rPr>
        <w:footnoteRef/>
      </w:r>
      <w:r>
        <w:t xml:space="preserve"> </w:t>
      </w:r>
      <w:r w:rsidRPr="00E130C3">
        <w:t>https://www.carbonbrief.org/factcheck-how-electric-vehicles-help-to-tackle-climate-change</w:t>
      </w:r>
    </w:p>
  </w:footnote>
  <w:footnote w:id="8">
    <w:p w14:paraId="1C35EFB4" w14:textId="77777777" w:rsidR="00E130C3" w:rsidRPr="00725415" w:rsidRDefault="00E130C3" w:rsidP="000332A1">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Carbon Brief,</w:t>
      </w:r>
      <w:r w:rsidRPr="00725415">
        <w:rPr>
          <w:rFonts w:ascii="Open Sans" w:hAnsi="Open Sans" w:cs="Open Sans"/>
          <w:i/>
          <w:iCs/>
          <w:sz w:val="16"/>
          <w:szCs w:val="16"/>
        </w:rPr>
        <w:t xml:space="preserve"> Factcheck: How electric vehicles help to tackle climate change</w:t>
      </w:r>
      <w:r w:rsidRPr="00725415">
        <w:rPr>
          <w:rFonts w:ascii="Open Sans" w:hAnsi="Open Sans" w:cs="Open Sans"/>
          <w:sz w:val="16"/>
          <w:szCs w:val="16"/>
        </w:rPr>
        <w:t xml:space="preserve"> (updated 7 February 2020): </w:t>
      </w:r>
      <w:hyperlink r:id="rId7" w:history="1">
        <w:r w:rsidRPr="00725415">
          <w:rPr>
            <w:rStyle w:val="Hyperlink"/>
            <w:rFonts w:ascii="Open Sans" w:hAnsi="Open Sans" w:cs="Open Sans"/>
            <w:sz w:val="16"/>
            <w:szCs w:val="16"/>
          </w:rPr>
          <w:t>https://www.carbonbrief.org/factcheck-how-electric-vehicles-help-to-tackle-climate-change</w:t>
        </w:r>
      </w:hyperlink>
    </w:p>
  </w:footnote>
  <w:footnote w:id="9">
    <w:p w14:paraId="093858A3" w14:textId="5069938B"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r w:rsidRPr="00725415">
        <w:rPr>
          <w:rFonts w:ascii="Open Sans" w:eastAsia="Times New Roman" w:hAnsi="Open Sans" w:cs="Open Sans"/>
          <w:sz w:val="16"/>
          <w:szCs w:val="16"/>
          <w:lang w:eastAsia="en-GB"/>
        </w:rPr>
        <w:t>Transport Energy Model (2018): https://assets.publishing.service.gov.uk/government/uploads/system/uploads/attachment_data/file/739462/transport-energy-model.pdf</w:t>
      </w:r>
    </w:p>
  </w:footnote>
  <w:footnote w:id="10">
    <w:p w14:paraId="53658013" w14:textId="77777777" w:rsidR="00E130C3" w:rsidRPr="00725415" w:rsidRDefault="00E130C3" w:rsidP="00FC41BB">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Air Quality Expert Group. Non-Exhaust Emissions from Road Traffic.  Prepared for:</w:t>
      </w:r>
    </w:p>
    <w:p w14:paraId="77EF325D" w14:textId="77777777" w:rsidR="00E130C3" w:rsidRPr="00725415" w:rsidRDefault="00E130C3" w:rsidP="00FC41BB">
      <w:pPr>
        <w:pStyle w:val="FootnoteText"/>
        <w:rPr>
          <w:rFonts w:ascii="Open Sans" w:hAnsi="Open Sans" w:cs="Open Sans"/>
          <w:sz w:val="16"/>
          <w:szCs w:val="16"/>
        </w:rPr>
      </w:pPr>
      <w:r w:rsidRPr="00725415">
        <w:rPr>
          <w:rFonts w:ascii="Open Sans" w:hAnsi="Open Sans" w:cs="Open Sans"/>
          <w:sz w:val="16"/>
          <w:szCs w:val="16"/>
        </w:rPr>
        <w:t>Department for Environment, Food and Rural Affairs; Scottish Government; Welsh Government; and</w:t>
      </w:r>
    </w:p>
    <w:p w14:paraId="2E6C1558" w14:textId="77777777" w:rsidR="00E130C3" w:rsidRPr="00725415" w:rsidRDefault="00E130C3" w:rsidP="00FC41BB">
      <w:pPr>
        <w:pStyle w:val="FootnoteText"/>
        <w:rPr>
          <w:rFonts w:ascii="Open Sans" w:hAnsi="Open Sans" w:cs="Open Sans"/>
          <w:sz w:val="16"/>
          <w:szCs w:val="16"/>
        </w:rPr>
      </w:pPr>
      <w:r w:rsidRPr="00725415">
        <w:rPr>
          <w:rFonts w:ascii="Open Sans" w:hAnsi="Open Sans" w:cs="Open Sans"/>
          <w:sz w:val="16"/>
          <w:szCs w:val="16"/>
        </w:rPr>
        <w:t>Department of the Environment in Northern Ireland. Crown copyright 2019</w:t>
      </w:r>
    </w:p>
  </w:footnote>
  <w:footnote w:id="11">
    <w:p w14:paraId="23DDE3E1" w14:textId="1BC2F970"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LowCVP, Home: </w:t>
      </w:r>
      <w:hyperlink r:id="rId8" w:history="1">
        <w:r w:rsidRPr="00725415">
          <w:rPr>
            <w:rStyle w:val="Hyperlink"/>
            <w:rFonts w:ascii="Open Sans" w:hAnsi="Open Sans" w:cs="Open Sans"/>
            <w:sz w:val="16"/>
            <w:szCs w:val="16"/>
          </w:rPr>
          <w:t>https://www.lowcvp.org.uk/</w:t>
        </w:r>
      </w:hyperlink>
      <w:r w:rsidRPr="00725415">
        <w:rPr>
          <w:rFonts w:ascii="Open Sans" w:hAnsi="Open Sans" w:cs="Open Sans"/>
          <w:sz w:val="16"/>
          <w:szCs w:val="16"/>
        </w:rPr>
        <w:t xml:space="preserve"> </w:t>
      </w:r>
    </w:p>
  </w:footnote>
  <w:footnote w:id="12">
    <w:p w14:paraId="037B98AE" w14:textId="77777777" w:rsidR="00E130C3" w:rsidRPr="00725415" w:rsidRDefault="00E130C3" w:rsidP="00047F6B">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Zero Emission HGV Infrastructure Requirements.  Final Report. Ricardo Energy &amp; Environment.  Report for Committee on Climate Change. ED1238, 15/5/2019.</w:t>
      </w:r>
    </w:p>
  </w:footnote>
  <w:footnote w:id="13">
    <w:p w14:paraId="49E3552E" w14:textId="12220A9A"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REA presentation to the Department for Transport (January 2020): </w:t>
      </w:r>
      <w:hyperlink r:id="rId9" w:history="1">
        <w:r w:rsidRPr="00725415">
          <w:rPr>
            <w:rStyle w:val="Hyperlink"/>
            <w:rFonts w:ascii="Open Sans" w:hAnsi="Open Sans" w:cs="Open Sans"/>
            <w:sz w:val="16"/>
            <w:szCs w:val="16"/>
          </w:rPr>
          <w:t>https://www.r-e-a.net/wp-content/uploads/2020/01/REA-modelling-on-potential-future-biofuels-target-dr-2.pdf</w:t>
        </w:r>
      </w:hyperlink>
    </w:p>
  </w:footnote>
  <w:footnote w:id="14">
    <w:p w14:paraId="2F21BFB0" w14:textId="570FE796"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r w:rsidRPr="00725415">
        <w:rPr>
          <w:rFonts w:ascii="Open Sans" w:eastAsia="Times New Roman" w:hAnsi="Open Sans" w:cs="Open Sans"/>
          <w:sz w:val="16"/>
          <w:szCs w:val="16"/>
          <w:lang w:eastAsia="en-GB"/>
        </w:rPr>
        <w:t>Department for Transport 2018.  Fuller reference to be added.</w:t>
      </w:r>
    </w:p>
  </w:footnote>
  <w:footnote w:id="15">
    <w:p w14:paraId="379CF82B" w14:textId="77777777"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hyperlink r:id="rId10" w:history="1">
        <w:r w:rsidRPr="00725415">
          <w:rPr>
            <w:rStyle w:val="Hyperlink"/>
            <w:rFonts w:ascii="Open Sans" w:hAnsi="Open Sans" w:cs="Open Sans"/>
            <w:sz w:val="16"/>
            <w:szCs w:val="16"/>
          </w:rPr>
          <w:t>https://www.r-e-a.net/resources/department-for-transport-consultation-on-mandating-e10/</w:t>
        </w:r>
      </w:hyperlink>
    </w:p>
  </w:footnote>
  <w:footnote w:id="16">
    <w:p w14:paraId="2C1F1FD0" w14:textId="16728B05" w:rsidR="00E130C3" w:rsidRPr="00725415" w:rsidRDefault="00E130C3" w:rsidP="002A035C">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Introducing E10 Petrol: Consultation.  DtT, March 2020.  </w:t>
      </w:r>
      <w:hyperlink r:id="rId11" w:history="1">
        <w:r w:rsidRPr="00725415">
          <w:rPr>
            <w:rStyle w:val="Hyperlink"/>
            <w:rFonts w:ascii="Open Sans" w:hAnsi="Open Sans" w:cs="Open Sans"/>
            <w:sz w:val="16"/>
            <w:szCs w:val="16"/>
          </w:rPr>
          <w:t>https://assets.publishing.service.gov.uk/government/uploads/system/uploads/attachment_data/file/876383/introducing-e10-petrol-consultation.pdf</w:t>
        </w:r>
      </w:hyperlink>
    </w:p>
  </w:footnote>
  <w:footnote w:id="17">
    <w:p w14:paraId="1BE962DD" w14:textId="77777777"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hyperlink r:id="rId12" w:history="1">
        <w:r w:rsidRPr="00725415">
          <w:rPr>
            <w:rStyle w:val="Hyperlink"/>
            <w:rFonts w:ascii="Open Sans" w:hAnsi="Open Sans" w:cs="Open Sans"/>
            <w:sz w:val="16"/>
            <w:szCs w:val="16"/>
          </w:rPr>
          <w:t>https://epure.org/news-and-media/news/france-s-clean-mobility-move-e85-conversion-boxes-approved-for-motorists/</w:t>
        </w:r>
      </w:hyperlink>
    </w:p>
  </w:footnote>
  <w:footnote w:id="18">
    <w:p w14:paraId="5944037F" w14:textId="0087EE14"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Hinson, S., Sutherland, N. and Brien, P., House of Commons Library (2019) The Future of the British Bioethanol Industry. </w:t>
      </w:r>
      <w:hyperlink r:id="rId13" w:history="1">
        <w:r w:rsidRPr="00725415">
          <w:rPr>
            <w:rStyle w:val="Hyperlink"/>
            <w:rFonts w:ascii="Open Sans" w:hAnsi="Open Sans" w:cs="Open Sans"/>
            <w:sz w:val="16"/>
            <w:szCs w:val="16"/>
          </w:rPr>
          <w:t>https://commonslibrary.parliament.uk/research-briefings/cdp-2019-0004/</w:t>
        </w:r>
      </w:hyperlink>
    </w:p>
  </w:footnote>
  <w:footnote w:id="19">
    <w:p w14:paraId="6499F1CA" w14:textId="164F933C" w:rsidR="00E130C3" w:rsidRPr="00725415" w:rsidRDefault="00E130C3" w:rsidP="002A035C">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Inquiry on the Introduction of E10 in the UK , Final report.  </w:t>
      </w:r>
      <w:hyperlink r:id="rId14" w:history="1">
        <w:r w:rsidRPr="00725415">
          <w:rPr>
            <w:rStyle w:val="Hyperlink"/>
            <w:rFonts w:ascii="Open Sans" w:hAnsi="Open Sans" w:cs="Open Sans"/>
            <w:sz w:val="16"/>
            <w:szCs w:val="16"/>
          </w:rPr>
          <w:t>https://www.britishbioethanol.co.uk/single-post/2019/07/16/E10InquiryFINALReport</w:t>
        </w:r>
      </w:hyperlink>
    </w:p>
  </w:footnote>
  <w:footnote w:id="20">
    <w:p w14:paraId="631A5417" w14:textId="7E5E6390" w:rsidR="00E130C3" w:rsidRPr="00725415" w:rsidRDefault="00E130C3" w:rsidP="00234CCF">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Renewable fuel statistics 2019: Third provisional report data tables RF_01 (RTFO tables)</w:t>
      </w:r>
    </w:p>
    <w:p w14:paraId="6A7DC035" w14:textId="5EB2837D" w:rsidR="00E130C3" w:rsidRPr="00725415" w:rsidRDefault="004547AC" w:rsidP="00234CCF">
      <w:pPr>
        <w:pStyle w:val="FootnoteText"/>
        <w:rPr>
          <w:rFonts w:ascii="Open Sans" w:hAnsi="Open Sans" w:cs="Open Sans"/>
          <w:sz w:val="16"/>
          <w:szCs w:val="16"/>
        </w:rPr>
      </w:pPr>
      <w:hyperlink r:id="rId15" w:history="1">
        <w:r w:rsidR="00E130C3" w:rsidRPr="00725415">
          <w:rPr>
            <w:rStyle w:val="Hyperlink"/>
            <w:rFonts w:ascii="Open Sans" w:hAnsi="Open Sans" w:cs="Open Sans"/>
            <w:sz w:val="16"/>
            <w:szCs w:val="16"/>
          </w:rPr>
          <w:t>https://www.gov.uk/government/collections/renewable-fuel-statistics</w:t>
        </w:r>
      </w:hyperlink>
    </w:p>
  </w:footnote>
  <w:footnote w:id="21">
    <w:p w14:paraId="63827892" w14:textId="77777777"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w:t>
      </w:r>
      <w:hyperlink r:id="rId16" w:history="1">
        <w:r w:rsidRPr="00725415">
          <w:rPr>
            <w:rStyle w:val="Hyperlink"/>
            <w:rFonts w:ascii="Open Sans" w:hAnsi="Open Sans" w:cs="Open Sans"/>
            <w:sz w:val="16"/>
            <w:szCs w:val="16"/>
          </w:rPr>
          <w:t>https://businessbreathes.co.uk/refuelling</w:t>
        </w:r>
      </w:hyperlink>
    </w:p>
  </w:footnote>
  <w:footnote w:id="22">
    <w:p w14:paraId="22CCF2CF" w14:textId="2894096F"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M Newborough, ITM Power - Presentation (2019) Hydrogen production from electrolysis, its potential and costs. </w:t>
      </w:r>
      <w:hyperlink r:id="rId17" w:history="1">
        <w:r w:rsidRPr="00725415">
          <w:rPr>
            <w:rStyle w:val="Hyperlink"/>
            <w:rFonts w:ascii="Open Sans" w:hAnsi="Open Sans" w:cs="Open Sans"/>
            <w:sz w:val="16"/>
            <w:szCs w:val="16"/>
          </w:rPr>
          <w:t>https://www.r-e-a.net/wp-content/uploads/2019/12/Marcus-Newborough.pdf</w:t>
        </w:r>
      </w:hyperlink>
    </w:p>
  </w:footnote>
  <w:footnote w:id="23">
    <w:p w14:paraId="4A92AEC0" w14:textId="6FB1ABF3"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Staffell, I., et all (2019). The role of hydrogen and fuel cells in the global energy system. Energy &amp; Environmental Science, 12(2), pp.463-491. </w:t>
      </w:r>
      <w:hyperlink r:id="rId18" w:anchor="!divAbstract" w:history="1">
        <w:r w:rsidRPr="00725415">
          <w:rPr>
            <w:rStyle w:val="Hyperlink"/>
            <w:rFonts w:ascii="Open Sans" w:hAnsi="Open Sans" w:cs="Open Sans"/>
            <w:sz w:val="16"/>
            <w:szCs w:val="16"/>
          </w:rPr>
          <w:t>https://pubs.rsc.org/en/content/articlelanding/2019/ee/c8ee01157e#!divAbstract</w:t>
        </w:r>
      </w:hyperlink>
      <w:r w:rsidRPr="00725415">
        <w:rPr>
          <w:rFonts w:ascii="Open Sans" w:hAnsi="Open Sans" w:cs="Open Sans"/>
          <w:sz w:val="16"/>
          <w:szCs w:val="16"/>
        </w:rPr>
        <w:t xml:space="preserve"> </w:t>
      </w:r>
    </w:p>
  </w:footnote>
  <w:footnote w:id="24">
    <w:p w14:paraId="551206D3" w14:textId="39745CBC"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ibid</w:t>
      </w:r>
    </w:p>
  </w:footnote>
  <w:footnote w:id="25">
    <w:p w14:paraId="21F4E640" w14:textId="4FA79355"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BloombergNEF</w:t>
      </w:r>
      <w:r w:rsidRPr="00725415">
        <w:rPr>
          <w:rFonts w:ascii="Open Sans" w:hAnsi="Open Sans" w:cs="Open Sans"/>
          <w:i/>
          <w:iCs/>
          <w:sz w:val="16"/>
          <w:szCs w:val="16"/>
        </w:rPr>
        <w:t>, Beyond the tipping point: flexibility gaps in future high-renewable energy systems in the UK, Germany and the Nordics</w:t>
      </w:r>
      <w:r w:rsidRPr="00725415">
        <w:rPr>
          <w:rFonts w:ascii="Open Sans" w:hAnsi="Open Sans" w:cs="Open Sans"/>
          <w:sz w:val="16"/>
          <w:szCs w:val="16"/>
        </w:rPr>
        <w:t xml:space="preserve"> (Nov 2017): </w:t>
      </w:r>
      <w:hyperlink r:id="rId19" w:history="1">
        <w:r w:rsidRPr="00725415">
          <w:rPr>
            <w:rStyle w:val="Hyperlink"/>
            <w:rFonts w:ascii="Open Sans" w:hAnsi="Open Sans" w:cs="Open Sans"/>
            <w:sz w:val="16"/>
            <w:szCs w:val="16"/>
          </w:rPr>
          <w:t>https://about.bnef.com/blog/high-renewable-future-uk-germany-create-new-power-systems-flexibility-challenge/</w:t>
        </w:r>
      </w:hyperlink>
      <w:r w:rsidRPr="00725415">
        <w:rPr>
          <w:rFonts w:ascii="Open Sans" w:hAnsi="Open Sans" w:cs="Open Sans"/>
          <w:sz w:val="16"/>
          <w:szCs w:val="16"/>
        </w:rPr>
        <w:t xml:space="preserve"> </w:t>
      </w:r>
    </w:p>
  </w:footnote>
  <w:footnote w:id="26">
    <w:p w14:paraId="6A3F7FF0" w14:textId="30A189BA"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VW Newsroom, </w:t>
      </w:r>
      <w:r w:rsidRPr="00725415">
        <w:rPr>
          <w:rFonts w:ascii="Open Sans" w:hAnsi="Open Sans" w:cs="Open Sans"/>
          <w:i/>
          <w:iCs/>
          <w:sz w:val="16"/>
          <w:szCs w:val="16"/>
        </w:rPr>
        <w:t>VW plans 22 million electric cars in ten years</w:t>
      </w:r>
      <w:r w:rsidRPr="00725415">
        <w:rPr>
          <w:rFonts w:ascii="Open Sans" w:hAnsi="Open Sans" w:cs="Open Sans"/>
          <w:sz w:val="16"/>
          <w:szCs w:val="16"/>
        </w:rPr>
        <w:t xml:space="preserve"> (March 2019): </w:t>
      </w:r>
      <w:hyperlink r:id="rId20" w:history="1">
        <w:r w:rsidRPr="00725415">
          <w:rPr>
            <w:rStyle w:val="Hyperlink"/>
            <w:rFonts w:ascii="Open Sans" w:hAnsi="Open Sans" w:cs="Open Sans"/>
            <w:sz w:val="16"/>
            <w:szCs w:val="16"/>
          </w:rPr>
          <w:t>https://www.volkswagen-newsroom.com/en/press-releases/volkswagen-plans-22-million-electric-vehicles-in-ten-years-4750</w:t>
        </w:r>
      </w:hyperlink>
    </w:p>
  </w:footnote>
  <w:footnote w:id="27">
    <w:p w14:paraId="212E16FC" w14:textId="6DB5BC77"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Rhodes, C. House of Commons Library (2019) The Motor Industry: Statistics and Policy Briefing Paper: </w:t>
      </w:r>
      <w:hyperlink r:id="rId21" w:history="1">
        <w:r w:rsidRPr="00725415">
          <w:rPr>
            <w:rStyle w:val="Hyperlink"/>
            <w:rFonts w:ascii="Open Sans" w:hAnsi="Open Sans" w:cs="Open Sans"/>
            <w:sz w:val="16"/>
            <w:szCs w:val="16"/>
          </w:rPr>
          <w:t>https://commonslibrary.parliament.uk/research-briefings/sn00611/</w:t>
        </w:r>
      </w:hyperlink>
      <w:r w:rsidRPr="00725415">
        <w:rPr>
          <w:rFonts w:ascii="Open Sans" w:hAnsi="Open Sans" w:cs="Open Sans"/>
          <w:sz w:val="16"/>
          <w:szCs w:val="16"/>
        </w:rPr>
        <w:t xml:space="preserve"> </w:t>
      </w:r>
    </w:p>
  </w:footnote>
  <w:footnote w:id="28">
    <w:p w14:paraId="6186A0AA" w14:textId="391D7E30"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NextGreenCar, Statistics: </w:t>
      </w:r>
      <w:hyperlink r:id="rId22" w:history="1">
        <w:r w:rsidRPr="00725415">
          <w:rPr>
            <w:rStyle w:val="Hyperlink"/>
            <w:rFonts w:ascii="Open Sans" w:hAnsi="Open Sans" w:cs="Open Sans"/>
            <w:sz w:val="16"/>
            <w:szCs w:val="16"/>
          </w:rPr>
          <w:t>https://www.nextgreencar.com/electric-cars/statistics/</w:t>
        </w:r>
      </w:hyperlink>
    </w:p>
  </w:footnote>
  <w:footnote w:id="29">
    <w:p w14:paraId="71C7AA72" w14:textId="5D6D1FBA"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Transport for London, Ultra Low Emission Zone (as of April 10 2020): </w:t>
      </w:r>
      <w:hyperlink r:id="rId23" w:history="1">
        <w:r w:rsidRPr="00725415">
          <w:rPr>
            <w:rStyle w:val="Hyperlink"/>
            <w:rFonts w:ascii="Open Sans" w:hAnsi="Open Sans" w:cs="Open Sans"/>
            <w:sz w:val="16"/>
            <w:szCs w:val="16"/>
          </w:rPr>
          <w:t>https://tfl.gov.uk/modes/driving/ultra-low-emission-zone</w:t>
        </w:r>
      </w:hyperlink>
    </w:p>
  </w:footnote>
  <w:footnote w:id="30">
    <w:p w14:paraId="12D16C11" w14:textId="028386C7"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KPMG (2019) Mobility 2030: KPMG’s UK powertrain deployment insights. </w:t>
      </w:r>
      <w:hyperlink r:id="rId24" w:history="1">
        <w:r w:rsidRPr="00725415">
          <w:rPr>
            <w:rStyle w:val="Hyperlink"/>
            <w:rFonts w:ascii="Open Sans" w:hAnsi="Open Sans" w:cs="Open Sans"/>
            <w:sz w:val="16"/>
            <w:szCs w:val="16"/>
          </w:rPr>
          <w:t>https://assets.kpmg/content/dam/kpmg/nl/pdf/2019/sector/kpmg-mobility-2030-transforming-the-mobility-landscape.pdf</w:t>
        </w:r>
      </w:hyperlink>
    </w:p>
  </w:footnote>
  <w:footnote w:id="31">
    <w:p w14:paraId="7702C2AD" w14:textId="4E3AC919"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Department for Transport (2018) The Road to Zero Strategy. </w:t>
      </w:r>
      <w:hyperlink r:id="rId25" w:history="1">
        <w:r w:rsidRPr="00725415">
          <w:rPr>
            <w:rStyle w:val="Hyperlink"/>
            <w:rFonts w:ascii="Open Sans" w:hAnsi="Open Sans" w:cs="Open Sans"/>
            <w:sz w:val="16"/>
            <w:szCs w:val="16"/>
          </w:rPr>
          <w:t>https://www.gov.uk/government/publications/reducing-emissions-from-road-transport-road-to-zero-strategy</w:t>
        </w:r>
      </w:hyperlink>
    </w:p>
  </w:footnote>
  <w:footnote w:id="32">
    <w:p w14:paraId="2E63AB1E" w14:textId="42CCD9DD" w:rsidR="00E130C3" w:rsidRPr="00725415" w:rsidRDefault="00E130C3">
      <w:pPr>
        <w:pStyle w:val="FootnoteText"/>
        <w:rPr>
          <w:rFonts w:ascii="Open Sans" w:hAnsi="Open Sans" w:cs="Open Sans"/>
          <w:sz w:val="16"/>
          <w:szCs w:val="16"/>
        </w:rPr>
      </w:pPr>
      <w:r w:rsidRPr="00725415">
        <w:rPr>
          <w:rStyle w:val="FootnoteReference"/>
          <w:rFonts w:ascii="Open Sans" w:hAnsi="Open Sans" w:cs="Open Sans"/>
          <w:sz w:val="16"/>
          <w:szCs w:val="16"/>
        </w:rPr>
        <w:footnoteRef/>
      </w:r>
      <w:r w:rsidRPr="00725415">
        <w:rPr>
          <w:rFonts w:ascii="Open Sans" w:hAnsi="Open Sans" w:cs="Open Sans"/>
          <w:sz w:val="16"/>
          <w:szCs w:val="16"/>
        </w:rPr>
        <w:t xml:space="preserve"> ICCT 2018 </w:t>
      </w:r>
      <w:hyperlink r:id="rId26" w:history="1">
        <w:r w:rsidRPr="00725415">
          <w:rPr>
            <w:rStyle w:val="Hyperlink"/>
            <w:rFonts w:ascii="Open Sans" w:hAnsi="Open Sans" w:cs="Open Sans"/>
            <w:sz w:val="16"/>
            <w:szCs w:val="16"/>
          </w:rPr>
          <w:t>https://theicct.org/publications/using-vehicle-taxation-policy-lower-transport-emissions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B21C" w14:textId="77777777" w:rsidR="00E130C3" w:rsidRDefault="004547AC" w:rsidP="00F20437">
    <w:pPr>
      <w:pStyle w:val="Header"/>
      <w:jc w:val="right"/>
    </w:pPr>
    <w:sdt>
      <w:sdtPr>
        <w:id w:val="1883594495"/>
        <w:docPartObj>
          <w:docPartGallery w:val="Watermarks"/>
          <w:docPartUnique/>
        </w:docPartObj>
      </w:sdtPr>
      <w:sdtEndPr/>
      <w:sdtContent>
        <w:r>
          <w:rPr>
            <w:noProof/>
            <w:lang w:val="en-US" w:eastAsia="zh-TW"/>
          </w:rPr>
          <w:pict w14:anchorId="5581A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4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E130C3" w:rsidRPr="0018161C">
      <w:rPr>
        <w:noProof/>
        <w:lang w:eastAsia="en-GB"/>
      </w:rPr>
      <mc:AlternateContent>
        <mc:Choice Requires="wps">
          <w:drawing>
            <wp:anchor distT="0" distB="0" distL="114300" distR="114300" simplePos="0" relativeHeight="251655680" behindDoc="0" locked="0" layoutInCell="1" allowOverlap="1" wp14:anchorId="5B4698C4" wp14:editId="3E5F704B">
              <wp:simplePos x="0" y="0"/>
              <wp:positionH relativeFrom="column">
                <wp:posOffset>-474980</wp:posOffset>
              </wp:positionH>
              <wp:positionV relativeFrom="paragraph">
                <wp:posOffset>-251460</wp:posOffset>
              </wp:positionV>
              <wp:extent cx="4131945" cy="288290"/>
              <wp:effectExtent l="0" t="0" r="1905" b="0"/>
              <wp:wrapNone/>
              <wp:docPr id="18" name="TextBox 17">
                <a:extLst xmlns:a="http://schemas.openxmlformats.org/drawingml/2006/main">
                  <a:ext uri="{FF2B5EF4-FFF2-40B4-BE49-F238E27FC236}">
                    <a16:creationId xmlns:a16="http://schemas.microsoft.com/office/drawing/2014/main" id="{6CDCA67D-6264-6B48-919E-561B2341303F}"/>
                  </a:ext>
                </a:extLst>
              </wp:docPr>
              <wp:cNvGraphicFramePr/>
              <a:graphic xmlns:a="http://schemas.openxmlformats.org/drawingml/2006/main">
                <a:graphicData uri="http://schemas.microsoft.com/office/word/2010/wordprocessingShape">
                  <wps:wsp>
                    <wps:cNvSpPr txBox="1"/>
                    <wps:spPr>
                      <a:xfrm>
                        <a:off x="0" y="0"/>
                        <a:ext cx="4131945" cy="288290"/>
                      </a:xfrm>
                      <a:prstGeom prst="rect">
                        <a:avLst/>
                      </a:prstGeom>
                      <a:solidFill>
                        <a:srgbClr val="676764"/>
                      </a:solidFill>
                    </wps:spPr>
                    <wps:txbx>
                      <w:txbxContent>
                        <w:p w14:paraId="1F4FDB49" w14:textId="45172DFB" w:rsidR="00E130C3" w:rsidRPr="00F800CA" w:rsidRDefault="00E130C3" w:rsidP="00F20437">
                          <w:pPr>
                            <w:pStyle w:val="NormalWeb"/>
                            <w:spacing w:before="0" w:beforeAutospacing="0" w:after="0" w:afterAutospacing="0"/>
                            <w:rPr>
                              <w:rFonts w:ascii="Arial" w:hAnsi="Arial" w:cs="Arial"/>
                              <w:sz w:val="22"/>
                              <w:szCs w:val="22"/>
                            </w:rPr>
                          </w:pPr>
                          <w:r w:rsidRPr="00F800CA">
                            <w:rPr>
                              <w:rFonts w:ascii="Arial" w:hAnsi="Arial" w:cs="Arial"/>
                              <w:color w:val="FFFFFF" w:themeColor="background1"/>
                              <w:kern w:val="24"/>
                              <w:sz w:val="22"/>
                              <w:szCs w:val="22"/>
                              <w:lang w:val="en-US"/>
                            </w:rPr>
                            <w:t xml:space="preserve">| </w:t>
                          </w:r>
                          <w:r>
                            <w:rPr>
                              <w:rFonts w:ascii="Arial" w:hAnsi="Arial" w:cs="Arial"/>
                              <w:color w:val="FFFFFF" w:themeColor="background1"/>
                              <w:kern w:val="24"/>
                              <w:sz w:val="22"/>
                              <w:szCs w:val="22"/>
                              <w:lang w:val="en-US"/>
                            </w:rPr>
                            <w:t>DRAFT 4 – REA Transport Decarbonisation Paper 2020</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5B4698C4" id="_x0000_t202" coordsize="21600,21600" o:spt="202" path="m,l,21600r21600,l21600,xe">
              <v:stroke joinstyle="miter"/>
              <v:path gradientshapeok="t" o:connecttype="rect"/>
            </v:shapetype>
            <v:shape id="TextBox 17" o:spid="_x0000_s1026" type="#_x0000_t202" style="position:absolute;left:0;text-align:left;margin-left:-37.4pt;margin-top:-19.8pt;width:325.35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" fillcolor="#676764" stroked="f">
              <v:textbox>
                <w:txbxContent>
                  <w:p w14:paraId="1F4FDB49" w14:textId="45172DFB" w:rsidR="00E130C3" w:rsidRPr="00F800CA" w:rsidRDefault="00E130C3" w:rsidP="00F20437">
                    <w:pPr>
                      <w:pStyle w:val="NormalWeb"/>
                      <w:spacing w:before="0" w:beforeAutospacing="0" w:after="0" w:afterAutospacing="0"/>
                      <w:rPr>
                        <w:rFonts w:ascii="Arial" w:hAnsi="Arial" w:cs="Arial"/>
                        <w:sz w:val="22"/>
                        <w:szCs w:val="22"/>
                      </w:rPr>
                    </w:pPr>
                    <w:r w:rsidRPr="00F800CA">
                      <w:rPr>
                        <w:rFonts w:ascii="Arial" w:hAnsi="Arial" w:cs="Arial"/>
                        <w:color w:val="FFFFFF" w:themeColor="background1"/>
                        <w:kern w:val="24"/>
                        <w:sz w:val="22"/>
                        <w:szCs w:val="22"/>
                        <w:lang w:val="en-US"/>
                      </w:rPr>
                      <w:t xml:space="preserve">| </w:t>
                    </w:r>
                    <w:r>
                      <w:rPr>
                        <w:rFonts w:ascii="Arial" w:hAnsi="Arial" w:cs="Arial"/>
                        <w:color w:val="FFFFFF" w:themeColor="background1"/>
                        <w:kern w:val="24"/>
                        <w:sz w:val="22"/>
                        <w:szCs w:val="22"/>
                        <w:lang w:val="en-US"/>
                      </w:rPr>
                      <w:t>DRAFT 4 – REA Transport Decarbonisation Paper 2020</w:t>
                    </w:r>
                  </w:p>
                </w:txbxContent>
              </v:textbox>
            </v:shape>
          </w:pict>
        </mc:Fallback>
      </mc:AlternateContent>
    </w:r>
    <w:r w:rsidR="00E130C3">
      <w:rPr>
        <w:noProof/>
        <w:lang w:eastAsia="en-GB"/>
      </w:rPr>
      <w:drawing>
        <wp:anchor distT="0" distB="0" distL="114300" distR="114300" simplePos="0" relativeHeight="251656704" behindDoc="1" locked="0" layoutInCell="1" allowOverlap="1" wp14:anchorId="6E63C5F5" wp14:editId="04AE4A9C">
          <wp:simplePos x="0" y="0"/>
          <wp:positionH relativeFrom="column">
            <wp:posOffset>4455795</wp:posOffset>
          </wp:positionH>
          <wp:positionV relativeFrom="paragraph">
            <wp:posOffset>-78740</wp:posOffset>
          </wp:positionV>
          <wp:extent cx="1952625" cy="448310"/>
          <wp:effectExtent l="0" t="0" r="9525" b="0"/>
          <wp:wrapTight wrapText="bothSides">
            <wp:wrapPolygon edited="0">
              <wp:start x="0" y="0"/>
              <wp:lineTo x="0" y="19275"/>
              <wp:lineTo x="20230" y="19275"/>
              <wp:lineTo x="20230" y="16521"/>
              <wp:lineTo x="21495" y="10096"/>
              <wp:lineTo x="20441" y="3671"/>
              <wp:lineTo x="80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426" t="34917" r="16425" b="32700"/>
                  <a:stretch>
                    <a:fillRect/>
                  </a:stretch>
                </pic:blipFill>
                <pic:spPr bwMode="auto">
                  <a:xfrm>
                    <a:off x="0" y="0"/>
                    <a:ext cx="195262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0C3" w:rsidRPr="0046684E">
      <w:rPr>
        <w:noProof/>
        <w:color w:val="06926B"/>
        <w:lang w:eastAsia="en-GB"/>
      </w:rPr>
      <mc:AlternateContent>
        <mc:Choice Requires="wps">
          <w:drawing>
            <wp:anchor distT="0" distB="0" distL="114300" distR="114300" simplePos="0" relativeHeight="251653632" behindDoc="0" locked="0" layoutInCell="1" allowOverlap="1" wp14:anchorId="2D70E6DD" wp14:editId="5F557BDB">
              <wp:simplePos x="0" y="0"/>
              <wp:positionH relativeFrom="column">
                <wp:posOffset>-914400</wp:posOffset>
              </wp:positionH>
              <wp:positionV relativeFrom="paragraph">
                <wp:posOffset>464820</wp:posOffset>
              </wp:positionV>
              <wp:extent cx="45085" cy="9048115"/>
              <wp:effectExtent l="0" t="0" r="0" b="635"/>
              <wp:wrapNone/>
              <wp:docPr id="13" name="Rectangle 12">
                <a:extLst xmlns:a="http://schemas.openxmlformats.org/drawingml/2006/main">
                  <a:ext uri="{FF2B5EF4-FFF2-40B4-BE49-F238E27FC236}">
                    <a16:creationId xmlns:a16="http://schemas.microsoft.com/office/drawing/2014/main" id="{2508F47F-1F9B-D448-965A-95A98B5E91F5}"/>
                  </a:ext>
                </a:extLst>
              </wp:docPr>
              <wp:cNvGraphicFramePr/>
              <a:graphic xmlns:a="http://schemas.openxmlformats.org/drawingml/2006/main">
                <a:graphicData uri="http://schemas.microsoft.com/office/word/2010/wordprocessingShape">
                  <wps:wsp>
                    <wps:cNvSpPr/>
                    <wps:spPr>
                      <a:xfrm>
                        <a:off x="0" y="0"/>
                        <a:ext cx="45085" cy="9048115"/>
                      </a:xfrm>
                      <a:prstGeom prst="rect">
                        <a:avLst/>
                      </a:prstGeom>
                      <a:solidFill>
                        <a:srgbClr val="06926B"/>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2EC0817F" id="Rectangle 12" o:spid="_x0000_s1026" style="position:absolute;margin-left:-1in;margin-top:36.6pt;width:3.55pt;height:71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" fillcolor="#06926b" stroked="f" strokeweight="2pt"/>
          </w:pict>
        </mc:Fallback>
      </mc:AlternateContent>
    </w:r>
    <w:r w:rsidR="00E130C3" w:rsidRPr="0018161C">
      <w:rPr>
        <w:noProof/>
        <w:lang w:eastAsia="en-GB"/>
      </w:rPr>
      <mc:AlternateContent>
        <mc:Choice Requires="wps">
          <w:drawing>
            <wp:anchor distT="0" distB="0" distL="114300" distR="114300" simplePos="0" relativeHeight="251654656" behindDoc="0" locked="0" layoutInCell="1" allowOverlap="1" wp14:anchorId="6D7D7D03" wp14:editId="0231D0FB">
              <wp:simplePos x="0" y="0"/>
              <wp:positionH relativeFrom="column">
                <wp:posOffset>-476250</wp:posOffset>
              </wp:positionH>
              <wp:positionV relativeFrom="paragraph">
                <wp:posOffset>-252095</wp:posOffset>
              </wp:positionV>
              <wp:extent cx="8749665" cy="45085"/>
              <wp:effectExtent l="0" t="0" r="0" b="0"/>
              <wp:wrapNone/>
              <wp:docPr id="16" name="Rectangle 15">
                <a:extLst xmlns:a="http://schemas.openxmlformats.org/drawingml/2006/main">
                  <a:ext uri="{FF2B5EF4-FFF2-40B4-BE49-F238E27FC236}">
                    <a16:creationId xmlns:a16="http://schemas.microsoft.com/office/drawing/2014/main" id="{C010EE09-CA59-F041-8347-C9946DCEA26E}"/>
                  </a:ext>
                </a:extLst>
              </wp:docPr>
              <wp:cNvGraphicFramePr/>
              <a:graphic xmlns:a="http://schemas.openxmlformats.org/drawingml/2006/main">
                <a:graphicData uri="http://schemas.microsoft.com/office/word/2010/wordprocessingShape">
                  <wps:wsp>
                    <wps:cNvSpPr/>
                    <wps:spPr>
                      <a:xfrm flipV="1">
                        <a:off x="0" y="0"/>
                        <a:ext cx="8749665" cy="45085"/>
                      </a:xfrm>
                      <a:prstGeom prst="rect">
                        <a:avLst/>
                      </a:prstGeom>
                      <a:solidFill>
                        <a:srgbClr val="676764"/>
                      </a:solidFill>
                      <a:ln w="25400" cap="flat" cmpd="sng" algn="ctr">
                        <a:noFill/>
                        <a:prstDash val="solid"/>
                      </a:ln>
                      <a:effectLst/>
                    </wps:spPr>
                    <wps:bodyPr rtlCol="0" anchor="ctr"/>
                  </wps:wsp>
                </a:graphicData>
              </a:graphic>
              <wp14:sizeRelH relativeFrom="margin">
                <wp14:pctWidth>0</wp14:pctWidth>
              </wp14:sizeRelH>
            </wp:anchor>
          </w:drawing>
        </mc:Choice>
        <mc:Fallback>
          <w:pict>
            <v:rect w14:anchorId="72F6FADA" id="Rectangle 15" o:spid="_x0000_s1026" style="position:absolute;margin-left:-37.5pt;margin-top:-19.85pt;width:688.95pt;height:3.55pt;flip:y;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" fillcolor="#676764"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F0460" w14:textId="73DFF6CF" w:rsidR="00E130C3" w:rsidRDefault="00E130C3">
    <w:pPr>
      <w:pStyle w:val="Header"/>
    </w:pPr>
    <w:r w:rsidRPr="004A00DA">
      <w:rPr>
        <w:noProof/>
      </w:rPr>
      <mc:AlternateContent>
        <mc:Choice Requires="wps">
          <w:drawing>
            <wp:anchor distT="0" distB="0" distL="114300" distR="114300" simplePos="0" relativeHeight="251657728" behindDoc="0" locked="0" layoutInCell="1" allowOverlap="1" wp14:anchorId="3ABA436E" wp14:editId="1A5D357F">
              <wp:simplePos x="0" y="0"/>
              <wp:positionH relativeFrom="column">
                <wp:posOffset>-659765</wp:posOffset>
              </wp:positionH>
              <wp:positionV relativeFrom="paragraph">
                <wp:posOffset>-247650</wp:posOffset>
              </wp:positionV>
              <wp:extent cx="8749665" cy="45085"/>
              <wp:effectExtent l="0" t="0" r="0" b="0"/>
              <wp:wrapNone/>
              <wp:docPr id="12" name="Rectangle 15"/>
              <wp:cNvGraphicFramePr/>
              <a:graphic xmlns:a="http://schemas.openxmlformats.org/drawingml/2006/main">
                <a:graphicData uri="http://schemas.microsoft.com/office/word/2010/wordprocessingShape">
                  <wps:wsp>
                    <wps:cNvSpPr/>
                    <wps:spPr>
                      <a:xfrm flipV="1">
                        <a:off x="0" y="0"/>
                        <a:ext cx="8749665" cy="45085"/>
                      </a:xfrm>
                      <a:prstGeom prst="rect">
                        <a:avLst/>
                      </a:prstGeom>
                      <a:solidFill>
                        <a:srgbClr val="676764"/>
                      </a:solidFill>
                      <a:ln w="25400" cap="flat" cmpd="sng" algn="ctr">
                        <a:noFill/>
                        <a:prstDash val="solid"/>
                      </a:ln>
                      <a:effectLst/>
                    </wps:spPr>
                    <wps:bodyPr rtlCol="0" anchor="ctr"/>
                  </wps:wsp>
                </a:graphicData>
              </a:graphic>
              <wp14:sizeRelH relativeFrom="margin">
                <wp14:pctWidth>0</wp14:pctWidth>
              </wp14:sizeRelH>
            </wp:anchor>
          </w:drawing>
        </mc:Choice>
        <mc:Fallback>
          <w:pict>
            <v:rect w14:anchorId="37AF4D18" id="Rectangle 15" o:spid="_x0000_s1026" style="position:absolute;margin-left:-51.95pt;margin-top:-19.5pt;width:688.95pt;height:3.55pt;flip:y;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" fillcolor="#676764" stroked="f" strokeweight="2pt"/>
          </w:pict>
        </mc:Fallback>
      </mc:AlternateContent>
    </w:r>
    <w:r w:rsidRPr="004A00DA">
      <w:rPr>
        <w:noProof/>
      </w:rPr>
      <mc:AlternateContent>
        <mc:Choice Requires="wps">
          <w:drawing>
            <wp:anchor distT="0" distB="0" distL="114300" distR="114300" simplePos="0" relativeHeight="251658752" behindDoc="0" locked="0" layoutInCell="1" allowOverlap="1" wp14:anchorId="6C2CC5E2" wp14:editId="5A780D28">
              <wp:simplePos x="0" y="0"/>
              <wp:positionH relativeFrom="column">
                <wp:posOffset>-657860</wp:posOffset>
              </wp:positionH>
              <wp:positionV relativeFrom="paragraph">
                <wp:posOffset>-246542</wp:posOffset>
              </wp:positionV>
              <wp:extent cx="4131945" cy="288290"/>
              <wp:effectExtent l="0" t="0" r="1905" b="0"/>
              <wp:wrapNone/>
              <wp:docPr id="14" name="TextBox 17"/>
              <wp:cNvGraphicFramePr/>
              <a:graphic xmlns:a="http://schemas.openxmlformats.org/drawingml/2006/main">
                <a:graphicData uri="http://schemas.microsoft.com/office/word/2010/wordprocessingShape">
                  <wps:wsp>
                    <wps:cNvSpPr txBox="1"/>
                    <wps:spPr>
                      <a:xfrm>
                        <a:off x="0" y="0"/>
                        <a:ext cx="4131945" cy="288290"/>
                      </a:xfrm>
                      <a:prstGeom prst="rect">
                        <a:avLst/>
                      </a:prstGeom>
                      <a:solidFill>
                        <a:srgbClr val="676764"/>
                      </a:solidFill>
                    </wps:spPr>
                    <wps:txbx>
                      <w:txbxContent>
                        <w:p w14:paraId="227DFCCC" w14:textId="77777777" w:rsidR="00E130C3" w:rsidRPr="00F800CA" w:rsidRDefault="00E130C3" w:rsidP="004A00DA">
                          <w:pPr>
                            <w:spacing w:after="0"/>
                            <w:rPr>
                              <w:rFonts w:ascii="Arial" w:hAnsi="Arial" w:cs="Arial"/>
                            </w:rPr>
                          </w:pPr>
                          <w:r w:rsidRPr="00F800CA">
                            <w:rPr>
                              <w:rFonts w:ascii="Arial" w:hAnsi="Arial" w:cs="Arial"/>
                              <w:color w:val="FFFFFF" w:themeColor="background1"/>
                              <w:kern w:val="24"/>
                              <w:lang w:val="en-US"/>
                            </w:rPr>
                            <w:t xml:space="preserve">| </w:t>
                          </w:r>
                          <w:r>
                            <w:rPr>
                              <w:rFonts w:ascii="Arial" w:hAnsi="Arial" w:cs="Arial"/>
                              <w:color w:val="FFFFFF" w:themeColor="background1"/>
                              <w:kern w:val="24"/>
                              <w:lang w:val="en-US"/>
                            </w:rPr>
                            <w:t>DRAFT 4 – REA Transport Decarbonisation Paper 2020</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6C2CC5E2" id="_x0000_t202" coordsize="21600,21600" o:spt="202" path="m,l,21600r21600,l21600,xe">
              <v:stroke joinstyle="miter"/>
              <v:path gradientshapeok="t" o:connecttype="rect"/>
            </v:shapetype>
            <v:shape id="_x0000_s1027" type="#_x0000_t202" style="position:absolute;margin-left:-51.8pt;margin-top:-19.4pt;width:325.3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" fillcolor="#676764" stroked="f">
              <v:textbox>
                <w:txbxContent>
                  <w:p w14:paraId="227DFCCC" w14:textId="77777777" w:rsidR="00E130C3" w:rsidRPr="00F800CA" w:rsidRDefault="00E130C3" w:rsidP="004A00DA">
                    <w:pPr>
                      <w:spacing w:after="0"/>
                      <w:rPr>
                        <w:rFonts w:ascii="Arial" w:hAnsi="Arial" w:cs="Arial"/>
                      </w:rPr>
                    </w:pPr>
                    <w:r w:rsidRPr="00F800CA">
                      <w:rPr>
                        <w:rFonts w:ascii="Arial" w:hAnsi="Arial" w:cs="Arial"/>
                        <w:color w:val="FFFFFF" w:themeColor="background1"/>
                        <w:kern w:val="24"/>
                        <w:lang w:val="en-US"/>
                      </w:rPr>
                      <w:t xml:space="preserve">| </w:t>
                    </w:r>
                    <w:r>
                      <w:rPr>
                        <w:rFonts w:ascii="Arial" w:hAnsi="Arial" w:cs="Arial"/>
                        <w:color w:val="FFFFFF" w:themeColor="background1"/>
                        <w:kern w:val="24"/>
                        <w:lang w:val="en-US"/>
                      </w:rPr>
                      <w:t>DRAFT 4 – REA Transport Decarbonisation Paper 2020</w:t>
                    </w:r>
                  </w:p>
                </w:txbxContent>
              </v:textbox>
            </v:shape>
          </w:pict>
        </mc:Fallback>
      </mc:AlternateContent>
    </w:r>
    <w:r>
      <w:rPr>
        <w:noProof/>
        <w:lang w:eastAsia="en-GB"/>
      </w:rPr>
      <w:drawing>
        <wp:anchor distT="0" distB="0" distL="114300" distR="114300" simplePos="0" relativeHeight="251659776" behindDoc="1" locked="0" layoutInCell="1" allowOverlap="1" wp14:anchorId="1BFB53F7" wp14:editId="6DDB7781">
          <wp:simplePos x="0" y="0"/>
          <wp:positionH relativeFrom="column">
            <wp:posOffset>4306186</wp:posOffset>
          </wp:positionH>
          <wp:positionV relativeFrom="paragraph">
            <wp:posOffset>-96269</wp:posOffset>
          </wp:positionV>
          <wp:extent cx="1952625" cy="448310"/>
          <wp:effectExtent l="0" t="0" r="9525" b="0"/>
          <wp:wrapTight wrapText="bothSides">
            <wp:wrapPolygon edited="0">
              <wp:start x="0" y="0"/>
              <wp:lineTo x="0" y="19275"/>
              <wp:lineTo x="20230" y="19275"/>
              <wp:lineTo x="20230" y="16521"/>
              <wp:lineTo x="21495" y="10096"/>
              <wp:lineTo x="20441" y="3671"/>
              <wp:lineTo x="800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426" t="34917" r="16425" b="32700"/>
                  <a:stretch>
                    <a:fillRect/>
                  </a:stretch>
                </pic:blipFill>
                <pic:spPr bwMode="auto">
                  <a:xfrm>
                    <a:off x="0" y="0"/>
                    <a:ext cx="1952625"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83A"/>
    <w:multiLevelType w:val="multilevel"/>
    <w:tmpl w:val="68D665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A7EB9"/>
    <w:multiLevelType w:val="hybridMultilevel"/>
    <w:tmpl w:val="94B2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74F35"/>
    <w:multiLevelType w:val="multilevel"/>
    <w:tmpl w:val="FE362BD2"/>
    <w:lvl w:ilvl="0">
      <w:start w:val="1"/>
      <w:numFmt w:val="decimal"/>
      <w:lvlText w:val="%1."/>
      <w:lvlJc w:val="left"/>
      <w:pPr>
        <w:ind w:left="360" w:hanging="360"/>
      </w:pPr>
      <w:rPr>
        <w:rFonts w:ascii="Calibri" w:hAnsi="Calibri" w:hint="default"/>
        <w:b/>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A735D2"/>
    <w:multiLevelType w:val="hybridMultilevel"/>
    <w:tmpl w:val="E092D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40E2A"/>
    <w:multiLevelType w:val="hybridMultilevel"/>
    <w:tmpl w:val="4966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C7FF3"/>
    <w:multiLevelType w:val="hybridMultilevel"/>
    <w:tmpl w:val="CE3ED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15DEB"/>
    <w:multiLevelType w:val="hybridMultilevel"/>
    <w:tmpl w:val="8A74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A5E51"/>
    <w:multiLevelType w:val="multilevel"/>
    <w:tmpl w:val="29B09A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92B16"/>
    <w:multiLevelType w:val="hybridMultilevel"/>
    <w:tmpl w:val="2BEE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B3131"/>
    <w:multiLevelType w:val="hybridMultilevel"/>
    <w:tmpl w:val="B02A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846B2"/>
    <w:multiLevelType w:val="hybridMultilevel"/>
    <w:tmpl w:val="C47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75AA9"/>
    <w:multiLevelType w:val="hybridMultilevel"/>
    <w:tmpl w:val="7D942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1003B"/>
    <w:multiLevelType w:val="hybridMultilevel"/>
    <w:tmpl w:val="0D141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71E47"/>
    <w:multiLevelType w:val="multilevel"/>
    <w:tmpl w:val="63DA19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9F66C7"/>
    <w:multiLevelType w:val="hybridMultilevel"/>
    <w:tmpl w:val="0B62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96CC0"/>
    <w:multiLevelType w:val="hybridMultilevel"/>
    <w:tmpl w:val="8A183E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2"/>
  </w:num>
  <w:num w:numId="2">
    <w:abstractNumId w:val="6"/>
  </w:num>
  <w:num w:numId="3">
    <w:abstractNumId w:val="2"/>
  </w:num>
  <w:num w:numId="4">
    <w:abstractNumId w:val="13"/>
  </w:num>
  <w:num w:numId="5">
    <w:abstractNumId w:val="0"/>
  </w:num>
  <w:num w:numId="6">
    <w:abstractNumId w:val="10"/>
  </w:num>
  <w:num w:numId="7">
    <w:abstractNumId w:val="5"/>
  </w:num>
  <w:num w:numId="8">
    <w:abstractNumId w:val="14"/>
  </w:num>
  <w:num w:numId="9">
    <w:abstractNumId w:val="7"/>
  </w:num>
  <w:num w:numId="10">
    <w:abstractNumId w:val="8"/>
  </w:num>
  <w:num w:numId="11">
    <w:abstractNumId w:val="1"/>
  </w:num>
  <w:num w:numId="12">
    <w:abstractNumId w:val="9"/>
  </w:num>
  <w:num w:numId="13">
    <w:abstractNumId w:val="4"/>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7B"/>
    <w:rsid w:val="00016EFF"/>
    <w:rsid w:val="00017A68"/>
    <w:rsid w:val="000332A1"/>
    <w:rsid w:val="00047F6B"/>
    <w:rsid w:val="000A0DF3"/>
    <w:rsid w:val="000A7594"/>
    <w:rsid w:val="000D2421"/>
    <w:rsid w:val="000D6650"/>
    <w:rsid w:val="00107267"/>
    <w:rsid w:val="00124696"/>
    <w:rsid w:val="001320B7"/>
    <w:rsid w:val="001479F0"/>
    <w:rsid w:val="001904CB"/>
    <w:rsid w:val="001B23F3"/>
    <w:rsid w:val="00204608"/>
    <w:rsid w:val="00234CCF"/>
    <w:rsid w:val="00237707"/>
    <w:rsid w:val="002508AA"/>
    <w:rsid w:val="00252C45"/>
    <w:rsid w:val="002572D7"/>
    <w:rsid w:val="00280E45"/>
    <w:rsid w:val="002823CA"/>
    <w:rsid w:val="002A035C"/>
    <w:rsid w:val="002A3F54"/>
    <w:rsid w:val="002B59FE"/>
    <w:rsid w:val="002D5739"/>
    <w:rsid w:val="003036C6"/>
    <w:rsid w:val="0031385A"/>
    <w:rsid w:val="00365253"/>
    <w:rsid w:val="00367B2D"/>
    <w:rsid w:val="003B7060"/>
    <w:rsid w:val="003E07AB"/>
    <w:rsid w:val="003E16AE"/>
    <w:rsid w:val="003E7D18"/>
    <w:rsid w:val="003F5BC9"/>
    <w:rsid w:val="004025BB"/>
    <w:rsid w:val="00402A9E"/>
    <w:rsid w:val="0041229A"/>
    <w:rsid w:val="004308B4"/>
    <w:rsid w:val="00441429"/>
    <w:rsid w:val="00444DF0"/>
    <w:rsid w:val="004547AC"/>
    <w:rsid w:val="00470D1B"/>
    <w:rsid w:val="0047398E"/>
    <w:rsid w:val="0047446C"/>
    <w:rsid w:val="00475788"/>
    <w:rsid w:val="00492D05"/>
    <w:rsid w:val="004A00DA"/>
    <w:rsid w:val="004C1443"/>
    <w:rsid w:val="004F5D64"/>
    <w:rsid w:val="00505D7E"/>
    <w:rsid w:val="005255BC"/>
    <w:rsid w:val="00541AA6"/>
    <w:rsid w:val="00556991"/>
    <w:rsid w:val="005618F1"/>
    <w:rsid w:val="005668AD"/>
    <w:rsid w:val="00577095"/>
    <w:rsid w:val="00583E6B"/>
    <w:rsid w:val="00585A43"/>
    <w:rsid w:val="005A5FA4"/>
    <w:rsid w:val="005A6D8D"/>
    <w:rsid w:val="005D04F5"/>
    <w:rsid w:val="005D7EAF"/>
    <w:rsid w:val="0060267B"/>
    <w:rsid w:val="00603B08"/>
    <w:rsid w:val="00612E97"/>
    <w:rsid w:val="00614935"/>
    <w:rsid w:val="00625D01"/>
    <w:rsid w:val="00634C8C"/>
    <w:rsid w:val="006555D5"/>
    <w:rsid w:val="006706C1"/>
    <w:rsid w:val="006832BE"/>
    <w:rsid w:val="00683802"/>
    <w:rsid w:val="006919BB"/>
    <w:rsid w:val="006A0A8D"/>
    <w:rsid w:val="006B1CB7"/>
    <w:rsid w:val="006B5F84"/>
    <w:rsid w:val="006C27CA"/>
    <w:rsid w:val="006E00CB"/>
    <w:rsid w:val="006F4DA7"/>
    <w:rsid w:val="006F7C05"/>
    <w:rsid w:val="007165A5"/>
    <w:rsid w:val="007166E9"/>
    <w:rsid w:val="00725415"/>
    <w:rsid w:val="00771C4D"/>
    <w:rsid w:val="00780A49"/>
    <w:rsid w:val="007979E3"/>
    <w:rsid w:val="007A22BA"/>
    <w:rsid w:val="007C6C3A"/>
    <w:rsid w:val="007E1B49"/>
    <w:rsid w:val="007E42F5"/>
    <w:rsid w:val="007F4530"/>
    <w:rsid w:val="007F7A05"/>
    <w:rsid w:val="00802CEC"/>
    <w:rsid w:val="00810184"/>
    <w:rsid w:val="0081446F"/>
    <w:rsid w:val="008168FC"/>
    <w:rsid w:val="00820332"/>
    <w:rsid w:val="00822D77"/>
    <w:rsid w:val="00860837"/>
    <w:rsid w:val="008A7506"/>
    <w:rsid w:val="008B577D"/>
    <w:rsid w:val="008B5834"/>
    <w:rsid w:val="008E60F9"/>
    <w:rsid w:val="00904C58"/>
    <w:rsid w:val="00932A07"/>
    <w:rsid w:val="00941B1D"/>
    <w:rsid w:val="0094586A"/>
    <w:rsid w:val="00954DB1"/>
    <w:rsid w:val="00955C95"/>
    <w:rsid w:val="0097067C"/>
    <w:rsid w:val="009745FF"/>
    <w:rsid w:val="00984981"/>
    <w:rsid w:val="00991245"/>
    <w:rsid w:val="009B0BC1"/>
    <w:rsid w:val="009C7715"/>
    <w:rsid w:val="009E749B"/>
    <w:rsid w:val="00A32C7C"/>
    <w:rsid w:val="00A349D2"/>
    <w:rsid w:val="00A51F8B"/>
    <w:rsid w:val="00A73D3F"/>
    <w:rsid w:val="00A74B81"/>
    <w:rsid w:val="00A84DCF"/>
    <w:rsid w:val="00A93D13"/>
    <w:rsid w:val="00AD376C"/>
    <w:rsid w:val="00AD3EDC"/>
    <w:rsid w:val="00AE2275"/>
    <w:rsid w:val="00AE3412"/>
    <w:rsid w:val="00AE4FA9"/>
    <w:rsid w:val="00AF1EC8"/>
    <w:rsid w:val="00AF4AB8"/>
    <w:rsid w:val="00AF6309"/>
    <w:rsid w:val="00B0182E"/>
    <w:rsid w:val="00B11F8F"/>
    <w:rsid w:val="00B2240F"/>
    <w:rsid w:val="00B23FF3"/>
    <w:rsid w:val="00B256D7"/>
    <w:rsid w:val="00B36C0D"/>
    <w:rsid w:val="00B42995"/>
    <w:rsid w:val="00B64C49"/>
    <w:rsid w:val="00B82D9A"/>
    <w:rsid w:val="00B84AB4"/>
    <w:rsid w:val="00B95130"/>
    <w:rsid w:val="00B9599E"/>
    <w:rsid w:val="00B95A9F"/>
    <w:rsid w:val="00BC32E5"/>
    <w:rsid w:val="00BF03A2"/>
    <w:rsid w:val="00C04E83"/>
    <w:rsid w:val="00C3464A"/>
    <w:rsid w:val="00C56703"/>
    <w:rsid w:val="00C56FCC"/>
    <w:rsid w:val="00C76F1F"/>
    <w:rsid w:val="00CA1CB0"/>
    <w:rsid w:val="00CA2048"/>
    <w:rsid w:val="00CA2506"/>
    <w:rsid w:val="00CB0F30"/>
    <w:rsid w:val="00CF143F"/>
    <w:rsid w:val="00D076FF"/>
    <w:rsid w:val="00D2105B"/>
    <w:rsid w:val="00D32D84"/>
    <w:rsid w:val="00D372E8"/>
    <w:rsid w:val="00D74964"/>
    <w:rsid w:val="00DC6428"/>
    <w:rsid w:val="00DE5D85"/>
    <w:rsid w:val="00DF4B35"/>
    <w:rsid w:val="00E130C3"/>
    <w:rsid w:val="00E445E7"/>
    <w:rsid w:val="00E92C99"/>
    <w:rsid w:val="00E95CDD"/>
    <w:rsid w:val="00E97FF9"/>
    <w:rsid w:val="00EA1269"/>
    <w:rsid w:val="00EC11BD"/>
    <w:rsid w:val="00EF2427"/>
    <w:rsid w:val="00EF5B47"/>
    <w:rsid w:val="00F076DA"/>
    <w:rsid w:val="00F10EEA"/>
    <w:rsid w:val="00F20437"/>
    <w:rsid w:val="00F336C6"/>
    <w:rsid w:val="00F3663C"/>
    <w:rsid w:val="00F727AF"/>
    <w:rsid w:val="00F85B5B"/>
    <w:rsid w:val="00F901F3"/>
    <w:rsid w:val="00FA234A"/>
    <w:rsid w:val="00FA58B4"/>
    <w:rsid w:val="00FB4EED"/>
    <w:rsid w:val="00FC41BB"/>
    <w:rsid w:val="00FD0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4958B3"/>
  <w15:docId w15:val="{4809D00A-44B5-4F49-A50D-122427EE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7B"/>
  </w:style>
  <w:style w:type="paragraph" w:styleId="Heading1">
    <w:name w:val="heading 1"/>
    <w:basedOn w:val="Normal"/>
    <w:next w:val="Normal"/>
    <w:link w:val="Heading1Char"/>
    <w:uiPriority w:val="1"/>
    <w:qFormat/>
    <w:rsid w:val="006555D5"/>
    <w:pPr>
      <w:widowControl w:val="0"/>
      <w:autoSpaceDE w:val="0"/>
      <w:autoSpaceDN w:val="0"/>
      <w:spacing w:before="218" w:after="0" w:line="240" w:lineRule="auto"/>
      <w:outlineLvl w:val="0"/>
    </w:pPr>
    <w:rPr>
      <w:rFonts w:ascii="Century Gothic Bold" w:eastAsia="Calibri" w:hAnsi="Calibri" w:cs="Calibri"/>
      <w:b/>
      <w:color w:val="06926B"/>
      <w:sz w:val="36"/>
    </w:rPr>
  </w:style>
  <w:style w:type="paragraph" w:styleId="Heading2">
    <w:name w:val="heading 2"/>
    <w:basedOn w:val="Normal"/>
    <w:next w:val="Normal"/>
    <w:link w:val="Heading2Char"/>
    <w:uiPriority w:val="1"/>
    <w:unhideWhenUsed/>
    <w:qFormat/>
    <w:rsid w:val="006555D5"/>
    <w:pPr>
      <w:widowControl w:val="0"/>
      <w:autoSpaceDE w:val="0"/>
      <w:autoSpaceDN w:val="0"/>
      <w:spacing w:before="240" w:after="0" w:line="240" w:lineRule="auto"/>
      <w:outlineLvl w:val="1"/>
    </w:pPr>
    <w:rPr>
      <w:rFonts w:ascii="Century Gothic" w:eastAsia="Calibri" w:hAnsi="Century Gothic" w:cs="Calibri"/>
      <w:b/>
      <w:sz w:val="28"/>
      <w:szCs w:val="28"/>
      <w:u w:val="single"/>
    </w:rPr>
  </w:style>
  <w:style w:type="paragraph" w:styleId="Heading3">
    <w:name w:val="heading 3"/>
    <w:basedOn w:val="Normal"/>
    <w:next w:val="Normal"/>
    <w:link w:val="Heading3Char"/>
    <w:uiPriority w:val="9"/>
    <w:unhideWhenUsed/>
    <w:qFormat/>
    <w:rsid w:val="006555D5"/>
    <w:pPr>
      <w:widowControl w:val="0"/>
      <w:autoSpaceDE w:val="0"/>
      <w:autoSpaceDN w:val="0"/>
      <w:spacing w:before="240" w:after="0" w:line="240" w:lineRule="auto"/>
      <w:outlineLvl w:val="2"/>
    </w:pPr>
    <w:rPr>
      <w:rFonts w:ascii="Century Gothic" w:eastAsia="Calibri" w:hAnsi="Century Gothic" w:cs="Calibri"/>
      <w:b/>
      <w:sz w:val="24"/>
      <w:szCs w:val="28"/>
      <w:u w:val="single"/>
    </w:rPr>
  </w:style>
  <w:style w:type="paragraph" w:styleId="Heading4">
    <w:name w:val="heading 4"/>
    <w:basedOn w:val="Heading3"/>
    <w:next w:val="Normal"/>
    <w:link w:val="Heading4Char"/>
    <w:uiPriority w:val="9"/>
    <w:unhideWhenUsed/>
    <w:qFormat/>
    <w:rsid w:val="000A0DF3"/>
    <w:pPr>
      <w:outlineLvl w:val="3"/>
    </w:pPr>
    <w:rPr>
      <w:rFonts w:asciiTheme="minorHAnsi" w:hAnsiTheme="minorHAnsi" w:cstheme="minorHAnsi"/>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8"/>
    <w:basedOn w:val="Normal"/>
    <w:rsid w:val="006026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60267B"/>
  </w:style>
  <w:style w:type="paragraph" w:styleId="NormalWeb">
    <w:name w:val="Normal (Web)"/>
    <w:basedOn w:val="Normal"/>
    <w:uiPriority w:val="99"/>
    <w:semiHidden/>
    <w:unhideWhenUsed/>
    <w:rsid w:val="006026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02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67B"/>
  </w:style>
  <w:style w:type="paragraph" w:styleId="BodyText">
    <w:name w:val="Body Text"/>
    <w:basedOn w:val="Normal"/>
    <w:link w:val="BodyTextChar"/>
    <w:uiPriority w:val="1"/>
    <w:qFormat/>
    <w:rsid w:val="0060267B"/>
    <w:pPr>
      <w:widowControl w:val="0"/>
      <w:autoSpaceDE w:val="0"/>
      <w:autoSpaceDN w:val="0"/>
      <w:spacing w:after="0" w:line="240" w:lineRule="auto"/>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0267B"/>
    <w:rPr>
      <w:rFonts w:ascii="FuturaPT-Light" w:eastAsia="FuturaPT-Light" w:hAnsi="FuturaPT-Light" w:cs="FuturaPT-Light"/>
      <w:sz w:val="20"/>
      <w:szCs w:val="20"/>
      <w:lang w:val="en-US"/>
    </w:rPr>
  </w:style>
  <w:style w:type="paragraph" w:styleId="ListParagraph">
    <w:name w:val="List Paragraph"/>
    <w:basedOn w:val="Normal"/>
    <w:uiPriority w:val="34"/>
    <w:qFormat/>
    <w:rsid w:val="0060267B"/>
    <w:pPr>
      <w:ind w:left="720"/>
      <w:contextualSpacing/>
    </w:pPr>
  </w:style>
  <w:style w:type="paragraph" w:styleId="Footer">
    <w:name w:val="footer"/>
    <w:basedOn w:val="Normal"/>
    <w:link w:val="FooterChar"/>
    <w:uiPriority w:val="99"/>
    <w:unhideWhenUsed/>
    <w:rsid w:val="00602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67B"/>
  </w:style>
  <w:style w:type="table" w:styleId="TableGrid">
    <w:name w:val="Table Grid"/>
    <w:basedOn w:val="TableNormal"/>
    <w:uiPriority w:val="59"/>
    <w:rsid w:val="0060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7B"/>
    <w:rPr>
      <w:rFonts w:ascii="Tahoma" w:hAnsi="Tahoma" w:cs="Tahoma"/>
      <w:sz w:val="16"/>
      <w:szCs w:val="16"/>
    </w:rPr>
  </w:style>
  <w:style w:type="character" w:styleId="Hyperlink">
    <w:name w:val="Hyperlink"/>
    <w:basedOn w:val="DefaultParagraphFont"/>
    <w:uiPriority w:val="99"/>
    <w:unhideWhenUsed/>
    <w:rsid w:val="0060267B"/>
    <w:rPr>
      <w:color w:val="0000FF"/>
      <w:u w:val="single"/>
    </w:rPr>
  </w:style>
  <w:style w:type="paragraph" w:styleId="Caption">
    <w:name w:val="caption"/>
    <w:basedOn w:val="Normal"/>
    <w:next w:val="Normal"/>
    <w:uiPriority w:val="35"/>
    <w:unhideWhenUsed/>
    <w:qFormat/>
    <w:rsid w:val="0060267B"/>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7F7A05"/>
    <w:rPr>
      <w:sz w:val="16"/>
      <w:szCs w:val="16"/>
    </w:rPr>
  </w:style>
  <w:style w:type="paragraph" w:styleId="CommentText">
    <w:name w:val="annotation text"/>
    <w:basedOn w:val="Normal"/>
    <w:link w:val="CommentTextChar"/>
    <w:uiPriority w:val="99"/>
    <w:semiHidden/>
    <w:unhideWhenUsed/>
    <w:rsid w:val="007F7A05"/>
    <w:pPr>
      <w:spacing w:line="240" w:lineRule="auto"/>
    </w:pPr>
    <w:rPr>
      <w:sz w:val="20"/>
      <w:szCs w:val="20"/>
    </w:rPr>
  </w:style>
  <w:style w:type="character" w:customStyle="1" w:styleId="CommentTextChar">
    <w:name w:val="Comment Text Char"/>
    <w:basedOn w:val="DefaultParagraphFont"/>
    <w:link w:val="CommentText"/>
    <w:uiPriority w:val="99"/>
    <w:semiHidden/>
    <w:rsid w:val="007F7A05"/>
    <w:rPr>
      <w:sz w:val="20"/>
      <w:szCs w:val="20"/>
    </w:rPr>
  </w:style>
  <w:style w:type="paragraph" w:styleId="CommentSubject">
    <w:name w:val="annotation subject"/>
    <w:basedOn w:val="CommentText"/>
    <w:next w:val="CommentText"/>
    <w:link w:val="CommentSubjectChar"/>
    <w:uiPriority w:val="99"/>
    <w:semiHidden/>
    <w:unhideWhenUsed/>
    <w:rsid w:val="007F7A05"/>
    <w:rPr>
      <w:b/>
      <w:bCs/>
    </w:rPr>
  </w:style>
  <w:style w:type="character" w:customStyle="1" w:styleId="CommentSubjectChar">
    <w:name w:val="Comment Subject Char"/>
    <w:basedOn w:val="CommentTextChar"/>
    <w:link w:val="CommentSubject"/>
    <w:uiPriority w:val="99"/>
    <w:semiHidden/>
    <w:rsid w:val="007F7A05"/>
    <w:rPr>
      <w:b/>
      <w:bCs/>
      <w:sz w:val="20"/>
      <w:szCs w:val="20"/>
    </w:rPr>
  </w:style>
  <w:style w:type="paragraph" w:styleId="Revision">
    <w:name w:val="Revision"/>
    <w:hidden/>
    <w:uiPriority w:val="99"/>
    <w:semiHidden/>
    <w:rsid w:val="007F7A05"/>
    <w:pPr>
      <w:spacing w:after="0" w:line="240" w:lineRule="auto"/>
    </w:pPr>
  </w:style>
  <w:style w:type="character" w:customStyle="1" w:styleId="Heading1Char">
    <w:name w:val="Heading 1 Char"/>
    <w:basedOn w:val="DefaultParagraphFont"/>
    <w:link w:val="Heading1"/>
    <w:uiPriority w:val="1"/>
    <w:rsid w:val="006555D5"/>
    <w:rPr>
      <w:rFonts w:ascii="Century Gothic Bold" w:eastAsia="Calibri" w:hAnsi="Calibri" w:cs="Calibri"/>
      <w:b/>
      <w:color w:val="06926B"/>
      <w:sz w:val="36"/>
    </w:rPr>
  </w:style>
  <w:style w:type="paragraph" w:styleId="FootnoteText">
    <w:name w:val="footnote text"/>
    <w:basedOn w:val="Normal"/>
    <w:link w:val="FootnoteTextChar"/>
    <w:uiPriority w:val="99"/>
    <w:unhideWhenUsed/>
    <w:rsid w:val="00047F6B"/>
    <w:pPr>
      <w:spacing w:after="0" w:line="240" w:lineRule="auto"/>
    </w:pPr>
    <w:rPr>
      <w:sz w:val="20"/>
      <w:szCs w:val="20"/>
    </w:rPr>
  </w:style>
  <w:style w:type="character" w:customStyle="1" w:styleId="FootnoteTextChar">
    <w:name w:val="Footnote Text Char"/>
    <w:basedOn w:val="DefaultParagraphFont"/>
    <w:link w:val="FootnoteText"/>
    <w:uiPriority w:val="99"/>
    <w:rsid w:val="00047F6B"/>
    <w:rPr>
      <w:sz w:val="20"/>
      <w:szCs w:val="20"/>
    </w:rPr>
  </w:style>
  <w:style w:type="character" w:styleId="FootnoteReference">
    <w:name w:val="footnote reference"/>
    <w:basedOn w:val="DefaultParagraphFont"/>
    <w:uiPriority w:val="99"/>
    <w:semiHidden/>
    <w:unhideWhenUsed/>
    <w:rsid w:val="00047F6B"/>
    <w:rPr>
      <w:vertAlign w:val="superscript"/>
    </w:rPr>
  </w:style>
  <w:style w:type="character" w:customStyle="1" w:styleId="Heading2Char">
    <w:name w:val="Heading 2 Char"/>
    <w:basedOn w:val="DefaultParagraphFont"/>
    <w:link w:val="Heading2"/>
    <w:uiPriority w:val="1"/>
    <w:rsid w:val="006555D5"/>
    <w:rPr>
      <w:rFonts w:ascii="Century Gothic" w:eastAsia="Calibri" w:hAnsi="Century Gothic" w:cs="Calibri"/>
      <w:b/>
      <w:sz w:val="28"/>
      <w:szCs w:val="28"/>
      <w:u w:val="single"/>
    </w:rPr>
  </w:style>
  <w:style w:type="character" w:customStyle="1" w:styleId="Heading3Char">
    <w:name w:val="Heading 3 Char"/>
    <w:basedOn w:val="DefaultParagraphFont"/>
    <w:link w:val="Heading3"/>
    <w:uiPriority w:val="9"/>
    <w:rsid w:val="006555D5"/>
    <w:rPr>
      <w:rFonts w:ascii="Century Gothic" w:eastAsia="Calibri" w:hAnsi="Century Gothic" w:cs="Calibri"/>
      <w:b/>
      <w:sz w:val="24"/>
      <w:szCs w:val="28"/>
      <w:u w:val="single"/>
    </w:rPr>
  </w:style>
  <w:style w:type="character" w:customStyle="1" w:styleId="Heading4Char">
    <w:name w:val="Heading 4 Char"/>
    <w:basedOn w:val="DefaultParagraphFont"/>
    <w:link w:val="Heading4"/>
    <w:uiPriority w:val="9"/>
    <w:rsid w:val="000A0DF3"/>
    <w:rPr>
      <w:rFonts w:eastAsia="Calibri" w:cstheme="minorHAnsi"/>
      <w:b/>
      <w:szCs w:val="28"/>
      <w:u w:val="single"/>
      <w:lang w:eastAsia="en-GB"/>
    </w:rPr>
  </w:style>
  <w:style w:type="paragraph" w:styleId="TOCHeading">
    <w:name w:val="TOC Heading"/>
    <w:basedOn w:val="Heading1"/>
    <w:next w:val="Normal"/>
    <w:uiPriority w:val="39"/>
    <w:unhideWhenUsed/>
    <w:qFormat/>
    <w:rsid w:val="00F727AF"/>
    <w:pPr>
      <w:outlineLvl w:val="9"/>
    </w:pPr>
    <w:rPr>
      <w:lang w:val="en-US" w:eastAsia="ja-JP"/>
    </w:rPr>
  </w:style>
  <w:style w:type="paragraph" w:styleId="TOC1">
    <w:name w:val="toc 1"/>
    <w:basedOn w:val="Normal"/>
    <w:next w:val="Normal"/>
    <w:autoRedefine/>
    <w:uiPriority w:val="39"/>
    <w:unhideWhenUsed/>
    <w:rsid w:val="00F727AF"/>
    <w:pPr>
      <w:spacing w:after="100"/>
    </w:pPr>
  </w:style>
  <w:style w:type="paragraph" w:styleId="TOC2">
    <w:name w:val="toc 2"/>
    <w:basedOn w:val="Normal"/>
    <w:next w:val="Normal"/>
    <w:autoRedefine/>
    <w:uiPriority w:val="39"/>
    <w:unhideWhenUsed/>
    <w:rsid w:val="00F727AF"/>
    <w:pPr>
      <w:spacing w:after="100"/>
      <w:ind w:left="220"/>
    </w:pPr>
  </w:style>
  <w:style w:type="paragraph" w:styleId="TOC3">
    <w:name w:val="toc 3"/>
    <w:basedOn w:val="Normal"/>
    <w:next w:val="Normal"/>
    <w:autoRedefine/>
    <w:uiPriority w:val="39"/>
    <w:unhideWhenUsed/>
    <w:rsid w:val="004A00DA"/>
    <w:pPr>
      <w:tabs>
        <w:tab w:val="left" w:pos="426"/>
        <w:tab w:val="right" w:leader="dot" w:pos="9016"/>
      </w:tabs>
      <w:spacing w:after="100"/>
    </w:pPr>
  </w:style>
  <w:style w:type="paragraph" w:customStyle="1" w:styleId="Default">
    <w:name w:val="Default"/>
    <w:rsid w:val="004F5D6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A2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6493">
      <w:bodyDiv w:val="1"/>
      <w:marLeft w:val="0"/>
      <w:marRight w:val="0"/>
      <w:marTop w:val="0"/>
      <w:marBottom w:val="0"/>
      <w:divBdr>
        <w:top w:val="none" w:sz="0" w:space="0" w:color="auto"/>
        <w:left w:val="none" w:sz="0" w:space="0" w:color="auto"/>
        <w:bottom w:val="none" w:sz="0" w:space="0" w:color="auto"/>
        <w:right w:val="none" w:sz="0" w:space="0" w:color="auto"/>
      </w:divBdr>
    </w:div>
    <w:div w:id="208612331">
      <w:bodyDiv w:val="1"/>
      <w:marLeft w:val="0"/>
      <w:marRight w:val="0"/>
      <w:marTop w:val="0"/>
      <w:marBottom w:val="0"/>
      <w:divBdr>
        <w:top w:val="none" w:sz="0" w:space="0" w:color="auto"/>
        <w:left w:val="none" w:sz="0" w:space="0" w:color="auto"/>
        <w:bottom w:val="none" w:sz="0" w:space="0" w:color="auto"/>
        <w:right w:val="none" w:sz="0" w:space="0" w:color="auto"/>
      </w:divBdr>
    </w:div>
    <w:div w:id="480391352">
      <w:bodyDiv w:val="1"/>
      <w:marLeft w:val="0"/>
      <w:marRight w:val="0"/>
      <w:marTop w:val="0"/>
      <w:marBottom w:val="0"/>
      <w:divBdr>
        <w:top w:val="none" w:sz="0" w:space="0" w:color="auto"/>
        <w:left w:val="none" w:sz="0" w:space="0" w:color="auto"/>
        <w:bottom w:val="none" w:sz="0" w:space="0" w:color="auto"/>
        <w:right w:val="none" w:sz="0" w:space="0" w:color="auto"/>
      </w:divBdr>
    </w:div>
    <w:div w:id="10772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own@r-e-a.ne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harnell@r-e-a.ne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owcvp.org.uk/" TargetMode="External"/><Relationship Id="rId13" Type="http://schemas.openxmlformats.org/officeDocument/2006/relationships/hyperlink" Target="https://commonslibrary.parliament.uk/research-briefings/cdp-2019-0004/" TargetMode="External"/><Relationship Id="rId18" Type="http://schemas.openxmlformats.org/officeDocument/2006/relationships/hyperlink" Target="https://pubs.rsc.org/en/content/articlelanding/2019/ee/c8ee01157e" TargetMode="External"/><Relationship Id="rId26" Type="http://schemas.openxmlformats.org/officeDocument/2006/relationships/hyperlink" Target="https://theicct.org/publications/using-vehicle-taxation-policy-lower-transport-emissions" TargetMode="External"/><Relationship Id="rId3" Type="http://schemas.openxmlformats.org/officeDocument/2006/relationships/hyperlink" Target="https://about.bnef.com/blog/electric-transport-revolution-set-spread-rapidly-light-medium-commercial-vehicle-market/" TargetMode="External"/><Relationship Id="rId21" Type="http://schemas.openxmlformats.org/officeDocument/2006/relationships/hyperlink" Target="https://commonslibrary.parliament.uk/research-briefings/sn00611/" TargetMode="External"/><Relationship Id="rId7" Type="http://schemas.openxmlformats.org/officeDocument/2006/relationships/hyperlink" Target="https://www.carbonbrief.org/factcheck-how-electric-vehicles-help-to-tackle-climate-change" TargetMode="External"/><Relationship Id="rId12" Type="http://schemas.openxmlformats.org/officeDocument/2006/relationships/hyperlink" Target="https://epure.org/news-and-media/news/france-s-clean-mobility-move-e85-conversion-boxes-approved-for-motorists/" TargetMode="External"/><Relationship Id="rId17" Type="http://schemas.openxmlformats.org/officeDocument/2006/relationships/hyperlink" Target="https://www.r-e-a.net/wp-content/uploads/2019/12/Marcus-Newborough.pdf" TargetMode="External"/><Relationship Id="rId25" Type="http://schemas.openxmlformats.org/officeDocument/2006/relationships/hyperlink" Target="https://www.gov.uk/government/publications/reducing-emissions-from-road-transport-road-to-zero-strategy" TargetMode="External"/><Relationship Id="rId2" Type="http://schemas.openxmlformats.org/officeDocument/2006/relationships/hyperlink" Target="https://www.smmt.co.uk/2020/01/record-year-for-zero-emission-cars-fails-to-reboot-uk-market-as-sector-calls-for-supportive-policies-to-boost-uptake/" TargetMode="External"/><Relationship Id="rId16" Type="http://schemas.openxmlformats.org/officeDocument/2006/relationships/hyperlink" Target="https://businessbreathes.co.uk/refuelling" TargetMode="External"/><Relationship Id="rId20" Type="http://schemas.openxmlformats.org/officeDocument/2006/relationships/hyperlink" Target="https://www.volkswagen-newsroom.com/en/press-releases/volkswagen-plans-22-million-electric-vehicles-in-ten-years-4750" TargetMode="External"/><Relationship Id="rId1" Type="http://schemas.openxmlformats.org/officeDocument/2006/relationships/hyperlink" Target="https://www.imeche.org/docs/default-source/1-oscar/reports-policy-statements-and-documents/imeche-decarbonisation-report-final.pdf" TargetMode="External"/><Relationship Id="rId6" Type="http://schemas.openxmlformats.org/officeDocument/2006/relationships/hyperlink" Target="https://about.bnef.com/blog/electric-transport-revolution-set-spread-rapidly-light-medium-commercial-vehicle-market/" TargetMode="External"/><Relationship Id="rId11" Type="http://schemas.openxmlformats.org/officeDocument/2006/relationships/hyperlink" Target="https://assets.publishing.service.gov.uk/government/uploads/system/uploads/attachment_data/file/876383/introducing-e10-petrol-consultation.pdf" TargetMode="External"/><Relationship Id="rId24" Type="http://schemas.openxmlformats.org/officeDocument/2006/relationships/hyperlink" Target="https://assets.kpmg/content/dam/kpmg/nl/pdf/2019/sector/kpmg-mobility-2030-transforming-the-mobility-landscape.pdf" TargetMode="External"/><Relationship Id="rId5" Type="http://schemas.openxmlformats.org/officeDocument/2006/relationships/hyperlink" Target="https://www.r-e-a.net/wp-content/uploads/2020/01/REA-modelling-on-potential-future-biofuels-target-dr-2.pdf" TargetMode="External"/><Relationship Id="rId15" Type="http://schemas.openxmlformats.org/officeDocument/2006/relationships/hyperlink" Target="https://www.gov.uk/government/collections/renewable-fuel-statistics" TargetMode="External"/><Relationship Id="rId23" Type="http://schemas.openxmlformats.org/officeDocument/2006/relationships/hyperlink" Target="https://tfl.gov.uk/modes/driving/ultra-low-emission-zone" TargetMode="External"/><Relationship Id="rId10" Type="http://schemas.openxmlformats.org/officeDocument/2006/relationships/hyperlink" Target="https://www.r-e-a.net/resources/department-for-transport-consultation-on-mandating-e10/" TargetMode="External"/><Relationship Id="rId19" Type="http://schemas.openxmlformats.org/officeDocument/2006/relationships/hyperlink" Target="https://about.bnef.com/blog/high-renewable-future-uk-germany-create-new-power-systems-flexibility-challenge/" TargetMode="External"/><Relationship Id="rId4" Type="http://schemas.openxmlformats.org/officeDocument/2006/relationships/hyperlink" Target="https://assets.kpmg/content/dam/kpmg/uk/pdf/2019/08/mobility-2030-transforming-the-mobility-landscape.pdf" TargetMode="External"/><Relationship Id="rId9" Type="http://schemas.openxmlformats.org/officeDocument/2006/relationships/hyperlink" Target="https://www.r-e-a.net/wp-content/uploads/2020/01/REA-modelling-on-potential-future-biofuels-target-dr-2.pdf" TargetMode="External"/><Relationship Id="rId14" Type="http://schemas.openxmlformats.org/officeDocument/2006/relationships/hyperlink" Target="https://www.britishbioethanol.co.uk/single-post/2019/07/16/E10InquiryFINALReport" TargetMode="External"/><Relationship Id="rId22" Type="http://schemas.openxmlformats.org/officeDocument/2006/relationships/hyperlink" Target="https://www.nextgreencar.com/electric-cars/statis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1BFD-3E3E-4AD5-A658-E2E51832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6784</Words>
  <Characters>38675</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Brown Final June Edit</dc:creator>
  <cp:lastModifiedBy>Kiara Zennaro</cp:lastModifiedBy>
  <cp:revision>2</cp:revision>
  <cp:lastPrinted>2020-03-12T14:54:00Z</cp:lastPrinted>
  <dcterms:created xsi:type="dcterms:W3CDTF">2020-05-05T11:21:00Z</dcterms:created>
  <dcterms:modified xsi:type="dcterms:W3CDTF">2020-05-05T11:21:00Z</dcterms:modified>
</cp:coreProperties>
</file>