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9E2F3" w:themeColor="accent1" w:themeTint="33"/>
  <w:body>
    <w:p w14:paraId="62072B75" w14:textId="77777777" w:rsidR="00EA2285" w:rsidRDefault="00EA2285" w:rsidP="00463340">
      <w:pPr>
        <w:jc w:val="center"/>
        <w:rPr>
          <w:rFonts w:ascii="Open Sans" w:hAnsi="Open Sans" w:cs="Open Sans"/>
          <w:b/>
          <w:bCs/>
          <w:i/>
          <w:iCs/>
          <w:color w:val="06926B"/>
          <w:sz w:val="32"/>
          <w:szCs w:val="32"/>
        </w:rPr>
      </w:pPr>
    </w:p>
    <w:p w14:paraId="481B03AA" w14:textId="6E2BD7F0" w:rsidR="00BD0B87" w:rsidRDefault="00273E54" w:rsidP="00463340">
      <w:pPr>
        <w:jc w:val="center"/>
        <w:rPr>
          <w:rFonts w:ascii="Open Sans" w:hAnsi="Open Sans" w:cs="Open Sans"/>
          <w:b/>
          <w:bCs/>
          <w:color w:val="06926B"/>
          <w:sz w:val="32"/>
          <w:szCs w:val="32"/>
        </w:rPr>
      </w:pPr>
      <w:r w:rsidRPr="00463340">
        <w:rPr>
          <w:rFonts w:ascii="Open Sans" w:hAnsi="Open Sans" w:cs="Open Sans"/>
          <w:b/>
          <w:bCs/>
          <w:i/>
          <w:iCs/>
          <w:color w:val="06926B"/>
          <w:sz w:val="32"/>
          <w:szCs w:val="32"/>
        </w:rPr>
        <w:t>‘</w:t>
      </w:r>
      <w:r w:rsidR="0082422C">
        <w:rPr>
          <w:rFonts w:ascii="Open Sans" w:hAnsi="Open Sans" w:cs="Open Sans"/>
          <w:b/>
          <w:bCs/>
          <w:i/>
          <w:iCs/>
          <w:color w:val="06926B"/>
          <w:sz w:val="32"/>
          <w:szCs w:val="32"/>
        </w:rPr>
        <w:t xml:space="preserve">Non-Domestic Renewable Heat Incentive – Ensuring a Sustainable Scheme’ </w:t>
      </w:r>
      <w:r w:rsidRPr="00463340">
        <w:rPr>
          <w:rFonts w:ascii="Open Sans" w:hAnsi="Open Sans" w:cs="Open Sans"/>
          <w:b/>
          <w:bCs/>
          <w:color w:val="06926B"/>
          <w:sz w:val="32"/>
          <w:szCs w:val="32"/>
        </w:rPr>
        <w:t xml:space="preserve"> </w:t>
      </w:r>
    </w:p>
    <w:p w14:paraId="4F687AA2" w14:textId="6792DE15" w:rsidR="00CD42E0" w:rsidRPr="00463340" w:rsidRDefault="000D0D58" w:rsidP="00463340">
      <w:pPr>
        <w:jc w:val="center"/>
        <w:rPr>
          <w:rFonts w:ascii="Open Sans" w:hAnsi="Open Sans" w:cs="Open Sans"/>
          <w:b/>
          <w:bCs/>
          <w:color w:val="06926B"/>
          <w:sz w:val="32"/>
          <w:szCs w:val="32"/>
          <w:u w:val="single"/>
        </w:rPr>
      </w:pPr>
      <w:r>
        <w:rPr>
          <w:rFonts w:ascii="Open Sans" w:hAnsi="Open Sans" w:cs="Open Sans"/>
          <w:b/>
          <w:bCs/>
          <w:color w:val="06926B"/>
          <w:sz w:val="32"/>
          <w:szCs w:val="32"/>
        </w:rPr>
        <w:t>Consultation Response</w:t>
      </w:r>
      <w:r w:rsidR="00BD0B87">
        <w:rPr>
          <w:rFonts w:ascii="Open Sans" w:hAnsi="Open Sans" w:cs="Open Sans"/>
          <w:b/>
          <w:bCs/>
          <w:color w:val="06926B"/>
          <w:sz w:val="32"/>
          <w:szCs w:val="32"/>
        </w:rPr>
        <w:t xml:space="preserve"> for </w:t>
      </w:r>
      <w:r w:rsidR="00273E54" w:rsidRPr="00BD0B87">
        <w:rPr>
          <w:rFonts w:ascii="Open Sans" w:hAnsi="Open Sans" w:cs="Open Sans"/>
          <w:b/>
          <w:bCs/>
          <w:color w:val="06926B"/>
          <w:sz w:val="32"/>
          <w:szCs w:val="32"/>
        </w:rPr>
        <w:t>Biomass Heat</w:t>
      </w:r>
      <w:r w:rsidR="00BD0B87" w:rsidRPr="00BD0B87">
        <w:rPr>
          <w:rFonts w:ascii="Open Sans" w:hAnsi="Open Sans" w:cs="Open Sans"/>
          <w:b/>
          <w:bCs/>
          <w:color w:val="06926B"/>
          <w:sz w:val="32"/>
          <w:szCs w:val="32"/>
        </w:rPr>
        <w:t>.</w:t>
      </w:r>
    </w:p>
    <w:p w14:paraId="76356593" w14:textId="77777777" w:rsidR="00CD42E0" w:rsidRPr="006E1CD9" w:rsidRDefault="00CD42E0" w:rsidP="00CD42E0">
      <w:pPr>
        <w:rPr>
          <w:rFonts w:ascii="Open Sans" w:hAnsi="Open Sans" w:cs="Open Sans"/>
          <w:b/>
          <w:bCs/>
        </w:rPr>
      </w:pPr>
    </w:p>
    <w:p w14:paraId="24FE08BC" w14:textId="77777777" w:rsidR="000D0D58" w:rsidRPr="0076721D" w:rsidRDefault="000D0D58" w:rsidP="000D0D58">
      <w:pPr>
        <w:rPr>
          <w:rFonts w:ascii="Open Sans" w:hAnsi="Open Sans" w:cs="Open Sans"/>
          <w:szCs w:val="22"/>
        </w:rPr>
      </w:pPr>
      <w:r w:rsidRPr="0076721D">
        <w:rPr>
          <w:rFonts w:ascii="Open Sans" w:hAnsi="Open Sans" w:cs="Open Sans"/>
          <w:szCs w:val="22"/>
        </w:rPr>
        <w:t>The Renewable Energy Association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550 corporate members of the REA, making it the largest renewable energy trade association in the UK. The Wood Heat Association is the members forum within the REA that advocates for the modern wood heating and related biomass heating industry including wood fuel suppliers, biomass boiler and stove installers and distributors, and anyone involved in the supply chain.</w:t>
      </w:r>
    </w:p>
    <w:p w14:paraId="2CF397D1" w14:textId="77777777" w:rsidR="00CD42E0" w:rsidRPr="0076721D" w:rsidRDefault="00CD42E0" w:rsidP="00094268">
      <w:pPr>
        <w:pBdr>
          <w:bottom w:val="single" w:sz="6" w:space="0" w:color="auto"/>
        </w:pBdr>
        <w:rPr>
          <w:rFonts w:ascii="Open Sans" w:hAnsi="Open Sans" w:cs="Open Sans"/>
          <w:szCs w:val="22"/>
        </w:rPr>
      </w:pPr>
    </w:p>
    <w:p w14:paraId="1813ED71" w14:textId="77777777" w:rsidR="00CD42E0" w:rsidRPr="0076721D" w:rsidRDefault="00CD42E0" w:rsidP="00CD42E0">
      <w:pPr>
        <w:rPr>
          <w:rFonts w:ascii="Open Sans" w:hAnsi="Open Sans" w:cs="Open Sans"/>
          <w:szCs w:val="22"/>
        </w:rPr>
      </w:pPr>
    </w:p>
    <w:p w14:paraId="4F88CA96" w14:textId="7C20304D" w:rsidR="00CD42E0" w:rsidRPr="0076721D" w:rsidRDefault="00B515AF" w:rsidP="00CD42E0">
      <w:pPr>
        <w:rPr>
          <w:rFonts w:ascii="Open Sans" w:hAnsi="Open Sans" w:cs="Open Sans"/>
          <w:b/>
          <w:bCs/>
          <w:szCs w:val="22"/>
        </w:rPr>
      </w:pPr>
      <w:r w:rsidRPr="0076721D">
        <w:rPr>
          <w:rFonts w:ascii="Open Sans" w:hAnsi="Open Sans" w:cs="Open Sans"/>
          <w:b/>
          <w:bCs/>
          <w:szCs w:val="22"/>
        </w:rPr>
        <w:t>Summary of Response</w:t>
      </w:r>
      <w:r w:rsidR="008665AC" w:rsidRPr="0076721D">
        <w:rPr>
          <w:rFonts w:ascii="Open Sans" w:hAnsi="Open Sans" w:cs="Open Sans"/>
          <w:b/>
          <w:bCs/>
          <w:szCs w:val="22"/>
        </w:rPr>
        <w:t xml:space="preserve"> </w:t>
      </w:r>
    </w:p>
    <w:p w14:paraId="4DD0C1B8" w14:textId="6F2C7EAC" w:rsidR="00CD42E0" w:rsidRPr="0076721D" w:rsidRDefault="00CD42E0" w:rsidP="00CD42E0">
      <w:pPr>
        <w:rPr>
          <w:rFonts w:ascii="Open Sans" w:hAnsi="Open Sans" w:cs="Open Sans"/>
          <w:szCs w:val="22"/>
        </w:rPr>
      </w:pPr>
    </w:p>
    <w:p w14:paraId="7DB53D2D" w14:textId="12B2B998" w:rsidR="00971EF8" w:rsidRPr="0076721D" w:rsidRDefault="00971EF8" w:rsidP="00971EF8">
      <w:pPr>
        <w:rPr>
          <w:rFonts w:ascii="Open Sans" w:hAnsi="Open Sans" w:cs="Open Sans"/>
          <w:szCs w:val="22"/>
        </w:rPr>
      </w:pPr>
    </w:p>
    <w:p w14:paraId="643FC3A0" w14:textId="1E06F86F" w:rsidR="009B412E" w:rsidRPr="006852A9" w:rsidRDefault="00B515AF" w:rsidP="00B515AF">
      <w:pPr>
        <w:spacing w:after="160" w:line="259" w:lineRule="auto"/>
        <w:jc w:val="left"/>
        <w:rPr>
          <w:rFonts w:ascii="Open Sans" w:hAnsi="Open Sans" w:cs="Open Sans"/>
          <w:b/>
          <w:bCs/>
          <w:i/>
          <w:iCs/>
          <w:color w:val="2F5496"/>
          <w:szCs w:val="22"/>
        </w:rPr>
      </w:pPr>
      <w:r w:rsidRPr="006852A9">
        <w:rPr>
          <w:rFonts w:ascii="Open Sans" w:hAnsi="Open Sans" w:cs="Open Sans"/>
          <w:b/>
          <w:bCs/>
          <w:i/>
          <w:iCs/>
          <w:color w:val="2F5496"/>
          <w:szCs w:val="22"/>
        </w:rPr>
        <w:t xml:space="preserve">Consultation Question 1 - </w:t>
      </w:r>
      <w:r w:rsidR="009B412E" w:rsidRPr="006852A9">
        <w:rPr>
          <w:rFonts w:ascii="Open Sans" w:hAnsi="Open Sans" w:cs="Open Sans"/>
          <w:b/>
          <w:bCs/>
          <w:i/>
          <w:iCs/>
          <w:color w:val="2F5496"/>
          <w:szCs w:val="22"/>
        </w:rPr>
        <w:t xml:space="preserve">Do you agree or disagree with the proposal to close the Non-Domestic RHI from midnight on 31st March 2021? Please provide evidence to support your </w:t>
      </w:r>
      <w:r w:rsidR="0076721D" w:rsidRPr="006852A9">
        <w:rPr>
          <w:rFonts w:ascii="Open Sans" w:hAnsi="Open Sans" w:cs="Open Sans"/>
          <w:b/>
          <w:bCs/>
          <w:i/>
          <w:iCs/>
          <w:color w:val="2F5496"/>
          <w:szCs w:val="22"/>
        </w:rPr>
        <w:t>reasoning,</w:t>
      </w:r>
      <w:r w:rsidR="009B412E" w:rsidRPr="006852A9">
        <w:rPr>
          <w:rFonts w:ascii="Open Sans" w:hAnsi="Open Sans" w:cs="Open Sans"/>
          <w:b/>
          <w:bCs/>
          <w:i/>
          <w:iCs/>
          <w:color w:val="2F5496"/>
          <w:szCs w:val="22"/>
        </w:rPr>
        <w:t xml:space="preserve"> for example, around the impact on jobs, deployment, consumer bills and the supply chain.</w:t>
      </w:r>
    </w:p>
    <w:p w14:paraId="6438288D" w14:textId="77777777" w:rsidR="00B515AF" w:rsidRPr="0076721D" w:rsidRDefault="00B515AF" w:rsidP="00B515AF">
      <w:pPr>
        <w:pStyle w:val="Default"/>
        <w:rPr>
          <w:rFonts w:ascii="Open Sans" w:hAnsi="Open Sans" w:cs="Open Sans"/>
          <w:b/>
          <w:bCs/>
          <w:sz w:val="22"/>
          <w:szCs w:val="22"/>
        </w:rPr>
      </w:pPr>
      <w:r w:rsidRPr="0076721D">
        <w:rPr>
          <w:rFonts w:ascii="Open Sans" w:hAnsi="Open Sans" w:cs="Open Sans"/>
          <w:b/>
          <w:bCs/>
          <w:sz w:val="22"/>
          <w:szCs w:val="22"/>
        </w:rPr>
        <w:t>We strongly oppose the decision not to extend the Non-Domestic RHI in line with the Domestic scheme.</w:t>
      </w:r>
    </w:p>
    <w:p w14:paraId="003D237F" w14:textId="77777777" w:rsidR="00B515AF" w:rsidRPr="0076721D" w:rsidRDefault="00B515AF" w:rsidP="00B515AF">
      <w:pPr>
        <w:pStyle w:val="Default"/>
        <w:rPr>
          <w:rFonts w:ascii="Open Sans" w:hAnsi="Open Sans" w:cs="Open Sans"/>
          <w:b/>
          <w:bCs/>
          <w:i/>
          <w:iCs/>
          <w:sz w:val="22"/>
          <w:szCs w:val="22"/>
        </w:rPr>
      </w:pPr>
    </w:p>
    <w:p w14:paraId="166BAF81" w14:textId="44876D25" w:rsidR="00B515AF" w:rsidRPr="0076721D" w:rsidRDefault="00B515AF" w:rsidP="00B515AF">
      <w:pPr>
        <w:pStyle w:val="Default"/>
        <w:rPr>
          <w:rFonts w:ascii="Open Sans" w:hAnsi="Open Sans" w:cs="Open Sans"/>
          <w:sz w:val="22"/>
          <w:szCs w:val="22"/>
        </w:rPr>
      </w:pPr>
      <w:r w:rsidRPr="0076721D">
        <w:rPr>
          <w:rFonts w:ascii="Open Sans" w:hAnsi="Open Sans" w:cs="Open Sans"/>
          <w:sz w:val="22"/>
          <w:szCs w:val="22"/>
        </w:rPr>
        <w:t xml:space="preserve">Projects that are not eligible for Tariff Guarantees have not been provided mitigation against COVID-19 delays. The decision also creates a twelve-month gap of no support between the end of the scheme and the start of the proposed Clean Heat Grant Scheme. This is despite underspend within the allocated RHI Budget. Smaller and medium scale non-domestic heat projects now face a cliff edge resulting in viable heat decarbonisation projects being abandoned. This will undermine the potential for growth, damaging the established heat decarbonisation sector ahead of any a new scheme being introduced. </w:t>
      </w:r>
    </w:p>
    <w:p w14:paraId="3C38986B" w14:textId="77777777" w:rsidR="00B515AF" w:rsidRPr="0076721D" w:rsidRDefault="00B515AF" w:rsidP="00B515AF">
      <w:pPr>
        <w:pStyle w:val="Default"/>
        <w:rPr>
          <w:rFonts w:ascii="Open Sans" w:hAnsi="Open Sans" w:cs="Open Sans"/>
          <w:sz w:val="22"/>
          <w:szCs w:val="22"/>
        </w:rPr>
      </w:pPr>
    </w:p>
    <w:p w14:paraId="623C0F52" w14:textId="47A0D5BD" w:rsidR="00B515AF" w:rsidRPr="0076721D" w:rsidRDefault="00B515AF" w:rsidP="00B515AF">
      <w:pPr>
        <w:pStyle w:val="Default"/>
        <w:rPr>
          <w:rFonts w:ascii="Open Sans" w:hAnsi="Open Sans" w:cs="Open Sans"/>
          <w:sz w:val="22"/>
          <w:szCs w:val="22"/>
        </w:rPr>
      </w:pPr>
      <w:r w:rsidRPr="0076721D">
        <w:rPr>
          <w:rFonts w:ascii="Open Sans" w:hAnsi="Open Sans" w:cs="Open Sans"/>
          <w:sz w:val="22"/>
          <w:szCs w:val="22"/>
        </w:rPr>
        <w:t>This is having real impact on the sector</w:t>
      </w:r>
      <w:r w:rsidR="00E05CDD" w:rsidRPr="0076721D">
        <w:rPr>
          <w:rFonts w:ascii="Open Sans" w:hAnsi="Open Sans" w:cs="Open Sans"/>
          <w:sz w:val="22"/>
          <w:szCs w:val="22"/>
        </w:rPr>
        <w:t xml:space="preserve">.  Having done a </w:t>
      </w:r>
      <w:r w:rsidR="0016139F">
        <w:rPr>
          <w:rFonts w:ascii="Open Sans" w:hAnsi="Open Sans" w:cs="Open Sans"/>
          <w:sz w:val="22"/>
          <w:szCs w:val="22"/>
        </w:rPr>
        <w:t>short</w:t>
      </w:r>
      <w:r w:rsidR="00E05CDD" w:rsidRPr="0076721D">
        <w:rPr>
          <w:rFonts w:ascii="Open Sans" w:hAnsi="Open Sans" w:cs="Open Sans"/>
          <w:sz w:val="22"/>
          <w:szCs w:val="22"/>
        </w:rPr>
        <w:t xml:space="preserve"> survey of our members we are aware of 41</w:t>
      </w:r>
      <w:r w:rsidRPr="0076721D">
        <w:rPr>
          <w:rFonts w:ascii="Open Sans" w:hAnsi="Open Sans" w:cs="Open Sans"/>
          <w:sz w:val="22"/>
          <w:szCs w:val="22"/>
        </w:rPr>
        <w:t xml:space="preserve"> separate installations, that together account for </w:t>
      </w:r>
      <w:r w:rsidR="00E05CDD" w:rsidRPr="0076721D">
        <w:rPr>
          <w:rFonts w:ascii="Open Sans" w:hAnsi="Open Sans" w:cs="Open Sans"/>
          <w:sz w:val="22"/>
          <w:szCs w:val="22"/>
        </w:rPr>
        <w:t xml:space="preserve">over 14 </w:t>
      </w:r>
      <w:r w:rsidRPr="0076721D">
        <w:rPr>
          <w:rFonts w:ascii="Open Sans" w:hAnsi="Open Sans" w:cs="Open Sans"/>
          <w:sz w:val="22"/>
          <w:szCs w:val="22"/>
        </w:rPr>
        <w:t xml:space="preserve">MW of renewable heat capacity </w:t>
      </w:r>
      <w:r w:rsidR="00095A34" w:rsidRPr="0076721D">
        <w:rPr>
          <w:rFonts w:ascii="Open Sans" w:hAnsi="Open Sans" w:cs="Open Sans"/>
          <w:sz w:val="22"/>
          <w:szCs w:val="22"/>
        </w:rPr>
        <w:t>which</w:t>
      </w:r>
      <w:r w:rsidRPr="0076721D">
        <w:rPr>
          <w:rFonts w:ascii="Open Sans" w:hAnsi="Open Sans" w:cs="Open Sans"/>
          <w:sz w:val="22"/>
          <w:szCs w:val="22"/>
        </w:rPr>
        <w:t xml:space="preserve"> could save</w:t>
      </w:r>
      <w:r w:rsidR="00E05CDD" w:rsidRPr="0076721D">
        <w:rPr>
          <w:rFonts w:ascii="Open Sans" w:hAnsi="Open Sans" w:cs="Open Sans"/>
          <w:sz w:val="22"/>
          <w:szCs w:val="22"/>
        </w:rPr>
        <w:t xml:space="preserve"> an estimated 7000</w:t>
      </w:r>
      <w:r w:rsidRPr="0076721D">
        <w:rPr>
          <w:rFonts w:ascii="Open Sans" w:hAnsi="Open Sans" w:cs="Open Sans"/>
          <w:sz w:val="22"/>
          <w:szCs w:val="22"/>
        </w:rPr>
        <w:t xml:space="preserve"> tonnes of CO2 equivalent per annum</w:t>
      </w:r>
      <w:r w:rsidR="00E05CDD" w:rsidRPr="0076721D">
        <w:rPr>
          <w:rFonts w:ascii="Open Sans" w:hAnsi="Open Sans" w:cs="Open Sans"/>
          <w:sz w:val="22"/>
          <w:szCs w:val="22"/>
        </w:rPr>
        <w:t xml:space="preserve">. These projects </w:t>
      </w:r>
      <w:r w:rsidRPr="0076721D">
        <w:rPr>
          <w:rFonts w:ascii="Open Sans" w:hAnsi="Open Sans" w:cs="Open Sans"/>
          <w:sz w:val="22"/>
          <w:szCs w:val="22"/>
        </w:rPr>
        <w:t xml:space="preserve">are now unlikely to be completed in time for the end of the scheme in March 2021. The projects all fall below the </w:t>
      </w:r>
      <w:r w:rsidR="0016139F">
        <w:rPr>
          <w:rFonts w:ascii="Open Sans" w:hAnsi="Open Sans" w:cs="Open Sans"/>
          <w:sz w:val="22"/>
          <w:szCs w:val="22"/>
        </w:rPr>
        <w:t>t</w:t>
      </w:r>
      <w:r w:rsidRPr="0076721D">
        <w:rPr>
          <w:rFonts w:ascii="Open Sans" w:hAnsi="Open Sans" w:cs="Open Sans"/>
          <w:sz w:val="22"/>
          <w:szCs w:val="22"/>
        </w:rPr>
        <w:t xml:space="preserve">ariff </w:t>
      </w:r>
      <w:r w:rsidR="0016139F">
        <w:rPr>
          <w:rFonts w:ascii="Open Sans" w:hAnsi="Open Sans" w:cs="Open Sans"/>
          <w:sz w:val="22"/>
          <w:szCs w:val="22"/>
        </w:rPr>
        <w:t>g</w:t>
      </w:r>
      <w:r w:rsidRPr="0076721D">
        <w:rPr>
          <w:rFonts w:ascii="Open Sans" w:hAnsi="Open Sans" w:cs="Open Sans"/>
          <w:sz w:val="22"/>
          <w:szCs w:val="22"/>
        </w:rPr>
        <w:t xml:space="preserve">uarantee threshold, but above that of the </w:t>
      </w:r>
      <w:r w:rsidR="0016139F">
        <w:rPr>
          <w:rFonts w:ascii="Open Sans" w:hAnsi="Open Sans" w:cs="Open Sans"/>
          <w:sz w:val="22"/>
          <w:szCs w:val="22"/>
        </w:rPr>
        <w:t>d</w:t>
      </w:r>
      <w:r w:rsidRPr="0076721D">
        <w:rPr>
          <w:rFonts w:ascii="Open Sans" w:hAnsi="Open Sans" w:cs="Open Sans"/>
          <w:sz w:val="22"/>
          <w:szCs w:val="22"/>
        </w:rPr>
        <w:t xml:space="preserve">omestic scheme, and span across different technologies. </w:t>
      </w:r>
    </w:p>
    <w:p w14:paraId="35249D73" w14:textId="7B36A985" w:rsidR="00B515AF" w:rsidRPr="0076721D" w:rsidRDefault="00B515AF" w:rsidP="00B515AF">
      <w:pPr>
        <w:pStyle w:val="Default"/>
        <w:rPr>
          <w:rFonts w:ascii="Open Sans" w:hAnsi="Open Sans" w:cs="Open Sans"/>
          <w:sz w:val="22"/>
          <w:szCs w:val="22"/>
        </w:rPr>
      </w:pPr>
    </w:p>
    <w:p w14:paraId="7B1244E8" w14:textId="06EA6036" w:rsidR="00827464" w:rsidRPr="0076721D" w:rsidRDefault="00827464" w:rsidP="00B515AF">
      <w:pPr>
        <w:pStyle w:val="Default"/>
        <w:rPr>
          <w:rFonts w:ascii="Open Sans" w:hAnsi="Open Sans" w:cs="Open Sans"/>
          <w:sz w:val="22"/>
          <w:szCs w:val="22"/>
        </w:rPr>
      </w:pPr>
    </w:p>
    <w:p w14:paraId="06C75E38" w14:textId="77777777" w:rsidR="00827464" w:rsidRPr="0076721D" w:rsidRDefault="00827464" w:rsidP="00827464">
      <w:pPr>
        <w:rPr>
          <w:rFonts w:ascii="Open Sans" w:hAnsi="Open Sans" w:cs="Open Sans"/>
          <w:szCs w:val="22"/>
        </w:rPr>
      </w:pPr>
      <w:r w:rsidRPr="0076721D">
        <w:rPr>
          <w:rFonts w:ascii="Open Sans" w:hAnsi="Open Sans" w:cs="Open Sans"/>
          <w:szCs w:val="22"/>
        </w:rPr>
        <w:lastRenderedPageBreak/>
        <w:t xml:space="preserve">The REA </w:t>
      </w:r>
      <w:proofErr w:type="spellStart"/>
      <w:r w:rsidRPr="0076721D">
        <w:rPr>
          <w:rFonts w:ascii="Open Sans" w:hAnsi="Open Sans" w:cs="Open Sans"/>
          <w:szCs w:val="22"/>
        </w:rPr>
        <w:t>REview</w:t>
      </w:r>
      <w:proofErr w:type="spellEnd"/>
      <w:r w:rsidRPr="0076721D">
        <w:rPr>
          <w:rFonts w:ascii="Open Sans" w:hAnsi="Open Sans" w:cs="Open Sans"/>
          <w:szCs w:val="22"/>
        </w:rPr>
        <w:t xml:space="preserve"> 2020</w:t>
      </w:r>
      <w:r w:rsidRPr="0076721D">
        <w:rPr>
          <w:rStyle w:val="FootnoteReference"/>
          <w:rFonts w:ascii="Open Sans" w:hAnsi="Open Sans" w:cs="Open Sans"/>
          <w:szCs w:val="22"/>
        </w:rPr>
        <w:footnoteReference w:id="2"/>
      </w:r>
      <w:r w:rsidRPr="0076721D">
        <w:rPr>
          <w:rFonts w:ascii="Open Sans" w:hAnsi="Open Sans" w:cs="Open Sans"/>
          <w:szCs w:val="22"/>
        </w:rPr>
        <w:t xml:space="preserve"> identified over 32,000 direct jobs in the heat pump, solar thermal, biomass boiler, biomass CHP and AD sectors combined in 2018. This grows to well over 44,000 jobs when you also include those employed in ancillary services such as the production of biomass for fuel. These are all sectors that are already contracting. The twelve-month gap between the end of the Non-Domestic RHI (ND RHI) and the start of Clean Heat Grant Scheme is expected to see the sector shrink further, resulting in the loss of jobs, skills exit and collapse of supply chains associated with these sectors.  </w:t>
      </w:r>
    </w:p>
    <w:p w14:paraId="29764C95" w14:textId="77777777" w:rsidR="00827464" w:rsidRPr="0076721D" w:rsidRDefault="00827464" w:rsidP="00827464">
      <w:pPr>
        <w:rPr>
          <w:rFonts w:ascii="Open Sans" w:hAnsi="Open Sans" w:cs="Open Sans"/>
          <w:szCs w:val="22"/>
        </w:rPr>
      </w:pPr>
    </w:p>
    <w:p w14:paraId="3A64B97C" w14:textId="00348902" w:rsidR="00827464" w:rsidRPr="0076721D" w:rsidRDefault="00827464" w:rsidP="00827464">
      <w:pPr>
        <w:rPr>
          <w:rFonts w:ascii="Open Sans" w:hAnsi="Open Sans" w:cs="Open Sans"/>
          <w:szCs w:val="22"/>
        </w:rPr>
      </w:pPr>
      <w:r w:rsidRPr="0076721D">
        <w:rPr>
          <w:rFonts w:ascii="Open Sans" w:hAnsi="Open Sans" w:cs="Open Sans"/>
          <w:szCs w:val="22"/>
        </w:rPr>
        <w:t>Furthermore</w:t>
      </w:r>
      <w:r w:rsidR="0076721D">
        <w:rPr>
          <w:rFonts w:ascii="Open Sans" w:hAnsi="Open Sans" w:cs="Open Sans"/>
          <w:szCs w:val="22"/>
        </w:rPr>
        <w:t>,</w:t>
      </w:r>
      <w:r w:rsidRPr="0076721D">
        <w:rPr>
          <w:rFonts w:ascii="Open Sans" w:hAnsi="Open Sans" w:cs="Open Sans"/>
          <w:szCs w:val="22"/>
        </w:rPr>
        <w:t xml:space="preserve"> with the focus of the Clean Heat Grant scheme on small-scale projects, the current supply chain is left with no future growth opportunity. As supply chains tighten and it becomes harder to access maintenance services or feedstocks, those already using renewable heat system</w:t>
      </w:r>
      <w:r w:rsidR="0016139F">
        <w:rPr>
          <w:rFonts w:ascii="Open Sans" w:hAnsi="Open Sans" w:cs="Open Sans"/>
          <w:szCs w:val="22"/>
        </w:rPr>
        <w:t>s</w:t>
      </w:r>
      <w:r w:rsidRPr="0076721D">
        <w:rPr>
          <w:rFonts w:ascii="Open Sans" w:hAnsi="Open Sans" w:cs="Open Sans"/>
          <w:szCs w:val="22"/>
        </w:rPr>
        <w:t xml:space="preserve"> are driven back to using fossil fuel alternatives – a trend which has already been observed. This will undermine the existing renewable heat sector, established by the RHI, as well as debilitate the ability of the Clean Heat Grant scheme to succeed.  </w:t>
      </w:r>
    </w:p>
    <w:p w14:paraId="6879A8B1" w14:textId="77777777" w:rsidR="00827464" w:rsidRPr="0076721D" w:rsidRDefault="00827464" w:rsidP="00B515AF">
      <w:pPr>
        <w:pStyle w:val="Default"/>
        <w:rPr>
          <w:rFonts w:ascii="Open Sans" w:hAnsi="Open Sans" w:cs="Open Sans"/>
          <w:sz w:val="22"/>
          <w:szCs w:val="22"/>
        </w:rPr>
      </w:pPr>
    </w:p>
    <w:p w14:paraId="4CEA5255" w14:textId="058E54F0" w:rsidR="00B515AF" w:rsidRDefault="00827464" w:rsidP="00B515AF">
      <w:pPr>
        <w:pStyle w:val="Default"/>
        <w:rPr>
          <w:rFonts w:ascii="Open Sans" w:hAnsi="Open Sans" w:cs="Open Sans"/>
          <w:sz w:val="22"/>
          <w:szCs w:val="22"/>
        </w:rPr>
      </w:pPr>
      <w:r w:rsidRPr="0076721D">
        <w:rPr>
          <w:rFonts w:ascii="Open Sans" w:hAnsi="Open Sans" w:cs="Open Sans"/>
          <w:sz w:val="22"/>
          <w:szCs w:val="22"/>
        </w:rPr>
        <w:t xml:space="preserve">All renewable </w:t>
      </w:r>
      <w:r w:rsidR="0076721D" w:rsidRPr="0076721D">
        <w:rPr>
          <w:rFonts w:ascii="Open Sans" w:hAnsi="Open Sans" w:cs="Open Sans"/>
          <w:sz w:val="22"/>
          <w:szCs w:val="22"/>
        </w:rPr>
        <w:t>heat</w:t>
      </w:r>
      <w:r w:rsidRPr="0076721D">
        <w:rPr>
          <w:rFonts w:ascii="Open Sans" w:hAnsi="Open Sans" w:cs="Open Sans"/>
          <w:sz w:val="22"/>
          <w:szCs w:val="22"/>
        </w:rPr>
        <w:t xml:space="preserve"> projects are currently dealing with</w:t>
      </w:r>
      <w:r w:rsidR="00B515AF" w:rsidRPr="0076721D">
        <w:rPr>
          <w:rFonts w:ascii="Open Sans" w:hAnsi="Open Sans" w:cs="Open Sans"/>
          <w:sz w:val="22"/>
          <w:szCs w:val="22"/>
        </w:rPr>
        <w:t xml:space="preserve"> COVID-19 uncertainty and have experienced difficult progressing deadlines against a backdrop of general economic uncertainty. </w:t>
      </w:r>
    </w:p>
    <w:p w14:paraId="405D4165" w14:textId="77777777" w:rsidR="0016139F" w:rsidRPr="0076721D" w:rsidRDefault="0016139F" w:rsidP="00B515AF">
      <w:pPr>
        <w:pStyle w:val="Default"/>
        <w:rPr>
          <w:rFonts w:ascii="Open Sans" w:hAnsi="Open Sans" w:cs="Open Sans"/>
          <w:sz w:val="22"/>
          <w:szCs w:val="22"/>
        </w:rPr>
      </w:pPr>
    </w:p>
    <w:p w14:paraId="54657732" w14:textId="77777777" w:rsidR="00B515AF" w:rsidRPr="0016139F" w:rsidRDefault="00B515AF" w:rsidP="00B515AF">
      <w:pPr>
        <w:pStyle w:val="Default"/>
        <w:rPr>
          <w:rFonts w:ascii="Open Sans" w:hAnsi="Open Sans" w:cs="Open Sans"/>
          <w:sz w:val="22"/>
          <w:szCs w:val="22"/>
        </w:rPr>
      </w:pPr>
      <w:r w:rsidRPr="0016139F">
        <w:rPr>
          <w:rFonts w:ascii="Open Sans" w:hAnsi="Open Sans" w:cs="Open Sans"/>
          <w:sz w:val="22"/>
          <w:szCs w:val="22"/>
        </w:rPr>
        <w:t>We ask that BEIS re-consider this decision so that existing projects can be completed, as well as provide a smooth transition to the future support for low carbon heat which is also currently being consulted on.</w:t>
      </w:r>
    </w:p>
    <w:p w14:paraId="09D0C259" w14:textId="77777777" w:rsidR="004209F9" w:rsidRPr="006852A9" w:rsidRDefault="004209F9" w:rsidP="004209F9">
      <w:pPr>
        <w:pStyle w:val="Default"/>
        <w:rPr>
          <w:rFonts w:ascii="Open Sans" w:hAnsi="Open Sans" w:cs="Open Sans"/>
          <w:color w:val="2F5496"/>
          <w:sz w:val="22"/>
          <w:szCs w:val="22"/>
        </w:rPr>
      </w:pPr>
    </w:p>
    <w:p w14:paraId="3FA4D203" w14:textId="44F9A3DA" w:rsidR="006852A9" w:rsidRPr="006852A9" w:rsidRDefault="006852A9" w:rsidP="00B515AF">
      <w:pPr>
        <w:spacing w:after="160" w:line="259" w:lineRule="auto"/>
        <w:jc w:val="left"/>
        <w:rPr>
          <w:rFonts w:ascii="Open Sans" w:hAnsi="Open Sans" w:cs="Open Sans"/>
          <w:b/>
          <w:bCs/>
          <w:i/>
          <w:iCs/>
          <w:color w:val="2F5496"/>
          <w:szCs w:val="22"/>
          <w:u w:val="single"/>
        </w:rPr>
      </w:pPr>
      <w:r w:rsidRPr="006852A9">
        <w:rPr>
          <w:rFonts w:ascii="Open Sans" w:hAnsi="Open Sans" w:cs="Open Sans"/>
          <w:b/>
          <w:bCs/>
          <w:i/>
          <w:iCs/>
          <w:color w:val="2F5496"/>
          <w:szCs w:val="22"/>
          <w:u w:val="single"/>
        </w:rPr>
        <w:t>BIOMASS QUESTIONS</w:t>
      </w:r>
    </w:p>
    <w:p w14:paraId="46EF0900" w14:textId="31199761" w:rsidR="009B412E" w:rsidRPr="0076721D" w:rsidRDefault="00B515AF" w:rsidP="00B515AF">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w:t>
      </w:r>
      <w:r w:rsidR="00F27967" w:rsidRPr="0076721D">
        <w:rPr>
          <w:rFonts w:ascii="Open Sans" w:hAnsi="Open Sans" w:cs="Open Sans"/>
          <w:b/>
          <w:bCs/>
          <w:i/>
          <w:iCs/>
          <w:color w:val="2F5496"/>
          <w:szCs w:val="22"/>
        </w:rPr>
        <w:t>0</w:t>
      </w:r>
      <w:r w:rsidRPr="0076721D">
        <w:rPr>
          <w:rFonts w:ascii="Open Sans" w:hAnsi="Open Sans" w:cs="Open Sans"/>
          <w:b/>
          <w:bCs/>
          <w:i/>
          <w:iCs/>
          <w:color w:val="2F5496"/>
          <w:szCs w:val="22"/>
        </w:rPr>
        <w:t xml:space="preserve"> - </w:t>
      </w:r>
      <w:r w:rsidR="009B412E" w:rsidRPr="0076721D">
        <w:rPr>
          <w:rFonts w:ascii="Open Sans" w:hAnsi="Open Sans" w:cs="Open Sans"/>
          <w:b/>
          <w:bCs/>
          <w:i/>
          <w:iCs/>
          <w:color w:val="2F5496"/>
          <w:szCs w:val="22"/>
        </w:rPr>
        <w:t>Are there any regulatory changes that have not been addressed by this consultation that would help to future-proof the scheme for existing participants using biomass? Please provide evidence.</w:t>
      </w:r>
    </w:p>
    <w:p w14:paraId="40F9F58E" w14:textId="1BDF626F" w:rsidR="009E0D3D" w:rsidRPr="0076721D" w:rsidRDefault="004F3552" w:rsidP="00B515AF">
      <w:pPr>
        <w:spacing w:after="160" w:line="259" w:lineRule="auto"/>
        <w:jc w:val="left"/>
        <w:rPr>
          <w:rFonts w:ascii="Open Sans" w:hAnsi="Open Sans" w:cs="Open Sans"/>
          <w:b/>
          <w:bCs/>
          <w:i/>
          <w:iCs/>
          <w:szCs w:val="22"/>
        </w:rPr>
      </w:pPr>
      <w:r w:rsidRPr="0076721D">
        <w:rPr>
          <w:rFonts w:ascii="Open Sans" w:hAnsi="Open Sans" w:cs="Open Sans"/>
          <w:b/>
          <w:bCs/>
          <w:i/>
          <w:iCs/>
          <w:szCs w:val="22"/>
        </w:rPr>
        <w:t>Change of Ownership and Location Guidance</w:t>
      </w:r>
    </w:p>
    <w:p w14:paraId="3DF3E0F0" w14:textId="5DCC7678" w:rsidR="004F3552" w:rsidRPr="0076721D" w:rsidRDefault="004F3552" w:rsidP="00B515AF">
      <w:pPr>
        <w:spacing w:after="160" w:line="259" w:lineRule="auto"/>
        <w:jc w:val="left"/>
        <w:rPr>
          <w:rFonts w:ascii="Open Sans" w:hAnsi="Open Sans" w:cs="Open Sans"/>
          <w:szCs w:val="22"/>
        </w:rPr>
      </w:pPr>
      <w:r w:rsidRPr="0076721D">
        <w:rPr>
          <w:rFonts w:ascii="Open Sans" w:hAnsi="Open Sans" w:cs="Open Sans"/>
          <w:szCs w:val="22"/>
        </w:rPr>
        <w:t xml:space="preserve">One area not mentioned in the </w:t>
      </w:r>
      <w:r w:rsidR="005C3EAC" w:rsidRPr="0076721D">
        <w:rPr>
          <w:rFonts w:ascii="Open Sans" w:hAnsi="Open Sans" w:cs="Open Sans"/>
          <w:szCs w:val="22"/>
        </w:rPr>
        <w:t>consultation</w:t>
      </w:r>
      <w:r w:rsidRPr="0076721D">
        <w:rPr>
          <w:rFonts w:ascii="Open Sans" w:hAnsi="Open Sans" w:cs="Open Sans"/>
          <w:szCs w:val="22"/>
        </w:rPr>
        <w:t xml:space="preserve">, but where guidance and the </w:t>
      </w:r>
      <w:r w:rsidR="005C3EAC" w:rsidRPr="0076721D">
        <w:rPr>
          <w:rFonts w:ascii="Open Sans" w:hAnsi="Open Sans" w:cs="Open Sans"/>
          <w:szCs w:val="22"/>
        </w:rPr>
        <w:t xml:space="preserve">administrative </w:t>
      </w:r>
      <w:r w:rsidRPr="0076721D">
        <w:rPr>
          <w:rFonts w:ascii="Open Sans" w:hAnsi="Open Sans" w:cs="Open Sans"/>
          <w:szCs w:val="22"/>
        </w:rPr>
        <w:t>process needs significant improvement</w:t>
      </w:r>
      <w:r w:rsidR="00EB4D34" w:rsidRPr="0076721D">
        <w:rPr>
          <w:rFonts w:ascii="Open Sans" w:hAnsi="Open Sans" w:cs="Open Sans"/>
          <w:szCs w:val="22"/>
        </w:rPr>
        <w:t xml:space="preserve">, </w:t>
      </w:r>
      <w:r w:rsidRPr="0076721D">
        <w:rPr>
          <w:rFonts w:ascii="Open Sans" w:hAnsi="Open Sans" w:cs="Open Sans"/>
          <w:szCs w:val="22"/>
        </w:rPr>
        <w:t xml:space="preserve">is on </w:t>
      </w:r>
      <w:r w:rsidR="00EB4D34" w:rsidRPr="0076721D">
        <w:rPr>
          <w:rFonts w:ascii="Open Sans" w:hAnsi="Open Sans" w:cs="Open Sans"/>
          <w:szCs w:val="22"/>
        </w:rPr>
        <w:t xml:space="preserve">RHI </w:t>
      </w:r>
      <w:r w:rsidR="0016139F">
        <w:rPr>
          <w:rFonts w:ascii="Open Sans" w:hAnsi="Open Sans" w:cs="Open Sans"/>
          <w:szCs w:val="22"/>
        </w:rPr>
        <w:t>re</w:t>
      </w:r>
      <w:r w:rsidR="005C3EAC" w:rsidRPr="0076721D">
        <w:rPr>
          <w:rFonts w:ascii="Open Sans" w:hAnsi="Open Sans" w:cs="Open Sans"/>
          <w:szCs w:val="22"/>
        </w:rPr>
        <w:t>applications</w:t>
      </w:r>
      <w:r w:rsidR="0016139F">
        <w:rPr>
          <w:rFonts w:ascii="Open Sans" w:hAnsi="Open Sans" w:cs="Open Sans"/>
          <w:szCs w:val="22"/>
        </w:rPr>
        <w:t xml:space="preserve"> for</w:t>
      </w:r>
      <w:r w:rsidR="005C3EAC" w:rsidRPr="0076721D">
        <w:rPr>
          <w:rFonts w:ascii="Open Sans" w:hAnsi="Open Sans" w:cs="Open Sans"/>
          <w:szCs w:val="22"/>
        </w:rPr>
        <w:t xml:space="preserve"> change</w:t>
      </w:r>
      <w:r w:rsidR="0016139F">
        <w:rPr>
          <w:rFonts w:ascii="Open Sans" w:hAnsi="Open Sans" w:cs="Open Sans"/>
          <w:szCs w:val="22"/>
        </w:rPr>
        <w:t xml:space="preserve"> of</w:t>
      </w:r>
      <w:r w:rsidR="00EB4D34" w:rsidRPr="0076721D">
        <w:rPr>
          <w:rFonts w:ascii="Open Sans" w:hAnsi="Open Sans" w:cs="Open Sans"/>
          <w:szCs w:val="22"/>
        </w:rPr>
        <w:t xml:space="preserve"> </w:t>
      </w:r>
      <w:r w:rsidR="005C3EAC" w:rsidRPr="0076721D">
        <w:rPr>
          <w:rFonts w:ascii="Open Sans" w:hAnsi="Open Sans" w:cs="Open Sans"/>
          <w:szCs w:val="22"/>
        </w:rPr>
        <w:t>ownership</w:t>
      </w:r>
      <w:r w:rsidR="00EB4D34" w:rsidRPr="0076721D">
        <w:rPr>
          <w:rFonts w:ascii="Open Sans" w:hAnsi="Open Sans" w:cs="Open Sans"/>
          <w:szCs w:val="22"/>
        </w:rPr>
        <w:t xml:space="preserve"> or</w:t>
      </w:r>
      <w:r w:rsidR="005C3EAC" w:rsidRPr="0076721D">
        <w:rPr>
          <w:rFonts w:ascii="Open Sans" w:hAnsi="Open Sans" w:cs="Open Sans"/>
          <w:szCs w:val="22"/>
        </w:rPr>
        <w:t xml:space="preserve"> location</w:t>
      </w:r>
      <w:r w:rsidR="00EB4D34" w:rsidRPr="0076721D">
        <w:rPr>
          <w:rFonts w:ascii="Open Sans" w:hAnsi="Open Sans" w:cs="Open Sans"/>
          <w:szCs w:val="22"/>
        </w:rPr>
        <w:t xml:space="preserve"> o</w:t>
      </w:r>
      <w:r w:rsidR="0016139F">
        <w:rPr>
          <w:rFonts w:ascii="Open Sans" w:hAnsi="Open Sans" w:cs="Open Sans"/>
          <w:szCs w:val="22"/>
        </w:rPr>
        <w:t>n</w:t>
      </w:r>
      <w:r w:rsidR="00EB4D34" w:rsidRPr="0076721D">
        <w:rPr>
          <w:rFonts w:ascii="Open Sans" w:hAnsi="Open Sans" w:cs="Open Sans"/>
          <w:szCs w:val="22"/>
        </w:rPr>
        <w:t xml:space="preserve"> accredited </w:t>
      </w:r>
      <w:r w:rsidR="006E1636">
        <w:rPr>
          <w:rFonts w:ascii="Open Sans" w:hAnsi="Open Sans" w:cs="Open Sans"/>
          <w:szCs w:val="22"/>
        </w:rPr>
        <w:t>projects.</w:t>
      </w:r>
    </w:p>
    <w:p w14:paraId="1D7A6029" w14:textId="07D7719A" w:rsidR="005C3EAC" w:rsidRPr="0076721D" w:rsidRDefault="005C3EAC" w:rsidP="00B515AF">
      <w:pPr>
        <w:spacing w:after="160" w:line="259" w:lineRule="auto"/>
        <w:jc w:val="left"/>
        <w:rPr>
          <w:rFonts w:ascii="Open Sans" w:hAnsi="Open Sans" w:cs="Open Sans"/>
          <w:szCs w:val="22"/>
        </w:rPr>
      </w:pPr>
      <w:r w:rsidRPr="0076721D">
        <w:rPr>
          <w:rFonts w:ascii="Open Sans" w:hAnsi="Open Sans" w:cs="Open Sans"/>
          <w:szCs w:val="22"/>
        </w:rPr>
        <w:t xml:space="preserve">The </w:t>
      </w:r>
      <w:r w:rsidR="0086042A" w:rsidRPr="0076721D">
        <w:rPr>
          <w:rFonts w:ascii="Open Sans" w:hAnsi="Open Sans" w:cs="Open Sans"/>
          <w:szCs w:val="22"/>
        </w:rPr>
        <w:t>required regulation</w:t>
      </w:r>
      <w:r w:rsidRPr="0076721D">
        <w:rPr>
          <w:rFonts w:ascii="Open Sans" w:hAnsi="Open Sans" w:cs="Open Sans"/>
          <w:szCs w:val="22"/>
        </w:rPr>
        <w:t xml:space="preserve"> </w:t>
      </w:r>
      <w:r w:rsidR="0086042A" w:rsidRPr="0076721D">
        <w:rPr>
          <w:rFonts w:ascii="Open Sans" w:hAnsi="Open Sans" w:cs="Open Sans"/>
          <w:szCs w:val="22"/>
        </w:rPr>
        <w:t>is well</w:t>
      </w:r>
      <w:r w:rsidRPr="0076721D">
        <w:rPr>
          <w:rFonts w:ascii="Open Sans" w:hAnsi="Open Sans" w:cs="Open Sans"/>
          <w:szCs w:val="22"/>
        </w:rPr>
        <w:t xml:space="preserve"> covered in Part 6 (54 &amp; 55), </w:t>
      </w:r>
      <w:r w:rsidR="0086042A" w:rsidRPr="0076721D">
        <w:rPr>
          <w:rFonts w:ascii="Open Sans" w:hAnsi="Open Sans" w:cs="Open Sans"/>
          <w:szCs w:val="22"/>
        </w:rPr>
        <w:t xml:space="preserve">of the RHI </w:t>
      </w:r>
      <w:r w:rsidR="006E1636">
        <w:rPr>
          <w:rFonts w:ascii="Open Sans" w:hAnsi="Open Sans" w:cs="Open Sans"/>
          <w:szCs w:val="22"/>
        </w:rPr>
        <w:t>l</w:t>
      </w:r>
      <w:r w:rsidR="0086042A" w:rsidRPr="0076721D">
        <w:rPr>
          <w:rFonts w:ascii="Open Sans" w:hAnsi="Open Sans" w:cs="Open Sans"/>
          <w:szCs w:val="22"/>
        </w:rPr>
        <w:t>egislation, h</w:t>
      </w:r>
      <w:r w:rsidRPr="0076721D">
        <w:rPr>
          <w:rFonts w:ascii="Open Sans" w:hAnsi="Open Sans" w:cs="Open Sans"/>
          <w:szCs w:val="22"/>
        </w:rPr>
        <w:t>owever, t</w:t>
      </w:r>
      <w:r w:rsidR="004F3552" w:rsidRPr="0076721D">
        <w:rPr>
          <w:rFonts w:ascii="Open Sans" w:hAnsi="Open Sans" w:cs="Open Sans"/>
          <w:szCs w:val="22"/>
        </w:rPr>
        <w:t>he REA regularly receive complaints from members regarding the length of time require</w:t>
      </w:r>
      <w:r w:rsidR="0086042A" w:rsidRPr="0076721D">
        <w:rPr>
          <w:rFonts w:ascii="Open Sans" w:hAnsi="Open Sans" w:cs="Open Sans"/>
          <w:szCs w:val="22"/>
        </w:rPr>
        <w:t>d for such reapplications to be completed and the lack of transparency around the process  or evidence</w:t>
      </w:r>
      <w:r w:rsidR="006C1807" w:rsidRPr="0076721D">
        <w:rPr>
          <w:rFonts w:ascii="Open Sans" w:hAnsi="Open Sans" w:cs="Open Sans"/>
          <w:szCs w:val="22"/>
        </w:rPr>
        <w:t xml:space="preserve"> </w:t>
      </w:r>
      <w:r w:rsidR="0086042A" w:rsidRPr="0076721D">
        <w:rPr>
          <w:rFonts w:ascii="Open Sans" w:hAnsi="Open Sans" w:cs="Open Sans"/>
          <w:szCs w:val="22"/>
        </w:rPr>
        <w:t>required</w:t>
      </w:r>
      <w:r w:rsidR="006C1807" w:rsidRPr="0076721D">
        <w:rPr>
          <w:rFonts w:ascii="Open Sans" w:hAnsi="Open Sans" w:cs="Open Sans"/>
          <w:szCs w:val="22"/>
        </w:rPr>
        <w:t xml:space="preserve"> by Ofgem</w:t>
      </w:r>
      <w:r w:rsidR="0086042A" w:rsidRPr="0076721D">
        <w:rPr>
          <w:rFonts w:ascii="Open Sans" w:hAnsi="Open Sans" w:cs="Open Sans"/>
          <w:szCs w:val="22"/>
        </w:rPr>
        <w:t xml:space="preserve">. A twelve-month delay is not uncommon in the cases reported to us, </w:t>
      </w:r>
      <w:r w:rsidR="006C1807" w:rsidRPr="0076721D">
        <w:rPr>
          <w:rFonts w:ascii="Open Sans" w:hAnsi="Open Sans" w:cs="Open Sans"/>
          <w:szCs w:val="22"/>
        </w:rPr>
        <w:t>which results in significant loss of RHI revenue</w:t>
      </w:r>
      <w:r w:rsidR="0078232D" w:rsidRPr="0076721D">
        <w:rPr>
          <w:rFonts w:ascii="Open Sans" w:hAnsi="Open Sans" w:cs="Open Sans"/>
          <w:szCs w:val="22"/>
        </w:rPr>
        <w:t>.</w:t>
      </w:r>
    </w:p>
    <w:p w14:paraId="6DC7C7E5" w14:textId="7D69153D" w:rsidR="001469D9" w:rsidRPr="0076721D" w:rsidRDefault="0078232D" w:rsidP="00B515AF">
      <w:pPr>
        <w:spacing w:after="160" w:line="259" w:lineRule="auto"/>
        <w:jc w:val="left"/>
        <w:rPr>
          <w:rFonts w:ascii="Open Sans" w:hAnsi="Open Sans" w:cs="Open Sans"/>
          <w:szCs w:val="22"/>
        </w:rPr>
      </w:pPr>
      <w:r w:rsidRPr="0076721D">
        <w:rPr>
          <w:rFonts w:ascii="Open Sans" w:hAnsi="Open Sans" w:cs="Open Sans"/>
          <w:szCs w:val="22"/>
        </w:rPr>
        <w:t>There seems to be further complications concerning eligible heat use</w:t>
      </w:r>
      <w:r w:rsidR="001469D9" w:rsidRPr="0076721D">
        <w:rPr>
          <w:rFonts w:ascii="Open Sans" w:hAnsi="Open Sans" w:cs="Open Sans"/>
          <w:szCs w:val="22"/>
        </w:rPr>
        <w:t>s in these cases. A</w:t>
      </w:r>
      <w:r w:rsidRPr="0076721D">
        <w:rPr>
          <w:rFonts w:ascii="Open Sans" w:hAnsi="Open Sans" w:cs="Open Sans"/>
          <w:szCs w:val="22"/>
        </w:rPr>
        <w:t xml:space="preserve">s far as </w:t>
      </w:r>
      <w:r w:rsidR="006E1636">
        <w:rPr>
          <w:rFonts w:ascii="Open Sans" w:hAnsi="Open Sans" w:cs="Open Sans"/>
          <w:szCs w:val="22"/>
        </w:rPr>
        <w:t>has been reported</w:t>
      </w:r>
      <w:r w:rsidRPr="0076721D">
        <w:rPr>
          <w:rFonts w:ascii="Open Sans" w:hAnsi="Open Sans" w:cs="Open Sans"/>
          <w:szCs w:val="22"/>
        </w:rPr>
        <w:t>, there is no agreed</w:t>
      </w:r>
      <w:r w:rsidR="001469D9" w:rsidRPr="0076721D">
        <w:rPr>
          <w:rFonts w:ascii="Open Sans" w:hAnsi="Open Sans" w:cs="Open Sans"/>
          <w:szCs w:val="22"/>
        </w:rPr>
        <w:t xml:space="preserve"> standard technical assurance that Ofgem currently accepts in proving an ongoing heat requirement when the original accredited heat use falls outside of the 2018 RHI eligible heat reforms. </w:t>
      </w:r>
    </w:p>
    <w:p w14:paraId="7A10F4D6" w14:textId="4EB82893" w:rsidR="001469D9" w:rsidRPr="0076721D" w:rsidRDefault="006E1636" w:rsidP="00A35319">
      <w:pPr>
        <w:spacing w:after="160" w:line="259" w:lineRule="auto"/>
        <w:jc w:val="left"/>
        <w:rPr>
          <w:rFonts w:ascii="Open Sans" w:hAnsi="Open Sans" w:cs="Open Sans"/>
          <w:szCs w:val="22"/>
        </w:rPr>
      </w:pPr>
      <w:r w:rsidRPr="0076721D">
        <w:rPr>
          <w:rFonts w:ascii="Open Sans" w:hAnsi="Open Sans" w:cs="Open Sans"/>
          <w:szCs w:val="22"/>
        </w:rPr>
        <w:lastRenderedPageBreak/>
        <w:t>Clear guidance and a transparent process for</w:t>
      </w:r>
      <w:r>
        <w:rPr>
          <w:rFonts w:ascii="Open Sans" w:hAnsi="Open Sans" w:cs="Open Sans"/>
          <w:szCs w:val="22"/>
        </w:rPr>
        <w:t xml:space="preserve"> facilitating change of ownership and location requested is </w:t>
      </w:r>
      <w:r w:rsidRPr="0076721D">
        <w:rPr>
          <w:rFonts w:ascii="Open Sans" w:hAnsi="Open Sans" w:cs="Open Sans"/>
          <w:szCs w:val="22"/>
        </w:rPr>
        <w:t>urgently needed before the schemes closure</w:t>
      </w:r>
      <w:r>
        <w:rPr>
          <w:rFonts w:ascii="Open Sans" w:hAnsi="Open Sans" w:cs="Open Sans"/>
          <w:szCs w:val="22"/>
        </w:rPr>
        <w:t xml:space="preserve">, after which we can expect to see increasing numbers of such requests. </w:t>
      </w:r>
    </w:p>
    <w:p w14:paraId="63D34594" w14:textId="512B02A2" w:rsidR="00A35319" w:rsidRPr="0076721D" w:rsidRDefault="00B515AF" w:rsidP="00A35319">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w:t>
      </w:r>
      <w:r w:rsidR="00F27967" w:rsidRPr="0076721D">
        <w:rPr>
          <w:rFonts w:ascii="Open Sans" w:hAnsi="Open Sans" w:cs="Open Sans"/>
          <w:b/>
          <w:bCs/>
          <w:i/>
          <w:iCs/>
          <w:color w:val="2F5496"/>
          <w:szCs w:val="22"/>
        </w:rPr>
        <w:t>1</w:t>
      </w:r>
      <w:r w:rsidRPr="0076721D">
        <w:rPr>
          <w:rFonts w:ascii="Open Sans" w:hAnsi="Open Sans" w:cs="Open Sans"/>
          <w:b/>
          <w:bCs/>
          <w:i/>
          <w:iCs/>
          <w:color w:val="2F5496"/>
          <w:szCs w:val="22"/>
        </w:rPr>
        <w:t xml:space="preserve"> - </w:t>
      </w:r>
      <w:r w:rsidR="009B412E" w:rsidRPr="0076721D">
        <w:rPr>
          <w:rFonts w:ascii="Open Sans" w:hAnsi="Open Sans" w:cs="Open Sans"/>
          <w:b/>
          <w:bCs/>
          <w:i/>
          <w:iCs/>
          <w:color w:val="2F5496"/>
          <w:szCs w:val="22"/>
        </w:rPr>
        <w:t>Should fuel quality be a mandatory criterion for approved feedstock accreditation bodies? Yes/No</w:t>
      </w:r>
    </w:p>
    <w:p w14:paraId="3EACD147" w14:textId="662B394C" w:rsidR="00A35319" w:rsidRPr="0076721D" w:rsidRDefault="00A35319" w:rsidP="009E0D3D">
      <w:pPr>
        <w:pStyle w:val="Default"/>
        <w:rPr>
          <w:rFonts w:ascii="Open Sans" w:hAnsi="Open Sans" w:cs="Open Sans"/>
          <w:sz w:val="22"/>
          <w:szCs w:val="22"/>
        </w:rPr>
      </w:pPr>
      <w:r w:rsidRPr="0076721D">
        <w:rPr>
          <w:rFonts w:ascii="Open Sans" w:hAnsi="Open Sans" w:cs="Open Sans"/>
          <w:sz w:val="22"/>
          <w:szCs w:val="22"/>
        </w:rPr>
        <w:t xml:space="preserve">Yes. </w:t>
      </w:r>
    </w:p>
    <w:p w14:paraId="5DE71BFD" w14:textId="77777777" w:rsidR="00A35319" w:rsidRPr="0076721D" w:rsidRDefault="00A35319" w:rsidP="009E0D3D">
      <w:pPr>
        <w:pStyle w:val="Default"/>
        <w:rPr>
          <w:rFonts w:ascii="Open Sans" w:hAnsi="Open Sans" w:cs="Open Sans"/>
          <w:sz w:val="22"/>
          <w:szCs w:val="22"/>
        </w:rPr>
      </w:pPr>
    </w:p>
    <w:p w14:paraId="2E2AD5E7" w14:textId="4FAF8AC3" w:rsidR="00E04A36" w:rsidRPr="0076721D" w:rsidRDefault="000621F7" w:rsidP="00E04A36">
      <w:pPr>
        <w:pStyle w:val="Default"/>
        <w:jc w:val="both"/>
        <w:rPr>
          <w:rFonts w:ascii="Open Sans" w:hAnsi="Open Sans" w:cs="Open Sans"/>
          <w:sz w:val="22"/>
          <w:szCs w:val="22"/>
        </w:rPr>
      </w:pPr>
      <w:r w:rsidRPr="0076721D">
        <w:rPr>
          <w:rFonts w:ascii="Open Sans" w:hAnsi="Open Sans" w:cs="Open Sans"/>
          <w:b/>
          <w:bCs/>
          <w:sz w:val="22"/>
          <w:szCs w:val="22"/>
        </w:rPr>
        <w:t>The industry recognises the need for</w:t>
      </w:r>
      <w:r w:rsidR="00A35319" w:rsidRPr="0076721D">
        <w:rPr>
          <w:rFonts w:ascii="Open Sans" w:hAnsi="Open Sans" w:cs="Open Sans"/>
          <w:b/>
          <w:bCs/>
          <w:sz w:val="22"/>
          <w:szCs w:val="22"/>
        </w:rPr>
        <w:t xml:space="preserve"> fuel quality</w:t>
      </w:r>
      <w:r w:rsidRPr="0076721D">
        <w:rPr>
          <w:rFonts w:ascii="Open Sans" w:hAnsi="Open Sans" w:cs="Open Sans"/>
          <w:b/>
          <w:bCs/>
          <w:sz w:val="22"/>
          <w:szCs w:val="22"/>
        </w:rPr>
        <w:t xml:space="preserve"> to be included as part of approved feedstock accreditation bodies and that better compliance in this regard will both help air quality and the efficient running of biomass boilers. </w:t>
      </w:r>
      <w:r w:rsidR="00846B6E" w:rsidRPr="0076721D">
        <w:rPr>
          <w:rFonts w:ascii="Open Sans" w:hAnsi="Open Sans" w:cs="Open Sans"/>
          <w:b/>
          <w:bCs/>
          <w:sz w:val="22"/>
          <w:szCs w:val="22"/>
        </w:rPr>
        <w:t xml:space="preserve"> </w:t>
      </w:r>
      <w:r w:rsidR="00E04A36" w:rsidRPr="0076721D">
        <w:rPr>
          <w:rFonts w:ascii="Open Sans" w:hAnsi="Open Sans" w:cs="Open Sans"/>
          <w:sz w:val="22"/>
          <w:szCs w:val="22"/>
        </w:rPr>
        <w:t xml:space="preserve">The REA also support the work that has been done with the BSL to examine the options for delivering the required fuel quality standard. </w:t>
      </w:r>
    </w:p>
    <w:p w14:paraId="375F7E38" w14:textId="77777777" w:rsidR="009A051D" w:rsidRPr="0076721D" w:rsidRDefault="009A051D" w:rsidP="009A051D">
      <w:pPr>
        <w:pStyle w:val="Default"/>
        <w:jc w:val="both"/>
        <w:rPr>
          <w:rFonts w:ascii="Open Sans" w:hAnsi="Open Sans" w:cs="Open Sans"/>
          <w:sz w:val="22"/>
          <w:szCs w:val="22"/>
        </w:rPr>
      </w:pPr>
    </w:p>
    <w:p w14:paraId="7FA29AAD" w14:textId="57382C29" w:rsidR="009A051D" w:rsidRPr="0076721D" w:rsidRDefault="009A051D" w:rsidP="009A051D">
      <w:pPr>
        <w:pStyle w:val="Default"/>
        <w:jc w:val="both"/>
        <w:rPr>
          <w:rFonts w:ascii="Open Sans" w:hAnsi="Open Sans" w:cs="Open Sans"/>
          <w:sz w:val="22"/>
          <w:szCs w:val="22"/>
        </w:rPr>
      </w:pPr>
      <w:r w:rsidRPr="0076721D">
        <w:rPr>
          <w:rFonts w:ascii="Open Sans" w:hAnsi="Open Sans" w:cs="Open Sans"/>
          <w:sz w:val="22"/>
          <w:szCs w:val="22"/>
        </w:rPr>
        <w:t>Overall, we agree with proposed fuel quality standards, namely:</w:t>
      </w:r>
    </w:p>
    <w:p w14:paraId="73D357F6" w14:textId="77777777" w:rsidR="009A051D" w:rsidRPr="0076721D" w:rsidRDefault="009A051D" w:rsidP="009A051D">
      <w:pPr>
        <w:pStyle w:val="Default"/>
        <w:numPr>
          <w:ilvl w:val="0"/>
          <w:numId w:val="9"/>
        </w:numPr>
        <w:rPr>
          <w:rFonts w:ascii="Open Sans" w:hAnsi="Open Sans" w:cs="Open Sans"/>
          <w:sz w:val="22"/>
          <w:szCs w:val="22"/>
        </w:rPr>
      </w:pPr>
      <w:r w:rsidRPr="0076721D">
        <w:rPr>
          <w:rFonts w:ascii="Open Sans" w:hAnsi="Open Sans" w:cs="Open Sans"/>
          <w:sz w:val="22"/>
          <w:szCs w:val="22"/>
        </w:rPr>
        <w:t>all wood pellets to meet the EN Plus A1 standard or an equivalent standard</w:t>
      </w:r>
    </w:p>
    <w:p w14:paraId="0DE25FD9" w14:textId="17F22C55" w:rsidR="009A051D" w:rsidRPr="0076721D" w:rsidRDefault="009A051D" w:rsidP="009A051D">
      <w:pPr>
        <w:pStyle w:val="Default"/>
        <w:numPr>
          <w:ilvl w:val="0"/>
          <w:numId w:val="9"/>
        </w:numPr>
        <w:rPr>
          <w:rFonts w:ascii="Open Sans" w:hAnsi="Open Sans" w:cs="Open Sans"/>
          <w:sz w:val="22"/>
          <w:szCs w:val="22"/>
        </w:rPr>
      </w:pPr>
      <w:r w:rsidRPr="0076721D">
        <w:rPr>
          <w:rFonts w:ascii="Open Sans" w:hAnsi="Open Sans" w:cs="Open Sans"/>
          <w:sz w:val="22"/>
          <w:szCs w:val="22"/>
        </w:rPr>
        <w:t>all other wood fuels (such as chip) to meet fuel quality standard EN15234/SO 9001, and EN17225, or equivalent.</w:t>
      </w:r>
    </w:p>
    <w:p w14:paraId="78C5E746" w14:textId="7AA48C2C" w:rsidR="009A051D" w:rsidRPr="0076721D" w:rsidRDefault="009A051D" w:rsidP="009A051D">
      <w:pPr>
        <w:pStyle w:val="Default"/>
        <w:numPr>
          <w:ilvl w:val="0"/>
          <w:numId w:val="9"/>
        </w:numPr>
        <w:jc w:val="both"/>
        <w:rPr>
          <w:rFonts w:ascii="Open Sans" w:hAnsi="Open Sans" w:cs="Open Sans"/>
          <w:sz w:val="22"/>
          <w:szCs w:val="22"/>
        </w:rPr>
      </w:pPr>
      <w:r w:rsidRPr="0076721D">
        <w:rPr>
          <w:rFonts w:ascii="Open Sans" w:hAnsi="Open Sans" w:cs="Open Sans"/>
          <w:sz w:val="22"/>
          <w:szCs w:val="22"/>
        </w:rPr>
        <w:t xml:space="preserve">all wood fuels to provide assurance of their supply chain, and that they </w:t>
      </w:r>
      <w:r w:rsidR="004A2476" w:rsidRPr="0076721D">
        <w:rPr>
          <w:rFonts w:ascii="Open Sans" w:hAnsi="Open Sans" w:cs="Open Sans"/>
          <w:sz w:val="22"/>
          <w:szCs w:val="22"/>
        </w:rPr>
        <w:t>meet the</w:t>
      </w:r>
      <w:r w:rsidRPr="0076721D">
        <w:rPr>
          <w:rFonts w:ascii="Open Sans" w:hAnsi="Open Sans" w:cs="Open Sans"/>
          <w:sz w:val="22"/>
          <w:szCs w:val="22"/>
        </w:rPr>
        <w:t xml:space="preserve"> standards above, through certification by the </w:t>
      </w:r>
      <w:proofErr w:type="spellStart"/>
      <w:r w:rsidRPr="0076721D">
        <w:rPr>
          <w:rFonts w:ascii="Open Sans" w:hAnsi="Open Sans" w:cs="Open Sans"/>
          <w:sz w:val="22"/>
          <w:szCs w:val="22"/>
        </w:rPr>
        <w:t>Woodsure</w:t>
      </w:r>
      <w:proofErr w:type="spellEnd"/>
      <w:r w:rsidRPr="0076721D">
        <w:rPr>
          <w:rFonts w:ascii="Open Sans" w:hAnsi="Open Sans" w:cs="Open Sans"/>
          <w:sz w:val="22"/>
          <w:szCs w:val="22"/>
        </w:rPr>
        <w:t xml:space="preserve"> Certification</w:t>
      </w:r>
      <w:r w:rsidR="004A2476" w:rsidRPr="0076721D">
        <w:rPr>
          <w:rFonts w:ascii="Open Sans" w:hAnsi="Open Sans" w:cs="Open Sans"/>
          <w:sz w:val="22"/>
          <w:szCs w:val="22"/>
        </w:rPr>
        <w:t xml:space="preserve"> </w:t>
      </w:r>
      <w:r w:rsidRPr="0076721D">
        <w:rPr>
          <w:rFonts w:ascii="Open Sans" w:hAnsi="Open Sans" w:cs="Open Sans"/>
          <w:sz w:val="22"/>
          <w:szCs w:val="22"/>
        </w:rPr>
        <w:t xml:space="preserve">scheme to test against these standards, or an equivalent </w:t>
      </w:r>
      <w:proofErr w:type="gramStart"/>
      <w:r w:rsidRPr="0076721D">
        <w:rPr>
          <w:rFonts w:ascii="Open Sans" w:hAnsi="Open Sans" w:cs="Open Sans"/>
          <w:sz w:val="22"/>
          <w:szCs w:val="22"/>
        </w:rPr>
        <w:t>scheme..</w:t>
      </w:r>
      <w:proofErr w:type="gramEnd"/>
      <w:r w:rsidRPr="0076721D">
        <w:rPr>
          <w:rFonts w:ascii="Open Sans" w:hAnsi="Open Sans" w:cs="Open Sans"/>
          <w:sz w:val="22"/>
          <w:szCs w:val="22"/>
        </w:rPr>
        <w:t xml:space="preserve"> </w:t>
      </w:r>
    </w:p>
    <w:p w14:paraId="1C6B398D" w14:textId="77777777" w:rsidR="00E04A36" w:rsidRPr="0076721D" w:rsidRDefault="00E04A36" w:rsidP="00E04A36">
      <w:pPr>
        <w:pStyle w:val="Default"/>
        <w:jc w:val="both"/>
        <w:rPr>
          <w:rFonts w:ascii="Open Sans" w:hAnsi="Open Sans" w:cs="Open Sans"/>
          <w:sz w:val="22"/>
          <w:szCs w:val="22"/>
        </w:rPr>
      </w:pPr>
    </w:p>
    <w:p w14:paraId="54B97A66" w14:textId="09F98066" w:rsidR="009A051D" w:rsidRPr="0076721D" w:rsidRDefault="00846B6E" w:rsidP="00846B6E">
      <w:pPr>
        <w:pStyle w:val="Default"/>
        <w:jc w:val="both"/>
        <w:rPr>
          <w:rFonts w:ascii="Open Sans" w:hAnsi="Open Sans" w:cs="Open Sans"/>
          <w:sz w:val="22"/>
          <w:szCs w:val="22"/>
        </w:rPr>
      </w:pPr>
      <w:r w:rsidRPr="0076721D">
        <w:rPr>
          <w:rFonts w:ascii="Open Sans" w:hAnsi="Open Sans" w:cs="Open Sans"/>
          <w:sz w:val="22"/>
          <w:szCs w:val="22"/>
        </w:rPr>
        <w:t xml:space="preserve">However, the industry is concerned about </w:t>
      </w:r>
      <w:r w:rsidR="005C7025" w:rsidRPr="0076721D">
        <w:rPr>
          <w:rFonts w:ascii="Open Sans" w:hAnsi="Open Sans" w:cs="Open Sans"/>
          <w:sz w:val="22"/>
          <w:szCs w:val="22"/>
        </w:rPr>
        <w:t xml:space="preserve">any </w:t>
      </w:r>
      <w:r w:rsidRPr="0076721D">
        <w:rPr>
          <w:rFonts w:ascii="Open Sans" w:hAnsi="Open Sans" w:cs="Open Sans"/>
          <w:sz w:val="22"/>
          <w:szCs w:val="22"/>
        </w:rPr>
        <w:t xml:space="preserve">additional administrative burden placed on </w:t>
      </w:r>
      <w:r w:rsidR="00E04A36" w:rsidRPr="0076721D">
        <w:rPr>
          <w:rFonts w:ascii="Open Sans" w:hAnsi="Open Sans" w:cs="Open Sans"/>
          <w:sz w:val="22"/>
          <w:szCs w:val="22"/>
        </w:rPr>
        <w:t xml:space="preserve">suppliers </w:t>
      </w:r>
      <w:r w:rsidR="005C7025" w:rsidRPr="0076721D">
        <w:rPr>
          <w:rFonts w:ascii="Open Sans" w:hAnsi="Open Sans" w:cs="Open Sans"/>
          <w:sz w:val="22"/>
          <w:szCs w:val="22"/>
        </w:rPr>
        <w:t>or</w:t>
      </w:r>
      <w:r w:rsidR="00E04A36" w:rsidRPr="0076721D">
        <w:rPr>
          <w:rFonts w:ascii="Open Sans" w:hAnsi="Open Sans" w:cs="Open Sans"/>
          <w:sz w:val="22"/>
          <w:szCs w:val="22"/>
        </w:rPr>
        <w:t xml:space="preserve"> consumers</w:t>
      </w:r>
      <w:r w:rsidRPr="0076721D">
        <w:rPr>
          <w:rFonts w:ascii="Open Sans" w:hAnsi="Open Sans" w:cs="Open Sans"/>
          <w:sz w:val="22"/>
          <w:szCs w:val="22"/>
        </w:rPr>
        <w:t>.</w:t>
      </w:r>
      <w:r w:rsidR="00A35319" w:rsidRPr="0076721D">
        <w:rPr>
          <w:rFonts w:ascii="Open Sans" w:hAnsi="Open Sans" w:cs="Open Sans"/>
          <w:sz w:val="22"/>
          <w:szCs w:val="22"/>
        </w:rPr>
        <w:t xml:space="preserve"> </w:t>
      </w:r>
      <w:r w:rsidR="00136D65" w:rsidRPr="0076721D">
        <w:rPr>
          <w:rFonts w:ascii="Open Sans" w:hAnsi="Open Sans" w:cs="Open Sans"/>
          <w:sz w:val="22"/>
          <w:szCs w:val="22"/>
        </w:rPr>
        <w:t xml:space="preserve">A significant proportion of accredited sites already adhere to the above standards </w:t>
      </w:r>
      <w:r w:rsidR="004A2476" w:rsidRPr="0076721D">
        <w:rPr>
          <w:rFonts w:ascii="Open Sans" w:hAnsi="Open Sans" w:cs="Open Sans"/>
          <w:sz w:val="22"/>
          <w:szCs w:val="22"/>
        </w:rPr>
        <w:t>in line</w:t>
      </w:r>
      <w:r w:rsidR="00136D65" w:rsidRPr="0076721D">
        <w:rPr>
          <w:rFonts w:ascii="Open Sans" w:hAnsi="Open Sans" w:cs="Open Sans"/>
          <w:sz w:val="22"/>
          <w:szCs w:val="22"/>
        </w:rPr>
        <w:t xml:space="preserve"> with </w:t>
      </w:r>
      <w:proofErr w:type="spellStart"/>
      <w:r w:rsidR="00920588" w:rsidRPr="0076721D">
        <w:rPr>
          <w:rFonts w:ascii="Open Sans" w:hAnsi="Open Sans" w:cs="Open Sans"/>
          <w:sz w:val="22"/>
          <w:szCs w:val="22"/>
        </w:rPr>
        <w:t>W</w:t>
      </w:r>
      <w:r w:rsidR="00136D65" w:rsidRPr="0076721D">
        <w:rPr>
          <w:rFonts w:ascii="Open Sans" w:hAnsi="Open Sans" w:cs="Open Sans"/>
          <w:sz w:val="22"/>
          <w:szCs w:val="22"/>
        </w:rPr>
        <w:t>oodsure</w:t>
      </w:r>
      <w:proofErr w:type="spellEnd"/>
      <w:r w:rsidR="00136D65" w:rsidRPr="0076721D">
        <w:rPr>
          <w:rFonts w:ascii="Open Sans" w:hAnsi="Open Sans" w:cs="Open Sans"/>
          <w:sz w:val="22"/>
          <w:szCs w:val="22"/>
        </w:rPr>
        <w:t xml:space="preserve"> o</w:t>
      </w:r>
      <w:r w:rsidR="00A84B01" w:rsidRPr="0076721D">
        <w:rPr>
          <w:rFonts w:ascii="Open Sans" w:hAnsi="Open Sans" w:cs="Open Sans"/>
          <w:sz w:val="22"/>
          <w:szCs w:val="22"/>
        </w:rPr>
        <w:t>r</w:t>
      </w:r>
      <w:r w:rsidR="00136D65" w:rsidRPr="0076721D">
        <w:rPr>
          <w:rFonts w:ascii="Open Sans" w:hAnsi="Open Sans" w:cs="Open Sans"/>
          <w:sz w:val="22"/>
          <w:szCs w:val="22"/>
        </w:rPr>
        <w:t xml:space="preserve"> EN Plus certification. This already involves regular </w:t>
      </w:r>
      <w:r w:rsidR="004A2476" w:rsidRPr="0076721D">
        <w:rPr>
          <w:rFonts w:ascii="Open Sans" w:hAnsi="Open Sans" w:cs="Open Sans"/>
          <w:sz w:val="22"/>
          <w:szCs w:val="22"/>
        </w:rPr>
        <w:t>self-monitoring</w:t>
      </w:r>
      <w:r w:rsidR="00136D65" w:rsidRPr="0076721D">
        <w:rPr>
          <w:rFonts w:ascii="Open Sans" w:hAnsi="Open Sans" w:cs="Open Sans"/>
          <w:sz w:val="22"/>
          <w:szCs w:val="22"/>
        </w:rPr>
        <w:t xml:space="preserve"> and </w:t>
      </w:r>
      <w:r w:rsidR="004A2476" w:rsidRPr="0076721D">
        <w:rPr>
          <w:rFonts w:ascii="Open Sans" w:hAnsi="Open Sans" w:cs="Open Sans"/>
          <w:sz w:val="22"/>
          <w:szCs w:val="22"/>
        </w:rPr>
        <w:t xml:space="preserve">being able to report when required during audit. The process of proving fuel quality to the administrator should be no more complicated then existing monitoring and reporting requirements under the relevant certification schemes. </w:t>
      </w:r>
      <w:r w:rsidR="005C7025" w:rsidRPr="0076721D">
        <w:rPr>
          <w:rFonts w:ascii="Open Sans" w:hAnsi="Open Sans" w:cs="Open Sans"/>
          <w:sz w:val="22"/>
          <w:szCs w:val="22"/>
        </w:rPr>
        <w:t>As such</w:t>
      </w:r>
      <w:r w:rsidR="00920588" w:rsidRPr="0076721D">
        <w:rPr>
          <w:rFonts w:ascii="Open Sans" w:hAnsi="Open Sans" w:cs="Open Sans"/>
          <w:sz w:val="22"/>
          <w:szCs w:val="22"/>
        </w:rPr>
        <w:t>,</w:t>
      </w:r>
      <w:r w:rsidR="005C7025" w:rsidRPr="0076721D">
        <w:rPr>
          <w:rFonts w:ascii="Open Sans" w:hAnsi="Open Sans" w:cs="Open Sans"/>
          <w:sz w:val="22"/>
          <w:szCs w:val="22"/>
        </w:rPr>
        <w:t xml:space="preserve"> we support the proposal that membership of an accredited quality assurance scheme should be sufficient evidence of </w:t>
      </w:r>
      <w:r w:rsidR="00920588" w:rsidRPr="0076721D">
        <w:rPr>
          <w:rFonts w:ascii="Open Sans" w:hAnsi="Open Sans" w:cs="Open Sans"/>
          <w:sz w:val="22"/>
          <w:szCs w:val="22"/>
        </w:rPr>
        <w:t xml:space="preserve">a </w:t>
      </w:r>
      <w:r w:rsidR="005C7025" w:rsidRPr="0076721D">
        <w:rPr>
          <w:rFonts w:ascii="Open Sans" w:hAnsi="Open Sans" w:cs="Open Sans"/>
          <w:sz w:val="22"/>
          <w:szCs w:val="22"/>
        </w:rPr>
        <w:t xml:space="preserve">fuel quality standard. </w:t>
      </w:r>
    </w:p>
    <w:p w14:paraId="1DFDB1A8" w14:textId="77777777" w:rsidR="009A051D" w:rsidRPr="0076721D" w:rsidRDefault="009A051D" w:rsidP="00846B6E">
      <w:pPr>
        <w:pStyle w:val="Default"/>
        <w:jc w:val="both"/>
        <w:rPr>
          <w:rFonts w:ascii="Open Sans" w:hAnsi="Open Sans" w:cs="Open Sans"/>
          <w:sz w:val="22"/>
          <w:szCs w:val="22"/>
        </w:rPr>
      </w:pPr>
    </w:p>
    <w:p w14:paraId="3F3FF7A5" w14:textId="477EC876" w:rsidR="00A35319" w:rsidRPr="0076721D" w:rsidRDefault="00E04A36" w:rsidP="00846B6E">
      <w:pPr>
        <w:pStyle w:val="Default"/>
        <w:jc w:val="both"/>
        <w:rPr>
          <w:rFonts w:ascii="Open Sans" w:hAnsi="Open Sans" w:cs="Open Sans"/>
          <w:sz w:val="22"/>
          <w:szCs w:val="22"/>
        </w:rPr>
      </w:pPr>
      <w:r w:rsidRPr="0076721D">
        <w:rPr>
          <w:rFonts w:ascii="Open Sans" w:hAnsi="Open Sans" w:cs="Open Sans"/>
          <w:sz w:val="22"/>
          <w:szCs w:val="22"/>
        </w:rPr>
        <w:t xml:space="preserve">The new fuel quality assurance criteria must </w:t>
      </w:r>
      <w:r w:rsidR="004A2476" w:rsidRPr="0076721D">
        <w:rPr>
          <w:rFonts w:ascii="Open Sans" w:hAnsi="Open Sans" w:cs="Open Sans"/>
          <w:sz w:val="22"/>
          <w:szCs w:val="22"/>
        </w:rPr>
        <w:t xml:space="preserve">also be </w:t>
      </w:r>
      <w:r w:rsidRPr="0076721D">
        <w:rPr>
          <w:rFonts w:ascii="Open Sans" w:hAnsi="Open Sans" w:cs="Open Sans"/>
          <w:sz w:val="22"/>
          <w:szCs w:val="22"/>
        </w:rPr>
        <w:t xml:space="preserve">transparently </w:t>
      </w:r>
      <w:r w:rsidR="009016F2" w:rsidRPr="0076721D">
        <w:rPr>
          <w:rFonts w:ascii="Open Sans" w:hAnsi="Open Sans" w:cs="Open Sans"/>
          <w:sz w:val="22"/>
          <w:szCs w:val="22"/>
        </w:rPr>
        <w:t>communicated</w:t>
      </w:r>
      <w:r w:rsidR="009A051D" w:rsidRPr="0076721D">
        <w:rPr>
          <w:rFonts w:ascii="Open Sans" w:hAnsi="Open Sans" w:cs="Open Sans"/>
          <w:sz w:val="22"/>
          <w:szCs w:val="22"/>
        </w:rPr>
        <w:t xml:space="preserve">, with clear guidance provided by Ofgem ahead of the regulation coming into force. </w:t>
      </w:r>
      <w:r w:rsidR="004A2476" w:rsidRPr="0076721D">
        <w:rPr>
          <w:rFonts w:ascii="Open Sans" w:hAnsi="Open Sans" w:cs="Open Sans"/>
          <w:sz w:val="22"/>
          <w:szCs w:val="22"/>
        </w:rPr>
        <w:t>I</w:t>
      </w:r>
      <w:r w:rsidR="00710C29" w:rsidRPr="0076721D">
        <w:rPr>
          <w:rFonts w:ascii="Open Sans" w:hAnsi="Open Sans" w:cs="Open Sans"/>
          <w:sz w:val="22"/>
          <w:szCs w:val="22"/>
        </w:rPr>
        <w:t>ndustry</w:t>
      </w:r>
      <w:r w:rsidR="00156C0B" w:rsidRPr="0076721D">
        <w:rPr>
          <w:rFonts w:ascii="Open Sans" w:hAnsi="Open Sans" w:cs="Open Sans"/>
          <w:sz w:val="22"/>
          <w:szCs w:val="22"/>
        </w:rPr>
        <w:t xml:space="preserve"> </w:t>
      </w:r>
      <w:r w:rsidRPr="0076721D">
        <w:rPr>
          <w:rFonts w:ascii="Open Sans" w:hAnsi="Open Sans" w:cs="Open Sans"/>
          <w:sz w:val="22"/>
          <w:szCs w:val="22"/>
        </w:rPr>
        <w:t xml:space="preserve">must </w:t>
      </w:r>
      <w:r w:rsidR="004A2476" w:rsidRPr="0076721D">
        <w:rPr>
          <w:rFonts w:ascii="Open Sans" w:hAnsi="Open Sans" w:cs="Open Sans"/>
          <w:sz w:val="22"/>
          <w:szCs w:val="22"/>
        </w:rPr>
        <w:t xml:space="preserve">also </w:t>
      </w:r>
      <w:r w:rsidRPr="0076721D">
        <w:rPr>
          <w:rFonts w:ascii="Open Sans" w:hAnsi="Open Sans" w:cs="Open Sans"/>
          <w:sz w:val="22"/>
          <w:szCs w:val="22"/>
        </w:rPr>
        <w:t>be given appropriate time to implement the new requirements</w:t>
      </w:r>
      <w:r w:rsidR="005A3F75" w:rsidRPr="0076721D">
        <w:rPr>
          <w:rFonts w:ascii="Open Sans" w:hAnsi="Open Sans" w:cs="Open Sans"/>
          <w:sz w:val="22"/>
          <w:szCs w:val="22"/>
        </w:rPr>
        <w:t xml:space="preserve"> and provide a reasonable </w:t>
      </w:r>
      <w:r w:rsidR="004A2476" w:rsidRPr="0076721D">
        <w:rPr>
          <w:rFonts w:ascii="Open Sans" w:hAnsi="Open Sans" w:cs="Open Sans"/>
          <w:sz w:val="22"/>
          <w:szCs w:val="22"/>
        </w:rPr>
        <w:t>time frame</w:t>
      </w:r>
      <w:r w:rsidR="006E1636">
        <w:rPr>
          <w:rFonts w:ascii="Open Sans" w:hAnsi="Open Sans" w:cs="Open Sans"/>
          <w:sz w:val="22"/>
          <w:szCs w:val="22"/>
        </w:rPr>
        <w:t xml:space="preserve"> </w:t>
      </w:r>
      <w:r w:rsidR="009A051D" w:rsidRPr="0076721D">
        <w:rPr>
          <w:rFonts w:ascii="Open Sans" w:hAnsi="Open Sans" w:cs="Open Sans"/>
          <w:sz w:val="22"/>
          <w:szCs w:val="22"/>
        </w:rPr>
        <w:t xml:space="preserve">to be able </w:t>
      </w:r>
      <w:r w:rsidR="005A3F75" w:rsidRPr="0076721D">
        <w:rPr>
          <w:rFonts w:ascii="Open Sans" w:hAnsi="Open Sans" w:cs="Open Sans"/>
          <w:sz w:val="22"/>
          <w:szCs w:val="22"/>
        </w:rPr>
        <w:t xml:space="preserve">to </w:t>
      </w:r>
      <w:r w:rsidR="006E1636">
        <w:rPr>
          <w:rFonts w:ascii="Open Sans" w:hAnsi="Open Sans" w:cs="Open Sans"/>
          <w:sz w:val="22"/>
          <w:szCs w:val="22"/>
        </w:rPr>
        <w:t>become</w:t>
      </w:r>
      <w:r w:rsidR="005A3F75" w:rsidRPr="0076721D">
        <w:rPr>
          <w:rFonts w:ascii="Open Sans" w:hAnsi="Open Sans" w:cs="Open Sans"/>
          <w:sz w:val="22"/>
          <w:szCs w:val="22"/>
        </w:rPr>
        <w:t xml:space="preserve"> complian</w:t>
      </w:r>
      <w:r w:rsidR="00A84B01" w:rsidRPr="0076721D">
        <w:rPr>
          <w:rFonts w:ascii="Open Sans" w:hAnsi="Open Sans" w:cs="Open Sans"/>
          <w:sz w:val="22"/>
          <w:szCs w:val="22"/>
        </w:rPr>
        <w:t>t.</w:t>
      </w:r>
      <w:r w:rsidR="005A3F75" w:rsidRPr="0076721D">
        <w:rPr>
          <w:rFonts w:ascii="Open Sans" w:hAnsi="Open Sans" w:cs="Open Sans"/>
          <w:sz w:val="22"/>
          <w:szCs w:val="22"/>
        </w:rPr>
        <w:t xml:space="preserve"> </w:t>
      </w:r>
    </w:p>
    <w:p w14:paraId="54824317" w14:textId="2454BD46" w:rsidR="00710C29" w:rsidRPr="0076721D" w:rsidRDefault="00710C29" w:rsidP="00846B6E">
      <w:pPr>
        <w:pStyle w:val="Default"/>
        <w:jc w:val="both"/>
        <w:rPr>
          <w:rFonts w:ascii="Open Sans" w:hAnsi="Open Sans" w:cs="Open Sans"/>
          <w:sz w:val="22"/>
          <w:szCs w:val="22"/>
        </w:rPr>
      </w:pPr>
    </w:p>
    <w:p w14:paraId="53143F5E" w14:textId="78DF1849" w:rsidR="00E04A36" w:rsidRPr="0076721D" w:rsidRDefault="00710C29" w:rsidP="00846B6E">
      <w:pPr>
        <w:pStyle w:val="Default"/>
        <w:jc w:val="both"/>
        <w:rPr>
          <w:rFonts w:ascii="Open Sans" w:hAnsi="Open Sans" w:cs="Open Sans"/>
          <w:sz w:val="22"/>
          <w:szCs w:val="22"/>
        </w:rPr>
      </w:pPr>
      <w:r w:rsidRPr="0076721D">
        <w:rPr>
          <w:rFonts w:ascii="Open Sans" w:hAnsi="Open Sans" w:cs="Open Sans"/>
          <w:sz w:val="22"/>
          <w:szCs w:val="22"/>
        </w:rPr>
        <w:t xml:space="preserve">The new fuel quality standard </w:t>
      </w:r>
      <w:r w:rsidR="005C7025" w:rsidRPr="0076721D">
        <w:rPr>
          <w:rFonts w:ascii="Open Sans" w:hAnsi="Open Sans" w:cs="Open Sans"/>
          <w:sz w:val="22"/>
          <w:szCs w:val="22"/>
        </w:rPr>
        <w:t xml:space="preserve">should </w:t>
      </w:r>
      <w:r w:rsidRPr="0076721D">
        <w:rPr>
          <w:rFonts w:ascii="Open Sans" w:hAnsi="Open Sans" w:cs="Open Sans"/>
          <w:sz w:val="22"/>
          <w:szCs w:val="22"/>
        </w:rPr>
        <w:t xml:space="preserve">also not be implemented retrospectively, </w:t>
      </w:r>
      <w:r w:rsidR="00592A3E">
        <w:rPr>
          <w:rFonts w:ascii="Open Sans" w:hAnsi="Open Sans" w:cs="Open Sans"/>
          <w:sz w:val="22"/>
          <w:szCs w:val="22"/>
        </w:rPr>
        <w:t xml:space="preserve">with </w:t>
      </w:r>
      <w:r w:rsidRPr="0076721D">
        <w:rPr>
          <w:rFonts w:ascii="Open Sans" w:hAnsi="Open Sans" w:cs="Open Sans"/>
          <w:sz w:val="22"/>
          <w:szCs w:val="22"/>
        </w:rPr>
        <w:t xml:space="preserve">a clear statement </w:t>
      </w:r>
      <w:r w:rsidR="005C7025" w:rsidRPr="0076721D">
        <w:rPr>
          <w:rFonts w:ascii="Open Sans" w:hAnsi="Open Sans" w:cs="Open Sans"/>
          <w:sz w:val="22"/>
          <w:szCs w:val="22"/>
        </w:rPr>
        <w:t xml:space="preserve">reassuring industry that the regulation will only apply from a specified start date. </w:t>
      </w:r>
      <w:r w:rsidR="009A051D" w:rsidRPr="0076721D">
        <w:rPr>
          <w:rFonts w:ascii="Open Sans" w:hAnsi="Open Sans" w:cs="Open Sans"/>
          <w:sz w:val="22"/>
          <w:szCs w:val="22"/>
        </w:rPr>
        <w:t>There</w:t>
      </w:r>
      <w:r w:rsidRPr="0076721D">
        <w:rPr>
          <w:rFonts w:ascii="Open Sans" w:hAnsi="Open Sans" w:cs="Open Sans"/>
          <w:sz w:val="22"/>
          <w:szCs w:val="22"/>
        </w:rPr>
        <w:t xml:space="preserve"> should be no threat that the scheme </w:t>
      </w:r>
      <w:r w:rsidR="009A051D" w:rsidRPr="0076721D">
        <w:rPr>
          <w:rFonts w:ascii="Open Sans" w:hAnsi="Open Sans" w:cs="Open Sans"/>
          <w:sz w:val="22"/>
          <w:szCs w:val="22"/>
        </w:rPr>
        <w:t>administrator</w:t>
      </w:r>
      <w:r w:rsidRPr="0076721D">
        <w:rPr>
          <w:rFonts w:ascii="Open Sans" w:hAnsi="Open Sans" w:cs="Open Sans"/>
          <w:sz w:val="22"/>
          <w:szCs w:val="22"/>
        </w:rPr>
        <w:t xml:space="preserve"> will require </w:t>
      </w:r>
      <w:r w:rsidR="009A051D" w:rsidRPr="0076721D">
        <w:rPr>
          <w:rFonts w:ascii="Open Sans" w:hAnsi="Open Sans" w:cs="Open Sans"/>
          <w:sz w:val="22"/>
          <w:szCs w:val="22"/>
        </w:rPr>
        <w:t>evidence of fuel quality for RHI payments</w:t>
      </w:r>
      <w:r w:rsidR="008E4588" w:rsidRPr="0076721D">
        <w:rPr>
          <w:rFonts w:ascii="Open Sans" w:hAnsi="Open Sans" w:cs="Open Sans"/>
          <w:sz w:val="22"/>
          <w:szCs w:val="22"/>
        </w:rPr>
        <w:t xml:space="preserve"> prior to the regulation start date</w:t>
      </w:r>
      <w:r w:rsidR="009A051D" w:rsidRPr="0076721D">
        <w:rPr>
          <w:rFonts w:ascii="Open Sans" w:hAnsi="Open Sans" w:cs="Open Sans"/>
          <w:sz w:val="22"/>
          <w:szCs w:val="22"/>
        </w:rPr>
        <w:t xml:space="preserve">, or that </w:t>
      </w:r>
      <w:r w:rsidR="00592A3E">
        <w:rPr>
          <w:rFonts w:ascii="Open Sans" w:hAnsi="Open Sans" w:cs="Open Sans"/>
          <w:sz w:val="22"/>
          <w:szCs w:val="22"/>
        </w:rPr>
        <w:t>previous</w:t>
      </w:r>
      <w:r w:rsidR="009A051D" w:rsidRPr="0076721D">
        <w:rPr>
          <w:rFonts w:ascii="Open Sans" w:hAnsi="Open Sans" w:cs="Open Sans"/>
          <w:sz w:val="22"/>
          <w:szCs w:val="22"/>
        </w:rPr>
        <w:t xml:space="preserve"> payments may be asked to be repaid. </w:t>
      </w:r>
      <w:r w:rsidR="004A2476" w:rsidRPr="0076721D">
        <w:rPr>
          <w:rFonts w:ascii="Open Sans" w:hAnsi="Open Sans" w:cs="Open Sans"/>
          <w:sz w:val="22"/>
          <w:szCs w:val="22"/>
        </w:rPr>
        <w:t xml:space="preserve">The industry is already weary of such </w:t>
      </w:r>
      <w:r w:rsidR="008E4588" w:rsidRPr="0076721D">
        <w:rPr>
          <w:rFonts w:ascii="Open Sans" w:hAnsi="Open Sans" w:cs="Open Sans"/>
          <w:sz w:val="22"/>
          <w:szCs w:val="22"/>
        </w:rPr>
        <w:t>retrospective</w:t>
      </w:r>
      <w:r w:rsidR="004A2476" w:rsidRPr="0076721D">
        <w:rPr>
          <w:rFonts w:ascii="Open Sans" w:hAnsi="Open Sans" w:cs="Open Sans"/>
          <w:sz w:val="22"/>
          <w:szCs w:val="22"/>
        </w:rPr>
        <w:t xml:space="preserve"> changes following </w:t>
      </w:r>
      <w:r w:rsidR="009A051D" w:rsidRPr="0076721D">
        <w:rPr>
          <w:rFonts w:ascii="Open Sans" w:hAnsi="Open Sans" w:cs="Open Sans"/>
          <w:sz w:val="22"/>
          <w:szCs w:val="22"/>
        </w:rPr>
        <w:t>‘reinterpre</w:t>
      </w:r>
      <w:r w:rsidR="004A2476" w:rsidRPr="0076721D">
        <w:rPr>
          <w:rFonts w:ascii="Open Sans" w:hAnsi="Open Sans" w:cs="Open Sans"/>
          <w:sz w:val="22"/>
          <w:szCs w:val="22"/>
        </w:rPr>
        <w:t>tation</w:t>
      </w:r>
      <w:r w:rsidR="009A051D" w:rsidRPr="0076721D">
        <w:rPr>
          <w:rFonts w:ascii="Open Sans" w:hAnsi="Open Sans" w:cs="Open Sans"/>
          <w:sz w:val="22"/>
          <w:szCs w:val="22"/>
        </w:rPr>
        <w:t>’</w:t>
      </w:r>
      <w:r w:rsidR="004A2476" w:rsidRPr="0076721D">
        <w:rPr>
          <w:rFonts w:ascii="Open Sans" w:hAnsi="Open Sans" w:cs="Open Sans"/>
          <w:sz w:val="22"/>
          <w:szCs w:val="22"/>
        </w:rPr>
        <w:t xml:space="preserve"> of legislation that resulted in </w:t>
      </w:r>
      <w:r w:rsidR="008E4588" w:rsidRPr="0076721D">
        <w:rPr>
          <w:rFonts w:ascii="Open Sans" w:hAnsi="Open Sans" w:cs="Open Sans"/>
          <w:sz w:val="22"/>
          <w:szCs w:val="22"/>
        </w:rPr>
        <w:t xml:space="preserve">the required standards for emissions certificates being changed and applied retrospectively to existing accredited sites. </w:t>
      </w:r>
      <w:r w:rsidR="009A051D" w:rsidRPr="0076721D">
        <w:rPr>
          <w:rFonts w:ascii="Open Sans" w:hAnsi="Open Sans" w:cs="Open Sans"/>
          <w:sz w:val="22"/>
          <w:szCs w:val="22"/>
        </w:rPr>
        <w:t xml:space="preserve"> </w:t>
      </w:r>
      <w:r w:rsidR="008E4588" w:rsidRPr="0076721D">
        <w:rPr>
          <w:rFonts w:ascii="Open Sans" w:hAnsi="Open Sans" w:cs="Open Sans"/>
          <w:sz w:val="22"/>
          <w:szCs w:val="22"/>
        </w:rPr>
        <w:t xml:space="preserve">This was not done transparently or with adequate consultation leading to serious industry complaints. </w:t>
      </w:r>
      <w:r w:rsidR="00A84B01" w:rsidRPr="0076721D">
        <w:rPr>
          <w:rFonts w:ascii="Open Sans" w:hAnsi="Open Sans" w:cs="Open Sans"/>
          <w:sz w:val="22"/>
          <w:szCs w:val="22"/>
        </w:rPr>
        <w:t xml:space="preserve">This should not be repeated in the case of fuel standards. </w:t>
      </w:r>
    </w:p>
    <w:p w14:paraId="03656911" w14:textId="77777777" w:rsidR="00E04A36" w:rsidRPr="0076721D" w:rsidRDefault="00E04A36" w:rsidP="00846B6E">
      <w:pPr>
        <w:pStyle w:val="Default"/>
        <w:jc w:val="both"/>
        <w:rPr>
          <w:rFonts w:ascii="Open Sans" w:hAnsi="Open Sans" w:cs="Open Sans"/>
          <w:sz w:val="22"/>
          <w:szCs w:val="22"/>
        </w:rPr>
      </w:pPr>
    </w:p>
    <w:p w14:paraId="3652ECD1" w14:textId="63ED044C" w:rsidR="009D3EA1" w:rsidRPr="0076721D" w:rsidRDefault="00846B6E" w:rsidP="00846B6E">
      <w:pPr>
        <w:pStyle w:val="Default"/>
        <w:jc w:val="both"/>
        <w:rPr>
          <w:rFonts w:ascii="Open Sans" w:hAnsi="Open Sans" w:cs="Open Sans"/>
          <w:sz w:val="22"/>
          <w:szCs w:val="22"/>
        </w:rPr>
      </w:pPr>
      <w:r w:rsidRPr="0076721D">
        <w:rPr>
          <w:rFonts w:ascii="Open Sans" w:hAnsi="Open Sans" w:cs="Open Sans"/>
          <w:sz w:val="22"/>
          <w:szCs w:val="22"/>
        </w:rPr>
        <w:lastRenderedPageBreak/>
        <w:t>I</w:t>
      </w:r>
      <w:r w:rsidR="00A84B01" w:rsidRPr="0076721D">
        <w:rPr>
          <w:rFonts w:ascii="Open Sans" w:hAnsi="Open Sans" w:cs="Open Sans"/>
          <w:sz w:val="22"/>
          <w:szCs w:val="22"/>
        </w:rPr>
        <w:t xml:space="preserve">n </w:t>
      </w:r>
      <w:r w:rsidR="005C7025" w:rsidRPr="0076721D">
        <w:rPr>
          <w:rFonts w:ascii="Open Sans" w:hAnsi="Open Sans" w:cs="Open Sans"/>
          <w:sz w:val="22"/>
          <w:szCs w:val="22"/>
        </w:rPr>
        <w:t>addition,</w:t>
      </w:r>
      <w:r w:rsidR="00A84B01" w:rsidRPr="0076721D">
        <w:rPr>
          <w:rFonts w:ascii="Open Sans" w:hAnsi="Open Sans" w:cs="Open Sans"/>
          <w:sz w:val="22"/>
          <w:szCs w:val="22"/>
        </w:rPr>
        <w:t xml:space="preserve"> we encourage BEIS and DEFRA to consider these reforms</w:t>
      </w:r>
      <w:r w:rsidR="007D117A" w:rsidRPr="0076721D">
        <w:rPr>
          <w:rFonts w:ascii="Open Sans" w:hAnsi="Open Sans" w:cs="Open Sans"/>
          <w:sz w:val="22"/>
          <w:szCs w:val="22"/>
        </w:rPr>
        <w:t xml:space="preserve"> </w:t>
      </w:r>
      <w:r w:rsidR="00592A3E">
        <w:rPr>
          <w:rFonts w:ascii="Open Sans" w:hAnsi="Open Sans" w:cs="Open Sans"/>
          <w:sz w:val="22"/>
          <w:szCs w:val="22"/>
        </w:rPr>
        <w:t>in line with</w:t>
      </w:r>
      <w:r w:rsidR="007D117A" w:rsidRPr="0076721D">
        <w:rPr>
          <w:rFonts w:ascii="Open Sans" w:hAnsi="Open Sans" w:cs="Open Sans"/>
          <w:sz w:val="22"/>
          <w:szCs w:val="22"/>
        </w:rPr>
        <w:t xml:space="preserve"> the </w:t>
      </w:r>
      <w:r w:rsidR="00A84B01" w:rsidRPr="0076721D">
        <w:rPr>
          <w:rFonts w:ascii="Open Sans" w:hAnsi="Open Sans" w:cs="Open Sans"/>
          <w:sz w:val="22"/>
          <w:szCs w:val="22"/>
        </w:rPr>
        <w:t>decision</w:t>
      </w:r>
      <w:r w:rsidR="00592A3E">
        <w:rPr>
          <w:rFonts w:ascii="Open Sans" w:hAnsi="Open Sans" w:cs="Open Sans"/>
          <w:sz w:val="22"/>
          <w:szCs w:val="22"/>
        </w:rPr>
        <w:t>s</w:t>
      </w:r>
      <w:r w:rsidR="00A84B01" w:rsidRPr="0076721D">
        <w:rPr>
          <w:rFonts w:ascii="Open Sans" w:hAnsi="Open Sans" w:cs="Open Sans"/>
          <w:sz w:val="22"/>
          <w:szCs w:val="22"/>
        </w:rPr>
        <w:t xml:space="preserve"> following the </w:t>
      </w:r>
      <w:r w:rsidRPr="0076721D">
        <w:rPr>
          <w:rFonts w:ascii="Open Sans" w:hAnsi="Open Sans" w:cs="Open Sans"/>
          <w:sz w:val="22"/>
          <w:szCs w:val="22"/>
        </w:rPr>
        <w:t>2018 Defra consultation on ‘Cleaner Domestic Burning of Solid Fuels and Wood’</w:t>
      </w:r>
      <w:r w:rsidR="00A84B01" w:rsidRPr="0076721D">
        <w:rPr>
          <w:rFonts w:ascii="Open Sans" w:hAnsi="Open Sans" w:cs="Open Sans"/>
          <w:sz w:val="22"/>
          <w:szCs w:val="22"/>
        </w:rPr>
        <w:t xml:space="preserve">. In </w:t>
      </w:r>
      <w:r w:rsidR="00920588" w:rsidRPr="0076721D">
        <w:rPr>
          <w:rFonts w:ascii="Open Sans" w:hAnsi="Open Sans" w:cs="Open Sans"/>
          <w:sz w:val="22"/>
          <w:szCs w:val="22"/>
        </w:rPr>
        <w:t>February,</w:t>
      </w:r>
      <w:r w:rsidR="00A84B01" w:rsidRPr="0076721D">
        <w:rPr>
          <w:rFonts w:ascii="Open Sans" w:hAnsi="Open Sans" w:cs="Open Sans"/>
          <w:sz w:val="22"/>
          <w:szCs w:val="22"/>
        </w:rPr>
        <w:t xml:space="preserve"> this year it was decided that</w:t>
      </w:r>
      <w:r w:rsidR="005C7025" w:rsidRPr="0076721D">
        <w:rPr>
          <w:rFonts w:ascii="Open Sans" w:hAnsi="Open Sans" w:cs="Open Sans"/>
          <w:sz w:val="22"/>
          <w:szCs w:val="22"/>
        </w:rPr>
        <w:t xml:space="preserve"> suppliers must meet a</w:t>
      </w:r>
      <w:r w:rsidR="00A84B01" w:rsidRPr="0076721D">
        <w:rPr>
          <w:rFonts w:ascii="Open Sans" w:hAnsi="Open Sans" w:cs="Open Sans"/>
          <w:sz w:val="22"/>
          <w:szCs w:val="22"/>
        </w:rPr>
        <w:t xml:space="preserve"> </w:t>
      </w:r>
      <w:r w:rsidRPr="0076721D">
        <w:rPr>
          <w:rFonts w:ascii="Open Sans" w:hAnsi="Open Sans" w:cs="Open Sans"/>
          <w:sz w:val="22"/>
          <w:szCs w:val="22"/>
        </w:rPr>
        <w:t>mandatory certification scheme</w:t>
      </w:r>
      <w:r w:rsidR="005C7025" w:rsidRPr="0076721D">
        <w:rPr>
          <w:rFonts w:ascii="Open Sans" w:hAnsi="Open Sans" w:cs="Open Sans"/>
          <w:sz w:val="22"/>
          <w:szCs w:val="22"/>
        </w:rPr>
        <w:t xml:space="preserve"> that demonstrates that wood sold in volumes under 2m</w:t>
      </w:r>
      <w:r w:rsidR="005C7025" w:rsidRPr="0076721D">
        <w:rPr>
          <w:rFonts w:ascii="Open Sans" w:hAnsi="Open Sans" w:cs="Open Sans"/>
          <w:sz w:val="22"/>
          <w:szCs w:val="22"/>
          <w:vertAlign w:val="superscript"/>
        </w:rPr>
        <w:t>3</w:t>
      </w:r>
      <w:r w:rsidR="005C7025" w:rsidRPr="0076721D">
        <w:rPr>
          <w:rFonts w:ascii="Open Sans" w:hAnsi="Open Sans" w:cs="Open Sans"/>
          <w:sz w:val="22"/>
          <w:szCs w:val="22"/>
        </w:rPr>
        <w:t xml:space="preserve"> is dry, defined as less than </w:t>
      </w:r>
      <w:r w:rsidRPr="0076721D">
        <w:rPr>
          <w:rFonts w:ascii="Open Sans" w:hAnsi="Open Sans" w:cs="Open Sans"/>
          <w:sz w:val="22"/>
          <w:szCs w:val="22"/>
        </w:rPr>
        <w:t xml:space="preserve">20% moisture requirements. </w:t>
      </w:r>
      <w:r w:rsidR="005C7025" w:rsidRPr="0076721D">
        <w:rPr>
          <w:rFonts w:ascii="Open Sans" w:hAnsi="Open Sans" w:cs="Open Sans"/>
          <w:sz w:val="22"/>
          <w:szCs w:val="22"/>
        </w:rPr>
        <w:t>The REA</w:t>
      </w:r>
      <w:r w:rsidR="00BE791D" w:rsidRPr="0076721D">
        <w:rPr>
          <w:rFonts w:ascii="Open Sans" w:hAnsi="Open Sans" w:cs="Open Sans"/>
          <w:sz w:val="22"/>
          <w:szCs w:val="22"/>
        </w:rPr>
        <w:t xml:space="preserve"> welcomed</w:t>
      </w:r>
      <w:r w:rsidR="005C7025" w:rsidRPr="0076721D">
        <w:rPr>
          <w:rFonts w:ascii="Open Sans" w:hAnsi="Open Sans" w:cs="Open Sans"/>
          <w:sz w:val="22"/>
          <w:szCs w:val="22"/>
        </w:rPr>
        <w:t xml:space="preserve"> this move. The consultation also committed to a greater</w:t>
      </w:r>
      <w:r w:rsidR="00BE791D" w:rsidRPr="0076721D">
        <w:rPr>
          <w:rFonts w:ascii="Open Sans" w:hAnsi="Open Sans" w:cs="Open Sans"/>
          <w:sz w:val="22"/>
          <w:szCs w:val="22"/>
        </w:rPr>
        <w:t xml:space="preserve"> education and compliance</w:t>
      </w:r>
      <w:r w:rsidR="005C7025" w:rsidRPr="0076721D">
        <w:rPr>
          <w:rFonts w:ascii="Open Sans" w:hAnsi="Open Sans" w:cs="Open Sans"/>
          <w:sz w:val="22"/>
          <w:szCs w:val="22"/>
        </w:rPr>
        <w:t xml:space="preserve"> campaign</w:t>
      </w:r>
      <w:r w:rsidR="00592A3E">
        <w:rPr>
          <w:rFonts w:ascii="Open Sans" w:hAnsi="Open Sans" w:cs="Open Sans"/>
          <w:sz w:val="22"/>
          <w:szCs w:val="22"/>
        </w:rPr>
        <w:t>, working with local authorities,</w:t>
      </w:r>
      <w:r w:rsidR="005C7025" w:rsidRPr="0076721D">
        <w:rPr>
          <w:rFonts w:ascii="Open Sans" w:hAnsi="Open Sans" w:cs="Open Sans"/>
          <w:sz w:val="22"/>
          <w:szCs w:val="22"/>
        </w:rPr>
        <w:t xml:space="preserve"> to ensure suppliers and consumers are aware of their obligations</w:t>
      </w:r>
      <w:r w:rsidR="00BE791D" w:rsidRPr="0076721D">
        <w:rPr>
          <w:rFonts w:ascii="Open Sans" w:hAnsi="Open Sans" w:cs="Open Sans"/>
          <w:sz w:val="22"/>
          <w:szCs w:val="22"/>
        </w:rPr>
        <w:t xml:space="preserve">. </w:t>
      </w:r>
      <w:r w:rsidR="005C7025" w:rsidRPr="0076721D">
        <w:rPr>
          <w:rFonts w:ascii="Open Sans" w:hAnsi="Open Sans" w:cs="Open Sans"/>
          <w:sz w:val="22"/>
          <w:szCs w:val="22"/>
        </w:rPr>
        <w:t xml:space="preserve">This campaign should also now include messaging around the final decision on fuel quality requirements within the RHI, ensuring both industry and consumers are aware of what is required of them.  </w:t>
      </w:r>
    </w:p>
    <w:p w14:paraId="75D8FE6D" w14:textId="77777777" w:rsidR="005C7025" w:rsidRPr="0076721D" w:rsidRDefault="005C7025" w:rsidP="00846B6E">
      <w:pPr>
        <w:pStyle w:val="Default"/>
        <w:jc w:val="both"/>
        <w:rPr>
          <w:rFonts w:ascii="Open Sans" w:hAnsi="Open Sans" w:cs="Open Sans"/>
          <w:sz w:val="22"/>
          <w:szCs w:val="22"/>
        </w:rPr>
      </w:pPr>
    </w:p>
    <w:p w14:paraId="34F80FA1" w14:textId="41651516" w:rsidR="009D3EA1" w:rsidRPr="00592A3E" w:rsidRDefault="009D3EA1" w:rsidP="00846B6E">
      <w:pPr>
        <w:pStyle w:val="Default"/>
        <w:jc w:val="both"/>
        <w:rPr>
          <w:rFonts w:ascii="Open Sans" w:hAnsi="Open Sans" w:cs="Open Sans"/>
          <w:sz w:val="22"/>
          <w:szCs w:val="22"/>
        </w:rPr>
      </w:pPr>
      <w:r w:rsidRPr="00592A3E">
        <w:rPr>
          <w:rFonts w:ascii="Open Sans" w:hAnsi="Open Sans" w:cs="Open Sans"/>
          <w:sz w:val="22"/>
          <w:szCs w:val="22"/>
        </w:rPr>
        <w:t>Due to this, and with regards to businesses with boilers under 1000kW who ensure compliance through the BSL, the main attention should be on what information needs to be provided, with the emphasis being on getting businesses ready for this shi</w:t>
      </w:r>
      <w:r w:rsidR="00095A34" w:rsidRPr="00592A3E">
        <w:rPr>
          <w:rFonts w:ascii="Open Sans" w:hAnsi="Open Sans" w:cs="Open Sans"/>
          <w:sz w:val="22"/>
          <w:szCs w:val="22"/>
        </w:rPr>
        <w:t xml:space="preserve">ft. </w:t>
      </w:r>
    </w:p>
    <w:p w14:paraId="48425603" w14:textId="77777777" w:rsidR="009E0D3D" w:rsidRPr="0076721D" w:rsidRDefault="009E0D3D" w:rsidP="009E0D3D">
      <w:pPr>
        <w:pStyle w:val="Default"/>
        <w:rPr>
          <w:rFonts w:ascii="Open Sans" w:hAnsi="Open Sans" w:cs="Open Sans"/>
          <w:color w:val="2F5496"/>
          <w:sz w:val="22"/>
          <w:szCs w:val="22"/>
        </w:rPr>
      </w:pPr>
    </w:p>
    <w:p w14:paraId="4A5D557E" w14:textId="7487A8DB" w:rsidR="009B412E" w:rsidRPr="0076721D" w:rsidRDefault="00B515AF" w:rsidP="00B515AF">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w:t>
      </w:r>
      <w:r w:rsidR="00F27967" w:rsidRPr="0076721D">
        <w:rPr>
          <w:rFonts w:ascii="Open Sans" w:hAnsi="Open Sans" w:cs="Open Sans"/>
          <w:b/>
          <w:bCs/>
          <w:i/>
          <w:iCs/>
          <w:color w:val="2F5496"/>
          <w:szCs w:val="22"/>
        </w:rPr>
        <w:t>2</w:t>
      </w:r>
      <w:r w:rsidRPr="0076721D">
        <w:rPr>
          <w:rFonts w:ascii="Open Sans" w:hAnsi="Open Sans" w:cs="Open Sans"/>
          <w:b/>
          <w:bCs/>
          <w:i/>
          <w:iCs/>
          <w:color w:val="2F5496"/>
          <w:szCs w:val="22"/>
        </w:rPr>
        <w:t xml:space="preserve"> - </w:t>
      </w:r>
      <w:r w:rsidR="009B412E" w:rsidRPr="0076721D">
        <w:rPr>
          <w:rFonts w:ascii="Open Sans" w:hAnsi="Open Sans" w:cs="Open Sans"/>
          <w:b/>
          <w:bCs/>
          <w:i/>
          <w:iCs/>
          <w:color w:val="2F5496"/>
          <w:szCs w:val="22"/>
        </w:rPr>
        <w:t>Should fuel quality be a mandatory criterion for the scheme administrator in its capacity to assess self-reported feedstocks? Yes/No</w:t>
      </w:r>
    </w:p>
    <w:p w14:paraId="1365C383" w14:textId="4F80034A" w:rsidR="009D3EA1" w:rsidRPr="0076721D" w:rsidRDefault="009D3EA1" w:rsidP="009D3EA1">
      <w:pPr>
        <w:pStyle w:val="Default"/>
        <w:rPr>
          <w:rFonts w:ascii="Open Sans" w:hAnsi="Open Sans" w:cs="Open Sans"/>
          <w:sz w:val="22"/>
          <w:szCs w:val="22"/>
        </w:rPr>
      </w:pPr>
      <w:r w:rsidRPr="0076721D">
        <w:rPr>
          <w:rFonts w:ascii="Open Sans" w:hAnsi="Open Sans" w:cs="Open Sans"/>
          <w:sz w:val="22"/>
          <w:szCs w:val="22"/>
        </w:rPr>
        <w:t>Yes.</w:t>
      </w:r>
    </w:p>
    <w:p w14:paraId="7D0B0AF1" w14:textId="7CBC42CD" w:rsidR="009D3EA1" w:rsidRPr="0076721D" w:rsidRDefault="009D3EA1" w:rsidP="009D3EA1">
      <w:pPr>
        <w:pStyle w:val="Default"/>
        <w:rPr>
          <w:rFonts w:ascii="Open Sans" w:hAnsi="Open Sans" w:cs="Open Sans"/>
          <w:sz w:val="22"/>
          <w:szCs w:val="22"/>
        </w:rPr>
      </w:pPr>
    </w:p>
    <w:p w14:paraId="5D5BA27D" w14:textId="2F058C4F" w:rsidR="009D3EA1" w:rsidRPr="0076721D" w:rsidRDefault="009D3EA1" w:rsidP="009D3EA1">
      <w:pPr>
        <w:pStyle w:val="Default"/>
        <w:rPr>
          <w:rFonts w:ascii="Open Sans" w:hAnsi="Open Sans" w:cs="Open Sans"/>
          <w:sz w:val="22"/>
          <w:szCs w:val="22"/>
        </w:rPr>
      </w:pPr>
      <w:r w:rsidRPr="0076721D">
        <w:rPr>
          <w:rFonts w:ascii="Open Sans" w:hAnsi="Open Sans" w:cs="Open Sans"/>
          <w:sz w:val="22"/>
          <w:szCs w:val="22"/>
        </w:rPr>
        <w:t>Businesses with boilers over 1000kw in size who currently self-report to the scheme administrator should provide assurance that the wood fuel fulfils manufacturers’ specifications and burns efficiently.</w:t>
      </w:r>
      <w:r w:rsidR="004F1884">
        <w:rPr>
          <w:rFonts w:ascii="Open Sans" w:hAnsi="Open Sans" w:cs="Open Sans"/>
          <w:sz w:val="22"/>
          <w:szCs w:val="22"/>
        </w:rPr>
        <w:t xml:space="preserve"> However, as with accredited feedstock bodies, the system for proving fuel quality must be straight forward and should not place an unfair burden on </w:t>
      </w:r>
      <w:r w:rsidR="003264B0">
        <w:rPr>
          <w:rFonts w:ascii="Open Sans" w:hAnsi="Open Sans" w:cs="Open Sans"/>
          <w:sz w:val="22"/>
          <w:szCs w:val="22"/>
        </w:rPr>
        <w:t xml:space="preserve">self- reported </w:t>
      </w:r>
      <w:r w:rsidR="004F1884">
        <w:rPr>
          <w:rFonts w:ascii="Open Sans" w:hAnsi="Open Sans" w:cs="Open Sans"/>
          <w:sz w:val="22"/>
          <w:szCs w:val="22"/>
        </w:rPr>
        <w:t>installations</w:t>
      </w:r>
      <w:r w:rsidR="003264B0">
        <w:rPr>
          <w:rFonts w:ascii="Open Sans" w:hAnsi="Open Sans" w:cs="Open Sans"/>
          <w:sz w:val="22"/>
          <w:szCs w:val="22"/>
        </w:rPr>
        <w:t>,</w:t>
      </w:r>
      <w:r w:rsidR="004F1884">
        <w:rPr>
          <w:rFonts w:ascii="Open Sans" w:hAnsi="Open Sans" w:cs="Open Sans"/>
          <w:sz w:val="22"/>
          <w:szCs w:val="22"/>
        </w:rPr>
        <w:t xml:space="preserve"> where their core activity is not fuel supply. </w:t>
      </w:r>
    </w:p>
    <w:p w14:paraId="680981BC" w14:textId="4FC30AED" w:rsidR="009D3EA1" w:rsidRPr="0076721D" w:rsidRDefault="009D3EA1" w:rsidP="009D3EA1">
      <w:pPr>
        <w:pStyle w:val="Default"/>
        <w:rPr>
          <w:rFonts w:ascii="Open Sans" w:hAnsi="Open Sans" w:cs="Open Sans"/>
          <w:sz w:val="22"/>
          <w:szCs w:val="22"/>
        </w:rPr>
      </w:pPr>
    </w:p>
    <w:p w14:paraId="0886F9B9" w14:textId="73B1E023" w:rsidR="009D3EA1" w:rsidRPr="0076721D" w:rsidRDefault="009D3EA1" w:rsidP="009D3EA1">
      <w:pPr>
        <w:pStyle w:val="Default"/>
        <w:rPr>
          <w:rFonts w:ascii="Open Sans" w:hAnsi="Open Sans" w:cs="Open Sans"/>
          <w:sz w:val="22"/>
          <w:szCs w:val="22"/>
        </w:rPr>
      </w:pPr>
      <w:r w:rsidRPr="0076721D">
        <w:rPr>
          <w:rFonts w:ascii="Open Sans" w:hAnsi="Open Sans" w:cs="Open Sans"/>
          <w:sz w:val="22"/>
          <w:szCs w:val="22"/>
        </w:rPr>
        <w:t xml:space="preserve">As with those who gain compliance through a certification scheme, the Government should work to develop guidance that ensures flexibility and allows businesses to switch feedstocks in their boilers within short timeframes. </w:t>
      </w:r>
    </w:p>
    <w:p w14:paraId="6DF9996E" w14:textId="1B8002DB" w:rsidR="009D3EA1" w:rsidRPr="0076721D" w:rsidRDefault="009D3EA1" w:rsidP="009D3EA1">
      <w:pPr>
        <w:pStyle w:val="Default"/>
        <w:rPr>
          <w:rFonts w:ascii="Open Sans" w:hAnsi="Open Sans" w:cs="Open Sans"/>
          <w:sz w:val="22"/>
          <w:szCs w:val="22"/>
        </w:rPr>
      </w:pPr>
    </w:p>
    <w:p w14:paraId="18FA42A2" w14:textId="79C8721D" w:rsidR="009D3EA1" w:rsidRPr="0076721D" w:rsidRDefault="009D3EA1" w:rsidP="009D3EA1">
      <w:pPr>
        <w:pStyle w:val="Default"/>
        <w:rPr>
          <w:rFonts w:ascii="Open Sans" w:hAnsi="Open Sans" w:cs="Open Sans"/>
          <w:b/>
          <w:bCs/>
          <w:sz w:val="22"/>
          <w:szCs w:val="22"/>
        </w:rPr>
      </w:pPr>
      <w:r w:rsidRPr="0076721D">
        <w:rPr>
          <w:rFonts w:ascii="Open Sans" w:hAnsi="Open Sans" w:cs="Open Sans"/>
          <w:b/>
          <w:bCs/>
          <w:sz w:val="22"/>
          <w:szCs w:val="22"/>
        </w:rPr>
        <w:t xml:space="preserve">Government should set KPIs for Ofgem on time taken to process this </w:t>
      </w:r>
      <w:r w:rsidR="00095A34" w:rsidRPr="0076721D">
        <w:rPr>
          <w:rFonts w:ascii="Open Sans" w:hAnsi="Open Sans" w:cs="Open Sans"/>
          <w:b/>
          <w:bCs/>
          <w:sz w:val="22"/>
          <w:szCs w:val="22"/>
        </w:rPr>
        <w:t>information and</w:t>
      </w:r>
      <w:r w:rsidRPr="0076721D">
        <w:rPr>
          <w:rFonts w:ascii="Open Sans" w:hAnsi="Open Sans" w:cs="Open Sans"/>
          <w:b/>
          <w:bCs/>
          <w:sz w:val="22"/>
          <w:szCs w:val="22"/>
        </w:rPr>
        <w:t xml:space="preserve"> should ensure it learns from lessons of the past with regards to FMSQ. </w:t>
      </w:r>
    </w:p>
    <w:p w14:paraId="0E0BFB81" w14:textId="77777777" w:rsidR="009D3EA1" w:rsidRPr="0076721D" w:rsidRDefault="009D3EA1" w:rsidP="009D3EA1">
      <w:pPr>
        <w:pStyle w:val="Default"/>
        <w:rPr>
          <w:rFonts w:ascii="Open Sans" w:hAnsi="Open Sans" w:cs="Open Sans"/>
          <w:sz w:val="22"/>
          <w:szCs w:val="22"/>
        </w:rPr>
      </w:pPr>
    </w:p>
    <w:p w14:paraId="79A59E8F" w14:textId="5AE452AF"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23 - </w:t>
      </w:r>
      <w:r w:rsidR="009B412E" w:rsidRPr="0076721D">
        <w:rPr>
          <w:rFonts w:ascii="Open Sans" w:hAnsi="Open Sans" w:cs="Open Sans"/>
          <w:b/>
          <w:bCs/>
          <w:i/>
          <w:iCs/>
          <w:color w:val="2F5496"/>
          <w:szCs w:val="22"/>
        </w:rPr>
        <w:t>Do you agree with the proposal that a membership of an accredited quality assurance scheme should be sufficient evidence of fuel quality standard? Yes/No</w:t>
      </w:r>
    </w:p>
    <w:p w14:paraId="33CC07BE" w14:textId="77777777" w:rsidR="003264B0" w:rsidRDefault="009D3EA1" w:rsidP="003264B0">
      <w:pPr>
        <w:pStyle w:val="Default"/>
        <w:jc w:val="both"/>
        <w:rPr>
          <w:rFonts w:ascii="Open Sans" w:hAnsi="Open Sans" w:cs="Open Sans"/>
          <w:sz w:val="22"/>
          <w:szCs w:val="22"/>
        </w:rPr>
      </w:pPr>
      <w:r w:rsidRPr="0076721D">
        <w:rPr>
          <w:rFonts w:ascii="Open Sans" w:hAnsi="Open Sans" w:cs="Open Sans"/>
          <w:sz w:val="22"/>
          <w:szCs w:val="22"/>
        </w:rPr>
        <w:t>Yes.</w:t>
      </w:r>
      <w:r w:rsidR="003264B0">
        <w:rPr>
          <w:rFonts w:ascii="Open Sans" w:hAnsi="Open Sans" w:cs="Open Sans"/>
          <w:sz w:val="22"/>
          <w:szCs w:val="22"/>
        </w:rPr>
        <w:t xml:space="preserve"> </w:t>
      </w:r>
    </w:p>
    <w:p w14:paraId="1D57FFE3" w14:textId="77777777" w:rsidR="003264B0" w:rsidRDefault="003264B0" w:rsidP="003264B0">
      <w:pPr>
        <w:pStyle w:val="Default"/>
        <w:jc w:val="both"/>
        <w:rPr>
          <w:rFonts w:ascii="Open Sans" w:hAnsi="Open Sans" w:cs="Open Sans"/>
          <w:sz w:val="22"/>
          <w:szCs w:val="22"/>
        </w:rPr>
      </w:pPr>
    </w:p>
    <w:p w14:paraId="2A45C7FB" w14:textId="2E87EBE3" w:rsidR="004E01AB" w:rsidRDefault="003264B0" w:rsidP="003264B0">
      <w:pPr>
        <w:pStyle w:val="Default"/>
        <w:jc w:val="both"/>
        <w:rPr>
          <w:rFonts w:ascii="Open Sans" w:hAnsi="Open Sans" w:cs="Open Sans"/>
          <w:sz w:val="22"/>
          <w:szCs w:val="22"/>
        </w:rPr>
      </w:pPr>
      <w:r w:rsidRPr="0076721D">
        <w:rPr>
          <w:rFonts w:ascii="Open Sans" w:hAnsi="Open Sans" w:cs="Open Sans"/>
          <w:sz w:val="22"/>
          <w:szCs w:val="22"/>
        </w:rPr>
        <w:t xml:space="preserve">A significant proportion of accredited sites already adhere to the above standards in line with </w:t>
      </w:r>
      <w:proofErr w:type="spellStart"/>
      <w:r w:rsidRPr="0076721D">
        <w:rPr>
          <w:rFonts w:ascii="Open Sans" w:hAnsi="Open Sans" w:cs="Open Sans"/>
          <w:sz w:val="22"/>
          <w:szCs w:val="22"/>
        </w:rPr>
        <w:t>Woodsure</w:t>
      </w:r>
      <w:proofErr w:type="spellEnd"/>
      <w:r w:rsidRPr="0076721D">
        <w:rPr>
          <w:rFonts w:ascii="Open Sans" w:hAnsi="Open Sans" w:cs="Open Sans"/>
          <w:sz w:val="22"/>
          <w:szCs w:val="22"/>
        </w:rPr>
        <w:t xml:space="preserve"> or EN Plus certification. This already involves regular self-monitoring and being able to report when required during audit. The process of proving fuel quality to the administrator should be no more complicated than existing monitoring and reporting requirements under the relevant certification schemes. As such, we support the proposal that membership of an accredited quality assurance scheme should be sufficient evidence of a fuel quality standard</w:t>
      </w:r>
      <w:r>
        <w:rPr>
          <w:rFonts w:ascii="Open Sans" w:hAnsi="Open Sans" w:cs="Open Sans"/>
          <w:sz w:val="22"/>
          <w:szCs w:val="22"/>
        </w:rPr>
        <w:t>,</w:t>
      </w:r>
    </w:p>
    <w:p w14:paraId="2B80E3F1" w14:textId="0AB569F9" w:rsidR="003264B0" w:rsidRDefault="003264B0" w:rsidP="003264B0">
      <w:pPr>
        <w:pStyle w:val="Default"/>
        <w:jc w:val="both"/>
        <w:rPr>
          <w:rFonts w:ascii="Open Sans" w:hAnsi="Open Sans" w:cs="Open Sans"/>
          <w:sz w:val="22"/>
          <w:szCs w:val="22"/>
        </w:rPr>
      </w:pPr>
    </w:p>
    <w:p w14:paraId="6CAF2BA1" w14:textId="77777777" w:rsidR="003264B0" w:rsidRPr="0076721D" w:rsidRDefault="003264B0" w:rsidP="003264B0">
      <w:pPr>
        <w:pStyle w:val="Default"/>
        <w:jc w:val="both"/>
        <w:rPr>
          <w:rFonts w:ascii="Open Sans" w:hAnsi="Open Sans" w:cs="Open Sans"/>
          <w:sz w:val="22"/>
          <w:szCs w:val="22"/>
        </w:rPr>
      </w:pPr>
    </w:p>
    <w:p w14:paraId="0794015C" w14:textId="0D805457" w:rsidR="004E01AB" w:rsidRPr="0076721D" w:rsidRDefault="004E01AB" w:rsidP="004E01AB">
      <w:pPr>
        <w:pStyle w:val="Default"/>
        <w:rPr>
          <w:rFonts w:ascii="Open Sans" w:hAnsi="Open Sans" w:cs="Open Sans"/>
          <w:sz w:val="22"/>
          <w:szCs w:val="22"/>
        </w:rPr>
      </w:pPr>
      <w:r w:rsidRPr="0076721D">
        <w:rPr>
          <w:rFonts w:ascii="Open Sans" w:hAnsi="Open Sans" w:cs="Open Sans"/>
          <w:sz w:val="22"/>
          <w:szCs w:val="22"/>
        </w:rPr>
        <w:lastRenderedPageBreak/>
        <w:t xml:space="preserve">As elaborated upon in the two previous questions, businesses are aligned with Government on the need for a fuel quality standard and are in favour of better regulation that </w:t>
      </w:r>
      <w:r w:rsidR="003264B0" w:rsidRPr="0076721D">
        <w:rPr>
          <w:rFonts w:ascii="Open Sans" w:hAnsi="Open Sans" w:cs="Open Sans"/>
          <w:sz w:val="22"/>
          <w:szCs w:val="22"/>
        </w:rPr>
        <w:t>does not</w:t>
      </w:r>
      <w:r w:rsidRPr="0076721D">
        <w:rPr>
          <w:rFonts w:ascii="Open Sans" w:hAnsi="Open Sans" w:cs="Open Sans"/>
          <w:sz w:val="22"/>
          <w:szCs w:val="22"/>
        </w:rPr>
        <w:t xml:space="preserve"> impose bans on the technology. </w:t>
      </w:r>
    </w:p>
    <w:p w14:paraId="79ED6032" w14:textId="22904977" w:rsidR="004E01AB" w:rsidRPr="0076721D" w:rsidRDefault="004E01AB" w:rsidP="004E01AB">
      <w:pPr>
        <w:pStyle w:val="Default"/>
        <w:rPr>
          <w:rFonts w:ascii="Open Sans" w:hAnsi="Open Sans" w:cs="Open Sans"/>
          <w:sz w:val="22"/>
          <w:szCs w:val="22"/>
        </w:rPr>
      </w:pPr>
    </w:p>
    <w:p w14:paraId="145F11E8" w14:textId="49549344" w:rsidR="004E01AB" w:rsidRPr="0076721D" w:rsidRDefault="003264B0" w:rsidP="004E01AB">
      <w:pPr>
        <w:pStyle w:val="Default"/>
        <w:rPr>
          <w:rFonts w:ascii="Open Sans" w:hAnsi="Open Sans" w:cs="Open Sans"/>
          <w:sz w:val="22"/>
          <w:szCs w:val="22"/>
        </w:rPr>
      </w:pPr>
      <w:r w:rsidRPr="0076721D">
        <w:rPr>
          <w:rFonts w:ascii="Open Sans" w:hAnsi="Open Sans" w:cs="Open Sans"/>
          <w:sz w:val="22"/>
          <w:szCs w:val="22"/>
        </w:rPr>
        <w:t>Particular</w:t>
      </w:r>
      <w:r w:rsidR="004E01AB" w:rsidRPr="0076721D">
        <w:rPr>
          <w:rFonts w:ascii="Open Sans" w:hAnsi="Open Sans" w:cs="Open Sans"/>
          <w:sz w:val="22"/>
          <w:szCs w:val="22"/>
        </w:rPr>
        <w:t xml:space="preserve"> attention should be on scheme design and ensuring that a fuel quality standard is fit for purpose and makes it easiest for businesses to ensure compliance. </w:t>
      </w:r>
    </w:p>
    <w:p w14:paraId="51780910" w14:textId="77777777" w:rsidR="004E01AB" w:rsidRPr="0076721D" w:rsidRDefault="004E01AB" w:rsidP="004E01AB">
      <w:pPr>
        <w:pStyle w:val="Default"/>
        <w:rPr>
          <w:rFonts w:ascii="Open Sans" w:hAnsi="Open Sans" w:cs="Open Sans"/>
          <w:sz w:val="22"/>
          <w:szCs w:val="22"/>
        </w:rPr>
      </w:pPr>
    </w:p>
    <w:p w14:paraId="61C0C158" w14:textId="66E5095C"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24 - </w:t>
      </w:r>
      <w:r w:rsidR="009B412E" w:rsidRPr="0076721D">
        <w:rPr>
          <w:rFonts w:ascii="Open Sans" w:hAnsi="Open Sans" w:cs="Open Sans"/>
          <w:b/>
          <w:bCs/>
          <w:i/>
          <w:iCs/>
          <w:color w:val="2F5496"/>
          <w:szCs w:val="22"/>
        </w:rPr>
        <w:t>If you answered no to question 23, what type of fuel quality framework would work?</w:t>
      </w:r>
    </w:p>
    <w:p w14:paraId="3A30E785" w14:textId="2E73A888" w:rsidR="004E01AB" w:rsidRPr="0076721D" w:rsidRDefault="004E01AB" w:rsidP="004E01AB">
      <w:pPr>
        <w:pStyle w:val="Default"/>
        <w:rPr>
          <w:rFonts w:ascii="Open Sans" w:hAnsi="Open Sans" w:cs="Open Sans"/>
          <w:sz w:val="22"/>
          <w:szCs w:val="22"/>
        </w:rPr>
      </w:pPr>
      <w:r w:rsidRPr="0076721D">
        <w:rPr>
          <w:rFonts w:ascii="Open Sans" w:hAnsi="Open Sans" w:cs="Open Sans"/>
          <w:sz w:val="22"/>
          <w:szCs w:val="22"/>
        </w:rPr>
        <w:t>N/A</w:t>
      </w:r>
    </w:p>
    <w:p w14:paraId="2615486B" w14:textId="77777777" w:rsidR="004E01AB" w:rsidRPr="0076721D" w:rsidRDefault="004E01AB" w:rsidP="004E01AB">
      <w:pPr>
        <w:pStyle w:val="Default"/>
        <w:rPr>
          <w:rFonts w:ascii="Open Sans" w:hAnsi="Open Sans" w:cs="Open Sans"/>
          <w:sz w:val="22"/>
          <w:szCs w:val="22"/>
        </w:rPr>
      </w:pPr>
    </w:p>
    <w:p w14:paraId="32CAC9B3" w14:textId="699FFEC7"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25 - </w:t>
      </w:r>
      <w:r w:rsidR="009B412E" w:rsidRPr="0076721D">
        <w:rPr>
          <w:rFonts w:ascii="Open Sans" w:hAnsi="Open Sans" w:cs="Open Sans"/>
          <w:b/>
          <w:bCs/>
          <w:i/>
          <w:iCs/>
          <w:color w:val="2F5496"/>
          <w:szCs w:val="22"/>
        </w:rPr>
        <w:t>Do you agree with the proposal that only pre-consumer waste wood should qualify for NDRHI payments? Yes/No</w:t>
      </w:r>
    </w:p>
    <w:p w14:paraId="39FE11D4" w14:textId="20199ED4" w:rsidR="006413CE" w:rsidRPr="0076721D" w:rsidRDefault="00994C98" w:rsidP="00994C98">
      <w:pPr>
        <w:pStyle w:val="Default"/>
        <w:rPr>
          <w:rFonts w:ascii="Open Sans" w:hAnsi="Open Sans" w:cs="Open Sans"/>
          <w:sz w:val="22"/>
          <w:szCs w:val="22"/>
        </w:rPr>
      </w:pPr>
      <w:r w:rsidRPr="0076721D">
        <w:rPr>
          <w:rFonts w:ascii="Open Sans" w:hAnsi="Open Sans" w:cs="Open Sans"/>
          <w:sz w:val="22"/>
          <w:szCs w:val="22"/>
        </w:rPr>
        <w:t>No.</w:t>
      </w:r>
    </w:p>
    <w:p w14:paraId="741EF0D9" w14:textId="77777777" w:rsidR="0076721D" w:rsidRDefault="0076721D" w:rsidP="00F27967">
      <w:pPr>
        <w:spacing w:after="160" w:line="259" w:lineRule="auto"/>
        <w:jc w:val="left"/>
        <w:rPr>
          <w:rFonts w:ascii="Open Sans" w:hAnsi="Open Sans" w:cs="Open Sans"/>
          <w:b/>
          <w:bCs/>
          <w:i/>
          <w:iCs/>
          <w:color w:val="2F5496"/>
          <w:szCs w:val="22"/>
        </w:rPr>
      </w:pPr>
    </w:p>
    <w:p w14:paraId="28A8AF65" w14:textId="0D5E4237"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26 - </w:t>
      </w:r>
      <w:r w:rsidR="009B412E" w:rsidRPr="0076721D">
        <w:rPr>
          <w:rFonts w:ascii="Open Sans" w:hAnsi="Open Sans" w:cs="Open Sans"/>
          <w:b/>
          <w:bCs/>
          <w:i/>
          <w:iCs/>
          <w:color w:val="2F5496"/>
          <w:szCs w:val="22"/>
        </w:rPr>
        <w:t>If you answered no to question 25, why not?</w:t>
      </w:r>
    </w:p>
    <w:p w14:paraId="0E783EF7" w14:textId="2724F41E" w:rsidR="00657F1B" w:rsidRPr="0076721D" w:rsidRDefault="00F10E5E" w:rsidP="00E17F89">
      <w:pPr>
        <w:pStyle w:val="Default"/>
        <w:rPr>
          <w:rFonts w:ascii="Open Sans" w:hAnsi="Open Sans" w:cs="Open Sans"/>
          <w:sz w:val="22"/>
          <w:szCs w:val="22"/>
        </w:rPr>
      </w:pPr>
      <w:r w:rsidRPr="0076721D">
        <w:rPr>
          <w:rFonts w:ascii="Open Sans" w:hAnsi="Open Sans" w:cs="Open Sans"/>
          <w:sz w:val="22"/>
          <w:szCs w:val="22"/>
        </w:rPr>
        <w:t xml:space="preserve">The proposal to exclude none pre-consumer waste wood </w:t>
      </w:r>
      <w:r w:rsidR="003264B0">
        <w:rPr>
          <w:rFonts w:ascii="Open Sans" w:hAnsi="Open Sans" w:cs="Open Sans"/>
          <w:sz w:val="22"/>
          <w:szCs w:val="22"/>
        </w:rPr>
        <w:t xml:space="preserve">(PCWW) </w:t>
      </w:r>
      <w:r w:rsidRPr="0076721D">
        <w:rPr>
          <w:rFonts w:ascii="Open Sans" w:hAnsi="Open Sans" w:cs="Open Sans"/>
          <w:sz w:val="22"/>
          <w:szCs w:val="22"/>
        </w:rPr>
        <w:t>for use in RHI accredited systems is not properly defined within the consultation document</w:t>
      </w:r>
      <w:r w:rsidR="00564711" w:rsidRPr="0076721D">
        <w:rPr>
          <w:rFonts w:ascii="Open Sans" w:hAnsi="Open Sans" w:cs="Open Sans"/>
          <w:sz w:val="22"/>
          <w:szCs w:val="22"/>
        </w:rPr>
        <w:t xml:space="preserve">, nor is it clear what the full policy </w:t>
      </w:r>
      <w:r w:rsidR="00232517" w:rsidRPr="0076721D">
        <w:rPr>
          <w:rFonts w:ascii="Open Sans" w:hAnsi="Open Sans" w:cs="Open Sans"/>
          <w:sz w:val="22"/>
          <w:szCs w:val="22"/>
        </w:rPr>
        <w:t xml:space="preserve">impact </w:t>
      </w:r>
      <w:r w:rsidR="0076721D">
        <w:rPr>
          <w:rFonts w:ascii="Open Sans" w:hAnsi="Open Sans" w:cs="Open Sans"/>
          <w:sz w:val="22"/>
          <w:szCs w:val="22"/>
        </w:rPr>
        <w:t>will be</w:t>
      </w:r>
      <w:r w:rsidR="00564711" w:rsidRPr="0076721D">
        <w:rPr>
          <w:rFonts w:ascii="Open Sans" w:hAnsi="Open Sans" w:cs="Open Sans"/>
          <w:sz w:val="22"/>
          <w:szCs w:val="22"/>
        </w:rPr>
        <w:t xml:space="preserve">. </w:t>
      </w:r>
      <w:r w:rsidR="00232517" w:rsidRPr="0076721D">
        <w:rPr>
          <w:rFonts w:ascii="Open Sans" w:hAnsi="Open Sans" w:cs="Open Sans"/>
          <w:sz w:val="22"/>
          <w:szCs w:val="22"/>
        </w:rPr>
        <w:t xml:space="preserve">While we agree with the intention to stop systems using contaminated wood when not in an appropriate boiler, we believe the current proposals to be inadequately stated and likely to </w:t>
      </w:r>
      <w:r w:rsidR="003264B0" w:rsidRPr="0076721D">
        <w:rPr>
          <w:rFonts w:ascii="Open Sans" w:hAnsi="Open Sans" w:cs="Open Sans"/>
          <w:sz w:val="22"/>
          <w:szCs w:val="22"/>
        </w:rPr>
        <w:t>have</w:t>
      </w:r>
      <w:r w:rsidR="003264B0">
        <w:rPr>
          <w:rFonts w:ascii="Open Sans" w:hAnsi="Open Sans" w:cs="Open Sans"/>
          <w:sz w:val="22"/>
          <w:szCs w:val="22"/>
        </w:rPr>
        <w:t xml:space="preserve"> </w:t>
      </w:r>
      <w:r w:rsidR="003264B0" w:rsidRPr="0076721D">
        <w:rPr>
          <w:rFonts w:ascii="Open Sans" w:hAnsi="Open Sans" w:cs="Open Sans"/>
          <w:sz w:val="22"/>
          <w:szCs w:val="22"/>
        </w:rPr>
        <w:t>unintended</w:t>
      </w:r>
      <w:r w:rsidR="00657F1B" w:rsidRPr="0076721D">
        <w:rPr>
          <w:rFonts w:ascii="Open Sans" w:hAnsi="Open Sans" w:cs="Open Sans"/>
          <w:sz w:val="22"/>
          <w:szCs w:val="22"/>
        </w:rPr>
        <w:t xml:space="preserve"> consequences</w:t>
      </w:r>
      <w:r w:rsidR="00564711" w:rsidRPr="0076721D">
        <w:rPr>
          <w:rFonts w:ascii="Open Sans" w:hAnsi="Open Sans" w:cs="Open Sans"/>
          <w:sz w:val="22"/>
          <w:szCs w:val="22"/>
        </w:rPr>
        <w:t xml:space="preserve">. </w:t>
      </w:r>
    </w:p>
    <w:p w14:paraId="42A21EBC" w14:textId="77777777" w:rsidR="00657F1B" w:rsidRPr="0076721D" w:rsidRDefault="00657F1B" w:rsidP="00E17F89">
      <w:pPr>
        <w:pStyle w:val="Default"/>
        <w:rPr>
          <w:rFonts w:ascii="Open Sans" w:hAnsi="Open Sans" w:cs="Open Sans"/>
          <w:sz w:val="22"/>
          <w:szCs w:val="22"/>
        </w:rPr>
      </w:pPr>
    </w:p>
    <w:p w14:paraId="4EC5470C" w14:textId="11C7E246" w:rsidR="00F10E5E" w:rsidRPr="0076721D" w:rsidRDefault="00232517" w:rsidP="00E17F89">
      <w:pPr>
        <w:pStyle w:val="Default"/>
        <w:rPr>
          <w:rFonts w:ascii="Open Sans" w:hAnsi="Open Sans" w:cs="Open Sans"/>
          <w:sz w:val="22"/>
          <w:szCs w:val="22"/>
        </w:rPr>
      </w:pPr>
      <w:r w:rsidRPr="0076721D">
        <w:rPr>
          <w:rFonts w:ascii="Open Sans" w:hAnsi="Open Sans" w:cs="Open Sans"/>
          <w:sz w:val="22"/>
          <w:szCs w:val="22"/>
        </w:rPr>
        <w:t>It would be inappropriate for such a ban to apply to those</w:t>
      </w:r>
      <w:r w:rsidR="00F87B54" w:rsidRPr="0076721D">
        <w:rPr>
          <w:rFonts w:ascii="Open Sans" w:hAnsi="Open Sans" w:cs="Open Sans"/>
          <w:sz w:val="22"/>
          <w:szCs w:val="22"/>
        </w:rPr>
        <w:t xml:space="preserve"> RHI accredited systems that </w:t>
      </w:r>
      <w:r w:rsidRPr="0076721D">
        <w:rPr>
          <w:rFonts w:ascii="Open Sans" w:hAnsi="Open Sans" w:cs="Open Sans"/>
          <w:sz w:val="22"/>
          <w:szCs w:val="22"/>
        </w:rPr>
        <w:t>have</w:t>
      </w:r>
      <w:r w:rsidR="00657F1B" w:rsidRPr="0076721D">
        <w:rPr>
          <w:rFonts w:ascii="Open Sans" w:hAnsi="Open Sans" w:cs="Open Sans"/>
          <w:sz w:val="22"/>
          <w:szCs w:val="22"/>
        </w:rPr>
        <w:t xml:space="preserve"> up-to-date </w:t>
      </w:r>
      <w:r w:rsidR="00564711" w:rsidRPr="0076721D">
        <w:rPr>
          <w:rFonts w:ascii="Open Sans" w:hAnsi="Open Sans" w:cs="Open Sans"/>
          <w:sz w:val="22"/>
          <w:szCs w:val="22"/>
        </w:rPr>
        <w:t>Environmental P</w:t>
      </w:r>
      <w:r w:rsidR="00FA6B33" w:rsidRPr="0076721D">
        <w:rPr>
          <w:rFonts w:ascii="Open Sans" w:hAnsi="Open Sans" w:cs="Open Sans"/>
          <w:sz w:val="22"/>
          <w:szCs w:val="22"/>
        </w:rPr>
        <w:t>ermit</w:t>
      </w:r>
      <w:r w:rsidR="003264B0">
        <w:rPr>
          <w:rFonts w:ascii="Open Sans" w:hAnsi="Open Sans" w:cs="Open Sans"/>
          <w:sz w:val="22"/>
          <w:szCs w:val="22"/>
        </w:rPr>
        <w:t>s</w:t>
      </w:r>
      <w:r w:rsidRPr="0076721D">
        <w:rPr>
          <w:rFonts w:ascii="Open Sans" w:hAnsi="Open Sans" w:cs="Open Sans"/>
          <w:sz w:val="22"/>
          <w:szCs w:val="22"/>
        </w:rPr>
        <w:t>,</w:t>
      </w:r>
      <w:r w:rsidR="00564711" w:rsidRPr="0076721D">
        <w:rPr>
          <w:rFonts w:ascii="Open Sans" w:hAnsi="Open Sans" w:cs="Open Sans"/>
          <w:sz w:val="22"/>
          <w:szCs w:val="22"/>
        </w:rPr>
        <w:t xml:space="preserve"> emission </w:t>
      </w:r>
      <w:r w:rsidR="00F87B54" w:rsidRPr="0076721D">
        <w:rPr>
          <w:rFonts w:ascii="Open Sans" w:hAnsi="Open Sans" w:cs="Open Sans"/>
          <w:sz w:val="22"/>
          <w:szCs w:val="22"/>
        </w:rPr>
        <w:t>certificate</w:t>
      </w:r>
      <w:r w:rsidRPr="0076721D">
        <w:rPr>
          <w:rFonts w:ascii="Open Sans" w:hAnsi="Open Sans" w:cs="Open Sans"/>
          <w:sz w:val="22"/>
          <w:szCs w:val="22"/>
        </w:rPr>
        <w:t xml:space="preserve"> and us</w:t>
      </w:r>
      <w:r w:rsidR="00F87B54" w:rsidRPr="0076721D">
        <w:rPr>
          <w:rFonts w:ascii="Open Sans" w:hAnsi="Open Sans" w:cs="Open Sans"/>
          <w:sz w:val="22"/>
          <w:szCs w:val="22"/>
        </w:rPr>
        <w:t>e</w:t>
      </w:r>
      <w:r w:rsidRPr="0076721D">
        <w:rPr>
          <w:rFonts w:ascii="Open Sans" w:hAnsi="Open Sans" w:cs="Open Sans"/>
          <w:sz w:val="22"/>
          <w:szCs w:val="22"/>
        </w:rPr>
        <w:t xml:space="preserve"> a</w:t>
      </w:r>
      <w:r w:rsidR="00F87B54" w:rsidRPr="0076721D">
        <w:rPr>
          <w:rFonts w:ascii="Open Sans" w:hAnsi="Open Sans" w:cs="Open Sans"/>
          <w:sz w:val="22"/>
          <w:szCs w:val="22"/>
        </w:rPr>
        <w:t xml:space="preserve">n </w:t>
      </w:r>
      <w:r w:rsidR="0076721D">
        <w:rPr>
          <w:rFonts w:ascii="Open Sans" w:hAnsi="Open Sans" w:cs="Open Sans"/>
          <w:sz w:val="22"/>
          <w:szCs w:val="22"/>
        </w:rPr>
        <w:t>appropriately</w:t>
      </w:r>
      <w:r w:rsidRPr="0076721D">
        <w:rPr>
          <w:rFonts w:ascii="Open Sans" w:hAnsi="Open Sans" w:cs="Open Sans"/>
          <w:sz w:val="22"/>
          <w:szCs w:val="22"/>
        </w:rPr>
        <w:t xml:space="preserve"> compliant boiler</w:t>
      </w:r>
      <w:r w:rsidR="00FA6B33" w:rsidRPr="0076721D">
        <w:rPr>
          <w:rFonts w:ascii="Open Sans" w:hAnsi="Open Sans" w:cs="Open Sans"/>
          <w:sz w:val="22"/>
          <w:szCs w:val="22"/>
        </w:rPr>
        <w:t>.</w:t>
      </w:r>
      <w:r w:rsidR="00657F1B" w:rsidRPr="0076721D">
        <w:rPr>
          <w:rFonts w:ascii="Open Sans" w:hAnsi="Open Sans" w:cs="Open Sans"/>
          <w:sz w:val="22"/>
          <w:szCs w:val="22"/>
        </w:rPr>
        <w:t xml:space="preserve"> </w:t>
      </w:r>
      <w:r w:rsidR="0094084A" w:rsidRPr="0076721D">
        <w:rPr>
          <w:rFonts w:ascii="Open Sans" w:hAnsi="Open Sans" w:cs="Open Sans"/>
          <w:sz w:val="22"/>
          <w:szCs w:val="22"/>
        </w:rPr>
        <w:t xml:space="preserve">Such sites are regulated under Chapter </w:t>
      </w:r>
      <w:r w:rsidR="00564711" w:rsidRPr="0076721D">
        <w:rPr>
          <w:rFonts w:ascii="Open Sans" w:hAnsi="Open Sans" w:cs="Open Sans"/>
          <w:sz w:val="22"/>
          <w:szCs w:val="22"/>
        </w:rPr>
        <w:t>IV</w:t>
      </w:r>
      <w:r w:rsidR="0094084A" w:rsidRPr="0076721D">
        <w:rPr>
          <w:rFonts w:ascii="Open Sans" w:hAnsi="Open Sans" w:cs="Open Sans"/>
          <w:sz w:val="22"/>
          <w:szCs w:val="22"/>
        </w:rPr>
        <w:t xml:space="preserve"> of the Industrial Emissions Directive and the Medium Combustion Plant Directive, with strict requirements in place to ensure their emissions are safe. </w:t>
      </w:r>
      <w:r w:rsidR="00564711" w:rsidRPr="0076721D">
        <w:rPr>
          <w:rFonts w:ascii="Open Sans" w:hAnsi="Open Sans" w:cs="Open Sans"/>
          <w:sz w:val="22"/>
          <w:szCs w:val="22"/>
        </w:rPr>
        <w:t>As such, t</w:t>
      </w:r>
      <w:r w:rsidR="0094084A" w:rsidRPr="0076721D">
        <w:rPr>
          <w:rFonts w:ascii="Open Sans" w:hAnsi="Open Sans" w:cs="Open Sans"/>
          <w:sz w:val="22"/>
          <w:szCs w:val="22"/>
        </w:rPr>
        <w:t xml:space="preserve">here is no reason why such sites should be restricted from burning pre-consumer waste wood.  Such a restriction would be a retrospective change, open to challenge, </w:t>
      </w:r>
      <w:r w:rsidR="00564711" w:rsidRPr="0076721D">
        <w:rPr>
          <w:rFonts w:ascii="Open Sans" w:hAnsi="Open Sans" w:cs="Open Sans"/>
          <w:sz w:val="22"/>
          <w:szCs w:val="22"/>
        </w:rPr>
        <w:t xml:space="preserve">and greatly damage developer and investor confidence in the RHI or other Government support mechanisms. </w:t>
      </w:r>
      <w:r w:rsidR="003264B0">
        <w:rPr>
          <w:rFonts w:ascii="Open Sans" w:hAnsi="Open Sans" w:cs="Open Sans"/>
          <w:sz w:val="22"/>
          <w:szCs w:val="22"/>
        </w:rPr>
        <w:t>I</w:t>
      </w:r>
      <w:r w:rsidR="00723500" w:rsidRPr="0076721D">
        <w:rPr>
          <w:rFonts w:ascii="Open Sans" w:hAnsi="Open Sans" w:cs="Open Sans"/>
          <w:sz w:val="22"/>
          <w:szCs w:val="22"/>
        </w:rPr>
        <w:t xml:space="preserve">t should be </w:t>
      </w:r>
      <w:r w:rsidR="00564711" w:rsidRPr="0076721D">
        <w:rPr>
          <w:rFonts w:ascii="Open Sans" w:hAnsi="Open Sans" w:cs="Open Sans"/>
          <w:sz w:val="22"/>
          <w:szCs w:val="22"/>
        </w:rPr>
        <w:t xml:space="preserve">clarified that such a ban does not apply to those who </w:t>
      </w:r>
      <w:r w:rsidR="00F87B54" w:rsidRPr="0076721D">
        <w:rPr>
          <w:rFonts w:ascii="Open Sans" w:hAnsi="Open Sans" w:cs="Open Sans"/>
          <w:sz w:val="22"/>
          <w:szCs w:val="22"/>
        </w:rPr>
        <w:t>are</w:t>
      </w:r>
      <w:r w:rsidR="00564711" w:rsidRPr="0076721D">
        <w:rPr>
          <w:rFonts w:ascii="Open Sans" w:hAnsi="Open Sans" w:cs="Open Sans"/>
          <w:sz w:val="22"/>
          <w:szCs w:val="22"/>
        </w:rPr>
        <w:t xml:space="preserve"> </w:t>
      </w:r>
      <w:r w:rsidR="00497E68" w:rsidRPr="0076721D">
        <w:rPr>
          <w:rFonts w:ascii="Open Sans" w:hAnsi="Open Sans" w:cs="Open Sans"/>
          <w:sz w:val="22"/>
          <w:szCs w:val="22"/>
        </w:rPr>
        <w:t>appropriately</w:t>
      </w:r>
      <w:r w:rsidR="00564711" w:rsidRPr="0076721D">
        <w:rPr>
          <w:rFonts w:ascii="Open Sans" w:hAnsi="Open Sans" w:cs="Open Sans"/>
          <w:sz w:val="22"/>
          <w:szCs w:val="22"/>
        </w:rPr>
        <w:t xml:space="preserve"> regulated by the E</w:t>
      </w:r>
      <w:r w:rsidR="00723500" w:rsidRPr="0076721D">
        <w:rPr>
          <w:rFonts w:ascii="Open Sans" w:hAnsi="Open Sans" w:cs="Open Sans"/>
          <w:sz w:val="22"/>
          <w:szCs w:val="22"/>
        </w:rPr>
        <w:t xml:space="preserve">nvironment </w:t>
      </w:r>
      <w:r w:rsidR="00564711" w:rsidRPr="0076721D">
        <w:rPr>
          <w:rFonts w:ascii="Open Sans" w:hAnsi="Open Sans" w:cs="Open Sans"/>
          <w:sz w:val="22"/>
          <w:szCs w:val="22"/>
        </w:rPr>
        <w:t>A</w:t>
      </w:r>
      <w:r w:rsidR="00723500" w:rsidRPr="0076721D">
        <w:rPr>
          <w:rFonts w:ascii="Open Sans" w:hAnsi="Open Sans" w:cs="Open Sans"/>
          <w:sz w:val="22"/>
          <w:szCs w:val="22"/>
        </w:rPr>
        <w:t>gency</w:t>
      </w:r>
      <w:r w:rsidR="00F87B54" w:rsidRPr="0076721D">
        <w:rPr>
          <w:rFonts w:ascii="Open Sans" w:hAnsi="Open Sans" w:cs="Open Sans"/>
          <w:sz w:val="22"/>
          <w:szCs w:val="22"/>
        </w:rPr>
        <w:t xml:space="preserve">, </w:t>
      </w:r>
      <w:r w:rsidR="00564711" w:rsidRPr="0076721D">
        <w:rPr>
          <w:rFonts w:ascii="Open Sans" w:hAnsi="Open Sans" w:cs="Open Sans"/>
          <w:sz w:val="22"/>
          <w:szCs w:val="22"/>
        </w:rPr>
        <w:t xml:space="preserve">or their Local Authority, to burn such material. </w:t>
      </w:r>
    </w:p>
    <w:p w14:paraId="602BCBE3" w14:textId="77777777" w:rsidR="00657F1B" w:rsidRPr="0076721D" w:rsidRDefault="00657F1B" w:rsidP="00657F1B">
      <w:pPr>
        <w:pStyle w:val="Default"/>
        <w:rPr>
          <w:rFonts w:ascii="Open Sans" w:hAnsi="Open Sans" w:cs="Open Sans"/>
          <w:sz w:val="22"/>
          <w:szCs w:val="22"/>
        </w:rPr>
      </w:pPr>
    </w:p>
    <w:p w14:paraId="480843B9" w14:textId="44F96ADE" w:rsidR="00657F1B" w:rsidRPr="0076721D" w:rsidRDefault="0094084A" w:rsidP="00657F1B">
      <w:pPr>
        <w:pStyle w:val="Default"/>
        <w:rPr>
          <w:rFonts w:ascii="Open Sans" w:hAnsi="Open Sans" w:cs="Open Sans"/>
          <w:sz w:val="22"/>
          <w:szCs w:val="22"/>
        </w:rPr>
      </w:pPr>
      <w:r w:rsidRPr="0076721D">
        <w:rPr>
          <w:rFonts w:ascii="Open Sans" w:hAnsi="Open Sans" w:cs="Open Sans"/>
          <w:sz w:val="22"/>
          <w:szCs w:val="22"/>
        </w:rPr>
        <w:t>We do</w:t>
      </w:r>
      <w:r w:rsidR="00497E68" w:rsidRPr="0076721D">
        <w:rPr>
          <w:rFonts w:ascii="Open Sans" w:hAnsi="Open Sans" w:cs="Open Sans"/>
          <w:sz w:val="22"/>
          <w:szCs w:val="22"/>
        </w:rPr>
        <w:t>,</w:t>
      </w:r>
      <w:r w:rsidRPr="0076721D">
        <w:rPr>
          <w:rFonts w:ascii="Open Sans" w:hAnsi="Open Sans" w:cs="Open Sans"/>
          <w:sz w:val="22"/>
          <w:szCs w:val="22"/>
        </w:rPr>
        <w:t xml:space="preserve"> however</w:t>
      </w:r>
      <w:r w:rsidR="00497E68" w:rsidRPr="0076721D">
        <w:rPr>
          <w:rFonts w:ascii="Open Sans" w:hAnsi="Open Sans" w:cs="Open Sans"/>
          <w:sz w:val="22"/>
          <w:szCs w:val="22"/>
        </w:rPr>
        <w:t xml:space="preserve">, </w:t>
      </w:r>
      <w:r w:rsidRPr="0076721D">
        <w:rPr>
          <w:rFonts w:ascii="Open Sans" w:hAnsi="Open Sans" w:cs="Open Sans"/>
          <w:sz w:val="22"/>
          <w:szCs w:val="22"/>
        </w:rPr>
        <w:t xml:space="preserve">recognise that the current design of the RHI does not allow </w:t>
      </w:r>
      <w:r w:rsidR="00564711" w:rsidRPr="0076721D">
        <w:rPr>
          <w:rFonts w:ascii="Open Sans" w:hAnsi="Open Sans" w:cs="Open Sans"/>
          <w:sz w:val="22"/>
          <w:szCs w:val="22"/>
        </w:rPr>
        <w:t>Ofgem to ensure that plants are</w:t>
      </w:r>
      <w:r w:rsidR="00723500" w:rsidRPr="0076721D">
        <w:rPr>
          <w:rFonts w:ascii="Open Sans" w:hAnsi="Open Sans" w:cs="Open Sans"/>
          <w:sz w:val="22"/>
          <w:szCs w:val="22"/>
        </w:rPr>
        <w:t xml:space="preserve"> keeping </w:t>
      </w:r>
      <w:r w:rsidR="00564711" w:rsidRPr="0076721D">
        <w:rPr>
          <w:rFonts w:ascii="Open Sans" w:hAnsi="Open Sans" w:cs="Open Sans"/>
          <w:sz w:val="22"/>
          <w:szCs w:val="22"/>
        </w:rPr>
        <w:t xml:space="preserve">their </w:t>
      </w:r>
      <w:r w:rsidR="00497E68" w:rsidRPr="0076721D">
        <w:rPr>
          <w:rFonts w:ascii="Open Sans" w:hAnsi="Open Sans" w:cs="Open Sans"/>
          <w:sz w:val="22"/>
          <w:szCs w:val="22"/>
        </w:rPr>
        <w:t>E</w:t>
      </w:r>
      <w:r w:rsidR="00564711" w:rsidRPr="0076721D">
        <w:rPr>
          <w:rFonts w:ascii="Open Sans" w:hAnsi="Open Sans" w:cs="Open Sans"/>
          <w:sz w:val="22"/>
          <w:szCs w:val="22"/>
        </w:rPr>
        <w:t xml:space="preserve">nvironmental </w:t>
      </w:r>
      <w:r w:rsidR="00497E68" w:rsidRPr="0076721D">
        <w:rPr>
          <w:rFonts w:ascii="Open Sans" w:hAnsi="Open Sans" w:cs="Open Sans"/>
          <w:sz w:val="22"/>
          <w:szCs w:val="22"/>
        </w:rPr>
        <w:t xml:space="preserve">Permit </w:t>
      </w:r>
      <w:r w:rsidR="00F87B54" w:rsidRPr="0076721D">
        <w:rPr>
          <w:rFonts w:ascii="Open Sans" w:hAnsi="Open Sans" w:cs="Open Sans"/>
          <w:sz w:val="22"/>
          <w:szCs w:val="22"/>
        </w:rPr>
        <w:t>up to date</w:t>
      </w:r>
      <w:r w:rsidR="00564711" w:rsidRPr="0076721D">
        <w:rPr>
          <w:rFonts w:ascii="Open Sans" w:hAnsi="Open Sans" w:cs="Open Sans"/>
          <w:sz w:val="22"/>
          <w:szCs w:val="22"/>
        </w:rPr>
        <w:t xml:space="preserve">. Currently a permit only needs to be shown </w:t>
      </w:r>
      <w:r w:rsidR="00723500" w:rsidRPr="0076721D">
        <w:rPr>
          <w:rFonts w:ascii="Open Sans" w:hAnsi="Open Sans" w:cs="Open Sans"/>
          <w:sz w:val="22"/>
          <w:szCs w:val="22"/>
        </w:rPr>
        <w:t>during</w:t>
      </w:r>
      <w:r w:rsidR="00564711" w:rsidRPr="0076721D">
        <w:rPr>
          <w:rFonts w:ascii="Open Sans" w:hAnsi="Open Sans" w:cs="Open Sans"/>
          <w:sz w:val="22"/>
          <w:szCs w:val="22"/>
        </w:rPr>
        <w:t xml:space="preserve"> accreditation and is not subsequently checked during the ongoing operation of </w:t>
      </w:r>
      <w:r w:rsidR="00497E68" w:rsidRPr="0076721D">
        <w:rPr>
          <w:rFonts w:ascii="Open Sans" w:hAnsi="Open Sans" w:cs="Open Sans"/>
          <w:sz w:val="22"/>
          <w:szCs w:val="22"/>
        </w:rPr>
        <w:t xml:space="preserve">the </w:t>
      </w:r>
      <w:r w:rsidR="00564711" w:rsidRPr="0076721D">
        <w:rPr>
          <w:rFonts w:ascii="Open Sans" w:hAnsi="Open Sans" w:cs="Open Sans"/>
          <w:sz w:val="22"/>
          <w:szCs w:val="22"/>
        </w:rPr>
        <w:t xml:space="preserve">plant. </w:t>
      </w:r>
      <w:r w:rsidR="003264B0">
        <w:rPr>
          <w:rFonts w:ascii="Open Sans" w:hAnsi="Open Sans" w:cs="Open Sans"/>
          <w:sz w:val="22"/>
          <w:szCs w:val="22"/>
        </w:rPr>
        <w:t>W</w:t>
      </w:r>
      <w:r w:rsidR="00564711" w:rsidRPr="0076721D">
        <w:rPr>
          <w:rFonts w:ascii="Open Sans" w:hAnsi="Open Sans" w:cs="Open Sans"/>
          <w:sz w:val="22"/>
          <w:szCs w:val="22"/>
        </w:rPr>
        <w:t xml:space="preserve">e would support the requirement that such sites should be obligated to demonstrate to Ofgem that they continue to </w:t>
      </w:r>
      <w:r w:rsidR="00497E68" w:rsidRPr="0076721D">
        <w:rPr>
          <w:rFonts w:ascii="Open Sans" w:hAnsi="Open Sans" w:cs="Open Sans"/>
          <w:sz w:val="22"/>
          <w:szCs w:val="22"/>
        </w:rPr>
        <w:t xml:space="preserve">hold a valid Environmental Permit. This could be as straight forward as </w:t>
      </w:r>
      <w:r w:rsidR="00723500" w:rsidRPr="0076721D">
        <w:rPr>
          <w:rFonts w:ascii="Open Sans" w:hAnsi="Open Sans" w:cs="Open Sans"/>
          <w:sz w:val="22"/>
          <w:szCs w:val="22"/>
        </w:rPr>
        <w:t xml:space="preserve">annually </w:t>
      </w:r>
      <w:r w:rsidR="00497E68" w:rsidRPr="0076721D">
        <w:rPr>
          <w:rFonts w:ascii="Open Sans" w:hAnsi="Open Sans" w:cs="Open Sans"/>
          <w:sz w:val="22"/>
          <w:szCs w:val="22"/>
        </w:rPr>
        <w:t xml:space="preserve">uploading </w:t>
      </w:r>
      <w:r w:rsidR="00723500" w:rsidRPr="0076721D">
        <w:rPr>
          <w:rFonts w:ascii="Open Sans" w:hAnsi="Open Sans" w:cs="Open Sans"/>
          <w:sz w:val="22"/>
          <w:szCs w:val="22"/>
        </w:rPr>
        <w:t xml:space="preserve">to </w:t>
      </w:r>
      <w:r w:rsidR="00F87B54" w:rsidRPr="0076721D">
        <w:rPr>
          <w:rFonts w:ascii="Open Sans" w:hAnsi="Open Sans" w:cs="Open Sans"/>
          <w:sz w:val="22"/>
          <w:szCs w:val="22"/>
        </w:rPr>
        <w:t>E</w:t>
      </w:r>
      <w:r w:rsidR="00723500" w:rsidRPr="0076721D">
        <w:rPr>
          <w:rFonts w:ascii="Open Sans" w:hAnsi="Open Sans" w:cs="Open Sans"/>
          <w:sz w:val="22"/>
          <w:szCs w:val="22"/>
        </w:rPr>
        <w:t xml:space="preserve">-serve </w:t>
      </w:r>
      <w:r w:rsidR="00497E68" w:rsidRPr="0076721D">
        <w:rPr>
          <w:rFonts w:ascii="Open Sans" w:hAnsi="Open Sans" w:cs="Open Sans"/>
          <w:sz w:val="22"/>
          <w:szCs w:val="22"/>
        </w:rPr>
        <w:t>a</w:t>
      </w:r>
      <w:r w:rsidR="00723500" w:rsidRPr="0076721D">
        <w:rPr>
          <w:rFonts w:ascii="Open Sans" w:hAnsi="Open Sans" w:cs="Open Sans"/>
          <w:sz w:val="22"/>
          <w:szCs w:val="22"/>
        </w:rPr>
        <w:t xml:space="preserve"> valid</w:t>
      </w:r>
      <w:r w:rsidR="00497E68" w:rsidRPr="0076721D">
        <w:rPr>
          <w:rFonts w:ascii="Open Sans" w:hAnsi="Open Sans" w:cs="Open Sans"/>
          <w:sz w:val="22"/>
          <w:szCs w:val="22"/>
        </w:rPr>
        <w:t xml:space="preserve"> permit </w:t>
      </w:r>
      <w:r w:rsidR="00723500" w:rsidRPr="0076721D">
        <w:rPr>
          <w:rFonts w:ascii="Open Sans" w:hAnsi="Open Sans" w:cs="Open Sans"/>
          <w:sz w:val="22"/>
          <w:szCs w:val="22"/>
        </w:rPr>
        <w:t xml:space="preserve">to demonstrate ongoing </w:t>
      </w:r>
      <w:r w:rsidR="00F87B54" w:rsidRPr="0076721D">
        <w:rPr>
          <w:rFonts w:ascii="Open Sans" w:hAnsi="Open Sans" w:cs="Open Sans"/>
          <w:sz w:val="22"/>
          <w:szCs w:val="22"/>
        </w:rPr>
        <w:t xml:space="preserve">RHI </w:t>
      </w:r>
      <w:r w:rsidR="00723500" w:rsidRPr="0076721D">
        <w:rPr>
          <w:rFonts w:ascii="Open Sans" w:hAnsi="Open Sans" w:cs="Open Sans"/>
          <w:sz w:val="22"/>
          <w:szCs w:val="22"/>
        </w:rPr>
        <w:t>compliance</w:t>
      </w:r>
      <w:r w:rsidR="00497E68" w:rsidRPr="0076721D">
        <w:rPr>
          <w:rFonts w:ascii="Open Sans" w:hAnsi="Open Sans" w:cs="Open Sans"/>
          <w:sz w:val="22"/>
          <w:szCs w:val="22"/>
        </w:rPr>
        <w:t>.</w:t>
      </w:r>
      <w:r w:rsidR="00F87B54" w:rsidRPr="0076721D">
        <w:rPr>
          <w:rFonts w:ascii="Open Sans" w:hAnsi="Open Sans" w:cs="Open Sans"/>
          <w:sz w:val="22"/>
          <w:szCs w:val="22"/>
        </w:rPr>
        <w:t xml:space="preserve"> Ofgem will need to develop a clear and transparent process to allow for the uploading of such a document. </w:t>
      </w:r>
      <w:r w:rsidR="00497E68" w:rsidRPr="0076721D">
        <w:rPr>
          <w:rFonts w:ascii="Open Sans" w:hAnsi="Open Sans" w:cs="Open Sans"/>
          <w:sz w:val="22"/>
          <w:szCs w:val="22"/>
        </w:rPr>
        <w:t xml:space="preserve"> It </w:t>
      </w:r>
      <w:r w:rsidR="00F87B54" w:rsidRPr="0076721D">
        <w:rPr>
          <w:rFonts w:ascii="Open Sans" w:hAnsi="Open Sans" w:cs="Open Sans"/>
          <w:sz w:val="22"/>
          <w:szCs w:val="22"/>
        </w:rPr>
        <w:t xml:space="preserve">is then the </w:t>
      </w:r>
      <w:r w:rsidR="003264B0">
        <w:rPr>
          <w:rFonts w:ascii="Open Sans" w:hAnsi="Open Sans" w:cs="Open Sans"/>
          <w:sz w:val="22"/>
          <w:szCs w:val="22"/>
        </w:rPr>
        <w:t xml:space="preserve">responsibility </w:t>
      </w:r>
      <w:r w:rsidR="00F87B54" w:rsidRPr="0076721D">
        <w:rPr>
          <w:rFonts w:ascii="Open Sans" w:hAnsi="Open Sans" w:cs="Open Sans"/>
          <w:sz w:val="22"/>
          <w:szCs w:val="22"/>
        </w:rPr>
        <w:t xml:space="preserve">of the </w:t>
      </w:r>
      <w:r w:rsidR="00497E68" w:rsidRPr="0076721D">
        <w:rPr>
          <w:rFonts w:ascii="Open Sans" w:hAnsi="Open Sans" w:cs="Open Sans"/>
          <w:sz w:val="22"/>
          <w:szCs w:val="22"/>
        </w:rPr>
        <w:t xml:space="preserve">Environment Agency or Local Authority to regulate the site to ensure they are complying </w:t>
      </w:r>
      <w:r w:rsidR="00F87B54" w:rsidRPr="0076721D">
        <w:rPr>
          <w:rFonts w:ascii="Open Sans" w:hAnsi="Open Sans" w:cs="Open Sans"/>
          <w:sz w:val="22"/>
          <w:szCs w:val="22"/>
        </w:rPr>
        <w:t xml:space="preserve">with the </w:t>
      </w:r>
      <w:r w:rsidR="00723500" w:rsidRPr="0076721D">
        <w:rPr>
          <w:rFonts w:ascii="Open Sans" w:hAnsi="Open Sans" w:cs="Open Sans"/>
          <w:sz w:val="22"/>
          <w:szCs w:val="22"/>
        </w:rPr>
        <w:t>emission requirements of the</w:t>
      </w:r>
      <w:r w:rsidR="00F87B54" w:rsidRPr="0076721D">
        <w:rPr>
          <w:rFonts w:ascii="Open Sans" w:hAnsi="Open Sans" w:cs="Open Sans"/>
          <w:sz w:val="22"/>
          <w:szCs w:val="22"/>
        </w:rPr>
        <w:t>ir</w:t>
      </w:r>
      <w:r w:rsidR="00723500" w:rsidRPr="0076721D">
        <w:rPr>
          <w:rFonts w:ascii="Open Sans" w:hAnsi="Open Sans" w:cs="Open Sans"/>
          <w:sz w:val="22"/>
          <w:szCs w:val="22"/>
        </w:rPr>
        <w:t xml:space="preserve"> </w:t>
      </w:r>
      <w:r w:rsidR="00497E68" w:rsidRPr="0076721D">
        <w:rPr>
          <w:rFonts w:ascii="Open Sans" w:hAnsi="Open Sans" w:cs="Open Sans"/>
          <w:sz w:val="22"/>
          <w:szCs w:val="22"/>
        </w:rPr>
        <w:t xml:space="preserve">permit. </w:t>
      </w:r>
    </w:p>
    <w:p w14:paraId="0A8B7876" w14:textId="2399031D" w:rsidR="00497E68" w:rsidRPr="0076721D" w:rsidRDefault="00497E68" w:rsidP="00657F1B">
      <w:pPr>
        <w:pStyle w:val="Default"/>
        <w:rPr>
          <w:rFonts w:ascii="Open Sans" w:hAnsi="Open Sans" w:cs="Open Sans"/>
          <w:sz w:val="22"/>
          <w:szCs w:val="22"/>
        </w:rPr>
      </w:pPr>
    </w:p>
    <w:p w14:paraId="40192483" w14:textId="495F5013" w:rsidR="00497E68" w:rsidRPr="0076721D" w:rsidRDefault="00497E68" w:rsidP="00657F1B">
      <w:pPr>
        <w:pStyle w:val="Default"/>
        <w:rPr>
          <w:rFonts w:ascii="Open Sans" w:hAnsi="Open Sans" w:cs="Open Sans"/>
          <w:sz w:val="22"/>
          <w:szCs w:val="22"/>
        </w:rPr>
      </w:pPr>
      <w:r w:rsidRPr="0076721D">
        <w:rPr>
          <w:rFonts w:ascii="Open Sans" w:hAnsi="Open Sans" w:cs="Open Sans"/>
          <w:sz w:val="22"/>
          <w:szCs w:val="22"/>
        </w:rPr>
        <w:lastRenderedPageBreak/>
        <w:t>In addition, it is</w:t>
      </w:r>
      <w:r w:rsidR="00723500" w:rsidRPr="0076721D">
        <w:rPr>
          <w:rFonts w:ascii="Open Sans" w:hAnsi="Open Sans" w:cs="Open Sans"/>
          <w:sz w:val="22"/>
          <w:szCs w:val="22"/>
        </w:rPr>
        <w:t xml:space="preserve"> recognised that there is a poor understanding among RHI participants around who can utilise waste wood feedstocks </w:t>
      </w:r>
      <w:r w:rsidR="00F87B54" w:rsidRPr="0076721D">
        <w:rPr>
          <w:rFonts w:ascii="Open Sans" w:hAnsi="Open Sans" w:cs="Open Sans"/>
          <w:sz w:val="22"/>
          <w:szCs w:val="22"/>
        </w:rPr>
        <w:t xml:space="preserve">with a </w:t>
      </w:r>
      <w:r w:rsidR="00723500" w:rsidRPr="0076721D">
        <w:rPr>
          <w:rFonts w:ascii="Open Sans" w:hAnsi="Open Sans" w:cs="Open Sans"/>
          <w:sz w:val="22"/>
          <w:szCs w:val="22"/>
        </w:rPr>
        <w:t xml:space="preserve">valid BSL number. As there is no distinction between a waste wood BSL number and virgin material BSL number, </w:t>
      </w:r>
      <w:r w:rsidR="00232517" w:rsidRPr="0076721D">
        <w:rPr>
          <w:rFonts w:ascii="Open Sans" w:hAnsi="Open Sans" w:cs="Open Sans"/>
          <w:sz w:val="22"/>
          <w:szCs w:val="22"/>
        </w:rPr>
        <w:t>participants</w:t>
      </w:r>
      <w:r w:rsidR="00723500" w:rsidRPr="0076721D">
        <w:rPr>
          <w:rFonts w:ascii="Open Sans" w:hAnsi="Open Sans" w:cs="Open Sans"/>
          <w:sz w:val="22"/>
          <w:szCs w:val="22"/>
        </w:rPr>
        <w:t xml:space="preserve"> could mistakenly us</w:t>
      </w:r>
      <w:r w:rsidR="00920588" w:rsidRPr="0076721D">
        <w:rPr>
          <w:rFonts w:ascii="Open Sans" w:hAnsi="Open Sans" w:cs="Open Sans"/>
          <w:sz w:val="22"/>
          <w:szCs w:val="22"/>
        </w:rPr>
        <w:t>e</w:t>
      </w:r>
      <w:r w:rsidR="00723500" w:rsidRPr="0076721D">
        <w:rPr>
          <w:rFonts w:ascii="Open Sans" w:hAnsi="Open Sans" w:cs="Open Sans"/>
          <w:sz w:val="22"/>
          <w:szCs w:val="22"/>
        </w:rPr>
        <w:t xml:space="preserve"> waste wood</w:t>
      </w:r>
      <w:r w:rsidR="00920588" w:rsidRPr="0076721D">
        <w:rPr>
          <w:rFonts w:ascii="Open Sans" w:hAnsi="Open Sans" w:cs="Open Sans"/>
          <w:sz w:val="22"/>
          <w:szCs w:val="22"/>
        </w:rPr>
        <w:t xml:space="preserve"> -</w:t>
      </w:r>
      <w:r w:rsidR="00232517" w:rsidRPr="0076721D">
        <w:rPr>
          <w:rFonts w:ascii="Open Sans" w:hAnsi="Open Sans" w:cs="Open Sans"/>
          <w:sz w:val="22"/>
          <w:szCs w:val="22"/>
        </w:rPr>
        <w:t xml:space="preserve"> believing themselves to be compliant </w:t>
      </w:r>
      <w:r w:rsidR="003264B0">
        <w:rPr>
          <w:rFonts w:ascii="Open Sans" w:hAnsi="Open Sans" w:cs="Open Sans"/>
          <w:sz w:val="22"/>
          <w:szCs w:val="22"/>
        </w:rPr>
        <w:t xml:space="preserve">by using a </w:t>
      </w:r>
      <w:r w:rsidR="00232517" w:rsidRPr="0076721D">
        <w:rPr>
          <w:rFonts w:ascii="Open Sans" w:hAnsi="Open Sans" w:cs="Open Sans"/>
          <w:sz w:val="22"/>
          <w:szCs w:val="22"/>
        </w:rPr>
        <w:t>BSL registered fuel. This</w:t>
      </w:r>
      <w:r w:rsidR="00F87B54" w:rsidRPr="0076721D">
        <w:rPr>
          <w:rFonts w:ascii="Open Sans" w:hAnsi="Open Sans" w:cs="Open Sans"/>
          <w:sz w:val="22"/>
          <w:szCs w:val="22"/>
        </w:rPr>
        <w:t>,</w:t>
      </w:r>
      <w:r w:rsidR="00232517" w:rsidRPr="0076721D">
        <w:rPr>
          <w:rFonts w:ascii="Open Sans" w:hAnsi="Open Sans" w:cs="Open Sans"/>
          <w:sz w:val="22"/>
          <w:szCs w:val="22"/>
        </w:rPr>
        <w:t xml:space="preserve"> however</w:t>
      </w:r>
      <w:r w:rsidR="00F87B54" w:rsidRPr="0076721D">
        <w:rPr>
          <w:rFonts w:ascii="Open Sans" w:hAnsi="Open Sans" w:cs="Open Sans"/>
          <w:sz w:val="22"/>
          <w:szCs w:val="22"/>
        </w:rPr>
        <w:t>,</w:t>
      </w:r>
      <w:r w:rsidR="00232517" w:rsidRPr="0076721D">
        <w:rPr>
          <w:rFonts w:ascii="Open Sans" w:hAnsi="Open Sans" w:cs="Open Sans"/>
          <w:sz w:val="22"/>
          <w:szCs w:val="22"/>
        </w:rPr>
        <w:t xml:space="preserve"> is relatively straight forward to fix, with it being made clear to consumers </w:t>
      </w:r>
      <w:r w:rsidR="00920588" w:rsidRPr="0076721D">
        <w:rPr>
          <w:rFonts w:ascii="Open Sans" w:hAnsi="Open Sans" w:cs="Open Sans"/>
          <w:sz w:val="22"/>
          <w:szCs w:val="22"/>
        </w:rPr>
        <w:t xml:space="preserve">which </w:t>
      </w:r>
      <w:r w:rsidR="00232517" w:rsidRPr="0076721D">
        <w:rPr>
          <w:rFonts w:ascii="Open Sans" w:hAnsi="Open Sans" w:cs="Open Sans"/>
          <w:sz w:val="22"/>
          <w:szCs w:val="22"/>
        </w:rPr>
        <w:t>BSL numbers are waste wood</w:t>
      </w:r>
      <w:r w:rsidR="00920588" w:rsidRPr="0076721D">
        <w:rPr>
          <w:rFonts w:ascii="Open Sans" w:hAnsi="Open Sans" w:cs="Open Sans"/>
          <w:sz w:val="22"/>
          <w:szCs w:val="22"/>
        </w:rPr>
        <w:t xml:space="preserve"> materials</w:t>
      </w:r>
      <w:r w:rsidR="00232517" w:rsidRPr="0076721D">
        <w:rPr>
          <w:rFonts w:ascii="Open Sans" w:hAnsi="Open Sans" w:cs="Open Sans"/>
          <w:sz w:val="22"/>
          <w:szCs w:val="22"/>
        </w:rPr>
        <w:t xml:space="preserve"> and that such material can not be burnt in a standard, non-chapter IV compliant, boiler. </w:t>
      </w:r>
    </w:p>
    <w:p w14:paraId="6EF62210" w14:textId="4CBA1C95" w:rsidR="0094084A" w:rsidRPr="0076721D" w:rsidRDefault="0094084A" w:rsidP="00657F1B">
      <w:pPr>
        <w:pStyle w:val="Default"/>
        <w:rPr>
          <w:rFonts w:ascii="Open Sans" w:hAnsi="Open Sans" w:cs="Open Sans"/>
          <w:sz w:val="22"/>
          <w:szCs w:val="22"/>
        </w:rPr>
      </w:pPr>
    </w:p>
    <w:p w14:paraId="407C159E" w14:textId="0048172B" w:rsidR="00657F1B" w:rsidRPr="0076721D" w:rsidRDefault="00232517" w:rsidP="00657F1B">
      <w:pPr>
        <w:pStyle w:val="Default"/>
        <w:rPr>
          <w:rFonts w:ascii="Open Sans" w:hAnsi="Open Sans" w:cs="Open Sans"/>
          <w:b/>
          <w:bCs/>
          <w:sz w:val="22"/>
          <w:szCs w:val="22"/>
        </w:rPr>
      </w:pPr>
      <w:r w:rsidRPr="0076721D">
        <w:rPr>
          <w:rFonts w:ascii="Open Sans" w:hAnsi="Open Sans" w:cs="Open Sans"/>
          <w:sz w:val="22"/>
          <w:szCs w:val="22"/>
        </w:rPr>
        <w:t>Finally, we would also like to stress that i</w:t>
      </w:r>
      <w:r w:rsidR="00657F1B" w:rsidRPr="0076721D">
        <w:rPr>
          <w:rFonts w:ascii="Open Sans" w:hAnsi="Open Sans" w:cs="Open Sans"/>
          <w:sz w:val="22"/>
          <w:szCs w:val="22"/>
        </w:rPr>
        <w:t xml:space="preserve">t is significant </w:t>
      </w:r>
      <w:r w:rsidRPr="0076721D">
        <w:rPr>
          <w:rFonts w:ascii="Open Sans" w:hAnsi="Open Sans" w:cs="Open Sans"/>
          <w:sz w:val="22"/>
          <w:szCs w:val="22"/>
        </w:rPr>
        <w:t>fault of the consultation</w:t>
      </w:r>
      <w:r w:rsidR="00657F1B" w:rsidRPr="0076721D">
        <w:rPr>
          <w:rFonts w:ascii="Open Sans" w:hAnsi="Open Sans" w:cs="Open Sans"/>
          <w:sz w:val="22"/>
          <w:szCs w:val="22"/>
        </w:rPr>
        <w:t xml:space="preserve"> </w:t>
      </w:r>
      <w:r w:rsidRPr="0076721D">
        <w:rPr>
          <w:rFonts w:ascii="Open Sans" w:hAnsi="Open Sans" w:cs="Open Sans"/>
          <w:sz w:val="22"/>
          <w:szCs w:val="22"/>
        </w:rPr>
        <w:t xml:space="preserve">that it </w:t>
      </w:r>
      <w:r w:rsidR="00657F1B" w:rsidRPr="0076721D">
        <w:rPr>
          <w:rFonts w:ascii="Open Sans" w:hAnsi="Open Sans" w:cs="Open Sans"/>
          <w:sz w:val="22"/>
          <w:szCs w:val="22"/>
        </w:rPr>
        <w:t>fails to define what is classified as ‘</w:t>
      </w:r>
      <w:r w:rsidR="00920588" w:rsidRPr="0076721D">
        <w:rPr>
          <w:rFonts w:ascii="Open Sans" w:hAnsi="Open Sans" w:cs="Open Sans"/>
          <w:sz w:val="22"/>
          <w:szCs w:val="22"/>
        </w:rPr>
        <w:t>p</w:t>
      </w:r>
      <w:r w:rsidR="00657F1B" w:rsidRPr="0076721D">
        <w:rPr>
          <w:rFonts w:ascii="Open Sans" w:hAnsi="Open Sans" w:cs="Open Sans"/>
          <w:sz w:val="22"/>
          <w:szCs w:val="22"/>
        </w:rPr>
        <w:t>re-consumer waste wood’. This is not a definition currently included in the legislation or any current guidance</w:t>
      </w:r>
      <w:r w:rsidRPr="0076721D">
        <w:rPr>
          <w:rFonts w:ascii="Open Sans" w:hAnsi="Open Sans" w:cs="Open Sans"/>
          <w:sz w:val="22"/>
          <w:szCs w:val="22"/>
        </w:rPr>
        <w:t xml:space="preserve">. </w:t>
      </w:r>
      <w:r w:rsidR="00920588" w:rsidRPr="0076721D">
        <w:rPr>
          <w:rFonts w:ascii="Open Sans" w:hAnsi="Open Sans" w:cs="Open Sans"/>
          <w:sz w:val="22"/>
          <w:szCs w:val="22"/>
        </w:rPr>
        <w:t xml:space="preserve">As such the </w:t>
      </w:r>
      <w:r w:rsidR="00F87B54" w:rsidRPr="0076721D">
        <w:rPr>
          <w:rFonts w:ascii="Open Sans" w:hAnsi="Open Sans" w:cs="Open Sans"/>
          <w:sz w:val="22"/>
          <w:szCs w:val="22"/>
        </w:rPr>
        <w:t>proposal is</w:t>
      </w:r>
      <w:r w:rsidR="00920588" w:rsidRPr="0076721D">
        <w:rPr>
          <w:rFonts w:ascii="Open Sans" w:hAnsi="Open Sans" w:cs="Open Sans"/>
          <w:sz w:val="22"/>
          <w:szCs w:val="22"/>
        </w:rPr>
        <w:t xml:space="preserve"> vague and does not allow industry or stakeholders the opportunity to appropriately comment on what is being suggested. </w:t>
      </w:r>
    </w:p>
    <w:p w14:paraId="5322883C" w14:textId="6ED13871" w:rsidR="00FA6B33" w:rsidRPr="0076721D" w:rsidRDefault="00FA6B33" w:rsidP="00E17F89">
      <w:pPr>
        <w:pStyle w:val="Default"/>
        <w:rPr>
          <w:rFonts w:ascii="Open Sans" w:hAnsi="Open Sans" w:cs="Open Sans"/>
          <w:sz w:val="22"/>
          <w:szCs w:val="22"/>
        </w:rPr>
      </w:pPr>
    </w:p>
    <w:p w14:paraId="5ED2D035" w14:textId="057A0D35" w:rsidR="00D75627" w:rsidRPr="0076721D" w:rsidRDefault="00920588" w:rsidP="00E17F89">
      <w:pPr>
        <w:pStyle w:val="Default"/>
        <w:rPr>
          <w:rFonts w:ascii="Open Sans" w:hAnsi="Open Sans" w:cs="Open Sans"/>
          <w:b/>
          <w:bCs/>
          <w:sz w:val="22"/>
          <w:szCs w:val="22"/>
        </w:rPr>
      </w:pPr>
      <w:r w:rsidRPr="0076721D">
        <w:rPr>
          <w:rFonts w:ascii="Open Sans" w:hAnsi="Open Sans" w:cs="Open Sans"/>
          <w:b/>
          <w:bCs/>
          <w:sz w:val="22"/>
          <w:szCs w:val="22"/>
        </w:rPr>
        <w:t xml:space="preserve">Recognising that the </w:t>
      </w:r>
      <w:r w:rsidR="00D75627" w:rsidRPr="0076721D">
        <w:rPr>
          <w:rFonts w:ascii="Open Sans" w:hAnsi="Open Sans" w:cs="Open Sans"/>
          <w:b/>
          <w:bCs/>
          <w:sz w:val="22"/>
          <w:szCs w:val="22"/>
        </w:rPr>
        <w:t xml:space="preserve">RHI </w:t>
      </w:r>
      <w:r w:rsidRPr="0076721D">
        <w:rPr>
          <w:rFonts w:ascii="Open Sans" w:hAnsi="Open Sans" w:cs="Open Sans"/>
          <w:b/>
          <w:bCs/>
          <w:sz w:val="22"/>
          <w:szCs w:val="22"/>
        </w:rPr>
        <w:t>should align with</w:t>
      </w:r>
      <w:r w:rsidR="00D75627" w:rsidRPr="0076721D">
        <w:rPr>
          <w:rFonts w:ascii="Open Sans" w:hAnsi="Open Sans" w:cs="Open Sans"/>
          <w:b/>
          <w:bCs/>
          <w:sz w:val="22"/>
          <w:szCs w:val="22"/>
        </w:rPr>
        <w:t xml:space="preserve"> the Clean Air Strategy</w:t>
      </w:r>
      <w:r w:rsidR="0076721D">
        <w:rPr>
          <w:rFonts w:ascii="Open Sans" w:hAnsi="Open Sans" w:cs="Open Sans"/>
          <w:b/>
          <w:bCs/>
          <w:sz w:val="22"/>
          <w:szCs w:val="22"/>
        </w:rPr>
        <w:t xml:space="preserve"> </w:t>
      </w:r>
      <w:r w:rsidRPr="0076721D">
        <w:rPr>
          <w:rFonts w:ascii="Open Sans" w:hAnsi="Open Sans" w:cs="Open Sans"/>
          <w:b/>
          <w:bCs/>
          <w:sz w:val="22"/>
          <w:szCs w:val="22"/>
        </w:rPr>
        <w:t xml:space="preserve">we believe </w:t>
      </w:r>
      <w:r w:rsidR="00F87B54" w:rsidRPr="0076721D">
        <w:rPr>
          <w:rFonts w:ascii="Open Sans" w:hAnsi="Open Sans" w:cs="Open Sans"/>
          <w:b/>
          <w:bCs/>
          <w:sz w:val="22"/>
          <w:szCs w:val="22"/>
        </w:rPr>
        <w:t>pre consumer waste wood should be banned</w:t>
      </w:r>
      <w:r w:rsidRPr="0076721D">
        <w:rPr>
          <w:rFonts w:ascii="Open Sans" w:hAnsi="Open Sans" w:cs="Open Sans"/>
          <w:b/>
          <w:bCs/>
          <w:sz w:val="22"/>
          <w:szCs w:val="22"/>
        </w:rPr>
        <w:t xml:space="preserve"> for sites that do not hold a valid Environmental Permit</w:t>
      </w:r>
      <w:r w:rsidR="00420126">
        <w:rPr>
          <w:rFonts w:ascii="Open Sans" w:hAnsi="Open Sans" w:cs="Open Sans"/>
          <w:b/>
          <w:bCs/>
          <w:sz w:val="22"/>
          <w:szCs w:val="22"/>
        </w:rPr>
        <w:t xml:space="preserve"> to use such material</w:t>
      </w:r>
      <w:r w:rsidR="0076721D">
        <w:rPr>
          <w:rFonts w:ascii="Open Sans" w:hAnsi="Open Sans" w:cs="Open Sans"/>
          <w:b/>
          <w:bCs/>
          <w:sz w:val="22"/>
          <w:szCs w:val="22"/>
        </w:rPr>
        <w:t xml:space="preserve">. </w:t>
      </w:r>
      <w:r w:rsidR="00420126">
        <w:rPr>
          <w:rFonts w:ascii="Open Sans" w:hAnsi="Open Sans" w:cs="Open Sans"/>
          <w:b/>
          <w:bCs/>
          <w:sz w:val="22"/>
          <w:szCs w:val="22"/>
        </w:rPr>
        <w:t xml:space="preserve"> S</w:t>
      </w:r>
      <w:r w:rsidR="0076721D">
        <w:rPr>
          <w:rFonts w:ascii="Open Sans" w:hAnsi="Open Sans" w:cs="Open Sans"/>
          <w:b/>
          <w:bCs/>
          <w:sz w:val="22"/>
          <w:szCs w:val="22"/>
        </w:rPr>
        <w:t xml:space="preserve">ites that do hold permits should continue to be allowed to burn waste wood as they are already appropriately regulated to allow such </w:t>
      </w:r>
      <w:r w:rsidRPr="0076721D">
        <w:rPr>
          <w:rFonts w:ascii="Open Sans" w:hAnsi="Open Sans" w:cs="Open Sans"/>
          <w:b/>
          <w:bCs/>
          <w:sz w:val="22"/>
          <w:szCs w:val="22"/>
        </w:rPr>
        <w:t>material</w:t>
      </w:r>
      <w:r w:rsidR="00EB4D34" w:rsidRPr="0076721D">
        <w:rPr>
          <w:rFonts w:ascii="Open Sans" w:hAnsi="Open Sans" w:cs="Open Sans"/>
          <w:b/>
          <w:bCs/>
          <w:sz w:val="22"/>
          <w:szCs w:val="22"/>
        </w:rPr>
        <w:t xml:space="preserve"> </w:t>
      </w:r>
      <w:r w:rsidR="0076721D">
        <w:rPr>
          <w:rFonts w:ascii="Open Sans" w:hAnsi="Open Sans" w:cs="Open Sans"/>
          <w:b/>
          <w:bCs/>
          <w:sz w:val="22"/>
          <w:szCs w:val="22"/>
        </w:rPr>
        <w:t xml:space="preserve">to be used and their </w:t>
      </w:r>
      <w:r w:rsidR="00EB4D34" w:rsidRPr="0076721D">
        <w:rPr>
          <w:rFonts w:ascii="Open Sans" w:hAnsi="Open Sans" w:cs="Open Sans"/>
          <w:b/>
          <w:bCs/>
          <w:sz w:val="22"/>
          <w:szCs w:val="22"/>
        </w:rPr>
        <w:t xml:space="preserve">emissions </w:t>
      </w:r>
      <w:r w:rsidR="0076721D">
        <w:rPr>
          <w:rFonts w:ascii="Open Sans" w:hAnsi="Open Sans" w:cs="Open Sans"/>
          <w:b/>
          <w:bCs/>
          <w:sz w:val="22"/>
          <w:szCs w:val="22"/>
        </w:rPr>
        <w:t>tightly monitored</w:t>
      </w:r>
      <w:r w:rsidRPr="0076721D">
        <w:rPr>
          <w:rFonts w:ascii="Open Sans" w:hAnsi="Open Sans" w:cs="Open Sans"/>
          <w:b/>
          <w:bCs/>
          <w:sz w:val="22"/>
          <w:szCs w:val="22"/>
        </w:rPr>
        <w:t>. It is therefore up to the administrator to design a robust methodology to ensure they are satisfied that such sites are keeping the</w:t>
      </w:r>
      <w:r w:rsidR="0076721D">
        <w:rPr>
          <w:rFonts w:ascii="Open Sans" w:hAnsi="Open Sans" w:cs="Open Sans"/>
          <w:b/>
          <w:bCs/>
          <w:sz w:val="22"/>
          <w:szCs w:val="22"/>
        </w:rPr>
        <w:t>ir</w:t>
      </w:r>
      <w:r w:rsidRPr="0076721D">
        <w:rPr>
          <w:rFonts w:ascii="Open Sans" w:hAnsi="Open Sans" w:cs="Open Sans"/>
          <w:b/>
          <w:bCs/>
          <w:sz w:val="22"/>
          <w:szCs w:val="22"/>
        </w:rPr>
        <w:t xml:space="preserve"> Environmental </w:t>
      </w:r>
      <w:r w:rsidR="00420126">
        <w:rPr>
          <w:rFonts w:ascii="Open Sans" w:hAnsi="Open Sans" w:cs="Open Sans"/>
          <w:b/>
          <w:bCs/>
          <w:sz w:val="22"/>
          <w:szCs w:val="22"/>
        </w:rPr>
        <w:t>Permit</w:t>
      </w:r>
      <w:r w:rsidRPr="0076721D">
        <w:rPr>
          <w:rFonts w:ascii="Open Sans" w:hAnsi="Open Sans" w:cs="Open Sans"/>
          <w:b/>
          <w:bCs/>
          <w:sz w:val="22"/>
          <w:szCs w:val="22"/>
        </w:rPr>
        <w:t xml:space="preserve"> up to date. </w:t>
      </w:r>
      <w:r w:rsidR="00D75627" w:rsidRPr="0076721D">
        <w:rPr>
          <w:rFonts w:ascii="Open Sans" w:hAnsi="Open Sans" w:cs="Open Sans"/>
          <w:b/>
          <w:bCs/>
          <w:sz w:val="22"/>
          <w:szCs w:val="22"/>
        </w:rPr>
        <w:t xml:space="preserve"> </w:t>
      </w:r>
    </w:p>
    <w:p w14:paraId="28AED3CF" w14:textId="5067E961" w:rsidR="00D75627" w:rsidRPr="0076721D" w:rsidRDefault="00D75627" w:rsidP="00E17F89">
      <w:pPr>
        <w:pStyle w:val="Default"/>
        <w:rPr>
          <w:rFonts w:ascii="Open Sans" w:hAnsi="Open Sans" w:cs="Open Sans"/>
          <w:sz w:val="22"/>
          <w:szCs w:val="22"/>
        </w:rPr>
      </w:pPr>
    </w:p>
    <w:p w14:paraId="6A5D8796" w14:textId="20A927B9"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27 - </w:t>
      </w:r>
      <w:r w:rsidR="009B412E" w:rsidRPr="0076721D">
        <w:rPr>
          <w:rFonts w:ascii="Open Sans" w:hAnsi="Open Sans" w:cs="Open Sans"/>
          <w:b/>
          <w:bCs/>
          <w:i/>
          <w:iCs/>
          <w:color w:val="2F5496"/>
          <w:szCs w:val="22"/>
        </w:rPr>
        <w:t>Do you have any other comments to improve the waste fuel burned in biomass boilers?</w:t>
      </w:r>
    </w:p>
    <w:p w14:paraId="1465B090" w14:textId="74772BF9" w:rsidR="00187044" w:rsidRPr="0076721D" w:rsidRDefault="00187044" w:rsidP="00F27967">
      <w:pPr>
        <w:spacing w:after="160" w:line="259" w:lineRule="auto"/>
        <w:jc w:val="left"/>
        <w:rPr>
          <w:rFonts w:ascii="Open Sans" w:hAnsi="Open Sans" w:cs="Open Sans"/>
          <w:b/>
          <w:bCs/>
          <w:color w:val="FF0000"/>
          <w:szCs w:val="22"/>
        </w:rPr>
      </w:pPr>
      <w:r w:rsidRPr="0076721D">
        <w:rPr>
          <w:rFonts w:ascii="Open Sans" w:hAnsi="Open Sans" w:cs="Open Sans"/>
          <w:b/>
          <w:bCs/>
          <w:color w:val="FF0000"/>
          <w:szCs w:val="22"/>
        </w:rPr>
        <w:t xml:space="preserve">Member Views Welcome </w:t>
      </w:r>
    </w:p>
    <w:p w14:paraId="1C157182" w14:textId="475EAAF4"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28 - Are any changes necessary to the NDRHI for CHP installations following the closure of the NDRHI to new applicants? Yes/No</w:t>
      </w:r>
    </w:p>
    <w:p w14:paraId="15D13BC5" w14:textId="6B9A8AA4" w:rsidR="00187044" w:rsidRPr="0076721D" w:rsidRDefault="00920588" w:rsidP="00F27967">
      <w:pPr>
        <w:spacing w:after="160" w:line="259" w:lineRule="auto"/>
        <w:jc w:val="left"/>
        <w:rPr>
          <w:rFonts w:ascii="Open Sans" w:hAnsi="Open Sans" w:cs="Open Sans"/>
          <w:b/>
          <w:bCs/>
          <w:color w:val="FF0000"/>
          <w:szCs w:val="22"/>
        </w:rPr>
      </w:pPr>
      <w:r w:rsidRPr="0076721D">
        <w:rPr>
          <w:rFonts w:ascii="Open Sans" w:hAnsi="Open Sans" w:cs="Open Sans"/>
          <w:szCs w:val="22"/>
        </w:rPr>
        <w:t>None identified</w:t>
      </w:r>
      <w:r w:rsidRPr="0076721D">
        <w:rPr>
          <w:rFonts w:ascii="Open Sans" w:hAnsi="Open Sans" w:cs="Open Sans"/>
          <w:b/>
          <w:bCs/>
          <w:szCs w:val="22"/>
        </w:rPr>
        <w:t xml:space="preserve">- </w:t>
      </w:r>
      <w:r w:rsidR="00187044" w:rsidRPr="0076721D">
        <w:rPr>
          <w:rFonts w:ascii="Open Sans" w:hAnsi="Open Sans" w:cs="Open Sans"/>
          <w:b/>
          <w:bCs/>
          <w:color w:val="FF0000"/>
          <w:szCs w:val="22"/>
        </w:rPr>
        <w:t xml:space="preserve">Member Views Welcome </w:t>
      </w:r>
    </w:p>
    <w:p w14:paraId="0C5F6F8A" w14:textId="78153C60"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29 – Please provide evidence for you answer to question 28.</w:t>
      </w:r>
    </w:p>
    <w:p w14:paraId="527F9AFC" w14:textId="3C341B5E"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32 - </w:t>
      </w:r>
      <w:r w:rsidR="009B412E" w:rsidRPr="0076721D">
        <w:rPr>
          <w:rFonts w:ascii="Open Sans" w:hAnsi="Open Sans" w:cs="Open Sans"/>
          <w:b/>
          <w:bCs/>
          <w:i/>
          <w:iCs/>
          <w:color w:val="2F5496"/>
          <w:szCs w:val="22"/>
        </w:rPr>
        <w:t>Do you agree with the current approach to replacement plant outlined in the regulations? Yes/No.</w:t>
      </w:r>
    </w:p>
    <w:p w14:paraId="360ABB64" w14:textId="663B36AE" w:rsidR="00187044"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Yes. </w:t>
      </w:r>
    </w:p>
    <w:p w14:paraId="08AD964B" w14:textId="77777777" w:rsidR="00362180" w:rsidRPr="0076721D" w:rsidRDefault="00362180" w:rsidP="00362180">
      <w:pPr>
        <w:pStyle w:val="Default"/>
        <w:jc w:val="both"/>
        <w:rPr>
          <w:rFonts w:ascii="Open Sans" w:hAnsi="Open Sans" w:cs="Open Sans"/>
          <w:sz w:val="22"/>
          <w:szCs w:val="22"/>
        </w:rPr>
      </w:pPr>
    </w:p>
    <w:p w14:paraId="0469916A" w14:textId="066B7000"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33 - </w:t>
      </w:r>
      <w:r w:rsidR="009B412E" w:rsidRPr="0076721D">
        <w:rPr>
          <w:rFonts w:ascii="Open Sans" w:hAnsi="Open Sans" w:cs="Open Sans"/>
          <w:b/>
          <w:bCs/>
          <w:i/>
          <w:iCs/>
          <w:color w:val="2F5496"/>
          <w:szCs w:val="22"/>
        </w:rPr>
        <w:t>Please provide evidence to support your response to question 32.</w:t>
      </w:r>
    </w:p>
    <w:p w14:paraId="0B5340AA" w14:textId="0F4AF33B"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We agree that the procedure outlined in the Regulations and in Ofgem’s Guidance Volume 2 on Replacement Plants are appropriate. </w:t>
      </w:r>
    </w:p>
    <w:p w14:paraId="4961CB04" w14:textId="47B63537" w:rsidR="00362180" w:rsidRPr="0076721D" w:rsidRDefault="00362180" w:rsidP="00362180">
      <w:pPr>
        <w:pStyle w:val="Default"/>
        <w:jc w:val="both"/>
        <w:rPr>
          <w:rFonts w:ascii="Open Sans" w:hAnsi="Open Sans" w:cs="Open Sans"/>
          <w:sz w:val="22"/>
          <w:szCs w:val="22"/>
        </w:rPr>
      </w:pPr>
    </w:p>
    <w:p w14:paraId="342453E0" w14:textId="7F9C7694"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The understanding that eligible replacement plants will retain the same tariff and scheme lifeline as the original installation are agreed with by the industry, as is the added requirement that solid biomass installations must adhere to the current air quality requirements irrespective of the date of the original installation. </w:t>
      </w:r>
    </w:p>
    <w:p w14:paraId="307E0095" w14:textId="6CE90E7F" w:rsidR="00362180" w:rsidRPr="0076721D" w:rsidRDefault="00362180" w:rsidP="00362180">
      <w:pPr>
        <w:pStyle w:val="Default"/>
        <w:jc w:val="both"/>
        <w:rPr>
          <w:rFonts w:ascii="Open Sans" w:hAnsi="Open Sans" w:cs="Open Sans"/>
          <w:sz w:val="22"/>
          <w:szCs w:val="22"/>
        </w:rPr>
      </w:pPr>
    </w:p>
    <w:p w14:paraId="1E530353" w14:textId="19B449F6" w:rsidR="00362180"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As the Consultation Document notes, the number of replacement plants will increase over the coming years as installations become older. Due to this, it is vital that Ofgem have a workable system in place to process this increase in numbers, one that does not lead to unnecessarily delays or long periods where claimants will not receive RHI funding. </w:t>
      </w:r>
      <w:r w:rsidR="00920588" w:rsidRPr="0076721D">
        <w:rPr>
          <w:rFonts w:ascii="Open Sans" w:hAnsi="Open Sans" w:cs="Open Sans"/>
          <w:sz w:val="22"/>
          <w:szCs w:val="22"/>
        </w:rPr>
        <w:t xml:space="preserve">The process must be transparent, with good communication channels open between the Ofgem case worker and the applicant. </w:t>
      </w:r>
    </w:p>
    <w:p w14:paraId="34862D85" w14:textId="1A8D2847" w:rsidR="007000E9" w:rsidRDefault="007000E9" w:rsidP="00362180">
      <w:pPr>
        <w:pStyle w:val="Default"/>
        <w:jc w:val="both"/>
        <w:rPr>
          <w:rFonts w:ascii="Open Sans" w:hAnsi="Open Sans" w:cs="Open Sans"/>
          <w:sz w:val="22"/>
          <w:szCs w:val="22"/>
        </w:rPr>
      </w:pPr>
    </w:p>
    <w:p w14:paraId="344EE0EB" w14:textId="7D4600C3" w:rsidR="007000E9" w:rsidRPr="0076721D" w:rsidRDefault="007000E9" w:rsidP="00362180">
      <w:pPr>
        <w:pStyle w:val="Default"/>
        <w:jc w:val="both"/>
        <w:rPr>
          <w:rFonts w:ascii="Open Sans" w:hAnsi="Open Sans" w:cs="Open Sans"/>
          <w:sz w:val="22"/>
          <w:szCs w:val="22"/>
        </w:rPr>
      </w:pPr>
      <w:r>
        <w:rPr>
          <w:rFonts w:ascii="Open Sans" w:hAnsi="Open Sans" w:cs="Open Sans"/>
          <w:sz w:val="22"/>
          <w:szCs w:val="22"/>
        </w:rPr>
        <w:t xml:space="preserve">This is currently not the case. The REA regularly receive complaints concerning the delays and complications caused by registering a replacement plant with Ofgem. The system currently is not fit for purpose and </w:t>
      </w:r>
      <w:r w:rsidR="00296A65">
        <w:rPr>
          <w:rFonts w:ascii="Open Sans" w:hAnsi="Open Sans" w:cs="Open Sans"/>
          <w:sz w:val="22"/>
          <w:szCs w:val="22"/>
        </w:rPr>
        <w:t xml:space="preserve">is </w:t>
      </w:r>
      <w:r>
        <w:rPr>
          <w:rFonts w:ascii="Open Sans" w:hAnsi="Open Sans" w:cs="Open Sans"/>
          <w:sz w:val="22"/>
          <w:szCs w:val="22"/>
        </w:rPr>
        <w:t xml:space="preserve">disincentivising applicants from doing work on their plants to ensure they are working as efficiently as possible. </w:t>
      </w:r>
    </w:p>
    <w:p w14:paraId="07ED9559" w14:textId="77777777" w:rsidR="00362180" w:rsidRPr="0076721D" w:rsidRDefault="00362180" w:rsidP="00362180">
      <w:pPr>
        <w:pStyle w:val="Default"/>
        <w:jc w:val="both"/>
        <w:rPr>
          <w:rFonts w:ascii="Open Sans" w:hAnsi="Open Sans" w:cs="Open Sans"/>
          <w:sz w:val="22"/>
          <w:szCs w:val="22"/>
        </w:rPr>
      </w:pPr>
    </w:p>
    <w:p w14:paraId="4E5CF3AD" w14:textId="75010618"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Ensuring this process is streamlined will be vital and will give businesses confidence that they should proceed with a replacement plant. If the process experiences operational delays as we have seen with other applications to Ofgem, businesses may put off replacing plants, leading to a poorer stock of biomass installations under the scheme. </w:t>
      </w:r>
    </w:p>
    <w:p w14:paraId="3013A74E" w14:textId="77777777" w:rsidR="00362180" w:rsidRPr="0076721D" w:rsidRDefault="00362180" w:rsidP="00362180">
      <w:pPr>
        <w:pStyle w:val="Default"/>
        <w:jc w:val="both"/>
        <w:rPr>
          <w:rFonts w:ascii="Open Sans" w:hAnsi="Open Sans" w:cs="Open Sans"/>
          <w:sz w:val="22"/>
          <w:szCs w:val="22"/>
        </w:rPr>
      </w:pPr>
    </w:p>
    <w:p w14:paraId="5C5BA73A" w14:textId="4353AC79"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38 – Do you agree that the Government should reduce the strictness of the requirements for installation meters in circumstances where NDRHI payments are unaffected? Yes/No</w:t>
      </w:r>
    </w:p>
    <w:p w14:paraId="6F0EBA90" w14:textId="235695D7"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Yes. </w:t>
      </w:r>
    </w:p>
    <w:p w14:paraId="4BBF29F4" w14:textId="7FB94F1A" w:rsidR="00362180" w:rsidRPr="0076721D" w:rsidRDefault="00362180" w:rsidP="00362180">
      <w:pPr>
        <w:pStyle w:val="Default"/>
        <w:jc w:val="both"/>
        <w:rPr>
          <w:rFonts w:ascii="Open Sans" w:hAnsi="Open Sans" w:cs="Open Sans"/>
          <w:sz w:val="22"/>
          <w:szCs w:val="22"/>
        </w:rPr>
      </w:pPr>
    </w:p>
    <w:p w14:paraId="031C9402" w14:textId="25F15014" w:rsidR="00362180" w:rsidRPr="0076721D" w:rsidRDefault="00B97817" w:rsidP="00362180">
      <w:pPr>
        <w:pStyle w:val="Default"/>
        <w:jc w:val="both"/>
        <w:rPr>
          <w:rFonts w:ascii="Open Sans" w:hAnsi="Open Sans" w:cs="Open Sans"/>
          <w:sz w:val="22"/>
          <w:szCs w:val="22"/>
        </w:rPr>
      </w:pPr>
      <w:r w:rsidRPr="0076721D">
        <w:rPr>
          <w:rFonts w:ascii="Open Sans" w:hAnsi="Open Sans" w:cs="Open Sans"/>
          <w:sz w:val="22"/>
          <w:szCs w:val="22"/>
        </w:rPr>
        <w:t xml:space="preserve">Owing to the installation meters not being used to calculate payments and plants will likely have a standard meter – it is an unnecessary expense for installation meters to be replaced when they breakdown. </w:t>
      </w:r>
    </w:p>
    <w:p w14:paraId="3599C6CA" w14:textId="676BFDB6" w:rsidR="00B97817" w:rsidRPr="0076721D" w:rsidRDefault="00B97817" w:rsidP="00362180">
      <w:pPr>
        <w:pStyle w:val="Default"/>
        <w:jc w:val="both"/>
        <w:rPr>
          <w:rFonts w:ascii="Open Sans" w:hAnsi="Open Sans" w:cs="Open Sans"/>
          <w:sz w:val="22"/>
          <w:szCs w:val="22"/>
        </w:rPr>
      </w:pPr>
    </w:p>
    <w:p w14:paraId="34F11026" w14:textId="308359A3" w:rsidR="00B97817" w:rsidRPr="0076721D" w:rsidRDefault="00B97817" w:rsidP="00362180">
      <w:pPr>
        <w:pStyle w:val="Default"/>
        <w:jc w:val="both"/>
        <w:rPr>
          <w:rFonts w:ascii="Open Sans" w:hAnsi="Open Sans" w:cs="Open Sans"/>
          <w:sz w:val="22"/>
          <w:szCs w:val="22"/>
        </w:rPr>
      </w:pPr>
      <w:r w:rsidRPr="0076721D">
        <w:rPr>
          <w:rFonts w:ascii="Open Sans" w:hAnsi="Open Sans" w:cs="Open Sans"/>
          <w:sz w:val="22"/>
          <w:szCs w:val="22"/>
        </w:rPr>
        <w:t xml:space="preserve">It would be a welcome step to reduce the strictness of this requirement. </w:t>
      </w:r>
    </w:p>
    <w:p w14:paraId="3A12965C" w14:textId="761F2095" w:rsidR="00B97817" w:rsidRPr="0076721D" w:rsidRDefault="00B97817" w:rsidP="00362180">
      <w:pPr>
        <w:pStyle w:val="Default"/>
        <w:jc w:val="both"/>
        <w:rPr>
          <w:rFonts w:ascii="Open Sans" w:hAnsi="Open Sans" w:cs="Open Sans"/>
          <w:sz w:val="22"/>
          <w:szCs w:val="22"/>
        </w:rPr>
      </w:pPr>
    </w:p>
    <w:p w14:paraId="630F3EE2" w14:textId="5A9F42F7" w:rsidR="00B97817" w:rsidRPr="0076721D" w:rsidRDefault="00B97817" w:rsidP="00B97817">
      <w:pPr>
        <w:spacing w:after="160" w:line="259" w:lineRule="auto"/>
        <w:jc w:val="left"/>
        <w:rPr>
          <w:rFonts w:ascii="Open Sans" w:hAnsi="Open Sans" w:cs="Open Sans"/>
          <w:b/>
          <w:bCs/>
          <w:color w:val="FF0000"/>
          <w:szCs w:val="22"/>
        </w:rPr>
      </w:pPr>
      <w:r w:rsidRPr="0076721D">
        <w:rPr>
          <w:rFonts w:ascii="Open Sans" w:hAnsi="Open Sans" w:cs="Open Sans"/>
          <w:b/>
          <w:bCs/>
          <w:color w:val="FF0000"/>
          <w:szCs w:val="22"/>
        </w:rPr>
        <w:t xml:space="preserve">Member Views Welcome </w:t>
      </w:r>
    </w:p>
    <w:p w14:paraId="6DFB6F5A" w14:textId="32B960DA"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39 - Are there any specific types of changes in obligations which you would like to see introduced to the scheme to account for future technological change? Yes/No</w:t>
      </w:r>
    </w:p>
    <w:p w14:paraId="060648BD" w14:textId="68AFC62F" w:rsidR="00B97817" w:rsidRPr="0076721D" w:rsidRDefault="00EB4D34" w:rsidP="00B249F7">
      <w:pPr>
        <w:pStyle w:val="Default"/>
        <w:jc w:val="both"/>
        <w:rPr>
          <w:rFonts w:ascii="Open Sans" w:hAnsi="Open Sans" w:cs="Open Sans"/>
          <w:sz w:val="22"/>
          <w:szCs w:val="22"/>
        </w:rPr>
      </w:pPr>
      <w:r w:rsidRPr="0076721D">
        <w:rPr>
          <w:rFonts w:ascii="Open Sans" w:hAnsi="Open Sans" w:cs="Open Sans"/>
          <w:sz w:val="22"/>
          <w:szCs w:val="22"/>
        </w:rPr>
        <w:t xml:space="preserve">We have not identified any specific obligations that should be introduced. However, we highlight that the difficulty and time required to make changes to an accredited site, due to Ofgem’s processes, is currently a significant disincentive for innovation. It is, of course, correct that Ofgem are assured of compliance to the scheme, however, they could consider establishing a ‘sand-pit’ method, where innovative projects could apply to Ofgem and collaboratively explore how they could operate compliantly within the RHI. </w:t>
      </w:r>
    </w:p>
    <w:p w14:paraId="3A52F981" w14:textId="77777777" w:rsidR="00EB4D34" w:rsidRPr="0076721D" w:rsidRDefault="00EB4D34" w:rsidP="00B249F7">
      <w:pPr>
        <w:pStyle w:val="Default"/>
        <w:jc w:val="both"/>
        <w:rPr>
          <w:rFonts w:ascii="Open Sans" w:hAnsi="Open Sans" w:cs="Open Sans"/>
          <w:sz w:val="22"/>
          <w:szCs w:val="22"/>
        </w:rPr>
      </w:pPr>
    </w:p>
    <w:p w14:paraId="55101728" w14:textId="65552CA0" w:rsidR="00B249F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40 - If you answered yes to question 39, please be specific and provide examples of such changes and evidence to support your answer.</w:t>
      </w:r>
    </w:p>
    <w:p w14:paraId="3C41BD16" w14:textId="0F9DE0D3"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lastRenderedPageBreak/>
        <w:t xml:space="preserve">Consultation Question 41 - </w:t>
      </w:r>
      <w:r w:rsidR="009B412E" w:rsidRPr="0076721D">
        <w:rPr>
          <w:rFonts w:ascii="Open Sans" w:hAnsi="Open Sans" w:cs="Open Sans"/>
          <w:b/>
          <w:bCs/>
          <w:i/>
          <w:iCs/>
          <w:color w:val="2F5496"/>
          <w:szCs w:val="22"/>
        </w:rPr>
        <w:t>Are there any other further changes that you would like us to make to the Non-Domestic RHI regulations at this time? Yes/No</w:t>
      </w:r>
    </w:p>
    <w:p w14:paraId="05110149" w14:textId="77777777" w:rsidR="00420126" w:rsidRPr="0076721D" w:rsidRDefault="00420126" w:rsidP="00420126">
      <w:pPr>
        <w:spacing w:after="160" w:line="259" w:lineRule="auto"/>
        <w:jc w:val="left"/>
        <w:rPr>
          <w:rFonts w:ascii="Open Sans" w:hAnsi="Open Sans" w:cs="Open Sans"/>
          <w:b/>
          <w:bCs/>
          <w:i/>
          <w:iCs/>
          <w:szCs w:val="22"/>
        </w:rPr>
      </w:pPr>
      <w:r w:rsidRPr="0076721D">
        <w:rPr>
          <w:rFonts w:ascii="Open Sans" w:hAnsi="Open Sans" w:cs="Open Sans"/>
          <w:b/>
          <w:bCs/>
          <w:i/>
          <w:iCs/>
          <w:szCs w:val="22"/>
        </w:rPr>
        <w:t>Change of Ownership and Location Guidance</w:t>
      </w:r>
    </w:p>
    <w:p w14:paraId="786B0B1C" w14:textId="77777777" w:rsidR="00420126" w:rsidRPr="0076721D" w:rsidRDefault="00420126" w:rsidP="00420126">
      <w:pPr>
        <w:spacing w:after="160" w:line="259" w:lineRule="auto"/>
        <w:jc w:val="left"/>
        <w:rPr>
          <w:rFonts w:ascii="Open Sans" w:hAnsi="Open Sans" w:cs="Open Sans"/>
          <w:szCs w:val="22"/>
        </w:rPr>
      </w:pPr>
      <w:r w:rsidRPr="0076721D">
        <w:rPr>
          <w:rFonts w:ascii="Open Sans" w:hAnsi="Open Sans" w:cs="Open Sans"/>
          <w:szCs w:val="22"/>
        </w:rPr>
        <w:t xml:space="preserve">One area not mentioned in the consultation, but where guidance and the administrative process needs significant improvement, is on RHI </w:t>
      </w:r>
      <w:r>
        <w:rPr>
          <w:rFonts w:ascii="Open Sans" w:hAnsi="Open Sans" w:cs="Open Sans"/>
          <w:szCs w:val="22"/>
        </w:rPr>
        <w:t>re</w:t>
      </w:r>
      <w:r w:rsidRPr="0076721D">
        <w:rPr>
          <w:rFonts w:ascii="Open Sans" w:hAnsi="Open Sans" w:cs="Open Sans"/>
          <w:szCs w:val="22"/>
        </w:rPr>
        <w:t>applications</w:t>
      </w:r>
      <w:r>
        <w:rPr>
          <w:rFonts w:ascii="Open Sans" w:hAnsi="Open Sans" w:cs="Open Sans"/>
          <w:szCs w:val="22"/>
        </w:rPr>
        <w:t xml:space="preserve"> for</w:t>
      </w:r>
      <w:r w:rsidRPr="0076721D">
        <w:rPr>
          <w:rFonts w:ascii="Open Sans" w:hAnsi="Open Sans" w:cs="Open Sans"/>
          <w:szCs w:val="22"/>
        </w:rPr>
        <w:t xml:space="preserve"> change</w:t>
      </w:r>
      <w:r>
        <w:rPr>
          <w:rFonts w:ascii="Open Sans" w:hAnsi="Open Sans" w:cs="Open Sans"/>
          <w:szCs w:val="22"/>
        </w:rPr>
        <w:t xml:space="preserve"> of</w:t>
      </w:r>
      <w:r w:rsidRPr="0076721D">
        <w:rPr>
          <w:rFonts w:ascii="Open Sans" w:hAnsi="Open Sans" w:cs="Open Sans"/>
          <w:szCs w:val="22"/>
        </w:rPr>
        <w:t xml:space="preserve"> ownership or location o</w:t>
      </w:r>
      <w:r>
        <w:rPr>
          <w:rFonts w:ascii="Open Sans" w:hAnsi="Open Sans" w:cs="Open Sans"/>
          <w:szCs w:val="22"/>
        </w:rPr>
        <w:t>n</w:t>
      </w:r>
      <w:r w:rsidRPr="0076721D">
        <w:rPr>
          <w:rFonts w:ascii="Open Sans" w:hAnsi="Open Sans" w:cs="Open Sans"/>
          <w:szCs w:val="22"/>
        </w:rPr>
        <w:t xml:space="preserve"> accredited </w:t>
      </w:r>
      <w:r>
        <w:rPr>
          <w:rFonts w:ascii="Open Sans" w:hAnsi="Open Sans" w:cs="Open Sans"/>
          <w:szCs w:val="22"/>
        </w:rPr>
        <w:t>projects.</w:t>
      </w:r>
    </w:p>
    <w:p w14:paraId="3D9616DA" w14:textId="77777777" w:rsidR="00420126" w:rsidRPr="0076721D" w:rsidRDefault="00420126" w:rsidP="00420126">
      <w:pPr>
        <w:spacing w:after="160" w:line="259" w:lineRule="auto"/>
        <w:jc w:val="left"/>
        <w:rPr>
          <w:rFonts w:ascii="Open Sans" w:hAnsi="Open Sans" w:cs="Open Sans"/>
          <w:szCs w:val="22"/>
        </w:rPr>
      </w:pPr>
      <w:r w:rsidRPr="0076721D">
        <w:rPr>
          <w:rFonts w:ascii="Open Sans" w:hAnsi="Open Sans" w:cs="Open Sans"/>
          <w:szCs w:val="22"/>
        </w:rPr>
        <w:t xml:space="preserve">The required regulation is well covered in Part 6 (54 &amp; 55), of the RHI </w:t>
      </w:r>
      <w:r>
        <w:rPr>
          <w:rFonts w:ascii="Open Sans" w:hAnsi="Open Sans" w:cs="Open Sans"/>
          <w:szCs w:val="22"/>
        </w:rPr>
        <w:t>l</w:t>
      </w:r>
      <w:r w:rsidRPr="0076721D">
        <w:rPr>
          <w:rFonts w:ascii="Open Sans" w:hAnsi="Open Sans" w:cs="Open Sans"/>
          <w:szCs w:val="22"/>
        </w:rPr>
        <w:t>egislation, however, the REA regularly receive complaints from members regarding the length of time required for such reapplications to be completed and the lack of transparency around the process  or evidence required by Ofgem. A twelve-month delay is not uncommon in the cases reported to us, which results in significant loss of RHI revenue.</w:t>
      </w:r>
    </w:p>
    <w:p w14:paraId="41F76F67" w14:textId="77777777" w:rsidR="00420126" w:rsidRPr="0076721D" w:rsidRDefault="00420126" w:rsidP="00420126">
      <w:pPr>
        <w:spacing w:after="160" w:line="259" w:lineRule="auto"/>
        <w:jc w:val="left"/>
        <w:rPr>
          <w:rFonts w:ascii="Open Sans" w:hAnsi="Open Sans" w:cs="Open Sans"/>
          <w:szCs w:val="22"/>
        </w:rPr>
      </w:pPr>
      <w:r w:rsidRPr="0076721D">
        <w:rPr>
          <w:rFonts w:ascii="Open Sans" w:hAnsi="Open Sans" w:cs="Open Sans"/>
          <w:szCs w:val="22"/>
        </w:rPr>
        <w:t xml:space="preserve">There seems to be further complications concerning eligible heat uses in these cases. As far as </w:t>
      </w:r>
      <w:r>
        <w:rPr>
          <w:rFonts w:ascii="Open Sans" w:hAnsi="Open Sans" w:cs="Open Sans"/>
          <w:szCs w:val="22"/>
        </w:rPr>
        <w:t>has been reported</w:t>
      </w:r>
      <w:r w:rsidRPr="0076721D">
        <w:rPr>
          <w:rFonts w:ascii="Open Sans" w:hAnsi="Open Sans" w:cs="Open Sans"/>
          <w:szCs w:val="22"/>
        </w:rPr>
        <w:t xml:space="preserve">, there is no agreed standard technical assurance that Ofgem currently accepts in proving an ongoing heat requirement when the original accredited heat use falls outside of the 2018 RHI eligible heat reforms. </w:t>
      </w:r>
    </w:p>
    <w:p w14:paraId="4C79A3D3" w14:textId="0AB2BDA8" w:rsidR="00420126" w:rsidRDefault="00420126" w:rsidP="00420126">
      <w:pPr>
        <w:spacing w:after="160" w:line="259" w:lineRule="auto"/>
        <w:jc w:val="left"/>
        <w:rPr>
          <w:rFonts w:ascii="Open Sans" w:hAnsi="Open Sans" w:cs="Open Sans"/>
          <w:szCs w:val="22"/>
        </w:rPr>
      </w:pPr>
      <w:r w:rsidRPr="0076721D">
        <w:rPr>
          <w:rFonts w:ascii="Open Sans" w:hAnsi="Open Sans" w:cs="Open Sans"/>
          <w:szCs w:val="22"/>
        </w:rPr>
        <w:t>Clear guidance and a transparent process for</w:t>
      </w:r>
      <w:r>
        <w:rPr>
          <w:rFonts w:ascii="Open Sans" w:hAnsi="Open Sans" w:cs="Open Sans"/>
          <w:szCs w:val="22"/>
        </w:rPr>
        <w:t xml:space="preserve"> facilitating change of ownership and location requested is </w:t>
      </w:r>
      <w:r w:rsidRPr="0076721D">
        <w:rPr>
          <w:rFonts w:ascii="Open Sans" w:hAnsi="Open Sans" w:cs="Open Sans"/>
          <w:szCs w:val="22"/>
        </w:rPr>
        <w:t>urgently needed before the schemes closure</w:t>
      </w:r>
      <w:r>
        <w:rPr>
          <w:rFonts w:ascii="Open Sans" w:hAnsi="Open Sans" w:cs="Open Sans"/>
          <w:szCs w:val="22"/>
        </w:rPr>
        <w:t xml:space="preserve">, after which we can expect to see increasing numbers of such requests. </w:t>
      </w:r>
    </w:p>
    <w:p w14:paraId="06227D86" w14:textId="7684710A" w:rsidR="00420126" w:rsidRPr="00420126" w:rsidRDefault="00420126" w:rsidP="00420126">
      <w:pPr>
        <w:spacing w:after="160" w:line="259" w:lineRule="auto"/>
        <w:jc w:val="left"/>
        <w:rPr>
          <w:rFonts w:ascii="Open Sans" w:hAnsi="Open Sans" w:cs="Open Sans"/>
          <w:b/>
          <w:bCs/>
          <w:szCs w:val="22"/>
        </w:rPr>
      </w:pPr>
      <w:r w:rsidRPr="00420126">
        <w:rPr>
          <w:rFonts w:ascii="Open Sans" w:hAnsi="Open Sans" w:cs="Open Sans"/>
          <w:b/>
          <w:bCs/>
          <w:szCs w:val="22"/>
        </w:rPr>
        <w:t>BEIS Should consider what is required once heat meter calibration certificates lapse</w:t>
      </w:r>
    </w:p>
    <w:p w14:paraId="17E69A81" w14:textId="5D1DE2ED" w:rsidR="007000E9" w:rsidRDefault="00420126" w:rsidP="00420126">
      <w:pPr>
        <w:spacing w:after="160" w:line="259" w:lineRule="auto"/>
        <w:jc w:val="left"/>
        <w:rPr>
          <w:rFonts w:ascii="Open Sans" w:hAnsi="Open Sans" w:cs="Open Sans"/>
          <w:szCs w:val="22"/>
        </w:rPr>
      </w:pPr>
      <w:r>
        <w:rPr>
          <w:rFonts w:ascii="Open Sans" w:hAnsi="Open Sans" w:cs="Open Sans"/>
          <w:szCs w:val="22"/>
        </w:rPr>
        <w:t xml:space="preserve">Heat meters are key to the </w:t>
      </w:r>
      <w:r w:rsidR="007000E9">
        <w:rPr>
          <w:rFonts w:ascii="Open Sans" w:hAnsi="Open Sans" w:cs="Open Sans"/>
          <w:szCs w:val="22"/>
        </w:rPr>
        <w:t>existing</w:t>
      </w:r>
      <w:r>
        <w:rPr>
          <w:rFonts w:ascii="Open Sans" w:hAnsi="Open Sans" w:cs="Open Sans"/>
          <w:szCs w:val="22"/>
        </w:rPr>
        <w:t xml:space="preserve"> scheme, however currently there is little</w:t>
      </w:r>
      <w:r w:rsidR="007000E9">
        <w:rPr>
          <w:rFonts w:ascii="Open Sans" w:hAnsi="Open Sans" w:cs="Open Sans"/>
          <w:szCs w:val="22"/>
        </w:rPr>
        <w:t xml:space="preserve"> provision in the RHI for when heat calibration certificates on a </w:t>
      </w:r>
      <w:r w:rsidR="00296A65">
        <w:rPr>
          <w:rFonts w:ascii="Open Sans" w:hAnsi="Open Sans" w:cs="Open Sans"/>
          <w:szCs w:val="22"/>
        </w:rPr>
        <w:t>meter’s</w:t>
      </w:r>
      <w:r w:rsidR="007000E9">
        <w:rPr>
          <w:rFonts w:ascii="Open Sans" w:hAnsi="Open Sans" w:cs="Open Sans"/>
          <w:szCs w:val="22"/>
        </w:rPr>
        <w:t xml:space="preserve"> lapse, which may see </w:t>
      </w:r>
      <w:proofErr w:type="gramStart"/>
      <w:r w:rsidR="007000E9">
        <w:rPr>
          <w:rFonts w:ascii="Open Sans" w:hAnsi="Open Sans" w:cs="Open Sans"/>
          <w:szCs w:val="22"/>
        </w:rPr>
        <w:t>it’s</w:t>
      </w:r>
      <w:proofErr w:type="gramEnd"/>
      <w:r w:rsidR="007000E9">
        <w:rPr>
          <w:rFonts w:ascii="Open Sans" w:hAnsi="Open Sans" w:cs="Open Sans"/>
          <w:szCs w:val="22"/>
        </w:rPr>
        <w:t xml:space="preserve"> measurements become inaccurate. </w:t>
      </w:r>
    </w:p>
    <w:p w14:paraId="04BCB218" w14:textId="292784D6" w:rsidR="0076721D" w:rsidRPr="0076721D" w:rsidRDefault="007000E9" w:rsidP="007000E9">
      <w:pPr>
        <w:spacing w:after="160" w:line="259" w:lineRule="auto"/>
        <w:jc w:val="left"/>
        <w:rPr>
          <w:rFonts w:ascii="Open Sans" w:hAnsi="Open Sans" w:cs="Open Sans"/>
          <w:szCs w:val="22"/>
        </w:rPr>
      </w:pPr>
      <w:r>
        <w:rPr>
          <w:rFonts w:ascii="Open Sans" w:hAnsi="Open Sans" w:cs="Open Sans"/>
          <w:szCs w:val="22"/>
        </w:rPr>
        <w:t>Given by the time a certificate lapses there will be good</w:t>
      </w:r>
      <w:r w:rsidR="00296A65">
        <w:rPr>
          <w:rFonts w:ascii="Open Sans" w:hAnsi="Open Sans" w:cs="Open Sans"/>
          <w:szCs w:val="22"/>
        </w:rPr>
        <w:t xml:space="preserve"> </w:t>
      </w:r>
      <w:r>
        <w:rPr>
          <w:rFonts w:ascii="Open Sans" w:hAnsi="Open Sans" w:cs="Open Sans"/>
          <w:szCs w:val="22"/>
        </w:rPr>
        <w:t>data base on previous performance, the simplest solution would be</w:t>
      </w:r>
      <w:r w:rsidR="00296A65">
        <w:rPr>
          <w:rFonts w:ascii="Open Sans" w:hAnsi="Open Sans" w:cs="Open Sans"/>
          <w:szCs w:val="22"/>
        </w:rPr>
        <w:t xml:space="preserve"> for</w:t>
      </w:r>
      <w:r>
        <w:rPr>
          <w:rFonts w:ascii="Open Sans" w:hAnsi="Open Sans" w:cs="Open Sans"/>
          <w:szCs w:val="22"/>
        </w:rPr>
        <w:t xml:space="preserve"> past performance to be used to maintain on-going </w:t>
      </w:r>
      <w:r w:rsidR="00296A65">
        <w:rPr>
          <w:rFonts w:ascii="Open Sans" w:hAnsi="Open Sans" w:cs="Open Sans"/>
          <w:szCs w:val="22"/>
        </w:rPr>
        <w:t xml:space="preserve">RHI </w:t>
      </w:r>
      <w:r>
        <w:rPr>
          <w:rFonts w:ascii="Open Sans" w:hAnsi="Open Sans" w:cs="Open Sans"/>
          <w:szCs w:val="22"/>
        </w:rPr>
        <w:t xml:space="preserve">payments rather than see payments withheld due to metering anomalies where systems have developed problems but worked satisfactorily previously.  </w:t>
      </w:r>
    </w:p>
    <w:p w14:paraId="5D7A97BB" w14:textId="364E910C" w:rsidR="009B412E" w:rsidRPr="0076721D" w:rsidRDefault="00F27967" w:rsidP="00B249F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42 - Please provide evidence to support your response to question 41</w:t>
      </w:r>
      <w:r w:rsidR="00B249F7" w:rsidRPr="0076721D">
        <w:rPr>
          <w:rFonts w:ascii="Open Sans" w:hAnsi="Open Sans" w:cs="Open Sans"/>
          <w:b/>
          <w:bCs/>
          <w:i/>
          <w:iCs/>
          <w:color w:val="2F5496"/>
          <w:szCs w:val="22"/>
        </w:rPr>
        <w:t>.</w:t>
      </w:r>
    </w:p>
    <w:p w14:paraId="2E7F0882" w14:textId="77777777" w:rsidR="00273E54" w:rsidRPr="0076721D" w:rsidRDefault="00273E54" w:rsidP="00273E54">
      <w:pPr>
        <w:rPr>
          <w:rFonts w:ascii="Open Sans" w:hAnsi="Open Sans" w:cs="Open Sans"/>
          <w:b/>
          <w:bCs/>
          <w:szCs w:val="22"/>
        </w:rPr>
      </w:pPr>
      <w:r w:rsidRPr="0076721D">
        <w:rPr>
          <w:rFonts w:ascii="Open Sans" w:hAnsi="Open Sans" w:cs="Open Sans"/>
          <w:b/>
          <w:bCs/>
          <w:szCs w:val="22"/>
        </w:rPr>
        <w:t>June 2020</w:t>
      </w:r>
    </w:p>
    <w:p w14:paraId="10ACAD6D" w14:textId="2CF6E7A0" w:rsidR="00273E54" w:rsidRPr="0076721D" w:rsidRDefault="00273E54">
      <w:pPr>
        <w:rPr>
          <w:rFonts w:ascii="Open Sans" w:hAnsi="Open Sans" w:cs="Open Sans"/>
          <w:i/>
          <w:iCs/>
          <w:szCs w:val="22"/>
        </w:rPr>
      </w:pPr>
      <w:r w:rsidRPr="0076721D">
        <w:rPr>
          <w:rFonts w:ascii="Open Sans" w:hAnsi="Open Sans" w:cs="Open Sans"/>
          <w:i/>
          <w:iCs/>
          <w:szCs w:val="22"/>
        </w:rPr>
        <w:t xml:space="preserve">If you have any questions relating to this consultation and the REA’s response please contact </w:t>
      </w:r>
      <w:hyperlink r:id="rId8" w:history="1">
        <w:r w:rsidRPr="0076721D">
          <w:rPr>
            <w:rStyle w:val="Hyperlink"/>
            <w:rFonts w:ascii="Open Sans" w:hAnsi="Open Sans" w:cs="Open Sans"/>
            <w:i/>
            <w:iCs/>
            <w:szCs w:val="22"/>
          </w:rPr>
          <w:t>heat@r-e-a.net</w:t>
        </w:r>
      </w:hyperlink>
      <w:r w:rsidRPr="0076721D">
        <w:rPr>
          <w:rFonts w:ascii="Open Sans" w:hAnsi="Open Sans" w:cs="Open Sans"/>
          <w:i/>
          <w:iCs/>
          <w:szCs w:val="22"/>
        </w:rPr>
        <w:t xml:space="preserve"> </w:t>
      </w:r>
    </w:p>
    <w:sectPr w:rsidR="00273E54" w:rsidRPr="0076721D" w:rsidSect="00EA2285">
      <w:headerReference w:type="even" r:id="rId9"/>
      <w:headerReference w:type="default" r:id="rId10"/>
      <w:footerReference w:type="even" r:id="rId11"/>
      <w:footerReference w:type="default" r:id="rId12"/>
      <w:headerReference w:type="first" r:id="rId13"/>
      <w:footerReference w:type="first" r:id="rId14"/>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009FB" w14:textId="77777777" w:rsidR="00ED3898" w:rsidRDefault="00ED3898">
      <w:r>
        <w:separator/>
      </w:r>
    </w:p>
  </w:endnote>
  <w:endnote w:type="continuationSeparator" w:id="0">
    <w:p w14:paraId="6154A471" w14:textId="77777777" w:rsidR="00ED3898" w:rsidRDefault="00ED3898">
      <w:r>
        <w:continuationSeparator/>
      </w:r>
    </w:p>
  </w:endnote>
  <w:endnote w:type="continuationNotice" w:id="1">
    <w:p w14:paraId="258FA49F" w14:textId="77777777" w:rsidR="00ED3898" w:rsidRDefault="00ED3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FuturaPT-Light">
    <w:altName w:val="Century Gothic"/>
    <w:charset w:val="00"/>
    <w:family w:val="swiss"/>
    <w:pitch w:val="variable"/>
  </w:font>
  <w:font w:name="FuturaPT-Book">
    <w:altName w:val="Century Gothic"/>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99E1" w14:textId="77777777" w:rsidR="00B515AF" w:rsidRDefault="00B51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9310" w14:textId="77777777" w:rsidR="00A23B53" w:rsidRDefault="00A23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C8F3" w14:textId="77777777" w:rsidR="00EA2285" w:rsidRPr="00D3350C" w:rsidRDefault="00273E54" w:rsidP="00EA2285">
    <w:pPr>
      <w:widowControl w:val="0"/>
      <w:tabs>
        <w:tab w:val="left" w:pos="8364"/>
        <w:tab w:val="left" w:pos="8505"/>
      </w:tabs>
      <w:autoSpaceDE w:val="0"/>
      <w:autoSpaceDN w:val="0"/>
      <w:spacing w:before="84"/>
      <w:ind w:left="582"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1E1E1E"/>
        <w:sz w:val="16"/>
        <w:szCs w:val="16"/>
        <w:lang w:val="en-US"/>
      </w:rPr>
      <w:t>THE ASSOCIATION FOR RENEWABLE ENERGY AND CLEAN TECHNOLOGY</w:t>
    </w:r>
  </w:p>
  <w:p w14:paraId="2502D245" w14:textId="77777777" w:rsidR="00EA2285" w:rsidRPr="00D3350C" w:rsidRDefault="00273E54"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color w:val="06926B"/>
        <w:sz w:val="16"/>
        <w:szCs w:val="16"/>
        <w:lang w:val="en-US"/>
      </w:rPr>
    </w:pPr>
    <w:r w:rsidRPr="00D3350C">
      <w:rPr>
        <w:rFonts w:ascii="FuturaPT-Book" w:eastAsia="FuturaPT-Light" w:hAnsi="FuturaPT-Light" w:cs="FuturaPT-Light"/>
        <w:color w:val="06926B"/>
        <w:sz w:val="16"/>
        <w:szCs w:val="16"/>
        <w:lang w:val="en-US"/>
      </w:rPr>
      <w:t xml:space="preserve">Tel: </w:t>
    </w:r>
    <w:r w:rsidRPr="00D3350C">
      <w:rPr>
        <w:rFonts w:ascii="FuturaPT-Light" w:eastAsia="FuturaPT-Light" w:hAnsi="FuturaPT-Light" w:cs="FuturaPT-Light"/>
        <w:color w:val="06926B"/>
        <w:sz w:val="16"/>
        <w:szCs w:val="16"/>
        <w:lang w:val="en-US"/>
      </w:rPr>
      <w:t xml:space="preserve">+44 (0)20 7925 3570 </w:t>
    </w:r>
    <w:r w:rsidRPr="00D3350C">
      <w:rPr>
        <w:rFonts w:ascii="FuturaPT-Book" w:eastAsia="FuturaPT-Light" w:hAnsi="FuturaPT-Light" w:cs="FuturaPT-Light"/>
        <w:color w:val="06926B"/>
        <w:sz w:val="16"/>
        <w:szCs w:val="16"/>
        <w:lang w:val="en-US"/>
      </w:rPr>
      <w:t xml:space="preserve">Email: </w:t>
    </w:r>
    <w:hyperlink r:id="rId1" w:history="1">
      <w:r w:rsidRPr="00D3350C">
        <w:rPr>
          <w:rFonts w:ascii="FuturaPT-Light" w:eastAsia="FuturaPT-Light" w:hAnsi="FuturaPT-Light" w:cs="FuturaPT-Light"/>
          <w:color w:val="06926B"/>
          <w:sz w:val="16"/>
          <w:szCs w:val="16"/>
          <w:lang w:val="en-US"/>
        </w:rPr>
        <w:t>info@r-e-a.net</w:t>
      </w:r>
    </w:hyperlink>
    <w:r w:rsidRPr="00D3350C">
      <w:rPr>
        <w:rFonts w:ascii="FuturaPT-Light" w:eastAsia="FuturaPT-Light" w:hAnsi="FuturaPT-Light" w:cs="FuturaPT-Light"/>
        <w:color w:val="06926B"/>
        <w:sz w:val="16"/>
        <w:szCs w:val="16"/>
        <w:lang w:val="en-US"/>
      </w:rPr>
      <w:t xml:space="preserve"> </w:t>
    </w:r>
    <w:r w:rsidRPr="00D3350C">
      <w:rPr>
        <w:rFonts w:ascii="FuturaPT-Book" w:eastAsia="FuturaPT-Light" w:hAnsi="FuturaPT-Light" w:cs="FuturaPT-Light"/>
        <w:color w:val="06926B"/>
        <w:sz w:val="16"/>
        <w:szCs w:val="16"/>
        <w:lang w:val="en-US"/>
      </w:rPr>
      <w:t xml:space="preserve">Web: </w:t>
    </w:r>
    <w:hyperlink r:id="rId2" w:history="1">
      <w:r w:rsidRPr="00D3350C">
        <w:rPr>
          <w:rFonts w:ascii="FuturaPT-Light" w:eastAsia="FuturaPT-Light" w:hAnsi="FuturaPT-Light" w:cs="FuturaPT-Light"/>
          <w:color w:val="06926B"/>
          <w:sz w:val="16"/>
          <w:szCs w:val="16"/>
          <w:lang w:val="en-US"/>
        </w:rPr>
        <w:t>www.r-e-a.net</w:t>
      </w:r>
    </w:hyperlink>
  </w:p>
  <w:p w14:paraId="7849592F" w14:textId="77777777" w:rsidR="00EA2285" w:rsidRPr="00D3350C" w:rsidRDefault="00273E54"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06926B"/>
        <w:sz w:val="16"/>
        <w:szCs w:val="16"/>
        <w:lang w:val="en-US"/>
      </w:rPr>
      <w:t>Company no: 04241430 Registered in England and Wales</w:t>
    </w:r>
  </w:p>
  <w:p w14:paraId="30EF6227" w14:textId="77777777" w:rsidR="00EA2285" w:rsidRDefault="00EA2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FA703" w14:textId="77777777" w:rsidR="00ED3898" w:rsidRDefault="00ED3898" w:rsidP="00926C15">
      <w:r>
        <w:separator/>
      </w:r>
    </w:p>
  </w:footnote>
  <w:footnote w:type="continuationSeparator" w:id="0">
    <w:p w14:paraId="3F45AE57" w14:textId="77777777" w:rsidR="00ED3898" w:rsidRDefault="00ED3898" w:rsidP="00926C15">
      <w:r>
        <w:continuationSeparator/>
      </w:r>
    </w:p>
  </w:footnote>
  <w:footnote w:type="continuationNotice" w:id="1">
    <w:p w14:paraId="3A91510A" w14:textId="77777777" w:rsidR="00ED3898" w:rsidRDefault="00ED3898"/>
  </w:footnote>
  <w:footnote w:id="2">
    <w:p w14:paraId="452C9D38" w14:textId="77777777" w:rsidR="00827464" w:rsidRPr="00076C82" w:rsidRDefault="00827464" w:rsidP="00827464">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REA (2020)</w:t>
      </w:r>
      <w:r>
        <w:rPr>
          <w:rFonts w:ascii="Open Sans" w:hAnsi="Open Sans" w:cs="Open Sans"/>
          <w:sz w:val="18"/>
          <w:szCs w:val="18"/>
        </w:rPr>
        <w:t xml:space="preserve"> </w:t>
      </w:r>
      <w:proofErr w:type="spellStart"/>
      <w:r w:rsidRPr="00076C82">
        <w:rPr>
          <w:rFonts w:ascii="Open Sans" w:hAnsi="Open Sans" w:cs="Open Sans"/>
          <w:i/>
          <w:iCs/>
          <w:sz w:val="18"/>
          <w:szCs w:val="18"/>
        </w:rPr>
        <w:t>REview</w:t>
      </w:r>
      <w:proofErr w:type="spellEnd"/>
      <w:r w:rsidRPr="00076C82">
        <w:rPr>
          <w:rFonts w:ascii="Open Sans" w:hAnsi="Open Sans" w:cs="Open Sans"/>
          <w:i/>
          <w:iCs/>
          <w:sz w:val="18"/>
          <w:szCs w:val="18"/>
        </w:rPr>
        <w:t xml:space="preserve"> 2020</w:t>
      </w:r>
      <w:r w:rsidRPr="00076C82">
        <w:rPr>
          <w:rFonts w:ascii="Open Sans" w:hAnsi="Open Sans" w:cs="Open Sans"/>
          <w:sz w:val="18"/>
          <w:szCs w:val="18"/>
        </w:rPr>
        <w:t xml:space="preserve">  </w:t>
      </w:r>
      <w:hyperlink r:id="rId1" w:history="1">
        <w:r w:rsidRPr="00076C82">
          <w:rPr>
            <w:rStyle w:val="Hyperlink"/>
            <w:rFonts w:ascii="Open Sans" w:hAnsi="Open Sans" w:cs="Open Sans"/>
            <w:sz w:val="18"/>
            <w:szCs w:val="18"/>
          </w:rPr>
          <w:t>https://www.r-e-a.net/resources/review-2020/</w:t>
        </w:r>
      </w:hyperlink>
      <w:r w:rsidRPr="00076C82">
        <w:rPr>
          <w:rFonts w:ascii="Open Sans" w:hAnsi="Open Sans" w:cs="Open San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3657F" w14:textId="5550A273" w:rsidR="00B515AF" w:rsidRDefault="00ED3898">
    <w:pPr>
      <w:pStyle w:val="Header"/>
    </w:pPr>
    <w:r>
      <w:rPr>
        <w:noProof/>
      </w:rPr>
      <w:pict w14:anchorId="4504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6735" o:spid="_x0000_s2050" type="#_x0000_t136" style="position:absolute;left:0;text-align:left;margin-left:0;margin-top:0;width:454.5pt;height:181.8pt;rotation:315;z-index:-251651072;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CE1" w14:textId="356D2009" w:rsidR="005E2924" w:rsidRDefault="00ED3898" w:rsidP="005E2924">
    <w:pPr>
      <w:pStyle w:val="Header"/>
      <w:jc w:val="right"/>
    </w:pPr>
    <w:r>
      <w:rPr>
        <w:noProof/>
      </w:rPr>
      <w:pict w14:anchorId="7AB96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6736" o:spid="_x0000_s2051" type="#_x0000_t136" style="position:absolute;left:0;text-align:left;margin-left:0;margin-top:0;width:454.5pt;height:181.8pt;rotation:315;z-index:-251649024;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273E54">
      <w:rPr>
        <w:noProof/>
      </w:rPr>
      <w:drawing>
        <wp:anchor distT="0" distB="0" distL="114300" distR="114300" simplePos="0" relativeHeight="251658240" behindDoc="0" locked="0" layoutInCell="1" allowOverlap="1" wp14:anchorId="4F0A6A0E" wp14:editId="5D9381F6">
          <wp:simplePos x="0" y="0"/>
          <wp:positionH relativeFrom="margin">
            <wp:align>left</wp:align>
          </wp:positionH>
          <wp:positionV relativeFrom="paragraph">
            <wp:posOffset>-244524</wp:posOffset>
          </wp:positionV>
          <wp:extent cx="1158875" cy="704850"/>
          <wp:effectExtent l="0" t="0" r="3175" b="0"/>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 Heat logo - FINAL small.jpg"/>
                  <pic:cNvPicPr/>
                </pic:nvPicPr>
                <pic:blipFill>
                  <a:blip r:embed="rId1">
                    <a:extLst>
                      <a:ext uri="{28A0092B-C50C-407E-A947-70E740481C1C}">
                        <a14:useLocalDpi xmlns:a14="http://schemas.microsoft.com/office/drawing/2010/main" val="0"/>
                      </a:ext>
                    </a:extLst>
                  </a:blip>
                  <a:srcRect b="14020"/>
                  <a:stretch>
                    <a:fillRect/>
                  </a:stretch>
                </pic:blipFill>
                <pic:spPr bwMode="auto">
                  <a:xfrm>
                    <a:off x="0" y="0"/>
                    <a:ext cx="1159710" cy="704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3E54">
      <w:rPr>
        <w:noProof/>
      </w:rPr>
      <w:drawing>
        <wp:anchor distT="0" distB="0" distL="114300" distR="114300" simplePos="0" relativeHeight="251659264" behindDoc="0" locked="0" layoutInCell="1" allowOverlap="1" wp14:anchorId="7EEDA343" wp14:editId="7D9D4CEE">
          <wp:simplePos x="0" y="0"/>
          <wp:positionH relativeFrom="margin">
            <wp:align>right</wp:align>
          </wp:positionH>
          <wp:positionV relativeFrom="paragraph">
            <wp:posOffset>-151032</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2">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EB39" w14:textId="45F2660E" w:rsidR="00EA2285" w:rsidRDefault="00ED3898">
    <w:pPr>
      <w:pStyle w:val="Header"/>
    </w:pPr>
    <w:r>
      <w:rPr>
        <w:noProof/>
      </w:rPr>
      <w:pict w14:anchorId="29CA0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6734" o:spid="_x0000_s2049"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273E54" w:rsidRPr="00EA2285">
      <w:rPr>
        <w:noProof/>
      </w:rPr>
      <w:drawing>
        <wp:anchor distT="0" distB="0" distL="114300" distR="114300" simplePos="0" relativeHeight="251661312" behindDoc="0" locked="0" layoutInCell="1" allowOverlap="1" wp14:anchorId="169D2F97" wp14:editId="27376157">
          <wp:simplePos x="0" y="0"/>
          <wp:positionH relativeFrom="margin">
            <wp:posOffset>4489450</wp:posOffset>
          </wp:positionH>
          <wp:positionV relativeFrom="paragraph">
            <wp:posOffset>-18415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49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r w:rsidR="00273E54" w:rsidRPr="00EA2285">
      <w:rPr>
        <w:noProof/>
      </w:rPr>
      <w:drawing>
        <wp:anchor distT="0" distB="0" distL="114300" distR="114300" simplePos="0" relativeHeight="251660288" behindDoc="0" locked="0" layoutInCell="1" allowOverlap="1" wp14:anchorId="129E03E6" wp14:editId="5308585C">
          <wp:simplePos x="0" y="0"/>
          <wp:positionH relativeFrom="margin">
            <wp:posOffset>0</wp:posOffset>
          </wp:positionH>
          <wp:positionV relativeFrom="paragraph">
            <wp:posOffset>-112395</wp:posOffset>
          </wp:positionV>
          <wp:extent cx="1158875" cy="704850"/>
          <wp:effectExtent l="0" t="0" r="3175"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67767" name="Wood Heat logo - FINAL small.jpg"/>
                  <pic:cNvPicPr/>
                </pic:nvPicPr>
                <pic:blipFill>
                  <a:blip r:embed="rId2">
                    <a:extLst>
                      <a:ext uri="{28A0092B-C50C-407E-A947-70E740481C1C}">
                        <a14:useLocalDpi xmlns:a14="http://schemas.microsoft.com/office/drawing/2010/main" val="0"/>
                      </a:ext>
                    </a:extLst>
                  </a:blip>
                  <a:srcRect b="14020"/>
                  <a:stretch>
                    <a:fillRect/>
                  </a:stretch>
                </pic:blipFill>
                <pic:spPr bwMode="auto">
                  <a:xfrm>
                    <a:off x="0" y="0"/>
                    <a:ext cx="11588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E590CC"/>
    <w:multiLevelType w:val="hybridMultilevel"/>
    <w:tmpl w:val="927B56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248C8"/>
    <w:multiLevelType w:val="hybridMultilevel"/>
    <w:tmpl w:val="63960292"/>
    <w:lvl w:ilvl="0" w:tplc="2644897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B4BDF"/>
    <w:multiLevelType w:val="hybridMultilevel"/>
    <w:tmpl w:val="C606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A2C1B"/>
    <w:multiLevelType w:val="hybridMultilevel"/>
    <w:tmpl w:val="92BA7B88"/>
    <w:lvl w:ilvl="0" w:tplc="91AE414C">
      <w:start w:val="1"/>
      <w:numFmt w:val="decimal"/>
      <w:lvlText w:val="%1)"/>
      <w:lvlJc w:val="left"/>
      <w:pPr>
        <w:ind w:left="720" w:hanging="360"/>
      </w:pPr>
      <w:rPr>
        <w:rFonts w:hint="default"/>
      </w:rPr>
    </w:lvl>
    <w:lvl w:ilvl="1" w:tplc="653AC54E" w:tentative="1">
      <w:start w:val="1"/>
      <w:numFmt w:val="lowerLetter"/>
      <w:lvlText w:val="%2."/>
      <w:lvlJc w:val="left"/>
      <w:pPr>
        <w:ind w:left="1440" w:hanging="360"/>
      </w:pPr>
    </w:lvl>
    <w:lvl w:ilvl="2" w:tplc="D8F835B2" w:tentative="1">
      <w:start w:val="1"/>
      <w:numFmt w:val="lowerRoman"/>
      <w:lvlText w:val="%3."/>
      <w:lvlJc w:val="right"/>
      <w:pPr>
        <w:ind w:left="2160" w:hanging="180"/>
      </w:pPr>
    </w:lvl>
    <w:lvl w:ilvl="3" w:tplc="7E96E862" w:tentative="1">
      <w:start w:val="1"/>
      <w:numFmt w:val="decimal"/>
      <w:lvlText w:val="%4."/>
      <w:lvlJc w:val="left"/>
      <w:pPr>
        <w:ind w:left="2880" w:hanging="360"/>
      </w:pPr>
    </w:lvl>
    <w:lvl w:ilvl="4" w:tplc="BC326C7A" w:tentative="1">
      <w:start w:val="1"/>
      <w:numFmt w:val="lowerLetter"/>
      <w:lvlText w:val="%5."/>
      <w:lvlJc w:val="left"/>
      <w:pPr>
        <w:ind w:left="3600" w:hanging="360"/>
      </w:pPr>
    </w:lvl>
    <w:lvl w:ilvl="5" w:tplc="072802CC" w:tentative="1">
      <w:start w:val="1"/>
      <w:numFmt w:val="lowerRoman"/>
      <w:lvlText w:val="%6."/>
      <w:lvlJc w:val="right"/>
      <w:pPr>
        <w:ind w:left="4320" w:hanging="180"/>
      </w:pPr>
    </w:lvl>
    <w:lvl w:ilvl="6" w:tplc="BBD0BEC4" w:tentative="1">
      <w:start w:val="1"/>
      <w:numFmt w:val="decimal"/>
      <w:lvlText w:val="%7."/>
      <w:lvlJc w:val="left"/>
      <w:pPr>
        <w:ind w:left="5040" w:hanging="360"/>
      </w:pPr>
    </w:lvl>
    <w:lvl w:ilvl="7" w:tplc="0E30C060" w:tentative="1">
      <w:start w:val="1"/>
      <w:numFmt w:val="lowerLetter"/>
      <w:lvlText w:val="%8."/>
      <w:lvlJc w:val="left"/>
      <w:pPr>
        <w:ind w:left="5760" w:hanging="360"/>
      </w:pPr>
    </w:lvl>
    <w:lvl w:ilvl="8" w:tplc="AD38CFB6" w:tentative="1">
      <w:start w:val="1"/>
      <w:numFmt w:val="lowerRoman"/>
      <w:lvlText w:val="%9."/>
      <w:lvlJc w:val="right"/>
      <w:pPr>
        <w:ind w:left="6480" w:hanging="180"/>
      </w:pPr>
    </w:lvl>
  </w:abstractNum>
  <w:abstractNum w:abstractNumId="4" w15:restartNumberingAfterBreak="0">
    <w:nsid w:val="0420705A"/>
    <w:multiLevelType w:val="hybridMultilevel"/>
    <w:tmpl w:val="CDBC5B0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FA4531"/>
    <w:multiLevelType w:val="hybridMultilevel"/>
    <w:tmpl w:val="E2986B3C"/>
    <w:lvl w:ilvl="0" w:tplc="FE2ED188">
      <w:start w:val="1"/>
      <w:numFmt w:val="decimal"/>
      <w:lvlText w:val="%1."/>
      <w:lvlJc w:val="left"/>
      <w:pPr>
        <w:ind w:left="720" w:hanging="360"/>
      </w:pPr>
      <w:rPr>
        <w:rFonts w:hint="default"/>
      </w:rPr>
    </w:lvl>
    <w:lvl w:ilvl="1" w:tplc="FDF0A3EE" w:tentative="1">
      <w:start w:val="1"/>
      <w:numFmt w:val="lowerLetter"/>
      <w:lvlText w:val="%2."/>
      <w:lvlJc w:val="left"/>
      <w:pPr>
        <w:ind w:left="1440" w:hanging="360"/>
      </w:pPr>
    </w:lvl>
    <w:lvl w:ilvl="2" w:tplc="5380DF9A" w:tentative="1">
      <w:start w:val="1"/>
      <w:numFmt w:val="lowerRoman"/>
      <w:lvlText w:val="%3."/>
      <w:lvlJc w:val="right"/>
      <w:pPr>
        <w:ind w:left="2160" w:hanging="180"/>
      </w:pPr>
    </w:lvl>
    <w:lvl w:ilvl="3" w:tplc="911A0652" w:tentative="1">
      <w:start w:val="1"/>
      <w:numFmt w:val="decimal"/>
      <w:lvlText w:val="%4."/>
      <w:lvlJc w:val="left"/>
      <w:pPr>
        <w:ind w:left="2880" w:hanging="360"/>
      </w:pPr>
    </w:lvl>
    <w:lvl w:ilvl="4" w:tplc="ED6E16E6" w:tentative="1">
      <w:start w:val="1"/>
      <w:numFmt w:val="lowerLetter"/>
      <w:lvlText w:val="%5."/>
      <w:lvlJc w:val="left"/>
      <w:pPr>
        <w:ind w:left="3600" w:hanging="360"/>
      </w:pPr>
    </w:lvl>
    <w:lvl w:ilvl="5" w:tplc="BFC0ACA6" w:tentative="1">
      <w:start w:val="1"/>
      <w:numFmt w:val="lowerRoman"/>
      <w:lvlText w:val="%6."/>
      <w:lvlJc w:val="right"/>
      <w:pPr>
        <w:ind w:left="4320" w:hanging="180"/>
      </w:pPr>
    </w:lvl>
    <w:lvl w:ilvl="6" w:tplc="D3D2CCAC" w:tentative="1">
      <w:start w:val="1"/>
      <w:numFmt w:val="decimal"/>
      <w:lvlText w:val="%7."/>
      <w:lvlJc w:val="left"/>
      <w:pPr>
        <w:ind w:left="5040" w:hanging="360"/>
      </w:pPr>
    </w:lvl>
    <w:lvl w:ilvl="7" w:tplc="72662076" w:tentative="1">
      <w:start w:val="1"/>
      <w:numFmt w:val="lowerLetter"/>
      <w:lvlText w:val="%8."/>
      <w:lvlJc w:val="left"/>
      <w:pPr>
        <w:ind w:left="5760" w:hanging="360"/>
      </w:pPr>
    </w:lvl>
    <w:lvl w:ilvl="8" w:tplc="D78CD6C2" w:tentative="1">
      <w:start w:val="1"/>
      <w:numFmt w:val="lowerRoman"/>
      <w:lvlText w:val="%9."/>
      <w:lvlJc w:val="right"/>
      <w:pPr>
        <w:ind w:left="6480" w:hanging="180"/>
      </w:pPr>
    </w:lvl>
  </w:abstractNum>
  <w:abstractNum w:abstractNumId="6" w15:restartNumberingAfterBreak="0">
    <w:nsid w:val="0C5A17E6"/>
    <w:multiLevelType w:val="hybridMultilevel"/>
    <w:tmpl w:val="16A4D632"/>
    <w:lvl w:ilvl="0" w:tplc="6A385C40">
      <w:start w:val="1"/>
      <w:numFmt w:val="bullet"/>
      <w:lvlText w:val=""/>
      <w:lvlJc w:val="left"/>
      <w:pPr>
        <w:ind w:left="780" w:hanging="360"/>
      </w:pPr>
      <w:rPr>
        <w:rFonts w:ascii="Symbol" w:hAnsi="Symbol" w:hint="default"/>
      </w:rPr>
    </w:lvl>
    <w:lvl w:ilvl="1" w:tplc="8280EC5A" w:tentative="1">
      <w:start w:val="1"/>
      <w:numFmt w:val="bullet"/>
      <w:lvlText w:val="o"/>
      <w:lvlJc w:val="left"/>
      <w:pPr>
        <w:ind w:left="1500" w:hanging="360"/>
      </w:pPr>
      <w:rPr>
        <w:rFonts w:ascii="Courier New" w:hAnsi="Courier New" w:cs="Courier New" w:hint="default"/>
      </w:rPr>
    </w:lvl>
    <w:lvl w:ilvl="2" w:tplc="CE46F1D4" w:tentative="1">
      <w:start w:val="1"/>
      <w:numFmt w:val="bullet"/>
      <w:lvlText w:val=""/>
      <w:lvlJc w:val="left"/>
      <w:pPr>
        <w:ind w:left="2220" w:hanging="360"/>
      </w:pPr>
      <w:rPr>
        <w:rFonts w:ascii="Wingdings" w:hAnsi="Wingdings" w:hint="default"/>
      </w:rPr>
    </w:lvl>
    <w:lvl w:ilvl="3" w:tplc="FB72EC20" w:tentative="1">
      <w:start w:val="1"/>
      <w:numFmt w:val="bullet"/>
      <w:lvlText w:val=""/>
      <w:lvlJc w:val="left"/>
      <w:pPr>
        <w:ind w:left="2940" w:hanging="360"/>
      </w:pPr>
      <w:rPr>
        <w:rFonts w:ascii="Symbol" w:hAnsi="Symbol" w:hint="default"/>
      </w:rPr>
    </w:lvl>
    <w:lvl w:ilvl="4" w:tplc="0D803BE2" w:tentative="1">
      <w:start w:val="1"/>
      <w:numFmt w:val="bullet"/>
      <w:lvlText w:val="o"/>
      <w:lvlJc w:val="left"/>
      <w:pPr>
        <w:ind w:left="3660" w:hanging="360"/>
      </w:pPr>
      <w:rPr>
        <w:rFonts w:ascii="Courier New" w:hAnsi="Courier New" w:cs="Courier New" w:hint="default"/>
      </w:rPr>
    </w:lvl>
    <w:lvl w:ilvl="5" w:tplc="99BC4F7A" w:tentative="1">
      <w:start w:val="1"/>
      <w:numFmt w:val="bullet"/>
      <w:lvlText w:val=""/>
      <w:lvlJc w:val="left"/>
      <w:pPr>
        <w:ind w:left="4380" w:hanging="360"/>
      </w:pPr>
      <w:rPr>
        <w:rFonts w:ascii="Wingdings" w:hAnsi="Wingdings" w:hint="default"/>
      </w:rPr>
    </w:lvl>
    <w:lvl w:ilvl="6" w:tplc="56B49F94" w:tentative="1">
      <w:start w:val="1"/>
      <w:numFmt w:val="bullet"/>
      <w:lvlText w:val=""/>
      <w:lvlJc w:val="left"/>
      <w:pPr>
        <w:ind w:left="5100" w:hanging="360"/>
      </w:pPr>
      <w:rPr>
        <w:rFonts w:ascii="Symbol" w:hAnsi="Symbol" w:hint="default"/>
      </w:rPr>
    </w:lvl>
    <w:lvl w:ilvl="7" w:tplc="93246788" w:tentative="1">
      <w:start w:val="1"/>
      <w:numFmt w:val="bullet"/>
      <w:lvlText w:val="o"/>
      <w:lvlJc w:val="left"/>
      <w:pPr>
        <w:ind w:left="5820" w:hanging="360"/>
      </w:pPr>
      <w:rPr>
        <w:rFonts w:ascii="Courier New" w:hAnsi="Courier New" w:cs="Courier New" w:hint="default"/>
      </w:rPr>
    </w:lvl>
    <w:lvl w:ilvl="8" w:tplc="46B05020" w:tentative="1">
      <w:start w:val="1"/>
      <w:numFmt w:val="bullet"/>
      <w:lvlText w:val=""/>
      <w:lvlJc w:val="left"/>
      <w:pPr>
        <w:ind w:left="6540" w:hanging="360"/>
      </w:pPr>
      <w:rPr>
        <w:rFonts w:ascii="Wingdings" w:hAnsi="Wingdings" w:hint="default"/>
      </w:rPr>
    </w:lvl>
  </w:abstractNum>
  <w:abstractNum w:abstractNumId="7" w15:restartNumberingAfterBreak="0">
    <w:nsid w:val="0D0A5A15"/>
    <w:multiLevelType w:val="hybridMultilevel"/>
    <w:tmpl w:val="57E2037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22548"/>
    <w:multiLevelType w:val="hybridMultilevel"/>
    <w:tmpl w:val="E2986B3C"/>
    <w:lvl w:ilvl="0" w:tplc="20BAC53C">
      <w:start w:val="1"/>
      <w:numFmt w:val="decimal"/>
      <w:lvlText w:val="%1."/>
      <w:lvlJc w:val="left"/>
      <w:pPr>
        <w:ind w:left="720" w:hanging="360"/>
      </w:pPr>
      <w:rPr>
        <w:rFonts w:hint="default"/>
      </w:rPr>
    </w:lvl>
    <w:lvl w:ilvl="1" w:tplc="1E10C8D2" w:tentative="1">
      <w:start w:val="1"/>
      <w:numFmt w:val="lowerLetter"/>
      <w:lvlText w:val="%2."/>
      <w:lvlJc w:val="left"/>
      <w:pPr>
        <w:ind w:left="1440" w:hanging="360"/>
      </w:pPr>
    </w:lvl>
    <w:lvl w:ilvl="2" w:tplc="BE94D428" w:tentative="1">
      <w:start w:val="1"/>
      <w:numFmt w:val="lowerRoman"/>
      <w:lvlText w:val="%3."/>
      <w:lvlJc w:val="right"/>
      <w:pPr>
        <w:ind w:left="2160" w:hanging="180"/>
      </w:pPr>
    </w:lvl>
    <w:lvl w:ilvl="3" w:tplc="96781628" w:tentative="1">
      <w:start w:val="1"/>
      <w:numFmt w:val="decimal"/>
      <w:lvlText w:val="%4."/>
      <w:lvlJc w:val="left"/>
      <w:pPr>
        <w:ind w:left="2880" w:hanging="360"/>
      </w:pPr>
    </w:lvl>
    <w:lvl w:ilvl="4" w:tplc="7F962FE4" w:tentative="1">
      <w:start w:val="1"/>
      <w:numFmt w:val="lowerLetter"/>
      <w:lvlText w:val="%5."/>
      <w:lvlJc w:val="left"/>
      <w:pPr>
        <w:ind w:left="3600" w:hanging="360"/>
      </w:pPr>
    </w:lvl>
    <w:lvl w:ilvl="5" w:tplc="B5BA0E38" w:tentative="1">
      <w:start w:val="1"/>
      <w:numFmt w:val="lowerRoman"/>
      <w:lvlText w:val="%6."/>
      <w:lvlJc w:val="right"/>
      <w:pPr>
        <w:ind w:left="4320" w:hanging="180"/>
      </w:pPr>
    </w:lvl>
    <w:lvl w:ilvl="6" w:tplc="BC64B94C" w:tentative="1">
      <w:start w:val="1"/>
      <w:numFmt w:val="decimal"/>
      <w:lvlText w:val="%7."/>
      <w:lvlJc w:val="left"/>
      <w:pPr>
        <w:ind w:left="5040" w:hanging="360"/>
      </w:pPr>
    </w:lvl>
    <w:lvl w:ilvl="7" w:tplc="2462118E" w:tentative="1">
      <w:start w:val="1"/>
      <w:numFmt w:val="lowerLetter"/>
      <w:lvlText w:val="%8."/>
      <w:lvlJc w:val="left"/>
      <w:pPr>
        <w:ind w:left="5760" w:hanging="360"/>
      </w:pPr>
    </w:lvl>
    <w:lvl w:ilvl="8" w:tplc="CC2E8EB4" w:tentative="1">
      <w:start w:val="1"/>
      <w:numFmt w:val="lowerRoman"/>
      <w:lvlText w:val="%9."/>
      <w:lvlJc w:val="right"/>
      <w:pPr>
        <w:ind w:left="6480" w:hanging="180"/>
      </w:pPr>
    </w:lvl>
  </w:abstractNum>
  <w:abstractNum w:abstractNumId="9" w15:restartNumberingAfterBreak="0">
    <w:nsid w:val="259E1309"/>
    <w:multiLevelType w:val="hybridMultilevel"/>
    <w:tmpl w:val="160FC3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A24F0A"/>
    <w:multiLevelType w:val="hybridMultilevel"/>
    <w:tmpl w:val="E2986B3C"/>
    <w:lvl w:ilvl="0" w:tplc="E93AFEC2">
      <w:start w:val="1"/>
      <w:numFmt w:val="decimal"/>
      <w:lvlText w:val="%1."/>
      <w:lvlJc w:val="left"/>
      <w:pPr>
        <w:ind w:left="720" w:hanging="360"/>
      </w:pPr>
      <w:rPr>
        <w:rFonts w:hint="default"/>
      </w:rPr>
    </w:lvl>
    <w:lvl w:ilvl="1" w:tplc="DD50CC32" w:tentative="1">
      <w:start w:val="1"/>
      <w:numFmt w:val="lowerLetter"/>
      <w:lvlText w:val="%2."/>
      <w:lvlJc w:val="left"/>
      <w:pPr>
        <w:ind w:left="1440" w:hanging="360"/>
      </w:pPr>
    </w:lvl>
    <w:lvl w:ilvl="2" w:tplc="552257F8" w:tentative="1">
      <w:start w:val="1"/>
      <w:numFmt w:val="lowerRoman"/>
      <w:lvlText w:val="%3."/>
      <w:lvlJc w:val="right"/>
      <w:pPr>
        <w:ind w:left="2160" w:hanging="180"/>
      </w:pPr>
    </w:lvl>
    <w:lvl w:ilvl="3" w:tplc="572EE832" w:tentative="1">
      <w:start w:val="1"/>
      <w:numFmt w:val="decimal"/>
      <w:lvlText w:val="%4."/>
      <w:lvlJc w:val="left"/>
      <w:pPr>
        <w:ind w:left="2880" w:hanging="360"/>
      </w:pPr>
    </w:lvl>
    <w:lvl w:ilvl="4" w:tplc="8AFECEA8" w:tentative="1">
      <w:start w:val="1"/>
      <w:numFmt w:val="lowerLetter"/>
      <w:lvlText w:val="%5."/>
      <w:lvlJc w:val="left"/>
      <w:pPr>
        <w:ind w:left="3600" w:hanging="360"/>
      </w:pPr>
    </w:lvl>
    <w:lvl w:ilvl="5" w:tplc="8DCEBF46" w:tentative="1">
      <w:start w:val="1"/>
      <w:numFmt w:val="lowerRoman"/>
      <w:lvlText w:val="%6."/>
      <w:lvlJc w:val="right"/>
      <w:pPr>
        <w:ind w:left="4320" w:hanging="180"/>
      </w:pPr>
    </w:lvl>
    <w:lvl w:ilvl="6" w:tplc="57D2668C" w:tentative="1">
      <w:start w:val="1"/>
      <w:numFmt w:val="decimal"/>
      <w:lvlText w:val="%7."/>
      <w:lvlJc w:val="left"/>
      <w:pPr>
        <w:ind w:left="5040" w:hanging="360"/>
      </w:pPr>
    </w:lvl>
    <w:lvl w:ilvl="7" w:tplc="73D2C2CE" w:tentative="1">
      <w:start w:val="1"/>
      <w:numFmt w:val="lowerLetter"/>
      <w:lvlText w:val="%8."/>
      <w:lvlJc w:val="left"/>
      <w:pPr>
        <w:ind w:left="5760" w:hanging="360"/>
      </w:pPr>
    </w:lvl>
    <w:lvl w:ilvl="8" w:tplc="FB4298BE" w:tentative="1">
      <w:start w:val="1"/>
      <w:numFmt w:val="lowerRoman"/>
      <w:lvlText w:val="%9."/>
      <w:lvlJc w:val="right"/>
      <w:pPr>
        <w:ind w:left="6480" w:hanging="180"/>
      </w:pPr>
    </w:lvl>
  </w:abstractNum>
  <w:abstractNum w:abstractNumId="11" w15:restartNumberingAfterBreak="0">
    <w:nsid w:val="2CD23C8B"/>
    <w:multiLevelType w:val="hybridMultilevel"/>
    <w:tmpl w:val="2EB6876E"/>
    <w:lvl w:ilvl="0" w:tplc="11BEEAA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55937"/>
    <w:multiLevelType w:val="hybridMultilevel"/>
    <w:tmpl w:val="AD60F204"/>
    <w:lvl w:ilvl="0" w:tplc="66A2DAC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A0358"/>
    <w:multiLevelType w:val="hybridMultilevel"/>
    <w:tmpl w:val="7204699E"/>
    <w:lvl w:ilvl="0" w:tplc="778CB0F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9E29B6"/>
    <w:multiLevelType w:val="hybridMultilevel"/>
    <w:tmpl w:val="F3E2E3C0"/>
    <w:lvl w:ilvl="0" w:tplc="FABA5878">
      <w:start w:val="1"/>
      <w:numFmt w:val="decimal"/>
      <w:lvlText w:val="%1)"/>
      <w:lvlJc w:val="left"/>
      <w:pPr>
        <w:ind w:left="720" w:hanging="360"/>
      </w:pPr>
      <w:rPr>
        <w:rFonts w:hint="default"/>
      </w:rPr>
    </w:lvl>
    <w:lvl w:ilvl="1" w:tplc="4A7A79BC" w:tentative="1">
      <w:start w:val="1"/>
      <w:numFmt w:val="lowerLetter"/>
      <w:lvlText w:val="%2."/>
      <w:lvlJc w:val="left"/>
      <w:pPr>
        <w:ind w:left="1440" w:hanging="360"/>
      </w:pPr>
    </w:lvl>
    <w:lvl w:ilvl="2" w:tplc="B8983B16" w:tentative="1">
      <w:start w:val="1"/>
      <w:numFmt w:val="lowerRoman"/>
      <w:lvlText w:val="%3."/>
      <w:lvlJc w:val="right"/>
      <w:pPr>
        <w:ind w:left="2160" w:hanging="180"/>
      </w:pPr>
    </w:lvl>
    <w:lvl w:ilvl="3" w:tplc="14D481C6" w:tentative="1">
      <w:start w:val="1"/>
      <w:numFmt w:val="decimal"/>
      <w:lvlText w:val="%4."/>
      <w:lvlJc w:val="left"/>
      <w:pPr>
        <w:ind w:left="2880" w:hanging="360"/>
      </w:pPr>
    </w:lvl>
    <w:lvl w:ilvl="4" w:tplc="2B42E7F6" w:tentative="1">
      <w:start w:val="1"/>
      <w:numFmt w:val="lowerLetter"/>
      <w:lvlText w:val="%5."/>
      <w:lvlJc w:val="left"/>
      <w:pPr>
        <w:ind w:left="3600" w:hanging="360"/>
      </w:pPr>
    </w:lvl>
    <w:lvl w:ilvl="5" w:tplc="527A671E" w:tentative="1">
      <w:start w:val="1"/>
      <w:numFmt w:val="lowerRoman"/>
      <w:lvlText w:val="%6."/>
      <w:lvlJc w:val="right"/>
      <w:pPr>
        <w:ind w:left="4320" w:hanging="180"/>
      </w:pPr>
    </w:lvl>
    <w:lvl w:ilvl="6" w:tplc="5CFCA36E" w:tentative="1">
      <w:start w:val="1"/>
      <w:numFmt w:val="decimal"/>
      <w:lvlText w:val="%7."/>
      <w:lvlJc w:val="left"/>
      <w:pPr>
        <w:ind w:left="5040" w:hanging="360"/>
      </w:pPr>
    </w:lvl>
    <w:lvl w:ilvl="7" w:tplc="20F4AE6E" w:tentative="1">
      <w:start w:val="1"/>
      <w:numFmt w:val="lowerLetter"/>
      <w:lvlText w:val="%8."/>
      <w:lvlJc w:val="left"/>
      <w:pPr>
        <w:ind w:left="5760" w:hanging="360"/>
      </w:pPr>
    </w:lvl>
    <w:lvl w:ilvl="8" w:tplc="632AA732" w:tentative="1">
      <w:start w:val="1"/>
      <w:numFmt w:val="lowerRoman"/>
      <w:lvlText w:val="%9."/>
      <w:lvlJc w:val="right"/>
      <w:pPr>
        <w:ind w:left="6480" w:hanging="180"/>
      </w:pPr>
    </w:lvl>
  </w:abstractNum>
  <w:abstractNum w:abstractNumId="15" w15:restartNumberingAfterBreak="0">
    <w:nsid w:val="552356E5"/>
    <w:multiLevelType w:val="hybridMultilevel"/>
    <w:tmpl w:val="C9626AB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E191F"/>
    <w:multiLevelType w:val="hybridMultilevel"/>
    <w:tmpl w:val="84AE95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574FA"/>
    <w:multiLevelType w:val="hybridMultilevel"/>
    <w:tmpl w:val="821A8DB8"/>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443C81"/>
    <w:multiLevelType w:val="hybridMultilevel"/>
    <w:tmpl w:val="7528207C"/>
    <w:lvl w:ilvl="0" w:tplc="7C680AA4">
      <w:start w:val="14"/>
      <w:numFmt w:val="decimal"/>
      <w:lvlText w:val="%1."/>
      <w:lvlJc w:val="left"/>
      <w:pPr>
        <w:ind w:left="106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937CF"/>
    <w:multiLevelType w:val="hybridMultilevel"/>
    <w:tmpl w:val="5468AF50"/>
    <w:lvl w:ilvl="0" w:tplc="F244AAA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721CDE"/>
    <w:multiLevelType w:val="hybridMultilevel"/>
    <w:tmpl w:val="09C89990"/>
    <w:lvl w:ilvl="0" w:tplc="0809000F">
      <w:start w:val="1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510DBA"/>
    <w:multiLevelType w:val="hybridMultilevel"/>
    <w:tmpl w:val="55B6933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8"/>
  </w:num>
  <w:num w:numId="4">
    <w:abstractNumId w:val="10"/>
  </w:num>
  <w:num w:numId="5">
    <w:abstractNumId w:val="5"/>
  </w:num>
  <w:num w:numId="6">
    <w:abstractNumId w:val="6"/>
  </w:num>
  <w:num w:numId="7">
    <w:abstractNumId w:val="0"/>
  </w:num>
  <w:num w:numId="8">
    <w:abstractNumId w:val="9"/>
  </w:num>
  <w:num w:numId="9">
    <w:abstractNumId w:val="2"/>
  </w:num>
  <w:num w:numId="10">
    <w:abstractNumId w:val="16"/>
  </w:num>
  <w:num w:numId="11">
    <w:abstractNumId w:val="4"/>
  </w:num>
  <w:num w:numId="12">
    <w:abstractNumId w:val="19"/>
  </w:num>
  <w:num w:numId="13">
    <w:abstractNumId w:val="11"/>
  </w:num>
  <w:num w:numId="14">
    <w:abstractNumId w:val="21"/>
  </w:num>
  <w:num w:numId="15">
    <w:abstractNumId w:val="20"/>
  </w:num>
  <w:num w:numId="16">
    <w:abstractNumId w:val="15"/>
  </w:num>
  <w:num w:numId="17">
    <w:abstractNumId w:val="13"/>
  </w:num>
  <w:num w:numId="18">
    <w:abstractNumId w:val="12"/>
  </w:num>
  <w:num w:numId="19">
    <w:abstractNumId w:val="1"/>
  </w:num>
  <w:num w:numId="20">
    <w:abstractNumId w:val="18"/>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0"/>
    <w:rsid w:val="000621F7"/>
    <w:rsid w:val="00076C82"/>
    <w:rsid w:val="00094268"/>
    <w:rsid w:val="00095A34"/>
    <w:rsid w:val="000A4536"/>
    <w:rsid w:val="000A5A68"/>
    <w:rsid w:val="000D0D58"/>
    <w:rsid w:val="00100C93"/>
    <w:rsid w:val="00116A26"/>
    <w:rsid w:val="00133019"/>
    <w:rsid w:val="00136D65"/>
    <w:rsid w:val="001469D9"/>
    <w:rsid w:val="00156C0B"/>
    <w:rsid w:val="0016139F"/>
    <w:rsid w:val="00175311"/>
    <w:rsid w:val="00187044"/>
    <w:rsid w:val="00194510"/>
    <w:rsid w:val="001A1217"/>
    <w:rsid w:val="001E4324"/>
    <w:rsid w:val="002035C1"/>
    <w:rsid w:val="00232517"/>
    <w:rsid w:val="00263A2E"/>
    <w:rsid w:val="00270123"/>
    <w:rsid w:val="00273E54"/>
    <w:rsid w:val="00273FDE"/>
    <w:rsid w:val="0029198B"/>
    <w:rsid w:val="00296A65"/>
    <w:rsid w:val="00306625"/>
    <w:rsid w:val="003264B0"/>
    <w:rsid w:val="00347020"/>
    <w:rsid w:val="00362180"/>
    <w:rsid w:val="003C7304"/>
    <w:rsid w:val="00420126"/>
    <w:rsid w:val="004209F9"/>
    <w:rsid w:val="00423F04"/>
    <w:rsid w:val="00463340"/>
    <w:rsid w:val="00474CAB"/>
    <w:rsid w:val="00497E68"/>
    <w:rsid w:val="004A2476"/>
    <w:rsid w:val="004E01AB"/>
    <w:rsid w:val="004F1884"/>
    <w:rsid w:val="004F3552"/>
    <w:rsid w:val="005443AB"/>
    <w:rsid w:val="00556297"/>
    <w:rsid w:val="00564711"/>
    <w:rsid w:val="005715F6"/>
    <w:rsid w:val="00592A3E"/>
    <w:rsid w:val="005A3F75"/>
    <w:rsid w:val="005A437F"/>
    <w:rsid w:val="005C3EAC"/>
    <w:rsid w:val="005C7025"/>
    <w:rsid w:val="005D7314"/>
    <w:rsid w:val="005E14B3"/>
    <w:rsid w:val="005E2924"/>
    <w:rsid w:val="00620CFE"/>
    <w:rsid w:val="006413CE"/>
    <w:rsid w:val="00657F1B"/>
    <w:rsid w:val="006852A9"/>
    <w:rsid w:val="006C1807"/>
    <w:rsid w:val="006E016F"/>
    <w:rsid w:val="006E1636"/>
    <w:rsid w:val="006E1CD9"/>
    <w:rsid w:val="007000E9"/>
    <w:rsid w:val="00710C29"/>
    <w:rsid w:val="007144F5"/>
    <w:rsid w:val="00723500"/>
    <w:rsid w:val="007459B8"/>
    <w:rsid w:val="0076721D"/>
    <w:rsid w:val="0078232D"/>
    <w:rsid w:val="007A0E77"/>
    <w:rsid w:val="007B267A"/>
    <w:rsid w:val="007D117A"/>
    <w:rsid w:val="007D6443"/>
    <w:rsid w:val="0082422C"/>
    <w:rsid w:val="00827464"/>
    <w:rsid w:val="008425D9"/>
    <w:rsid w:val="00845264"/>
    <w:rsid w:val="00846B6E"/>
    <w:rsid w:val="0086042A"/>
    <w:rsid w:val="008665AC"/>
    <w:rsid w:val="00881937"/>
    <w:rsid w:val="008B59CF"/>
    <w:rsid w:val="008C0649"/>
    <w:rsid w:val="008E4588"/>
    <w:rsid w:val="009016F2"/>
    <w:rsid w:val="00920588"/>
    <w:rsid w:val="00926C15"/>
    <w:rsid w:val="00926D06"/>
    <w:rsid w:val="009303A7"/>
    <w:rsid w:val="00930ACE"/>
    <w:rsid w:val="0094084A"/>
    <w:rsid w:val="00971EF8"/>
    <w:rsid w:val="00994C98"/>
    <w:rsid w:val="009A051D"/>
    <w:rsid w:val="009B412E"/>
    <w:rsid w:val="009D3EA1"/>
    <w:rsid w:val="009E0D3D"/>
    <w:rsid w:val="00A022F0"/>
    <w:rsid w:val="00A23B53"/>
    <w:rsid w:val="00A35319"/>
    <w:rsid w:val="00A56F16"/>
    <w:rsid w:val="00A84B01"/>
    <w:rsid w:val="00AF3CAC"/>
    <w:rsid w:val="00B03132"/>
    <w:rsid w:val="00B249F7"/>
    <w:rsid w:val="00B515AF"/>
    <w:rsid w:val="00B96CE1"/>
    <w:rsid w:val="00B97817"/>
    <w:rsid w:val="00BD0B87"/>
    <w:rsid w:val="00BE791D"/>
    <w:rsid w:val="00C0314B"/>
    <w:rsid w:val="00C61353"/>
    <w:rsid w:val="00CA0409"/>
    <w:rsid w:val="00CD42E0"/>
    <w:rsid w:val="00CF0546"/>
    <w:rsid w:val="00D042A0"/>
    <w:rsid w:val="00D27988"/>
    <w:rsid w:val="00D3350C"/>
    <w:rsid w:val="00D3560B"/>
    <w:rsid w:val="00D6355F"/>
    <w:rsid w:val="00D727B0"/>
    <w:rsid w:val="00D72AB7"/>
    <w:rsid w:val="00D75627"/>
    <w:rsid w:val="00DC73F3"/>
    <w:rsid w:val="00E0171B"/>
    <w:rsid w:val="00E02919"/>
    <w:rsid w:val="00E03A20"/>
    <w:rsid w:val="00E04A36"/>
    <w:rsid w:val="00E05CDD"/>
    <w:rsid w:val="00E05E13"/>
    <w:rsid w:val="00E11739"/>
    <w:rsid w:val="00E158E6"/>
    <w:rsid w:val="00E17F89"/>
    <w:rsid w:val="00E46BF3"/>
    <w:rsid w:val="00E96A0F"/>
    <w:rsid w:val="00EA2285"/>
    <w:rsid w:val="00EB4D34"/>
    <w:rsid w:val="00ED3898"/>
    <w:rsid w:val="00EF64ED"/>
    <w:rsid w:val="00F10E5E"/>
    <w:rsid w:val="00F27967"/>
    <w:rsid w:val="00F30E27"/>
    <w:rsid w:val="00F87B54"/>
    <w:rsid w:val="00FA6B33"/>
    <w:rsid w:val="00FD20CA"/>
    <w:rsid w:val="00FE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6C8E4"/>
  <w15:chartTrackingRefBased/>
  <w15:docId w15:val="{DBCEC4C4-E9EE-4072-B676-A023511D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E0"/>
    <w:pPr>
      <w:spacing w:after="0" w:line="240" w:lineRule="auto"/>
      <w:jc w:val="both"/>
    </w:pPr>
    <w:rPr>
      <w:rFonts w:ascii="avant garde" w:eastAsia="Times New Roman" w:hAnsi="avant gard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CD42E0"/>
    <w:pPr>
      <w:ind w:left="720"/>
      <w:contextualSpacing/>
    </w:pPr>
  </w:style>
  <w:style w:type="paragraph" w:styleId="BalloonText">
    <w:name w:val="Balloon Text"/>
    <w:basedOn w:val="Normal"/>
    <w:link w:val="BalloonTextChar"/>
    <w:uiPriority w:val="99"/>
    <w:semiHidden/>
    <w:unhideWhenUsed/>
    <w:rsid w:val="00CF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46"/>
    <w:rPr>
      <w:rFonts w:ascii="Segoe UI" w:eastAsia="Times New Roman" w:hAnsi="Segoe UI" w:cs="Segoe UI"/>
      <w:sz w:val="18"/>
      <w:szCs w:val="18"/>
    </w:rPr>
  </w:style>
  <w:style w:type="paragraph" w:styleId="FootnoteText">
    <w:name w:val="footnote text"/>
    <w:basedOn w:val="Normal"/>
    <w:link w:val="FootnoteTextChar"/>
    <w:unhideWhenUsed/>
    <w:rsid w:val="00926C15"/>
    <w:rPr>
      <w:sz w:val="20"/>
      <w:szCs w:val="20"/>
    </w:rPr>
  </w:style>
  <w:style w:type="character" w:customStyle="1" w:styleId="FootnoteTextChar">
    <w:name w:val="Footnote Text Char"/>
    <w:basedOn w:val="DefaultParagraphFont"/>
    <w:link w:val="FootnoteText"/>
    <w:rsid w:val="00926C15"/>
    <w:rPr>
      <w:rFonts w:ascii="avant garde" w:eastAsia="Times New Roman" w:hAnsi="avant garde" w:cs="Times New Roman"/>
      <w:sz w:val="20"/>
      <w:szCs w:val="20"/>
    </w:rPr>
  </w:style>
  <w:style w:type="character" w:styleId="FootnoteReference">
    <w:name w:val="footnote reference"/>
    <w:basedOn w:val="DefaultParagraphFont"/>
    <w:unhideWhenUsed/>
    <w:rsid w:val="00926C15"/>
    <w:rPr>
      <w:vertAlign w:val="superscript"/>
    </w:rPr>
  </w:style>
  <w:style w:type="character" w:styleId="Hyperlink">
    <w:name w:val="Hyperlink"/>
    <w:basedOn w:val="DefaultParagraphFont"/>
    <w:uiPriority w:val="99"/>
    <w:unhideWhenUsed/>
    <w:rsid w:val="00926C15"/>
    <w:rPr>
      <w:color w:val="0000FF"/>
      <w:u w:val="single"/>
    </w:rPr>
  </w:style>
  <w:style w:type="paragraph" w:styleId="Header">
    <w:name w:val="header"/>
    <w:basedOn w:val="Normal"/>
    <w:link w:val="HeaderChar"/>
    <w:uiPriority w:val="99"/>
    <w:unhideWhenUsed/>
    <w:rsid w:val="005E2924"/>
    <w:pPr>
      <w:tabs>
        <w:tab w:val="center" w:pos="4513"/>
        <w:tab w:val="right" w:pos="9026"/>
      </w:tabs>
    </w:pPr>
  </w:style>
  <w:style w:type="character" w:customStyle="1" w:styleId="HeaderChar">
    <w:name w:val="Header Char"/>
    <w:basedOn w:val="DefaultParagraphFont"/>
    <w:link w:val="Header"/>
    <w:uiPriority w:val="99"/>
    <w:rsid w:val="005E2924"/>
    <w:rPr>
      <w:rFonts w:ascii="avant garde" w:eastAsia="Times New Roman" w:hAnsi="avant garde" w:cs="Times New Roman"/>
      <w:szCs w:val="24"/>
    </w:rPr>
  </w:style>
  <w:style w:type="paragraph" w:styleId="Footer">
    <w:name w:val="footer"/>
    <w:basedOn w:val="Normal"/>
    <w:link w:val="FooterChar"/>
    <w:uiPriority w:val="99"/>
    <w:unhideWhenUsed/>
    <w:rsid w:val="005E2924"/>
    <w:pPr>
      <w:tabs>
        <w:tab w:val="center" w:pos="4513"/>
        <w:tab w:val="right" w:pos="9026"/>
      </w:tabs>
    </w:pPr>
  </w:style>
  <w:style w:type="character" w:customStyle="1" w:styleId="FooterChar">
    <w:name w:val="Footer Char"/>
    <w:basedOn w:val="DefaultParagraphFont"/>
    <w:link w:val="Footer"/>
    <w:uiPriority w:val="99"/>
    <w:rsid w:val="005E2924"/>
    <w:rPr>
      <w:rFonts w:ascii="avant garde" w:eastAsia="Times New Roman" w:hAnsi="avant garde" w:cs="Times New Roman"/>
      <w:szCs w:val="24"/>
    </w:rPr>
  </w:style>
  <w:style w:type="character" w:customStyle="1" w:styleId="UnresolvedMention1">
    <w:name w:val="Unresolved Mention1"/>
    <w:basedOn w:val="DefaultParagraphFont"/>
    <w:uiPriority w:val="99"/>
    <w:semiHidden/>
    <w:unhideWhenUsed/>
    <w:rsid w:val="005E2924"/>
    <w:rPr>
      <w:color w:val="605E5C"/>
      <w:shd w:val="clear" w:color="auto" w:fill="E1DFDD"/>
    </w:rPr>
  </w:style>
  <w:style w:type="character" w:styleId="FollowedHyperlink">
    <w:name w:val="FollowedHyperlink"/>
    <w:basedOn w:val="DefaultParagraphFont"/>
    <w:uiPriority w:val="99"/>
    <w:semiHidden/>
    <w:unhideWhenUsed/>
    <w:rsid w:val="00463340"/>
    <w:rPr>
      <w:color w:val="954F72" w:themeColor="followedHyperlink"/>
      <w:u w:val="single"/>
    </w:rPr>
  </w:style>
  <w:style w:type="character" w:styleId="UnresolvedMention">
    <w:name w:val="Unresolved Mention"/>
    <w:basedOn w:val="DefaultParagraphFont"/>
    <w:uiPriority w:val="99"/>
    <w:rsid w:val="00273E54"/>
    <w:rPr>
      <w:color w:val="605E5C"/>
      <w:shd w:val="clear" w:color="auto" w:fill="E1DFDD"/>
    </w:rPr>
  </w:style>
  <w:style w:type="paragraph" w:styleId="Revision">
    <w:name w:val="Revision"/>
    <w:hidden/>
    <w:uiPriority w:val="99"/>
    <w:semiHidden/>
    <w:rsid w:val="00A23B53"/>
    <w:pPr>
      <w:spacing w:after="0" w:line="240" w:lineRule="auto"/>
    </w:pPr>
    <w:rPr>
      <w:rFonts w:ascii="avant garde" w:eastAsia="Times New Roman" w:hAnsi="avant garde" w:cs="Times New Roman"/>
      <w:szCs w:val="24"/>
    </w:rPr>
  </w:style>
  <w:style w:type="paragraph" w:customStyle="1" w:styleId="Default">
    <w:name w:val="Default"/>
    <w:rsid w:val="004209F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05CDD"/>
    <w:rPr>
      <w:sz w:val="16"/>
      <w:szCs w:val="16"/>
    </w:rPr>
  </w:style>
  <w:style w:type="paragraph" w:styleId="CommentText">
    <w:name w:val="annotation text"/>
    <w:basedOn w:val="Normal"/>
    <w:link w:val="CommentTextChar"/>
    <w:uiPriority w:val="99"/>
    <w:semiHidden/>
    <w:unhideWhenUsed/>
    <w:rsid w:val="00E05CDD"/>
    <w:rPr>
      <w:sz w:val="20"/>
      <w:szCs w:val="20"/>
    </w:rPr>
  </w:style>
  <w:style w:type="character" w:customStyle="1" w:styleId="CommentTextChar">
    <w:name w:val="Comment Text Char"/>
    <w:basedOn w:val="DefaultParagraphFont"/>
    <w:link w:val="CommentText"/>
    <w:uiPriority w:val="99"/>
    <w:semiHidden/>
    <w:rsid w:val="00E05CDD"/>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E05CDD"/>
    <w:rPr>
      <w:b/>
      <w:bCs/>
    </w:rPr>
  </w:style>
  <w:style w:type="character" w:customStyle="1" w:styleId="CommentSubjectChar">
    <w:name w:val="Comment Subject Char"/>
    <w:basedOn w:val="CommentTextChar"/>
    <w:link w:val="CommentSubject"/>
    <w:uiPriority w:val="99"/>
    <w:semiHidden/>
    <w:rsid w:val="00E05CDD"/>
    <w:rPr>
      <w:rFonts w:ascii="avant garde" w:eastAsia="Times New Roman" w:hAnsi="avant garde" w:cs="Times New Roman"/>
      <w:b/>
      <w:bCs/>
      <w:sz w:val="20"/>
      <w:szCs w:val="20"/>
    </w:rPr>
  </w:style>
  <w:style w:type="character" w:customStyle="1" w:styleId="ListParagraphChar">
    <w:name w:val="List Paragraph Char"/>
    <w:aliases w:val="Dot pt Char"/>
    <w:basedOn w:val="DefaultParagraphFont"/>
    <w:link w:val="ListParagraph"/>
    <w:uiPriority w:val="34"/>
    <w:locked/>
    <w:rsid w:val="006852A9"/>
    <w:rPr>
      <w:rFonts w:ascii="avant garde" w:eastAsia="Times New Roman" w:hAnsi="avant gard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r-e-a.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a.net/resources/review-20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60-11AD-4673-8D64-FD911D6C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Sommerfeld</dc:creator>
  <cp:lastModifiedBy>Sam Tickle</cp:lastModifiedBy>
  <cp:revision>2</cp:revision>
  <cp:lastPrinted>2020-06-11T14:34:00Z</cp:lastPrinted>
  <dcterms:created xsi:type="dcterms:W3CDTF">2020-06-30T08:57:00Z</dcterms:created>
  <dcterms:modified xsi:type="dcterms:W3CDTF">2020-06-30T08:57:00Z</dcterms:modified>
</cp:coreProperties>
</file>