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9E2F3" w:themeColor="accent1" w:themeTint="33"/>
  <w:body>
    <w:p w14:paraId="62072B75" w14:textId="77777777" w:rsidR="00EA2285" w:rsidRDefault="00EA2285" w:rsidP="00463340">
      <w:pPr>
        <w:jc w:val="center"/>
        <w:rPr>
          <w:rFonts w:ascii="Open Sans" w:hAnsi="Open Sans" w:cs="Open Sans"/>
          <w:b/>
          <w:bCs/>
          <w:i/>
          <w:iCs/>
          <w:color w:val="06926B"/>
          <w:sz w:val="32"/>
          <w:szCs w:val="32"/>
        </w:rPr>
      </w:pPr>
    </w:p>
    <w:p w14:paraId="481B03AA" w14:textId="77777777" w:rsidR="00BD0B87" w:rsidRPr="006B78FB" w:rsidRDefault="00273E54" w:rsidP="00463340">
      <w:pPr>
        <w:jc w:val="center"/>
        <w:rPr>
          <w:rFonts w:ascii="Open Sans" w:hAnsi="Open Sans" w:cs="Open Sans"/>
          <w:b/>
          <w:bCs/>
          <w:color w:val="06926B"/>
          <w:sz w:val="32"/>
          <w:szCs w:val="32"/>
        </w:rPr>
      </w:pPr>
      <w:r w:rsidRPr="006B78FB">
        <w:rPr>
          <w:rFonts w:ascii="Open Sans" w:hAnsi="Open Sans" w:cs="Open Sans"/>
          <w:b/>
          <w:bCs/>
          <w:i/>
          <w:iCs/>
          <w:color w:val="06926B"/>
          <w:sz w:val="32"/>
          <w:szCs w:val="32"/>
        </w:rPr>
        <w:t>‘Future Support for Low Carbon Heat’</w:t>
      </w:r>
      <w:r w:rsidRPr="006B78FB">
        <w:rPr>
          <w:rFonts w:ascii="Open Sans" w:hAnsi="Open Sans" w:cs="Open Sans"/>
          <w:b/>
          <w:bCs/>
          <w:color w:val="06926B"/>
          <w:sz w:val="32"/>
          <w:szCs w:val="32"/>
        </w:rPr>
        <w:t xml:space="preserve"> </w:t>
      </w:r>
    </w:p>
    <w:p w14:paraId="4F687AA2" w14:textId="2EF65D6B" w:rsidR="00CD42E0" w:rsidRPr="006B78FB" w:rsidRDefault="00B74B1D" w:rsidP="00463340">
      <w:pPr>
        <w:jc w:val="center"/>
        <w:rPr>
          <w:rFonts w:ascii="Open Sans" w:hAnsi="Open Sans" w:cs="Open Sans"/>
          <w:b/>
          <w:bCs/>
          <w:color w:val="06926B"/>
          <w:sz w:val="32"/>
          <w:szCs w:val="32"/>
          <w:u w:val="single"/>
        </w:rPr>
      </w:pPr>
      <w:r w:rsidRPr="006B78FB">
        <w:rPr>
          <w:rFonts w:ascii="Open Sans" w:hAnsi="Open Sans" w:cs="Open Sans"/>
          <w:b/>
          <w:bCs/>
          <w:color w:val="06926B"/>
          <w:sz w:val="32"/>
          <w:szCs w:val="32"/>
        </w:rPr>
        <w:t>Biomass Heat Full Response</w:t>
      </w:r>
    </w:p>
    <w:p w14:paraId="76356593" w14:textId="77777777" w:rsidR="00CD42E0" w:rsidRPr="006E1CD9" w:rsidRDefault="00CD42E0" w:rsidP="00CD42E0">
      <w:pPr>
        <w:rPr>
          <w:rFonts w:ascii="Open Sans" w:hAnsi="Open Sans" w:cs="Open Sans"/>
          <w:b/>
          <w:bCs/>
        </w:rPr>
      </w:pPr>
    </w:p>
    <w:p w14:paraId="1813ED71" w14:textId="4719E391" w:rsidR="00CD42E0" w:rsidRDefault="00B06706" w:rsidP="00CD42E0">
      <w:pPr>
        <w:rPr>
          <w:rFonts w:ascii="Open Sans" w:hAnsi="Open Sans" w:cs="Open Sans"/>
          <w:szCs w:val="22"/>
        </w:rPr>
      </w:pPr>
      <w:r w:rsidRPr="00B06706">
        <w:rPr>
          <w:rFonts w:ascii="Open Sans" w:hAnsi="Open Sans" w:cs="Open Sans"/>
          <w:szCs w:val="22"/>
        </w:rPr>
        <w:t xml:space="preserve">The Renewable Energy Association (REA) </w:t>
      </w:r>
      <w:r w:rsidR="00C5482E">
        <w:rPr>
          <w:rFonts w:ascii="Open Sans" w:hAnsi="Open Sans" w:cs="Open Sans"/>
          <w:szCs w:val="22"/>
        </w:rPr>
        <w:t>is</w:t>
      </w:r>
      <w:r w:rsidRPr="00B06706">
        <w:rPr>
          <w:rFonts w:ascii="Open Sans" w:hAnsi="Open Sans" w:cs="Open Sans"/>
          <w:szCs w:val="22"/>
        </w:rPr>
        <w:t xml:space="preserve">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550 corporate members of the REA, making it the largest renewable energy trade association in the UK. The </w:t>
      </w:r>
      <w:r w:rsidR="00C86C24">
        <w:rPr>
          <w:rFonts w:ascii="Open Sans" w:hAnsi="Open Sans" w:cs="Open Sans"/>
          <w:szCs w:val="22"/>
        </w:rPr>
        <w:t xml:space="preserve">Wood Heat Association is the members forum within the REA that advocates for </w:t>
      </w:r>
      <w:r w:rsidRPr="00B06706">
        <w:rPr>
          <w:rFonts w:ascii="Open Sans" w:hAnsi="Open Sans" w:cs="Open Sans"/>
          <w:szCs w:val="22"/>
        </w:rPr>
        <w:t>the modern wood heating and related biomass heating industry including wood fuel suppliers, biomass boiler and stove installers and distributors, and anyone involved in the supply chain.</w:t>
      </w:r>
    </w:p>
    <w:p w14:paraId="2EB0BA54" w14:textId="77777777" w:rsidR="006A05F8" w:rsidRPr="00273E54" w:rsidRDefault="006A05F8" w:rsidP="00CD42E0">
      <w:pPr>
        <w:rPr>
          <w:rFonts w:ascii="Open Sans" w:hAnsi="Open Sans" w:cs="Open Sans"/>
          <w:szCs w:val="22"/>
        </w:rPr>
      </w:pPr>
    </w:p>
    <w:p w14:paraId="4F88CA96" w14:textId="61A49F86" w:rsidR="00CD42E0" w:rsidRPr="00CD6AB1" w:rsidRDefault="00C86C24" w:rsidP="00CD42E0">
      <w:pPr>
        <w:rPr>
          <w:rFonts w:ascii="Open Sans" w:hAnsi="Open Sans" w:cs="Open Sans"/>
          <w:b/>
          <w:bCs/>
          <w:szCs w:val="22"/>
          <w:u w:val="single"/>
        </w:rPr>
      </w:pPr>
      <w:r w:rsidRPr="00CD6AB1">
        <w:rPr>
          <w:rFonts w:ascii="Open Sans" w:hAnsi="Open Sans" w:cs="Open Sans"/>
          <w:b/>
          <w:bCs/>
          <w:szCs w:val="22"/>
          <w:u w:val="single"/>
        </w:rPr>
        <w:t xml:space="preserve">Summary of Response </w:t>
      </w:r>
    </w:p>
    <w:p w14:paraId="4DD0C1B8" w14:textId="77777777" w:rsidR="00CD42E0" w:rsidRPr="00273E54" w:rsidRDefault="00CD42E0" w:rsidP="00CD42E0">
      <w:pPr>
        <w:rPr>
          <w:rFonts w:ascii="Open Sans" w:hAnsi="Open Sans" w:cs="Open Sans"/>
          <w:szCs w:val="22"/>
        </w:rPr>
      </w:pPr>
    </w:p>
    <w:p w14:paraId="5CA498E4" w14:textId="430E7A59" w:rsidR="00463340" w:rsidRPr="00273E54" w:rsidRDefault="00273E54" w:rsidP="00CD42E0">
      <w:pPr>
        <w:rPr>
          <w:rFonts w:ascii="Open Sans" w:hAnsi="Open Sans" w:cs="Open Sans"/>
          <w:b/>
          <w:bCs/>
          <w:szCs w:val="22"/>
        </w:rPr>
      </w:pPr>
      <w:r w:rsidRPr="00273E54">
        <w:rPr>
          <w:rFonts w:ascii="Open Sans" w:hAnsi="Open Sans" w:cs="Open Sans"/>
          <w:szCs w:val="22"/>
        </w:rPr>
        <w:t xml:space="preserve">It is welcome that BEIS is bringing forward a support mechanism to help the decarbonisation of heat following the Renewable Heat Incentive. However, </w:t>
      </w:r>
      <w:r w:rsidR="00E0171B">
        <w:rPr>
          <w:rFonts w:ascii="Open Sans" w:hAnsi="Open Sans" w:cs="Open Sans"/>
          <w:szCs w:val="22"/>
        </w:rPr>
        <w:t xml:space="preserve">we believe </w:t>
      </w:r>
      <w:r w:rsidRPr="00273E54">
        <w:rPr>
          <w:rFonts w:ascii="Open Sans" w:hAnsi="Open Sans" w:cs="Open Sans"/>
          <w:szCs w:val="22"/>
        </w:rPr>
        <w:t xml:space="preserve">the proposals for a Clean Heat Grant scheme </w:t>
      </w:r>
      <w:r w:rsidR="00E0171B">
        <w:rPr>
          <w:rFonts w:ascii="Open Sans" w:hAnsi="Open Sans" w:cs="Open Sans"/>
          <w:szCs w:val="22"/>
        </w:rPr>
        <w:t>are wholly inadequate in both scope and the level of support on offer if the intention is to drive meaningful decarbonisation of UK heat production.</w:t>
      </w:r>
      <w:r w:rsidRPr="00273E54">
        <w:rPr>
          <w:rFonts w:ascii="Open Sans" w:hAnsi="Open Sans" w:cs="Open Sans"/>
          <w:szCs w:val="22"/>
        </w:rPr>
        <w:t xml:space="preserve"> </w:t>
      </w:r>
      <w:r w:rsidRPr="00273E54">
        <w:rPr>
          <w:rFonts w:ascii="Open Sans" w:hAnsi="Open Sans" w:cs="Open Sans"/>
          <w:b/>
          <w:bCs/>
          <w:szCs w:val="22"/>
        </w:rPr>
        <w:t xml:space="preserve"> </w:t>
      </w:r>
    </w:p>
    <w:p w14:paraId="318A55FE" w14:textId="77777777" w:rsidR="00463340" w:rsidRPr="00CD6AB1" w:rsidRDefault="00463340" w:rsidP="00CD42E0">
      <w:pPr>
        <w:rPr>
          <w:rFonts w:ascii="Open Sans" w:hAnsi="Open Sans" w:cs="Open Sans"/>
          <w:b/>
          <w:bCs/>
          <w:szCs w:val="22"/>
        </w:rPr>
      </w:pPr>
    </w:p>
    <w:p w14:paraId="2311D215" w14:textId="77777777" w:rsidR="00971EF8" w:rsidRPr="00CD6AB1" w:rsidRDefault="00273E54" w:rsidP="00971EF8">
      <w:pPr>
        <w:spacing w:after="120"/>
        <w:rPr>
          <w:rFonts w:ascii="Open Sans" w:hAnsi="Open Sans" w:cs="Open Sans"/>
          <w:b/>
          <w:bCs/>
          <w:szCs w:val="22"/>
        </w:rPr>
      </w:pPr>
      <w:r w:rsidRPr="00CD6AB1">
        <w:rPr>
          <w:rFonts w:ascii="Open Sans" w:hAnsi="Open Sans" w:cs="Open Sans"/>
          <w:b/>
          <w:bCs/>
          <w:szCs w:val="22"/>
        </w:rPr>
        <w:t xml:space="preserve">Further Heat Policy is urgently needed to maintain and continue to grow the clean heat sector. </w:t>
      </w:r>
    </w:p>
    <w:p w14:paraId="7DB53D2D" w14:textId="77777777" w:rsidR="00971EF8" w:rsidRPr="00273E54" w:rsidRDefault="00971EF8" w:rsidP="00971EF8">
      <w:pPr>
        <w:rPr>
          <w:rFonts w:ascii="Open Sans" w:hAnsi="Open Sans" w:cs="Open Sans"/>
          <w:szCs w:val="22"/>
        </w:rPr>
      </w:pPr>
    </w:p>
    <w:p w14:paraId="2CF8E77A" w14:textId="66FD6947" w:rsidR="00347020" w:rsidRPr="00D042A0" w:rsidRDefault="00273E54" w:rsidP="00CD42E0">
      <w:pPr>
        <w:rPr>
          <w:rFonts w:ascii="Open Sans" w:hAnsi="Open Sans"/>
        </w:rPr>
      </w:pPr>
      <w:r w:rsidRPr="00273E54">
        <w:rPr>
          <w:rFonts w:ascii="Open Sans" w:hAnsi="Open Sans" w:cs="Open Sans"/>
          <w:szCs w:val="22"/>
        </w:rPr>
        <w:t xml:space="preserve">The </w:t>
      </w:r>
      <w:r w:rsidR="00C0314B">
        <w:rPr>
          <w:rFonts w:ascii="Open Sans" w:hAnsi="Open Sans" w:cs="Open Sans"/>
          <w:szCs w:val="22"/>
        </w:rPr>
        <w:t xml:space="preserve">consultation highlights how heating our homes, businesses, and industry accounts for </w:t>
      </w:r>
      <w:r w:rsidR="00D042A0">
        <w:rPr>
          <w:rFonts w:ascii="Open Sans" w:hAnsi="Open Sans" w:cs="Open Sans"/>
          <w:szCs w:val="22"/>
        </w:rPr>
        <w:t xml:space="preserve">a </w:t>
      </w:r>
      <w:r w:rsidR="00C0314B">
        <w:rPr>
          <w:rFonts w:ascii="Open Sans" w:hAnsi="Open Sans" w:cs="Open Sans"/>
          <w:szCs w:val="22"/>
        </w:rPr>
        <w:t xml:space="preserve">third of UK’s </w:t>
      </w:r>
      <w:r w:rsidR="00D042A0">
        <w:rPr>
          <w:rFonts w:ascii="Open Sans" w:hAnsi="Open Sans" w:cs="Open Sans"/>
          <w:szCs w:val="22"/>
        </w:rPr>
        <w:t>greenhouse</w:t>
      </w:r>
      <w:r w:rsidR="00C0314B">
        <w:rPr>
          <w:rFonts w:ascii="Open Sans" w:hAnsi="Open Sans" w:cs="Open Sans"/>
          <w:szCs w:val="22"/>
        </w:rPr>
        <w:t xml:space="preserve"> emissions, requiring a mass transition to low carbon heat. However, t</w:t>
      </w:r>
      <w:r w:rsidRPr="00273E54">
        <w:rPr>
          <w:rFonts w:ascii="Open Sans" w:hAnsi="Open Sans" w:cs="Open Sans"/>
          <w:szCs w:val="22"/>
        </w:rPr>
        <w:t xml:space="preserve">he proposed scheme </w:t>
      </w:r>
      <w:r w:rsidR="00C0314B">
        <w:rPr>
          <w:rFonts w:ascii="Open Sans" w:hAnsi="Open Sans" w:cs="Open Sans"/>
          <w:szCs w:val="22"/>
        </w:rPr>
        <w:t>focuses</w:t>
      </w:r>
      <w:r w:rsidRPr="00273E54">
        <w:rPr>
          <w:rFonts w:ascii="Open Sans" w:hAnsi="Open Sans" w:cs="Open Sans"/>
          <w:szCs w:val="22"/>
        </w:rPr>
        <w:t xml:space="preserve"> on a very small section of the heat market which</w:t>
      </w:r>
      <w:r w:rsidR="00B03132" w:rsidRPr="00273E54">
        <w:rPr>
          <w:rFonts w:ascii="Open Sans" w:hAnsi="Open Sans" w:cs="Open Sans"/>
          <w:szCs w:val="22"/>
        </w:rPr>
        <w:t xml:space="preserve">, </w:t>
      </w:r>
      <w:r w:rsidR="00FD20CA" w:rsidRPr="00273E54">
        <w:rPr>
          <w:rFonts w:ascii="Open Sans" w:hAnsi="Open Sans" w:cs="Open Sans"/>
          <w:szCs w:val="22"/>
        </w:rPr>
        <w:t>by itself</w:t>
      </w:r>
      <w:r w:rsidR="00B03132" w:rsidRPr="00273E54">
        <w:rPr>
          <w:rFonts w:ascii="Open Sans" w:hAnsi="Open Sans" w:cs="Open Sans"/>
          <w:szCs w:val="22"/>
        </w:rPr>
        <w:t>,</w:t>
      </w:r>
      <w:r w:rsidR="00FD20CA" w:rsidRPr="00273E54">
        <w:rPr>
          <w:rFonts w:ascii="Open Sans" w:hAnsi="Open Sans" w:cs="Open Sans"/>
          <w:szCs w:val="22"/>
        </w:rPr>
        <w:t xml:space="preserve"> </w:t>
      </w:r>
      <w:r w:rsidRPr="00273E54">
        <w:rPr>
          <w:rFonts w:ascii="Open Sans" w:hAnsi="Open Sans" w:cs="Open Sans"/>
          <w:szCs w:val="22"/>
        </w:rPr>
        <w:t xml:space="preserve">will not deliver the level of decarbonisation </w:t>
      </w:r>
      <w:r w:rsidR="00D042A0">
        <w:rPr>
          <w:rFonts w:ascii="Open Sans" w:hAnsi="Open Sans" w:cs="Open Sans"/>
          <w:szCs w:val="22"/>
        </w:rPr>
        <w:t xml:space="preserve">required </w:t>
      </w:r>
      <w:r w:rsidRPr="00273E54">
        <w:rPr>
          <w:rFonts w:ascii="Open Sans" w:hAnsi="Open Sans" w:cs="Open Sans"/>
          <w:szCs w:val="22"/>
        </w:rPr>
        <w:t xml:space="preserve">to meet the UK's net-zero heat target or </w:t>
      </w:r>
      <w:r w:rsidR="00E0171B">
        <w:rPr>
          <w:rFonts w:ascii="Open Sans" w:hAnsi="Open Sans" w:cs="Open Sans"/>
          <w:szCs w:val="22"/>
        </w:rPr>
        <w:t xml:space="preserve">reignite </w:t>
      </w:r>
      <w:r w:rsidRPr="00273E54">
        <w:rPr>
          <w:rFonts w:ascii="Open Sans" w:hAnsi="Open Sans" w:cs="Open Sans"/>
          <w:szCs w:val="22"/>
        </w:rPr>
        <w:t>growth of</w:t>
      </w:r>
      <w:r w:rsidR="00E0171B">
        <w:rPr>
          <w:rFonts w:ascii="Open Sans" w:hAnsi="Open Sans" w:cs="Open Sans"/>
          <w:szCs w:val="22"/>
        </w:rPr>
        <w:t xml:space="preserve"> </w:t>
      </w:r>
      <w:r w:rsidRPr="00273E54">
        <w:rPr>
          <w:rFonts w:ascii="Open Sans" w:hAnsi="Open Sans" w:cs="Open Sans"/>
          <w:szCs w:val="22"/>
        </w:rPr>
        <w:t>the renewable heat sector.</w:t>
      </w:r>
      <w:r w:rsidRPr="00273E54">
        <w:rPr>
          <w:rFonts w:ascii="Open Sans" w:hAnsi="Open Sans" w:cs="Open Sans"/>
          <w:b/>
          <w:bCs/>
          <w:szCs w:val="22"/>
        </w:rPr>
        <w:t xml:space="preserve">  </w:t>
      </w:r>
    </w:p>
    <w:p w14:paraId="63D4FE2C" w14:textId="77777777" w:rsidR="00347020" w:rsidRPr="00D042A0" w:rsidRDefault="00347020" w:rsidP="00CD42E0">
      <w:pPr>
        <w:rPr>
          <w:rFonts w:ascii="Open Sans" w:hAnsi="Open Sans"/>
        </w:rPr>
      </w:pPr>
    </w:p>
    <w:p w14:paraId="7D27C96E" w14:textId="77777777" w:rsidR="00347020" w:rsidRPr="00273E54" w:rsidRDefault="00273E54" w:rsidP="00CD42E0">
      <w:pPr>
        <w:rPr>
          <w:rFonts w:ascii="Open Sans" w:hAnsi="Open Sans" w:cs="Open Sans"/>
          <w:szCs w:val="22"/>
        </w:rPr>
      </w:pPr>
      <w:r w:rsidRPr="00273E54">
        <w:rPr>
          <w:rFonts w:ascii="Open Sans" w:hAnsi="Open Sans" w:cs="Open Sans"/>
          <w:szCs w:val="22"/>
        </w:rPr>
        <w:t>W</w:t>
      </w:r>
      <w:r w:rsidR="00CD42E0" w:rsidRPr="00273E54">
        <w:rPr>
          <w:rFonts w:ascii="Open Sans" w:hAnsi="Open Sans" w:cs="Open Sans"/>
          <w:szCs w:val="22"/>
        </w:rPr>
        <w:t>hile we recognise that the Government are expecting to bring forward further heat decarbonisation policies, the lack</w:t>
      </w:r>
      <w:r w:rsidRPr="00273E54">
        <w:rPr>
          <w:rFonts w:ascii="Open Sans" w:hAnsi="Open Sans" w:cs="Open Sans"/>
          <w:szCs w:val="22"/>
        </w:rPr>
        <w:t xml:space="preserve"> of</w:t>
      </w:r>
      <w:r w:rsidR="00CD42E0" w:rsidRPr="00273E54">
        <w:rPr>
          <w:rFonts w:ascii="Open Sans" w:hAnsi="Open Sans" w:cs="Open Sans"/>
          <w:szCs w:val="22"/>
        </w:rPr>
        <w:t xml:space="preserve"> a clear strategic ambition means we urge BEIS to </w:t>
      </w:r>
      <w:r w:rsidRPr="00273E54">
        <w:rPr>
          <w:rFonts w:ascii="Open Sans" w:hAnsi="Open Sans" w:cs="Open Sans"/>
          <w:szCs w:val="22"/>
        </w:rPr>
        <w:t xml:space="preserve">expand </w:t>
      </w:r>
      <w:r w:rsidR="00CD42E0" w:rsidRPr="00273E54">
        <w:rPr>
          <w:rFonts w:ascii="Open Sans" w:hAnsi="Open Sans" w:cs="Open Sans"/>
          <w:szCs w:val="22"/>
        </w:rPr>
        <w:t>the scope of the proposed Clean Heat Grant Scheme</w:t>
      </w:r>
      <w:r w:rsidR="00BD0B87" w:rsidRPr="00273E54">
        <w:rPr>
          <w:rFonts w:ascii="Open Sans" w:hAnsi="Open Sans" w:cs="Open Sans"/>
          <w:szCs w:val="22"/>
        </w:rPr>
        <w:t>.</w:t>
      </w:r>
      <w:r w:rsidR="00CD42E0" w:rsidRPr="00273E54">
        <w:rPr>
          <w:rFonts w:ascii="Open Sans" w:hAnsi="Open Sans" w:cs="Open Sans"/>
          <w:szCs w:val="22"/>
        </w:rPr>
        <w:t xml:space="preserve"> </w:t>
      </w:r>
      <w:r w:rsidR="00971EF8" w:rsidRPr="00273E54">
        <w:rPr>
          <w:rFonts w:ascii="Open Sans" w:hAnsi="Open Sans" w:cs="Open Sans"/>
          <w:szCs w:val="22"/>
        </w:rPr>
        <w:t>This includes</w:t>
      </w:r>
      <w:r w:rsidRPr="00273E54">
        <w:rPr>
          <w:rFonts w:ascii="Open Sans" w:hAnsi="Open Sans" w:cs="Open Sans"/>
          <w:szCs w:val="22"/>
        </w:rPr>
        <w:t>:</w:t>
      </w:r>
    </w:p>
    <w:p w14:paraId="01F4C833" w14:textId="669DEC98" w:rsidR="00921A52" w:rsidRDefault="00921A52" w:rsidP="00347020">
      <w:pPr>
        <w:pStyle w:val="ListParagraph"/>
        <w:numPr>
          <w:ilvl w:val="0"/>
          <w:numId w:val="6"/>
        </w:numPr>
        <w:rPr>
          <w:rFonts w:ascii="Open Sans" w:hAnsi="Open Sans" w:cs="Open Sans"/>
          <w:szCs w:val="22"/>
        </w:rPr>
      </w:pPr>
      <w:bookmarkStart w:id="0" w:name="_Hlk43820531"/>
      <w:r w:rsidRPr="00273E54">
        <w:rPr>
          <w:rFonts w:ascii="Open Sans" w:hAnsi="Open Sans" w:cs="Open Sans"/>
          <w:szCs w:val="22"/>
        </w:rPr>
        <w:t xml:space="preserve">Raise the capacity cap </w:t>
      </w:r>
      <w:r w:rsidR="00CD6AB1">
        <w:rPr>
          <w:rFonts w:ascii="Open Sans" w:hAnsi="Open Sans" w:cs="Open Sans"/>
          <w:szCs w:val="22"/>
        </w:rPr>
        <w:t xml:space="preserve">above 45 kW.  This should be </w:t>
      </w:r>
      <w:r w:rsidRPr="00273E54">
        <w:rPr>
          <w:rFonts w:ascii="Open Sans" w:hAnsi="Open Sans" w:cs="Open Sans"/>
          <w:szCs w:val="22"/>
        </w:rPr>
        <w:t>in line with the small-scale biomass tariff within the ND RHI</w:t>
      </w:r>
      <w:r w:rsidR="00CD6AB1">
        <w:rPr>
          <w:rFonts w:ascii="Open Sans" w:hAnsi="Open Sans" w:cs="Open Sans"/>
          <w:szCs w:val="22"/>
        </w:rPr>
        <w:t xml:space="preserve">, which is up to 200 kW, </w:t>
      </w:r>
      <w:r w:rsidR="00C5482E">
        <w:rPr>
          <w:rFonts w:ascii="Open Sans" w:hAnsi="Open Sans" w:cs="Open Sans"/>
          <w:szCs w:val="22"/>
        </w:rPr>
        <w:t>to</w:t>
      </w:r>
      <w:r w:rsidR="00CD6AB1">
        <w:rPr>
          <w:rFonts w:ascii="Open Sans" w:hAnsi="Open Sans" w:cs="Open Sans"/>
          <w:szCs w:val="22"/>
        </w:rPr>
        <w:t xml:space="preserve"> allow </w:t>
      </w:r>
      <w:r w:rsidRPr="00273E54">
        <w:rPr>
          <w:rFonts w:ascii="Open Sans" w:hAnsi="Open Sans" w:cs="Open Sans"/>
          <w:szCs w:val="22"/>
        </w:rPr>
        <w:t>for a wider range of domestic and small scale non-domestic properties to install clean heat systems</w:t>
      </w:r>
      <w:r w:rsidR="00CD6AB1">
        <w:rPr>
          <w:rFonts w:ascii="Open Sans" w:hAnsi="Open Sans" w:cs="Open Sans"/>
          <w:szCs w:val="22"/>
        </w:rPr>
        <w:t>.</w:t>
      </w:r>
    </w:p>
    <w:p w14:paraId="6CCADCEC" w14:textId="76E8C0C8" w:rsidR="00CD42E0" w:rsidRPr="00273E54" w:rsidRDefault="00273E54" w:rsidP="00347020">
      <w:pPr>
        <w:pStyle w:val="ListParagraph"/>
        <w:numPr>
          <w:ilvl w:val="0"/>
          <w:numId w:val="6"/>
        </w:numPr>
        <w:rPr>
          <w:rFonts w:ascii="Open Sans" w:hAnsi="Open Sans" w:cs="Open Sans"/>
          <w:szCs w:val="22"/>
        </w:rPr>
      </w:pPr>
      <w:r w:rsidRPr="00273E54">
        <w:rPr>
          <w:rFonts w:ascii="Open Sans" w:hAnsi="Open Sans" w:cs="Open Sans"/>
          <w:szCs w:val="22"/>
        </w:rPr>
        <w:t>A</w:t>
      </w:r>
      <w:r w:rsidR="00971EF8" w:rsidRPr="00273E54">
        <w:rPr>
          <w:rFonts w:ascii="Open Sans" w:hAnsi="Open Sans" w:cs="Open Sans"/>
          <w:szCs w:val="22"/>
        </w:rPr>
        <w:t xml:space="preserve">mend the grant so that </w:t>
      </w:r>
      <w:r w:rsidR="00B03132" w:rsidRPr="00273E54">
        <w:rPr>
          <w:rFonts w:ascii="Open Sans" w:hAnsi="Open Sans" w:cs="Open Sans"/>
          <w:szCs w:val="22"/>
        </w:rPr>
        <w:t>it meets</w:t>
      </w:r>
      <w:r w:rsidRPr="00273E54">
        <w:rPr>
          <w:rFonts w:ascii="Open Sans" w:hAnsi="Open Sans" w:cs="Open Sans"/>
          <w:szCs w:val="22"/>
        </w:rPr>
        <w:t xml:space="preserve"> a proportion of the cost for each kW capacity </w:t>
      </w:r>
      <w:r w:rsidR="00F30E27" w:rsidRPr="00273E54">
        <w:rPr>
          <w:rFonts w:ascii="Open Sans" w:hAnsi="Open Sans" w:cs="Open Sans"/>
          <w:szCs w:val="22"/>
        </w:rPr>
        <w:t>being</w:t>
      </w:r>
      <w:r w:rsidRPr="00273E54">
        <w:rPr>
          <w:rFonts w:ascii="Open Sans" w:hAnsi="Open Sans" w:cs="Open Sans"/>
          <w:szCs w:val="22"/>
        </w:rPr>
        <w:t xml:space="preserve"> deployed</w:t>
      </w:r>
      <w:r w:rsidR="00C5482E">
        <w:rPr>
          <w:rFonts w:ascii="Open Sans" w:hAnsi="Open Sans" w:cs="Open Sans"/>
          <w:szCs w:val="22"/>
        </w:rPr>
        <w:t xml:space="preserve">. This should be based on the heat loss assessment which should be required for all applications. </w:t>
      </w:r>
      <w:r w:rsidRPr="00273E54">
        <w:rPr>
          <w:rFonts w:ascii="Open Sans" w:hAnsi="Open Sans" w:cs="Open Sans"/>
          <w:szCs w:val="22"/>
        </w:rPr>
        <w:t xml:space="preserve">This </w:t>
      </w:r>
      <w:r w:rsidR="00921A52">
        <w:rPr>
          <w:rFonts w:ascii="Open Sans" w:hAnsi="Open Sans" w:cs="Open Sans"/>
          <w:szCs w:val="22"/>
        </w:rPr>
        <w:t>should</w:t>
      </w:r>
      <w:r w:rsidRPr="00273E54">
        <w:rPr>
          <w:rFonts w:ascii="Open Sans" w:hAnsi="Open Sans" w:cs="Open Sans"/>
          <w:szCs w:val="22"/>
        </w:rPr>
        <w:t xml:space="preserve"> be accompanied by a low-interest loan</w:t>
      </w:r>
      <w:r w:rsidR="00C5482E">
        <w:rPr>
          <w:rFonts w:ascii="Open Sans" w:hAnsi="Open Sans" w:cs="Open Sans"/>
          <w:szCs w:val="22"/>
        </w:rPr>
        <w:t xml:space="preserve">, as seen in Scotland, </w:t>
      </w:r>
      <w:r w:rsidRPr="00273E54">
        <w:rPr>
          <w:rFonts w:ascii="Open Sans" w:hAnsi="Open Sans" w:cs="Open Sans"/>
          <w:szCs w:val="22"/>
        </w:rPr>
        <w:t xml:space="preserve">to meet the remaining project costs.  </w:t>
      </w:r>
    </w:p>
    <w:p w14:paraId="78864482" w14:textId="666F0865" w:rsidR="00BD0B87" w:rsidRPr="00D042A0" w:rsidRDefault="00273E54" w:rsidP="00D042A0">
      <w:pPr>
        <w:pStyle w:val="ListParagraph"/>
        <w:numPr>
          <w:ilvl w:val="0"/>
          <w:numId w:val="6"/>
        </w:numPr>
        <w:rPr>
          <w:rFonts w:ascii="Open Sans" w:hAnsi="Open Sans" w:cs="Open Sans"/>
          <w:szCs w:val="22"/>
        </w:rPr>
      </w:pPr>
      <w:r w:rsidRPr="00273E54">
        <w:rPr>
          <w:rFonts w:ascii="Open Sans" w:hAnsi="Open Sans" w:cs="Open Sans"/>
          <w:szCs w:val="22"/>
        </w:rPr>
        <w:t xml:space="preserve">Implement </w:t>
      </w:r>
      <w:r w:rsidR="00E0171B">
        <w:rPr>
          <w:rFonts w:ascii="Open Sans" w:hAnsi="Open Sans" w:cs="Open Sans"/>
          <w:szCs w:val="22"/>
        </w:rPr>
        <w:t xml:space="preserve">tight </w:t>
      </w:r>
      <w:r w:rsidRPr="00273E54">
        <w:rPr>
          <w:rFonts w:ascii="Open Sans" w:hAnsi="Open Sans" w:cs="Open Sans"/>
          <w:szCs w:val="22"/>
        </w:rPr>
        <w:t>emission and maintenance standards for urban biomass projects rather than ban them from deploying in on-gas grid areas</w:t>
      </w:r>
      <w:r w:rsidR="00E158E6">
        <w:rPr>
          <w:rFonts w:ascii="Open Sans" w:hAnsi="Open Sans" w:cs="Open Sans"/>
          <w:szCs w:val="22"/>
        </w:rPr>
        <w:t>.  Such a restriction</w:t>
      </w:r>
      <w:r w:rsidR="00E0171B">
        <w:rPr>
          <w:rFonts w:ascii="Open Sans" w:hAnsi="Open Sans" w:cs="Open Sans"/>
          <w:szCs w:val="22"/>
        </w:rPr>
        <w:t xml:space="preserve">, which ignores the results that can be achieved from deploying </w:t>
      </w:r>
      <w:r w:rsidR="00E158E6">
        <w:rPr>
          <w:rFonts w:ascii="Open Sans" w:hAnsi="Open Sans" w:cs="Open Sans"/>
          <w:szCs w:val="22"/>
        </w:rPr>
        <w:t>Best Available Techniques (</w:t>
      </w:r>
      <w:r w:rsidR="00E0171B">
        <w:rPr>
          <w:rFonts w:ascii="Open Sans" w:hAnsi="Open Sans" w:cs="Open Sans"/>
          <w:szCs w:val="22"/>
        </w:rPr>
        <w:t>BAT</w:t>
      </w:r>
      <w:r w:rsidR="00E158E6">
        <w:rPr>
          <w:rFonts w:ascii="Open Sans" w:hAnsi="Open Sans" w:cs="Open Sans"/>
          <w:szCs w:val="22"/>
        </w:rPr>
        <w:t>),</w:t>
      </w:r>
      <w:r w:rsidR="00E0171B">
        <w:rPr>
          <w:rFonts w:ascii="Open Sans" w:hAnsi="Open Sans" w:cs="Open Sans"/>
          <w:szCs w:val="22"/>
        </w:rPr>
        <w:t xml:space="preserve"> adopts an approach seen nowhere else in the world and sets a dangerous and </w:t>
      </w:r>
      <w:r w:rsidR="00E0171B">
        <w:rPr>
          <w:rFonts w:ascii="Open Sans" w:hAnsi="Open Sans" w:cs="Open Sans"/>
          <w:szCs w:val="22"/>
        </w:rPr>
        <w:lastRenderedPageBreak/>
        <w:t xml:space="preserve">difficult-to-reverse precedent which will further </w:t>
      </w:r>
      <w:r w:rsidR="00E158E6">
        <w:rPr>
          <w:rFonts w:ascii="Open Sans" w:hAnsi="Open Sans" w:cs="Open Sans"/>
          <w:szCs w:val="22"/>
        </w:rPr>
        <w:t>obstruct</w:t>
      </w:r>
      <w:r w:rsidR="00E0171B">
        <w:rPr>
          <w:rFonts w:ascii="Open Sans" w:hAnsi="Open Sans" w:cs="Open Sans"/>
          <w:szCs w:val="22"/>
        </w:rPr>
        <w:t xml:space="preserve"> the deployment of renewable heat, particularly in larger buildings.</w:t>
      </w:r>
    </w:p>
    <w:bookmarkEnd w:id="0"/>
    <w:p w14:paraId="51FF1C52" w14:textId="77777777" w:rsidR="00971EF8" w:rsidRPr="003277D7" w:rsidRDefault="00971EF8" w:rsidP="00CD42E0">
      <w:pPr>
        <w:rPr>
          <w:rFonts w:ascii="Open Sans" w:hAnsi="Open Sans" w:cs="Open Sans"/>
          <w:szCs w:val="22"/>
        </w:rPr>
      </w:pPr>
    </w:p>
    <w:p w14:paraId="42EE619C" w14:textId="77777777" w:rsidR="00347020" w:rsidRPr="003277D7" w:rsidRDefault="00273E54" w:rsidP="00971EF8">
      <w:pPr>
        <w:rPr>
          <w:rFonts w:ascii="Open Sans" w:hAnsi="Open Sans" w:cs="Open Sans"/>
          <w:b/>
          <w:bCs/>
          <w:szCs w:val="22"/>
        </w:rPr>
      </w:pPr>
      <w:r w:rsidRPr="003277D7">
        <w:rPr>
          <w:rFonts w:ascii="Open Sans" w:hAnsi="Open Sans" w:cs="Open Sans"/>
          <w:b/>
          <w:bCs/>
          <w:szCs w:val="22"/>
        </w:rPr>
        <w:t>The current scope of the Clean Heat Grant Scheme will see the industry contract</w:t>
      </w:r>
    </w:p>
    <w:p w14:paraId="4E23861F" w14:textId="77777777" w:rsidR="00347020" w:rsidRPr="00273E54" w:rsidRDefault="00347020" w:rsidP="00971EF8">
      <w:pPr>
        <w:rPr>
          <w:rFonts w:ascii="Open Sans" w:hAnsi="Open Sans" w:cs="Open Sans"/>
          <w:szCs w:val="22"/>
        </w:rPr>
      </w:pPr>
    </w:p>
    <w:p w14:paraId="39893577" w14:textId="69E75E62" w:rsidR="00A23B53" w:rsidRDefault="00273E54" w:rsidP="00971EF8">
      <w:pPr>
        <w:rPr>
          <w:rFonts w:ascii="Open Sans" w:hAnsi="Open Sans" w:cs="Open Sans"/>
          <w:szCs w:val="22"/>
        </w:rPr>
      </w:pPr>
      <w:r w:rsidRPr="00273E54">
        <w:rPr>
          <w:rFonts w:ascii="Open Sans" w:hAnsi="Open Sans" w:cs="Open Sans"/>
          <w:szCs w:val="22"/>
        </w:rPr>
        <w:t xml:space="preserve">The REA </w:t>
      </w:r>
      <w:proofErr w:type="spellStart"/>
      <w:r w:rsidRPr="00273E54">
        <w:rPr>
          <w:rFonts w:ascii="Open Sans" w:hAnsi="Open Sans" w:cs="Open Sans"/>
          <w:szCs w:val="22"/>
        </w:rPr>
        <w:t>REview</w:t>
      </w:r>
      <w:proofErr w:type="spellEnd"/>
      <w:r w:rsidRPr="00273E54">
        <w:rPr>
          <w:rFonts w:ascii="Open Sans" w:hAnsi="Open Sans" w:cs="Open Sans"/>
          <w:szCs w:val="22"/>
        </w:rPr>
        <w:t xml:space="preserve"> 2020</w:t>
      </w:r>
      <w:r w:rsidRPr="00273E54">
        <w:rPr>
          <w:rStyle w:val="FootnoteReference"/>
          <w:rFonts w:ascii="Open Sans" w:hAnsi="Open Sans" w:cs="Open Sans"/>
          <w:szCs w:val="22"/>
        </w:rPr>
        <w:footnoteReference w:id="2"/>
      </w:r>
      <w:r w:rsidRPr="00273E54">
        <w:rPr>
          <w:rFonts w:ascii="Open Sans" w:hAnsi="Open Sans" w:cs="Open Sans"/>
          <w:szCs w:val="22"/>
        </w:rPr>
        <w:t xml:space="preserve"> identified over 32,000 direct jobs in the heat pump, solar thermal, biomass boiler, biomass CHP and AD sectors combined in 2018. This grows to well over 44,000 jobs when you also include those employed in ancillary services such as the production of biomass for fuel. These are all sectors that are already contracting</w:t>
      </w:r>
      <w:r w:rsidR="00B03132" w:rsidRPr="00273E54">
        <w:rPr>
          <w:rFonts w:ascii="Open Sans" w:hAnsi="Open Sans" w:cs="Open Sans"/>
          <w:szCs w:val="22"/>
        </w:rPr>
        <w:t xml:space="preserve">. </w:t>
      </w:r>
      <w:r w:rsidRPr="00273E54">
        <w:rPr>
          <w:rFonts w:ascii="Open Sans" w:hAnsi="Open Sans" w:cs="Open Sans"/>
          <w:szCs w:val="22"/>
        </w:rPr>
        <w:t xml:space="preserve">The twelve-month gap between the end of the </w:t>
      </w:r>
      <w:r w:rsidR="008A47AF">
        <w:rPr>
          <w:rFonts w:ascii="Open Sans" w:hAnsi="Open Sans" w:cs="Open Sans"/>
          <w:szCs w:val="22"/>
        </w:rPr>
        <w:t>N</w:t>
      </w:r>
      <w:r w:rsidR="00116A26">
        <w:rPr>
          <w:rFonts w:ascii="Open Sans" w:hAnsi="Open Sans" w:cs="Open Sans"/>
          <w:szCs w:val="22"/>
        </w:rPr>
        <w:t>on-</w:t>
      </w:r>
      <w:r w:rsidR="008A47AF">
        <w:rPr>
          <w:rFonts w:ascii="Open Sans" w:hAnsi="Open Sans" w:cs="Open Sans"/>
          <w:szCs w:val="22"/>
        </w:rPr>
        <w:t>D</w:t>
      </w:r>
      <w:r w:rsidR="00116A26">
        <w:rPr>
          <w:rFonts w:ascii="Open Sans" w:hAnsi="Open Sans" w:cs="Open Sans"/>
          <w:szCs w:val="22"/>
        </w:rPr>
        <w:t>omestic</w:t>
      </w:r>
      <w:r w:rsidR="001E4324">
        <w:rPr>
          <w:rFonts w:ascii="Open Sans" w:hAnsi="Open Sans" w:cs="Open Sans"/>
          <w:szCs w:val="22"/>
        </w:rPr>
        <w:t xml:space="preserve"> </w:t>
      </w:r>
      <w:r w:rsidRPr="00273E54">
        <w:rPr>
          <w:rFonts w:ascii="Open Sans" w:hAnsi="Open Sans" w:cs="Open Sans"/>
          <w:szCs w:val="22"/>
        </w:rPr>
        <w:t xml:space="preserve">RHI </w:t>
      </w:r>
      <w:r w:rsidR="008A47AF">
        <w:rPr>
          <w:rFonts w:ascii="Open Sans" w:hAnsi="Open Sans" w:cs="Open Sans"/>
          <w:szCs w:val="22"/>
        </w:rPr>
        <w:t xml:space="preserve">(ND RHI) </w:t>
      </w:r>
      <w:r w:rsidRPr="00273E54">
        <w:rPr>
          <w:rFonts w:ascii="Open Sans" w:hAnsi="Open Sans" w:cs="Open Sans"/>
          <w:szCs w:val="22"/>
        </w:rPr>
        <w:t xml:space="preserve">and the start of Clean </w:t>
      </w:r>
      <w:r w:rsidR="00B03132" w:rsidRPr="00273E54">
        <w:rPr>
          <w:rFonts w:ascii="Open Sans" w:hAnsi="Open Sans" w:cs="Open Sans"/>
          <w:szCs w:val="22"/>
        </w:rPr>
        <w:t>H</w:t>
      </w:r>
      <w:r w:rsidRPr="00273E54">
        <w:rPr>
          <w:rFonts w:ascii="Open Sans" w:hAnsi="Open Sans" w:cs="Open Sans"/>
          <w:szCs w:val="22"/>
        </w:rPr>
        <w:t xml:space="preserve">eat Grant Scheme is expected to see the sector </w:t>
      </w:r>
      <w:r w:rsidR="006A05F8">
        <w:rPr>
          <w:rFonts w:ascii="Open Sans" w:hAnsi="Open Sans" w:cs="Open Sans"/>
          <w:szCs w:val="22"/>
        </w:rPr>
        <w:t>shrink</w:t>
      </w:r>
      <w:r w:rsidRPr="00273E54">
        <w:rPr>
          <w:rFonts w:ascii="Open Sans" w:hAnsi="Open Sans" w:cs="Open Sans"/>
          <w:szCs w:val="22"/>
        </w:rPr>
        <w:t xml:space="preserve"> further, resulting in the loss of jobs, </w:t>
      </w:r>
      <w:r w:rsidR="00E0171B">
        <w:rPr>
          <w:rFonts w:ascii="Open Sans" w:hAnsi="Open Sans" w:cs="Open Sans"/>
          <w:szCs w:val="22"/>
        </w:rPr>
        <w:t xml:space="preserve">skills exit </w:t>
      </w:r>
      <w:r w:rsidRPr="00273E54">
        <w:rPr>
          <w:rFonts w:ascii="Open Sans" w:hAnsi="Open Sans" w:cs="Open Sans"/>
          <w:szCs w:val="22"/>
        </w:rPr>
        <w:t xml:space="preserve">and </w:t>
      </w:r>
      <w:r w:rsidR="00E0171B">
        <w:rPr>
          <w:rFonts w:ascii="Open Sans" w:hAnsi="Open Sans" w:cs="Open Sans"/>
          <w:szCs w:val="22"/>
        </w:rPr>
        <w:t xml:space="preserve">collapse of </w:t>
      </w:r>
      <w:r w:rsidRPr="00273E54">
        <w:rPr>
          <w:rFonts w:ascii="Open Sans" w:hAnsi="Open Sans" w:cs="Open Sans"/>
          <w:szCs w:val="22"/>
        </w:rPr>
        <w:t>supply chains associated with these sectors.</w:t>
      </w:r>
      <w:r w:rsidR="00E0171B">
        <w:rPr>
          <w:rFonts w:ascii="Open Sans" w:hAnsi="Open Sans" w:cs="Open Sans"/>
          <w:szCs w:val="22"/>
        </w:rPr>
        <w:t xml:space="preserve">  </w:t>
      </w:r>
    </w:p>
    <w:p w14:paraId="145D275A" w14:textId="77777777" w:rsidR="00A23B53" w:rsidRDefault="00A23B53" w:rsidP="00971EF8">
      <w:pPr>
        <w:rPr>
          <w:rFonts w:ascii="Open Sans" w:hAnsi="Open Sans" w:cs="Open Sans"/>
          <w:szCs w:val="22"/>
        </w:rPr>
      </w:pPr>
    </w:p>
    <w:p w14:paraId="7A319EEA" w14:textId="35AA0E5A" w:rsidR="00A23B53" w:rsidRDefault="00273E54" w:rsidP="00971EF8">
      <w:pPr>
        <w:rPr>
          <w:rFonts w:ascii="Open Sans" w:hAnsi="Open Sans" w:cs="Open Sans"/>
          <w:szCs w:val="22"/>
        </w:rPr>
      </w:pPr>
      <w:r w:rsidRPr="00273E54">
        <w:rPr>
          <w:rFonts w:ascii="Open Sans" w:hAnsi="Open Sans" w:cs="Open Sans"/>
          <w:szCs w:val="22"/>
        </w:rPr>
        <w:t xml:space="preserve">With the focus of the Clean Heat Grant scheme on </w:t>
      </w:r>
      <w:r w:rsidR="00FD20CA" w:rsidRPr="00273E54">
        <w:rPr>
          <w:rFonts w:ascii="Open Sans" w:hAnsi="Open Sans" w:cs="Open Sans"/>
          <w:szCs w:val="22"/>
        </w:rPr>
        <w:t>small-scale</w:t>
      </w:r>
      <w:r w:rsidRPr="00273E54">
        <w:rPr>
          <w:rFonts w:ascii="Open Sans" w:hAnsi="Open Sans" w:cs="Open Sans"/>
          <w:szCs w:val="22"/>
        </w:rPr>
        <w:t xml:space="preserve"> projects</w:t>
      </w:r>
      <w:r w:rsidR="00B03132" w:rsidRPr="00273E54">
        <w:rPr>
          <w:rFonts w:ascii="Open Sans" w:hAnsi="Open Sans" w:cs="Open Sans"/>
          <w:szCs w:val="22"/>
        </w:rPr>
        <w:t>,</w:t>
      </w:r>
      <w:r w:rsidRPr="00273E54">
        <w:rPr>
          <w:rFonts w:ascii="Open Sans" w:hAnsi="Open Sans" w:cs="Open Sans"/>
          <w:szCs w:val="22"/>
        </w:rPr>
        <w:t xml:space="preserve"> the current </w:t>
      </w:r>
      <w:r w:rsidR="00E0171B">
        <w:rPr>
          <w:rFonts w:ascii="Open Sans" w:hAnsi="Open Sans" w:cs="Open Sans"/>
          <w:szCs w:val="22"/>
        </w:rPr>
        <w:t xml:space="preserve">supply chain </w:t>
      </w:r>
      <w:r w:rsidRPr="00273E54">
        <w:rPr>
          <w:rFonts w:ascii="Open Sans" w:hAnsi="Open Sans" w:cs="Open Sans"/>
          <w:szCs w:val="22"/>
        </w:rPr>
        <w:t xml:space="preserve">is left with </w:t>
      </w:r>
      <w:r w:rsidR="00FD20CA" w:rsidRPr="00273E54">
        <w:rPr>
          <w:rFonts w:ascii="Open Sans" w:hAnsi="Open Sans" w:cs="Open Sans"/>
          <w:szCs w:val="22"/>
        </w:rPr>
        <w:t xml:space="preserve">no future </w:t>
      </w:r>
      <w:r w:rsidRPr="00273E54">
        <w:rPr>
          <w:rFonts w:ascii="Open Sans" w:hAnsi="Open Sans" w:cs="Open Sans"/>
          <w:szCs w:val="22"/>
        </w:rPr>
        <w:t xml:space="preserve">growth opportunity. </w:t>
      </w:r>
      <w:r w:rsidR="00A23B53">
        <w:rPr>
          <w:rFonts w:ascii="Open Sans" w:hAnsi="Open Sans" w:cs="Open Sans"/>
          <w:szCs w:val="22"/>
        </w:rPr>
        <w:t>As supply chains</w:t>
      </w:r>
      <w:r w:rsidR="001E4324" w:rsidRPr="001E4324">
        <w:rPr>
          <w:rFonts w:ascii="Open Sans" w:hAnsi="Open Sans" w:cs="Open Sans"/>
          <w:szCs w:val="22"/>
        </w:rPr>
        <w:t xml:space="preserve"> </w:t>
      </w:r>
      <w:r w:rsidR="001E4324">
        <w:rPr>
          <w:rFonts w:ascii="Open Sans" w:hAnsi="Open Sans" w:cs="Open Sans"/>
          <w:szCs w:val="22"/>
        </w:rPr>
        <w:t xml:space="preserve">tighten and it becomes harder to access maintenance services or feedstocks, </w:t>
      </w:r>
      <w:r w:rsidR="00A23B53">
        <w:rPr>
          <w:rFonts w:ascii="Open Sans" w:hAnsi="Open Sans" w:cs="Open Sans"/>
          <w:szCs w:val="22"/>
        </w:rPr>
        <w:t>those already using renewable heat system are driven back to using fossil fuel alternatives – a trend which has already been observed.</w:t>
      </w:r>
      <w:r w:rsidR="001E4324">
        <w:rPr>
          <w:rFonts w:ascii="Open Sans" w:hAnsi="Open Sans" w:cs="Open Sans"/>
          <w:szCs w:val="22"/>
        </w:rPr>
        <w:t xml:space="preserve"> </w:t>
      </w:r>
      <w:r w:rsidR="00FD20CA" w:rsidRPr="00273E54">
        <w:rPr>
          <w:rFonts w:ascii="Open Sans" w:hAnsi="Open Sans" w:cs="Open Sans"/>
          <w:szCs w:val="22"/>
        </w:rPr>
        <w:t>This will</w:t>
      </w:r>
      <w:r w:rsidRPr="00273E54">
        <w:rPr>
          <w:rFonts w:ascii="Open Sans" w:hAnsi="Open Sans" w:cs="Open Sans"/>
          <w:szCs w:val="22"/>
        </w:rPr>
        <w:t xml:space="preserve"> undermine the </w:t>
      </w:r>
      <w:r w:rsidR="00FD20CA" w:rsidRPr="00273E54">
        <w:rPr>
          <w:rFonts w:ascii="Open Sans" w:hAnsi="Open Sans" w:cs="Open Sans"/>
          <w:szCs w:val="22"/>
        </w:rPr>
        <w:t xml:space="preserve">existing </w:t>
      </w:r>
      <w:r w:rsidRPr="00273E54">
        <w:rPr>
          <w:rFonts w:ascii="Open Sans" w:hAnsi="Open Sans" w:cs="Open Sans"/>
          <w:szCs w:val="22"/>
        </w:rPr>
        <w:t>renewable heat sector</w:t>
      </w:r>
      <w:r w:rsidR="00116A26">
        <w:rPr>
          <w:rFonts w:ascii="Open Sans" w:hAnsi="Open Sans" w:cs="Open Sans"/>
          <w:szCs w:val="22"/>
        </w:rPr>
        <w:t xml:space="preserve">, established by the RHI, </w:t>
      </w:r>
      <w:r w:rsidRPr="00273E54">
        <w:rPr>
          <w:rFonts w:ascii="Open Sans" w:hAnsi="Open Sans" w:cs="Open Sans"/>
          <w:szCs w:val="22"/>
        </w:rPr>
        <w:t>as well as debilitate the ability of the Clean Heat Grant scheme to succeed.</w:t>
      </w:r>
      <w:r w:rsidR="00A23B53">
        <w:rPr>
          <w:rFonts w:ascii="Open Sans" w:hAnsi="Open Sans" w:cs="Open Sans"/>
          <w:szCs w:val="22"/>
        </w:rPr>
        <w:t xml:space="preserve">  </w:t>
      </w:r>
    </w:p>
    <w:p w14:paraId="59C1C70B" w14:textId="77777777" w:rsidR="00A23B53" w:rsidRDefault="00A23B53" w:rsidP="00971EF8">
      <w:pPr>
        <w:rPr>
          <w:rFonts w:ascii="Open Sans" w:hAnsi="Open Sans" w:cs="Open Sans"/>
          <w:szCs w:val="22"/>
        </w:rPr>
      </w:pPr>
    </w:p>
    <w:p w14:paraId="3A5700B3" w14:textId="65E679C9" w:rsidR="00971EF8" w:rsidRPr="00273E54" w:rsidRDefault="00FD20CA" w:rsidP="00971EF8">
      <w:pPr>
        <w:rPr>
          <w:rFonts w:ascii="Open Sans" w:hAnsi="Open Sans" w:cs="Open Sans"/>
          <w:szCs w:val="22"/>
        </w:rPr>
      </w:pPr>
      <w:r w:rsidRPr="00273E54">
        <w:rPr>
          <w:rFonts w:ascii="Open Sans" w:hAnsi="Open Sans" w:cs="Open Sans"/>
          <w:szCs w:val="22"/>
        </w:rPr>
        <w:t xml:space="preserve">Expanding the </w:t>
      </w:r>
      <w:r w:rsidR="005715F6">
        <w:rPr>
          <w:rFonts w:ascii="Open Sans" w:hAnsi="Open Sans" w:cs="Open Sans"/>
          <w:szCs w:val="22"/>
        </w:rPr>
        <w:t xml:space="preserve">proposed </w:t>
      </w:r>
      <w:r w:rsidRPr="00273E54">
        <w:rPr>
          <w:rFonts w:ascii="Open Sans" w:hAnsi="Open Sans" w:cs="Open Sans"/>
          <w:szCs w:val="22"/>
        </w:rPr>
        <w:t>scheme, as well as bringing forward further heat policies, is necessary if the clean heat sector is to grow in line with the UK's net-zero ambitions.</w:t>
      </w:r>
    </w:p>
    <w:p w14:paraId="36C2A29A" w14:textId="77777777" w:rsidR="00971EF8" w:rsidRPr="00273E54" w:rsidRDefault="00971EF8" w:rsidP="00CD42E0">
      <w:pPr>
        <w:rPr>
          <w:rFonts w:ascii="Open Sans" w:hAnsi="Open Sans" w:cs="Open Sans"/>
          <w:szCs w:val="22"/>
        </w:rPr>
      </w:pPr>
    </w:p>
    <w:p w14:paraId="63E4C409" w14:textId="77777777" w:rsidR="00B96CE1" w:rsidRPr="00116A26" w:rsidRDefault="00273E54" w:rsidP="00463340">
      <w:pPr>
        <w:spacing w:after="160" w:line="259" w:lineRule="auto"/>
        <w:jc w:val="left"/>
        <w:rPr>
          <w:rFonts w:ascii="Open Sans" w:hAnsi="Open Sans" w:cs="Open Sans"/>
          <w:b/>
          <w:bCs/>
          <w:i/>
          <w:iCs/>
          <w:color w:val="2F5496"/>
          <w:szCs w:val="22"/>
        </w:rPr>
      </w:pPr>
      <w:r w:rsidRPr="00116A26">
        <w:rPr>
          <w:rFonts w:ascii="Open Sans" w:hAnsi="Open Sans" w:cs="Open Sans"/>
          <w:b/>
          <w:bCs/>
          <w:i/>
          <w:iCs/>
          <w:color w:val="2F5496"/>
          <w:szCs w:val="22"/>
        </w:rPr>
        <w:t>Consultation Question 22 - Do you agree with targeting support at domestic and non-domestic installations with a capacity up to and including 45kW? Yes/No. Please provide evidence to support your response</w:t>
      </w:r>
    </w:p>
    <w:p w14:paraId="5A418228" w14:textId="77777777" w:rsidR="00463340" w:rsidRPr="00273E54" w:rsidRDefault="00463340" w:rsidP="00B96CE1">
      <w:pPr>
        <w:pStyle w:val="ListParagraph"/>
        <w:rPr>
          <w:rFonts w:ascii="Open Sans" w:hAnsi="Open Sans" w:cs="Open Sans"/>
          <w:b/>
          <w:bCs/>
          <w:szCs w:val="22"/>
          <w:u w:val="single"/>
        </w:rPr>
      </w:pPr>
    </w:p>
    <w:p w14:paraId="1E2B2029" w14:textId="0486EA16" w:rsidR="00CD42E0" w:rsidRPr="003277D7" w:rsidRDefault="00273E54" w:rsidP="00463340">
      <w:pPr>
        <w:rPr>
          <w:rFonts w:ascii="Open Sans" w:hAnsi="Open Sans" w:cs="Open Sans"/>
          <w:b/>
          <w:bCs/>
          <w:szCs w:val="22"/>
        </w:rPr>
      </w:pPr>
      <w:bookmarkStart w:id="1" w:name="_Hlk43820565"/>
      <w:r w:rsidRPr="003277D7">
        <w:rPr>
          <w:rFonts w:ascii="Open Sans" w:hAnsi="Open Sans" w:cs="Open Sans"/>
          <w:b/>
          <w:bCs/>
          <w:szCs w:val="22"/>
        </w:rPr>
        <w:t xml:space="preserve">Raise the capacity cap </w:t>
      </w:r>
      <w:r w:rsidR="00CF0546" w:rsidRPr="003277D7">
        <w:rPr>
          <w:rFonts w:ascii="Open Sans" w:hAnsi="Open Sans" w:cs="Open Sans"/>
          <w:b/>
          <w:bCs/>
          <w:szCs w:val="22"/>
        </w:rPr>
        <w:t>to allow</w:t>
      </w:r>
      <w:r w:rsidRPr="003277D7">
        <w:rPr>
          <w:rFonts w:ascii="Open Sans" w:hAnsi="Open Sans" w:cs="Open Sans"/>
          <w:b/>
          <w:bCs/>
          <w:szCs w:val="22"/>
        </w:rPr>
        <w:t xml:space="preserve"> for the deployment of all small-scale </w:t>
      </w:r>
      <w:r w:rsidR="00FD20CA" w:rsidRPr="003277D7">
        <w:rPr>
          <w:rFonts w:ascii="Open Sans" w:hAnsi="Open Sans" w:cs="Open Sans"/>
          <w:b/>
          <w:bCs/>
          <w:szCs w:val="22"/>
        </w:rPr>
        <w:t>clean heat</w:t>
      </w:r>
      <w:r w:rsidRPr="003277D7">
        <w:rPr>
          <w:rFonts w:ascii="Open Sans" w:hAnsi="Open Sans" w:cs="Open Sans"/>
          <w:b/>
          <w:bCs/>
          <w:szCs w:val="22"/>
        </w:rPr>
        <w:t xml:space="preserve"> projects.</w:t>
      </w:r>
    </w:p>
    <w:bookmarkEnd w:id="1"/>
    <w:p w14:paraId="777D8062" w14:textId="77777777" w:rsidR="00620CFE" w:rsidRPr="00273E54" w:rsidRDefault="00620CFE">
      <w:pPr>
        <w:rPr>
          <w:rFonts w:ascii="Open Sans" w:hAnsi="Open Sans" w:cs="Open Sans"/>
          <w:szCs w:val="22"/>
        </w:rPr>
      </w:pPr>
    </w:p>
    <w:p w14:paraId="24B33859" w14:textId="26B028DA" w:rsidR="00C61353" w:rsidRDefault="00273E54" w:rsidP="00463340">
      <w:pPr>
        <w:rPr>
          <w:rFonts w:ascii="Open Sans" w:hAnsi="Open Sans" w:cs="Open Sans"/>
          <w:szCs w:val="22"/>
        </w:rPr>
      </w:pPr>
      <w:bookmarkStart w:id="2" w:name="_Hlk42539722"/>
      <w:r w:rsidRPr="00273E54">
        <w:rPr>
          <w:rFonts w:ascii="Open Sans" w:hAnsi="Open Sans" w:cs="Open Sans"/>
          <w:szCs w:val="22"/>
        </w:rPr>
        <w:t>Installations under 45 kW account for a very small proportion of installations deployed under the existing RHI. In the case of Biomass,</w:t>
      </w:r>
      <w:r w:rsidR="00881937" w:rsidRPr="00273E54">
        <w:rPr>
          <w:rFonts w:ascii="Open Sans" w:hAnsi="Open Sans" w:cs="Open Sans"/>
          <w:szCs w:val="22"/>
        </w:rPr>
        <w:t xml:space="preserve"> REA analysis </w:t>
      </w:r>
      <w:r w:rsidR="000A4536" w:rsidRPr="00273E54">
        <w:rPr>
          <w:rFonts w:ascii="Open Sans" w:hAnsi="Open Sans" w:cs="Open Sans"/>
          <w:szCs w:val="22"/>
        </w:rPr>
        <w:t xml:space="preserve">estimates that </w:t>
      </w:r>
      <w:r w:rsidR="00881937" w:rsidRPr="00273E54">
        <w:rPr>
          <w:rFonts w:ascii="Open Sans" w:hAnsi="Open Sans" w:cs="Open Sans"/>
          <w:szCs w:val="22"/>
        </w:rPr>
        <w:t>only 12</w:t>
      </w:r>
      <w:r w:rsidRPr="00273E54">
        <w:rPr>
          <w:rFonts w:ascii="Open Sans" w:hAnsi="Open Sans" w:cs="Open Sans"/>
          <w:szCs w:val="22"/>
        </w:rPr>
        <w:t xml:space="preserve">% of </w:t>
      </w:r>
      <w:r w:rsidR="00FD20CA" w:rsidRPr="00273E54">
        <w:rPr>
          <w:rFonts w:ascii="Open Sans" w:hAnsi="Open Sans" w:cs="Open Sans"/>
          <w:szCs w:val="22"/>
        </w:rPr>
        <w:t xml:space="preserve">the </w:t>
      </w:r>
      <w:r w:rsidRPr="00273E54">
        <w:rPr>
          <w:rFonts w:ascii="Open Sans" w:hAnsi="Open Sans" w:cs="Open Sans"/>
          <w:szCs w:val="22"/>
        </w:rPr>
        <w:t>projects deployed under the ND RHI</w:t>
      </w:r>
      <w:r w:rsidR="00881937" w:rsidRPr="00273E54">
        <w:rPr>
          <w:rFonts w:ascii="Open Sans" w:hAnsi="Open Sans" w:cs="Open Sans"/>
          <w:szCs w:val="22"/>
        </w:rPr>
        <w:t xml:space="preserve"> ‘small biomass’ tariff </w:t>
      </w:r>
      <w:r w:rsidR="000A4536" w:rsidRPr="00273E54">
        <w:rPr>
          <w:rFonts w:ascii="Open Sans" w:hAnsi="Open Sans" w:cs="Open Sans"/>
          <w:szCs w:val="22"/>
        </w:rPr>
        <w:t>are</w:t>
      </w:r>
      <w:r w:rsidR="00FD20CA" w:rsidRPr="00273E54">
        <w:rPr>
          <w:rFonts w:ascii="Open Sans" w:hAnsi="Open Sans" w:cs="Open Sans"/>
          <w:szCs w:val="22"/>
        </w:rPr>
        <w:t xml:space="preserve"> </w:t>
      </w:r>
      <w:r w:rsidR="00881937" w:rsidRPr="00273E54">
        <w:rPr>
          <w:rFonts w:ascii="Open Sans" w:hAnsi="Open Sans" w:cs="Open Sans"/>
          <w:szCs w:val="22"/>
        </w:rPr>
        <w:t>below</w:t>
      </w:r>
      <w:r w:rsidRPr="00273E54">
        <w:rPr>
          <w:rFonts w:ascii="Open Sans" w:hAnsi="Open Sans" w:cs="Open Sans"/>
          <w:szCs w:val="22"/>
        </w:rPr>
        <w:t xml:space="preserve"> 45 kW</w:t>
      </w:r>
      <w:r w:rsidR="008B59CF" w:rsidRPr="00273E54">
        <w:rPr>
          <w:rFonts w:ascii="Open Sans" w:hAnsi="Open Sans" w:cs="Open Sans"/>
          <w:szCs w:val="22"/>
        </w:rPr>
        <w:t>’s</w:t>
      </w:r>
      <w:r w:rsidRPr="00273E54">
        <w:rPr>
          <w:rFonts w:ascii="Open Sans" w:hAnsi="Open Sans" w:cs="Open Sans"/>
          <w:szCs w:val="22"/>
        </w:rPr>
        <w:t>.</w:t>
      </w:r>
      <w:r w:rsidRPr="00273E54">
        <w:rPr>
          <w:rStyle w:val="FootnoteReference"/>
          <w:rFonts w:ascii="Open Sans" w:hAnsi="Open Sans" w:cs="Open Sans"/>
          <w:szCs w:val="22"/>
        </w:rPr>
        <w:footnoteReference w:id="3"/>
      </w:r>
      <w:r w:rsidR="00881937" w:rsidRPr="00273E54">
        <w:rPr>
          <w:rFonts w:ascii="Open Sans" w:hAnsi="Open Sans" w:cs="Open Sans"/>
          <w:szCs w:val="22"/>
        </w:rPr>
        <w:t xml:space="preserve"> This equates to</w:t>
      </w:r>
      <w:r w:rsidR="008B59CF" w:rsidRPr="00273E54">
        <w:rPr>
          <w:rFonts w:ascii="Open Sans" w:hAnsi="Open Sans" w:cs="Open Sans"/>
          <w:szCs w:val="22"/>
        </w:rPr>
        <w:t xml:space="preserve"> an</w:t>
      </w:r>
      <w:r w:rsidR="00881937" w:rsidRPr="00273E54">
        <w:rPr>
          <w:rFonts w:ascii="Open Sans" w:hAnsi="Open Sans" w:cs="Open Sans"/>
          <w:szCs w:val="22"/>
        </w:rPr>
        <w:t xml:space="preserve"> estimated 11,</w:t>
      </w:r>
      <w:r w:rsidR="008B59CF" w:rsidRPr="00273E54">
        <w:rPr>
          <w:rFonts w:ascii="Open Sans" w:hAnsi="Open Sans" w:cs="Open Sans"/>
          <w:szCs w:val="22"/>
        </w:rPr>
        <w:t>400 s</w:t>
      </w:r>
      <w:r w:rsidR="00881937" w:rsidRPr="00273E54">
        <w:rPr>
          <w:rFonts w:ascii="Open Sans" w:hAnsi="Open Sans" w:cs="Open Sans"/>
          <w:szCs w:val="22"/>
        </w:rPr>
        <w:t xml:space="preserve">mall </w:t>
      </w:r>
      <w:r w:rsidR="00CF0546" w:rsidRPr="00273E54">
        <w:rPr>
          <w:rFonts w:ascii="Open Sans" w:hAnsi="Open Sans" w:cs="Open Sans"/>
          <w:szCs w:val="22"/>
        </w:rPr>
        <w:t>scale</w:t>
      </w:r>
      <w:r w:rsidR="00881937" w:rsidRPr="00273E54">
        <w:rPr>
          <w:rFonts w:ascii="Open Sans" w:hAnsi="Open Sans" w:cs="Open Sans"/>
          <w:szCs w:val="22"/>
        </w:rPr>
        <w:t xml:space="preserve"> biomass</w:t>
      </w:r>
      <w:r w:rsidR="00CF0546" w:rsidRPr="00273E54">
        <w:rPr>
          <w:rFonts w:ascii="Open Sans" w:hAnsi="Open Sans" w:cs="Open Sans"/>
          <w:szCs w:val="22"/>
        </w:rPr>
        <w:t xml:space="preserve"> </w:t>
      </w:r>
      <w:r w:rsidR="00881937" w:rsidRPr="00273E54">
        <w:rPr>
          <w:rFonts w:ascii="Open Sans" w:hAnsi="Open Sans" w:cs="Open Sans"/>
          <w:szCs w:val="22"/>
        </w:rPr>
        <w:t xml:space="preserve">projects that would not have been deployed </w:t>
      </w:r>
      <w:r w:rsidR="00CF0546" w:rsidRPr="00273E54">
        <w:rPr>
          <w:rFonts w:ascii="Open Sans" w:hAnsi="Open Sans" w:cs="Open Sans"/>
          <w:szCs w:val="22"/>
        </w:rPr>
        <w:t xml:space="preserve">if a similar capacity cap had been in place. Current </w:t>
      </w:r>
      <w:r w:rsidR="003C7304" w:rsidRPr="00273E54">
        <w:rPr>
          <w:rFonts w:ascii="Open Sans" w:hAnsi="Open Sans" w:cs="Open Sans"/>
          <w:szCs w:val="22"/>
        </w:rPr>
        <w:t xml:space="preserve">figures under the </w:t>
      </w:r>
      <w:r w:rsidR="000A4536" w:rsidRPr="00273E54">
        <w:rPr>
          <w:rFonts w:ascii="Open Sans" w:hAnsi="Open Sans" w:cs="Open Sans"/>
          <w:szCs w:val="22"/>
        </w:rPr>
        <w:t>D</w:t>
      </w:r>
      <w:r w:rsidR="003C7304" w:rsidRPr="00273E54">
        <w:rPr>
          <w:rFonts w:ascii="Open Sans" w:hAnsi="Open Sans" w:cs="Open Sans"/>
          <w:szCs w:val="22"/>
        </w:rPr>
        <w:t>omestic RHI also suggest th</w:t>
      </w:r>
      <w:r w:rsidR="00F30E27" w:rsidRPr="00273E54">
        <w:rPr>
          <w:rFonts w:ascii="Open Sans" w:hAnsi="Open Sans" w:cs="Open Sans"/>
          <w:szCs w:val="22"/>
        </w:rPr>
        <w:t xml:space="preserve">at deployment is currently so low that there is a net loss of  RHI </w:t>
      </w:r>
      <w:r w:rsidR="003C7304" w:rsidRPr="00273E54">
        <w:rPr>
          <w:rFonts w:ascii="Open Sans" w:hAnsi="Open Sans" w:cs="Open Sans"/>
          <w:szCs w:val="22"/>
        </w:rPr>
        <w:t>biomass boilers</w:t>
      </w:r>
      <w:r w:rsidR="000A4536" w:rsidRPr="00273E54">
        <w:rPr>
          <w:rFonts w:ascii="Open Sans" w:hAnsi="Open Sans" w:cs="Open Sans"/>
          <w:szCs w:val="22"/>
        </w:rPr>
        <w:t xml:space="preserve"> </w:t>
      </w:r>
      <w:r w:rsidR="00F30E27" w:rsidRPr="00273E54">
        <w:rPr>
          <w:rFonts w:ascii="Open Sans" w:hAnsi="Open Sans" w:cs="Open Sans"/>
          <w:szCs w:val="22"/>
        </w:rPr>
        <w:t>on the scheme in the last three quarters since Q3 2019.</w:t>
      </w:r>
      <w:r w:rsidRPr="00273E54">
        <w:rPr>
          <w:rStyle w:val="FootnoteReference"/>
          <w:rFonts w:ascii="Open Sans" w:hAnsi="Open Sans" w:cs="Open Sans"/>
          <w:szCs w:val="22"/>
        </w:rPr>
        <w:footnoteReference w:id="4"/>
      </w:r>
      <w:r w:rsidR="00F30E27" w:rsidRPr="00273E54">
        <w:rPr>
          <w:rFonts w:ascii="Open Sans" w:hAnsi="Open Sans" w:cs="Open Sans"/>
          <w:szCs w:val="22"/>
        </w:rPr>
        <w:t xml:space="preserve"> </w:t>
      </w:r>
      <w:r w:rsidR="003C7304" w:rsidRPr="00273E54">
        <w:rPr>
          <w:rFonts w:ascii="Open Sans" w:hAnsi="Open Sans" w:cs="Open Sans"/>
          <w:szCs w:val="22"/>
        </w:rPr>
        <w:t xml:space="preserve"> </w:t>
      </w:r>
      <w:r w:rsidR="00F30E27" w:rsidRPr="00273E54">
        <w:rPr>
          <w:rFonts w:ascii="Open Sans" w:hAnsi="Open Sans" w:cs="Open Sans"/>
          <w:szCs w:val="22"/>
        </w:rPr>
        <w:t xml:space="preserve">The proposed cap is simply not suitable for biomass projects and </w:t>
      </w:r>
      <w:r w:rsidR="00D72AB7" w:rsidRPr="00273E54">
        <w:rPr>
          <w:rFonts w:ascii="Open Sans" w:hAnsi="Open Sans" w:cs="Open Sans"/>
          <w:szCs w:val="22"/>
        </w:rPr>
        <w:t>will not even</w:t>
      </w:r>
      <w:r w:rsidR="00F30E27" w:rsidRPr="00273E54">
        <w:rPr>
          <w:rFonts w:ascii="Open Sans" w:hAnsi="Open Sans" w:cs="Open Sans"/>
          <w:szCs w:val="22"/>
        </w:rPr>
        <w:t xml:space="preserve"> deliver the limited number of </w:t>
      </w:r>
      <w:r w:rsidR="00D72AB7" w:rsidRPr="00273E54">
        <w:rPr>
          <w:rFonts w:ascii="Open Sans" w:hAnsi="Open Sans" w:cs="Open Sans"/>
          <w:szCs w:val="22"/>
        </w:rPr>
        <w:t xml:space="preserve">‘niche’ biomass projects identified within the consultation. </w:t>
      </w:r>
    </w:p>
    <w:p w14:paraId="4F1BF50F" w14:textId="03A5589F" w:rsidR="00D00D91" w:rsidRDefault="00D00D91" w:rsidP="00463340">
      <w:pPr>
        <w:rPr>
          <w:rFonts w:ascii="Open Sans" w:hAnsi="Open Sans" w:cs="Open Sans"/>
          <w:szCs w:val="22"/>
        </w:rPr>
      </w:pPr>
    </w:p>
    <w:p w14:paraId="79458CF2" w14:textId="270FB149" w:rsidR="00D00D91" w:rsidRDefault="00D00D91" w:rsidP="00463340">
      <w:pPr>
        <w:rPr>
          <w:rFonts w:ascii="Open Sans" w:hAnsi="Open Sans" w:cs="Open Sans"/>
          <w:szCs w:val="22"/>
        </w:rPr>
      </w:pPr>
      <w:r>
        <w:rPr>
          <w:rFonts w:ascii="Open Sans" w:hAnsi="Open Sans" w:cs="Open Sans"/>
          <w:szCs w:val="22"/>
        </w:rPr>
        <w:t xml:space="preserve">There is no strong justification within the consultation for the level being set at 45 kW. This is a fairly arbitrary number that originated </w:t>
      </w:r>
      <w:r w:rsidR="00CE51FA">
        <w:rPr>
          <w:rFonts w:ascii="Open Sans" w:hAnsi="Open Sans" w:cs="Open Sans"/>
          <w:szCs w:val="22"/>
        </w:rPr>
        <w:t xml:space="preserve">from the </w:t>
      </w:r>
      <w:r>
        <w:rPr>
          <w:rFonts w:ascii="Open Sans" w:hAnsi="Open Sans" w:cs="Open Sans"/>
          <w:szCs w:val="22"/>
        </w:rPr>
        <w:t>E</w:t>
      </w:r>
      <w:r w:rsidR="00C94939">
        <w:rPr>
          <w:rFonts w:ascii="Open Sans" w:hAnsi="Open Sans" w:cs="Open Sans"/>
          <w:szCs w:val="22"/>
        </w:rPr>
        <w:t>U</w:t>
      </w:r>
      <w:r>
        <w:rPr>
          <w:rFonts w:ascii="Open Sans" w:hAnsi="Open Sans" w:cs="Open Sans"/>
          <w:szCs w:val="22"/>
        </w:rPr>
        <w:t xml:space="preserve"> Renewable Energy Directive</w:t>
      </w:r>
      <w:r w:rsidR="00CE51FA">
        <w:rPr>
          <w:rFonts w:ascii="Open Sans" w:hAnsi="Open Sans" w:cs="Open Sans"/>
          <w:szCs w:val="22"/>
        </w:rPr>
        <w:t>,</w:t>
      </w:r>
      <w:r>
        <w:rPr>
          <w:rFonts w:ascii="Open Sans" w:hAnsi="Open Sans" w:cs="Open Sans"/>
          <w:szCs w:val="22"/>
        </w:rPr>
        <w:t xml:space="preserve"> that required </w:t>
      </w:r>
      <w:r>
        <w:rPr>
          <w:rFonts w:ascii="Open Sans" w:hAnsi="Open Sans" w:cs="Open Sans"/>
          <w:szCs w:val="22"/>
        </w:rPr>
        <w:lastRenderedPageBreak/>
        <w:t xml:space="preserve">consumer protection measures to be in place for installations below 45 </w:t>
      </w:r>
      <w:r w:rsidR="00446596">
        <w:rPr>
          <w:rFonts w:ascii="Open Sans" w:hAnsi="Open Sans" w:cs="Open Sans"/>
          <w:szCs w:val="22"/>
        </w:rPr>
        <w:t>kW</w:t>
      </w:r>
      <w:r w:rsidR="00CE51FA">
        <w:rPr>
          <w:rFonts w:ascii="Open Sans" w:hAnsi="Open Sans" w:cs="Open Sans"/>
          <w:szCs w:val="22"/>
        </w:rPr>
        <w:t xml:space="preserve">, </w:t>
      </w:r>
      <w:r w:rsidR="004025F6">
        <w:rPr>
          <w:rFonts w:ascii="Open Sans" w:hAnsi="Open Sans" w:cs="Open Sans"/>
          <w:szCs w:val="22"/>
        </w:rPr>
        <w:t>i</w:t>
      </w:r>
      <w:r w:rsidR="00CE51FA">
        <w:rPr>
          <w:rFonts w:ascii="Open Sans" w:hAnsi="Open Sans" w:cs="Open Sans"/>
          <w:szCs w:val="22"/>
        </w:rPr>
        <w:t xml:space="preserve">t was not in itself </w:t>
      </w:r>
      <w:r w:rsidR="00446596">
        <w:rPr>
          <w:rFonts w:ascii="Open Sans" w:hAnsi="Open Sans" w:cs="Open Sans"/>
          <w:szCs w:val="22"/>
        </w:rPr>
        <w:t xml:space="preserve">intended to be a </w:t>
      </w:r>
      <w:r>
        <w:rPr>
          <w:rFonts w:ascii="Open Sans" w:hAnsi="Open Sans" w:cs="Open Sans"/>
          <w:szCs w:val="22"/>
        </w:rPr>
        <w:t>threshold for a domestic installation</w:t>
      </w:r>
      <w:r w:rsidR="00CE51FA">
        <w:rPr>
          <w:rFonts w:ascii="Open Sans" w:hAnsi="Open Sans" w:cs="Open Sans"/>
          <w:szCs w:val="22"/>
        </w:rPr>
        <w:t>s</w:t>
      </w:r>
      <w:r>
        <w:rPr>
          <w:rFonts w:ascii="Open Sans" w:hAnsi="Open Sans" w:cs="Open Sans"/>
          <w:szCs w:val="22"/>
        </w:rPr>
        <w:t xml:space="preserve">. </w:t>
      </w:r>
      <w:r w:rsidR="00CE51FA">
        <w:rPr>
          <w:rFonts w:ascii="Open Sans" w:hAnsi="Open Sans" w:cs="Open Sans"/>
          <w:szCs w:val="22"/>
        </w:rPr>
        <w:t xml:space="preserve">The use of this threshold has led to </w:t>
      </w:r>
      <w:r>
        <w:rPr>
          <w:rFonts w:ascii="Open Sans" w:hAnsi="Open Sans" w:cs="Open Sans"/>
          <w:szCs w:val="22"/>
        </w:rPr>
        <w:t>ca</w:t>
      </w:r>
      <w:r w:rsidR="00CE51FA">
        <w:rPr>
          <w:rFonts w:ascii="Open Sans" w:hAnsi="Open Sans" w:cs="Open Sans"/>
          <w:szCs w:val="22"/>
        </w:rPr>
        <w:t>ses</w:t>
      </w:r>
      <w:r>
        <w:rPr>
          <w:rFonts w:ascii="Open Sans" w:hAnsi="Open Sans" w:cs="Open Sans"/>
          <w:szCs w:val="22"/>
        </w:rPr>
        <w:t xml:space="preserve"> </w:t>
      </w:r>
      <w:r w:rsidR="00446596">
        <w:rPr>
          <w:rFonts w:ascii="Open Sans" w:hAnsi="Open Sans" w:cs="Open Sans"/>
          <w:szCs w:val="22"/>
        </w:rPr>
        <w:t>in the</w:t>
      </w:r>
      <w:r>
        <w:rPr>
          <w:rFonts w:ascii="Open Sans" w:hAnsi="Open Sans" w:cs="Open Sans"/>
          <w:szCs w:val="22"/>
        </w:rPr>
        <w:t xml:space="preserve"> Domestic RHI where installations where undersized </w:t>
      </w:r>
      <w:r w:rsidR="00446596">
        <w:rPr>
          <w:rFonts w:ascii="Open Sans" w:hAnsi="Open Sans" w:cs="Open Sans"/>
          <w:szCs w:val="22"/>
        </w:rPr>
        <w:t>to</w:t>
      </w:r>
      <w:r>
        <w:rPr>
          <w:rFonts w:ascii="Open Sans" w:hAnsi="Open Sans" w:cs="Open Sans"/>
          <w:szCs w:val="22"/>
        </w:rPr>
        <w:t xml:space="preserve"> ensure </w:t>
      </w:r>
      <w:r w:rsidR="00446596">
        <w:rPr>
          <w:rFonts w:ascii="Open Sans" w:hAnsi="Open Sans" w:cs="Open Sans"/>
          <w:szCs w:val="22"/>
        </w:rPr>
        <w:t>they</w:t>
      </w:r>
      <w:r>
        <w:rPr>
          <w:rFonts w:ascii="Open Sans" w:hAnsi="Open Sans" w:cs="Open Sans"/>
          <w:szCs w:val="22"/>
        </w:rPr>
        <w:t xml:space="preserve"> fit below 45 kW when the needs of the property </w:t>
      </w:r>
      <w:r w:rsidR="00446596">
        <w:rPr>
          <w:rFonts w:ascii="Open Sans" w:hAnsi="Open Sans" w:cs="Open Sans"/>
          <w:szCs w:val="22"/>
        </w:rPr>
        <w:t>w</w:t>
      </w:r>
      <w:r w:rsidR="004025F6">
        <w:rPr>
          <w:rFonts w:ascii="Open Sans" w:hAnsi="Open Sans" w:cs="Open Sans"/>
          <w:szCs w:val="22"/>
        </w:rPr>
        <w:t>ere in</w:t>
      </w:r>
      <w:r>
        <w:rPr>
          <w:rFonts w:ascii="Open Sans" w:hAnsi="Open Sans" w:cs="Open Sans"/>
          <w:szCs w:val="22"/>
        </w:rPr>
        <w:t xml:space="preserve"> the region of 60 to 80 kW’s. </w:t>
      </w:r>
    </w:p>
    <w:p w14:paraId="261FD6AC" w14:textId="77777777" w:rsidR="004D3668" w:rsidRPr="00273E54" w:rsidRDefault="004D3668" w:rsidP="00463340">
      <w:pPr>
        <w:rPr>
          <w:rFonts w:ascii="Open Sans" w:hAnsi="Open Sans" w:cs="Open Sans"/>
          <w:szCs w:val="22"/>
        </w:rPr>
      </w:pPr>
    </w:p>
    <w:p w14:paraId="3CE03306" w14:textId="586372CD" w:rsidR="003C7304" w:rsidRPr="00273E54" w:rsidRDefault="00273E54" w:rsidP="00463340">
      <w:pPr>
        <w:rPr>
          <w:rFonts w:ascii="Open Sans" w:hAnsi="Open Sans" w:cs="Open Sans"/>
          <w:szCs w:val="22"/>
        </w:rPr>
      </w:pPr>
      <w:r w:rsidRPr="00273E54">
        <w:rPr>
          <w:rFonts w:ascii="Open Sans" w:hAnsi="Open Sans" w:cs="Open Sans"/>
          <w:szCs w:val="22"/>
        </w:rPr>
        <w:t xml:space="preserve">The 45kW cap creates a huge policy gap, excluding </w:t>
      </w:r>
      <w:r w:rsidR="008B59CF" w:rsidRPr="00273E54">
        <w:rPr>
          <w:rFonts w:ascii="Open Sans" w:hAnsi="Open Sans" w:cs="Open Sans"/>
          <w:szCs w:val="22"/>
        </w:rPr>
        <w:t>many</w:t>
      </w:r>
      <w:r w:rsidRPr="00273E54">
        <w:rPr>
          <w:rFonts w:ascii="Open Sans" w:hAnsi="Open Sans" w:cs="Open Sans"/>
          <w:szCs w:val="22"/>
        </w:rPr>
        <w:t xml:space="preserve"> </w:t>
      </w:r>
      <w:r w:rsidR="00CE51FA">
        <w:rPr>
          <w:rFonts w:ascii="Open Sans" w:hAnsi="Open Sans" w:cs="Open Sans"/>
          <w:szCs w:val="22"/>
        </w:rPr>
        <w:t xml:space="preserve">of the </w:t>
      </w:r>
      <w:r w:rsidR="00D72AB7" w:rsidRPr="00273E54">
        <w:rPr>
          <w:rFonts w:ascii="Open Sans" w:hAnsi="Open Sans" w:cs="Open Sans"/>
          <w:szCs w:val="22"/>
        </w:rPr>
        <w:t>small-scale</w:t>
      </w:r>
      <w:r w:rsidRPr="00273E54">
        <w:rPr>
          <w:rFonts w:ascii="Open Sans" w:hAnsi="Open Sans" w:cs="Open Sans"/>
          <w:szCs w:val="22"/>
        </w:rPr>
        <w:t xml:space="preserve"> heat decarbonisation projects the scheme is</w:t>
      </w:r>
      <w:r w:rsidR="00C61353" w:rsidRPr="00273E54">
        <w:rPr>
          <w:rFonts w:ascii="Open Sans" w:hAnsi="Open Sans" w:cs="Open Sans"/>
          <w:szCs w:val="22"/>
        </w:rPr>
        <w:t xml:space="preserve"> meant to be</w:t>
      </w:r>
      <w:r w:rsidRPr="00273E54">
        <w:rPr>
          <w:rFonts w:ascii="Open Sans" w:hAnsi="Open Sans" w:cs="Open Sans"/>
          <w:szCs w:val="22"/>
        </w:rPr>
        <w:t xml:space="preserve"> </w:t>
      </w:r>
      <w:r w:rsidR="00C61353" w:rsidRPr="00273E54">
        <w:rPr>
          <w:rFonts w:ascii="Open Sans" w:hAnsi="Open Sans" w:cs="Open Sans"/>
          <w:szCs w:val="22"/>
        </w:rPr>
        <w:t>f</w:t>
      </w:r>
      <w:r w:rsidRPr="00273E54">
        <w:rPr>
          <w:rFonts w:ascii="Open Sans" w:hAnsi="Open Sans" w:cs="Open Sans"/>
          <w:szCs w:val="22"/>
        </w:rPr>
        <w:t>ocused on. BEIS should reconsider th</w:t>
      </w:r>
      <w:r w:rsidR="00C61353" w:rsidRPr="00273E54">
        <w:rPr>
          <w:rFonts w:ascii="Open Sans" w:hAnsi="Open Sans" w:cs="Open Sans"/>
          <w:szCs w:val="22"/>
        </w:rPr>
        <w:t>e</w:t>
      </w:r>
      <w:r w:rsidRPr="00273E54">
        <w:rPr>
          <w:rFonts w:ascii="Open Sans" w:hAnsi="Open Sans" w:cs="Open Sans"/>
          <w:szCs w:val="22"/>
        </w:rPr>
        <w:t xml:space="preserve"> cap</w:t>
      </w:r>
      <w:r w:rsidR="00C61353" w:rsidRPr="00273E54">
        <w:rPr>
          <w:rFonts w:ascii="Open Sans" w:hAnsi="Open Sans" w:cs="Open Sans"/>
          <w:szCs w:val="22"/>
        </w:rPr>
        <w:t xml:space="preserve"> </w:t>
      </w:r>
      <w:r w:rsidR="00D72AB7" w:rsidRPr="00273E54">
        <w:rPr>
          <w:rFonts w:ascii="Open Sans" w:hAnsi="Open Sans" w:cs="Open Sans"/>
          <w:szCs w:val="22"/>
        </w:rPr>
        <w:t>in line</w:t>
      </w:r>
      <w:r w:rsidR="00C61353" w:rsidRPr="00273E54">
        <w:rPr>
          <w:rFonts w:ascii="Open Sans" w:hAnsi="Open Sans" w:cs="Open Sans"/>
          <w:szCs w:val="22"/>
        </w:rPr>
        <w:t xml:space="preserve"> with the </w:t>
      </w:r>
      <w:r w:rsidRPr="00273E54">
        <w:rPr>
          <w:rFonts w:ascii="Open Sans" w:hAnsi="Open Sans" w:cs="Open Sans"/>
          <w:szCs w:val="22"/>
        </w:rPr>
        <w:t xml:space="preserve">data they have on what has been deployed </w:t>
      </w:r>
      <w:r w:rsidR="008B59CF" w:rsidRPr="00273E54">
        <w:rPr>
          <w:rFonts w:ascii="Open Sans" w:hAnsi="Open Sans" w:cs="Open Sans"/>
          <w:szCs w:val="22"/>
        </w:rPr>
        <w:t xml:space="preserve">at the small scale of </w:t>
      </w:r>
      <w:r w:rsidRPr="00273E54">
        <w:rPr>
          <w:rFonts w:ascii="Open Sans" w:hAnsi="Open Sans" w:cs="Open Sans"/>
          <w:szCs w:val="22"/>
        </w:rPr>
        <w:t>the</w:t>
      </w:r>
      <w:r w:rsidR="00446596">
        <w:rPr>
          <w:rFonts w:ascii="Open Sans" w:hAnsi="Open Sans" w:cs="Open Sans"/>
          <w:szCs w:val="22"/>
        </w:rPr>
        <w:t xml:space="preserve"> ND</w:t>
      </w:r>
      <w:r w:rsidRPr="00273E54">
        <w:rPr>
          <w:rFonts w:ascii="Open Sans" w:hAnsi="Open Sans" w:cs="Open Sans"/>
          <w:szCs w:val="22"/>
        </w:rPr>
        <w:t xml:space="preserve"> RHI and what size of project</w:t>
      </w:r>
      <w:r w:rsidR="000A4536" w:rsidRPr="00273E54">
        <w:rPr>
          <w:rFonts w:ascii="Open Sans" w:hAnsi="Open Sans" w:cs="Open Sans"/>
          <w:szCs w:val="22"/>
        </w:rPr>
        <w:t>s</w:t>
      </w:r>
      <w:r w:rsidRPr="00273E54">
        <w:rPr>
          <w:rFonts w:ascii="Open Sans" w:hAnsi="Open Sans" w:cs="Open Sans"/>
          <w:szCs w:val="22"/>
        </w:rPr>
        <w:t xml:space="preserve"> represent the best value for money. </w:t>
      </w:r>
      <w:r w:rsidR="00446596">
        <w:rPr>
          <w:rFonts w:ascii="Open Sans" w:hAnsi="Open Sans" w:cs="Open Sans"/>
          <w:szCs w:val="22"/>
        </w:rPr>
        <w:t xml:space="preserve"> </w:t>
      </w:r>
      <w:r w:rsidR="00D00D91">
        <w:rPr>
          <w:rFonts w:ascii="Open Sans" w:hAnsi="Open Sans" w:cs="Open Sans"/>
          <w:szCs w:val="22"/>
        </w:rPr>
        <w:t xml:space="preserve">REA encourage BEIS to consider implementing a </w:t>
      </w:r>
      <w:r w:rsidRPr="00273E54">
        <w:rPr>
          <w:rFonts w:ascii="Open Sans" w:hAnsi="Open Sans" w:cs="Open Sans"/>
          <w:szCs w:val="22"/>
        </w:rPr>
        <w:t>cap of</w:t>
      </w:r>
      <w:r w:rsidR="00D00D91">
        <w:rPr>
          <w:rFonts w:ascii="Open Sans" w:hAnsi="Open Sans" w:cs="Open Sans"/>
          <w:szCs w:val="22"/>
        </w:rPr>
        <w:t xml:space="preserve"> up to</w:t>
      </w:r>
      <w:r w:rsidRPr="00273E54">
        <w:rPr>
          <w:rFonts w:ascii="Open Sans" w:hAnsi="Open Sans" w:cs="Open Sans"/>
          <w:szCs w:val="22"/>
        </w:rPr>
        <w:t xml:space="preserve"> 200 </w:t>
      </w:r>
      <w:r w:rsidR="00B03132" w:rsidRPr="00273E54">
        <w:rPr>
          <w:rFonts w:ascii="Open Sans" w:hAnsi="Open Sans" w:cs="Open Sans"/>
          <w:szCs w:val="22"/>
        </w:rPr>
        <w:t>k</w:t>
      </w:r>
      <w:r w:rsidR="00C61353" w:rsidRPr="00273E54">
        <w:rPr>
          <w:rFonts w:ascii="Open Sans" w:hAnsi="Open Sans" w:cs="Open Sans"/>
          <w:szCs w:val="22"/>
        </w:rPr>
        <w:t>W</w:t>
      </w:r>
      <w:r w:rsidR="00CE51FA">
        <w:rPr>
          <w:rFonts w:ascii="Open Sans" w:hAnsi="Open Sans" w:cs="Open Sans"/>
          <w:szCs w:val="22"/>
        </w:rPr>
        <w:t xml:space="preserve">, </w:t>
      </w:r>
      <w:r w:rsidR="00C61353" w:rsidRPr="00273E54">
        <w:rPr>
          <w:rFonts w:ascii="Open Sans" w:hAnsi="Open Sans" w:cs="Open Sans"/>
          <w:szCs w:val="22"/>
        </w:rPr>
        <w:t>in line</w:t>
      </w:r>
      <w:r w:rsidRPr="00273E54">
        <w:rPr>
          <w:rFonts w:ascii="Open Sans" w:hAnsi="Open Sans" w:cs="Open Sans"/>
          <w:szCs w:val="22"/>
        </w:rPr>
        <w:t xml:space="preserve"> with the small biomass tariff in the current ND RHI</w:t>
      </w:r>
      <w:r w:rsidR="00CE51FA">
        <w:rPr>
          <w:rFonts w:ascii="Open Sans" w:hAnsi="Open Sans" w:cs="Open Sans"/>
          <w:szCs w:val="22"/>
        </w:rPr>
        <w:t>,</w:t>
      </w:r>
      <w:r w:rsidRPr="00273E54">
        <w:rPr>
          <w:rFonts w:ascii="Open Sans" w:hAnsi="Open Sans" w:cs="Open Sans"/>
          <w:szCs w:val="22"/>
        </w:rPr>
        <w:t xml:space="preserve"> </w:t>
      </w:r>
      <w:r w:rsidR="000A4536" w:rsidRPr="00273E54">
        <w:rPr>
          <w:rFonts w:ascii="Open Sans" w:hAnsi="Open Sans" w:cs="Open Sans"/>
          <w:szCs w:val="22"/>
        </w:rPr>
        <w:t xml:space="preserve">to ensure continued deployment of heat projects across all technologies, </w:t>
      </w:r>
      <w:r w:rsidRPr="00273E54">
        <w:rPr>
          <w:rFonts w:ascii="Open Sans" w:hAnsi="Open Sans" w:cs="Open Sans"/>
          <w:szCs w:val="22"/>
        </w:rPr>
        <w:t>while further heat decarbonisation polic</w:t>
      </w:r>
      <w:r w:rsidR="000A4536" w:rsidRPr="00273E54">
        <w:rPr>
          <w:rFonts w:ascii="Open Sans" w:hAnsi="Open Sans" w:cs="Open Sans"/>
          <w:szCs w:val="22"/>
        </w:rPr>
        <w:t>ies</w:t>
      </w:r>
      <w:r w:rsidRPr="00273E54">
        <w:rPr>
          <w:rFonts w:ascii="Open Sans" w:hAnsi="Open Sans" w:cs="Open Sans"/>
          <w:szCs w:val="22"/>
        </w:rPr>
        <w:t xml:space="preserve"> </w:t>
      </w:r>
      <w:r w:rsidR="000A4536" w:rsidRPr="00273E54">
        <w:rPr>
          <w:rFonts w:ascii="Open Sans" w:hAnsi="Open Sans" w:cs="Open Sans"/>
          <w:szCs w:val="22"/>
        </w:rPr>
        <w:t>are</w:t>
      </w:r>
      <w:r w:rsidRPr="00273E54">
        <w:rPr>
          <w:rFonts w:ascii="Open Sans" w:hAnsi="Open Sans" w:cs="Open Sans"/>
          <w:szCs w:val="22"/>
        </w:rPr>
        <w:t xml:space="preserve"> brought forward for larger projects. </w:t>
      </w:r>
    </w:p>
    <w:p w14:paraId="00123BA2" w14:textId="77777777" w:rsidR="005443AB" w:rsidRPr="00273E54" w:rsidRDefault="005443AB" w:rsidP="005443AB">
      <w:pPr>
        <w:rPr>
          <w:rFonts w:ascii="Open Sans" w:hAnsi="Open Sans" w:cs="Open Sans"/>
          <w:szCs w:val="22"/>
        </w:rPr>
      </w:pPr>
    </w:p>
    <w:p w14:paraId="56867025" w14:textId="07A01C70" w:rsidR="005443AB" w:rsidRPr="003277D7" w:rsidRDefault="00273E54" w:rsidP="005443AB">
      <w:pPr>
        <w:rPr>
          <w:rFonts w:ascii="Open Sans" w:hAnsi="Open Sans" w:cs="Open Sans"/>
          <w:b/>
          <w:bCs/>
          <w:szCs w:val="22"/>
        </w:rPr>
      </w:pPr>
      <w:r w:rsidRPr="003277D7">
        <w:rPr>
          <w:rFonts w:ascii="Open Sans" w:hAnsi="Open Sans" w:cs="Open Sans"/>
          <w:b/>
          <w:bCs/>
          <w:szCs w:val="22"/>
        </w:rPr>
        <w:t xml:space="preserve">The potential for </w:t>
      </w:r>
      <w:r w:rsidR="004025F6">
        <w:rPr>
          <w:rFonts w:ascii="Open Sans" w:hAnsi="Open Sans" w:cs="Open Sans"/>
          <w:b/>
          <w:bCs/>
          <w:szCs w:val="22"/>
        </w:rPr>
        <w:t>b</w:t>
      </w:r>
      <w:r w:rsidRPr="003277D7">
        <w:rPr>
          <w:rFonts w:ascii="Open Sans" w:hAnsi="Open Sans" w:cs="Open Sans"/>
          <w:b/>
          <w:bCs/>
          <w:szCs w:val="22"/>
        </w:rPr>
        <w:t xml:space="preserve">iomass </w:t>
      </w:r>
      <w:r w:rsidR="004025F6">
        <w:rPr>
          <w:rFonts w:ascii="Open Sans" w:hAnsi="Open Sans" w:cs="Open Sans"/>
          <w:b/>
          <w:bCs/>
          <w:szCs w:val="22"/>
        </w:rPr>
        <w:t>h</w:t>
      </w:r>
      <w:r w:rsidRPr="003277D7">
        <w:rPr>
          <w:rFonts w:ascii="Open Sans" w:hAnsi="Open Sans" w:cs="Open Sans"/>
          <w:b/>
          <w:bCs/>
          <w:szCs w:val="22"/>
        </w:rPr>
        <w:t>eat is underestimated within the Clean Heat Grant Scheme</w:t>
      </w:r>
      <w:r w:rsidR="00B03132" w:rsidRPr="003277D7">
        <w:rPr>
          <w:rFonts w:ascii="Open Sans" w:hAnsi="Open Sans" w:cs="Open Sans"/>
          <w:b/>
          <w:bCs/>
          <w:szCs w:val="22"/>
        </w:rPr>
        <w:t>.</w:t>
      </w:r>
    </w:p>
    <w:p w14:paraId="7E89216B" w14:textId="77777777" w:rsidR="005443AB" w:rsidRPr="00273E54" w:rsidRDefault="005443AB" w:rsidP="005443AB">
      <w:pPr>
        <w:rPr>
          <w:rFonts w:ascii="Open Sans" w:hAnsi="Open Sans" w:cs="Open Sans"/>
          <w:szCs w:val="22"/>
        </w:rPr>
      </w:pPr>
    </w:p>
    <w:p w14:paraId="459D7BDD" w14:textId="668F411C" w:rsidR="001A1217" w:rsidRDefault="00273E54" w:rsidP="005443AB">
      <w:pPr>
        <w:rPr>
          <w:rFonts w:ascii="Open Sans" w:hAnsi="Open Sans" w:cs="Open Sans"/>
          <w:szCs w:val="22"/>
        </w:rPr>
      </w:pPr>
      <w:r w:rsidRPr="00273E54">
        <w:rPr>
          <w:rFonts w:ascii="Open Sans" w:hAnsi="Open Sans" w:cs="Open Sans"/>
          <w:szCs w:val="22"/>
        </w:rPr>
        <w:t>The renewable heat sector has huge potential for sustainable growth in the UK. The REA’s Bioenergy Strategy</w:t>
      </w:r>
      <w:r w:rsidR="005715F6">
        <w:rPr>
          <w:rFonts w:ascii="Open Sans" w:hAnsi="Open Sans" w:cs="Open Sans"/>
          <w:szCs w:val="22"/>
        </w:rPr>
        <w:t xml:space="preserve"> </w:t>
      </w:r>
      <w:r w:rsidRPr="00273E54">
        <w:rPr>
          <w:rStyle w:val="FootnoteReference"/>
          <w:rFonts w:ascii="Open Sans" w:hAnsi="Open Sans" w:cs="Open Sans"/>
          <w:szCs w:val="22"/>
        </w:rPr>
        <w:footnoteReference w:id="5"/>
      </w:r>
      <w:r w:rsidRPr="00273E54">
        <w:rPr>
          <w:rFonts w:ascii="Open Sans" w:hAnsi="Open Sans" w:cs="Open Sans"/>
          <w:szCs w:val="22"/>
        </w:rPr>
        <w:t xml:space="preserve"> identified the contribution from bioenergy alone could sustainably increase by a factor of 2.3 by 2032 to 113 </w:t>
      </w:r>
      <w:proofErr w:type="spellStart"/>
      <w:r w:rsidRPr="00273E54">
        <w:rPr>
          <w:rFonts w:ascii="Open Sans" w:hAnsi="Open Sans" w:cs="Open Sans"/>
          <w:szCs w:val="22"/>
        </w:rPr>
        <w:t>TWh</w:t>
      </w:r>
      <w:proofErr w:type="spellEnd"/>
      <w:r w:rsidRPr="00273E54">
        <w:rPr>
          <w:rFonts w:ascii="Open Sans" w:hAnsi="Open Sans" w:cs="Open Sans"/>
          <w:szCs w:val="22"/>
        </w:rPr>
        <w:t xml:space="preserve"> (20% of UK heating needs). Biomass heat, utilising efficient biomass boilers burning wood chip or pellet, could sustainably deliver 42 </w:t>
      </w:r>
      <w:proofErr w:type="spellStart"/>
      <w:r w:rsidRPr="00273E54">
        <w:rPr>
          <w:rFonts w:ascii="Open Sans" w:hAnsi="Open Sans" w:cs="Open Sans"/>
          <w:szCs w:val="22"/>
        </w:rPr>
        <w:t>TWh</w:t>
      </w:r>
      <w:proofErr w:type="spellEnd"/>
      <w:r w:rsidRPr="00273E54">
        <w:rPr>
          <w:rFonts w:ascii="Open Sans" w:hAnsi="Open Sans" w:cs="Open Sans"/>
          <w:szCs w:val="22"/>
        </w:rPr>
        <w:t xml:space="preserve"> of this by 2030, making a sizable contribution to UK heat decarbonisation. </w:t>
      </w:r>
    </w:p>
    <w:p w14:paraId="016D8CC1" w14:textId="77777777" w:rsidR="001A1217" w:rsidRDefault="001A1217" w:rsidP="005443AB">
      <w:pPr>
        <w:rPr>
          <w:rFonts w:ascii="Open Sans" w:hAnsi="Open Sans" w:cs="Open Sans"/>
          <w:szCs w:val="22"/>
        </w:rPr>
      </w:pPr>
    </w:p>
    <w:p w14:paraId="6DD3F583" w14:textId="5CA48BB2" w:rsidR="005443AB" w:rsidRPr="00273E54" w:rsidRDefault="00273E54" w:rsidP="005443AB">
      <w:pPr>
        <w:rPr>
          <w:rFonts w:ascii="Open Sans" w:hAnsi="Open Sans" w:cs="Open Sans"/>
          <w:szCs w:val="22"/>
        </w:rPr>
      </w:pPr>
      <w:r w:rsidRPr="00273E54">
        <w:rPr>
          <w:rFonts w:ascii="Open Sans" w:hAnsi="Open Sans" w:cs="Open Sans"/>
          <w:szCs w:val="22"/>
        </w:rPr>
        <w:t>BEIS data demonstrates that using wood fuels also provides the lowest cost heat decarbonisation option, with an average of £463/kW across the three biomass ND RHI tariffs.</w:t>
      </w:r>
      <w:r w:rsidRPr="00273E54">
        <w:rPr>
          <w:rStyle w:val="FootnoteReference"/>
          <w:rFonts w:ascii="Open Sans" w:hAnsi="Open Sans" w:cs="Open Sans"/>
          <w:szCs w:val="22"/>
        </w:rPr>
        <w:footnoteReference w:id="6"/>
      </w:r>
      <w:r w:rsidRPr="00273E54">
        <w:rPr>
          <w:rFonts w:ascii="Open Sans" w:hAnsi="Open Sans" w:cs="Open Sans"/>
          <w:szCs w:val="22"/>
        </w:rPr>
        <w:t xml:space="preserve">  </w:t>
      </w:r>
      <w:r w:rsidR="00CE51FA">
        <w:rPr>
          <w:rFonts w:ascii="Open Sans" w:hAnsi="Open Sans" w:cs="Open Sans"/>
          <w:szCs w:val="22"/>
        </w:rPr>
        <w:t xml:space="preserve">Furthermore, </w:t>
      </w:r>
      <w:r w:rsidR="009B7745">
        <w:rPr>
          <w:rFonts w:ascii="Open Sans" w:hAnsi="Open Sans" w:cs="Open Sans"/>
          <w:szCs w:val="22"/>
        </w:rPr>
        <w:t>analysis by the consultancy In Perpetuum</w:t>
      </w:r>
      <w:r w:rsidR="00CE51FA">
        <w:rPr>
          <w:rFonts w:ascii="Open Sans" w:hAnsi="Open Sans" w:cs="Open Sans"/>
          <w:szCs w:val="22"/>
        </w:rPr>
        <w:t>,</w:t>
      </w:r>
      <w:r w:rsidR="009B7745">
        <w:rPr>
          <w:rFonts w:ascii="Open Sans" w:hAnsi="Open Sans" w:cs="Open Sans"/>
          <w:szCs w:val="22"/>
        </w:rPr>
        <w:t xml:space="preserve"> </w:t>
      </w:r>
      <w:r w:rsidR="00CE51FA">
        <w:rPr>
          <w:rFonts w:ascii="Open Sans" w:hAnsi="Open Sans" w:cs="Open Sans"/>
          <w:szCs w:val="22"/>
        </w:rPr>
        <w:t xml:space="preserve">concerning </w:t>
      </w:r>
      <w:r w:rsidR="009B7745">
        <w:rPr>
          <w:rFonts w:ascii="Open Sans" w:hAnsi="Open Sans" w:cs="Open Sans"/>
          <w:szCs w:val="22"/>
        </w:rPr>
        <w:t>off gas grid decarbonisation</w:t>
      </w:r>
      <w:r w:rsidR="00CE51FA">
        <w:rPr>
          <w:rFonts w:ascii="Open Sans" w:hAnsi="Open Sans" w:cs="Open Sans"/>
          <w:szCs w:val="22"/>
        </w:rPr>
        <w:t xml:space="preserve">, </w:t>
      </w:r>
      <w:r w:rsidR="009B7745">
        <w:rPr>
          <w:rFonts w:ascii="Open Sans" w:hAnsi="Open Sans" w:cs="Open Sans"/>
          <w:szCs w:val="22"/>
        </w:rPr>
        <w:t>demonstrates that bioenergy applications provide</w:t>
      </w:r>
      <w:r w:rsidR="00CE51FA">
        <w:rPr>
          <w:rFonts w:ascii="Open Sans" w:hAnsi="Open Sans" w:cs="Open Sans"/>
          <w:szCs w:val="22"/>
        </w:rPr>
        <w:t>s the</w:t>
      </w:r>
      <w:r w:rsidR="009B7745">
        <w:rPr>
          <w:rFonts w:ascii="Open Sans" w:hAnsi="Open Sans" w:cs="Open Sans"/>
          <w:szCs w:val="22"/>
        </w:rPr>
        <w:t xml:space="preserve"> cheapest Annualised carbon saving cost, with Biomass costing about £271/tonne</w:t>
      </w:r>
      <w:r w:rsidR="00BC7EB4">
        <w:rPr>
          <w:rFonts w:ascii="Open Sans" w:hAnsi="Open Sans" w:cs="Open Sans"/>
          <w:szCs w:val="22"/>
        </w:rPr>
        <w:t xml:space="preserve"> of carbon saved</w:t>
      </w:r>
      <w:r w:rsidR="009B7745">
        <w:rPr>
          <w:rFonts w:ascii="Open Sans" w:hAnsi="Open Sans" w:cs="Open Sans"/>
          <w:szCs w:val="22"/>
        </w:rPr>
        <w:t xml:space="preserve">, more than a hundred pounds cheaper per tonne then pure electrification. </w:t>
      </w:r>
      <w:r w:rsidR="009B7745">
        <w:rPr>
          <w:rStyle w:val="FootnoteReference"/>
          <w:rFonts w:ascii="Open Sans" w:hAnsi="Open Sans" w:cs="Open Sans"/>
          <w:szCs w:val="22"/>
        </w:rPr>
        <w:footnoteReference w:id="7"/>
      </w:r>
      <w:r w:rsidR="00CE51FA">
        <w:rPr>
          <w:rFonts w:ascii="Open Sans" w:hAnsi="Open Sans" w:cs="Open Sans"/>
          <w:szCs w:val="22"/>
        </w:rPr>
        <w:t xml:space="preserve"> Biomass heat has provided some of the best value for money projects under the RHI and should be en</w:t>
      </w:r>
      <w:r w:rsidR="004025F6">
        <w:rPr>
          <w:rFonts w:ascii="Open Sans" w:hAnsi="Open Sans" w:cs="Open Sans"/>
          <w:szCs w:val="22"/>
        </w:rPr>
        <w:t xml:space="preserve">abled </w:t>
      </w:r>
      <w:r w:rsidR="00CE51FA">
        <w:rPr>
          <w:rFonts w:ascii="Open Sans" w:hAnsi="Open Sans" w:cs="Open Sans"/>
          <w:szCs w:val="22"/>
        </w:rPr>
        <w:t>to do so again in the Clean Heat Grant Scheme.</w:t>
      </w:r>
    </w:p>
    <w:p w14:paraId="777E954D" w14:textId="0C33BDEC" w:rsidR="005443AB" w:rsidRDefault="005443AB" w:rsidP="005443AB">
      <w:pPr>
        <w:rPr>
          <w:rFonts w:ascii="Open Sans" w:hAnsi="Open Sans" w:cs="Open Sans"/>
          <w:szCs w:val="22"/>
        </w:rPr>
      </w:pPr>
    </w:p>
    <w:p w14:paraId="3809C513" w14:textId="16C3A9B9" w:rsidR="009B7745" w:rsidRDefault="00E46A42" w:rsidP="005443AB">
      <w:pPr>
        <w:rPr>
          <w:rFonts w:ascii="Open Sans" w:hAnsi="Open Sans" w:cs="Open Sans"/>
          <w:szCs w:val="22"/>
        </w:rPr>
      </w:pPr>
      <w:r>
        <w:rPr>
          <w:rFonts w:ascii="Open Sans" w:hAnsi="Open Sans" w:cs="Open Sans"/>
          <w:szCs w:val="22"/>
        </w:rPr>
        <w:t>M</w:t>
      </w:r>
      <w:r w:rsidR="009B7745">
        <w:rPr>
          <w:rFonts w:ascii="Open Sans" w:hAnsi="Open Sans" w:cs="Open Sans"/>
          <w:szCs w:val="22"/>
        </w:rPr>
        <w:t xml:space="preserve">uch of BEIS analysis for off gas grid decarbonisation is based on the findings of the Delta-EE report </w:t>
      </w:r>
      <w:r w:rsidR="009B7745" w:rsidRPr="00E46A42">
        <w:rPr>
          <w:rFonts w:ascii="Open Sans" w:hAnsi="Open Sans" w:cs="Open Sans"/>
          <w:i/>
          <w:iCs/>
          <w:szCs w:val="22"/>
        </w:rPr>
        <w:t>“</w:t>
      </w:r>
      <w:r w:rsidRPr="00E46A42">
        <w:rPr>
          <w:rFonts w:ascii="Open Sans" w:hAnsi="Open Sans" w:cs="Open Sans"/>
          <w:i/>
          <w:iCs/>
          <w:szCs w:val="22"/>
        </w:rPr>
        <w:t>Electric Heating in Rural Off-Gas Grid Dwellings: technical Feasibility”</w:t>
      </w:r>
      <w:r>
        <w:rPr>
          <w:rFonts w:ascii="Open Sans" w:hAnsi="Open Sans" w:cs="Open Sans"/>
          <w:szCs w:val="22"/>
        </w:rPr>
        <w:t xml:space="preserve">.  This highlights the strong potential for </w:t>
      </w:r>
      <w:r w:rsidR="00DC2137">
        <w:rPr>
          <w:rFonts w:ascii="Open Sans" w:hAnsi="Open Sans" w:cs="Open Sans"/>
          <w:szCs w:val="22"/>
        </w:rPr>
        <w:t>heat pumps</w:t>
      </w:r>
      <w:r>
        <w:rPr>
          <w:rFonts w:ascii="Open Sans" w:hAnsi="Open Sans" w:cs="Open Sans"/>
          <w:szCs w:val="22"/>
        </w:rPr>
        <w:t xml:space="preserve"> to be used for decarbonisation. We generally support the findings of this report but urge BEIS to take note of the full </w:t>
      </w:r>
      <w:r w:rsidR="00DC2137">
        <w:rPr>
          <w:rFonts w:ascii="Open Sans" w:hAnsi="Open Sans" w:cs="Open Sans"/>
          <w:szCs w:val="22"/>
        </w:rPr>
        <w:t>implications of</w:t>
      </w:r>
      <w:r w:rsidR="00327C23">
        <w:rPr>
          <w:rFonts w:ascii="Open Sans" w:hAnsi="Open Sans" w:cs="Open Sans"/>
          <w:szCs w:val="22"/>
        </w:rPr>
        <w:t xml:space="preserve"> </w:t>
      </w:r>
      <w:r>
        <w:rPr>
          <w:rFonts w:ascii="Open Sans" w:hAnsi="Open Sans" w:cs="Open Sans"/>
          <w:szCs w:val="22"/>
        </w:rPr>
        <w:t xml:space="preserve">their modelling. </w:t>
      </w:r>
      <w:r w:rsidR="00327C23">
        <w:rPr>
          <w:rFonts w:ascii="Open Sans" w:hAnsi="Open Sans" w:cs="Open Sans"/>
          <w:szCs w:val="22"/>
        </w:rPr>
        <w:t>We</w:t>
      </w:r>
      <w:r w:rsidR="00DC2137">
        <w:rPr>
          <w:rFonts w:ascii="Open Sans" w:hAnsi="Open Sans" w:cs="Open Sans"/>
          <w:szCs w:val="22"/>
        </w:rPr>
        <w:t xml:space="preserve"> </w:t>
      </w:r>
      <w:r w:rsidR="00853DE5">
        <w:rPr>
          <w:rFonts w:ascii="Open Sans" w:hAnsi="Open Sans" w:cs="Open Sans"/>
          <w:szCs w:val="22"/>
        </w:rPr>
        <w:t xml:space="preserve">particularly </w:t>
      </w:r>
      <w:r w:rsidR="00DC2137">
        <w:rPr>
          <w:rFonts w:ascii="Open Sans" w:hAnsi="Open Sans" w:cs="Open Sans"/>
          <w:szCs w:val="22"/>
        </w:rPr>
        <w:t xml:space="preserve">highlight this paragraph within the </w:t>
      </w:r>
      <w:r w:rsidR="004025F6">
        <w:rPr>
          <w:rFonts w:ascii="Open Sans" w:hAnsi="Open Sans" w:cs="Open Sans"/>
          <w:szCs w:val="22"/>
        </w:rPr>
        <w:t>E</w:t>
      </w:r>
      <w:r w:rsidR="00DC2137">
        <w:rPr>
          <w:rFonts w:ascii="Open Sans" w:hAnsi="Open Sans" w:cs="Open Sans"/>
          <w:szCs w:val="22"/>
        </w:rPr>
        <w:t xml:space="preserve">xecutive </w:t>
      </w:r>
      <w:r w:rsidR="004025F6">
        <w:rPr>
          <w:rFonts w:ascii="Open Sans" w:hAnsi="Open Sans" w:cs="Open Sans"/>
          <w:szCs w:val="22"/>
        </w:rPr>
        <w:t>S</w:t>
      </w:r>
      <w:r w:rsidR="00DC2137">
        <w:rPr>
          <w:rFonts w:ascii="Open Sans" w:hAnsi="Open Sans" w:cs="Open Sans"/>
          <w:szCs w:val="22"/>
        </w:rPr>
        <w:t>ummary</w:t>
      </w:r>
      <w:r>
        <w:rPr>
          <w:rFonts w:ascii="Open Sans" w:hAnsi="Open Sans" w:cs="Open Sans"/>
          <w:szCs w:val="22"/>
        </w:rPr>
        <w:t xml:space="preserve">: </w:t>
      </w:r>
    </w:p>
    <w:p w14:paraId="7BAB5F2C" w14:textId="37EF360F" w:rsidR="00E46A42" w:rsidRPr="00E46A42" w:rsidRDefault="00E46A42" w:rsidP="00E46A42">
      <w:pPr>
        <w:ind w:left="720"/>
        <w:rPr>
          <w:rFonts w:ascii="Open Sans" w:hAnsi="Open Sans" w:cs="Open Sans"/>
          <w:i/>
          <w:iCs/>
          <w:szCs w:val="22"/>
        </w:rPr>
      </w:pPr>
      <w:r>
        <w:rPr>
          <w:rFonts w:ascii="Open Sans" w:hAnsi="Open Sans" w:cs="Open Sans"/>
          <w:i/>
          <w:iCs/>
          <w:szCs w:val="22"/>
        </w:rPr>
        <w:t>“</w:t>
      </w:r>
      <w:r w:rsidRPr="00E46A42">
        <w:rPr>
          <w:rFonts w:ascii="Open Sans" w:hAnsi="Open Sans" w:cs="Open Sans"/>
          <w:i/>
          <w:iCs/>
          <w:szCs w:val="22"/>
        </w:rPr>
        <w:t xml:space="preserve">The results from the network modelling show that based on average peak winter day temperatures, around 84% of homes can be electrified at their current level of insulation. This increases to around 93% if all suitable homes have loft &amp; wall insulation installed. </w:t>
      </w:r>
      <w:r w:rsidRPr="00E46A42">
        <w:rPr>
          <w:rFonts w:ascii="Open Sans" w:hAnsi="Open Sans" w:cs="Open Sans"/>
          <w:b/>
          <w:bCs/>
          <w:i/>
          <w:iCs/>
          <w:szCs w:val="22"/>
        </w:rPr>
        <w:t>However, based on a 1-in-20 winter peak scenario, the proportion of homes that the current low voltage network can support drops to around 64% if ground-</w:t>
      </w:r>
      <w:r w:rsidRPr="00E46A42">
        <w:rPr>
          <w:rFonts w:ascii="Open Sans" w:hAnsi="Open Sans" w:cs="Open Sans"/>
          <w:b/>
          <w:bCs/>
          <w:i/>
          <w:iCs/>
          <w:szCs w:val="22"/>
        </w:rPr>
        <w:lastRenderedPageBreak/>
        <w:t>source heat pumps are the preferred technology for households, or to 41% if air-source heat pumps are the preferred technology (assuming that air source heat pumps require a direct electric heating back-up in a 1-in-20 winter scenario</w:t>
      </w:r>
      <w:r w:rsidRPr="00E46A42">
        <w:rPr>
          <w:rFonts w:ascii="Open Sans" w:hAnsi="Open Sans" w:cs="Open Sans"/>
          <w:i/>
          <w:iCs/>
          <w:szCs w:val="22"/>
        </w:rPr>
        <w:t>). For both merit order scenarios, adding loft and wall insulation results in only a marginal improvement in electrification rates.</w:t>
      </w:r>
      <w:r>
        <w:rPr>
          <w:rFonts w:ascii="Open Sans" w:hAnsi="Open Sans" w:cs="Open Sans"/>
          <w:i/>
          <w:iCs/>
          <w:szCs w:val="22"/>
        </w:rPr>
        <w:t>”</w:t>
      </w:r>
      <w:r w:rsidR="001345CF">
        <w:rPr>
          <w:rFonts w:ascii="Open Sans" w:hAnsi="Open Sans" w:cs="Open Sans"/>
          <w:i/>
          <w:iCs/>
          <w:szCs w:val="22"/>
        </w:rPr>
        <w:t xml:space="preserve"> </w:t>
      </w:r>
      <w:r w:rsidR="00853DE5">
        <w:rPr>
          <w:rFonts w:ascii="Open Sans" w:hAnsi="Open Sans" w:cs="Open Sans"/>
          <w:i/>
          <w:iCs/>
          <w:szCs w:val="22"/>
        </w:rPr>
        <w:t>[</w:t>
      </w:r>
      <w:r w:rsidR="001345CF">
        <w:rPr>
          <w:rFonts w:ascii="Open Sans" w:hAnsi="Open Sans" w:cs="Open Sans"/>
          <w:i/>
          <w:iCs/>
          <w:szCs w:val="22"/>
        </w:rPr>
        <w:t>Emphasis added</w:t>
      </w:r>
      <w:r w:rsidR="00853DE5">
        <w:rPr>
          <w:rFonts w:ascii="Open Sans" w:hAnsi="Open Sans" w:cs="Open Sans"/>
          <w:i/>
          <w:iCs/>
          <w:szCs w:val="22"/>
        </w:rPr>
        <w:t>]</w:t>
      </w:r>
    </w:p>
    <w:p w14:paraId="324E9841" w14:textId="42692E1A" w:rsidR="009B7745" w:rsidRDefault="009B7745" w:rsidP="005443AB">
      <w:pPr>
        <w:rPr>
          <w:rFonts w:ascii="Open Sans" w:hAnsi="Open Sans" w:cs="Open Sans"/>
          <w:szCs w:val="22"/>
        </w:rPr>
      </w:pPr>
    </w:p>
    <w:p w14:paraId="11E1C100" w14:textId="718A43A8" w:rsidR="00853DE5" w:rsidRDefault="00853DE5" w:rsidP="005443AB">
      <w:pPr>
        <w:rPr>
          <w:rFonts w:ascii="Open Sans" w:hAnsi="Open Sans" w:cs="Open Sans"/>
          <w:szCs w:val="22"/>
        </w:rPr>
      </w:pPr>
      <w:r>
        <w:rPr>
          <w:rFonts w:ascii="Open Sans" w:hAnsi="Open Sans" w:cs="Open Sans"/>
          <w:szCs w:val="22"/>
        </w:rPr>
        <w:t xml:space="preserve">Delta EE </w:t>
      </w:r>
      <w:r w:rsidR="001345CF">
        <w:rPr>
          <w:rFonts w:ascii="Open Sans" w:hAnsi="Open Sans" w:cs="Open Sans"/>
          <w:szCs w:val="22"/>
        </w:rPr>
        <w:t xml:space="preserve">make clear that when considering harsher winters, which are </w:t>
      </w:r>
      <w:r>
        <w:rPr>
          <w:rFonts w:ascii="Open Sans" w:hAnsi="Open Sans" w:cs="Open Sans"/>
          <w:szCs w:val="22"/>
        </w:rPr>
        <w:t>widely</w:t>
      </w:r>
      <w:r w:rsidR="001345CF">
        <w:rPr>
          <w:rFonts w:ascii="Open Sans" w:hAnsi="Open Sans" w:cs="Open Sans"/>
          <w:szCs w:val="22"/>
        </w:rPr>
        <w:t xml:space="preserve"> predicted to become more common, </w:t>
      </w:r>
      <w:r>
        <w:rPr>
          <w:rFonts w:ascii="Open Sans" w:hAnsi="Open Sans" w:cs="Open Sans"/>
          <w:szCs w:val="22"/>
        </w:rPr>
        <w:t xml:space="preserve">policy makers need to be considering </w:t>
      </w:r>
      <w:r w:rsidR="001345CF">
        <w:rPr>
          <w:rFonts w:ascii="Open Sans" w:hAnsi="Open Sans" w:cs="Open Sans"/>
          <w:szCs w:val="22"/>
        </w:rPr>
        <w:t xml:space="preserve">the role of higher heat load technologies. </w:t>
      </w:r>
      <w:r>
        <w:rPr>
          <w:rFonts w:ascii="Open Sans" w:hAnsi="Open Sans" w:cs="Open Sans"/>
          <w:szCs w:val="22"/>
        </w:rPr>
        <w:t>There is no doubt that</w:t>
      </w:r>
      <w:r w:rsidR="001345CF">
        <w:rPr>
          <w:rFonts w:ascii="Open Sans" w:hAnsi="Open Sans" w:cs="Open Sans"/>
          <w:szCs w:val="22"/>
        </w:rPr>
        <w:t xml:space="preserve"> </w:t>
      </w:r>
      <w:r>
        <w:rPr>
          <w:rFonts w:ascii="Open Sans" w:hAnsi="Open Sans" w:cs="Open Sans"/>
          <w:szCs w:val="22"/>
        </w:rPr>
        <w:t xml:space="preserve">heat pumps are of </w:t>
      </w:r>
      <w:r w:rsidR="00FF7ADA">
        <w:rPr>
          <w:rFonts w:ascii="Open Sans" w:hAnsi="Open Sans" w:cs="Open Sans"/>
          <w:szCs w:val="22"/>
        </w:rPr>
        <w:t xml:space="preserve">high </w:t>
      </w:r>
      <w:r>
        <w:rPr>
          <w:rFonts w:ascii="Open Sans" w:hAnsi="Open Sans" w:cs="Open Sans"/>
          <w:szCs w:val="22"/>
        </w:rPr>
        <w:t xml:space="preserve">strategic importance and have a primary role </w:t>
      </w:r>
      <w:r w:rsidR="00CE41ED">
        <w:rPr>
          <w:rFonts w:ascii="Open Sans" w:hAnsi="Open Sans" w:cs="Open Sans"/>
          <w:szCs w:val="22"/>
        </w:rPr>
        <w:t xml:space="preserve">to play </w:t>
      </w:r>
      <w:r>
        <w:rPr>
          <w:rFonts w:ascii="Open Sans" w:hAnsi="Open Sans" w:cs="Open Sans"/>
          <w:szCs w:val="22"/>
        </w:rPr>
        <w:t xml:space="preserve">in </w:t>
      </w:r>
      <w:r w:rsidR="00CE41ED">
        <w:rPr>
          <w:rFonts w:ascii="Open Sans" w:hAnsi="Open Sans" w:cs="Open Sans"/>
          <w:szCs w:val="22"/>
        </w:rPr>
        <w:t xml:space="preserve">the </w:t>
      </w:r>
      <w:r>
        <w:rPr>
          <w:rFonts w:ascii="Open Sans" w:hAnsi="Open Sans" w:cs="Open Sans"/>
          <w:szCs w:val="22"/>
        </w:rPr>
        <w:t>decarbonisation</w:t>
      </w:r>
      <w:r w:rsidR="00CE41ED">
        <w:rPr>
          <w:rFonts w:ascii="Open Sans" w:hAnsi="Open Sans" w:cs="Open Sans"/>
          <w:szCs w:val="22"/>
        </w:rPr>
        <w:t xml:space="preserve"> of such properties</w:t>
      </w:r>
      <w:r>
        <w:rPr>
          <w:rFonts w:ascii="Open Sans" w:hAnsi="Open Sans" w:cs="Open Sans"/>
          <w:szCs w:val="22"/>
        </w:rPr>
        <w:t xml:space="preserve">, however policy makers </w:t>
      </w:r>
      <w:r w:rsidR="00CE41ED">
        <w:rPr>
          <w:rFonts w:ascii="Open Sans" w:hAnsi="Open Sans" w:cs="Open Sans"/>
          <w:szCs w:val="22"/>
        </w:rPr>
        <w:t xml:space="preserve">cannot </w:t>
      </w:r>
      <w:r>
        <w:rPr>
          <w:rFonts w:ascii="Open Sans" w:hAnsi="Open Sans" w:cs="Open Sans"/>
          <w:szCs w:val="22"/>
        </w:rPr>
        <w:t>afford to underestimate</w:t>
      </w:r>
      <w:r w:rsidR="004025F6">
        <w:rPr>
          <w:rFonts w:ascii="Open Sans" w:hAnsi="Open Sans" w:cs="Open Sans"/>
          <w:szCs w:val="22"/>
        </w:rPr>
        <w:t xml:space="preserve"> how big</w:t>
      </w:r>
      <w:r>
        <w:rPr>
          <w:rFonts w:ascii="Open Sans" w:hAnsi="Open Sans" w:cs="Open Sans"/>
          <w:szCs w:val="22"/>
        </w:rPr>
        <w:t xml:space="preserve"> the </w:t>
      </w:r>
      <w:r w:rsidR="001345CF">
        <w:rPr>
          <w:rFonts w:ascii="Open Sans" w:hAnsi="Open Sans" w:cs="Open Sans"/>
          <w:szCs w:val="22"/>
        </w:rPr>
        <w:t xml:space="preserve">‘niche-role’ </w:t>
      </w:r>
      <w:r w:rsidR="004025F6">
        <w:rPr>
          <w:rFonts w:ascii="Open Sans" w:hAnsi="Open Sans" w:cs="Open Sans"/>
          <w:szCs w:val="22"/>
        </w:rPr>
        <w:t xml:space="preserve">role that is actually left for </w:t>
      </w:r>
      <w:r>
        <w:rPr>
          <w:rFonts w:ascii="Open Sans" w:hAnsi="Open Sans" w:cs="Open Sans"/>
          <w:szCs w:val="22"/>
        </w:rPr>
        <w:t>biomass</w:t>
      </w:r>
      <w:r w:rsidR="00CE41ED">
        <w:rPr>
          <w:rFonts w:ascii="Open Sans" w:hAnsi="Open Sans" w:cs="Open Sans"/>
          <w:szCs w:val="22"/>
        </w:rPr>
        <w:t xml:space="preserve">. </w:t>
      </w:r>
    </w:p>
    <w:p w14:paraId="06ACA2C1" w14:textId="77777777" w:rsidR="00853DE5" w:rsidRDefault="00853DE5" w:rsidP="005443AB">
      <w:pPr>
        <w:rPr>
          <w:rFonts w:ascii="Open Sans" w:hAnsi="Open Sans" w:cs="Open Sans"/>
          <w:szCs w:val="22"/>
        </w:rPr>
      </w:pPr>
    </w:p>
    <w:p w14:paraId="581A7DFA" w14:textId="2B95FEB6" w:rsidR="001345CF" w:rsidRDefault="001345CF" w:rsidP="005443AB">
      <w:pPr>
        <w:rPr>
          <w:rFonts w:ascii="Open Sans" w:hAnsi="Open Sans" w:cs="Open Sans"/>
          <w:szCs w:val="22"/>
        </w:rPr>
      </w:pPr>
      <w:r>
        <w:rPr>
          <w:rFonts w:ascii="Open Sans" w:hAnsi="Open Sans" w:cs="Open Sans"/>
          <w:szCs w:val="22"/>
        </w:rPr>
        <w:t xml:space="preserve">With </w:t>
      </w:r>
      <w:r w:rsidR="00FF7ADA">
        <w:rPr>
          <w:rFonts w:ascii="Open Sans" w:hAnsi="Open Sans" w:cs="Open Sans"/>
          <w:szCs w:val="22"/>
        </w:rPr>
        <w:t>Delta-EE identifying over</w:t>
      </w:r>
      <w:r>
        <w:rPr>
          <w:rFonts w:ascii="Open Sans" w:hAnsi="Open Sans" w:cs="Open Sans"/>
          <w:szCs w:val="22"/>
        </w:rPr>
        <w:t xml:space="preserve"> 1.3</w:t>
      </w:r>
      <w:r w:rsidR="00853DE5">
        <w:rPr>
          <w:rFonts w:ascii="Open Sans" w:hAnsi="Open Sans" w:cs="Open Sans"/>
          <w:szCs w:val="22"/>
        </w:rPr>
        <w:t xml:space="preserve"> </w:t>
      </w:r>
      <w:proofErr w:type="spellStart"/>
      <w:r>
        <w:rPr>
          <w:rFonts w:ascii="Open Sans" w:hAnsi="Open Sans" w:cs="Open Sans"/>
          <w:szCs w:val="22"/>
        </w:rPr>
        <w:t>mn</w:t>
      </w:r>
      <w:proofErr w:type="spellEnd"/>
      <w:r>
        <w:rPr>
          <w:rFonts w:ascii="Open Sans" w:hAnsi="Open Sans" w:cs="Open Sans"/>
          <w:szCs w:val="22"/>
        </w:rPr>
        <w:t xml:space="preserve"> off gas grid properties in the UK,</w:t>
      </w:r>
      <w:r w:rsidR="00853DE5">
        <w:rPr>
          <w:rFonts w:ascii="Open Sans" w:hAnsi="Open Sans" w:cs="Open Sans"/>
          <w:szCs w:val="22"/>
        </w:rPr>
        <w:t xml:space="preserve"> the above suggests there could still be over </w:t>
      </w:r>
      <w:r>
        <w:rPr>
          <w:rFonts w:ascii="Open Sans" w:hAnsi="Open Sans" w:cs="Open Sans"/>
          <w:szCs w:val="22"/>
        </w:rPr>
        <w:t>46</w:t>
      </w:r>
      <w:r w:rsidR="00CE41ED">
        <w:rPr>
          <w:rFonts w:ascii="Open Sans" w:hAnsi="Open Sans" w:cs="Open Sans"/>
          <w:szCs w:val="22"/>
        </w:rPr>
        <w:t>8</w:t>
      </w:r>
      <w:r>
        <w:rPr>
          <w:rFonts w:ascii="Open Sans" w:hAnsi="Open Sans" w:cs="Open Sans"/>
          <w:szCs w:val="22"/>
        </w:rPr>
        <w:t>,000</w:t>
      </w:r>
      <w:r w:rsidR="00FF7ADA">
        <w:rPr>
          <w:rFonts w:ascii="Open Sans" w:hAnsi="Open Sans" w:cs="Open Sans"/>
          <w:szCs w:val="22"/>
        </w:rPr>
        <w:t xml:space="preserve"> </w:t>
      </w:r>
      <w:r w:rsidR="00CE41ED">
        <w:rPr>
          <w:rFonts w:ascii="Open Sans" w:hAnsi="Open Sans" w:cs="Open Sans"/>
          <w:szCs w:val="22"/>
        </w:rPr>
        <w:t>off gas grid locations</w:t>
      </w:r>
      <w:r w:rsidR="00FF7ADA">
        <w:rPr>
          <w:rStyle w:val="FootnoteReference"/>
          <w:rFonts w:ascii="Open Sans" w:hAnsi="Open Sans" w:cs="Open Sans"/>
          <w:szCs w:val="22"/>
        </w:rPr>
        <w:footnoteReference w:id="8"/>
      </w:r>
      <w:r>
        <w:rPr>
          <w:rFonts w:ascii="Open Sans" w:hAnsi="Open Sans" w:cs="Open Sans"/>
          <w:szCs w:val="22"/>
        </w:rPr>
        <w:t xml:space="preserve"> where</w:t>
      </w:r>
      <w:r w:rsidR="00CE41ED">
        <w:rPr>
          <w:rFonts w:ascii="Open Sans" w:hAnsi="Open Sans" w:cs="Open Sans"/>
          <w:szCs w:val="22"/>
        </w:rPr>
        <w:t xml:space="preserve"> heat pumps may not be </w:t>
      </w:r>
      <w:r w:rsidR="00FF7ADA">
        <w:rPr>
          <w:rFonts w:ascii="Open Sans" w:hAnsi="Open Sans" w:cs="Open Sans"/>
          <w:szCs w:val="22"/>
        </w:rPr>
        <w:t>appropriate and</w:t>
      </w:r>
      <w:r w:rsidR="00CE41ED">
        <w:rPr>
          <w:rFonts w:ascii="Open Sans" w:hAnsi="Open Sans" w:cs="Open Sans"/>
          <w:szCs w:val="22"/>
        </w:rPr>
        <w:t xml:space="preserve"> where</w:t>
      </w:r>
      <w:r>
        <w:rPr>
          <w:rFonts w:ascii="Open Sans" w:hAnsi="Open Sans" w:cs="Open Sans"/>
          <w:szCs w:val="22"/>
        </w:rPr>
        <w:t xml:space="preserve"> biomass</w:t>
      </w:r>
      <w:r w:rsidR="00CE41ED">
        <w:rPr>
          <w:rFonts w:ascii="Open Sans" w:hAnsi="Open Sans" w:cs="Open Sans"/>
          <w:szCs w:val="22"/>
        </w:rPr>
        <w:t xml:space="preserve">, or other bioenergy options, are </w:t>
      </w:r>
      <w:r w:rsidR="00853DE5">
        <w:rPr>
          <w:rFonts w:ascii="Open Sans" w:hAnsi="Open Sans" w:cs="Open Sans"/>
          <w:szCs w:val="22"/>
        </w:rPr>
        <w:t xml:space="preserve">likely to be </w:t>
      </w:r>
      <w:r w:rsidR="00FF7ADA">
        <w:rPr>
          <w:rFonts w:ascii="Open Sans" w:hAnsi="Open Sans" w:cs="Open Sans"/>
          <w:szCs w:val="22"/>
        </w:rPr>
        <w:t>the best suited</w:t>
      </w:r>
      <w:r w:rsidR="00CE41ED">
        <w:rPr>
          <w:rFonts w:ascii="Open Sans" w:hAnsi="Open Sans" w:cs="Open Sans"/>
          <w:szCs w:val="22"/>
        </w:rPr>
        <w:t xml:space="preserve"> heating</w:t>
      </w:r>
      <w:r>
        <w:rPr>
          <w:rFonts w:ascii="Open Sans" w:hAnsi="Open Sans" w:cs="Open Sans"/>
          <w:szCs w:val="22"/>
        </w:rPr>
        <w:t xml:space="preserve"> option</w:t>
      </w:r>
      <w:r w:rsidR="00CE41ED">
        <w:rPr>
          <w:rFonts w:ascii="Open Sans" w:hAnsi="Open Sans" w:cs="Open Sans"/>
          <w:szCs w:val="22"/>
        </w:rPr>
        <w:t xml:space="preserve">. This leaves a potential </w:t>
      </w:r>
      <w:r w:rsidR="00FF7ADA">
        <w:rPr>
          <w:rFonts w:ascii="Open Sans" w:hAnsi="Open Sans" w:cs="Open Sans"/>
          <w:szCs w:val="22"/>
        </w:rPr>
        <w:t xml:space="preserve">biomass </w:t>
      </w:r>
      <w:r w:rsidR="00CE41ED">
        <w:rPr>
          <w:rFonts w:ascii="Open Sans" w:hAnsi="Open Sans" w:cs="Open Sans"/>
          <w:szCs w:val="22"/>
        </w:rPr>
        <w:t>market 17 times</w:t>
      </w:r>
      <w:r w:rsidR="00FF7ADA">
        <w:rPr>
          <w:rStyle w:val="FootnoteReference"/>
          <w:rFonts w:ascii="Open Sans" w:hAnsi="Open Sans" w:cs="Open Sans"/>
          <w:szCs w:val="22"/>
        </w:rPr>
        <w:footnoteReference w:id="9"/>
      </w:r>
      <w:r w:rsidR="00CE41ED">
        <w:rPr>
          <w:rFonts w:ascii="Open Sans" w:hAnsi="Open Sans" w:cs="Open Sans"/>
          <w:szCs w:val="22"/>
        </w:rPr>
        <w:t xml:space="preserve"> the size of what has already been deployed by the RHI and requires a strong and established sector to be in place</w:t>
      </w:r>
      <w:r w:rsidR="00AC2B86">
        <w:rPr>
          <w:rFonts w:ascii="Open Sans" w:hAnsi="Open Sans" w:cs="Open Sans"/>
          <w:szCs w:val="22"/>
        </w:rPr>
        <w:t xml:space="preserve">. </w:t>
      </w:r>
    </w:p>
    <w:p w14:paraId="24842EFF" w14:textId="7E0BAD5F" w:rsidR="00DC2137" w:rsidRPr="00DC2137" w:rsidRDefault="00DC2137" w:rsidP="005443AB">
      <w:pPr>
        <w:rPr>
          <w:rFonts w:ascii="Open Sans" w:hAnsi="Open Sans" w:cs="Open Sans"/>
          <w:szCs w:val="22"/>
        </w:rPr>
      </w:pPr>
    </w:p>
    <w:p w14:paraId="437ECBD0" w14:textId="2410E467" w:rsidR="00E46A42" w:rsidRPr="00DC2137" w:rsidRDefault="00DC2137" w:rsidP="005443AB">
      <w:pPr>
        <w:rPr>
          <w:rFonts w:ascii="Open Sans" w:hAnsi="Open Sans" w:cs="Open Sans"/>
          <w:szCs w:val="22"/>
        </w:rPr>
      </w:pPr>
      <w:r w:rsidRPr="00DC2137">
        <w:rPr>
          <w:rFonts w:ascii="Open Sans" w:hAnsi="Open Sans" w:cs="Open Sans"/>
        </w:rPr>
        <w:t>In addition</w:t>
      </w:r>
      <w:r w:rsidR="00FF7ADA">
        <w:rPr>
          <w:rFonts w:ascii="Open Sans" w:hAnsi="Open Sans" w:cs="Open Sans"/>
        </w:rPr>
        <w:t>,</w:t>
      </w:r>
      <w:r w:rsidRPr="00DC2137">
        <w:rPr>
          <w:rFonts w:ascii="Open Sans" w:hAnsi="Open Sans" w:cs="Open Sans"/>
        </w:rPr>
        <w:t xml:space="preserve"> conversations in the E</w:t>
      </w:r>
      <w:r w:rsidR="004025F6">
        <w:rPr>
          <w:rFonts w:ascii="Open Sans" w:hAnsi="Open Sans" w:cs="Open Sans"/>
        </w:rPr>
        <w:t xml:space="preserve">lectric </w:t>
      </w:r>
      <w:r w:rsidR="004025F6" w:rsidRPr="00DC2137">
        <w:rPr>
          <w:rFonts w:ascii="Open Sans" w:hAnsi="Open Sans" w:cs="Open Sans"/>
        </w:rPr>
        <w:t>V</w:t>
      </w:r>
      <w:r w:rsidR="004025F6">
        <w:rPr>
          <w:rFonts w:ascii="Open Sans" w:hAnsi="Open Sans" w:cs="Open Sans"/>
        </w:rPr>
        <w:t>ehicle</w:t>
      </w:r>
      <w:r w:rsidRPr="00DC2137">
        <w:rPr>
          <w:rFonts w:ascii="Open Sans" w:hAnsi="Open Sans" w:cs="Open Sans"/>
        </w:rPr>
        <w:t xml:space="preserve"> Energy Taskforce, on which the REA sits</w:t>
      </w:r>
      <w:r w:rsidR="00FF7ADA">
        <w:rPr>
          <w:rFonts w:ascii="Open Sans" w:hAnsi="Open Sans" w:cs="Open Sans"/>
        </w:rPr>
        <w:t xml:space="preserve">, </w:t>
      </w:r>
      <w:r w:rsidRPr="00DC2137">
        <w:rPr>
          <w:rFonts w:ascii="Open Sans" w:hAnsi="Open Sans" w:cs="Open Sans"/>
        </w:rPr>
        <w:t>indicate that electricity networks (</w:t>
      </w:r>
      <w:proofErr w:type="spellStart"/>
      <w:r w:rsidRPr="00DC2137">
        <w:rPr>
          <w:rFonts w:ascii="Open Sans" w:hAnsi="Open Sans" w:cs="Open Sans"/>
        </w:rPr>
        <w:t>eg</w:t>
      </w:r>
      <w:proofErr w:type="spellEnd"/>
      <w:r w:rsidRPr="00DC2137">
        <w:rPr>
          <w:rFonts w:ascii="Open Sans" w:hAnsi="Open Sans" w:cs="Open Sans"/>
        </w:rPr>
        <w:t xml:space="preserve"> DNOs) are concerned about making major new investments in expanding network capacity to facilitate the transition to electric vehicles without a clear steer from Government on the extent of the electrification of heat. This is partly as a full-scale electrification of heat would multiply the UK’s electricity demand by several factors, dwarfing new demand from electric vehicles. Even a partial electrification of heat will require both distribution and likely transmission system upgrades</w:t>
      </w:r>
      <w:r w:rsidR="00327C23">
        <w:rPr>
          <w:rFonts w:ascii="Open Sans" w:hAnsi="Open Sans" w:cs="Open Sans"/>
        </w:rPr>
        <w:t xml:space="preserve">. In addition, </w:t>
      </w:r>
      <w:r w:rsidRPr="00DC2137">
        <w:rPr>
          <w:rFonts w:ascii="Open Sans" w:hAnsi="Open Sans" w:cs="Open Sans"/>
        </w:rPr>
        <w:t>most domestic properties also typically only have a single-phase electricity supply making charging a car and running a heat pump a</w:t>
      </w:r>
      <w:r w:rsidR="00AC2B86">
        <w:rPr>
          <w:rFonts w:ascii="Open Sans" w:hAnsi="Open Sans" w:cs="Open Sans"/>
        </w:rPr>
        <w:t xml:space="preserve"> demanding</w:t>
      </w:r>
      <w:r w:rsidRPr="00DC2137">
        <w:rPr>
          <w:rFonts w:ascii="Open Sans" w:hAnsi="Open Sans" w:cs="Open Sans"/>
        </w:rPr>
        <w:t xml:space="preserve"> </w:t>
      </w:r>
      <w:r w:rsidR="00FF7ADA">
        <w:rPr>
          <w:rFonts w:ascii="Open Sans" w:hAnsi="Open Sans" w:cs="Open Sans"/>
        </w:rPr>
        <w:t>prospect.</w:t>
      </w:r>
      <w:r w:rsidRPr="00DC2137">
        <w:rPr>
          <w:rFonts w:ascii="Open Sans" w:hAnsi="Open Sans" w:cs="Open Sans"/>
        </w:rPr>
        <w:t xml:space="preserve"> These are issues which are not considered in Delta-EE’s report</w:t>
      </w:r>
      <w:r w:rsidR="00327C23">
        <w:rPr>
          <w:rFonts w:ascii="Open Sans" w:hAnsi="Open Sans" w:cs="Open Sans"/>
        </w:rPr>
        <w:t xml:space="preserve"> and need to be carefully considered as part of BEIS’s broader heat decarbonisation strategy. </w:t>
      </w:r>
    </w:p>
    <w:p w14:paraId="10280D68" w14:textId="77777777" w:rsidR="00E46A42" w:rsidRDefault="00E46A42" w:rsidP="005443AB">
      <w:pPr>
        <w:rPr>
          <w:rFonts w:ascii="Open Sans" w:hAnsi="Open Sans" w:cs="Open Sans"/>
          <w:szCs w:val="22"/>
        </w:rPr>
      </w:pPr>
    </w:p>
    <w:p w14:paraId="4E32AEC5" w14:textId="6F5845F2" w:rsidR="005443AB" w:rsidRPr="00273E54" w:rsidRDefault="00327C23" w:rsidP="005443AB">
      <w:pPr>
        <w:rPr>
          <w:rFonts w:ascii="Open Sans" w:hAnsi="Open Sans" w:cs="Open Sans"/>
          <w:szCs w:val="22"/>
        </w:rPr>
      </w:pPr>
      <w:r>
        <w:rPr>
          <w:rFonts w:ascii="Open Sans" w:hAnsi="Open Sans" w:cs="Open Sans"/>
          <w:szCs w:val="22"/>
        </w:rPr>
        <w:t>Finally, t</w:t>
      </w:r>
      <w:r w:rsidR="00273E54" w:rsidRPr="00273E54">
        <w:rPr>
          <w:rFonts w:ascii="Open Sans" w:hAnsi="Open Sans" w:cs="Open Sans"/>
          <w:szCs w:val="22"/>
        </w:rPr>
        <w:t>he role of biomass has previously also been identified by BEIS as being particularly important within larger residential developments and for commercial and industrial sites</w:t>
      </w:r>
      <w:r w:rsidR="002035C1" w:rsidRPr="00273E54">
        <w:rPr>
          <w:rFonts w:ascii="Open Sans" w:hAnsi="Open Sans" w:cs="Open Sans"/>
          <w:szCs w:val="22"/>
        </w:rPr>
        <w:t>. This was the reason for the 2018</w:t>
      </w:r>
      <w:r w:rsidR="00273E54" w:rsidRPr="00273E54">
        <w:rPr>
          <w:rFonts w:ascii="Open Sans" w:hAnsi="Open Sans" w:cs="Open Sans"/>
          <w:szCs w:val="22"/>
        </w:rPr>
        <w:t xml:space="preserve"> ND RHI</w:t>
      </w:r>
      <w:r w:rsidR="002035C1" w:rsidRPr="00273E54">
        <w:rPr>
          <w:rFonts w:ascii="Open Sans" w:hAnsi="Open Sans" w:cs="Open Sans"/>
          <w:szCs w:val="22"/>
        </w:rPr>
        <w:t xml:space="preserve"> reforms which </w:t>
      </w:r>
      <w:r w:rsidR="00273E54" w:rsidRPr="00273E54">
        <w:rPr>
          <w:rFonts w:ascii="Open Sans" w:hAnsi="Open Sans" w:cs="Open Sans"/>
          <w:szCs w:val="22"/>
        </w:rPr>
        <w:t xml:space="preserve">encouraged larger-scale projects.  Having pivoted the biomass heat sector towards these projects, which </w:t>
      </w:r>
      <w:r w:rsidR="002035C1" w:rsidRPr="00273E54">
        <w:rPr>
          <w:rFonts w:ascii="Open Sans" w:hAnsi="Open Sans" w:cs="Open Sans"/>
          <w:szCs w:val="22"/>
        </w:rPr>
        <w:t>g</w:t>
      </w:r>
      <w:r w:rsidR="00273E54" w:rsidRPr="00273E54">
        <w:rPr>
          <w:rFonts w:ascii="Open Sans" w:hAnsi="Open Sans" w:cs="Open Sans"/>
          <w:szCs w:val="22"/>
        </w:rPr>
        <w:t xml:space="preserve">overnment </w:t>
      </w:r>
      <w:r w:rsidR="002035C1" w:rsidRPr="00273E54">
        <w:rPr>
          <w:rFonts w:ascii="Open Sans" w:hAnsi="Open Sans" w:cs="Open Sans"/>
          <w:szCs w:val="22"/>
        </w:rPr>
        <w:t xml:space="preserve">argued represented the best value for money, </w:t>
      </w:r>
      <w:r w:rsidR="00273E54" w:rsidRPr="00273E54">
        <w:rPr>
          <w:rFonts w:ascii="Open Sans" w:hAnsi="Open Sans" w:cs="Open Sans"/>
          <w:szCs w:val="22"/>
        </w:rPr>
        <w:t xml:space="preserve">the current design of Clean Heat Grant scheme is now incentivising only a very limited number </w:t>
      </w:r>
      <w:r w:rsidR="00116A26" w:rsidRPr="00273E54">
        <w:rPr>
          <w:rFonts w:ascii="Open Sans" w:hAnsi="Open Sans" w:cs="Open Sans"/>
          <w:szCs w:val="22"/>
        </w:rPr>
        <w:t xml:space="preserve">of </w:t>
      </w:r>
      <w:r w:rsidR="00116A26">
        <w:rPr>
          <w:rFonts w:ascii="Open Sans" w:hAnsi="Open Sans" w:cs="Open Sans"/>
          <w:szCs w:val="22"/>
        </w:rPr>
        <w:t xml:space="preserve">very </w:t>
      </w:r>
      <w:r w:rsidR="005715F6" w:rsidRPr="00273E54">
        <w:rPr>
          <w:rFonts w:ascii="Open Sans" w:hAnsi="Open Sans" w:cs="Open Sans"/>
          <w:szCs w:val="22"/>
        </w:rPr>
        <w:t>small-scale</w:t>
      </w:r>
      <w:r w:rsidR="00273E54" w:rsidRPr="00273E54">
        <w:rPr>
          <w:rFonts w:ascii="Open Sans" w:hAnsi="Open Sans" w:cs="Open Sans"/>
          <w:szCs w:val="22"/>
        </w:rPr>
        <w:t xml:space="preserve"> biomass applications</w:t>
      </w:r>
      <w:r>
        <w:rPr>
          <w:rFonts w:ascii="Open Sans" w:hAnsi="Open Sans" w:cs="Open Sans"/>
          <w:szCs w:val="22"/>
        </w:rPr>
        <w:t>, setting a worrying precedent</w:t>
      </w:r>
      <w:r w:rsidR="00AC2B86">
        <w:rPr>
          <w:rFonts w:ascii="Open Sans" w:hAnsi="Open Sans" w:cs="Open Sans"/>
          <w:szCs w:val="22"/>
        </w:rPr>
        <w:t xml:space="preserve"> that ultimately will </w:t>
      </w:r>
      <w:r w:rsidR="004025F6">
        <w:rPr>
          <w:rFonts w:ascii="Open Sans" w:hAnsi="Open Sans" w:cs="Open Sans"/>
          <w:szCs w:val="22"/>
        </w:rPr>
        <w:t xml:space="preserve">shrink </w:t>
      </w:r>
      <w:r w:rsidR="00AC2B86">
        <w:rPr>
          <w:rFonts w:ascii="Open Sans" w:hAnsi="Open Sans" w:cs="Open Sans"/>
          <w:szCs w:val="22"/>
        </w:rPr>
        <w:t xml:space="preserve">the sector. </w:t>
      </w:r>
    </w:p>
    <w:p w14:paraId="0967A8E4" w14:textId="77777777" w:rsidR="005443AB" w:rsidRPr="00273E54" w:rsidRDefault="005443AB" w:rsidP="005443AB">
      <w:pPr>
        <w:rPr>
          <w:rFonts w:ascii="Open Sans" w:hAnsi="Open Sans" w:cs="Open Sans"/>
          <w:szCs w:val="22"/>
        </w:rPr>
      </w:pPr>
    </w:p>
    <w:p w14:paraId="68C6E6D4" w14:textId="685FF8B9" w:rsidR="005443AB" w:rsidRDefault="00273E54" w:rsidP="005443AB">
      <w:pPr>
        <w:rPr>
          <w:rFonts w:ascii="Open Sans" w:hAnsi="Open Sans" w:cs="Open Sans"/>
          <w:szCs w:val="22"/>
        </w:rPr>
      </w:pPr>
      <w:r w:rsidRPr="00273E54">
        <w:rPr>
          <w:rFonts w:ascii="Open Sans" w:hAnsi="Open Sans" w:cs="Open Sans"/>
          <w:szCs w:val="22"/>
        </w:rPr>
        <w:t>The scope of the Clean Heat Grant scheme must, therefore, be widened to realise this potential</w:t>
      </w:r>
      <w:r w:rsidR="00327C23">
        <w:rPr>
          <w:rFonts w:ascii="Open Sans" w:hAnsi="Open Sans" w:cs="Open Sans"/>
          <w:szCs w:val="22"/>
        </w:rPr>
        <w:t xml:space="preserve"> by offering a flexible grant and </w:t>
      </w:r>
      <w:r w:rsidR="0038173B">
        <w:rPr>
          <w:rFonts w:ascii="Open Sans" w:hAnsi="Open Sans" w:cs="Open Sans"/>
          <w:szCs w:val="22"/>
        </w:rPr>
        <w:t xml:space="preserve">raising the kW capacity cap. </w:t>
      </w:r>
      <w:r w:rsidR="00327C23">
        <w:rPr>
          <w:rFonts w:ascii="Open Sans" w:hAnsi="Open Sans" w:cs="Open Sans"/>
          <w:szCs w:val="22"/>
        </w:rPr>
        <w:t xml:space="preserve"> </w:t>
      </w:r>
    </w:p>
    <w:p w14:paraId="295F0ABC" w14:textId="01A6B6B1" w:rsidR="00116A26" w:rsidRDefault="00116A26" w:rsidP="005443AB">
      <w:pPr>
        <w:rPr>
          <w:rFonts w:ascii="Open Sans" w:hAnsi="Open Sans" w:cs="Open Sans"/>
          <w:szCs w:val="22"/>
        </w:rPr>
      </w:pPr>
    </w:p>
    <w:p w14:paraId="084D76D6" w14:textId="77777777" w:rsidR="00116A26" w:rsidRPr="00116A26" w:rsidRDefault="00116A26" w:rsidP="00116A26">
      <w:pPr>
        <w:rPr>
          <w:b/>
          <w:bCs/>
          <w:i/>
          <w:iCs/>
          <w:color w:val="2F5496"/>
        </w:rPr>
      </w:pPr>
      <w:r w:rsidRPr="00116A26">
        <w:rPr>
          <w:rFonts w:ascii="Open Sans" w:hAnsi="Open Sans" w:cs="Open Sans"/>
          <w:b/>
          <w:bCs/>
          <w:color w:val="2F5496"/>
          <w:szCs w:val="22"/>
        </w:rPr>
        <w:lastRenderedPageBreak/>
        <w:t>Consultation Question 23</w:t>
      </w:r>
      <w:r w:rsidRPr="00116A26">
        <w:rPr>
          <w:rFonts w:ascii="Open Sans" w:hAnsi="Open Sans" w:cs="Open Sans"/>
          <w:b/>
          <w:bCs/>
          <w:i/>
          <w:iCs/>
          <w:color w:val="2F5496"/>
          <w:szCs w:val="22"/>
        </w:rPr>
        <w:t xml:space="preserve"> - </w:t>
      </w:r>
      <w:r w:rsidRPr="00116A26">
        <w:rPr>
          <w:b/>
          <w:bCs/>
          <w:i/>
          <w:iCs/>
          <w:color w:val="2F5496"/>
        </w:rPr>
        <w:t>Do you agree that support for buildings technologies should change from a tariff to a grant?</w:t>
      </w:r>
    </w:p>
    <w:p w14:paraId="1ED49549" w14:textId="77777777" w:rsidR="00116A26" w:rsidRDefault="00116A26" w:rsidP="00116A26"/>
    <w:p w14:paraId="1AB39281" w14:textId="5820617F" w:rsidR="005E14B3" w:rsidRPr="003277D7" w:rsidRDefault="001A1217" w:rsidP="00116A26">
      <w:pPr>
        <w:rPr>
          <w:rFonts w:ascii="Open Sans" w:hAnsi="Open Sans" w:cs="Open Sans"/>
          <w:b/>
          <w:bCs/>
        </w:rPr>
      </w:pPr>
      <w:r w:rsidRPr="003277D7">
        <w:rPr>
          <w:rFonts w:ascii="Open Sans" w:hAnsi="Open Sans" w:cs="Open Sans"/>
          <w:b/>
          <w:bCs/>
        </w:rPr>
        <w:t xml:space="preserve">No, </w:t>
      </w:r>
      <w:r w:rsidR="00D27988" w:rsidRPr="003277D7">
        <w:rPr>
          <w:rFonts w:ascii="Open Sans" w:hAnsi="Open Sans" w:cs="Open Sans"/>
          <w:b/>
          <w:bCs/>
        </w:rPr>
        <w:t>c</w:t>
      </w:r>
      <w:r w:rsidR="005E14B3" w:rsidRPr="003277D7">
        <w:rPr>
          <w:rFonts w:ascii="Open Sans" w:hAnsi="Open Sans" w:cs="Open Sans"/>
          <w:b/>
          <w:bCs/>
        </w:rPr>
        <w:t>urrent proposals do not address the serious problems associated with previous grant schemes.</w:t>
      </w:r>
    </w:p>
    <w:p w14:paraId="5A128AF7" w14:textId="2D393E45" w:rsidR="00CC6CA2" w:rsidRDefault="00CC6CA2" w:rsidP="005443AB">
      <w:pPr>
        <w:rPr>
          <w:rFonts w:ascii="Open Sans" w:hAnsi="Open Sans" w:cs="Open Sans"/>
        </w:rPr>
      </w:pPr>
    </w:p>
    <w:p w14:paraId="5AA587F5" w14:textId="269B3572" w:rsidR="00283149" w:rsidRDefault="005E14B3" w:rsidP="005443AB">
      <w:pPr>
        <w:rPr>
          <w:rFonts w:ascii="Open Sans" w:hAnsi="Open Sans" w:cs="Open Sans"/>
        </w:rPr>
      </w:pPr>
      <w:r w:rsidRPr="005E14B3">
        <w:rPr>
          <w:rFonts w:ascii="Open Sans" w:hAnsi="Open Sans" w:cs="Open Sans"/>
        </w:rPr>
        <w:t>A</w:t>
      </w:r>
      <w:r w:rsidR="00116A26" w:rsidRPr="005E14B3">
        <w:rPr>
          <w:rFonts w:ascii="Open Sans" w:hAnsi="Open Sans" w:cs="Open Sans"/>
        </w:rPr>
        <w:t xml:space="preserve"> tariff </w:t>
      </w:r>
      <w:r w:rsidR="004025F6">
        <w:rPr>
          <w:rFonts w:ascii="Open Sans" w:hAnsi="Open Sans" w:cs="Open Sans"/>
        </w:rPr>
        <w:t>mechanism</w:t>
      </w:r>
      <w:r w:rsidR="00116A26" w:rsidRPr="005E14B3">
        <w:rPr>
          <w:rFonts w:ascii="Open Sans" w:hAnsi="Open Sans" w:cs="Open Sans"/>
        </w:rPr>
        <w:t xml:space="preserve"> ensures that payments are only made for </w:t>
      </w:r>
      <w:r w:rsidR="00283149">
        <w:rPr>
          <w:rFonts w:ascii="Open Sans" w:hAnsi="Open Sans" w:cs="Open Sans"/>
        </w:rPr>
        <w:t xml:space="preserve">the </w:t>
      </w:r>
      <w:r w:rsidR="00116A26" w:rsidRPr="005E14B3">
        <w:rPr>
          <w:rFonts w:ascii="Open Sans" w:hAnsi="Open Sans" w:cs="Open Sans"/>
        </w:rPr>
        <w:t xml:space="preserve">low carbon heat </w:t>
      </w:r>
      <w:r w:rsidR="00283149">
        <w:rPr>
          <w:rFonts w:ascii="Open Sans" w:hAnsi="Open Sans" w:cs="Open Sans"/>
        </w:rPr>
        <w:t xml:space="preserve">produced, while also </w:t>
      </w:r>
      <w:r w:rsidR="00CC6CA2">
        <w:rPr>
          <w:rFonts w:ascii="Open Sans" w:hAnsi="Open Sans" w:cs="Open Sans"/>
        </w:rPr>
        <w:t>provid</w:t>
      </w:r>
      <w:r w:rsidR="00283149">
        <w:rPr>
          <w:rFonts w:ascii="Open Sans" w:hAnsi="Open Sans" w:cs="Open Sans"/>
        </w:rPr>
        <w:t>ing</w:t>
      </w:r>
      <w:r w:rsidR="00CC6CA2">
        <w:rPr>
          <w:rFonts w:ascii="Open Sans" w:hAnsi="Open Sans" w:cs="Open Sans"/>
        </w:rPr>
        <w:t xml:space="preserve"> greater </w:t>
      </w:r>
      <w:r w:rsidR="00B17DE4">
        <w:rPr>
          <w:rFonts w:ascii="Open Sans" w:hAnsi="Open Sans" w:cs="Open Sans"/>
        </w:rPr>
        <w:t>control for the scheme administrator</w:t>
      </w:r>
      <w:r w:rsidR="00283149">
        <w:rPr>
          <w:rFonts w:ascii="Open Sans" w:hAnsi="Open Sans" w:cs="Open Sans"/>
        </w:rPr>
        <w:t xml:space="preserve">, addressing some of the issues associated with earlier grant-based </w:t>
      </w:r>
      <w:r w:rsidR="004025F6">
        <w:rPr>
          <w:rFonts w:ascii="Open Sans" w:hAnsi="Open Sans" w:cs="Open Sans"/>
        </w:rPr>
        <w:t>schemes</w:t>
      </w:r>
      <w:r w:rsidR="00CC6CA2">
        <w:rPr>
          <w:rFonts w:ascii="Open Sans" w:hAnsi="Open Sans" w:cs="Open Sans"/>
        </w:rPr>
        <w:t xml:space="preserve">. </w:t>
      </w:r>
    </w:p>
    <w:p w14:paraId="746F39C3" w14:textId="77777777" w:rsidR="00283149" w:rsidRDefault="00283149" w:rsidP="005443AB">
      <w:pPr>
        <w:rPr>
          <w:rFonts w:ascii="Open Sans" w:hAnsi="Open Sans" w:cs="Open Sans"/>
        </w:rPr>
      </w:pPr>
    </w:p>
    <w:p w14:paraId="1CAAD13D" w14:textId="7357E962" w:rsidR="009C2B36" w:rsidRDefault="00CC6CA2" w:rsidP="005443AB">
      <w:pPr>
        <w:rPr>
          <w:rFonts w:ascii="Open Sans" w:hAnsi="Open Sans" w:cs="Open Sans"/>
        </w:rPr>
      </w:pPr>
      <w:r>
        <w:rPr>
          <w:rFonts w:ascii="Open Sans" w:hAnsi="Open Sans" w:cs="Open Sans"/>
        </w:rPr>
        <w:t xml:space="preserve">The RHI </w:t>
      </w:r>
      <w:r w:rsidR="00B17DE4">
        <w:rPr>
          <w:rFonts w:ascii="Open Sans" w:hAnsi="Open Sans" w:cs="Open Sans"/>
        </w:rPr>
        <w:t>tariff ensured applicants</w:t>
      </w:r>
      <w:r w:rsidR="00116A26" w:rsidRPr="005E14B3">
        <w:rPr>
          <w:rFonts w:ascii="Open Sans" w:hAnsi="Open Sans" w:cs="Open Sans"/>
        </w:rPr>
        <w:t xml:space="preserve"> use</w:t>
      </w:r>
      <w:r w:rsidR="00B17DE4">
        <w:rPr>
          <w:rFonts w:ascii="Open Sans" w:hAnsi="Open Sans" w:cs="Open Sans"/>
        </w:rPr>
        <w:t>d</w:t>
      </w:r>
      <w:r w:rsidR="00116A26" w:rsidRPr="005E14B3">
        <w:rPr>
          <w:rFonts w:ascii="Open Sans" w:hAnsi="Open Sans" w:cs="Open Sans"/>
        </w:rPr>
        <w:t xml:space="preserve"> their low carbon heating systems</w:t>
      </w:r>
      <w:r w:rsidR="00B17DE4">
        <w:rPr>
          <w:rFonts w:ascii="Open Sans" w:hAnsi="Open Sans" w:cs="Open Sans"/>
        </w:rPr>
        <w:t xml:space="preserve">, </w:t>
      </w:r>
      <w:r w:rsidR="00116A26" w:rsidRPr="005E14B3">
        <w:rPr>
          <w:rFonts w:ascii="Open Sans" w:hAnsi="Open Sans" w:cs="Open Sans"/>
        </w:rPr>
        <w:t>rather than</w:t>
      </w:r>
      <w:r w:rsidR="00B17DE4">
        <w:rPr>
          <w:rFonts w:ascii="Open Sans" w:hAnsi="Open Sans" w:cs="Open Sans"/>
        </w:rPr>
        <w:t xml:space="preserve"> being incentivised to install </w:t>
      </w:r>
      <w:r w:rsidR="00283149">
        <w:rPr>
          <w:rFonts w:ascii="Open Sans" w:hAnsi="Open Sans" w:cs="Open Sans"/>
        </w:rPr>
        <w:t>a system which was left i</w:t>
      </w:r>
      <w:r w:rsidR="00116A26" w:rsidRPr="005E14B3">
        <w:rPr>
          <w:rFonts w:ascii="Open Sans" w:hAnsi="Open Sans" w:cs="Open Sans"/>
        </w:rPr>
        <w:t>dle</w:t>
      </w:r>
      <w:r w:rsidR="00B17DE4">
        <w:rPr>
          <w:rFonts w:ascii="Open Sans" w:hAnsi="Open Sans" w:cs="Open Sans"/>
        </w:rPr>
        <w:t xml:space="preserve"> </w:t>
      </w:r>
      <w:r w:rsidR="00A305AF">
        <w:rPr>
          <w:rFonts w:ascii="Open Sans" w:hAnsi="Open Sans" w:cs="Open Sans"/>
        </w:rPr>
        <w:t xml:space="preserve">due to lower </w:t>
      </w:r>
      <w:r w:rsidR="00283149">
        <w:rPr>
          <w:rFonts w:ascii="Open Sans" w:hAnsi="Open Sans" w:cs="Open Sans"/>
        </w:rPr>
        <w:t>fossil system</w:t>
      </w:r>
      <w:r w:rsidR="00A305AF">
        <w:rPr>
          <w:rFonts w:ascii="Open Sans" w:hAnsi="Open Sans" w:cs="Open Sans"/>
        </w:rPr>
        <w:t xml:space="preserve"> running costs</w:t>
      </w:r>
      <w:r w:rsidR="00116A26" w:rsidRPr="005E14B3">
        <w:rPr>
          <w:rFonts w:ascii="Open Sans" w:hAnsi="Open Sans" w:cs="Open Sans"/>
        </w:rPr>
        <w:t>.</w:t>
      </w:r>
      <w:r w:rsidR="00A305AF">
        <w:rPr>
          <w:rFonts w:ascii="Open Sans" w:hAnsi="Open Sans" w:cs="Open Sans"/>
        </w:rPr>
        <w:t xml:space="preserve"> For example, the grant will support the deployment of heat pumps in on-gas grid properties. In 2019 the average </w:t>
      </w:r>
      <w:r w:rsidR="00AC2B86">
        <w:rPr>
          <w:rFonts w:ascii="Open Sans" w:hAnsi="Open Sans" w:cs="Open Sans"/>
        </w:rPr>
        <w:t xml:space="preserve">domestic </w:t>
      </w:r>
      <w:r w:rsidR="00A305AF">
        <w:rPr>
          <w:rFonts w:ascii="Open Sans" w:hAnsi="Open Sans" w:cs="Open Sans"/>
        </w:rPr>
        <w:t>unit cost for electricity was 16.6 p/kWh compared to an average unit cost for gas of 3.79 p/</w:t>
      </w:r>
      <w:r w:rsidR="00AC2B86">
        <w:rPr>
          <w:rFonts w:ascii="Open Sans" w:hAnsi="Open Sans" w:cs="Open Sans"/>
        </w:rPr>
        <w:t>k</w:t>
      </w:r>
      <w:r w:rsidR="00A305AF">
        <w:rPr>
          <w:rFonts w:ascii="Open Sans" w:hAnsi="Open Sans" w:cs="Open Sans"/>
        </w:rPr>
        <w:t>Wh.</w:t>
      </w:r>
      <w:r w:rsidR="00A305AF" w:rsidRPr="00A305AF">
        <w:rPr>
          <w:rStyle w:val="FootnoteReference"/>
          <w:rFonts w:ascii="Open Sans" w:hAnsi="Open Sans" w:cs="Open Sans"/>
        </w:rPr>
        <w:t xml:space="preserve"> </w:t>
      </w:r>
      <w:r w:rsidR="00A305AF">
        <w:rPr>
          <w:rStyle w:val="FootnoteReference"/>
          <w:rFonts w:ascii="Open Sans" w:hAnsi="Open Sans" w:cs="Open Sans"/>
        </w:rPr>
        <w:footnoteReference w:id="10"/>
      </w:r>
      <w:r w:rsidR="00A305AF">
        <w:rPr>
          <w:rFonts w:ascii="Open Sans" w:hAnsi="Open Sans" w:cs="Open Sans"/>
        </w:rPr>
        <w:t xml:space="preserve">  A consumer switching from a gas boiler to a heat pump is likely to see significant increase in running costs which is not addressed by a one-off capex focused grant support mechanism. </w:t>
      </w:r>
      <w:r w:rsidR="00AC2B86">
        <w:rPr>
          <w:rFonts w:ascii="Open Sans" w:hAnsi="Open Sans" w:cs="Open Sans"/>
        </w:rPr>
        <w:t xml:space="preserve">Very similar comparisons can be made to the ongoing costs of biomass feedstocks compared to continuing to burn oil. </w:t>
      </w:r>
      <w:r w:rsidR="00A305AF">
        <w:rPr>
          <w:rFonts w:ascii="Open Sans" w:hAnsi="Open Sans" w:cs="Open Sans"/>
        </w:rPr>
        <w:t xml:space="preserve">Any saving the consumer makes in upfront costs is quickly negated by ongoing </w:t>
      </w:r>
      <w:r w:rsidR="00AC2B86">
        <w:rPr>
          <w:rFonts w:ascii="Open Sans" w:hAnsi="Open Sans" w:cs="Open Sans"/>
        </w:rPr>
        <w:t>operational expenditure</w:t>
      </w:r>
      <w:r w:rsidR="00A305AF">
        <w:rPr>
          <w:rFonts w:ascii="Open Sans" w:hAnsi="Open Sans" w:cs="Open Sans"/>
        </w:rPr>
        <w:t xml:space="preserve">, providing little incentive for the consumer to make the switch. </w:t>
      </w:r>
    </w:p>
    <w:p w14:paraId="4C06041F" w14:textId="1DD8E53E" w:rsidR="009C2B36" w:rsidRDefault="009C2B36" w:rsidP="005443AB">
      <w:pPr>
        <w:rPr>
          <w:rFonts w:ascii="Open Sans" w:hAnsi="Open Sans" w:cs="Open Sans"/>
        </w:rPr>
      </w:pPr>
    </w:p>
    <w:p w14:paraId="3C8C6794" w14:textId="500AD2E4" w:rsidR="00B17DE4" w:rsidRDefault="00283149" w:rsidP="005443AB">
      <w:pPr>
        <w:rPr>
          <w:rFonts w:ascii="Open Sans" w:hAnsi="Open Sans" w:cs="Open Sans"/>
        </w:rPr>
      </w:pPr>
      <w:r>
        <w:rPr>
          <w:rFonts w:ascii="Open Sans" w:hAnsi="Open Sans" w:cs="Open Sans"/>
        </w:rPr>
        <w:t xml:space="preserve">Similarly, the tariff mechanisms allowed for </w:t>
      </w:r>
      <w:r w:rsidR="00B17DE4">
        <w:rPr>
          <w:rFonts w:ascii="Open Sans" w:hAnsi="Open Sans" w:cs="Open Sans"/>
        </w:rPr>
        <w:t>ongoing obligations to be placed on the applicant</w:t>
      </w:r>
      <w:r>
        <w:rPr>
          <w:rFonts w:ascii="Open Sans" w:hAnsi="Open Sans" w:cs="Open Sans"/>
        </w:rPr>
        <w:t xml:space="preserve"> at risk of losing future payments</w:t>
      </w:r>
      <w:r w:rsidR="00B17DE4">
        <w:rPr>
          <w:rFonts w:ascii="Open Sans" w:hAnsi="Open Sans" w:cs="Open Sans"/>
        </w:rPr>
        <w:t>, helping to enforce sustainability</w:t>
      </w:r>
      <w:r>
        <w:rPr>
          <w:rFonts w:ascii="Open Sans" w:hAnsi="Open Sans" w:cs="Open Sans"/>
        </w:rPr>
        <w:t xml:space="preserve"> </w:t>
      </w:r>
      <w:r w:rsidR="00B17DE4">
        <w:rPr>
          <w:rFonts w:ascii="Open Sans" w:hAnsi="Open Sans" w:cs="Open Sans"/>
        </w:rPr>
        <w:t xml:space="preserve">or usage standards. </w:t>
      </w:r>
    </w:p>
    <w:p w14:paraId="32B15E28" w14:textId="77777777" w:rsidR="00B17DE4" w:rsidRDefault="00B17DE4" w:rsidP="005443AB">
      <w:pPr>
        <w:rPr>
          <w:rFonts w:ascii="Open Sans" w:hAnsi="Open Sans" w:cs="Open Sans"/>
        </w:rPr>
      </w:pPr>
    </w:p>
    <w:p w14:paraId="1AD06458" w14:textId="662BABB6" w:rsidR="00116A26" w:rsidRDefault="00116A26" w:rsidP="005443AB">
      <w:pPr>
        <w:rPr>
          <w:rFonts w:ascii="Open Sans" w:hAnsi="Open Sans" w:cs="Open Sans"/>
        </w:rPr>
      </w:pPr>
      <w:r w:rsidRPr="005E14B3">
        <w:rPr>
          <w:rFonts w:ascii="Open Sans" w:hAnsi="Open Sans" w:cs="Open Sans"/>
        </w:rPr>
        <w:t>If tariff levels are set correctly,</w:t>
      </w:r>
      <w:r w:rsidR="005E14B3">
        <w:rPr>
          <w:rFonts w:ascii="Open Sans" w:hAnsi="Open Sans" w:cs="Open Sans"/>
        </w:rPr>
        <w:t xml:space="preserve"> allowances like</w:t>
      </w:r>
      <w:r w:rsidRPr="005E14B3">
        <w:rPr>
          <w:rFonts w:ascii="Open Sans" w:hAnsi="Open Sans" w:cs="Open Sans"/>
        </w:rPr>
        <w:t xml:space="preserve"> </w:t>
      </w:r>
      <w:r w:rsidR="005E14B3">
        <w:rPr>
          <w:rFonts w:ascii="Open Sans" w:hAnsi="Open Sans" w:cs="Open Sans"/>
        </w:rPr>
        <w:t>‘</w:t>
      </w:r>
      <w:r w:rsidR="004025F6">
        <w:rPr>
          <w:rFonts w:ascii="Open Sans" w:hAnsi="Open Sans" w:cs="Open Sans"/>
        </w:rPr>
        <w:t>A</w:t>
      </w:r>
      <w:r w:rsidRPr="005E14B3">
        <w:rPr>
          <w:rFonts w:ascii="Open Sans" w:hAnsi="Open Sans" w:cs="Open Sans"/>
        </w:rPr>
        <w:t xml:space="preserve">ssignment of </w:t>
      </w:r>
      <w:r w:rsidR="004025F6">
        <w:rPr>
          <w:rFonts w:ascii="Open Sans" w:hAnsi="Open Sans" w:cs="Open Sans"/>
        </w:rPr>
        <w:t>R</w:t>
      </w:r>
      <w:r w:rsidR="00D27988" w:rsidRPr="005E14B3">
        <w:rPr>
          <w:rFonts w:ascii="Open Sans" w:hAnsi="Open Sans" w:cs="Open Sans"/>
        </w:rPr>
        <w:t>ights</w:t>
      </w:r>
      <w:r w:rsidR="00D27988">
        <w:rPr>
          <w:rFonts w:ascii="Open Sans" w:hAnsi="Open Sans" w:cs="Open Sans"/>
        </w:rPr>
        <w:t>’</w:t>
      </w:r>
      <w:r w:rsidRPr="005E14B3">
        <w:rPr>
          <w:rFonts w:ascii="Open Sans" w:hAnsi="Open Sans" w:cs="Open Sans"/>
        </w:rPr>
        <w:t xml:space="preserve"> can overcome the requirement for up front capital expenditure</w:t>
      </w:r>
      <w:r w:rsidR="005E14B3">
        <w:rPr>
          <w:rFonts w:ascii="Open Sans" w:hAnsi="Open Sans" w:cs="Open Sans"/>
        </w:rPr>
        <w:t>, as has been the case at some scales within the RHI</w:t>
      </w:r>
      <w:r w:rsidRPr="005E14B3">
        <w:rPr>
          <w:rFonts w:ascii="Open Sans" w:hAnsi="Open Sans" w:cs="Open Sans"/>
        </w:rPr>
        <w:t xml:space="preserve">.  </w:t>
      </w:r>
      <w:r w:rsidR="005E14B3">
        <w:rPr>
          <w:rFonts w:ascii="Open Sans" w:hAnsi="Open Sans" w:cs="Open Sans"/>
        </w:rPr>
        <w:t xml:space="preserve">Strong design, installation and maintenance standards are needed to accompany </w:t>
      </w:r>
      <w:r w:rsidR="00D27988">
        <w:rPr>
          <w:rFonts w:ascii="Open Sans" w:hAnsi="Open Sans" w:cs="Open Sans"/>
        </w:rPr>
        <w:t>a</w:t>
      </w:r>
      <w:r w:rsidR="005E14B3">
        <w:rPr>
          <w:rFonts w:ascii="Open Sans" w:hAnsi="Open Sans" w:cs="Open Sans"/>
        </w:rPr>
        <w:t xml:space="preserve"> grant scheme to ensure quality installations are </w:t>
      </w:r>
      <w:r w:rsidR="00D27988">
        <w:rPr>
          <w:rFonts w:ascii="Open Sans" w:hAnsi="Open Sans" w:cs="Open Sans"/>
        </w:rPr>
        <w:t>installed</w:t>
      </w:r>
      <w:r w:rsidR="005E14B3">
        <w:rPr>
          <w:rFonts w:ascii="Open Sans" w:hAnsi="Open Sans" w:cs="Open Sans"/>
        </w:rPr>
        <w:t xml:space="preserve"> and used. </w:t>
      </w:r>
    </w:p>
    <w:p w14:paraId="69CD0442" w14:textId="49817B13" w:rsidR="00A5230C" w:rsidRDefault="00A5230C" w:rsidP="005443AB">
      <w:pPr>
        <w:rPr>
          <w:rFonts w:ascii="Open Sans" w:hAnsi="Open Sans" w:cs="Open Sans"/>
        </w:rPr>
      </w:pPr>
    </w:p>
    <w:p w14:paraId="075B5EF9" w14:textId="221D481B" w:rsidR="00A5230C" w:rsidRPr="00273E54" w:rsidRDefault="00A5230C" w:rsidP="005443AB">
      <w:pPr>
        <w:rPr>
          <w:rFonts w:ascii="Open Sans" w:hAnsi="Open Sans" w:cs="Open Sans"/>
          <w:szCs w:val="22"/>
        </w:rPr>
      </w:pPr>
      <w:r>
        <w:rPr>
          <w:rFonts w:ascii="Open Sans" w:hAnsi="Open Sans" w:cs="Open Sans"/>
        </w:rPr>
        <w:t xml:space="preserve">We strongly encourage BEIS to further consider a tariff-based scheme, especially for larger scale projects, where economies of scale mean that up front capital </w:t>
      </w:r>
      <w:r w:rsidR="00F50375">
        <w:rPr>
          <w:rFonts w:ascii="Open Sans" w:hAnsi="Open Sans" w:cs="Open Sans"/>
        </w:rPr>
        <w:t>are</w:t>
      </w:r>
      <w:r>
        <w:rPr>
          <w:rFonts w:ascii="Open Sans" w:hAnsi="Open Sans" w:cs="Open Sans"/>
        </w:rPr>
        <w:t xml:space="preserve"> less of a barrier due to access to finance. Lessons can be learned f</w:t>
      </w:r>
      <w:r w:rsidR="00F50375">
        <w:rPr>
          <w:rFonts w:ascii="Open Sans" w:hAnsi="Open Sans" w:cs="Open Sans"/>
        </w:rPr>
        <w:t>rom reforms made to the</w:t>
      </w:r>
      <w:r>
        <w:rPr>
          <w:rFonts w:ascii="Open Sans" w:hAnsi="Open Sans" w:cs="Open Sans"/>
        </w:rPr>
        <w:t xml:space="preserve"> RHI to ensure that a future tariff mechanism </w:t>
      </w:r>
      <w:r w:rsidR="00283149">
        <w:rPr>
          <w:rFonts w:ascii="Open Sans" w:hAnsi="Open Sans" w:cs="Open Sans"/>
        </w:rPr>
        <w:t>are</w:t>
      </w:r>
      <w:r>
        <w:rPr>
          <w:rFonts w:ascii="Open Sans" w:hAnsi="Open Sans" w:cs="Open Sans"/>
        </w:rPr>
        <w:t xml:space="preserve"> well designed</w:t>
      </w:r>
      <w:r w:rsidR="00921A52">
        <w:rPr>
          <w:rFonts w:ascii="Open Sans" w:hAnsi="Open Sans" w:cs="Open Sans"/>
        </w:rPr>
        <w:t>.</w:t>
      </w:r>
    </w:p>
    <w:bookmarkEnd w:id="2"/>
    <w:p w14:paraId="31922F1B" w14:textId="77777777" w:rsidR="00C61353" w:rsidRPr="003C05B2" w:rsidRDefault="00C61353" w:rsidP="003C7304">
      <w:pPr>
        <w:pStyle w:val="ListParagraph"/>
        <w:rPr>
          <w:rFonts w:ascii="Open Sans" w:hAnsi="Open Sans" w:cs="Open Sans"/>
          <w:b/>
          <w:bCs/>
          <w:szCs w:val="22"/>
        </w:rPr>
      </w:pPr>
    </w:p>
    <w:p w14:paraId="7281422F" w14:textId="2DD283CD" w:rsidR="003C05B2" w:rsidRPr="003326CA" w:rsidRDefault="003C05B2" w:rsidP="00F30E27">
      <w:pPr>
        <w:rPr>
          <w:rFonts w:cs="Open Sans"/>
          <w:b/>
          <w:bCs/>
          <w:color w:val="1F3864" w:themeColor="accent1" w:themeShade="80"/>
          <w:szCs w:val="22"/>
        </w:rPr>
      </w:pPr>
      <w:bookmarkStart w:id="3" w:name="OLE_LINK1"/>
      <w:bookmarkStart w:id="4" w:name="OLE_LINK2"/>
      <w:r w:rsidRPr="003326CA">
        <w:rPr>
          <w:rFonts w:cs="Open Sans"/>
          <w:b/>
          <w:bCs/>
          <w:color w:val="1F3864" w:themeColor="accent1" w:themeShade="80"/>
          <w:szCs w:val="22"/>
        </w:rPr>
        <w:t xml:space="preserve">Consultation 24 - </w:t>
      </w:r>
      <w:r w:rsidRPr="003326CA">
        <w:rPr>
          <w:rFonts w:cs="Open Sans"/>
          <w:b/>
          <w:bCs/>
          <w:i/>
          <w:iCs/>
          <w:color w:val="1F3864" w:themeColor="accent1" w:themeShade="80"/>
          <w:szCs w:val="22"/>
        </w:rPr>
        <w:t>Do you agree with our proposal to offer a technology-neutral grant level? Yes/No. Please provide evidence to support your response</w:t>
      </w:r>
    </w:p>
    <w:p w14:paraId="001718AF" w14:textId="2F35E822" w:rsidR="005C7DA8" w:rsidRDefault="005C7DA8" w:rsidP="00F30E27">
      <w:pPr>
        <w:rPr>
          <w:rFonts w:ascii="Open Sans" w:hAnsi="Open Sans" w:cs="Open Sans"/>
          <w:b/>
          <w:bCs/>
          <w:szCs w:val="22"/>
        </w:rPr>
      </w:pPr>
    </w:p>
    <w:p w14:paraId="31A6766C" w14:textId="065758C0" w:rsidR="00402538" w:rsidRDefault="00F50375" w:rsidP="00F30E27">
      <w:pPr>
        <w:rPr>
          <w:rFonts w:ascii="Open Sans" w:hAnsi="Open Sans" w:cs="Open Sans"/>
          <w:szCs w:val="22"/>
        </w:rPr>
      </w:pPr>
      <w:r>
        <w:rPr>
          <w:rFonts w:ascii="Open Sans" w:hAnsi="Open Sans" w:cs="Open Sans"/>
          <w:b/>
          <w:bCs/>
          <w:szCs w:val="22"/>
        </w:rPr>
        <w:t>T</w:t>
      </w:r>
      <w:r w:rsidR="00402538">
        <w:rPr>
          <w:rFonts w:ascii="Open Sans" w:hAnsi="Open Sans" w:cs="Open Sans"/>
          <w:b/>
          <w:bCs/>
          <w:szCs w:val="22"/>
        </w:rPr>
        <w:t>he REA</w:t>
      </w:r>
      <w:r w:rsidR="007B0996" w:rsidRPr="00402538">
        <w:rPr>
          <w:rFonts w:ascii="Open Sans" w:hAnsi="Open Sans" w:cs="Open Sans"/>
          <w:b/>
          <w:bCs/>
          <w:szCs w:val="22"/>
        </w:rPr>
        <w:t xml:space="preserve"> support the </w:t>
      </w:r>
      <w:r w:rsidR="005C7DA8" w:rsidRPr="00402538">
        <w:rPr>
          <w:rFonts w:ascii="Open Sans" w:hAnsi="Open Sans" w:cs="Open Sans"/>
          <w:b/>
          <w:bCs/>
          <w:szCs w:val="22"/>
        </w:rPr>
        <w:t xml:space="preserve">policy intention to deliver a </w:t>
      </w:r>
      <w:r w:rsidR="007B0996" w:rsidRPr="00402538">
        <w:rPr>
          <w:rFonts w:ascii="Open Sans" w:hAnsi="Open Sans" w:cs="Open Sans"/>
          <w:b/>
          <w:bCs/>
          <w:szCs w:val="22"/>
        </w:rPr>
        <w:t>technology-neutral support mechanism</w:t>
      </w:r>
      <w:r>
        <w:rPr>
          <w:rFonts w:ascii="Open Sans" w:hAnsi="Open Sans" w:cs="Open Sans"/>
          <w:b/>
          <w:bCs/>
          <w:szCs w:val="22"/>
        </w:rPr>
        <w:t xml:space="preserve">, however </w:t>
      </w:r>
      <w:r w:rsidR="007B0996" w:rsidRPr="00402538">
        <w:rPr>
          <w:rFonts w:ascii="Open Sans" w:hAnsi="Open Sans" w:cs="Open Sans"/>
          <w:b/>
          <w:bCs/>
          <w:szCs w:val="22"/>
        </w:rPr>
        <w:t xml:space="preserve">this is </w:t>
      </w:r>
      <w:r w:rsidR="007B0996" w:rsidRPr="00402538">
        <w:rPr>
          <w:rFonts w:ascii="Open Sans" w:hAnsi="Open Sans" w:cs="Open Sans"/>
          <w:b/>
          <w:bCs/>
          <w:szCs w:val="22"/>
          <w:u w:val="single"/>
        </w:rPr>
        <w:t>not</w:t>
      </w:r>
      <w:r w:rsidR="007B0996" w:rsidRPr="00402538">
        <w:rPr>
          <w:rFonts w:ascii="Open Sans" w:hAnsi="Open Sans" w:cs="Open Sans"/>
          <w:b/>
          <w:bCs/>
          <w:szCs w:val="22"/>
        </w:rPr>
        <w:t xml:space="preserve"> what </w:t>
      </w:r>
      <w:r>
        <w:rPr>
          <w:rFonts w:ascii="Open Sans" w:hAnsi="Open Sans" w:cs="Open Sans"/>
          <w:b/>
          <w:bCs/>
          <w:szCs w:val="22"/>
        </w:rPr>
        <w:t xml:space="preserve">will be </w:t>
      </w:r>
      <w:r w:rsidR="007B0996" w:rsidRPr="00402538">
        <w:rPr>
          <w:rFonts w:ascii="Open Sans" w:hAnsi="Open Sans" w:cs="Open Sans"/>
          <w:b/>
          <w:bCs/>
          <w:szCs w:val="22"/>
        </w:rPr>
        <w:t>delivered by</w:t>
      </w:r>
      <w:r w:rsidR="00DC03AF">
        <w:rPr>
          <w:rFonts w:ascii="Open Sans" w:hAnsi="Open Sans" w:cs="Open Sans"/>
          <w:b/>
          <w:bCs/>
          <w:szCs w:val="22"/>
        </w:rPr>
        <w:t xml:space="preserve"> the </w:t>
      </w:r>
      <w:r w:rsidR="009B4E0D" w:rsidRPr="00402538">
        <w:rPr>
          <w:rFonts w:ascii="Open Sans" w:hAnsi="Open Sans" w:cs="Open Sans"/>
          <w:b/>
          <w:bCs/>
          <w:szCs w:val="22"/>
        </w:rPr>
        <w:t xml:space="preserve">current </w:t>
      </w:r>
      <w:r w:rsidR="007B0996" w:rsidRPr="00402538">
        <w:rPr>
          <w:rFonts w:ascii="Open Sans" w:hAnsi="Open Sans" w:cs="Open Sans"/>
          <w:b/>
          <w:bCs/>
          <w:szCs w:val="22"/>
        </w:rPr>
        <w:t xml:space="preserve">design </w:t>
      </w:r>
      <w:r w:rsidR="009B4E0D" w:rsidRPr="00402538">
        <w:rPr>
          <w:rFonts w:ascii="Open Sans" w:hAnsi="Open Sans" w:cs="Open Sans"/>
          <w:b/>
          <w:bCs/>
          <w:szCs w:val="22"/>
        </w:rPr>
        <w:t>of</w:t>
      </w:r>
      <w:r w:rsidR="007B0996" w:rsidRPr="00402538">
        <w:rPr>
          <w:rFonts w:ascii="Open Sans" w:hAnsi="Open Sans" w:cs="Open Sans"/>
          <w:b/>
          <w:bCs/>
          <w:szCs w:val="22"/>
        </w:rPr>
        <w:t xml:space="preserve"> the clean </w:t>
      </w:r>
      <w:r>
        <w:rPr>
          <w:rFonts w:ascii="Open Sans" w:hAnsi="Open Sans" w:cs="Open Sans"/>
          <w:b/>
          <w:bCs/>
          <w:szCs w:val="22"/>
        </w:rPr>
        <w:t>H</w:t>
      </w:r>
      <w:r w:rsidR="007B0996" w:rsidRPr="00402538">
        <w:rPr>
          <w:rFonts w:ascii="Open Sans" w:hAnsi="Open Sans" w:cs="Open Sans"/>
          <w:b/>
          <w:bCs/>
          <w:szCs w:val="22"/>
        </w:rPr>
        <w:t xml:space="preserve">eat </w:t>
      </w:r>
      <w:r>
        <w:rPr>
          <w:rFonts w:ascii="Open Sans" w:hAnsi="Open Sans" w:cs="Open Sans"/>
          <w:b/>
          <w:bCs/>
          <w:szCs w:val="22"/>
        </w:rPr>
        <w:t>G</w:t>
      </w:r>
      <w:r w:rsidR="007B0996" w:rsidRPr="00402538">
        <w:rPr>
          <w:rFonts w:ascii="Open Sans" w:hAnsi="Open Sans" w:cs="Open Sans"/>
          <w:b/>
          <w:bCs/>
          <w:szCs w:val="22"/>
        </w:rPr>
        <w:t xml:space="preserve">rant </w:t>
      </w:r>
      <w:r>
        <w:rPr>
          <w:rFonts w:ascii="Open Sans" w:hAnsi="Open Sans" w:cs="Open Sans"/>
          <w:b/>
          <w:bCs/>
          <w:szCs w:val="22"/>
        </w:rPr>
        <w:t>S</w:t>
      </w:r>
      <w:r w:rsidR="007B0996" w:rsidRPr="00402538">
        <w:rPr>
          <w:rFonts w:ascii="Open Sans" w:hAnsi="Open Sans" w:cs="Open Sans"/>
          <w:b/>
          <w:bCs/>
          <w:szCs w:val="22"/>
        </w:rPr>
        <w:t>cheme</w:t>
      </w:r>
      <w:r w:rsidR="007B0996">
        <w:rPr>
          <w:rFonts w:ascii="Open Sans" w:hAnsi="Open Sans" w:cs="Open Sans"/>
          <w:szCs w:val="22"/>
        </w:rPr>
        <w:t xml:space="preserve">. </w:t>
      </w:r>
    </w:p>
    <w:p w14:paraId="2F832CE9" w14:textId="77777777" w:rsidR="00402538" w:rsidRDefault="00402538" w:rsidP="00F30E27">
      <w:pPr>
        <w:rPr>
          <w:rFonts w:ascii="Open Sans" w:hAnsi="Open Sans" w:cs="Open Sans"/>
          <w:szCs w:val="22"/>
        </w:rPr>
      </w:pPr>
    </w:p>
    <w:p w14:paraId="432438F6" w14:textId="53A535CC" w:rsidR="005C7DA8" w:rsidRDefault="007B0996" w:rsidP="00F30E27">
      <w:pPr>
        <w:rPr>
          <w:rFonts w:ascii="Open Sans" w:hAnsi="Open Sans" w:cs="Open Sans"/>
          <w:szCs w:val="22"/>
        </w:rPr>
      </w:pPr>
      <w:r w:rsidRPr="00C9593D">
        <w:rPr>
          <w:rFonts w:ascii="Open Sans" w:hAnsi="Open Sans" w:cs="Open Sans"/>
          <w:szCs w:val="22"/>
        </w:rPr>
        <w:t xml:space="preserve">The </w:t>
      </w:r>
      <w:r w:rsidR="00981D75" w:rsidRPr="00C9593D">
        <w:rPr>
          <w:rFonts w:ascii="Open Sans" w:hAnsi="Open Sans" w:cs="Open Sans"/>
          <w:szCs w:val="22"/>
        </w:rPr>
        <w:t>consultation</w:t>
      </w:r>
      <w:r w:rsidR="00981D75">
        <w:rPr>
          <w:rFonts w:ascii="Open Sans" w:hAnsi="Open Sans" w:cs="Open Sans"/>
          <w:szCs w:val="22"/>
        </w:rPr>
        <w:t xml:space="preserve"> states</w:t>
      </w:r>
      <w:r w:rsidR="00AC2B86">
        <w:rPr>
          <w:rFonts w:ascii="Open Sans" w:hAnsi="Open Sans" w:cs="Open Sans"/>
          <w:szCs w:val="22"/>
        </w:rPr>
        <w:t xml:space="preserve"> </w:t>
      </w:r>
      <w:r w:rsidR="00981D75">
        <w:rPr>
          <w:rFonts w:ascii="Open Sans" w:hAnsi="Open Sans" w:cs="Open Sans"/>
          <w:szCs w:val="22"/>
        </w:rPr>
        <w:t xml:space="preserve">clearly </w:t>
      </w:r>
      <w:r w:rsidRPr="00C9593D">
        <w:rPr>
          <w:rFonts w:ascii="Open Sans" w:hAnsi="Open Sans" w:cs="Open Sans"/>
          <w:szCs w:val="22"/>
        </w:rPr>
        <w:t>that the current design</w:t>
      </w:r>
      <w:r w:rsidR="00C9593D" w:rsidRPr="00C9593D">
        <w:rPr>
          <w:rFonts w:ascii="Open Sans" w:hAnsi="Open Sans" w:cs="Open Sans"/>
          <w:szCs w:val="22"/>
        </w:rPr>
        <w:t xml:space="preserve"> is</w:t>
      </w:r>
      <w:r w:rsidRPr="00C9593D">
        <w:rPr>
          <w:rFonts w:ascii="Open Sans" w:hAnsi="Open Sans" w:cs="Open Sans"/>
          <w:szCs w:val="22"/>
        </w:rPr>
        <w:t xml:space="preserve"> </w:t>
      </w:r>
      <w:r w:rsidR="00C9593D" w:rsidRPr="00381F18">
        <w:rPr>
          <w:rFonts w:ascii="Open Sans" w:hAnsi="Open Sans" w:cs="Open Sans"/>
          <w:i/>
          <w:iCs/>
          <w:szCs w:val="22"/>
        </w:rPr>
        <w:t>“comparatively less attractive [for biomass] than it is for ASHPs. Covering a lower proportion of the upfront cost, coupled with stringent eligibility criteria”.</w:t>
      </w:r>
      <w:r w:rsidR="00C9593D">
        <w:rPr>
          <w:rFonts w:ascii="Open Sans" w:hAnsi="Open Sans" w:cs="Open Sans"/>
          <w:szCs w:val="22"/>
        </w:rPr>
        <w:t xml:space="preserve"> Similarly, the consultation highlights </w:t>
      </w:r>
      <w:r w:rsidR="00381F18">
        <w:rPr>
          <w:rFonts w:ascii="Open Sans" w:hAnsi="Open Sans" w:cs="Open Sans"/>
          <w:szCs w:val="22"/>
        </w:rPr>
        <w:t>several</w:t>
      </w:r>
      <w:r w:rsidR="00C9593D">
        <w:rPr>
          <w:rFonts w:ascii="Open Sans" w:hAnsi="Open Sans" w:cs="Open Sans"/>
          <w:szCs w:val="22"/>
        </w:rPr>
        <w:t xml:space="preserve"> technologies </w:t>
      </w:r>
      <w:r w:rsidR="00381F18">
        <w:rPr>
          <w:rFonts w:ascii="Open Sans" w:hAnsi="Open Sans" w:cs="Open Sans"/>
          <w:szCs w:val="22"/>
        </w:rPr>
        <w:lastRenderedPageBreak/>
        <w:t>purposefully excluded from the</w:t>
      </w:r>
      <w:r w:rsidR="00C9593D">
        <w:rPr>
          <w:rFonts w:ascii="Open Sans" w:hAnsi="Open Sans" w:cs="Open Sans"/>
          <w:szCs w:val="22"/>
        </w:rPr>
        <w:t xml:space="preserve"> scheme, including solar thermal, biofuels, hybrid systems and geothermal. </w:t>
      </w:r>
    </w:p>
    <w:p w14:paraId="08B65AED" w14:textId="56CAF569" w:rsidR="00C9593D" w:rsidRDefault="00C9593D" w:rsidP="00F30E27">
      <w:pPr>
        <w:rPr>
          <w:rFonts w:ascii="Open Sans" w:hAnsi="Open Sans" w:cs="Open Sans"/>
          <w:szCs w:val="22"/>
        </w:rPr>
      </w:pPr>
    </w:p>
    <w:p w14:paraId="551F3296" w14:textId="3219683C" w:rsidR="00B30129" w:rsidRDefault="00481BE2" w:rsidP="00F30E27">
      <w:pPr>
        <w:rPr>
          <w:rFonts w:ascii="Open Sans" w:hAnsi="Open Sans" w:cs="Open Sans"/>
          <w:szCs w:val="22"/>
        </w:rPr>
      </w:pPr>
      <w:r>
        <w:rPr>
          <w:rFonts w:ascii="Open Sans" w:hAnsi="Open Sans" w:cs="Open Sans"/>
          <w:szCs w:val="22"/>
        </w:rPr>
        <w:t>The consultation goes onto to directly identify ASHP’s as of strategic importance</w:t>
      </w:r>
      <w:r w:rsidR="009750BD">
        <w:rPr>
          <w:rFonts w:ascii="Open Sans" w:hAnsi="Open Sans" w:cs="Open Sans"/>
          <w:szCs w:val="22"/>
        </w:rPr>
        <w:t xml:space="preserve">, while the stated capex figures </w:t>
      </w:r>
      <w:r>
        <w:rPr>
          <w:rFonts w:ascii="Open Sans" w:hAnsi="Open Sans" w:cs="Open Sans"/>
          <w:szCs w:val="22"/>
        </w:rPr>
        <w:t xml:space="preserve">within the Impact Assessment demonstrate that the grant has been designed to </w:t>
      </w:r>
      <w:r w:rsidR="009750BD">
        <w:rPr>
          <w:rFonts w:ascii="Open Sans" w:hAnsi="Open Sans" w:cs="Open Sans"/>
          <w:szCs w:val="22"/>
        </w:rPr>
        <w:t>primarily deliver this technology</w:t>
      </w:r>
      <w:r>
        <w:rPr>
          <w:rFonts w:ascii="Open Sans" w:hAnsi="Open Sans" w:cs="Open Sans"/>
          <w:szCs w:val="22"/>
        </w:rPr>
        <w:t xml:space="preserve">. </w:t>
      </w:r>
      <w:r w:rsidR="009750BD">
        <w:rPr>
          <w:rFonts w:ascii="Open Sans" w:hAnsi="Open Sans" w:cs="Open Sans"/>
          <w:szCs w:val="22"/>
        </w:rPr>
        <w:t>As such</w:t>
      </w:r>
      <w:r w:rsidR="005C25C8">
        <w:rPr>
          <w:rFonts w:ascii="Open Sans" w:hAnsi="Open Sans" w:cs="Open Sans"/>
          <w:szCs w:val="22"/>
        </w:rPr>
        <w:t>,</w:t>
      </w:r>
      <w:r w:rsidR="009750BD">
        <w:rPr>
          <w:rFonts w:ascii="Open Sans" w:hAnsi="Open Sans" w:cs="Open Sans"/>
          <w:szCs w:val="22"/>
        </w:rPr>
        <w:t xml:space="preserve"> the policy objective </w:t>
      </w:r>
      <w:r w:rsidR="005C25C8">
        <w:rPr>
          <w:rFonts w:ascii="Open Sans" w:hAnsi="Open Sans" w:cs="Open Sans"/>
          <w:szCs w:val="22"/>
        </w:rPr>
        <w:t>cannot</w:t>
      </w:r>
      <w:r w:rsidR="009750BD">
        <w:rPr>
          <w:rFonts w:ascii="Open Sans" w:hAnsi="Open Sans" w:cs="Open Sans"/>
          <w:szCs w:val="22"/>
        </w:rPr>
        <w:t xml:space="preserve"> </w:t>
      </w:r>
      <w:r w:rsidR="005C25C8">
        <w:rPr>
          <w:rFonts w:ascii="Open Sans" w:hAnsi="Open Sans" w:cs="Open Sans"/>
          <w:szCs w:val="22"/>
        </w:rPr>
        <w:t xml:space="preserve">be claimed as </w:t>
      </w:r>
      <w:r w:rsidR="009750BD">
        <w:rPr>
          <w:rFonts w:ascii="Open Sans" w:hAnsi="Open Sans" w:cs="Open Sans"/>
          <w:szCs w:val="22"/>
        </w:rPr>
        <w:t>tec</w:t>
      </w:r>
      <w:r w:rsidR="005C25C8">
        <w:rPr>
          <w:rFonts w:ascii="Open Sans" w:hAnsi="Open Sans" w:cs="Open Sans"/>
          <w:szCs w:val="22"/>
        </w:rPr>
        <w:t xml:space="preserve">hnology neutral and the resulting </w:t>
      </w:r>
      <w:r w:rsidR="009750BD">
        <w:rPr>
          <w:rFonts w:ascii="Open Sans" w:hAnsi="Open Sans" w:cs="Open Sans"/>
          <w:szCs w:val="22"/>
        </w:rPr>
        <w:t>policy sends</w:t>
      </w:r>
      <w:r w:rsidR="005C25C8">
        <w:rPr>
          <w:rFonts w:ascii="Open Sans" w:hAnsi="Open Sans" w:cs="Open Sans"/>
          <w:szCs w:val="22"/>
        </w:rPr>
        <w:t xml:space="preserve"> a</w:t>
      </w:r>
      <w:r w:rsidR="009750BD">
        <w:rPr>
          <w:rFonts w:ascii="Open Sans" w:hAnsi="Open Sans" w:cs="Open Sans"/>
          <w:szCs w:val="22"/>
        </w:rPr>
        <w:t xml:space="preserve"> clear market signal</w:t>
      </w:r>
      <w:r w:rsidR="0016569E">
        <w:rPr>
          <w:rFonts w:ascii="Open Sans" w:hAnsi="Open Sans" w:cs="Open Sans"/>
          <w:szCs w:val="22"/>
        </w:rPr>
        <w:t>, which ultimately also heavily</w:t>
      </w:r>
      <w:r w:rsidR="00F61F36">
        <w:rPr>
          <w:rFonts w:ascii="Open Sans" w:hAnsi="Open Sans" w:cs="Open Sans"/>
          <w:szCs w:val="22"/>
        </w:rPr>
        <w:t xml:space="preserve"> restricts consumer choice</w:t>
      </w:r>
      <w:r w:rsidR="0016569E">
        <w:rPr>
          <w:rFonts w:ascii="Open Sans" w:hAnsi="Open Sans" w:cs="Open Sans"/>
          <w:szCs w:val="22"/>
        </w:rPr>
        <w:t>.</w:t>
      </w:r>
    </w:p>
    <w:p w14:paraId="13C08770" w14:textId="77777777" w:rsidR="0016569E" w:rsidRDefault="0016569E" w:rsidP="00F30E27">
      <w:pPr>
        <w:rPr>
          <w:rFonts w:ascii="Open Sans" w:hAnsi="Open Sans" w:cs="Open Sans"/>
          <w:szCs w:val="22"/>
        </w:rPr>
      </w:pPr>
    </w:p>
    <w:p w14:paraId="29031C89" w14:textId="2A5EB857" w:rsidR="005C25C8" w:rsidRDefault="009750BD" w:rsidP="00F30E27">
      <w:pPr>
        <w:rPr>
          <w:rFonts w:ascii="Open Sans" w:hAnsi="Open Sans" w:cs="Open Sans"/>
          <w:szCs w:val="22"/>
        </w:rPr>
      </w:pPr>
      <w:r>
        <w:rPr>
          <w:rFonts w:ascii="Open Sans" w:hAnsi="Open Sans" w:cs="Open Sans"/>
          <w:szCs w:val="22"/>
        </w:rPr>
        <w:t>As described in answer to question 25, a</w:t>
      </w:r>
      <w:r w:rsidR="00381F18">
        <w:rPr>
          <w:rFonts w:ascii="Open Sans" w:hAnsi="Open Sans" w:cs="Open Sans"/>
          <w:szCs w:val="22"/>
        </w:rPr>
        <w:t xml:space="preserve"> technology-neutral </w:t>
      </w:r>
      <w:r w:rsidR="00981D75">
        <w:rPr>
          <w:rFonts w:ascii="Open Sans" w:hAnsi="Open Sans" w:cs="Open Sans"/>
          <w:szCs w:val="22"/>
        </w:rPr>
        <w:t>grant</w:t>
      </w:r>
      <w:r w:rsidR="009B4E0D">
        <w:rPr>
          <w:rFonts w:ascii="Open Sans" w:hAnsi="Open Sans" w:cs="Open Sans"/>
          <w:szCs w:val="22"/>
        </w:rPr>
        <w:t xml:space="preserve"> could be achieved through a </w:t>
      </w:r>
      <w:r w:rsidR="00981D75">
        <w:rPr>
          <w:rFonts w:ascii="Open Sans" w:hAnsi="Open Sans" w:cs="Open Sans"/>
          <w:szCs w:val="22"/>
        </w:rPr>
        <w:t>flexible</w:t>
      </w:r>
      <w:r w:rsidR="009B4E0D">
        <w:rPr>
          <w:rFonts w:ascii="Open Sans" w:hAnsi="Open Sans" w:cs="Open Sans"/>
          <w:szCs w:val="22"/>
        </w:rPr>
        <w:t xml:space="preserve"> grant level based on the capacity deployed</w:t>
      </w:r>
      <w:r w:rsidR="00981D75">
        <w:rPr>
          <w:rFonts w:ascii="Open Sans" w:hAnsi="Open Sans" w:cs="Open Sans"/>
          <w:szCs w:val="22"/>
        </w:rPr>
        <w:t xml:space="preserve">. This would help cover the partial cost of each </w:t>
      </w:r>
      <w:r w:rsidR="009B4E0D">
        <w:rPr>
          <w:rFonts w:ascii="Open Sans" w:hAnsi="Open Sans" w:cs="Open Sans"/>
          <w:szCs w:val="22"/>
        </w:rPr>
        <w:t>k</w:t>
      </w:r>
      <w:r w:rsidR="00981D75">
        <w:rPr>
          <w:rFonts w:ascii="Open Sans" w:hAnsi="Open Sans" w:cs="Open Sans"/>
          <w:szCs w:val="22"/>
        </w:rPr>
        <w:t xml:space="preserve">W, no matter the technology. This would allow developers to </w:t>
      </w:r>
      <w:r w:rsidR="009B4E0D">
        <w:rPr>
          <w:rFonts w:ascii="Open Sans" w:hAnsi="Open Sans" w:cs="Open Sans"/>
          <w:szCs w:val="22"/>
        </w:rPr>
        <w:t>assess</w:t>
      </w:r>
      <w:r w:rsidR="00981D75">
        <w:rPr>
          <w:rFonts w:ascii="Open Sans" w:hAnsi="Open Sans" w:cs="Open Sans"/>
          <w:szCs w:val="22"/>
        </w:rPr>
        <w:t xml:space="preserve"> a property and its heat </w:t>
      </w:r>
      <w:r w:rsidR="009B4E0D">
        <w:rPr>
          <w:rFonts w:ascii="Open Sans" w:hAnsi="Open Sans" w:cs="Open Sans"/>
          <w:szCs w:val="22"/>
        </w:rPr>
        <w:t xml:space="preserve">requirements, allowing </w:t>
      </w:r>
      <w:r w:rsidR="00481BE2">
        <w:rPr>
          <w:rFonts w:ascii="Open Sans" w:hAnsi="Open Sans" w:cs="Open Sans"/>
          <w:szCs w:val="22"/>
        </w:rPr>
        <w:t xml:space="preserve">for </w:t>
      </w:r>
      <w:r w:rsidR="009B4E0D">
        <w:rPr>
          <w:rFonts w:ascii="Open Sans" w:hAnsi="Open Sans" w:cs="Open Sans"/>
          <w:szCs w:val="22"/>
        </w:rPr>
        <w:t xml:space="preserve">the design of </w:t>
      </w:r>
      <w:r w:rsidR="00481BE2">
        <w:rPr>
          <w:rFonts w:ascii="Open Sans" w:hAnsi="Open Sans" w:cs="Open Sans"/>
          <w:szCs w:val="22"/>
        </w:rPr>
        <w:t xml:space="preserve">a </w:t>
      </w:r>
      <w:r w:rsidR="009B4E0D">
        <w:rPr>
          <w:rFonts w:ascii="Open Sans" w:hAnsi="Open Sans" w:cs="Open Sans"/>
          <w:szCs w:val="22"/>
        </w:rPr>
        <w:t>heat</w:t>
      </w:r>
      <w:r w:rsidR="00981D75">
        <w:rPr>
          <w:rFonts w:ascii="Open Sans" w:hAnsi="Open Sans" w:cs="Open Sans"/>
          <w:szCs w:val="22"/>
        </w:rPr>
        <w:t xml:space="preserve"> installation in accordance </w:t>
      </w:r>
      <w:r w:rsidR="009B4E0D">
        <w:rPr>
          <w:rFonts w:ascii="Open Sans" w:hAnsi="Open Sans" w:cs="Open Sans"/>
          <w:szCs w:val="22"/>
        </w:rPr>
        <w:t xml:space="preserve">with the need of the </w:t>
      </w:r>
      <w:r w:rsidR="005C25C8">
        <w:rPr>
          <w:rFonts w:ascii="Open Sans" w:hAnsi="Open Sans" w:cs="Open Sans"/>
          <w:szCs w:val="22"/>
        </w:rPr>
        <w:t>building</w:t>
      </w:r>
      <w:r w:rsidR="00981D75">
        <w:rPr>
          <w:rFonts w:ascii="Open Sans" w:hAnsi="Open Sans" w:cs="Open Sans"/>
          <w:szCs w:val="22"/>
        </w:rPr>
        <w:t xml:space="preserve">. </w:t>
      </w:r>
      <w:r w:rsidR="005C25C8">
        <w:rPr>
          <w:rFonts w:ascii="Open Sans" w:hAnsi="Open Sans" w:cs="Open Sans"/>
          <w:szCs w:val="22"/>
        </w:rPr>
        <w:t xml:space="preserve">The continued use of heat lost assessments will also ensure BEIS’s strategic objective of </w:t>
      </w:r>
      <w:r w:rsidR="0016569E">
        <w:rPr>
          <w:rFonts w:ascii="Open Sans" w:hAnsi="Open Sans" w:cs="Open Sans"/>
          <w:szCs w:val="22"/>
        </w:rPr>
        <w:t xml:space="preserve">primarily </w:t>
      </w:r>
      <w:r w:rsidR="005C25C8">
        <w:rPr>
          <w:rFonts w:ascii="Open Sans" w:hAnsi="Open Sans" w:cs="Open Sans"/>
          <w:szCs w:val="22"/>
        </w:rPr>
        <w:t xml:space="preserve">delivering heat pumps, with biomass where it is most appropriate to do so, is also met. </w:t>
      </w:r>
    </w:p>
    <w:p w14:paraId="4CD31656" w14:textId="77777777" w:rsidR="005C25C8" w:rsidRDefault="005C25C8" w:rsidP="00F30E27">
      <w:pPr>
        <w:rPr>
          <w:rFonts w:ascii="Open Sans" w:hAnsi="Open Sans" w:cs="Open Sans"/>
          <w:szCs w:val="22"/>
        </w:rPr>
      </w:pPr>
    </w:p>
    <w:p w14:paraId="75439309" w14:textId="0A48AE17" w:rsidR="00381F18" w:rsidRPr="00C9593D" w:rsidRDefault="00981D75" w:rsidP="00F30E27">
      <w:pPr>
        <w:rPr>
          <w:rFonts w:ascii="Open Sans" w:hAnsi="Open Sans" w:cs="Open Sans"/>
          <w:color w:val="2F5496"/>
          <w:szCs w:val="22"/>
        </w:rPr>
      </w:pPr>
      <w:r>
        <w:rPr>
          <w:rFonts w:ascii="Open Sans" w:hAnsi="Open Sans" w:cs="Open Sans"/>
          <w:szCs w:val="22"/>
        </w:rPr>
        <w:t>As it stands the grant directly encourages the installation of cheaper technologies</w:t>
      </w:r>
      <w:r w:rsidR="009B4E0D">
        <w:rPr>
          <w:rFonts w:ascii="Open Sans" w:hAnsi="Open Sans" w:cs="Open Sans"/>
          <w:szCs w:val="22"/>
        </w:rPr>
        <w:t xml:space="preserve"> and smaller systems</w:t>
      </w:r>
      <w:r w:rsidR="005C25C8">
        <w:rPr>
          <w:rFonts w:ascii="Open Sans" w:hAnsi="Open Sans" w:cs="Open Sans"/>
          <w:szCs w:val="22"/>
        </w:rPr>
        <w:t xml:space="preserve">. </w:t>
      </w:r>
      <w:r w:rsidR="009B4E0D">
        <w:rPr>
          <w:rFonts w:ascii="Open Sans" w:hAnsi="Open Sans" w:cs="Open Sans"/>
          <w:szCs w:val="22"/>
        </w:rPr>
        <w:t xml:space="preserve"> It does not encourage </w:t>
      </w:r>
      <w:r w:rsidR="005C25C8">
        <w:rPr>
          <w:rFonts w:ascii="Open Sans" w:hAnsi="Open Sans" w:cs="Open Sans"/>
          <w:szCs w:val="22"/>
        </w:rPr>
        <w:t xml:space="preserve">installers to assess the right technology and size of project for that </w:t>
      </w:r>
      <w:r w:rsidR="00F50375">
        <w:rPr>
          <w:rFonts w:ascii="Open Sans" w:hAnsi="Open Sans" w:cs="Open Sans"/>
          <w:szCs w:val="22"/>
        </w:rPr>
        <w:t>building’s</w:t>
      </w:r>
      <w:r w:rsidR="005C25C8">
        <w:rPr>
          <w:rFonts w:ascii="Open Sans" w:hAnsi="Open Sans" w:cs="Open Sans"/>
          <w:szCs w:val="22"/>
        </w:rPr>
        <w:t xml:space="preserve"> needs. </w:t>
      </w:r>
    </w:p>
    <w:p w14:paraId="7BCE4244" w14:textId="77777777" w:rsidR="003C05B2" w:rsidRPr="000C1F50" w:rsidRDefault="003C05B2" w:rsidP="00F30E27">
      <w:pPr>
        <w:rPr>
          <w:rFonts w:ascii="Open Sans" w:hAnsi="Open Sans" w:cs="Open Sans"/>
          <w:b/>
          <w:bCs/>
          <w:color w:val="2F5496"/>
          <w:szCs w:val="22"/>
        </w:rPr>
      </w:pPr>
    </w:p>
    <w:p w14:paraId="5025DB5A" w14:textId="171F3F85" w:rsidR="00B96CE1" w:rsidRPr="000C1F50" w:rsidRDefault="00273E54" w:rsidP="00F30E27">
      <w:pPr>
        <w:rPr>
          <w:rFonts w:ascii="Open Sans" w:hAnsi="Open Sans" w:cs="Open Sans"/>
          <w:b/>
          <w:bCs/>
          <w:i/>
          <w:iCs/>
          <w:color w:val="2F5496"/>
          <w:szCs w:val="22"/>
        </w:rPr>
      </w:pPr>
      <w:r w:rsidRPr="000C1F50">
        <w:rPr>
          <w:rFonts w:ascii="Open Sans" w:hAnsi="Open Sans" w:cs="Open Sans"/>
          <w:b/>
          <w:bCs/>
          <w:color w:val="2F5496"/>
          <w:szCs w:val="22"/>
        </w:rPr>
        <w:t xml:space="preserve">Consultation Question 25 - </w:t>
      </w:r>
      <w:r w:rsidRPr="000C1F50">
        <w:rPr>
          <w:rFonts w:ascii="Open Sans" w:hAnsi="Open Sans" w:cs="Open Sans"/>
          <w:b/>
          <w:bCs/>
          <w:i/>
          <w:iCs/>
          <w:color w:val="2F5496"/>
          <w:szCs w:val="22"/>
        </w:rPr>
        <w:t xml:space="preserve">Do you agree that £4,000 is an appropriate grant amount to meet the aims of the scheme? </w:t>
      </w:r>
    </w:p>
    <w:p w14:paraId="1CC3C247" w14:textId="77777777" w:rsidR="00E54BD8" w:rsidRDefault="00E54BD8" w:rsidP="00E54BD8">
      <w:pPr>
        <w:rPr>
          <w:rFonts w:ascii="Open Sans" w:hAnsi="Open Sans" w:cs="Open Sans"/>
          <w:szCs w:val="22"/>
        </w:rPr>
      </w:pPr>
    </w:p>
    <w:p w14:paraId="02412EC1" w14:textId="42C1B4DE" w:rsidR="00D957D5" w:rsidRPr="0016569E" w:rsidRDefault="00E54BD8" w:rsidP="00D957D5">
      <w:pPr>
        <w:rPr>
          <w:rFonts w:ascii="Open Sans" w:hAnsi="Open Sans" w:cs="Open Sans"/>
          <w:b/>
          <w:bCs/>
          <w:szCs w:val="22"/>
        </w:rPr>
      </w:pPr>
      <w:r w:rsidRPr="0016569E">
        <w:rPr>
          <w:rFonts w:ascii="Open Sans" w:hAnsi="Open Sans" w:cs="Open Sans"/>
          <w:b/>
          <w:bCs/>
          <w:szCs w:val="22"/>
        </w:rPr>
        <w:t xml:space="preserve">No, </w:t>
      </w:r>
      <w:r w:rsidR="003326CA" w:rsidRPr="0016569E">
        <w:rPr>
          <w:rFonts w:ascii="Open Sans" w:hAnsi="Open Sans" w:cs="Open Sans"/>
          <w:b/>
          <w:bCs/>
          <w:szCs w:val="22"/>
        </w:rPr>
        <w:t>t</w:t>
      </w:r>
      <w:r w:rsidRPr="0016569E">
        <w:rPr>
          <w:rFonts w:ascii="Open Sans" w:hAnsi="Open Sans" w:cs="Open Sans"/>
          <w:b/>
          <w:bCs/>
          <w:szCs w:val="22"/>
        </w:rPr>
        <w:t xml:space="preserve">he current grant of £4000 is not an incentive for </w:t>
      </w:r>
      <w:r w:rsidR="0016569E" w:rsidRPr="0016569E">
        <w:rPr>
          <w:rFonts w:ascii="Open Sans" w:hAnsi="Open Sans" w:cs="Open Sans"/>
          <w:b/>
          <w:bCs/>
          <w:szCs w:val="22"/>
        </w:rPr>
        <w:t>most</w:t>
      </w:r>
      <w:r w:rsidRPr="0016569E">
        <w:rPr>
          <w:rFonts w:ascii="Open Sans" w:hAnsi="Open Sans" w:cs="Open Sans"/>
          <w:b/>
          <w:bCs/>
          <w:szCs w:val="22"/>
        </w:rPr>
        <w:t xml:space="preserve"> small-scale heat decarbonisation projects to deploy. </w:t>
      </w:r>
      <w:r w:rsidR="003326CA" w:rsidRPr="0016569E">
        <w:rPr>
          <w:rFonts w:ascii="Open Sans" w:hAnsi="Open Sans" w:cs="Open Sans"/>
          <w:b/>
          <w:bCs/>
          <w:szCs w:val="22"/>
        </w:rPr>
        <w:t xml:space="preserve"> </w:t>
      </w:r>
    </w:p>
    <w:p w14:paraId="5EA300A6" w14:textId="77777777" w:rsidR="00D957D5" w:rsidRDefault="00D957D5" w:rsidP="00D957D5">
      <w:pPr>
        <w:rPr>
          <w:rFonts w:ascii="Open Sans" w:hAnsi="Open Sans" w:cs="Open Sans"/>
          <w:szCs w:val="22"/>
        </w:rPr>
      </w:pPr>
    </w:p>
    <w:p w14:paraId="48D3EFE1" w14:textId="0CD28260" w:rsidR="00D957D5" w:rsidRDefault="0033331E" w:rsidP="00D957D5">
      <w:pPr>
        <w:rPr>
          <w:rFonts w:ascii="Open Sans" w:hAnsi="Open Sans" w:cs="Open Sans"/>
          <w:szCs w:val="22"/>
        </w:rPr>
      </w:pPr>
      <w:r>
        <w:rPr>
          <w:rFonts w:ascii="Open Sans" w:hAnsi="Open Sans" w:cs="Open Sans"/>
          <w:szCs w:val="22"/>
        </w:rPr>
        <w:t xml:space="preserve">In the table below </w:t>
      </w:r>
      <w:r w:rsidR="008933AD">
        <w:rPr>
          <w:rFonts w:ascii="Open Sans" w:hAnsi="Open Sans" w:cs="Open Sans"/>
          <w:szCs w:val="22"/>
        </w:rPr>
        <w:t xml:space="preserve">we highlight the capex costs for renewable heat installations according the BEIS’s own </w:t>
      </w:r>
      <w:r w:rsidR="00326421">
        <w:rPr>
          <w:rFonts w:ascii="Open Sans" w:hAnsi="Open Sans" w:cs="Open Sans"/>
          <w:szCs w:val="22"/>
        </w:rPr>
        <w:t>numbers in the</w:t>
      </w:r>
      <w:r w:rsidR="00D957D5">
        <w:rPr>
          <w:rFonts w:ascii="Open Sans" w:hAnsi="Open Sans" w:cs="Open Sans"/>
          <w:szCs w:val="22"/>
        </w:rPr>
        <w:t xml:space="preserve"> 2019 Domestic RHI Annual </w:t>
      </w:r>
      <w:r>
        <w:rPr>
          <w:rFonts w:ascii="Open Sans" w:hAnsi="Open Sans" w:cs="Open Sans"/>
          <w:szCs w:val="22"/>
        </w:rPr>
        <w:t>D</w:t>
      </w:r>
      <w:r w:rsidR="00D957D5">
        <w:rPr>
          <w:rFonts w:ascii="Open Sans" w:hAnsi="Open Sans" w:cs="Open Sans"/>
          <w:szCs w:val="22"/>
        </w:rPr>
        <w:t xml:space="preserve">eployment </w:t>
      </w:r>
      <w:r>
        <w:rPr>
          <w:rFonts w:ascii="Open Sans" w:hAnsi="Open Sans" w:cs="Open Sans"/>
          <w:szCs w:val="22"/>
        </w:rPr>
        <w:t>S</w:t>
      </w:r>
      <w:r w:rsidR="00D957D5">
        <w:rPr>
          <w:rFonts w:ascii="Open Sans" w:hAnsi="Open Sans" w:cs="Open Sans"/>
          <w:szCs w:val="22"/>
        </w:rPr>
        <w:t>tatistics.  As demonstrate</w:t>
      </w:r>
      <w:r w:rsidR="00F2770F">
        <w:rPr>
          <w:rFonts w:ascii="Open Sans" w:hAnsi="Open Sans" w:cs="Open Sans"/>
          <w:szCs w:val="22"/>
        </w:rPr>
        <w:t>d</w:t>
      </w:r>
      <w:r>
        <w:rPr>
          <w:rFonts w:ascii="Open Sans" w:hAnsi="Open Sans" w:cs="Open Sans"/>
          <w:szCs w:val="22"/>
        </w:rPr>
        <w:t xml:space="preserve">, </w:t>
      </w:r>
      <w:r w:rsidR="00D957D5">
        <w:rPr>
          <w:rFonts w:ascii="Open Sans" w:hAnsi="Open Sans" w:cs="Open Sans"/>
          <w:szCs w:val="22"/>
        </w:rPr>
        <w:t>t</w:t>
      </w:r>
      <w:r w:rsidR="00D957D5" w:rsidRPr="00273E54">
        <w:rPr>
          <w:rFonts w:ascii="Open Sans" w:hAnsi="Open Sans" w:cs="Open Sans"/>
          <w:szCs w:val="22"/>
        </w:rPr>
        <w:t xml:space="preserve">he </w:t>
      </w:r>
      <w:r w:rsidR="00D957D5">
        <w:rPr>
          <w:rFonts w:ascii="Open Sans" w:hAnsi="Open Sans" w:cs="Open Sans"/>
          <w:szCs w:val="22"/>
        </w:rPr>
        <w:t xml:space="preserve">proposed </w:t>
      </w:r>
      <w:r w:rsidR="00D957D5" w:rsidRPr="00273E54">
        <w:rPr>
          <w:rFonts w:ascii="Open Sans" w:hAnsi="Open Sans" w:cs="Open Sans"/>
          <w:szCs w:val="22"/>
        </w:rPr>
        <w:t xml:space="preserve">grant of £4000 </w:t>
      </w:r>
      <w:r w:rsidR="00362145">
        <w:rPr>
          <w:rFonts w:ascii="Open Sans" w:hAnsi="Open Sans" w:cs="Open Sans"/>
          <w:szCs w:val="22"/>
        </w:rPr>
        <w:t>will not</w:t>
      </w:r>
      <w:r w:rsidR="00D957D5" w:rsidRPr="00273E54">
        <w:rPr>
          <w:rFonts w:ascii="Open Sans" w:hAnsi="Open Sans" w:cs="Open Sans"/>
          <w:szCs w:val="22"/>
        </w:rPr>
        <w:t xml:space="preserve"> incentivise </w:t>
      </w:r>
      <w:r w:rsidR="00D957D5">
        <w:rPr>
          <w:rFonts w:ascii="Open Sans" w:hAnsi="Open Sans" w:cs="Open Sans"/>
          <w:szCs w:val="22"/>
        </w:rPr>
        <w:t xml:space="preserve">renewable heat </w:t>
      </w:r>
      <w:r w:rsidR="00D957D5" w:rsidRPr="00273E54">
        <w:rPr>
          <w:rFonts w:ascii="Open Sans" w:hAnsi="Open Sans" w:cs="Open Sans"/>
          <w:szCs w:val="22"/>
        </w:rPr>
        <w:t xml:space="preserve">projects </w:t>
      </w:r>
      <w:r w:rsidR="00D957D5">
        <w:rPr>
          <w:rFonts w:ascii="Open Sans" w:hAnsi="Open Sans" w:cs="Open Sans"/>
          <w:szCs w:val="22"/>
        </w:rPr>
        <w:t xml:space="preserve">of any technology type </w:t>
      </w:r>
      <w:r w:rsidR="00D957D5" w:rsidRPr="00273E54">
        <w:rPr>
          <w:rFonts w:ascii="Open Sans" w:hAnsi="Open Sans" w:cs="Open Sans"/>
          <w:szCs w:val="22"/>
        </w:rPr>
        <w:t>much above 10kW</w:t>
      </w:r>
      <w:r w:rsidR="00D957D5">
        <w:rPr>
          <w:rFonts w:ascii="Open Sans" w:hAnsi="Open Sans" w:cs="Open Sans"/>
          <w:szCs w:val="22"/>
        </w:rPr>
        <w:t xml:space="preserve">, as the proportion of the total costs of the project are </w:t>
      </w:r>
      <w:r>
        <w:rPr>
          <w:rFonts w:ascii="Open Sans" w:hAnsi="Open Sans" w:cs="Open Sans"/>
          <w:szCs w:val="22"/>
        </w:rPr>
        <w:t xml:space="preserve">simply </w:t>
      </w:r>
      <w:r w:rsidR="00D957D5">
        <w:rPr>
          <w:rFonts w:ascii="Open Sans" w:hAnsi="Open Sans" w:cs="Open Sans"/>
          <w:szCs w:val="22"/>
        </w:rPr>
        <w:t>not significant enough</w:t>
      </w:r>
      <w:r w:rsidR="00D957D5" w:rsidRPr="00273E54">
        <w:rPr>
          <w:rFonts w:ascii="Open Sans" w:hAnsi="Open Sans" w:cs="Open Sans"/>
          <w:szCs w:val="22"/>
        </w:rPr>
        <w:t>.</w:t>
      </w:r>
      <w:r w:rsidR="00D957D5">
        <w:rPr>
          <w:rFonts w:ascii="Open Sans" w:hAnsi="Open Sans" w:cs="Open Sans"/>
          <w:szCs w:val="22"/>
        </w:rPr>
        <w:t xml:space="preserve"> </w:t>
      </w:r>
      <w:r w:rsidR="00326421">
        <w:rPr>
          <w:rFonts w:ascii="Open Sans" w:hAnsi="Open Sans" w:cs="Open Sans"/>
          <w:szCs w:val="22"/>
        </w:rPr>
        <w:t xml:space="preserve"> In all </w:t>
      </w:r>
      <w:r w:rsidR="0016569E">
        <w:rPr>
          <w:rFonts w:ascii="Open Sans" w:hAnsi="Open Sans" w:cs="Open Sans"/>
          <w:szCs w:val="22"/>
        </w:rPr>
        <w:t>technologies, capacities</w:t>
      </w:r>
      <w:r w:rsidR="00326421">
        <w:rPr>
          <w:rFonts w:ascii="Open Sans" w:hAnsi="Open Sans" w:cs="Open Sans"/>
          <w:szCs w:val="22"/>
        </w:rPr>
        <w:t xml:space="preserve"> of above 10 kW fall</w:t>
      </w:r>
      <w:r w:rsidR="0016569E">
        <w:rPr>
          <w:rFonts w:ascii="Open Sans" w:hAnsi="Open Sans" w:cs="Open Sans"/>
          <w:szCs w:val="22"/>
        </w:rPr>
        <w:t xml:space="preserve"> </w:t>
      </w:r>
      <w:r w:rsidR="00326421">
        <w:rPr>
          <w:rFonts w:ascii="Open Sans" w:hAnsi="Open Sans" w:cs="Open Sans"/>
          <w:szCs w:val="22"/>
        </w:rPr>
        <w:t>foul of BEIS</w:t>
      </w:r>
      <w:r w:rsidR="0016569E">
        <w:rPr>
          <w:rFonts w:ascii="Open Sans" w:hAnsi="Open Sans" w:cs="Open Sans"/>
          <w:szCs w:val="22"/>
        </w:rPr>
        <w:t>’s</w:t>
      </w:r>
      <w:r w:rsidR="00326421">
        <w:rPr>
          <w:rFonts w:ascii="Open Sans" w:hAnsi="Open Sans" w:cs="Open Sans"/>
          <w:szCs w:val="22"/>
        </w:rPr>
        <w:t xml:space="preserve"> justification of the “psychological threshold” </w:t>
      </w:r>
      <w:r w:rsidR="0016569E">
        <w:rPr>
          <w:rFonts w:ascii="Open Sans" w:hAnsi="Open Sans" w:cs="Open Sans"/>
          <w:szCs w:val="22"/>
        </w:rPr>
        <w:t>described in</w:t>
      </w:r>
      <w:r w:rsidR="00326421">
        <w:rPr>
          <w:rFonts w:ascii="Open Sans" w:hAnsi="Open Sans" w:cs="Open Sans"/>
          <w:szCs w:val="22"/>
        </w:rPr>
        <w:t xml:space="preserve"> the cited “</w:t>
      </w:r>
      <w:r w:rsidR="00326421" w:rsidRPr="00326421">
        <w:rPr>
          <w:rFonts w:ascii="Open Sans" w:hAnsi="Open Sans" w:cs="Open Sans"/>
          <w:szCs w:val="22"/>
        </w:rPr>
        <w:t>Price elasticity research</w:t>
      </w:r>
      <w:r w:rsidR="00326421">
        <w:rPr>
          <w:rFonts w:ascii="Open Sans" w:hAnsi="Open Sans" w:cs="Open Sans"/>
          <w:szCs w:val="22"/>
        </w:rPr>
        <w:t>”</w:t>
      </w:r>
      <w:r w:rsidR="0016569E">
        <w:rPr>
          <w:rFonts w:ascii="Open Sans" w:hAnsi="Open Sans" w:cs="Open Sans"/>
          <w:szCs w:val="22"/>
        </w:rPr>
        <w:t xml:space="preserve">. This makes clear </w:t>
      </w:r>
      <w:r w:rsidR="00326421">
        <w:rPr>
          <w:rFonts w:ascii="Open Sans" w:hAnsi="Open Sans" w:cs="Open Sans"/>
          <w:szCs w:val="22"/>
        </w:rPr>
        <w:t>consumers are much more likely to pay capital costs once the pr</w:t>
      </w:r>
      <w:r>
        <w:rPr>
          <w:rFonts w:ascii="Open Sans" w:hAnsi="Open Sans" w:cs="Open Sans"/>
          <w:szCs w:val="22"/>
        </w:rPr>
        <w:t>i</w:t>
      </w:r>
      <w:r w:rsidR="00326421">
        <w:rPr>
          <w:rFonts w:ascii="Open Sans" w:hAnsi="Open Sans" w:cs="Open Sans"/>
          <w:szCs w:val="22"/>
        </w:rPr>
        <w:t>ce falls below £</w:t>
      </w:r>
      <w:r w:rsidR="00603B3E">
        <w:rPr>
          <w:rFonts w:ascii="Open Sans" w:hAnsi="Open Sans" w:cs="Open Sans"/>
          <w:szCs w:val="22"/>
        </w:rPr>
        <w:t>10</w:t>
      </w:r>
      <w:r w:rsidR="00326421">
        <w:rPr>
          <w:rFonts w:ascii="Open Sans" w:hAnsi="Open Sans" w:cs="Open Sans"/>
          <w:szCs w:val="22"/>
        </w:rPr>
        <w:t>,000 pounds</w:t>
      </w:r>
      <w:r w:rsidR="00603B3E">
        <w:rPr>
          <w:rFonts w:ascii="Open Sans" w:hAnsi="Open Sans" w:cs="Open Sans"/>
          <w:szCs w:val="22"/>
        </w:rPr>
        <w:t xml:space="preserve">, with significant consumer uptake once below £7,000. </w:t>
      </w:r>
      <w:r w:rsidR="00326421">
        <w:rPr>
          <w:rFonts w:ascii="Open Sans" w:hAnsi="Open Sans" w:cs="Open Sans"/>
          <w:szCs w:val="22"/>
        </w:rPr>
        <w:t xml:space="preserve"> </w:t>
      </w:r>
    </w:p>
    <w:p w14:paraId="30BF38FA" w14:textId="6C9FAABB" w:rsidR="0033331E" w:rsidRDefault="0033331E" w:rsidP="00D957D5">
      <w:pPr>
        <w:rPr>
          <w:rFonts w:ascii="Open Sans" w:hAnsi="Open Sans" w:cs="Open Sans"/>
          <w:szCs w:val="22"/>
        </w:rPr>
      </w:pPr>
    </w:p>
    <w:p w14:paraId="7C9DB3D9" w14:textId="20F45ADC" w:rsidR="0033331E" w:rsidRDefault="0033331E" w:rsidP="0033331E">
      <w:pPr>
        <w:rPr>
          <w:rFonts w:ascii="Open Sans" w:hAnsi="Open Sans" w:cs="Open Sans"/>
          <w:szCs w:val="22"/>
        </w:rPr>
      </w:pPr>
      <w:r>
        <w:rPr>
          <w:rFonts w:ascii="Open Sans" w:hAnsi="Open Sans" w:cs="Open Sans"/>
          <w:szCs w:val="22"/>
        </w:rPr>
        <w:t xml:space="preserve">The £4000 level means that if a </w:t>
      </w:r>
      <w:r w:rsidR="00B15D68">
        <w:rPr>
          <w:rFonts w:ascii="Open Sans" w:hAnsi="Open Sans" w:cs="Open Sans"/>
          <w:szCs w:val="22"/>
        </w:rPr>
        <w:t>project</w:t>
      </w:r>
      <w:r>
        <w:rPr>
          <w:rFonts w:ascii="Open Sans" w:hAnsi="Open Sans" w:cs="Open Sans"/>
          <w:szCs w:val="22"/>
        </w:rPr>
        <w:t xml:space="preserve"> is</w:t>
      </w:r>
      <w:r w:rsidRPr="00273E54">
        <w:rPr>
          <w:rFonts w:ascii="Open Sans" w:hAnsi="Open Sans" w:cs="Open Sans"/>
          <w:szCs w:val="22"/>
        </w:rPr>
        <w:t xml:space="preserve"> deployed above</w:t>
      </w:r>
      <w:r>
        <w:rPr>
          <w:rFonts w:ascii="Open Sans" w:hAnsi="Open Sans" w:cs="Open Sans"/>
          <w:szCs w:val="22"/>
        </w:rPr>
        <w:t xml:space="preserve"> 10 kW, they</w:t>
      </w:r>
      <w:r w:rsidRPr="00273E54">
        <w:rPr>
          <w:rFonts w:ascii="Open Sans" w:hAnsi="Open Sans" w:cs="Open Sans"/>
          <w:szCs w:val="22"/>
        </w:rPr>
        <w:t xml:space="preserve"> are likely to be of low quality, or undersized</w:t>
      </w:r>
      <w:r w:rsidR="001972D5">
        <w:rPr>
          <w:rFonts w:ascii="Open Sans" w:hAnsi="Open Sans" w:cs="Open Sans"/>
          <w:szCs w:val="22"/>
        </w:rPr>
        <w:t xml:space="preserve"> to a level that does not meet the consumers heat needs</w:t>
      </w:r>
      <w:r w:rsidR="00B15D68">
        <w:rPr>
          <w:rFonts w:ascii="Open Sans" w:hAnsi="Open Sans" w:cs="Open Sans"/>
          <w:szCs w:val="22"/>
        </w:rPr>
        <w:t>.</w:t>
      </w:r>
      <w:r w:rsidRPr="00273E54">
        <w:rPr>
          <w:rFonts w:ascii="Open Sans" w:hAnsi="Open Sans" w:cs="Open Sans"/>
          <w:szCs w:val="22"/>
        </w:rPr>
        <w:t xml:space="preserve"> </w:t>
      </w:r>
      <w:proofErr w:type="gramStart"/>
      <w:r w:rsidR="00B15D68">
        <w:rPr>
          <w:rFonts w:ascii="Open Sans" w:hAnsi="Open Sans" w:cs="Open Sans"/>
          <w:szCs w:val="22"/>
        </w:rPr>
        <w:t>A</w:t>
      </w:r>
      <w:r w:rsidR="001972D5">
        <w:rPr>
          <w:rFonts w:ascii="Open Sans" w:hAnsi="Open Sans" w:cs="Open Sans"/>
          <w:szCs w:val="22"/>
        </w:rPr>
        <w:t xml:space="preserve">pplicants </w:t>
      </w:r>
      <w:r w:rsidRPr="00273E54">
        <w:rPr>
          <w:rFonts w:ascii="Open Sans" w:hAnsi="Open Sans" w:cs="Open Sans"/>
          <w:szCs w:val="22"/>
        </w:rPr>
        <w:t xml:space="preserve"> are</w:t>
      </w:r>
      <w:proofErr w:type="gramEnd"/>
      <w:r w:rsidRPr="00273E54">
        <w:rPr>
          <w:rFonts w:ascii="Open Sans" w:hAnsi="Open Sans" w:cs="Open Sans"/>
          <w:szCs w:val="22"/>
        </w:rPr>
        <w:t xml:space="preserve"> </w:t>
      </w:r>
      <w:r w:rsidR="00B15D68">
        <w:rPr>
          <w:rFonts w:ascii="Open Sans" w:hAnsi="Open Sans" w:cs="Open Sans"/>
          <w:szCs w:val="22"/>
        </w:rPr>
        <w:t xml:space="preserve">effectively </w:t>
      </w:r>
      <w:r w:rsidRPr="00273E54">
        <w:rPr>
          <w:rFonts w:ascii="Open Sans" w:hAnsi="Open Sans" w:cs="Open Sans"/>
          <w:szCs w:val="22"/>
        </w:rPr>
        <w:t xml:space="preserve">disincentivised to consider </w:t>
      </w:r>
      <w:r>
        <w:rPr>
          <w:rFonts w:ascii="Open Sans" w:hAnsi="Open Sans" w:cs="Open Sans"/>
          <w:szCs w:val="22"/>
        </w:rPr>
        <w:t xml:space="preserve">better designed </w:t>
      </w:r>
      <w:r w:rsidRPr="00273E54">
        <w:rPr>
          <w:rFonts w:ascii="Open Sans" w:hAnsi="Open Sans" w:cs="Open Sans"/>
          <w:szCs w:val="22"/>
        </w:rPr>
        <w:t>projects where the grant will cover less of the total project cost.</w:t>
      </w:r>
      <w:r>
        <w:rPr>
          <w:rFonts w:ascii="Open Sans" w:hAnsi="Open Sans" w:cs="Open Sans"/>
          <w:szCs w:val="22"/>
        </w:rPr>
        <w:t xml:space="preserve"> </w:t>
      </w:r>
    </w:p>
    <w:p w14:paraId="2845DFB4" w14:textId="1BA3CFB7" w:rsidR="004D3668" w:rsidRPr="004D3668" w:rsidRDefault="004D3668" w:rsidP="0033331E">
      <w:pPr>
        <w:rPr>
          <w:rFonts w:ascii="Open Sans" w:hAnsi="Open Sans" w:cs="Open Sans"/>
          <w:szCs w:val="22"/>
        </w:rPr>
      </w:pPr>
    </w:p>
    <w:p w14:paraId="7664525B" w14:textId="6A17E32E" w:rsidR="004D3668" w:rsidRPr="004D3668" w:rsidRDefault="004D3668" w:rsidP="0033331E">
      <w:pPr>
        <w:rPr>
          <w:rFonts w:ascii="Open Sans" w:hAnsi="Open Sans" w:cs="Open Sans"/>
          <w:szCs w:val="22"/>
        </w:rPr>
      </w:pPr>
      <w:r w:rsidRPr="004D3668">
        <w:rPr>
          <w:rFonts w:ascii="Open Sans" w:hAnsi="Open Sans" w:cs="Open Sans"/>
        </w:rPr>
        <w:t>It is further worth noting that much of the activity in the RHI market to date at the &lt;10kW scale has been</w:t>
      </w:r>
      <w:r w:rsidRPr="004D3668">
        <w:t xml:space="preserve"> </w:t>
      </w:r>
      <w:r w:rsidRPr="004D3668">
        <w:rPr>
          <w:rFonts w:ascii="Open Sans" w:hAnsi="Open Sans" w:cs="Open Sans"/>
        </w:rPr>
        <w:t>usefully</w:t>
      </w:r>
      <w:r w:rsidRPr="004D3668">
        <w:t xml:space="preserve"> </w:t>
      </w:r>
      <w:r w:rsidRPr="004D3668">
        <w:rPr>
          <w:rFonts w:ascii="Open Sans" w:hAnsi="Open Sans" w:cs="Open Sans"/>
        </w:rPr>
        <w:t>driven by social housing providers taking advantage of the RHI to replace night storage heaters, and should not be seen as an indicator of the likely future growth market for renewable heating systems.</w:t>
      </w:r>
    </w:p>
    <w:p w14:paraId="4BF4779E" w14:textId="77777777" w:rsidR="0033331E" w:rsidRDefault="0033331E" w:rsidP="00D957D5">
      <w:pPr>
        <w:rPr>
          <w:rFonts w:ascii="Open Sans" w:hAnsi="Open Sans" w:cs="Open Sans"/>
          <w:szCs w:val="22"/>
        </w:rPr>
      </w:pPr>
    </w:p>
    <w:p w14:paraId="2DB9F939" w14:textId="5E6DD3A5" w:rsidR="0033331E" w:rsidRDefault="0033331E" w:rsidP="00D957D5">
      <w:pPr>
        <w:rPr>
          <w:rFonts w:ascii="Open Sans" w:hAnsi="Open Sans" w:cs="Open Sans"/>
          <w:szCs w:val="22"/>
        </w:rPr>
      </w:pPr>
      <w:r>
        <w:rPr>
          <w:rFonts w:ascii="Open Sans" w:hAnsi="Open Sans" w:cs="Open Sans"/>
          <w:szCs w:val="22"/>
        </w:rPr>
        <w:lastRenderedPageBreak/>
        <w:t xml:space="preserve">As explained further in answer to question 26 we strongly encourage BEIS to consider a </w:t>
      </w:r>
      <w:r w:rsidR="0016569E">
        <w:rPr>
          <w:rFonts w:ascii="Open Sans" w:hAnsi="Open Sans" w:cs="Open Sans"/>
          <w:szCs w:val="22"/>
        </w:rPr>
        <w:t>flexible grant</w:t>
      </w:r>
      <w:r>
        <w:rPr>
          <w:rFonts w:ascii="Open Sans" w:hAnsi="Open Sans" w:cs="Open Sans"/>
          <w:szCs w:val="22"/>
        </w:rPr>
        <w:t xml:space="preserve">-based on the capacity </w:t>
      </w:r>
      <w:r w:rsidR="00603B3E">
        <w:rPr>
          <w:rFonts w:ascii="Open Sans" w:hAnsi="Open Sans" w:cs="Open Sans"/>
          <w:szCs w:val="22"/>
        </w:rPr>
        <w:t>needed to be</w:t>
      </w:r>
      <w:r>
        <w:rPr>
          <w:rFonts w:ascii="Open Sans" w:hAnsi="Open Sans" w:cs="Open Sans"/>
          <w:szCs w:val="22"/>
        </w:rPr>
        <w:t xml:space="preserve"> deployed. </w:t>
      </w:r>
    </w:p>
    <w:p w14:paraId="365D4B0A" w14:textId="3414A044" w:rsidR="0016569E" w:rsidRDefault="0016569E" w:rsidP="00D957D5">
      <w:pPr>
        <w:rPr>
          <w:rFonts w:ascii="Open Sans" w:hAnsi="Open Sans" w:cs="Open Sans"/>
          <w:szCs w:val="22"/>
        </w:rPr>
      </w:pPr>
    </w:p>
    <w:p w14:paraId="2DCEDCA2" w14:textId="5A7A4012" w:rsidR="00326421" w:rsidRPr="0016569E" w:rsidRDefault="0016569E" w:rsidP="00D957D5">
      <w:pPr>
        <w:rPr>
          <w:rFonts w:ascii="Open Sans" w:hAnsi="Open Sans" w:cs="Open Sans"/>
          <w:b/>
          <w:bCs/>
          <w:i/>
          <w:iCs/>
          <w:szCs w:val="22"/>
        </w:rPr>
      </w:pPr>
      <w:r w:rsidRPr="0016569E">
        <w:rPr>
          <w:rFonts w:ascii="Open Sans" w:hAnsi="Open Sans" w:cs="Open Sans"/>
          <w:b/>
          <w:bCs/>
          <w:i/>
          <w:iCs/>
          <w:szCs w:val="22"/>
        </w:rPr>
        <w:t xml:space="preserve">Table 1: A </w:t>
      </w:r>
      <w:r>
        <w:rPr>
          <w:rFonts w:ascii="Open Sans" w:hAnsi="Open Sans" w:cs="Open Sans"/>
          <w:b/>
          <w:bCs/>
          <w:i/>
          <w:iCs/>
          <w:szCs w:val="22"/>
        </w:rPr>
        <w:t>flat g</w:t>
      </w:r>
      <w:r w:rsidRPr="0016569E">
        <w:rPr>
          <w:rFonts w:ascii="Open Sans" w:hAnsi="Open Sans" w:cs="Open Sans"/>
          <w:b/>
          <w:bCs/>
          <w:i/>
          <w:iCs/>
          <w:szCs w:val="22"/>
        </w:rPr>
        <w:t>rant of £4000 will not incentivise deployment much above 10 kW.</w:t>
      </w:r>
    </w:p>
    <w:tbl>
      <w:tblPr>
        <w:tblStyle w:val="TableGrid"/>
        <w:tblW w:w="9493" w:type="dxa"/>
        <w:tblLayout w:type="fixed"/>
        <w:tblLook w:val="04A0" w:firstRow="1" w:lastRow="0" w:firstColumn="1" w:lastColumn="0" w:noHBand="0" w:noVBand="1"/>
      </w:tblPr>
      <w:tblGrid>
        <w:gridCol w:w="1555"/>
        <w:gridCol w:w="1417"/>
        <w:gridCol w:w="1418"/>
        <w:gridCol w:w="992"/>
        <w:gridCol w:w="1276"/>
        <w:gridCol w:w="1417"/>
        <w:gridCol w:w="1418"/>
      </w:tblGrid>
      <w:tr w:rsidR="001E0B1F" w14:paraId="050D4BE7" w14:textId="77777777" w:rsidTr="001E0B1F">
        <w:tc>
          <w:tcPr>
            <w:tcW w:w="1555" w:type="dxa"/>
          </w:tcPr>
          <w:p w14:paraId="40A8252E" w14:textId="70205971" w:rsidR="00D957D5" w:rsidRPr="00362145" w:rsidRDefault="00D957D5" w:rsidP="003326CA">
            <w:pPr>
              <w:rPr>
                <w:rFonts w:ascii="Open Sans" w:hAnsi="Open Sans" w:cs="Open Sans"/>
                <w:b/>
                <w:bCs/>
                <w:sz w:val="18"/>
                <w:szCs w:val="18"/>
              </w:rPr>
            </w:pPr>
            <w:r w:rsidRPr="00362145">
              <w:rPr>
                <w:rFonts w:ascii="Open Sans" w:hAnsi="Open Sans" w:cs="Open Sans"/>
                <w:b/>
                <w:bCs/>
                <w:sz w:val="18"/>
                <w:szCs w:val="18"/>
              </w:rPr>
              <w:t>Technology</w:t>
            </w:r>
          </w:p>
        </w:tc>
        <w:tc>
          <w:tcPr>
            <w:tcW w:w="1417" w:type="dxa"/>
          </w:tcPr>
          <w:p w14:paraId="0DA73865" w14:textId="774552D9" w:rsidR="00D957D5" w:rsidRPr="00362145" w:rsidRDefault="00D957D5" w:rsidP="003326CA">
            <w:pPr>
              <w:rPr>
                <w:rFonts w:ascii="Open Sans" w:hAnsi="Open Sans" w:cs="Open Sans"/>
                <w:b/>
                <w:bCs/>
                <w:sz w:val="18"/>
                <w:szCs w:val="18"/>
              </w:rPr>
            </w:pPr>
            <w:r w:rsidRPr="00362145">
              <w:rPr>
                <w:rFonts w:ascii="Open Sans" w:hAnsi="Open Sans" w:cs="Open Sans"/>
                <w:b/>
                <w:bCs/>
                <w:sz w:val="18"/>
                <w:szCs w:val="18"/>
              </w:rPr>
              <w:t>Installation Capacity (kW)</w:t>
            </w:r>
          </w:p>
        </w:tc>
        <w:tc>
          <w:tcPr>
            <w:tcW w:w="1418" w:type="dxa"/>
          </w:tcPr>
          <w:p w14:paraId="632B36A2" w14:textId="04BA75B1" w:rsidR="00D957D5" w:rsidRPr="00362145" w:rsidRDefault="00D957D5" w:rsidP="003326CA">
            <w:pPr>
              <w:rPr>
                <w:rFonts w:ascii="Open Sans" w:hAnsi="Open Sans" w:cs="Open Sans"/>
                <w:b/>
                <w:bCs/>
                <w:sz w:val="18"/>
                <w:szCs w:val="18"/>
              </w:rPr>
            </w:pPr>
            <w:r w:rsidRPr="00362145">
              <w:rPr>
                <w:rFonts w:ascii="Open Sans" w:hAnsi="Open Sans" w:cs="Open Sans"/>
                <w:b/>
                <w:bCs/>
                <w:sz w:val="18"/>
                <w:szCs w:val="18"/>
              </w:rPr>
              <w:t xml:space="preserve">Median recorded cost of installation under the Domestic RHI April 2014 – Dec 2019 </w:t>
            </w:r>
          </w:p>
        </w:tc>
        <w:tc>
          <w:tcPr>
            <w:tcW w:w="992" w:type="dxa"/>
          </w:tcPr>
          <w:p w14:paraId="255A0495" w14:textId="77777777" w:rsidR="00D957D5" w:rsidRPr="00362145" w:rsidRDefault="00D957D5" w:rsidP="00421034">
            <w:pPr>
              <w:rPr>
                <w:rFonts w:ascii="Arial" w:hAnsi="Arial" w:cs="Arial"/>
                <w:b/>
                <w:bCs/>
                <w:color w:val="000000"/>
                <w:sz w:val="18"/>
                <w:szCs w:val="18"/>
              </w:rPr>
            </w:pPr>
            <w:r w:rsidRPr="00362145">
              <w:rPr>
                <w:rFonts w:ascii="Arial" w:hAnsi="Arial" w:cs="Arial"/>
                <w:b/>
                <w:bCs/>
                <w:color w:val="000000"/>
                <w:sz w:val="18"/>
                <w:szCs w:val="18"/>
              </w:rPr>
              <w:t>Cost per Kilowatt of Capacity (£/kW)</w:t>
            </w:r>
            <w:r w:rsidRPr="00362145">
              <w:rPr>
                <w:rFonts w:ascii="Arial" w:hAnsi="Arial" w:cs="Arial"/>
                <w:b/>
                <w:bCs/>
                <w:color w:val="000000"/>
                <w:sz w:val="18"/>
                <w:szCs w:val="18"/>
                <w:vertAlign w:val="superscript"/>
              </w:rPr>
              <w:t>2</w:t>
            </w:r>
          </w:p>
          <w:p w14:paraId="0BDBCAAF" w14:textId="77777777" w:rsidR="00D957D5" w:rsidRPr="00362145" w:rsidRDefault="00D957D5" w:rsidP="003326CA">
            <w:pPr>
              <w:rPr>
                <w:rFonts w:ascii="Open Sans" w:hAnsi="Open Sans" w:cs="Open Sans"/>
                <w:b/>
                <w:bCs/>
                <w:sz w:val="18"/>
                <w:szCs w:val="18"/>
              </w:rPr>
            </w:pPr>
          </w:p>
        </w:tc>
        <w:tc>
          <w:tcPr>
            <w:tcW w:w="1276" w:type="dxa"/>
          </w:tcPr>
          <w:p w14:paraId="09FB4949" w14:textId="020545B2" w:rsidR="00D957D5" w:rsidRPr="00362145" w:rsidRDefault="00D957D5" w:rsidP="003326CA">
            <w:pPr>
              <w:rPr>
                <w:rFonts w:ascii="Open Sans" w:hAnsi="Open Sans" w:cs="Open Sans"/>
                <w:b/>
                <w:bCs/>
                <w:sz w:val="18"/>
                <w:szCs w:val="18"/>
              </w:rPr>
            </w:pPr>
            <w:r w:rsidRPr="00362145">
              <w:rPr>
                <w:rFonts w:ascii="Open Sans" w:hAnsi="Open Sans" w:cs="Open Sans"/>
                <w:b/>
                <w:bCs/>
                <w:sz w:val="18"/>
                <w:szCs w:val="18"/>
              </w:rPr>
              <w:t>Percentage (%) of project cost covered by £4000 grant</w:t>
            </w:r>
          </w:p>
        </w:tc>
        <w:tc>
          <w:tcPr>
            <w:tcW w:w="1417" w:type="dxa"/>
          </w:tcPr>
          <w:p w14:paraId="0837215B" w14:textId="01B9E920" w:rsidR="00D957D5" w:rsidRPr="00362145" w:rsidRDefault="00D957D5" w:rsidP="003326CA">
            <w:pPr>
              <w:rPr>
                <w:rFonts w:ascii="Open Sans" w:hAnsi="Open Sans" w:cs="Open Sans"/>
                <w:b/>
                <w:bCs/>
                <w:sz w:val="18"/>
                <w:szCs w:val="18"/>
              </w:rPr>
            </w:pPr>
            <w:r w:rsidRPr="00362145">
              <w:rPr>
                <w:rFonts w:ascii="Open Sans" w:hAnsi="Open Sans" w:cs="Open Sans"/>
                <w:b/>
                <w:bCs/>
                <w:sz w:val="18"/>
                <w:szCs w:val="18"/>
              </w:rPr>
              <w:t xml:space="preserve">Expected capital cost still needed to be met by the consumer </w:t>
            </w:r>
          </w:p>
        </w:tc>
        <w:tc>
          <w:tcPr>
            <w:tcW w:w="1418" w:type="dxa"/>
          </w:tcPr>
          <w:p w14:paraId="46075D80" w14:textId="1EBA8DC3" w:rsidR="00D957D5" w:rsidRPr="00362145" w:rsidRDefault="00D957D5" w:rsidP="003326CA">
            <w:pPr>
              <w:rPr>
                <w:rFonts w:ascii="Open Sans" w:hAnsi="Open Sans" w:cs="Open Sans"/>
                <w:b/>
                <w:bCs/>
                <w:sz w:val="18"/>
                <w:szCs w:val="18"/>
              </w:rPr>
            </w:pPr>
            <w:r w:rsidRPr="00362145">
              <w:rPr>
                <w:rFonts w:ascii="Open Sans" w:hAnsi="Open Sans" w:cs="Open Sans"/>
                <w:b/>
                <w:bCs/>
                <w:sz w:val="18"/>
                <w:szCs w:val="18"/>
              </w:rPr>
              <w:t xml:space="preserve">Is </w:t>
            </w:r>
            <w:r w:rsidR="00326421" w:rsidRPr="00362145">
              <w:rPr>
                <w:rFonts w:ascii="Open Sans" w:hAnsi="Open Sans" w:cs="Open Sans"/>
                <w:b/>
                <w:bCs/>
                <w:sz w:val="18"/>
                <w:szCs w:val="18"/>
              </w:rPr>
              <w:t xml:space="preserve">cost to consumer </w:t>
            </w:r>
            <w:r w:rsidRPr="00362145">
              <w:rPr>
                <w:rFonts w:ascii="Open Sans" w:hAnsi="Open Sans" w:cs="Open Sans"/>
                <w:b/>
                <w:bCs/>
                <w:sz w:val="18"/>
                <w:szCs w:val="18"/>
              </w:rPr>
              <w:t xml:space="preserve">below £7000 </w:t>
            </w:r>
            <w:r w:rsidR="00326421" w:rsidRPr="00362145">
              <w:rPr>
                <w:rFonts w:ascii="Open Sans" w:hAnsi="Open Sans" w:cs="Open Sans"/>
                <w:b/>
                <w:bCs/>
                <w:sz w:val="18"/>
                <w:szCs w:val="18"/>
              </w:rPr>
              <w:t xml:space="preserve">- </w:t>
            </w:r>
            <w:r w:rsidRPr="00362145">
              <w:rPr>
                <w:rFonts w:ascii="Open Sans" w:hAnsi="Open Sans" w:cs="Open Sans"/>
                <w:b/>
                <w:bCs/>
                <w:sz w:val="18"/>
                <w:szCs w:val="18"/>
              </w:rPr>
              <w:t>the “</w:t>
            </w:r>
            <w:r w:rsidR="00BB37F9" w:rsidRPr="00362145">
              <w:rPr>
                <w:rFonts w:ascii="Open Sans" w:hAnsi="Open Sans" w:cs="Open Sans"/>
                <w:b/>
                <w:bCs/>
                <w:sz w:val="18"/>
                <w:szCs w:val="18"/>
              </w:rPr>
              <w:t>psychological</w:t>
            </w:r>
            <w:r w:rsidRPr="00362145">
              <w:rPr>
                <w:rFonts w:ascii="Open Sans" w:hAnsi="Open Sans" w:cs="Open Sans"/>
                <w:b/>
                <w:bCs/>
                <w:sz w:val="18"/>
                <w:szCs w:val="18"/>
              </w:rPr>
              <w:t xml:space="preserve"> threshold” </w:t>
            </w:r>
            <w:r w:rsidR="00326421" w:rsidRPr="00362145">
              <w:rPr>
                <w:rFonts w:ascii="Open Sans" w:hAnsi="Open Sans" w:cs="Open Sans"/>
                <w:b/>
                <w:bCs/>
                <w:sz w:val="18"/>
                <w:szCs w:val="18"/>
              </w:rPr>
              <w:t>for deployment</w:t>
            </w:r>
          </w:p>
        </w:tc>
      </w:tr>
      <w:tr w:rsidR="001E0B1F" w14:paraId="222F508E" w14:textId="77777777" w:rsidTr="006550DA">
        <w:trPr>
          <w:trHeight w:val="208"/>
        </w:trPr>
        <w:tc>
          <w:tcPr>
            <w:tcW w:w="1555" w:type="dxa"/>
            <w:vMerge w:val="restart"/>
            <w:vAlign w:val="center"/>
          </w:tcPr>
          <w:p w14:paraId="6A25903E" w14:textId="7A3C38B5" w:rsidR="00326421" w:rsidRPr="00362145" w:rsidRDefault="00326421" w:rsidP="006550DA">
            <w:pPr>
              <w:jc w:val="center"/>
              <w:rPr>
                <w:rFonts w:ascii="Open Sans" w:hAnsi="Open Sans" w:cs="Open Sans"/>
                <w:sz w:val="18"/>
                <w:szCs w:val="18"/>
              </w:rPr>
            </w:pPr>
            <w:r w:rsidRPr="00362145">
              <w:rPr>
                <w:rFonts w:ascii="Open Sans" w:hAnsi="Open Sans" w:cs="Open Sans"/>
                <w:sz w:val="18"/>
                <w:szCs w:val="18"/>
              </w:rPr>
              <w:t>Air Source Heat Pump</w:t>
            </w:r>
          </w:p>
        </w:tc>
        <w:tc>
          <w:tcPr>
            <w:tcW w:w="1417" w:type="dxa"/>
            <w:vAlign w:val="center"/>
          </w:tcPr>
          <w:p w14:paraId="3E1B849F" w14:textId="582FFBE7"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Less than 5</w:t>
            </w:r>
          </w:p>
        </w:tc>
        <w:tc>
          <w:tcPr>
            <w:tcW w:w="1418" w:type="dxa"/>
            <w:vAlign w:val="center"/>
          </w:tcPr>
          <w:p w14:paraId="40BBA965" w14:textId="17F3B569"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£7,290</w:t>
            </w:r>
          </w:p>
        </w:tc>
        <w:tc>
          <w:tcPr>
            <w:tcW w:w="992" w:type="dxa"/>
            <w:vAlign w:val="center"/>
          </w:tcPr>
          <w:p w14:paraId="7A5E552A" w14:textId="735A6785"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£1,480</w:t>
            </w:r>
          </w:p>
        </w:tc>
        <w:tc>
          <w:tcPr>
            <w:tcW w:w="1276" w:type="dxa"/>
            <w:vAlign w:val="center"/>
          </w:tcPr>
          <w:p w14:paraId="0FF6256C" w14:textId="6E424CEE"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55 %</w:t>
            </w:r>
          </w:p>
        </w:tc>
        <w:tc>
          <w:tcPr>
            <w:tcW w:w="1417" w:type="dxa"/>
            <w:vAlign w:val="center"/>
          </w:tcPr>
          <w:p w14:paraId="710648C5" w14:textId="690C699D"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£3,290</w:t>
            </w:r>
          </w:p>
        </w:tc>
        <w:tc>
          <w:tcPr>
            <w:tcW w:w="1418" w:type="dxa"/>
            <w:vAlign w:val="center"/>
          </w:tcPr>
          <w:p w14:paraId="192291AC" w14:textId="482F6A4A" w:rsidR="00326421" w:rsidRPr="00B15D68" w:rsidRDefault="00326421" w:rsidP="006550DA">
            <w:pPr>
              <w:jc w:val="center"/>
              <w:rPr>
                <w:rFonts w:ascii="Open Sans" w:hAnsi="Open Sans" w:cs="Open Sans"/>
                <w:color w:val="00B050"/>
                <w:sz w:val="18"/>
                <w:szCs w:val="18"/>
              </w:rPr>
            </w:pPr>
            <w:r w:rsidRPr="00B15D68">
              <w:rPr>
                <w:rFonts w:ascii="Open Sans" w:hAnsi="Open Sans" w:cs="Open Sans"/>
                <w:color w:val="00B050"/>
                <w:sz w:val="18"/>
                <w:szCs w:val="18"/>
              </w:rPr>
              <w:t>Yes</w:t>
            </w:r>
          </w:p>
        </w:tc>
      </w:tr>
      <w:tr w:rsidR="001E0B1F" w14:paraId="1A57BBC2" w14:textId="77777777" w:rsidTr="006550DA">
        <w:tc>
          <w:tcPr>
            <w:tcW w:w="1555" w:type="dxa"/>
            <w:vMerge/>
            <w:vAlign w:val="center"/>
          </w:tcPr>
          <w:p w14:paraId="0C320C6A" w14:textId="77777777" w:rsidR="00326421" w:rsidRPr="00362145" w:rsidRDefault="00326421" w:rsidP="006550DA">
            <w:pPr>
              <w:jc w:val="center"/>
              <w:rPr>
                <w:rFonts w:ascii="Open Sans" w:hAnsi="Open Sans" w:cs="Open Sans"/>
                <w:sz w:val="18"/>
                <w:szCs w:val="18"/>
              </w:rPr>
            </w:pPr>
          </w:p>
        </w:tc>
        <w:tc>
          <w:tcPr>
            <w:tcW w:w="1417" w:type="dxa"/>
            <w:vAlign w:val="center"/>
          </w:tcPr>
          <w:p w14:paraId="7712F427" w14:textId="43DFA9D4"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6 - 10</w:t>
            </w:r>
          </w:p>
        </w:tc>
        <w:tc>
          <w:tcPr>
            <w:tcW w:w="1418" w:type="dxa"/>
            <w:vAlign w:val="center"/>
          </w:tcPr>
          <w:p w14:paraId="2D2D7E78" w14:textId="59A956D8"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£8,220</w:t>
            </w:r>
          </w:p>
        </w:tc>
        <w:tc>
          <w:tcPr>
            <w:tcW w:w="992" w:type="dxa"/>
            <w:vAlign w:val="center"/>
          </w:tcPr>
          <w:p w14:paraId="455996A3" w14:textId="48A11FD5"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£1,080</w:t>
            </w:r>
          </w:p>
        </w:tc>
        <w:tc>
          <w:tcPr>
            <w:tcW w:w="1276" w:type="dxa"/>
            <w:vAlign w:val="center"/>
          </w:tcPr>
          <w:p w14:paraId="18F4CB47" w14:textId="684F0751"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49 %</w:t>
            </w:r>
          </w:p>
        </w:tc>
        <w:tc>
          <w:tcPr>
            <w:tcW w:w="1417" w:type="dxa"/>
            <w:vAlign w:val="center"/>
          </w:tcPr>
          <w:p w14:paraId="02271107" w14:textId="236E6228"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£4,220</w:t>
            </w:r>
          </w:p>
        </w:tc>
        <w:tc>
          <w:tcPr>
            <w:tcW w:w="1418" w:type="dxa"/>
            <w:vAlign w:val="center"/>
          </w:tcPr>
          <w:p w14:paraId="2FC4EFCB" w14:textId="6DEA577E" w:rsidR="00326421" w:rsidRPr="00B15D68" w:rsidRDefault="00326421" w:rsidP="006550DA">
            <w:pPr>
              <w:jc w:val="center"/>
              <w:rPr>
                <w:rFonts w:ascii="Open Sans" w:hAnsi="Open Sans" w:cs="Open Sans"/>
                <w:color w:val="00B050"/>
                <w:sz w:val="18"/>
                <w:szCs w:val="18"/>
              </w:rPr>
            </w:pPr>
            <w:r w:rsidRPr="00B15D68">
              <w:rPr>
                <w:rFonts w:ascii="Open Sans" w:hAnsi="Open Sans" w:cs="Open Sans"/>
                <w:color w:val="00B050"/>
                <w:sz w:val="18"/>
                <w:szCs w:val="18"/>
              </w:rPr>
              <w:t>Yes</w:t>
            </w:r>
          </w:p>
        </w:tc>
      </w:tr>
      <w:tr w:rsidR="001E0B1F" w14:paraId="746F3221" w14:textId="77777777" w:rsidTr="006550DA">
        <w:tc>
          <w:tcPr>
            <w:tcW w:w="1555" w:type="dxa"/>
            <w:vMerge/>
            <w:vAlign w:val="center"/>
          </w:tcPr>
          <w:p w14:paraId="32CAD480" w14:textId="77777777" w:rsidR="00326421" w:rsidRPr="00362145" w:rsidRDefault="00326421" w:rsidP="006550DA">
            <w:pPr>
              <w:jc w:val="center"/>
              <w:rPr>
                <w:rFonts w:ascii="Open Sans" w:hAnsi="Open Sans" w:cs="Open Sans"/>
                <w:sz w:val="18"/>
                <w:szCs w:val="18"/>
              </w:rPr>
            </w:pPr>
          </w:p>
        </w:tc>
        <w:tc>
          <w:tcPr>
            <w:tcW w:w="1417" w:type="dxa"/>
            <w:vAlign w:val="center"/>
          </w:tcPr>
          <w:p w14:paraId="2A46EFDE" w14:textId="76830CD8"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11 - 15</w:t>
            </w:r>
          </w:p>
        </w:tc>
        <w:tc>
          <w:tcPr>
            <w:tcW w:w="1418" w:type="dxa"/>
            <w:vAlign w:val="center"/>
          </w:tcPr>
          <w:p w14:paraId="7E6CE86B" w14:textId="289E73FE"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£11,500</w:t>
            </w:r>
          </w:p>
        </w:tc>
        <w:tc>
          <w:tcPr>
            <w:tcW w:w="992" w:type="dxa"/>
            <w:vAlign w:val="center"/>
          </w:tcPr>
          <w:p w14:paraId="331D49BB" w14:textId="325753DD"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£920</w:t>
            </w:r>
          </w:p>
        </w:tc>
        <w:tc>
          <w:tcPr>
            <w:tcW w:w="1276" w:type="dxa"/>
            <w:vAlign w:val="center"/>
          </w:tcPr>
          <w:p w14:paraId="05A26454" w14:textId="5B3906EC"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35 %</w:t>
            </w:r>
          </w:p>
        </w:tc>
        <w:tc>
          <w:tcPr>
            <w:tcW w:w="1417" w:type="dxa"/>
            <w:vAlign w:val="center"/>
          </w:tcPr>
          <w:p w14:paraId="41EF9261" w14:textId="57B10250"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£7,500</w:t>
            </w:r>
          </w:p>
        </w:tc>
        <w:tc>
          <w:tcPr>
            <w:tcW w:w="1418" w:type="dxa"/>
            <w:vAlign w:val="center"/>
          </w:tcPr>
          <w:p w14:paraId="1ECF5EFE" w14:textId="6760EBD8" w:rsidR="00326421" w:rsidRPr="00362145" w:rsidRDefault="00326421" w:rsidP="006550DA">
            <w:pPr>
              <w:jc w:val="center"/>
              <w:rPr>
                <w:rFonts w:ascii="Open Sans" w:hAnsi="Open Sans" w:cs="Open Sans"/>
                <w:color w:val="FF0000"/>
                <w:sz w:val="18"/>
                <w:szCs w:val="18"/>
              </w:rPr>
            </w:pPr>
            <w:r w:rsidRPr="00362145">
              <w:rPr>
                <w:rFonts w:ascii="Open Sans" w:hAnsi="Open Sans" w:cs="Open Sans"/>
                <w:color w:val="FF0000"/>
                <w:sz w:val="18"/>
                <w:szCs w:val="18"/>
              </w:rPr>
              <w:t>No</w:t>
            </w:r>
          </w:p>
        </w:tc>
      </w:tr>
      <w:tr w:rsidR="001E0B1F" w14:paraId="19C5BA1D" w14:textId="77777777" w:rsidTr="006550DA">
        <w:tc>
          <w:tcPr>
            <w:tcW w:w="1555" w:type="dxa"/>
            <w:vMerge/>
            <w:vAlign w:val="center"/>
          </w:tcPr>
          <w:p w14:paraId="68E316DE" w14:textId="77777777" w:rsidR="00326421" w:rsidRPr="00362145" w:rsidRDefault="00326421" w:rsidP="006550DA">
            <w:pPr>
              <w:jc w:val="center"/>
              <w:rPr>
                <w:rFonts w:ascii="Open Sans" w:hAnsi="Open Sans" w:cs="Open Sans"/>
                <w:sz w:val="18"/>
                <w:szCs w:val="18"/>
              </w:rPr>
            </w:pPr>
          </w:p>
        </w:tc>
        <w:tc>
          <w:tcPr>
            <w:tcW w:w="1417" w:type="dxa"/>
            <w:vAlign w:val="center"/>
          </w:tcPr>
          <w:p w14:paraId="6AF13EA7" w14:textId="1C90AAB7"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16 - 20</w:t>
            </w:r>
          </w:p>
        </w:tc>
        <w:tc>
          <w:tcPr>
            <w:tcW w:w="1418" w:type="dxa"/>
            <w:vAlign w:val="center"/>
          </w:tcPr>
          <w:p w14:paraId="43FD7E1C" w14:textId="2C8CDBA4"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£13,000</w:t>
            </w:r>
          </w:p>
        </w:tc>
        <w:tc>
          <w:tcPr>
            <w:tcW w:w="992" w:type="dxa"/>
            <w:vAlign w:val="center"/>
          </w:tcPr>
          <w:p w14:paraId="6EDBD24F" w14:textId="5E22A07B"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£810</w:t>
            </w:r>
          </w:p>
        </w:tc>
        <w:tc>
          <w:tcPr>
            <w:tcW w:w="1276" w:type="dxa"/>
            <w:vAlign w:val="center"/>
          </w:tcPr>
          <w:p w14:paraId="02200E40" w14:textId="71736CDE"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31 %</w:t>
            </w:r>
          </w:p>
        </w:tc>
        <w:tc>
          <w:tcPr>
            <w:tcW w:w="1417" w:type="dxa"/>
            <w:vAlign w:val="center"/>
          </w:tcPr>
          <w:p w14:paraId="22CF4FF2" w14:textId="338A89BF"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£9,000</w:t>
            </w:r>
          </w:p>
        </w:tc>
        <w:tc>
          <w:tcPr>
            <w:tcW w:w="1418" w:type="dxa"/>
            <w:vAlign w:val="center"/>
          </w:tcPr>
          <w:p w14:paraId="063AAE38" w14:textId="415601E0" w:rsidR="00326421" w:rsidRPr="00362145" w:rsidRDefault="00326421" w:rsidP="006550DA">
            <w:pPr>
              <w:jc w:val="center"/>
              <w:rPr>
                <w:rFonts w:ascii="Open Sans" w:hAnsi="Open Sans" w:cs="Open Sans"/>
                <w:color w:val="FF0000"/>
                <w:sz w:val="18"/>
                <w:szCs w:val="18"/>
              </w:rPr>
            </w:pPr>
            <w:r w:rsidRPr="00362145">
              <w:rPr>
                <w:rFonts w:ascii="Open Sans" w:hAnsi="Open Sans" w:cs="Open Sans"/>
                <w:color w:val="FF0000"/>
                <w:sz w:val="18"/>
                <w:szCs w:val="18"/>
              </w:rPr>
              <w:t>No</w:t>
            </w:r>
          </w:p>
        </w:tc>
      </w:tr>
      <w:tr w:rsidR="001E0B1F" w14:paraId="70CCF046" w14:textId="77777777" w:rsidTr="006550DA">
        <w:tc>
          <w:tcPr>
            <w:tcW w:w="1555" w:type="dxa"/>
            <w:vMerge/>
            <w:vAlign w:val="center"/>
          </w:tcPr>
          <w:p w14:paraId="5181A654" w14:textId="77777777" w:rsidR="00326421" w:rsidRPr="00362145" w:rsidRDefault="00326421" w:rsidP="006550DA">
            <w:pPr>
              <w:jc w:val="center"/>
              <w:rPr>
                <w:rFonts w:ascii="Open Sans" w:hAnsi="Open Sans" w:cs="Open Sans"/>
                <w:sz w:val="18"/>
                <w:szCs w:val="18"/>
              </w:rPr>
            </w:pPr>
          </w:p>
        </w:tc>
        <w:tc>
          <w:tcPr>
            <w:tcW w:w="1417" w:type="dxa"/>
            <w:vAlign w:val="center"/>
          </w:tcPr>
          <w:p w14:paraId="75D6BC67" w14:textId="74F1E5D9"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21 - 25</w:t>
            </w:r>
          </w:p>
        </w:tc>
        <w:tc>
          <w:tcPr>
            <w:tcW w:w="1418" w:type="dxa"/>
            <w:vAlign w:val="center"/>
          </w:tcPr>
          <w:p w14:paraId="4A06BE18" w14:textId="12CE395F"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£17,970</w:t>
            </w:r>
          </w:p>
        </w:tc>
        <w:tc>
          <w:tcPr>
            <w:tcW w:w="992" w:type="dxa"/>
            <w:vAlign w:val="center"/>
          </w:tcPr>
          <w:p w14:paraId="7FB7702A" w14:textId="00A2F67F"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£770</w:t>
            </w:r>
          </w:p>
        </w:tc>
        <w:tc>
          <w:tcPr>
            <w:tcW w:w="1276" w:type="dxa"/>
            <w:vAlign w:val="center"/>
          </w:tcPr>
          <w:p w14:paraId="3B56E61B" w14:textId="06D71F50"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22 %</w:t>
            </w:r>
          </w:p>
        </w:tc>
        <w:tc>
          <w:tcPr>
            <w:tcW w:w="1417" w:type="dxa"/>
            <w:vAlign w:val="center"/>
          </w:tcPr>
          <w:p w14:paraId="0FC6748D" w14:textId="6CAB0D55"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£13,970</w:t>
            </w:r>
          </w:p>
        </w:tc>
        <w:tc>
          <w:tcPr>
            <w:tcW w:w="1418" w:type="dxa"/>
            <w:vAlign w:val="center"/>
          </w:tcPr>
          <w:p w14:paraId="4B71F76D" w14:textId="6A0C0CA8" w:rsidR="00326421" w:rsidRPr="00362145" w:rsidRDefault="00326421" w:rsidP="006550DA">
            <w:pPr>
              <w:jc w:val="center"/>
              <w:rPr>
                <w:rFonts w:ascii="Open Sans" w:hAnsi="Open Sans" w:cs="Open Sans"/>
                <w:color w:val="FF0000"/>
                <w:sz w:val="18"/>
                <w:szCs w:val="18"/>
              </w:rPr>
            </w:pPr>
            <w:r w:rsidRPr="00362145">
              <w:rPr>
                <w:rFonts w:ascii="Open Sans" w:hAnsi="Open Sans" w:cs="Open Sans"/>
                <w:color w:val="FF0000"/>
                <w:sz w:val="18"/>
                <w:szCs w:val="18"/>
              </w:rPr>
              <w:t>No</w:t>
            </w:r>
          </w:p>
        </w:tc>
      </w:tr>
      <w:tr w:rsidR="001E0B1F" w14:paraId="60CDC14E" w14:textId="77777777" w:rsidTr="006550DA">
        <w:tc>
          <w:tcPr>
            <w:tcW w:w="1555" w:type="dxa"/>
            <w:vMerge/>
            <w:vAlign w:val="center"/>
          </w:tcPr>
          <w:p w14:paraId="012A9BA7" w14:textId="77777777" w:rsidR="00326421" w:rsidRPr="00362145" w:rsidRDefault="00326421" w:rsidP="006550DA">
            <w:pPr>
              <w:jc w:val="center"/>
              <w:rPr>
                <w:rFonts w:ascii="Open Sans" w:hAnsi="Open Sans" w:cs="Open Sans"/>
                <w:sz w:val="18"/>
                <w:szCs w:val="18"/>
              </w:rPr>
            </w:pPr>
          </w:p>
        </w:tc>
        <w:tc>
          <w:tcPr>
            <w:tcW w:w="1417" w:type="dxa"/>
            <w:vAlign w:val="center"/>
          </w:tcPr>
          <w:p w14:paraId="5AA210A3" w14:textId="7F0BBEF3"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26 - 30</w:t>
            </w:r>
          </w:p>
        </w:tc>
        <w:tc>
          <w:tcPr>
            <w:tcW w:w="1418" w:type="dxa"/>
            <w:vAlign w:val="center"/>
          </w:tcPr>
          <w:p w14:paraId="1665152F" w14:textId="1256D12D"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£20,000</w:t>
            </w:r>
          </w:p>
        </w:tc>
        <w:tc>
          <w:tcPr>
            <w:tcW w:w="992" w:type="dxa"/>
            <w:vAlign w:val="center"/>
          </w:tcPr>
          <w:p w14:paraId="3EEA7475" w14:textId="40F55C46"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£710</w:t>
            </w:r>
          </w:p>
        </w:tc>
        <w:tc>
          <w:tcPr>
            <w:tcW w:w="1276" w:type="dxa"/>
            <w:vAlign w:val="center"/>
          </w:tcPr>
          <w:p w14:paraId="438271D0" w14:textId="1FE1C093"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20 %</w:t>
            </w:r>
          </w:p>
        </w:tc>
        <w:tc>
          <w:tcPr>
            <w:tcW w:w="1417" w:type="dxa"/>
            <w:vAlign w:val="center"/>
          </w:tcPr>
          <w:p w14:paraId="7E551313" w14:textId="12D4EAFD"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£16,000</w:t>
            </w:r>
          </w:p>
        </w:tc>
        <w:tc>
          <w:tcPr>
            <w:tcW w:w="1418" w:type="dxa"/>
            <w:vAlign w:val="center"/>
          </w:tcPr>
          <w:p w14:paraId="20C9A9EE" w14:textId="3E21BDE9" w:rsidR="00326421" w:rsidRPr="00362145" w:rsidRDefault="00326421" w:rsidP="006550DA">
            <w:pPr>
              <w:jc w:val="center"/>
              <w:rPr>
                <w:rFonts w:ascii="Open Sans" w:hAnsi="Open Sans" w:cs="Open Sans"/>
                <w:color w:val="FF0000"/>
                <w:sz w:val="18"/>
                <w:szCs w:val="18"/>
              </w:rPr>
            </w:pPr>
            <w:r w:rsidRPr="00362145">
              <w:rPr>
                <w:rFonts w:ascii="Open Sans" w:hAnsi="Open Sans" w:cs="Open Sans"/>
                <w:color w:val="FF0000"/>
                <w:sz w:val="18"/>
                <w:szCs w:val="18"/>
              </w:rPr>
              <w:t>No</w:t>
            </w:r>
          </w:p>
        </w:tc>
      </w:tr>
      <w:tr w:rsidR="001E0B1F" w14:paraId="42F3DAE0" w14:textId="77777777" w:rsidTr="006550DA">
        <w:tc>
          <w:tcPr>
            <w:tcW w:w="1555" w:type="dxa"/>
            <w:vMerge/>
            <w:vAlign w:val="center"/>
          </w:tcPr>
          <w:p w14:paraId="507DC226" w14:textId="77777777" w:rsidR="00326421" w:rsidRPr="00362145" w:rsidRDefault="00326421" w:rsidP="006550DA">
            <w:pPr>
              <w:jc w:val="center"/>
              <w:rPr>
                <w:rFonts w:ascii="Open Sans" w:hAnsi="Open Sans" w:cs="Open Sans"/>
                <w:sz w:val="18"/>
                <w:szCs w:val="18"/>
              </w:rPr>
            </w:pPr>
          </w:p>
        </w:tc>
        <w:tc>
          <w:tcPr>
            <w:tcW w:w="1417" w:type="dxa"/>
            <w:vAlign w:val="center"/>
          </w:tcPr>
          <w:p w14:paraId="038E0C77" w14:textId="00A959B5"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31 - 35</w:t>
            </w:r>
          </w:p>
        </w:tc>
        <w:tc>
          <w:tcPr>
            <w:tcW w:w="1418" w:type="dxa"/>
            <w:vAlign w:val="center"/>
          </w:tcPr>
          <w:p w14:paraId="7B80F0D7" w14:textId="11B733C0"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£20,000</w:t>
            </w:r>
          </w:p>
        </w:tc>
        <w:tc>
          <w:tcPr>
            <w:tcW w:w="992" w:type="dxa"/>
            <w:vAlign w:val="center"/>
          </w:tcPr>
          <w:p w14:paraId="1CA4707A" w14:textId="5775246C"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£630</w:t>
            </w:r>
          </w:p>
        </w:tc>
        <w:tc>
          <w:tcPr>
            <w:tcW w:w="1276" w:type="dxa"/>
            <w:vAlign w:val="center"/>
          </w:tcPr>
          <w:p w14:paraId="6B7BC246" w14:textId="44032BD6"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20 %</w:t>
            </w:r>
          </w:p>
        </w:tc>
        <w:tc>
          <w:tcPr>
            <w:tcW w:w="1417" w:type="dxa"/>
            <w:vAlign w:val="center"/>
          </w:tcPr>
          <w:p w14:paraId="05D8DBFD" w14:textId="7519E440"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£16,000</w:t>
            </w:r>
          </w:p>
        </w:tc>
        <w:tc>
          <w:tcPr>
            <w:tcW w:w="1418" w:type="dxa"/>
            <w:vAlign w:val="center"/>
          </w:tcPr>
          <w:p w14:paraId="6B7C2364" w14:textId="2F7F670B" w:rsidR="00326421" w:rsidRPr="00362145" w:rsidRDefault="00326421" w:rsidP="006550DA">
            <w:pPr>
              <w:jc w:val="center"/>
              <w:rPr>
                <w:rFonts w:ascii="Open Sans" w:hAnsi="Open Sans" w:cs="Open Sans"/>
                <w:color w:val="FF0000"/>
                <w:sz w:val="18"/>
                <w:szCs w:val="18"/>
              </w:rPr>
            </w:pPr>
            <w:r w:rsidRPr="00362145">
              <w:rPr>
                <w:rFonts w:ascii="Open Sans" w:hAnsi="Open Sans" w:cs="Open Sans"/>
                <w:color w:val="FF0000"/>
                <w:sz w:val="18"/>
                <w:szCs w:val="18"/>
              </w:rPr>
              <w:t>No</w:t>
            </w:r>
          </w:p>
        </w:tc>
      </w:tr>
      <w:tr w:rsidR="001E0B1F" w14:paraId="3DEBD4D3" w14:textId="77777777" w:rsidTr="006550DA">
        <w:tc>
          <w:tcPr>
            <w:tcW w:w="1555" w:type="dxa"/>
            <w:vMerge/>
            <w:vAlign w:val="center"/>
          </w:tcPr>
          <w:p w14:paraId="658201BC" w14:textId="77777777" w:rsidR="00326421" w:rsidRPr="00362145" w:rsidRDefault="00326421" w:rsidP="006550DA">
            <w:pPr>
              <w:jc w:val="center"/>
              <w:rPr>
                <w:rFonts w:ascii="Open Sans" w:hAnsi="Open Sans" w:cs="Open Sans"/>
                <w:sz w:val="18"/>
                <w:szCs w:val="18"/>
              </w:rPr>
            </w:pPr>
          </w:p>
        </w:tc>
        <w:tc>
          <w:tcPr>
            <w:tcW w:w="1417" w:type="dxa"/>
            <w:vAlign w:val="center"/>
          </w:tcPr>
          <w:p w14:paraId="47896BAD" w14:textId="7BE317BE"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36 - 40</w:t>
            </w:r>
          </w:p>
        </w:tc>
        <w:tc>
          <w:tcPr>
            <w:tcW w:w="1418" w:type="dxa"/>
            <w:vAlign w:val="center"/>
          </w:tcPr>
          <w:p w14:paraId="7DF4B8A4" w14:textId="66CF396C" w:rsidR="00326421" w:rsidRPr="00362145" w:rsidRDefault="0033331E" w:rsidP="006550DA">
            <w:pPr>
              <w:jc w:val="center"/>
              <w:rPr>
                <w:rFonts w:ascii="Open Sans" w:hAnsi="Open Sans" w:cs="Open Sans"/>
                <w:sz w:val="18"/>
                <w:szCs w:val="18"/>
              </w:rPr>
            </w:pPr>
            <w:r w:rsidRPr="00362145">
              <w:rPr>
                <w:rFonts w:ascii="Arial" w:hAnsi="Arial" w:cs="Arial"/>
                <w:color w:val="000000"/>
                <w:sz w:val="18"/>
                <w:szCs w:val="18"/>
              </w:rPr>
              <w:t>-</w:t>
            </w:r>
          </w:p>
        </w:tc>
        <w:tc>
          <w:tcPr>
            <w:tcW w:w="992" w:type="dxa"/>
            <w:vAlign w:val="center"/>
          </w:tcPr>
          <w:p w14:paraId="305C61E4" w14:textId="7D565CEA" w:rsidR="00326421" w:rsidRPr="00362145" w:rsidRDefault="0033331E" w:rsidP="006550DA">
            <w:pPr>
              <w:jc w:val="center"/>
              <w:rPr>
                <w:rFonts w:ascii="Open Sans" w:hAnsi="Open Sans" w:cs="Open Sans"/>
                <w:sz w:val="18"/>
                <w:szCs w:val="18"/>
              </w:rPr>
            </w:pPr>
            <w:r w:rsidRPr="00362145">
              <w:rPr>
                <w:rFonts w:ascii="Arial" w:hAnsi="Arial" w:cs="Arial"/>
                <w:color w:val="000000"/>
                <w:sz w:val="18"/>
                <w:szCs w:val="18"/>
              </w:rPr>
              <w:t>-</w:t>
            </w:r>
          </w:p>
        </w:tc>
        <w:tc>
          <w:tcPr>
            <w:tcW w:w="1276" w:type="dxa"/>
            <w:vAlign w:val="center"/>
          </w:tcPr>
          <w:p w14:paraId="63243A79" w14:textId="26EAFDE2" w:rsidR="00326421" w:rsidRPr="00362145" w:rsidRDefault="0033331E" w:rsidP="006550DA">
            <w:pPr>
              <w:jc w:val="center"/>
              <w:rPr>
                <w:rFonts w:ascii="Open Sans" w:hAnsi="Open Sans" w:cs="Open Sans"/>
                <w:sz w:val="18"/>
                <w:szCs w:val="18"/>
              </w:rPr>
            </w:pPr>
            <w:r w:rsidRPr="00362145">
              <w:rPr>
                <w:rFonts w:ascii="Arial" w:hAnsi="Arial" w:cs="Arial"/>
                <w:color w:val="000000"/>
                <w:sz w:val="18"/>
                <w:szCs w:val="18"/>
              </w:rPr>
              <w:t>-</w:t>
            </w:r>
          </w:p>
        </w:tc>
        <w:tc>
          <w:tcPr>
            <w:tcW w:w="1417" w:type="dxa"/>
            <w:vAlign w:val="center"/>
          </w:tcPr>
          <w:p w14:paraId="7FE41B34" w14:textId="33A0C8A5" w:rsidR="00326421" w:rsidRPr="00362145" w:rsidRDefault="0033331E" w:rsidP="006550DA">
            <w:pPr>
              <w:jc w:val="center"/>
              <w:rPr>
                <w:rFonts w:ascii="Open Sans" w:hAnsi="Open Sans" w:cs="Open Sans"/>
                <w:sz w:val="18"/>
                <w:szCs w:val="18"/>
              </w:rPr>
            </w:pPr>
            <w:r w:rsidRPr="00362145">
              <w:rPr>
                <w:rFonts w:ascii="Arial" w:hAnsi="Arial" w:cs="Arial"/>
                <w:color w:val="000000"/>
                <w:sz w:val="18"/>
                <w:szCs w:val="18"/>
              </w:rPr>
              <w:t>-</w:t>
            </w:r>
          </w:p>
        </w:tc>
        <w:tc>
          <w:tcPr>
            <w:tcW w:w="1418" w:type="dxa"/>
            <w:vAlign w:val="center"/>
          </w:tcPr>
          <w:p w14:paraId="6CF4A5A1" w14:textId="7EB68E46" w:rsidR="00326421" w:rsidRPr="00362145" w:rsidRDefault="0033331E" w:rsidP="006550DA">
            <w:pPr>
              <w:jc w:val="center"/>
              <w:rPr>
                <w:rFonts w:ascii="Open Sans" w:hAnsi="Open Sans" w:cs="Open Sans"/>
                <w:sz w:val="18"/>
                <w:szCs w:val="18"/>
              </w:rPr>
            </w:pPr>
            <w:r w:rsidRPr="00362145">
              <w:rPr>
                <w:rFonts w:ascii="Arial" w:hAnsi="Arial" w:cs="Arial"/>
                <w:color w:val="000000"/>
                <w:sz w:val="18"/>
                <w:szCs w:val="18"/>
              </w:rPr>
              <w:t>-</w:t>
            </w:r>
          </w:p>
        </w:tc>
      </w:tr>
      <w:tr w:rsidR="001E0B1F" w14:paraId="424E5E21" w14:textId="77777777" w:rsidTr="006550DA">
        <w:tc>
          <w:tcPr>
            <w:tcW w:w="1555" w:type="dxa"/>
            <w:vMerge/>
            <w:vAlign w:val="center"/>
          </w:tcPr>
          <w:p w14:paraId="3D0C9D0B" w14:textId="77777777" w:rsidR="00326421" w:rsidRPr="00362145" w:rsidRDefault="00326421" w:rsidP="006550DA">
            <w:pPr>
              <w:jc w:val="center"/>
              <w:rPr>
                <w:rFonts w:ascii="Open Sans" w:hAnsi="Open Sans" w:cs="Open Sans"/>
                <w:sz w:val="18"/>
                <w:szCs w:val="18"/>
              </w:rPr>
            </w:pPr>
          </w:p>
        </w:tc>
        <w:tc>
          <w:tcPr>
            <w:tcW w:w="1417" w:type="dxa"/>
            <w:vAlign w:val="center"/>
          </w:tcPr>
          <w:p w14:paraId="27F184DE" w14:textId="5212CD8F"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41 - 45</w:t>
            </w:r>
          </w:p>
        </w:tc>
        <w:tc>
          <w:tcPr>
            <w:tcW w:w="1418" w:type="dxa"/>
            <w:vAlign w:val="center"/>
          </w:tcPr>
          <w:p w14:paraId="7782F244" w14:textId="6A36301B"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£22,500</w:t>
            </w:r>
          </w:p>
        </w:tc>
        <w:tc>
          <w:tcPr>
            <w:tcW w:w="992" w:type="dxa"/>
            <w:vAlign w:val="center"/>
          </w:tcPr>
          <w:p w14:paraId="75950EB0" w14:textId="2D5018C8"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£530</w:t>
            </w:r>
          </w:p>
        </w:tc>
        <w:tc>
          <w:tcPr>
            <w:tcW w:w="1276" w:type="dxa"/>
            <w:vAlign w:val="center"/>
          </w:tcPr>
          <w:p w14:paraId="72617D08" w14:textId="74D37D01"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18 %</w:t>
            </w:r>
          </w:p>
        </w:tc>
        <w:tc>
          <w:tcPr>
            <w:tcW w:w="1417" w:type="dxa"/>
            <w:vAlign w:val="center"/>
          </w:tcPr>
          <w:p w14:paraId="210688EE" w14:textId="036A996C"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£18,500</w:t>
            </w:r>
          </w:p>
        </w:tc>
        <w:tc>
          <w:tcPr>
            <w:tcW w:w="1418" w:type="dxa"/>
            <w:vAlign w:val="center"/>
          </w:tcPr>
          <w:p w14:paraId="12BFD107" w14:textId="44927CA3" w:rsidR="00326421" w:rsidRPr="00362145" w:rsidRDefault="00326421"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1E0B1F" w14:paraId="505DE5AF" w14:textId="77777777" w:rsidTr="006550DA">
        <w:trPr>
          <w:trHeight w:val="79"/>
        </w:trPr>
        <w:tc>
          <w:tcPr>
            <w:tcW w:w="1555" w:type="dxa"/>
            <w:vMerge/>
            <w:vAlign w:val="center"/>
          </w:tcPr>
          <w:p w14:paraId="765562D9" w14:textId="77777777" w:rsidR="00326421" w:rsidRPr="00362145" w:rsidRDefault="00326421" w:rsidP="006550DA">
            <w:pPr>
              <w:jc w:val="center"/>
              <w:rPr>
                <w:rFonts w:ascii="Open Sans" w:hAnsi="Open Sans" w:cs="Open Sans"/>
                <w:sz w:val="18"/>
                <w:szCs w:val="18"/>
              </w:rPr>
            </w:pPr>
          </w:p>
        </w:tc>
        <w:tc>
          <w:tcPr>
            <w:tcW w:w="1417" w:type="dxa"/>
            <w:vAlign w:val="center"/>
          </w:tcPr>
          <w:p w14:paraId="44BE2268" w14:textId="3B8F4767" w:rsidR="00326421" w:rsidRPr="00362145" w:rsidRDefault="00326421" w:rsidP="006550DA">
            <w:pPr>
              <w:jc w:val="center"/>
              <w:rPr>
                <w:rFonts w:ascii="Arial" w:hAnsi="Arial" w:cs="Arial"/>
                <w:b/>
                <w:bCs/>
                <w:color w:val="000000"/>
                <w:sz w:val="20"/>
                <w:szCs w:val="20"/>
              </w:rPr>
            </w:pPr>
            <w:r w:rsidRPr="00362145">
              <w:rPr>
                <w:rFonts w:ascii="Arial" w:hAnsi="Arial" w:cs="Arial"/>
                <w:b/>
                <w:bCs/>
                <w:color w:val="000000"/>
                <w:sz w:val="20"/>
                <w:szCs w:val="20"/>
              </w:rPr>
              <w:t>Average across the range</w:t>
            </w:r>
          </w:p>
        </w:tc>
        <w:tc>
          <w:tcPr>
            <w:tcW w:w="1418" w:type="dxa"/>
            <w:vAlign w:val="center"/>
          </w:tcPr>
          <w:p w14:paraId="4D3AC81F" w14:textId="6AB5BC9E" w:rsidR="00326421" w:rsidRPr="00362145" w:rsidRDefault="00326421" w:rsidP="006550DA">
            <w:pPr>
              <w:jc w:val="center"/>
              <w:rPr>
                <w:rFonts w:ascii="Arial" w:hAnsi="Arial" w:cs="Arial"/>
                <w:b/>
                <w:bCs/>
                <w:color w:val="000000"/>
                <w:sz w:val="20"/>
                <w:szCs w:val="20"/>
              </w:rPr>
            </w:pPr>
            <w:r w:rsidRPr="00362145">
              <w:rPr>
                <w:rFonts w:ascii="Arial" w:hAnsi="Arial" w:cs="Arial"/>
                <w:b/>
                <w:bCs/>
                <w:color w:val="000000"/>
                <w:sz w:val="20"/>
                <w:szCs w:val="20"/>
              </w:rPr>
              <w:t>£11,274</w:t>
            </w:r>
          </w:p>
        </w:tc>
        <w:tc>
          <w:tcPr>
            <w:tcW w:w="992" w:type="dxa"/>
            <w:vAlign w:val="center"/>
          </w:tcPr>
          <w:p w14:paraId="631C2D05" w14:textId="7D8F38C2" w:rsidR="00326421" w:rsidRPr="00362145" w:rsidRDefault="00326421" w:rsidP="006550DA">
            <w:pPr>
              <w:jc w:val="center"/>
              <w:rPr>
                <w:rFonts w:ascii="Arial" w:hAnsi="Arial" w:cs="Arial"/>
                <w:b/>
                <w:bCs/>
                <w:color w:val="000000"/>
                <w:sz w:val="20"/>
                <w:szCs w:val="20"/>
              </w:rPr>
            </w:pPr>
            <w:r w:rsidRPr="00362145">
              <w:rPr>
                <w:rFonts w:ascii="Arial" w:hAnsi="Arial" w:cs="Arial"/>
                <w:b/>
                <w:bCs/>
                <w:color w:val="000000"/>
                <w:sz w:val="20"/>
                <w:szCs w:val="20"/>
              </w:rPr>
              <w:t>£866</w:t>
            </w:r>
          </w:p>
        </w:tc>
        <w:tc>
          <w:tcPr>
            <w:tcW w:w="1276" w:type="dxa"/>
            <w:vAlign w:val="center"/>
          </w:tcPr>
          <w:p w14:paraId="4AF7F7E6" w14:textId="264B15E7" w:rsidR="00326421" w:rsidRPr="00362145" w:rsidRDefault="00326421" w:rsidP="006550DA">
            <w:pPr>
              <w:jc w:val="center"/>
              <w:rPr>
                <w:rFonts w:ascii="Open Sans" w:hAnsi="Open Sans" w:cs="Open Sans"/>
                <w:b/>
                <w:bCs/>
                <w:sz w:val="20"/>
                <w:szCs w:val="20"/>
              </w:rPr>
            </w:pPr>
            <w:r w:rsidRPr="00362145">
              <w:rPr>
                <w:rFonts w:ascii="Open Sans" w:hAnsi="Open Sans" w:cs="Open Sans"/>
                <w:b/>
                <w:bCs/>
                <w:sz w:val="20"/>
                <w:szCs w:val="20"/>
              </w:rPr>
              <w:t>35 %</w:t>
            </w:r>
          </w:p>
        </w:tc>
        <w:tc>
          <w:tcPr>
            <w:tcW w:w="1417" w:type="dxa"/>
            <w:vAlign w:val="center"/>
          </w:tcPr>
          <w:p w14:paraId="25EE1FA7" w14:textId="10C48876" w:rsidR="00326421" w:rsidRPr="00362145" w:rsidRDefault="00326421" w:rsidP="006550DA">
            <w:pPr>
              <w:jc w:val="center"/>
              <w:rPr>
                <w:rFonts w:ascii="Open Sans" w:hAnsi="Open Sans" w:cs="Open Sans"/>
                <w:b/>
                <w:bCs/>
                <w:sz w:val="20"/>
                <w:szCs w:val="20"/>
              </w:rPr>
            </w:pPr>
            <w:r w:rsidRPr="00362145">
              <w:rPr>
                <w:rFonts w:ascii="Open Sans" w:hAnsi="Open Sans" w:cs="Open Sans"/>
                <w:b/>
                <w:bCs/>
                <w:sz w:val="20"/>
                <w:szCs w:val="20"/>
              </w:rPr>
              <w:t>£7,274</w:t>
            </w:r>
          </w:p>
        </w:tc>
        <w:tc>
          <w:tcPr>
            <w:tcW w:w="1418" w:type="dxa"/>
            <w:vAlign w:val="center"/>
          </w:tcPr>
          <w:p w14:paraId="3B410F21" w14:textId="42C44D96" w:rsidR="00326421" w:rsidRPr="00362145" w:rsidRDefault="00326421" w:rsidP="006550DA">
            <w:pPr>
              <w:jc w:val="center"/>
              <w:rPr>
                <w:rFonts w:ascii="Open Sans" w:hAnsi="Open Sans" w:cs="Open Sans"/>
                <w:b/>
                <w:bCs/>
                <w:sz w:val="20"/>
                <w:szCs w:val="20"/>
              </w:rPr>
            </w:pPr>
            <w:r w:rsidRPr="00362145">
              <w:rPr>
                <w:rFonts w:ascii="Open Sans" w:hAnsi="Open Sans" w:cs="Open Sans"/>
                <w:b/>
                <w:bCs/>
                <w:color w:val="FF0000"/>
                <w:sz w:val="20"/>
                <w:szCs w:val="20"/>
              </w:rPr>
              <w:t>No</w:t>
            </w:r>
          </w:p>
        </w:tc>
      </w:tr>
      <w:tr w:rsidR="00326421" w14:paraId="5C2271C5" w14:textId="77777777" w:rsidTr="001E0B1F">
        <w:trPr>
          <w:trHeight w:val="79"/>
        </w:trPr>
        <w:tc>
          <w:tcPr>
            <w:tcW w:w="9493" w:type="dxa"/>
            <w:gridSpan w:val="7"/>
            <w:shd w:val="clear" w:color="auto" w:fill="4472C4" w:themeFill="accent1"/>
          </w:tcPr>
          <w:p w14:paraId="008A7E78" w14:textId="77777777" w:rsidR="00326421" w:rsidRPr="00362145" w:rsidRDefault="00326421" w:rsidP="00326421">
            <w:pPr>
              <w:rPr>
                <w:rFonts w:ascii="Open Sans" w:hAnsi="Open Sans" w:cs="Open Sans"/>
                <w:sz w:val="18"/>
                <w:szCs w:val="18"/>
              </w:rPr>
            </w:pPr>
          </w:p>
        </w:tc>
      </w:tr>
      <w:tr w:rsidR="00362145" w14:paraId="25683083" w14:textId="77777777" w:rsidTr="006550DA">
        <w:trPr>
          <w:trHeight w:val="79"/>
        </w:trPr>
        <w:tc>
          <w:tcPr>
            <w:tcW w:w="1555" w:type="dxa"/>
            <w:vMerge w:val="restart"/>
            <w:vAlign w:val="center"/>
          </w:tcPr>
          <w:p w14:paraId="52B25202" w14:textId="3EB0E353" w:rsidR="00362145" w:rsidRPr="00362145" w:rsidRDefault="00362145" w:rsidP="006550DA">
            <w:pPr>
              <w:jc w:val="center"/>
              <w:rPr>
                <w:rFonts w:ascii="Open Sans" w:hAnsi="Open Sans" w:cs="Open Sans"/>
                <w:sz w:val="18"/>
                <w:szCs w:val="18"/>
              </w:rPr>
            </w:pPr>
            <w:r w:rsidRPr="00362145">
              <w:rPr>
                <w:rFonts w:ascii="Open Sans" w:hAnsi="Open Sans" w:cs="Open Sans"/>
                <w:sz w:val="18"/>
                <w:szCs w:val="18"/>
              </w:rPr>
              <w:t>Biomass</w:t>
            </w:r>
          </w:p>
        </w:tc>
        <w:tc>
          <w:tcPr>
            <w:tcW w:w="1417" w:type="dxa"/>
            <w:vAlign w:val="center"/>
          </w:tcPr>
          <w:p w14:paraId="1E00FD3B" w14:textId="2E4A20DF"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Less than 5</w:t>
            </w:r>
          </w:p>
        </w:tc>
        <w:tc>
          <w:tcPr>
            <w:tcW w:w="1418" w:type="dxa"/>
            <w:vAlign w:val="center"/>
          </w:tcPr>
          <w:p w14:paraId="26FF867E" w14:textId="01FF0443"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w:t>
            </w:r>
          </w:p>
        </w:tc>
        <w:tc>
          <w:tcPr>
            <w:tcW w:w="992" w:type="dxa"/>
            <w:vAlign w:val="center"/>
          </w:tcPr>
          <w:p w14:paraId="33D7633F" w14:textId="2634EA65"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w:t>
            </w:r>
          </w:p>
        </w:tc>
        <w:tc>
          <w:tcPr>
            <w:tcW w:w="1276" w:type="dxa"/>
            <w:vAlign w:val="center"/>
          </w:tcPr>
          <w:p w14:paraId="690728B3" w14:textId="2A70CE1A" w:rsidR="00362145" w:rsidRPr="00362145" w:rsidRDefault="00362145" w:rsidP="006550DA">
            <w:pPr>
              <w:jc w:val="center"/>
              <w:rPr>
                <w:rFonts w:ascii="Open Sans" w:hAnsi="Open Sans" w:cs="Open Sans"/>
                <w:sz w:val="18"/>
                <w:szCs w:val="18"/>
              </w:rPr>
            </w:pPr>
            <w:r w:rsidRPr="00362145">
              <w:rPr>
                <w:rFonts w:ascii="Open Sans" w:hAnsi="Open Sans" w:cs="Open Sans"/>
                <w:sz w:val="18"/>
                <w:szCs w:val="18"/>
              </w:rPr>
              <w:t>-</w:t>
            </w:r>
          </w:p>
        </w:tc>
        <w:tc>
          <w:tcPr>
            <w:tcW w:w="1417" w:type="dxa"/>
            <w:vAlign w:val="center"/>
          </w:tcPr>
          <w:p w14:paraId="52B13970" w14:textId="77777777" w:rsidR="00362145" w:rsidRPr="00362145" w:rsidRDefault="00362145" w:rsidP="006550DA">
            <w:pPr>
              <w:jc w:val="center"/>
              <w:rPr>
                <w:rFonts w:ascii="Open Sans" w:hAnsi="Open Sans" w:cs="Open Sans"/>
                <w:sz w:val="18"/>
                <w:szCs w:val="18"/>
              </w:rPr>
            </w:pPr>
          </w:p>
        </w:tc>
        <w:tc>
          <w:tcPr>
            <w:tcW w:w="1418" w:type="dxa"/>
            <w:vAlign w:val="center"/>
          </w:tcPr>
          <w:p w14:paraId="73F5526E" w14:textId="77777777" w:rsidR="00362145" w:rsidRPr="00362145" w:rsidRDefault="00362145" w:rsidP="006550DA">
            <w:pPr>
              <w:jc w:val="center"/>
              <w:rPr>
                <w:rFonts w:ascii="Open Sans" w:hAnsi="Open Sans" w:cs="Open Sans"/>
                <w:sz w:val="18"/>
                <w:szCs w:val="18"/>
              </w:rPr>
            </w:pPr>
          </w:p>
        </w:tc>
      </w:tr>
      <w:tr w:rsidR="00362145" w14:paraId="72551095" w14:textId="77777777" w:rsidTr="006550DA">
        <w:trPr>
          <w:trHeight w:val="79"/>
        </w:trPr>
        <w:tc>
          <w:tcPr>
            <w:tcW w:w="1555" w:type="dxa"/>
            <w:vMerge/>
            <w:vAlign w:val="center"/>
          </w:tcPr>
          <w:p w14:paraId="2B36A88C" w14:textId="77777777" w:rsidR="00362145" w:rsidRPr="00362145" w:rsidRDefault="00362145" w:rsidP="006550DA">
            <w:pPr>
              <w:jc w:val="center"/>
              <w:rPr>
                <w:rFonts w:ascii="Open Sans" w:hAnsi="Open Sans" w:cs="Open Sans"/>
                <w:sz w:val="18"/>
                <w:szCs w:val="18"/>
              </w:rPr>
            </w:pPr>
          </w:p>
        </w:tc>
        <w:tc>
          <w:tcPr>
            <w:tcW w:w="1417" w:type="dxa"/>
            <w:vAlign w:val="center"/>
          </w:tcPr>
          <w:p w14:paraId="6AECD6A0" w14:textId="6CDBE8D2"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6 - 10</w:t>
            </w:r>
          </w:p>
        </w:tc>
        <w:tc>
          <w:tcPr>
            <w:tcW w:w="1418" w:type="dxa"/>
            <w:vAlign w:val="center"/>
          </w:tcPr>
          <w:p w14:paraId="1AF2BB2D" w14:textId="3EBCFEB6"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£13,000</w:t>
            </w:r>
          </w:p>
        </w:tc>
        <w:tc>
          <w:tcPr>
            <w:tcW w:w="992" w:type="dxa"/>
            <w:vAlign w:val="center"/>
          </w:tcPr>
          <w:p w14:paraId="6D037B58" w14:textId="3AB54941"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£1,360</w:t>
            </w:r>
          </w:p>
        </w:tc>
        <w:tc>
          <w:tcPr>
            <w:tcW w:w="1276" w:type="dxa"/>
            <w:vAlign w:val="center"/>
          </w:tcPr>
          <w:p w14:paraId="399FE28B" w14:textId="2F384B02"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31</w:t>
            </w:r>
          </w:p>
        </w:tc>
        <w:tc>
          <w:tcPr>
            <w:tcW w:w="1417" w:type="dxa"/>
            <w:vAlign w:val="center"/>
          </w:tcPr>
          <w:p w14:paraId="45C2C6D6" w14:textId="795BC623"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9,000</w:t>
            </w:r>
          </w:p>
        </w:tc>
        <w:tc>
          <w:tcPr>
            <w:tcW w:w="1418" w:type="dxa"/>
            <w:vAlign w:val="center"/>
          </w:tcPr>
          <w:p w14:paraId="5C52DF80" w14:textId="70C3B707"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1E07A00D" w14:textId="77777777" w:rsidTr="006550DA">
        <w:trPr>
          <w:trHeight w:val="79"/>
        </w:trPr>
        <w:tc>
          <w:tcPr>
            <w:tcW w:w="1555" w:type="dxa"/>
            <w:vMerge/>
            <w:vAlign w:val="center"/>
          </w:tcPr>
          <w:p w14:paraId="5690CD19" w14:textId="77777777" w:rsidR="00362145" w:rsidRPr="00362145" w:rsidRDefault="00362145" w:rsidP="006550DA">
            <w:pPr>
              <w:jc w:val="center"/>
              <w:rPr>
                <w:rFonts w:ascii="Open Sans" w:hAnsi="Open Sans" w:cs="Open Sans"/>
                <w:sz w:val="18"/>
                <w:szCs w:val="18"/>
              </w:rPr>
            </w:pPr>
          </w:p>
        </w:tc>
        <w:tc>
          <w:tcPr>
            <w:tcW w:w="1417" w:type="dxa"/>
            <w:vAlign w:val="center"/>
          </w:tcPr>
          <w:p w14:paraId="0C191D8A" w14:textId="4B7FAA03"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11 - 15</w:t>
            </w:r>
          </w:p>
        </w:tc>
        <w:tc>
          <w:tcPr>
            <w:tcW w:w="1418" w:type="dxa"/>
            <w:vAlign w:val="center"/>
          </w:tcPr>
          <w:p w14:paraId="3A8EE85D" w14:textId="6BF031B7"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£11,760</w:t>
            </w:r>
          </w:p>
        </w:tc>
        <w:tc>
          <w:tcPr>
            <w:tcW w:w="992" w:type="dxa"/>
            <w:vAlign w:val="center"/>
          </w:tcPr>
          <w:p w14:paraId="1774F83A" w14:textId="1BF51C80"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£820</w:t>
            </w:r>
          </w:p>
        </w:tc>
        <w:tc>
          <w:tcPr>
            <w:tcW w:w="1276" w:type="dxa"/>
            <w:vAlign w:val="center"/>
          </w:tcPr>
          <w:p w14:paraId="7D6384A3" w14:textId="7D9409C4"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34</w:t>
            </w:r>
          </w:p>
        </w:tc>
        <w:tc>
          <w:tcPr>
            <w:tcW w:w="1417" w:type="dxa"/>
            <w:vAlign w:val="center"/>
          </w:tcPr>
          <w:p w14:paraId="6DE44A90" w14:textId="5DB1C494"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7,760</w:t>
            </w:r>
          </w:p>
        </w:tc>
        <w:tc>
          <w:tcPr>
            <w:tcW w:w="1418" w:type="dxa"/>
            <w:vAlign w:val="center"/>
          </w:tcPr>
          <w:p w14:paraId="6A0D5F23" w14:textId="1F5175FD"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51E1E52C" w14:textId="77777777" w:rsidTr="006550DA">
        <w:trPr>
          <w:trHeight w:val="79"/>
        </w:trPr>
        <w:tc>
          <w:tcPr>
            <w:tcW w:w="1555" w:type="dxa"/>
            <w:vMerge/>
            <w:vAlign w:val="center"/>
          </w:tcPr>
          <w:p w14:paraId="4CDACD37" w14:textId="77777777" w:rsidR="00362145" w:rsidRPr="00362145" w:rsidRDefault="00362145" w:rsidP="006550DA">
            <w:pPr>
              <w:jc w:val="center"/>
              <w:rPr>
                <w:rFonts w:ascii="Open Sans" w:hAnsi="Open Sans" w:cs="Open Sans"/>
                <w:sz w:val="18"/>
                <w:szCs w:val="18"/>
              </w:rPr>
            </w:pPr>
          </w:p>
        </w:tc>
        <w:tc>
          <w:tcPr>
            <w:tcW w:w="1417" w:type="dxa"/>
            <w:vAlign w:val="center"/>
          </w:tcPr>
          <w:p w14:paraId="00FFA4E8" w14:textId="7BAA1A51"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16 - 20</w:t>
            </w:r>
          </w:p>
        </w:tc>
        <w:tc>
          <w:tcPr>
            <w:tcW w:w="1418" w:type="dxa"/>
            <w:vAlign w:val="center"/>
          </w:tcPr>
          <w:p w14:paraId="6A65F74D" w14:textId="38252D54"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£13,000</w:t>
            </w:r>
          </w:p>
        </w:tc>
        <w:tc>
          <w:tcPr>
            <w:tcW w:w="992" w:type="dxa"/>
            <w:vAlign w:val="center"/>
          </w:tcPr>
          <w:p w14:paraId="64CD2674" w14:textId="54C61534" w:rsidR="00362145" w:rsidRPr="00362145" w:rsidRDefault="00362145" w:rsidP="006550DA">
            <w:pPr>
              <w:jc w:val="center"/>
              <w:rPr>
                <w:rFonts w:ascii="Arial" w:hAnsi="Arial" w:cs="Arial"/>
                <w:color w:val="000000"/>
                <w:sz w:val="18"/>
                <w:szCs w:val="18"/>
              </w:rPr>
            </w:pPr>
            <w:r>
              <w:rPr>
                <w:rFonts w:ascii="Arial" w:hAnsi="Arial" w:cs="Arial"/>
                <w:color w:val="000000"/>
                <w:sz w:val="18"/>
                <w:szCs w:val="18"/>
              </w:rPr>
              <w:t>£</w:t>
            </w:r>
            <w:r w:rsidRPr="00362145">
              <w:rPr>
                <w:rFonts w:ascii="Arial" w:hAnsi="Arial" w:cs="Arial"/>
                <w:color w:val="000000"/>
                <w:sz w:val="18"/>
                <w:szCs w:val="18"/>
              </w:rPr>
              <w:t>690</w:t>
            </w:r>
          </w:p>
        </w:tc>
        <w:tc>
          <w:tcPr>
            <w:tcW w:w="1276" w:type="dxa"/>
            <w:vAlign w:val="center"/>
          </w:tcPr>
          <w:p w14:paraId="2D492182" w14:textId="7B583979"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31</w:t>
            </w:r>
          </w:p>
        </w:tc>
        <w:tc>
          <w:tcPr>
            <w:tcW w:w="1417" w:type="dxa"/>
            <w:vAlign w:val="center"/>
          </w:tcPr>
          <w:p w14:paraId="69974B3F" w14:textId="12725821"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9,000</w:t>
            </w:r>
          </w:p>
        </w:tc>
        <w:tc>
          <w:tcPr>
            <w:tcW w:w="1418" w:type="dxa"/>
            <w:vAlign w:val="center"/>
          </w:tcPr>
          <w:p w14:paraId="6C2E939D" w14:textId="13283ADD"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289F09D4" w14:textId="77777777" w:rsidTr="006550DA">
        <w:trPr>
          <w:trHeight w:val="79"/>
        </w:trPr>
        <w:tc>
          <w:tcPr>
            <w:tcW w:w="1555" w:type="dxa"/>
            <w:vMerge/>
            <w:vAlign w:val="center"/>
          </w:tcPr>
          <w:p w14:paraId="7FCA6F2A" w14:textId="77777777" w:rsidR="00362145" w:rsidRPr="00362145" w:rsidRDefault="00362145" w:rsidP="006550DA">
            <w:pPr>
              <w:jc w:val="center"/>
              <w:rPr>
                <w:rFonts w:ascii="Open Sans" w:hAnsi="Open Sans" w:cs="Open Sans"/>
                <w:sz w:val="18"/>
                <w:szCs w:val="18"/>
              </w:rPr>
            </w:pPr>
          </w:p>
        </w:tc>
        <w:tc>
          <w:tcPr>
            <w:tcW w:w="1417" w:type="dxa"/>
            <w:vAlign w:val="center"/>
          </w:tcPr>
          <w:p w14:paraId="141792D9" w14:textId="47C07E7A"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21 - 25</w:t>
            </w:r>
          </w:p>
        </w:tc>
        <w:tc>
          <w:tcPr>
            <w:tcW w:w="1418" w:type="dxa"/>
            <w:vAlign w:val="center"/>
          </w:tcPr>
          <w:p w14:paraId="67695A95" w14:textId="1F3D55F7"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£14,750</w:t>
            </w:r>
          </w:p>
        </w:tc>
        <w:tc>
          <w:tcPr>
            <w:tcW w:w="992" w:type="dxa"/>
            <w:vAlign w:val="center"/>
          </w:tcPr>
          <w:p w14:paraId="4FC4F878" w14:textId="1B1F4DEC" w:rsidR="00362145" w:rsidRPr="00362145" w:rsidRDefault="00362145" w:rsidP="006550DA">
            <w:pPr>
              <w:jc w:val="center"/>
              <w:rPr>
                <w:rFonts w:ascii="Arial" w:hAnsi="Arial" w:cs="Arial"/>
                <w:color w:val="000000"/>
                <w:sz w:val="18"/>
                <w:szCs w:val="18"/>
              </w:rPr>
            </w:pPr>
            <w:r>
              <w:rPr>
                <w:rFonts w:ascii="Arial" w:hAnsi="Arial" w:cs="Arial"/>
                <w:color w:val="000000"/>
                <w:sz w:val="18"/>
                <w:szCs w:val="18"/>
              </w:rPr>
              <w:t>£</w:t>
            </w:r>
            <w:r w:rsidRPr="00362145">
              <w:rPr>
                <w:rFonts w:ascii="Arial" w:hAnsi="Arial" w:cs="Arial"/>
                <w:color w:val="000000"/>
                <w:sz w:val="18"/>
                <w:szCs w:val="18"/>
              </w:rPr>
              <w:t>610</w:t>
            </w:r>
          </w:p>
        </w:tc>
        <w:tc>
          <w:tcPr>
            <w:tcW w:w="1276" w:type="dxa"/>
            <w:vAlign w:val="center"/>
          </w:tcPr>
          <w:p w14:paraId="527CF47A" w14:textId="7BF8A332"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27</w:t>
            </w:r>
          </w:p>
        </w:tc>
        <w:tc>
          <w:tcPr>
            <w:tcW w:w="1417" w:type="dxa"/>
            <w:vAlign w:val="center"/>
          </w:tcPr>
          <w:p w14:paraId="1EBBC0D7" w14:textId="7E03BD95"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10,750</w:t>
            </w:r>
          </w:p>
        </w:tc>
        <w:tc>
          <w:tcPr>
            <w:tcW w:w="1418" w:type="dxa"/>
            <w:vAlign w:val="center"/>
          </w:tcPr>
          <w:p w14:paraId="23E1CDC0" w14:textId="0966DC7F"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778874FC" w14:textId="77777777" w:rsidTr="006550DA">
        <w:trPr>
          <w:trHeight w:val="79"/>
        </w:trPr>
        <w:tc>
          <w:tcPr>
            <w:tcW w:w="1555" w:type="dxa"/>
            <w:vMerge/>
            <w:vAlign w:val="center"/>
          </w:tcPr>
          <w:p w14:paraId="7A157133" w14:textId="77777777" w:rsidR="00362145" w:rsidRPr="00362145" w:rsidRDefault="00362145" w:rsidP="006550DA">
            <w:pPr>
              <w:jc w:val="center"/>
              <w:rPr>
                <w:rFonts w:ascii="Open Sans" w:hAnsi="Open Sans" w:cs="Open Sans"/>
                <w:sz w:val="18"/>
                <w:szCs w:val="18"/>
              </w:rPr>
            </w:pPr>
          </w:p>
        </w:tc>
        <w:tc>
          <w:tcPr>
            <w:tcW w:w="1417" w:type="dxa"/>
            <w:vAlign w:val="center"/>
          </w:tcPr>
          <w:p w14:paraId="23A4AF8F" w14:textId="3EC0DB46"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26 - 30</w:t>
            </w:r>
          </w:p>
        </w:tc>
        <w:tc>
          <w:tcPr>
            <w:tcW w:w="1418" w:type="dxa"/>
            <w:vAlign w:val="center"/>
          </w:tcPr>
          <w:p w14:paraId="7FEFC881" w14:textId="6DED8008"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£16,500</w:t>
            </w:r>
          </w:p>
        </w:tc>
        <w:tc>
          <w:tcPr>
            <w:tcW w:w="992" w:type="dxa"/>
            <w:vAlign w:val="center"/>
          </w:tcPr>
          <w:p w14:paraId="2CEBE89D" w14:textId="30049F18" w:rsidR="00362145" w:rsidRPr="00362145" w:rsidRDefault="00362145" w:rsidP="006550DA">
            <w:pPr>
              <w:jc w:val="center"/>
              <w:rPr>
                <w:rFonts w:ascii="Arial" w:hAnsi="Arial" w:cs="Arial"/>
                <w:color w:val="000000"/>
                <w:sz w:val="18"/>
                <w:szCs w:val="18"/>
              </w:rPr>
            </w:pPr>
            <w:r>
              <w:rPr>
                <w:rFonts w:ascii="Arial" w:hAnsi="Arial" w:cs="Arial"/>
                <w:color w:val="000000"/>
                <w:sz w:val="18"/>
                <w:szCs w:val="18"/>
              </w:rPr>
              <w:t>£</w:t>
            </w:r>
            <w:r w:rsidRPr="00362145">
              <w:rPr>
                <w:rFonts w:ascii="Arial" w:hAnsi="Arial" w:cs="Arial"/>
                <w:color w:val="000000"/>
                <w:sz w:val="18"/>
                <w:szCs w:val="18"/>
              </w:rPr>
              <w:t>600</w:t>
            </w:r>
          </w:p>
        </w:tc>
        <w:tc>
          <w:tcPr>
            <w:tcW w:w="1276" w:type="dxa"/>
            <w:vAlign w:val="center"/>
          </w:tcPr>
          <w:p w14:paraId="71478A4D" w14:textId="1EA12569"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24</w:t>
            </w:r>
          </w:p>
        </w:tc>
        <w:tc>
          <w:tcPr>
            <w:tcW w:w="1417" w:type="dxa"/>
            <w:vAlign w:val="center"/>
          </w:tcPr>
          <w:p w14:paraId="60919FCF" w14:textId="4C9367E4"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12,500</w:t>
            </w:r>
          </w:p>
        </w:tc>
        <w:tc>
          <w:tcPr>
            <w:tcW w:w="1418" w:type="dxa"/>
            <w:vAlign w:val="center"/>
          </w:tcPr>
          <w:p w14:paraId="4DACC182" w14:textId="4A25AE0E"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138D4FC8" w14:textId="77777777" w:rsidTr="006550DA">
        <w:trPr>
          <w:trHeight w:val="79"/>
        </w:trPr>
        <w:tc>
          <w:tcPr>
            <w:tcW w:w="1555" w:type="dxa"/>
            <w:vMerge/>
            <w:vAlign w:val="center"/>
          </w:tcPr>
          <w:p w14:paraId="3133396B" w14:textId="77777777" w:rsidR="00362145" w:rsidRPr="00362145" w:rsidRDefault="00362145" w:rsidP="006550DA">
            <w:pPr>
              <w:jc w:val="center"/>
              <w:rPr>
                <w:rFonts w:ascii="Open Sans" w:hAnsi="Open Sans" w:cs="Open Sans"/>
                <w:sz w:val="18"/>
                <w:szCs w:val="18"/>
              </w:rPr>
            </w:pPr>
          </w:p>
        </w:tc>
        <w:tc>
          <w:tcPr>
            <w:tcW w:w="1417" w:type="dxa"/>
            <w:vAlign w:val="center"/>
          </w:tcPr>
          <w:p w14:paraId="152E83B5" w14:textId="07A8D4D0"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31 - 35</w:t>
            </w:r>
          </w:p>
        </w:tc>
        <w:tc>
          <w:tcPr>
            <w:tcW w:w="1418" w:type="dxa"/>
            <w:vAlign w:val="center"/>
          </w:tcPr>
          <w:p w14:paraId="347F7552" w14:textId="41C4E2DA"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£18,000</w:t>
            </w:r>
          </w:p>
        </w:tc>
        <w:tc>
          <w:tcPr>
            <w:tcW w:w="992" w:type="dxa"/>
            <w:vAlign w:val="center"/>
          </w:tcPr>
          <w:p w14:paraId="18C497F8" w14:textId="5AEFB4FB" w:rsidR="00362145" w:rsidRPr="00362145" w:rsidRDefault="00362145" w:rsidP="006550DA">
            <w:pPr>
              <w:jc w:val="center"/>
              <w:rPr>
                <w:rFonts w:ascii="Arial" w:hAnsi="Arial" w:cs="Arial"/>
                <w:color w:val="000000"/>
                <w:sz w:val="18"/>
                <w:szCs w:val="18"/>
              </w:rPr>
            </w:pPr>
            <w:r>
              <w:rPr>
                <w:rFonts w:ascii="Arial" w:hAnsi="Arial" w:cs="Arial"/>
                <w:color w:val="000000"/>
                <w:sz w:val="18"/>
                <w:szCs w:val="18"/>
              </w:rPr>
              <w:t>£</w:t>
            </w:r>
            <w:r w:rsidRPr="00362145">
              <w:rPr>
                <w:rFonts w:ascii="Arial" w:hAnsi="Arial" w:cs="Arial"/>
                <w:color w:val="000000"/>
                <w:sz w:val="18"/>
                <w:szCs w:val="18"/>
              </w:rPr>
              <w:t>510</w:t>
            </w:r>
          </w:p>
        </w:tc>
        <w:tc>
          <w:tcPr>
            <w:tcW w:w="1276" w:type="dxa"/>
            <w:vAlign w:val="center"/>
          </w:tcPr>
          <w:p w14:paraId="4906BC04" w14:textId="259DD5E9"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22</w:t>
            </w:r>
          </w:p>
        </w:tc>
        <w:tc>
          <w:tcPr>
            <w:tcW w:w="1417" w:type="dxa"/>
            <w:vAlign w:val="center"/>
          </w:tcPr>
          <w:p w14:paraId="2267C4C4" w14:textId="0C433D49"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14,000</w:t>
            </w:r>
          </w:p>
        </w:tc>
        <w:tc>
          <w:tcPr>
            <w:tcW w:w="1418" w:type="dxa"/>
            <w:vAlign w:val="center"/>
          </w:tcPr>
          <w:p w14:paraId="01F4487B" w14:textId="22933896"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5D09CAAF" w14:textId="77777777" w:rsidTr="006550DA">
        <w:trPr>
          <w:trHeight w:val="79"/>
        </w:trPr>
        <w:tc>
          <w:tcPr>
            <w:tcW w:w="1555" w:type="dxa"/>
            <w:vMerge/>
            <w:vAlign w:val="center"/>
          </w:tcPr>
          <w:p w14:paraId="5AAFED65" w14:textId="77777777" w:rsidR="00362145" w:rsidRPr="00362145" w:rsidRDefault="00362145" w:rsidP="006550DA">
            <w:pPr>
              <w:jc w:val="center"/>
              <w:rPr>
                <w:rFonts w:ascii="Open Sans" w:hAnsi="Open Sans" w:cs="Open Sans"/>
                <w:sz w:val="18"/>
                <w:szCs w:val="18"/>
              </w:rPr>
            </w:pPr>
          </w:p>
        </w:tc>
        <w:tc>
          <w:tcPr>
            <w:tcW w:w="1417" w:type="dxa"/>
            <w:vAlign w:val="center"/>
          </w:tcPr>
          <w:p w14:paraId="2A332903" w14:textId="72F8F4DE"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36 - 40</w:t>
            </w:r>
          </w:p>
        </w:tc>
        <w:tc>
          <w:tcPr>
            <w:tcW w:w="1418" w:type="dxa"/>
            <w:vAlign w:val="center"/>
          </w:tcPr>
          <w:p w14:paraId="07B93275" w14:textId="3A8D5E4E"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£19,390</w:t>
            </w:r>
          </w:p>
        </w:tc>
        <w:tc>
          <w:tcPr>
            <w:tcW w:w="992" w:type="dxa"/>
            <w:vAlign w:val="center"/>
          </w:tcPr>
          <w:p w14:paraId="66D1683A" w14:textId="0E747BD4" w:rsidR="00362145" w:rsidRPr="00362145" w:rsidRDefault="00362145" w:rsidP="006550DA">
            <w:pPr>
              <w:jc w:val="center"/>
              <w:rPr>
                <w:rFonts w:ascii="Arial" w:hAnsi="Arial" w:cs="Arial"/>
                <w:color w:val="000000"/>
                <w:sz w:val="18"/>
                <w:szCs w:val="18"/>
              </w:rPr>
            </w:pPr>
            <w:r>
              <w:rPr>
                <w:rFonts w:ascii="Arial" w:hAnsi="Arial" w:cs="Arial"/>
                <w:color w:val="000000"/>
                <w:sz w:val="18"/>
                <w:szCs w:val="18"/>
              </w:rPr>
              <w:t>£</w:t>
            </w:r>
            <w:r w:rsidRPr="00362145">
              <w:rPr>
                <w:rFonts w:ascii="Arial" w:hAnsi="Arial" w:cs="Arial"/>
                <w:color w:val="000000"/>
                <w:sz w:val="18"/>
                <w:szCs w:val="18"/>
              </w:rPr>
              <w:t>500</w:t>
            </w:r>
          </w:p>
        </w:tc>
        <w:tc>
          <w:tcPr>
            <w:tcW w:w="1276" w:type="dxa"/>
            <w:vAlign w:val="center"/>
          </w:tcPr>
          <w:p w14:paraId="0A985BFB" w14:textId="31D678E3"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21</w:t>
            </w:r>
          </w:p>
        </w:tc>
        <w:tc>
          <w:tcPr>
            <w:tcW w:w="1417" w:type="dxa"/>
            <w:vAlign w:val="center"/>
          </w:tcPr>
          <w:p w14:paraId="120D56AC" w14:textId="6C6EE9C7"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15,390</w:t>
            </w:r>
          </w:p>
        </w:tc>
        <w:tc>
          <w:tcPr>
            <w:tcW w:w="1418" w:type="dxa"/>
            <w:vAlign w:val="center"/>
          </w:tcPr>
          <w:p w14:paraId="24C2B796" w14:textId="04EEA2BF"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3D89F5AA" w14:textId="77777777" w:rsidTr="006550DA">
        <w:trPr>
          <w:trHeight w:val="79"/>
        </w:trPr>
        <w:tc>
          <w:tcPr>
            <w:tcW w:w="1555" w:type="dxa"/>
            <w:vMerge/>
            <w:vAlign w:val="center"/>
          </w:tcPr>
          <w:p w14:paraId="132771E0" w14:textId="77777777" w:rsidR="00362145" w:rsidRPr="00362145" w:rsidRDefault="00362145" w:rsidP="006550DA">
            <w:pPr>
              <w:jc w:val="center"/>
              <w:rPr>
                <w:rFonts w:ascii="Open Sans" w:hAnsi="Open Sans" w:cs="Open Sans"/>
                <w:sz w:val="18"/>
                <w:szCs w:val="18"/>
              </w:rPr>
            </w:pPr>
          </w:p>
        </w:tc>
        <w:tc>
          <w:tcPr>
            <w:tcW w:w="1417" w:type="dxa"/>
            <w:vAlign w:val="center"/>
          </w:tcPr>
          <w:p w14:paraId="6B486CE6" w14:textId="690504DD"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41 - 45</w:t>
            </w:r>
          </w:p>
        </w:tc>
        <w:tc>
          <w:tcPr>
            <w:tcW w:w="1418" w:type="dxa"/>
            <w:vAlign w:val="center"/>
          </w:tcPr>
          <w:p w14:paraId="54869B2E" w14:textId="2F2549C8"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£25,000</w:t>
            </w:r>
          </w:p>
        </w:tc>
        <w:tc>
          <w:tcPr>
            <w:tcW w:w="992" w:type="dxa"/>
            <w:vAlign w:val="center"/>
          </w:tcPr>
          <w:p w14:paraId="4AFC15A4" w14:textId="55000C16" w:rsidR="00362145" w:rsidRPr="00362145" w:rsidRDefault="00362145" w:rsidP="006550DA">
            <w:pPr>
              <w:jc w:val="center"/>
              <w:rPr>
                <w:rFonts w:ascii="Arial" w:hAnsi="Arial" w:cs="Arial"/>
                <w:color w:val="000000"/>
                <w:sz w:val="18"/>
                <w:szCs w:val="18"/>
              </w:rPr>
            </w:pPr>
            <w:r>
              <w:rPr>
                <w:rFonts w:ascii="Arial" w:hAnsi="Arial" w:cs="Arial"/>
                <w:color w:val="000000"/>
                <w:sz w:val="18"/>
                <w:szCs w:val="18"/>
              </w:rPr>
              <w:t>£</w:t>
            </w:r>
            <w:r w:rsidRPr="00362145">
              <w:rPr>
                <w:rFonts w:ascii="Arial" w:hAnsi="Arial" w:cs="Arial"/>
                <w:color w:val="000000"/>
                <w:sz w:val="18"/>
                <w:szCs w:val="18"/>
              </w:rPr>
              <w:t>570</w:t>
            </w:r>
          </w:p>
        </w:tc>
        <w:tc>
          <w:tcPr>
            <w:tcW w:w="1276" w:type="dxa"/>
            <w:vAlign w:val="center"/>
          </w:tcPr>
          <w:p w14:paraId="43D71DED" w14:textId="114AC496"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16</w:t>
            </w:r>
          </w:p>
        </w:tc>
        <w:tc>
          <w:tcPr>
            <w:tcW w:w="1417" w:type="dxa"/>
            <w:vAlign w:val="center"/>
          </w:tcPr>
          <w:p w14:paraId="2EA3F5C6" w14:textId="32F52E6C"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21,000</w:t>
            </w:r>
          </w:p>
        </w:tc>
        <w:tc>
          <w:tcPr>
            <w:tcW w:w="1418" w:type="dxa"/>
            <w:vAlign w:val="center"/>
          </w:tcPr>
          <w:p w14:paraId="63187D40" w14:textId="51E61B1B"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23C24357" w14:textId="77777777" w:rsidTr="006550DA">
        <w:trPr>
          <w:trHeight w:val="79"/>
        </w:trPr>
        <w:tc>
          <w:tcPr>
            <w:tcW w:w="1555" w:type="dxa"/>
            <w:vMerge/>
            <w:vAlign w:val="center"/>
          </w:tcPr>
          <w:p w14:paraId="143B5056" w14:textId="77777777" w:rsidR="00362145" w:rsidRPr="00362145" w:rsidRDefault="00362145" w:rsidP="006550DA">
            <w:pPr>
              <w:jc w:val="center"/>
              <w:rPr>
                <w:rFonts w:ascii="Open Sans" w:hAnsi="Open Sans" w:cs="Open Sans"/>
                <w:sz w:val="18"/>
                <w:szCs w:val="18"/>
              </w:rPr>
            </w:pPr>
          </w:p>
        </w:tc>
        <w:tc>
          <w:tcPr>
            <w:tcW w:w="1417" w:type="dxa"/>
            <w:vAlign w:val="center"/>
          </w:tcPr>
          <w:p w14:paraId="4285BF85" w14:textId="00987485" w:rsidR="00362145" w:rsidRPr="00362145" w:rsidRDefault="00362145" w:rsidP="006550DA">
            <w:pPr>
              <w:jc w:val="center"/>
              <w:rPr>
                <w:rFonts w:ascii="Arial" w:hAnsi="Arial" w:cs="Arial"/>
                <w:b/>
                <w:bCs/>
                <w:color w:val="000000"/>
                <w:sz w:val="20"/>
                <w:szCs w:val="20"/>
              </w:rPr>
            </w:pPr>
            <w:r w:rsidRPr="00362145">
              <w:rPr>
                <w:rFonts w:ascii="Arial" w:hAnsi="Arial" w:cs="Arial"/>
                <w:b/>
                <w:bCs/>
                <w:color w:val="000000"/>
                <w:sz w:val="20"/>
                <w:szCs w:val="20"/>
              </w:rPr>
              <w:t>Average across the range</w:t>
            </w:r>
          </w:p>
        </w:tc>
        <w:tc>
          <w:tcPr>
            <w:tcW w:w="1418" w:type="dxa"/>
            <w:vAlign w:val="center"/>
          </w:tcPr>
          <w:p w14:paraId="201127B6" w14:textId="4455D1D8" w:rsidR="00362145" w:rsidRPr="00362145" w:rsidRDefault="00362145" w:rsidP="006550DA">
            <w:pPr>
              <w:jc w:val="center"/>
              <w:rPr>
                <w:rFonts w:ascii="Arial" w:hAnsi="Arial" w:cs="Arial"/>
                <w:b/>
                <w:bCs/>
                <w:color w:val="000000"/>
                <w:sz w:val="20"/>
                <w:szCs w:val="20"/>
              </w:rPr>
            </w:pPr>
            <w:r w:rsidRPr="00362145">
              <w:rPr>
                <w:rFonts w:ascii="Arial" w:hAnsi="Arial" w:cs="Arial"/>
                <w:b/>
                <w:bCs/>
                <w:color w:val="000000"/>
                <w:sz w:val="20"/>
                <w:szCs w:val="20"/>
              </w:rPr>
              <w:t>£16,425</w:t>
            </w:r>
          </w:p>
        </w:tc>
        <w:tc>
          <w:tcPr>
            <w:tcW w:w="992" w:type="dxa"/>
            <w:vAlign w:val="center"/>
          </w:tcPr>
          <w:p w14:paraId="4D2D3527" w14:textId="72D091B0" w:rsidR="00362145" w:rsidRPr="00362145" w:rsidRDefault="00362145" w:rsidP="006550DA">
            <w:pPr>
              <w:jc w:val="center"/>
              <w:rPr>
                <w:rFonts w:ascii="Arial" w:hAnsi="Arial" w:cs="Arial"/>
                <w:b/>
                <w:bCs/>
                <w:color w:val="000000"/>
                <w:sz w:val="20"/>
                <w:szCs w:val="20"/>
              </w:rPr>
            </w:pPr>
            <w:r w:rsidRPr="00362145">
              <w:rPr>
                <w:rFonts w:ascii="Arial" w:hAnsi="Arial" w:cs="Arial"/>
                <w:b/>
                <w:bCs/>
                <w:color w:val="000000"/>
                <w:sz w:val="20"/>
                <w:szCs w:val="20"/>
              </w:rPr>
              <w:t>£708</w:t>
            </w:r>
          </w:p>
        </w:tc>
        <w:tc>
          <w:tcPr>
            <w:tcW w:w="1276" w:type="dxa"/>
            <w:vAlign w:val="center"/>
          </w:tcPr>
          <w:p w14:paraId="5A5CF04F" w14:textId="1FEAB5C7" w:rsidR="00362145" w:rsidRPr="00362145" w:rsidRDefault="00362145" w:rsidP="006550DA">
            <w:pPr>
              <w:jc w:val="center"/>
              <w:rPr>
                <w:rFonts w:ascii="Open Sans" w:hAnsi="Open Sans" w:cs="Open Sans"/>
                <w:b/>
                <w:bCs/>
                <w:sz w:val="20"/>
                <w:szCs w:val="20"/>
              </w:rPr>
            </w:pPr>
            <w:r w:rsidRPr="00362145">
              <w:rPr>
                <w:rFonts w:ascii="Arial" w:hAnsi="Arial" w:cs="Arial"/>
                <w:b/>
                <w:bCs/>
                <w:color w:val="000000"/>
                <w:sz w:val="20"/>
                <w:szCs w:val="20"/>
              </w:rPr>
              <w:t>24</w:t>
            </w:r>
          </w:p>
        </w:tc>
        <w:tc>
          <w:tcPr>
            <w:tcW w:w="1417" w:type="dxa"/>
            <w:vAlign w:val="center"/>
          </w:tcPr>
          <w:p w14:paraId="3A7BEA0E" w14:textId="2BE79DDE" w:rsidR="00362145" w:rsidRPr="00362145" w:rsidRDefault="00362145" w:rsidP="006550DA">
            <w:pPr>
              <w:jc w:val="center"/>
              <w:rPr>
                <w:rFonts w:ascii="Open Sans" w:hAnsi="Open Sans" w:cs="Open Sans"/>
                <w:b/>
                <w:bCs/>
                <w:sz w:val="20"/>
                <w:szCs w:val="20"/>
              </w:rPr>
            </w:pPr>
            <w:r w:rsidRPr="00362145">
              <w:rPr>
                <w:rFonts w:ascii="Arial" w:hAnsi="Arial" w:cs="Arial"/>
                <w:b/>
                <w:bCs/>
                <w:color w:val="000000"/>
                <w:sz w:val="20"/>
                <w:szCs w:val="20"/>
              </w:rPr>
              <w:t>12,425</w:t>
            </w:r>
          </w:p>
        </w:tc>
        <w:tc>
          <w:tcPr>
            <w:tcW w:w="1418" w:type="dxa"/>
            <w:vAlign w:val="center"/>
          </w:tcPr>
          <w:p w14:paraId="3ECEEF61" w14:textId="03AAAA9C" w:rsidR="00362145" w:rsidRPr="00362145" w:rsidRDefault="00362145" w:rsidP="006550DA">
            <w:pPr>
              <w:jc w:val="center"/>
              <w:rPr>
                <w:rFonts w:ascii="Open Sans" w:hAnsi="Open Sans" w:cs="Open Sans"/>
                <w:b/>
                <w:bCs/>
                <w:sz w:val="20"/>
                <w:szCs w:val="20"/>
              </w:rPr>
            </w:pPr>
            <w:r w:rsidRPr="00362145">
              <w:rPr>
                <w:rFonts w:ascii="Open Sans" w:hAnsi="Open Sans" w:cs="Open Sans"/>
                <w:b/>
                <w:bCs/>
                <w:color w:val="FF0000"/>
                <w:sz w:val="20"/>
                <w:szCs w:val="20"/>
              </w:rPr>
              <w:t>No</w:t>
            </w:r>
          </w:p>
        </w:tc>
      </w:tr>
    </w:tbl>
    <w:p w14:paraId="62EA108D" w14:textId="77777777" w:rsidR="008933AD" w:rsidRDefault="008933AD" w:rsidP="003326CA">
      <w:pPr>
        <w:rPr>
          <w:rFonts w:ascii="Open Sans" w:hAnsi="Open Sans" w:cs="Open Sans"/>
          <w:szCs w:val="22"/>
        </w:rPr>
      </w:pPr>
    </w:p>
    <w:p w14:paraId="2D781A66" w14:textId="065EA737" w:rsidR="008933AD" w:rsidRPr="003277D7" w:rsidRDefault="0033331E" w:rsidP="003326CA">
      <w:pPr>
        <w:rPr>
          <w:rFonts w:ascii="Open Sans" w:hAnsi="Open Sans" w:cs="Open Sans"/>
          <w:b/>
          <w:bCs/>
          <w:szCs w:val="22"/>
        </w:rPr>
      </w:pPr>
      <w:r w:rsidRPr="003277D7">
        <w:rPr>
          <w:rFonts w:ascii="Open Sans" w:hAnsi="Open Sans" w:cs="Open Sans"/>
          <w:b/>
          <w:bCs/>
          <w:szCs w:val="22"/>
        </w:rPr>
        <w:t>A £4000 grant will not cover the VAT for projects deploying at the upper end of the capacity range</w:t>
      </w:r>
    </w:p>
    <w:p w14:paraId="7328BBB5" w14:textId="7CB5FE52" w:rsidR="00362145" w:rsidRDefault="00362145" w:rsidP="003326CA">
      <w:pPr>
        <w:rPr>
          <w:rFonts w:ascii="Open Sans" w:hAnsi="Open Sans" w:cs="Open Sans"/>
          <w:b/>
          <w:bCs/>
          <w:szCs w:val="22"/>
          <w:u w:val="single"/>
        </w:rPr>
      </w:pPr>
    </w:p>
    <w:p w14:paraId="534417E4" w14:textId="4E1B97C2" w:rsidR="0093442B" w:rsidRDefault="00362145" w:rsidP="003326CA">
      <w:pPr>
        <w:rPr>
          <w:rFonts w:ascii="Open Sans" w:hAnsi="Open Sans" w:cs="Open Sans"/>
          <w:szCs w:val="22"/>
        </w:rPr>
      </w:pPr>
      <w:r>
        <w:rPr>
          <w:rFonts w:ascii="Open Sans" w:hAnsi="Open Sans" w:cs="Open Sans"/>
          <w:szCs w:val="22"/>
        </w:rPr>
        <w:t xml:space="preserve">In addition to the capex costs of a project, we also encourage BEIS to consider what proportion of the consumers cost is VAT. As of last year, VAT on energy saving materials, which includes domestic </w:t>
      </w:r>
      <w:r w:rsidR="0093442B">
        <w:rPr>
          <w:rFonts w:ascii="Open Sans" w:hAnsi="Open Sans" w:cs="Open Sans"/>
          <w:szCs w:val="22"/>
        </w:rPr>
        <w:t xml:space="preserve">renewable heat technologies </w:t>
      </w:r>
      <w:r w:rsidR="00E02393">
        <w:rPr>
          <w:rFonts w:ascii="Open Sans" w:hAnsi="Open Sans" w:cs="Open Sans"/>
          <w:szCs w:val="22"/>
        </w:rPr>
        <w:t xml:space="preserve">like </w:t>
      </w:r>
      <w:r w:rsidR="0093442B">
        <w:rPr>
          <w:rFonts w:ascii="Open Sans" w:hAnsi="Open Sans" w:cs="Open Sans"/>
          <w:szCs w:val="22"/>
        </w:rPr>
        <w:t xml:space="preserve">heat pumps and biomass installations, </w:t>
      </w:r>
      <w:r w:rsidR="004E5F41">
        <w:rPr>
          <w:rFonts w:ascii="Open Sans" w:hAnsi="Open Sans" w:cs="Open Sans"/>
          <w:szCs w:val="22"/>
        </w:rPr>
        <w:t>increased from</w:t>
      </w:r>
      <w:r>
        <w:rPr>
          <w:rFonts w:ascii="Open Sans" w:hAnsi="Open Sans" w:cs="Open Sans"/>
          <w:szCs w:val="22"/>
        </w:rPr>
        <w:t xml:space="preserve"> 5% to 20% </w:t>
      </w:r>
      <w:r w:rsidR="0093442B">
        <w:rPr>
          <w:rFonts w:ascii="Open Sans" w:hAnsi="Open Sans" w:cs="Open Sans"/>
          <w:szCs w:val="22"/>
        </w:rPr>
        <w:t xml:space="preserve">(unless certain relief criteria applied). As such, BEIS need to be conscious of the fact that a large proportion of the grant will simply be paying the government applied tax on the technology. </w:t>
      </w:r>
    </w:p>
    <w:p w14:paraId="481828B1" w14:textId="77777777" w:rsidR="0093442B" w:rsidRDefault="0093442B" w:rsidP="003326CA">
      <w:pPr>
        <w:rPr>
          <w:rFonts w:ascii="Open Sans" w:hAnsi="Open Sans" w:cs="Open Sans"/>
          <w:szCs w:val="22"/>
        </w:rPr>
      </w:pPr>
    </w:p>
    <w:p w14:paraId="26FF3D63" w14:textId="5884A2E3" w:rsidR="00DA5C07" w:rsidRDefault="0093442B" w:rsidP="003326CA">
      <w:pPr>
        <w:rPr>
          <w:rFonts w:ascii="Open Sans" w:hAnsi="Open Sans" w:cs="Open Sans"/>
          <w:szCs w:val="22"/>
        </w:rPr>
      </w:pPr>
      <w:r>
        <w:rPr>
          <w:rFonts w:ascii="Open Sans" w:hAnsi="Open Sans" w:cs="Open Sans"/>
          <w:szCs w:val="22"/>
        </w:rPr>
        <w:t xml:space="preserve">In the case of installations at the upper end of the capacity range, where the grant level covers 20% or less of the total project cost, the grant may only be paying the VAT on the project. In such cases a set level grant does little more </w:t>
      </w:r>
      <w:r w:rsidR="00E02393">
        <w:rPr>
          <w:rFonts w:ascii="Open Sans" w:hAnsi="Open Sans" w:cs="Open Sans"/>
          <w:szCs w:val="22"/>
        </w:rPr>
        <w:t>than</w:t>
      </w:r>
      <w:r>
        <w:rPr>
          <w:rFonts w:ascii="Open Sans" w:hAnsi="Open Sans" w:cs="Open Sans"/>
          <w:szCs w:val="22"/>
        </w:rPr>
        <w:t xml:space="preserve"> see Government money recycled from BEIS </w:t>
      </w:r>
      <w:r>
        <w:rPr>
          <w:rFonts w:ascii="Open Sans" w:hAnsi="Open Sans" w:cs="Open Sans"/>
          <w:szCs w:val="22"/>
        </w:rPr>
        <w:lastRenderedPageBreak/>
        <w:t>to Treasury</w:t>
      </w:r>
      <w:r w:rsidR="00BB37F9">
        <w:rPr>
          <w:rFonts w:ascii="Open Sans" w:hAnsi="Open Sans" w:cs="Open Sans"/>
          <w:szCs w:val="22"/>
        </w:rPr>
        <w:t>, via consumers. This makes the grant redundant offering no benefit</w:t>
      </w:r>
      <w:r w:rsidR="00DA5C07">
        <w:rPr>
          <w:rFonts w:ascii="Open Sans" w:hAnsi="Open Sans" w:cs="Open Sans"/>
          <w:szCs w:val="22"/>
        </w:rPr>
        <w:t xml:space="preserve">, or incentive for heat decarbonisation. </w:t>
      </w:r>
    </w:p>
    <w:p w14:paraId="75D9F5E6" w14:textId="77777777" w:rsidR="00BB37F9" w:rsidRDefault="00BB37F9" w:rsidP="003326CA">
      <w:pPr>
        <w:rPr>
          <w:rFonts w:ascii="Open Sans" w:hAnsi="Open Sans" w:cs="Open Sans"/>
          <w:szCs w:val="22"/>
        </w:rPr>
      </w:pPr>
    </w:p>
    <w:p w14:paraId="643E651E" w14:textId="2BCF955B" w:rsidR="0093442B" w:rsidRPr="003277D7" w:rsidRDefault="0093442B" w:rsidP="003326CA">
      <w:pPr>
        <w:rPr>
          <w:rFonts w:ascii="Open Sans" w:hAnsi="Open Sans" w:cs="Open Sans"/>
          <w:b/>
          <w:bCs/>
          <w:szCs w:val="22"/>
        </w:rPr>
      </w:pPr>
      <w:r w:rsidRPr="003277D7">
        <w:rPr>
          <w:rFonts w:ascii="Open Sans" w:hAnsi="Open Sans" w:cs="Open Sans"/>
          <w:b/>
          <w:bCs/>
          <w:szCs w:val="22"/>
        </w:rPr>
        <w:t>A flat level of £4</w:t>
      </w:r>
      <w:r w:rsidR="00BB37F9" w:rsidRPr="003277D7">
        <w:rPr>
          <w:rFonts w:ascii="Open Sans" w:hAnsi="Open Sans" w:cs="Open Sans"/>
          <w:b/>
          <w:bCs/>
          <w:szCs w:val="22"/>
        </w:rPr>
        <w:t>,</w:t>
      </w:r>
      <w:r w:rsidRPr="003277D7">
        <w:rPr>
          <w:rFonts w:ascii="Open Sans" w:hAnsi="Open Sans" w:cs="Open Sans"/>
          <w:b/>
          <w:bCs/>
          <w:szCs w:val="22"/>
        </w:rPr>
        <w:t xml:space="preserve">000 does not </w:t>
      </w:r>
      <w:r w:rsidR="00BB37F9" w:rsidRPr="003277D7">
        <w:rPr>
          <w:rFonts w:ascii="Open Sans" w:hAnsi="Open Sans" w:cs="Open Sans"/>
          <w:b/>
          <w:bCs/>
          <w:szCs w:val="22"/>
        </w:rPr>
        <w:t xml:space="preserve">incentivise projects that provide </w:t>
      </w:r>
      <w:r w:rsidRPr="003277D7">
        <w:rPr>
          <w:rFonts w:ascii="Open Sans" w:hAnsi="Open Sans" w:cs="Open Sans"/>
          <w:b/>
          <w:bCs/>
          <w:szCs w:val="22"/>
        </w:rPr>
        <w:t>the best value of money</w:t>
      </w:r>
    </w:p>
    <w:p w14:paraId="0104E133" w14:textId="33401262" w:rsidR="00BB37F9" w:rsidRDefault="00BB37F9" w:rsidP="003326CA">
      <w:pPr>
        <w:rPr>
          <w:rFonts w:ascii="Open Sans" w:hAnsi="Open Sans" w:cs="Open Sans"/>
          <w:b/>
          <w:bCs/>
          <w:szCs w:val="22"/>
        </w:rPr>
      </w:pPr>
    </w:p>
    <w:p w14:paraId="4E36C700" w14:textId="560CE0C2" w:rsidR="00BB37F9" w:rsidRDefault="00BB37F9" w:rsidP="001F36DC">
      <w:pPr>
        <w:rPr>
          <w:rFonts w:ascii="Open Sans" w:hAnsi="Open Sans" w:cs="Open Sans"/>
          <w:szCs w:val="22"/>
        </w:rPr>
      </w:pPr>
      <w:r>
        <w:rPr>
          <w:rFonts w:ascii="Open Sans" w:hAnsi="Open Sans" w:cs="Open Sans"/>
          <w:szCs w:val="22"/>
        </w:rPr>
        <w:t>The consultation document also makes clear that the grant is intended “</w:t>
      </w:r>
      <w:r w:rsidRPr="00BB37F9">
        <w:rPr>
          <w:rFonts w:ascii="Open Sans" w:hAnsi="Open Sans" w:cs="Open Sans"/>
          <w:i/>
          <w:iCs/>
          <w:szCs w:val="22"/>
        </w:rPr>
        <w:t>to target public support on those technologies that offer best value for money”</w:t>
      </w:r>
      <w:r>
        <w:rPr>
          <w:rFonts w:ascii="Open Sans" w:hAnsi="Open Sans" w:cs="Open Sans"/>
          <w:szCs w:val="22"/>
        </w:rPr>
        <w:t>. Again BEIS 2019 Domestic RHI deployment data indicates that on a cost per kW basis</w:t>
      </w:r>
      <w:r w:rsidR="00DA5C07">
        <w:rPr>
          <w:rFonts w:ascii="Open Sans" w:hAnsi="Open Sans" w:cs="Open Sans"/>
          <w:szCs w:val="22"/>
        </w:rPr>
        <w:t xml:space="preserve">, </w:t>
      </w:r>
      <w:r>
        <w:rPr>
          <w:rFonts w:ascii="Open Sans" w:hAnsi="Open Sans" w:cs="Open Sans"/>
          <w:szCs w:val="22"/>
        </w:rPr>
        <w:t xml:space="preserve">larger scale projects above 10 kW provide the best value per £ spent. </w:t>
      </w:r>
      <w:r w:rsidR="00DA5C07">
        <w:rPr>
          <w:rFonts w:ascii="Open Sans" w:hAnsi="Open Sans" w:cs="Open Sans"/>
          <w:szCs w:val="22"/>
        </w:rPr>
        <w:t xml:space="preserve"> This is true of all renewable heat technologies.</w:t>
      </w:r>
    </w:p>
    <w:p w14:paraId="2C3A03EA" w14:textId="77777777" w:rsidR="00BB37F9" w:rsidRDefault="00BB37F9" w:rsidP="001F36DC">
      <w:pPr>
        <w:rPr>
          <w:rFonts w:ascii="Open Sans" w:hAnsi="Open Sans" w:cs="Open Sans"/>
          <w:szCs w:val="22"/>
        </w:rPr>
      </w:pPr>
    </w:p>
    <w:p w14:paraId="565D7C20" w14:textId="50085C19" w:rsidR="00E54BD8" w:rsidRPr="00BB37F9" w:rsidRDefault="00BB37F9" w:rsidP="001F36DC">
      <w:pPr>
        <w:rPr>
          <w:rFonts w:ascii="Open Sans" w:hAnsi="Open Sans" w:cs="Open Sans"/>
          <w:color w:val="2F5496"/>
          <w:szCs w:val="22"/>
        </w:rPr>
      </w:pPr>
      <w:r>
        <w:rPr>
          <w:rFonts w:ascii="Open Sans" w:hAnsi="Open Sans" w:cs="Open Sans"/>
          <w:szCs w:val="22"/>
        </w:rPr>
        <w:t xml:space="preserve">This is especially true for biomass </w:t>
      </w:r>
      <w:r w:rsidR="00DA5C07">
        <w:rPr>
          <w:rFonts w:ascii="Open Sans" w:hAnsi="Open Sans" w:cs="Open Sans"/>
          <w:szCs w:val="22"/>
        </w:rPr>
        <w:t xml:space="preserve">where an average of £708/ kW across the capacity range is lower than any other technology supported by the scheme. This is even lower in the ND RHI where the </w:t>
      </w:r>
      <w:r w:rsidR="00913032">
        <w:rPr>
          <w:rFonts w:ascii="Open Sans" w:hAnsi="Open Sans" w:cs="Open Sans"/>
          <w:szCs w:val="22"/>
        </w:rPr>
        <w:t>small-scale</w:t>
      </w:r>
      <w:r w:rsidR="00DA5C07">
        <w:rPr>
          <w:rFonts w:ascii="Open Sans" w:hAnsi="Open Sans" w:cs="Open Sans"/>
          <w:szCs w:val="22"/>
        </w:rPr>
        <w:t xml:space="preserve"> biomass tariff averages </w:t>
      </w:r>
      <w:r w:rsidR="00DA5C07" w:rsidRPr="00273E54">
        <w:rPr>
          <w:rFonts w:ascii="Open Sans" w:hAnsi="Open Sans" w:cs="Open Sans"/>
          <w:szCs w:val="22"/>
        </w:rPr>
        <w:t>£463/kW across the three biomass ND RHI tariffs</w:t>
      </w:r>
      <w:r w:rsidR="00DA5C07">
        <w:rPr>
          <w:rFonts w:ascii="Open Sans" w:hAnsi="Open Sans" w:cs="Open Sans"/>
          <w:szCs w:val="22"/>
        </w:rPr>
        <w:t>.</w:t>
      </w:r>
    </w:p>
    <w:p w14:paraId="03721622" w14:textId="77777777" w:rsidR="00BB37F9" w:rsidRDefault="00BB37F9" w:rsidP="001F36DC">
      <w:pPr>
        <w:rPr>
          <w:rFonts w:ascii="Open Sans" w:hAnsi="Open Sans" w:cs="Open Sans"/>
          <w:b/>
          <w:bCs/>
          <w:color w:val="2F5496"/>
          <w:szCs w:val="22"/>
        </w:rPr>
      </w:pPr>
    </w:p>
    <w:p w14:paraId="532A7F56" w14:textId="5B6FB43C" w:rsidR="001F36DC" w:rsidRPr="003277D7" w:rsidRDefault="001F36DC" w:rsidP="001F36DC">
      <w:pPr>
        <w:rPr>
          <w:rFonts w:ascii="Open Sans" w:hAnsi="Open Sans" w:cs="Open Sans"/>
          <w:b/>
          <w:bCs/>
          <w:i/>
          <w:iCs/>
          <w:color w:val="2F5496"/>
          <w:szCs w:val="22"/>
        </w:rPr>
      </w:pPr>
      <w:r w:rsidRPr="003277D7">
        <w:rPr>
          <w:rFonts w:ascii="Open Sans" w:hAnsi="Open Sans" w:cs="Open Sans"/>
          <w:b/>
          <w:bCs/>
          <w:color w:val="2F5496"/>
          <w:szCs w:val="22"/>
        </w:rPr>
        <w:t xml:space="preserve">Consultation Question 26 - </w:t>
      </w:r>
      <w:r w:rsidRPr="003277D7">
        <w:rPr>
          <w:rFonts w:ascii="Open Sans" w:hAnsi="Open Sans" w:cs="Open Sans"/>
          <w:b/>
          <w:bCs/>
          <w:i/>
          <w:iCs/>
          <w:color w:val="2F5496"/>
          <w:szCs w:val="22"/>
        </w:rPr>
        <w:t xml:space="preserve">Do you agree with the recommendation for a flat-rate grant? Yes/No. Please provide evidence to support your response. </w:t>
      </w:r>
    </w:p>
    <w:p w14:paraId="24D4A204" w14:textId="77777777" w:rsidR="001F36DC" w:rsidRPr="00273E54" w:rsidRDefault="001F36DC" w:rsidP="00F30E27">
      <w:pPr>
        <w:rPr>
          <w:rFonts w:ascii="Open Sans" w:hAnsi="Open Sans" w:cs="Open Sans"/>
          <w:b/>
          <w:bCs/>
          <w:color w:val="2F5496"/>
          <w:szCs w:val="22"/>
        </w:rPr>
      </w:pPr>
    </w:p>
    <w:bookmarkEnd w:id="3"/>
    <w:bookmarkEnd w:id="4"/>
    <w:p w14:paraId="208599F6" w14:textId="070F5F8B" w:rsidR="00F30E27" w:rsidRPr="00402538" w:rsidRDefault="00E54BD8" w:rsidP="00F30E27">
      <w:pPr>
        <w:rPr>
          <w:rFonts w:ascii="Open Sans" w:hAnsi="Open Sans" w:cs="Open Sans"/>
          <w:b/>
          <w:bCs/>
          <w:szCs w:val="22"/>
        </w:rPr>
      </w:pPr>
      <w:r w:rsidRPr="00402538">
        <w:rPr>
          <w:rFonts w:ascii="Open Sans" w:hAnsi="Open Sans" w:cs="Open Sans"/>
          <w:b/>
          <w:bCs/>
          <w:szCs w:val="22"/>
        </w:rPr>
        <w:t xml:space="preserve">No, </w:t>
      </w:r>
      <w:r w:rsidR="00B74B1D" w:rsidRPr="00402538">
        <w:rPr>
          <w:rFonts w:ascii="Open Sans" w:hAnsi="Open Sans" w:cs="Open Sans"/>
          <w:b/>
          <w:bCs/>
          <w:szCs w:val="22"/>
        </w:rPr>
        <w:t>the</w:t>
      </w:r>
      <w:r w:rsidR="00273E54" w:rsidRPr="00402538">
        <w:rPr>
          <w:rFonts w:ascii="Open Sans" w:hAnsi="Open Sans" w:cs="Open Sans"/>
          <w:b/>
          <w:bCs/>
          <w:szCs w:val="22"/>
        </w:rPr>
        <w:t xml:space="preserve"> grant level should be flexible, meeting a proportion of the cost for each kW capacity being deployed. </w:t>
      </w:r>
      <w:r w:rsidR="00B74B1D" w:rsidRPr="00402538">
        <w:rPr>
          <w:rFonts w:ascii="Open Sans" w:hAnsi="Open Sans" w:cs="Open Sans"/>
          <w:b/>
          <w:bCs/>
          <w:szCs w:val="22"/>
        </w:rPr>
        <w:t>This</w:t>
      </w:r>
      <w:r w:rsidR="00273E54" w:rsidRPr="00402538">
        <w:rPr>
          <w:rFonts w:ascii="Open Sans" w:hAnsi="Open Sans" w:cs="Open Sans"/>
          <w:b/>
          <w:bCs/>
          <w:szCs w:val="22"/>
        </w:rPr>
        <w:t xml:space="preserve"> </w:t>
      </w:r>
      <w:r w:rsidR="00AD3399" w:rsidRPr="00402538">
        <w:rPr>
          <w:rFonts w:ascii="Open Sans" w:hAnsi="Open Sans" w:cs="Open Sans"/>
          <w:b/>
          <w:bCs/>
          <w:szCs w:val="22"/>
        </w:rPr>
        <w:t>should</w:t>
      </w:r>
      <w:r w:rsidR="00273E54" w:rsidRPr="00402538">
        <w:rPr>
          <w:rFonts w:ascii="Open Sans" w:hAnsi="Open Sans" w:cs="Open Sans"/>
          <w:b/>
          <w:bCs/>
          <w:szCs w:val="22"/>
        </w:rPr>
        <w:t xml:space="preserve"> be accompanied by a low-interest loan</w:t>
      </w:r>
      <w:r w:rsidR="00B15D68">
        <w:rPr>
          <w:rFonts w:ascii="Open Sans" w:hAnsi="Open Sans" w:cs="Open Sans"/>
          <w:b/>
          <w:bCs/>
          <w:szCs w:val="22"/>
        </w:rPr>
        <w:t xml:space="preserve">, as seen in Scotland, </w:t>
      </w:r>
      <w:r w:rsidR="00273E54" w:rsidRPr="00402538">
        <w:rPr>
          <w:rFonts w:ascii="Open Sans" w:hAnsi="Open Sans" w:cs="Open Sans"/>
          <w:b/>
          <w:bCs/>
          <w:szCs w:val="22"/>
        </w:rPr>
        <w:t>to meet the remaining project costs.</w:t>
      </w:r>
    </w:p>
    <w:p w14:paraId="40704790" w14:textId="77777777" w:rsidR="00D72AB7" w:rsidRPr="00273E54" w:rsidRDefault="00D72AB7" w:rsidP="00B96CE1">
      <w:pPr>
        <w:spacing w:after="120"/>
        <w:rPr>
          <w:rFonts w:ascii="Open Sans" w:hAnsi="Open Sans" w:cs="Open Sans"/>
          <w:b/>
          <w:bCs/>
          <w:szCs w:val="22"/>
        </w:rPr>
      </w:pPr>
    </w:p>
    <w:p w14:paraId="2944F21A" w14:textId="35BDF7FE" w:rsidR="00E00A0D" w:rsidRDefault="00913032" w:rsidP="00F30E27">
      <w:pPr>
        <w:rPr>
          <w:rFonts w:ascii="Open Sans" w:hAnsi="Open Sans" w:cs="Open Sans"/>
          <w:szCs w:val="22"/>
        </w:rPr>
      </w:pPr>
      <w:r>
        <w:rPr>
          <w:rFonts w:ascii="Open Sans" w:hAnsi="Open Sans" w:cs="Open Sans"/>
          <w:szCs w:val="22"/>
        </w:rPr>
        <w:t xml:space="preserve">As demonstrated in answer to question 25, the average capital expenditure </w:t>
      </w:r>
      <w:r w:rsidR="00232B09">
        <w:rPr>
          <w:rFonts w:ascii="Open Sans" w:hAnsi="Open Sans" w:cs="Open Sans"/>
          <w:szCs w:val="22"/>
        </w:rPr>
        <w:t xml:space="preserve">for any renewable heat </w:t>
      </w:r>
      <w:r w:rsidR="003C646A">
        <w:rPr>
          <w:rFonts w:ascii="Open Sans" w:hAnsi="Open Sans" w:cs="Open Sans"/>
          <w:szCs w:val="22"/>
        </w:rPr>
        <w:t>system increases</w:t>
      </w:r>
      <w:r w:rsidR="00232B09">
        <w:rPr>
          <w:rFonts w:ascii="Open Sans" w:hAnsi="Open Sans" w:cs="Open Sans"/>
          <w:szCs w:val="22"/>
        </w:rPr>
        <w:t xml:space="preserve"> with project size. At the same time, the required </w:t>
      </w:r>
      <w:r w:rsidR="003C646A">
        <w:rPr>
          <w:rFonts w:ascii="Open Sans" w:hAnsi="Open Sans" w:cs="Open Sans"/>
          <w:szCs w:val="22"/>
        </w:rPr>
        <w:t>cost of</w:t>
      </w:r>
      <w:r w:rsidR="00232B09">
        <w:rPr>
          <w:rFonts w:ascii="Open Sans" w:hAnsi="Open Sans" w:cs="Open Sans"/>
          <w:szCs w:val="22"/>
        </w:rPr>
        <w:t xml:space="preserve"> Biomass or Ground </w:t>
      </w:r>
      <w:r w:rsidR="003C646A">
        <w:rPr>
          <w:rFonts w:ascii="Open Sans" w:hAnsi="Open Sans" w:cs="Open Sans"/>
          <w:szCs w:val="22"/>
        </w:rPr>
        <w:t>S</w:t>
      </w:r>
      <w:r w:rsidR="00232B09">
        <w:rPr>
          <w:rFonts w:ascii="Open Sans" w:hAnsi="Open Sans" w:cs="Open Sans"/>
          <w:szCs w:val="22"/>
        </w:rPr>
        <w:t xml:space="preserve">ource </w:t>
      </w:r>
      <w:r w:rsidR="003C646A">
        <w:rPr>
          <w:rFonts w:ascii="Open Sans" w:hAnsi="Open Sans" w:cs="Open Sans"/>
          <w:szCs w:val="22"/>
        </w:rPr>
        <w:t>H</w:t>
      </w:r>
      <w:r w:rsidR="00232B09">
        <w:rPr>
          <w:rFonts w:ascii="Open Sans" w:hAnsi="Open Sans" w:cs="Open Sans"/>
          <w:szCs w:val="22"/>
        </w:rPr>
        <w:t xml:space="preserve">eat </w:t>
      </w:r>
      <w:r w:rsidR="003C646A">
        <w:rPr>
          <w:rFonts w:ascii="Open Sans" w:hAnsi="Open Sans" w:cs="Open Sans"/>
          <w:szCs w:val="22"/>
        </w:rPr>
        <w:t>P</w:t>
      </w:r>
      <w:r w:rsidR="00232B09">
        <w:rPr>
          <w:rFonts w:ascii="Open Sans" w:hAnsi="Open Sans" w:cs="Open Sans"/>
          <w:szCs w:val="22"/>
        </w:rPr>
        <w:t xml:space="preserve">umps </w:t>
      </w:r>
      <w:r w:rsidR="003C646A">
        <w:rPr>
          <w:rFonts w:ascii="Open Sans" w:hAnsi="Open Sans" w:cs="Open Sans"/>
          <w:szCs w:val="22"/>
        </w:rPr>
        <w:t>are higher than those for</w:t>
      </w:r>
      <w:r w:rsidR="00232B09">
        <w:rPr>
          <w:rFonts w:ascii="Open Sans" w:hAnsi="Open Sans" w:cs="Open Sans"/>
          <w:szCs w:val="22"/>
        </w:rPr>
        <w:t xml:space="preserve"> </w:t>
      </w:r>
      <w:r w:rsidR="00A51CAC">
        <w:rPr>
          <w:rFonts w:ascii="Open Sans" w:hAnsi="Open Sans" w:cs="Open Sans"/>
          <w:szCs w:val="22"/>
        </w:rPr>
        <w:t xml:space="preserve">an </w:t>
      </w:r>
      <w:r w:rsidR="00232B09">
        <w:rPr>
          <w:rFonts w:ascii="Open Sans" w:hAnsi="Open Sans" w:cs="Open Sans"/>
          <w:szCs w:val="22"/>
        </w:rPr>
        <w:t xml:space="preserve">Air Source Heat Pump. As a </w:t>
      </w:r>
      <w:r w:rsidR="003C646A">
        <w:rPr>
          <w:rFonts w:ascii="Open Sans" w:hAnsi="Open Sans" w:cs="Open Sans"/>
          <w:szCs w:val="22"/>
        </w:rPr>
        <w:t xml:space="preserve">result, a </w:t>
      </w:r>
      <w:r w:rsidR="00232B09">
        <w:rPr>
          <w:rFonts w:ascii="Open Sans" w:hAnsi="Open Sans" w:cs="Open Sans"/>
          <w:szCs w:val="22"/>
        </w:rPr>
        <w:t xml:space="preserve">flat-rate grant will inevitably be a more attractive offer to </w:t>
      </w:r>
      <w:r w:rsidR="006550DA">
        <w:rPr>
          <w:rFonts w:ascii="Open Sans" w:hAnsi="Open Sans" w:cs="Open Sans"/>
          <w:szCs w:val="22"/>
        </w:rPr>
        <w:t xml:space="preserve">smaller </w:t>
      </w:r>
      <w:r w:rsidR="00232B09">
        <w:rPr>
          <w:rFonts w:ascii="Open Sans" w:hAnsi="Open Sans" w:cs="Open Sans"/>
          <w:szCs w:val="22"/>
        </w:rPr>
        <w:t>project</w:t>
      </w:r>
      <w:r w:rsidR="006550DA">
        <w:rPr>
          <w:rFonts w:ascii="Open Sans" w:hAnsi="Open Sans" w:cs="Open Sans"/>
          <w:szCs w:val="22"/>
        </w:rPr>
        <w:t>s</w:t>
      </w:r>
      <w:r w:rsidR="00232B09">
        <w:rPr>
          <w:rFonts w:ascii="Open Sans" w:hAnsi="Open Sans" w:cs="Open Sans"/>
          <w:szCs w:val="22"/>
        </w:rPr>
        <w:t xml:space="preserve"> or a cheaper technology, </w:t>
      </w:r>
      <w:r w:rsidR="00E00A0D">
        <w:rPr>
          <w:rFonts w:ascii="Open Sans" w:hAnsi="Open Sans" w:cs="Open Sans"/>
          <w:szCs w:val="22"/>
        </w:rPr>
        <w:t>where</w:t>
      </w:r>
      <w:r w:rsidR="006550DA">
        <w:rPr>
          <w:rFonts w:ascii="Open Sans" w:hAnsi="Open Sans" w:cs="Open Sans"/>
          <w:szCs w:val="22"/>
        </w:rPr>
        <w:t xml:space="preserve"> </w:t>
      </w:r>
      <w:r w:rsidR="003C646A">
        <w:rPr>
          <w:rFonts w:ascii="Open Sans" w:hAnsi="Open Sans" w:cs="Open Sans"/>
          <w:szCs w:val="22"/>
        </w:rPr>
        <w:t xml:space="preserve">the grant makes up the largest </w:t>
      </w:r>
      <w:r w:rsidR="007547EF">
        <w:rPr>
          <w:rFonts w:ascii="Open Sans" w:hAnsi="Open Sans" w:cs="Open Sans"/>
          <w:szCs w:val="22"/>
        </w:rPr>
        <w:t xml:space="preserve">possible </w:t>
      </w:r>
      <w:r w:rsidR="003C646A">
        <w:rPr>
          <w:rFonts w:ascii="Open Sans" w:hAnsi="Open Sans" w:cs="Open Sans"/>
          <w:szCs w:val="22"/>
        </w:rPr>
        <w:t xml:space="preserve">proportion of total capital costs. </w:t>
      </w:r>
    </w:p>
    <w:p w14:paraId="47EE8BB8" w14:textId="77777777" w:rsidR="00E00A0D" w:rsidRDefault="00E00A0D" w:rsidP="00F30E27">
      <w:pPr>
        <w:rPr>
          <w:rFonts w:ascii="Open Sans" w:hAnsi="Open Sans" w:cs="Open Sans"/>
          <w:szCs w:val="22"/>
        </w:rPr>
      </w:pPr>
    </w:p>
    <w:p w14:paraId="45679491" w14:textId="49B855F7" w:rsidR="003C646A" w:rsidRDefault="00E00A0D" w:rsidP="00F30E27">
      <w:pPr>
        <w:rPr>
          <w:rFonts w:ascii="Open Sans" w:hAnsi="Open Sans" w:cs="Open Sans"/>
          <w:szCs w:val="22"/>
        </w:rPr>
      </w:pPr>
      <w:r>
        <w:rPr>
          <w:rFonts w:ascii="Open Sans" w:hAnsi="Open Sans" w:cs="Open Sans"/>
          <w:szCs w:val="22"/>
        </w:rPr>
        <w:t>This creates a</w:t>
      </w:r>
      <w:r w:rsidR="00D95032">
        <w:rPr>
          <w:rFonts w:ascii="Open Sans" w:hAnsi="Open Sans" w:cs="Open Sans"/>
          <w:szCs w:val="22"/>
        </w:rPr>
        <w:t>n</w:t>
      </w:r>
      <w:r>
        <w:rPr>
          <w:rFonts w:ascii="Open Sans" w:hAnsi="Open Sans" w:cs="Open Sans"/>
          <w:szCs w:val="22"/>
        </w:rPr>
        <w:t xml:space="preserve"> unbalanced market incentive, where the grant favours </w:t>
      </w:r>
      <w:r w:rsidR="00D95032">
        <w:rPr>
          <w:rFonts w:ascii="Open Sans" w:hAnsi="Open Sans" w:cs="Open Sans"/>
          <w:szCs w:val="22"/>
        </w:rPr>
        <w:t>a</w:t>
      </w:r>
      <w:r w:rsidR="00A4375C">
        <w:rPr>
          <w:rFonts w:ascii="Open Sans" w:hAnsi="Open Sans" w:cs="Open Sans"/>
          <w:szCs w:val="22"/>
        </w:rPr>
        <w:t xml:space="preserve"> certain type </w:t>
      </w:r>
      <w:r w:rsidR="007547EF">
        <w:rPr>
          <w:rFonts w:ascii="Open Sans" w:hAnsi="Open Sans" w:cs="Open Sans"/>
          <w:szCs w:val="22"/>
        </w:rPr>
        <w:t>of project</w:t>
      </w:r>
      <w:r>
        <w:rPr>
          <w:rFonts w:ascii="Open Sans" w:hAnsi="Open Sans" w:cs="Open Sans"/>
          <w:szCs w:val="22"/>
        </w:rPr>
        <w:t xml:space="preserve"> </w:t>
      </w:r>
      <w:r w:rsidR="00A4375C">
        <w:rPr>
          <w:rFonts w:ascii="Open Sans" w:hAnsi="Open Sans" w:cs="Open Sans"/>
          <w:szCs w:val="22"/>
        </w:rPr>
        <w:t>at</w:t>
      </w:r>
      <w:r>
        <w:rPr>
          <w:rFonts w:ascii="Open Sans" w:hAnsi="Open Sans" w:cs="Open Sans"/>
          <w:szCs w:val="22"/>
        </w:rPr>
        <w:t xml:space="preserve"> </w:t>
      </w:r>
      <w:r w:rsidR="00FD6C15">
        <w:rPr>
          <w:rFonts w:ascii="Open Sans" w:hAnsi="Open Sans" w:cs="Open Sans"/>
          <w:szCs w:val="22"/>
        </w:rPr>
        <w:t xml:space="preserve">the </w:t>
      </w:r>
      <w:r>
        <w:rPr>
          <w:rFonts w:ascii="Open Sans" w:hAnsi="Open Sans" w:cs="Open Sans"/>
          <w:szCs w:val="22"/>
        </w:rPr>
        <w:t xml:space="preserve">detriment </w:t>
      </w:r>
      <w:r w:rsidR="00603B3E">
        <w:rPr>
          <w:rFonts w:ascii="Open Sans" w:hAnsi="Open Sans" w:cs="Open Sans"/>
          <w:szCs w:val="22"/>
        </w:rPr>
        <w:t>of</w:t>
      </w:r>
      <w:r>
        <w:rPr>
          <w:rFonts w:ascii="Open Sans" w:hAnsi="Open Sans" w:cs="Open Sans"/>
          <w:szCs w:val="22"/>
        </w:rPr>
        <w:t xml:space="preserve"> considering the </w:t>
      </w:r>
      <w:r w:rsidR="00D95032">
        <w:rPr>
          <w:rFonts w:ascii="Open Sans" w:hAnsi="Open Sans" w:cs="Open Sans"/>
          <w:szCs w:val="22"/>
        </w:rPr>
        <w:t>full</w:t>
      </w:r>
      <w:r>
        <w:rPr>
          <w:rFonts w:ascii="Open Sans" w:hAnsi="Open Sans" w:cs="Open Sans"/>
          <w:szCs w:val="22"/>
        </w:rPr>
        <w:t xml:space="preserve"> heat requirements for the building. </w:t>
      </w:r>
      <w:r w:rsidR="00D95032">
        <w:rPr>
          <w:rFonts w:ascii="Open Sans" w:hAnsi="Open Sans" w:cs="Open Sans"/>
          <w:szCs w:val="22"/>
        </w:rPr>
        <w:t>In</w:t>
      </w:r>
      <w:r>
        <w:rPr>
          <w:rFonts w:ascii="Open Sans" w:hAnsi="Open Sans" w:cs="Open Sans"/>
          <w:szCs w:val="22"/>
        </w:rPr>
        <w:t xml:space="preserve"> the case of </w:t>
      </w:r>
      <w:r w:rsidR="00D95032">
        <w:rPr>
          <w:rFonts w:ascii="Open Sans" w:hAnsi="Open Sans" w:cs="Open Sans"/>
          <w:szCs w:val="22"/>
        </w:rPr>
        <w:t xml:space="preserve">a </w:t>
      </w:r>
      <w:r>
        <w:rPr>
          <w:rFonts w:ascii="Open Sans" w:hAnsi="Open Sans" w:cs="Open Sans"/>
          <w:szCs w:val="22"/>
        </w:rPr>
        <w:t>£4000 flat rate grant, this</w:t>
      </w:r>
      <w:r w:rsidR="00D95032">
        <w:rPr>
          <w:rFonts w:ascii="Open Sans" w:hAnsi="Open Sans" w:cs="Open Sans"/>
          <w:szCs w:val="22"/>
        </w:rPr>
        <w:t xml:space="preserve"> will</w:t>
      </w:r>
      <w:r>
        <w:rPr>
          <w:rFonts w:ascii="Open Sans" w:hAnsi="Open Sans" w:cs="Open Sans"/>
          <w:szCs w:val="22"/>
        </w:rPr>
        <w:t xml:space="preserve"> favour sub 10 kW systems and predominantly </w:t>
      </w:r>
      <w:r w:rsidR="00FD6C15">
        <w:rPr>
          <w:rFonts w:ascii="Open Sans" w:hAnsi="Open Sans" w:cs="Open Sans"/>
          <w:szCs w:val="22"/>
        </w:rPr>
        <w:t>ASHPs</w:t>
      </w:r>
      <w:r>
        <w:rPr>
          <w:rFonts w:ascii="Open Sans" w:hAnsi="Open Sans" w:cs="Open Sans"/>
          <w:szCs w:val="22"/>
        </w:rPr>
        <w:t xml:space="preserve">, </w:t>
      </w:r>
      <w:r w:rsidR="00603B3E">
        <w:rPr>
          <w:rFonts w:ascii="Open Sans" w:hAnsi="Open Sans" w:cs="Open Sans"/>
          <w:szCs w:val="22"/>
        </w:rPr>
        <w:t xml:space="preserve">while disincentivising </w:t>
      </w:r>
      <w:r>
        <w:rPr>
          <w:rFonts w:ascii="Open Sans" w:hAnsi="Open Sans" w:cs="Open Sans"/>
          <w:szCs w:val="22"/>
        </w:rPr>
        <w:t>larger installation</w:t>
      </w:r>
      <w:r w:rsidR="00603B3E">
        <w:rPr>
          <w:rFonts w:ascii="Open Sans" w:hAnsi="Open Sans" w:cs="Open Sans"/>
          <w:szCs w:val="22"/>
        </w:rPr>
        <w:t>s</w:t>
      </w:r>
      <w:r>
        <w:rPr>
          <w:rFonts w:ascii="Open Sans" w:hAnsi="Open Sans" w:cs="Open Sans"/>
          <w:szCs w:val="22"/>
        </w:rPr>
        <w:t xml:space="preserve"> or a </w:t>
      </w:r>
      <w:r w:rsidR="00A4375C">
        <w:rPr>
          <w:rFonts w:ascii="Open Sans" w:hAnsi="Open Sans" w:cs="Open Sans"/>
          <w:szCs w:val="22"/>
        </w:rPr>
        <w:t>more expensive technology that may be</w:t>
      </w:r>
      <w:r w:rsidR="00FD6C15">
        <w:rPr>
          <w:rFonts w:ascii="Open Sans" w:hAnsi="Open Sans" w:cs="Open Sans"/>
          <w:szCs w:val="22"/>
        </w:rPr>
        <w:t xml:space="preserve"> better</w:t>
      </w:r>
      <w:r w:rsidR="00A4375C">
        <w:rPr>
          <w:rFonts w:ascii="Open Sans" w:hAnsi="Open Sans" w:cs="Open Sans"/>
          <w:szCs w:val="22"/>
        </w:rPr>
        <w:t xml:space="preserve"> suited to the heat requirements</w:t>
      </w:r>
      <w:r>
        <w:rPr>
          <w:rFonts w:ascii="Open Sans" w:hAnsi="Open Sans" w:cs="Open Sans"/>
          <w:szCs w:val="22"/>
        </w:rPr>
        <w:t xml:space="preserve">. </w:t>
      </w:r>
      <w:r w:rsidR="0013697E">
        <w:rPr>
          <w:rFonts w:ascii="Open Sans" w:hAnsi="Open Sans" w:cs="Open Sans"/>
          <w:szCs w:val="22"/>
        </w:rPr>
        <w:t>Th</w:t>
      </w:r>
      <w:r w:rsidR="00A4375C">
        <w:rPr>
          <w:rFonts w:ascii="Open Sans" w:hAnsi="Open Sans" w:cs="Open Sans"/>
          <w:szCs w:val="22"/>
        </w:rPr>
        <w:t>e proposed grant is therefore not</w:t>
      </w:r>
      <w:r w:rsidR="0013697E">
        <w:rPr>
          <w:rFonts w:ascii="Open Sans" w:hAnsi="Open Sans" w:cs="Open Sans"/>
          <w:szCs w:val="22"/>
        </w:rPr>
        <w:t xml:space="preserve"> technology neutral</w:t>
      </w:r>
      <w:r w:rsidR="00A4375C">
        <w:rPr>
          <w:rFonts w:ascii="Open Sans" w:hAnsi="Open Sans" w:cs="Open Sans"/>
          <w:szCs w:val="22"/>
        </w:rPr>
        <w:t xml:space="preserve"> nor does it</w:t>
      </w:r>
      <w:r w:rsidR="0013697E">
        <w:rPr>
          <w:rFonts w:ascii="Open Sans" w:hAnsi="Open Sans" w:cs="Open Sans"/>
          <w:szCs w:val="22"/>
        </w:rPr>
        <w:t xml:space="preserve"> ensure quality </w:t>
      </w:r>
      <w:r w:rsidR="007547EF">
        <w:rPr>
          <w:rFonts w:ascii="Open Sans" w:hAnsi="Open Sans" w:cs="Open Sans"/>
          <w:szCs w:val="22"/>
        </w:rPr>
        <w:t>installations or</w:t>
      </w:r>
      <w:r w:rsidR="0013697E">
        <w:rPr>
          <w:rFonts w:ascii="Open Sans" w:hAnsi="Open Sans" w:cs="Open Sans"/>
          <w:szCs w:val="22"/>
        </w:rPr>
        <w:t xml:space="preserve"> deploy projects across the total capacity range of the scheme</w:t>
      </w:r>
      <w:r w:rsidR="00603B3E">
        <w:rPr>
          <w:rFonts w:ascii="Open Sans" w:hAnsi="Open Sans" w:cs="Open Sans"/>
          <w:szCs w:val="22"/>
        </w:rPr>
        <w:t xml:space="preserve"> - </w:t>
      </w:r>
      <w:r w:rsidR="0013697E">
        <w:rPr>
          <w:rFonts w:ascii="Open Sans" w:hAnsi="Open Sans" w:cs="Open Sans"/>
          <w:szCs w:val="22"/>
        </w:rPr>
        <w:t xml:space="preserve">all of which are stated objectives of the policy. </w:t>
      </w:r>
    </w:p>
    <w:p w14:paraId="6401C2EB" w14:textId="329FA19D" w:rsidR="00E00A0D" w:rsidRDefault="00E00A0D" w:rsidP="00F30E27">
      <w:pPr>
        <w:rPr>
          <w:rFonts w:ascii="Open Sans" w:hAnsi="Open Sans" w:cs="Open Sans"/>
          <w:szCs w:val="22"/>
        </w:rPr>
      </w:pPr>
    </w:p>
    <w:p w14:paraId="3300DA9B" w14:textId="34DFA621" w:rsidR="00220E1F" w:rsidRDefault="00A4375C" w:rsidP="00F30E27">
      <w:pPr>
        <w:rPr>
          <w:rFonts w:ascii="Open Sans" w:hAnsi="Open Sans" w:cs="Open Sans"/>
          <w:szCs w:val="22"/>
        </w:rPr>
      </w:pPr>
      <w:r>
        <w:rPr>
          <w:rFonts w:ascii="Open Sans" w:hAnsi="Open Sans" w:cs="Open Sans"/>
          <w:szCs w:val="22"/>
        </w:rPr>
        <w:t>The grant</w:t>
      </w:r>
      <w:r w:rsidR="0013697E">
        <w:rPr>
          <w:rFonts w:ascii="Open Sans" w:hAnsi="Open Sans" w:cs="Open Sans"/>
          <w:szCs w:val="22"/>
        </w:rPr>
        <w:t xml:space="preserve"> needs to be able to cover roughly similar proportion of the total cost of a project, no matter the size or technology required. The fairest way to do this would be to deliver a grant based on the capacity required to sufficiently heat the building. This is best achieved by providing a flexible grant that pays out based on £/kW deployed, with a </w:t>
      </w:r>
      <w:r w:rsidR="00473FC9">
        <w:rPr>
          <w:rFonts w:ascii="Open Sans" w:hAnsi="Open Sans" w:cs="Open Sans"/>
          <w:szCs w:val="22"/>
        </w:rPr>
        <w:t>proportion</w:t>
      </w:r>
      <w:r w:rsidR="0013697E">
        <w:rPr>
          <w:rFonts w:ascii="Open Sans" w:hAnsi="Open Sans" w:cs="Open Sans"/>
          <w:szCs w:val="22"/>
        </w:rPr>
        <w:t xml:space="preserve"> of each kW covered by the grant. </w:t>
      </w:r>
      <w:r w:rsidR="00A51CAC">
        <w:rPr>
          <w:rFonts w:ascii="Open Sans" w:hAnsi="Open Sans" w:cs="Open Sans"/>
          <w:szCs w:val="22"/>
        </w:rPr>
        <w:t xml:space="preserve">An illustration of what this level could be is provided in answer to question 27. </w:t>
      </w:r>
    </w:p>
    <w:p w14:paraId="740EBC75" w14:textId="77777777" w:rsidR="00603B3E" w:rsidRDefault="00603B3E" w:rsidP="00220E1F">
      <w:pPr>
        <w:rPr>
          <w:rFonts w:ascii="Open Sans" w:hAnsi="Open Sans" w:cs="Open Sans"/>
          <w:szCs w:val="22"/>
        </w:rPr>
      </w:pPr>
    </w:p>
    <w:p w14:paraId="27BA2B18" w14:textId="70F2E0BA" w:rsidR="00603B3E" w:rsidRPr="00402538" w:rsidRDefault="00603B3E" w:rsidP="00F30E27">
      <w:pPr>
        <w:rPr>
          <w:rFonts w:ascii="Open Sans" w:hAnsi="Open Sans" w:cs="Open Sans"/>
          <w:b/>
          <w:bCs/>
          <w:szCs w:val="22"/>
        </w:rPr>
      </w:pPr>
      <w:r w:rsidRPr="00402538">
        <w:rPr>
          <w:rFonts w:ascii="Open Sans" w:hAnsi="Open Sans" w:cs="Open Sans"/>
          <w:b/>
          <w:bCs/>
          <w:szCs w:val="22"/>
        </w:rPr>
        <w:t xml:space="preserve">A low interest loan should also be provided with the flexible grant </w:t>
      </w:r>
    </w:p>
    <w:p w14:paraId="17A4FBA0" w14:textId="77777777" w:rsidR="00603B3E" w:rsidRDefault="00603B3E" w:rsidP="00F30E27">
      <w:pPr>
        <w:rPr>
          <w:rFonts w:ascii="Open Sans" w:hAnsi="Open Sans" w:cs="Open Sans"/>
          <w:szCs w:val="22"/>
        </w:rPr>
      </w:pPr>
    </w:p>
    <w:p w14:paraId="2323B9EF" w14:textId="77777777" w:rsidR="00EB762E" w:rsidRDefault="00EB762E" w:rsidP="00EB762E">
      <w:pPr>
        <w:rPr>
          <w:rFonts w:ascii="Open Sans" w:hAnsi="Open Sans" w:cs="Open Sans"/>
          <w:szCs w:val="22"/>
        </w:rPr>
      </w:pPr>
      <w:r w:rsidRPr="00273E54">
        <w:rPr>
          <w:rFonts w:ascii="Open Sans" w:hAnsi="Open Sans" w:cs="Open Sans"/>
          <w:szCs w:val="22"/>
        </w:rPr>
        <w:lastRenderedPageBreak/>
        <w:t>To further enable larger projects to deploy, a low-interest loan should also be offered in conjunction with the scheme to help cover the remaining cost of the project. This will also help mitigate low quality or undersized projects</w:t>
      </w:r>
      <w:r>
        <w:rPr>
          <w:rFonts w:ascii="Open Sans" w:hAnsi="Open Sans" w:cs="Open Sans"/>
          <w:szCs w:val="22"/>
        </w:rPr>
        <w:t xml:space="preserve"> by enabling consumers to consider more expensive installations. </w:t>
      </w:r>
    </w:p>
    <w:p w14:paraId="2CA0DD7E" w14:textId="77777777" w:rsidR="00EB762E" w:rsidRDefault="00EB762E" w:rsidP="00EB762E">
      <w:pPr>
        <w:rPr>
          <w:rFonts w:ascii="Open Sans" w:hAnsi="Open Sans" w:cs="Open Sans"/>
          <w:szCs w:val="22"/>
        </w:rPr>
      </w:pPr>
    </w:p>
    <w:p w14:paraId="325DF22E" w14:textId="776D9587" w:rsidR="00EB762E" w:rsidRDefault="00EB762E" w:rsidP="00EB762E">
      <w:pPr>
        <w:rPr>
          <w:rFonts w:ascii="Open Sans" w:hAnsi="Open Sans" w:cs="Open Sans"/>
          <w:szCs w:val="22"/>
        </w:rPr>
      </w:pPr>
      <w:r w:rsidRPr="00273E54">
        <w:rPr>
          <w:rFonts w:ascii="Open Sans" w:hAnsi="Open Sans" w:cs="Open Sans"/>
          <w:szCs w:val="22"/>
        </w:rPr>
        <w:t>Such a loan is likely easiest supplied by Government</w:t>
      </w:r>
      <w:r>
        <w:rPr>
          <w:rFonts w:ascii="Open Sans" w:hAnsi="Open Sans" w:cs="Open Sans"/>
          <w:szCs w:val="22"/>
        </w:rPr>
        <w:t xml:space="preserve"> and can be modelled on the successful Home Energy Scotland Loan Scheme, which provides 0% interest loans up to £17,500 for renewable energy systems.</w:t>
      </w:r>
      <w:r w:rsidR="00052441">
        <w:rPr>
          <w:rStyle w:val="FootnoteReference"/>
          <w:rFonts w:ascii="Open Sans" w:hAnsi="Open Sans" w:cs="Open Sans"/>
          <w:szCs w:val="22"/>
        </w:rPr>
        <w:footnoteReference w:id="11"/>
      </w:r>
      <w:r>
        <w:rPr>
          <w:rFonts w:ascii="Open Sans" w:hAnsi="Open Sans" w:cs="Open Sans"/>
          <w:szCs w:val="22"/>
        </w:rPr>
        <w:t xml:space="preserve"> </w:t>
      </w:r>
      <w:r w:rsidR="00052441">
        <w:rPr>
          <w:rFonts w:ascii="Open Sans" w:hAnsi="Open Sans" w:cs="Open Sans"/>
          <w:szCs w:val="22"/>
        </w:rPr>
        <w:t xml:space="preserve">At this level, the remaining capital expenditure following receipt of the grant is easily met and will make the Clean Heat Grant Scheme far more attractive to consumers. This would simply be a case of extending this scheme to the rest of the UK. </w:t>
      </w:r>
    </w:p>
    <w:p w14:paraId="5920AC85" w14:textId="77777777" w:rsidR="00EB762E" w:rsidRDefault="00EB762E" w:rsidP="00EB762E">
      <w:pPr>
        <w:rPr>
          <w:rFonts w:ascii="Open Sans" w:hAnsi="Open Sans" w:cs="Open Sans"/>
          <w:szCs w:val="22"/>
        </w:rPr>
      </w:pPr>
    </w:p>
    <w:p w14:paraId="531BB410" w14:textId="57660DFC" w:rsidR="00270123" w:rsidRDefault="00EB762E" w:rsidP="00EB762E">
      <w:pPr>
        <w:rPr>
          <w:rFonts w:ascii="Open Sans" w:hAnsi="Open Sans" w:cs="Open Sans"/>
          <w:szCs w:val="22"/>
        </w:rPr>
      </w:pPr>
      <w:r>
        <w:rPr>
          <w:rFonts w:ascii="Open Sans" w:hAnsi="Open Sans" w:cs="Open Sans"/>
          <w:szCs w:val="22"/>
        </w:rPr>
        <w:t xml:space="preserve">Alternatively, a public private </w:t>
      </w:r>
      <w:r w:rsidRPr="00273E54">
        <w:rPr>
          <w:rFonts w:ascii="Open Sans" w:hAnsi="Open Sans" w:cs="Open Sans"/>
          <w:szCs w:val="22"/>
        </w:rPr>
        <w:t>sector</w:t>
      </w:r>
      <w:r>
        <w:rPr>
          <w:rFonts w:ascii="Open Sans" w:hAnsi="Open Sans" w:cs="Open Sans"/>
          <w:szCs w:val="22"/>
        </w:rPr>
        <w:t xml:space="preserve"> scheme could be established with an appropriate UK finance body.  The Carbon Trust and Siemens collaborated on such a loan scheme from around 2004 to 2013, which proved successful at supporting market growth across all technologies</w:t>
      </w:r>
      <w:r w:rsidR="00E0171B">
        <w:rPr>
          <w:rFonts w:ascii="Open Sans" w:hAnsi="Open Sans" w:cs="Open Sans"/>
          <w:szCs w:val="22"/>
        </w:rPr>
        <w:t>.</w:t>
      </w:r>
      <w:r w:rsidR="005D7314">
        <w:rPr>
          <w:rStyle w:val="FootnoteReference"/>
          <w:rFonts w:ascii="Open Sans" w:hAnsi="Open Sans" w:cs="Open Sans"/>
          <w:szCs w:val="22"/>
        </w:rPr>
        <w:footnoteReference w:id="12"/>
      </w:r>
      <w:r>
        <w:rPr>
          <w:rFonts w:ascii="Open Sans" w:hAnsi="Open Sans" w:cs="Open Sans"/>
          <w:szCs w:val="22"/>
        </w:rPr>
        <w:t xml:space="preserve"> The REA would be happy to help facilitate </w:t>
      </w:r>
      <w:r w:rsidR="00052441">
        <w:rPr>
          <w:rFonts w:ascii="Open Sans" w:hAnsi="Open Sans" w:cs="Open Sans"/>
          <w:szCs w:val="22"/>
        </w:rPr>
        <w:t xml:space="preserve">Government </w:t>
      </w:r>
      <w:r>
        <w:rPr>
          <w:rFonts w:ascii="Open Sans" w:hAnsi="Open Sans" w:cs="Open Sans"/>
          <w:szCs w:val="22"/>
        </w:rPr>
        <w:t xml:space="preserve">discussions </w:t>
      </w:r>
      <w:r w:rsidR="00052441">
        <w:rPr>
          <w:rFonts w:ascii="Open Sans" w:hAnsi="Open Sans" w:cs="Open Sans"/>
          <w:szCs w:val="22"/>
        </w:rPr>
        <w:t xml:space="preserve">on this </w:t>
      </w:r>
      <w:r>
        <w:rPr>
          <w:rFonts w:ascii="Open Sans" w:hAnsi="Open Sans" w:cs="Open Sans"/>
          <w:szCs w:val="22"/>
        </w:rPr>
        <w:t xml:space="preserve">with relevant organisations through our </w:t>
      </w:r>
      <w:r w:rsidR="00052441">
        <w:rPr>
          <w:rFonts w:ascii="Open Sans" w:hAnsi="Open Sans" w:cs="Open Sans"/>
          <w:szCs w:val="22"/>
        </w:rPr>
        <w:t>F</w:t>
      </w:r>
      <w:r>
        <w:rPr>
          <w:rFonts w:ascii="Open Sans" w:hAnsi="Open Sans" w:cs="Open Sans"/>
          <w:szCs w:val="22"/>
        </w:rPr>
        <w:t xml:space="preserve">inance </w:t>
      </w:r>
      <w:r w:rsidR="00052441">
        <w:rPr>
          <w:rFonts w:ascii="Open Sans" w:hAnsi="Open Sans" w:cs="Open Sans"/>
          <w:szCs w:val="22"/>
        </w:rPr>
        <w:t>F</w:t>
      </w:r>
      <w:r>
        <w:rPr>
          <w:rFonts w:ascii="Open Sans" w:hAnsi="Open Sans" w:cs="Open Sans"/>
          <w:szCs w:val="22"/>
        </w:rPr>
        <w:t xml:space="preserve">orum. </w:t>
      </w:r>
    </w:p>
    <w:p w14:paraId="4D1761F1" w14:textId="5B8B42BE" w:rsidR="00E464EE" w:rsidRDefault="00E464EE" w:rsidP="00F30E27">
      <w:pPr>
        <w:rPr>
          <w:rFonts w:ascii="Open Sans" w:hAnsi="Open Sans" w:cs="Open Sans"/>
          <w:szCs w:val="22"/>
        </w:rPr>
      </w:pPr>
    </w:p>
    <w:p w14:paraId="088C6691" w14:textId="06068544" w:rsidR="00795275" w:rsidRPr="00402538" w:rsidRDefault="00795275" w:rsidP="00F30E27">
      <w:pPr>
        <w:rPr>
          <w:rFonts w:ascii="Open Sans" w:hAnsi="Open Sans" w:cs="Open Sans"/>
          <w:b/>
          <w:bCs/>
          <w:szCs w:val="22"/>
        </w:rPr>
      </w:pPr>
      <w:r w:rsidRPr="00402538">
        <w:rPr>
          <w:rFonts w:ascii="Open Sans" w:hAnsi="Open Sans" w:cs="Open Sans"/>
          <w:b/>
          <w:bCs/>
          <w:szCs w:val="22"/>
        </w:rPr>
        <w:t xml:space="preserve">Use the </w:t>
      </w:r>
      <w:r w:rsidR="00A51CAC">
        <w:rPr>
          <w:rFonts w:ascii="Open Sans" w:hAnsi="Open Sans" w:cs="Open Sans"/>
          <w:b/>
          <w:bCs/>
          <w:szCs w:val="22"/>
        </w:rPr>
        <w:t>h</w:t>
      </w:r>
      <w:r w:rsidRPr="00402538">
        <w:rPr>
          <w:rFonts w:ascii="Open Sans" w:hAnsi="Open Sans" w:cs="Open Sans"/>
          <w:b/>
          <w:bCs/>
          <w:szCs w:val="22"/>
        </w:rPr>
        <w:t xml:space="preserve">eat </w:t>
      </w:r>
      <w:r w:rsidR="00A51CAC">
        <w:rPr>
          <w:rFonts w:ascii="Open Sans" w:hAnsi="Open Sans" w:cs="Open Sans"/>
          <w:b/>
          <w:bCs/>
          <w:szCs w:val="22"/>
        </w:rPr>
        <w:t>l</w:t>
      </w:r>
      <w:r w:rsidRPr="00402538">
        <w:rPr>
          <w:rFonts w:ascii="Open Sans" w:hAnsi="Open Sans" w:cs="Open Sans"/>
          <w:b/>
          <w:bCs/>
          <w:szCs w:val="22"/>
        </w:rPr>
        <w:t xml:space="preserve">oss </w:t>
      </w:r>
      <w:r w:rsidR="00A51CAC">
        <w:rPr>
          <w:rFonts w:ascii="Open Sans" w:hAnsi="Open Sans" w:cs="Open Sans"/>
          <w:b/>
          <w:bCs/>
          <w:szCs w:val="22"/>
        </w:rPr>
        <w:t>as</w:t>
      </w:r>
      <w:r w:rsidRPr="00402538">
        <w:rPr>
          <w:rFonts w:ascii="Open Sans" w:hAnsi="Open Sans" w:cs="Open Sans"/>
          <w:b/>
          <w:bCs/>
          <w:szCs w:val="22"/>
        </w:rPr>
        <w:t>sessment to avoid the scheme encouraging unintended behaviours</w:t>
      </w:r>
    </w:p>
    <w:p w14:paraId="18064B7C" w14:textId="45C940B4" w:rsidR="006E016F" w:rsidRDefault="006E016F" w:rsidP="00926D06">
      <w:pPr>
        <w:rPr>
          <w:rFonts w:ascii="Open Sans" w:hAnsi="Open Sans" w:cs="Open Sans"/>
          <w:b/>
          <w:bCs/>
          <w:i/>
          <w:iCs/>
          <w:color w:val="2F5496"/>
          <w:szCs w:val="22"/>
        </w:rPr>
      </w:pPr>
    </w:p>
    <w:p w14:paraId="54C41A1F" w14:textId="4D94081D" w:rsidR="000C1F50" w:rsidRDefault="000C1F50" w:rsidP="00926D06">
      <w:pPr>
        <w:rPr>
          <w:rFonts w:ascii="Open Sans" w:hAnsi="Open Sans" w:cs="Open Sans"/>
          <w:szCs w:val="22"/>
        </w:rPr>
      </w:pPr>
      <w:r w:rsidRPr="000C1F50">
        <w:rPr>
          <w:rFonts w:ascii="Open Sans" w:hAnsi="Open Sans" w:cs="Open Sans"/>
          <w:szCs w:val="22"/>
        </w:rPr>
        <w:t>It is recognised</w:t>
      </w:r>
      <w:r w:rsidR="00F36138">
        <w:rPr>
          <w:rFonts w:ascii="Open Sans" w:hAnsi="Open Sans" w:cs="Open Sans"/>
          <w:szCs w:val="22"/>
        </w:rPr>
        <w:t xml:space="preserve"> in the consultation that varying support by installation size has the potential to incentivise unintended behaviours, as seen in some cases within the ND RHI. However, a flat rate grant does not</w:t>
      </w:r>
      <w:r w:rsidR="00402538">
        <w:rPr>
          <w:rFonts w:ascii="Open Sans" w:hAnsi="Open Sans" w:cs="Open Sans"/>
          <w:szCs w:val="22"/>
        </w:rPr>
        <w:t xml:space="preserve"> resolve</w:t>
      </w:r>
      <w:r w:rsidR="00F36138">
        <w:rPr>
          <w:rFonts w:ascii="Open Sans" w:hAnsi="Open Sans" w:cs="Open Sans"/>
          <w:szCs w:val="22"/>
        </w:rPr>
        <w:t xml:space="preserve"> this issue. </w:t>
      </w:r>
      <w:r w:rsidR="007547EF">
        <w:rPr>
          <w:rFonts w:ascii="Open Sans" w:hAnsi="Open Sans" w:cs="Open Sans"/>
          <w:szCs w:val="22"/>
        </w:rPr>
        <w:t>A</w:t>
      </w:r>
      <w:r w:rsidR="00F36138">
        <w:rPr>
          <w:rFonts w:ascii="Open Sans" w:hAnsi="Open Sans" w:cs="Open Sans"/>
          <w:szCs w:val="22"/>
        </w:rPr>
        <w:t>s currently proposed</w:t>
      </w:r>
      <w:r w:rsidR="003277D7">
        <w:rPr>
          <w:rFonts w:ascii="Open Sans" w:hAnsi="Open Sans" w:cs="Open Sans"/>
          <w:szCs w:val="22"/>
        </w:rPr>
        <w:t xml:space="preserve">, </w:t>
      </w:r>
      <w:r w:rsidR="00F36138">
        <w:rPr>
          <w:rFonts w:ascii="Open Sans" w:hAnsi="Open Sans" w:cs="Open Sans"/>
          <w:szCs w:val="22"/>
        </w:rPr>
        <w:t xml:space="preserve">the </w:t>
      </w:r>
      <w:r w:rsidR="00402538">
        <w:rPr>
          <w:rFonts w:ascii="Open Sans" w:hAnsi="Open Sans" w:cs="Open Sans"/>
          <w:szCs w:val="22"/>
        </w:rPr>
        <w:t>low grant</w:t>
      </w:r>
      <w:r w:rsidR="00F36138">
        <w:rPr>
          <w:rFonts w:ascii="Open Sans" w:hAnsi="Open Sans" w:cs="Open Sans"/>
          <w:szCs w:val="22"/>
        </w:rPr>
        <w:t xml:space="preserve"> will </w:t>
      </w:r>
      <w:r w:rsidR="00402538">
        <w:rPr>
          <w:rFonts w:ascii="Open Sans" w:hAnsi="Open Sans" w:cs="Open Sans"/>
          <w:szCs w:val="22"/>
        </w:rPr>
        <w:t>likely see projects undersized</w:t>
      </w:r>
      <w:r w:rsidR="00F36138">
        <w:rPr>
          <w:rFonts w:ascii="Open Sans" w:hAnsi="Open Sans" w:cs="Open Sans"/>
          <w:szCs w:val="22"/>
        </w:rPr>
        <w:t xml:space="preserve"> </w:t>
      </w:r>
      <w:r w:rsidR="00402538">
        <w:rPr>
          <w:rFonts w:ascii="Open Sans" w:hAnsi="Open Sans" w:cs="Open Sans"/>
          <w:szCs w:val="22"/>
        </w:rPr>
        <w:t>to</w:t>
      </w:r>
      <w:r w:rsidR="00F36138">
        <w:rPr>
          <w:rFonts w:ascii="Open Sans" w:hAnsi="Open Sans" w:cs="Open Sans"/>
          <w:szCs w:val="22"/>
        </w:rPr>
        <w:t xml:space="preserve"> ensure the grant covers the largest proportion of the overall costs. </w:t>
      </w:r>
      <w:r w:rsidR="00402538">
        <w:rPr>
          <w:rFonts w:ascii="Open Sans" w:hAnsi="Open Sans" w:cs="Open Sans"/>
          <w:szCs w:val="22"/>
        </w:rPr>
        <w:t>Alternatively,</w:t>
      </w:r>
      <w:r w:rsidR="00F36138">
        <w:rPr>
          <w:rFonts w:ascii="Open Sans" w:hAnsi="Open Sans" w:cs="Open Sans"/>
          <w:szCs w:val="22"/>
        </w:rPr>
        <w:t xml:space="preserve"> there is also a risk of multiple small </w:t>
      </w:r>
      <w:r w:rsidR="00A51CAC">
        <w:rPr>
          <w:rFonts w:ascii="Open Sans" w:hAnsi="Open Sans" w:cs="Open Sans"/>
          <w:szCs w:val="22"/>
        </w:rPr>
        <w:t>AHPS</w:t>
      </w:r>
      <w:r w:rsidR="00052441">
        <w:rPr>
          <w:rFonts w:ascii="Open Sans" w:hAnsi="Open Sans" w:cs="Open Sans"/>
          <w:szCs w:val="22"/>
        </w:rPr>
        <w:t>’</w:t>
      </w:r>
      <w:r w:rsidR="00A51CAC">
        <w:rPr>
          <w:rFonts w:ascii="Open Sans" w:hAnsi="Open Sans" w:cs="Open Sans"/>
          <w:szCs w:val="22"/>
        </w:rPr>
        <w:t>s/</w:t>
      </w:r>
      <w:r w:rsidR="00F36138">
        <w:rPr>
          <w:rFonts w:ascii="Open Sans" w:hAnsi="Open Sans" w:cs="Open Sans"/>
          <w:szCs w:val="22"/>
        </w:rPr>
        <w:t>boilers being installed, when one larger one would do, as they could potentially get a flat grant for each</w:t>
      </w:r>
      <w:r w:rsidR="00A51CAC">
        <w:rPr>
          <w:rFonts w:ascii="Open Sans" w:hAnsi="Open Sans" w:cs="Open Sans"/>
          <w:szCs w:val="22"/>
        </w:rPr>
        <w:t xml:space="preserve"> </w:t>
      </w:r>
      <w:r w:rsidR="00F36138">
        <w:rPr>
          <w:rFonts w:ascii="Open Sans" w:hAnsi="Open Sans" w:cs="Open Sans"/>
          <w:szCs w:val="22"/>
        </w:rPr>
        <w:t xml:space="preserve">installed. While there are genuine situations where multiple boilers are appropriate, it was highlighted in the NAO review of the RHI that </w:t>
      </w:r>
      <w:r w:rsidR="00402538">
        <w:rPr>
          <w:rFonts w:ascii="Open Sans" w:hAnsi="Open Sans" w:cs="Open Sans"/>
          <w:szCs w:val="22"/>
        </w:rPr>
        <w:t>the scheme had no way of assessing this need.</w:t>
      </w:r>
      <w:r w:rsidR="00052441">
        <w:rPr>
          <w:rStyle w:val="FootnoteReference"/>
          <w:rFonts w:ascii="Open Sans" w:hAnsi="Open Sans" w:cs="Open Sans"/>
          <w:szCs w:val="22"/>
        </w:rPr>
        <w:footnoteReference w:id="13"/>
      </w:r>
      <w:r w:rsidR="00402538">
        <w:rPr>
          <w:rFonts w:ascii="Open Sans" w:hAnsi="Open Sans" w:cs="Open Sans"/>
          <w:szCs w:val="22"/>
        </w:rPr>
        <w:t xml:space="preserve"> </w:t>
      </w:r>
    </w:p>
    <w:p w14:paraId="6E455AA7" w14:textId="75B3AA68" w:rsidR="00402538" w:rsidRDefault="00402538" w:rsidP="00926D06">
      <w:pPr>
        <w:rPr>
          <w:rFonts w:ascii="Open Sans" w:hAnsi="Open Sans" w:cs="Open Sans"/>
          <w:szCs w:val="22"/>
        </w:rPr>
      </w:pPr>
    </w:p>
    <w:p w14:paraId="36B87775" w14:textId="77777777" w:rsidR="00B15D68" w:rsidRDefault="007547EF" w:rsidP="00926D06">
      <w:pPr>
        <w:rPr>
          <w:rFonts w:ascii="Open Sans" w:hAnsi="Open Sans" w:cs="Open Sans"/>
          <w:szCs w:val="22"/>
        </w:rPr>
      </w:pPr>
      <w:r>
        <w:rPr>
          <w:rFonts w:ascii="Open Sans" w:hAnsi="Open Sans" w:cs="Open Sans"/>
          <w:szCs w:val="22"/>
        </w:rPr>
        <w:t>T</w:t>
      </w:r>
      <w:r w:rsidR="00402538">
        <w:rPr>
          <w:rFonts w:ascii="Open Sans" w:hAnsi="Open Sans" w:cs="Open Sans"/>
          <w:szCs w:val="22"/>
        </w:rPr>
        <w:t>he proposed heat loss assessment should not only be used to ascertain if the right technology is being installed, but if the right capacity of being proposed</w:t>
      </w:r>
      <w:r w:rsidR="00052441">
        <w:rPr>
          <w:rFonts w:ascii="Open Sans" w:hAnsi="Open Sans" w:cs="Open Sans"/>
          <w:szCs w:val="22"/>
        </w:rPr>
        <w:t xml:space="preserve"> on all Clean Heat Grant Scheme Applications</w:t>
      </w:r>
      <w:r w:rsidR="00402538">
        <w:rPr>
          <w:rFonts w:ascii="Open Sans" w:hAnsi="Open Sans" w:cs="Open Sans"/>
          <w:szCs w:val="22"/>
        </w:rPr>
        <w:t>. The value of the grant is then based on th</w:t>
      </w:r>
      <w:r w:rsidR="00A51CAC">
        <w:rPr>
          <w:rFonts w:ascii="Open Sans" w:hAnsi="Open Sans" w:cs="Open Sans"/>
          <w:szCs w:val="22"/>
        </w:rPr>
        <w:t xml:space="preserve">is </w:t>
      </w:r>
      <w:r w:rsidR="00402538">
        <w:rPr>
          <w:rFonts w:ascii="Open Sans" w:hAnsi="Open Sans" w:cs="Open Sans"/>
          <w:szCs w:val="22"/>
        </w:rPr>
        <w:t>assessment, with £/kW paid out on the actual capacity required.  This should avoid people being able to benefits</w:t>
      </w:r>
    </w:p>
    <w:p w14:paraId="089D4DCC" w14:textId="73D11250" w:rsidR="00402538" w:rsidRPr="000C1F50" w:rsidRDefault="00402538" w:rsidP="00926D06">
      <w:pPr>
        <w:rPr>
          <w:rFonts w:ascii="Open Sans" w:hAnsi="Open Sans" w:cs="Open Sans"/>
          <w:szCs w:val="22"/>
        </w:rPr>
      </w:pPr>
      <w:r>
        <w:rPr>
          <w:rFonts w:ascii="Open Sans" w:hAnsi="Open Sans" w:cs="Open Sans"/>
          <w:szCs w:val="22"/>
        </w:rPr>
        <w:t xml:space="preserve"> from wrongly sizing installations or gaming the system to get more vouchers. </w:t>
      </w:r>
    </w:p>
    <w:p w14:paraId="1AE02930" w14:textId="0A72F07A" w:rsidR="00795275" w:rsidRPr="00795275" w:rsidRDefault="00795275" w:rsidP="00926D06">
      <w:pPr>
        <w:rPr>
          <w:rFonts w:ascii="Open Sans" w:hAnsi="Open Sans" w:cs="Open Sans"/>
          <w:b/>
          <w:bCs/>
          <w:color w:val="2F5496"/>
          <w:szCs w:val="22"/>
        </w:rPr>
      </w:pPr>
    </w:p>
    <w:p w14:paraId="2C2F1E29" w14:textId="2F90E7E6" w:rsidR="006E016F" w:rsidRPr="00D11867" w:rsidRDefault="00E464EE" w:rsidP="00926D06">
      <w:pPr>
        <w:rPr>
          <w:rFonts w:ascii="Open Sans" w:hAnsi="Open Sans" w:cs="Open Sans"/>
          <w:b/>
          <w:bCs/>
          <w:i/>
          <w:iCs/>
          <w:color w:val="2F5496"/>
          <w:szCs w:val="22"/>
        </w:rPr>
      </w:pPr>
      <w:r w:rsidRPr="00D11867">
        <w:rPr>
          <w:rFonts w:ascii="Open Sans" w:hAnsi="Open Sans" w:cs="Open Sans"/>
          <w:b/>
          <w:bCs/>
          <w:i/>
          <w:iCs/>
          <w:color w:val="2F5496"/>
          <w:szCs w:val="22"/>
        </w:rPr>
        <w:t xml:space="preserve">Question 27 - </w:t>
      </w:r>
      <w:r w:rsidR="000D49A6" w:rsidRPr="00D11867">
        <w:rPr>
          <w:rFonts w:ascii="Open Sans" w:hAnsi="Open Sans" w:cs="Open Sans"/>
          <w:b/>
          <w:bCs/>
          <w:i/>
          <w:iCs/>
          <w:color w:val="2F5496"/>
          <w:szCs w:val="22"/>
        </w:rPr>
        <w:t>If you believe a variation by capacity should be considered, please provide evidence to justify a process and level for varying the grant.</w:t>
      </w:r>
    </w:p>
    <w:p w14:paraId="429B1D88" w14:textId="29E694F7" w:rsidR="000D49A6" w:rsidRDefault="000D49A6" w:rsidP="00926D06">
      <w:pPr>
        <w:rPr>
          <w:rFonts w:ascii="Arial" w:hAnsi="Arial" w:cs="Arial"/>
          <w:sz w:val="30"/>
          <w:szCs w:val="30"/>
        </w:rPr>
      </w:pPr>
    </w:p>
    <w:p w14:paraId="2CF08862" w14:textId="2D4CBAF0" w:rsidR="00E464EE" w:rsidRDefault="00E464EE" w:rsidP="00E54BD8">
      <w:pPr>
        <w:rPr>
          <w:rFonts w:ascii="Open Sans" w:hAnsi="Open Sans" w:cs="Open Sans"/>
          <w:szCs w:val="22"/>
        </w:rPr>
      </w:pPr>
      <w:r>
        <w:rPr>
          <w:rFonts w:ascii="Open Sans" w:hAnsi="Open Sans" w:cs="Open Sans"/>
          <w:szCs w:val="22"/>
        </w:rPr>
        <w:t xml:space="preserve">As an illustration, the REA has analysed what a grant based on £280/ kW, with a </w:t>
      </w:r>
      <w:r w:rsidR="006E374B">
        <w:rPr>
          <w:rFonts w:ascii="Open Sans" w:hAnsi="Open Sans" w:cs="Open Sans"/>
          <w:szCs w:val="22"/>
        </w:rPr>
        <w:t>minimum</w:t>
      </w:r>
      <w:r>
        <w:rPr>
          <w:rFonts w:ascii="Open Sans" w:hAnsi="Open Sans" w:cs="Open Sans"/>
          <w:szCs w:val="22"/>
        </w:rPr>
        <w:t xml:space="preserve"> grant level £4000, would mean for the scheme. </w:t>
      </w:r>
    </w:p>
    <w:p w14:paraId="622F7CB3" w14:textId="03418EFD" w:rsidR="00E464EE" w:rsidRDefault="00E464EE" w:rsidP="00E54BD8">
      <w:pPr>
        <w:rPr>
          <w:rFonts w:ascii="Open Sans" w:hAnsi="Open Sans" w:cs="Open Sans"/>
          <w:szCs w:val="22"/>
        </w:rPr>
      </w:pPr>
    </w:p>
    <w:p w14:paraId="051721DB" w14:textId="7A7CB399" w:rsidR="00E464EE" w:rsidRDefault="00E464EE" w:rsidP="00E54BD8">
      <w:pPr>
        <w:rPr>
          <w:rFonts w:ascii="Open Sans" w:hAnsi="Open Sans" w:cs="Open Sans"/>
          <w:szCs w:val="22"/>
        </w:rPr>
      </w:pPr>
      <w:r>
        <w:rPr>
          <w:rFonts w:ascii="Open Sans" w:hAnsi="Open Sans" w:cs="Open Sans"/>
          <w:szCs w:val="22"/>
        </w:rPr>
        <w:t xml:space="preserve">The figure </w:t>
      </w:r>
      <w:r w:rsidR="006E374B">
        <w:rPr>
          <w:rFonts w:ascii="Open Sans" w:hAnsi="Open Sans" w:cs="Open Sans"/>
          <w:szCs w:val="22"/>
        </w:rPr>
        <w:t xml:space="preserve">of </w:t>
      </w:r>
      <w:r>
        <w:rPr>
          <w:rFonts w:ascii="Open Sans" w:hAnsi="Open Sans" w:cs="Open Sans"/>
          <w:szCs w:val="22"/>
        </w:rPr>
        <w:t xml:space="preserve">£280/ kW is arrived at based on BEIS 2019 </w:t>
      </w:r>
      <w:r w:rsidR="006E374B">
        <w:rPr>
          <w:rFonts w:ascii="Open Sans" w:hAnsi="Open Sans" w:cs="Open Sans"/>
          <w:szCs w:val="22"/>
        </w:rPr>
        <w:t>Deployment</w:t>
      </w:r>
      <w:r>
        <w:rPr>
          <w:rFonts w:ascii="Open Sans" w:hAnsi="Open Sans" w:cs="Open Sans"/>
          <w:szCs w:val="22"/>
        </w:rPr>
        <w:t xml:space="preserve"> </w:t>
      </w:r>
      <w:r w:rsidR="006E374B">
        <w:rPr>
          <w:rFonts w:ascii="Open Sans" w:hAnsi="Open Sans" w:cs="Open Sans"/>
          <w:szCs w:val="22"/>
        </w:rPr>
        <w:t>Data</w:t>
      </w:r>
      <w:r>
        <w:rPr>
          <w:rFonts w:ascii="Open Sans" w:hAnsi="Open Sans" w:cs="Open Sans"/>
          <w:szCs w:val="22"/>
        </w:rPr>
        <w:t>,</w:t>
      </w:r>
      <w:r w:rsidR="006E374B">
        <w:rPr>
          <w:rFonts w:ascii="Open Sans" w:hAnsi="Open Sans" w:cs="Open Sans"/>
          <w:szCs w:val="22"/>
        </w:rPr>
        <w:t xml:space="preserve"> specifically “</w:t>
      </w:r>
      <w:r w:rsidR="006E374B" w:rsidRPr="006E374B">
        <w:rPr>
          <w:rFonts w:ascii="Open Sans" w:hAnsi="Open Sans" w:cs="Open Sans"/>
          <w:i/>
          <w:iCs/>
          <w:szCs w:val="22"/>
        </w:rPr>
        <w:t>Table S2.1 - Average reported costs of domestic RHI installations, Great Britain, April 2014 to December 2019</w:t>
      </w:r>
      <w:r w:rsidR="006E374B">
        <w:rPr>
          <w:rFonts w:ascii="Open Sans" w:hAnsi="Open Sans" w:cs="Open Sans"/>
          <w:szCs w:val="22"/>
        </w:rPr>
        <w:t>”</w:t>
      </w:r>
      <w:r w:rsidR="00FC530B">
        <w:rPr>
          <w:rFonts w:ascii="Open Sans" w:hAnsi="Open Sans" w:cs="Open Sans"/>
          <w:szCs w:val="22"/>
        </w:rPr>
        <w:t>, using the following assumptions:</w:t>
      </w:r>
    </w:p>
    <w:p w14:paraId="3B137AD9" w14:textId="77777777" w:rsidR="006E374B" w:rsidRDefault="006E374B" w:rsidP="00E54BD8">
      <w:pPr>
        <w:rPr>
          <w:rFonts w:ascii="Open Sans" w:hAnsi="Open Sans" w:cs="Open Sans"/>
          <w:szCs w:val="22"/>
        </w:rPr>
      </w:pPr>
    </w:p>
    <w:p w14:paraId="600520B9" w14:textId="7840F242" w:rsidR="006E374B" w:rsidRPr="00FC530B" w:rsidRDefault="00FC530B" w:rsidP="00FC530B">
      <w:pPr>
        <w:pStyle w:val="ListParagraph"/>
        <w:numPr>
          <w:ilvl w:val="0"/>
          <w:numId w:val="7"/>
        </w:numPr>
        <w:rPr>
          <w:rFonts w:ascii="Open Sans" w:hAnsi="Open Sans" w:cs="Open Sans"/>
          <w:szCs w:val="22"/>
        </w:rPr>
      </w:pPr>
      <w:r>
        <w:rPr>
          <w:rFonts w:ascii="Open Sans" w:hAnsi="Open Sans" w:cs="Open Sans"/>
          <w:szCs w:val="22"/>
        </w:rPr>
        <w:t>T</w:t>
      </w:r>
      <w:r w:rsidR="006E374B" w:rsidRPr="00FC530B">
        <w:rPr>
          <w:rFonts w:ascii="Open Sans" w:hAnsi="Open Sans" w:cs="Open Sans"/>
          <w:szCs w:val="22"/>
        </w:rPr>
        <w:t>he median cost per kW</w:t>
      </w:r>
      <w:r>
        <w:rPr>
          <w:rFonts w:ascii="Open Sans" w:hAnsi="Open Sans" w:cs="Open Sans"/>
          <w:szCs w:val="22"/>
        </w:rPr>
        <w:t xml:space="preserve"> for biomass,</w:t>
      </w:r>
      <w:r w:rsidR="006E374B" w:rsidRPr="00FC530B">
        <w:rPr>
          <w:rFonts w:ascii="Open Sans" w:hAnsi="Open Sans" w:cs="Open Sans"/>
          <w:szCs w:val="22"/>
        </w:rPr>
        <w:t xml:space="preserve"> </w:t>
      </w:r>
      <w:r w:rsidRPr="00FC530B">
        <w:rPr>
          <w:rFonts w:ascii="Open Sans" w:hAnsi="Open Sans" w:cs="Open Sans"/>
          <w:szCs w:val="22"/>
        </w:rPr>
        <w:t>across a capacity range of 0 – 45 kW</w:t>
      </w:r>
      <w:r>
        <w:rPr>
          <w:rFonts w:ascii="Open Sans" w:hAnsi="Open Sans" w:cs="Open Sans"/>
          <w:szCs w:val="22"/>
        </w:rPr>
        <w:t>,</w:t>
      </w:r>
      <w:r w:rsidR="006E374B" w:rsidRPr="00FC530B">
        <w:rPr>
          <w:rFonts w:ascii="Open Sans" w:hAnsi="Open Sans" w:cs="Open Sans"/>
          <w:szCs w:val="22"/>
        </w:rPr>
        <w:t xml:space="preserve"> </w:t>
      </w:r>
      <w:r>
        <w:rPr>
          <w:rFonts w:ascii="Open Sans" w:hAnsi="Open Sans" w:cs="Open Sans"/>
          <w:szCs w:val="22"/>
        </w:rPr>
        <w:t xml:space="preserve">is </w:t>
      </w:r>
      <w:r w:rsidRPr="00FC530B">
        <w:rPr>
          <w:rFonts w:ascii="Open Sans" w:hAnsi="Open Sans" w:cs="Open Sans"/>
          <w:szCs w:val="22"/>
        </w:rPr>
        <w:t>just above £700/kW</w:t>
      </w:r>
      <w:r>
        <w:rPr>
          <w:rFonts w:ascii="Open Sans" w:hAnsi="Open Sans" w:cs="Open Sans"/>
          <w:szCs w:val="22"/>
        </w:rPr>
        <w:t xml:space="preserve">. </w:t>
      </w:r>
      <w:r w:rsidR="00052441">
        <w:rPr>
          <w:rFonts w:ascii="Open Sans" w:hAnsi="Open Sans" w:cs="Open Sans"/>
          <w:szCs w:val="22"/>
        </w:rPr>
        <w:t>Biomass</w:t>
      </w:r>
      <w:r>
        <w:rPr>
          <w:rFonts w:ascii="Open Sans" w:hAnsi="Open Sans" w:cs="Open Sans"/>
          <w:szCs w:val="22"/>
        </w:rPr>
        <w:t xml:space="preserve"> provides the</w:t>
      </w:r>
      <w:r w:rsidR="006E374B" w:rsidRPr="00FC530B">
        <w:rPr>
          <w:rFonts w:ascii="Open Sans" w:hAnsi="Open Sans" w:cs="Open Sans"/>
          <w:szCs w:val="22"/>
        </w:rPr>
        <w:t xml:space="preserve"> lowest £/</w:t>
      </w:r>
      <w:r>
        <w:rPr>
          <w:rFonts w:ascii="Open Sans" w:hAnsi="Open Sans" w:cs="Open Sans"/>
          <w:szCs w:val="22"/>
        </w:rPr>
        <w:t>kW</w:t>
      </w:r>
      <w:r w:rsidR="006E374B" w:rsidRPr="00FC530B">
        <w:rPr>
          <w:rFonts w:ascii="Open Sans" w:hAnsi="Open Sans" w:cs="Open Sans"/>
          <w:szCs w:val="22"/>
        </w:rPr>
        <w:t xml:space="preserve"> figure across all the technologies</w:t>
      </w:r>
      <w:r w:rsidR="00052441">
        <w:rPr>
          <w:rFonts w:ascii="Open Sans" w:hAnsi="Open Sans" w:cs="Open Sans"/>
          <w:szCs w:val="22"/>
        </w:rPr>
        <w:t xml:space="preserve">, providing a figure that can be confidently stated as providing value for money. </w:t>
      </w:r>
    </w:p>
    <w:p w14:paraId="60768FF1" w14:textId="73AC4E58" w:rsidR="006E374B" w:rsidRPr="00FC530B" w:rsidRDefault="006E374B" w:rsidP="00A4375C">
      <w:pPr>
        <w:pStyle w:val="ListParagraph"/>
        <w:numPr>
          <w:ilvl w:val="0"/>
          <w:numId w:val="7"/>
        </w:numPr>
        <w:rPr>
          <w:rFonts w:ascii="Open Sans" w:hAnsi="Open Sans" w:cs="Open Sans"/>
          <w:szCs w:val="22"/>
        </w:rPr>
      </w:pPr>
      <w:r w:rsidRPr="00FC530B">
        <w:rPr>
          <w:rFonts w:ascii="Open Sans" w:hAnsi="Open Sans" w:cs="Open Sans"/>
          <w:szCs w:val="22"/>
        </w:rPr>
        <w:t xml:space="preserve">Considering the grant is meant to meet a proportion of the total cost of a project, we suggest a grant level </w:t>
      </w:r>
      <w:r w:rsidR="00FC530B">
        <w:rPr>
          <w:rFonts w:ascii="Open Sans" w:hAnsi="Open Sans" w:cs="Open Sans"/>
          <w:szCs w:val="22"/>
        </w:rPr>
        <w:t>that covers</w:t>
      </w:r>
      <w:r w:rsidRPr="00FC530B">
        <w:rPr>
          <w:rFonts w:ascii="Open Sans" w:hAnsi="Open Sans" w:cs="Open Sans"/>
          <w:szCs w:val="22"/>
        </w:rPr>
        <w:t xml:space="preserve"> </w:t>
      </w:r>
      <w:r w:rsidR="00FC530B">
        <w:rPr>
          <w:rFonts w:ascii="Open Sans" w:hAnsi="Open Sans" w:cs="Open Sans"/>
          <w:szCs w:val="22"/>
        </w:rPr>
        <w:t xml:space="preserve">about </w:t>
      </w:r>
      <w:r w:rsidRPr="00FC530B">
        <w:rPr>
          <w:rFonts w:ascii="Open Sans" w:hAnsi="Open Sans" w:cs="Open Sans"/>
          <w:szCs w:val="22"/>
        </w:rPr>
        <w:t xml:space="preserve">40% </w:t>
      </w:r>
      <w:r w:rsidR="00FC530B">
        <w:rPr>
          <w:rFonts w:ascii="Open Sans" w:hAnsi="Open Sans" w:cs="Open Sans"/>
          <w:szCs w:val="22"/>
        </w:rPr>
        <w:t>of each</w:t>
      </w:r>
      <w:r w:rsidRPr="00FC530B">
        <w:rPr>
          <w:rFonts w:ascii="Open Sans" w:hAnsi="Open Sans" w:cs="Open Sans"/>
          <w:szCs w:val="22"/>
        </w:rPr>
        <w:t xml:space="preserve"> kW deployed. </w:t>
      </w:r>
    </w:p>
    <w:p w14:paraId="38F6A236" w14:textId="68A2A5C3" w:rsidR="00FC530B" w:rsidRDefault="006E374B" w:rsidP="00FC530B">
      <w:pPr>
        <w:pStyle w:val="ListParagraph"/>
        <w:numPr>
          <w:ilvl w:val="0"/>
          <w:numId w:val="7"/>
        </w:numPr>
        <w:rPr>
          <w:rFonts w:ascii="Open Sans" w:hAnsi="Open Sans" w:cs="Open Sans"/>
          <w:szCs w:val="22"/>
        </w:rPr>
      </w:pPr>
      <w:r w:rsidRPr="00FC530B">
        <w:rPr>
          <w:rFonts w:ascii="Open Sans" w:hAnsi="Open Sans" w:cs="Open Sans"/>
          <w:szCs w:val="22"/>
        </w:rPr>
        <w:t xml:space="preserve">40% of £700/kW </w:t>
      </w:r>
      <w:r w:rsidR="00FC530B">
        <w:rPr>
          <w:rFonts w:ascii="Open Sans" w:hAnsi="Open Sans" w:cs="Open Sans"/>
          <w:szCs w:val="22"/>
        </w:rPr>
        <w:t xml:space="preserve">would suggest a grant of </w:t>
      </w:r>
      <w:r w:rsidRPr="00FC530B">
        <w:rPr>
          <w:rFonts w:ascii="Open Sans" w:hAnsi="Open Sans" w:cs="Open Sans"/>
          <w:szCs w:val="22"/>
        </w:rPr>
        <w:t>£280/kW</w:t>
      </w:r>
      <w:r w:rsidR="00FC530B">
        <w:rPr>
          <w:rFonts w:ascii="Open Sans" w:hAnsi="Open Sans" w:cs="Open Sans"/>
          <w:szCs w:val="22"/>
        </w:rPr>
        <w:t>.</w:t>
      </w:r>
    </w:p>
    <w:p w14:paraId="42BE1271" w14:textId="54B2ACAC" w:rsidR="00FC530B" w:rsidRDefault="00FC530B" w:rsidP="00FC530B">
      <w:pPr>
        <w:pStyle w:val="ListParagraph"/>
        <w:numPr>
          <w:ilvl w:val="0"/>
          <w:numId w:val="7"/>
        </w:numPr>
        <w:rPr>
          <w:rFonts w:ascii="Open Sans" w:hAnsi="Open Sans" w:cs="Open Sans"/>
          <w:szCs w:val="22"/>
        </w:rPr>
      </w:pPr>
      <w:r>
        <w:rPr>
          <w:rFonts w:ascii="Open Sans" w:hAnsi="Open Sans" w:cs="Open Sans"/>
          <w:szCs w:val="22"/>
        </w:rPr>
        <w:t>A minimum grant level of £4000 should be maintained, allowing the scheme to continue to prioritise smaller</w:t>
      </w:r>
      <w:r w:rsidR="00B15D68">
        <w:rPr>
          <w:rFonts w:ascii="Open Sans" w:hAnsi="Open Sans" w:cs="Open Sans"/>
          <w:szCs w:val="22"/>
        </w:rPr>
        <w:t xml:space="preserve"> strategic</w:t>
      </w:r>
      <w:r>
        <w:rPr>
          <w:rFonts w:ascii="Open Sans" w:hAnsi="Open Sans" w:cs="Open Sans"/>
          <w:szCs w:val="22"/>
        </w:rPr>
        <w:t xml:space="preserve"> installations, like ASHPs, as stated as an objective by BEIS.</w:t>
      </w:r>
    </w:p>
    <w:p w14:paraId="66DCF6F5" w14:textId="74B81AE7" w:rsidR="00FC530B" w:rsidRDefault="00FC530B" w:rsidP="00FC530B">
      <w:pPr>
        <w:ind w:left="360"/>
        <w:rPr>
          <w:rFonts w:ascii="Open Sans" w:hAnsi="Open Sans" w:cs="Open Sans"/>
          <w:szCs w:val="22"/>
        </w:rPr>
      </w:pPr>
    </w:p>
    <w:p w14:paraId="55ED09AD" w14:textId="65972C48" w:rsidR="00FC530B" w:rsidRDefault="00FC530B" w:rsidP="00FC530B">
      <w:pPr>
        <w:rPr>
          <w:rFonts w:ascii="Open Sans" w:hAnsi="Open Sans" w:cs="Open Sans"/>
          <w:szCs w:val="22"/>
        </w:rPr>
      </w:pPr>
      <w:r>
        <w:rPr>
          <w:rFonts w:ascii="Open Sans" w:hAnsi="Open Sans" w:cs="Open Sans"/>
          <w:szCs w:val="22"/>
        </w:rPr>
        <w:t>Below, using the median cost of</w:t>
      </w:r>
      <w:r w:rsidR="00D43EA1">
        <w:rPr>
          <w:rFonts w:ascii="Open Sans" w:hAnsi="Open Sans" w:cs="Open Sans"/>
          <w:szCs w:val="22"/>
        </w:rPr>
        <w:t xml:space="preserve"> an</w:t>
      </w:r>
      <w:r>
        <w:rPr>
          <w:rFonts w:ascii="Open Sans" w:hAnsi="Open Sans" w:cs="Open Sans"/>
          <w:szCs w:val="22"/>
        </w:rPr>
        <w:t xml:space="preserve"> installations on the </w:t>
      </w:r>
      <w:r w:rsidR="006B78FB">
        <w:rPr>
          <w:rFonts w:ascii="Open Sans" w:hAnsi="Open Sans" w:cs="Open Sans"/>
          <w:szCs w:val="22"/>
        </w:rPr>
        <w:t>D</w:t>
      </w:r>
      <w:r>
        <w:rPr>
          <w:rFonts w:ascii="Open Sans" w:hAnsi="Open Sans" w:cs="Open Sans"/>
          <w:szCs w:val="22"/>
        </w:rPr>
        <w:t>omestic RHI, we compare what a flat £4000 grant would mean compared to a flexible grant based on £280/ kW</w:t>
      </w:r>
      <w:r w:rsidR="006550DA">
        <w:rPr>
          <w:rFonts w:ascii="Open Sans" w:hAnsi="Open Sans" w:cs="Open Sans"/>
          <w:szCs w:val="22"/>
        </w:rPr>
        <w:t xml:space="preserve"> for consumers. </w:t>
      </w:r>
      <w:r w:rsidR="00A4375C">
        <w:rPr>
          <w:rFonts w:ascii="Open Sans" w:hAnsi="Open Sans" w:cs="Open Sans"/>
          <w:szCs w:val="22"/>
        </w:rPr>
        <w:t xml:space="preserve">This is done for both ASHP’s and Biomass installations. </w:t>
      </w:r>
    </w:p>
    <w:p w14:paraId="0A4C07BD" w14:textId="429FBB26" w:rsidR="00FC530B" w:rsidRDefault="00FC530B" w:rsidP="00FC530B">
      <w:pPr>
        <w:rPr>
          <w:rFonts w:ascii="Open Sans" w:hAnsi="Open Sans" w:cs="Open Sans"/>
          <w:szCs w:val="22"/>
        </w:rPr>
      </w:pPr>
    </w:p>
    <w:p w14:paraId="04DB672B" w14:textId="209B0911" w:rsidR="00052441" w:rsidRPr="00052441" w:rsidRDefault="00052441" w:rsidP="00FC530B">
      <w:pPr>
        <w:rPr>
          <w:rFonts w:ascii="Open Sans" w:hAnsi="Open Sans" w:cs="Open Sans"/>
          <w:b/>
          <w:bCs/>
          <w:i/>
          <w:iCs/>
          <w:szCs w:val="22"/>
        </w:rPr>
      </w:pPr>
      <w:r w:rsidRPr="00052441">
        <w:rPr>
          <w:rFonts w:ascii="Open Sans" w:hAnsi="Open Sans" w:cs="Open Sans"/>
          <w:b/>
          <w:bCs/>
          <w:i/>
          <w:iCs/>
          <w:szCs w:val="22"/>
        </w:rPr>
        <w:t>Table 2: Comparison of Flat rate Grant Vs Flexible Grant</w:t>
      </w:r>
    </w:p>
    <w:tbl>
      <w:tblPr>
        <w:tblStyle w:val="TableGrid"/>
        <w:tblW w:w="9252" w:type="dxa"/>
        <w:tblLook w:val="04A0" w:firstRow="1" w:lastRow="0" w:firstColumn="1" w:lastColumn="0" w:noHBand="0" w:noVBand="1"/>
      </w:tblPr>
      <w:tblGrid>
        <w:gridCol w:w="1602"/>
        <w:gridCol w:w="1145"/>
        <w:gridCol w:w="1467"/>
        <w:gridCol w:w="1593"/>
        <w:gridCol w:w="1408"/>
        <w:gridCol w:w="2037"/>
      </w:tblGrid>
      <w:tr w:rsidR="004836E0" w:rsidRPr="004836E0" w14:paraId="226C002D" w14:textId="77777777" w:rsidTr="004836E0">
        <w:tc>
          <w:tcPr>
            <w:tcW w:w="9252" w:type="dxa"/>
            <w:gridSpan w:val="6"/>
            <w:shd w:val="clear" w:color="auto" w:fill="D9D9D9" w:themeFill="background1" w:themeFillShade="D9"/>
          </w:tcPr>
          <w:p w14:paraId="30C576D1" w14:textId="4C2C8824" w:rsidR="004836E0" w:rsidRPr="004836E0" w:rsidRDefault="004836E0" w:rsidP="004836E0">
            <w:pPr>
              <w:jc w:val="left"/>
              <w:rPr>
                <w:rFonts w:ascii="Open Sans" w:hAnsi="Open Sans" w:cs="Open Sans"/>
                <w:b/>
                <w:bCs/>
                <w:sz w:val="18"/>
                <w:szCs w:val="18"/>
              </w:rPr>
            </w:pPr>
            <w:r w:rsidRPr="004836E0">
              <w:rPr>
                <w:rFonts w:ascii="Open Sans" w:hAnsi="Open Sans" w:cs="Open Sans"/>
                <w:b/>
                <w:bCs/>
                <w:sz w:val="18"/>
                <w:szCs w:val="18"/>
              </w:rPr>
              <w:t>Air Source Heat Pumps</w:t>
            </w:r>
            <w:r w:rsidR="001972D5">
              <w:rPr>
                <w:rFonts w:ascii="Open Sans" w:hAnsi="Open Sans" w:cs="Open Sans"/>
                <w:b/>
                <w:bCs/>
                <w:sz w:val="18"/>
                <w:szCs w:val="18"/>
              </w:rPr>
              <w:t xml:space="preserve"> </w:t>
            </w:r>
            <w:r w:rsidR="001972D5" w:rsidRPr="004836E0">
              <w:rPr>
                <w:rFonts w:ascii="Open Sans" w:hAnsi="Open Sans" w:cs="Open Sans"/>
                <w:b/>
                <w:bCs/>
                <w:sz w:val="18"/>
                <w:szCs w:val="18"/>
              </w:rPr>
              <w:t>Illustrative costs</w:t>
            </w:r>
          </w:p>
        </w:tc>
      </w:tr>
      <w:tr w:rsidR="004836E0" w:rsidRPr="004836E0" w14:paraId="030BB9F8" w14:textId="77777777" w:rsidTr="006B78FB">
        <w:tc>
          <w:tcPr>
            <w:tcW w:w="0" w:type="auto"/>
            <w:vAlign w:val="center"/>
          </w:tcPr>
          <w:p w14:paraId="51AB4D55" w14:textId="569E0D2D"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Illustrative Installation capacity (kW)</w:t>
            </w:r>
          </w:p>
        </w:tc>
        <w:tc>
          <w:tcPr>
            <w:tcW w:w="0" w:type="auto"/>
            <w:tcBorders>
              <w:right w:val="single" w:sz="18" w:space="0" w:color="auto"/>
            </w:tcBorders>
            <w:vAlign w:val="center"/>
          </w:tcPr>
          <w:p w14:paraId="33C29809" w14:textId="70389FB7"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Median cost (£)</w:t>
            </w:r>
          </w:p>
        </w:tc>
        <w:tc>
          <w:tcPr>
            <w:tcW w:w="3060" w:type="dxa"/>
            <w:gridSpan w:val="2"/>
            <w:tcBorders>
              <w:top w:val="single" w:sz="18" w:space="0" w:color="auto"/>
              <w:left w:val="single" w:sz="18" w:space="0" w:color="auto"/>
              <w:right w:val="single" w:sz="18" w:space="0" w:color="auto"/>
            </w:tcBorders>
            <w:vAlign w:val="center"/>
          </w:tcPr>
          <w:p w14:paraId="5C0090B3" w14:textId="0F5DDCD3" w:rsidR="004836E0" w:rsidRPr="004836E0" w:rsidRDefault="006B78FB" w:rsidP="006B78FB">
            <w:pPr>
              <w:jc w:val="center"/>
              <w:rPr>
                <w:rFonts w:ascii="Open Sans" w:hAnsi="Open Sans" w:cs="Open Sans"/>
                <w:sz w:val="18"/>
                <w:szCs w:val="18"/>
              </w:rPr>
            </w:pPr>
            <w:r>
              <w:rPr>
                <w:rFonts w:ascii="Open Sans" w:hAnsi="Open Sans" w:cs="Open Sans"/>
                <w:sz w:val="18"/>
                <w:szCs w:val="18"/>
              </w:rPr>
              <w:t>£</w:t>
            </w:r>
            <w:r w:rsidR="004836E0" w:rsidRPr="004836E0">
              <w:rPr>
                <w:rFonts w:ascii="Open Sans" w:hAnsi="Open Sans" w:cs="Open Sans"/>
                <w:sz w:val="18"/>
                <w:szCs w:val="18"/>
              </w:rPr>
              <w:t>4000 flat grant</w:t>
            </w:r>
          </w:p>
        </w:tc>
        <w:tc>
          <w:tcPr>
            <w:tcW w:w="3445" w:type="dxa"/>
            <w:gridSpan w:val="2"/>
            <w:tcBorders>
              <w:top w:val="single" w:sz="18" w:space="0" w:color="auto"/>
              <w:left w:val="single" w:sz="18" w:space="0" w:color="auto"/>
              <w:right w:val="single" w:sz="18" w:space="0" w:color="auto"/>
            </w:tcBorders>
            <w:vAlign w:val="center"/>
          </w:tcPr>
          <w:p w14:paraId="772FE25B" w14:textId="2B4F739A"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 xml:space="preserve">Flexible </w:t>
            </w:r>
            <w:r w:rsidR="00D11867">
              <w:rPr>
                <w:rFonts w:ascii="Open Sans" w:hAnsi="Open Sans" w:cs="Open Sans"/>
                <w:sz w:val="18"/>
                <w:szCs w:val="18"/>
              </w:rPr>
              <w:t>£</w:t>
            </w:r>
            <w:r w:rsidRPr="004836E0">
              <w:rPr>
                <w:rFonts w:ascii="Open Sans" w:hAnsi="Open Sans" w:cs="Open Sans"/>
                <w:sz w:val="18"/>
                <w:szCs w:val="18"/>
              </w:rPr>
              <w:t xml:space="preserve">280/kW grant, with minimum grant of </w:t>
            </w:r>
            <w:r w:rsidR="006B78FB">
              <w:rPr>
                <w:rFonts w:ascii="Open Sans" w:hAnsi="Open Sans" w:cs="Open Sans"/>
                <w:sz w:val="18"/>
                <w:szCs w:val="18"/>
              </w:rPr>
              <w:t>£</w:t>
            </w:r>
            <w:r w:rsidRPr="004836E0">
              <w:rPr>
                <w:rFonts w:ascii="Open Sans" w:hAnsi="Open Sans" w:cs="Open Sans"/>
                <w:sz w:val="18"/>
                <w:szCs w:val="18"/>
              </w:rPr>
              <w:t>4000</w:t>
            </w:r>
          </w:p>
        </w:tc>
      </w:tr>
      <w:tr w:rsidR="006B78FB" w:rsidRPr="004836E0" w14:paraId="36DBD0FE" w14:textId="77777777" w:rsidTr="00A4375C">
        <w:trPr>
          <w:trHeight w:val="283"/>
        </w:trPr>
        <w:tc>
          <w:tcPr>
            <w:tcW w:w="0" w:type="auto"/>
          </w:tcPr>
          <w:p w14:paraId="74AC4A29" w14:textId="5BAAE2EE" w:rsidR="006B78FB" w:rsidRPr="004836E0" w:rsidRDefault="006B78FB" w:rsidP="006B78FB">
            <w:pPr>
              <w:jc w:val="center"/>
              <w:rPr>
                <w:rFonts w:ascii="Open Sans" w:hAnsi="Open Sans" w:cs="Open Sans"/>
                <w:sz w:val="18"/>
                <w:szCs w:val="18"/>
              </w:rPr>
            </w:pPr>
          </w:p>
        </w:tc>
        <w:tc>
          <w:tcPr>
            <w:tcW w:w="0" w:type="auto"/>
            <w:tcBorders>
              <w:right w:val="single" w:sz="18" w:space="0" w:color="auto"/>
            </w:tcBorders>
          </w:tcPr>
          <w:p w14:paraId="10A5FDF5" w14:textId="77777777" w:rsidR="006B78FB" w:rsidRPr="004836E0" w:rsidRDefault="006B78FB" w:rsidP="006B78FB">
            <w:pPr>
              <w:jc w:val="center"/>
              <w:rPr>
                <w:rFonts w:ascii="Open Sans" w:hAnsi="Open Sans" w:cs="Open Sans"/>
                <w:sz w:val="18"/>
                <w:szCs w:val="18"/>
              </w:rPr>
            </w:pPr>
          </w:p>
        </w:tc>
        <w:tc>
          <w:tcPr>
            <w:tcW w:w="1467" w:type="dxa"/>
            <w:tcBorders>
              <w:left w:val="single" w:sz="18" w:space="0" w:color="auto"/>
            </w:tcBorders>
            <w:vAlign w:val="center"/>
          </w:tcPr>
          <w:p w14:paraId="4B0C6B9B" w14:textId="29B62791" w:rsidR="006B78FB" w:rsidRPr="004836E0" w:rsidRDefault="006B78FB" w:rsidP="006B78FB">
            <w:pPr>
              <w:jc w:val="center"/>
              <w:rPr>
                <w:rFonts w:ascii="Open Sans" w:hAnsi="Open Sans" w:cs="Open Sans"/>
                <w:sz w:val="18"/>
                <w:szCs w:val="18"/>
              </w:rPr>
            </w:pPr>
            <w:r w:rsidRPr="004836E0">
              <w:rPr>
                <w:rFonts w:ascii="Open Sans" w:hAnsi="Open Sans" w:cs="Open Sans"/>
                <w:sz w:val="18"/>
                <w:szCs w:val="18"/>
              </w:rPr>
              <w:t>Grant (£)</w:t>
            </w:r>
          </w:p>
        </w:tc>
        <w:tc>
          <w:tcPr>
            <w:tcW w:w="1593" w:type="dxa"/>
            <w:tcBorders>
              <w:right w:val="single" w:sz="18" w:space="0" w:color="auto"/>
            </w:tcBorders>
            <w:vAlign w:val="center"/>
          </w:tcPr>
          <w:p w14:paraId="407A183E" w14:textId="68C0876E" w:rsidR="006B78FB" w:rsidRPr="004836E0" w:rsidRDefault="006B78FB" w:rsidP="006B78FB">
            <w:pPr>
              <w:jc w:val="center"/>
              <w:rPr>
                <w:rFonts w:ascii="Open Sans" w:hAnsi="Open Sans" w:cs="Open Sans"/>
                <w:sz w:val="18"/>
                <w:szCs w:val="18"/>
              </w:rPr>
            </w:pPr>
            <w:r w:rsidRPr="004836E0">
              <w:rPr>
                <w:rFonts w:ascii="Open Sans" w:hAnsi="Open Sans" w:cs="Open Sans"/>
                <w:sz w:val="18"/>
                <w:szCs w:val="18"/>
              </w:rPr>
              <w:t>Cost left to consumer</w:t>
            </w:r>
            <w:r>
              <w:rPr>
                <w:rFonts w:ascii="Open Sans" w:hAnsi="Open Sans" w:cs="Open Sans"/>
                <w:sz w:val="18"/>
                <w:szCs w:val="18"/>
              </w:rPr>
              <w:t xml:space="preserve"> (£)</w:t>
            </w:r>
          </w:p>
        </w:tc>
        <w:tc>
          <w:tcPr>
            <w:tcW w:w="1408" w:type="dxa"/>
            <w:tcBorders>
              <w:left w:val="single" w:sz="18" w:space="0" w:color="auto"/>
            </w:tcBorders>
            <w:vAlign w:val="center"/>
          </w:tcPr>
          <w:p w14:paraId="2700D64C" w14:textId="6E68660F" w:rsidR="006B78FB" w:rsidRPr="004836E0" w:rsidRDefault="006B78FB" w:rsidP="006B78FB">
            <w:pPr>
              <w:jc w:val="center"/>
              <w:rPr>
                <w:rFonts w:ascii="Open Sans" w:hAnsi="Open Sans" w:cs="Open Sans"/>
                <w:sz w:val="18"/>
                <w:szCs w:val="18"/>
              </w:rPr>
            </w:pPr>
            <w:r w:rsidRPr="004836E0">
              <w:rPr>
                <w:rFonts w:ascii="Open Sans" w:hAnsi="Open Sans" w:cs="Open Sans"/>
                <w:sz w:val="18"/>
                <w:szCs w:val="18"/>
              </w:rPr>
              <w:t>Grant (£)</w:t>
            </w:r>
          </w:p>
        </w:tc>
        <w:tc>
          <w:tcPr>
            <w:tcW w:w="2037" w:type="dxa"/>
            <w:tcBorders>
              <w:right w:val="single" w:sz="18" w:space="0" w:color="auto"/>
            </w:tcBorders>
            <w:vAlign w:val="center"/>
          </w:tcPr>
          <w:p w14:paraId="6E4DB9BF" w14:textId="1069B02E" w:rsidR="006B78FB" w:rsidRPr="004836E0" w:rsidRDefault="006B78FB" w:rsidP="006B78FB">
            <w:pPr>
              <w:jc w:val="center"/>
              <w:rPr>
                <w:rFonts w:ascii="Open Sans" w:hAnsi="Open Sans" w:cs="Open Sans"/>
                <w:sz w:val="18"/>
                <w:szCs w:val="18"/>
              </w:rPr>
            </w:pPr>
            <w:r w:rsidRPr="004836E0">
              <w:rPr>
                <w:rFonts w:ascii="Open Sans" w:hAnsi="Open Sans" w:cs="Open Sans"/>
                <w:sz w:val="18"/>
                <w:szCs w:val="18"/>
              </w:rPr>
              <w:t>Cost left to consumer</w:t>
            </w:r>
            <w:r>
              <w:rPr>
                <w:rFonts w:ascii="Open Sans" w:hAnsi="Open Sans" w:cs="Open Sans"/>
                <w:sz w:val="18"/>
                <w:szCs w:val="18"/>
              </w:rPr>
              <w:t xml:space="preserve"> (£)</w:t>
            </w:r>
          </w:p>
        </w:tc>
      </w:tr>
      <w:tr w:rsidR="004836E0" w:rsidRPr="004836E0" w14:paraId="7C7BEDF3" w14:textId="77777777" w:rsidTr="006B78FB">
        <w:trPr>
          <w:trHeight w:val="283"/>
        </w:trPr>
        <w:tc>
          <w:tcPr>
            <w:tcW w:w="0" w:type="auto"/>
          </w:tcPr>
          <w:p w14:paraId="16D9F78E" w14:textId="02C076BC"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5</w:t>
            </w:r>
          </w:p>
        </w:tc>
        <w:tc>
          <w:tcPr>
            <w:tcW w:w="0" w:type="auto"/>
            <w:tcBorders>
              <w:right w:val="single" w:sz="18" w:space="0" w:color="auto"/>
            </w:tcBorders>
          </w:tcPr>
          <w:p w14:paraId="42FABAB5" w14:textId="679E7358"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7,290.00</w:t>
            </w:r>
          </w:p>
        </w:tc>
        <w:tc>
          <w:tcPr>
            <w:tcW w:w="1467" w:type="dxa"/>
            <w:tcBorders>
              <w:left w:val="single" w:sz="18" w:space="0" w:color="auto"/>
            </w:tcBorders>
          </w:tcPr>
          <w:p w14:paraId="27D98D78" w14:textId="793FCD94"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1EFAB67D" w14:textId="1FBE8FF8"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3,290.00</w:t>
            </w:r>
          </w:p>
        </w:tc>
        <w:tc>
          <w:tcPr>
            <w:tcW w:w="1408" w:type="dxa"/>
            <w:tcBorders>
              <w:left w:val="single" w:sz="18" w:space="0" w:color="auto"/>
            </w:tcBorders>
          </w:tcPr>
          <w:p w14:paraId="13378AA4" w14:textId="3061C129"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2037" w:type="dxa"/>
            <w:tcBorders>
              <w:right w:val="single" w:sz="18" w:space="0" w:color="auto"/>
            </w:tcBorders>
          </w:tcPr>
          <w:p w14:paraId="0F925963" w14:textId="684BE0A0"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3,290.00</w:t>
            </w:r>
          </w:p>
        </w:tc>
      </w:tr>
      <w:tr w:rsidR="004836E0" w:rsidRPr="004836E0" w14:paraId="2061C30F" w14:textId="77777777" w:rsidTr="006B78FB">
        <w:trPr>
          <w:trHeight w:val="283"/>
        </w:trPr>
        <w:tc>
          <w:tcPr>
            <w:tcW w:w="0" w:type="auto"/>
          </w:tcPr>
          <w:p w14:paraId="5C8E400A" w14:textId="2C97AD37"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10</w:t>
            </w:r>
          </w:p>
        </w:tc>
        <w:tc>
          <w:tcPr>
            <w:tcW w:w="0" w:type="auto"/>
            <w:tcBorders>
              <w:right w:val="single" w:sz="18" w:space="0" w:color="auto"/>
            </w:tcBorders>
          </w:tcPr>
          <w:p w14:paraId="583B95A6" w14:textId="78A90773"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8,220.00</w:t>
            </w:r>
          </w:p>
        </w:tc>
        <w:tc>
          <w:tcPr>
            <w:tcW w:w="1467" w:type="dxa"/>
            <w:tcBorders>
              <w:left w:val="single" w:sz="18" w:space="0" w:color="auto"/>
            </w:tcBorders>
          </w:tcPr>
          <w:p w14:paraId="00E8EF3B" w14:textId="2F6FF859"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21C4C8A0" w14:textId="47653568"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4,220.00</w:t>
            </w:r>
          </w:p>
        </w:tc>
        <w:tc>
          <w:tcPr>
            <w:tcW w:w="1408" w:type="dxa"/>
            <w:tcBorders>
              <w:left w:val="single" w:sz="18" w:space="0" w:color="auto"/>
            </w:tcBorders>
          </w:tcPr>
          <w:p w14:paraId="15516D2B" w14:textId="7F25CE72"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2037" w:type="dxa"/>
            <w:tcBorders>
              <w:right w:val="single" w:sz="18" w:space="0" w:color="auto"/>
            </w:tcBorders>
          </w:tcPr>
          <w:p w14:paraId="74D8131A" w14:textId="5D08D1BA"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4,220.00</w:t>
            </w:r>
          </w:p>
        </w:tc>
      </w:tr>
      <w:tr w:rsidR="004836E0" w:rsidRPr="004836E0" w14:paraId="30C1189D" w14:textId="77777777" w:rsidTr="006B78FB">
        <w:trPr>
          <w:trHeight w:val="283"/>
        </w:trPr>
        <w:tc>
          <w:tcPr>
            <w:tcW w:w="0" w:type="auto"/>
          </w:tcPr>
          <w:p w14:paraId="415CB713" w14:textId="51DCE32F"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15</w:t>
            </w:r>
          </w:p>
        </w:tc>
        <w:tc>
          <w:tcPr>
            <w:tcW w:w="0" w:type="auto"/>
            <w:tcBorders>
              <w:right w:val="single" w:sz="18" w:space="0" w:color="auto"/>
            </w:tcBorders>
          </w:tcPr>
          <w:p w14:paraId="1CE83AC8" w14:textId="0684C30C"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11,500.00</w:t>
            </w:r>
          </w:p>
        </w:tc>
        <w:tc>
          <w:tcPr>
            <w:tcW w:w="1467" w:type="dxa"/>
            <w:tcBorders>
              <w:left w:val="single" w:sz="18" w:space="0" w:color="auto"/>
            </w:tcBorders>
          </w:tcPr>
          <w:p w14:paraId="1423CD32" w14:textId="34850CAB"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23EB1398" w14:textId="149FDC24"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7,500.00</w:t>
            </w:r>
          </w:p>
        </w:tc>
        <w:tc>
          <w:tcPr>
            <w:tcW w:w="1408" w:type="dxa"/>
            <w:tcBorders>
              <w:left w:val="single" w:sz="18" w:space="0" w:color="auto"/>
            </w:tcBorders>
          </w:tcPr>
          <w:p w14:paraId="0C5B7B06" w14:textId="7EC6A421"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4,200.00</w:t>
            </w:r>
          </w:p>
        </w:tc>
        <w:tc>
          <w:tcPr>
            <w:tcW w:w="2037" w:type="dxa"/>
            <w:tcBorders>
              <w:right w:val="single" w:sz="18" w:space="0" w:color="auto"/>
            </w:tcBorders>
          </w:tcPr>
          <w:p w14:paraId="777A7AAC" w14:textId="2692E2EE"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7,300.00</w:t>
            </w:r>
          </w:p>
        </w:tc>
      </w:tr>
      <w:tr w:rsidR="004836E0" w:rsidRPr="004836E0" w14:paraId="58DB8D1C" w14:textId="77777777" w:rsidTr="006B78FB">
        <w:trPr>
          <w:trHeight w:val="283"/>
        </w:trPr>
        <w:tc>
          <w:tcPr>
            <w:tcW w:w="0" w:type="auto"/>
          </w:tcPr>
          <w:p w14:paraId="19BA34EA" w14:textId="22046881"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20</w:t>
            </w:r>
          </w:p>
        </w:tc>
        <w:tc>
          <w:tcPr>
            <w:tcW w:w="0" w:type="auto"/>
            <w:tcBorders>
              <w:right w:val="single" w:sz="18" w:space="0" w:color="auto"/>
            </w:tcBorders>
          </w:tcPr>
          <w:p w14:paraId="178CBAC5" w14:textId="0552FA9C"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13,000.00</w:t>
            </w:r>
          </w:p>
        </w:tc>
        <w:tc>
          <w:tcPr>
            <w:tcW w:w="1467" w:type="dxa"/>
            <w:tcBorders>
              <w:left w:val="single" w:sz="18" w:space="0" w:color="auto"/>
            </w:tcBorders>
          </w:tcPr>
          <w:p w14:paraId="0CE5CF2B" w14:textId="4745E3D7"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027DD780" w14:textId="17F0ED8D"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9,000.00</w:t>
            </w:r>
          </w:p>
        </w:tc>
        <w:tc>
          <w:tcPr>
            <w:tcW w:w="1408" w:type="dxa"/>
            <w:tcBorders>
              <w:left w:val="single" w:sz="18" w:space="0" w:color="auto"/>
            </w:tcBorders>
          </w:tcPr>
          <w:p w14:paraId="30C105F8" w14:textId="7DE3D177"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5,600.00</w:t>
            </w:r>
          </w:p>
        </w:tc>
        <w:tc>
          <w:tcPr>
            <w:tcW w:w="2037" w:type="dxa"/>
            <w:tcBorders>
              <w:right w:val="single" w:sz="18" w:space="0" w:color="auto"/>
            </w:tcBorders>
          </w:tcPr>
          <w:p w14:paraId="69A7790B" w14:textId="028ADD85"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7,400.00</w:t>
            </w:r>
          </w:p>
        </w:tc>
      </w:tr>
      <w:tr w:rsidR="004836E0" w:rsidRPr="004836E0" w14:paraId="664A82E4" w14:textId="77777777" w:rsidTr="006B78FB">
        <w:trPr>
          <w:trHeight w:val="283"/>
        </w:trPr>
        <w:tc>
          <w:tcPr>
            <w:tcW w:w="0" w:type="auto"/>
          </w:tcPr>
          <w:p w14:paraId="0A2D4B7A" w14:textId="27BD384E"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25</w:t>
            </w:r>
          </w:p>
        </w:tc>
        <w:tc>
          <w:tcPr>
            <w:tcW w:w="0" w:type="auto"/>
            <w:tcBorders>
              <w:right w:val="single" w:sz="18" w:space="0" w:color="auto"/>
            </w:tcBorders>
          </w:tcPr>
          <w:p w14:paraId="06B5358E" w14:textId="3786439E"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17,970.00</w:t>
            </w:r>
          </w:p>
        </w:tc>
        <w:tc>
          <w:tcPr>
            <w:tcW w:w="1467" w:type="dxa"/>
            <w:tcBorders>
              <w:left w:val="single" w:sz="18" w:space="0" w:color="auto"/>
            </w:tcBorders>
          </w:tcPr>
          <w:p w14:paraId="70D43ED5" w14:textId="155B3D76"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2CECD378" w14:textId="1AE2C613"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13,970.00</w:t>
            </w:r>
          </w:p>
        </w:tc>
        <w:tc>
          <w:tcPr>
            <w:tcW w:w="1408" w:type="dxa"/>
            <w:tcBorders>
              <w:left w:val="single" w:sz="18" w:space="0" w:color="auto"/>
            </w:tcBorders>
          </w:tcPr>
          <w:p w14:paraId="14795F4A" w14:textId="03A48BCF"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7,000.00</w:t>
            </w:r>
          </w:p>
        </w:tc>
        <w:tc>
          <w:tcPr>
            <w:tcW w:w="2037" w:type="dxa"/>
            <w:tcBorders>
              <w:right w:val="single" w:sz="18" w:space="0" w:color="auto"/>
            </w:tcBorders>
          </w:tcPr>
          <w:p w14:paraId="0AE74B90" w14:textId="00379B68"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10,970.00</w:t>
            </w:r>
          </w:p>
        </w:tc>
      </w:tr>
      <w:tr w:rsidR="004836E0" w:rsidRPr="004836E0" w14:paraId="58FBA7EC" w14:textId="77777777" w:rsidTr="006B78FB">
        <w:trPr>
          <w:trHeight w:val="283"/>
        </w:trPr>
        <w:tc>
          <w:tcPr>
            <w:tcW w:w="0" w:type="auto"/>
          </w:tcPr>
          <w:p w14:paraId="48440129" w14:textId="4223EF65"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30</w:t>
            </w:r>
          </w:p>
        </w:tc>
        <w:tc>
          <w:tcPr>
            <w:tcW w:w="0" w:type="auto"/>
            <w:tcBorders>
              <w:right w:val="single" w:sz="18" w:space="0" w:color="auto"/>
            </w:tcBorders>
          </w:tcPr>
          <w:p w14:paraId="73ED6300" w14:textId="060E64DC"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20,000.00</w:t>
            </w:r>
          </w:p>
        </w:tc>
        <w:tc>
          <w:tcPr>
            <w:tcW w:w="1467" w:type="dxa"/>
            <w:tcBorders>
              <w:left w:val="single" w:sz="18" w:space="0" w:color="auto"/>
            </w:tcBorders>
          </w:tcPr>
          <w:p w14:paraId="74FBE06C" w14:textId="3F8BF9D9"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355C29E3" w14:textId="37F84EAD"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16,000.00</w:t>
            </w:r>
          </w:p>
        </w:tc>
        <w:tc>
          <w:tcPr>
            <w:tcW w:w="1408" w:type="dxa"/>
            <w:tcBorders>
              <w:left w:val="single" w:sz="18" w:space="0" w:color="auto"/>
            </w:tcBorders>
          </w:tcPr>
          <w:p w14:paraId="2BBFBBD0" w14:textId="2E7FE55F"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8,400.00</w:t>
            </w:r>
          </w:p>
        </w:tc>
        <w:tc>
          <w:tcPr>
            <w:tcW w:w="2037" w:type="dxa"/>
            <w:tcBorders>
              <w:right w:val="single" w:sz="18" w:space="0" w:color="auto"/>
            </w:tcBorders>
          </w:tcPr>
          <w:p w14:paraId="6C461E0C" w14:textId="3F6F7EDF"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11,600.00</w:t>
            </w:r>
          </w:p>
        </w:tc>
      </w:tr>
      <w:tr w:rsidR="004836E0" w:rsidRPr="004836E0" w14:paraId="27DF93F3" w14:textId="77777777" w:rsidTr="006B78FB">
        <w:trPr>
          <w:trHeight w:val="283"/>
        </w:trPr>
        <w:tc>
          <w:tcPr>
            <w:tcW w:w="0" w:type="auto"/>
          </w:tcPr>
          <w:p w14:paraId="64AC3355" w14:textId="628E43E1"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35</w:t>
            </w:r>
          </w:p>
        </w:tc>
        <w:tc>
          <w:tcPr>
            <w:tcW w:w="0" w:type="auto"/>
            <w:tcBorders>
              <w:right w:val="single" w:sz="18" w:space="0" w:color="auto"/>
            </w:tcBorders>
          </w:tcPr>
          <w:p w14:paraId="3D3A2583" w14:textId="7A73158D"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20,000.00</w:t>
            </w:r>
          </w:p>
        </w:tc>
        <w:tc>
          <w:tcPr>
            <w:tcW w:w="1467" w:type="dxa"/>
            <w:tcBorders>
              <w:left w:val="single" w:sz="18" w:space="0" w:color="auto"/>
            </w:tcBorders>
          </w:tcPr>
          <w:p w14:paraId="7ABDE010" w14:textId="4EBB5088"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6530255B" w14:textId="313A53FB"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16,000.00</w:t>
            </w:r>
          </w:p>
        </w:tc>
        <w:tc>
          <w:tcPr>
            <w:tcW w:w="1408" w:type="dxa"/>
            <w:tcBorders>
              <w:left w:val="single" w:sz="18" w:space="0" w:color="auto"/>
            </w:tcBorders>
          </w:tcPr>
          <w:p w14:paraId="0315F82B" w14:textId="1B72E820"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9,800.00</w:t>
            </w:r>
          </w:p>
        </w:tc>
        <w:tc>
          <w:tcPr>
            <w:tcW w:w="2037" w:type="dxa"/>
            <w:tcBorders>
              <w:right w:val="single" w:sz="18" w:space="0" w:color="auto"/>
            </w:tcBorders>
          </w:tcPr>
          <w:p w14:paraId="72F7CF7B" w14:textId="08214FF1"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10,200.00</w:t>
            </w:r>
          </w:p>
        </w:tc>
      </w:tr>
      <w:tr w:rsidR="004836E0" w:rsidRPr="004836E0" w14:paraId="1B28D117" w14:textId="77777777" w:rsidTr="006B78FB">
        <w:trPr>
          <w:trHeight w:val="283"/>
        </w:trPr>
        <w:tc>
          <w:tcPr>
            <w:tcW w:w="0" w:type="auto"/>
          </w:tcPr>
          <w:p w14:paraId="57262F4F" w14:textId="4BAEBC93"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40</w:t>
            </w:r>
          </w:p>
        </w:tc>
        <w:tc>
          <w:tcPr>
            <w:tcW w:w="0" w:type="auto"/>
            <w:tcBorders>
              <w:right w:val="single" w:sz="18" w:space="0" w:color="auto"/>
            </w:tcBorders>
          </w:tcPr>
          <w:p w14:paraId="6EF1E135" w14:textId="03581718"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w:t>
            </w:r>
          </w:p>
        </w:tc>
        <w:tc>
          <w:tcPr>
            <w:tcW w:w="1467" w:type="dxa"/>
            <w:tcBorders>
              <w:left w:val="single" w:sz="18" w:space="0" w:color="auto"/>
            </w:tcBorders>
          </w:tcPr>
          <w:p w14:paraId="5059A397" w14:textId="270FFDC8"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1E79AD56" w14:textId="1F0FC6FD" w:rsidR="004836E0" w:rsidRPr="004836E0" w:rsidRDefault="006B78FB" w:rsidP="006B78FB">
            <w:pPr>
              <w:jc w:val="center"/>
              <w:rPr>
                <w:rFonts w:ascii="Open Sans" w:hAnsi="Open Sans" w:cs="Open Sans"/>
                <w:sz w:val="18"/>
                <w:szCs w:val="18"/>
              </w:rPr>
            </w:pPr>
            <w:r>
              <w:rPr>
                <w:rFonts w:ascii="Open Sans" w:hAnsi="Open Sans" w:cs="Open Sans"/>
                <w:sz w:val="18"/>
                <w:szCs w:val="18"/>
              </w:rPr>
              <w:t>#</w:t>
            </w:r>
          </w:p>
        </w:tc>
        <w:tc>
          <w:tcPr>
            <w:tcW w:w="1408" w:type="dxa"/>
            <w:tcBorders>
              <w:left w:val="single" w:sz="18" w:space="0" w:color="auto"/>
            </w:tcBorders>
          </w:tcPr>
          <w:p w14:paraId="3CFB7244" w14:textId="1147D347"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11,200.00</w:t>
            </w:r>
          </w:p>
        </w:tc>
        <w:tc>
          <w:tcPr>
            <w:tcW w:w="2037" w:type="dxa"/>
            <w:tcBorders>
              <w:right w:val="single" w:sz="18" w:space="0" w:color="auto"/>
            </w:tcBorders>
          </w:tcPr>
          <w:p w14:paraId="705C2C9F" w14:textId="3B519BF2" w:rsidR="004836E0" w:rsidRPr="004836E0" w:rsidRDefault="006B78FB" w:rsidP="006B78FB">
            <w:pPr>
              <w:jc w:val="center"/>
              <w:rPr>
                <w:rFonts w:ascii="Open Sans" w:hAnsi="Open Sans" w:cs="Open Sans"/>
                <w:sz w:val="18"/>
                <w:szCs w:val="18"/>
              </w:rPr>
            </w:pPr>
            <w:r>
              <w:rPr>
                <w:rFonts w:ascii="Open Sans" w:hAnsi="Open Sans" w:cs="Open Sans"/>
                <w:sz w:val="18"/>
                <w:szCs w:val="18"/>
              </w:rPr>
              <w:t>#</w:t>
            </w:r>
          </w:p>
        </w:tc>
      </w:tr>
      <w:tr w:rsidR="004836E0" w:rsidRPr="004836E0" w14:paraId="5D29DC30" w14:textId="77777777" w:rsidTr="006B78FB">
        <w:trPr>
          <w:trHeight w:val="283"/>
        </w:trPr>
        <w:tc>
          <w:tcPr>
            <w:tcW w:w="0" w:type="auto"/>
          </w:tcPr>
          <w:p w14:paraId="3CD824E9" w14:textId="54F1B786"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45</w:t>
            </w:r>
          </w:p>
        </w:tc>
        <w:tc>
          <w:tcPr>
            <w:tcW w:w="0" w:type="auto"/>
            <w:tcBorders>
              <w:right w:val="single" w:sz="18" w:space="0" w:color="auto"/>
            </w:tcBorders>
          </w:tcPr>
          <w:p w14:paraId="4B0CCA3F" w14:textId="4D3D4C75"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22,500.00</w:t>
            </w:r>
          </w:p>
        </w:tc>
        <w:tc>
          <w:tcPr>
            <w:tcW w:w="1467" w:type="dxa"/>
            <w:tcBorders>
              <w:left w:val="single" w:sz="18" w:space="0" w:color="auto"/>
            </w:tcBorders>
          </w:tcPr>
          <w:p w14:paraId="44B7B74A" w14:textId="1361F6D5"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221ECF80" w14:textId="2E81ADAE"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18,500.00</w:t>
            </w:r>
          </w:p>
        </w:tc>
        <w:tc>
          <w:tcPr>
            <w:tcW w:w="1408" w:type="dxa"/>
            <w:tcBorders>
              <w:left w:val="single" w:sz="18" w:space="0" w:color="auto"/>
            </w:tcBorders>
          </w:tcPr>
          <w:p w14:paraId="130B17D3" w14:textId="11300650"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12,600.00</w:t>
            </w:r>
          </w:p>
        </w:tc>
        <w:tc>
          <w:tcPr>
            <w:tcW w:w="2037" w:type="dxa"/>
            <w:tcBorders>
              <w:right w:val="single" w:sz="18" w:space="0" w:color="auto"/>
            </w:tcBorders>
          </w:tcPr>
          <w:p w14:paraId="5EFE4F02" w14:textId="0D6A02A2" w:rsidR="004836E0" w:rsidRPr="006B78FB" w:rsidRDefault="004836E0" w:rsidP="006B78FB">
            <w:pPr>
              <w:jc w:val="center"/>
              <w:rPr>
                <w:rFonts w:ascii="Open Sans" w:hAnsi="Open Sans" w:cs="Open Sans"/>
                <w:color w:val="70AD47" w:themeColor="accent6"/>
                <w:sz w:val="18"/>
                <w:szCs w:val="18"/>
              </w:rPr>
            </w:pPr>
            <w:r w:rsidRPr="006B78FB">
              <w:rPr>
                <w:rFonts w:ascii="Open Sans" w:hAnsi="Open Sans" w:cs="Open Sans"/>
                <w:color w:val="06926B"/>
                <w:sz w:val="18"/>
                <w:szCs w:val="18"/>
              </w:rPr>
              <w:t>9,900.00</w:t>
            </w:r>
          </w:p>
        </w:tc>
      </w:tr>
      <w:tr w:rsidR="004836E0" w:rsidRPr="004836E0" w14:paraId="5D12D749" w14:textId="77777777" w:rsidTr="006B78FB">
        <w:trPr>
          <w:trHeight w:val="283"/>
        </w:trPr>
        <w:tc>
          <w:tcPr>
            <w:tcW w:w="0" w:type="auto"/>
            <w:vAlign w:val="bottom"/>
          </w:tcPr>
          <w:p w14:paraId="13A9326B" w14:textId="4AD88451" w:rsidR="004836E0" w:rsidRPr="004836E0" w:rsidRDefault="004836E0" w:rsidP="006B78FB">
            <w:pPr>
              <w:jc w:val="center"/>
              <w:rPr>
                <w:rFonts w:ascii="Open Sans" w:hAnsi="Open Sans" w:cs="Open Sans"/>
                <w:b/>
                <w:bCs/>
                <w:sz w:val="18"/>
                <w:szCs w:val="18"/>
              </w:rPr>
            </w:pPr>
            <w:r w:rsidRPr="004836E0">
              <w:rPr>
                <w:rFonts w:ascii="Open Sans" w:hAnsi="Open Sans" w:cs="Open Sans"/>
                <w:b/>
                <w:bCs/>
                <w:sz w:val="18"/>
                <w:szCs w:val="18"/>
              </w:rPr>
              <w:t>Average</w:t>
            </w:r>
          </w:p>
        </w:tc>
        <w:tc>
          <w:tcPr>
            <w:tcW w:w="0" w:type="auto"/>
            <w:tcBorders>
              <w:right w:val="single" w:sz="18" w:space="0" w:color="auto"/>
            </w:tcBorders>
            <w:vAlign w:val="bottom"/>
          </w:tcPr>
          <w:p w14:paraId="5CFFDCE8" w14:textId="08ACC8C2" w:rsidR="004836E0" w:rsidRPr="004836E0" w:rsidRDefault="004836E0" w:rsidP="006B78FB">
            <w:pPr>
              <w:jc w:val="center"/>
              <w:rPr>
                <w:rFonts w:ascii="Open Sans" w:hAnsi="Open Sans" w:cs="Open Sans"/>
                <w:b/>
                <w:bCs/>
                <w:sz w:val="18"/>
                <w:szCs w:val="18"/>
              </w:rPr>
            </w:pPr>
            <w:r w:rsidRPr="004836E0">
              <w:rPr>
                <w:rFonts w:ascii="Open Sans" w:hAnsi="Open Sans" w:cs="Open Sans"/>
                <w:b/>
                <w:bCs/>
                <w:color w:val="000000"/>
                <w:sz w:val="18"/>
                <w:szCs w:val="18"/>
              </w:rPr>
              <w:t>15,060.00</w:t>
            </w:r>
          </w:p>
        </w:tc>
        <w:tc>
          <w:tcPr>
            <w:tcW w:w="1467" w:type="dxa"/>
            <w:tcBorders>
              <w:left w:val="single" w:sz="18" w:space="0" w:color="auto"/>
              <w:bottom w:val="single" w:sz="18" w:space="0" w:color="auto"/>
            </w:tcBorders>
            <w:vAlign w:val="bottom"/>
          </w:tcPr>
          <w:p w14:paraId="5ECA864C" w14:textId="0D27ABBD" w:rsidR="004836E0" w:rsidRPr="004836E0" w:rsidRDefault="004836E0" w:rsidP="006B78FB">
            <w:pPr>
              <w:jc w:val="center"/>
              <w:rPr>
                <w:rFonts w:ascii="Open Sans" w:hAnsi="Open Sans" w:cs="Open Sans"/>
                <w:b/>
                <w:bCs/>
                <w:sz w:val="18"/>
                <w:szCs w:val="18"/>
              </w:rPr>
            </w:pPr>
            <w:r w:rsidRPr="004836E0">
              <w:rPr>
                <w:rFonts w:ascii="Open Sans" w:hAnsi="Open Sans" w:cs="Open Sans"/>
                <w:b/>
                <w:bCs/>
                <w:color w:val="000000"/>
                <w:sz w:val="18"/>
                <w:szCs w:val="18"/>
              </w:rPr>
              <w:t>4,000.00</w:t>
            </w:r>
          </w:p>
        </w:tc>
        <w:tc>
          <w:tcPr>
            <w:tcW w:w="1593" w:type="dxa"/>
            <w:tcBorders>
              <w:bottom w:val="single" w:sz="18" w:space="0" w:color="auto"/>
              <w:right w:val="single" w:sz="18" w:space="0" w:color="auto"/>
            </w:tcBorders>
            <w:vAlign w:val="bottom"/>
          </w:tcPr>
          <w:p w14:paraId="7AEDC9C9" w14:textId="41196EB5" w:rsidR="004836E0" w:rsidRPr="004836E0" w:rsidRDefault="004836E0" w:rsidP="006B78FB">
            <w:pPr>
              <w:jc w:val="center"/>
              <w:rPr>
                <w:rFonts w:ascii="Open Sans" w:hAnsi="Open Sans" w:cs="Open Sans"/>
                <w:b/>
                <w:bCs/>
                <w:sz w:val="18"/>
                <w:szCs w:val="18"/>
              </w:rPr>
            </w:pPr>
            <w:r w:rsidRPr="004836E0">
              <w:rPr>
                <w:rFonts w:ascii="Open Sans" w:hAnsi="Open Sans" w:cs="Open Sans"/>
                <w:b/>
                <w:bCs/>
                <w:color w:val="000000"/>
                <w:sz w:val="18"/>
                <w:szCs w:val="18"/>
              </w:rPr>
              <w:t>11,060.00</w:t>
            </w:r>
          </w:p>
        </w:tc>
        <w:tc>
          <w:tcPr>
            <w:tcW w:w="1408" w:type="dxa"/>
            <w:tcBorders>
              <w:left w:val="single" w:sz="18" w:space="0" w:color="auto"/>
              <w:bottom w:val="single" w:sz="18" w:space="0" w:color="auto"/>
            </w:tcBorders>
            <w:vAlign w:val="bottom"/>
          </w:tcPr>
          <w:p w14:paraId="0F632BDE" w14:textId="5D1A0866" w:rsidR="004836E0" w:rsidRPr="004836E0" w:rsidRDefault="004836E0" w:rsidP="006B78FB">
            <w:pPr>
              <w:jc w:val="center"/>
              <w:rPr>
                <w:rFonts w:ascii="Open Sans" w:hAnsi="Open Sans" w:cs="Open Sans"/>
                <w:b/>
                <w:bCs/>
                <w:sz w:val="18"/>
                <w:szCs w:val="18"/>
              </w:rPr>
            </w:pPr>
            <w:r w:rsidRPr="004836E0">
              <w:rPr>
                <w:rFonts w:ascii="Open Sans" w:hAnsi="Open Sans" w:cs="Open Sans"/>
                <w:b/>
                <w:bCs/>
                <w:color w:val="000000"/>
                <w:sz w:val="18"/>
                <w:szCs w:val="18"/>
              </w:rPr>
              <w:t>7,422.22</w:t>
            </w:r>
          </w:p>
        </w:tc>
        <w:tc>
          <w:tcPr>
            <w:tcW w:w="2037" w:type="dxa"/>
            <w:tcBorders>
              <w:bottom w:val="single" w:sz="18" w:space="0" w:color="auto"/>
              <w:right w:val="single" w:sz="18" w:space="0" w:color="auto"/>
            </w:tcBorders>
            <w:vAlign w:val="bottom"/>
          </w:tcPr>
          <w:p w14:paraId="30022359" w14:textId="6B4D1F0B" w:rsidR="004836E0" w:rsidRPr="006B78FB" w:rsidRDefault="004836E0" w:rsidP="006B78FB">
            <w:pPr>
              <w:jc w:val="center"/>
              <w:rPr>
                <w:rFonts w:ascii="Open Sans" w:hAnsi="Open Sans" w:cs="Open Sans"/>
                <w:b/>
                <w:bCs/>
                <w:color w:val="70AD47" w:themeColor="accent6"/>
                <w:sz w:val="18"/>
                <w:szCs w:val="18"/>
              </w:rPr>
            </w:pPr>
            <w:r w:rsidRPr="006B78FB">
              <w:rPr>
                <w:rFonts w:ascii="Open Sans" w:hAnsi="Open Sans" w:cs="Open Sans"/>
                <w:b/>
                <w:bCs/>
                <w:color w:val="06926B"/>
                <w:sz w:val="18"/>
                <w:szCs w:val="18"/>
              </w:rPr>
              <w:t>8,110.00</w:t>
            </w:r>
          </w:p>
        </w:tc>
      </w:tr>
    </w:tbl>
    <w:p w14:paraId="021B21F9" w14:textId="0DC5BD0A" w:rsidR="00FC530B" w:rsidRDefault="006B78FB" w:rsidP="00FC530B">
      <w:pPr>
        <w:rPr>
          <w:rFonts w:ascii="Open Sans" w:hAnsi="Open Sans" w:cs="Open Sans"/>
          <w:szCs w:val="22"/>
        </w:rPr>
      </w:pPr>
      <w:r>
        <w:rPr>
          <w:rFonts w:ascii="Open Sans" w:hAnsi="Open Sans" w:cs="Open Sans"/>
          <w:szCs w:val="22"/>
        </w:rPr>
        <w:t># Data no</w:t>
      </w:r>
      <w:r w:rsidR="006550DA">
        <w:rPr>
          <w:rFonts w:ascii="Open Sans" w:hAnsi="Open Sans" w:cs="Open Sans"/>
          <w:szCs w:val="22"/>
        </w:rPr>
        <w:t>t</w:t>
      </w:r>
      <w:r>
        <w:rPr>
          <w:rFonts w:ascii="Open Sans" w:hAnsi="Open Sans" w:cs="Open Sans"/>
          <w:szCs w:val="22"/>
        </w:rPr>
        <w:t xml:space="preserve"> </w:t>
      </w:r>
      <w:r w:rsidR="006550DA">
        <w:rPr>
          <w:rFonts w:ascii="Open Sans" w:hAnsi="Open Sans" w:cs="Open Sans"/>
          <w:szCs w:val="22"/>
        </w:rPr>
        <w:t>available</w:t>
      </w:r>
    </w:p>
    <w:p w14:paraId="30E6FA18" w14:textId="77777777" w:rsidR="004836E0" w:rsidRDefault="004836E0" w:rsidP="00FC530B">
      <w:pPr>
        <w:rPr>
          <w:rFonts w:ascii="Open Sans" w:hAnsi="Open Sans" w:cs="Open Sans"/>
          <w:szCs w:val="22"/>
        </w:rPr>
      </w:pPr>
    </w:p>
    <w:tbl>
      <w:tblPr>
        <w:tblStyle w:val="TableGrid"/>
        <w:tblW w:w="9209" w:type="dxa"/>
        <w:tblLook w:val="04A0" w:firstRow="1" w:lastRow="0" w:firstColumn="1" w:lastColumn="0" w:noHBand="0" w:noVBand="1"/>
      </w:tblPr>
      <w:tblGrid>
        <w:gridCol w:w="1502"/>
        <w:gridCol w:w="1187"/>
        <w:gridCol w:w="1417"/>
        <w:gridCol w:w="1701"/>
        <w:gridCol w:w="1706"/>
        <w:gridCol w:w="1696"/>
      </w:tblGrid>
      <w:tr w:rsidR="004836E0" w14:paraId="3E163FE8" w14:textId="77777777" w:rsidTr="006B78FB">
        <w:tc>
          <w:tcPr>
            <w:tcW w:w="9209" w:type="dxa"/>
            <w:gridSpan w:val="6"/>
            <w:shd w:val="clear" w:color="auto" w:fill="D9D9D9" w:themeFill="background1" w:themeFillShade="D9"/>
          </w:tcPr>
          <w:p w14:paraId="655D0F06" w14:textId="658D0CD5" w:rsidR="004836E0" w:rsidRPr="006B78FB" w:rsidRDefault="004836E0" w:rsidP="004836E0">
            <w:pPr>
              <w:rPr>
                <w:rFonts w:ascii="Open Sans" w:hAnsi="Open Sans" w:cs="Open Sans"/>
                <w:b/>
                <w:bCs/>
                <w:sz w:val="18"/>
                <w:szCs w:val="18"/>
              </w:rPr>
            </w:pPr>
            <w:r w:rsidRPr="006B78FB">
              <w:rPr>
                <w:rFonts w:ascii="Open Sans" w:hAnsi="Open Sans" w:cs="Open Sans"/>
                <w:b/>
                <w:bCs/>
                <w:sz w:val="18"/>
                <w:szCs w:val="18"/>
              </w:rPr>
              <w:t>Biomass illustrative Costs</w:t>
            </w:r>
          </w:p>
        </w:tc>
      </w:tr>
      <w:tr w:rsidR="006B78FB" w14:paraId="658C6C9D" w14:textId="77777777" w:rsidTr="006B78FB">
        <w:tc>
          <w:tcPr>
            <w:tcW w:w="1502" w:type="dxa"/>
            <w:vAlign w:val="center"/>
          </w:tcPr>
          <w:p w14:paraId="16DF8B92" w14:textId="47A39889" w:rsidR="006B78FB" w:rsidRPr="004836E0" w:rsidRDefault="006B78FB" w:rsidP="006B78FB">
            <w:pPr>
              <w:jc w:val="center"/>
              <w:rPr>
                <w:rFonts w:ascii="Open Sans" w:hAnsi="Open Sans" w:cs="Open Sans"/>
                <w:sz w:val="18"/>
                <w:szCs w:val="18"/>
              </w:rPr>
            </w:pPr>
            <w:r w:rsidRPr="004836E0">
              <w:rPr>
                <w:rFonts w:ascii="Open Sans" w:hAnsi="Open Sans" w:cs="Open Sans"/>
                <w:sz w:val="18"/>
                <w:szCs w:val="18"/>
              </w:rPr>
              <w:t>Illustrative Installation capacity (kW)</w:t>
            </w:r>
          </w:p>
        </w:tc>
        <w:tc>
          <w:tcPr>
            <w:tcW w:w="1187" w:type="dxa"/>
            <w:tcBorders>
              <w:right w:val="single" w:sz="18" w:space="0" w:color="auto"/>
            </w:tcBorders>
            <w:vAlign w:val="center"/>
          </w:tcPr>
          <w:p w14:paraId="18FA2C05" w14:textId="6A1F9051" w:rsidR="006B78FB" w:rsidRPr="004836E0" w:rsidRDefault="006B78FB" w:rsidP="006B78FB">
            <w:pPr>
              <w:jc w:val="center"/>
              <w:rPr>
                <w:rFonts w:ascii="Open Sans" w:hAnsi="Open Sans" w:cs="Open Sans"/>
                <w:color w:val="000000"/>
                <w:sz w:val="18"/>
                <w:szCs w:val="18"/>
              </w:rPr>
            </w:pPr>
            <w:r w:rsidRPr="004836E0">
              <w:rPr>
                <w:rFonts w:ascii="Open Sans" w:hAnsi="Open Sans" w:cs="Open Sans"/>
                <w:sz w:val="18"/>
                <w:szCs w:val="18"/>
              </w:rPr>
              <w:t>Median cost (£)</w:t>
            </w:r>
          </w:p>
        </w:tc>
        <w:tc>
          <w:tcPr>
            <w:tcW w:w="3118" w:type="dxa"/>
            <w:gridSpan w:val="2"/>
            <w:tcBorders>
              <w:top w:val="single" w:sz="18" w:space="0" w:color="auto"/>
              <w:left w:val="single" w:sz="18" w:space="0" w:color="auto"/>
              <w:right w:val="single" w:sz="18" w:space="0" w:color="auto"/>
            </w:tcBorders>
            <w:vAlign w:val="center"/>
          </w:tcPr>
          <w:p w14:paraId="120395C4" w14:textId="6E9AC5B6" w:rsidR="006B78FB" w:rsidRPr="004836E0" w:rsidRDefault="00052441" w:rsidP="006B78FB">
            <w:pPr>
              <w:jc w:val="center"/>
              <w:rPr>
                <w:rFonts w:ascii="Open Sans" w:hAnsi="Open Sans" w:cs="Open Sans"/>
                <w:color w:val="000000"/>
                <w:sz w:val="18"/>
                <w:szCs w:val="18"/>
              </w:rPr>
            </w:pPr>
            <w:r>
              <w:rPr>
                <w:rFonts w:ascii="Open Sans" w:hAnsi="Open Sans" w:cs="Open Sans"/>
                <w:sz w:val="18"/>
                <w:szCs w:val="18"/>
              </w:rPr>
              <w:t>£</w:t>
            </w:r>
            <w:r w:rsidR="006B78FB" w:rsidRPr="004836E0">
              <w:rPr>
                <w:rFonts w:ascii="Open Sans" w:hAnsi="Open Sans" w:cs="Open Sans"/>
                <w:sz w:val="18"/>
                <w:szCs w:val="18"/>
              </w:rPr>
              <w:t>4000 flat grant</w:t>
            </w:r>
          </w:p>
        </w:tc>
        <w:tc>
          <w:tcPr>
            <w:tcW w:w="3402" w:type="dxa"/>
            <w:gridSpan w:val="2"/>
            <w:tcBorders>
              <w:top w:val="single" w:sz="18" w:space="0" w:color="auto"/>
              <w:left w:val="single" w:sz="18" w:space="0" w:color="auto"/>
              <w:right w:val="single" w:sz="18" w:space="0" w:color="auto"/>
            </w:tcBorders>
            <w:vAlign w:val="center"/>
          </w:tcPr>
          <w:p w14:paraId="2C4B7320" w14:textId="6C238FC5" w:rsidR="006B78FB" w:rsidRPr="004836E0" w:rsidRDefault="006B78FB" w:rsidP="006B78FB">
            <w:pPr>
              <w:jc w:val="center"/>
              <w:rPr>
                <w:rFonts w:ascii="Open Sans" w:hAnsi="Open Sans" w:cs="Open Sans"/>
                <w:color w:val="000000"/>
                <w:sz w:val="18"/>
                <w:szCs w:val="18"/>
              </w:rPr>
            </w:pPr>
            <w:r w:rsidRPr="004836E0">
              <w:rPr>
                <w:rFonts w:ascii="Open Sans" w:hAnsi="Open Sans" w:cs="Open Sans"/>
                <w:sz w:val="18"/>
                <w:szCs w:val="18"/>
              </w:rPr>
              <w:t xml:space="preserve">Flexible </w:t>
            </w:r>
            <w:r w:rsidR="00D11867">
              <w:rPr>
                <w:rFonts w:ascii="Open Sans" w:hAnsi="Open Sans" w:cs="Open Sans"/>
                <w:sz w:val="18"/>
                <w:szCs w:val="18"/>
              </w:rPr>
              <w:t>£</w:t>
            </w:r>
            <w:r w:rsidRPr="004836E0">
              <w:rPr>
                <w:rFonts w:ascii="Open Sans" w:hAnsi="Open Sans" w:cs="Open Sans"/>
                <w:sz w:val="18"/>
                <w:szCs w:val="18"/>
              </w:rPr>
              <w:t>280/kW grant, with minimum grant of 4000</w:t>
            </w:r>
          </w:p>
        </w:tc>
      </w:tr>
      <w:tr w:rsidR="006B78FB" w14:paraId="52A7C390" w14:textId="77777777" w:rsidTr="006B78FB">
        <w:tc>
          <w:tcPr>
            <w:tcW w:w="1502" w:type="dxa"/>
            <w:vAlign w:val="center"/>
          </w:tcPr>
          <w:p w14:paraId="169AD0E2" w14:textId="77777777" w:rsidR="006B78FB" w:rsidRPr="004836E0" w:rsidRDefault="006B78FB" w:rsidP="006B78FB">
            <w:pPr>
              <w:jc w:val="center"/>
              <w:rPr>
                <w:rFonts w:ascii="Open Sans" w:hAnsi="Open Sans" w:cs="Open Sans"/>
                <w:sz w:val="18"/>
                <w:szCs w:val="18"/>
              </w:rPr>
            </w:pPr>
          </w:p>
        </w:tc>
        <w:tc>
          <w:tcPr>
            <w:tcW w:w="1187" w:type="dxa"/>
            <w:tcBorders>
              <w:right w:val="single" w:sz="18" w:space="0" w:color="auto"/>
            </w:tcBorders>
            <w:vAlign w:val="center"/>
          </w:tcPr>
          <w:p w14:paraId="4C4C26BF" w14:textId="77777777" w:rsidR="006B78FB" w:rsidRPr="004836E0" w:rsidRDefault="006B78FB" w:rsidP="006B78FB">
            <w:pPr>
              <w:jc w:val="center"/>
              <w:rPr>
                <w:rFonts w:ascii="Open Sans" w:hAnsi="Open Sans" w:cs="Open Sans"/>
                <w:color w:val="000000"/>
                <w:sz w:val="18"/>
                <w:szCs w:val="18"/>
              </w:rPr>
            </w:pPr>
          </w:p>
        </w:tc>
        <w:tc>
          <w:tcPr>
            <w:tcW w:w="1417" w:type="dxa"/>
            <w:tcBorders>
              <w:left w:val="single" w:sz="18" w:space="0" w:color="auto"/>
            </w:tcBorders>
            <w:vAlign w:val="center"/>
          </w:tcPr>
          <w:p w14:paraId="20775384" w14:textId="6B6A4280" w:rsidR="006B78FB" w:rsidRPr="004836E0" w:rsidRDefault="006B78FB" w:rsidP="006B78FB">
            <w:pPr>
              <w:jc w:val="center"/>
              <w:rPr>
                <w:rFonts w:ascii="Open Sans" w:hAnsi="Open Sans" w:cs="Open Sans"/>
                <w:color w:val="000000"/>
                <w:sz w:val="18"/>
                <w:szCs w:val="18"/>
              </w:rPr>
            </w:pPr>
            <w:r w:rsidRPr="004836E0">
              <w:rPr>
                <w:rFonts w:ascii="Open Sans" w:hAnsi="Open Sans" w:cs="Open Sans"/>
                <w:sz w:val="18"/>
                <w:szCs w:val="18"/>
              </w:rPr>
              <w:t>Grant (£)</w:t>
            </w:r>
          </w:p>
        </w:tc>
        <w:tc>
          <w:tcPr>
            <w:tcW w:w="1701" w:type="dxa"/>
            <w:tcBorders>
              <w:right w:val="single" w:sz="18" w:space="0" w:color="auto"/>
            </w:tcBorders>
            <w:vAlign w:val="center"/>
          </w:tcPr>
          <w:p w14:paraId="1CCBB889" w14:textId="7F8A86DF" w:rsidR="006B78FB" w:rsidRPr="004836E0" w:rsidRDefault="006B78FB" w:rsidP="006B78FB">
            <w:pPr>
              <w:jc w:val="center"/>
              <w:rPr>
                <w:rFonts w:ascii="Open Sans" w:hAnsi="Open Sans" w:cs="Open Sans"/>
                <w:color w:val="000000"/>
                <w:sz w:val="18"/>
                <w:szCs w:val="18"/>
              </w:rPr>
            </w:pPr>
            <w:r w:rsidRPr="004836E0">
              <w:rPr>
                <w:rFonts w:ascii="Open Sans" w:hAnsi="Open Sans" w:cs="Open Sans"/>
                <w:sz w:val="18"/>
                <w:szCs w:val="18"/>
              </w:rPr>
              <w:t>Cost left to consumer</w:t>
            </w:r>
            <w:r>
              <w:rPr>
                <w:rFonts w:ascii="Open Sans" w:hAnsi="Open Sans" w:cs="Open Sans"/>
                <w:sz w:val="18"/>
                <w:szCs w:val="18"/>
              </w:rPr>
              <w:t xml:space="preserve"> (£)</w:t>
            </w:r>
          </w:p>
        </w:tc>
        <w:tc>
          <w:tcPr>
            <w:tcW w:w="1706" w:type="dxa"/>
            <w:tcBorders>
              <w:left w:val="single" w:sz="18" w:space="0" w:color="auto"/>
            </w:tcBorders>
            <w:vAlign w:val="center"/>
          </w:tcPr>
          <w:p w14:paraId="4E73217B" w14:textId="314AF236" w:rsidR="006B78FB" w:rsidRPr="004836E0" w:rsidRDefault="006B78FB" w:rsidP="006B78FB">
            <w:pPr>
              <w:jc w:val="center"/>
              <w:rPr>
                <w:rFonts w:ascii="Open Sans" w:hAnsi="Open Sans" w:cs="Open Sans"/>
                <w:color w:val="000000"/>
                <w:sz w:val="18"/>
                <w:szCs w:val="18"/>
              </w:rPr>
            </w:pPr>
            <w:r w:rsidRPr="004836E0">
              <w:rPr>
                <w:rFonts w:ascii="Open Sans" w:hAnsi="Open Sans" w:cs="Open Sans"/>
                <w:sz w:val="18"/>
                <w:szCs w:val="18"/>
              </w:rPr>
              <w:t>Grant (£)</w:t>
            </w:r>
          </w:p>
        </w:tc>
        <w:tc>
          <w:tcPr>
            <w:tcW w:w="1696" w:type="dxa"/>
            <w:tcBorders>
              <w:right w:val="single" w:sz="18" w:space="0" w:color="auto"/>
            </w:tcBorders>
            <w:vAlign w:val="center"/>
          </w:tcPr>
          <w:p w14:paraId="31D850FD" w14:textId="233AD012" w:rsidR="006B78FB" w:rsidRPr="004836E0" w:rsidRDefault="006B78FB" w:rsidP="006B78FB">
            <w:pPr>
              <w:jc w:val="center"/>
              <w:rPr>
                <w:rFonts w:ascii="Open Sans" w:hAnsi="Open Sans" w:cs="Open Sans"/>
                <w:color w:val="000000"/>
                <w:sz w:val="18"/>
                <w:szCs w:val="18"/>
              </w:rPr>
            </w:pPr>
            <w:r w:rsidRPr="004836E0">
              <w:rPr>
                <w:rFonts w:ascii="Open Sans" w:hAnsi="Open Sans" w:cs="Open Sans"/>
                <w:sz w:val="18"/>
                <w:szCs w:val="18"/>
              </w:rPr>
              <w:t>Cost left to consumer</w:t>
            </w:r>
            <w:r>
              <w:rPr>
                <w:rFonts w:ascii="Open Sans" w:hAnsi="Open Sans" w:cs="Open Sans"/>
                <w:sz w:val="18"/>
                <w:szCs w:val="18"/>
              </w:rPr>
              <w:t xml:space="preserve"> (£)</w:t>
            </w:r>
          </w:p>
        </w:tc>
      </w:tr>
      <w:tr w:rsidR="004836E0" w14:paraId="1029EDF6" w14:textId="77777777" w:rsidTr="006B78FB">
        <w:tc>
          <w:tcPr>
            <w:tcW w:w="1502" w:type="dxa"/>
            <w:vAlign w:val="center"/>
          </w:tcPr>
          <w:p w14:paraId="769E823E" w14:textId="3B42640C" w:rsidR="004836E0" w:rsidRDefault="004836E0" w:rsidP="006B78FB">
            <w:pPr>
              <w:jc w:val="center"/>
              <w:rPr>
                <w:rFonts w:ascii="Open Sans" w:hAnsi="Open Sans" w:cs="Open Sans"/>
                <w:szCs w:val="22"/>
              </w:rPr>
            </w:pPr>
            <w:r w:rsidRPr="004836E0">
              <w:rPr>
                <w:rFonts w:ascii="Open Sans" w:hAnsi="Open Sans" w:cs="Open Sans"/>
                <w:sz w:val="18"/>
                <w:szCs w:val="18"/>
              </w:rPr>
              <w:t>5</w:t>
            </w:r>
          </w:p>
        </w:tc>
        <w:tc>
          <w:tcPr>
            <w:tcW w:w="1187" w:type="dxa"/>
            <w:tcBorders>
              <w:right w:val="single" w:sz="18" w:space="0" w:color="auto"/>
            </w:tcBorders>
            <w:vAlign w:val="center"/>
          </w:tcPr>
          <w:p w14:paraId="39F771FF" w14:textId="3D697E71" w:rsidR="004836E0" w:rsidRDefault="006B78FB" w:rsidP="006B78FB">
            <w:pPr>
              <w:jc w:val="center"/>
              <w:rPr>
                <w:rFonts w:ascii="Open Sans" w:hAnsi="Open Sans" w:cs="Open Sans"/>
                <w:szCs w:val="22"/>
              </w:rPr>
            </w:pPr>
            <w:r>
              <w:rPr>
                <w:rFonts w:ascii="Open Sans" w:hAnsi="Open Sans" w:cs="Open Sans"/>
                <w:szCs w:val="22"/>
              </w:rPr>
              <w:t>#</w:t>
            </w:r>
          </w:p>
        </w:tc>
        <w:tc>
          <w:tcPr>
            <w:tcW w:w="1417" w:type="dxa"/>
            <w:tcBorders>
              <w:left w:val="single" w:sz="18" w:space="0" w:color="auto"/>
            </w:tcBorders>
            <w:vAlign w:val="center"/>
          </w:tcPr>
          <w:p w14:paraId="64DD05A6" w14:textId="607909B8"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0E2E8C1F" w14:textId="7BB5DC11" w:rsidR="004836E0" w:rsidRDefault="006B78FB" w:rsidP="006B78FB">
            <w:pPr>
              <w:jc w:val="center"/>
              <w:rPr>
                <w:rFonts w:ascii="Open Sans" w:hAnsi="Open Sans" w:cs="Open Sans"/>
                <w:szCs w:val="22"/>
              </w:rPr>
            </w:pPr>
            <w:r>
              <w:rPr>
                <w:rFonts w:ascii="Open Sans" w:hAnsi="Open Sans" w:cs="Open Sans"/>
                <w:szCs w:val="22"/>
              </w:rPr>
              <w:t>#</w:t>
            </w:r>
          </w:p>
        </w:tc>
        <w:tc>
          <w:tcPr>
            <w:tcW w:w="1706" w:type="dxa"/>
            <w:tcBorders>
              <w:left w:val="single" w:sz="18" w:space="0" w:color="auto"/>
            </w:tcBorders>
            <w:vAlign w:val="center"/>
          </w:tcPr>
          <w:p w14:paraId="2AC23A6F" w14:textId="4C29459F"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696" w:type="dxa"/>
            <w:tcBorders>
              <w:right w:val="single" w:sz="18" w:space="0" w:color="auto"/>
            </w:tcBorders>
            <w:vAlign w:val="center"/>
          </w:tcPr>
          <w:p w14:paraId="78487E80" w14:textId="4762F720" w:rsidR="004836E0" w:rsidRDefault="006B78FB" w:rsidP="006B78FB">
            <w:pPr>
              <w:jc w:val="center"/>
              <w:rPr>
                <w:rFonts w:ascii="Open Sans" w:hAnsi="Open Sans" w:cs="Open Sans"/>
                <w:szCs w:val="22"/>
              </w:rPr>
            </w:pPr>
            <w:r>
              <w:rPr>
                <w:rFonts w:ascii="Open Sans" w:hAnsi="Open Sans" w:cs="Open Sans"/>
                <w:szCs w:val="22"/>
              </w:rPr>
              <w:t>#</w:t>
            </w:r>
          </w:p>
        </w:tc>
      </w:tr>
      <w:tr w:rsidR="004836E0" w14:paraId="6576C13F" w14:textId="77777777" w:rsidTr="006B78FB">
        <w:tc>
          <w:tcPr>
            <w:tcW w:w="1502" w:type="dxa"/>
            <w:vAlign w:val="center"/>
          </w:tcPr>
          <w:p w14:paraId="339ABAC7" w14:textId="7D28CA28" w:rsidR="004836E0" w:rsidRDefault="004836E0" w:rsidP="006B78FB">
            <w:pPr>
              <w:jc w:val="center"/>
              <w:rPr>
                <w:rFonts w:ascii="Open Sans" w:hAnsi="Open Sans" w:cs="Open Sans"/>
                <w:szCs w:val="22"/>
              </w:rPr>
            </w:pPr>
            <w:r w:rsidRPr="004836E0">
              <w:rPr>
                <w:rFonts w:ascii="Open Sans" w:hAnsi="Open Sans" w:cs="Open Sans"/>
                <w:sz w:val="18"/>
                <w:szCs w:val="18"/>
              </w:rPr>
              <w:t>10</w:t>
            </w:r>
          </w:p>
        </w:tc>
        <w:tc>
          <w:tcPr>
            <w:tcW w:w="1187" w:type="dxa"/>
            <w:tcBorders>
              <w:right w:val="single" w:sz="18" w:space="0" w:color="auto"/>
            </w:tcBorders>
            <w:vAlign w:val="center"/>
          </w:tcPr>
          <w:p w14:paraId="51FC37EA" w14:textId="2B798938"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13,000.00</w:t>
            </w:r>
          </w:p>
        </w:tc>
        <w:tc>
          <w:tcPr>
            <w:tcW w:w="1417" w:type="dxa"/>
            <w:tcBorders>
              <w:left w:val="single" w:sz="18" w:space="0" w:color="auto"/>
            </w:tcBorders>
            <w:vAlign w:val="center"/>
          </w:tcPr>
          <w:p w14:paraId="53F9DAC2" w14:textId="29329A8C"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334A1AA5" w14:textId="11D8C66F"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9,000.00</w:t>
            </w:r>
          </w:p>
        </w:tc>
        <w:tc>
          <w:tcPr>
            <w:tcW w:w="1706" w:type="dxa"/>
            <w:tcBorders>
              <w:left w:val="single" w:sz="18" w:space="0" w:color="auto"/>
            </w:tcBorders>
            <w:vAlign w:val="center"/>
          </w:tcPr>
          <w:p w14:paraId="3CED016F" w14:textId="1693A3FE"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696" w:type="dxa"/>
            <w:tcBorders>
              <w:right w:val="single" w:sz="18" w:space="0" w:color="auto"/>
            </w:tcBorders>
            <w:vAlign w:val="center"/>
          </w:tcPr>
          <w:p w14:paraId="6B5CE2D4" w14:textId="5DD3D224"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9,000.00</w:t>
            </w:r>
          </w:p>
        </w:tc>
      </w:tr>
      <w:tr w:rsidR="004836E0" w14:paraId="22295411" w14:textId="77777777" w:rsidTr="006B78FB">
        <w:tc>
          <w:tcPr>
            <w:tcW w:w="1502" w:type="dxa"/>
            <w:vAlign w:val="center"/>
          </w:tcPr>
          <w:p w14:paraId="17E06CD3" w14:textId="6B430125" w:rsidR="004836E0" w:rsidRDefault="004836E0" w:rsidP="006B78FB">
            <w:pPr>
              <w:jc w:val="center"/>
              <w:rPr>
                <w:rFonts w:ascii="Open Sans" w:hAnsi="Open Sans" w:cs="Open Sans"/>
                <w:szCs w:val="22"/>
              </w:rPr>
            </w:pPr>
            <w:r w:rsidRPr="004836E0">
              <w:rPr>
                <w:rFonts w:ascii="Open Sans" w:hAnsi="Open Sans" w:cs="Open Sans"/>
                <w:sz w:val="18"/>
                <w:szCs w:val="18"/>
              </w:rPr>
              <w:t>15</w:t>
            </w:r>
          </w:p>
        </w:tc>
        <w:tc>
          <w:tcPr>
            <w:tcW w:w="1187" w:type="dxa"/>
            <w:tcBorders>
              <w:right w:val="single" w:sz="18" w:space="0" w:color="auto"/>
            </w:tcBorders>
            <w:vAlign w:val="center"/>
          </w:tcPr>
          <w:p w14:paraId="17BB9373" w14:textId="651E85D9"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11,760.00</w:t>
            </w:r>
          </w:p>
        </w:tc>
        <w:tc>
          <w:tcPr>
            <w:tcW w:w="1417" w:type="dxa"/>
            <w:tcBorders>
              <w:left w:val="single" w:sz="18" w:space="0" w:color="auto"/>
            </w:tcBorders>
            <w:vAlign w:val="center"/>
          </w:tcPr>
          <w:p w14:paraId="1214707B" w14:textId="5F5E23EA"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352BE006" w14:textId="15E99551"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7,760.00</w:t>
            </w:r>
          </w:p>
        </w:tc>
        <w:tc>
          <w:tcPr>
            <w:tcW w:w="1706" w:type="dxa"/>
            <w:tcBorders>
              <w:left w:val="single" w:sz="18" w:space="0" w:color="auto"/>
            </w:tcBorders>
            <w:vAlign w:val="center"/>
          </w:tcPr>
          <w:p w14:paraId="6F3E08A3" w14:textId="783489FF"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4,200.00</w:t>
            </w:r>
          </w:p>
        </w:tc>
        <w:tc>
          <w:tcPr>
            <w:tcW w:w="1696" w:type="dxa"/>
            <w:tcBorders>
              <w:right w:val="single" w:sz="18" w:space="0" w:color="auto"/>
            </w:tcBorders>
            <w:vAlign w:val="center"/>
          </w:tcPr>
          <w:p w14:paraId="39DE59D7" w14:textId="77B77E48"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7,560.00</w:t>
            </w:r>
          </w:p>
        </w:tc>
      </w:tr>
      <w:tr w:rsidR="004836E0" w14:paraId="45AC14A3" w14:textId="77777777" w:rsidTr="006B78FB">
        <w:tc>
          <w:tcPr>
            <w:tcW w:w="1502" w:type="dxa"/>
            <w:vAlign w:val="center"/>
          </w:tcPr>
          <w:p w14:paraId="268AC42E" w14:textId="376E27B8" w:rsidR="004836E0" w:rsidRDefault="004836E0" w:rsidP="006B78FB">
            <w:pPr>
              <w:jc w:val="center"/>
              <w:rPr>
                <w:rFonts w:ascii="Open Sans" w:hAnsi="Open Sans" w:cs="Open Sans"/>
                <w:szCs w:val="22"/>
              </w:rPr>
            </w:pPr>
            <w:r w:rsidRPr="004836E0">
              <w:rPr>
                <w:rFonts w:ascii="Open Sans" w:hAnsi="Open Sans" w:cs="Open Sans"/>
                <w:sz w:val="18"/>
                <w:szCs w:val="18"/>
              </w:rPr>
              <w:t>20</w:t>
            </w:r>
          </w:p>
        </w:tc>
        <w:tc>
          <w:tcPr>
            <w:tcW w:w="1187" w:type="dxa"/>
            <w:tcBorders>
              <w:right w:val="single" w:sz="18" w:space="0" w:color="auto"/>
            </w:tcBorders>
            <w:vAlign w:val="center"/>
          </w:tcPr>
          <w:p w14:paraId="3494CE70" w14:textId="71FE602C"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13,000.00</w:t>
            </w:r>
          </w:p>
        </w:tc>
        <w:tc>
          <w:tcPr>
            <w:tcW w:w="1417" w:type="dxa"/>
            <w:tcBorders>
              <w:left w:val="single" w:sz="18" w:space="0" w:color="auto"/>
            </w:tcBorders>
            <w:vAlign w:val="center"/>
          </w:tcPr>
          <w:p w14:paraId="4BC05B3B" w14:textId="4478DC7F"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2D78B748" w14:textId="52416435"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9,000.00</w:t>
            </w:r>
          </w:p>
        </w:tc>
        <w:tc>
          <w:tcPr>
            <w:tcW w:w="1706" w:type="dxa"/>
            <w:tcBorders>
              <w:left w:val="single" w:sz="18" w:space="0" w:color="auto"/>
            </w:tcBorders>
            <w:vAlign w:val="center"/>
          </w:tcPr>
          <w:p w14:paraId="0B1C1EA0" w14:textId="0155DD1A"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5,600.00</w:t>
            </w:r>
          </w:p>
        </w:tc>
        <w:tc>
          <w:tcPr>
            <w:tcW w:w="1696" w:type="dxa"/>
            <w:tcBorders>
              <w:right w:val="single" w:sz="18" w:space="0" w:color="auto"/>
            </w:tcBorders>
            <w:vAlign w:val="center"/>
          </w:tcPr>
          <w:p w14:paraId="50CF8EF4" w14:textId="3736109F"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7,400.00</w:t>
            </w:r>
          </w:p>
        </w:tc>
      </w:tr>
      <w:tr w:rsidR="004836E0" w14:paraId="026CA68E" w14:textId="77777777" w:rsidTr="006B78FB">
        <w:tc>
          <w:tcPr>
            <w:tcW w:w="1502" w:type="dxa"/>
            <w:vAlign w:val="center"/>
          </w:tcPr>
          <w:p w14:paraId="75A07D90" w14:textId="0B96BD30" w:rsidR="004836E0" w:rsidRDefault="004836E0" w:rsidP="006B78FB">
            <w:pPr>
              <w:jc w:val="center"/>
              <w:rPr>
                <w:rFonts w:ascii="Open Sans" w:hAnsi="Open Sans" w:cs="Open Sans"/>
                <w:szCs w:val="22"/>
              </w:rPr>
            </w:pPr>
            <w:r w:rsidRPr="004836E0">
              <w:rPr>
                <w:rFonts w:ascii="Open Sans" w:hAnsi="Open Sans" w:cs="Open Sans"/>
                <w:sz w:val="18"/>
                <w:szCs w:val="18"/>
              </w:rPr>
              <w:lastRenderedPageBreak/>
              <w:t>25</w:t>
            </w:r>
          </w:p>
        </w:tc>
        <w:tc>
          <w:tcPr>
            <w:tcW w:w="1187" w:type="dxa"/>
            <w:tcBorders>
              <w:right w:val="single" w:sz="18" w:space="0" w:color="auto"/>
            </w:tcBorders>
            <w:vAlign w:val="center"/>
          </w:tcPr>
          <w:p w14:paraId="28FE010A" w14:textId="18C118A7"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14,750.00</w:t>
            </w:r>
          </w:p>
        </w:tc>
        <w:tc>
          <w:tcPr>
            <w:tcW w:w="1417" w:type="dxa"/>
            <w:tcBorders>
              <w:left w:val="single" w:sz="18" w:space="0" w:color="auto"/>
            </w:tcBorders>
            <w:vAlign w:val="center"/>
          </w:tcPr>
          <w:p w14:paraId="337A9CB3" w14:textId="77242DB5"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01DA3E1F" w14:textId="3DEE6422"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10,750.00</w:t>
            </w:r>
          </w:p>
        </w:tc>
        <w:tc>
          <w:tcPr>
            <w:tcW w:w="1706" w:type="dxa"/>
            <w:tcBorders>
              <w:left w:val="single" w:sz="18" w:space="0" w:color="auto"/>
            </w:tcBorders>
            <w:vAlign w:val="center"/>
          </w:tcPr>
          <w:p w14:paraId="2C8DDC7E" w14:textId="54AB4CCF"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7,000.00</w:t>
            </w:r>
          </w:p>
        </w:tc>
        <w:tc>
          <w:tcPr>
            <w:tcW w:w="1696" w:type="dxa"/>
            <w:tcBorders>
              <w:right w:val="single" w:sz="18" w:space="0" w:color="auto"/>
            </w:tcBorders>
            <w:vAlign w:val="center"/>
          </w:tcPr>
          <w:p w14:paraId="59508E37" w14:textId="26CF10F9"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7,750.00</w:t>
            </w:r>
          </w:p>
        </w:tc>
      </w:tr>
      <w:tr w:rsidR="004836E0" w14:paraId="2A089EC8" w14:textId="77777777" w:rsidTr="006B78FB">
        <w:tc>
          <w:tcPr>
            <w:tcW w:w="1502" w:type="dxa"/>
            <w:vAlign w:val="center"/>
          </w:tcPr>
          <w:p w14:paraId="1D3E4F82" w14:textId="362A02C1" w:rsidR="004836E0" w:rsidRDefault="004836E0" w:rsidP="006B78FB">
            <w:pPr>
              <w:jc w:val="center"/>
              <w:rPr>
                <w:rFonts w:ascii="Open Sans" w:hAnsi="Open Sans" w:cs="Open Sans"/>
                <w:szCs w:val="22"/>
              </w:rPr>
            </w:pPr>
            <w:r w:rsidRPr="004836E0">
              <w:rPr>
                <w:rFonts w:ascii="Open Sans" w:hAnsi="Open Sans" w:cs="Open Sans"/>
                <w:sz w:val="18"/>
                <w:szCs w:val="18"/>
              </w:rPr>
              <w:t>30</w:t>
            </w:r>
          </w:p>
        </w:tc>
        <w:tc>
          <w:tcPr>
            <w:tcW w:w="1187" w:type="dxa"/>
            <w:tcBorders>
              <w:right w:val="single" w:sz="18" w:space="0" w:color="auto"/>
            </w:tcBorders>
            <w:vAlign w:val="center"/>
          </w:tcPr>
          <w:p w14:paraId="7A7CF15D" w14:textId="340E1D02"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16,500.00</w:t>
            </w:r>
          </w:p>
        </w:tc>
        <w:tc>
          <w:tcPr>
            <w:tcW w:w="1417" w:type="dxa"/>
            <w:tcBorders>
              <w:left w:val="single" w:sz="18" w:space="0" w:color="auto"/>
            </w:tcBorders>
            <w:vAlign w:val="center"/>
          </w:tcPr>
          <w:p w14:paraId="2644640A" w14:textId="50449CC3"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28BE92CD" w14:textId="483A357D"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12,500.00</w:t>
            </w:r>
          </w:p>
        </w:tc>
        <w:tc>
          <w:tcPr>
            <w:tcW w:w="1706" w:type="dxa"/>
            <w:tcBorders>
              <w:left w:val="single" w:sz="18" w:space="0" w:color="auto"/>
            </w:tcBorders>
            <w:vAlign w:val="center"/>
          </w:tcPr>
          <w:p w14:paraId="32127AAC" w14:textId="5E57345F"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8,400.00</w:t>
            </w:r>
          </w:p>
        </w:tc>
        <w:tc>
          <w:tcPr>
            <w:tcW w:w="1696" w:type="dxa"/>
            <w:tcBorders>
              <w:right w:val="single" w:sz="18" w:space="0" w:color="auto"/>
            </w:tcBorders>
            <w:vAlign w:val="center"/>
          </w:tcPr>
          <w:p w14:paraId="09F8D4CE" w14:textId="3A029581"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8,100.00</w:t>
            </w:r>
          </w:p>
        </w:tc>
      </w:tr>
      <w:tr w:rsidR="004836E0" w14:paraId="0CF28648" w14:textId="77777777" w:rsidTr="006B78FB">
        <w:tc>
          <w:tcPr>
            <w:tcW w:w="1502" w:type="dxa"/>
            <w:vAlign w:val="center"/>
          </w:tcPr>
          <w:p w14:paraId="27C01E1F" w14:textId="6FBC3D96" w:rsidR="004836E0" w:rsidRDefault="004836E0" w:rsidP="006B78FB">
            <w:pPr>
              <w:jc w:val="center"/>
              <w:rPr>
                <w:rFonts w:ascii="Open Sans" w:hAnsi="Open Sans" w:cs="Open Sans"/>
                <w:szCs w:val="22"/>
              </w:rPr>
            </w:pPr>
            <w:r w:rsidRPr="004836E0">
              <w:rPr>
                <w:rFonts w:ascii="Open Sans" w:hAnsi="Open Sans" w:cs="Open Sans"/>
                <w:sz w:val="18"/>
                <w:szCs w:val="18"/>
              </w:rPr>
              <w:t>35</w:t>
            </w:r>
          </w:p>
        </w:tc>
        <w:tc>
          <w:tcPr>
            <w:tcW w:w="1187" w:type="dxa"/>
            <w:tcBorders>
              <w:right w:val="single" w:sz="18" w:space="0" w:color="auto"/>
            </w:tcBorders>
            <w:vAlign w:val="center"/>
          </w:tcPr>
          <w:p w14:paraId="10505F56" w14:textId="5B80C064"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18,000.00</w:t>
            </w:r>
          </w:p>
        </w:tc>
        <w:tc>
          <w:tcPr>
            <w:tcW w:w="1417" w:type="dxa"/>
            <w:tcBorders>
              <w:left w:val="single" w:sz="18" w:space="0" w:color="auto"/>
            </w:tcBorders>
            <w:vAlign w:val="center"/>
          </w:tcPr>
          <w:p w14:paraId="76661212" w14:textId="3B57C677"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44D046B5" w14:textId="23F0FA13"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14,000.00</w:t>
            </w:r>
          </w:p>
        </w:tc>
        <w:tc>
          <w:tcPr>
            <w:tcW w:w="1706" w:type="dxa"/>
            <w:tcBorders>
              <w:left w:val="single" w:sz="18" w:space="0" w:color="auto"/>
            </w:tcBorders>
            <w:vAlign w:val="center"/>
          </w:tcPr>
          <w:p w14:paraId="05356580" w14:textId="65D3BAF6"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9,800.00</w:t>
            </w:r>
          </w:p>
        </w:tc>
        <w:tc>
          <w:tcPr>
            <w:tcW w:w="1696" w:type="dxa"/>
            <w:tcBorders>
              <w:right w:val="single" w:sz="18" w:space="0" w:color="auto"/>
            </w:tcBorders>
            <w:vAlign w:val="center"/>
          </w:tcPr>
          <w:p w14:paraId="6C838782" w14:textId="672244D2"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8,200.00</w:t>
            </w:r>
          </w:p>
        </w:tc>
      </w:tr>
      <w:tr w:rsidR="004836E0" w14:paraId="3D69E49E" w14:textId="77777777" w:rsidTr="006B78FB">
        <w:tc>
          <w:tcPr>
            <w:tcW w:w="1502" w:type="dxa"/>
            <w:vAlign w:val="center"/>
          </w:tcPr>
          <w:p w14:paraId="185E1E05" w14:textId="2DC0DEF2" w:rsidR="004836E0" w:rsidRDefault="004836E0" w:rsidP="006B78FB">
            <w:pPr>
              <w:jc w:val="center"/>
              <w:rPr>
                <w:rFonts w:ascii="Open Sans" w:hAnsi="Open Sans" w:cs="Open Sans"/>
                <w:szCs w:val="22"/>
              </w:rPr>
            </w:pPr>
            <w:r w:rsidRPr="004836E0">
              <w:rPr>
                <w:rFonts w:ascii="Open Sans" w:hAnsi="Open Sans" w:cs="Open Sans"/>
                <w:sz w:val="18"/>
                <w:szCs w:val="18"/>
              </w:rPr>
              <w:t>40</w:t>
            </w:r>
          </w:p>
        </w:tc>
        <w:tc>
          <w:tcPr>
            <w:tcW w:w="1187" w:type="dxa"/>
            <w:tcBorders>
              <w:right w:val="single" w:sz="18" w:space="0" w:color="auto"/>
            </w:tcBorders>
            <w:vAlign w:val="center"/>
          </w:tcPr>
          <w:p w14:paraId="6DB256D1" w14:textId="12CE9681"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19,390.00</w:t>
            </w:r>
          </w:p>
        </w:tc>
        <w:tc>
          <w:tcPr>
            <w:tcW w:w="1417" w:type="dxa"/>
            <w:tcBorders>
              <w:left w:val="single" w:sz="18" w:space="0" w:color="auto"/>
            </w:tcBorders>
            <w:vAlign w:val="center"/>
          </w:tcPr>
          <w:p w14:paraId="6DB9882F" w14:textId="6C56ECD3"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01AA6173" w14:textId="669DBFFB"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15,390.00</w:t>
            </w:r>
          </w:p>
        </w:tc>
        <w:tc>
          <w:tcPr>
            <w:tcW w:w="1706" w:type="dxa"/>
            <w:tcBorders>
              <w:left w:val="single" w:sz="18" w:space="0" w:color="auto"/>
            </w:tcBorders>
            <w:vAlign w:val="center"/>
          </w:tcPr>
          <w:p w14:paraId="00691B53" w14:textId="067A20DC"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11,200.00</w:t>
            </w:r>
          </w:p>
        </w:tc>
        <w:tc>
          <w:tcPr>
            <w:tcW w:w="1696" w:type="dxa"/>
            <w:tcBorders>
              <w:right w:val="single" w:sz="18" w:space="0" w:color="auto"/>
            </w:tcBorders>
            <w:vAlign w:val="center"/>
          </w:tcPr>
          <w:p w14:paraId="5B49E884" w14:textId="61397DFE"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8,190.00</w:t>
            </w:r>
          </w:p>
        </w:tc>
      </w:tr>
      <w:tr w:rsidR="004836E0" w14:paraId="4427E840" w14:textId="77777777" w:rsidTr="006B78FB">
        <w:tc>
          <w:tcPr>
            <w:tcW w:w="1502" w:type="dxa"/>
            <w:vAlign w:val="center"/>
          </w:tcPr>
          <w:p w14:paraId="1E501B45" w14:textId="72358881" w:rsidR="004836E0" w:rsidRDefault="004836E0" w:rsidP="006B78FB">
            <w:pPr>
              <w:jc w:val="center"/>
              <w:rPr>
                <w:rFonts w:ascii="Open Sans" w:hAnsi="Open Sans" w:cs="Open Sans"/>
                <w:szCs w:val="22"/>
              </w:rPr>
            </w:pPr>
            <w:r w:rsidRPr="004836E0">
              <w:rPr>
                <w:rFonts w:ascii="Open Sans" w:hAnsi="Open Sans" w:cs="Open Sans"/>
                <w:sz w:val="18"/>
                <w:szCs w:val="18"/>
              </w:rPr>
              <w:t>45</w:t>
            </w:r>
          </w:p>
        </w:tc>
        <w:tc>
          <w:tcPr>
            <w:tcW w:w="1187" w:type="dxa"/>
            <w:tcBorders>
              <w:right w:val="single" w:sz="18" w:space="0" w:color="auto"/>
            </w:tcBorders>
            <w:vAlign w:val="center"/>
          </w:tcPr>
          <w:p w14:paraId="0232F964" w14:textId="18C90DE7"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25,000.00</w:t>
            </w:r>
          </w:p>
        </w:tc>
        <w:tc>
          <w:tcPr>
            <w:tcW w:w="1417" w:type="dxa"/>
            <w:tcBorders>
              <w:left w:val="single" w:sz="18" w:space="0" w:color="auto"/>
            </w:tcBorders>
            <w:vAlign w:val="center"/>
          </w:tcPr>
          <w:p w14:paraId="78962434" w14:textId="1C97EA65"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32F7C58C" w14:textId="49AE9C41"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21,000.00</w:t>
            </w:r>
          </w:p>
        </w:tc>
        <w:tc>
          <w:tcPr>
            <w:tcW w:w="1706" w:type="dxa"/>
            <w:tcBorders>
              <w:left w:val="single" w:sz="18" w:space="0" w:color="auto"/>
            </w:tcBorders>
            <w:vAlign w:val="center"/>
          </w:tcPr>
          <w:p w14:paraId="66625091" w14:textId="75323D1A"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12,600.00</w:t>
            </w:r>
          </w:p>
        </w:tc>
        <w:tc>
          <w:tcPr>
            <w:tcW w:w="1696" w:type="dxa"/>
            <w:tcBorders>
              <w:right w:val="single" w:sz="18" w:space="0" w:color="auto"/>
            </w:tcBorders>
            <w:vAlign w:val="center"/>
          </w:tcPr>
          <w:p w14:paraId="64B9BA2B" w14:textId="0E776270"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12,400.00</w:t>
            </w:r>
          </w:p>
        </w:tc>
      </w:tr>
      <w:tr w:rsidR="004836E0" w14:paraId="12BA0D56" w14:textId="77777777" w:rsidTr="006B78FB">
        <w:tc>
          <w:tcPr>
            <w:tcW w:w="1502" w:type="dxa"/>
            <w:vAlign w:val="center"/>
          </w:tcPr>
          <w:p w14:paraId="57D36085" w14:textId="2310520C" w:rsidR="004836E0" w:rsidRPr="006B78FB" w:rsidRDefault="004836E0" w:rsidP="006B78FB">
            <w:pPr>
              <w:jc w:val="center"/>
              <w:rPr>
                <w:rFonts w:ascii="Open Sans" w:hAnsi="Open Sans" w:cs="Open Sans"/>
                <w:b/>
                <w:bCs/>
                <w:szCs w:val="22"/>
              </w:rPr>
            </w:pPr>
            <w:r w:rsidRPr="006B78FB">
              <w:rPr>
                <w:rFonts w:ascii="Open Sans" w:hAnsi="Open Sans" w:cs="Open Sans"/>
                <w:b/>
                <w:bCs/>
                <w:sz w:val="18"/>
                <w:szCs w:val="18"/>
              </w:rPr>
              <w:t>Average</w:t>
            </w:r>
          </w:p>
        </w:tc>
        <w:tc>
          <w:tcPr>
            <w:tcW w:w="1187" w:type="dxa"/>
            <w:tcBorders>
              <w:right w:val="single" w:sz="18" w:space="0" w:color="auto"/>
            </w:tcBorders>
            <w:vAlign w:val="center"/>
          </w:tcPr>
          <w:p w14:paraId="632AA156" w14:textId="72C2B55E" w:rsidR="004836E0" w:rsidRDefault="004836E0" w:rsidP="006B78FB">
            <w:pPr>
              <w:jc w:val="center"/>
              <w:rPr>
                <w:rFonts w:ascii="Open Sans" w:hAnsi="Open Sans" w:cs="Open Sans"/>
                <w:szCs w:val="22"/>
              </w:rPr>
            </w:pPr>
            <w:r w:rsidRPr="004836E0">
              <w:rPr>
                <w:rFonts w:ascii="Open Sans" w:hAnsi="Open Sans" w:cs="Open Sans"/>
                <w:b/>
                <w:bCs/>
                <w:color w:val="000000"/>
                <w:sz w:val="18"/>
                <w:szCs w:val="18"/>
              </w:rPr>
              <w:t>16,425.00</w:t>
            </w:r>
          </w:p>
        </w:tc>
        <w:tc>
          <w:tcPr>
            <w:tcW w:w="1417" w:type="dxa"/>
            <w:tcBorders>
              <w:left w:val="single" w:sz="18" w:space="0" w:color="auto"/>
              <w:bottom w:val="single" w:sz="18" w:space="0" w:color="auto"/>
            </w:tcBorders>
            <w:vAlign w:val="center"/>
          </w:tcPr>
          <w:p w14:paraId="757C43F8" w14:textId="5B15F323" w:rsidR="004836E0" w:rsidRDefault="004836E0" w:rsidP="006B78FB">
            <w:pPr>
              <w:jc w:val="center"/>
              <w:rPr>
                <w:rFonts w:ascii="Open Sans" w:hAnsi="Open Sans" w:cs="Open Sans"/>
                <w:szCs w:val="22"/>
              </w:rPr>
            </w:pPr>
            <w:r w:rsidRPr="004836E0">
              <w:rPr>
                <w:rFonts w:ascii="Open Sans" w:hAnsi="Open Sans" w:cs="Open Sans"/>
                <w:b/>
                <w:bCs/>
                <w:color w:val="000000"/>
                <w:sz w:val="18"/>
                <w:szCs w:val="18"/>
              </w:rPr>
              <w:t>4,000.00</w:t>
            </w:r>
          </w:p>
        </w:tc>
        <w:tc>
          <w:tcPr>
            <w:tcW w:w="1701" w:type="dxa"/>
            <w:tcBorders>
              <w:bottom w:val="single" w:sz="18" w:space="0" w:color="auto"/>
              <w:right w:val="single" w:sz="18" w:space="0" w:color="auto"/>
            </w:tcBorders>
            <w:vAlign w:val="center"/>
          </w:tcPr>
          <w:p w14:paraId="3B48783B" w14:textId="29D88EDE" w:rsidR="004836E0" w:rsidRDefault="004836E0" w:rsidP="006B78FB">
            <w:pPr>
              <w:jc w:val="center"/>
              <w:rPr>
                <w:rFonts w:ascii="Open Sans" w:hAnsi="Open Sans" w:cs="Open Sans"/>
                <w:szCs w:val="22"/>
              </w:rPr>
            </w:pPr>
            <w:r w:rsidRPr="004836E0">
              <w:rPr>
                <w:rFonts w:ascii="Open Sans" w:hAnsi="Open Sans" w:cs="Open Sans"/>
                <w:b/>
                <w:bCs/>
                <w:color w:val="000000"/>
                <w:sz w:val="18"/>
                <w:szCs w:val="18"/>
              </w:rPr>
              <w:t>12,425.00</w:t>
            </w:r>
          </w:p>
        </w:tc>
        <w:tc>
          <w:tcPr>
            <w:tcW w:w="1706" w:type="dxa"/>
            <w:tcBorders>
              <w:left w:val="single" w:sz="18" w:space="0" w:color="auto"/>
              <w:bottom w:val="single" w:sz="18" w:space="0" w:color="auto"/>
            </w:tcBorders>
            <w:vAlign w:val="center"/>
          </w:tcPr>
          <w:p w14:paraId="66394214" w14:textId="7D15E069" w:rsidR="004836E0" w:rsidRDefault="004836E0" w:rsidP="006B78FB">
            <w:pPr>
              <w:jc w:val="center"/>
              <w:rPr>
                <w:rFonts w:ascii="Open Sans" w:hAnsi="Open Sans" w:cs="Open Sans"/>
                <w:szCs w:val="22"/>
              </w:rPr>
            </w:pPr>
            <w:r w:rsidRPr="004836E0">
              <w:rPr>
                <w:rFonts w:ascii="Open Sans" w:hAnsi="Open Sans" w:cs="Open Sans"/>
                <w:b/>
                <w:bCs/>
                <w:color w:val="000000"/>
                <w:sz w:val="18"/>
                <w:szCs w:val="18"/>
              </w:rPr>
              <w:t>7,422.22</w:t>
            </w:r>
          </w:p>
        </w:tc>
        <w:tc>
          <w:tcPr>
            <w:tcW w:w="1696" w:type="dxa"/>
            <w:tcBorders>
              <w:bottom w:val="single" w:sz="18" w:space="0" w:color="auto"/>
              <w:right w:val="single" w:sz="18" w:space="0" w:color="auto"/>
            </w:tcBorders>
            <w:vAlign w:val="center"/>
          </w:tcPr>
          <w:p w14:paraId="3DA8E084" w14:textId="36BFBFE8" w:rsidR="004836E0" w:rsidRDefault="004836E0" w:rsidP="006B78FB">
            <w:pPr>
              <w:jc w:val="center"/>
              <w:rPr>
                <w:rFonts w:ascii="Open Sans" w:hAnsi="Open Sans" w:cs="Open Sans"/>
                <w:szCs w:val="22"/>
              </w:rPr>
            </w:pPr>
            <w:r w:rsidRPr="00335B9D">
              <w:rPr>
                <w:rFonts w:ascii="Open Sans" w:hAnsi="Open Sans" w:cs="Open Sans"/>
                <w:b/>
                <w:bCs/>
                <w:color w:val="06926B"/>
                <w:sz w:val="18"/>
                <w:szCs w:val="18"/>
              </w:rPr>
              <w:t>8,575.00</w:t>
            </w:r>
          </w:p>
        </w:tc>
      </w:tr>
    </w:tbl>
    <w:p w14:paraId="6859657C" w14:textId="5B271950" w:rsidR="00FC530B" w:rsidRPr="00FC530B" w:rsidRDefault="006B78FB" w:rsidP="004836E0">
      <w:pPr>
        <w:rPr>
          <w:rFonts w:ascii="Open Sans" w:hAnsi="Open Sans" w:cs="Open Sans"/>
          <w:szCs w:val="22"/>
        </w:rPr>
      </w:pPr>
      <w:r>
        <w:rPr>
          <w:rFonts w:ascii="Open Sans" w:hAnsi="Open Sans" w:cs="Open Sans"/>
          <w:szCs w:val="22"/>
        </w:rPr>
        <w:t xml:space="preserve"># Data not </w:t>
      </w:r>
      <w:r w:rsidR="006550DA">
        <w:rPr>
          <w:rFonts w:ascii="Open Sans" w:hAnsi="Open Sans" w:cs="Open Sans"/>
          <w:szCs w:val="22"/>
        </w:rPr>
        <w:t>available</w:t>
      </w:r>
    </w:p>
    <w:p w14:paraId="57F4E283" w14:textId="77777777" w:rsidR="00FC530B" w:rsidRPr="00FC530B" w:rsidRDefault="00FC530B" w:rsidP="00FC530B">
      <w:pPr>
        <w:pStyle w:val="ListParagraph"/>
        <w:rPr>
          <w:rFonts w:ascii="Open Sans" w:hAnsi="Open Sans" w:cs="Open Sans"/>
          <w:szCs w:val="22"/>
        </w:rPr>
      </w:pPr>
    </w:p>
    <w:p w14:paraId="65B18C74" w14:textId="17243E5F" w:rsidR="006E374B" w:rsidRPr="00335B9D" w:rsidRDefault="006550DA" w:rsidP="00E54BD8">
      <w:pPr>
        <w:rPr>
          <w:rFonts w:ascii="Open Sans" w:hAnsi="Open Sans" w:cs="Open Sans"/>
          <w:b/>
          <w:bCs/>
          <w:szCs w:val="22"/>
        </w:rPr>
      </w:pPr>
      <w:r w:rsidRPr="00335B9D">
        <w:rPr>
          <w:rFonts w:ascii="Open Sans" w:hAnsi="Open Sans" w:cs="Open Sans"/>
          <w:b/>
          <w:bCs/>
          <w:szCs w:val="22"/>
        </w:rPr>
        <w:t>A flexible grant allows for greater deployment</w:t>
      </w:r>
      <w:r w:rsidR="00A638F5" w:rsidRPr="00335B9D">
        <w:rPr>
          <w:rFonts w:ascii="Open Sans" w:hAnsi="Open Sans" w:cs="Open Sans"/>
          <w:b/>
          <w:bCs/>
          <w:szCs w:val="22"/>
        </w:rPr>
        <w:t xml:space="preserve"> across the capacity </w:t>
      </w:r>
      <w:r w:rsidR="00A4375C" w:rsidRPr="00335B9D">
        <w:rPr>
          <w:rFonts w:ascii="Open Sans" w:hAnsi="Open Sans" w:cs="Open Sans"/>
          <w:b/>
          <w:bCs/>
          <w:szCs w:val="22"/>
        </w:rPr>
        <w:t>range,</w:t>
      </w:r>
      <w:r w:rsidR="00335B9D">
        <w:rPr>
          <w:rFonts w:ascii="Open Sans" w:hAnsi="Open Sans" w:cs="Open Sans"/>
          <w:b/>
          <w:bCs/>
          <w:szCs w:val="22"/>
        </w:rPr>
        <w:t xml:space="preserve"> while keeping the </w:t>
      </w:r>
      <w:r w:rsidR="00A638F5" w:rsidRPr="00335B9D">
        <w:rPr>
          <w:rFonts w:ascii="Open Sans" w:hAnsi="Open Sans" w:cs="Open Sans"/>
          <w:b/>
          <w:bCs/>
          <w:szCs w:val="22"/>
        </w:rPr>
        <w:t xml:space="preserve">capital cost to the consumer below </w:t>
      </w:r>
      <w:r w:rsidR="00335B9D" w:rsidRPr="00335B9D">
        <w:rPr>
          <w:rFonts w:ascii="Open Sans" w:hAnsi="Open Sans" w:cs="Open Sans"/>
          <w:b/>
          <w:bCs/>
          <w:szCs w:val="22"/>
        </w:rPr>
        <w:t>£10,000.</w:t>
      </w:r>
    </w:p>
    <w:p w14:paraId="569B1CD9" w14:textId="77777777" w:rsidR="006E374B" w:rsidRDefault="006E374B" w:rsidP="00E54BD8">
      <w:pPr>
        <w:rPr>
          <w:rFonts w:ascii="Open Sans" w:hAnsi="Open Sans" w:cs="Open Sans"/>
          <w:szCs w:val="22"/>
        </w:rPr>
      </w:pPr>
    </w:p>
    <w:p w14:paraId="0A3DA2C6" w14:textId="431A851E" w:rsidR="00B315A8" w:rsidRDefault="001972D5" w:rsidP="00E54BD8">
      <w:pPr>
        <w:rPr>
          <w:rFonts w:ascii="Open Sans" w:hAnsi="Open Sans" w:cs="Open Sans"/>
          <w:szCs w:val="22"/>
        </w:rPr>
      </w:pPr>
      <w:r>
        <w:rPr>
          <w:rFonts w:ascii="Open Sans" w:hAnsi="Open Sans" w:cs="Open Sans"/>
          <w:szCs w:val="22"/>
        </w:rPr>
        <w:t>T</w:t>
      </w:r>
      <w:r w:rsidR="006550DA">
        <w:rPr>
          <w:rFonts w:ascii="Open Sans" w:hAnsi="Open Sans" w:cs="Open Sans"/>
          <w:szCs w:val="22"/>
        </w:rPr>
        <w:t xml:space="preserve">able </w:t>
      </w:r>
      <w:r>
        <w:rPr>
          <w:rFonts w:ascii="Open Sans" w:hAnsi="Open Sans" w:cs="Open Sans"/>
          <w:szCs w:val="22"/>
        </w:rPr>
        <w:t xml:space="preserve">two </w:t>
      </w:r>
      <w:r w:rsidR="00D43EA1">
        <w:rPr>
          <w:rFonts w:ascii="Open Sans" w:hAnsi="Open Sans" w:cs="Open Sans"/>
          <w:szCs w:val="22"/>
        </w:rPr>
        <w:t>demonstrate</w:t>
      </w:r>
      <w:r w:rsidR="006550DA">
        <w:rPr>
          <w:rFonts w:ascii="Open Sans" w:hAnsi="Open Sans" w:cs="Open Sans"/>
          <w:szCs w:val="22"/>
        </w:rPr>
        <w:t xml:space="preserve"> that a </w:t>
      </w:r>
      <w:r w:rsidR="00D43EA1">
        <w:rPr>
          <w:rFonts w:ascii="Open Sans" w:hAnsi="Open Sans" w:cs="Open Sans"/>
          <w:szCs w:val="22"/>
        </w:rPr>
        <w:t>flexible</w:t>
      </w:r>
      <w:r w:rsidR="006550DA">
        <w:rPr>
          <w:rFonts w:ascii="Open Sans" w:hAnsi="Open Sans" w:cs="Open Sans"/>
          <w:szCs w:val="22"/>
        </w:rPr>
        <w:t xml:space="preserve"> grant </w:t>
      </w:r>
      <w:r w:rsidR="00D43EA1">
        <w:rPr>
          <w:rFonts w:ascii="Open Sans" w:hAnsi="Open Sans" w:cs="Open Sans"/>
          <w:szCs w:val="22"/>
        </w:rPr>
        <w:t>allows for</w:t>
      </w:r>
      <w:r w:rsidR="00CD4AB6">
        <w:rPr>
          <w:rFonts w:ascii="Open Sans" w:hAnsi="Open Sans" w:cs="Open Sans"/>
          <w:szCs w:val="22"/>
        </w:rPr>
        <w:t xml:space="preserve"> projects across the proposed capacity range to deploy, with a similar level of each project covered by </w:t>
      </w:r>
      <w:r w:rsidR="00A638F5">
        <w:rPr>
          <w:rFonts w:ascii="Open Sans" w:hAnsi="Open Sans" w:cs="Open Sans"/>
          <w:szCs w:val="22"/>
        </w:rPr>
        <w:t>the</w:t>
      </w:r>
      <w:r w:rsidR="00CD4AB6">
        <w:rPr>
          <w:rFonts w:ascii="Open Sans" w:hAnsi="Open Sans" w:cs="Open Sans"/>
          <w:szCs w:val="22"/>
        </w:rPr>
        <w:t xml:space="preserve"> grant. Most significantly</w:t>
      </w:r>
      <w:r w:rsidR="00A638F5">
        <w:rPr>
          <w:rFonts w:ascii="Open Sans" w:hAnsi="Open Sans" w:cs="Open Sans"/>
          <w:szCs w:val="22"/>
        </w:rPr>
        <w:t xml:space="preserve">, </w:t>
      </w:r>
      <w:r w:rsidR="00CD4AB6">
        <w:rPr>
          <w:rFonts w:ascii="Open Sans" w:hAnsi="Open Sans" w:cs="Open Sans"/>
          <w:szCs w:val="22"/>
        </w:rPr>
        <w:t xml:space="preserve">a </w:t>
      </w:r>
      <w:r w:rsidR="00B315A8">
        <w:rPr>
          <w:rFonts w:ascii="Open Sans" w:hAnsi="Open Sans" w:cs="Open Sans"/>
          <w:szCs w:val="22"/>
        </w:rPr>
        <w:t>flexible</w:t>
      </w:r>
      <w:r w:rsidR="00CD4AB6">
        <w:rPr>
          <w:rFonts w:ascii="Open Sans" w:hAnsi="Open Sans" w:cs="Open Sans"/>
          <w:szCs w:val="22"/>
        </w:rPr>
        <w:t xml:space="preserve"> grant of £280/ k</w:t>
      </w:r>
      <w:r w:rsidR="00A638F5">
        <w:rPr>
          <w:rFonts w:ascii="Open Sans" w:hAnsi="Open Sans" w:cs="Open Sans"/>
          <w:szCs w:val="22"/>
        </w:rPr>
        <w:t>W</w:t>
      </w:r>
      <w:r w:rsidR="00CD4AB6">
        <w:rPr>
          <w:rFonts w:ascii="Open Sans" w:hAnsi="Open Sans" w:cs="Open Sans"/>
          <w:szCs w:val="22"/>
        </w:rPr>
        <w:t xml:space="preserve"> results in the consumer</w:t>
      </w:r>
      <w:r w:rsidR="00A638F5">
        <w:rPr>
          <w:rFonts w:ascii="Open Sans" w:hAnsi="Open Sans" w:cs="Open Sans"/>
          <w:szCs w:val="22"/>
        </w:rPr>
        <w:t xml:space="preserve"> </w:t>
      </w:r>
      <w:r w:rsidR="00335B9D">
        <w:rPr>
          <w:rFonts w:ascii="Open Sans" w:hAnsi="Open Sans" w:cs="Open Sans"/>
          <w:szCs w:val="22"/>
        </w:rPr>
        <w:t xml:space="preserve">having </w:t>
      </w:r>
      <w:r w:rsidR="00CD4AB6">
        <w:rPr>
          <w:rFonts w:ascii="Open Sans" w:hAnsi="Open Sans" w:cs="Open Sans"/>
          <w:szCs w:val="22"/>
        </w:rPr>
        <w:t>a remaining capital cost below £10,000 (</w:t>
      </w:r>
      <w:r w:rsidR="00CD4AB6" w:rsidRPr="00A638F5">
        <w:rPr>
          <w:rFonts w:ascii="Open Sans" w:hAnsi="Open Sans" w:cs="Open Sans"/>
          <w:i/>
          <w:iCs/>
          <w:color w:val="06926B"/>
          <w:szCs w:val="22"/>
        </w:rPr>
        <w:t>highlighted in green</w:t>
      </w:r>
      <w:r w:rsidR="00CD4AB6">
        <w:rPr>
          <w:rFonts w:ascii="Open Sans" w:hAnsi="Open Sans" w:cs="Open Sans"/>
          <w:szCs w:val="22"/>
        </w:rPr>
        <w:t>)</w:t>
      </w:r>
      <w:r w:rsidR="00A638F5">
        <w:rPr>
          <w:rFonts w:ascii="Open Sans" w:hAnsi="Open Sans" w:cs="Open Sans"/>
          <w:szCs w:val="22"/>
        </w:rPr>
        <w:t xml:space="preserve"> in most cases</w:t>
      </w:r>
      <w:r>
        <w:rPr>
          <w:rFonts w:ascii="Open Sans" w:hAnsi="Open Sans" w:cs="Open Sans"/>
          <w:szCs w:val="22"/>
        </w:rPr>
        <w:t>,</w:t>
      </w:r>
      <w:r w:rsidR="00A4375C">
        <w:rPr>
          <w:rFonts w:ascii="Open Sans" w:hAnsi="Open Sans" w:cs="Open Sans"/>
          <w:szCs w:val="22"/>
        </w:rPr>
        <w:t xml:space="preserve"> no matter the capacity being installed</w:t>
      </w:r>
      <w:r w:rsidR="00A638F5">
        <w:rPr>
          <w:rFonts w:ascii="Open Sans" w:hAnsi="Open Sans" w:cs="Open Sans"/>
          <w:szCs w:val="22"/>
        </w:rPr>
        <w:t>. This is</w:t>
      </w:r>
      <w:r w:rsidR="00B315A8">
        <w:rPr>
          <w:rFonts w:ascii="Open Sans" w:hAnsi="Open Sans" w:cs="Open Sans"/>
          <w:szCs w:val="22"/>
        </w:rPr>
        <w:t xml:space="preserve"> below the ‘psychological threshold’ identified in the consultation</w:t>
      </w:r>
      <w:r w:rsidR="00A638F5">
        <w:rPr>
          <w:rFonts w:ascii="Open Sans" w:hAnsi="Open Sans" w:cs="Open Sans"/>
          <w:szCs w:val="22"/>
        </w:rPr>
        <w:t xml:space="preserve"> as being critical to incentivising consumer uptake</w:t>
      </w:r>
      <w:r w:rsidR="00A4375C">
        <w:rPr>
          <w:rFonts w:ascii="Open Sans" w:hAnsi="Open Sans" w:cs="Open Sans"/>
          <w:szCs w:val="22"/>
        </w:rPr>
        <w:t xml:space="preserve">. </w:t>
      </w:r>
    </w:p>
    <w:p w14:paraId="68C131A0" w14:textId="5699A66F" w:rsidR="00B315A8" w:rsidRDefault="00B315A8" w:rsidP="00E54BD8">
      <w:pPr>
        <w:rPr>
          <w:rFonts w:ascii="Open Sans" w:hAnsi="Open Sans" w:cs="Open Sans"/>
          <w:szCs w:val="22"/>
        </w:rPr>
      </w:pPr>
    </w:p>
    <w:p w14:paraId="7BC3DCD8" w14:textId="28267B9F" w:rsidR="00927A06" w:rsidRDefault="00335B9D" w:rsidP="00E54BD8">
      <w:pPr>
        <w:rPr>
          <w:rFonts w:ascii="Open Sans" w:hAnsi="Open Sans" w:cs="Open Sans"/>
          <w:szCs w:val="22"/>
        </w:rPr>
      </w:pPr>
      <w:r>
        <w:rPr>
          <w:rFonts w:ascii="Open Sans" w:hAnsi="Open Sans" w:cs="Open Sans"/>
          <w:szCs w:val="22"/>
        </w:rPr>
        <w:t xml:space="preserve">As identified in answer to question 26 the grant should be accompanied by a </w:t>
      </w:r>
      <w:r w:rsidRPr="00273E54">
        <w:rPr>
          <w:rFonts w:ascii="Open Sans" w:hAnsi="Open Sans" w:cs="Open Sans"/>
          <w:szCs w:val="22"/>
        </w:rPr>
        <w:t xml:space="preserve">low-interest loan to help cover the remaining cost of the project. </w:t>
      </w:r>
    </w:p>
    <w:p w14:paraId="1CEA5F69" w14:textId="665B122A" w:rsidR="00335B9D" w:rsidRDefault="00335B9D" w:rsidP="00E54BD8">
      <w:pPr>
        <w:rPr>
          <w:rFonts w:ascii="Open Sans" w:hAnsi="Open Sans" w:cs="Open Sans"/>
          <w:szCs w:val="22"/>
        </w:rPr>
      </w:pPr>
    </w:p>
    <w:p w14:paraId="0DED9715" w14:textId="4F07FF30" w:rsidR="00E54BD8" w:rsidRPr="00F62AAD" w:rsidRDefault="00D3126D" w:rsidP="00926D06">
      <w:pPr>
        <w:rPr>
          <w:rFonts w:ascii="Arial" w:hAnsi="Arial" w:cs="Arial"/>
          <w:b/>
          <w:bCs/>
          <w:sz w:val="30"/>
          <w:szCs w:val="30"/>
        </w:rPr>
      </w:pPr>
      <w:r>
        <w:rPr>
          <w:rFonts w:ascii="Open Sans" w:hAnsi="Open Sans" w:cs="Open Sans"/>
          <w:b/>
          <w:bCs/>
          <w:szCs w:val="22"/>
        </w:rPr>
        <w:t xml:space="preserve">The </w:t>
      </w:r>
      <w:r w:rsidR="00F92FC6">
        <w:rPr>
          <w:rFonts w:ascii="Open Sans" w:hAnsi="Open Sans" w:cs="Open Sans"/>
          <w:b/>
          <w:bCs/>
          <w:szCs w:val="22"/>
        </w:rPr>
        <w:t>g</w:t>
      </w:r>
      <w:r w:rsidR="00335B9D" w:rsidRPr="00F62AAD">
        <w:rPr>
          <w:rFonts w:ascii="Open Sans" w:hAnsi="Open Sans" w:cs="Open Sans"/>
          <w:b/>
          <w:bCs/>
          <w:szCs w:val="22"/>
        </w:rPr>
        <w:t xml:space="preserve">rant </w:t>
      </w:r>
      <w:r w:rsidR="00F92FC6">
        <w:rPr>
          <w:rFonts w:ascii="Open Sans" w:hAnsi="Open Sans" w:cs="Open Sans"/>
          <w:b/>
          <w:bCs/>
          <w:szCs w:val="22"/>
        </w:rPr>
        <w:t>p</w:t>
      </w:r>
      <w:r w:rsidR="00335B9D" w:rsidRPr="00F62AAD">
        <w:rPr>
          <w:rFonts w:ascii="Open Sans" w:hAnsi="Open Sans" w:cs="Open Sans"/>
          <w:b/>
          <w:bCs/>
          <w:szCs w:val="22"/>
        </w:rPr>
        <w:t>rocess</w:t>
      </w:r>
      <w:r>
        <w:rPr>
          <w:rFonts w:ascii="Open Sans" w:hAnsi="Open Sans" w:cs="Open Sans"/>
          <w:b/>
          <w:bCs/>
          <w:szCs w:val="22"/>
        </w:rPr>
        <w:t xml:space="preserve"> can be designed to avoid unintended behaviours</w:t>
      </w:r>
    </w:p>
    <w:p w14:paraId="4D1D49D0" w14:textId="30AFD9F5" w:rsidR="00E54BD8" w:rsidRDefault="00E54BD8" w:rsidP="00926D06">
      <w:pPr>
        <w:rPr>
          <w:rFonts w:ascii="Arial" w:hAnsi="Arial" w:cs="Arial"/>
          <w:sz w:val="30"/>
          <w:szCs w:val="30"/>
        </w:rPr>
      </w:pPr>
    </w:p>
    <w:p w14:paraId="710132CD" w14:textId="676152A2" w:rsidR="00795275" w:rsidRDefault="00D3126D" w:rsidP="00926D06">
      <w:pPr>
        <w:rPr>
          <w:rFonts w:ascii="Open Sans" w:hAnsi="Open Sans" w:cs="Open Sans"/>
          <w:szCs w:val="22"/>
        </w:rPr>
      </w:pPr>
      <w:r>
        <w:rPr>
          <w:rFonts w:ascii="Open Sans" w:hAnsi="Open Sans" w:cs="Open Sans"/>
          <w:szCs w:val="22"/>
        </w:rPr>
        <w:t>T</w:t>
      </w:r>
      <w:r w:rsidR="00F62AAD">
        <w:rPr>
          <w:rFonts w:ascii="Open Sans" w:hAnsi="Open Sans" w:cs="Open Sans"/>
          <w:szCs w:val="22"/>
        </w:rPr>
        <w:t>he grant level can be based and issued in conjunction with the heat loss assessment</w:t>
      </w:r>
      <w:r w:rsidR="001972D5">
        <w:rPr>
          <w:rFonts w:ascii="Open Sans" w:hAnsi="Open Sans" w:cs="Open Sans"/>
          <w:szCs w:val="22"/>
        </w:rPr>
        <w:t xml:space="preserve"> which should be carried out for all applications</w:t>
      </w:r>
      <w:r w:rsidR="00F62AAD">
        <w:rPr>
          <w:rFonts w:ascii="Open Sans" w:hAnsi="Open Sans" w:cs="Open Sans"/>
          <w:szCs w:val="22"/>
        </w:rPr>
        <w:t>. The assessment will stipulate both the appropriateness of the technology being installed and the capacity required to effectively heat the building.</w:t>
      </w:r>
      <w:r w:rsidR="00795275">
        <w:rPr>
          <w:rFonts w:ascii="Open Sans" w:hAnsi="Open Sans" w:cs="Open Sans"/>
          <w:szCs w:val="22"/>
        </w:rPr>
        <w:t xml:space="preserve"> </w:t>
      </w:r>
    </w:p>
    <w:p w14:paraId="7E65D96C" w14:textId="77777777" w:rsidR="00795275" w:rsidRDefault="00795275" w:rsidP="00926D06">
      <w:pPr>
        <w:rPr>
          <w:rFonts w:ascii="Open Sans" w:hAnsi="Open Sans" w:cs="Open Sans"/>
          <w:szCs w:val="22"/>
        </w:rPr>
      </w:pPr>
    </w:p>
    <w:p w14:paraId="50B7C136" w14:textId="78FF35DC" w:rsidR="004F753B" w:rsidRDefault="00F62AAD" w:rsidP="00926D06">
      <w:pPr>
        <w:rPr>
          <w:rFonts w:ascii="Open Sans" w:hAnsi="Open Sans" w:cs="Open Sans"/>
          <w:szCs w:val="22"/>
        </w:rPr>
      </w:pPr>
      <w:r>
        <w:rPr>
          <w:rFonts w:ascii="Open Sans" w:hAnsi="Open Sans" w:cs="Open Sans"/>
          <w:szCs w:val="22"/>
        </w:rPr>
        <w:t xml:space="preserve">On acceptance of an application, </w:t>
      </w:r>
      <w:r w:rsidR="006A73D5">
        <w:rPr>
          <w:rFonts w:ascii="Open Sans" w:hAnsi="Open Sans" w:cs="Open Sans"/>
          <w:szCs w:val="22"/>
        </w:rPr>
        <w:t>which includes</w:t>
      </w:r>
      <w:r>
        <w:rPr>
          <w:rFonts w:ascii="Open Sans" w:hAnsi="Open Sans" w:cs="Open Sans"/>
          <w:szCs w:val="22"/>
        </w:rPr>
        <w:t xml:space="preserve"> a</w:t>
      </w:r>
      <w:r w:rsidR="006A73D5">
        <w:rPr>
          <w:rFonts w:ascii="Open Sans" w:hAnsi="Open Sans" w:cs="Open Sans"/>
          <w:szCs w:val="22"/>
        </w:rPr>
        <w:t>n</w:t>
      </w:r>
      <w:r>
        <w:rPr>
          <w:rFonts w:ascii="Open Sans" w:hAnsi="Open Sans" w:cs="Open Sans"/>
          <w:szCs w:val="22"/>
        </w:rPr>
        <w:t xml:space="preserve"> independent heat loss assessment, </w:t>
      </w:r>
      <w:r w:rsidR="006A73D5">
        <w:rPr>
          <w:rFonts w:ascii="Open Sans" w:hAnsi="Open Sans" w:cs="Open Sans"/>
          <w:szCs w:val="22"/>
        </w:rPr>
        <w:t>Ofgem w</w:t>
      </w:r>
      <w:r w:rsidR="00795275">
        <w:rPr>
          <w:rFonts w:ascii="Open Sans" w:hAnsi="Open Sans" w:cs="Open Sans"/>
          <w:szCs w:val="22"/>
        </w:rPr>
        <w:t>i</w:t>
      </w:r>
      <w:r w:rsidR="006A73D5">
        <w:rPr>
          <w:rFonts w:ascii="Open Sans" w:hAnsi="Open Sans" w:cs="Open Sans"/>
          <w:szCs w:val="22"/>
        </w:rPr>
        <w:t xml:space="preserve">ll be able to issue the grant voucher at a value </w:t>
      </w:r>
      <w:r>
        <w:rPr>
          <w:rFonts w:ascii="Open Sans" w:hAnsi="Open Sans" w:cs="Open Sans"/>
          <w:szCs w:val="22"/>
        </w:rPr>
        <w:t>based on the capacity recorded as required by the assessment. For example, if the capacity required is 20 k</w:t>
      </w:r>
      <w:r w:rsidR="00F92FC6">
        <w:rPr>
          <w:rFonts w:ascii="Open Sans" w:hAnsi="Open Sans" w:cs="Open Sans"/>
          <w:szCs w:val="22"/>
        </w:rPr>
        <w:t>W’s</w:t>
      </w:r>
      <w:r>
        <w:rPr>
          <w:rFonts w:ascii="Open Sans" w:hAnsi="Open Sans" w:cs="Open Sans"/>
          <w:szCs w:val="22"/>
        </w:rPr>
        <w:t>, and a grant of £280 per kW is applied, a vouche</w:t>
      </w:r>
      <w:r w:rsidR="006A73D5">
        <w:rPr>
          <w:rFonts w:ascii="Open Sans" w:hAnsi="Open Sans" w:cs="Open Sans"/>
          <w:szCs w:val="22"/>
        </w:rPr>
        <w:t xml:space="preserve">r </w:t>
      </w:r>
      <w:r>
        <w:rPr>
          <w:rFonts w:ascii="Open Sans" w:hAnsi="Open Sans" w:cs="Open Sans"/>
          <w:szCs w:val="22"/>
        </w:rPr>
        <w:t xml:space="preserve">for £5600 </w:t>
      </w:r>
      <w:r w:rsidR="004F753B">
        <w:rPr>
          <w:rFonts w:ascii="Open Sans" w:hAnsi="Open Sans" w:cs="Open Sans"/>
          <w:szCs w:val="22"/>
        </w:rPr>
        <w:t xml:space="preserve">would be issued. </w:t>
      </w:r>
      <w:r w:rsidR="00795275">
        <w:rPr>
          <w:rFonts w:ascii="Open Sans" w:hAnsi="Open Sans" w:cs="Open Sans"/>
          <w:szCs w:val="22"/>
        </w:rPr>
        <w:t xml:space="preserve">This can be done with the assurance that the project is appropriately sized and well designed to meet the heat needs </w:t>
      </w:r>
      <w:r w:rsidR="00E76400">
        <w:rPr>
          <w:rFonts w:ascii="Open Sans" w:hAnsi="Open Sans" w:cs="Open Sans"/>
          <w:szCs w:val="22"/>
        </w:rPr>
        <w:t>of</w:t>
      </w:r>
      <w:r w:rsidR="00795275">
        <w:rPr>
          <w:rFonts w:ascii="Open Sans" w:hAnsi="Open Sans" w:cs="Open Sans"/>
          <w:szCs w:val="22"/>
        </w:rPr>
        <w:t xml:space="preserve"> the property</w:t>
      </w:r>
      <w:r w:rsidR="00F92FC6">
        <w:rPr>
          <w:rFonts w:ascii="Open Sans" w:hAnsi="Open Sans" w:cs="Open Sans"/>
          <w:szCs w:val="22"/>
        </w:rPr>
        <w:t>.</w:t>
      </w:r>
      <w:r w:rsidR="00795275">
        <w:rPr>
          <w:rFonts w:ascii="Open Sans" w:hAnsi="Open Sans" w:cs="Open Sans"/>
          <w:szCs w:val="22"/>
        </w:rPr>
        <w:t xml:space="preserve"> </w:t>
      </w:r>
    </w:p>
    <w:p w14:paraId="19F245C2" w14:textId="77777777" w:rsidR="004F753B" w:rsidRDefault="004F753B" w:rsidP="00926D06">
      <w:pPr>
        <w:rPr>
          <w:rFonts w:ascii="Open Sans" w:hAnsi="Open Sans" w:cs="Open Sans"/>
          <w:szCs w:val="22"/>
        </w:rPr>
      </w:pPr>
    </w:p>
    <w:p w14:paraId="65494672" w14:textId="079E3606" w:rsidR="00F62AAD" w:rsidRPr="00F62AAD" w:rsidRDefault="004F753B" w:rsidP="00926D06">
      <w:pPr>
        <w:rPr>
          <w:rFonts w:ascii="Open Sans" w:hAnsi="Open Sans" w:cs="Open Sans"/>
          <w:szCs w:val="22"/>
        </w:rPr>
      </w:pPr>
      <w:r>
        <w:rPr>
          <w:rFonts w:ascii="Open Sans" w:hAnsi="Open Sans" w:cs="Open Sans"/>
          <w:szCs w:val="22"/>
        </w:rPr>
        <w:t>By avoiding explicit tiers and basing the grant on</w:t>
      </w:r>
      <w:r w:rsidR="006A73D5">
        <w:rPr>
          <w:rFonts w:ascii="Open Sans" w:hAnsi="Open Sans" w:cs="Open Sans"/>
          <w:szCs w:val="22"/>
        </w:rPr>
        <w:t xml:space="preserve"> the</w:t>
      </w:r>
      <w:r>
        <w:rPr>
          <w:rFonts w:ascii="Open Sans" w:hAnsi="Open Sans" w:cs="Open Sans"/>
          <w:szCs w:val="22"/>
        </w:rPr>
        <w:t xml:space="preserve"> heat loss assessment, the scheme should be able to avoid the oversizing issues</w:t>
      </w:r>
      <w:r w:rsidR="00D3126D">
        <w:rPr>
          <w:rFonts w:ascii="Open Sans" w:hAnsi="Open Sans" w:cs="Open Sans"/>
          <w:szCs w:val="22"/>
        </w:rPr>
        <w:t xml:space="preserve"> or multiple boiler issue</w:t>
      </w:r>
      <w:r w:rsidR="00795275">
        <w:rPr>
          <w:rFonts w:ascii="Open Sans" w:hAnsi="Open Sans" w:cs="Open Sans"/>
          <w:szCs w:val="22"/>
        </w:rPr>
        <w:t xml:space="preserve">s </w:t>
      </w:r>
      <w:r>
        <w:rPr>
          <w:rFonts w:ascii="Open Sans" w:hAnsi="Open Sans" w:cs="Open Sans"/>
          <w:szCs w:val="22"/>
        </w:rPr>
        <w:t xml:space="preserve">experienced in the non-domestic RHI. </w:t>
      </w:r>
      <w:r w:rsidR="00F62AAD">
        <w:rPr>
          <w:rFonts w:ascii="Open Sans" w:hAnsi="Open Sans" w:cs="Open Sans"/>
          <w:szCs w:val="22"/>
        </w:rPr>
        <w:t xml:space="preserve"> </w:t>
      </w:r>
    </w:p>
    <w:p w14:paraId="438EAB48" w14:textId="77777777" w:rsidR="00F62AAD" w:rsidRDefault="00F62AAD" w:rsidP="00926D06">
      <w:pPr>
        <w:rPr>
          <w:rFonts w:ascii="Arial" w:hAnsi="Arial" w:cs="Arial"/>
          <w:sz w:val="30"/>
          <w:szCs w:val="30"/>
        </w:rPr>
      </w:pPr>
    </w:p>
    <w:p w14:paraId="56DB850B" w14:textId="769F4C61" w:rsidR="000D49A6" w:rsidRPr="00D11867" w:rsidRDefault="00D11867" w:rsidP="00926D06">
      <w:pPr>
        <w:rPr>
          <w:rFonts w:ascii="Open Sans" w:hAnsi="Open Sans" w:cs="Open Sans"/>
          <w:b/>
          <w:bCs/>
          <w:i/>
          <w:iCs/>
          <w:color w:val="2F5496"/>
          <w:szCs w:val="22"/>
        </w:rPr>
      </w:pPr>
      <w:r w:rsidRPr="00D11867">
        <w:rPr>
          <w:rFonts w:ascii="Open Sans" w:hAnsi="Open Sans" w:cs="Open Sans"/>
          <w:b/>
          <w:bCs/>
          <w:i/>
          <w:iCs/>
          <w:color w:val="2F5496"/>
          <w:szCs w:val="22"/>
        </w:rPr>
        <w:t xml:space="preserve">Question 28 - </w:t>
      </w:r>
      <w:r w:rsidR="000D49A6" w:rsidRPr="00D11867">
        <w:rPr>
          <w:rFonts w:ascii="Open Sans" w:hAnsi="Open Sans" w:cs="Open Sans"/>
          <w:b/>
          <w:bCs/>
          <w:i/>
          <w:iCs/>
          <w:color w:val="2F5496"/>
          <w:szCs w:val="22"/>
        </w:rPr>
        <w:t>Please provide any relevant views to help inform development of the delivery mechanism</w:t>
      </w:r>
    </w:p>
    <w:p w14:paraId="32720EFB" w14:textId="32A5C108" w:rsidR="000D49A6" w:rsidRDefault="000D49A6" w:rsidP="00926D06">
      <w:pPr>
        <w:rPr>
          <w:rFonts w:ascii="Open Sans" w:hAnsi="Open Sans" w:cs="Open Sans"/>
          <w:szCs w:val="22"/>
        </w:rPr>
      </w:pPr>
    </w:p>
    <w:p w14:paraId="043A68A6" w14:textId="4FCD5FE7" w:rsidR="00D11867" w:rsidRDefault="002120D5" w:rsidP="00926D06">
      <w:pPr>
        <w:rPr>
          <w:rFonts w:ascii="Open Sans" w:hAnsi="Open Sans" w:cs="Open Sans"/>
          <w:szCs w:val="22"/>
        </w:rPr>
      </w:pPr>
      <w:r>
        <w:rPr>
          <w:rFonts w:ascii="Open Sans" w:hAnsi="Open Sans" w:cs="Open Sans"/>
          <w:szCs w:val="22"/>
        </w:rPr>
        <w:t xml:space="preserve">We </w:t>
      </w:r>
      <w:r w:rsidR="00D11867">
        <w:rPr>
          <w:rFonts w:ascii="Open Sans" w:hAnsi="Open Sans" w:cs="Open Sans"/>
          <w:szCs w:val="22"/>
        </w:rPr>
        <w:t>welcome</w:t>
      </w:r>
      <w:r>
        <w:rPr>
          <w:rFonts w:ascii="Open Sans" w:hAnsi="Open Sans" w:cs="Open Sans"/>
          <w:szCs w:val="22"/>
        </w:rPr>
        <w:t xml:space="preserve"> BEIS’s </w:t>
      </w:r>
      <w:r w:rsidR="00D11867">
        <w:rPr>
          <w:rFonts w:ascii="Open Sans" w:hAnsi="Open Sans" w:cs="Open Sans"/>
          <w:szCs w:val="22"/>
        </w:rPr>
        <w:t xml:space="preserve">intention </w:t>
      </w:r>
      <w:r>
        <w:rPr>
          <w:rFonts w:ascii="Open Sans" w:hAnsi="Open Sans" w:cs="Open Sans"/>
          <w:szCs w:val="22"/>
        </w:rPr>
        <w:t xml:space="preserve">to make the delivery of the grant as straight forward as possible. </w:t>
      </w:r>
    </w:p>
    <w:p w14:paraId="14E4F238" w14:textId="77777777" w:rsidR="00D11867" w:rsidRDefault="00D11867" w:rsidP="00926D06">
      <w:pPr>
        <w:rPr>
          <w:rFonts w:ascii="Open Sans" w:hAnsi="Open Sans" w:cs="Open Sans"/>
          <w:szCs w:val="22"/>
        </w:rPr>
      </w:pPr>
    </w:p>
    <w:p w14:paraId="79AF9EB5" w14:textId="32A14BAC" w:rsidR="005974A0" w:rsidRPr="005974A0" w:rsidRDefault="005974A0" w:rsidP="00926D06">
      <w:pPr>
        <w:rPr>
          <w:rFonts w:ascii="Open Sans" w:hAnsi="Open Sans" w:cs="Open Sans"/>
          <w:b/>
          <w:bCs/>
          <w:szCs w:val="22"/>
        </w:rPr>
      </w:pPr>
      <w:r w:rsidRPr="005974A0">
        <w:rPr>
          <w:rFonts w:ascii="Open Sans" w:hAnsi="Open Sans" w:cs="Open Sans"/>
          <w:b/>
          <w:bCs/>
          <w:szCs w:val="22"/>
        </w:rPr>
        <w:t xml:space="preserve">The size of the project will need to be stated in stage 1 and justified in stage 2. </w:t>
      </w:r>
    </w:p>
    <w:p w14:paraId="00106EF7" w14:textId="77777777" w:rsidR="005974A0" w:rsidRDefault="005974A0" w:rsidP="00926D06">
      <w:pPr>
        <w:rPr>
          <w:rFonts w:ascii="Open Sans" w:hAnsi="Open Sans" w:cs="Open Sans"/>
          <w:szCs w:val="22"/>
        </w:rPr>
      </w:pPr>
    </w:p>
    <w:p w14:paraId="1BEB2973" w14:textId="0492A0D9" w:rsidR="002120D5" w:rsidRDefault="00D11867" w:rsidP="00926D06">
      <w:pPr>
        <w:rPr>
          <w:rFonts w:ascii="Open Sans" w:hAnsi="Open Sans" w:cs="Open Sans"/>
          <w:szCs w:val="22"/>
        </w:rPr>
      </w:pPr>
      <w:r>
        <w:rPr>
          <w:rFonts w:ascii="Open Sans" w:hAnsi="Open Sans" w:cs="Open Sans"/>
          <w:szCs w:val="22"/>
        </w:rPr>
        <w:t>Given the above suggestion</w:t>
      </w:r>
      <w:r w:rsidR="00F41DA3">
        <w:rPr>
          <w:rFonts w:ascii="Open Sans" w:hAnsi="Open Sans" w:cs="Open Sans"/>
          <w:szCs w:val="22"/>
        </w:rPr>
        <w:t xml:space="preserve"> </w:t>
      </w:r>
      <w:r>
        <w:rPr>
          <w:rFonts w:ascii="Open Sans" w:hAnsi="Open Sans" w:cs="Open Sans"/>
          <w:szCs w:val="22"/>
        </w:rPr>
        <w:t xml:space="preserve">for a </w:t>
      </w:r>
      <w:r w:rsidR="00F41DA3">
        <w:rPr>
          <w:rFonts w:ascii="Open Sans" w:hAnsi="Open Sans" w:cs="Open Sans"/>
          <w:szCs w:val="22"/>
        </w:rPr>
        <w:t xml:space="preserve">flexible grant based </w:t>
      </w:r>
      <w:r w:rsidR="002C2621">
        <w:rPr>
          <w:rFonts w:ascii="Open Sans" w:hAnsi="Open Sans" w:cs="Open Sans"/>
          <w:szCs w:val="22"/>
        </w:rPr>
        <w:t>on per kW</w:t>
      </w:r>
      <w:r w:rsidR="00F41DA3">
        <w:rPr>
          <w:rFonts w:ascii="Open Sans" w:hAnsi="Open Sans" w:cs="Open Sans"/>
          <w:szCs w:val="22"/>
        </w:rPr>
        <w:t xml:space="preserve"> deployed, the</w:t>
      </w:r>
      <w:r w:rsidR="000F74F4">
        <w:rPr>
          <w:rFonts w:ascii="Open Sans" w:hAnsi="Open Sans" w:cs="Open Sans"/>
          <w:szCs w:val="22"/>
        </w:rPr>
        <w:t xml:space="preserve"> first stage</w:t>
      </w:r>
      <w:r w:rsidR="00F41DA3">
        <w:rPr>
          <w:rFonts w:ascii="Open Sans" w:hAnsi="Open Sans" w:cs="Open Sans"/>
          <w:szCs w:val="22"/>
        </w:rPr>
        <w:t xml:space="preserve"> </w:t>
      </w:r>
      <w:r w:rsidR="002C2621">
        <w:rPr>
          <w:rFonts w:ascii="Open Sans" w:hAnsi="Open Sans" w:cs="Open Sans"/>
          <w:szCs w:val="22"/>
        </w:rPr>
        <w:t xml:space="preserve">of the </w:t>
      </w:r>
      <w:r w:rsidR="00F41DA3">
        <w:rPr>
          <w:rFonts w:ascii="Open Sans" w:hAnsi="Open Sans" w:cs="Open Sans"/>
          <w:szCs w:val="22"/>
        </w:rPr>
        <w:t>application</w:t>
      </w:r>
      <w:r w:rsidR="000F74F4">
        <w:rPr>
          <w:rFonts w:ascii="Open Sans" w:hAnsi="Open Sans" w:cs="Open Sans"/>
          <w:szCs w:val="22"/>
        </w:rPr>
        <w:t xml:space="preserve"> will need </w:t>
      </w:r>
      <w:r w:rsidR="00F41DA3">
        <w:rPr>
          <w:rFonts w:ascii="Open Sans" w:hAnsi="Open Sans" w:cs="Open Sans"/>
          <w:szCs w:val="22"/>
        </w:rPr>
        <w:t xml:space="preserve">to include a statement on the size of the project </w:t>
      </w:r>
      <w:r w:rsidR="002C2621">
        <w:rPr>
          <w:rFonts w:ascii="Open Sans" w:hAnsi="Open Sans" w:cs="Open Sans"/>
          <w:szCs w:val="22"/>
        </w:rPr>
        <w:t>required</w:t>
      </w:r>
      <w:r w:rsidR="00F41DA3">
        <w:rPr>
          <w:rFonts w:ascii="Open Sans" w:hAnsi="Open Sans" w:cs="Open Sans"/>
          <w:szCs w:val="22"/>
        </w:rPr>
        <w:t>.</w:t>
      </w:r>
      <w:r w:rsidR="002C2621">
        <w:rPr>
          <w:rFonts w:ascii="Open Sans" w:hAnsi="Open Sans" w:cs="Open Sans"/>
          <w:szCs w:val="22"/>
        </w:rPr>
        <w:t xml:space="preserve"> This will </w:t>
      </w:r>
      <w:r w:rsidR="002C2621">
        <w:rPr>
          <w:rFonts w:ascii="Open Sans" w:hAnsi="Open Sans" w:cs="Open Sans"/>
          <w:szCs w:val="22"/>
        </w:rPr>
        <w:lastRenderedPageBreak/>
        <w:t xml:space="preserve">need to be backed up within stage two with a heat loss assessment that demonstrates the installation is correctly sized and that the grant is issued at a fair level. This also means that a heat loss assessment is required for all projects, not just biomass boiler installations. </w:t>
      </w:r>
    </w:p>
    <w:p w14:paraId="0AAAC97B" w14:textId="53EE32D3" w:rsidR="002C2621" w:rsidRDefault="002C2621" w:rsidP="00926D06">
      <w:pPr>
        <w:rPr>
          <w:rFonts w:ascii="Open Sans" w:hAnsi="Open Sans" w:cs="Open Sans"/>
          <w:szCs w:val="22"/>
        </w:rPr>
      </w:pPr>
    </w:p>
    <w:p w14:paraId="26E5498E" w14:textId="705BA50F" w:rsidR="00B9181D" w:rsidRDefault="002C2621" w:rsidP="00926D06">
      <w:pPr>
        <w:rPr>
          <w:rFonts w:ascii="Open Sans" w:hAnsi="Open Sans" w:cs="Open Sans"/>
          <w:szCs w:val="22"/>
        </w:rPr>
      </w:pPr>
      <w:r>
        <w:rPr>
          <w:rFonts w:ascii="Open Sans" w:hAnsi="Open Sans" w:cs="Open Sans"/>
          <w:szCs w:val="22"/>
        </w:rPr>
        <w:t xml:space="preserve">Given the intention to make the first stage of the </w:t>
      </w:r>
      <w:r w:rsidR="00B9181D">
        <w:rPr>
          <w:rFonts w:ascii="Open Sans" w:hAnsi="Open Sans" w:cs="Open Sans"/>
          <w:szCs w:val="22"/>
        </w:rPr>
        <w:t xml:space="preserve">application consumer led, it will be important that the applicant is made aware that the grant they receive is based on the size of the project installed and that this will need </w:t>
      </w:r>
      <w:r w:rsidR="00B30129">
        <w:rPr>
          <w:rFonts w:ascii="Open Sans" w:hAnsi="Open Sans" w:cs="Open Sans"/>
          <w:szCs w:val="22"/>
        </w:rPr>
        <w:t>to be</w:t>
      </w:r>
      <w:r w:rsidR="00B9181D">
        <w:rPr>
          <w:rFonts w:ascii="Open Sans" w:hAnsi="Open Sans" w:cs="Open Sans"/>
          <w:szCs w:val="22"/>
        </w:rPr>
        <w:t xml:space="preserve"> appropriately justified by the installer in stage 2. It is important that consumers are protected during this process and that in the event that they have been miss sold an installation, that can then not be justified in stage 2, the remaining cost does not revert to the consumer. This </w:t>
      </w:r>
      <w:r w:rsidR="007E665F">
        <w:rPr>
          <w:rFonts w:ascii="Open Sans" w:hAnsi="Open Sans" w:cs="Open Sans"/>
          <w:szCs w:val="22"/>
        </w:rPr>
        <w:t>will</w:t>
      </w:r>
      <w:r w:rsidR="00B9181D">
        <w:rPr>
          <w:rFonts w:ascii="Open Sans" w:hAnsi="Open Sans" w:cs="Open Sans"/>
          <w:szCs w:val="22"/>
        </w:rPr>
        <w:t xml:space="preserve"> help to ensure installers design and install appropriately sized projects, as failure to secure a grant could see costs come back to them. </w:t>
      </w:r>
    </w:p>
    <w:p w14:paraId="650640C3" w14:textId="3BEF5A79" w:rsidR="00B9181D" w:rsidRDefault="00B9181D" w:rsidP="00926D06">
      <w:pPr>
        <w:rPr>
          <w:rFonts w:ascii="Open Sans" w:hAnsi="Open Sans" w:cs="Open Sans"/>
          <w:szCs w:val="22"/>
        </w:rPr>
      </w:pPr>
    </w:p>
    <w:p w14:paraId="3538BCFE" w14:textId="685A033C" w:rsidR="005974A0" w:rsidRPr="005974A0" w:rsidRDefault="005974A0" w:rsidP="00926D06">
      <w:pPr>
        <w:rPr>
          <w:rFonts w:ascii="Open Sans" w:hAnsi="Open Sans" w:cs="Open Sans"/>
          <w:b/>
          <w:bCs/>
          <w:szCs w:val="22"/>
        </w:rPr>
      </w:pPr>
      <w:r w:rsidRPr="005974A0">
        <w:rPr>
          <w:rFonts w:ascii="Open Sans" w:hAnsi="Open Sans" w:cs="Open Sans"/>
          <w:b/>
          <w:bCs/>
          <w:szCs w:val="22"/>
        </w:rPr>
        <w:t>A transparent process of recycling unspent budget is required in the legislation.</w:t>
      </w:r>
    </w:p>
    <w:p w14:paraId="79D3B3A3" w14:textId="77777777" w:rsidR="005974A0" w:rsidRDefault="005974A0" w:rsidP="00926D06">
      <w:pPr>
        <w:rPr>
          <w:rFonts w:ascii="Open Sans" w:hAnsi="Open Sans" w:cs="Open Sans"/>
          <w:szCs w:val="22"/>
        </w:rPr>
      </w:pPr>
    </w:p>
    <w:p w14:paraId="4BA87F8F" w14:textId="58B65755" w:rsidR="00B9181D" w:rsidRDefault="007E665F" w:rsidP="00926D06">
      <w:pPr>
        <w:rPr>
          <w:rFonts w:ascii="Open Sans" w:hAnsi="Open Sans" w:cs="Open Sans"/>
          <w:szCs w:val="22"/>
        </w:rPr>
      </w:pPr>
      <w:r>
        <w:rPr>
          <w:rFonts w:ascii="Open Sans" w:hAnsi="Open Sans" w:cs="Open Sans"/>
          <w:szCs w:val="22"/>
        </w:rPr>
        <w:t>W</w:t>
      </w:r>
      <w:r w:rsidR="00B9181D">
        <w:rPr>
          <w:rFonts w:ascii="Open Sans" w:hAnsi="Open Sans" w:cs="Open Sans"/>
          <w:szCs w:val="22"/>
        </w:rPr>
        <w:t xml:space="preserve">e support the intention to ensure that vouchers are redeemed in a reasonable </w:t>
      </w:r>
      <w:r>
        <w:rPr>
          <w:rFonts w:ascii="Open Sans" w:hAnsi="Open Sans" w:cs="Open Sans"/>
          <w:szCs w:val="22"/>
        </w:rPr>
        <w:t>time</w:t>
      </w:r>
      <w:r w:rsidR="00B9181D">
        <w:rPr>
          <w:rFonts w:ascii="Open Sans" w:hAnsi="Open Sans" w:cs="Open Sans"/>
          <w:szCs w:val="22"/>
        </w:rPr>
        <w:t xml:space="preserve"> and that unused vouchers are cancelled so that funding can be released for other applicants</w:t>
      </w:r>
      <w:r>
        <w:rPr>
          <w:rFonts w:ascii="Open Sans" w:hAnsi="Open Sans" w:cs="Open Sans"/>
          <w:szCs w:val="22"/>
        </w:rPr>
        <w:t>. This has been a major issue within previous power and heat</w:t>
      </w:r>
      <w:r w:rsidR="00B30129">
        <w:rPr>
          <w:rFonts w:ascii="Open Sans" w:hAnsi="Open Sans" w:cs="Open Sans"/>
          <w:szCs w:val="22"/>
        </w:rPr>
        <w:t xml:space="preserve"> support</w:t>
      </w:r>
      <w:r>
        <w:rPr>
          <w:rFonts w:ascii="Open Sans" w:hAnsi="Open Sans" w:cs="Open Sans"/>
          <w:szCs w:val="22"/>
        </w:rPr>
        <w:t xml:space="preserve"> mechanism</w:t>
      </w:r>
      <w:r w:rsidR="005974A0">
        <w:rPr>
          <w:rFonts w:ascii="Open Sans" w:hAnsi="Open Sans" w:cs="Open Sans"/>
          <w:szCs w:val="22"/>
        </w:rPr>
        <w:t xml:space="preserve">. For </w:t>
      </w:r>
      <w:r>
        <w:rPr>
          <w:rFonts w:ascii="Open Sans" w:hAnsi="Open Sans" w:cs="Open Sans"/>
          <w:szCs w:val="22"/>
        </w:rPr>
        <w:t>example</w:t>
      </w:r>
      <w:r w:rsidR="005974A0">
        <w:rPr>
          <w:rFonts w:ascii="Open Sans" w:hAnsi="Open Sans" w:cs="Open Sans"/>
          <w:szCs w:val="22"/>
        </w:rPr>
        <w:t>,</w:t>
      </w:r>
      <w:r>
        <w:rPr>
          <w:rFonts w:ascii="Open Sans" w:hAnsi="Open Sans" w:cs="Open Sans"/>
          <w:szCs w:val="22"/>
        </w:rPr>
        <w:t xml:space="preserve"> the </w:t>
      </w:r>
      <w:proofErr w:type="spellStart"/>
      <w:r>
        <w:rPr>
          <w:rFonts w:ascii="Open Sans" w:hAnsi="Open Sans" w:cs="Open Sans"/>
          <w:szCs w:val="22"/>
        </w:rPr>
        <w:t>FiT</w:t>
      </w:r>
      <w:proofErr w:type="spellEnd"/>
      <w:r>
        <w:rPr>
          <w:rFonts w:ascii="Open Sans" w:hAnsi="Open Sans" w:cs="Open Sans"/>
          <w:szCs w:val="22"/>
        </w:rPr>
        <w:t xml:space="preserve"> scheme</w:t>
      </w:r>
      <w:r w:rsidR="00B30129">
        <w:rPr>
          <w:rFonts w:ascii="Open Sans" w:hAnsi="Open Sans" w:cs="Open Sans"/>
          <w:szCs w:val="22"/>
        </w:rPr>
        <w:t xml:space="preserve"> </w:t>
      </w:r>
      <w:r>
        <w:rPr>
          <w:rFonts w:ascii="Open Sans" w:hAnsi="Open Sans" w:cs="Open Sans"/>
          <w:szCs w:val="22"/>
        </w:rPr>
        <w:t>had no mechanism to see spending</w:t>
      </w:r>
      <w:r w:rsidR="00B30129">
        <w:rPr>
          <w:rFonts w:ascii="Open Sans" w:hAnsi="Open Sans" w:cs="Open Sans"/>
          <w:szCs w:val="22"/>
        </w:rPr>
        <w:t xml:space="preserve">, that had been locked in by a tariff guarantee, </w:t>
      </w:r>
      <w:r>
        <w:rPr>
          <w:rFonts w:ascii="Open Sans" w:hAnsi="Open Sans" w:cs="Open Sans"/>
          <w:szCs w:val="22"/>
        </w:rPr>
        <w:t>recycled when it became apparent a project was not going to be built</w:t>
      </w:r>
      <w:r w:rsidR="005974A0">
        <w:rPr>
          <w:rFonts w:ascii="Open Sans" w:hAnsi="Open Sans" w:cs="Open Sans"/>
          <w:szCs w:val="22"/>
        </w:rPr>
        <w:t xml:space="preserve"> and the tariff</w:t>
      </w:r>
      <w:r w:rsidR="00B30129">
        <w:rPr>
          <w:rFonts w:ascii="Open Sans" w:hAnsi="Open Sans" w:cs="Open Sans"/>
          <w:szCs w:val="22"/>
        </w:rPr>
        <w:t xml:space="preserve"> surrendered</w:t>
      </w:r>
      <w:r w:rsidR="005974A0">
        <w:rPr>
          <w:rFonts w:ascii="Open Sans" w:hAnsi="Open Sans" w:cs="Open Sans"/>
          <w:szCs w:val="22"/>
        </w:rPr>
        <w:t xml:space="preserve">. A transparent mechanism that sees the budget recycled, if a voucher is cancelled, needs to be carefully considered within the legislation for the </w:t>
      </w:r>
      <w:r w:rsidR="00B30129">
        <w:rPr>
          <w:rFonts w:ascii="Open Sans" w:hAnsi="Open Sans" w:cs="Open Sans"/>
          <w:szCs w:val="22"/>
        </w:rPr>
        <w:t>new</w:t>
      </w:r>
      <w:r w:rsidR="005974A0">
        <w:rPr>
          <w:rFonts w:ascii="Open Sans" w:hAnsi="Open Sans" w:cs="Open Sans"/>
          <w:szCs w:val="22"/>
        </w:rPr>
        <w:t xml:space="preserve"> scheme. </w:t>
      </w:r>
    </w:p>
    <w:p w14:paraId="2E89A488" w14:textId="7179AF79" w:rsidR="005974A0" w:rsidRDefault="005974A0" w:rsidP="00926D06">
      <w:pPr>
        <w:rPr>
          <w:rFonts w:ascii="Open Sans" w:hAnsi="Open Sans" w:cs="Open Sans"/>
          <w:szCs w:val="22"/>
        </w:rPr>
      </w:pPr>
    </w:p>
    <w:p w14:paraId="242A0E8A" w14:textId="46BB133A" w:rsidR="00F41DA3" w:rsidRPr="002206C8" w:rsidRDefault="002206C8" w:rsidP="00926D06">
      <w:pPr>
        <w:rPr>
          <w:rFonts w:ascii="Open Sans" w:hAnsi="Open Sans" w:cs="Open Sans"/>
          <w:b/>
          <w:bCs/>
          <w:szCs w:val="22"/>
        </w:rPr>
      </w:pPr>
      <w:r w:rsidRPr="002206C8">
        <w:rPr>
          <w:rFonts w:ascii="Open Sans" w:hAnsi="Open Sans" w:cs="Open Sans"/>
          <w:b/>
          <w:bCs/>
          <w:szCs w:val="22"/>
        </w:rPr>
        <w:t xml:space="preserve">Clear KPI’s must be published for Ofgem and </w:t>
      </w:r>
      <w:r>
        <w:rPr>
          <w:rFonts w:ascii="Open Sans" w:hAnsi="Open Sans" w:cs="Open Sans"/>
          <w:b/>
          <w:bCs/>
          <w:szCs w:val="22"/>
        </w:rPr>
        <w:t xml:space="preserve">BEIS must hold them accountable </w:t>
      </w:r>
      <w:r w:rsidR="00E76400">
        <w:rPr>
          <w:rFonts w:ascii="Open Sans" w:hAnsi="Open Sans" w:cs="Open Sans"/>
          <w:b/>
          <w:bCs/>
          <w:szCs w:val="22"/>
        </w:rPr>
        <w:t>on</w:t>
      </w:r>
      <w:r>
        <w:rPr>
          <w:rFonts w:ascii="Open Sans" w:hAnsi="Open Sans" w:cs="Open Sans"/>
          <w:b/>
          <w:bCs/>
          <w:szCs w:val="22"/>
        </w:rPr>
        <w:t xml:space="preserve"> the scheme’s delivery. </w:t>
      </w:r>
    </w:p>
    <w:p w14:paraId="5138A87C" w14:textId="25072E5A" w:rsidR="00F41DA3" w:rsidRDefault="00F41DA3" w:rsidP="00926D06">
      <w:pPr>
        <w:rPr>
          <w:rFonts w:ascii="Open Sans" w:hAnsi="Open Sans" w:cs="Open Sans"/>
          <w:szCs w:val="22"/>
        </w:rPr>
      </w:pPr>
    </w:p>
    <w:p w14:paraId="44846C99" w14:textId="1E8402F2" w:rsidR="00F64F26" w:rsidRDefault="002206C8" w:rsidP="002206C8">
      <w:pPr>
        <w:rPr>
          <w:rFonts w:ascii="Open Sans" w:hAnsi="Open Sans" w:cs="Open Sans"/>
        </w:rPr>
      </w:pPr>
      <w:r>
        <w:rPr>
          <w:rFonts w:ascii="Open Sans" w:hAnsi="Open Sans" w:cs="Open Sans"/>
        </w:rPr>
        <w:t xml:space="preserve">Over the </w:t>
      </w:r>
      <w:r w:rsidR="00F64F26">
        <w:rPr>
          <w:rFonts w:ascii="Open Sans" w:hAnsi="Open Sans" w:cs="Open Sans"/>
        </w:rPr>
        <w:t xml:space="preserve">life of the RHI </w:t>
      </w:r>
      <w:r>
        <w:rPr>
          <w:rFonts w:ascii="Open Sans" w:hAnsi="Open Sans" w:cs="Open Sans"/>
        </w:rPr>
        <w:t>the REA has regularly engaged with Ofgem</w:t>
      </w:r>
      <w:r w:rsidR="00DC03AF">
        <w:rPr>
          <w:rFonts w:ascii="Open Sans" w:hAnsi="Open Sans" w:cs="Open Sans"/>
        </w:rPr>
        <w:t xml:space="preserve"> E-Serve</w:t>
      </w:r>
      <w:r w:rsidR="00F64F26">
        <w:rPr>
          <w:rFonts w:ascii="Open Sans" w:hAnsi="Open Sans" w:cs="Open Sans"/>
        </w:rPr>
        <w:t xml:space="preserve"> </w:t>
      </w:r>
      <w:r>
        <w:rPr>
          <w:rFonts w:ascii="Open Sans" w:hAnsi="Open Sans" w:cs="Open Sans"/>
        </w:rPr>
        <w:t>concerning our member’s</w:t>
      </w:r>
      <w:r w:rsidR="00F64F26">
        <w:rPr>
          <w:rFonts w:ascii="Open Sans" w:hAnsi="Open Sans" w:cs="Open Sans"/>
        </w:rPr>
        <w:t xml:space="preserve"> deep</w:t>
      </w:r>
      <w:r>
        <w:rPr>
          <w:rFonts w:ascii="Open Sans" w:hAnsi="Open Sans" w:cs="Open Sans"/>
        </w:rPr>
        <w:t xml:space="preserve"> frustrations </w:t>
      </w:r>
      <w:r w:rsidR="00F64F26">
        <w:rPr>
          <w:rFonts w:ascii="Open Sans" w:hAnsi="Open Sans" w:cs="Open Sans"/>
        </w:rPr>
        <w:t xml:space="preserve">in </w:t>
      </w:r>
      <w:r w:rsidR="00DC03AF">
        <w:rPr>
          <w:rFonts w:ascii="Open Sans" w:hAnsi="Open Sans" w:cs="Open Sans"/>
        </w:rPr>
        <w:t>the</w:t>
      </w:r>
      <w:r>
        <w:rPr>
          <w:rFonts w:ascii="Open Sans" w:hAnsi="Open Sans" w:cs="Open Sans"/>
        </w:rPr>
        <w:t xml:space="preserve"> delivery of the </w:t>
      </w:r>
      <w:r w:rsidR="00B30129">
        <w:rPr>
          <w:rFonts w:ascii="Open Sans" w:hAnsi="Open Sans" w:cs="Open Sans"/>
        </w:rPr>
        <w:t>RHI</w:t>
      </w:r>
      <w:r>
        <w:rPr>
          <w:rFonts w:ascii="Open Sans" w:hAnsi="Open Sans" w:cs="Open Sans"/>
        </w:rPr>
        <w:t xml:space="preserve">.  </w:t>
      </w:r>
      <w:r w:rsidR="00F64F26">
        <w:rPr>
          <w:rFonts w:ascii="Open Sans" w:hAnsi="Open Sans" w:cs="Open Sans"/>
        </w:rPr>
        <w:t>W</w:t>
      </w:r>
      <w:r>
        <w:rPr>
          <w:rFonts w:ascii="Open Sans" w:hAnsi="Open Sans" w:cs="Open Sans"/>
        </w:rPr>
        <w:t>e continue to receive regular communications from members reporting a wide range of operational issues</w:t>
      </w:r>
      <w:r w:rsidR="00F64F26">
        <w:rPr>
          <w:rFonts w:ascii="Open Sans" w:hAnsi="Open Sans" w:cs="Open Sans"/>
        </w:rPr>
        <w:t xml:space="preserve"> and serious complaints.   </w:t>
      </w:r>
    </w:p>
    <w:p w14:paraId="68474FD4" w14:textId="77777777" w:rsidR="00F64F26" w:rsidRDefault="00F64F26" w:rsidP="002206C8">
      <w:pPr>
        <w:rPr>
          <w:rFonts w:ascii="Open Sans" w:hAnsi="Open Sans" w:cs="Open Sans"/>
        </w:rPr>
      </w:pPr>
    </w:p>
    <w:p w14:paraId="592DB068" w14:textId="5809E0B5" w:rsidR="00F64F26" w:rsidRDefault="00B30129" w:rsidP="002206C8">
      <w:pPr>
        <w:rPr>
          <w:rFonts w:ascii="Open Sans" w:hAnsi="Open Sans" w:cs="Open Sans"/>
        </w:rPr>
      </w:pPr>
      <w:r>
        <w:rPr>
          <w:rFonts w:ascii="Open Sans" w:hAnsi="Open Sans" w:cs="Open Sans"/>
        </w:rPr>
        <w:t>Delays</w:t>
      </w:r>
      <w:r w:rsidR="002206C8">
        <w:rPr>
          <w:rFonts w:ascii="Open Sans" w:hAnsi="Open Sans" w:cs="Open Sans"/>
        </w:rPr>
        <w:t xml:space="preserve"> to accreditations, or reaccreditations,</w:t>
      </w:r>
      <w:r w:rsidR="00451DF7">
        <w:rPr>
          <w:rFonts w:ascii="Open Sans" w:hAnsi="Open Sans" w:cs="Open Sans"/>
        </w:rPr>
        <w:t xml:space="preserve"> has been </w:t>
      </w:r>
      <w:r w:rsidR="00DC03AF">
        <w:rPr>
          <w:rFonts w:ascii="Open Sans" w:hAnsi="Open Sans" w:cs="Open Sans"/>
        </w:rPr>
        <w:t xml:space="preserve">long term </w:t>
      </w:r>
      <w:r w:rsidR="00F64F26">
        <w:rPr>
          <w:rFonts w:ascii="Open Sans" w:hAnsi="Open Sans" w:cs="Open Sans"/>
        </w:rPr>
        <w:t>concern</w:t>
      </w:r>
      <w:r w:rsidR="002206C8">
        <w:rPr>
          <w:rFonts w:ascii="Open Sans" w:hAnsi="Open Sans" w:cs="Open Sans"/>
        </w:rPr>
        <w:t xml:space="preserve">. A twelve-month delay seems common in the cases reported to us, with several reporting delays of over 23 months. While we appreciate Ofgem needs to appropriately consider applications, the length of delays </w:t>
      </w:r>
      <w:r w:rsidR="00451DF7">
        <w:rPr>
          <w:rFonts w:ascii="Open Sans" w:hAnsi="Open Sans" w:cs="Open Sans"/>
        </w:rPr>
        <w:t>has been simply</w:t>
      </w:r>
      <w:r w:rsidR="002206C8">
        <w:rPr>
          <w:rFonts w:ascii="Open Sans" w:hAnsi="Open Sans" w:cs="Open Sans"/>
        </w:rPr>
        <w:t xml:space="preserve"> unacceptable. In these cases, our members report being engaged, responsive to queries and proactive within the RHI application process. When they do get </w:t>
      </w:r>
      <w:r w:rsidR="00DC03AF">
        <w:rPr>
          <w:rFonts w:ascii="Open Sans" w:hAnsi="Open Sans" w:cs="Open Sans"/>
        </w:rPr>
        <w:t>responses,</w:t>
      </w:r>
      <w:r w:rsidR="002206C8">
        <w:rPr>
          <w:rFonts w:ascii="Open Sans" w:hAnsi="Open Sans" w:cs="Open Sans"/>
        </w:rPr>
        <w:t xml:space="preserve"> they are frequently asked for information that they have already sent or for new information which seems irrelevant to the application. </w:t>
      </w:r>
      <w:r w:rsidR="00451DF7">
        <w:rPr>
          <w:rFonts w:ascii="Open Sans" w:hAnsi="Open Sans" w:cs="Open Sans"/>
        </w:rPr>
        <w:t xml:space="preserve">Issues seem to be significantly exacerbated by </w:t>
      </w:r>
      <w:r w:rsidR="00DC03AF">
        <w:rPr>
          <w:rFonts w:ascii="Open Sans" w:hAnsi="Open Sans" w:cs="Open Sans"/>
        </w:rPr>
        <w:t>Ofgem being under</w:t>
      </w:r>
      <w:r w:rsidR="00AF354E">
        <w:rPr>
          <w:rFonts w:ascii="Open Sans" w:hAnsi="Open Sans" w:cs="Open Sans"/>
        </w:rPr>
        <w:t>-</w:t>
      </w:r>
      <w:r w:rsidR="00DC03AF">
        <w:rPr>
          <w:rFonts w:ascii="Open Sans" w:hAnsi="Open Sans" w:cs="Open Sans"/>
        </w:rPr>
        <w:t xml:space="preserve">resourced or some staff not having received adequate technical training. </w:t>
      </w:r>
      <w:r w:rsidR="00451DF7">
        <w:rPr>
          <w:rFonts w:ascii="Open Sans" w:hAnsi="Open Sans" w:cs="Open Sans"/>
        </w:rPr>
        <w:t xml:space="preserve"> </w:t>
      </w:r>
      <w:r w:rsidR="00F64F26">
        <w:rPr>
          <w:rFonts w:ascii="Open Sans" w:hAnsi="Open Sans" w:cs="Open Sans"/>
        </w:rPr>
        <w:t xml:space="preserve">Most seriously of all, these delays have led to some applicants reaching a point of insolvency due to delays in RHI income.  </w:t>
      </w:r>
    </w:p>
    <w:p w14:paraId="263DD0B9" w14:textId="2C7D1111" w:rsidR="00F64F26" w:rsidRDefault="00F64F26" w:rsidP="00F64F26">
      <w:pPr>
        <w:rPr>
          <w:rFonts w:ascii="Open Sans" w:hAnsi="Open Sans" w:cs="Open Sans"/>
        </w:rPr>
      </w:pPr>
    </w:p>
    <w:p w14:paraId="55047412" w14:textId="2D32F861" w:rsidR="00F64F26" w:rsidRDefault="00586513" w:rsidP="00F64F26">
      <w:pPr>
        <w:rPr>
          <w:rFonts w:ascii="Open Sans" w:hAnsi="Open Sans" w:cs="Open Sans"/>
        </w:rPr>
      </w:pPr>
      <w:r>
        <w:rPr>
          <w:rFonts w:ascii="Open Sans" w:hAnsi="Open Sans" w:cs="Open Sans"/>
        </w:rPr>
        <w:t>If Ofgem are to be awarded the contract for administering the Clean Heat Grant Scheme</w:t>
      </w:r>
      <w:r w:rsidR="00DC03AF">
        <w:rPr>
          <w:rFonts w:ascii="Open Sans" w:hAnsi="Open Sans" w:cs="Open Sans"/>
        </w:rPr>
        <w:t>, and it is not put out to wider tender, the existing</w:t>
      </w:r>
      <w:r>
        <w:rPr>
          <w:rFonts w:ascii="Open Sans" w:hAnsi="Open Sans" w:cs="Open Sans"/>
        </w:rPr>
        <w:t xml:space="preserve"> operational issues </w:t>
      </w:r>
      <w:r w:rsidR="00F64F26">
        <w:rPr>
          <w:rFonts w:ascii="Open Sans" w:hAnsi="Open Sans" w:cs="Open Sans"/>
        </w:rPr>
        <w:t xml:space="preserve">must be </w:t>
      </w:r>
      <w:r>
        <w:rPr>
          <w:rFonts w:ascii="Open Sans" w:hAnsi="Open Sans" w:cs="Open Sans"/>
        </w:rPr>
        <w:t>demonstrably resolved.  The new contract must include</w:t>
      </w:r>
      <w:r w:rsidR="00F64F26">
        <w:rPr>
          <w:rFonts w:ascii="Open Sans" w:hAnsi="Open Sans" w:cs="Open Sans"/>
        </w:rPr>
        <w:t xml:space="preserve"> clear KPI’s that BEIS actively hold them accountable</w:t>
      </w:r>
      <w:r>
        <w:rPr>
          <w:rFonts w:ascii="Open Sans" w:hAnsi="Open Sans" w:cs="Open Sans"/>
        </w:rPr>
        <w:t xml:space="preserve"> with regular performance reviews. </w:t>
      </w:r>
    </w:p>
    <w:p w14:paraId="73056FFA" w14:textId="77777777" w:rsidR="002120D5" w:rsidRPr="00E752B5" w:rsidRDefault="002120D5" w:rsidP="00926D06">
      <w:pPr>
        <w:rPr>
          <w:rFonts w:ascii="Open Sans" w:hAnsi="Open Sans" w:cs="Open Sans"/>
          <w:szCs w:val="22"/>
        </w:rPr>
      </w:pPr>
    </w:p>
    <w:p w14:paraId="3BB0B3B3" w14:textId="183F36E3" w:rsidR="000D49A6" w:rsidRDefault="00DC03AF" w:rsidP="00926D06">
      <w:pPr>
        <w:rPr>
          <w:rFonts w:ascii="Open Sans" w:hAnsi="Open Sans" w:cs="Open Sans"/>
          <w:b/>
          <w:bCs/>
          <w:i/>
          <w:iCs/>
          <w:color w:val="2F5496"/>
          <w:szCs w:val="22"/>
        </w:rPr>
      </w:pPr>
      <w:r w:rsidRPr="00DC03AF">
        <w:rPr>
          <w:rFonts w:ascii="Open Sans" w:hAnsi="Open Sans" w:cs="Open Sans"/>
          <w:b/>
          <w:bCs/>
          <w:i/>
          <w:iCs/>
          <w:color w:val="2F5496"/>
          <w:szCs w:val="22"/>
        </w:rPr>
        <w:lastRenderedPageBreak/>
        <w:t xml:space="preserve">Question 29 - </w:t>
      </w:r>
      <w:r w:rsidR="000D49A6" w:rsidRPr="00DC03AF">
        <w:rPr>
          <w:rFonts w:ascii="Open Sans" w:hAnsi="Open Sans" w:cs="Open Sans"/>
          <w:b/>
          <w:bCs/>
          <w:i/>
          <w:iCs/>
          <w:color w:val="2F5496"/>
          <w:szCs w:val="22"/>
        </w:rPr>
        <w:t>Do you agree with the minimum efficiency requirements for heat pumps and evidence requirements? Yes/No. Please provide further evidence to support your response.</w:t>
      </w:r>
    </w:p>
    <w:p w14:paraId="4C297436" w14:textId="6D5C1BF9" w:rsidR="00DC03AF" w:rsidRDefault="00DC03AF" w:rsidP="00926D06">
      <w:pPr>
        <w:rPr>
          <w:rFonts w:ascii="Open Sans" w:hAnsi="Open Sans" w:cs="Open Sans"/>
          <w:b/>
          <w:bCs/>
          <w:i/>
          <w:iCs/>
          <w:color w:val="2F5496"/>
          <w:szCs w:val="22"/>
        </w:rPr>
      </w:pPr>
    </w:p>
    <w:p w14:paraId="01AA0FEE" w14:textId="6E66EB3E" w:rsidR="00DC03AF" w:rsidRPr="00DC03AF" w:rsidRDefault="00DC03AF" w:rsidP="00926D06">
      <w:pPr>
        <w:rPr>
          <w:rFonts w:ascii="Open Sans" w:hAnsi="Open Sans" w:cs="Open Sans"/>
          <w:szCs w:val="22"/>
        </w:rPr>
      </w:pPr>
      <w:r w:rsidRPr="00DC03AF">
        <w:rPr>
          <w:rFonts w:ascii="Open Sans" w:hAnsi="Open Sans" w:cs="Open Sans"/>
          <w:szCs w:val="22"/>
          <w:highlight w:val="yellow"/>
        </w:rPr>
        <w:t xml:space="preserve">Members views on the question welcome </w:t>
      </w:r>
      <w:r w:rsidRPr="00DC03AF">
        <w:rPr>
          <w:rFonts w:ascii="Open Sans" w:hAnsi="Open Sans" w:cs="Open Sans"/>
          <w:szCs w:val="22"/>
        </w:rPr>
        <w:t xml:space="preserve"> </w:t>
      </w:r>
    </w:p>
    <w:p w14:paraId="70154B00" w14:textId="7BEB433F" w:rsidR="000D49A6" w:rsidRPr="002120D5" w:rsidRDefault="000D49A6" w:rsidP="00926D06">
      <w:pPr>
        <w:rPr>
          <w:rFonts w:ascii="Open Sans" w:hAnsi="Open Sans" w:cs="Open Sans"/>
          <w:b/>
          <w:bCs/>
          <w:szCs w:val="22"/>
        </w:rPr>
      </w:pPr>
    </w:p>
    <w:p w14:paraId="0B7FB8A8" w14:textId="114BFEC1" w:rsidR="000D49A6" w:rsidRDefault="00DC03AF" w:rsidP="00926D06">
      <w:pPr>
        <w:rPr>
          <w:rFonts w:ascii="Open Sans" w:hAnsi="Open Sans" w:cs="Open Sans"/>
          <w:b/>
          <w:bCs/>
          <w:color w:val="2F5496"/>
          <w:szCs w:val="22"/>
        </w:rPr>
      </w:pPr>
      <w:r w:rsidRPr="00DC03AF">
        <w:rPr>
          <w:rFonts w:ascii="Open Sans" w:hAnsi="Open Sans" w:cs="Open Sans"/>
          <w:b/>
          <w:bCs/>
          <w:i/>
          <w:iCs/>
          <w:color w:val="2F5496"/>
          <w:szCs w:val="22"/>
        </w:rPr>
        <w:t xml:space="preserve">Question 30 - </w:t>
      </w:r>
      <w:r w:rsidR="000D49A6" w:rsidRPr="00DC03AF">
        <w:rPr>
          <w:rFonts w:ascii="Open Sans" w:hAnsi="Open Sans" w:cs="Open Sans"/>
          <w:b/>
          <w:bCs/>
          <w:i/>
          <w:iCs/>
          <w:color w:val="2F5496"/>
          <w:szCs w:val="22"/>
        </w:rPr>
        <w:t>Do you agree with the proposal to require electricity metering for all heat pump installations? Yes/No. Please provide further evidence to support your response.</w:t>
      </w:r>
    </w:p>
    <w:p w14:paraId="2B78ED3C" w14:textId="5931D656" w:rsidR="00DC03AF" w:rsidRDefault="00DC03AF" w:rsidP="00926D06">
      <w:pPr>
        <w:rPr>
          <w:rFonts w:ascii="Open Sans" w:hAnsi="Open Sans" w:cs="Open Sans"/>
          <w:b/>
          <w:bCs/>
          <w:color w:val="2F5496"/>
          <w:szCs w:val="22"/>
        </w:rPr>
      </w:pPr>
    </w:p>
    <w:p w14:paraId="67F87C47" w14:textId="03B92426" w:rsidR="00DC03AF" w:rsidRPr="00B30129" w:rsidRDefault="00B30129" w:rsidP="00926D06">
      <w:pPr>
        <w:rPr>
          <w:rFonts w:ascii="Open Sans" w:hAnsi="Open Sans" w:cs="Open Sans"/>
          <w:b/>
          <w:bCs/>
          <w:color w:val="2F5496"/>
          <w:szCs w:val="22"/>
        </w:rPr>
      </w:pPr>
      <w:r w:rsidRPr="00B30129">
        <w:rPr>
          <w:rFonts w:ascii="Open Sans" w:hAnsi="Open Sans" w:cs="Open Sans"/>
        </w:rPr>
        <w:t xml:space="preserve">Yes, but this should go further and there should be a requirement to install heat meters on the output of the heat pumps as well.  Whilst the installation of an electricity meter allows the householder to monitor electricity usage, it does not give them an understanding of the system efficiency.  Fitting a heat meter as well allows comparison of electricity used with heat delivered and thus provides a clear indication of system performance.  This will drive installation standards up as householders can hold installers to account.  Poor design in heat pump systems </w:t>
      </w:r>
      <w:r w:rsidR="00855CFB">
        <w:rPr>
          <w:rFonts w:ascii="Open Sans" w:hAnsi="Open Sans" w:cs="Open Sans"/>
        </w:rPr>
        <w:t xml:space="preserve">can </w:t>
      </w:r>
      <w:r w:rsidRPr="00B30129">
        <w:rPr>
          <w:rFonts w:ascii="Open Sans" w:hAnsi="Open Sans" w:cs="Open Sans"/>
        </w:rPr>
        <w:t>result in excessive electricity consumption, depriving other grid users of capacity and increasing heating costs for consumers.</w:t>
      </w:r>
    </w:p>
    <w:p w14:paraId="19CFC778" w14:textId="77777777" w:rsidR="000D49A6" w:rsidRPr="00E752B5" w:rsidRDefault="000D49A6" w:rsidP="00926D06">
      <w:pPr>
        <w:rPr>
          <w:rFonts w:ascii="Open Sans" w:hAnsi="Open Sans" w:cs="Open Sans"/>
          <w:b/>
          <w:bCs/>
          <w:color w:val="2F5496"/>
          <w:szCs w:val="22"/>
        </w:rPr>
      </w:pPr>
    </w:p>
    <w:p w14:paraId="358B39DF" w14:textId="29C6015D" w:rsidR="00B96CE1" w:rsidRPr="00E752B5" w:rsidRDefault="00273E54" w:rsidP="00926D06">
      <w:pPr>
        <w:rPr>
          <w:rFonts w:ascii="Open Sans" w:hAnsi="Open Sans" w:cs="Open Sans"/>
          <w:b/>
          <w:bCs/>
          <w:i/>
          <w:iCs/>
          <w:color w:val="2F5496"/>
          <w:szCs w:val="22"/>
        </w:rPr>
      </w:pPr>
      <w:r w:rsidRPr="00E752B5">
        <w:rPr>
          <w:rFonts w:ascii="Open Sans" w:hAnsi="Open Sans" w:cs="Open Sans"/>
          <w:b/>
          <w:bCs/>
          <w:color w:val="2F5496"/>
          <w:szCs w:val="22"/>
        </w:rPr>
        <w:t>Consultation Question 31 - D</w:t>
      </w:r>
      <w:r w:rsidRPr="00E752B5">
        <w:rPr>
          <w:rFonts w:ascii="Open Sans" w:hAnsi="Open Sans" w:cs="Open Sans"/>
          <w:b/>
          <w:bCs/>
          <w:i/>
          <w:iCs/>
          <w:color w:val="2F5496"/>
          <w:szCs w:val="22"/>
        </w:rPr>
        <w:t>o you agree with the proposed air quality requirements set out above? Yes/No. Please provide further evidence to support your response.</w:t>
      </w:r>
    </w:p>
    <w:p w14:paraId="3937FFD9" w14:textId="77777777" w:rsidR="00B96CE1" w:rsidRPr="00E752B5" w:rsidRDefault="00B96CE1" w:rsidP="00B96CE1">
      <w:pPr>
        <w:rPr>
          <w:rFonts w:ascii="Open Sans" w:hAnsi="Open Sans" w:cs="Open Sans"/>
          <w:b/>
          <w:bCs/>
          <w:szCs w:val="22"/>
          <w:u w:val="single"/>
        </w:rPr>
      </w:pPr>
    </w:p>
    <w:p w14:paraId="0612DDBD" w14:textId="77777777" w:rsidR="00C6515F" w:rsidRPr="00F92FC6" w:rsidRDefault="00C6515F" w:rsidP="00B96CE1">
      <w:pPr>
        <w:rPr>
          <w:rFonts w:ascii="Open Sans" w:hAnsi="Open Sans" w:cs="Open Sans"/>
          <w:b/>
          <w:bCs/>
          <w:szCs w:val="22"/>
        </w:rPr>
      </w:pPr>
      <w:r w:rsidRPr="00F92FC6">
        <w:rPr>
          <w:rFonts w:ascii="Open Sans" w:hAnsi="Open Sans" w:cs="Open Sans"/>
          <w:b/>
          <w:bCs/>
          <w:szCs w:val="22"/>
        </w:rPr>
        <w:t xml:space="preserve">No. </w:t>
      </w:r>
    </w:p>
    <w:p w14:paraId="22B39BF6" w14:textId="77777777" w:rsidR="00C6515F" w:rsidRPr="00F92FC6" w:rsidRDefault="00C6515F" w:rsidP="00B96CE1">
      <w:pPr>
        <w:rPr>
          <w:rFonts w:ascii="Open Sans" w:hAnsi="Open Sans" w:cs="Open Sans"/>
          <w:b/>
          <w:bCs/>
          <w:szCs w:val="22"/>
        </w:rPr>
      </w:pPr>
    </w:p>
    <w:p w14:paraId="345EE786" w14:textId="1CD140E7" w:rsidR="007D6443" w:rsidRPr="00F92FC6" w:rsidRDefault="00273E54" w:rsidP="00B96CE1">
      <w:pPr>
        <w:rPr>
          <w:rFonts w:ascii="Open Sans" w:hAnsi="Open Sans" w:cs="Open Sans"/>
          <w:b/>
          <w:bCs/>
          <w:szCs w:val="22"/>
        </w:rPr>
      </w:pPr>
      <w:r w:rsidRPr="00F92FC6">
        <w:rPr>
          <w:rFonts w:ascii="Open Sans" w:hAnsi="Open Sans" w:cs="Open Sans"/>
          <w:b/>
          <w:bCs/>
          <w:szCs w:val="22"/>
        </w:rPr>
        <w:t>Biomass projects</w:t>
      </w:r>
      <w:r w:rsidR="00926D06" w:rsidRPr="00F92FC6">
        <w:rPr>
          <w:rFonts w:ascii="Open Sans" w:hAnsi="Open Sans" w:cs="Open Sans"/>
          <w:b/>
          <w:bCs/>
          <w:szCs w:val="22"/>
        </w:rPr>
        <w:t xml:space="preserve">, regulated with </w:t>
      </w:r>
      <w:r w:rsidRPr="00F92FC6">
        <w:rPr>
          <w:rFonts w:ascii="Open Sans" w:hAnsi="Open Sans" w:cs="Open Sans"/>
          <w:b/>
          <w:bCs/>
          <w:szCs w:val="22"/>
        </w:rPr>
        <w:t>high emission</w:t>
      </w:r>
      <w:r w:rsidR="00926D06" w:rsidRPr="00F92FC6">
        <w:rPr>
          <w:rFonts w:ascii="Open Sans" w:hAnsi="Open Sans" w:cs="Open Sans"/>
          <w:b/>
          <w:bCs/>
          <w:szCs w:val="22"/>
        </w:rPr>
        <w:t xml:space="preserve"> and maintenance</w:t>
      </w:r>
      <w:r w:rsidRPr="00F92FC6">
        <w:rPr>
          <w:rFonts w:ascii="Open Sans" w:hAnsi="Open Sans" w:cs="Open Sans"/>
          <w:b/>
          <w:bCs/>
          <w:szCs w:val="22"/>
        </w:rPr>
        <w:t xml:space="preserve"> standards</w:t>
      </w:r>
      <w:r w:rsidR="00926D06" w:rsidRPr="00F92FC6">
        <w:rPr>
          <w:rFonts w:ascii="Open Sans" w:hAnsi="Open Sans" w:cs="Open Sans"/>
          <w:b/>
          <w:bCs/>
          <w:szCs w:val="22"/>
        </w:rPr>
        <w:t xml:space="preserve">, </w:t>
      </w:r>
      <w:r w:rsidRPr="00F92FC6">
        <w:rPr>
          <w:rFonts w:ascii="Open Sans" w:hAnsi="Open Sans" w:cs="Open Sans"/>
          <w:b/>
          <w:bCs/>
          <w:szCs w:val="22"/>
        </w:rPr>
        <w:t xml:space="preserve">should be allowed to be deployed in </w:t>
      </w:r>
      <w:r w:rsidR="009303A7" w:rsidRPr="00F92FC6">
        <w:rPr>
          <w:rFonts w:ascii="Open Sans" w:hAnsi="Open Sans" w:cs="Open Sans"/>
          <w:b/>
          <w:bCs/>
          <w:szCs w:val="22"/>
        </w:rPr>
        <w:t>on</w:t>
      </w:r>
      <w:r w:rsidR="007459B8" w:rsidRPr="00F92FC6">
        <w:rPr>
          <w:rFonts w:ascii="Open Sans" w:hAnsi="Open Sans" w:cs="Open Sans"/>
          <w:b/>
          <w:bCs/>
          <w:szCs w:val="22"/>
        </w:rPr>
        <w:t>-</w:t>
      </w:r>
      <w:r w:rsidR="009303A7" w:rsidRPr="00F92FC6">
        <w:rPr>
          <w:rFonts w:ascii="Open Sans" w:hAnsi="Open Sans" w:cs="Open Sans"/>
          <w:b/>
          <w:bCs/>
          <w:szCs w:val="22"/>
        </w:rPr>
        <w:t xml:space="preserve">gas grid areas. </w:t>
      </w:r>
    </w:p>
    <w:p w14:paraId="37E4C24B" w14:textId="77777777" w:rsidR="007D6443" w:rsidRPr="00E752B5" w:rsidRDefault="007D6443" w:rsidP="007D6443">
      <w:pPr>
        <w:pStyle w:val="ListParagraph"/>
        <w:rPr>
          <w:rFonts w:ascii="Open Sans" w:hAnsi="Open Sans" w:cs="Open Sans"/>
          <w:b/>
          <w:bCs/>
          <w:szCs w:val="22"/>
        </w:rPr>
      </w:pPr>
    </w:p>
    <w:p w14:paraId="347EE6D3" w14:textId="6CBE3082" w:rsidR="00AB16B2" w:rsidRDefault="00273E54" w:rsidP="00926D06">
      <w:pPr>
        <w:rPr>
          <w:rFonts w:ascii="Open Sans" w:hAnsi="Open Sans" w:cs="Open Sans"/>
          <w:szCs w:val="22"/>
        </w:rPr>
      </w:pPr>
      <w:r w:rsidRPr="00E752B5">
        <w:rPr>
          <w:rFonts w:ascii="Open Sans" w:hAnsi="Open Sans" w:cs="Open Sans"/>
          <w:szCs w:val="22"/>
        </w:rPr>
        <w:t xml:space="preserve">Biomass, due to </w:t>
      </w:r>
      <w:r w:rsidR="00926D06" w:rsidRPr="00E752B5">
        <w:rPr>
          <w:rFonts w:ascii="Open Sans" w:hAnsi="Open Sans" w:cs="Open Sans"/>
          <w:szCs w:val="22"/>
        </w:rPr>
        <w:t>its</w:t>
      </w:r>
      <w:r w:rsidRPr="00E752B5">
        <w:rPr>
          <w:rFonts w:ascii="Open Sans" w:hAnsi="Open Sans" w:cs="Open Sans"/>
          <w:szCs w:val="22"/>
        </w:rPr>
        <w:t xml:space="preserve"> </w:t>
      </w:r>
      <w:r w:rsidR="00A022F0" w:rsidRPr="00E752B5">
        <w:rPr>
          <w:rFonts w:ascii="Open Sans" w:hAnsi="Open Sans" w:cs="Open Sans"/>
          <w:szCs w:val="22"/>
        </w:rPr>
        <w:t>ability to meet higher</w:t>
      </w:r>
      <w:r w:rsidR="006E016F" w:rsidRPr="00E752B5">
        <w:rPr>
          <w:rFonts w:ascii="Open Sans" w:hAnsi="Open Sans" w:cs="Open Sans"/>
          <w:szCs w:val="22"/>
        </w:rPr>
        <w:t xml:space="preserve"> and varying</w:t>
      </w:r>
      <w:r w:rsidR="00A022F0" w:rsidRPr="00E752B5">
        <w:rPr>
          <w:rFonts w:ascii="Open Sans" w:hAnsi="Open Sans" w:cs="Open Sans"/>
          <w:szCs w:val="22"/>
        </w:rPr>
        <w:t xml:space="preserve"> </w:t>
      </w:r>
      <w:r w:rsidRPr="00E752B5">
        <w:rPr>
          <w:rFonts w:ascii="Open Sans" w:hAnsi="Open Sans" w:cs="Open Sans"/>
          <w:szCs w:val="22"/>
        </w:rPr>
        <w:t>heat load</w:t>
      </w:r>
      <w:r w:rsidR="00A022F0" w:rsidRPr="00E752B5">
        <w:rPr>
          <w:rFonts w:ascii="Open Sans" w:hAnsi="Open Sans" w:cs="Open Sans"/>
          <w:szCs w:val="22"/>
        </w:rPr>
        <w:t>s</w:t>
      </w:r>
      <w:r w:rsidR="006E016F" w:rsidRPr="00E752B5">
        <w:rPr>
          <w:rFonts w:ascii="Open Sans" w:hAnsi="Open Sans" w:cs="Open Sans"/>
          <w:szCs w:val="22"/>
        </w:rPr>
        <w:t xml:space="preserve">, </w:t>
      </w:r>
      <w:r w:rsidRPr="00E752B5">
        <w:rPr>
          <w:rFonts w:ascii="Open Sans" w:hAnsi="Open Sans" w:cs="Open Sans"/>
          <w:szCs w:val="22"/>
        </w:rPr>
        <w:t xml:space="preserve">has a particularly strong role to play in </w:t>
      </w:r>
      <w:r w:rsidR="00926C15" w:rsidRPr="00E752B5">
        <w:rPr>
          <w:rFonts w:ascii="Open Sans" w:hAnsi="Open Sans" w:cs="Open Sans"/>
          <w:szCs w:val="22"/>
        </w:rPr>
        <w:t>c</w:t>
      </w:r>
      <w:r w:rsidRPr="00E752B5">
        <w:rPr>
          <w:rFonts w:ascii="Open Sans" w:hAnsi="Open Sans" w:cs="Open Sans"/>
          <w:szCs w:val="22"/>
        </w:rPr>
        <w:t xml:space="preserve">ommercial </w:t>
      </w:r>
      <w:r w:rsidR="00926D06" w:rsidRPr="00E752B5">
        <w:rPr>
          <w:rFonts w:ascii="Open Sans" w:hAnsi="Open Sans" w:cs="Open Sans"/>
          <w:szCs w:val="22"/>
        </w:rPr>
        <w:t>applications, including</w:t>
      </w:r>
      <w:r w:rsidR="00926C15" w:rsidRPr="00E752B5">
        <w:rPr>
          <w:rFonts w:ascii="Open Sans" w:hAnsi="Open Sans" w:cs="Open Sans"/>
          <w:szCs w:val="22"/>
        </w:rPr>
        <w:t xml:space="preserve"> p</w:t>
      </w:r>
      <w:r w:rsidRPr="00E752B5">
        <w:rPr>
          <w:rFonts w:ascii="Open Sans" w:hAnsi="Open Sans" w:cs="Open Sans"/>
          <w:szCs w:val="22"/>
        </w:rPr>
        <w:t xml:space="preserve">ublic sector </w:t>
      </w:r>
      <w:r w:rsidR="00926D06" w:rsidRPr="00E752B5">
        <w:rPr>
          <w:rFonts w:ascii="Open Sans" w:hAnsi="Open Sans" w:cs="Open Sans"/>
          <w:szCs w:val="22"/>
        </w:rPr>
        <w:t>buildings</w:t>
      </w:r>
      <w:r w:rsidRPr="00E752B5">
        <w:rPr>
          <w:rFonts w:ascii="Open Sans" w:hAnsi="Open Sans" w:cs="Open Sans"/>
          <w:szCs w:val="22"/>
        </w:rPr>
        <w:t xml:space="preserve"> such as </w:t>
      </w:r>
      <w:r w:rsidR="00926D06" w:rsidRPr="00E752B5">
        <w:rPr>
          <w:rFonts w:ascii="Open Sans" w:hAnsi="Open Sans" w:cs="Open Sans"/>
          <w:szCs w:val="22"/>
        </w:rPr>
        <w:t>hospitals, schools</w:t>
      </w:r>
      <w:r w:rsidRPr="00E752B5">
        <w:rPr>
          <w:rFonts w:ascii="Open Sans" w:hAnsi="Open Sans" w:cs="Open Sans"/>
          <w:szCs w:val="22"/>
        </w:rPr>
        <w:t>, public swimming pools, council offices and innovation in district heating schemes.</w:t>
      </w:r>
      <w:r w:rsidR="009303A7" w:rsidRPr="00E752B5">
        <w:rPr>
          <w:rFonts w:ascii="Open Sans" w:hAnsi="Open Sans" w:cs="Open Sans"/>
          <w:szCs w:val="22"/>
        </w:rPr>
        <w:t xml:space="preserve"> </w:t>
      </w:r>
      <w:r w:rsidR="00AB16B2">
        <w:rPr>
          <w:rFonts w:ascii="Open Sans" w:hAnsi="Open Sans" w:cs="Open Sans"/>
          <w:szCs w:val="22"/>
        </w:rPr>
        <w:t>The RHI has also demonstrated that biomass provides the best value for money of any technology at these scales</w:t>
      </w:r>
      <w:r w:rsidR="00CB6E76">
        <w:rPr>
          <w:rFonts w:ascii="Open Sans" w:hAnsi="Open Sans" w:cs="Open Sans"/>
          <w:szCs w:val="22"/>
        </w:rPr>
        <w:t>, averaging £463/ kW across the range of biomass tariffs in the Non-Domestic RHI</w:t>
      </w:r>
      <w:r w:rsidR="00855CFB">
        <w:rPr>
          <w:rFonts w:ascii="Open Sans" w:hAnsi="Open Sans" w:cs="Open Sans"/>
          <w:szCs w:val="22"/>
        </w:rPr>
        <w:t xml:space="preserve"> -</w:t>
      </w:r>
      <w:r w:rsidR="00CB6E76">
        <w:rPr>
          <w:rFonts w:ascii="Open Sans" w:hAnsi="Open Sans" w:cs="Open Sans"/>
          <w:szCs w:val="22"/>
        </w:rPr>
        <w:t xml:space="preserve"> half that of any other technology.  </w:t>
      </w:r>
      <w:r w:rsidR="009303A7" w:rsidRPr="00E752B5">
        <w:rPr>
          <w:rFonts w:ascii="Open Sans" w:hAnsi="Open Sans" w:cs="Open Sans"/>
          <w:szCs w:val="22"/>
        </w:rPr>
        <w:t xml:space="preserve">Such buildings </w:t>
      </w:r>
      <w:r w:rsidR="005443AB" w:rsidRPr="00E752B5">
        <w:rPr>
          <w:rFonts w:ascii="Open Sans" w:hAnsi="Open Sans" w:cs="Open Sans"/>
          <w:szCs w:val="22"/>
        </w:rPr>
        <w:t>are</w:t>
      </w:r>
      <w:r w:rsidR="00CB6E76">
        <w:rPr>
          <w:rFonts w:ascii="Open Sans" w:hAnsi="Open Sans" w:cs="Open Sans"/>
          <w:szCs w:val="22"/>
        </w:rPr>
        <w:t xml:space="preserve">, however, </w:t>
      </w:r>
      <w:r w:rsidR="005443AB" w:rsidRPr="00E752B5">
        <w:rPr>
          <w:rFonts w:ascii="Open Sans" w:hAnsi="Open Sans" w:cs="Open Sans"/>
          <w:szCs w:val="22"/>
        </w:rPr>
        <w:t xml:space="preserve">commonly </w:t>
      </w:r>
      <w:r w:rsidR="007459B8" w:rsidRPr="00E752B5">
        <w:rPr>
          <w:rFonts w:ascii="Open Sans" w:hAnsi="Open Sans" w:cs="Open Sans"/>
          <w:szCs w:val="22"/>
        </w:rPr>
        <w:t xml:space="preserve">located </w:t>
      </w:r>
      <w:r w:rsidR="005443AB" w:rsidRPr="00E752B5">
        <w:rPr>
          <w:rFonts w:ascii="Open Sans" w:hAnsi="Open Sans" w:cs="Open Sans"/>
          <w:szCs w:val="22"/>
        </w:rPr>
        <w:t xml:space="preserve">within on-gas grid areas. </w:t>
      </w:r>
    </w:p>
    <w:p w14:paraId="11439298" w14:textId="77777777" w:rsidR="00AB16B2" w:rsidRDefault="00AB16B2" w:rsidP="00926D06">
      <w:pPr>
        <w:rPr>
          <w:rFonts w:ascii="Open Sans" w:hAnsi="Open Sans" w:cs="Open Sans"/>
          <w:szCs w:val="22"/>
        </w:rPr>
      </w:pPr>
    </w:p>
    <w:p w14:paraId="77D739D5" w14:textId="0164E035" w:rsidR="005D7314" w:rsidRPr="00E752B5" w:rsidRDefault="00CB6E76" w:rsidP="00926D06">
      <w:pPr>
        <w:rPr>
          <w:rFonts w:ascii="Open Sans" w:hAnsi="Open Sans" w:cs="Open Sans"/>
          <w:szCs w:val="22"/>
        </w:rPr>
      </w:pPr>
      <w:r>
        <w:rPr>
          <w:rFonts w:ascii="Open Sans" w:hAnsi="Open Sans" w:cs="Open Sans"/>
          <w:szCs w:val="22"/>
        </w:rPr>
        <w:t>T</w:t>
      </w:r>
      <w:r w:rsidR="005443AB" w:rsidRPr="00E752B5">
        <w:rPr>
          <w:rFonts w:ascii="Open Sans" w:hAnsi="Open Sans" w:cs="Open Sans"/>
          <w:szCs w:val="22"/>
        </w:rPr>
        <w:t>he</w:t>
      </w:r>
      <w:r w:rsidR="00273E54" w:rsidRPr="00E752B5">
        <w:rPr>
          <w:rFonts w:ascii="Open Sans" w:hAnsi="Open Sans" w:cs="Open Sans"/>
          <w:szCs w:val="22"/>
        </w:rPr>
        <w:t xml:space="preserve"> proposed restriction </w:t>
      </w:r>
      <w:r w:rsidR="005D7314" w:rsidRPr="00E752B5">
        <w:rPr>
          <w:rFonts w:ascii="Open Sans" w:hAnsi="Open Sans" w:cs="Open Sans"/>
          <w:szCs w:val="22"/>
        </w:rPr>
        <w:t>ignores the results that can be achieved from deploying Best Available Techniques (BAT), adopts an approach seen nowhere else in the world and sets a dangerous and difficult-to-reverse precedent which will further obstruct the deployment of renewable heat.</w:t>
      </w:r>
      <w:r>
        <w:rPr>
          <w:rFonts w:ascii="Open Sans" w:hAnsi="Open Sans" w:cs="Open Sans"/>
          <w:szCs w:val="22"/>
        </w:rPr>
        <w:t xml:space="preserve"> Ultimately this will make the full decarbonisation of the UK heat requirements more expensive, whil</w:t>
      </w:r>
      <w:r w:rsidR="00070B71">
        <w:rPr>
          <w:rFonts w:ascii="Open Sans" w:hAnsi="Open Sans" w:cs="Open Sans"/>
          <w:szCs w:val="22"/>
        </w:rPr>
        <w:t>st</w:t>
      </w:r>
      <w:r>
        <w:rPr>
          <w:rFonts w:ascii="Open Sans" w:hAnsi="Open Sans" w:cs="Open Sans"/>
          <w:szCs w:val="22"/>
        </w:rPr>
        <w:t xml:space="preserve"> not addressing the primary causes of emissions. </w:t>
      </w:r>
    </w:p>
    <w:p w14:paraId="07114D33" w14:textId="0BF174C6" w:rsidR="007D6443" w:rsidRPr="00E752B5" w:rsidRDefault="007D6443" w:rsidP="005D7314">
      <w:pPr>
        <w:rPr>
          <w:rFonts w:ascii="Open Sans" w:hAnsi="Open Sans" w:cs="Open Sans"/>
          <w:szCs w:val="22"/>
        </w:rPr>
      </w:pPr>
    </w:p>
    <w:p w14:paraId="3DCB4457" w14:textId="24C4215A" w:rsidR="007D6443" w:rsidRDefault="00273E54" w:rsidP="00926D06">
      <w:pPr>
        <w:rPr>
          <w:rFonts w:ascii="Open Sans" w:hAnsi="Open Sans" w:cs="Open Sans"/>
          <w:szCs w:val="22"/>
        </w:rPr>
      </w:pPr>
      <w:r w:rsidRPr="00E752B5">
        <w:rPr>
          <w:rFonts w:ascii="Open Sans" w:hAnsi="Open Sans" w:cs="Open Sans"/>
          <w:szCs w:val="22"/>
        </w:rPr>
        <w:t>As</w:t>
      </w:r>
      <w:r w:rsidR="00926D06" w:rsidRPr="00E752B5">
        <w:rPr>
          <w:rFonts w:ascii="Open Sans" w:hAnsi="Open Sans" w:cs="Open Sans"/>
          <w:szCs w:val="22"/>
        </w:rPr>
        <w:t xml:space="preserve"> has been</w:t>
      </w:r>
      <w:r w:rsidRPr="00E752B5">
        <w:rPr>
          <w:rFonts w:ascii="Open Sans" w:hAnsi="Open Sans" w:cs="Open Sans"/>
          <w:szCs w:val="22"/>
        </w:rPr>
        <w:t xml:space="preserve"> demonstrated to BEIS during the last urban biomass consultation, emissions from biomass boilers are not an issue where </w:t>
      </w:r>
      <w:r w:rsidR="00CB6E76">
        <w:rPr>
          <w:rFonts w:ascii="Open Sans" w:hAnsi="Open Sans" w:cs="Open Sans"/>
          <w:szCs w:val="22"/>
        </w:rPr>
        <w:t>best</w:t>
      </w:r>
      <w:r w:rsidR="00A022F0" w:rsidRPr="00E752B5">
        <w:rPr>
          <w:rFonts w:ascii="Open Sans" w:hAnsi="Open Sans" w:cs="Open Sans"/>
          <w:szCs w:val="22"/>
        </w:rPr>
        <w:t xml:space="preserve"> practice in design and operation are followed, and where flue gas</w:t>
      </w:r>
      <w:r w:rsidRPr="00E752B5">
        <w:rPr>
          <w:rFonts w:ascii="Open Sans" w:hAnsi="Open Sans" w:cs="Open Sans"/>
          <w:szCs w:val="22"/>
        </w:rPr>
        <w:t xml:space="preserve"> filters are fitted.</w:t>
      </w:r>
      <w:r w:rsidR="00926D06" w:rsidRPr="00E752B5">
        <w:rPr>
          <w:rFonts w:ascii="Open Sans" w:hAnsi="Open Sans" w:cs="Open Sans"/>
          <w:szCs w:val="22"/>
        </w:rPr>
        <w:t xml:space="preserve"> These are </w:t>
      </w:r>
      <w:r w:rsidR="00A022F0" w:rsidRPr="00E752B5">
        <w:rPr>
          <w:rFonts w:ascii="Open Sans" w:hAnsi="Open Sans" w:cs="Open Sans"/>
          <w:szCs w:val="22"/>
        </w:rPr>
        <w:t xml:space="preserve">mature technologies which are readily </w:t>
      </w:r>
      <w:r w:rsidR="00926D06" w:rsidRPr="00E752B5">
        <w:rPr>
          <w:rFonts w:ascii="Open Sans" w:hAnsi="Open Sans" w:cs="Open Sans"/>
          <w:szCs w:val="22"/>
        </w:rPr>
        <w:t xml:space="preserve">available. </w:t>
      </w:r>
      <w:r w:rsidRPr="00E752B5">
        <w:rPr>
          <w:rFonts w:ascii="Open Sans" w:hAnsi="Open Sans" w:cs="Open Sans"/>
          <w:szCs w:val="22"/>
        </w:rPr>
        <w:t xml:space="preserve"> Where </w:t>
      </w:r>
      <w:r w:rsidR="00A022F0" w:rsidRPr="00E752B5">
        <w:rPr>
          <w:rFonts w:ascii="Open Sans" w:hAnsi="Open Sans" w:cs="Open Sans"/>
          <w:szCs w:val="22"/>
        </w:rPr>
        <w:t xml:space="preserve">tighter </w:t>
      </w:r>
      <w:r w:rsidRPr="00E752B5">
        <w:rPr>
          <w:rFonts w:ascii="Open Sans" w:hAnsi="Open Sans" w:cs="Open Sans"/>
          <w:szCs w:val="22"/>
        </w:rPr>
        <w:t>emission and maintenance standards are put in place, biomass boilers meet emission levels</w:t>
      </w:r>
      <w:r w:rsidR="007459B8" w:rsidRPr="00E752B5">
        <w:rPr>
          <w:rFonts w:ascii="Open Sans" w:hAnsi="Open Sans" w:cs="Open Sans"/>
          <w:szCs w:val="22"/>
        </w:rPr>
        <w:t xml:space="preserve"> that cause no issues for </w:t>
      </w:r>
      <w:r w:rsidR="009303A7" w:rsidRPr="00E752B5">
        <w:rPr>
          <w:rFonts w:ascii="Open Sans" w:hAnsi="Open Sans" w:cs="Open Sans"/>
          <w:szCs w:val="22"/>
        </w:rPr>
        <w:t>urban</w:t>
      </w:r>
      <w:r w:rsidR="007459B8" w:rsidRPr="00E752B5">
        <w:rPr>
          <w:rFonts w:ascii="Open Sans" w:hAnsi="Open Sans" w:cs="Open Sans"/>
          <w:szCs w:val="22"/>
        </w:rPr>
        <w:t xml:space="preserve"> air quality</w:t>
      </w:r>
      <w:r w:rsidR="009303A7" w:rsidRPr="00E752B5">
        <w:rPr>
          <w:rFonts w:ascii="Open Sans" w:hAnsi="Open Sans" w:cs="Open Sans"/>
          <w:szCs w:val="22"/>
        </w:rPr>
        <w:t xml:space="preserve">. A survey conducted of WHA members during the previous consultation demonstrated average </w:t>
      </w:r>
      <w:r w:rsidR="005443AB" w:rsidRPr="00E752B5">
        <w:rPr>
          <w:rFonts w:ascii="Open Sans" w:hAnsi="Open Sans" w:cs="Open Sans"/>
          <w:szCs w:val="22"/>
        </w:rPr>
        <w:t>PM</w:t>
      </w:r>
      <w:r w:rsidR="009303A7" w:rsidRPr="00E752B5">
        <w:rPr>
          <w:rFonts w:ascii="Open Sans" w:hAnsi="Open Sans" w:cs="Open Sans"/>
          <w:szCs w:val="22"/>
        </w:rPr>
        <w:t xml:space="preserve"> of 5.18 g</w:t>
      </w:r>
      <w:r w:rsidR="005443AB" w:rsidRPr="00E752B5">
        <w:rPr>
          <w:rFonts w:ascii="Open Sans" w:hAnsi="Open Sans" w:cs="Open Sans"/>
          <w:szCs w:val="22"/>
        </w:rPr>
        <w:t xml:space="preserve">rams per GJ from </w:t>
      </w:r>
      <w:r w:rsidR="005443AB" w:rsidRPr="00E752B5">
        <w:rPr>
          <w:rFonts w:ascii="Open Sans" w:hAnsi="Open Sans" w:cs="Open Sans"/>
          <w:szCs w:val="22"/>
        </w:rPr>
        <w:lastRenderedPageBreak/>
        <w:t>current</w:t>
      </w:r>
      <w:r w:rsidR="00A022F0" w:rsidRPr="00E752B5">
        <w:rPr>
          <w:rFonts w:ascii="Open Sans" w:hAnsi="Open Sans" w:cs="Open Sans"/>
          <w:szCs w:val="22"/>
        </w:rPr>
        <w:t xml:space="preserve">ly operating </w:t>
      </w:r>
      <w:r w:rsidR="005443AB" w:rsidRPr="00E752B5">
        <w:rPr>
          <w:rFonts w:ascii="Open Sans" w:hAnsi="Open Sans" w:cs="Open Sans"/>
          <w:szCs w:val="22"/>
        </w:rPr>
        <w:t>installation</w:t>
      </w:r>
      <w:r w:rsidR="00A022F0" w:rsidRPr="00E752B5">
        <w:rPr>
          <w:rFonts w:ascii="Open Sans" w:hAnsi="Open Sans" w:cs="Open Sans"/>
          <w:szCs w:val="22"/>
        </w:rPr>
        <w:t>s -</w:t>
      </w:r>
      <w:r w:rsidR="009303A7" w:rsidRPr="00E752B5">
        <w:rPr>
          <w:rFonts w:ascii="Open Sans" w:hAnsi="Open Sans" w:cs="Open Sans"/>
          <w:szCs w:val="22"/>
        </w:rPr>
        <w:t xml:space="preserve"> a fraction of the RHI’s PM </w:t>
      </w:r>
      <w:r w:rsidR="005443AB" w:rsidRPr="00E752B5">
        <w:rPr>
          <w:rFonts w:ascii="Open Sans" w:hAnsi="Open Sans" w:cs="Open Sans"/>
          <w:szCs w:val="22"/>
        </w:rPr>
        <w:t xml:space="preserve">restrictions of 30 grams per GJ net heat output. </w:t>
      </w:r>
      <w:r w:rsidR="00A022F0" w:rsidRPr="00E752B5">
        <w:rPr>
          <w:rFonts w:ascii="Open Sans" w:hAnsi="Open Sans" w:cs="Open Sans"/>
          <w:szCs w:val="22"/>
        </w:rPr>
        <w:t xml:space="preserve"> </w:t>
      </w:r>
      <w:r w:rsidR="005443AB" w:rsidRPr="00E752B5">
        <w:rPr>
          <w:rFonts w:ascii="Open Sans" w:hAnsi="Open Sans" w:cs="Open Sans"/>
          <w:szCs w:val="22"/>
        </w:rPr>
        <w:t xml:space="preserve">Such levels do not pose a threat to urban air quality. </w:t>
      </w:r>
      <w:r w:rsidRPr="00E752B5">
        <w:rPr>
          <w:rStyle w:val="FootnoteReference"/>
          <w:rFonts w:ascii="Open Sans" w:hAnsi="Open Sans" w:cs="Open Sans"/>
          <w:szCs w:val="22"/>
        </w:rPr>
        <w:footnoteReference w:id="14"/>
      </w:r>
    </w:p>
    <w:p w14:paraId="13404C32" w14:textId="365E7E81" w:rsidR="00CB6E76" w:rsidRDefault="00CB6E76" w:rsidP="00926D06">
      <w:pPr>
        <w:rPr>
          <w:rFonts w:ascii="Open Sans" w:hAnsi="Open Sans" w:cs="Open Sans"/>
          <w:szCs w:val="22"/>
        </w:rPr>
      </w:pPr>
    </w:p>
    <w:p w14:paraId="3C5B0400" w14:textId="191C06FE" w:rsidR="00E86DC5" w:rsidRDefault="00E86DC5" w:rsidP="00E86DC5">
      <w:pPr>
        <w:spacing w:before="120" w:after="120"/>
        <w:rPr>
          <w:rFonts w:ascii="Arial" w:hAnsi="Arial" w:cs="Arial"/>
        </w:rPr>
      </w:pPr>
      <w:r w:rsidRPr="00E86DC5">
        <w:rPr>
          <w:rFonts w:ascii="Open Sans" w:hAnsi="Open Sans" w:cs="Open Sans"/>
        </w:rPr>
        <w:t>Excluding new installations in urban on-gas-grid areas will also not address the fact that in some locations, excluding background concentrations, peak emissions from domestic fireplaces and inefficient stoves (commonly used as secondary heating for aesthetic reasons as well as comfort) are thought to contribute up to 31% of the concentrations in air of PM</w:t>
      </w:r>
      <w:r w:rsidRPr="00E86DC5">
        <w:rPr>
          <w:rFonts w:ascii="Open Sans" w:hAnsi="Open Sans" w:cs="Open Sans"/>
          <w:vertAlign w:val="subscript"/>
        </w:rPr>
        <w:t>2.5</w:t>
      </w:r>
      <w:r w:rsidRPr="00E86DC5">
        <w:rPr>
          <w:rFonts w:ascii="Open Sans" w:hAnsi="Open Sans" w:cs="Open Sans"/>
        </w:rPr>
        <w:t>, particulate matter harmful to health</w:t>
      </w:r>
      <w:r w:rsidR="00070B71">
        <w:rPr>
          <w:rFonts w:ascii="Open Sans" w:hAnsi="Open Sans" w:cs="Open Sans"/>
        </w:rPr>
        <w:t>.</w:t>
      </w:r>
      <w:r w:rsidRPr="00E86DC5">
        <w:rPr>
          <w:rFonts w:ascii="Open Sans" w:hAnsi="Open Sans" w:cs="Open Sans"/>
          <w:vertAlign w:val="superscript"/>
        </w:rPr>
        <w:footnoteReference w:id="15"/>
      </w:r>
      <w:r w:rsidRPr="00E86DC5">
        <w:rPr>
          <w:rFonts w:ascii="Open Sans" w:hAnsi="Open Sans" w:cs="Open Sans"/>
        </w:rPr>
        <w:t xml:space="preserve"> These forms of heating are meant to be regulated by Clean Air Zones and DEFRA Exemptions, both of which are currently poorly enforced </w:t>
      </w:r>
      <w:r w:rsidR="00855CFB">
        <w:rPr>
          <w:rFonts w:ascii="Open Sans" w:hAnsi="Open Sans" w:cs="Open Sans"/>
        </w:rPr>
        <w:t>with</w:t>
      </w:r>
      <w:r w:rsidRPr="00E86DC5">
        <w:rPr>
          <w:rFonts w:ascii="Open Sans" w:hAnsi="Open Sans" w:cs="Open Sans"/>
        </w:rPr>
        <w:t xml:space="preserve"> low awareness about the legal requirements amongst both suppliers and users. Emissions from wood-fuelled biomass- boilers, by comparison, are far smaller and controllable using high-performance filters</w:t>
      </w:r>
      <w:r w:rsidR="00070B71">
        <w:rPr>
          <w:rFonts w:ascii="Open Sans" w:hAnsi="Open Sans" w:cs="Open Sans"/>
        </w:rPr>
        <w:t>.</w:t>
      </w:r>
    </w:p>
    <w:p w14:paraId="5C52678E" w14:textId="3BF7396B" w:rsidR="00FD42D6" w:rsidRDefault="00FD42D6" w:rsidP="00E86DC5">
      <w:pPr>
        <w:spacing w:before="120" w:after="120"/>
        <w:rPr>
          <w:rFonts w:ascii="Open Sans" w:hAnsi="Open Sans" w:cs="Open Sans"/>
          <w:szCs w:val="22"/>
        </w:rPr>
      </w:pPr>
      <w:r>
        <w:rPr>
          <w:rFonts w:ascii="Open Sans" w:hAnsi="Open Sans" w:cs="Open Sans"/>
          <w:szCs w:val="22"/>
        </w:rPr>
        <w:t xml:space="preserve">It must also be remembered that emissions from all types and sizes of biomass combustion is already regulated to emission limit values: </w:t>
      </w:r>
    </w:p>
    <w:p w14:paraId="5AB69A95" w14:textId="00640DA4" w:rsidR="00FD42D6" w:rsidRDefault="00FD42D6" w:rsidP="00FD42D6">
      <w:pPr>
        <w:pStyle w:val="ListParagraph"/>
        <w:numPr>
          <w:ilvl w:val="0"/>
          <w:numId w:val="8"/>
        </w:numPr>
        <w:rPr>
          <w:rFonts w:ascii="Open Sans" w:hAnsi="Open Sans" w:cs="Open Sans"/>
          <w:szCs w:val="22"/>
        </w:rPr>
      </w:pPr>
      <w:r>
        <w:rPr>
          <w:rFonts w:ascii="Open Sans" w:hAnsi="Open Sans" w:cs="Open Sans"/>
          <w:szCs w:val="22"/>
        </w:rPr>
        <w:t>Large size installations (above 50 MW) are subject to the Industrial Emissions Directive</w:t>
      </w:r>
    </w:p>
    <w:p w14:paraId="7F45A85E" w14:textId="67965D70" w:rsidR="006B299D" w:rsidRDefault="00FD42D6" w:rsidP="00926D06">
      <w:pPr>
        <w:pStyle w:val="ListParagraph"/>
        <w:numPr>
          <w:ilvl w:val="0"/>
          <w:numId w:val="8"/>
        </w:numPr>
        <w:rPr>
          <w:rFonts w:ascii="Open Sans" w:hAnsi="Open Sans" w:cs="Open Sans"/>
          <w:szCs w:val="22"/>
        </w:rPr>
      </w:pPr>
      <w:r>
        <w:rPr>
          <w:rFonts w:ascii="Open Sans" w:hAnsi="Open Sans" w:cs="Open Sans"/>
          <w:szCs w:val="22"/>
        </w:rPr>
        <w:t xml:space="preserve">Medium size installations (1 MW – 50 </w:t>
      </w:r>
      <w:r w:rsidR="00070B71">
        <w:rPr>
          <w:rFonts w:ascii="Open Sans" w:hAnsi="Open Sans" w:cs="Open Sans"/>
          <w:szCs w:val="22"/>
        </w:rPr>
        <w:t>MW)</w:t>
      </w:r>
      <w:r>
        <w:rPr>
          <w:rFonts w:ascii="Open Sans" w:hAnsi="Open Sans" w:cs="Open Sans"/>
          <w:szCs w:val="22"/>
        </w:rPr>
        <w:t xml:space="preserve"> are subject to the Medium Combustion Directive. </w:t>
      </w:r>
    </w:p>
    <w:p w14:paraId="3A099AE4" w14:textId="769BE378" w:rsidR="00926D06" w:rsidRDefault="006B299D" w:rsidP="00926D06">
      <w:pPr>
        <w:pStyle w:val="ListParagraph"/>
        <w:numPr>
          <w:ilvl w:val="0"/>
          <w:numId w:val="8"/>
        </w:numPr>
        <w:rPr>
          <w:rFonts w:ascii="Open Sans" w:hAnsi="Open Sans" w:cs="Open Sans"/>
          <w:szCs w:val="22"/>
        </w:rPr>
      </w:pPr>
      <w:r>
        <w:rPr>
          <w:rFonts w:ascii="Open Sans" w:hAnsi="Open Sans" w:cs="Open Sans"/>
          <w:szCs w:val="22"/>
        </w:rPr>
        <w:t>R</w:t>
      </w:r>
      <w:r w:rsidRPr="006B299D">
        <w:rPr>
          <w:rFonts w:ascii="Open Sans" w:hAnsi="Open Sans" w:cs="Open Sans"/>
          <w:szCs w:val="22"/>
        </w:rPr>
        <w:t>esidential heating</w:t>
      </w:r>
      <w:r>
        <w:rPr>
          <w:rFonts w:ascii="Open Sans" w:hAnsi="Open Sans" w:cs="Open Sans"/>
          <w:szCs w:val="22"/>
        </w:rPr>
        <w:t xml:space="preserve"> is subject to the </w:t>
      </w:r>
      <w:r w:rsidRPr="006B299D">
        <w:rPr>
          <w:rFonts w:ascii="Open Sans" w:hAnsi="Open Sans" w:cs="Open Sans"/>
          <w:szCs w:val="22"/>
        </w:rPr>
        <w:t>eco-design scheme for solid fuel boilers (Commission Regulation (EU) 2015/1189) and local space heaters (Commission Regulation (EU) 2015/1185) set</w:t>
      </w:r>
      <w:r>
        <w:rPr>
          <w:rFonts w:ascii="Open Sans" w:hAnsi="Open Sans" w:cs="Open Sans"/>
          <w:szCs w:val="22"/>
        </w:rPr>
        <w:t>s</w:t>
      </w:r>
      <w:r w:rsidRPr="006B299D">
        <w:rPr>
          <w:rFonts w:ascii="Open Sans" w:hAnsi="Open Sans" w:cs="Open Sans"/>
          <w:szCs w:val="22"/>
        </w:rPr>
        <w:t xml:space="preserve"> minimum efficiency and maximum emissions levels for biomass heating installations </w:t>
      </w:r>
      <w:r>
        <w:rPr>
          <w:rFonts w:ascii="Open Sans" w:hAnsi="Open Sans" w:cs="Open Sans"/>
          <w:szCs w:val="22"/>
        </w:rPr>
        <w:t xml:space="preserve">that are </w:t>
      </w:r>
      <w:r w:rsidRPr="006B299D">
        <w:rPr>
          <w:rFonts w:ascii="Open Sans" w:hAnsi="Open Sans" w:cs="Open Sans"/>
          <w:szCs w:val="22"/>
        </w:rPr>
        <w:t>on EU market. These requirements ensure all new biomass heating installations emit minimum levels of emissions.</w:t>
      </w:r>
    </w:p>
    <w:p w14:paraId="557261C9" w14:textId="11DB9B2F" w:rsidR="00B4496C" w:rsidRDefault="00B4496C" w:rsidP="00B4496C">
      <w:pPr>
        <w:rPr>
          <w:rFonts w:ascii="Open Sans" w:hAnsi="Open Sans" w:cs="Open Sans"/>
          <w:szCs w:val="22"/>
        </w:rPr>
      </w:pPr>
    </w:p>
    <w:p w14:paraId="30DD1678" w14:textId="4F1CEB58" w:rsidR="00B4496C" w:rsidRPr="00B4496C" w:rsidRDefault="00B4496C" w:rsidP="00B4496C">
      <w:pPr>
        <w:rPr>
          <w:rFonts w:ascii="Open Sans" w:hAnsi="Open Sans" w:cs="Open Sans"/>
          <w:szCs w:val="22"/>
        </w:rPr>
      </w:pPr>
      <w:r>
        <w:rPr>
          <w:rFonts w:ascii="Open Sans" w:hAnsi="Open Sans" w:cs="Open Sans"/>
          <w:szCs w:val="22"/>
        </w:rPr>
        <w:t>In addition to the above, in February this year</w:t>
      </w:r>
      <w:r w:rsidR="00070B71">
        <w:rPr>
          <w:rFonts w:ascii="Open Sans" w:hAnsi="Open Sans" w:cs="Open Sans"/>
          <w:szCs w:val="22"/>
        </w:rPr>
        <w:t>, the</w:t>
      </w:r>
      <w:r>
        <w:rPr>
          <w:rFonts w:ascii="Open Sans" w:hAnsi="Open Sans" w:cs="Open Sans"/>
          <w:szCs w:val="22"/>
        </w:rPr>
        <w:t xml:space="preserve"> Government released new policies relating to using Cleaner Fuels for Domestic Burning. These polices were directly aimed at improving emissions from solid fuels, including wood burning. These new regulations were welcomed by the biomass heat industry and appeared to be moving the conversation in the right direction – recognising that better regulation and public education </w:t>
      </w:r>
      <w:r w:rsidR="000C7AAA">
        <w:rPr>
          <w:rFonts w:ascii="Open Sans" w:hAnsi="Open Sans" w:cs="Open Sans"/>
          <w:szCs w:val="22"/>
        </w:rPr>
        <w:t>were the solution to these issues</w:t>
      </w:r>
      <w:r>
        <w:rPr>
          <w:rFonts w:ascii="Open Sans" w:hAnsi="Open Sans" w:cs="Open Sans"/>
          <w:szCs w:val="22"/>
        </w:rPr>
        <w:t xml:space="preserve">. The new proposed ban therefore </w:t>
      </w:r>
      <w:r w:rsidR="000C7AAA">
        <w:rPr>
          <w:rFonts w:ascii="Open Sans" w:hAnsi="Open Sans" w:cs="Open Sans"/>
          <w:szCs w:val="22"/>
        </w:rPr>
        <w:t xml:space="preserve">goes back on the intentions of that consultation and are inconsistent with the </w:t>
      </w:r>
      <w:r w:rsidR="00070B71">
        <w:rPr>
          <w:rFonts w:ascii="Open Sans" w:hAnsi="Open Sans" w:cs="Open Sans"/>
          <w:szCs w:val="22"/>
        </w:rPr>
        <w:t>G</w:t>
      </w:r>
      <w:r w:rsidR="000C7AAA">
        <w:rPr>
          <w:rFonts w:ascii="Open Sans" w:hAnsi="Open Sans" w:cs="Open Sans"/>
          <w:szCs w:val="22"/>
        </w:rPr>
        <w:t xml:space="preserve">overnment announcements earlier </w:t>
      </w:r>
      <w:r w:rsidR="00070B71">
        <w:rPr>
          <w:rFonts w:ascii="Open Sans" w:hAnsi="Open Sans" w:cs="Open Sans"/>
          <w:szCs w:val="22"/>
        </w:rPr>
        <w:t xml:space="preserve">in the </w:t>
      </w:r>
      <w:r w:rsidR="000C7AAA">
        <w:rPr>
          <w:rFonts w:ascii="Open Sans" w:hAnsi="Open Sans" w:cs="Open Sans"/>
          <w:szCs w:val="22"/>
        </w:rPr>
        <w:t xml:space="preserve">year.  </w:t>
      </w:r>
    </w:p>
    <w:p w14:paraId="574C98C2" w14:textId="75EDFE6F" w:rsidR="00C6515F" w:rsidRDefault="00C6515F" w:rsidP="00C6515F">
      <w:pPr>
        <w:rPr>
          <w:rFonts w:ascii="Open Sans" w:hAnsi="Open Sans" w:cs="Open Sans"/>
          <w:szCs w:val="22"/>
        </w:rPr>
      </w:pPr>
    </w:p>
    <w:p w14:paraId="4646EA06" w14:textId="33D71837" w:rsidR="00C6515F" w:rsidRPr="00C6515F" w:rsidRDefault="00C6515F" w:rsidP="00C6515F">
      <w:pPr>
        <w:rPr>
          <w:rFonts w:ascii="Open Sans" w:hAnsi="Open Sans" w:cs="Open Sans"/>
          <w:szCs w:val="22"/>
        </w:rPr>
      </w:pPr>
      <w:r>
        <w:rPr>
          <w:rFonts w:ascii="Open Sans" w:hAnsi="Open Sans" w:cs="Open Sans"/>
          <w:szCs w:val="22"/>
        </w:rPr>
        <w:t>The proposed restriction</w:t>
      </w:r>
      <w:r w:rsidR="00070B71">
        <w:rPr>
          <w:rFonts w:ascii="Open Sans" w:hAnsi="Open Sans" w:cs="Open Sans"/>
          <w:szCs w:val="22"/>
        </w:rPr>
        <w:t>s</w:t>
      </w:r>
      <w:r>
        <w:rPr>
          <w:rFonts w:ascii="Open Sans" w:hAnsi="Open Sans" w:cs="Open Sans"/>
          <w:szCs w:val="22"/>
        </w:rPr>
        <w:t xml:space="preserve"> are therefore unnecessary and damaging to both the purpose of the Clean Heat Grant Scheme and to the Government b</w:t>
      </w:r>
      <w:r w:rsidR="00070B71">
        <w:rPr>
          <w:rFonts w:ascii="Open Sans" w:hAnsi="Open Sans" w:cs="Open Sans"/>
          <w:szCs w:val="22"/>
        </w:rPr>
        <w:t>roader</w:t>
      </w:r>
      <w:r>
        <w:rPr>
          <w:rFonts w:ascii="Open Sans" w:hAnsi="Open Sans" w:cs="Open Sans"/>
          <w:szCs w:val="22"/>
        </w:rPr>
        <w:t xml:space="preserve"> heat decarbonisation objectives, </w:t>
      </w:r>
      <w:r w:rsidR="00070B71">
        <w:rPr>
          <w:rFonts w:ascii="Open Sans" w:hAnsi="Open Sans" w:cs="Open Sans"/>
          <w:szCs w:val="22"/>
        </w:rPr>
        <w:t>creating a</w:t>
      </w:r>
      <w:r>
        <w:rPr>
          <w:rFonts w:ascii="Open Sans" w:hAnsi="Open Sans" w:cs="Open Sans"/>
          <w:szCs w:val="22"/>
        </w:rPr>
        <w:t xml:space="preserve"> barrier to deployment. </w:t>
      </w:r>
      <w:r w:rsidR="00E76400">
        <w:rPr>
          <w:rFonts w:ascii="Open Sans" w:hAnsi="Open Sans" w:cs="Open Sans"/>
          <w:szCs w:val="22"/>
        </w:rPr>
        <w:t xml:space="preserve">It also greatly restricts consumer choice. </w:t>
      </w:r>
      <w:r>
        <w:rPr>
          <w:rFonts w:ascii="Open Sans" w:hAnsi="Open Sans" w:cs="Open Sans"/>
          <w:szCs w:val="22"/>
        </w:rPr>
        <w:t>The market will be able to determine where biomass is an appropriate renewable heat technology for a site, in terms of delivering heat requirements and value for money. Rather than a</w:t>
      </w:r>
      <w:r w:rsidR="00070B71">
        <w:rPr>
          <w:rFonts w:ascii="Open Sans" w:hAnsi="Open Sans" w:cs="Open Sans"/>
          <w:szCs w:val="22"/>
        </w:rPr>
        <w:t>n</w:t>
      </w:r>
      <w:r>
        <w:rPr>
          <w:rFonts w:ascii="Open Sans" w:hAnsi="Open Sans" w:cs="Open Sans"/>
          <w:szCs w:val="22"/>
        </w:rPr>
        <w:t xml:space="preserve"> outright ban, the Governments focus must be on the ensuring the tight installation and maintenance standards so that what is installed </w:t>
      </w:r>
      <w:r w:rsidR="00E76400">
        <w:rPr>
          <w:rFonts w:ascii="Open Sans" w:hAnsi="Open Sans" w:cs="Open Sans"/>
          <w:szCs w:val="22"/>
        </w:rPr>
        <w:t>poses</w:t>
      </w:r>
      <w:r>
        <w:rPr>
          <w:rFonts w:ascii="Open Sans" w:hAnsi="Open Sans" w:cs="Open Sans"/>
          <w:szCs w:val="22"/>
        </w:rPr>
        <w:t xml:space="preserve"> no risk to air quality. </w:t>
      </w:r>
    </w:p>
    <w:p w14:paraId="40942AF3" w14:textId="0F40799B" w:rsidR="006B299D" w:rsidRDefault="006B299D" w:rsidP="006B299D">
      <w:pPr>
        <w:rPr>
          <w:rFonts w:ascii="Open Sans" w:hAnsi="Open Sans" w:cs="Open Sans"/>
          <w:szCs w:val="22"/>
        </w:rPr>
      </w:pPr>
    </w:p>
    <w:p w14:paraId="1D87FC24" w14:textId="61B5D0AA" w:rsidR="006E1CD9" w:rsidRPr="00E752B5" w:rsidRDefault="00273E54" w:rsidP="00556297">
      <w:pPr>
        <w:rPr>
          <w:rFonts w:ascii="Open Sans" w:hAnsi="Open Sans" w:cs="Open Sans"/>
          <w:szCs w:val="22"/>
        </w:rPr>
      </w:pPr>
      <w:r w:rsidRPr="00E752B5">
        <w:rPr>
          <w:rFonts w:ascii="Open Sans" w:hAnsi="Open Sans" w:cs="Open Sans"/>
          <w:szCs w:val="22"/>
        </w:rPr>
        <w:t xml:space="preserve">Examples </w:t>
      </w:r>
      <w:r w:rsidR="005443AB" w:rsidRPr="00E752B5">
        <w:rPr>
          <w:rFonts w:ascii="Open Sans" w:hAnsi="Open Sans" w:cs="Open Sans"/>
          <w:szCs w:val="22"/>
        </w:rPr>
        <w:t>for how standards, in conjunction with support mechanisms, can be effectively used to incentivise high-quality u</w:t>
      </w:r>
      <w:r w:rsidR="007D6443" w:rsidRPr="00E752B5">
        <w:rPr>
          <w:rFonts w:ascii="Open Sans" w:hAnsi="Open Sans" w:cs="Open Sans"/>
          <w:szCs w:val="22"/>
        </w:rPr>
        <w:t xml:space="preserve">rban biomass installations can be </w:t>
      </w:r>
      <w:r w:rsidRPr="00E752B5">
        <w:rPr>
          <w:rFonts w:ascii="Open Sans" w:hAnsi="Open Sans" w:cs="Open Sans"/>
          <w:szCs w:val="22"/>
        </w:rPr>
        <w:t xml:space="preserve">taken from </w:t>
      </w:r>
      <w:r w:rsidR="007D6443" w:rsidRPr="00E752B5">
        <w:rPr>
          <w:rFonts w:ascii="Open Sans" w:hAnsi="Open Sans" w:cs="Open Sans"/>
          <w:szCs w:val="22"/>
        </w:rPr>
        <w:t xml:space="preserve">across Europe.  In </w:t>
      </w:r>
      <w:r w:rsidR="007D6443" w:rsidRPr="00E752B5">
        <w:rPr>
          <w:rFonts w:ascii="Open Sans" w:hAnsi="Open Sans" w:cs="Open Sans"/>
          <w:szCs w:val="22"/>
        </w:rPr>
        <w:lastRenderedPageBreak/>
        <w:t xml:space="preserve">Germany, support is tiered </w:t>
      </w:r>
      <w:r w:rsidRPr="00E752B5">
        <w:rPr>
          <w:rFonts w:ascii="Open Sans" w:hAnsi="Open Sans" w:cs="Open Sans"/>
          <w:szCs w:val="22"/>
        </w:rPr>
        <w:t>based on</w:t>
      </w:r>
      <w:r w:rsidR="007D6443" w:rsidRPr="00E752B5">
        <w:rPr>
          <w:rFonts w:ascii="Open Sans" w:hAnsi="Open Sans" w:cs="Open Sans"/>
          <w:szCs w:val="22"/>
        </w:rPr>
        <w:t xml:space="preserve"> the emissions profile of </w:t>
      </w:r>
      <w:r w:rsidRPr="00E752B5">
        <w:rPr>
          <w:rFonts w:ascii="Open Sans" w:hAnsi="Open Sans" w:cs="Open Sans"/>
          <w:szCs w:val="22"/>
        </w:rPr>
        <w:t xml:space="preserve">a </w:t>
      </w:r>
      <w:r w:rsidR="007D6443" w:rsidRPr="00E752B5">
        <w:rPr>
          <w:rFonts w:ascii="Open Sans" w:hAnsi="Open Sans" w:cs="Open Sans"/>
          <w:szCs w:val="22"/>
        </w:rPr>
        <w:t>system, ensuring that the highest levels of subsidy support are only awarded to the best-performing systems. This combination drives installations which are appropriately sized</w:t>
      </w:r>
      <w:r w:rsidRPr="00E752B5">
        <w:rPr>
          <w:rFonts w:ascii="Open Sans" w:hAnsi="Open Sans" w:cs="Open Sans"/>
          <w:szCs w:val="22"/>
        </w:rPr>
        <w:t>,</w:t>
      </w:r>
      <w:r w:rsidR="007D6443" w:rsidRPr="00E752B5">
        <w:rPr>
          <w:rFonts w:ascii="Open Sans" w:hAnsi="Open Sans" w:cs="Open Sans"/>
          <w:szCs w:val="22"/>
        </w:rPr>
        <w:t xml:space="preserve"> optimised for efficiency and which are suitably clean for urban areas. This model should be replicated within the Clean Heat Grant Scheme</w:t>
      </w:r>
      <w:r w:rsidR="005443AB" w:rsidRPr="00E752B5">
        <w:rPr>
          <w:rFonts w:ascii="Open Sans" w:hAnsi="Open Sans" w:cs="Open Sans"/>
          <w:szCs w:val="22"/>
        </w:rPr>
        <w:t xml:space="preserve"> and future heat </w:t>
      </w:r>
      <w:r w:rsidR="00BD0B87" w:rsidRPr="00E752B5">
        <w:rPr>
          <w:rFonts w:ascii="Open Sans" w:hAnsi="Open Sans" w:cs="Open Sans"/>
          <w:szCs w:val="22"/>
        </w:rPr>
        <w:t>policies, ensuing</w:t>
      </w:r>
      <w:r w:rsidR="007D6443" w:rsidRPr="00E752B5">
        <w:rPr>
          <w:rFonts w:ascii="Open Sans" w:hAnsi="Open Sans" w:cs="Open Sans"/>
          <w:szCs w:val="22"/>
        </w:rPr>
        <w:t xml:space="preserve"> the installations built within urban areas meet </w:t>
      </w:r>
      <w:r w:rsidR="006B299D">
        <w:rPr>
          <w:rFonts w:ascii="Open Sans" w:hAnsi="Open Sans" w:cs="Open Sans"/>
          <w:szCs w:val="22"/>
        </w:rPr>
        <w:t>tight</w:t>
      </w:r>
      <w:r w:rsidR="007D6443" w:rsidRPr="00E752B5">
        <w:rPr>
          <w:rFonts w:ascii="Open Sans" w:hAnsi="Open Sans" w:cs="Open Sans"/>
          <w:szCs w:val="22"/>
        </w:rPr>
        <w:t xml:space="preserve"> emission </w:t>
      </w:r>
      <w:r w:rsidR="005443AB" w:rsidRPr="00E752B5">
        <w:rPr>
          <w:rFonts w:ascii="Open Sans" w:hAnsi="Open Sans" w:cs="Open Sans"/>
          <w:szCs w:val="22"/>
        </w:rPr>
        <w:t xml:space="preserve">and maintenance </w:t>
      </w:r>
      <w:r w:rsidR="007D6443" w:rsidRPr="00E752B5">
        <w:rPr>
          <w:rFonts w:ascii="Open Sans" w:hAnsi="Open Sans" w:cs="Open Sans"/>
          <w:szCs w:val="22"/>
        </w:rPr>
        <w:t>standards</w:t>
      </w:r>
      <w:r w:rsidR="007459B8" w:rsidRPr="00E752B5">
        <w:rPr>
          <w:rFonts w:ascii="Open Sans" w:hAnsi="Open Sans" w:cs="Open Sans"/>
          <w:szCs w:val="22"/>
        </w:rPr>
        <w:t>,</w:t>
      </w:r>
      <w:r w:rsidR="007D6443" w:rsidRPr="00E752B5">
        <w:rPr>
          <w:rFonts w:ascii="Open Sans" w:hAnsi="Open Sans" w:cs="Open Sans"/>
          <w:szCs w:val="22"/>
        </w:rPr>
        <w:t xml:space="preserve"> rather than excluding </w:t>
      </w:r>
      <w:r w:rsidR="007459B8" w:rsidRPr="00E752B5">
        <w:rPr>
          <w:rFonts w:ascii="Open Sans" w:hAnsi="Open Sans" w:cs="Open Sans"/>
          <w:szCs w:val="22"/>
        </w:rPr>
        <w:t>on gas grid</w:t>
      </w:r>
      <w:r w:rsidR="007D6443" w:rsidRPr="00E752B5">
        <w:rPr>
          <w:rFonts w:ascii="Open Sans" w:hAnsi="Open Sans" w:cs="Open Sans"/>
          <w:szCs w:val="22"/>
        </w:rPr>
        <w:t xml:space="preserve"> installations entirely.</w:t>
      </w:r>
    </w:p>
    <w:p w14:paraId="5D2C8C06" w14:textId="28F4ECB1" w:rsidR="00273E54" w:rsidRDefault="00273E54" w:rsidP="00556297">
      <w:pPr>
        <w:rPr>
          <w:rFonts w:ascii="Open Sans" w:hAnsi="Open Sans" w:cs="Open Sans"/>
          <w:szCs w:val="22"/>
        </w:rPr>
      </w:pPr>
    </w:p>
    <w:p w14:paraId="41D0A3D6" w14:textId="2B4B1018" w:rsidR="000D49A6" w:rsidRPr="006B299D" w:rsidRDefault="006B299D" w:rsidP="00556297">
      <w:pPr>
        <w:rPr>
          <w:rFonts w:ascii="Open Sans" w:hAnsi="Open Sans" w:cs="Open Sans"/>
          <w:b/>
          <w:bCs/>
          <w:i/>
          <w:iCs/>
          <w:color w:val="2F5496"/>
          <w:szCs w:val="22"/>
        </w:rPr>
      </w:pPr>
      <w:r w:rsidRPr="006B299D">
        <w:rPr>
          <w:rFonts w:ascii="Open Sans" w:hAnsi="Open Sans" w:cs="Open Sans"/>
          <w:b/>
          <w:bCs/>
          <w:i/>
          <w:iCs/>
          <w:color w:val="2F5496"/>
          <w:szCs w:val="22"/>
        </w:rPr>
        <w:t xml:space="preserve">Question 32 - </w:t>
      </w:r>
      <w:r w:rsidR="000D49A6" w:rsidRPr="006B299D">
        <w:rPr>
          <w:rFonts w:ascii="Open Sans" w:hAnsi="Open Sans" w:cs="Open Sans"/>
          <w:b/>
          <w:bCs/>
          <w:i/>
          <w:iCs/>
          <w:color w:val="2F5496"/>
          <w:szCs w:val="22"/>
        </w:rPr>
        <w:t>Do you have any comments on how best to ensure ongoing compliance with fuel sustainability and quality requirements following the redemption of a grant?</w:t>
      </w:r>
    </w:p>
    <w:p w14:paraId="26F6D20D" w14:textId="79B52A6D" w:rsidR="00273E54" w:rsidRDefault="00273E54" w:rsidP="00556297">
      <w:pPr>
        <w:rPr>
          <w:rFonts w:ascii="Open Sans" w:hAnsi="Open Sans" w:cs="Open Sans"/>
          <w:b/>
          <w:bCs/>
          <w:szCs w:val="22"/>
        </w:rPr>
      </w:pPr>
    </w:p>
    <w:p w14:paraId="3629A344" w14:textId="0EF99FD5" w:rsidR="006B299D" w:rsidRDefault="006B299D" w:rsidP="00556297">
      <w:pPr>
        <w:rPr>
          <w:rFonts w:ascii="Open Sans" w:hAnsi="Open Sans" w:cs="Open Sans"/>
          <w:szCs w:val="22"/>
        </w:rPr>
      </w:pPr>
      <w:r>
        <w:rPr>
          <w:rFonts w:ascii="Open Sans" w:hAnsi="Open Sans" w:cs="Open Sans"/>
          <w:szCs w:val="22"/>
        </w:rPr>
        <w:t xml:space="preserve">A major weakness of a </w:t>
      </w:r>
      <w:r w:rsidR="00C6515F">
        <w:rPr>
          <w:rFonts w:ascii="Open Sans" w:hAnsi="Open Sans" w:cs="Open Sans"/>
          <w:szCs w:val="22"/>
        </w:rPr>
        <w:t>grant-based</w:t>
      </w:r>
      <w:r>
        <w:rPr>
          <w:rFonts w:ascii="Open Sans" w:hAnsi="Open Sans" w:cs="Open Sans"/>
          <w:szCs w:val="22"/>
        </w:rPr>
        <w:t xml:space="preserve"> scheme i</w:t>
      </w:r>
      <w:r w:rsidR="00070B71">
        <w:rPr>
          <w:rFonts w:ascii="Open Sans" w:hAnsi="Open Sans" w:cs="Open Sans"/>
          <w:szCs w:val="22"/>
        </w:rPr>
        <w:t>s</w:t>
      </w:r>
      <w:r>
        <w:rPr>
          <w:rFonts w:ascii="Open Sans" w:hAnsi="Open Sans" w:cs="Open Sans"/>
          <w:szCs w:val="22"/>
        </w:rPr>
        <w:t xml:space="preserve"> the difficulty of enforcing ongoing </w:t>
      </w:r>
      <w:r w:rsidR="00C6515F">
        <w:rPr>
          <w:rFonts w:ascii="Open Sans" w:hAnsi="Open Sans" w:cs="Open Sans"/>
          <w:szCs w:val="22"/>
        </w:rPr>
        <w:t xml:space="preserve">obligations on the user where they are not in receipt of continued support. </w:t>
      </w:r>
      <w:r w:rsidR="000C7AAA">
        <w:rPr>
          <w:rFonts w:ascii="Open Sans" w:hAnsi="Open Sans" w:cs="Open Sans"/>
          <w:szCs w:val="22"/>
        </w:rPr>
        <w:t>W</w:t>
      </w:r>
      <w:r w:rsidR="00C6515F">
        <w:rPr>
          <w:rFonts w:ascii="Open Sans" w:hAnsi="Open Sans" w:cs="Open Sans"/>
          <w:szCs w:val="22"/>
        </w:rPr>
        <w:t>e support the Government’s intention to develop</w:t>
      </w:r>
      <w:r w:rsidR="00070B71">
        <w:rPr>
          <w:rFonts w:ascii="Open Sans" w:hAnsi="Open Sans" w:cs="Open Sans"/>
          <w:szCs w:val="22"/>
        </w:rPr>
        <w:t xml:space="preserve"> </w:t>
      </w:r>
      <w:r w:rsidR="00C6515F">
        <w:rPr>
          <w:rFonts w:ascii="Open Sans" w:hAnsi="Open Sans" w:cs="Open Sans"/>
          <w:szCs w:val="22"/>
        </w:rPr>
        <w:t>new fuel quality standards and maintenance standards</w:t>
      </w:r>
      <w:r w:rsidR="00E86DC5">
        <w:rPr>
          <w:rFonts w:ascii="Open Sans" w:hAnsi="Open Sans" w:cs="Open Sans"/>
          <w:szCs w:val="22"/>
        </w:rPr>
        <w:t>, maintain current obliga</w:t>
      </w:r>
      <w:r w:rsidR="00B4496C">
        <w:rPr>
          <w:rFonts w:ascii="Open Sans" w:hAnsi="Open Sans" w:cs="Open Sans"/>
          <w:szCs w:val="22"/>
        </w:rPr>
        <w:t xml:space="preserve">tions to use BSL compliant fuel and </w:t>
      </w:r>
      <w:r w:rsidR="00C6515F">
        <w:rPr>
          <w:rFonts w:ascii="Open Sans" w:hAnsi="Open Sans" w:cs="Open Sans"/>
          <w:szCs w:val="22"/>
        </w:rPr>
        <w:t>maintain a legal requirement to comply with environmental permitting and local and national laws</w:t>
      </w:r>
      <w:r w:rsidR="00070B71">
        <w:rPr>
          <w:rFonts w:ascii="Open Sans" w:hAnsi="Open Sans" w:cs="Open Sans"/>
          <w:szCs w:val="22"/>
        </w:rPr>
        <w:t>.</w:t>
      </w:r>
    </w:p>
    <w:p w14:paraId="376AD178" w14:textId="17F2B0C1" w:rsidR="00C6515F" w:rsidRDefault="00C6515F" w:rsidP="00556297">
      <w:pPr>
        <w:rPr>
          <w:rFonts w:ascii="Open Sans" w:hAnsi="Open Sans" w:cs="Open Sans"/>
          <w:szCs w:val="22"/>
        </w:rPr>
      </w:pPr>
    </w:p>
    <w:p w14:paraId="54738C84" w14:textId="5C2291A6" w:rsidR="00C6515F" w:rsidRDefault="00C6515F" w:rsidP="00556297">
      <w:pPr>
        <w:rPr>
          <w:rFonts w:ascii="Open Sans" w:hAnsi="Open Sans" w:cs="Open Sans"/>
        </w:rPr>
      </w:pPr>
      <w:r>
        <w:rPr>
          <w:rFonts w:ascii="Open Sans" w:hAnsi="Open Sans" w:cs="Open Sans"/>
          <w:szCs w:val="22"/>
        </w:rPr>
        <w:t>However, even greater focus will now have to be placed on enforcement and education</w:t>
      </w:r>
      <w:r w:rsidR="00E86DC5">
        <w:rPr>
          <w:rFonts w:ascii="Open Sans" w:hAnsi="Open Sans" w:cs="Open Sans"/>
          <w:szCs w:val="22"/>
        </w:rPr>
        <w:t xml:space="preserve">.  </w:t>
      </w:r>
      <w:r w:rsidR="00E86DC5" w:rsidRPr="00E86DC5">
        <w:rPr>
          <w:rFonts w:ascii="Open Sans" w:hAnsi="Open Sans" w:cs="Open Sans"/>
        </w:rPr>
        <w:t>Clean Air Zones and DEFRA Exemptions</w:t>
      </w:r>
      <w:r w:rsidR="00E86DC5">
        <w:rPr>
          <w:rFonts w:ascii="Open Sans" w:hAnsi="Open Sans" w:cs="Open Sans"/>
        </w:rPr>
        <w:t xml:space="preserve"> have long been poorly enforced</w:t>
      </w:r>
      <w:r w:rsidR="005C4FD8">
        <w:rPr>
          <w:rFonts w:ascii="Open Sans" w:hAnsi="Open Sans" w:cs="Open Sans"/>
        </w:rPr>
        <w:t>,</w:t>
      </w:r>
      <w:r w:rsidR="000C7AAA">
        <w:rPr>
          <w:rFonts w:ascii="Open Sans" w:hAnsi="Open Sans" w:cs="Open Sans"/>
        </w:rPr>
        <w:t xml:space="preserve"> while much of the public remain unaware of what they are and are not allowed to do. </w:t>
      </w:r>
      <w:r w:rsidR="00E86DC5">
        <w:rPr>
          <w:rFonts w:ascii="Open Sans" w:hAnsi="Open Sans" w:cs="Open Sans"/>
        </w:rPr>
        <w:t xml:space="preserve"> The Government recently brought in new regulations for the </w:t>
      </w:r>
      <w:r w:rsidR="00B4496C">
        <w:rPr>
          <w:rFonts w:ascii="Open Sans" w:hAnsi="Open Sans" w:cs="Open Sans"/>
        </w:rPr>
        <w:t>cleaner domestic burning of solid fuels and wood, which the WHA and REA welcomed</w:t>
      </w:r>
      <w:r w:rsidR="000C7AAA">
        <w:rPr>
          <w:rFonts w:ascii="Open Sans" w:hAnsi="Open Sans" w:cs="Open Sans"/>
        </w:rPr>
        <w:t xml:space="preserve">. In doing so the Government made commitments to a new public education campaign on these issues which we are yet to see </w:t>
      </w:r>
      <w:r w:rsidR="005C4FD8">
        <w:rPr>
          <w:rFonts w:ascii="Open Sans" w:hAnsi="Open Sans" w:cs="Open Sans"/>
        </w:rPr>
        <w:t>delivered but</w:t>
      </w:r>
      <w:r w:rsidR="000C7AAA">
        <w:rPr>
          <w:rFonts w:ascii="Open Sans" w:hAnsi="Open Sans" w:cs="Open Sans"/>
        </w:rPr>
        <w:t xml:space="preserve"> will now</w:t>
      </w:r>
      <w:r w:rsidR="005C4FD8">
        <w:rPr>
          <w:rFonts w:ascii="Open Sans" w:hAnsi="Open Sans" w:cs="Open Sans"/>
        </w:rPr>
        <w:t xml:space="preserve"> also</w:t>
      </w:r>
      <w:r w:rsidR="000C7AAA">
        <w:rPr>
          <w:rFonts w:ascii="Open Sans" w:hAnsi="Open Sans" w:cs="Open Sans"/>
        </w:rPr>
        <w:t xml:space="preserve"> need to incorporate the proposals for the </w:t>
      </w:r>
      <w:r w:rsidR="00070B71">
        <w:rPr>
          <w:rFonts w:ascii="Open Sans" w:hAnsi="Open Sans" w:cs="Open Sans"/>
        </w:rPr>
        <w:t>C</w:t>
      </w:r>
      <w:r w:rsidR="000C7AAA">
        <w:rPr>
          <w:rFonts w:ascii="Open Sans" w:hAnsi="Open Sans" w:cs="Open Sans"/>
        </w:rPr>
        <w:t xml:space="preserve">lean </w:t>
      </w:r>
      <w:r w:rsidR="00070B71">
        <w:rPr>
          <w:rFonts w:ascii="Open Sans" w:hAnsi="Open Sans" w:cs="Open Sans"/>
        </w:rPr>
        <w:t>H</w:t>
      </w:r>
      <w:r w:rsidR="000C7AAA">
        <w:rPr>
          <w:rFonts w:ascii="Open Sans" w:hAnsi="Open Sans" w:cs="Open Sans"/>
        </w:rPr>
        <w:t xml:space="preserve">eat </w:t>
      </w:r>
      <w:r w:rsidR="00070B71">
        <w:rPr>
          <w:rFonts w:ascii="Open Sans" w:hAnsi="Open Sans" w:cs="Open Sans"/>
        </w:rPr>
        <w:t>G</w:t>
      </w:r>
      <w:r w:rsidR="000C7AAA">
        <w:rPr>
          <w:rFonts w:ascii="Open Sans" w:hAnsi="Open Sans" w:cs="Open Sans"/>
        </w:rPr>
        <w:t xml:space="preserve">rant </w:t>
      </w:r>
      <w:r w:rsidR="00070B71">
        <w:rPr>
          <w:rFonts w:ascii="Open Sans" w:hAnsi="Open Sans" w:cs="Open Sans"/>
        </w:rPr>
        <w:t>S</w:t>
      </w:r>
      <w:r w:rsidR="000C7AAA">
        <w:rPr>
          <w:rFonts w:ascii="Open Sans" w:hAnsi="Open Sans" w:cs="Open Sans"/>
        </w:rPr>
        <w:t xml:space="preserve">cheme. </w:t>
      </w:r>
    </w:p>
    <w:p w14:paraId="6BBB94B2" w14:textId="16447451" w:rsidR="000C7AAA" w:rsidRDefault="000C7AAA" w:rsidP="00556297">
      <w:pPr>
        <w:rPr>
          <w:rFonts w:ascii="Open Sans" w:hAnsi="Open Sans" w:cs="Open Sans"/>
        </w:rPr>
      </w:pPr>
    </w:p>
    <w:p w14:paraId="5B2F0072" w14:textId="1BAC02D2" w:rsidR="000C7AAA" w:rsidRDefault="000C7AAA" w:rsidP="00556297">
      <w:pPr>
        <w:rPr>
          <w:rFonts w:ascii="Open Sans" w:hAnsi="Open Sans" w:cs="Open Sans"/>
        </w:rPr>
      </w:pPr>
      <w:r>
        <w:rPr>
          <w:rFonts w:ascii="Open Sans" w:hAnsi="Open Sans" w:cs="Open Sans"/>
        </w:rPr>
        <w:t>Enforcement action</w:t>
      </w:r>
      <w:r w:rsidR="005C4FD8">
        <w:rPr>
          <w:rFonts w:ascii="Open Sans" w:hAnsi="Open Sans" w:cs="Open Sans"/>
        </w:rPr>
        <w:t>s</w:t>
      </w:r>
      <w:r>
        <w:rPr>
          <w:rFonts w:ascii="Open Sans" w:hAnsi="Open Sans" w:cs="Open Sans"/>
        </w:rPr>
        <w:t xml:space="preserve"> will need to be carefully considered. This will </w:t>
      </w:r>
      <w:r w:rsidR="005C4FD8">
        <w:rPr>
          <w:rFonts w:ascii="Open Sans" w:hAnsi="Open Sans" w:cs="Open Sans"/>
        </w:rPr>
        <w:t xml:space="preserve">likely </w:t>
      </w:r>
      <w:r>
        <w:rPr>
          <w:rFonts w:ascii="Open Sans" w:hAnsi="Open Sans" w:cs="Open Sans"/>
        </w:rPr>
        <w:t xml:space="preserve">require audits </w:t>
      </w:r>
      <w:r w:rsidR="005C4FD8">
        <w:rPr>
          <w:rFonts w:ascii="Open Sans" w:hAnsi="Open Sans" w:cs="Open Sans"/>
        </w:rPr>
        <w:t>of installed systems</w:t>
      </w:r>
      <w:r w:rsidR="00070B71">
        <w:rPr>
          <w:rFonts w:ascii="Open Sans" w:hAnsi="Open Sans" w:cs="Open Sans"/>
        </w:rPr>
        <w:t xml:space="preserve"> and the administrator</w:t>
      </w:r>
      <w:r w:rsidR="005C4FD8">
        <w:rPr>
          <w:rFonts w:ascii="Open Sans" w:hAnsi="Open Sans" w:cs="Open Sans"/>
        </w:rPr>
        <w:t xml:space="preserve"> provided power</w:t>
      </w:r>
      <w:r w:rsidR="00070B71">
        <w:rPr>
          <w:rFonts w:ascii="Open Sans" w:hAnsi="Open Sans" w:cs="Open Sans"/>
        </w:rPr>
        <w:t>s</w:t>
      </w:r>
      <w:r w:rsidR="005C4FD8">
        <w:rPr>
          <w:rFonts w:ascii="Open Sans" w:hAnsi="Open Sans" w:cs="Open Sans"/>
        </w:rPr>
        <w:t xml:space="preserve"> to issue fines if non-compliance is proven</w:t>
      </w:r>
      <w:r>
        <w:rPr>
          <w:rFonts w:ascii="Open Sans" w:hAnsi="Open Sans" w:cs="Open Sans"/>
        </w:rPr>
        <w:t xml:space="preserve">, </w:t>
      </w:r>
      <w:r w:rsidR="005C4FD8">
        <w:rPr>
          <w:rFonts w:ascii="Open Sans" w:hAnsi="Open Sans" w:cs="Open Sans"/>
        </w:rPr>
        <w:t>replacing their power to stop</w:t>
      </w:r>
      <w:r>
        <w:rPr>
          <w:rFonts w:ascii="Open Sans" w:hAnsi="Open Sans" w:cs="Open Sans"/>
        </w:rPr>
        <w:t xml:space="preserve"> ongoing support payments</w:t>
      </w:r>
      <w:r w:rsidR="0060021A">
        <w:rPr>
          <w:rFonts w:ascii="Open Sans" w:hAnsi="Open Sans" w:cs="Open Sans"/>
        </w:rPr>
        <w:t xml:space="preserve"> as done in the RHI. </w:t>
      </w:r>
    </w:p>
    <w:p w14:paraId="1641BE53" w14:textId="732F3983" w:rsidR="005C4FD8" w:rsidRDefault="005C4FD8" w:rsidP="00556297">
      <w:pPr>
        <w:rPr>
          <w:rFonts w:ascii="Open Sans" w:hAnsi="Open Sans" w:cs="Open Sans"/>
        </w:rPr>
      </w:pPr>
    </w:p>
    <w:p w14:paraId="60EDDD74" w14:textId="496DF59E" w:rsidR="000D49A6" w:rsidRPr="0060021A" w:rsidRDefault="005C4FD8" w:rsidP="00556297">
      <w:pPr>
        <w:rPr>
          <w:rFonts w:ascii="Open Sans" w:hAnsi="Open Sans" w:cs="Open Sans"/>
          <w:b/>
          <w:bCs/>
          <w:color w:val="2F5496"/>
          <w:szCs w:val="22"/>
        </w:rPr>
      </w:pPr>
      <w:r w:rsidRPr="0060021A">
        <w:rPr>
          <w:rFonts w:ascii="Open Sans" w:hAnsi="Open Sans" w:cs="Open Sans"/>
          <w:b/>
          <w:bCs/>
          <w:i/>
          <w:iCs/>
          <w:color w:val="2F5496"/>
          <w:szCs w:val="22"/>
        </w:rPr>
        <w:t xml:space="preserve">Question 33- </w:t>
      </w:r>
      <w:r w:rsidR="000D49A6" w:rsidRPr="0060021A">
        <w:rPr>
          <w:rFonts w:ascii="Open Sans" w:hAnsi="Open Sans" w:cs="Open Sans"/>
          <w:b/>
          <w:bCs/>
          <w:i/>
          <w:iCs/>
          <w:color w:val="2F5496"/>
          <w:szCs w:val="22"/>
        </w:rPr>
        <w:t xml:space="preserve">Please provide views on the appropriate requirements for the heat loss calculation, as well as the minimum heat loss value that should need to be demonstrated. </w:t>
      </w:r>
    </w:p>
    <w:p w14:paraId="1A749521" w14:textId="401753DD" w:rsidR="005C4FD8" w:rsidRDefault="005C4FD8" w:rsidP="00556297">
      <w:pPr>
        <w:rPr>
          <w:rFonts w:ascii="Open Sans" w:hAnsi="Open Sans" w:cs="Open Sans"/>
          <w:b/>
          <w:bCs/>
          <w:color w:val="2F5496"/>
          <w:szCs w:val="22"/>
        </w:rPr>
      </w:pPr>
    </w:p>
    <w:p w14:paraId="59F91E86" w14:textId="7419D830" w:rsidR="005C4FD8" w:rsidRDefault="005C4FD8" w:rsidP="00556297">
      <w:pPr>
        <w:rPr>
          <w:rFonts w:ascii="Open Sans" w:hAnsi="Open Sans" w:cs="Open Sans"/>
          <w:szCs w:val="22"/>
        </w:rPr>
      </w:pPr>
      <w:r w:rsidRPr="005C4FD8">
        <w:rPr>
          <w:rFonts w:ascii="Open Sans" w:hAnsi="Open Sans" w:cs="Open Sans"/>
          <w:szCs w:val="22"/>
        </w:rPr>
        <w:t xml:space="preserve">We believe the Heat Loss Assessment should be conducted as part of all </w:t>
      </w:r>
      <w:r>
        <w:rPr>
          <w:rFonts w:ascii="Open Sans" w:hAnsi="Open Sans" w:cs="Open Sans"/>
          <w:szCs w:val="22"/>
        </w:rPr>
        <w:t>applications</w:t>
      </w:r>
      <w:r w:rsidRPr="005C4FD8">
        <w:rPr>
          <w:rFonts w:ascii="Open Sans" w:hAnsi="Open Sans" w:cs="Open Sans"/>
          <w:szCs w:val="22"/>
        </w:rPr>
        <w:t xml:space="preserve"> on the scheme, not just biomass. </w:t>
      </w:r>
      <w:r>
        <w:rPr>
          <w:rFonts w:ascii="Open Sans" w:hAnsi="Open Sans" w:cs="Open Sans"/>
          <w:szCs w:val="22"/>
        </w:rPr>
        <w:t xml:space="preserve">This should be used to make clear the capacity of the installation required, and the grant level based on this number. </w:t>
      </w:r>
      <w:r w:rsidR="00070B71">
        <w:rPr>
          <w:rFonts w:ascii="Open Sans" w:hAnsi="Open Sans" w:cs="Open Sans"/>
          <w:szCs w:val="22"/>
        </w:rPr>
        <w:t xml:space="preserve"> See answer to question 26 and 27.</w:t>
      </w:r>
    </w:p>
    <w:p w14:paraId="4EE7BA59" w14:textId="2AE4CCD0" w:rsidR="005C4FD8" w:rsidRDefault="005C4FD8" w:rsidP="00556297">
      <w:pPr>
        <w:rPr>
          <w:rFonts w:ascii="Open Sans" w:hAnsi="Open Sans" w:cs="Open Sans"/>
          <w:szCs w:val="22"/>
        </w:rPr>
      </w:pPr>
    </w:p>
    <w:p w14:paraId="411F2BEC" w14:textId="63E4E5EF" w:rsidR="001E481A" w:rsidRPr="005C4FD8" w:rsidRDefault="005C4FD8" w:rsidP="00556297">
      <w:pPr>
        <w:rPr>
          <w:rFonts w:ascii="Open Sans" w:hAnsi="Open Sans" w:cs="Open Sans"/>
          <w:szCs w:val="22"/>
        </w:rPr>
      </w:pPr>
      <w:r w:rsidRPr="005C4FD8">
        <w:rPr>
          <w:rFonts w:ascii="Open Sans" w:hAnsi="Open Sans" w:cs="Open Sans"/>
          <w:szCs w:val="22"/>
          <w:highlight w:val="yellow"/>
        </w:rPr>
        <w:t>Members views welcome on this question – including views on the minimum heat loss value (W.m2) that should need to be demonstrated for biomass to be installed.</w:t>
      </w:r>
      <w:r>
        <w:rPr>
          <w:rFonts w:ascii="Open Sans" w:hAnsi="Open Sans" w:cs="Open Sans"/>
          <w:szCs w:val="22"/>
        </w:rPr>
        <w:t xml:space="preserve"> </w:t>
      </w:r>
    </w:p>
    <w:p w14:paraId="10702E18" w14:textId="77777777" w:rsidR="000D49A6" w:rsidRPr="00E752B5" w:rsidRDefault="000D49A6" w:rsidP="00556297">
      <w:pPr>
        <w:rPr>
          <w:rFonts w:ascii="Open Sans" w:hAnsi="Open Sans" w:cs="Open Sans"/>
          <w:szCs w:val="22"/>
        </w:rPr>
      </w:pPr>
    </w:p>
    <w:p w14:paraId="69D38E50" w14:textId="0F300408" w:rsidR="000D49A6" w:rsidRPr="0060021A" w:rsidRDefault="005C4FD8" w:rsidP="00556297">
      <w:pPr>
        <w:rPr>
          <w:rFonts w:ascii="Open Sans" w:hAnsi="Open Sans" w:cs="Open Sans"/>
          <w:b/>
          <w:bCs/>
          <w:i/>
          <w:iCs/>
          <w:color w:val="2F5496"/>
          <w:szCs w:val="22"/>
        </w:rPr>
      </w:pPr>
      <w:r w:rsidRPr="0060021A">
        <w:rPr>
          <w:rFonts w:ascii="Open Sans" w:hAnsi="Open Sans" w:cs="Open Sans"/>
          <w:b/>
          <w:bCs/>
          <w:i/>
          <w:iCs/>
          <w:color w:val="2F5496"/>
          <w:szCs w:val="22"/>
        </w:rPr>
        <w:t xml:space="preserve">Question 34 - </w:t>
      </w:r>
      <w:r w:rsidR="000D49A6" w:rsidRPr="0060021A">
        <w:rPr>
          <w:rFonts w:ascii="Open Sans" w:hAnsi="Open Sans" w:cs="Open Sans"/>
          <w:b/>
          <w:bCs/>
          <w:i/>
          <w:iCs/>
          <w:color w:val="2F5496"/>
          <w:szCs w:val="22"/>
        </w:rPr>
        <w:t>Please provide views on any other criteria to ensure that biomass support is focused on hard to treat properties only.</w:t>
      </w:r>
    </w:p>
    <w:p w14:paraId="683DBF3B" w14:textId="5F55DC90" w:rsidR="000D49A6" w:rsidRDefault="000D49A6" w:rsidP="00556297">
      <w:pPr>
        <w:rPr>
          <w:rFonts w:ascii="Open Sans" w:hAnsi="Open Sans" w:cs="Open Sans"/>
          <w:szCs w:val="22"/>
        </w:rPr>
      </w:pPr>
    </w:p>
    <w:p w14:paraId="7AFB97BC" w14:textId="77EA5580" w:rsidR="001E481A" w:rsidRDefault="001E481A" w:rsidP="00556297">
      <w:pPr>
        <w:rPr>
          <w:rFonts w:ascii="Open Sans" w:hAnsi="Open Sans" w:cs="Open Sans"/>
          <w:szCs w:val="22"/>
        </w:rPr>
      </w:pPr>
      <w:r>
        <w:rPr>
          <w:rFonts w:ascii="Open Sans" w:hAnsi="Open Sans" w:cs="Open Sans"/>
          <w:szCs w:val="22"/>
        </w:rPr>
        <w:t xml:space="preserve">Additional </w:t>
      </w:r>
      <w:r w:rsidR="00070B71">
        <w:rPr>
          <w:rFonts w:ascii="Open Sans" w:hAnsi="Open Sans" w:cs="Open Sans"/>
          <w:szCs w:val="22"/>
        </w:rPr>
        <w:t xml:space="preserve">criteria </w:t>
      </w:r>
      <w:r>
        <w:rPr>
          <w:rFonts w:ascii="Open Sans" w:hAnsi="Open Sans" w:cs="Open Sans"/>
          <w:szCs w:val="22"/>
        </w:rPr>
        <w:t xml:space="preserve">that </w:t>
      </w:r>
      <w:r w:rsidR="00772512">
        <w:rPr>
          <w:rFonts w:ascii="Open Sans" w:hAnsi="Open Sans" w:cs="Open Sans"/>
          <w:szCs w:val="22"/>
        </w:rPr>
        <w:t>could</w:t>
      </w:r>
      <w:r>
        <w:rPr>
          <w:rFonts w:ascii="Open Sans" w:hAnsi="Open Sans" w:cs="Open Sans"/>
          <w:szCs w:val="22"/>
        </w:rPr>
        <w:t xml:space="preserve"> </w:t>
      </w:r>
      <w:r w:rsidR="00772512">
        <w:rPr>
          <w:rFonts w:ascii="Open Sans" w:hAnsi="Open Sans" w:cs="Open Sans"/>
          <w:szCs w:val="22"/>
        </w:rPr>
        <w:t>demonstrate</w:t>
      </w:r>
      <w:r>
        <w:rPr>
          <w:rFonts w:ascii="Open Sans" w:hAnsi="Open Sans" w:cs="Open Sans"/>
          <w:szCs w:val="22"/>
        </w:rPr>
        <w:t xml:space="preserve"> biomass </w:t>
      </w:r>
      <w:r w:rsidR="00772512">
        <w:rPr>
          <w:rFonts w:ascii="Open Sans" w:hAnsi="Open Sans" w:cs="Open Sans"/>
          <w:szCs w:val="22"/>
        </w:rPr>
        <w:t xml:space="preserve">as appropriate </w:t>
      </w:r>
      <w:r>
        <w:rPr>
          <w:rFonts w:ascii="Open Sans" w:hAnsi="Open Sans" w:cs="Open Sans"/>
          <w:szCs w:val="22"/>
        </w:rPr>
        <w:t>for a property:</w:t>
      </w:r>
    </w:p>
    <w:p w14:paraId="0CF8C74B" w14:textId="11C2FA5A" w:rsidR="001E481A" w:rsidRDefault="001E481A" w:rsidP="001E481A">
      <w:pPr>
        <w:pStyle w:val="ListParagraph"/>
        <w:numPr>
          <w:ilvl w:val="0"/>
          <w:numId w:val="8"/>
        </w:numPr>
        <w:rPr>
          <w:rFonts w:ascii="Open Sans" w:hAnsi="Open Sans" w:cs="Open Sans"/>
          <w:szCs w:val="22"/>
        </w:rPr>
      </w:pPr>
      <w:r w:rsidRPr="00772512">
        <w:rPr>
          <w:rFonts w:ascii="Open Sans" w:hAnsi="Open Sans" w:cs="Open Sans"/>
          <w:szCs w:val="22"/>
        </w:rPr>
        <w:t>Grid capacity</w:t>
      </w:r>
      <w:r>
        <w:rPr>
          <w:rFonts w:ascii="Open Sans" w:hAnsi="Open Sans" w:cs="Open Sans"/>
          <w:szCs w:val="22"/>
        </w:rPr>
        <w:t xml:space="preserve"> – the </w:t>
      </w:r>
      <w:r w:rsidR="00772512">
        <w:rPr>
          <w:rFonts w:ascii="Open Sans" w:hAnsi="Open Sans" w:cs="Open Sans"/>
          <w:szCs w:val="22"/>
        </w:rPr>
        <w:t xml:space="preserve">properties </w:t>
      </w:r>
      <w:r>
        <w:rPr>
          <w:rFonts w:ascii="Open Sans" w:hAnsi="Open Sans" w:cs="Open Sans"/>
          <w:szCs w:val="22"/>
        </w:rPr>
        <w:t xml:space="preserve">grid connection and </w:t>
      </w:r>
      <w:r w:rsidR="00772512">
        <w:rPr>
          <w:rFonts w:ascii="Open Sans" w:hAnsi="Open Sans" w:cs="Open Sans"/>
          <w:szCs w:val="22"/>
        </w:rPr>
        <w:t xml:space="preserve">local </w:t>
      </w:r>
      <w:r>
        <w:rPr>
          <w:rFonts w:ascii="Open Sans" w:hAnsi="Open Sans" w:cs="Open Sans"/>
          <w:szCs w:val="22"/>
        </w:rPr>
        <w:t xml:space="preserve">distributed grid needs </w:t>
      </w:r>
      <w:r w:rsidR="00772512">
        <w:rPr>
          <w:rFonts w:ascii="Open Sans" w:hAnsi="Open Sans" w:cs="Open Sans"/>
          <w:szCs w:val="22"/>
        </w:rPr>
        <w:t>should</w:t>
      </w:r>
      <w:r>
        <w:rPr>
          <w:rFonts w:ascii="Open Sans" w:hAnsi="Open Sans" w:cs="Open Sans"/>
          <w:szCs w:val="22"/>
        </w:rPr>
        <w:t xml:space="preserve"> be considered. It is possible that a house grid connection </w:t>
      </w:r>
      <w:r w:rsidR="00BD45D6">
        <w:rPr>
          <w:rFonts w:ascii="Open Sans" w:hAnsi="Open Sans" w:cs="Open Sans"/>
          <w:szCs w:val="22"/>
        </w:rPr>
        <w:t>cannot</w:t>
      </w:r>
      <w:r>
        <w:rPr>
          <w:rFonts w:ascii="Open Sans" w:hAnsi="Open Sans" w:cs="Open Sans"/>
          <w:szCs w:val="22"/>
        </w:rPr>
        <w:t xml:space="preserve"> support the running of a larger heat pump </w:t>
      </w:r>
      <w:r w:rsidR="00565068">
        <w:rPr>
          <w:rFonts w:ascii="Open Sans" w:hAnsi="Open Sans" w:cs="Open Sans"/>
          <w:szCs w:val="22"/>
        </w:rPr>
        <w:t>installation</w:t>
      </w:r>
      <w:r>
        <w:rPr>
          <w:rFonts w:ascii="Open Sans" w:hAnsi="Open Sans" w:cs="Open Sans"/>
          <w:szCs w:val="22"/>
        </w:rPr>
        <w:t xml:space="preserve">, or local grid constraints </w:t>
      </w:r>
      <w:r w:rsidR="00772512">
        <w:rPr>
          <w:rFonts w:ascii="Open Sans" w:hAnsi="Open Sans" w:cs="Open Sans"/>
          <w:szCs w:val="22"/>
        </w:rPr>
        <w:t>may on occasion make such</w:t>
      </w:r>
      <w:r>
        <w:rPr>
          <w:rFonts w:ascii="Open Sans" w:hAnsi="Open Sans" w:cs="Open Sans"/>
          <w:szCs w:val="22"/>
        </w:rPr>
        <w:t xml:space="preserve"> </w:t>
      </w:r>
      <w:r>
        <w:rPr>
          <w:rFonts w:ascii="Open Sans" w:hAnsi="Open Sans" w:cs="Open Sans"/>
          <w:szCs w:val="22"/>
        </w:rPr>
        <w:lastRenderedPageBreak/>
        <w:t xml:space="preserve">an </w:t>
      </w:r>
      <w:r w:rsidR="00BD45D6">
        <w:rPr>
          <w:rFonts w:ascii="Open Sans" w:hAnsi="Open Sans" w:cs="Open Sans"/>
          <w:szCs w:val="22"/>
        </w:rPr>
        <w:t>installation</w:t>
      </w:r>
      <w:r>
        <w:rPr>
          <w:rFonts w:ascii="Open Sans" w:hAnsi="Open Sans" w:cs="Open Sans"/>
          <w:szCs w:val="22"/>
        </w:rPr>
        <w:t xml:space="preserve"> </w:t>
      </w:r>
      <w:r w:rsidR="00565068">
        <w:rPr>
          <w:rFonts w:ascii="Open Sans" w:hAnsi="Open Sans" w:cs="Open Sans"/>
          <w:szCs w:val="22"/>
        </w:rPr>
        <w:t>impractical</w:t>
      </w:r>
      <w:r w:rsidR="00772512">
        <w:rPr>
          <w:rFonts w:ascii="Open Sans" w:hAnsi="Open Sans" w:cs="Open Sans"/>
          <w:szCs w:val="22"/>
        </w:rPr>
        <w:t xml:space="preserve">, especially if </w:t>
      </w:r>
      <w:r w:rsidR="00633BBE">
        <w:rPr>
          <w:rFonts w:ascii="Open Sans" w:hAnsi="Open Sans" w:cs="Open Sans"/>
          <w:szCs w:val="22"/>
        </w:rPr>
        <w:t>an</w:t>
      </w:r>
      <w:r w:rsidR="00772512">
        <w:rPr>
          <w:rFonts w:ascii="Open Sans" w:hAnsi="Open Sans" w:cs="Open Sans"/>
          <w:szCs w:val="22"/>
        </w:rPr>
        <w:t xml:space="preserve"> electric vehicle is also being used at the property</w:t>
      </w:r>
      <w:r>
        <w:rPr>
          <w:rFonts w:ascii="Open Sans" w:hAnsi="Open Sans" w:cs="Open Sans"/>
          <w:szCs w:val="22"/>
        </w:rPr>
        <w:t>. In such cases</w:t>
      </w:r>
      <w:r w:rsidR="00772512">
        <w:rPr>
          <w:rFonts w:ascii="Open Sans" w:hAnsi="Open Sans" w:cs="Open Sans"/>
          <w:szCs w:val="22"/>
        </w:rPr>
        <w:t xml:space="preserve"> biomass may be a </w:t>
      </w:r>
      <w:r>
        <w:rPr>
          <w:rFonts w:ascii="Open Sans" w:hAnsi="Open Sans" w:cs="Open Sans"/>
          <w:szCs w:val="22"/>
        </w:rPr>
        <w:t xml:space="preserve">considered </w:t>
      </w:r>
      <w:r w:rsidR="00BD45D6">
        <w:rPr>
          <w:rFonts w:ascii="Open Sans" w:hAnsi="Open Sans" w:cs="Open Sans"/>
          <w:szCs w:val="22"/>
        </w:rPr>
        <w:t>a</w:t>
      </w:r>
      <w:r w:rsidR="00772512">
        <w:rPr>
          <w:rFonts w:ascii="Open Sans" w:hAnsi="Open Sans" w:cs="Open Sans"/>
          <w:szCs w:val="22"/>
        </w:rPr>
        <w:t xml:space="preserve"> more</w:t>
      </w:r>
      <w:r w:rsidR="00BD45D6">
        <w:rPr>
          <w:rFonts w:ascii="Open Sans" w:hAnsi="Open Sans" w:cs="Open Sans"/>
          <w:szCs w:val="22"/>
        </w:rPr>
        <w:t xml:space="preserve"> </w:t>
      </w:r>
      <w:r>
        <w:rPr>
          <w:rFonts w:ascii="Open Sans" w:hAnsi="Open Sans" w:cs="Open Sans"/>
          <w:szCs w:val="22"/>
        </w:rPr>
        <w:t xml:space="preserve">appropriate technology to install. </w:t>
      </w:r>
    </w:p>
    <w:p w14:paraId="730E53D2" w14:textId="3D62AE55" w:rsidR="00BD45D6" w:rsidRPr="00BD45D6" w:rsidRDefault="001E481A" w:rsidP="00BD45D6">
      <w:pPr>
        <w:pStyle w:val="ListParagraph"/>
        <w:numPr>
          <w:ilvl w:val="0"/>
          <w:numId w:val="8"/>
        </w:numPr>
        <w:rPr>
          <w:rFonts w:ascii="Open Sans" w:hAnsi="Open Sans" w:cs="Open Sans"/>
          <w:szCs w:val="22"/>
        </w:rPr>
      </w:pPr>
      <w:r>
        <w:rPr>
          <w:rFonts w:ascii="Open Sans" w:hAnsi="Open Sans" w:cs="Open Sans"/>
          <w:szCs w:val="22"/>
        </w:rPr>
        <w:t xml:space="preserve">The heat requirements of a building </w:t>
      </w:r>
      <w:r w:rsidR="00565068">
        <w:rPr>
          <w:rFonts w:ascii="Open Sans" w:hAnsi="Open Sans" w:cs="Open Sans"/>
          <w:szCs w:val="22"/>
        </w:rPr>
        <w:t>in a harsh winter scenario, where the higher heat load of biomass might provide energy security, especially on still nights when electricity cost</w:t>
      </w:r>
      <w:r w:rsidR="00772512">
        <w:rPr>
          <w:rFonts w:ascii="Open Sans" w:hAnsi="Open Sans" w:cs="Open Sans"/>
          <w:szCs w:val="22"/>
        </w:rPr>
        <w:t>s</w:t>
      </w:r>
      <w:r w:rsidR="00565068">
        <w:rPr>
          <w:rFonts w:ascii="Open Sans" w:hAnsi="Open Sans" w:cs="Open Sans"/>
          <w:szCs w:val="22"/>
        </w:rPr>
        <w:t xml:space="preserve"> might be highest.</w:t>
      </w:r>
    </w:p>
    <w:p w14:paraId="38BBA34D" w14:textId="1167BEBF" w:rsidR="00565068" w:rsidRDefault="00565068" w:rsidP="001E481A">
      <w:pPr>
        <w:pStyle w:val="ListParagraph"/>
        <w:numPr>
          <w:ilvl w:val="0"/>
          <w:numId w:val="8"/>
        </w:numPr>
        <w:rPr>
          <w:rFonts w:ascii="Open Sans" w:hAnsi="Open Sans" w:cs="Open Sans"/>
          <w:szCs w:val="22"/>
        </w:rPr>
      </w:pPr>
      <w:r>
        <w:rPr>
          <w:rFonts w:ascii="Open Sans" w:hAnsi="Open Sans" w:cs="Open Sans"/>
          <w:szCs w:val="22"/>
        </w:rPr>
        <w:t>Value for money for per kW installed</w:t>
      </w:r>
      <w:r w:rsidR="00772512">
        <w:rPr>
          <w:rFonts w:ascii="Open Sans" w:hAnsi="Open Sans" w:cs="Open Sans"/>
          <w:szCs w:val="22"/>
        </w:rPr>
        <w:t xml:space="preserve"> or £’s per tonne of carbon saved</w:t>
      </w:r>
      <w:r>
        <w:rPr>
          <w:rFonts w:ascii="Open Sans" w:hAnsi="Open Sans" w:cs="Open Sans"/>
          <w:szCs w:val="22"/>
        </w:rPr>
        <w:t xml:space="preserve">, where biomass might represent better value for money to the consumer where a </w:t>
      </w:r>
      <w:r w:rsidR="00772512">
        <w:rPr>
          <w:rFonts w:ascii="Open Sans" w:hAnsi="Open Sans" w:cs="Open Sans"/>
          <w:szCs w:val="22"/>
        </w:rPr>
        <w:t>larger scale installation</w:t>
      </w:r>
      <w:r>
        <w:rPr>
          <w:rFonts w:ascii="Open Sans" w:hAnsi="Open Sans" w:cs="Open Sans"/>
          <w:szCs w:val="22"/>
        </w:rPr>
        <w:t xml:space="preserve"> is required. </w:t>
      </w:r>
    </w:p>
    <w:p w14:paraId="747660AC" w14:textId="315D1BB6" w:rsidR="00565068" w:rsidRDefault="00565068" w:rsidP="001E481A">
      <w:pPr>
        <w:pStyle w:val="ListParagraph"/>
        <w:numPr>
          <w:ilvl w:val="0"/>
          <w:numId w:val="8"/>
        </w:numPr>
        <w:rPr>
          <w:rFonts w:ascii="Open Sans" w:hAnsi="Open Sans" w:cs="Open Sans"/>
          <w:szCs w:val="22"/>
        </w:rPr>
      </w:pPr>
      <w:r>
        <w:rPr>
          <w:rFonts w:ascii="Open Sans" w:hAnsi="Open Sans" w:cs="Open Sans"/>
          <w:szCs w:val="22"/>
        </w:rPr>
        <w:t xml:space="preserve">Possibility for a district heating system, where multiple properties could benefit from a larger scale biomass system or ground source heat pumps running off the same array. </w:t>
      </w:r>
    </w:p>
    <w:p w14:paraId="3B5DD46A" w14:textId="0404C425" w:rsidR="00565068" w:rsidRDefault="00565068" w:rsidP="001209BB">
      <w:pPr>
        <w:pStyle w:val="ListParagraph"/>
        <w:numPr>
          <w:ilvl w:val="0"/>
          <w:numId w:val="8"/>
        </w:numPr>
        <w:rPr>
          <w:rFonts w:ascii="Open Sans" w:hAnsi="Open Sans" w:cs="Open Sans"/>
          <w:szCs w:val="22"/>
        </w:rPr>
      </w:pPr>
      <w:r w:rsidRPr="00772512">
        <w:rPr>
          <w:rFonts w:ascii="Open Sans" w:hAnsi="Open Sans" w:cs="Open Sans"/>
          <w:szCs w:val="22"/>
        </w:rPr>
        <w:t>The cost of a green electricity tariff in that area</w:t>
      </w:r>
      <w:r w:rsidR="00772512" w:rsidRPr="00772512">
        <w:rPr>
          <w:rFonts w:ascii="Open Sans" w:hAnsi="Open Sans" w:cs="Open Sans"/>
          <w:szCs w:val="22"/>
        </w:rPr>
        <w:t>, i</w:t>
      </w:r>
      <w:r w:rsidR="00BD45D6" w:rsidRPr="00772512">
        <w:rPr>
          <w:rFonts w:ascii="Open Sans" w:hAnsi="Open Sans" w:cs="Open Sans"/>
          <w:szCs w:val="22"/>
        </w:rPr>
        <w:t>mpacting running costs</w:t>
      </w:r>
      <w:r w:rsidR="00772512" w:rsidRPr="00772512">
        <w:rPr>
          <w:rFonts w:ascii="Open Sans" w:hAnsi="Open Sans" w:cs="Open Sans"/>
          <w:szCs w:val="22"/>
        </w:rPr>
        <w:t>.</w:t>
      </w:r>
      <w:r w:rsidRPr="00772512">
        <w:rPr>
          <w:rFonts w:ascii="Open Sans" w:hAnsi="Open Sans" w:cs="Open Sans"/>
          <w:szCs w:val="22"/>
        </w:rPr>
        <w:t xml:space="preserve"> Heating via electricity is only green if the electricity being used is coming from </w:t>
      </w:r>
      <w:r w:rsidR="00772512" w:rsidRPr="00772512">
        <w:rPr>
          <w:rFonts w:ascii="Open Sans" w:hAnsi="Open Sans" w:cs="Open Sans"/>
          <w:szCs w:val="22"/>
        </w:rPr>
        <w:t xml:space="preserve">a </w:t>
      </w:r>
      <w:r w:rsidRPr="00772512">
        <w:rPr>
          <w:rFonts w:ascii="Open Sans" w:hAnsi="Open Sans" w:cs="Open Sans"/>
          <w:szCs w:val="22"/>
        </w:rPr>
        <w:t xml:space="preserve">renewable energy </w:t>
      </w:r>
      <w:r w:rsidR="00772512" w:rsidRPr="00772512">
        <w:rPr>
          <w:rFonts w:ascii="Open Sans" w:hAnsi="Open Sans" w:cs="Open Sans"/>
          <w:szCs w:val="22"/>
        </w:rPr>
        <w:t>tariff</w:t>
      </w:r>
      <w:r w:rsidRPr="00772512">
        <w:rPr>
          <w:rFonts w:ascii="Open Sans" w:hAnsi="Open Sans" w:cs="Open Sans"/>
          <w:szCs w:val="22"/>
        </w:rPr>
        <w:t xml:space="preserve">. </w:t>
      </w:r>
    </w:p>
    <w:p w14:paraId="45E56C06" w14:textId="77777777" w:rsidR="00772512" w:rsidRPr="00772512" w:rsidRDefault="00772512" w:rsidP="00772512">
      <w:pPr>
        <w:pStyle w:val="ListParagraph"/>
        <w:rPr>
          <w:rFonts w:ascii="Open Sans" w:hAnsi="Open Sans" w:cs="Open Sans"/>
          <w:szCs w:val="22"/>
        </w:rPr>
      </w:pPr>
    </w:p>
    <w:p w14:paraId="60FF0BEE" w14:textId="4E6283D6" w:rsidR="00565068" w:rsidRPr="00565068" w:rsidRDefault="00565068" w:rsidP="00565068">
      <w:pPr>
        <w:rPr>
          <w:rFonts w:ascii="Open Sans" w:hAnsi="Open Sans" w:cs="Open Sans"/>
          <w:i/>
          <w:iCs/>
          <w:szCs w:val="22"/>
        </w:rPr>
      </w:pPr>
      <w:r w:rsidRPr="00565068">
        <w:rPr>
          <w:rFonts w:ascii="Open Sans" w:hAnsi="Open Sans" w:cs="Open Sans"/>
          <w:i/>
          <w:iCs/>
          <w:szCs w:val="22"/>
          <w:highlight w:val="yellow"/>
        </w:rPr>
        <w:t>Further members views welcome</w:t>
      </w:r>
    </w:p>
    <w:p w14:paraId="7329186D" w14:textId="77777777" w:rsidR="001E481A" w:rsidRPr="00E752B5" w:rsidRDefault="001E481A" w:rsidP="00556297">
      <w:pPr>
        <w:rPr>
          <w:rFonts w:ascii="Open Sans" w:hAnsi="Open Sans" w:cs="Open Sans"/>
          <w:szCs w:val="22"/>
        </w:rPr>
      </w:pPr>
    </w:p>
    <w:p w14:paraId="1AC50735" w14:textId="43B93FEF" w:rsidR="000D49A6" w:rsidRPr="00565068" w:rsidRDefault="00565068" w:rsidP="00556297">
      <w:pPr>
        <w:rPr>
          <w:rFonts w:ascii="Open Sans" w:hAnsi="Open Sans" w:cs="Open Sans"/>
          <w:b/>
          <w:bCs/>
          <w:i/>
          <w:iCs/>
          <w:color w:val="2F5496"/>
          <w:szCs w:val="22"/>
        </w:rPr>
      </w:pPr>
      <w:r w:rsidRPr="00565068">
        <w:rPr>
          <w:rFonts w:ascii="Open Sans" w:hAnsi="Open Sans" w:cs="Open Sans"/>
          <w:b/>
          <w:bCs/>
          <w:i/>
          <w:iCs/>
          <w:color w:val="2F5496"/>
          <w:szCs w:val="22"/>
        </w:rPr>
        <w:t xml:space="preserve">Question 35 - </w:t>
      </w:r>
      <w:r w:rsidR="000D49A6" w:rsidRPr="00565068">
        <w:rPr>
          <w:rFonts w:ascii="Open Sans" w:hAnsi="Open Sans" w:cs="Open Sans"/>
          <w:b/>
          <w:bCs/>
          <w:i/>
          <w:iCs/>
          <w:color w:val="2F5496"/>
          <w:szCs w:val="22"/>
        </w:rPr>
        <w:t>What do you consider to be the main consumer protection risks of providing support through an upfront grant and how might they be mitigated? Please provide evidence to support your response to question.</w:t>
      </w:r>
    </w:p>
    <w:p w14:paraId="2A54C98F" w14:textId="34D68725" w:rsidR="00565068" w:rsidRDefault="00565068" w:rsidP="00556297">
      <w:pPr>
        <w:rPr>
          <w:rFonts w:ascii="Open Sans" w:hAnsi="Open Sans" w:cs="Open Sans"/>
          <w:b/>
          <w:bCs/>
          <w:szCs w:val="22"/>
        </w:rPr>
      </w:pPr>
    </w:p>
    <w:p w14:paraId="1DEA92B0" w14:textId="7AA4E0DA" w:rsidR="00565068" w:rsidRDefault="00565068" w:rsidP="00556297">
      <w:pPr>
        <w:rPr>
          <w:rFonts w:ascii="Open Sans" w:hAnsi="Open Sans" w:cs="Open Sans"/>
          <w:szCs w:val="22"/>
        </w:rPr>
      </w:pPr>
      <w:r>
        <w:rPr>
          <w:rFonts w:ascii="Open Sans" w:hAnsi="Open Sans" w:cs="Open Sans"/>
          <w:szCs w:val="22"/>
        </w:rPr>
        <w:t xml:space="preserve">A low level, flat rate grant </w:t>
      </w:r>
      <w:r w:rsidR="00A24095">
        <w:rPr>
          <w:rFonts w:ascii="Open Sans" w:hAnsi="Open Sans" w:cs="Open Sans"/>
          <w:szCs w:val="22"/>
        </w:rPr>
        <w:t xml:space="preserve">with a capacity cap of 45 kW </w:t>
      </w:r>
      <w:r>
        <w:rPr>
          <w:rFonts w:ascii="Open Sans" w:hAnsi="Open Sans" w:cs="Open Sans"/>
          <w:szCs w:val="22"/>
        </w:rPr>
        <w:t xml:space="preserve">could well see installers trying to push down project costs by </w:t>
      </w:r>
      <w:r w:rsidR="00772512">
        <w:rPr>
          <w:rFonts w:ascii="Open Sans" w:hAnsi="Open Sans" w:cs="Open Sans"/>
          <w:szCs w:val="22"/>
        </w:rPr>
        <w:t>under sizing</w:t>
      </w:r>
      <w:r>
        <w:rPr>
          <w:rFonts w:ascii="Open Sans" w:hAnsi="Open Sans" w:cs="Open Sans"/>
          <w:szCs w:val="22"/>
        </w:rPr>
        <w:t xml:space="preserve"> projects or reducing quality. This will ensure the grant covers a greater proportion of the overall project cost, making it appear more attractive to the consumer. This could lead to </w:t>
      </w:r>
      <w:r w:rsidR="00772512">
        <w:rPr>
          <w:rFonts w:ascii="Open Sans" w:hAnsi="Open Sans" w:cs="Open Sans"/>
          <w:szCs w:val="22"/>
        </w:rPr>
        <w:t xml:space="preserve">mis selling </w:t>
      </w:r>
      <w:r>
        <w:rPr>
          <w:rFonts w:ascii="Open Sans" w:hAnsi="Open Sans" w:cs="Open Sans"/>
          <w:szCs w:val="22"/>
        </w:rPr>
        <w:t xml:space="preserve">and leave consumers with installations not suitable for their property or unable to heat the property efficiently.  Tight </w:t>
      </w:r>
      <w:r w:rsidR="003E4E95">
        <w:rPr>
          <w:rFonts w:ascii="Open Sans" w:hAnsi="Open Sans" w:cs="Open Sans"/>
          <w:szCs w:val="22"/>
        </w:rPr>
        <w:t>installation</w:t>
      </w:r>
      <w:r>
        <w:rPr>
          <w:rFonts w:ascii="Open Sans" w:hAnsi="Open Sans" w:cs="Open Sans"/>
          <w:szCs w:val="22"/>
        </w:rPr>
        <w:t xml:space="preserve"> standards will help </w:t>
      </w:r>
      <w:r w:rsidR="003E4E95">
        <w:rPr>
          <w:rFonts w:ascii="Open Sans" w:hAnsi="Open Sans" w:cs="Open Sans"/>
          <w:szCs w:val="22"/>
        </w:rPr>
        <w:t>address</w:t>
      </w:r>
      <w:r>
        <w:rPr>
          <w:rFonts w:ascii="Open Sans" w:hAnsi="Open Sans" w:cs="Open Sans"/>
          <w:szCs w:val="22"/>
        </w:rPr>
        <w:t xml:space="preserve"> this </w:t>
      </w:r>
      <w:r w:rsidR="003E4E95">
        <w:rPr>
          <w:rFonts w:ascii="Open Sans" w:hAnsi="Open Sans" w:cs="Open Sans"/>
          <w:szCs w:val="22"/>
        </w:rPr>
        <w:t>issue;</w:t>
      </w:r>
      <w:r>
        <w:rPr>
          <w:rFonts w:ascii="Open Sans" w:hAnsi="Open Sans" w:cs="Open Sans"/>
          <w:szCs w:val="22"/>
        </w:rPr>
        <w:t xml:space="preserve"> </w:t>
      </w:r>
      <w:r w:rsidR="003E4E95">
        <w:rPr>
          <w:rFonts w:ascii="Open Sans" w:hAnsi="Open Sans" w:cs="Open Sans"/>
          <w:szCs w:val="22"/>
        </w:rPr>
        <w:t>however,</w:t>
      </w:r>
      <w:r>
        <w:rPr>
          <w:rFonts w:ascii="Open Sans" w:hAnsi="Open Sans" w:cs="Open Sans"/>
          <w:szCs w:val="22"/>
        </w:rPr>
        <w:t xml:space="preserve"> it would also be helped by having a flexible grant</w:t>
      </w:r>
      <w:r w:rsidR="009723D3">
        <w:rPr>
          <w:rFonts w:ascii="Open Sans" w:hAnsi="Open Sans" w:cs="Open Sans"/>
          <w:szCs w:val="22"/>
        </w:rPr>
        <w:t xml:space="preserve">, </w:t>
      </w:r>
      <w:r w:rsidR="003277D7">
        <w:rPr>
          <w:rFonts w:ascii="Open Sans" w:hAnsi="Open Sans" w:cs="Open Sans"/>
          <w:szCs w:val="22"/>
        </w:rPr>
        <w:t>s</w:t>
      </w:r>
      <w:r w:rsidR="003E4E95">
        <w:rPr>
          <w:rFonts w:ascii="Open Sans" w:hAnsi="Open Sans" w:cs="Open Sans"/>
          <w:szCs w:val="22"/>
        </w:rPr>
        <w:t xml:space="preserve">ee answer to question 27 </w:t>
      </w:r>
      <w:r w:rsidR="00633BBE">
        <w:rPr>
          <w:rFonts w:ascii="Open Sans" w:hAnsi="Open Sans" w:cs="Open Sans"/>
          <w:szCs w:val="22"/>
        </w:rPr>
        <w:t>for further details</w:t>
      </w:r>
      <w:r w:rsidR="003E4E95">
        <w:rPr>
          <w:rFonts w:ascii="Open Sans" w:hAnsi="Open Sans" w:cs="Open Sans"/>
          <w:szCs w:val="22"/>
        </w:rPr>
        <w:t xml:space="preserve">. </w:t>
      </w:r>
    </w:p>
    <w:p w14:paraId="1711826A" w14:textId="15C4EBC9" w:rsidR="00A24095" w:rsidRDefault="00A24095" w:rsidP="00556297">
      <w:pPr>
        <w:rPr>
          <w:rFonts w:ascii="Open Sans" w:hAnsi="Open Sans" w:cs="Open Sans"/>
          <w:szCs w:val="22"/>
        </w:rPr>
      </w:pPr>
    </w:p>
    <w:p w14:paraId="3E96383D" w14:textId="3CCC1512" w:rsidR="00A24095" w:rsidRDefault="00A24095" w:rsidP="00556297">
      <w:pPr>
        <w:rPr>
          <w:rFonts w:ascii="Open Sans" w:hAnsi="Open Sans" w:cs="Open Sans"/>
          <w:szCs w:val="22"/>
        </w:rPr>
      </w:pPr>
      <w:r>
        <w:rPr>
          <w:rFonts w:ascii="Open Sans" w:hAnsi="Open Sans" w:cs="Open Sans"/>
          <w:szCs w:val="22"/>
        </w:rPr>
        <w:t>We also highlight that the design of the grant, which primarily targets ASHP’s</w:t>
      </w:r>
      <w:r w:rsidR="00A305AF">
        <w:rPr>
          <w:rFonts w:ascii="Open Sans" w:hAnsi="Open Sans" w:cs="Open Sans"/>
          <w:szCs w:val="22"/>
        </w:rPr>
        <w:t xml:space="preserve"> and bans biomass in on gas-grid area</w:t>
      </w:r>
      <w:r w:rsidR="00577DA4">
        <w:rPr>
          <w:rFonts w:ascii="Open Sans" w:hAnsi="Open Sans" w:cs="Open Sans"/>
          <w:szCs w:val="22"/>
        </w:rPr>
        <w:t>s</w:t>
      </w:r>
      <w:r w:rsidR="00A305AF">
        <w:rPr>
          <w:rFonts w:ascii="Open Sans" w:hAnsi="Open Sans" w:cs="Open Sans"/>
          <w:szCs w:val="22"/>
        </w:rPr>
        <w:t xml:space="preserve"> greatly</w:t>
      </w:r>
      <w:r>
        <w:rPr>
          <w:rFonts w:ascii="Open Sans" w:hAnsi="Open Sans" w:cs="Open Sans"/>
          <w:szCs w:val="22"/>
        </w:rPr>
        <w:t xml:space="preserve"> damages consumer choice. The </w:t>
      </w:r>
      <w:r w:rsidR="00577DA4">
        <w:rPr>
          <w:rFonts w:ascii="Open Sans" w:hAnsi="Open Sans" w:cs="Open Sans"/>
          <w:szCs w:val="22"/>
        </w:rPr>
        <w:t>design of the grant means that consumers are actively discouraged from considering</w:t>
      </w:r>
      <w:r>
        <w:rPr>
          <w:rFonts w:ascii="Open Sans" w:hAnsi="Open Sans" w:cs="Open Sans"/>
          <w:szCs w:val="22"/>
        </w:rPr>
        <w:t xml:space="preserve"> the range of renewable heat technologies which might, in certain situations, better meet their heat needs. </w:t>
      </w:r>
    </w:p>
    <w:p w14:paraId="37D87673" w14:textId="0644E96E" w:rsidR="003E4E95" w:rsidRDefault="003E4E95" w:rsidP="00556297">
      <w:pPr>
        <w:rPr>
          <w:rFonts w:ascii="Open Sans" w:hAnsi="Open Sans" w:cs="Open Sans"/>
          <w:szCs w:val="22"/>
        </w:rPr>
      </w:pPr>
    </w:p>
    <w:p w14:paraId="1CBBD7A9" w14:textId="652B8DC5" w:rsidR="003E4E95" w:rsidRDefault="003E4E95" w:rsidP="00556297">
      <w:pPr>
        <w:rPr>
          <w:rFonts w:ascii="Open Sans" w:hAnsi="Open Sans" w:cs="Open Sans"/>
          <w:szCs w:val="22"/>
        </w:rPr>
      </w:pPr>
      <w:r>
        <w:rPr>
          <w:rFonts w:ascii="Open Sans" w:hAnsi="Open Sans" w:cs="Open Sans"/>
          <w:szCs w:val="22"/>
        </w:rPr>
        <w:t xml:space="preserve">The </w:t>
      </w:r>
      <w:r w:rsidR="00633BBE">
        <w:rPr>
          <w:rFonts w:ascii="Open Sans" w:hAnsi="Open Sans" w:cs="Open Sans"/>
          <w:szCs w:val="22"/>
        </w:rPr>
        <w:t>h</w:t>
      </w:r>
      <w:r>
        <w:rPr>
          <w:rFonts w:ascii="Open Sans" w:hAnsi="Open Sans" w:cs="Open Sans"/>
          <w:szCs w:val="22"/>
        </w:rPr>
        <w:t xml:space="preserve">eat loss assessment should also be used to justify the correct size of installations for all applications to scheme, ensuring the correct size system is being installed for the consumer. </w:t>
      </w:r>
    </w:p>
    <w:p w14:paraId="431B4EEB" w14:textId="09AF7620" w:rsidR="009723D3" w:rsidRDefault="009723D3" w:rsidP="00556297">
      <w:pPr>
        <w:rPr>
          <w:rFonts w:ascii="Open Sans" w:hAnsi="Open Sans" w:cs="Open Sans"/>
          <w:szCs w:val="22"/>
        </w:rPr>
      </w:pPr>
    </w:p>
    <w:p w14:paraId="2B53718F" w14:textId="3C1440C7" w:rsidR="009723D3" w:rsidRDefault="009723D3" w:rsidP="00556297">
      <w:pPr>
        <w:rPr>
          <w:rFonts w:ascii="Open Sans" w:hAnsi="Open Sans" w:cs="Open Sans"/>
          <w:szCs w:val="22"/>
        </w:rPr>
      </w:pPr>
      <w:r>
        <w:rPr>
          <w:rFonts w:ascii="Open Sans" w:hAnsi="Open Sans" w:cs="Open Sans"/>
          <w:szCs w:val="22"/>
        </w:rPr>
        <w:t>The proposal for quarterly caps on the number of grants issued has the potential to lead to pressure selling from installers. Consumers may be rushed into a decision by being told that the number of available grants could be about to run out</w:t>
      </w:r>
      <w:r w:rsidR="00633BBE">
        <w:rPr>
          <w:rFonts w:ascii="Open Sans" w:hAnsi="Open Sans" w:cs="Open Sans"/>
          <w:szCs w:val="22"/>
        </w:rPr>
        <w:t>.</w:t>
      </w:r>
    </w:p>
    <w:p w14:paraId="5D402B70" w14:textId="01CF4F51" w:rsidR="003E4E95" w:rsidRDefault="003E4E95" w:rsidP="00556297">
      <w:pPr>
        <w:rPr>
          <w:rFonts w:ascii="Open Sans" w:hAnsi="Open Sans" w:cs="Open Sans"/>
          <w:szCs w:val="22"/>
        </w:rPr>
      </w:pPr>
    </w:p>
    <w:p w14:paraId="092291EC" w14:textId="3538D26B" w:rsidR="003E4E95" w:rsidRPr="00565068" w:rsidRDefault="003E4E95" w:rsidP="00556297">
      <w:pPr>
        <w:rPr>
          <w:rFonts w:ascii="Open Sans" w:hAnsi="Open Sans" w:cs="Open Sans"/>
          <w:szCs w:val="22"/>
        </w:rPr>
      </w:pPr>
      <w:r>
        <w:rPr>
          <w:rFonts w:ascii="Open Sans" w:hAnsi="Open Sans" w:cs="Open Sans"/>
          <w:szCs w:val="22"/>
        </w:rPr>
        <w:t>The REA also endorses the response from the Renewable Energy Consumer Code (RECC) in relation to this question.  They have strong data concerning consumer issues within t</w:t>
      </w:r>
      <w:r w:rsidR="00E521F7">
        <w:rPr>
          <w:rFonts w:ascii="Open Sans" w:hAnsi="Open Sans" w:cs="Open Sans"/>
          <w:szCs w:val="22"/>
        </w:rPr>
        <w:t>h</w:t>
      </w:r>
      <w:r>
        <w:rPr>
          <w:rFonts w:ascii="Open Sans" w:hAnsi="Open Sans" w:cs="Open Sans"/>
          <w:szCs w:val="22"/>
        </w:rPr>
        <w:t xml:space="preserve">e RHI, from which important lessons can be learned. </w:t>
      </w:r>
    </w:p>
    <w:p w14:paraId="040008DD" w14:textId="1060A828" w:rsidR="000D49A6" w:rsidRPr="003E4E95" w:rsidRDefault="000D49A6" w:rsidP="00556297">
      <w:pPr>
        <w:rPr>
          <w:rFonts w:ascii="Open Sans" w:hAnsi="Open Sans" w:cs="Open Sans"/>
          <w:b/>
          <w:bCs/>
          <w:szCs w:val="22"/>
        </w:rPr>
      </w:pPr>
    </w:p>
    <w:p w14:paraId="671FBDE7" w14:textId="477AD1C6" w:rsidR="000D49A6" w:rsidRDefault="003E4E95" w:rsidP="00556297">
      <w:pPr>
        <w:rPr>
          <w:rFonts w:ascii="Open Sans" w:hAnsi="Open Sans" w:cs="Open Sans"/>
          <w:b/>
          <w:bCs/>
          <w:i/>
          <w:iCs/>
          <w:color w:val="2F5496"/>
          <w:szCs w:val="22"/>
        </w:rPr>
      </w:pPr>
      <w:r w:rsidRPr="003E4E95">
        <w:rPr>
          <w:rFonts w:ascii="Open Sans" w:hAnsi="Open Sans" w:cs="Open Sans"/>
          <w:b/>
          <w:bCs/>
          <w:i/>
          <w:iCs/>
          <w:color w:val="2F5496"/>
          <w:szCs w:val="22"/>
        </w:rPr>
        <w:lastRenderedPageBreak/>
        <w:t xml:space="preserve">Question 37 - </w:t>
      </w:r>
      <w:r w:rsidR="000D49A6" w:rsidRPr="003E4E95">
        <w:rPr>
          <w:rFonts w:ascii="Open Sans" w:hAnsi="Open Sans" w:cs="Open Sans"/>
          <w:b/>
          <w:bCs/>
          <w:i/>
          <w:iCs/>
          <w:color w:val="2F5496"/>
          <w:szCs w:val="22"/>
        </w:rPr>
        <w:t>Do you agree that quarterly grant windows would prevent overspend and manage demand to ensure an even spread of deployment? Yes/No. Please provide evidence to support your response.</w:t>
      </w:r>
    </w:p>
    <w:p w14:paraId="4DCE69A0" w14:textId="02B71105" w:rsidR="003E4E95" w:rsidRDefault="003E4E95" w:rsidP="00556297">
      <w:pPr>
        <w:rPr>
          <w:rFonts w:ascii="Open Sans" w:hAnsi="Open Sans" w:cs="Open Sans"/>
          <w:b/>
          <w:bCs/>
          <w:i/>
          <w:iCs/>
          <w:color w:val="2F5496"/>
          <w:szCs w:val="22"/>
        </w:rPr>
      </w:pPr>
    </w:p>
    <w:p w14:paraId="0B617719" w14:textId="243C4582" w:rsidR="003E4E95" w:rsidRDefault="003E4E95" w:rsidP="003E4E95">
      <w:pPr>
        <w:rPr>
          <w:rFonts w:ascii="Open Sans" w:hAnsi="Open Sans" w:cs="Open Sans"/>
          <w:szCs w:val="22"/>
        </w:rPr>
      </w:pPr>
      <w:r>
        <w:rPr>
          <w:rFonts w:ascii="Open Sans" w:hAnsi="Open Sans" w:cs="Open Sans"/>
          <w:szCs w:val="22"/>
        </w:rPr>
        <w:t>No, not enough detail has been provided around how the quarterly caps would</w:t>
      </w:r>
      <w:r w:rsidR="002952CB">
        <w:rPr>
          <w:rFonts w:ascii="Open Sans" w:hAnsi="Open Sans" w:cs="Open Sans"/>
          <w:szCs w:val="22"/>
        </w:rPr>
        <w:t xml:space="preserve"> be set</w:t>
      </w:r>
      <w:r w:rsidR="00032E11">
        <w:rPr>
          <w:rFonts w:ascii="Open Sans" w:hAnsi="Open Sans" w:cs="Open Sans"/>
          <w:szCs w:val="22"/>
        </w:rPr>
        <w:t xml:space="preserve"> </w:t>
      </w:r>
      <w:r>
        <w:rPr>
          <w:rFonts w:ascii="Open Sans" w:hAnsi="Open Sans" w:cs="Open Sans"/>
          <w:szCs w:val="22"/>
        </w:rPr>
        <w:t>for</w:t>
      </w:r>
      <w:r w:rsidR="00032E11">
        <w:rPr>
          <w:rFonts w:ascii="Open Sans" w:hAnsi="Open Sans" w:cs="Open Sans"/>
          <w:szCs w:val="22"/>
        </w:rPr>
        <w:t xml:space="preserve"> industry </w:t>
      </w:r>
      <w:r>
        <w:rPr>
          <w:rFonts w:ascii="Open Sans" w:hAnsi="Open Sans" w:cs="Open Sans"/>
          <w:szCs w:val="22"/>
        </w:rPr>
        <w:t>to be able to support the proposal.</w:t>
      </w:r>
    </w:p>
    <w:p w14:paraId="438B420E" w14:textId="77777777" w:rsidR="003E4E95" w:rsidRDefault="003E4E95" w:rsidP="003E4E95">
      <w:pPr>
        <w:rPr>
          <w:rFonts w:ascii="Open Sans" w:hAnsi="Open Sans" w:cs="Open Sans"/>
          <w:szCs w:val="22"/>
        </w:rPr>
      </w:pPr>
    </w:p>
    <w:p w14:paraId="66E028B6" w14:textId="0F136BC0" w:rsidR="003E4E95" w:rsidRPr="00032E11" w:rsidRDefault="003E4E95" w:rsidP="003E4E95">
      <w:pPr>
        <w:rPr>
          <w:rFonts w:ascii="Open Sans" w:hAnsi="Open Sans" w:cs="Open Sans"/>
          <w:szCs w:val="22"/>
        </w:rPr>
      </w:pPr>
      <w:r>
        <w:rPr>
          <w:rFonts w:ascii="Open Sans" w:hAnsi="Open Sans" w:cs="Open Sans"/>
          <w:szCs w:val="22"/>
        </w:rPr>
        <w:t>Given that this scheme is primarily focused on domestic heat users, a quarterly cap risks locking consumers out of the scheme for up to three months, during a period when they could urgently need a new heating installation.</w:t>
      </w:r>
      <w:r w:rsidR="009723D3">
        <w:rPr>
          <w:rFonts w:ascii="Open Sans" w:hAnsi="Open Sans" w:cs="Open Sans"/>
          <w:szCs w:val="22"/>
        </w:rPr>
        <w:t xml:space="preserve"> Equally, as raised in question 35, quarterly caps could be used to pressure sell, with installer rushing consumers to </w:t>
      </w:r>
      <w:proofErr w:type="gramStart"/>
      <w:r w:rsidR="009723D3">
        <w:rPr>
          <w:rFonts w:ascii="Open Sans" w:hAnsi="Open Sans" w:cs="Open Sans"/>
          <w:szCs w:val="22"/>
        </w:rPr>
        <w:t>make a decision</w:t>
      </w:r>
      <w:proofErr w:type="gramEnd"/>
      <w:r w:rsidR="009723D3">
        <w:rPr>
          <w:rFonts w:ascii="Open Sans" w:hAnsi="Open Sans" w:cs="Open Sans"/>
          <w:szCs w:val="22"/>
        </w:rPr>
        <w:t xml:space="preserve"> on the basis that the number of available grants is about to </w:t>
      </w:r>
      <w:r w:rsidR="00E521F7">
        <w:rPr>
          <w:rFonts w:ascii="Open Sans" w:hAnsi="Open Sans" w:cs="Open Sans"/>
          <w:szCs w:val="22"/>
        </w:rPr>
        <w:t>run out</w:t>
      </w:r>
      <w:r w:rsidR="009723D3">
        <w:rPr>
          <w:rFonts w:ascii="Open Sans" w:hAnsi="Open Sans" w:cs="Open Sans"/>
          <w:szCs w:val="22"/>
        </w:rPr>
        <w:t xml:space="preserve">. </w:t>
      </w:r>
      <w:r>
        <w:rPr>
          <w:rFonts w:ascii="Open Sans" w:hAnsi="Open Sans" w:cs="Open Sans"/>
          <w:szCs w:val="22"/>
        </w:rPr>
        <w:t xml:space="preserve"> A</w:t>
      </w:r>
      <w:r w:rsidR="009723D3">
        <w:rPr>
          <w:rFonts w:ascii="Open Sans" w:hAnsi="Open Sans" w:cs="Open Sans"/>
          <w:szCs w:val="22"/>
        </w:rPr>
        <w:t>s such</w:t>
      </w:r>
      <w:r w:rsidR="00587C19">
        <w:rPr>
          <w:rFonts w:ascii="Open Sans" w:hAnsi="Open Sans" w:cs="Open Sans"/>
          <w:szCs w:val="22"/>
        </w:rPr>
        <w:t xml:space="preserve">, </w:t>
      </w:r>
      <w:r>
        <w:rPr>
          <w:rFonts w:ascii="Open Sans" w:hAnsi="Open Sans" w:cs="Open Sans"/>
          <w:szCs w:val="22"/>
        </w:rPr>
        <w:t>quarterly cap</w:t>
      </w:r>
      <w:r w:rsidR="009723D3">
        <w:rPr>
          <w:rFonts w:ascii="Open Sans" w:hAnsi="Open Sans" w:cs="Open Sans"/>
          <w:szCs w:val="22"/>
        </w:rPr>
        <w:t>s</w:t>
      </w:r>
      <w:r>
        <w:rPr>
          <w:rFonts w:ascii="Open Sans" w:hAnsi="Open Sans" w:cs="Open Sans"/>
          <w:szCs w:val="22"/>
        </w:rPr>
        <w:t xml:space="preserve"> </w:t>
      </w:r>
      <w:r w:rsidR="009723D3">
        <w:rPr>
          <w:rFonts w:ascii="Open Sans" w:hAnsi="Open Sans" w:cs="Open Sans"/>
          <w:szCs w:val="22"/>
        </w:rPr>
        <w:t>could</w:t>
      </w:r>
      <w:r>
        <w:rPr>
          <w:rFonts w:ascii="Open Sans" w:hAnsi="Open Sans" w:cs="Open Sans"/>
          <w:szCs w:val="22"/>
        </w:rPr>
        <w:t xml:space="preserve"> become a barrier to consumer engagement and see potential renewable installations abandoned in favour of fossil </w:t>
      </w:r>
      <w:r w:rsidRPr="00032E11">
        <w:rPr>
          <w:rFonts w:ascii="Open Sans" w:hAnsi="Open Sans" w:cs="Open Sans"/>
          <w:szCs w:val="22"/>
        </w:rPr>
        <w:t xml:space="preserve">fuelled systems. </w:t>
      </w:r>
    </w:p>
    <w:p w14:paraId="4414A3E4" w14:textId="57DDB38B" w:rsidR="003E4E95" w:rsidRPr="00032E11" w:rsidRDefault="003E4E95" w:rsidP="00556297">
      <w:pPr>
        <w:rPr>
          <w:rFonts w:ascii="Open Sans" w:hAnsi="Open Sans" w:cs="Open Sans"/>
          <w:szCs w:val="22"/>
        </w:rPr>
      </w:pPr>
    </w:p>
    <w:p w14:paraId="6F3DCEBC" w14:textId="75036A4E" w:rsidR="003E4E95" w:rsidRPr="00032E11" w:rsidRDefault="00032E11" w:rsidP="00556297">
      <w:pPr>
        <w:rPr>
          <w:rFonts w:ascii="Open Sans" w:hAnsi="Open Sans" w:cs="Open Sans"/>
          <w:szCs w:val="22"/>
        </w:rPr>
      </w:pPr>
      <w:r>
        <w:rPr>
          <w:rFonts w:ascii="Open Sans" w:hAnsi="Open Sans" w:cs="Open Sans"/>
          <w:szCs w:val="22"/>
        </w:rPr>
        <w:t>Quarterly d</w:t>
      </w:r>
      <w:r w:rsidR="003E4E95" w:rsidRPr="00032E11">
        <w:rPr>
          <w:rFonts w:ascii="Open Sans" w:hAnsi="Open Sans" w:cs="Open Sans"/>
          <w:szCs w:val="22"/>
        </w:rPr>
        <w:t>eployment caps proved</w:t>
      </w:r>
      <w:r w:rsidRPr="00032E11">
        <w:rPr>
          <w:rFonts w:ascii="Open Sans" w:hAnsi="Open Sans" w:cs="Open Sans"/>
          <w:szCs w:val="22"/>
        </w:rPr>
        <w:t xml:space="preserve"> </w:t>
      </w:r>
      <w:r w:rsidR="003E4E95" w:rsidRPr="00032E11">
        <w:rPr>
          <w:rFonts w:ascii="Open Sans" w:hAnsi="Open Sans" w:cs="Open Sans"/>
          <w:szCs w:val="22"/>
        </w:rPr>
        <w:t xml:space="preserve">detrimental for the </w:t>
      </w:r>
      <w:r w:rsidR="002952CB" w:rsidRPr="00032E11">
        <w:rPr>
          <w:rFonts w:ascii="Open Sans" w:hAnsi="Open Sans" w:cs="Open Sans"/>
          <w:szCs w:val="22"/>
        </w:rPr>
        <w:t xml:space="preserve">AD </w:t>
      </w:r>
      <w:r w:rsidR="003E4E95" w:rsidRPr="00032E11">
        <w:rPr>
          <w:rFonts w:ascii="Open Sans" w:hAnsi="Open Sans" w:cs="Open Sans"/>
          <w:szCs w:val="22"/>
        </w:rPr>
        <w:t>industry within the Feed in Tariff, with the caps being set far to</w:t>
      </w:r>
      <w:r>
        <w:rPr>
          <w:rFonts w:ascii="Open Sans" w:hAnsi="Open Sans" w:cs="Open Sans"/>
          <w:szCs w:val="22"/>
        </w:rPr>
        <w:t>o</w:t>
      </w:r>
      <w:r w:rsidR="003E4E95" w:rsidRPr="00032E11">
        <w:rPr>
          <w:rFonts w:ascii="Open Sans" w:hAnsi="Open Sans" w:cs="Open Sans"/>
          <w:szCs w:val="22"/>
        </w:rPr>
        <w:t xml:space="preserve"> low. The result was a que</w:t>
      </w:r>
      <w:r w:rsidR="009723D3">
        <w:rPr>
          <w:rFonts w:ascii="Open Sans" w:hAnsi="Open Sans" w:cs="Open Sans"/>
          <w:szCs w:val="22"/>
        </w:rPr>
        <w:t>ue</w:t>
      </w:r>
      <w:r w:rsidR="003E4E95" w:rsidRPr="00032E11">
        <w:rPr>
          <w:rFonts w:ascii="Open Sans" w:hAnsi="Open Sans" w:cs="Open Sans"/>
          <w:szCs w:val="22"/>
        </w:rPr>
        <w:t xml:space="preserve"> of projects </w:t>
      </w:r>
      <w:r w:rsidR="002952CB" w:rsidRPr="00032E11">
        <w:rPr>
          <w:rFonts w:ascii="Open Sans" w:hAnsi="Open Sans" w:cs="Open Sans"/>
          <w:szCs w:val="22"/>
        </w:rPr>
        <w:t>desperately</w:t>
      </w:r>
      <w:r w:rsidR="003E4E95" w:rsidRPr="00032E11">
        <w:rPr>
          <w:rFonts w:ascii="Open Sans" w:hAnsi="Open Sans" w:cs="Open Sans"/>
          <w:szCs w:val="22"/>
        </w:rPr>
        <w:t xml:space="preserve"> trying to get </w:t>
      </w:r>
      <w:r w:rsidR="002952CB" w:rsidRPr="00032E11">
        <w:rPr>
          <w:rFonts w:ascii="Open Sans" w:hAnsi="Open Sans" w:cs="Open Sans"/>
          <w:szCs w:val="22"/>
        </w:rPr>
        <w:t>a tariff as soon a</w:t>
      </w:r>
      <w:r w:rsidRPr="00032E11">
        <w:rPr>
          <w:rFonts w:ascii="Open Sans" w:hAnsi="Open Sans" w:cs="Open Sans"/>
          <w:szCs w:val="22"/>
        </w:rPr>
        <w:t>s</w:t>
      </w:r>
      <w:r w:rsidR="002952CB" w:rsidRPr="00032E11">
        <w:rPr>
          <w:rFonts w:ascii="Open Sans" w:hAnsi="Open Sans" w:cs="Open Sans"/>
          <w:szCs w:val="22"/>
        </w:rPr>
        <w:t xml:space="preserve"> applications opened each quarter. This created a </w:t>
      </w:r>
      <w:r w:rsidRPr="00032E11">
        <w:rPr>
          <w:rFonts w:ascii="Open Sans" w:hAnsi="Open Sans" w:cs="Open Sans"/>
          <w:szCs w:val="22"/>
        </w:rPr>
        <w:t>lottery</w:t>
      </w:r>
      <w:r w:rsidR="002952CB" w:rsidRPr="00032E11">
        <w:rPr>
          <w:rFonts w:ascii="Open Sans" w:hAnsi="Open Sans" w:cs="Open Sans"/>
          <w:szCs w:val="22"/>
        </w:rPr>
        <w:t>, often dependent on who had the be</w:t>
      </w:r>
      <w:r w:rsidR="008D2059">
        <w:rPr>
          <w:rFonts w:ascii="Open Sans" w:hAnsi="Open Sans" w:cs="Open Sans"/>
          <w:szCs w:val="22"/>
        </w:rPr>
        <w:t>st</w:t>
      </w:r>
      <w:r w:rsidR="002952CB" w:rsidRPr="00032E11">
        <w:rPr>
          <w:rFonts w:ascii="Open Sans" w:hAnsi="Open Sans" w:cs="Open Sans"/>
          <w:szCs w:val="22"/>
        </w:rPr>
        <w:t xml:space="preserve"> internet connection</w:t>
      </w:r>
      <w:r>
        <w:rPr>
          <w:rFonts w:ascii="Open Sans" w:hAnsi="Open Sans" w:cs="Open Sans"/>
          <w:szCs w:val="22"/>
        </w:rPr>
        <w:t xml:space="preserve">, </w:t>
      </w:r>
      <w:r w:rsidR="002952CB" w:rsidRPr="00032E11">
        <w:rPr>
          <w:rFonts w:ascii="Open Sans" w:hAnsi="Open Sans" w:cs="Open Sans"/>
          <w:szCs w:val="22"/>
        </w:rPr>
        <w:t xml:space="preserve">rather </w:t>
      </w:r>
      <w:r w:rsidR="008D2059" w:rsidRPr="00032E11">
        <w:rPr>
          <w:rFonts w:ascii="Open Sans" w:hAnsi="Open Sans" w:cs="Open Sans"/>
          <w:szCs w:val="22"/>
        </w:rPr>
        <w:t>than</w:t>
      </w:r>
      <w:r w:rsidR="002952CB" w:rsidRPr="00032E11">
        <w:rPr>
          <w:rFonts w:ascii="Open Sans" w:hAnsi="Open Sans" w:cs="Open Sans"/>
          <w:szCs w:val="22"/>
        </w:rPr>
        <w:t xml:space="preserve"> a fair system of allocation. Such a system </w:t>
      </w:r>
      <w:r w:rsidRPr="00032E11">
        <w:rPr>
          <w:rFonts w:ascii="Open Sans" w:hAnsi="Open Sans" w:cs="Open Sans"/>
          <w:szCs w:val="22"/>
        </w:rPr>
        <w:t xml:space="preserve">discouraged developers </w:t>
      </w:r>
      <w:r w:rsidR="002952CB" w:rsidRPr="00032E11">
        <w:rPr>
          <w:rFonts w:ascii="Open Sans" w:hAnsi="Open Sans" w:cs="Open Sans"/>
          <w:szCs w:val="22"/>
        </w:rPr>
        <w:t xml:space="preserve">from engaging with the scheme, as the risk of not getting a tariff within a quarter </w:t>
      </w:r>
      <w:r w:rsidR="008D2059">
        <w:rPr>
          <w:rFonts w:ascii="Open Sans" w:hAnsi="Open Sans" w:cs="Open Sans"/>
          <w:szCs w:val="22"/>
        </w:rPr>
        <w:t xml:space="preserve">became </w:t>
      </w:r>
      <w:r w:rsidR="002952CB" w:rsidRPr="00032E11">
        <w:rPr>
          <w:rFonts w:ascii="Open Sans" w:hAnsi="Open Sans" w:cs="Open Sans"/>
          <w:szCs w:val="22"/>
        </w:rPr>
        <w:t xml:space="preserve">too great. Such impacts must be avoided in the case of the </w:t>
      </w:r>
      <w:r w:rsidR="008D2059">
        <w:rPr>
          <w:rFonts w:ascii="Open Sans" w:hAnsi="Open Sans" w:cs="Open Sans"/>
          <w:szCs w:val="22"/>
        </w:rPr>
        <w:t>C</w:t>
      </w:r>
      <w:r w:rsidR="002952CB" w:rsidRPr="00032E11">
        <w:rPr>
          <w:rFonts w:ascii="Open Sans" w:hAnsi="Open Sans" w:cs="Open Sans"/>
          <w:szCs w:val="22"/>
        </w:rPr>
        <w:t xml:space="preserve">lean </w:t>
      </w:r>
      <w:r w:rsidR="008D2059">
        <w:rPr>
          <w:rFonts w:ascii="Open Sans" w:hAnsi="Open Sans" w:cs="Open Sans"/>
          <w:szCs w:val="22"/>
        </w:rPr>
        <w:t>H</w:t>
      </w:r>
      <w:r w:rsidR="002952CB" w:rsidRPr="00032E11">
        <w:rPr>
          <w:rFonts w:ascii="Open Sans" w:hAnsi="Open Sans" w:cs="Open Sans"/>
          <w:szCs w:val="22"/>
        </w:rPr>
        <w:t xml:space="preserve">eat </w:t>
      </w:r>
      <w:r w:rsidR="008D2059">
        <w:rPr>
          <w:rFonts w:ascii="Open Sans" w:hAnsi="Open Sans" w:cs="Open Sans"/>
          <w:szCs w:val="22"/>
        </w:rPr>
        <w:t>G</w:t>
      </w:r>
      <w:r w:rsidR="002952CB" w:rsidRPr="00032E11">
        <w:rPr>
          <w:rFonts w:ascii="Open Sans" w:hAnsi="Open Sans" w:cs="Open Sans"/>
          <w:szCs w:val="22"/>
        </w:rPr>
        <w:t xml:space="preserve">rant scheme, especially where domestic consumers are involved. </w:t>
      </w:r>
    </w:p>
    <w:p w14:paraId="1A447ABC" w14:textId="50252B67" w:rsidR="00032E11" w:rsidRPr="00032E11" w:rsidRDefault="00032E11" w:rsidP="00556297">
      <w:pPr>
        <w:rPr>
          <w:rFonts w:ascii="Open Sans" w:hAnsi="Open Sans" w:cs="Open Sans"/>
          <w:szCs w:val="22"/>
        </w:rPr>
      </w:pPr>
    </w:p>
    <w:p w14:paraId="146756C4" w14:textId="5FBC14F9" w:rsidR="00032E11" w:rsidRDefault="00032E11" w:rsidP="00556297">
      <w:pPr>
        <w:rPr>
          <w:rFonts w:ascii="Open Sans" w:hAnsi="Open Sans" w:cs="Open Sans"/>
          <w:szCs w:val="22"/>
        </w:rPr>
      </w:pPr>
      <w:r w:rsidRPr="00032E11">
        <w:rPr>
          <w:rFonts w:ascii="Open Sans" w:hAnsi="Open Sans" w:cs="Open Sans"/>
          <w:szCs w:val="22"/>
        </w:rPr>
        <w:t xml:space="preserve">The design for such quarterly caps needs to be very carefully thought out and considered </w:t>
      </w:r>
      <w:r w:rsidR="008D2059" w:rsidRPr="00032E11">
        <w:rPr>
          <w:rFonts w:ascii="Open Sans" w:hAnsi="Open Sans" w:cs="Open Sans"/>
          <w:szCs w:val="22"/>
        </w:rPr>
        <w:t>in line</w:t>
      </w:r>
      <w:r w:rsidRPr="00032E11">
        <w:rPr>
          <w:rFonts w:ascii="Open Sans" w:hAnsi="Open Sans" w:cs="Open Sans"/>
          <w:szCs w:val="22"/>
        </w:rPr>
        <w:t xml:space="preserve"> with real deployment figures. </w:t>
      </w:r>
    </w:p>
    <w:p w14:paraId="3539ECAA" w14:textId="77777777" w:rsidR="00032E11" w:rsidRDefault="00032E11" w:rsidP="00556297">
      <w:pPr>
        <w:rPr>
          <w:rFonts w:ascii="Open Sans" w:hAnsi="Open Sans" w:cs="Open Sans"/>
          <w:szCs w:val="22"/>
        </w:rPr>
      </w:pPr>
    </w:p>
    <w:p w14:paraId="3CFEF598" w14:textId="7F0CF1D7" w:rsidR="00032E11" w:rsidRPr="00032E11" w:rsidRDefault="00032E11" w:rsidP="00556297">
      <w:pPr>
        <w:rPr>
          <w:rFonts w:ascii="Open Sans" w:hAnsi="Open Sans" w:cs="Open Sans"/>
          <w:szCs w:val="22"/>
        </w:rPr>
      </w:pPr>
      <w:r>
        <w:rPr>
          <w:rFonts w:ascii="Open Sans" w:hAnsi="Open Sans" w:cs="Open Sans"/>
          <w:szCs w:val="22"/>
        </w:rPr>
        <w:t>Given the UK’s heat decarbonisation ambitions, and need for mass transition to low carbon heating systems, if demand for the grant proves to be so great that the budget is quickly allocated</w:t>
      </w:r>
      <w:r w:rsidR="008D2059">
        <w:rPr>
          <w:rFonts w:ascii="Open Sans" w:hAnsi="Open Sans" w:cs="Open Sans"/>
          <w:szCs w:val="22"/>
        </w:rPr>
        <w:t xml:space="preserve">, </w:t>
      </w:r>
      <w:r w:rsidR="008F2B11">
        <w:rPr>
          <w:rFonts w:ascii="Open Sans" w:hAnsi="Open Sans" w:cs="Open Sans"/>
          <w:szCs w:val="22"/>
        </w:rPr>
        <w:t xml:space="preserve"> </w:t>
      </w:r>
      <w:r>
        <w:rPr>
          <w:rFonts w:ascii="Open Sans" w:hAnsi="Open Sans" w:cs="Open Sans"/>
          <w:szCs w:val="22"/>
        </w:rPr>
        <w:t xml:space="preserve">this should be evidence for BEIS and Treasury that further budget </w:t>
      </w:r>
      <w:r w:rsidR="008D2059">
        <w:rPr>
          <w:rFonts w:ascii="Open Sans" w:hAnsi="Open Sans" w:cs="Open Sans"/>
          <w:szCs w:val="22"/>
        </w:rPr>
        <w:t xml:space="preserve">needs to </w:t>
      </w:r>
      <w:r>
        <w:rPr>
          <w:rFonts w:ascii="Open Sans" w:hAnsi="Open Sans" w:cs="Open Sans"/>
          <w:szCs w:val="22"/>
        </w:rPr>
        <w:t xml:space="preserve">be </w:t>
      </w:r>
      <w:r w:rsidR="00587C19">
        <w:rPr>
          <w:rFonts w:ascii="Open Sans" w:hAnsi="Open Sans" w:cs="Open Sans"/>
          <w:szCs w:val="22"/>
        </w:rPr>
        <w:t xml:space="preserve">released </w:t>
      </w:r>
      <w:r>
        <w:rPr>
          <w:rFonts w:ascii="Open Sans" w:hAnsi="Open Sans" w:cs="Open Sans"/>
          <w:szCs w:val="22"/>
        </w:rPr>
        <w:t xml:space="preserve">to </w:t>
      </w:r>
      <w:r w:rsidR="00587C19">
        <w:rPr>
          <w:rFonts w:ascii="Open Sans" w:hAnsi="Open Sans" w:cs="Open Sans"/>
          <w:szCs w:val="22"/>
        </w:rPr>
        <w:t xml:space="preserve">the </w:t>
      </w:r>
      <w:r>
        <w:rPr>
          <w:rFonts w:ascii="Open Sans" w:hAnsi="Open Sans" w:cs="Open Sans"/>
          <w:szCs w:val="22"/>
        </w:rPr>
        <w:t>scheme, rather th</w:t>
      </w:r>
      <w:r w:rsidR="009723D3">
        <w:rPr>
          <w:rFonts w:ascii="Open Sans" w:hAnsi="Open Sans" w:cs="Open Sans"/>
          <w:szCs w:val="22"/>
        </w:rPr>
        <w:t>a</w:t>
      </w:r>
      <w:r>
        <w:rPr>
          <w:rFonts w:ascii="Open Sans" w:hAnsi="Open Sans" w:cs="Open Sans"/>
          <w:szCs w:val="22"/>
        </w:rPr>
        <w:t xml:space="preserve">n a reason to restrict the schemes success. </w:t>
      </w:r>
    </w:p>
    <w:p w14:paraId="44A44023" w14:textId="6C3D6224" w:rsidR="000D49A6" w:rsidRPr="00E752B5" w:rsidRDefault="000D49A6" w:rsidP="00556297">
      <w:pPr>
        <w:rPr>
          <w:rFonts w:ascii="Open Sans" w:hAnsi="Open Sans" w:cs="Open Sans"/>
          <w:szCs w:val="22"/>
        </w:rPr>
      </w:pPr>
    </w:p>
    <w:p w14:paraId="09EB00B5" w14:textId="597C80B1" w:rsidR="000D49A6" w:rsidRPr="00FF36CA" w:rsidRDefault="0024189A" w:rsidP="00556297">
      <w:pPr>
        <w:rPr>
          <w:rFonts w:ascii="Open Sans" w:hAnsi="Open Sans" w:cs="Open Sans"/>
          <w:b/>
          <w:bCs/>
          <w:i/>
          <w:iCs/>
          <w:color w:val="2F5496"/>
          <w:szCs w:val="22"/>
        </w:rPr>
      </w:pPr>
      <w:r w:rsidRPr="00FF36CA">
        <w:rPr>
          <w:rFonts w:ascii="Open Sans" w:hAnsi="Open Sans" w:cs="Open Sans"/>
          <w:b/>
          <w:bCs/>
          <w:i/>
          <w:iCs/>
          <w:color w:val="2F5496"/>
          <w:szCs w:val="22"/>
        </w:rPr>
        <w:t xml:space="preserve">Question 38 - </w:t>
      </w:r>
      <w:r w:rsidR="000D49A6" w:rsidRPr="00FF36CA">
        <w:rPr>
          <w:rFonts w:ascii="Open Sans" w:hAnsi="Open Sans" w:cs="Open Sans"/>
          <w:b/>
          <w:bCs/>
          <w:i/>
          <w:iCs/>
          <w:color w:val="2F5496"/>
          <w:szCs w:val="22"/>
        </w:rPr>
        <w:t>Do you agree with not supporting process heating under the Clean Heat Grant? Yes/No. Please provide evidence to support your response</w:t>
      </w:r>
    </w:p>
    <w:p w14:paraId="116F2825" w14:textId="6B8D0727" w:rsidR="008F2B11" w:rsidRDefault="008F2B11" w:rsidP="00556297">
      <w:pPr>
        <w:rPr>
          <w:rFonts w:ascii="Open Sans" w:hAnsi="Open Sans" w:cs="Open Sans"/>
          <w:szCs w:val="22"/>
        </w:rPr>
      </w:pPr>
    </w:p>
    <w:p w14:paraId="01CBC99F" w14:textId="6F4F4F42" w:rsidR="0024189A" w:rsidRPr="0024189A" w:rsidRDefault="0024189A" w:rsidP="00556297">
      <w:pPr>
        <w:rPr>
          <w:rFonts w:ascii="Open Sans" w:hAnsi="Open Sans" w:cs="Open Sans"/>
          <w:szCs w:val="22"/>
        </w:rPr>
      </w:pPr>
      <w:r w:rsidRPr="0024189A">
        <w:rPr>
          <w:rFonts w:ascii="Open Sans" w:hAnsi="Open Sans" w:cs="Open Sans"/>
          <w:szCs w:val="22"/>
        </w:rPr>
        <w:t xml:space="preserve">We do not believe the grant will a sufficient incentive for process heating, so this is </w:t>
      </w:r>
      <w:r w:rsidR="00FF36CA">
        <w:rPr>
          <w:rFonts w:ascii="Open Sans" w:hAnsi="Open Sans" w:cs="Open Sans"/>
          <w:szCs w:val="22"/>
        </w:rPr>
        <w:t>un</w:t>
      </w:r>
      <w:r w:rsidRPr="0024189A">
        <w:rPr>
          <w:rFonts w:ascii="Open Sans" w:hAnsi="Open Sans" w:cs="Open Sans"/>
          <w:szCs w:val="22"/>
        </w:rPr>
        <w:t>likely to be a significant issue.</w:t>
      </w:r>
    </w:p>
    <w:p w14:paraId="33E81312" w14:textId="77777777" w:rsidR="0024189A" w:rsidRDefault="0024189A" w:rsidP="00556297">
      <w:pPr>
        <w:rPr>
          <w:rFonts w:ascii="Open Sans" w:hAnsi="Open Sans" w:cs="Open Sans"/>
          <w:szCs w:val="22"/>
          <w:highlight w:val="yellow"/>
        </w:rPr>
      </w:pPr>
    </w:p>
    <w:p w14:paraId="1C584819" w14:textId="020278FC" w:rsidR="008F2B11" w:rsidRDefault="008F2B11" w:rsidP="00556297">
      <w:pPr>
        <w:rPr>
          <w:rFonts w:ascii="Open Sans" w:hAnsi="Open Sans" w:cs="Open Sans"/>
          <w:szCs w:val="22"/>
        </w:rPr>
      </w:pPr>
      <w:r w:rsidRPr="008F2B11">
        <w:rPr>
          <w:rFonts w:ascii="Open Sans" w:hAnsi="Open Sans" w:cs="Open Sans"/>
          <w:szCs w:val="22"/>
          <w:highlight w:val="yellow"/>
        </w:rPr>
        <w:t>Members views welcome</w:t>
      </w:r>
    </w:p>
    <w:p w14:paraId="3D3AC968" w14:textId="77777777" w:rsidR="008F2B11" w:rsidRPr="00E752B5" w:rsidRDefault="008F2B11" w:rsidP="00556297">
      <w:pPr>
        <w:rPr>
          <w:rFonts w:ascii="Open Sans" w:hAnsi="Open Sans" w:cs="Open Sans"/>
          <w:szCs w:val="22"/>
        </w:rPr>
      </w:pPr>
    </w:p>
    <w:p w14:paraId="0C88F5F9" w14:textId="19BE6A6B" w:rsidR="000D49A6" w:rsidRPr="00FF36CA" w:rsidRDefault="00FF36CA" w:rsidP="00556297">
      <w:pPr>
        <w:rPr>
          <w:rFonts w:ascii="Open Sans" w:hAnsi="Open Sans" w:cs="Open Sans"/>
          <w:b/>
          <w:bCs/>
          <w:i/>
          <w:iCs/>
          <w:color w:val="2F5496"/>
          <w:szCs w:val="22"/>
        </w:rPr>
      </w:pPr>
      <w:r w:rsidRPr="00FF36CA">
        <w:rPr>
          <w:rFonts w:ascii="Open Sans" w:hAnsi="Open Sans" w:cs="Open Sans"/>
          <w:b/>
          <w:bCs/>
          <w:i/>
          <w:iCs/>
          <w:color w:val="2F5496"/>
          <w:szCs w:val="22"/>
        </w:rPr>
        <w:t xml:space="preserve">Question 39 - </w:t>
      </w:r>
      <w:r w:rsidR="000D49A6" w:rsidRPr="00FF36CA">
        <w:rPr>
          <w:rFonts w:ascii="Open Sans" w:hAnsi="Open Sans" w:cs="Open Sans"/>
          <w:b/>
          <w:bCs/>
          <w:i/>
          <w:iCs/>
          <w:color w:val="2F5496"/>
          <w:szCs w:val="22"/>
        </w:rPr>
        <w:t>Do you agree with not supporting solar thermal systems under the Clean Heat Grant? Yes/No. Please provide evidence to support your response</w:t>
      </w:r>
    </w:p>
    <w:p w14:paraId="1B6EE4BE" w14:textId="084A14CF" w:rsidR="008F2B11" w:rsidRDefault="008F2B11" w:rsidP="00556297">
      <w:pPr>
        <w:rPr>
          <w:rFonts w:ascii="Open Sans" w:hAnsi="Open Sans" w:cs="Open Sans"/>
          <w:b/>
          <w:bCs/>
          <w:szCs w:val="22"/>
        </w:rPr>
      </w:pPr>
    </w:p>
    <w:p w14:paraId="165789BF" w14:textId="77777777" w:rsidR="008F2B11" w:rsidRDefault="008F2B11" w:rsidP="008F2B11">
      <w:pPr>
        <w:rPr>
          <w:rFonts w:ascii="Open Sans" w:hAnsi="Open Sans" w:cs="Open Sans"/>
          <w:szCs w:val="22"/>
        </w:rPr>
      </w:pPr>
      <w:r w:rsidRPr="008F2B11">
        <w:rPr>
          <w:rFonts w:ascii="Open Sans" w:hAnsi="Open Sans" w:cs="Open Sans"/>
          <w:szCs w:val="22"/>
          <w:highlight w:val="yellow"/>
        </w:rPr>
        <w:t>Members views welcome</w:t>
      </w:r>
    </w:p>
    <w:p w14:paraId="4F8514B8" w14:textId="3F78BC99" w:rsidR="000D49A6" w:rsidRPr="00E752B5" w:rsidRDefault="000D49A6" w:rsidP="00556297">
      <w:pPr>
        <w:rPr>
          <w:rFonts w:ascii="Open Sans" w:hAnsi="Open Sans" w:cs="Open Sans"/>
          <w:szCs w:val="22"/>
        </w:rPr>
      </w:pPr>
    </w:p>
    <w:p w14:paraId="15E806B0" w14:textId="5EDA57F1" w:rsidR="000D49A6" w:rsidRPr="008F2B11" w:rsidRDefault="00FF36CA" w:rsidP="00556297">
      <w:pPr>
        <w:rPr>
          <w:rFonts w:ascii="Open Sans" w:hAnsi="Open Sans" w:cs="Open Sans"/>
          <w:b/>
          <w:bCs/>
          <w:szCs w:val="22"/>
        </w:rPr>
      </w:pPr>
      <w:r w:rsidRPr="00FF36CA">
        <w:rPr>
          <w:rFonts w:ascii="Open Sans" w:hAnsi="Open Sans" w:cs="Open Sans"/>
          <w:b/>
          <w:bCs/>
          <w:i/>
          <w:iCs/>
          <w:color w:val="2F5496"/>
          <w:szCs w:val="22"/>
        </w:rPr>
        <w:t xml:space="preserve">Question 40 - </w:t>
      </w:r>
      <w:r w:rsidR="000D49A6" w:rsidRPr="00FF36CA">
        <w:rPr>
          <w:rFonts w:ascii="Open Sans" w:hAnsi="Open Sans" w:cs="Open Sans"/>
          <w:b/>
          <w:bCs/>
          <w:i/>
          <w:iCs/>
          <w:color w:val="2F5496"/>
          <w:szCs w:val="22"/>
        </w:rPr>
        <w:t>Do you agree with not supporting hybrid systems under the Clean Heat Grant? Yes/No. Please provide evidence to support your response</w:t>
      </w:r>
      <w:r w:rsidR="000D49A6" w:rsidRPr="008F2B11">
        <w:rPr>
          <w:rFonts w:ascii="Open Sans" w:hAnsi="Open Sans" w:cs="Open Sans"/>
          <w:b/>
          <w:bCs/>
          <w:szCs w:val="22"/>
        </w:rPr>
        <w:t>.</w:t>
      </w:r>
    </w:p>
    <w:p w14:paraId="12BD3F92" w14:textId="374C250D" w:rsidR="000D49A6" w:rsidRDefault="000D49A6" w:rsidP="00556297">
      <w:pPr>
        <w:rPr>
          <w:rFonts w:ascii="Open Sans" w:hAnsi="Open Sans" w:cs="Open Sans"/>
          <w:szCs w:val="22"/>
        </w:rPr>
      </w:pPr>
    </w:p>
    <w:p w14:paraId="7F363431" w14:textId="0045E949" w:rsidR="008F2B11" w:rsidRDefault="008F2B11" w:rsidP="00556297">
      <w:pPr>
        <w:rPr>
          <w:rFonts w:ascii="Open Sans" w:hAnsi="Open Sans" w:cs="Open Sans"/>
          <w:szCs w:val="22"/>
        </w:rPr>
      </w:pPr>
      <w:r>
        <w:rPr>
          <w:rFonts w:ascii="Open Sans" w:hAnsi="Open Sans" w:cs="Open Sans"/>
          <w:szCs w:val="22"/>
        </w:rPr>
        <w:t>No</w:t>
      </w:r>
      <w:r w:rsidR="009723D3">
        <w:rPr>
          <w:rFonts w:ascii="Open Sans" w:hAnsi="Open Sans" w:cs="Open Sans"/>
          <w:szCs w:val="22"/>
        </w:rPr>
        <w:t xml:space="preserve"> – </w:t>
      </w:r>
      <w:r w:rsidR="009723D3" w:rsidRPr="009723D3">
        <w:rPr>
          <w:rFonts w:ascii="Open Sans" w:hAnsi="Open Sans" w:cs="Open Sans"/>
          <w:szCs w:val="22"/>
          <w:highlight w:val="yellow"/>
        </w:rPr>
        <w:t xml:space="preserve">further answer </w:t>
      </w:r>
      <w:r w:rsidR="009723D3">
        <w:rPr>
          <w:rFonts w:ascii="Open Sans" w:hAnsi="Open Sans" w:cs="Open Sans"/>
          <w:szCs w:val="22"/>
          <w:highlight w:val="yellow"/>
        </w:rPr>
        <w:t xml:space="preserve">currently </w:t>
      </w:r>
      <w:r w:rsidR="009723D3" w:rsidRPr="009723D3">
        <w:rPr>
          <w:rFonts w:ascii="Open Sans" w:hAnsi="Open Sans" w:cs="Open Sans"/>
          <w:szCs w:val="22"/>
          <w:highlight w:val="yellow"/>
        </w:rPr>
        <w:t>being developed</w:t>
      </w:r>
    </w:p>
    <w:p w14:paraId="28EC7EAE" w14:textId="77777777" w:rsidR="008F2B11" w:rsidRPr="00E752B5" w:rsidRDefault="008F2B11" w:rsidP="00556297">
      <w:pPr>
        <w:rPr>
          <w:rFonts w:ascii="Open Sans" w:hAnsi="Open Sans" w:cs="Open Sans"/>
          <w:szCs w:val="22"/>
        </w:rPr>
      </w:pPr>
    </w:p>
    <w:p w14:paraId="3E5383A8" w14:textId="6EA426C2" w:rsidR="000D49A6" w:rsidRPr="00FF36CA" w:rsidRDefault="00FF36CA" w:rsidP="00556297">
      <w:pPr>
        <w:rPr>
          <w:rFonts w:ascii="Open Sans" w:hAnsi="Open Sans" w:cs="Open Sans"/>
          <w:b/>
          <w:bCs/>
          <w:i/>
          <w:iCs/>
          <w:color w:val="2F5496"/>
          <w:szCs w:val="22"/>
        </w:rPr>
      </w:pPr>
      <w:r w:rsidRPr="00FF36CA">
        <w:rPr>
          <w:rFonts w:ascii="Open Sans" w:hAnsi="Open Sans" w:cs="Open Sans"/>
          <w:b/>
          <w:bCs/>
          <w:i/>
          <w:iCs/>
          <w:color w:val="2F5496"/>
          <w:szCs w:val="22"/>
        </w:rPr>
        <w:t xml:space="preserve">Question 41 - </w:t>
      </w:r>
      <w:r w:rsidR="000D49A6" w:rsidRPr="00FF36CA">
        <w:rPr>
          <w:rFonts w:ascii="Open Sans" w:hAnsi="Open Sans" w:cs="Open Sans"/>
          <w:b/>
          <w:bCs/>
          <w:i/>
          <w:iCs/>
          <w:color w:val="2F5496"/>
          <w:szCs w:val="22"/>
        </w:rPr>
        <w:t>What are the main risks of non-compliance, fraud or gaming associated with the</w:t>
      </w:r>
      <w:r w:rsidR="008F2B11" w:rsidRPr="00FF36CA">
        <w:rPr>
          <w:rFonts w:ascii="Open Sans" w:hAnsi="Open Sans" w:cs="Open Sans"/>
          <w:b/>
          <w:bCs/>
          <w:i/>
          <w:iCs/>
          <w:color w:val="2F5496"/>
          <w:szCs w:val="22"/>
        </w:rPr>
        <w:t xml:space="preserve"> </w:t>
      </w:r>
      <w:r w:rsidR="000D49A6" w:rsidRPr="00FF36CA">
        <w:rPr>
          <w:rFonts w:ascii="Open Sans" w:hAnsi="Open Sans" w:cs="Open Sans"/>
          <w:b/>
          <w:bCs/>
          <w:i/>
          <w:iCs/>
          <w:color w:val="2F5496"/>
          <w:szCs w:val="22"/>
        </w:rPr>
        <w:t xml:space="preserve">Clean Heat Grant? </w:t>
      </w:r>
    </w:p>
    <w:p w14:paraId="1E4484BB" w14:textId="77777777" w:rsidR="00FF36CA" w:rsidRDefault="00FF36CA" w:rsidP="00556297">
      <w:pPr>
        <w:rPr>
          <w:rFonts w:ascii="Open Sans" w:hAnsi="Open Sans" w:cs="Open Sans"/>
          <w:szCs w:val="22"/>
        </w:rPr>
      </w:pPr>
    </w:p>
    <w:p w14:paraId="7C6E5B31" w14:textId="16E3DACB" w:rsidR="008F2B11" w:rsidRDefault="008F2B11" w:rsidP="00556297">
      <w:pPr>
        <w:rPr>
          <w:rFonts w:ascii="Open Sans" w:hAnsi="Open Sans" w:cs="Open Sans"/>
          <w:szCs w:val="22"/>
        </w:rPr>
      </w:pPr>
      <w:r>
        <w:rPr>
          <w:rFonts w:ascii="Open Sans" w:hAnsi="Open Sans" w:cs="Open Sans"/>
          <w:szCs w:val="22"/>
        </w:rPr>
        <w:t xml:space="preserve">As already indicated, we believe a flat rate grant </w:t>
      </w:r>
      <w:r w:rsidR="009723D3">
        <w:rPr>
          <w:rFonts w:ascii="Open Sans" w:hAnsi="Open Sans" w:cs="Open Sans"/>
          <w:szCs w:val="22"/>
        </w:rPr>
        <w:t xml:space="preserve">will </w:t>
      </w:r>
      <w:r>
        <w:rPr>
          <w:rFonts w:ascii="Open Sans" w:hAnsi="Open Sans" w:cs="Open Sans"/>
          <w:szCs w:val="22"/>
        </w:rPr>
        <w:t xml:space="preserve">likely lead to the under sizing of projects to create a more attractive offer for consumers, where the grant covers </w:t>
      </w:r>
      <w:r w:rsidR="009723D3">
        <w:rPr>
          <w:rFonts w:ascii="Open Sans" w:hAnsi="Open Sans" w:cs="Open Sans"/>
          <w:szCs w:val="22"/>
        </w:rPr>
        <w:t xml:space="preserve">a </w:t>
      </w:r>
      <w:r>
        <w:rPr>
          <w:rFonts w:ascii="Open Sans" w:hAnsi="Open Sans" w:cs="Open Sans"/>
          <w:szCs w:val="22"/>
        </w:rPr>
        <w:t>greater propo</w:t>
      </w:r>
      <w:r w:rsidR="009723D3">
        <w:rPr>
          <w:rFonts w:ascii="Open Sans" w:hAnsi="Open Sans" w:cs="Open Sans"/>
          <w:szCs w:val="22"/>
        </w:rPr>
        <w:t xml:space="preserve">rtion </w:t>
      </w:r>
      <w:r>
        <w:rPr>
          <w:rFonts w:ascii="Open Sans" w:hAnsi="Open Sans" w:cs="Open Sans"/>
          <w:szCs w:val="22"/>
        </w:rPr>
        <w:t xml:space="preserve">of the project costs. This could see consumers be </w:t>
      </w:r>
      <w:r w:rsidR="00FF36CA">
        <w:rPr>
          <w:rFonts w:ascii="Open Sans" w:hAnsi="Open Sans" w:cs="Open Sans"/>
          <w:szCs w:val="22"/>
        </w:rPr>
        <w:t>mis sold</w:t>
      </w:r>
      <w:r>
        <w:rPr>
          <w:rFonts w:ascii="Open Sans" w:hAnsi="Open Sans" w:cs="Open Sans"/>
          <w:szCs w:val="22"/>
        </w:rPr>
        <w:t xml:space="preserve"> for developers to be able to maximise the number of grants they are able to claim. </w:t>
      </w:r>
    </w:p>
    <w:p w14:paraId="27A0C177" w14:textId="5D2AB451" w:rsidR="008F2B11" w:rsidRDefault="008F2B11" w:rsidP="00556297">
      <w:pPr>
        <w:rPr>
          <w:rFonts w:ascii="Open Sans" w:hAnsi="Open Sans" w:cs="Open Sans"/>
          <w:szCs w:val="22"/>
        </w:rPr>
      </w:pPr>
    </w:p>
    <w:p w14:paraId="4A546935" w14:textId="36125650" w:rsidR="008F2B11" w:rsidRDefault="008F2B11" w:rsidP="00556297">
      <w:pPr>
        <w:rPr>
          <w:rFonts w:ascii="Open Sans" w:hAnsi="Open Sans" w:cs="Open Sans"/>
          <w:szCs w:val="22"/>
        </w:rPr>
      </w:pPr>
      <w:r>
        <w:rPr>
          <w:rFonts w:ascii="Open Sans" w:hAnsi="Open Sans" w:cs="Open Sans"/>
          <w:szCs w:val="22"/>
        </w:rPr>
        <w:t xml:space="preserve">Equally, where a larger scale project is needed, at the upper end of the capacity range, there could be the possibility of gaming the system by installing two cheaper smaller systems, claiming two grants, rather </w:t>
      </w:r>
      <w:r w:rsidR="009723D3">
        <w:rPr>
          <w:rFonts w:ascii="Open Sans" w:hAnsi="Open Sans" w:cs="Open Sans"/>
          <w:szCs w:val="22"/>
        </w:rPr>
        <w:t>than</w:t>
      </w:r>
      <w:r>
        <w:rPr>
          <w:rFonts w:ascii="Open Sans" w:hAnsi="Open Sans" w:cs="Open Sans"/>
          <w:szCs w:val="22"/>
        </w:rPr>
        <w:t xml:space="preserve"> install the size or type of project that is actually required. </w:t>
      </w:r>
    </w:p>
    <w:p w14:paraId="58EA440C" w14:textId="2E415807" w:rsidR="008F2B11" w:rsidRDefault="008F2B11" w:rsidP="00556297">
      <w:pPr>
        <w:rPr>
          <w:rFonts w:ascii="Open Sans" w:hAnsi="Open Sans" w:cs="Open Sans"/>
          <w:szCs w:val="22"/>
        </w:rPr>
      </w:pPr>
    </w:p>
    <w:p w14:paraId="080E0EEB" w14:textId="4FE64E45" w:rsidR="008F2B11" w:rsidRPr="008F2B11" w:rsidRDefault="008F2B11" w:rsidP="00556297">
      <w:pPr>
        <w:rPr>
          <w:rFonts w:ascii="Open Sans" w:hAnsi="Open Sans" w:cs="Open Sans"/>
          <w:szCs w:val="22"/>
        </w:rPr>
      </w:pPr>
      <w:r>
        <w:rPr>
          <w:rFonts w:ascii="Open Sans" w:hAnsi="Open Sans" w:cs="Open Sans"/>
          <w:szCs w:val="22"/>
        </w:rPr>
        <w:t>There are also concerns that the flat rate grant does no</w:t>
      </w:r>
      <w:r w:rsidR="0085082B">
        <w:rPr>
          <w:rFonts w:ascii="Open Sans" w:hAnsi="Open Sans" w:cs="Open Sans"/>
          <w:szCs w:val="22"/>
        </w:rPr>
        <w:t>t</w:t>
      </w:r>
      <w:r>
        <w:rPr>
          <w:rFonts w:ascii="Open Sans" w:hAnsi="Open Sans" w:cs="Open Sans"/>
          <w:szCs w:val="22"/>
        </w:rPr>
        <w:t xml:space="preserve"> in itself incentivise the use </w:t>
      </w:r>
      <w:r w:rsidR="0085082B">
        <w:rPr>
          <w:rFonts w:ascii="Open Sans" w:hAnsi="Open Sans" w:cs="Open Sans"/>
          <w:szCs w:val="22"/>
        </w:rPr>
        <w:t>of</w:t>
      </w:r>
      <w:r>
        <w:rPr>
          <w:rFonts w:ascii="Open Sans" w:hAnsi="Open Sans" w:cs="Open Sans"/>
          <w:szCs w:val="22"/>
        </w:rPr>
        <w:t xml:space="preserve"> renewable heating system. The grant could be used by those wanting </w:t>
      </w:r>
      <w:r w:rsidR="0085082B">
        <w:rPr>
          <w:rFonts w:ascii="Open Sans" w:hAnsi="Open Sans" w:cs="Open Sans"/>
          <w:szCs w:val="22"/>
        </w:rPr>
        <w:t xml:space="preserve">to </w:t>
      </w:r>
      <w:r>
        <w:rPr>
          <w:rFonts w:ascii="Open Sans" w:hAnsi="Open Sans" w:cs="Open Sans"/>
          <w:szCs w:val="22"/>
        </w:rPr>
        <w:t xml:space="preserve">‘green wash’ their activities, installing a renewable energy system without the intension to </w:t>
      </w:r>
      <w:r w:rsidR="00587C19">
        <w:rPr>
          <w:rFonts w:ascii="Open Sans" w:hAnsi="Open Sans" w:cs="Open Sans"/>
          <w:szCs w:val="22"/>
        </w:rPr>
        <w:t>use</w:t>
      </w:r>
      <w:r>
        <w:rPr>
          <w:rFonts w:ascii="Open Sans" w:hAnsi="Open Sans" w:cs="Open Sans"/>
          <w:szCs w:val="22"/>
        </w:rPr>
        <w:t xml:space="preserve"> it as the fossil heating system remains cheaper to run. </w:t>
      </w:r>
    </w:p>
    <w:p w14:paraId="6F795036" w14:textId="77777777" w:rsidR="000D49A6" w:rsidRPr="00E752B5" w:rsidRDefault="000D49A6" w:rsidP="00556297">
      <w:pPr>
        <w:rPr>
          <w:rFonts w:ascii="Open Sans" w:hAnsi="Open Sans" w:cs="Open Sans"/>
          <w:szCs w:val="22"/>
        </w:rPr>
      </w:pPr>
    </w:p>
    <w:p w14:paraId="0A56F6E2" w14:textId="02EDEE32" w:rsidR="000D49A6" w:rsidRPr="00FF36CA" w:rsidRDefault="00FF36CA" w:rsidP="00556297">
      <w:pPr>
        <w:rPr>
          <w:rFonts w:ascii="Open Sans" w:hAnsi="Open Sans" w:cs="Open Sans"/>
          <w:b/>
          <w:bCs/>
          <w:i/>
          <w:iCs/>
          <w:color w:val="2F5496"/>
          <w:szCs w:val="22"/>
        </w:rPr>
      </w:pPr>
      <w:r w:rsidRPr="00FF36CA">
        <w:rPr>
          <w:rFonts w:ascii="Open Sans" w:hAnsi="Open Sans" w:cs="Open Sans"/>
          <w:b/>
          <w:bCs/>
          <w:i/>
          <w:iCs/>
          <w:color w:val="2F5496"/>
          <w:szCs w:val="22"/>
        </w:rPr>
        <w:t xml:space="preserve">Question 42 - </w:t>
      </w:r>
      <w:r w:rsidR="000D49A6" w:rsidRPr="00FF36CA">
        <w:rPr>
          <w:rFonts w:ascii="Open Sans" w:hAnsi="Open Sans" w:cs="Open Sans"/>
          <w:b/>
          <w:bCs/>
          <w:i/>
          <w:iCs/>
          <w:color w:val="2F5496"/>
          <w:szCs w:val="22"/>
        </w:rPr>
        <w:t>What would be the most important features of an audit regime to minimise the risk of non-compliance?</w:t>
      </w:r>
    </w:p>
    <w:p w14:paraId="0B9C15A9" w14:textId="7DF7A9E4" w:rsidR="008F2B11" w:rsidRPr="0024189A" w:rsidRDefault="008F2B11" w:rsidP="00556297">
      <w:pPr>
        <w:rPr>
          <w:rFonts w:ascii="Open Sans" w:hAnsi="Open Sans" w:cs="Open Sans"/>
          <w:b/>
          <w:bCs/>
          <w:szCs w:val="22"/>
        </w:rPr>
      </w:pPr>
    </w:p>
    <w:p w14:paraId="213D8432" w14:textId="07925606" w:rsidR="008F2B11" w:rsidRPr="00FF36CA" w:rsidRDefault="0024189A" w:rsidP="00556297">
      <w:pPr>
        <w:rPr>
          <w:rFonts w:ascii="Open Sans" w:hAnsi="Open Sans" w:cs="Open Sans"/>
          <w:szCs w:val="22"/>
        </w:rPr>
      </w:pPr>
      <w:r w:rsidRPr="00FF36CA">
        <w:rPr>
          <w:rFonts w:ascii="Open Sans" w:hAnsi="Open Sans" w:cs="Open Sans"/>
          <w:szCs w:val="22"/>
          <w:highlight w:val="yellow"/>
        </w:rPr>
        <w:t>Members views welcome</w:t>
      </w:r>
    </w:p>
    <w:p w14:paraId="034E43C5" w14:textId="77777777" w:rsidR="00E752B5" w:rsidRPr="00E752B5" w:rsidRDefault="00E752B5" w:rsidP="00556297">
      <w:pPr>
        <w:rPr>
          <w:rFonts w:ascii="Open Sans" w:hAnsi="Open Sans" w:cs="Open Sans"/>
          <w:b/>
          <w:bCs/>
          <w:szCs w:val="22"/>
        </w:rPr>
      </w:pPr>
    </w:p>
    <w:p w14:paraId="2E7F0882" w14:textId="77777777" w:rsidR="00273E54" w:rsidRPr="00273E54" w:rsidRDefault="00273E54" w:rsidP="00273E54">
      <w:pPr>
        <w:rPr>
          <w:rFonts w:ascii="Open Sans" w:hAnsi="Open Sans" w:cs="Open Sans"/>
          <w:b/>
          <w:bCs/>
          <w:szCs w:val="22"/>
        </w:rPr>
      </w:pPr>
      <w:r w:rsidRPr="00273E54">
        <w:rPr>
          <w:rFonts w:ascii="Open Sans" w:hAnsi="Open Sans" w:cs="Open Sans"/>
          <w:b/>
          <w:bCs/>
          <w:szCs w:val="22"/>
        </w:rPr>
        <w:t>June 2020</w:t>
      </w:r>
    </w:p>
    <w:p w14:paraId="10ACAD6D" w14:textId="304D5BE8" w:rsidR="00273E54" w:rsidRPr="00273E54" w:rsidRDefault="00273E54">
      <w:pPr>
        <w:rPr>
          <w:rFonts w:ascii="Open Sans" w:hAnsi="Open Sans" w:cs="Open Sans"/>
          <w:b/>
          <w:bCs/>
          <w:szCs w:val="22"/>
        </w:rPr>
      </w:pPr>
      <w:r w:rsidRPr="00273E54">
        <w:rPr>
          <w:rFonts w:ascii="Open Sans" w:hAnsi="Open Sans" w:cs="Open Sans"/>
          <w:i/>
          <w:iCs/>
          <w:szCs w:val="22"/>
        </w:rPr>
        <w:t xml:space="preserve">If you have any questions relating to this consultation and the REA’s response please contact </w:t>
      </w:r>
      <w:hyperlink r:id="rId8" w:history="1">
        <w:r w:rsidRPr="00273E54">
          <w:rPr>
            <w:rStyle w:val="Hyperlink"/>
            <w:rFonts w:ascii="Open Sans" w:hAnsi="Open Sans" w:cs="Open Sans"/>
            <w:i/>
            <w:iCs/>
            <w:szCs w:val="22"/>
          </w:rPr>
          <w:t>heat@r-e-a.net</w:t>
        </w:r>
      </w:hyperlink>
      <w:r w:rsidRPr="00273E54">
        <w:rPr>
          <w:rFonts w:ascii="Open Sans" w:hAnsi="Open Sans" w:cs="Open Sans"/>
          <w:i/>
          <w:iCs/>
          <w:szCs w:val="22"/>
        </w:rPr>
        <w:t xml:space="preserve"> </w:t>
      </w:r>
    </w:p>
    <w:sectPr w:rsidR="00273E54" w:rsidRPr="00273E54" w:rsidSect="00EA2285">
      <w:headerReference w:type="default" r:id="rId9"/>
      <w:headerReference w:type="first" r:id="rId10"/>
      <w:footerReference w:type="first" r:id="rId11"/>
      <w:pgSz w:w="11906" w:h="16838"/>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8D213" w14:textId="77777777" w:rsidR="00C570E5" w:rsidRDefault="00C570E5">
      <w:r>
        <w:separator/>
      </w:r>
    </w:p>
  </w:endnote>
  <w:endnote w:type="continuationSeparator" w:id="0">
    <w:p w14:paraId="09F44890" w14:textId="77777777" w:rsidR="00C570E5" w:rsidRDefault="00C570E5">
      <w:r>
        <w:continuationSeparator/>
      </w:r>
    </w:p>
  </w:endnote>
  <w:endnote w:type="continuationNotice" w:id="1">
    <w:p w14:paraId="6F094AF5" w14:textId="77777777" w:rsidR="00C570E5" w:rsidRDefault="00C57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vant garde">
    <w:altName w:val="Century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PT-Light">
    <w:altName w:val="Century Gothic"/>
    <w:charset w:val="00"/>
    <w:family w:val="swiss"/>
    <w:pitch w:val="variable"/>
  </w:font>
  <w:font w:name="FuturaPT-Book">
    <w:altName w:val="Century Gothic"/>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DC8F3" w14:textId="77777777" w:rsidR="00CD6AB1" w:rsidRPr="00D3350C" w:rsidRDefault="00CD6AB1" w:rsidP="00EA2285">
    <w:pPr>
      <w:widowControl w:val="0"/>
      <w:tabs>
        <w:tab w:val="left" w:pos="8364"/>
        <w:tab w:val="left" w:pos="8505"/>
      </w:tabs>
      <w:autoSpaceDE w:val="0"/>
      <w:autoSpaceDN w:val="0"/>
      <w:spacing w:before="84"/>
      <w:ind w:left="582"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1E1E1E"/>
        <w:sz w:val="16"/>
        <w:szCs w:val="16"/>
        <w:lang w:val="en-US"/>
      </w:rPr>
      <w:t>THE ASSOCIATION FOR RENEWABLE ENERGY AND CLEAN TECHNOLOGY</w:t>
    </w:r>
  </w:p>
  <w:p w14:paraId="2502D245" w14:textId="77777777" w:rsidR="00CD6AB1" w:rsidRPr="00D3350C" w:rsidRDefault="00CD6AB1"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color w:val="06926B"/>
        <w:sz w:val="16"/>
        <w:szCs w:val="16"/>
        <w:lang w:val="en-US"/>
      </w:rPr>
    </w:pPr>
    <w:r w:rsidRPr="00D3350C">
      <w:rPr>
        <w:rFonts w:ascii="FuturaPT-Book" w:eastAsia="FuturaPT-Light" w:hAnsi="FuturaPT-Light" w:cs="FuturaPT-Light"/>
        <w:color w:val="06926B"/>
        <w:sz w:val="16"/>
        <w:szCs w:val="16"/>
        <w:lang w:val="en-US"/>
      </w:rPr>
      <w:t xml:space="preserve">Tel: </w:t>
    </w:r>
    <w:r w:rsidRPr="00D3350C">
      <w:rPr>
        <w:rFonts w:ascii="FuturaPT-Light" w:eastAsia="FuturaPT-Light" w:hAnsi="FuturaPT-Light" w:cs="FuturaPT-Light"/>
        <w:color w:val="06926B"/>
        <w:sz w:val="16"/>
        <w:szCs w:val="16"/>
        <w:lang w:val="en-US"/>
      </w:rPr>
      <w:t xml:space="preserve">+44 (0)20 7925 3570 </w:t>
    </w:r>
    <w:r w:rsidRPr="00D3350C">
      <w:rPr>
        <w:rFonts w:ascii="FuturaPT-Book" w:eastAsia="FuturaPT-Light" w:hAnsi="FuturaPT-Light" w:cs="FuturaPT-Light"/>
        <w:color w:val="06926B"/>
        <w:sz w:val="16"/>
        <w:szCs w:val="16"/>
        <w:lang w:val="en-US"/>
      </w:rPr>
      <w:t xml:space="preserve">Email: </w:t>
    </w:r>
    <w:hyperlink r:id="rId1" w:history="1">
      <w:r w:rsidRPr="00D3350C">
        <w:rPr>
          <w:rFonts w:ascii="FuturaPT-Light" w:eastAsia="FuturaPT-Light" w:hAnsi="FuturaPT-Light" w:cs="FuturaPT-Light"/>
          <w:color w:val="06926B"/>
          <w:sz w:val="16"/>
          <w:szCs w:val="16"/>
          <w:lang w:val="en-US"/>
        </w:rPr>
        <w:t>info@r-e-a.net</w:t>
      </w:r>
    </w:hyperlink>
    <w:r w:rsidRPr="00D3350C">
      <w:rPr>
        <w:rFonts w:ascii="FuturaPT-Light" w:eastAsia="FuturaPT-Light" w:hAnsi="FuturaPT-Light" w:cs="FuturaPT-Light"/>
        <w:color w:val="06926B"/>
        <w:sz w:val="16"/>
        <w:szCs w:val="16"/>
        <w:lang w:val="en-US"/>
      </w:rPr>
      <w:t xml:space="preserve"> </w:t>
    </w:r>
    <w:r w:rsidRPr="00D3350C">
      <w:rPr>
        <w:rFonts w:ascii="FuturaPT-Book" w:eastAsia="FuturaPT-Light" w:hAnsi="FuturaPT-Light" w:cs="FuturaPT-Light"/>
        <w:color w:val="06926B"/>
        <w:sz w:val="16"/>
        <w:szCs w:val="16"/>
        <w:lang w:val="en-US"/>
      </w:rPr>
      <w:t xml:space="preserve">Web: </w:t>
    </w:r>
    <w:hyperlink r:id="rId2" w:history="1">
      <w:r w:rsidRPr="00D3350C">
        <w:rPr>
          <w:rFonts w:ascii="FuturaPT-Light" w:eastAsia="FuturaPT-Light" w:hAnsi="FuturaPT-Light" w:cs="FuturaPT-Light"/>
          <w:color w:val="06926B"/>
          <w:sz w:val="16"/>
          <w:szCs w:val="16"/>
          <w:lang w:val="en-US"/>
        </w:rPr>
        <w:t>www.r-e-a.net</w:t>
      </w:r>
    </w:hyperlink>
  </w:p>
  <w:p w14:paraId="7849592F" w14:textId="77777777" w:rsidR="00CD6AB1" w:rsidRPr="00D3350C" w:rsidRDefault="00CD6AB1"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06926B"/>
        <w:sz w:val="16"/>
        <w:szCs w:val="16"/>
        <w:lang w:val="en-US"/>
      </w:rPr>
      <w:t>Company no: 04241430 Registered in England and Wales</w:t>
    </w:r>
  </w:p>
  <w:p w14:paraId="30EF6227" w14:textId="77777777" w:rsidR="00CD6AB1" w:rsidRDefault="00CD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DBA9A" w14:textId="77777777" w:rsidR="00C570E5" w:rsidRDefault="00C570E5" w:rsidP="00926C15">
      <w:r>
        <w:separator/>
      </w:r>
    </w:p>
  </w:footnote>
  <w:footnote w:type="continuationSeparator" w:id="0">
    <w:p w14:paraId="0FBD7D73" w14:textId="77777777" w:rsidR="00C570E5" w:rsidRDefault="00C570E5" w:rsidP="00926C15">
      <w:r>
        <w:continuationSeparator/>
      </w:r>
    </w:p>
  </w:footnote>
  <w:footnote w:type="continuationNotice" w:id="1">
    <w:p w14:paraId="6D71A566" w14:textId="77777777" w:rsidR="00C570E5" w:rsidRDefault="00C570E5"/>
  </w:footnote>
  <w:footnote w:id="2">
    <w:p w14:paraId="0232980B" w14:textId="77777777" w:rsidR="00CD6AB1" w:rsidRPr="00076C82" w:rsidRDefault="00CD6AB1" w:rsidP="00971EF8">
      <w:pPr>
        <w:pStyle w:val="FootnoteText"/>
        <w:rPr>
          <w:rFonts w:ascii="Open Sans" w:hAnsi="Open Sans" w:cs="Open Sans"/>
          <w:sz w:val="18"/>
          <w:szCs w:val="18"/>
        </w:rPr>
      </w:pPr>
      <w:r w:rsidRPr="00076C82">
        <w:rPr>
          <w:rStyle w:val="FootnoteReference"/>
          <w:rFonts w:ascii="Open Sans" w:hAnsi="Open Sans" w:cs="Open Sans"/>
          <w:sz w:val="18"/>
          <w:szCs w:val="18"/>
        </w:rPr>
        <w:footnoteRef/>
      </w:r>
      <w:r w:rsidRPr="00076C82">
        <w:rPr>
          <w:rFonts w:ascii="Open Sans" w:hAnsi="Open Sans" w:cs="Open Sans"/>
          <w:sz w:val="18"/>
          <w:szCs w:val="18"/>
        </w:rPr>
        <w:t xml:space="preserve"> REA (2020)</w:t>
      </w:r>
      <w:r>
        <w:rPr>
          <w:rFonts w:ascii="Open Sans" w:hAnsi="Open Sans" w:cs="Open Sans"/>
          <w:sz w:val="18"/>
          <w:szCs w:val="18"/>
        </w:rPr>
        <w:t xml:space="preserve"> </w:t>
      </w:r>
      <w:r w:rsidRPr="00076C82">
        <w:rPr>
          <w:rFonts w:ascii="Open Sans" w:hAnsi="Open Sans" w:cs="Open Sans"/>
          <w:i/>
          <w:iCs/>
          <w:sz w:val="18"/>
          <w:szCs w:val="18"/>
        </w:rPr>
        <w:t>REview 2020</w:t>
      </w:r>
      <w:r w:rsidRPr="00076C82">
        <w:rPr>
          <w:rFonts w:ascii="Open Sans" w:hAnsi="Open Sans" w:cs="Open Sans"/>
          <w:sz w:val="18"/>
          <w:szCs w:val="18"/>
        </w:rPr>
        <w:t xml:space="preserve">  </w:t>
      </w:r>
      <w:hyperlink r:id="rId1" w:history="1">
        <w:r w:rsidRPr="00076C82">
          <w:rPr>
            <w:rStyle w:val="Hyperlink"/>
            <w:rFonts w:ascii="Open Sans" w:hAnsi="Open Sans" w:cs="Open Sans"/>
            <w:sz w:val="18"/>
            <w:szCs w:val="18"/>
          </w:rPr>
          <w:t>https://www.r-e-a.net/resources/review-2020/</w:t>
        </w:r>
      </w:hyperlink>
      <w:r w:rsidRPr="00076C82">
        <w:rPr>
          <w:rFonts w:ascii="Open Sans" w:hAnsi="Open Sans" w:cs="Open Sans"/>
          <w:sz w:val="18"/>
          <w:szCs w:val="18"/>
        </w:rPr>
        <w:t xml:space="preserve"> </w:t>
      </w:r>
    </w:p>
  </w:footnote>
  <w:footnote w:id="3">
    <w:p w14:paraId="69FF9092" w14:textId="77777777" w:rsidR="00CD6AB1" w:rsidRPr="00076C82" w:rsidRDefault="00CD6AB1">
      <w:pPr>
        <w:pStyle w:val="FootnoteText"/>
        <w:rPr>
          <w:rFonts w:ascii="Open Sans" w:hAnsi="Open Sans" w:cs="Open Sans"/>
          <w:sz w:val="18"/>
          <w:szCs w:val="18"/>
        </w:rPr>
      </w:pPr>
      <w:r w:rsidRPr="00076C82">
        <w:rPr>
          <w:rStyle w:val="FootnoteReference"/>
          <w:rFonts w:ascii="Open Sans" w:hAnsi="Open Sans" w:cs="Open Sans"/>
          <w:sz w:val="18"/>
          <w:szCs w:val="18"/>
        </w:rPr>
        <w:footnoteRef/>
      </w:r>
      <w:r w:rsidRPr="00076C82">
        <w:rPr>
          <w:rFonts w:ascii="Open Sans" w:hAnsi="Open Sans" w:cs="Open Sans"/>
          <w:sz w:val="18"/>
          <w:szCs w:val="18"/>
        </w:rPr>
        <w:t xml:space="preserve"> REA Analysis based on FoI RHI Data as of May 2018. Given very low deployment rates since 2018, 12% is expected to be a reliable estimate. </w:t>
      </w:r>
    </w:p>
  </w:footnote>
  <w:footnote w:id="4">
    <w:p w14:paraId="0C5A2230" w14:textId="77777777" w:rsidR="00CD6AB1" w:rsidRDefault="00CD6AB1">
      <w:pPr>
        <w:pStyle w:val="FootnoteText"/>
      </w:pPr>
      <w:r w:rsidRPr="00076C82">
        <w:rPr>
          <w:rStyle w:val="FootnoteReference"/>
          <w:rFonts w:ascii="Open Sans" w:hAnsi="Open Sans" w:cs="Open Sans"/>
          <w:sz w:val="18"/>
          <w:szCs w:val="18"/>
        </w:rPr>
        <w:footnoteRef/>
      </w:r>
      <w:r w:rsidRPr="00076C82">
        <w:rPr>
          <w:rFonts w:ascii="Open Sans" w:hAnsi="Open Sans" w:cs="Open Sans"/>
          <w:sz w:val="18"/>
          <w:szCs w:val="18"/>
        </w:rPr>
        <w:t xml:space="preserve"> BEIS RHI Monthly Deployment Data as of March 2020.</w:t>
      </w:r>
      <w:r>
        <w:t xml:space="preserve"> </w:t>
      </w:r>
    </w:p>
  </w:footnote>
  <w:footnote w:id="5">
    <w:p w14:paraId="78DE3A31" w14:textId="77777777" w:rsidR="00CD6AB1" w:rsidRPr="00CE51FA" w:rsidRDefault="00CD6AB1" w:rsidP="005443AB">
      <w:pPr>
        <w:pStyle w:val="FootnoteText"/>
        <w:rPr>
          <w:rFonts w:ascii="Open Sans" w:hAnsi="Open Sans" w:cs="Open Sans"/>
          <w:sz w:val="18"/>
          <w:szCs w:val="18"/>
        </w:rPr>
      </w:pPr>
      <w:r w:rsidRPr="00CE51FA">
        <w:rPr>
          <w:rStyle w:val="FootnoteReference"/>
          <w:rFonts w:ascii="Open Sans" w:hAnsi="Open Sans" w:cs="Open Sans"/>
          <w:sz w:val="18"/>
          <w:szCs w:val="18"/>
        </w:rPr>
        <w:footnoteRef/>
      </w:r>
      <w:r w:rsidRPr="00CE51FA">
        <w:rPr>
          <w:rFonts w:ascii="Open Sans" w:hAnsi="Open Sans" w:cs="Open Sans"/>
          <w:sz w:val="18"/>
          <w:szCs w:val="18"/>
        </w:rPr>
        <w:t xml:space="preserve"> REA (2019) </w:t>
      </w:r>
      <w:r w:rsidRPr="00CE51FA">
        <w:rPr>
          <w:rFonts w:ascii="Open Sans" w:hAnsi="Open Sans" w:cs="Open Sans"/>
          <w:i/>
          <w:iCs/>
          <w:sz w:val="18"/>
          <w:szCs w:val="18"/>
        </w:rPr>
        <w:t>REA Bioenergy Strategy Phase 2: A Vision to 2032 and Beyond</w:t>
      </w:r>
      <w:r w:rsidRPr="00CE51FA">
        <w:rPr>
          <w:rFonts w:ascii="Open Sans" w:hAnsi="Open Sans" w:cs="Open Sans"/>
          <w:sz w:val="18"/>
          <w:szCs w:val="18"/>
        </w:rPr>
        <w:t xml:space="preserve">, </w:t>
      </w:r>
      <w:hyperlink r:id="rId2" w:history="1">
        <w:r w:rsidRPr="00CE51FA">
          <w:rPr>
            <w:rStyle w:val="Hyperlink"/>
            <w:rFonts w:ascii="Open Sans" w:hAnsi="Open Sans" w:cs="Open Sans"/>
            <w:sz w:val="18"/>
            <w:szCs w:val="18"/>
          </w:rPr>
          <w:t>https://www.bioenergy-strategy.com/publications</w:t>
        </w:r>
      </w:hyperlink>
      <w:r w:rsidRPr="00CE51FA">
        <w:rPr>
          <w:rFonts w:ascii="Open Sans" w:hAnsi="Open Sans" w:cs="Open Sans"/>
          <w:sz w:val="18"/>
          <w:szCs w:val="18"/>
        </w:rPr>
        <w:t xml:space="preserve"> </w:t>
      </w:r>
    </w:p>
  </w:footnote>
  <w:footnote w:id="6">
    <w:p w14:paraId="006B50D5" w14:textId="77777777" w:rsidR="00CD6AB1" w:rsidRPr="00CE51FA" w:rsidRDefault="00CD6AB1">
      <w:pPr>
        <w:pStyle w:val="FootnoteText"/>
        <w:rPr>
          <w:rFonts w:ascii="Open Sans" w:hAnsi="Open Sans" w:cs="Open Sans"/>
          <w:sz w:val="18"/>
          <w:szCs w:val="18"/>
        </w:rPr>
      </w:pPr>
      <w:r w:rsidRPr="00CE51FA">
        <w:rPr>
          <w:rStyle w:val="FootnoteReference"/>
          <w:rFonts w:ascii="Open Sans" w:hAnsi="Open Sans" w:cs="Open Sans"/>
          <w:sz w:val="18"/>
          <w:szCs w:val="18"/>
        </w:rPr>
        <w:footnoteRef/>
      </w:r>
      <w:r w:rsidRPr="00CE51FA">
        <w:rPr>
          <w:rFonts w:ascii="Open Sans" w:hAnsi="Open Sans" w:cs="Open Sans"/>
          <w:sz w:val="18"/>
          <w:szCs w:val="18"/>
        </w:rPr>
        <w:t xml:space="preserve"> BEIS RHI monthly deployment data: December 2019 (Annual edition)</w:t>
      </w:r>
    </w:p>
  </w:footnote>
  <w:footnote w:id="7">
    <w:p w14:paraId="7C7D1066" w14:textId="174A9EF0" w:rsidR="00CD6AB1" w:rsidRDefault="00CD6AB1">
      <w:pPr>
        <w:pStyle w:val="FootnoteText"/>
      </w:pPr>
      <w:r w:rsidRPr="00CE51FA">
        <w:rPr>
          <w:rStyle w:val="FootnoteReference"/>
          <w:rFonts w:ascii="Open Sans" w:hAnsi="Open Sans" w:cs="Open Sans"/>
          <w:sz w:val="18"/>
          <w:szCs w:val="18"/>
        </w:rPr>
        <w:footnoteRef/>
      </w:r>
      <w:r w:rsidRPr="00CE51FA">
        <w:rPr>
          <w:rFonts w:ascii="Open Sans" w:hAnsi="Open Sans" w:cs="Open Sans"/>
          <w:sz w:val="18"/>
          <w:szCs w:val="18"/>
        </w:rPr>
        <w:t xml:space="preserve"> Full study already Shared with BEIS – available again on request with permission to share analysis </w:t>
      </w:r>
      <w:r w:rsidR="00CE51FA" w:rsidRPr="00CE51FA">
        <w:rPr>
          <w:rFonts w:ascii="Open Sans" w:hAnsi="Open Sans" w:cs="Open Sans"/>
          <w:sz w:val="18"/>
          <w:szCs w:val="18"/>
        </w:rPr>
        <w:t>from In</w:t>
      </w:r>
      <w:r w:rsidRPr="00CE51FA">
        <w:rPr>
          <w:rFonts w:ascii="Open Sans" w:hAnsi="Open Sans" w:cs="Open Sans"/>
          <w:sz w:val="18"/>
          <w:szCs w:val="18"/>
        </w:rPr>
        <w:t xml:space="preserve"> Perpetuum. Figures also used in Oftec (2019) </w:t>
      </w:r>
      <w:r w:rsidRPr="00CE51FA">
        <w:rPr>
          <w:rFonts w:ascii="Open Sans" w:hAnsi="Open Sans" w:cs="Open Sans"/>
          <w:i/>
          <w:iCs/>
          <w:sz w:val="18"/>
          <w:szCs w:val="18"/>
        </w:rPr>
        <w:t>A Strategy for Decarbonising Oil Heated Homes</w:t>
      </w:r>
      <w:r w:rsidRPr="00CE51FA">
        <w:rPr>
          <w:rFonts w:ascii="Open Sans" w:hAnsi="Open Sans" w:cs="Open Sans"/>
          <w:sz w:val="18"/>
          <w:szCs w:val="18"/>
        </w:rPr>
        <w:t xml:space="preserve"> </w:t>
      </w:r>
      <w:hyperlink r:id="rId3" w:history="1">
        <w:r w:rsidRPr="00CE51FA">
          <w:rPr>
            <w:rStyle w:val="Hyperlink"/>
            <w:rFonts w:ascii="Open Sans" w:hAnsi="Open Sans" w:cs="Open Sans"/>
            <w:sz w:val="18"/>
            <w:szCs w:val="18"/>
          </w:rPr>
          <w:t>https://www.oftec.org/docs/default-source/publications/pub115-oftec-industrial-strategy-for-decarbonising-oil-heated-homes.pdf?sfvrsn=71afe801_18</w:t>
        </w:r>
      </w:hyperlink>
      <w:r>
        <w:rPr>
          <w:rFonts w:ascii="Open Sans" w:hAnsi="Open Sans" w:cs="Open Sans"/>
          <w:szCs w:val="22"/>
        </w:rPr>
        <w:t xml:space="preserve"> </w:t>
      </w:r>
    </w:p>
  </w:footnote>
  <w:footnote w:id="8">
    <w:p w14:paraId="0B550345" w14:textId="77777777" w:rsidR="00FF7ADA" w:rsidRDefault="00FF7ADA" w:rsidP="00FF7ADA">
      <w:pPr>
        <w:pStyle w:val="FootnoteText"/>
      </w:pPr>
      <w:r>
        <w:rPr>
          <w:rStyle w:val="FootnoteReference"/>
        </w:rPr>
        <w:footnoteRef/>
      </w:r>
      <w:r>
        <w:t xml:space="preserve"> 468,000 based on Delta-EE number that 64% of properties could be electrified if ground source heat pumps are the preferred technology in a 1-in-20 peak winter scenario. 36% of 1.3mn off gas grid properties equals 468,000</w:t>
      </w:r>
    </w:p>
  </w:footnote>
  <w:footnote w:id="9">
    <w:p w14:paraId="14FAFDEF" w14:textId="46742612" w:rsidR="00FF7ADA" w:rsidRDefault="00FF7ADA">
      <w:pPr>
        <w:pStyle w:val="FootnoteText"/>
      </w:pPr>
      <w:r>
        <w:rPr>
          <w:rStyle w:val="FootnoteReference"/>
        </w:rPr>
        <w:footnoteRef/>
      </w:r>
      <w:r>
        <w:t xml:space="preserve"> The RHI has deployed 16,954 accredited biomass boilers in the ND RHI and 9,418 accredited biomass boilers in the domestic RHI, totalling 26,372 as of May 2020. </w:t>
      </w:r>
    </w:p>
  </w:footnote>
  <w:footnote w:id="10">
    <w:p w14:paraId="1B4AD548" w14:textId="77777777" w:rsidR="00CD6AB1" w:rsidRPr="00A305AF" w:rsidRDefault="00CD6AB1" w:rsidP="00A305AF">
      <w:pPr>
        <w:pStyle w:val="FootnoteText"/>
        <w:rPr>
          <w:rFonts w:ascii="Open Sans" w:hAnsi="Open Sans" w:cs="Open Sans"/>
          <w:sz w:val="18"/>
          <w:szCs w:val="18"/>
        </w:rPr>
      </w:pPr>
      <w:r w:rsidRPr="00A305AF">
        <w:rPr>
          <w:rStyle w:val="FootnoteReference"/>
          <w:rFonts w:ascii="Open Sans" w:hAnsi="Open Sans" w:cs="Open Sans"/>
          <w:sz w:val="18"/>
          <w:szCs w:val="18"/>
        </w:rPr>
        <w:footnoteRef/>
      </w:r>
      <w:r w:rsidRPr="00A305AF">
        <w:rPr>
          <w:rFonts w:ascii="Open Sans" w:hAnsi="Open Sans" w:cs="Open Sans"/>
          <w:sz w:val="18"/>
          <w:szCs w:val="18"/>
        </w:rPr>
        <w:t xml:space="preserve"> BEIS (2019) Annual Domestic Energy Bills, </w:t>
      </w:r>
      <w:hyperlink r:id="rId4" w:history="1">
        <w:r w:rsidRPr="00A305AF">
          <w:rPr>
            <w:rStyle w:val="Hyperlink"/>
            <w:rFonts w:ascii="Open Sans" w:hAnsi="Open Sans" w:cs="Open Sans"/>
            <w:sz w:val="18"/>
            <w:szCs w:val="18"/>
          </w:rPr>
          <w:t>https://www.gov.uk/government/statistical-data-sets/annual-domestic-energy-price-statistics</w:t>
        </w:r>
      </w:hyperlink>
      <w:r w:rsidRPr="00A305AF">
        <w:rPr>
          <w:rFonts w:ascii="Open Sans" w:hAnsi="Open Sans" w:cs="Open Sans"/>
          <w:sz w:val="18"/>
          <w:szCs w:val="18"/>
        </w:rPr>
        <w:t xml:space="preserve"> </w:t>
      </w:r>
    </w:p>
  </w:footnote>
  <w:footnote w:id="11">
    <w:p w14:paraId="60CDA7F0" w14:textId="71DCC8B8" w:rsidR="00052441" w:rsidRPr="00052441" w:rsidRDefault="00052441">
      <w:pPr>
        <w:pStyle w:val="FootnoteText"/>
        <w:rPr>
          <w:rFonts w:ascii="Open Sans" w:hAnsi="Open Sans" w:cs="Open Sans"/>
          <w:sz w:val="18"/>
          <w:szCs w:val="18"/>
        </w:rPr>
      </w:pPr>
      <w:r w:rsidRPr="00052441">
        <w:rPr>
          <w:rStyle w:val="FootnoteReference"/>
          <w:rFonts w:ascii="Open Sans" w:hAnsi="Open Sans" w:cs="Open Sans"/>
          <w:sz w:val="18"/>
          <w:szCs w:val="18"/>
        </w:rPr>
        <w:footnoteRef/>
      </w:r>
      <w:r w:rsidRPr="00052441">
        <w:rPr>
          <w:rFonts w:ascii="Open Sans" w:hAnsi="Open Sans" w:cs="Open Sans"/>
          <w:sz w:val="18"/>
          <w:szCs w:val="18"/>
        </w:rPr>
        <w:t xml:space="preserve"> For further details see: </w:t>
      </w:r>
      <w:hyperlink r:id="rId5" w:history="1">
        <w:r w:rsidRPr="004A6F35">
          <w:rPr>
            <w:rStyle w:val="Hyperlink"/>
            <w:rFonts w:ascii="Open Sans" w:hAnsi="Open Sans" w:cs="Open Sans"/>
            <w:sz w:val="18"/>
            <w:szCs w:val="18"/>
          </w:rPr>
          <w:t>https://energysavingtrust.org.uk/scotland/grants-loans/home-energy-scotland-loan-overview</w:t>
        </w:r>
      </w:hyperlink>
      <w:r>
        <w:rPr>
          <w:rFonts w:ascii="Open Sans" w:hAnsi="Open Sans" w:cs="Open Sans"/>
          <w:sz w:val="18"/>
          <w:szCs w:val="18"/>
        </w:rPr>
        <w:t xml:space="preserve"> </w:t>
      </w:r>
    </w:p>
  </w:footnote>
  <w:footnote w:id="12">
    <w:p w14:paraId="346BBF1B" w14:textId="1C7BDFD3" w:rsidR="00CD6AB1" w:rsidRDefault="00CD6AB1">
      <w:pPr>
        <w:pStyle w:val="FootnoteText"/>
      </w:pPr>
      <w:r w:rsidRPr="00052441">
        <w:rPr>
          <w:rStyle w:val="FootnoteReference"/>
          <w:rFonts w:ascii="Open Sans" w:hAnsi="Open Sans" w:cs="Open Sans"/>
          <w:sz w:val="18"/>
          <w:szCs w:val="18"/>
        </w:rPr>
        <w:footnoteRef/>
      </w:r>
      <w:r w:rsidRPr="00052441">
        <w:rPr>
          <w:rFonts w:ascii="Open Sans" w:hAnsi="Open Sans" w:cs="Open Sans"/>
          <w:sz w:val="18"/>
          <w:szCs w:val="18"/>
        </w:rPr>
        <w:t xml:space="preserve"> For further details see: </w:t>
      </w:r>
      <w:hyperlink r:id="rId6" w:history="1">
        <w:r w:rsidRPr="00052441">
          <w:rPr>
            <w:rStyle w:val="Hyperlink"/>
            <w:rFonts w:ascii="Open Sans" w:hAnsi="Open Sans" w:cs="Open Sans"/>
            <w:sz w:val="18"/>
            <w:szCs w:val="18"/>
          </w:rPr>
          <w:t>https://news.siemens.co.uk/news/the-carbon-trust-and-siemens-launch-new-green-finance-deal-worth-550-million-to-green-businesses-in-the-uk</w:t>
        </w:r>
      </w:hyperlink>
      <w:r>
        <w:t xml:space="preserve"> </w:t>
      </w:r>
    </w:p>
  </w:footnote>
  <w:footnote w:id="13">
    <w:p w14:paraId="20686F12" w14:textId="7B354627" w:rsidR="00052441" w:rsidRPr="00052441" w:rsidRDefault="00052441">
      <w:pPr>
        <w:pStyle w:val="FootnoteText"/>
        <w:rPr>
          <w:rFonts w:ascii="Open Sans" w:hAnsi="Open Sans" w:cs="Open Sans"/>
          <w:sz w:val="18"/>
          <w:szCs w:val="18"/>
        </w:rPr>
      </w:pPr>
      <w:r w:rsidRPr="00052441">
        <w:rPr>
          <w:rStyle w:val="FootnoteReference"/>
          <w:rFonts w:ascii="Open Sans" w:hAnsi="Open Sans" w:cs="Open Sans"/>
          <w:sz w:val="18"/>
          <w:szCs w:val="18"/>
        </w:rPr>
        <w:footnoteRef/>
      </w:r>
      <w:r w:rsidRPr="00052441">
        <w:rPr>
          <w:rFonts w:ascii="Open Sans" w:hAnsi="Open Sans" w:cs="Open Sans"/>
          <w:sz w:val="18"/>
          <w:szCs w:val="18"/>
        </w:rPr>
        <w:t xml:space="preserve"> NAO (2018) “Low carbon heating of homes and businesses and the Renewable Heat Incentive” </w:t>
      </w:r>
      <w:hyperlink r:id="rId7" w:history="1">
        <w:r w:rsidRPr="00052441">
          <w:rPr>
            <w:rStyle w:val="Hyperlink"/>
            <w:rFonts w:ascii="Open Sans" w:hAnsi="Open Sans" w:cs="Open Sans"/>
            <w:sz w:val="18"/>
            <w:szCs w:val="18"/>
          </w:rPr>
          <w:t>https://www.nao.org.uk/report/low-carbon-heating-of-homes-and-businesses-and-the-renewable-heat-incentive/</w:t>
        </w:r>
      </w:hyperlink>
      <w:r w:rsidRPr="00052441">
        <w:rPr>
          <w:rFonts w:ascii="Open Sans" w:hAnsi="Open Sans" w:cs="Open Sans"/>
          <w:sz w:val="18"/>
          <w:szCs w:val="18"/>
        </w:rPr>
        <w:t xml:space="preserve"> </w:t>
      </w:r>
    </w:p>
  </w:footnote>
  <w:footnote w:id="14">
    <w:p w14:paraId="56C46944" w14:textId="77777777" w:rsidR="00CD6AB1" w:rsidRPr="00076C82" w:rsidRDefault="00CD6AB1">
      <w:pPr>
        <w:pStyle w:val="FootnoteText"/>
        <w:rPr>
          <w:rFonts w:ascii="Open Sans" w:hAnsi="Open Sans" w:cs="Open Sans"/>
          <w:sz w:val="18"/>
          <w:szCs w:val="18"/>
        </w:rPr>
      </w:pPr>
      <w:r w:rsidRPr="00076C82">
        <w:rPr>
          <w:rStyle w:val="FootnoteReference"/>
          <w:rFonts w:ascii="Open Sans" w:hAnsi="Open Sans" w:cs="Open Sans"/>
          <w:sz w:val="18"/>
          <w:szCs w:val="18"/>
        </w:rPr>
        <w:footnoteRef/>
      </w:r>
      <w:r w:rsidRPr="00076C82">
        <w:rPr>
          <w:rFonts w:ascii="Open Sans" w:hAnsi="Open Sans" w:cs="Open Sans"/>
          <w:sz w:val="18"/>
          <w:szCs w:val="18"/>
        </w:rPr>
        <w:t xml:space="preserve"> WHA and REA response to BEIS RHI Consultation – Biomass Combustion in Urban Areas </w:t>
      </w:r>
      <w:hyperlink r:id="rId8" w:history="1">
        <w:r w:rsidRPr="00076C82">
          <w:rPr>
            <w:rStyle w:val="Hyperlink"/>
            <w:rFonts w:ascii="Open Sans" w:hAnsi="Open Sans" w:cs="Open Sans"/>
            <w:sz w:val="18"/>
            <w:szCs w:val="18"/>
          </w:rPr>
          <w:t>https://www.r-e-a.net/resources/beis-rhi-consultation-biomass-combustion-in-urban-areas/</w:t>
        </w:r>
      </w:hyperlink>
      <w:r w:rsidRPr="00076C82">
        <w:rPr>
          <w:rFonts w:ascii="Open Sans" w:hAnsi="Open Sans" w:cs="Open Sans"/>
          <w:sz w:val="18"/>
          <w:szCs w:val="18"/>
        </w:rPr>
        <w:t xml:space="preserve"> </w:t>
      </w:r>
    </w:p>
  </w:footnote>
  <w:footnote w:id="15">
    <w:p w14:paraId="5400B9CA" w14:textId="77777777" w:rsidR="00CD6AB1" w:rsidRPr="0065142C" w:rsidRDefault="00CD6AB1" w:rsidP="00E86DC5">
      <w:pPr>
        <w:pStyle w:val="FootnoteText"/>
        <w:rPr>
          <w:rFonts w:ascii="Arial" w:hAnsi="Arial" w:cs="Arial"/>
          <w:lang w:val="da-DK"/>
        </w:rPr>
      </w:pPr>
      <w:r w:rsidRPr="0065142C">
        <w:rPr>
          <w:rStyle w:val="FootnoteReference"/>
          <w:rFonts w:ascii="Arial" w:hAnsi="Arial" w:cs="Arial"/>
        </w:rPr>
        <w:footnoteRef/>
      </w:r>
      <w:r w:rsidRPr="0065142C">
        <w:rPr>
          <w:rFonts w:ascii="Arial" w:hAnsi="Arial" w:cs="Arial"/>
          <w:sz w:val="18"/>
          <w:lang w:val="da-DK"/>
        </w:rPr>
        <w:t xml:space="preserve"> Fuller et al. 2017, pg.</w:t>
      </w:r>
      <w:r w:rsidRPr="0065142C">
        <w:rPr>
          <w:rFonts w:ascii="Arial" w:hAnsi="Arial" w:cs="Arial"/>
          <w:sz w:val="18"/>
          <w:lang w:val="da-DK"/>
        </w:rPr>
        <w:tab/>
        <w:t xml:space="preserve">4 </w:t>
      </w:r>
      <w:hyperlink r:id="rId9" w:history="1">
        <w:r w:rsidRPr="0065142C">
          <w:rPr>
            <w:rStyle w:val="Hyperlink"/>
            <w:rFonts w:ascii="Arial" w:hAnsi="Arial" w:cs="Arial"/>
            <w:sz w:val="18"/>
            <w:lang w:val="da-DK"/>
          </w:rPr>
          <w:t>https://uk-air.defra.gov.uk/assets/documents/reports/cat05/1801301017_KCL_WoodBurningReport_2017_FINAL.pdf</w:t>
        </w:r>
      </w:hyperlink>
      <w:r w:rsidRPr="0065142C">
        <w:rPr>
          <w:rFonts w:ascii="Arial" w:hAnsi="Arial" w:cs="Arial"/>
          <w:lang w:val="da-D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9CE1" w14:textId="77777777" w:rsidR="00CD6AB1" w:rsidRDefault="00CD6AB1" w:rsidP="005E2924">
    <w:pPr>
      <w:pStyle w:val="Header"/>
      <w:jc w:val="right"/>
    </w:pPr>
    <w:r>
      <w:rPr>
        <w:noProof/>
      </w:rPr>
      <w:drawing>
        <wp:anchor distT="0" distB="0" distL="114300" distR="114300" simplePos="0" relativeHeight="251658240" behindDoc="0" locked="0" layoutInCell="1" allowOverlap="1" wp14:anchorId="4F0A6A0E" wp14:editId="5D9381F6">
          <wp:simplePos x="0" y="0"/>
          <wp:positionH relativeFrom="margin">
            <wp:align>left</wp:align>
          </wp:positionH>
          <wp:positionV relativeFrom="paragraph">
            <wp:posOffset>-244524</wp:posOffset>
          </wp:positionV>
          <wp:extent cx="1158875" cy="704850"/>
          <wp:effectExtent l="0" t="0" r="3175" b="0"/>
          <wp:wrapSquare wrapText="bothSides"/>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 Heat logo - FINAL small.jpg"/>
                  <pic:cNvPicPr/>
                </pic:nvPicPr>
                <pic:blipFill>
                  <a:blip r:embed="rId1">
                    <a:extLst>
                      <a:ext uri="{28A0092B-C50C-407E-A947-70E740481C1C}">
                        <a14:useLocalDpi xmlns:a14="http://schemas.microsoft.com/office/drawing/2010/main" val="0"/>
                      </a:ext>
                    </a:extLst>
                  </a:blip>
                  <a:srcRect b="14020"/>
                  <a:stretch>
                    <a:fillRect/>
                  </a:stretch>
                </pic:blipFill>
                <pic:spPr bwMode="auto">
                  <a:xfrm>
                    <a:off x="0" y="0"/>
                    <a:ext cx="1159710" cy="7049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EEDA343" wp14:editId="7D9D4CEE">
          <wp:simplePos x="0" y="0"/>
          <wp:positionH relativeFrom="margin">
            <wp:align>right</wp:align>
          </wp:positionH>
          <wp:positionV relativeFrom="paragraph">
            <wp:posOffset>-151032</wp:posOffset>
          </wp:positionV>
          <wp:extent cx="1242060" cy="64643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2">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EB39" w14:textId="343BCA12" w:rsidR="00CD6AB1" w:rsidRPr="00EA423D" w:rsidRDefault="00CD6AB1">
    <w:pPr>
      <w:pStyle w:val="Header"/>
      <w:rPr>
        <w:i/>
        <w:iCs/>
      </w:rPr>
    </w:pPr>
    <w:r w:rsidRPr="00EA423D">
      <w:rPr>
        <w:i/>
        <w:iCs/>
        <w:noProof/>
        <w:highlight w:val="yellow"/>
      </w:rPr>
      <w:drawing>
        <wp:anchor distT="0" distB="0" distL="114300" distR="114300" simplePos="0" relativeHeight="251661312" behindDoc="0" locked="0" layoutInCell="1" allowOverlap="1" wp14:anchorId="169D2F97" wp14:editId="27376157">
          <wp:simplePos x="0" y="0"/>
          <wp:positionH relativeFrom="margin">
            <wp:posOffset>4489450</wp:posOffset>
          </wp:positionH>
          <wp:positionV relativeFrom="paragraph">
            <wp:posOffset>-18415</wp:posOffset>
          </wp:positionV>
          <wp:extent cx="1242060" cy="646430"/>
          <wp:effectExtent l="0" t="0" r="0" b="0"/>
          <wp:wrapSquare wrapText="bothSides"/>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89499"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r w:rsidRPr="00EA423D">
      <w:rPr>
        <w:i/>
        <w:iCs/>
        <w:noProof/>
        <w:highlight w:val="yellow"/>
      </w:rPr>
      <w:drawing>
        <wp:anchor distT="0" distB="0" distL="114300" distR="114300" simplePos="0" relativeHeight="251660288" behindDoc="0" locked="0" layoutInCell="1" allowOverlap="1" wp14:anchorId="129E03E6" wp14:editId="5308585C">
          <wp:simplePos x="0" y="0"/>
          <wp:positionH relativeFrom="margin">
            <wp:posOffset>0</wp:posOffset>
          </wp:positionH>
          <wp:positionV relativeFrom="paragraph">
            <wp:posOffset>-112395</wp:posOffset>
          </wp:positionV>
          <wp:extent cx="1158875" cy="704850"/>
          <wp:effectExtent l="0" t="0" r="3175" b="0"/>
          <wp:wrapSquare wrapText="bothSides"/>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67767" name="Wood Heat logo - FINAL small.jpg"/>
                  <pic:cNvPicPr/>
                </pic:nvPicPr>
                <pic:blipFill>
                  <a:blip r:embed="rId2">
                    <a:extLst>
                      <a:ext uri="{28A0092B-C50C-407E-A947-70E740481C1C}">
                        <a14:useLocalDpi xmlns:a14="http://schemas.microsoft.com/office/drawing/2010/main" val="0"/>
                      </a:ext>
                    </a:extLst>
                  </a:blip>
                  <a:srcRect b="14020"/>
                  <a:stretch>
                    <a:fillRect/>
                  </a:stretch>
                </pic:blipFill>
                <pic:spPr bwMode="auto">
                  <a:xfrm>
                    <a:off x="0" y="0"/>
                    <a:ext cx="1158875"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423D" w:rsidRPr="00EA423D">
      <w:rPr>
        <w:i/>
        <w:iCs/>
        <w:highlight w:val="yellow"/>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A2C1B"/>
    <w:multiLevelType w:val="hybridMultilevel"/>
    <w:tmpl w:val="92BA7B88"/>
    <w:lvl w:ilvl="0" w:tplc="91AE414C">
      <w:start w:val="1"/>
      <w:numFmt w:val="decimal"/>
      <w:lvlText w:val="%1)"/>
      <w:lvlJc w:val="left"/>
      <w:pPr>
        <w:ind w:left="720" w:hanging="360"/>
      </w:pPr>
      <w:rPr>
        <w:rFonts w:hint="default"/>
      </w:rPr>
    </w:lvl>
    <w:lvl w:ilvl="1" w:tplc="653AC54E" w:tentative="1">
      <w:start w:val="1"/>
      <w:numFmt w:val="lowerLetter"/>
      <w:lvlText w:val="%2."/>
      <w:lvlJc w:val="left"/>
      <w:pPr>
        <w:ind w:left="1440" w:hanging="360"/>
      </w:pPr>
    </w:lvl>
    <w:lvl w:ilvl="2" w:tplc="D8F835B2" w:tentative="1">
      <w:start w:val="1"/>
      <w:numFmt w:val="lowerRoman"/>
      <w:lvlText w:val="%3."/>
      <w:lvlJc w:val="right"/>
      <w:pPr>
        <w:ind w:left="2160" w:hanging="180"/>
      </w:pPr>
    </w:lvl>
    <w:lvl w:ilvl="3" w:tplc="7E96E862" w:tentative="1">
      <w:start w:val="1"/>
      <w:numFmt w:val="decimal"/>
      <w:lvlText w:val="%4."/>
      <w:lvlJc w:val="left"/>
      <w:pPr>
        <w:ind w:left="2880" w:hanging="360"/>
      </w:pPr>
    </w:lvl>
    <w:lvl w:ilvl="4" w:tplc="BC326C7A" w:tentative="1">
      <w:start w:val="1"/>
      <w:numFmt w:val="lowerLetter"/>
      <w:lvlText w:val="%5."/>
      <w:lvlJc w:val="left"/>
      <w:pPr>
        <w:ind w:left="3600" w:hanging="360"/>
      </w:pPr>
    </w:lvl>
    <w:lvl w:ilvl="5" w:tplc="072802CC" w:tentative="1">
      <w:start w:val="1"/>
      <w:numFmt w:val="lowerRoman"/>
      <w:lvlText w:val="%6."/>
      <w:lvlJc w:val="right"/>
      <w:pPr>
        <w:ind w:left="4320" w:hanging="180"/>
      </w:pPr>
    </w:lvl>
    <w:lvl w:ilvl="6" w:tplc="BBD0BEC4" w:tentative="1">
      <w:start w:val="1"/>
      <w:numFmt w:val="decimal"/>
      <w:lvlText w:val="%7."/>
      <w:lvlJc w:val="left"/>
      <w:pPr>
        <w:ind w:left="5040" w:hanging="360"/>
      </w:pPr>
    </w:lvl>
    <w:lvl w:ilvl="7" w:tplc="0E30C060" w:tentative="1">
      <w:start w:val="1"/>
      <w:numFmt w:val="lowerLetter"/>
      <w:lvlText w:val="%8."/>
      <w:lvlJc w:val="left"/>
      <w:pPr>
        <w:ind w:left="5760" w:hanging="360"/>
      </w:pPr>
    </w:lvl>
    <w:lvl w:ilvl="8" w:tplc="AD38CFB6" w:tentative="1">
      <w:start w:val="1"/>
      <w:numFmt w:val="lowerRoman"/>
      <w:lvlText w:val="%9."/>
      <w:lvlJc w:val="right"/>
      <w:pPr>
        <w:ind w:left="6480" w:hanging="180"/>
      </w:pPr>
    </w:lvl>
  </w:abstractNum>
  <w:abstractNum w:abstractNumId="1" w15:restartNumberingAfterBreak="0">
    <w:nsid w:val="06FA4531"/>
    <w:multiLevelType w:val="hybridMultilevel"/>
    <w:tmpl w:val="E2986B3C"/>
    <w:lvl w:ilvl="0" w:tplc="FE2ED188">
      <w:start w:val="1"/>
      <w:numFmt w:val="decimal"/>
      <w:lvlText w:val="%1."/>
      <w:lvlJc w:val="left"/>
      <w:pPr>
        <w:ind w:left="720" w:hanging="360"/>
      </w:pPr>
      <w:rPr>
        <w:rFonts w:hint="default"/>
      </w:rPr>
    </w:lvl>
    <w:lvl w:ilvl="1" w:tplc="FDF0A3EE" w:tentative="1">
      <w:start w:val="1"/>
      <w:numFmt w:val="lowerLetter"/>
      <w:lvlText w:val="%2."/>
      <w:lvlJc w:val="left"/>
      <w:pPr>
        <w:ind w:left="1440" w:hanging="360"/>
      </w:pPr>
    </w:lvl>
    <w:lvl w:ilvl="2" w:tplc="5380DF9A" w:tentative="1">
      <w:start w:val="1"/>
      <w:numFmt w:val="lowerRoman"/>
      <w:lvlText w:val="%3."/>
      <w:lvlJc w:val="right"/>
      <w:pPr>
        <w:ind w:left="2160" w:hanging="180"/>
      </w:pPr>
    </w:lvl>
    <w:lvl w:ilvl="3" w:tplc="911A0652" w:tentative="1">
      <w:start w:val="1"/>
      <w:numFmt w:val="decimal"/>
      <w:lvlText w:val="%4."/>
      <w:lvlJc w:val="left"/>
      <w:pPr>
        <w:ind w:left="2880" w:hanging="360"/>
      </w:pPr>
    </w:lvl>
    <w:lvl w:ilvl="4" w:tplc="ED6E16E6" w:tentative="1">
      <w:start w:val="1"/>
      <w:numFmt w:val="lowerLetter"/>
      <w:lvlText w:val="%5."/>
      <w:lvlJc w:val="left"/>
      <w:pPr>
        <w:ind w:left="3600" w:hanging="360"/>
      </w:pPr>
    </w:lvl>
    <w:lvl w:ilvl="5" w:tplc="BFC0ACA6" w:tentative="1">
      <w:start w:val="1"/>
      <w:numFmt w:val="lowerRoman"/>
      <w:lvlText w:val="%6."/>
      <w:lvlJc w:val="right"/>
      <w:pPr>
        <w:ind w:left="4320" w:hanging="180"/>
      </w:pPr>
    </w:lvl>
    <w:lvl w:ilvl="6" w:tplc="D3D2CCAC" w:tentative="1">
      <w:start w:val="1"/>
      <w:numFmt w:val="decimal"/>
      <w:lvlText w:val="%7."/>
      <w:lvlJc w:val="left"/>
      <w:pPr>
        <w:ind w:left="5040" w:hanging="360"/>
      </w:pPr>
    </w:lvl>
    <w:lvl w:ilvl="7" w:tplc="72662076" w:tentative="1">
      <w:start w:val="1"/>
      <w:numFmt w:val="lowerLetter"/>
      <w:lvlText w:val="%8."/>
      <w:lvlJc w:val="left"/>
      <w:pPr>
        <w:ind w:left="5760" w:hanging="360"/>
      </w:pPr>
    </w:lvl>
    <w:lvl w:ilvl="8" w:tplc="D78CD6C2" w:tentative="1">
      <w:start w:val="1"/>
      <w:numFmt w:val="lowerRoman"/>
      <w:lvlText w:val="%9."/>
      <w:lvlJc w:val="right"/>
      <w:pPr>
        <w:ind w:left="6480" w:hanging="180"/>
      </w:pPr>
    </w:lvl>
  </w:abstractNum>
  <w:abstractNum w:abstractNumId="2" w15:restartNumberingAfterBreak="0">
    <w:nsid w:val="0C5A17E6"/>
    <w:multiLevelType w:val="hybridMultilevel"/>
    <w:tmpl w:val="16A4D632"/>
    <w:lvl w:ilvl="0" w:tplc="6A385C40">
      <w:start w:val="1"/>
      <w:numFmt w:val="bullet"/>
      <w:lvlText w:val=""/>
      <w:lvlJc w:val="left"/>
      <w:pPr>
        <w:ind w:left="780" w:hanging="360"/>
      </w:pPr>
      <w:rPr>
        <w:rFonts w:ascii="Symbol" w:hAnsi="Symbol" w:hint="default"/>
      </w:rPr>
    </w:lvl>
    <w:lvl w:ilvl="1" w:tplc="8280EC5A" w:tentative="1">
      <w:start w:val="1"/>
      <w:numFmt w:val="bullet"/>
      <w:lvlText w:val="o"/>
      <w:lvlJc w:val="left"/>
      <w:pPr>
        <w:ind w:left="1500" w:hanging="360"/>
      </w:pPr>
      <w:rPr>
        <w:rFonts w:ascii="Courier New" w:hAnsi="Courier New" w:cs="Courier New" w:hint="default"/>
      </w:rPr>
    </w:lvl>
    <w:lvl w:ilvl="2" w:tplc="CE46F1D4" w:tentative="1">
      <w:start w:val="1"/>
      <w:numFmt w:val="bullet"/>
      <w:lvlText w:val=""/>
      <w:lvlJc w:val="left"/>
      <w:pPr>
        <w:ind w:left="2220" w:hanging="360"/>
      </w:pPr>
      <w:rPr>
        <w:rFonts w:ascii="Wingdings" w:hAnsi="Wingdings" w:hint="default"/>
      </w:rPr>
    </w:lvl>
    <w:lvl w:ilvl="3" w:tplc="FB72EC20" w:tentative="1">
      <w:start w:val="1"/>
      <w:numFmt w:val="bullet"/>
      <w:lvlText w:val=""/>
      <w:lvlJc w:val="left"/>
      <w:pPr>
        <w:ind w:left="2940" w:hanging="360"/>
      </w:pPr>
      <w:rPr>
        <w:rFonts w:ascii="Symbol" w:hAnsi="Symbol" w:hint="default"/>
      </w:rPr>
    </w:lvl>
    <w:lvl w:ilvl="4" w:tplc="0D803BE2" w:tentative="1">
      <w:start w:val="1"/>
      <w:numFmt w:val="bullet"/>
      <w:lvlText w:val="o"/>
      <w:lvlJc w:val="left"/>
      <w:pPr>
        <w:ind w:left="3660" w:hanging="360"/>
      </w:pPr>
      <w:rPr>
        <w:rFonts w:ascii="Courier New" w:hAnsi="Courier New" w:cs="Courier New" w:hint="default"/>
      </w:rPr>
    </w:lvl>
    <w:lvl w:ilvl="5" w:tplc="99BC4F7A" w:tentative="1">
      <w:start w:val="1"/>
      <w:numFmt w:val="bullet"/>
      <w:lvlText w:val=""/>
      <w:lvlJc w:val="left"/>
      <w:pPr>
        <w:ind w:left="4380" w:hanging="360"/>
      </w:pPr>
      <w:rPr>
        <w:rFonts w:ascii="Wingdings" w:hAnsi="Wingdings" w:hint="default"/>
      </w:rPr>
    </w:lvl>
    <w:lvl w:ilvl="6" w:tplc="56B49F94" w:tentative="1">
      <w:start w:val="1"/>
      <w:numFmt w:val="bullet"/>
      <w:lvlText w:val=""/>
      <w:lvlJc w:val="left"/>
      <w:pPr>
        <w:ind w:left="5100" w:hanging="360"/>
      </w:pPr>
      <w:rPr>
        <w:rFonts w:ascii="Symbol" w:hAnsi="Symbol" w:hint="default"/>
      </w:rPr>
    </w:lvl>
    <w:lvl w:ilvl="7" w:tplc="93246788" w:tentative="1">
      <w:start w:val="1"/>
      <w:numFmt w:val="bullet"/>
      <w:lvlText w:val="o"/>
      <w:lvlJc w:val="left"/>
      <w:pPr>
        <w:ind w:left="5820" w:hanging="360"/>
      </w:pPr>
      <w:rPr>
        <w:rFonts w:ascii="Courier New" w:hAnsi="Courier New" w:cs="Courier New" w:hint="default"/>
      </w:rPr>
    </w:lvl>
    <w:lvl w:ilvl="8" w:tplc="46B05020" w:tentative="1">
      <w:start w:val="1"/>
      <w:numFmt w:val="bullet"/>
      <w:lvlText w:val=""/>
      <w:lvlJc w:val="left"/>
      <w:pPr>
        <w:ind w:left="6540" w:hanging="360"/>
      </w:pPr>
      <w:rPr>
        <w:rFonts w:ascii="Wingdings" w:hAnsi="Wingdings" w:hint="default"/>
      </w:rPr>
    </w:lvl>
  </w:abstractNum>
  <w:abstractNum w:abstractNumId="3" w15:restartNumberingAfterBreak="0">
    <w:nsid w:val="1C522548"/>
    <w:multiLevelType w:val="hybridMultilevel"/>
    <w:tmpl w:val="E2986B3C"/>
    <w:lvl w:ilvl="0" w:tplc="20BAC53C">
      <w:start w:val="1"/>
      <w:numFmt w:val="decimal"/>
      <w:lvlText w:val="%1."/>
      <w:lvlJc w:val="left"/>
      <w:pPr>
        <w:ind w:left="720" w:hanging="360"/>
      </w:pPr>
      <w:rPr>
        <w:rFonts w:hint="default"/>
      </w:rPr>
    </w:lvl>
    <w:lvl w:ilvl="1" w:tplc="1E10C8D2" w:tentative="1">
      <w:start w:val="1"/>
      <w:numFmt w:val="lowerLetter"/>
      <w:lvlText w:val="%2."/>
      <w:lvlJc w:val="left"/>
      <w:pPr>
        <w:ind w:left="1440" w:hanging="360"/>
      </w:pPr>
    </w:lvl>
    <w:lvl w:ilvl="2" w:tplc="BE94D428" w:tentative="1">
      <w:start w:val="1"/>
      <w:numFmt w:val="lowerRoman"/>
      <w:lvlText w:val="%3."/>
      <w:lvlJc w:val="right"/>
      <w:pPr>
        <w:ind w:left="2160" w:hanging="180"/>
      </w:pPr>
    </w:lvl>
    <w:lvl w:ilvl="3" w:tplc="96781628" w:tentative="1">
      <w:start w:val="1"/>
      <w:numFmt w:val="decimal"/>
      <w:lvlText w:val="%4."/>
      <w:lvlJc w:val="left"/>
      <w:pPr>
        <w:ind w:left="2880" w:hanging="360"/>
      </w:pPr>
    </w:lvl>
    <w:lvl w:ilvl="4" w:tplc="7F962FE4" w:tentative="1">
      <w:start w:val="1"/>
      <w:numFmt w:val="lowerLetter"/>
      <w:lvlText w:val="%5."/>
      <w:lvlJc w:val="left"/>
      <w:pPr>
        <w:ind w:left="3600" w:hanging="360"/>
      </w:pPr>
    </w:lvl>
    <w:lvl w:ilvl="5" w:tplc="B5BA0E38" w:tentative="1">
      <w:start w:val="1"/>
      <w:numFmt w:val="lowerRoman"/>
      <w:lvlText w:val="%6."/>
      <w:lvlJc w:val="right"/>
      <w:pPr>
        <w:ind w:left="4320" w:hanging="180"/>
      </w:pPr>
    </w:lvl>
    <w:lvl w:ilvl="6" w:tplc="BC64B94C" w:tentative="1">
      <w:start w:val="1"/>
      <w:numFmt w:val="decimal"/>
      <w:lvlText w:val="%7."/>
      <w:lvlJc w:val="left"/>
      <w:pPr>
        <w:ind w:left="5040" w:hanging="360"/>
      </w:pPr>
    </w:lvl>
    <w:lvl w:ilvl="7" w:tplc="2462118E" w:tentative="1">
      <w:start w:val="1"/>
      <w:numFmt w:val="lowerLetter"/>
      <w:lvlText w:val="%8."/>
      <w:lvlJc w:val="left"/>
      <w:pPr>
        <w:ind w:left="5760" w:hanging="360"/>
      </w:pPr>
    </w:lvl>
    <w:lvl w:ilvl="8" w:tplc="CC2E8EB4" w:tentative="1">
      <w:start w:val="1"/>
      <w:numFmt w:val="lowerRoman"/>
      <w:lvlText w:val="%9."/>
      <w:lvlJc w:val="right"/>
      <w:pPr>
        <w:ind w:left="6480" w:hanging="180"/>
      </w:pPr>
    </w:lvl>
  </w:abstractNum>
  <w:abstractNum w:abstractNumId="4" w15:restartNumberingAfterBreak="0">
    <w:nsid w:val="1D0211F4"/>
    <w:multiLevelType w:val="hybridMultilevel"/>
    <w:tmpl w:val="EA0E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24F0A"/>
    <w:multiLevelType w:val="hybridMultilevel"/>
    <w:tmpl w:val="E2986B3C"/>
    <w:lvl w:ilvl="0" w:tplc="E93AFEC2">
      <w:start w:val="1"/>
      <w:numFmt w:val="decimal"/>
      <w:lvlText w:val="%1."/>
      <w:lvlJc w:val="left"/>
      <w:pPr>
        <w:ind w:left="720" w:hanging="360"/>
      </w:pPr>
      <w:rPr>
        <w:rFonts w:hint="default"/>
      </w:rPr>
    </w:lvl>
    <w:lvl w:ilvl="1" w:tplc="DD50CC32" w:tentative="1">
      <w:start w:val="1"/>
      <w:numFmt w:val="lowerLetter"/>
      <w:lvlText w:val="%2."/>
      <w:lvlJc w:val="left"/>
      <w:pPr>
        <w:ind w:left="1440" w:hanging="360"/>
      </w:pPr>
    </w:lvl>
    <w:lvl w:ilvl="2" w:tplc="552257F8" w:tentative="1">
      <w:start w:val="1"/>
      <w:numFmt w:val="lowerRoman"/>
      <w:lvlText w:val="%3."/>
      <w:lvlJc w:val="right"/>
      <w:pPr>
        <w:ind w:left="2160" w:hanging="180"/>
      </w:pPr>
    </w:lvl>
    <w:lvl w:ilvl="3" w:tplc="572EE832" w:tentative="1">
      <w:start w:val="1"/>
      <w:numFmt w:val="decimal"/>
      <w:lvlText w:val="%4."/>
      <w:lvlJc w:val="left"/>
      <w:pPr>
        <w:ind w:left="2880" w:hanging="360"/>
      </w:pPr>
    </w:lvl>
    <w:lvl w:ilvl="4" w:tplc="8AFECEA8" w:tentative="1">
      <w:start w:val="1"/>
      <w:numFmt w:val="lowerLetter"/>
      <w:lvlText w:val="%5."/>
      <w:lvlJc w:val="left"/>
      <w:pPr>
        <w:ind w:left="3600" w:hanging="360"/>
      </w:pPr>
    </w:lvl>
    <w:lvl w:ilvl="5" w:tplc="8DCEBF46" w:tentative="1">
      <w:start w:val="1"/>
      <w:numFmt w:val="lowerRoman"/>
      <w:lvlText w:val="%6."/>
      <w:lvlJc w:val="right"/>
      <w:pPr>
        <w:ind w:left="4320" w:hanging="180"/>
      </w:pPr>
    </w:lvl>
    <w:lvl w:ilvl="6" w:tplc="57D2668C" w:tentative="1">
      <w:start w:val="1"/>
      <w:numFmt w:val="decimal"/>
      <w:lvlText w:val="%7."/>
      <w:lvlJc w:val="left"/>
      <w:pPr>
        <w:ind w:left="5040" w:hanging="360"/>
      </w:pPr>
    </w:lvl>
    <w:lvl w:ilvl="7" w:tplc="73D2C2CE" w:tentative="1">
      <w:start w:val="1"/>
      <w:numFmt w:val="lowerLetter"/>
      <w:lvlText w:val="%8."/>
      <w:lvlJc w:val="left"/>
      <w:pPr>
        <w:ind w:left="5760" w:hanging="360"/>
      </w:pPr>
    </w:lvl>
    <w:lvl w:ilvl="8" w:tplc="FB4298BE" w:tentative="1">
      <w:start w:val="1"/>
      <w:numFmt w:val="lowerRoman"/>
      <w:lvlText w:val="%9."/>
      <w:lvlJc w:val="right"/>
      <w:pPr>
        <w:ind w:left="6480" w:hanging="180"/>
      </w:pPr>
    </w:lvl>
  </w:abstractNum>
  <w:abstractNum w:abstractNumId="6" w15:restartNumberingAfterBreak="0">
    <w:nsid w:val="409E29B6"/>
    <w:multiLevelType w:val="hybridMultilevel"/>
    <w:tmpl w:val="F3E2E3C0"/>
    <w:lvl w:ilvl="0" w:tplc="FABA5878">
      <w:start w:val="1"/>
      <w:numFmt w:val="decimal"/>
      <w:lvlText w:val="%1)"/>
      <w:lvlJc w:val="left"/>
      <w:pPr>
        <w:ind w:left="720" w:hanging="360"/>
      </w:pPr>
      <w:rPr>
        <w:rFonts w:hint="default"/>
      </w:rPr>
    </w:lvl>
    <w:lvl w:ilvl="1" w:tplc="4A7A79BC" w:tentative="1">
      <w:start w:val="1"/>
      <w:numFmt w:val="lowerLetter"/>
      <w:lvlText w:val="%2."/>
      <w:lvlJc w:val="left"/>
      <w:pPr>
        <w:ind w:left="1440" w:hanging="360"/>
      </w:pPr>
    </w:lvl>
    <w:lvl w:ilvl="2" w:tplc="B8983B16" w:tentative="1">
      <w:start w:val="1"/>
      <w:numFmt w:val="lowerRoman"/>
      <w:lvlText w:val="%3."/>
      <w:lvlJc w:val="right"/>
      <w:pPr>
        <w:ind w:left="2160" w:hanging="180"/>
      </w:pPr>
    </w:lvl>
    <w:lvl w:ilvl="3" w:tplc="14D481C6" w:tentative="1">
      <w:start w:val="1"/>
      <w:numFmt w:val="decimal"/>
      <w:lvlText w:val="%4."/>
      <w:lvlJc w:val="left"/>
      <w:pPr>
        <w:ind w:left="2880" w:hanging="360"/>
      </w:pPr>
    </w:lvl>
    <w:lvl w:ilvl="4" w:tplc="2B42E7F6" w:tentative="1">
      <w:start w:val="1"/>
      <w:numFmt w:val="lowerLetter"/>
      <w:lvlText w:val="%5."/>
      <w:lvlJc w:val="left"/>
      <w:pPr>
        <w:ind w:left="3600" w:hanging="360"/>
      </w:pPr>
    </w:lvl>
    <w:lvl w:ilvl="5" w:tplc="527A671E" w:tentative="1">
      <w:start w:val="1"/>
      <w:numFmt w:val="lowerRoman"/>
      <w:lvlText w:val="%6."/>
      <w:lvlJc w:val="right"/>
      <w:pPr>
        <w:ind w:left="4320" w:hanging="180"/>
      </w:pPr>
    </w:lvl>
    <w:lvl w:ilvl="6" w:tplc="5CFCA36E" w:tentative="1">
      <w:start w:val="1"/>
      <w:numFmt w:val="decimal"/>
      <w:lvlText w:val="%7."/>
      <w:lvlJc w:val="left"/>
      <w:pPr>
        <w:ind w:left="5040" w:hanging="360"/>
      </w:pPr>
    </w:lvl>
    <w:lvl w:ilvl="7" w:tplc="20F4AE6E" w:tentative="1">
      <w:start w:val="1"/>
      <w:numFmt w:val="lowerLetter"/>
      <w:lvlText w:val="%8."/>
      <w:lvlJc w:val="left"/>
      <w:pPr>
        <w:ind w:left="5760" w:hanging="360"/>
      </w:pPr>
    </w:lvl>
    <w:lvl w:ilvl="8" w:tplc="632AA732" w:tentative="1">
      <w:start w:val="1"/>
      <w:numFmt w:val="lowerRoman"/>
      <w:lvlText w:val="%9."/>
      <w:lvlJc w:val="right"/>
      <w:pPr>
        <w:ind w:left="6480" w:hanging="180"/>
      </w:pPr>
    </w:lvl>
  </w:abstractNum>
  <w:abstractNum w:abstractNumId="7" w15:restartNumberingAfterBreak="0">
    <w:nsid w:val="51C404FB"/>
    <w:multiLevelType w:val="hybridMultilevel"/>
    <w:tmpl w:val="EBB4EC4C"/>
    <w:lvl w:ilvl="0" w:tplc="EE804964">
      <w:start w:val="4000"/>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E0"/>
    <w:rsid w:val="00032E11"/>
    <w:rsid w:val="00052441"/>
    <w:rsid w:val="00070B71"/>
    <w:rsid w:val="000758E0"/>
    <w:rsid w:val="00076C82"/>
    <w:rsid w:val="000A4536"/>
    <w:rsid w:val="000A5A68"/>
    <w:rsid w:val="000C1F50"/>
    <w:rsid w:val="000C7AAA"/>
    <w:rsid w:val="000D49A6"/>
    <w:rsid w:val="000F74F4"/>
    <w:rsid w:val="00116A26"/>
    <w:rsid w:val="001345CF"/>
    <w:rsid w:val="0013697E"/>
    <w:rsid w:val="0016569E"/>
    <w:rsid w:val="001972D5"/>
    <w:rsid w:val="001A1217"/>
    <w:rsid w:val="001A718E"/>
    <w:rsid w:val="001E0B1F"/>
    <w:rsid w:val="001E4324"/>
    <w:rsid w:val="001E481A"/>
    <w:rsid w:val="001F36DC"/>
    <w:rsid w:val="00202DBD"/>
    <w:rsid w:val="002035C1"/>
    <w:rsid w:val="002120D5"/>
    <w:rsid w:val="00214DDA"/>
    <w:rsid w:val="002206C8"/>
    <w:rsid w:val="00220E1F"/>
    <w:rsid w:val="00232B09"/>
    <w:rsid w:val="00236E7A"/>
    <w:rsid w:val="0024189A"/>
    <w:rsid w:val="00263A2E"/>
    <w:rsid w:val="00270123"/>
    <w:rsid w:val="00273E54"/>
    <w:rsid w:val="00273FDE"/>
    <w:rsid w:val="00283149"/>
    <w:rsid w:val="002952CB"/>
    <w:rsid w:val="002C2621"/>
    <w:rsid w:val="00326421"/>
    <w:rsid w:val="003277D7"/>
    <w:rsid w:val="00327C23"/>
    <w:rsid w:val="003326CA"/>
    <w:rsid w:val="0033331E"/>
    <w:rsid w:val="00335B9D"/>
    <w:rsid w:val="00347020"/>
    <w:rsid w:val="00362145"/>
    <w:rsid w:val="003624BC"/>
    <w:rsid w:val="0038173B"/>
    <w:rsid w:val="00381F18"/>
    <w:rsid w:val="003C05B2"/>
    <w:rsid w:val="003C646A"/>
    <w:rsid w:val="003C7304"/>
    <w:rsid w:val="003E4E95"/>
    <w:rsid w:val="00402538"/>
    <w:rsid w:val="004025F6"/>
    <w:rsid w:val="00421034"/>
    <w:rsid w:val="00423F04"/>
    <w:rsid w:val="004264DE"/>
    <w:rsid w:val="00441F4F"/>
    <w:rsid w:val="00446596"/>
    <w:rsid w:val="00451DF7"/>
    <w:rsid w:val="00463340"/>
    <w:rsid w:val="00473FC9"/>
    <w:rsid w:val="00474CAB"/>
    <w:rsid w:val="00481BE2"/>
    <w:rsid w:val="004836E0"/>
    <w:rsid w:val="004D3668"/>
    <w:rsid w:val="004E5F41"/>
    <w:rsid w:val="004F2880"/>
    <w:rsid w:val="004F753B"/>
    <w:rsid w:val="00535E89"/>
    <w:rsid w:val="005443AB"/>
    <w:rsid w:val="00556297"/>
    <w:rsid w:val="00565068"/>
    <w:rsid w:val="005715F6"/>
    <w:rsid w:val="00577DA4"/>
    <w:rsid w:val="00586513"/>
    <w:rsid w:val="00587C19"/>
    <w:rsid w:val="005974A0"/>
    <w:rsid w:val="005C25C8"/>
    <w:rsid w:val="005C4FD8"/>
    <w:rsid w:val="005C7DA8"/>
    <w:rsid w:val="005D7314"/>
    <w:rsid w:val="005E14B3"/>
    <w:rsid w:val="005E2924"/>
    <w:rsid w:val="0060021A"/>
    <w:rsid w:val="00603B3E"/>
    <w:rsid w:val="00620CFE"/>
    <w:rsid w:val="00633BBE"/>
    <w:rsid w:val="006550DA"/>
    <w:rsid w:val="006A05F8"/>
    <w:rsid w:val="006A73D5"/>
    <w:rsid w:val="006B299D"/>
    <w:rsid w:val="006B78FB"/>
    <w:rsid w:val="006D7FD2"/>
    <w:rsid w:val="006E016F"/>
    <w:rsid w:val="006E1CD9"/>
    <w:rsid w:val="006E374B"/>
    <w:rsid w:val="007144F5"/>
    <w:rsid w:val="00734CD2"/>
    <w:rsid w:val="007459B8"/>
    <w:rsid w:val="007547EF"/>
    <w:rsid w:val="00772512"/>
    <w:rsid w:val="00795275"/>
    <w:rsid w:val="007B0996"/>
    <w:rsid w:val="007B267A"/>
    <w:rsid w:val="007D6443"/>
    <w:rsid w:val="007E665F"/>
    <w:rsid w:val="008425D9"/>
    <w:rsid w:val="0085082B"/>
    <w:rsid w:val="00853DE5"/>
    <w:rsid w:val="00855CFB"/>
    <w:rsid w:val="00881937"/>
    <w:rsid w:val="008933AD"/>
    <w:rsid w:val="008A47AF"/>
    <w:rsid w:val="008B59CF"/>
    <w:rsid w:val="008C0649"/>
    <w:rsid w:val="008D2059"/>
    <w:rsid w:val="008F2B11"/>
    <w:rsid w:val="00913032"/>
    <w:rsid w:val="00921A52"/>
    <w:rsid w:val="00926C15"/>
    <w:rsid w:val="00926D06"/>
    <w:rsid w:val="00927A06"/>
    <w:rsid w:val="009303A7"/>
    <w:rsid w:val="00930ACE"/>
    <w:rsid w:val="0093442B"/>
    <w:rsid w:val="00971EF8"/>
    <w:rsid w:val="009723D3"/>
    <w:rsid w:val="009750BD"/>
    <w:rsid w:val="00981D75"/>
    <w:rsid w:val="00986DD5"/>
    <w:rsid w:val="009B4E0D"/>
    <w:rsid w:val="009B7745"/>
    <w:rsid w:val="009C2B36"/>
    <w:rsid w:val="00A022F0"/>
    <w:rsid w:val="00A23B53"/>
    <w:rsid w:val="00A24095"/>
    <w:rsid w:val="00A305AF"/>
    <w:rsid w:val="00A4375C"/>
    <w:rsid w:val="00A51CAC"/>
    <w:rsid w:val="00A5230C"/>
    <w:rsid w:val="00A56F16"/>
    <w:rsid w:val="00A638F5"/>
    <w:rsid w:val="00AB16B2"/>
    <w:rsid w:val="00AB2DAD"/>
    <w:rsid w:val="00AC2B86"/>
    <w:rsid w:val="00AD3399"/>
    <w:rsid w:val="00AF354E"/>
    <w:rsid w:val="00AF3CAC"/>
    <w:rsid w:val="00B03132"/>
    <w:rsid w:val="00B06706"/>
    <w:rsid w:val="00B15D68"/>
    <w:rsid w:val="00B17DE4"/>
    <w:rsid w:val="00B30129"/>
    <w:rsid w:val="00B315A8"/>
    <w:rsid w:val="00B4496C"/>
    <w:rsid w:val="00B47CAD"/>
    <w:rsid w:val="00B74B1D"/>
    <w:rsid w:val="00B9181D"/>
    <w:rsid w:val="00B96CE1"/>
    <w:rsid w:val="00BB2AB5"/>
    <w:rsid w:val="00BB37F9"/>
    <w:rsid w:val="00BC7EB4"/>
    <w:rsid w:val="00BD0B87"/>
    <w:rsid w:val="00BD45D6"/>
    <w:rsid w:val="00C0314B"/>
    <w:rsid w:val="00C21D10"/>
    <w:rsid w:val="00C405B0"/>
    <w:rsid w:val="00C5482E"/>
    <w:rsid w:val="00C570E5"/>
    <w:rsid w:val="00C61353"/>
    <w:rsid w:val="00C6515F"/>
    <w:rsid w:val="00C67CB8"/>
    <w:rsid w:val="00C86C24"/>
    <w:rsid w:val="00C94939"/>
    <w:rsid w:val="00C9593D"/>
    <w:rsid w:val="00CA0409"/>
    <w:rsid w:val="00CB6E76"/>
    <w:rsid w:val="00CC6CA2"/>
    <w:rsid w:val="00CD42E0"/>
    <w:rsid w:val="00CD4AB6"/>
    <w:rsid w:val="00CD6AB1"/>
    <w:rsid w:val="00CE41ED"/>
    <w:rsid w:val="00CE51FA"/>
    <w:rsid w:val="00CF0546"/>
    <w:rsid w:val="00D00D91"/>
    <w:rsid w:val="00D042A0"/>
    <w:rsid w:val="00D11867"/>
    <w:rsid w:val="00D27988"/>
    <w:rsid w:val="00D3126D"/>
    <w:rsid w:val="00D3350C"/>
    <w:rsid w:val="00D3560B"/>
    <w:rsid w:val="00D424DC"/>
    <w:rsid w:val="00D43EA1"/>
    <w:rsid w:val="00D727B0"/>
    <w:rsid w:val="00D72AB7"/>
    <w:rsid w:val="00D911BB"/>
    <w:rsid w:val="00D95032"/>
    <w:rsid w:val="00D957D5"/>
    <w:rsid w:val="00DA5C07"/>
    <w:rsid w:val="00DC03AF"/>
    <w:rsid w:val="00DC2137"/>
    <w:rsid w:val="00E00A0D"/>
    <w:rsid w:val="00E0171B"/>
    <w:rsid w:val="00E02393"/>
    <w:rsid w:val="00E02919"/>
    <w:rsid w:val="00E05E13"/>
    <w:rsid w:val="00E11739"/>
    <w:rsid w:val="00E158E6"/>
    <w:rsid w:val="00E464EE"/>
    <w:rsid w:val="00E46A42"/>
    <w:rsid w:val="00E46BF3"/>
    <w:rsid w:val="00E521F7"/>
    <w:rsid w:val="00E54BD8"/>
    <w:rsid w:val="00E752B5"/>
    <w:rsid w:val="00E76400"/>
    <w:rsid w:val="00E86DC5"/>
    <w:rsid w:val="00EA2285"/>
    <w:rsid w:val="00EA423D"/>
    <w:rsid w:val="00EB762E"/>
    <w:rsid w:val="00EC1B5D"/>
    <w:rsid w:val="00EF0051"/>
    <w:rsid w:val="00EF64ED"/>
    <w:rsid w:val="00F2770F"/>
    <w:rsid w:val="00F30E27"/>
    <w:rsid w:val="00F36138"/>
    <w:rsid w:val="00F41DA3"/>
    <w:rsid w:val="00F50375"/>
    <w:rsid w:val="00F51390"/>
    <w:rsid w:val="00F54B03"/>
    <w:rsid w:val="00F61F36"/>
    <w:rsid w:val="00F62AAD"/>
    <w:rsid w:val="00F64F26"/>
    <w:rsid w:val="00F92C90"/>
    <w:rsid w:val="00F92FC6"/>
    <w:rsid w:val="00FC530B"/>
    <w:rsid w:val="00FD20CA"/>
    <w:rsid w:val="00FD42D6"/>
    <w:rsid w:val="00FD6C15"/>
    <w:rsid w:val="00FF36CA"/>
    <w:rsid w:val="00FF7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C8E4"/>
  <w15:chartTrackingRefBased/>
  <w15:docId w15:val="{DBCEC4C4-E9EE-4072-B676-A023511D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2E0"/>
    <w:pPr>
      <w:spacing w:after="0" w:line="240" w:lineRule="auto"/>
      <w:jc w:val="both"/>
    </w:pPr>
    <w:rPr>
      <w:rFonts w:ascii="avant garde" w:eastAsia="Times New Roman" w:hAnsi="avant gard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2E0"/>
    <w:pPr>
      <w:ind w:left="720"/>
      <w:contextualSpacing/>
    </w:pPr>
  </w:style>
  <w:style w:type="paragraph" w:styleId="BalloonText">
    <w:name w:val="Balloon Text"/>
    <w:basedOn w:val="Normal"/>
    <w:link w:val="BalloonTextChar"/>
    <w:uiPriority w:val="99"/>
    <w:semiHidden/>
    <w:unhideWhenUsed/>
    <w:rsid w:val="00CF0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46"/>
    <w:rPr>
      <w:rFonts w:ascii="Segoe UI" w:eastAsia="Times New Roman" w:hAnsi="Segoe UI" w:cs="Segoe UI"/>
      <w:sz w:val="18"/>
      <w:szCs w:val="18"/>
    </w:rPr>
  </w:style>
  <w:style w:type="paragraph" w:styleId="FootnoteText">
    <w:name w:val="footnote text"/>
    <w:basedOn w:val="Normal"/>
    <w:link w:val="FootnoteTextChar"/>
    <w:uiPriority w:val="99"/>
    <w:unhideWhenUsed/>
    <w:rsid w:val="00926C15"/>
    <w:rPr>
      <w:sz w:val="20"/>
      <w:szCs w:val="20"/>
    </w:rPr>
  </w:style>
  <w:style w:type="character" w:customStyle="1" w:styleId="FootnoteTextChar">
    <w:name w:val="Footnote Text Char"/>
    <w:basedOn w:val="DefaultParagraphFont"/>
    <w:link w:val="FootnoteText"/>
    <w:uiPriority w:val="99"/>
    <w:rsid w:val="00926C15"/>
    <w:rPr>
      <w:rFonts w:ascii="avant garde" w:eastAsia="Times New Roman" w:hAnsi="avant garde" w:cs="Times New Roman"/>
      <w:sz w:val="20"/>
      <w:szCs w:val="20"/>
    </w:rPr>
  </w:style>
  <w:style w:type="character" w:styleId="FootnoteReference">
    <w:name w:val="footnote reference"/>
    <w:basedOn w:val="DefaultParagraphFont"/>
    <w:uiPriority w:val="99"/>
    <w:unhideWhenUsed/>
    <w:rsid w:val="00926C15"/>
    <w:rPr>
      <w:vertAlign w:val="superscript"/>
    </w:rPr>
  </w:style>
  <w:style w:type="character" w:styleId="Hyperlink">
    <w:name w:val="Hyperlink"/>
    <w:basedOn w:val="DefaultParagraphFont"/>
    <w:unhideWhenUsed/>
    <w:rsid w:val="00926C15"/>
    <w:rPr>
      <w:color w:val="0000FF"/>
      <w:u w:val="single"/>
    </w:rPr>
  </w:style>
  <w:style w:type="paragraph" w:styleId="Header">
    <w:name w:val="header"/>
    <w:basedOn w:val="Normal"/>
    <w:link w:val="HeaderChar"/>
    <w:uiPriority w:val="99"/>
    <w:unhideWhenUsed/>
    <w:rsid w:val="005E2924"/>
    <w:pPr>
      <w:tabs>
        <w:tab w:val="center" w:pos="4513"/>
        <w:tab w:val="right" w:pos="9026"/>
      </w:tabs>
    </w:pPr>
  </w:style>
  <w:style w:type="character" w:customStyle="1" w:styleId="HeaderChar">
    <w:name w:val="Header Char"/>
    <w:basedOn w:val="DefaultParagraphFont"/>
    <w:link w:val="Header"/>
    <w:uiPriority w:val="99"/>
    <w:rsid w:val="005E2924"/>
    <w:rPr>
      <w:rFonts w:ascii="avant garde" w:eastAsia="Times New Roman" w:hAnsi="avant garde" w:cs="Times New Roman"/>
      <w:szCs w:val="24"/>
    </w:rPr>
  </w:style>
  <w:style w:type="paragraph" w:styleId="Footer">
    <w:name w:val="footer"/>
    <w:basedOn w:val="Normal"/>
    <w:link w:val="FooterChar"/>
    <w:uiPriority w:val="99"/>
    <w:unhideWhenUsed/>
    <w:rsid w:val="005E2924"/>
    <w:pPr>
      <w:tabs>
        <w:tab w:val="center" w:pos="4513"/>
        <w:tab w:val="right" w:pos="9026"/>
      </w:tabs>
    </w:pPr>
  </w:style>
  <w:style w:type="character" w:customStyle="1" w:styleId="FooterChar">
    <w:name w:val="Footer Char"/>
    <w:basedOn w:val="DefaultParagraphFont"/>
    <w:link w:val="Footer"/>
    <w:uiPriority w:val="99"/>
    <w:rsid w:val="005E2924"/>
    <w:rPr>
      <w:rFonts w:ascii="avant garde" w:eastAsia="Times New Roman" w:hAnsi="avant garde" w:cs="Times New Roman"/>
      <w:szCs w:val="24"/>
    </w:rPr>
  </w:style>
  <w:style w:type="character" w:customStyle="1" w:styleId="UnresolvedMention1">
    <w:name w:val="Unresolved Mention1"/>
    <w:basedOn w:val="DefaultParagraphFont"/>
    <w:uiPriority w:val="99"/>
    <w:semiHidden/>
    <w:unhideWhenUsed/>
    <w:rsid w:val="005E2924"/>
    <w:rPr>
      <w:color w:val="605E5C"/>
      <w:shd w:val="clear" w:color="auto" w:fill="E1DFDD"/>
    </w:rPr>
  </w:style>
  <w:style w:type="character" w:styleId="FollowedHyperlink">
    <w:name w:val="FollowedHyperlink"/>
    <w:basedOn w:val="DefaultParagraphFont"/>
    <w:uiPriority w:val="99"/>
    <w:semiHidden/>
    <w:unhideWhenUsed/>
    <w:rsid w:val="00463340"/>
    <w:rPr>
      <w:color w:val="954F72" w:themeColor="followedHyperlink"/>
      <w:u w:val="single"/>
    </w:rPr>
  </w:style>
  <w:style w:type="character" w:styleId="UnresolvedMention">
    <w:name w:val="Unresolved Mention"/>
    <w:basedOn w:val="DefaultParagraphFont"/>
    <w:uiPriority w:val="99"/>
    <w:rsid w:val="00273E54"/>
    <w:rPr>
      <w:color w:val="605E5C"/>
      <w:shd w:val="clear" w:color="auto" w:fill="E1DFDD"/>
    </w:rPr>
  </w:style>
  <w:style w:type="paragraph" w:styleId="Revision">
    <w:name w:val="Revision"/>
    <w:hidden/>
    <w:uiPriority w:val="99"/>
    <w:semiHidden/>
    <w:rsid w:val="00A23B53"/>
    <w:pPr>
      <w:spacing w:after="0" w:line="240" w:lineRule="auto"/>
    </w:pPr>
    <w:rPr>
      <w:rFonts w:ascii="avant garde" w:eastAsia="Times New Roman" w:hAnsi="avant garde" w:cs="Times New Roman"/>
      <w:szCs w:val="24"/>
    </w:rPr>
  </w:style>
  <w:style w:type="table" w:styleId="TableGrid">
    <w:name w:val="Table Grid"/>
    <w:basedOn w:val="TableNormal"/>
    <w:uiPriority w:val="39"/>
    <w:rsid w:val="00421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23517">
      <w:bodyDiv w:val="1"/>
      <w:marLeft w:val="0"/>
      <w:marRight w:val="0"/>
      <w:marTop w:val="0"/>
      <w:marBottom w:val="0"/>
      <w:divBdr>
        <w:top w:val="none" w:sz="0" w:space="0" w:color="auto"/>
        <w:left w:val="none" w:sz="0" w:space="0" w:color="auto"/>
        <w:bottom w:val="none" w:sz="0" w:space="0" w:color="auto"/>
        <w:right w:val="none" w:sz="0" w:space="0" w:color="auto"/>
      </w:divBdr>
    </w:div>
    <w:div w:id="563563136">
      <w:bodyDiv w:val="1"/>
      <w:marLeft w:val="0"/>
      <w:marRight w:val="0"/>
      <w:marTop w:val="0"/>
      <w:marBottom w:val="0"/>
      <w:divBdr>
        <w:top w:val="none" w:sz="0" w:space="0" w:color="auto"/>
        <w:left w:val="none" w:sz="0" w:space="0" w:color="auto"/>
        <w:bottom w:val="none" w:sz="0" w:space="0" w:color="auto"/>
        <w:right w:val="none" w:sz="0" w:space="0" w:color="auto"/>
      </w:divBdr>
    </w:div>
    <w:div w:id="693504237">
      <w:bodyDiv w:val="1"/>
      <w:marLeft w:val="0"/>
      <w:marRight w:val="0"/>
      <w:marTop w:val="0"/>
      <w:marBottom w:val="0"/>
      <w:divBdr>
        <w:top w:val="none" w:sz="0" w:space="0" w:color="auto"/>
        <w:left w:val="none" w:sz="0" w:space="0" w:color="auto"/>
        <w:bottom w:val="none" w:sz="0" w:space="0" w:color="auto"/>
        <w:right w:val="none" w:sz="0" w:space="0" w:color="auto"/>
      </w:divBdr>
    </w:div>
    <w:div w:id="749158726">
      <w:bodyDiv w:val="1"/>
      <w:marLeft w:val="0"/>
      <w:marRight w:val="0"/>
      <w:marTop w:val="0"/>
      <w:marBottom w:val="0"/>
      <w:divBdr>
        <w:top w:val="none" w:sz="0" w:space="0" w:color="auto"/>
        <w:left w:val="none" w:sz="0" w:space="0" w:color="auto"/>
        <w:bottom w:val="none" w:sz="0" w:space="0" w:color="auto"/>
        <w:right w:val="none" w:sz="0" w:space="0" w:color="auto"/>
      </w:divBdr>
    </w:div>
    <w:div w:id="947853942">
      <w:bodyDiv w:val="1"/>
      <w:marLeft w:val="0"/>
      <w:marRight w:val="0"/>
      <w:marTop w:val="0"/>
      <w:marBottom w:val="0"/>
      <w:divBdr>
        <w:top w:val="none" w:sz="0" w:space="0" w:color="auto"/>
        <w:left w:val="none" w:sz="0" w:space="0" w:color="auto"/>
        <w:bottom w:val="none" w:sz="0" w:space="0" w:color="auto"/>
        <w:right w:val="none" w:sz="0" w:space="0" w:color="auto"/>
      </w:divBdr>
    </w:div>
    <w:div w:id="1705321974">
      <w:bodyDiv w:val="1"/>
      <w:marLeft w:val="0"/>
      <w:marRight w:val="0"/>
      <w:marTop w:val="0"/>
      <w:marBottom w:val="0"/>
      <w:divBdr>
        <w:top w:val="none" w:sz="0" w:space="0" w:color="auto"/>
        <w:left w:val="none" w:sz="0" w:space="0" w:color="auto"/>
        <w:bottom w:val="none" w:sz="0" w:space="0" w:color="auto"/>
        <w:right w:val="none" w:sz="0" w:space="0" w:color="auto"/>
      </w:divBdr>
    </w:div>
    <w:div w:id="187472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r-e-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e-a.net/resources/beis-rhi-consultation-biomass-combustion-in-urban-areas/" TargetMode="External"/><Relationship Id="rId3" Type="http://schemas.openxmlformats.org/officeDocument/2006/relationships/hyperlink" Target="https://www.oftec.org/docs/default-source/publications/pub115-oftec-industrial-strategy-for-decarbonising-oil-heated-homes.pdf?sfvrsn=71afe801_18" TargetMode="External"/><Relationship Id="rId7" Type="http://schemas.openxmlformats.org/officeDocument/2006/relationships/hyperlink" Target="https://www.nao.org.uk/report/low-carbon-heating-of-homes-and-businesses-and-the-renewable-heat-incentive/" TargetMode="External"/><Relationship Id="rId2" Type="http://schemas.openxmlformats.org/officeDocument/2006/relationships/hyperlink" Target="https://www.bioenergy-strategy.com/publications" TargetMode="External"/><Relationship Id="rId1" Type="http://schemas.openxmlformats.org/officeDocument/2006/relationships/hyperlink" Target="https://www.r-e-a.net/resources/review-2020/" TargetMode="External"/><Relationship Id="rId6" Type="http://schemas.openxmlformats.org/officeDocument/2006/relationships/hyperlink" Target="https://news.siemens.co.uk/news/the-carbon-trust-and-siemens-launch-new-green-finance-deal-worth-550-million-to-green-businesses-in-the-uk" TargetMode="External"/><Relationship Id="rId5" Type="http://schemas.openxmlformats.org/officeDocument/2006/relationships/hyperlink" Target="https://energysavingtrust.org.uk/scotland/grants-loans/home-energy-scotland-loan-overview" TargetMode="External"/><Relationship Id="rId4" Type="http://schemas.openxmlformats.org/officeDocument/2006/relationships/hyperlink" Target="https://www.gov.uk/government/statistical-data-sets/annual-domestic-energy-price-statistics" TargetMode="External"/><Relationship Id="rId9" Type="http://schemas.openxmlformats.org/officeDocument/2006/relationships/hyperlink" Target="https://uk-air.defra.gov.uk/assets/documents/reports/cat05/1801301017_KCL_WoodBurningReport_2017_FINA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66660-11AD-4673-8D64-FD911D6C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7337</Words>
  <Characters>41823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Sommerfeld</dc:creator>
  <cp:lastModifiedBy>Sam Tickle</cp:lastModifiedBy>
  <cp:revision>2</cp:revision>
  <cp:lastPrinted>2020-06-11T14:34:00Z</cp:lastPrinted>
  <dcterms:created xsi:type="dcterms:W3CDTF">2020-06-23T16:01:00Z</dcterms:created>
  <dcterms:modified xsi:type="dcterms:W3CDTF">2020-06-23T16:01:00Z</dcterms:modified>
</cp:coreProperties>
</file>