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D9E2F3" w:themeColor="accent1" w:themeTint="33"/>
  <w:body>
    <w:p w14:paraId="62072B75" w14:textId="77777777" w:rsidR="00EA2285" w:rsidRDefault="00EA2285" w:rsidP="00463340">
      <w:pPr>
        <w:jc w:val="center"/>
        <w:rPr>
          <w:rFonts w:ascii="Open Sans" w:hAnsi="Open Sans" w:cs="Open Sans"/>
          <w:b/>
          <w:bCs/>
          <w:i/>
          <w:iCs/>
          <w:color w:val="06926B"/>
          <w:sz w:val="32"/>
          <w:szCs w:val="32"/>
        </w:rPr>
      </w:pPr>
    </w:p>
    <w:p w14:paraId="481B03AA" w14:textId="77777777" w:rsidR="00BD0B87" w:rsidRPr="006B78FB" w:rsidRDefault="00273E54" w:rsidP="00463340">
      <w:pPr>
        <w:jc w:val="center"/>
        <w:rPr>
          <w:rFonts w:ascii="Open Sans" w:hAnsi="Open Sans" w:cs="Open Sans"/>
          <w:b/>
          <w:bCs/>
          <w:color w:val="06926B"/>
          <w:sz w:val="32"/>
          <w:szCs w:val="32"/>
        </w:rPr>
      </w:pPr>
      <w:r w:rsidRPr="006B78FB">
        <w:rPr>
          <w:rFonts w:ascii="Open Sans" w:hAnsi="Open Sans" w:cs="Open Sans"/>
          <w:b/>
          <w:bCs/>
          <w:i/>
          <w:iCs/>
          <w:color w:val="06926B"/>
          <w:sz w:val="32"/>
          <w:szCs w:val="32"/>
        </w:rPr>
        <w:t>‘Future Support for Low Carbon Heat’</w:t>
      </w:r>
      <w:r w:rsidRPr="006B78FB">
        <w:rPr>
          <w:rFonts w:ascii="Open Sans" w:hAnsi="Open Sans" w:cs="Open Sans"/>
          <w:b/>
          <w:bCs/>
          <w:color w:val="06926B"/>
          <w:sz w:val="32"/>
          <w:szCs w:val="32"/>
        </w:rPr>
        <w:t xml:space="preserve"> </w:t>
      </w:r>
    </w:p>
    <w:p w14:paraId="4F687AA2" w14:textId="1D55EBD2" w:rsidR="00CD42E0" w:rsidRPr="006B78FB" w:rsidRDefault="00CE0CD7" w:rsidP="00463340">
      <w:pPr>
        <w:jc w:val="center"/>
        <w:rPr>
          <w:rFonts w:ascii="Open Sans" w:hAnsi="Open Sans" w:cs="Open Sans"/>
          <w:b/>
          <w:bCs/>
          <w:color w:val="06926B"/>
          <w:sz w:val="32"/>
          <w:szCs w:val="32"/>
          <w:u w:val="single"/>
        </w:rPr>
      </w:pPr>
      <w:r>
        <w:rPr>
          <w:rFonts w:ascii="Open Sans" w:hAnsi="Open Sans" w:cs="Open Sans"/>
          <w:b/>
          <w:bCs/>
          <w:color w:val="06926B"/>
          <w:sz w:val="32"/>
          <w:szCs w:val="32"/>
        </w:rPr>
        <w:t>REA</w:t>
      </w:r>
      <w:r w:rsidR="00B74B1D" w:rsidRPr="006B78FB">
        <w:rPr>
          <w:rFonts w:ascii="Open Sans" w:hAnsi="Open Sans" w:cs="Open Sans"/>
          <w:b/>
          <w:bCs/>
          <w:color w:val="06926B"/>
          <w:sz w:val="32"/>
          <w:szCs w:val="32"/>
        </w:rPr>
        <w:t xml:space="preserve"> Full Response</w:t>
      </w:r>
    </w:p>
    <w:p w14:paraId="76356593" w14:textId="77777777" w:rsidR="00CD42E0" w:rsidRPr="006E1CD9" w:rsidRDefault="00CD42E0" w:rsidP="00CD42E0">
      <w:pPr>
        <w:rPr>
          <w:rFonts w:ascii="Open Sans" w:hAnsi="Open Sans" w:cs="Open Sans"/>
          <w:b/>
          <w:bCs/>
        </w:rPr>
      </w:pPr>
    </w:p>
    <w:p w14:paraId="1813ED71" w14:textId="4719E391" w:rsidR="00CD42E0" w:rsidRDefault="00B06706" w:rsidP="00CD42E0">
      <w:pPr>
        <w:rPr>
          <w:rFonts w:ascii="Open Sans" w:hAnsi="Open Sans" w:cs="Open Sans"/>
          <w:szCs w:val="22"/>
        </w:rPr>
      </w:pPr>
      <w:r w:rsidRPr="00B06706">
        <w:rPr>
          <w:rFonts w:ascii="Open Sans" w:hAnsi="Open Sans" w:cs="Open Sans"/>
          <w:szCs w:val="22"/>
        </w:rPr>
        <w:t xml:space="preserve">The Renewable Energy Association (REA) </w:t>
      </w:r>
      <w:r w:rsidR="00C5482E">
        <w:rPr>
          <w:rFonts w:ascii="Open Sans" w:hAnsi="Open Sans" w:cs="Open Sans"/>
          <w:szCs w:val="22"/>
        </w:rPr>
        <w:t>is</w:t>
      </w:r>
      <w:r w:rsidRPr="00B06706">
        <w:rPr>
          <w:rFonts w:ascii="Open Sans" w:hAnsi="Open Sans" w:cs="Open Sans"/>
          <w:szCs w:val="22"/>
        </w:rPr>
        <w:t xml:space="preserve"> pleased to submit this response to the above consultation. The REA represents a wide variety of organisations, including generators, project developers, fuel and power suppliers, investors, equipment producers and service providers. Members range in size from major multinationals to sole traders. There are over 550 corporate members of the REA, making it the largest renewable energy trade association in the UK. The </w:t>
      </w:r>
      <w:r w:rsidR="00C86C24">
        <w:rPr>
          <w:rFonts w:ascii="Open Sans" w:hAnsi="Open Sans" w:cs="Open Sans"/>
          <w:szCs w:val="22"/>
        </w:rPr>
        <w:t xml:space="preserve">Wood Heat Association is the members forum within the REA that advocates for </w:t>
      </w:r>
      <w:r w:rsidRPr="00B06706">
        <w:rPr>
          <w:rFonts w:ascii="Open Sans" w:hAnsi="Open Sans" w:cs="Open Sans"/>
          <w:szCs w:val="22"/>
        </w:rPr>
        <w:t>the modern wood heating and related biomass heating industry including wood fuel suppliers, biomass boiler and stove installers and distributors, and anyone involved in the supply chain.</w:t>
      </w:r>
    </w:p>
    <w:p w14:paraId="2EB0BA54" w14:textId="77777777" w:rsidR="006A05F8" w:rsidRPr="00273E54" w:rsidRDefault="006A05F8" w:rsidP="00CD42E0">
      <w:pPr>
        <w:rPr>
          <w:rFonts w:ascii="Open Sans" w:hAnsi="Open Sans" w:cs="Open Sans"/>
          <w:szCs w:val="22"/>
        </w:rPr>
      </w:pPr>
    </w:p>
    <w:p w14:paraId="4F88CA96" w14:textId="7B44E232" w:rsidR="00CD42E0" w:rsidRPr="00CD6AB1" w:rsidRDefault="00C86C24" w:rsidP="00CD42E0">
      <w:pPr>
        <w:rPr>
          <w:rFonts w:ascii="Open Sans" w:hAnsi="Open Sans" w:cs="Open Sans"/>
          <w:b/>
          <w:bCs/>
          <w:szCs w:val="22"/>
          <w:u w:val="single"/>
        </w:rPr>
      </w:pPr>
      <w:r w:rsidRPr="00CD6AB1">
        <w:rPr>
          <w:rFonts w:ascii="Open Sans" w:hAnsi="Open Sans" w:cs="Open Sans"/>
          <w:b/>
          <w:bCs/>
          <w:szCs w:val="22"/>
          <w:u w:val="single"/>
        </w:rPr>
        <w:t xml:space="preserve">Summary of Response </w:t>
      </w:r>
      <w:r w:rsidR="00C85944">
        <w:rPr>
          <w:rFonts w:ascii="Open Sans" w:hAnsi="Open Sans" w:cs="Open Sans"/>
          <w:b/>
          <w:bCs/>
          <w:szCs w:val="22"/>
          <w:u w:val="single"/>
        </w:rPr>
        <w:t>- Biomass</w:t>
      </w:r>
    </w:p>
    <w:p w14:paraId="4DD0C1B8" w14:textId="77777777" w:rsidR="00CD42E0" w:rsidRPr="00273E54" w:rsidRDefault="00CD42E0" w:rsidP="00CD42E0">
      <w:pPr>
        <w:rPr>
          <w:rFonts w:ascii="Open Sans" w:hAnsi="Open Sans" w:cs="Open Sans"/>
          <w:szCs w:val="22"/>
        </w:rPr>
      </w:pPr>
    </w:p>
    <w:p w14:paraId="5CA498E4" w14:textId="430E7A59" w:rsidR="00463340" w:rsidRPr="00273E54" w:rsidRDefault="00273E54" w:rsidP="00CD42E0">
      <w:pPr>
        <w:rPr>
          <w:rFonts w:ascii="Open Sans" w:hAnsi="Open Sans" w:cs="Open Sans"/>
          <w:b/>
          <w:bCs/>
          <w:szCs w:val="22"/>
        </w:rPr>
      </w:pPr>
      <w:r w:rsidRPr="00273E54">
        <w:rPr>
          <w:rFonts w:ascii="Open Sans" w:hAnsi="Open Sans" w:cs="Open Sans"/>
          <w:szCs w:val="22"/>
        </w:rPr>
        <w:t xml:space="preserve">It is welcome that BEIS is bringing forward a support mechanism to help the decarbonisation of heat following the Renewable Heat Incentive. However, </w:t>
      </w:r>
      <w:r w:rsidR="00E0171B">
        <w:rPr>
          <w:rFonts w:ascii="Open Sans" w:hAnsi="Open Sans" w:cs="Open Sans"/>
          <w:szCs w:val="22"/>
        </w:rPr>
        <w:t xml:space="preserve">we believe </w:t>
      </w:r>
      <w:r w:rsidRPr="00273E54">
        <w:rPr>
          <w:rFonts w:ascii="Open Sans" w:hAnsi="Open Sans" w:cs="Open Sans"/>
          <w:szCs w:val="22"/>
        </w:rPr>
        <w:t xml:space="preserve">the proposals for a Clean Heat Grant scheme </w:t>
      </w:r>
      <w:r w:rsidR="00E0171B">
        <w:rPr>
          <w:rFonts w:ascii="Open Sans" w:hAnsi="Open Sans" w:cs="Open Sans"/>
          <w:szCs w:val="22"/>
        </w:rPr>
        <w:t>are wholly inadequate in both scope and the level of support on offer if the intention is to drive meaningful decarbonisation of UK heat production.</w:t>
      </w:r>
      <w:r w:rsidRPr="00273E54">
        <w:rPr>
          <w:rFonts w:ascii="Open Sans" w:hAnsi="Open Sans" w:cs="Open Sans"/>
          <w:szCs w:val="22"/>
        </w:rPr>
        <w:t xml:space="preserve"> </w:t>
      </w:r>
      <w:r w:rsidRPr="00273E54">
        <w:rPr>
          <w:rFonts w:ascii="Open Sans" w:hAnsi="Open Sans" w:cs="Open Sans"/>
          <w:b/>
          <w:bCs/>
          <w:szCs w:val="22"/>
        </w:rPr>
        <w:t xml:space="preserve"> </w:t>
      </w:r>
    </w:p>
    <w:p w14:paraId="318A55FE" w14:textId="77777777" w:rsidR="00463340" w:rsidRPr="00CD6AB1" w:rsidRDefault="00463340" w:rsidP="00CD42E0">
      <w:pPr>
        <w:rPr>
          <w:rFonts w:ascii="Open Sans" w:hAnsi="Open Sans" w:cs="Open Sans"/>
          <w:b/>
          <w:bCs/>
          <w:szCs w:val="22"/>
        </w:rPr>
      </w:pPr>
    </w:p>
    <w:p w14:paraId="2311D215" w14:textId="77777777" w:rsidR="00971EF8" w:rsidRPr="00CD6AB1" w:rsidRDefault="00273E54" w:rsidP="00971EF8">
      <w:pPr>
        <w:spacing w:after="120"/>
        <w:rPr>
          <w:rFonts w:ascii="Open Sans" w:hAnsi="Open Sans" w:cs="Open Sans"/>
          <w:b/>
          <w:bCs/>
          <w:szCs w:val="22"/>
        </w:rPr>
      </w:pPr>
      <w:r w:rsidRPr="00CD6AB1">
        <w:rPr>
          <w:rFonts w:ascii="Open Sans" w:hAnsi="Open Sans" w:cs="Open Sans"/>
          <w:b/>
          <w:bCs/>
          <w:szCs w:val="22"/>
        </w:rPr>
        <w:t xml:space="preserve">Further Heat Policy is urgently needed to maintain and continue to grow the clean heat sector. </w:t>
      </w:r>
    </w:p>
    <w:p w14:paraId="7DB53D2D" w14:textId="77777777" w:rsidR="00971EF8" w:rsidRPr="00273E54" w:rsidRDefault="00971EF8" w:rsidP="00971EF8">
      <w:pPr>
        <w:rPr>
          <w:rFonts w:ascii="Open Sans" w:hAnsi="Open Sans" w:cs="Open Sans"/>
          <w:szCs w:val="22"/>
        </w:rPr>
      </w:pPr>
    </w:p>
    <w:p w14:paraId="2CF8E77A" w14:textId="66FD6947" w:rsidR="00347020" w:rsidRPr="00D042A0" w:rsidRDefault="00273E54" w:rsidP="00CD42E0">
      <w:pPr>
        <w:rPr>
          <w:rFonts w:ascii="Open Sans" w:hAnsi="Open Sans"/>
        </w:rPr>
      </w:pPr>
      <w:r w:rsidRPr="00273E54">
        <w:rPr>
          <w:rFonts w:ascii="Open Sans" w:hAnsi="Open Sans" w:cs="Open Sans"/>
          <w:szCs w:val="22"/>
        </w:rPr>
        <w:t xml:space="preserve">The </w:t>
      </w:r>
      <w:r w:rsidR="00C0314B">
        <w:rPr>
          <w:rFonts w:ascii="Open Sans" w:hAnsi="Open Sans" w:cs="Open Sans"/>
          <w:szCs w:val="22"/>
        </w:rPr>
        <w:t xml:space="preserve">consultation highlights how heating our homes, businesses, and industry accounts for </w:t>
      </w:r>
      <w:r w:rsidR="00D042A0">
        <w:rPr>
          <w:rFonts w:ascii="Open Sans" w:hAnsi="Open Sans" w:cs="Open Sans"/>
          <w:szCs w:val="22"/>
        </w:rPr>
        <w:t xml:space="preserve">a </w:t>
      </w:r>
      <w:r w:rsidR="00C0314B">
        <w:rPr>
          <w:rFonts w:ascii="Open Sans" w:hAnsi="Open Sans" w:cs="Open Sans"/>
          <w:szCs w:val="22"/>
        </w:rPr>
        <w:t xml:space="preserve">third of UK’s </w:t>
      </w:r>
      <w:r w:rsidR="00D042A0">
        <w:rPr>
          <w:rFonts w:ascii="Open Sans" w:hAnsi="Open Sans" w:cs="Open Sans"/>
          <w:szCs w:val="22"/>
        </w:rPr>
        <w:t>greenhouse</w:t>
      </w:r>
      <w:r w:rsidR="00C0314B">
        <w:rPr>
          <w:rFonts w:ascii="Open Sans" w:hAnsi="Open Sans" w:cs="Open Sans"/>
          <w:szCs w:val="22"/>
        </w:rPr>
        <w:t xml:space="preserve"> emissions, requiring a mass transition to low carbon heat. However, t</w:t>
      </w:r>
      <w:r w:rsidRPr="00273E54">
        <w:rPr>
          <w:rFonts w:ascii="Open Sans" w:hAnsi="Open Sans" w:cs="Open Sans"/>
          <w:szCs w:val="22"/>
        </w:rPr>
        <w:t xml:space="preserve">he proposed scheme </w:t>
      </w:r>
      <w:r w:rsidR="00C0314B">
        <w:rPr>
          <w:rFonts w:ascii="Open Sans" w:hAnsi="Open Sans" w:cs="Open Sans"/>
          <w:szCs w:val="22"/>
        </w:rPr>
        <w:t>focuses</w:t>
      </w:r>
      <w:r w:rsidRPr="00273E54">
        <w:rPr>
          <w:rFonts w:ascii="Open Sans" w:hAnsi="Open Sans" w:cs="Open Sans"/>
          <w:szCs w:val="22"/>
        </w:rPr>
        <w:t xml:space="preserve"> on a very small section of the heat market which</w:t>
      </w:r>
      <w:r w:rsidR="00B03132" w:rsidRPr="00273E54">
        <w:rPr>
          <w:rFonts w:ascii="Open Sans" w:hAnsi="Open Sans" w:cs="Open Sans"/>
          <w:szCs w:val="22"/>
        </w:rPr>
        <w:t xml:space="preserve">, </w:t>
      </w:r>
      <w:r w:rsidR="00FD20CA" w:rsidRPr="00273E54">
        <w:rPr>
          <w:rFonts w:ascii="Open Sans" w:hAnsi="Open Sans" w:cs="Open Sans"/>
          <w:szCs w:val="22"/>
        </w:rPr>
        <w:t>by itself</w:t>
      </w:r>
      <w:r w:rsidR="00B03132" w:rsidRPr="00273E54">
        <w:rPr>
          <w:rFonts w:ascii="Open Sans" w:hAnsi="Open Sans" w:cs="Open Sans"/>
          <w:szCs w:val="22"/>
        </w:rPr>
        <w:t>,</w:t>
      </w:r>
      <w:r w:rsidR="00FD20CA" w:rsidRPr="00273E54">
        <w:rPr>
          <w:rFonts w:ascii="Open Sans" w:hAnsi="Open Sans" w:cs="Open Sans"/>
          <w:szCs w:val="22"/>
        </w:rPr>
        <w:t xml:space="preserve"> </w:t>
      </w:r>
      <w:r w:rsidRPr="00273E54">
        <w:rPr>
          <w:rFonts w:ascii="Open Sans" w:hAnsi="Open Sans" w:cs="Open Sans"/>
          <w:szCs w:val="22"/>
        </w:rPr>
        <w:t xml:space="preserve">will not deliver the level of decarbonisation </w:t>
      </w:r>
      <w:r w:rsidR="00D042A0">
        <w:rPr>
          <w:rFonts w:ascii="Open Sans" w:hAnsi="Open Sans" w:cs="Open Sans"/>
          <w:szCs w:val="22"/>
        </w:rPr>
        <w:t xml:space="preserve">required </w:t>
      </w:r>
      <w:r w:rsidRPr="00273E54">
        <w:rPr>
          <w:rFonts w:ascii="Open Sans" w:hAnsi="Open Sans" w:cs="Open Sans"/>
          <w:szCs w:val="22"/>
        </w:rPr>
        <w:t xml:space="preserve">to meet the UK's net-zero heat target or </w:t>
      </w:r>
      <w:r w:rsidR="00E0171B">
        <w:rPr>
          <w:rFonts w:ascii="Open Sans" w:hAnsi="Open Sans" w:cs="Open Sans"/>
          <w:szCs w:val="22"/>
        </w:rPr>
        <w:t xml:space="preserve">reignite </w:t>
      </w:r>
      <w:r w:rsidRPr="00273E54">
        <w:rPr>
          <w:rFonts w:ascii="Open Sans" w:hAnsi="Open Sans" w:cs="Open Sans"/>
          <w:szCs w:val="22"/>
        </w:rPr>
        <w:t>growth of</w:t>
      </w:r>
      <w:r w:rsidR="00E0171B">
        <w:rPr>
          <w:rFonts w:ascii="Open Sans" w:hAnsi="Open Sans" w:cs="Open Sans"/>
          <w:szCs w:val="22"/>
        </w:rPr>
        <w:t xml:space="preserve"> </w:t>
      </w:r>
      <w:r w:rsidRPr="00273E54">
        <w:rPr>
          <w:rFonts w:ascii="Open Sans" w:hAnsi="Open Sans" w:cs="Open Sans"/>
          <w:szCs w:val="22"/>
        </w:rPr>
        <w:t>the renewable heat sector.</w:t>
      </w:r>
      <w:r w:rsidRPr="00273E54">
        <w:rPr>
          <w:rFonts w:ascii="Open Sans" w:hAnsi="Open Sans" w:cs="Open Sans"/>
          <w:b/>
          <w:bCs/>
          <w:szCs w:val="22"/>
        </w:rPr>
        <w:t xml:space="preserve">  </w:t>
      </w:r>
    </w:p>
    <w:p w14:paraId="63D4FE2C" w14:textId="77777777" w:rsidR="00347020" w:rsidRPr="00D042A0" w:rsidRDefault="00347020" w:rsidP="00CD42E0">
      <w:pPr>
        <w:rPr>
          <w:rFonts w:ascii="Open Sans" w:hAnsi="Open Sans"/>
        </w:rPr>
      </w:pPr>
    </w:p>
    <w:p w14:paraId="7D27C96E" w14:textId="77777777" w:rsidR="00347020" w:rsidRPr="00273E54" w:rsidRDefault="00273E54" w:rsidP="00CD42E0">
      <w:pPr>
        <w:rPr>
          <w:rFonts w:ascii="Open Sans" w:hAnsi="Open Sans" w:cs="Open Sans"/>
          <w:szCs w:val="22"/>
        </w:rPr>
      </w:pPr>
      <w:r w:rsidRPr="00273E54">
        <w:rPr>
          <w:rFonts w:ascii="Open Sans" w:hAnsi="Open Sans" w:cs="Open Sans"/>
          <w:szCs w:val="22"/>
        </w:rPr>
        <w:t>W</w:t>
      </w:r>
      <w:r w:rsidR="00CD42E0" w:rsidRPr="00273E54">
        <w:rPr>
          <w:rFonts w:ascii="Open Sans" w:hAnsi="Open Sans" w:cs="Open Sans"/>
          <w:szCs w:val="22"/>
        </w:rPr>
        <w:t>hile we recognise that the Government are expecting to bring forward further heat decarbonisation policies, the lack</w:t>
      </w:r>
      <w:r w:rsidRPr="00273E54">
        <w:rPr>
          <w:rFonts w:ascii="Open Sans" w:hAnsi="Open Sans" w:cs="Open Sans"/>
          <w:szCs w:val="22"/>
        </w:rPr>
        <w:t xml:space="preserve"> of</w:t>
      </w:r>
      <w:r w:rsidR="00CD42E0" w:rsidRPr="00273E54">
        <w:rPr>
          <w:rFonts w:ascii="Open Sans" w:hAnsi="Open Sans" w:cs="Open Sans"/>
          <w:szCs w:val="22"/>
        </w:rPr>
        <w:t xml:space="preserve"> a clear strategic ambition means we urge BEIS to </w:t>
      </w:r>
      <w:r w:rsidRPr="00273E54">
        <w:rPr>
          <w:rFonts w:ascii="Open Sans" w:hAnsi="Open Sans" w:cs="Open Sans"/>
          <w:szCs w:val="22"/>
        </w:rPr>
        <w:t xml:space="preserve">expand </w:t>
      </w:r>
      <w:r w:rsidR="00CD42E0" w:rsidRPr="00273E54">
        <w:rPr>
          <w:rFonts w:ascii="Open Sans" w:hAnsi="Open Sans" w:cs="Open Sans"/>
          <w:szCs w:val="22"/>
        </w:rPr>
        <w:t>the scope of the proposed Clean Heat Grant Scheme</w:t>
      </w:r>
      <w:r w:rsidR="00BD0B87" w:rsidRPr="00273E54">
        <w:rPr>
          <w:rFonts w:ascii="Open Sans" w:hAnsi="Open Sans" w:cs="Open Sans"/>
          <w:szCs w:val="22"/>
        </w:rPr>
        <w:t>.</w:t>
      </w:r>
      <w:r w:rsidR="00CD42E0" w:rsidRPr="00273E54">
        <w:rPr>
          <w:rFonts w:ascii="Open Sans" w:hAnsi="Open Sans" w:cs="Open Sans"/>
          <w:szCs w:val="22"/>
        </w:rPr>
        <w:t xml:space="preserve"> </w:t>
      </w:r>
      <w:r w:rsidR="00971EF8" w:rsidRPr="00273E54">
        <w:rPr>
          <w:rFonts w:ascii="Open Sans" w:hAnsi="Open Sans" w:cs="Open Sans"/>
          <w:szCs w:val="22"/>
        </w:rPr>
        <w:t>This includes</w:t>
      </w:r>
      <w:r w:rsidRPr="00273E54">
        <w:rPr>
          <w:rFonts w:ascii="Open Sans" w:hAnsi="Open Sans" w:cs="Open Sans"/>
          <w:szCs w:val="22"/>
        </w:rPr>
        <w:t>:</w:t>
      </w:r>
    </w:p>
    <w:p w14:paraId="01F4C833" w14:textId="669DEC98" w:rsidR="00921A52" w:rsidRDefault="00921A52" w:rsidP="00347020">
      <w:pPr>
        <w:pStyle w:val="ListParagraph"/>
        <w:numPr>
          <w:ilvl w:val="0"/>
          <w:numId w:val="6"/>
        </w:numPr>
        <w:rPr>
          <w:rFonts w:ascii="Open Sans" w:hAnsi="Open Sans" w:cs="Open Sans"/>
          <w:szCs w:val="22"/>
        </w:rPr>
      </w:pPr>
      <w:bookmarkStart w:id="0" w:name="_Hlk43820531"/>
      <w:r w:rsidRPr="00273E54">
        <w:rPr>
          <w:rFonts w:ascii="Open Sans" w:hAnsi="Open Sans" w:cs="Open Sans"/>
          <w:szCs w:val="22"/>
        </w:rPr>
        <w:t xml:space="preserve">Raise the capacity cap </w:t>
      </w:r>
      <w:r w:rsidR="00CD6AB1">
        <w:rPr>
          <w:rFonts w:ascii="Open Sans" w:hAnsi="Open Sans" w:cs="Open Sans"/>
          <w:szCs w:val="22"/>
        </w:rPr>
        <w:t xml:space="preserve">above 45 kW.  This should be </w:t>
      </w:r>
      <w:r w:rsidRPr="00273E54">
        <w:rPr>
          <w:rFonts w:ascii="Open Sans" w:hAnsi="Open Sans" w:cs="Open Sans"/>
          <w:szCs w:val="22"/>
        </w:rPr>
        <w:t>in line with the small-scale biomass tariff within the ND RHI</w:t>
      </w:r>
      <w:r w:rsidR="00CD6AB1">
        <w:rPr>
          <w:rFonts w:ascii="Open Sans" w:hAnsi="Open Sans" w:cs="Open Sans"/>
          <w:szCs w:val="22"/>
        </w:rPr>
        <w:t xml:space="preserve">, which is up to 200 kW, </w:t>
      </w:r>
      <w:r w:rsidR="00C5482E">
        <w:rPr>
          <w:rFonts w:ascii="Open Sans" w:hAnsi="Open Sans" w:cs="Open Sans"/>
          <w:szCs w:val="22"/>
        </w:rPr>
        <w:t>to</w:t>
      </w:r>
      <w:r w:rsidR="00CD6AB1">
        <w:rPr>
          <w:rFonts w:ascii="Open Sans" w:hAnsi="Open Sans" w:cs="Open Sans"/>
          <w:szCs w:val="22"/>
        </w:rPr>
        <w:t xml:space="preserve"> allow </w:t>
      </w:r>
      <w:r w:rsidRPr="00273E54">
        <w:rPr>
          <w:rFonts w:ascii="Open Sans" w:hAnsi="Open Sans" w:cs="Open Sans"/>
          <w:szCs w:val="22"/>
        </w:rPr>
        <w:t>for a wider range of domestic and small scale non-domestic properties to install clean heat systems</w:t>
      </w:r>
      <w:r w:rsidR="00CD6AB1">
        <w:rPr>
          <w:rFonts w:ascii="Open Sans" w:hAnsi="Open Sans" w:cs="Open Sans"/>
          <w:szCs w:val="22"/>
        </w:rPr>
        <w:t>.</w:t>
      </w:r>
    </w:p>
    <w:p w14:paraId="6CCADCEC" w14:textId="76E8C0C8" w:rsidR="00CD42E0" w:rsidRPr="00273E54" w:rsidRDefault="00273E54" w:rsidP="00347020">
      <w:pPr>
        <w:pStyle w:val="ListParagraph"/>
        <w:numPr>
          <w:ilvl w:val="0"/>
          <w:numId w:val="6"/>
        </w:numPr>
        <w:rPr>
          <w:rFonts w:ascii="Open Sans" w:hAnsi="Open Sans" w:cs="Open Sans"/>
          <w:szCs w:val="22"/>
        </w:rPr>
      </w:pPr>
      <w:r w:rsidRPr="00273E54">
        <w:rPr>
          <w:rFonts w:ascii="Open Sans" w:hAnsi="Open Sans" w:cs="Open Sans"/>
          <w:szCs w:val="22"/>
        </w:rPr>
        <w:t>A</w:t>
      </w:r>
      <w:r w:rsidR="00971EF8" w:rsidRPr="00273E54">
        <w:rPr>
          <w:rFonts w:ascii="Open Sans" w:hAnsi="Open Sans" w:cs="Open Sans"/>
          <w:szCs w:val="22"/>
        </w:rPr>
        <w:t xml:space="preserve">mend the grant so that </w:t>
      </w:r>
      <w:r w:rsidR="00B03132" w:rsidRPr="00273E54">
        <w:rPr>
          <w:rFonts w:ascii="Open Sans" w:hAnsi="Open Sans" w:cs="Open Sans"/>
          <w:szCs w:val="22"/>
        </w:rPr>
        <w:t>it meets</w:t>
      </w:r>
      <w:r w:rsidRPr="00273E54">
        <w:rPr>
          <w:rFonts w:ascii="Open Sans" w:hAnsi="Open Sans" w:cs="Open Sans"/>
          <w:szCs w:val="22"/>
        </w:rPr>
        <w:t xml:space="preserve"> a proportion of the cost for each kW capacity </w:t>
      </w:r>
      <w:r w:rsidR="00F30E27" w:rsidRPr="00273E54">
        <w:rPr>
          <w:rFonts w:ascii="Open Sans" w:hAnsi="Open Sans" w:cs="Open Sans"/>
          <w:szCs w:val="22"/>
        </w:rPr>
        <w:t>being</w:t>
      </w:r>
      <w:r w:rsidRPr="00273E54">
        <w:rPr>
          <w:rFonts w:ascii="Open Sans" w:hAnsi="Open Sans" w:cs="Open Sans"/>
          <w:szCs w:val="22"/>
        </w:rPr>
        <w:t xml:space="preserve"> deployed</w:t>
      </w:r>
      <w:r w:rsidR="00C5482E">
        <w:rPr>
          <w:rFonts w:ascii="Open Sans" w:hAnsi="Open Sans" w:cs="Open Sans"/>
          <w:szCs w:val="22"/>
        </w:rPr>
        <w:t xml:space="preserve">. This should be based on the heat loss assessment which should be required for all applications. </w:t>
      </w:r>
      <w:r w:rsidRPr="00273E54">
        <w:rPr>
          <w:rFonts w:ascii="Open Sans" w:hAnsi="Open Sans" w:cs="Open Sans"/>
          <w:szCs w:val="22"/>
        </w:rPr>
        <w:t xml:space="preserve">This </w:t>
      </w:r>
      <w:r w:rsidR="00921A52">
        <w:rPr>
          <w:rFonts w:ascii="Open Sans" w:hAnsi="Open Sans" w:cs="Open Sans"/>
          <w:szCs w:val="22"/>
        </w:rPr>
        <w:t>should</w:t>
      </w:r>
      <w:r w:rsidRPr="00273E54">
        <w:rPr>
          <w:rFonts w:ascii="Open Sans" w:hAnsi="Open Sans" w:cs="Open Sans"/>
          <w:szCs w:val="22"/>
        </w:rPr>
        <w:t xml:space="preserve"> be accompanied by a low-interest loan</w:t>
      </w:r>
      <w:r w:rsidR="00C5482E">
        <w:rPr>
          <w:rFonts w:ascii="Open Sans" w:hAnsi="Open Sans" w:cs="Open Sans"/>
          <w:szCs w:val="22"/>
        </w:rPr>
        <w:t xml:space="preserve">, as seen in Scotland, </w:t>
      </w:r>
      <w:r w:rsidRPr="00273E54">
        <w:rPr>
          <w:rFonts w:ascii="Open Sans" w:hAnsi="Open Sans" w:cs="Open Sans"/>
          <w:szCs w:val="22"/>
        </w:rPr>
        <w:t xml:space="preserve">to meet the remaining project costs.  </w:t>
      </w:r>
    </w:p>
    <w:p w14:paraId="78864482" w14:textId="666F0865" w:rsidR="00BD0B87" w:rsidRPr="00D042A0" w:rsidRDefault="00273E54" w:rsidP="00D042A0">
      <w:pPr>
        <w:pStyle w:val="ListParagraph"/>
        <w:numPr>
          <w:ilvl w:val="0"/>
          <w:numId w:val="6"/>
        </w:numPr>
        <w:rPr>
          <w:rFonts w:ascii="Open Sans" w:hAnsi="Open Sans" w:cs="Open Sans"/>
          <w:szCs w:val="22"/>
        </w:rPr>
      </w:pPr>
      <w:r w:rsidRPr="00273E54">
        <w:rPr>
          <w:rFonts w:ascii="Open Sans" w:hAnsi="Open Sans" w:cs="Open Sans"/>
          <w:szCs w:val="22"/>
        </w:rPr>
        <w:t xml:space="preserve">Implement </w:t>
      </w:r>
      <w:r w:rsidR="00E0171B">
        <w:rPr>
          <w:rFonts w:ascii="Open Sans" w:hAnsi="Open Sans" w:cs="Open Sans"/>
          <w:szCs w:val="22"/>
        </w:rPr>
        <w:t xml:space="preserve">tight </w:t>
      </w:r>
      <w:r w:rsidRPr="00273E54">
        <w:rPr>
          <w:rFonts w:ascii="Open Sans" w:hAnsi="Open Sans" w:cs="Open Sans"/>
          <w:szCs w:val="22"/>
        </w:rPr>
        <w:t>emission and maintenance standards for urban biomass projects rather than ban them from deploying in on-gas grid areas</w:t>
      </w:r>
      <w:r w:rsidR="00E158E6">
        <w:rPr>
          <w:rFonts w:ascii="Open Sans" w:hAnsi="Open Sans" w:cs="Open Sans"/>
          <w:szCs w:val="22"/>
        </w:rPr>
        <w:t>.  Such a restriction</w:t>
      </w:r>
      <w:r w:rsidR="00E0171B">
        <w:rPr>
          <w:rFonts w:ascii="Open Sans" w:hAnsi="Open Sans" w:cs="Open Sans"/>
          <w:szCs w:val="22"/>
        </w:rPr>
        <w:t xml:space="preserve">, which ignores the results that can be achieved from deploying </w:t>
      </w:r>
      <w:r w:rsidR="00E158E6">
        <w:rPr>
          <w:rFonts w:ascii="Open Sans" w:hAnsi="Open Sans" w:cs="Open Sans"/>
          <w:szCs w:val="22"/>
        </w:rPr>
        <w:t>Best Available Techniques (</w:t>
      </w:r>
      <w:r w:rsidR="00E0171B">
        <w:rPr>
          <w:rFonts w:ascii="Open Sans" w:hAnsi="Open Sans" w:cs="Open Sans"/>
          <w:szCs w:val="22"/>
        </w:rPr>
        <w:t>BAT</w:t>
      </w:r>
      <w:r w:rsidR="00E158E6">
        <w:rPr>
          <w:rFonts w:ascii="Open Sans" w:hAnsi="Open Sans" w:cs="Open Sans"/>
          <w:szCs w:val="22"/>
        </w:rPr>
        <w:t>),</w:t>
      </w:r>
      <w:r w:rsidR="00E0171B">
        <w:rPr>
          <w:rFonts w:ascii="Open Sans" w:hAnsi="Open Sans" w:cs="Open Sans"/>
          <w:szCs w:val="22"/>
        </w:rPr>
        <w:t xml:space="preserve"> adopts an approach seen nowhere else in the world and sets a dangerous and </w:t>
      </w:r>
      <w:r w:rsidR="00E0171B">
        <w:rPr>
          <w:rFonts w:ascii="Open Sans" w:hAnsi="Open Sans" w:cs="Open Sans"/>
          <w:szCs w:val="22"/>
        </w:rPr>
        <w:lastRenderedPageBreak/>
        <w:t xml:space="preserve">difficult-to-reverse precedent which will further </w:t>
      </w:r>
      <w:r w:rsidR="00E158E6">
        <w:rPr>
          <w:rFonts w:ascii="Open Sans" w:hAnsi="Open Sans" w:cs="Open Sans"/>
          <w:szCs w:val="22"/>
        </w:rPr>
        <w:t>obstruct</w:t>
      </w:r>
      <w:r w:rsidR="00E0171B">
        <w:rPr>
          <w:rFonts w:ascii="Open Sans" w:hAnsi="Open Sans" w:cs="Open Sans"/>
          <w:szCs w:val="22"/>
        </w:rPr>
        <w:t xml:space="preserve"> the deployment of renewable heat, particularly in larger buildings.</w:t>
      </w:r>
    </w:p>
    <w:bookmarkEnd w:id="0"/>
    <w:p w14:paraId="51FF1C52" w14:textId="77777777" w:rsidR="00971EF8" w:rsidRPr="003277D7" w:rsidRDefault="00971EF8" w:rsidP="00CD42E0">
      <w:pPr>
        <w:rPr>
          <w:rFonts w:ascii="Open Sans" w:hAnsi="Open Sans" w:cs="Open Sans"/>
          <w:szCs w:val="22"/>
        </w:rPr>
      </w:pPr>
    </w:p>
    <w:p w14:paraId="42EE619C" w14:textId="77777777" w:rsidR="00347020" w:rsidRPr="003277D7" w:rsidRDefault="00273E54" w:rsidP="00971EF8">
      <w:pPr>
        <w:rPr>
          <w:rFonts w:ascii="Open Sans" w:hAnsi="Open Sans" w:cs="Open Sans"/>
          <w:b/>
          <w:bCs/>
          <w:szCs w:val="22"/>
        </w:rPr>
      </w:pPr>
      <w:r w:rsidRPr="003277D7">
        <w:rPr>
          <w:rFonts w:ascii="Open Sans" w:hAnsi="Open Sans" w:cs="Open Sans"/>
          <w:b/>
          <w:bCs/>
          <w:szCs w:val="22"/>
        </w:rPr>
        <w:t>The current scope of the Clean Heat Grant Scheme will see the industry contract</w:t>
      </w:r>
    </w:p>
    <w:p w14:paraId="4E23861F" w14:textId="77777777" w:rsidR="00347020" w:rsidRPr="00273E54" w:rsidRDefault="00347020" w:rsidP="00971EF8">
      <w:pPr>
        <w:rPr>
          <w:rFonts w:ascii="Open Sans" w:hAnsi="Open Sans" w:cs="Open Sans"/>
          <w:szCs w:val="22"/>
        </w:rPr>
      </w:pPr>
    </w:p>
    <w:p w14:paraId="39893577" w14:textId="69E75E62" w:rsidR="00A23B53" w:rsidRDefault="00273E54" w:rsidP="00971EF8">
      <w:pPr>
        <w:rPr>
          <w:rFonts w:ascii="Open Sans" w:hAnsi="Open Sans" w:cs="Open Sans"/>
          <w:szCs w:val="22"/>
        </w:rPr>
      </w:pPr>
      <w:r w:rsidRPr="00273E54">
        <w:rPr>
          <w:rFonts w:ascii="Open Sans" w:hAnsi="Open Sans" w:cs="Open Sans"/>
          <w:szCs w:val="22"/>
        </w:rPr>
        <w:t>The REA REview 2020</w:t>
      </w:r>
      <w:r w:rsidRPr="00273E54">
        <w:rPr>
          <w:rStyle w:val="FootnoteReference"/>
          <w:rFonts w:ascii="Open Sans" w:hAnsi="Open Sans" w:cs="Open Sans"/>
          <w:szCs w:val="22"/>
        </w:rPr>
        <w:footnoteReference w:id="2"/>
      </w:r>
      <w:r w:rsidRPr="00273E54">
        <w:rPr>
          <w:rFonts w:ascii="Open Sans" w:hAnsi="Open Sans" w:cs="Open Sans"/>
          <w:szCs w:val="22"/>
        </w:rPr>
        <w:t xml:space="preserve"> identified over 32,000 direct jobs in the heat pump, solar thermal, biomass boiler, biomass CHP and AD sectors combined in 2018. This grows to well over 44,000 jobs when you also include those employed in ancillary services such as the production of biomass for fuel. These are all sectors that are already contracting</w:t>
      </w:r>
      <w:r w:rsidR="00B03132" w:rsidRPr="00273E54">
        <w:rPr>
          <w:rFonts w:ascii="Open Sans" w:hAnsi="Open Sans" w:cs="Open Sans"/>
          <w:szCs w:val="22"/>
        </w:rPr>
        <w:t xml:space="preserve">. </w:t>
      </w:r>
      <w:r w:rsidRPr="00273E54">
        <w:rPr>
          <w:rFonts w:ascii="Open Sans" w:hAnsi="Open Sans" w:cs="Open Sans"/>
          <w:szCs w:val="22"/>
        </w:rPr>
        <w:t xml:space="preserve">The twelve-month gap between the end of the </w:t>
      </w:r>
      <w:r w:rsidR="008A47AF">
        <w:rPr>
          <w:rFonts w:ascii="Open Sans" w:hAnsi="Open Sans" w:cs="Open Sans"/>
          <w:szCs w:val="22"/>
        </w:rPr>
        <w:t>N</w:t>
      </w:r>
      <w:r w:rsidR="00116A26">
        <w:rPr>
          <w:rFonts w:ascii="Open Sans" w:hAnsi="Open Sans" w:cs="Open Sans"/>
          <w:szCs w:val="22"/>
        </w:rPr>
        <w:t>on-</w:t>
      </w:r>
      <w:r w:rsidR="008A47AF">
        <w:rPr>
          <w:rFonts w:ascii="Open Sans" w:hAnsi="Open Sans" w:cs="Open Sans"/>
          <w:szCs w:val="22"/>
        </w:rPr>
        <w:t>D</w:t>
      </w:r>
      <w:r w:rsidR="00116A26">
        <w:rPr>
          <w:rFonts w:ascii="Open Sans" w:hAnsi="Open Sans" w:cs="Open Sans"/>
          <w:szCs w:val="22"/>
        </w:rPr>
        <w:t>omestic</w:t>
      </w:r>
      <w:r w:rsidR="001E4324">
        <w:rPr>
          <w:rFonts w:ascii="Open Sans" w:hAnsi="Open Sans" w:cs="Open Sans"/>
          <w:szCs w:val="22"/>
        </w:rPr>
        <w:t xml:space="preserve"> </w:t>
      </w:r>
      <w:r w:rsidRPr="00273E54">
        <w:rPr>
          <w:rFonts w:ascii="Open Sans" w:hAnsi="Open Sans" w:cs="Open Sans"/>
          <w:szCs w:val="22"/>
        </w:rPr>
        <w:t xml:space="preserve">RHI </w:t>
      </w:r>
      <w:r w:rsidR="008A47AF">
        <w:rPr>
          <w:rFonts w:ascii="Open Sans" w:hAnsi="Open Sans" w:cs="Open Sans"/>
          <w:szCs w:val="22"/>
        </w:rPr>
        <w:t xml:space="preserve">(ND RHI) </w:t>
      </w:r>
      <w:r w:rsidRPr="00273E54">
        <w:rPr>
          <w:rFonts w:ascii="Open Sans" w:hAnsi="Open Sans" w:cs="Open Sans"/>
          <w:szCs w:val="22"/>
        </w:rPr>
        <w:t xml:space="preserve">and the start of Clean </w:t>
      </w:r>
      <w:r w:rsidR="00B03132" w:rsidRPr="00273E54">
        <w:rPr>
          <w:rFonts w:ascii="Open Sans" w:hAnsi="Open Sans" w:cs="Open Sans"/>
          <w:szCs w:val="22"/>
        </w:rPr>
        <w:t>H</w:t>
      </w:r>
      <w:r w:rsidRPr="00273E54">
        <w:rPr>
          <w:rFonts w:ascii="Open Sans" w:hAnsi="Open Sans" w:cs="Open Sans"/>
          <w:szCs w:val="22"/>
        </w:rPr>
        <w:t xml:space="preserve">eat Grant Scheme is expected to see the sector </w:t>
      </w:r>
      <w:r w:rsidR="006A05F8">
        <w:rPr>
          <w:rFonts w:ascii="Open Sans" w:hAnsi="Open Sans" w:cs="Open Sans"/>
          <w:szCs w:val="22"/>
        </w:rPr>
        <w:t>shrink</w:t>
      </w:r>
      <w:r w:rsidRPr="00273E54">
        <w:rPr>
          <w:rFonts w:ascii="Open Sans" w:hAnsi="Open Sans" w:cs="Open Sans"/>
          <w:szCs w:val="22"/>
        </w:rPr>
        <w:t xml:space="preserve"> further, resulting in the loss of jobs, </w:t>
      </w:r>
      <w:r w:rsidR="00E0171B">
        <w:rPr>
          <w:rFonts w:ascii="Open Sans" w:hAnsi="Open Sans" w:cs="Open Sans"/>
          <w:szCs w:val="22"/>
        </w:rPr>
        <w:t xml:space="preserve">skills exit </w:t>
      </w:r>
      <w:r w:rsidRPr="00273E54">
        <w:rPr>
          <w:rFonts w:ascii="Open Sans" w:hAnsi="Open Sans" w:cs="Open Sans"/>
          <w:szCs w:val="22"/>
        </w:rPr>
        <w:t xml:space="preserve">and </w:t>
      </w:r>
      <w:r w:rsidR="00E0171B">
        <w:rPr>
          <w:rFonts w:ascii="Open Sans" w:hAnsi="Open Sans" w:cs="Open Sans"/>
          <w:szCs w:val="22"/>
        </w:rPr>
        <w:t xml:space="preserve">collapse of </w:t>
      </w:r>
      <w:r w:rsidRPr="00273E54">
        <w:rPr>
          <w:rFonts w:ascii="Open Sans" w:hAnsi="Open Sans" w:cs="Open Sans"/>
          <w:szCs w:val="22"/>
        </w:rPr>
        <w:t>supply chains associated with these sectors.</w:t>
      </w:r>
      <w:r w:rsidR="00E0171B">
        <w:rPr>
          <w:rFonts w:ascii="Open Sans" w:hAnsi="Open Sans" w:cs="Open Sans"/>
          <w:szCs w:val="22"/>
        </w:rPr>
        <w:t xml:space="preserve">  </w:t>
      </w:r>
    </w:p>
    <w:p w14:paraId="145D275A" w14:textId="77777777" w:rsidR="00A23B53" w:rsidRDefault="00A23B53" w:rsidP="00971EF8">
      <w:pPr>
        <w:rPr>
          <w:rFonts w:ascii="Open Sans" w:hAnsi="Open Sans" w:cs="Open Sans"/>
          <w:szCs w:val="22"/>
        </w:rPr>
      </w:pPr>
    </w:p>
    <w:p w14:paraId="7A319EEA" w14:textId="35AA0E5A" w:rsidR="00A23B53" w:rsidRDefault="00273E54" w:rsidP="00971EF8">
      <w:pPr>
        <w:rPr>
          <w:rFonts w:ascii="Open Sans" w:hAnsi="Open Sans" w:cs="Open Sans"/>
          <w:szCs w:val="22"/>
        </w:rPr>
      </w:pPr>
      <w:r w:rsidRPr="00273E54">
        <w:rPr>
          <w:rFonts w:ascii="Open Sans" w:hAnsi="Open Sans" w:cs="Open Sans"/>
          <w:szCs w:val="22"/>
        </w:rPr>
        <w:t xml:space="preserve">With the focus of the Clean Heat Grant scheme on </w:t>
      </w:r>
      <w:r w:rsidR="00FD20CA" w:rsidRPr="00273E54">
        <w:rPr>
          <w:rFonts w:ascii="Open Sans" w:hAnsi="Open Sans" w:cs="Open Sans"/>
          <w:szCs w:val="22"/>
        </w:rPr>
        <w:t>small-scale</w:t>
      </w:r>
      <w:r w:rsidRPr="00273E54">
        <w:rPr>
          <w:rFonts w:ascii="Open Sans" w:hAnsi="Open Sans" w:cs="Open Sans"/>
          <w:szCs w:val="22"/>
        </w:rPr>
        <w:t xml:space="preserve"> projects</w:t>
      </w:r>
      <w:r w:rsidR="00B03132" w:rsidRPr="00273E54">
        <w:rPr>
          <w:rFonts w:ascii="Open Sans" w:hAnsi="Open Sans" w:cs="Open Sans"/>
          <w:szCs w:val="22"/>
        </w:rPr>
        <w:t>,</w:t>
      </w:r>
      <w:r w:rsidRPr="00273E54">
        <w:rPr>
          <w:rFonts w:ascii="Open Sans" w:hAnsi="Open Sans" w:cs="Open Sans"/>
          <w:szCs w:val="22"/>
        </w:rPr>
        <w:t xml:space="preserve"> the current </w:t>
      </w:r>
      <w:r w:rsidR="00E0171B">
        <w:rPr>
          <w:rFonts w:ascii="Open Sans" w:hAnsi="Open Sans" w:cs="Open Sans"/>
          <w:szCs w:val="22"/>
        </w:rPr>
        <w:t xml:space="preserve">supply chain </w:t>
      </w:r>
      <w:r w:rsidRPr="00273E54">
        <w:rPr>
          <w:rFonts w:ascii="Open Sans" w:hAnsi="Open Sans" w:cs="Open Sans"/>
          <w:szCs w:val="22"/>
        </w:rPr>
        <w:t xml:space="preserve">is left with </w:t>
      </w:r>
      <w:r w:rsidR="00FD20CA" w:rsidRPr="00273E54">
        <w:rPr>
          <w:rFonts w:ascii="Open Sans" w:hAnsi="Open Sans" w:cs="Open Sans"/>
          <w:szCs w:val="22"/>
        </w:rPr>
        <w:t xml:space="preserve">no future </w:t>
      </w:r>
      <w:r w:rsidRPr="00273E54">
        <w:rPr>
          <w:rFonts w:ascii="Open Sans" w:hAnsi="Open Sans" w:cs="Open Sans"/>
          <w:szCs w:val="22"/>
        </w:rPr>
        <w:t xml:space="preserve">growth opportunity. </w:t>
      </w:r>
      <w:r w:rsidR="00A23B53">
        <w:rPr>
          <w:rFonts w:ascii="Open Sans" w:hAnsi="Open Sans" w:cs="Open Sans"/>
          <w:szCs w:val="22"/>
        </w:rPr>
        <w:t>As supply chains</w:t>
      </w:r>
      <w:r w:rsidR="001E4324" w:rsidRPr="001E4324">
        <w:rPr>
          <w:rFonts w:ascii="Open Sans" w:hAnsi="Open Sans" w:cs="Open Sans"/>
          <w:szCs w:val="22"/>
        </w:rPr>
        <w:t xml:space="preserve"> </w:t>
      </w:r>
      <w:r w:rsidR="001E4324">
        <w:rPr>
          <w:rFonts w:ascii="Open Sans" w:hAnsi="Open Sans" w:cs="Open Sans"/>
          <w:szCs w:val="22"/>
        </w:rPr>
        <w:t xml:space="preserve">tighten and it becomes harder to access maintenance services or feedstocks, </w:t>
      </w:r>
      <w:r w:rsidR="00A23B53">
        <w:rPr>
          <w:rFonts w:ascii="Open Sans" w:hAnsi="Open Sans" w:cs="Open Sans"/>
          <w:szCs w:val="22"/>
        </w:rPr>
        <w:t>those already using renewable heat system are driven back to using fossil fuel alternatives – a trend which has already been observed.</w:t>
      </w:r>
      <w:r w:rsidR="001E4324">
        <w:rPr>
          <w:rFonts w:ascii="Open Sans" w:hAnsi="Open Sans" w:cs="Open Sans"/>
          <w:szCs w:val="22"/>
        </w:rPr>
        <w:t xml:space="preserve"> </w:t>
      </w:r>
      <w:r w:rsidR="00FD20CA" w:rsidRPr="00273E54">
        <w:rPr>
          <w:rFonts w:ascii="Open Sans" w:hAnsi="Open Sans" w:cs="Open Sans"/>
          <w:szCs w:val="22"/>
        </w:rPr>
        <w:t>This will</w:t>
      </w:r>
      <w:r w:rsidRPr="00273E54">
        <w:rPr>
          <w:rFonts w:ascii="Open Sans" w:hAnsi="Open Sans" w:cs="Open Sans"/>
          <w:szCs w:val="22"/>
        </w:rPr>
        <w:t xml:space="preserve"> undermine the </w:t>
      </w:r>
      <w:r w:rsidR="00FD20CA" w:rsidRPr="00273E54">
        <w:rPr>
          <w:rFonts w:ascii="Open Sans" w:hAnsi="Open Sans" w:cs="Open Sans"/>
          <w:szCs w:val="22"/>
        </w:rPr>
        <w:t xml:space="preserve">existing </w:t>
      </w:r>
      <w:r w:rsidRPr="00273E54">
        <w:rPr>
          <w:rFonts w:ascii="Open Sans" w:hAnsi="Open Sans" w:cs="Open Sans"/>
          <w:szCs w:val="22"/>
        </w:rPr>
        <w:t>renewable heat sector</w:t>
      </w:r>
      <w:r w:rsidR="00116A26">
        <w:rPr>
          <w:rFonts w:ascii="Open Sans" w:hAnsi="Open Sans" w:cs="Open Sans"/>
          <w:szCs w:val="22"/>
        </w:rPr>
        <w:t xml:space="preserve">, established by the RHI, </w:t>
      </w:r>
      <w:r w:rsidRPr="00273E54">
        <w:rPr>
          <w:rFonts w:ascii="Open Sans" w:hAnsi="Open Sans" w:cs="Open Sans"/>
          <w:szCs w:val="22"/>
        </w:rPr>
        <w:t>as well as debilitate the ability of the Clean Heat Grant scheme to succeed.</w:t>
      </w:r>
      <w:r w:rsidR="00A23B53">
        <w:rPr>
          <w:rFonts w:ascii="Open Sans" w:hAnsi="Open Sans" w:cs="Open Sans"/>
          <w:szCs w:val="22"/>
        </w:rPr>
        <w:t xml:space="preserve">  </w:t>
      </w:r>
    </w:p>
    <w:p w14:paraId="59C1C70B" w14:textId="77777777" w:rsidR="00A23B53" w:rsidRDefault="00A23B53" w:rsidP="00971EF8">
      <w:pPr>
        <w:rPr>
          <w:rFonts w:ascii="Open Sans" w:hAnsi="Open Sans" w:cs="Open Sans"/>
          <w:szCs w:val="22"/>
        </w:rPr>
      </w:pPr>
    </w:p>
    <w:p w14:paraId="3A5700B3" w14:textId="1CA69AFE" w:rsidR="00971EF8" w:rsidRDefault="00FD20CA" w:rsidP="00971EF8">
      <w:pPr>
        <w:rPr>
          <w:rFonts w:ascii="Open Sans" w:hAnsi="Open Sans" w:cs="Open Sans"/>
          <w:szCs w:val="22"/>
        </w:rPr>
      </w:pPr>
      <w:r w:rsidRPr="00273E54">
        <w:rPr>
          <w:rFonts w:ascii="Open Sans" w:hAnsi="Open Sans" w:cs="Open Sans"/>
          <w:szCs w:val="22"/>
        </w:rPr>
        <w:t xml:space="preserve">Expanding the </w:t>
      </w:r>
      <w:r w:rsidR="005715F6">
        <w:rPr>
          <w:rFonts w:ascii="Open Sans" w:hAnsi="Open Sans" w:cs="Open Sans"/>
          <w:szCs w:val="22"/>
        </w:rPr>
        <w:t xml:space="preserve">proposed </w:t>
      </w:r>
      <w:r w:rsidRPr="00273E54">
        <w:rPr>
          <w:rFonts w:ascii="Open Sans" w:hAnsi="Open Sans" w:cs="Open Sans"/>
          <w:szCs w:val="22"/>
        </w:rPr>
        <w:t>scheme, as well as bringing forward further heat policies, is necessary if the clean heat sector is to grow in line with the UK's net-zero ambitions.</w:t>
      </w:r>
    </w:p>
    <w:p w14:paraId="3E94BB72" w14:textId="6AE7CE97" w:rsidR="00C85944" w:rsidRDefault="00C85944" w:rsidP="00971EF8">
      <w:pPr>
        <w:rPr>
          <w:rFonts w:ascii="Open Sans" w:hAnsi="Open Sans" w:cs="Open Sans"/>
          <w:szCs w:val="22"/>
        </w:rPr>
      </w:pPr>
    </w:p>
    <w:p w14:paraId="16ADCFF3" w14:textId="4D66A1EA" w:rsidR="00275E25" w:rsidRPr="005A49EC" w:rsidRDefault="00275E25" w:rsidP="00275E25">
      <w:pPr>
        <w:spacing w:before="120" w:after="120"/>
        <w:rPr>
          <w:rFonts w:ascii="Open Sans" w:hAnsi="Open Sans" w:cs="Open Sans"/>
          <w:b/>
          <w:bCs/>
          <w:szCs w:val="22"/>
        </w:rPr>
      </w:pPr>
      <w:r>
        <w:rPr>
          <w:rFonts w:ascii="Open Sans" w:hAnsi="Open Sans" w:cs="Open Sans"/>
          <w:b/>
          <w:bCs/>
          <w:szCs w:val="22"/>
        </w:rPr>
        <w:t>Summary of response – Green Gas</w:t>
      </w:r>
    </w:p>
    <w:p w14:paraId="250F509B" w14:textId="77777777" w:rsidR="00275E25" w:rsidRDefault="00275E25" w:rsidP="00275E25">
      <w:pPr>
        <w:spacing w:before="120" w:after="120"/>
        <w:rPr>
          <w:rFonts w:ascii="Open Sans" w:hAnsi="Open Sans" w:cs="Open Sans"/>
          <w:szCs w:val="22"/>
        </w:rPr>
      </w:pPr>
      <w:r w:rsidRPr="009E5659">
        <w:rPr>
          <w:rFonts w:ascii="Open Sans" w:hAnsi="Open Sans" w:cs="Open Sans"/>
          <w:szCs w:val="22"/>
        </w:rPr>
        <w:t xml:space="preserve">It is welcome that BEIS is bringing forward a support mechanism aimed at increasing the proportion of biomethane in the grid as well as avoiding a hiatus in biomethane development. We are also pleased that BEIS is considering and seeking views on a longer-term support for green gases. </w:t>
      </w:r>
    </w:p>
    <w:p w14:paraId="57940E0B" w14:textId="77777777" w:rsidR="00275E25" w:rsidRPr="00245914" w:rsidRDefault="00275E25">
      <w:pPr>
        <w:spacing w:before="120" w:after="120"/>
        <w:rPr>
          <w:rFonts w:ascii="Open Sans" w:hAnsi="Open Sans" w:cs="Open Sans"/>
          <w:szCs w:val="22"/>
          <w:lang w:eastAsia="en-GB"/>
        </w:rPr>
      </w:pPr>
      <w:r w:rsidRPr="00245914">
        <w:rPr>
          <w:rFonts w:ascii="Open Sans" w:hAnsi="Open Sans" w:cs="Open Sans"/>
          <w:szCs w:val="22"/>
          <w:lang w:eastAsia="en-GB"/>
        </w:rPr>
        <w:t>We anticipate the proposed change in the interaction between the RHI and the RTFO will result in significant additional biomethane injection from existing biomethane injection facilities as well as enabling any new projects joining the scheme to optimise their output.</w:t>
      </w:r>
    </w:p>
    <w:p w14:paraId="65EB9DA0" w14:textId="77777777" w:rsidR="00275E25" w:rsidRDefault="00275E25">
      <w:pPr>
        <w:spacing w:before="120" w:after="120"/>
        <w:rPr>
          <w:rFonts w:ascii="Open Sans" w:hAnsi="Open Sans" w:cs="Open Sans"/>
          <w:szCs w:val="22"/>
        </w:rPr>
      </w:pPr>
      <w:r w:rsidRPr="003C423B">
        <w:rPr>
          <w:rFonts w:ascii="Open Sans" w:hAnsi="Open Sans" w:cs="Open Sans"/>
          <w:szCs w:val="22"/>
        </w:rPr>
        <w:t xml:space="preserve">As highlighted in the consultation’s </w:t>
      </w:r>
      <w:hyperlink r:id="rId8" w:history="1">
        <w:r w:rsidRPr="003C423B">
          <w:rPr>
            <w:rStyle w:val="Hyperlink"/>
            <w:rFonts w:ascii="Open Sans" w:hAnsi="Open Sans" w:cs="Open Sans"/>
            <w:szCs w:val="22"/>
          </w:rPr>
          <w:t>Impact Assessment</w:t>
        </w:r>
      </w:hyperlink>
      <w:r w:rsidRPr="003C423B">
        <w:rPr>
          <w:rFonts w:ascii="Open Sans" w:hAnsi="Open Sans" w:cs="Open Sans"/>
          <w:szCs w:val="22"/>
        </w:rPr>
        <w:t xml:space="preserve">, </w:t>
      </w:r>
      <w:r>
        <w:rPr>
          <w:rFonts w:ascii="Open Sans" w:hAnsi="Open Sans" w:cs="Open Sans"/>
          <w:szCs w:val="22"/>
        </w:rPr>
        <w:t>‘</w:t>
      </w:r>
      <w:r w:rsidRPr="003C423B">
        <w:rPr>
          <w:rFonts w:ascii="Open Sans" w:hAnsi="Open Sans" w:cs="Open Sans"/>
          <w:szCs w:val="22"/>
        </w:rPr>
        <w:t>biomethane injection offers a low-regrets, cost-effective way of contributing to near-term,</w:t>
      </w:r>
      <w:r>
        <w:rPr>
          <w:rFonts w:ascii="Open Sans" w:hAnsi="Open Sans" w:cs="Open Sans"/>
          <w:szCs w:val="22"/>
        </w:rPr>
        <w:t xml:space="preserve"> </w:t>
      </w:r>
      <w:r w:rsidRPr="003C423B">
        <w:rPr>
          <w:rFonts w:ascii="Open Sans" w:hAnsi="Open Sans" w:cs="Open Sans"/>
          <w:szCs w:val="22"/>
        </w:rPr>
        <w:t>legally binding carbon budgets and is also the only commercially-available technology</w:t>
      </w:r>
      <w:r>
        <w:rPr>
          <w:rFonts w:ascii="Open Sans" w:hAnsi="Open Sans" w:cs="Open Sans"/>
          <w:szCs w:val="22"/>
        </w:rPr>
        <w:t xml:space="preserve"> </w:t>
      </w:r>
      <w:r w:rsidRPr="003C423B">
        <w:rPr>
          <w:rFonts w:ascii="Open Sans" w:hAnsi="Open Sans" w:cs="Open Sans"/>
          <w:szCs w:val="22"/>
        </w:rPr>
        <w:t>capable of greening the gas grid.</w:t>
      </w:r>
      <w:r>
        <w:rPr>
          <w:rFonts w:ascii="Open Sans" w:hAnsi="Open Sans" w:cs="Open Sans"/>
          <w:szCs w:val="22"/>
        </w:rPr>
        <w:t>’</w:t>
      </w:r>
      <w:r w:rsidRPr="003C423B">
        <w:rPr>
          <w:rFonts w:ascii="Open Sans" w:hAnsi="Open Sans" w:cs="Open Sans"/>
          <w:szCs w:val="22"/>
        </w:rPr>
        <w:t xml:space="preserve"> </w:t>
      </w:r>
    </w:p>
    <w:p w14:paraId="1B0AF6F7" w14:textId="77777777" w:rsidR="00275E25" w:rsidRDefault="00275E25">
      <w:pPr>
        <w:spacing w:before="120" w:after="120"/>
        <w:rPr>
          <w:rFonts w:ascii="Open Sans" w:hAnsi="Open Sans" w:cs="Open Sans"/>
          <w:szCs w:val="22"/>
          <w:lang w:eastAsia="en-GB"/>
        </w:rPr>
      </w:pPr>
      <w:r>
        <w:rPr>
          <w:rFonts w:ascii="Open Sans" w:hAnsi="Open Sans" w:cs="Open Sans"/>
          <w:szCs w:val="22"/>
        </w:rPr>
        <w:t xml:space="preserve">However, </w:t>
      </w:r>
      <w:r w:rsidRPr="00B36594">
        <w:rPr>
          <w:rFonts w:ascii="Open Sans" w:hAnsi="Open Sans" w:cs="Open Sans"/>
          <w:b/>
          <w:bCs/>
          <w:szCs w:val="22"/>
        </w:rPr>
        <w:t>the Green Gas Support Scheme should include support to plant expansions of existing assets as well as new build</w:t>
      </w:r>
      <w:r w:rsidRPr="00245914">
        <w:rPr>
          <w:rFonts w:ascii="Open Sans" w:hAnsi="Open Sans" w:cs="Open Sans"/>
          <w:szCs w:val="22"/>
        </w:rPr>
        <w:t xml:space="preserve">. Making </w:t>
      </w:r>
      <w:r>
        <w:rPr>
          <w:rFonts w:ascii="Open Sans" w:hAnsi="Open Sans" w:cs="Open Sans"/>
          <w:szCs w:val="22"/>
        </w:rPr>
        <w:t xml:space="preserve">existing </w:t>
      </w:r>
      <w:r w:rsidRPr="00245914">
        <w:rPr>
          <w:rFonts w:ascii="Open Sans" w:hAnsi="Open Sans" w:cs="Open Sans"/>
          <w:szCs w:val="22"/>
        </w:rPr>
        <w:t>plants eligible for the Green Gas Support Scheme would maximise value for money delivered through the scheme</w:t>
      </w:r>
      <w:r>
        <w:rPr>
          <w:rFonts w:ascii="Open Sans" w:hAnsi="Open Sans" w:cs="Open Sans"/>
          <w:szCs w:val="22"/>
        </w:rPr>
        <w:t xml:space="preserve">, whilst </w:t>
      </w:r>
      <w:r w:rsidRPr="00245914">
        <w:rPr>
          <w:rFonts w:ascii="Open Sans" w:hAnsi="Open Sans" w:cs="Open Sans"/>
          <w:szCs w:val="22"/>
        </w:rPr>
        <w:t>stimulat</w:t>
      </w:r>
      <w:r>
        <w:rPr>
          <w:rFonts w:ascii="Open Sans" w:hAnsi="Open Sans" w:cs="Open Sans"/>
          <w:szCs w:val="22"/>
        </w:rPr>
        <w:t>ing</w:t>
      </w:r>
      <w:r w:rsidRPr="00245914">
        <w:rPr>
          <w:rFonts w:ascii="Open Sans" w:hAnsi="Open Sans" w:cs="Open Sans"/>
          <w:szCs w:val="22"/>
        </w:rPr>
        <w:t xml:space="preserve"> further biomethane generation</w:t>
      </w:r>
      <w:r>
        <w:rPr>
          <w:rFonts w:ascii="Open Sans" w:hAnsi="Open Sans" w:cs="Open Sans"/>
          <w:szCs w:val="22"/>
        </w:rPr>
        <w:t>.</w:t>
      </w:r>
    </w:p>
    <w:p w14:paraId="0EB13488" w14:textId="77777777" w:rsidR="00275E25" w:rsidRPr="00834452" w:rsidRDefault="00275E25">
      <w:pPr>
        <w:spacing w:before="120" w:after="120"/>
        <w:rPr>
          <w:rFonts w:ascii="Open Sans" w:hAnsi="Open Sans" w:cs="Open Sans"/>
          <w:szCs w:val="22"/>
          <w:u w:val="single"/>
          <w:lang w:eastAsia="en-GB"/>
        </w:rPr>
      </w:pPr>
      <w:r w:rsidRPr="00834452">
        <w:rPr>
          <w:rFonts w:ascii="Open Sans" w:hAnsi="Open Sans" w:cs="Open Sans"/>
          <w:szCs w:val="22"/>
          <w:lang w:eastAsia="en-GB"/>
        </w:rPr>
        <w:t xml:space="preserve">We </w:t>
      </w:r>
      <w:r>
        <w:rPr>
          <w:rFonts w:ascii="Open Sans" w:hAnsi="Open Sans" w:cs="Open Sans"/>
          <w:szCs w:val="22"/>
          <w:lang w:eastAsia="en-GB"/>
        </w:rPr>
        <w:t xml:space="preserve">also </w:t>
      </w:r>
      <w:r w:rsidRPr="00834452">
        <w:rPr>
          <w:rFonts w:ascii="Open Sans" w:hAnsi="Open Sans" w:cs="Open Sans"/>
          <w:szCs w:val="22"/>
          <w:lang w:eastAsia="en-GB"/>
        </w:rPr>
        <w:t xml:space="preserve">consider that the Green Gas Support Scheme should be technology neutral and </w:t>
      </w:r>
      <w:r w:rsidRPr="00B36594">
        <w:rPr>
          <w:rFonts w:ascii="Open Sans" w:hAnsi="Open Sans" w:cs="Open Sans"/>
          <w:b/>
          <w:bCs/>
          <w:szCs w:val="22"/>
          <w:lang w:eastAsia="en-GB"/>
        </w:rPr>
        <w:t>include biomethane from thermal gasification</w:t>
      </w:r>
      <w:r w:rsidRPr="00834452">
        <w:rPr>
          <w:rFonts w:ascii="Open Sans" w:hAnsi="Open Sans" w:cs="Open Sans"/>
          <w:szCs w:val="22"/>
          <w:lang w:eastAsia="en-GB"/>
        </w:rPr>
        <w:t xml:space="preserve">, in line with support provided under the Renewable Heat Incentive. </w:t>
      </w:r>
    </w:p>
    <w:p w14:paraId="3F38EDDE" w14:textId="63975FE3" w:rsidR="00275E25" w:rsidRDefault="00275E25">
      <w:pPr>
        <w:spacing w:before="120" w:after="120"/>
        <w:jc w:val="left"/>
        <w:rPr>
          <w:rFonts w:ascii="Open Sans" w:hAnsi="Open Sans" w:cs="Open Sans"/>
          <w:szCs w:val="22"/>
        </w:rPr>
      </w:pPr>
      <w:r w:rsidRPr="00245914">
        <w:rPr>
          <w:rFonts w:ascii="Open Sans" w:hAnsi="Open Sans" w:cs="Open Sans"/>
          <w:szCs w:val="22"/>
        </w:rPr>
        <w:lastRenderedPageBreak/>
        <w:t>Generally, the expansion of Tier 1 to 60,000 MWh</w:t>
      </w:r>
      <w:r>
        <w:rPr>
          <w:rFonts w:ascii="Open Sans" w:hAnsi="Open Sans" w:cs="Open Sans"/>
          <w:szCs w:val="22"/>
        </w:rPr>
        <w:t xml:space="preserve">/annum </w:t>
      </w:r>
      <w:r w:rsidRPr="00245914">
        <w:rPr>
          <w:rFonts w:ascii="Open Sans" w:hAnsi="Open Sans" w:cs="Open Sans"/>
          <w:szCs w:val="22"/>
        </w:rPr>
        <w:t>is seen as a positive step forward to allow better economies of scale</w:t>
      </w:r>
      <w:r>
        <w:rPr>
          <w:rFonts w:ascii="Open Sans" w:hAnsi="Open Sans" w:cs="Open Sans"/>
          <w:szCs w:val="22"/>
        </w:rPr>
        <w:t xml:space="preserve">. However, </w:t>
      </w:r>
      <w:r w:rsidRPr="00B36594">
        <w:rPr>
          <w:rFonts w:ascii="Open Sans" w:hAnsi="Open Sans" w:cs="Open Sans"/>
          <w:b/>
          <w:bCs/>
          <w:szCs w:val="22"/>
        </w:rPr>
        <w:t>the tariff length should not be reduced as this would lead to greater investment risks, higher cost of capital and less sustainable roll out of the industry, as well as rule out the ability of re-finance projects.</w:t>
      </w:r>
      <w:r>
        <w:rPr>
          <w:rFonts w:ascii="Open Sans" w:hAnsi="Open Sans" w:cs="Open Sans"/>
          <w:szCs w:val="22"/>
        </w:rPr>
        <w:t xml:space="preserve"> In addition, </w:t>
      </w:r>
      <w:r w:rsidRPr="002A1449">
        <w:rPr>
          <w:rFonts w:ascii="Open Sans" w:hAnsi="Open Sans" w:cs="Open Sans"/>
          <w:b/>
          <w:bCs/>
          <w:szCs w:val="22"/>
        </w:rPr>
        <w:t>the tariff levels proposed</w:t>
      </w:r>
      <w:r w:rsidRPr="00245914">
        <w:rPr>
          <w:rFonts w:ascii="Open Sans" w:hAnsi="Open Sans" w:cs="Open Sans"/>
          <w:szCs w:val="22"/>
        </w:rPr>
        <w:t xml:space="preserve"> </w:t>
      </w:r>
      <w:r>
        <w:rPr>
          <w:rFonts w:ascii="Open Sans" w:hAnsi="Open Sans" w:cs="Open Sans"/>
          <w:szCs w:val="22"/>
        </w:rPr>
        <w:t>-</w:t>
      </w:r>
      <w:r w:rsidRPr="00245914">
        <w:rPr>
          <w:rFonts w:ascii="Open Sans" w:hAnsi="Open Sans" w:cs="Open Sans"/>
          <w:szCs w:val="22"/>
        </w:rPr>
        <w:t>particularly at the lower end of those proposed</w:t>
      </w:r>
      <w:r w:rsidRPr="002A1449">
        <w:rPr>
          <w:rFonts w:ascii="Open Sans" w:hAnsi="Open Sans" w:cs="Open Sans"/>
          <w:b/>
          <w:bCs/>
          <w:szCs w:val="22"/>
        </w:rPr>
        <w:t>, may not meet the BEIS target IRR</w:t>
      </w:r>
      <w:r>
        <w:rPr>
          <w:rFonts w:ascii="Open Sans" w:hAnsi="Open Sans" w:cs="Open Sans"/>
          <w:szCs w:val="22"/>
        </w:rPr>
        <w:t xml:space="preserve"> (10%) and </w:t>
      </w:r>
      <w:r w:rsidRPr="00824F4D">
        <w:rPr>
          <w:rFonts w:ascii="Open Sans" w:hAnsi="Open Sans" w:cs="Open Sans"/>
          <w:b/>
          <w:bCs/>
          <w:szCs w:val="22"/>
        </w:rPr>
        <w:t>may not be adequate</w:t>
      </w:r>
      <w:r>
        <w:rPr>
          <w:rFonts w:ascii="Open Sans" w:hAnsi="Open Sans" w:cs="Open Sans"/>
          <w:szCs w:val="22"/>
        </w:rPr>
        <w:t xml:space="preserve"> to reflect the increasing costs of regulations and environmental permitting. </w:t>
      </w:r>
    </w:p>
    <w:p w14:paraId="060A3ACA" w14:textId="77777777" w:rsidR="00275E25" w:rsidRDefault="00275E25">
      <w:pPr>
        <w:spacing w:before="120" w:after="120"/>
        <w:rPr>
          <w:rFonts w:ascii="Open Sans" w:hAnsi="Open Sans" w:cs="Open Sans"/>
          <w:szCs w:val="22"/>
          <w:lang w:eastAsia="en-GB"/>
        </w:rPr>
      </w:pPr>
      <w:r w:rsidRPr="00245914">
        <w:rPr>
          <w:rFonts w:ascii="Open Sans" w:hAnsi="Open Sans" w:cs="Open Sans"/>
          <w:szCs w:val="22"/>
          <w:lang w:eastAsia="en-GB"/>
        </w:rPr>
        <w:t>BEIS’s intention to replicate tariff guarantees is seen as a positive step as it will continue to give developers/installers confidence of the tariff they will receive</w:t>
      </w:r>
      <w:r>
        <w:rPr>
          <w:rFonts w:ascii="Open Sans" w:hAnsi="Open Sans" w:cs="Open Sans"/>
          <w:szCs w:val="22"/>
          <w:lang w:eastAsia="en-GB"/>
        </w:rPr>
        <w:t xml:space="preserve">, but </w:t>
      </w:r>
      <w:r w:rsidRPr="00FF13F1">
        <w:rPr>
          <w:rFonts w:ascii="Open Sans" w:hAnsi="Open Sans" w:cs="Open Sans"/>
          <w:b/>
          <w:bCs/>
          <w:szCs w:val="22"/>
          <w:lang w:eastAsia="en-GB"/>
        </w:rPr>
        <w:t xml:space="preserve">tariff guarantee deadlines for a project should be set with sufficient </w:t>
      </w:r>
      <w:r w:rsidRPr="00824F4D">
        <w:rPr>
          <w:rFonts w:ascii="Open Sans" w:hAnsi="Open Sans" w:cs="Open Sans"/>
          <w:b/>
          <w:bCs/>
          <w:szCs w:val="22"/>
          <w:lang w:eastAsia="en-GB"/>
        </w:rPr>
        <w:t xml:space="preserve">time </w:t>
      </w:r>
      <w:r w:rsidRPr="00245914">
        <w:rPr>
          <w:rFonts w:ascii="Open Sans" w:hAnsi="Open Sans" w:cs="Open Sans"/>
          <w:szCs w:val="22"/>
          <w:lang w:eastAsia="en-GB"/>
        </w:rPr>
        <w:t xml:space="preserve">to enable plants to commission without rushing to meet deadlines. </w:t>
      </w:r>
      <w:r>
        <w:rPr>
          <w:rFonts w:ascii="Open Sans" w:hAnsi="Open Sans" w:cs="Open Sans"/>
          <w:szCs w:val="22"/>
          <w:lang w:eastAsia="en-GB"/>
        </w:rPr>
        <w:t xml:space="preserve">In addition, </w:t>
      </w:r>
      <w:r w:rsidRPr="00824F4D">
        <w:rPr>
          <w:rFonts w:ascii="Open Sans" w:hAnsi="Open Sans" w:cs="Open Sans"/>
          <w:szCs w:val="22"/>
          <w:lang w:eastAsia="en-GB"/>
        </w:rPr>
        <w:t xml:space="preserve">a </w:t>
      </w:r>
      <w:r w:rsidRPr="002A1449">
        <w:rPr>
          <w:rFonts w:ascii="Open Sans" w:hAnsi="Open Sans" w:cs="Open Sans"/>
          <w:b/>
          <w:bCs/>
          <w:szCs w:val="22"/>
          <w:lang w:eastAsia="en-GB"/>
        </w:rPr>
        <w:t xml:space="preserve">degression mechanism for biomethane is no longer required. </w:t>
      </w:r>
      <w:r w:rsidRPr="009628BC">
        <w:rPr>
          <w:rFonts w:ascii="Open Sans" w:hAnsi="Open Sans" w:cs="Open Sans"/>
          <w:b/>
          <w:bCs/>
          <w:szCs w:val="22"/>
          <w:lang w:eastAsia="en-GB"/>
        </w:rPr>
        <w:t>We would recommend instead a single review point midway through the scheme.</w:t>
      </w:r>
      <w:r w:rsidRPr="00245914">
        <w:rPr>
          <w:rFonts w:ascii="Open Sans" w:hAnsi="Open Sans" w:cs="Open Sans"/>
          <w:szCs w:val="22"/>
          <w:lang w:eastAsia="en-GB"/>
        </w:rPr>
        <w:t xml:space="preserve"> </w:t>
      </w:r>
    </w:p>
    <w:p w14:paraId="517E0264" w14:textId="77777777" w:rsidR="00275E25" w:rsidRDefault="00275E25">
      <w:pPr>
        <w:spacing w:before="120" w:after="120"/>
        <w:contextualSpacing/>
        <w:jc w:val="left"/>
        <w:rPr>
          <w:rFonts w:ascii="Open Sans" w:hAnsi="Open Sans" w:cs="Open Sans"/>
          <w:szCs w:val="22"/>
        </w:rPr>
      </w:pPr>
      <w:r>
        <w:rPr>
          <w:rFonts w:ascii="Open Sans" w:hAnsi="Open Sans" w:cs="Open Sans"/>
          <w:szCs w:val="22"/>
        </w:rPr>
        <w:t xml:space="preserve">We agree that wastes should be encouraged in line with a circular economy, but </w:t>
      </w:r>
      <w:r w:rsidRPr="00465581">
        <w:rPr>
          <w:rFonts w:ascii="Open Sans" w:hAnsi="Open Sans" w:cs="Open Sans"/>
          <w:b/>
          <w:bCs/>
          <w:szCs w:val="22"/>
        </w:rPr>
        <w:t>we cannot support a further increase of the minimum percentage of waste feedstocks above 50%.</w:t>
      </w:r>
      <w:r w:rsidRPr="00245914">
        <w:rPr>
          <w:rFonts w:ascii="Open Sans" w:hAnsi="Open Sans" w:cs="Open Sans"/>
          <w:szCs w:val="22"/>
        </w:rPr>
        <w:t xml:space="preserve"> </w:t>
      </w:r>
    </w:p>
    <w:p w14:paraId="6A2E9A35" w14:textId="77777777" w:rsidR="00275E25" w:rsidRDefault="00275E25">
      <w:pPr>
        <w:spacing w:before="120" w:after="120"/>
        <w:contextualSpacing/>
        <w:jc w:val="left"/>
        <w:rPr>
          <w:rFonts w:ascii="Open Sans" w:hAnsi="Open Sans" w:cs="Open Sans"/>
          <w:szCs w:val="22"/>
        </w:rPr>
      </w:pPr>
    </w:p>
    <w:p w14:paraId="18DEC1F7" w14:textId="77777777" w:rsidR="00275E25" w:rsidRPr="00465581" w:rsidRDefault="00275E25">
      <w:pPr>
        <w:spacing w:before="120" w:after="120"/>
        <w:contextualSpacing/>
        <w:jc w:val="left"/>
        <w:rPr>
          <w:rFonts w:ascii="Open Sans" w:hAnsi="Open Sans" w:cs="Open Sans"/>
          <w:b/>
          <w:bCs/>
          <w:szCs w:val="22"/>
          <w:lang w:eastAsia="en-GB"/>
        </w:rPr>
      </w:pPr>
      <w:r>
        <w:rPr>
          <w:rFonts w:ascii="Open Sans" w:hAnsi="Open Sans" w:cs="Open Sans"/>
          <w:szCs w:val="22"/>
        </w:rPr>
        <w:t xml:space="preserve">We have also asked that </w:t>
      </w:r>
      <w:r w:rsidRPr="00465581">
        <w:rPr>
          <w:rFonts w:ascii="Open Sans" w:hAnsi="Open Sans" w:cs="Open Sans"/>
          <w:b/>
          <w:bCs/>
          <w:szCs w:val="22"/>
          <w:lang w:eastAsia="en-GB"/>
        </w:rPr>
        <w:t>BEIS redefines what is counted towards this percentage and that this should be more aligned with the Renewable Transport Fuel Obligation</w:t>
      </w:r>
      <w:r>
        <w:rPr>
          <w:rFonts w:ascii="Open Sans" w:hAnsi="Open Sans" w:cs="Open Sans"/>
          <w:b/>
          <w:bCs/>
          <w:szCs w:val="22"/>
          <w:lang w:eastAsia="en-GB"/>
        </w:rPr>
        <w:t xml:space="preserve"> and RED II. </w:t>
      </w:r>
    </w:p>
    <w:p w14:paraId="34C3EAFC" w14:textId="77777777" w:rsidR="00275E25" w:rsidRPr="00245914" w:rsidRDefault="00275E25">
      <w:pPr>
        <w:spacing w:before="120" w:after="120"/>
        <w:rPr>
          <w:rFonts w:ascii="Open Sans" w:hAnsi="Open Sans" w:cs="Open Sans"/>
          <w:szCs w:val="22"/>
        </w:rPr>
      </w:pPr>
      <w:r>
        <w:rPr>
          <w:rFonts w:ascii="Open Sans" w:hAnsi="Open Sans" w:cs="Open Sans"/>
          <w:szCs w:val="22"/>
        </w:rPr>
        <w:t xml:space="preserve">We consider it would be </w:t>
      </w:r>
      <w:r w:rsidRPr="00245914">
        <w:rPr>
          <w:rFonts w:ascii="Open Sans" w:hAnsi="Open Sans" w:cs="Open Sans"/>
          <w:szCs w:val="22"/>
        </w:rPr>
        <w:t>it would be sensible to align sustainability criteria to RED II</w:t>
      </w:r>
      <w:r>
        <w:rPr>
          <w:rFonts w:ascii="Open Sans" w:hAnsi="Open Sans" w:cs="Open Sans"/>
          <w:szCs w:val="22"/>
        </w:rPr>
        <w:t xml:space="preserve">, but we strongly recommend that, if this is done, </w:t>
      </w:r>
      <w:r w:rsidRPr="006122D2">
        <w:rPr>
          <w:rFonts w:ascii="Open Sans" w:hAnsi="Open Sans" w:cs="Open Sans"/>
          <w:b/>
          <w:bCs/>
          <w:szCs w:val="22"/>
        </w:rPr>
        <w:t>averaging of consignments to calculate lifecycle GHG emissions against the target is allowed in line with RED II</w:t>
      </w:r>
      <w:r>
        <w:rPr>
          <w:rFonts w:ascii="Open Sans" w:hAnsi="Open Sans" w:cs="Open Sans"/>
          <w:szCs w:val="22"/>
        </w:rPr>
        <w:t xml:space="preserve">. Also, we have asked That BEIS </w:t>
      </w:r>
      <w:r w:rsidRPr="00245914">
        <w:rPr>
          <w:rFonts w:ascii="Open Sans" w:hAnsi="Open Sans" w:cs="Open Sans"/>
          <w:szCs w:val="22"/>
        </w:rPr>
        <w:t xml:space="preserve">put in place </w:t>
      </w:r>
      <w:r w:rsidRPr="006122D2">
        <w:rPr>
          <w:rFonts w:ascii="Open Sans" w:hAnsi="Open Sans" w:cs="Open Sans"/>
          <w:szCs w:val="22"/>
        </w:rPr>
        <w:t>tighter requirements on methane slip to promote industry good practice.</w:t>
      </w:r>
    </w:p>
    <w:p w14:paraId="5B1A9F9C" w14:textId="77777777" w:rsidR="00275E25" w:rsidRDefault="00275E25">
      <w:pPr>
        <w:spacing w:before="120" w:after="120"/>
        <w:rPr>
          <w:rFonts w:ascii="Open Sans" w:hAnsi="Open Sans" w:cs="Open Sans"/>
          <w:szCs w:val="22"/>
        </w:rPr>
      </w:pPr>
      <w:r w:rsidRPr="00245914">
        <w:rPr>
          <w:rFonts w:ascii="Open Sans" w:hAnsi="Open Sans" w:cs="Open Sans"/>
          <w:szCs w:val="22"/>
        </w:rPr>
        <w:t xml:space="preserve">There needs to be a </w:t>
      </w:r>
      <w:r w:rsidRPr="006122D2">
        <w:rPr>
          <w:rFonts w:ascii="Open Sans" w:hAnsi="Open Sans" w:cs="Open Sans"/>
          <w:b/>
          <w:bCs/>
          <w:szCs w:val="22"/>
        </w:rPr>
        <w:t>more streamlined and consistent approach within the Fuel Measurement and Sampling Protocol (FMS) to allow for more flexibility</w:t>
      </w:r>
      <w:r w:rsidRPr="00245914">
        <w:rPr>
          <w:rFonts w:ascii="Open Sans" w:hAnsi="Open Sans" w:cs="Open Sans"/>
          <w:szCs w:val="22"/>
        </w:rPr>
        <w:t xml:space="preserve"> in an ever increasingly complex supply chain and feedstock market. </w:t>
      </w:r>
      <w:r>
        <w:rPr>
          <w:rFonts w:ascii="Open Sans" w:hAnsi="Open Sans" w:cs="Open Sans"/>
          <w:szCs w:val="22"/>
        </w:rPr>
        <w:t xml:space="preserve">More detail on the proposed solutions is included in the response. </w:t>
      </w:r>
    </w:p>
    <w:p w14:paraId="276A0A40" w14:textId="77777777" w:rsidR="00275E25" w:rsidRDefault="00275E25">
      <w:pPr>
        <w:shd w:val="clear" w:color="auto" w:fill="FFFFFF"/>
        <w:spacing w:before="120" w:after="120"/>
        <w:rPr>
          <w:rFonts w:ascii="Open Sans" w:hAnsi="Open Sans" w:cs="Open Sans"/>
          <w:szCs w:val="22"/>
          <w:lang w:eastAsia="en-GB"/>
        </w:rPr>
      </w:pPr>
      <w:r>
        <w:rPr>
          <w:rFonts w:ascii="Open Sans" w:hAnsi="Open Sans" w:cs="Open Sans"/>
          <w:szCs w:val="22"/>
          <w:lang w:eastAsia="en-GB"/>
        </w:rPr>
        <w:t xml:space="preserve">A range of strategies to minimise ammonia emissions from digestate and increase their commercial demand do certainly exist, and we have listed the key ones in our response, however </w:t>
      </w:r>
      <w:r w:rsidRPr="00093AB6">
        <w:rPr>
          <w:rFonts w:ascii="Open Sans" w:hAnsi="Open Sans" w:cs="Open Sans"/>
          <w:b/>
          <w:bCs/>
          <w:szCs w:val="22"/>
          <w:lang w:eastAsia="en-GB"/>
        </w:rPr>
        <w:t>the key barrier to their uptake is their cost.</w:t>
      </w:r>
      <w:r>
        <w:rPr>
          <w:rFonts w:ascii="Open Sans" w:hAnsi="Open Sans" w:cs="Open Sans"/>
          <w:szCs w:val="22"/>
          <w:lang w:eastAsia="en-GB"/>
        </w:rPr>
        <w:t xml:space="preserve"> This needs to be supported by Government, preferably through dedicated grants. </w:t>
      </w:r>
    </w:p>
    <w:p w14:paraId="76B5A124" w14:textId="3A273D94" w:rsidR="00275E25" w:rsidRDefault="00275E25">
      <w:pPr>
        <w:spacing w:before="120" w:after="120"/>
        <w:rPr>
          <w:rFonts w:ascii="Open Sans" w:hAnsi="Open Sans" w:cs="Open Sans"/>
          <w:szCs w:val="22"/>
          <w:lang w:eastAsia="en-GB"/>
        </w:rPr>
      </w:pPr>
      <w:r>
        <w:rPr>
          <w:rFonts w:ascii="Open Sans" w:eastAsiaTheme="minorHAnsi" w:hAnsi="Open Sans" w:cs="Open Sans"/>
          <w:szCs w:val="22"/>
          <w:lang w:val="en-US"/>
        </w:rPr>
        <w:t>F</w:t>
      </w:r>
      <w:r w:rsidRPr="00245914">
        <w:rPr>
          <w:rFonts w:ascii="Open Sans" w:eastAsiaTheme="minorHAnsi" w:hAnsi="Open Sans" w:cs="Open Sans"/>
          <w:szCs w:val="22"/>
          <w:lang w:val="en-US"/>
        </w:rPr>
        <w:t xml:space="preserve">eedback from members is that </w:t>
      </w:r>
      <w:r w:rsidRPr="0041016F">
        <w:rPr>
          <w:rFonts w:ascii="Open Sans" w:eastAsiaTheme="minorHAnsi" w:hAnsi="Open Sans" w:cs="Open Sans"/>
          <w:b/>
          <w:bCs/>
          <w:szCs w:val="22"/>
          <w:lang w:val="en-US"/>
        </w:rPr>
        <w:t>in the longer term</w:t>
      </w:r>
      <w:r w:rsidRPr="00245914">
        <w:rPr>
          <w:rFonts w:ascii="Open Sans" w:eastAsiaTheme="minorHAnsi" w:hAnsi="Open Sans" w:cs="Open Sans"/>
          <w:szCs w:val="22"/>
          <w:lang w:val="en-US"/>
        </w:rPr>
        <w:t xml:space="preserve"> industry would want to move to a situation where </w:t>
      </w:r>
      <w:r w:rsidRPr="0041016F">
        <w:rPr>
          <w:rFonts w:ascii="Open Sans" w:eastAsiaTheme="minorHAnsi" w:hAnsi="Open Sans" w:cs="Open Sans"/>
          <w:szCs w:val="22"/>
          <w:lang w:val="en-US"/>
        </w:rPr>
        <w:t>real market ‘pull’ signals play an increasing role</w:t>
      </w:r>
      <w:r w:rsidRPr="00245914">
        <w:rPr>
          <w:rFonts w:ascii="Open Sans" w:eastAsiaTheme="minorHAnsi" w:hAnsi="Open Sans" w:cs="Open Sans"/>
          <w:szCs w:val="22"/>
          <w:lang w:val="en-US"/>
        </w:rPr>
        <w:t xml:space="preserve"> rather than straight producer subsidies, to encourage a ‘real’ market to develop in supply and use of biomethane. </w:t>
      </w:r>
      <w:r w:rsidRPr="00245914">
        <w:rPr>
          <w:rFonts w:ascii="Open Sans" w:hAnsi="Open Sans" w:cs="Open Sans"/>
          <w:szCs w:val="22"/>
          <w:lang w:val="en-US"/>
        </w:rPr>
        <w:t xml:space="preserve">A long term support mechanism for green gases should also be technology neutral ie its scope </w:t>
      </w:r>
      <w:r w:rsidRPr="00245914">
        <w:rPr>
          <w:rFonts w:ascii="Open Sans" w:hAnsi="Open Sans" w:cs="Open Sans"/>
          <w:szCs w:val="22"/>
          <w:lang w:eastAsia="en-GB"/>
        </w:rPr>
        <w:t>is expanded to ensure that it covers all forms of renewable gas supply, i.e. biomethane from AD, bio-SNG from gasification, and green hydrogen. The REA’s preferred mechanism would be a </w:t>
      </w:r>
      <w:r w:rsidRPr="00C0195B">
        <w:rPr>
          <w:rFonts w:ascii="Open Sans" w:hAnsi="Open Sans" w:cs="Open Sans"/>
          <w:b/>
          <w:bCs/>
          <w:szCs w:val="22"/>
          <w:lang w:eastAsia="en-GB"/>
        </w:rPr>
        <w:t>green gas obligation on gas suppliers </w:t>
      </w:r>
      <w:r w:rsidRPr="00245914">
        <w:rPr>
          <w:rFonts w:ascii="Open Sans" w:hAnsi="Open Sans" w:cs="Open Sans"/>
          <w:szCs w:val="22"/>
          <w:lang w:eastAsia="en-GB"/>
        </w:rPr>
        <w:t>to meet a gradually increasing GHG reduction target over a period of time</w:t>
      </w:r>
      <w:r>
        <w:rPr>
          <w:rFonts w:ascii="Open Sans" w:hAnsi="Open Sans" w:cs="Open Sans"/>
          <w:szCs w:val="22"/>
          <w:lang w:eastAsia="en-GB"/>
        </w:rPr>
        <w:t xml:space="preserve">, which would reward </w:t>
      </w:r>
      <w:r w:rsidRPr="00245914">
        <w:rPr>
          <w:rFonts w:ascii="Open Sans" w:hAnsi="Open Sans" w:cs="Open Sans"/>
          <w:szCs w:val="22"/>
          <w:lang w:eastAsia="en-GB"/>
        </w:rPr>
        <w:t xml:space="preserve">technologies and renewable gases that deliver the largest carbon savings, whilst driving best practice and innovation. </w:t>
      </w:r>
    </w:p>
    <w:p w14:paraId="30F3C9A1" w14:textId="4D7CA752" w:rsidR="00275E25" w:rsidRDefault="00275E25">
      <w:pPr>
        <w:spacing w:before="120" w:after="120"/>
        <w:rPr>
          <w:rFonts w:ascii="Open Sans" w:hAnsi="Open Sans" w:cs="Open Sans"/>
          <w:iCs/>
          <w:szCs w:val="22"/>
        </w:rPr>
      </w:pPr>
      <w:r>
        <w:rPr>
          <w:rFonts w:ascii="Open Sans" w:hAnsi="Open Sans" w:cs="Open Sans"/>
          <w:iCs/>
          <w:szCs w:val="22"/>
        </w:rPr>
        <w:t>Finally, t</w:t>
      </w:r>
      <w:r w:rsidRPr="00245914">
        <w:rPr>
          <w:rFonts w:ascii="Open Sans" w:hAnsi="Open Sans" w:cs="Open Sans"/>
          <w:iCs/>
          <w:szCs w:val="22"/>
        </w:rPr>
        <w:t xml:space="preserve">here </w:t>
      </w:r>
      <w:r>
        <w:rPr>
          <w:rFonts w:ascii="Open Sans" w:hAnsi="Open Sans" w:cs="Open Sans"/>
          <w:iCs/>
          <w:szCs w:val="22"/>
        </w:rPr>
        <w:t>is significant</w:t>
      </w:r>
      <w:r w:rsidRPr="00245914">
        <w:rPr>
          <w:rFonts w:ascii="Open Sans" w:hAnsi="Open Sans" w:cs="Open Sans"/>
          <w:iCs/>
          <w:szCs w:val="22"/>
        </w:rPr>
        <w:t xml:space="preserve"> scope to decarbonise the farming and industrial sector</w:t>
      </w:r>
      <w:r>
        <w:rPr>
          <w:rFonts w:ascii="Open Sans" w:hAnsi="Open Sans" w:cs="Open Sans"/>
          <w:iCs/>
          <w:szCs w:val="22"/>
        </w:rPr>
        <w:t xml:space="preserve"> through the use of </w:t>
      </w:r>
      <w:r w:rsidRPr="00C0195B">
        <w:rPr>
          <w:rFonts w:ascii="Open Sans" w:hAnsi="Open Sans" w:cs="Open Sans"/>
          <w:b/>
          <w:bCs/>
          <w:iCs/>
          <w:szCs w:val="22"/>
        </w:rPr>
        <w:t>onsite CHP applications</w:t>
      </w:r>
      <w:r>
        <w:rPr>
          <w:rFonts w:ascii="Open Sans" w:hAnsi="Open Sans" w:cs="Open Sans"/>
          <w:iCs/>
          <w:szCs w:val="22"/>
        </w:rPr>
        <w:t xml:space="preserve">, below 600 kWth. These can </w:t>
      </w:r>
      <w:r w:rsidRPr="00245914">
        <w:rPr>
          <w:rFonts w:ascii="Open Sans" w:hAnsi="Open Sans" w:cs="Open Sans"/>
          <w:iCs/>
          <w:szCs w:val="22"/>
        </w:rPr>
        <w:t>make a real contribution to reduce GHG emissions from farms and industry</w:t>
      </w:r>
      <w:r>
        <w:rPr>
          <w:rFonts w:ascii="Open Sans" w:hAnsi="Open Sans" w:cs="Open Sans"/>
          <w:iCs/>
          <w:szCs w:val="22"/>
        </w:rPr>
        <w:t xml:space="preserve">, often off the gas grid, </w:t>
      </w:r>
      <w:r w:rsidRPr="00245914">
        <w:rPr>
          <w:rFonts w:ascii="Open Sans" w:hAnsi="Open Sans" w:cs="Open Sans"/>
          <w:iCs/>
          <w:szCs w:val="22"/>
        </w:rPr>
        <w:t xml:space="preserve">as well as reduce their carbon footprint. </w:t>
      </w:r>
      <w:r>
        <w:rPr>
          <w:rFonts w:ascii="Open Sans" w:hAnsi="Open Sans" w:cs="Open Sans"/>
          <w:iCs/>
          <w:szCs w:val="22"/>
        </w:rPr>
        <w:t xml:space="preserve">Government support is needed to ensure this potential can be fulfilled. </w:t>
      </w:r>
    </w:p>
    <w:p w14:paraId="0C4C580A" w14:textId="77777777" w:rsidR="004D24E8" w:rsidRDefault="004D24E8" w:rsidP="00C85944">
      <w:pPr>
        <w:spacing w:before="120" w:after="120"/>
        <w:rPr>
          <w:rFonts w:ascii="Open Sans" w:hAnsi="Open Sans" w:cs="Open Sans"/>
          <w:szCs w:val="22"/>
          <w:u w:val="single"/>
          <w:lang w:eastAsia="en-GB"/>
        </w:rPr>
      </w:pPr>
    </w:p>
    <w:p w14:paraId="0FD3C8E2" w14:textId="62654FE4" w:rsidR="00C85944" w:rsidRPr="002F1D01" w:rsidRDefault="00C85944" w:rsidP="00C85944">
      <w:pPr>
        <w:spacing w:before="120" w:after="120"/>
        <w:rPr>
          <w:rFonts w:ascii="Open Sans" w:hAnsi="Open Sans" w:cs="Open Sans"/>
          <w:szCs w:val="22"/>
          <w:u w:val="single"/>
        </w:rPr>
      </w:pPr>
      <w:r w:rsidRPr="002F1D01">
        <w:rPr>
          <w:rFonts w:ascii="Open Sans" w:hAnsi="Open Sans" w:cs="Open Sans"/>
          <w:szCs w:val="22"/>
          <w:u w:val="single"/>
          <w:lang w:eastAsia="en-GB"/>
        </w:rPr>
        <w:t xml:space="preserve">Government assumptions on green gas supported under Green Gas Support Scheme </w:t>
      </w:r>
      <w:r w:rsidRPr="002F1D01">
        <w:rPr>
          <w:rFonts w:ascii="Open Sans" w:hAnsi="Open Sans" w:cs="Open Sans"/>
          <w:szCs w:val="22"/>
          <w:u w:val="single"/>
        </w:rPr>
        <w:t xml:space="preserve">(section 4.2 of consultation’s </w:t>
      </w:r>
      <w:hyperlink r:id="rId9" w:history="1">
        <w:r w:rsidRPr="002F1D01">
          <w:rPr>
            <w:rStyle w:val="Hyperlink"/>
            <w:rFonts w:ascii="Open Sans" w:hAnsi="Open Sans" w:cs="Open Sans"/>
            <w:color w:val="auto"/>
            <w:szCs w:val="22"/>
          </w:rPr>
          <w:t>impact assessment</w:t>
        </w:r>
      </w:hyperlink>
      <w:r w:rsidRPr="002F1D01">
        <w:rPr>
          <w:rStyle w:val="Hyperlink"/>
          <w:rFonts w:ascii="Open Sans" w:hAnsi="Open Sans" w:cs="Open Sans"/>
          <w:color w:val="auto"/>
          <w:szCs w:val="22"/>
        </w:rPr>
        <w:t>)</w:t>
      </w:r>
      <w:r w:rsidR="004D24E8">
        <w:rPr>
          <w:rStyle w:val="Hyperlink"/>
          <w:rFonts w:ascii="Open Sans" w:hAnsi="Open Sans" w:cs="Open Sans"/>
          <w:color w:val="auto"/>
          <w:szCs w:val="22"/>
        </w:rPr>
        <w:t xml:space="preserve">: key recommendations: </w:t>
      </w:r>
    </w:p>
    <w:p w14:paraId="65278D10" w14:textId="77777777" w:rsidR="00C85944" w:rsidRPr="00A82440" w:rsidRDefault="00C85944" w:rsidP="00C85944">
      <w:pPr>
        <w:pStyle w:val="ListParagraph"/>
        <w:numPr>
          <w:ilvl w:val="0"/>
          <w:numId w:val="11"/>
        </w:numPr>
        <w:spacing w:before="120" w:after="120"/>
        <w:ind w:left="284" w:hanging="284"/>
        <w:contextualSpacing w:val="0"/>
        <w:rPr>
          <w:rFonts w:ascii="Open Sans" w:hAnsi="Open Sans" w:cs="Open Sans"/>
          <w:b/>
          <w:bCs/>
          <w:szCs w:val="22"/>
        </w:rPr>
      </w:pPr>
      <w:r w:rsidRPr="00A82440">
        <w:rPr>
          <w:rFonts w:ascii="Open Sans" w:hAnsi="Open Sans" w:cs="Open Sans"/>
          <w:b/>
          <w:bCs/>
          <w:szCs w:val="22"/>
        </w:rPr>
        <w:t>Data on resource availability used by BEIS to inform the setting of the biomethane capacity target (TWh/annum) and associated budget should be up to date and dynamic, to reflect changes in the size of the feedstock market.</w:t>
      </w:r>
      <w:r w:rsidRPr="00A82440">
        <w:rPr>
          <w:rFonts w:ascii="Open Sans" w:hAnsi="Open Sans" w:cs="Open Sans"/>
          <w:b/>
          <w:bCs/>
          <w:szCs w:val="22"/>
          <w:lang w:eastAsia="en-GB"/>
        </w:rPr>
        <w:t xml:space="preserve"> In addition to food wastes, estimates should also consider industrial wastes and sewage sludges, agricultural and processing wastes and residues and sustainable bioenergy crops.</w:t>
      </w:r>
    </w:p>
    <w:p w14:paraId="395B99D8" w14:textId="77777777" w:rsidR="00C85944" w:rsidRPr="00A82440" w:rsidRDefault="00C85944" w:rsidP="00C85944">
      <w:pPr>
        <w:pStyle w:val="ListParagraph"/>
        <w:numPr>
          <w:ilvl w:val="0"/>
          <w:numId w:val="11"/>
        </w:numPr>
        <w:spacing w:before="120" w:after="120"/>
        <w:ind w:left="284" w:hanging="284"/>
        <w:contextualSpacing w:val="0"/>
        <w:rPr>
          <w:rFonts w:ascii="Open Sans" w:hAnsi="Open Sans" w:cs="Open Sans"/>
          <w:b/>
          <w:bCs/>
          <w:szCs w:val="22"/>
        </w:rPr>
      </w:pPr>
      <w:r w:rsidRPr="00A82440">
        <w:rPr>
          <w:rFonts w:ascii="Open Sans" w:hAnsi="Open Sans" w:cs="Open Sans"/>
          <w:b/>
          <w:bCs/>
          <w:szCs w:val="22"/>
        </w:rPr>
        <w:t xml:space="preserve">It is crucial that there are no delays in the implementation of Defra’s policy to mandate separate food waste collections from households and businesses in England, to improve access to food wastes and underpin further generation of biomethane. The outcome of Defra’s policy, both in terms of food waste volumes and gate fees, should be closely and regularly monitored by Defra and fed back to BEIS. </w:t>
      </w:r>
    </w:p>
    <w:p w14:paraId="0A29D70D" w14:textId="77777777" w:rsidR="00C85944" w:rsidRPr="00A82440" w:rsidRDefault="00C85944" w:rsidP="00C85944">
      <w:pPr>
        <w:pStyle w:val="ListParagraph"/>
        <w:numPr>
          <w:ilvl w:val="0"/>
          <w:numId w:val="11"/>
        </w:numPr>
        <w:spacing w:before="120" w:after="120"/>
        <w:ind w:left="284" w:hanging="284"/>
        <w:contextualSpacing w:val="0"/>
        <w:rPr>
          <w:rFonts w:ascii="Open Sans" w:hAnsi="Open Sans" w:cs="Open Sans"/>
          <w:b/>
          <w:bCs/>
          <w:szCs w:val="22"/>
        </w:rPr>
      </w:pPr>
      <w:r w:rsidRPr="00A82440">
        <w:rPr>
          <w:rFonts w:ascii="Open Sans" w:hAnsi="Open Sans" w:cs="Open Sans"/>
          <w:b/>
          <w:bCs/>
          <w:szCs w:val="22"/>
        </w:rPr>
        <w:t xml:space="preserve">Government estimates of biomethane potential should include the potential biomethane that could be delivered through expansions of existing assets ie electricity only AD plants, and biogas heat and CHP plants (e.g. in the sewage treatment or other sectors). An upgrade or expansion of these assets to biomethane would in some instances be more cost effective and would maximise value for money from the scheme compared to new build. </w:t>
      </w:r>
    </w:p>
    <w:p w14:paraId="022BD090" w14:textId="77777777" w:rsidR="00C85944" w:rsidRPr="005365EE" w:rsidRDefault="00C85944" w:rsidP="00C85944">
      <w:pPr>
        <w:rPr>
          <w:rFonts w:ascii="Open Sans" w:hAnsi="Open Sans" w:cs="Open Sans"/>
          <w:i/>
          <w:iCs/>
          <w:szCs w:val="22"/>
        </w:rPr>
      </w:pPr>
      <w:r w:rsidRPr="005365EE">
        <w:rPr>
          <w:rFonts w:ascii="Open Sans" w:hAnsi="Open Sans" w:cs="Open Sans"/>
          <w:szCs w:val="22"/>
        </w:rPr>
        <w:t>BEIS central assumption is that the Green Gas Support Scheme (GGSS) will support 2.9 TWh/annum of green gas deployed by 2030/31</w:t>
      </w:r>
      <w:r>
        <w:rPr>
          <w:rFonts w:ascii="Open Sans" w:hAnsi="Open Sans" w:cs="Open Sans"/>
          <w:szCs w:val="22"/>
        </w:rPr>
        <w:t xml:space="preserve">. </w:t>
      </w:r>
    </w:p>
    <w:p w14:paraId="65ECD8AF" w14:textId="77777777" w:rsidR="00C85944" w:rsidRPr="005365EE" w:rsidRDefault="00C85944" w:rsidP="00C85944">
      <w:pPr>
        <w:spacing w:before="120" w:after="120"/>
        <w:rPr>
          <w:rFonts w:ascii="Open Sans" w:hAnsi="Open Sans" w:cs="Open Sans"/>
          <w:szCs w:val="22"/>
          <w:lang w:eastAsia="en-GB"/>
        </w:rPr>
      </w:pPr>
      <w:r w:rsidRPr="005365EE">
        <w:rPr>
          <w:rFonts w:ascii="Open Sans" w:hAnsi="Open Sans" w:cs="Open Sans"/>
          <w:szCs w:val="22"/>
          <w:lang w:eastAsia="en-GB"/>
        </w:rPr>
        <w:t xml:space="preserve">During one of the stakeholder workshops hosted by BEIS in May, Government officials have clarified that their intention is to treble the amounts of biomethane injected in the grid by 2030, compared to the 2018 level of 3.3 TWh/annum. So, our understanding is that the overall target for biomethane deployed by 2030 under the RHI and the GGSS is around 9 TWh/annum. </w:t>
      </w:r>
    </w:p>
    <w:p w14:paraId="4A41B081" w14:textId="77777777" w:rsidR="00C85944" w:rsidRPr="005365EE" w:rsidRDefault="00C85944" w:rsidP="00C85944">
      <w:pPr>
        <w:spacing w:before="120" w:after="120"/>
        <w:rPr>
          <w:rFonts w:ascii="Open Sans" w:hAnsi="Open Sans" w:cs="Open Sans"/>
          <w:szCs w:val="22"/>
          <w:lang w:eastAsia="en-GB"/>
        </w:rPr>
      </w:pPr>
      <w:r w:rsidRPr="005365EE">
        <w:rPr>
          <w:rFonts w:ascii="Open Sans" w:hAnsi="Open Sans" w:cs="Open Sans"/>
          <w:szCs w:val="22"/>
          <w:lang w:eastAsia="en-GB"/>
        </w:rPr>
        <w:t xml:space="preserve">BEIS have based these estimates on the deployment achievable given the constraints on the availability of municipal food wastes. </w:t>
      </w:r>
    </w:p>
    <w:p w14:paraId="551D2A2A" w14:textId="77777777" w:rsidR="00C85944" w:rsidRPr="00706F1E" w:rsidRDefault="00C85944" w:rsidP="00C85944">
      <w:pPr>
        <w:spacing w:before="120" w:after="120"/>
        <w:rPr>
          <w:rFonts w:ascii="Open Sans" w:hAnsi="Open Sans" w:cs="Open Sans"/>
          <w:szCs w:val="22"/>
          <w:lang w:eastAsia="en-GB"/>
        </w:rPr>
      </w:pPr>
      <w:r w:rsidRPr="005365EE">
        <w:rPr>
          <w:rFonts w:ascii="Open Sans" w:hAnsi="Open Sans" w:cs="Open Sans"/>
          <w:szCs w:val="22"/>
          <w:lang w:eastAsia="en-GB"/>
        </w:rPr>
        <w:t xml:space="preserve">We have listed below our members’ considerations on BEIS’ estimates. There are </w:t>
      </w:r>
      <w:r>
        <w:rPr>
          <w:rFonts w:ascii="Open Sans" w:hAnsi="Open Sans" w:cs="Open Sans"/>
          <w:szCs w:val="22"/>
          <w:lang w:eastAsia="en-GB"/>
        </w:rPr>
        <w:t>different</w:t>
      </w:r>
      <w:r w:rsidRPr="005365EE">
        <w:rPr>
          <w:rFonts w:ascii="Open Sans" w:hAnsi="Open Sans" w:cs="Open Sans"/>
          <w:szCs w:val="22"/>
          <w:lang w:eastAsia="en-GB"/>
        </w:rPr>
        <w:t xml:space="preserve"> views from members on whether these are sufficiently ambitious. </w:t>
      </w:r>
    </w:p>
    <w:p w14:paraId="5AE77D46" w14:textId="77777777" w:rsidR="00C85944" w:rsidRPr="002F1D01" w:rsidRDefault="00C85944" w:rsidP="00C85944">
      <w:pPr>
        <w:spacing w:before="120" w:after="120"/>
        <w:rPr>
          <w:rFonts w:ascii="Open Sans" w:hAnsi="Open Sans" w:cs="Open Sans"/>
          <w:szCs w:val="22"/>
          <w:u w:val="single"/>
          <w:lang w:eastAsia="en-GB"/>
        </w:rPr>
      </w:pPr>
      <w:bookmarkStart w:id="1" w:name="_Hlk43720335"/>
      <w:r w:rsidRPr="002F1D01">
        <w:rPr>
          <w:rFonts w:ascii="Open Sans" w:hAnsi="Open Sans" w:cs="Open Sans"/>
          <w:szCs w:val="22"/>
          <w:u w:val="single"/>
          <w:lang w:eastAsia="en-GB"/>
        </w:rPr>
        <w:t xml:space="preserve">Expansion of existing assets </w:t>
      </w:r>
    </w:p>
    <w:p w14:paraId="7DBDD578" w14:textId="77777777" w:rsidR="00C85944" w:rsidRPr="00A82440" w:rsidRDefault="00C85944" w:rsidP="00C85944">
      <w:pPr>
        <w:spacing w:before="120" w:after="120"/>
        <w:rPr>
          <w:rFonts w:ascii="Open Sans" w:hAnsi="Open Sans" w:cs="Open Sans"/>
          <w:szCs w:val="22"/>
          <w:lang w:eastAsia="en-GB"/>
        </w:rPr>
      </w:pPr>
      <w:r w:rsidRPr="00A82440">
        <w:rPr>
          <w:rFonts w:ascii="Open Sans" w:hAnsi="Open Sans" w:cs="Open Sans"/>
          <w:szCs w:val="22"/>
          <w:lang w:eastAsia="en-GB"/>
        </w:rPr>
        <w:t xml:space="preserve">Government estimates should take into account the potential biomethane that could be delivered through expansions of existing assets ie electricity only AD plants, or CHP plants (e.g. in the sewage treatment or other sectors). </w:t>
      </w:r>
    </w:p>
    <w:bookmarkEnd w:id="1"/>
    <w:p w14:paraId="76B36423" w14:textId="77777777" w:rsidR="00C85944" w:rsidRPr="005365EE" w:rsidRDefault="00C85944" w:rsidP="00C85944">
      <w:pPr>
        <w:spacing w:before="120" w:after="120"/>
        <w:rPr>
          <w:rFonts w:ascii="Open Sans" w:hAnsi="Open Sans" w:cs="Open Sans"/>
          <w:szCs w:val="22"/>
          <w:lang w:eastAsia="en-GB"/>
        </w:rPr>
      </w:pPr>
      <w:r w:rsidRPr="005365EE">
        <w:rPr>
          <w:rFonts w:ascii="Open Sans" w:hAnsi="Open Sans" w:cs="Open Sans"/>
          <w:szCs w:val="22"/>
          <w:lang w:eastAsia="en-GB"/>
        </w:rPr>
        <w:t xml:space="preserve">The </w:t>
      </w:r>
      <w:hyperlink r:id="rId10" w:history="1">
        <w:r w:rsidRPr="005365EE">
          <w:rPr>
            <w:rStyle w:val="Hyperlink"/>
            <w:rFonts w:ascii="Open Sans" w:hAnsi="Open Sans" w:cs="Open Sans"/>
            <w:color w:val="auto"/>
            <w:szCs w:val="22"/>
            <w:lang w:eastAsia="en-GB"/>
          </w:rPr>
          <w:t>REA Bioenergy Strategy Vision report</w:t>
        </w:r>
      </w:hyperlink>
      <w:r w:rsidRPr="005365EE">
        <w:rPr>
          <w:rFonts w:ascii="Open Sans" w:hAnsi="Open Sans" w:cs="Open Sans"/>
          <w:szCs w:val="22"/>
          <w:lang w:eastAsia="en-GB"/>
        </w:rPr>
        <w:t xml:space="preserve"> estimates that currently most biogas (including sewage and landfill gases) produced in the UK (19 TWh) is used for power generation, supported under either the Feed-In Tariff Scheme (FITs) or the Renewable Obligation (RO). </w:t>
      </w:r>
      <w:r>
        <w:rPr>
          <w:rFonts w:ascii="Open Sans" w:hAnsi="Open Sans" w:cs="Open Sans"/>
          <w:szCs w:val="22"/>
          <w:lang w:eastAsia="en-GB"/>
        </w:rPr>
        <w:t>As m</w:t>
      </w:r>
      <w:r w:rsidRPr="005365EE">
        <w:rPr>
          <w:rFonts w:ascii="Open Sans" w:hAnsi="Open Sans" w:cs="Open Sans"/>
          <w:szCs w:val="22"/>
          <w:lang w:eastAsia="en-GB"/>
        </w:rPr>
        <w:t>any of these assets, such as those in the wastewater treatment sector, are supported through Renewable Obligation Certificates which will run out approximately in 2027-28</w:t>
      </w:r>
      <w:r>
        <w:rPr>
          <w:rFonts w:ascii="Open Sans" w:hAnsi="Open Sans" w:cs="Open Sans"/>
          <w:szCs w:val="22"/>
          <w:lang w:eastAsia="en-GB"/>
        </w:rPr>
        <w:t>, t</w:t>
      </w:r>
      <w:r w:rsidRPr="005365EE">
        <w:rPr>
          <w:rFonts w:ascii="Open Sans" w:hAnsi="Open Sans" w:cs="Open Sans"/>
          <w:szCs w:val="22"/>
          <w:lang w:eastAsia="en-GB"/>
        </w:rPr>
        <w:t xml:space="preserve">here is significant potential for </w:t>
      </w:r>
      <w:r>
        <w:rPr>
          <w:rFonts w:ascii="Open Sans" w:hAnsi="Open Sans" w:cs="Open Sans"/>
          <w:szCs w:val="22"/>
          <w:lang w:eastAsia="en-GB"/>
        </w:rPr>
        <w:t xml:space="preserve">some of </w:t>
      </w:r>
      <w:r w:rsidRPr="005365EE">
        <w:rPr>
          <w:rFonts w:ascii="Open Sans" w:hAnsi="Open Sans" w:cs="Open Sans"/>
          <w:szCs w:val="22"/>
          <w:lang w:eastAsia="en-GB"/>
        </w:rPr>
        <w:t>this energy to be upgraded to biomethane.</w:t>
      </w:r>
      <w:r>
        <w:rPr>
          <w:rFonts w:ascii="Open Sans" w:hAnsi="Open Sans" w:cs="Open Sans"/>
          <w:szCs w:val="22"/>
          <w:lang w:eastAsia="en-GB"/>
        </w:rPr>
        <w:t xml:space="preserve"> </w:t>
      </w:r>
    </w:p>
    <w:p w14:paraId="5B15832E" w14:textId="77777777" w:rsidR="00C85944" w:rsidRPr="002F1D01" w:rsidRDefault="00C85944" w:rsidP="00C85944">
      <w:pPr>
        <w:spacing w:before="120" w:after="120"/>
        <w:rPr>
          <w:rFonts w:ascii="Open Sans" w:hAnsi="Open Sans" w:cs="Open Sans"/>
          <w:u w:val="single"/>
          <w:lang w:eastAsia="en-GB"/>
        </w:rPr>
      </w:pPr>
      <w:r w:rsidRPr="002F1D01">
        <w:rPr>
          <w:rFonts w:ascii="Open Sans" w:hAnsi="Open Sans" w:cs="Open Sans"/>
          <w:u w:val="single"/>
          <w:lang w:eastAsia="en-GB"/>
        </w:rPr>
        <w:t xml:space="preserve">Uncertainty around food waste volumes </w:t>
      </w:r>
    </w:p>
    <w:p w14:paraId="63566E46" w14:textId="77777777" w:rsidR="00C85944" w:rsidRDefault="00C85944" w:rsidP="00C85944">
      <w:pPr>
        <w:spacing w:before="120" w:after="120"/>
        <w:rPr>
          <w:rFonts w:ascii="Open Sans" w:hAnsi="Open Sans" w:cs="Open Sans"/>
          <w:lang w:eastAsia="en-GB"/>
        </w:rPr>
      </w:pPr>
      <w:r>
        <w:rPr>
          <w:rFonts w:ascii="Open Sans" w:hAnsi="Open Sans" w:cs="Open Sans"/>
          <w:lang w:eastAsia="en-GB"/>
        </w:rPr>
        <w:lastRenderedPageBreak/>
        <w:t xml:space="preserve">During one of the stakeholders’ workshop, BEIS clarified that their estimated potential biomethane capacity is based on internal estimates provided by Defra on total food wastes that will be collected by local authorities. Defra anticipates an increase of 1.38 million tonnes of food wastes by 2029. </w:t>
      </w:r>
    </w:p>
    <w:p w14:paraId="7BC4A5FC" w14:textId="0161CB47" w:rsidR="00C85944" w:rsidRDefault="00C85944" w:rsidP="00C85944">
      <w:pPr>
        <w:spacing w:before="120" w:after="120"/>
        <w:rPr>
          <w:rFonts w:ascii="Open Sans" w:hAnsi="Open Sans" w:cs="Open Sans"/>
          <w:lang w:eastAsia="en-GB"/>
        </w:rPr>
      </w:pPr>
      <w:r>
        <w:rPr>
          <w:rFonts w:ascii="Open Sans" w:hAnsi="Open Sans" w:cs="Open Sans"/>
          <w:lang w:eastAsia="en-GB"/>
        </w:rPr>
        <w:t>It is worth pointing out that there is much uncertainty around the volumes of food wastes that will become available mandatory food waste collections are introduced by Defra. There are existing food waste based plants that have extra capacity to take food waste, so these, to some extent, may absorb some of the additional volumes of food wastes available and, in addition, it is highly unknown how food waste prevention policies will affect the volumes of food wastes provided for recycling in the future. Reductions in the volumes of food wastes produced may to a certain extent offset increased volumes from mandatory food waste collections. </w:t>
      </w:r>
    </w:p>
    <w:p w14:paraId="42209D99" w14:textId="77777777" w:rsidR="00C85944" w:rsidRPr="002F1D01" w:rsidRDefault="00C85944" w:rsidP="00C85944">
      <w:pPr>
        <w:spacing w:before="120" w:after="120"/>
        <w:rPr>
          <w:rFonts w:ascii="Open Sans" w:hAnsi="Open Sans" w:cs="Open Sans"/>
          <w:lang w:eastAsia="en-GB"/>
        </w:rPr>
      </w:pPr>
      <w:r>
        <w:rPr>
          <w:rFonts w:ascii="Open Sans" w:hAnsi="Open Sans" w:cs="Open Sans"/>
          <w:lang w:eastAsia="en-GB"/>
        </w:rPr>
        <w:t xml:space="preserve">As set out by BEIS in the consultation document, measures from Defra to introduce mandatory collections of food wastes are only expected to commence from 2023. The Scheme is expected to start in </w:t>
      </w:r>
      <w:r w:rsidRPr="002F1D01">
        <w:rPr>
          <w:rFonts w:ascii="Open Sans" w:hAnsi="Open Sans" w:cs="Open Sans"/>
          <w:lang w:eastAsia="en-GB"/>
        </w:rPr>
        <w:t>the financial year 2021 so there is a time gap between the two which may lead to a lack of sufficient waste feedstocks being available at the beginning of the Green Gas Support Scheme for new plants.</w:t>
      </w:r>
    </w:p>
    <w:p w14:paraId="784ADA75" w14:textId="77777777" w:rsidR="00C85944" w:rsidRDefault="00C85944" w:rsidP="00C85944">
      <w:pPr>
        <w:spacing w:before="120" w:after="120"/>
        <w:rPr>
          <w:rFonts w:ascii="Open Sans" w:hAnsi="Open Sans" w:cs="Open Sans"/>
          <w:lang w:eastAsia="en-GB"/>
        </w:rPr>
      </w:pPr>
      <w:r w:rsidRPr="002F1D01">
        <w:rPr>
          <w:rFonts w:ascii="Open Sans" w:hAnsi="Open Sans" w:cs="Open Sans"/>
          <w:lang w:eastAsia="en-GB"/>
        </w:rPr>
        <w:t xml:space="preserve">Given all the issues highlighted below, it is crucial that there are no delays in the implementation of Defra’s policy to mandate food waste collections </w:t>
      </w:r>
      <w:r w:rsidRPr="002F1D01">
        <w:rPr>
          <w:rFonts w:ascii="Open Sans" w:hAnsi="Open Sans" w:cs="Open Sans"/>
        </w:rPr>
        <w:t xml:space="preserve">to improve access to food wastes and underpin further generation of biomethane. </w:t>
      </w:r>
      <w:r w:rsidRPr="002F1D01">
        <w:rPr>
          <w:rFonts w:ascii="Open Sans" w:hAnsi="Open Sans" w:cs="Open Sans"/>
          <w:lang w:eastAsia="en-GB"/>
        </w:rPr>
        <w:t xml:space="preserve">The outcome of this policy, both in terms of food waste volumes and gate fees, should closely and regularly monitored by Defra and fed back to BEIS. </w:t>
      </w:r>
    </w:p>
    <w:p w14:paraId="6AABBF93" w14:textId="1FC0246F" w:rsidR="00C85944" w:rsidRDefault="00C85944" w:rsidP="00C85944">
      <w:pPr>
        <w:spacing w:before="120" w:after="120"/>
        <w:rPr>
          <w:rFonts w:ascii="Open Sans" w:hAnsi="Open Sans" w:cs="Open Sans"/>
          <w:lang w:eastAsia="en-GB"/>
        </w:rPr>
      </w:pPr>
      <w:r>
        <w:rPr>
          <w:rFonts w:ascii="Open Sans" w:hAnsi="Open Sans" w:cs="Open Sans"/>
          <w:lang w:eastAsia="en-GB"/>
        </w:rPr>
        <w:t>G</w:t>
      </w:r>
      <w:r w:rsidRPr="002F1D01">
        <w:rPr>
          <w:rFonts w:ascii="Open Sans" w:hAnsi="Open Sans" w:cs="Open Sans"/>
          <w:lang w:eastAsia="en-GB"/>
        </w:rPr>
        <w:t xml:space="preserve">iven the challenges on availability of feedstock, developers and their funders </w:t>
      </w:r>
      <w:r>
        <w:rPr>
          <w:rFonts w:ascii="Open Sans" w:hAnsi="Open Sans" w:cs="Open Sans"/>
          <w:lang w:eastAsia="en-GB"/>
        </w:rPr>
        <w:t>should</w:t>
      </w:r>
      <w:r w:rsidRPr="002F1D01">
        <w:rPr>
          <w:rFonts w:ascii="Open Sans" w:hAnsi="Open Sans" w:cs="Open Sans"/>
          <w:lang w:eastAsia="en-GB"/>
        </w:rPr>
        <w:t xml:space="preserve"> have </w:t>
      </w:r>
      <w:r>
        <w:rPr>
          <w:rFonts w:ascii="Open Sans" w:hAnsi="Open Sans" w:cs="Open Sans"/>
          <w:lang w:eastAsia="en-GB"/>
        </w:rPr>
        <w:t>a strong</w:t>
      </w:r>
      <w:r w:rsidRPr="002F1D01">
        <w:rPr>
          <w:rFonts w:ascii="Open Sans" w:hAnsi="Open Sans" w:cs="Open Sans"/>
          <w:lang w:eastAsia="en-GB"/>
        </w:rPr>
        <w:t xml:space="preserve"> incentive </w:t>
      </w:r>
      <w:r>
        <w:rPr>
          <w:rFonts w:ascii="Open Sans" w:hAnsi="Open Sans" w:cs="Open Sans"/>
          <w:lang w:eastAsia="en-GB"/>
        </w:rPr>
        <w:t xml:space="preserve">in the future </w:t>
      </w:r>
      <w:r w:rsidRPr="002F1D01">
        <w:rPr>
          <w:rFonts w:ascii="Open Sans" w:hAnsi="Open Sans" w:cs="Open Sans"/>
          <w:lang w:eastAsia="en-GB"/>
        </w:rPr>
        <w:t>to site plant in areas where there is not already excess AD capacity.</w:t>
      </w:r>
      <w:r>
        <w:rPr>
          <w:rFonts w:ascii="Open Sans" w:hAnsi="Open Sans" w:cs="Open Sans"/>
          <w:lang w:eastAsia="en-GB"/>
        </w:rPr>
        <w:t xml:space="preserve"> </w:t>
      </w:r>
    </w:p>
    <w:p w14:paraId="356DA8E2" w14:textId="77777777" w:rsidR="00C85944" w:rsidRPr="005365EE" w:rsidRDefault="00C85944" w:rsidP="00C85944">
      <w:pPr>
        <w:spacing w:before="120" w:after="120"/>
        <w:rPr>
          <w:rFonts w:ascii="Open Sans" w:hAnsi="Open Sans" w:cs="Open Sans"/>
          <w:szCs w:val="22"/>
          <w:u w:val="single"/>
          <w:lang w:eastAsia="en-GB"/>
        </w:rPr>
      </w:pPr>
      <w:r w:rsidRPr="005365EE">
        <w:rPr>
          <w:rFonts w:ascii="Open Sans" w:hAnsi="Open Sans" w:cs="Open Sans"/>
          <w:szCs w:val="22"/>
          <w:u w:val="single"/>
          <w:lang w:eastAsia="en-GB"/>
        </w:rPr>
        <w:t xml:space="preserve">Industrial wastes and sewage sludges </w:t>
      </w:r>
    </w:p>
    <w:p w14:paraId="4AF4A651" w14:textId="77777777" w:rsidR="00C85944" w:rsidRPr="005365EE" w:rsidRDefault="00C85944" w:rsidP="00C85944">
      <w:pPr>
        <w:spacing w:before="120" w:after="120"/>
        <w:rPr>
          <w:rFonts w:ascii="Open Sans" w:hAnsi="Open Sans" w:cs="Open Sans"/>
          <w:szCs w:val="22"/>
          <w:lang w:eastAsia="en-GB"/>
        </w:rPr>
      </w:pPr>
      <w:r w:rsidRPr="005365EE">
        <w:rPr>
          <w:rFonts w:ascii="Open Sans" w:hAnsi="Open Sans" w:cs="Open Sans"/>
          <w:szCs w:val="22"/>
          <w:lang w:eastAsia="en-GB"/>
        </w:rPr>
        <w:t>It would appear that BEIS estimates do not include wastes from industrial sources</w:t>
      </w:r>
      <w:r>
        <w:rPr>
          <w:rFonts w:ascii="Open Sans" w:hAnsi="Open Sans" w:cs="Open Sans"/>
          <w:szCs w:val="22"/>
          <w:lang w:eastAsia="en-GB"/>
        </w:rPr>
        <w:t xml:space="preserve"> (e.g. from </w:t>
      </w:r>
      <w:r w:rsidRPr="002F1D01">
        <w:rPr>
          <w:rFonts w:ascii="Open Sans" w:hAnsi="Open Sans" w:cs="Open Sans"/>
          <w:szCs w:val="22"/>
          <w:lang w:eastAsia="en-GB"/>
        </w:rPr>
        <w:t>agri-food industry</w:t>
      </w:r>
      <w:r>
        <w:rPr>
          <w:rFonts w:ascii="Open Sans" w:hAnsi="Open Sans" w:cs="Open Sans"/>
          <w:szCs w:val="22"/>
          <w:lang w:eastAsia="en-GB"/>
        </w:rPr>
        <w:t>)</w:t>
      </w:r>
      <w:r w:rsidRPr="005365EE">
        <w:rPr>
          <w:rFonts w:ascii="Open Sans" w:hAnsi="Open Sans" w:cs="Open Sans"/>
          <w:szCs w:val="22"/>
          <w:lang w:eastAsia="en-GB"/>
        </w:rPr>
        <w:t xml:space="preserve">, nor the several million tonnes of sewage sludge available that could be used as feedstocks to generate biomethane. These estimates should be included. </w:t>
      </w:r>
    </w:p>
    <w:p w14:paraId="269D3E74" w14:textId="77777777" w:rsidR="00C85944" w:rsidRDefault="00C85944" w:rsidP="00C85944">
      <w:pPr>
        <w:spacing w:before="120" w:after="120"/>
        <w:rPr>
          <w:rFonts w:ascii="Open Sans" w:hAnsi="Open Sans" w:cs="Open Sans"/>
          <w:szCs w:val="22"/>
          <w:lang w:eastAsia="en-GB"/>
        </w:rPr>
      </w:pPr>
      <w:r w:rsidRPr="005365EE">
        <w:rPr>
          <w:rFonts w:ascii="Open Sans" w:hAnsi="Open Sans" w:cs="Open Sans"/>
          <w:szCs w:val="22"/>
          <w:lang w:eastAsia="en-GB"/>
        </w:rPr>
        <w:t>The recent industry report ‘</w:t>
      </w:r>
      <w:hyperlink r:id="rId11" w:history="1">
        <w:r w:rsidRPr="005365EE">
          <w:rPr>
            <w:rStyle w:val="Hyperlink"/>
            <w:rFonts w:ascii="Open Sans" w:hAnsi="Open Sans" w:cs="Open Sans"/>
            <w:color w:val="auto"/>
            <w:szCs w:val="22"/>
            <w:lang w:eastAsia="en-GB"/>
          </w:rPr>
          <w:t>Biomethane: the pathway to 2030</w:t>
        </w:r>
      </w:hyperlink>
      <w:r w:rsidRPr="005365EE">
        <w:rPr>
          <w:rFonts w:ascii="Open Sans" w:hAnsi="Open Sans" w:cs="Open Sans"/>
          <w:szCs w:val="22"/>
          <w:lang w:eastAsia="en-GB"/>
        </w:rPr>
        <w:t xml:space="preserve">’ estimates that and also another 4 million tonnes of industrial wastes could be available by 2030. </w:t>
      </w:r>
    </w:p>
    <w:p w14:paraId="7971B77D" w14:textId="77777777" w:rsidR="00C85944" w:rsidRPr="002F1D01" w:rsidRDefault="00C85944" w:rsidP="00C85944">
      <w:pPr>
        <w:pStyle w:val="PlainText"/>
        <w:spacing w:before="120" w:after="120"/>
        <w:rPr>
          <w:rFonts w:ascii="Open Sans" w:eastAsia="Times New Roman" w:hAnsi="Open Sans" w:cs="Open Sans"/>
          <w:szCs w:val="22"/>
          <w:lang w:eastAsia="en-GB"/>
        </w:rPr>
      </w:pPr>
      <w:r w:rsidRPr="002F1D01">
        <w:rPr>
          <w:rFonts w:ascii="Open Sans" w:eastAsia="Times New Roman" w:hAnsi="Open Sans" w:cs="Open Sans"/>
          <w:szCs w:val="22"/>
          <w:lang w:eastAsia="en-GB"/>
        </w:rPr>
        <w:t xml:space="preserve">Investing in emissions reduction </w:t>
      </w:r>
      <w:r>
        <w:rPr>
          <w:rFonts w:ascii="Open Sans" w:eastAsia="Times New Roman" w:hAnsi="Open Sans" w:cs="Open Sans"/>
          <w:szCs w:val="22"/>
          <w:lang w:eastAsia="en-GB"/>
        </w:rPr>
        <w:t xml:space="preserve">through on-site anaerobic digestion </w:t>
      </w:r>
      <w:r w:rsidRPr="002F1D01">
        <w:rPr>
          <w:rFonts w:ascii="Open Sans" w:eastAsia="Times New Roman" w:hAnsi="Open Sans" w:cs="Open Sans"/>
          <w:szCs w:val="22"/>
          <w:lang w:eastAsia="en-GB"/>
        </w:rPr>
        <w:t>must be a priority across the agri-food industry</w:t>
      </w:r>
      <w:r>
        <w:rPr>
          <w:rFonts w:ascii="Open Sans" w:eastAsia="Times New Roman" w:hAnsi="Open Sans" w:cs="Open Sans"/>
          <w:szCs w:val="22"/>
          <w:lang w:eastAsia="en-GB"/>
        </w:rPr>
        <w:t>,</w:t>
      </w:r>
      <w:r w:rsidRPr="002F1D01">
        <w:rPr>
          <w:rFonts w:ascii="Open Sans" w:eastAsia="Times New Roman" w:hAnsi="Open Sans" w:cs="Open Sans"/>
          <w:szCs w:val="22"/>
          <w:lang w:eastAsia="en-GB"/>
        </w:rPr>
        <w:t xml:space="preserve"> to reduce the carbon impact of production, processing, manufacture and distribution. </w:t>
      </w:r>
    </w:p>
    <w:p w14:paraId="1A991DF7" w14:textId="77777777" w:rsidR="00C85944" w:rsidRPr="005365EE" w:rsidRDefault="00C85944" w:rsidP="00C85944">
      <w:pPr>
        <w:spacing w:before="120" w:after="120"/>
        <w:rPr>
          <w:rFonts w:ascii="Open Sans" w:hAnsi="Open Sans" w:cs="Open Sans"/>
          <w:szCs w:val="22"/>
          <w:u w:val="single"/>
          <w:lang w:eastAsia="en-GB"/>
        </w:rPr>
      </w:pPr>
      <w:r w:rsidRPr="005365EE">
        <w:rPr>
          <w:rFonts w:ascii="Open Sans" w:hAnsi="Open Sans" w:cs="Open Sans"/>
          <w:szCs w:val="22"/>
          <w:u w:val="single"/>
          <w:lang w:eastAsia="en-GB"/>
        </w:rPr>
        <w:t xml:space="preserve">Agricultural feedstocks </w:t>
      </w:r>
    </w:p>
    <w:p w14:paraId="7F1F4167" w14:textId="77777777" w:rsidR="00C85944" w:rsidRPr="005365EE" w:rsidRDefault="00C85944" w:rsidP="00C85944">
      <w:pPr>
        <w:spacing w:before="120" w:after="120"/>
        <w:rPr>
          <w:rFonts w:ascii="Open Sans" w:hAnsi="Open Sans" w:cs="Open Sans"/>
          <w:szCs w:val="22"/>
          <w:lang w:eastAsia="en-GB"/>
        </w:rPr>
      </w:pPr>
      <w:r w:rsidRPr="005365EE">
        <w:rPr>
          <w:rFonts w:ascii="Open Sans" w:hAnsi="Open Sans" w:cs="Open Sans"/>
          <w:szCs w:val="22"/>
          <w:lang w:eastAsia="en-GB"/>
        </w:rPr>
        <w:t>There is definitely scope for expanding biomethane production, but that will require extension of BEIS estimates to a broader range of feedstocks beyond current supplies.</w:t>
      </w:r>
    </w:p>
    <w:p w14:paraId="6D1D00DB" w14:textId="77777777" w:rsidR="00C85944" w:rsidRPr="005365EE" w:rsidRDefault="00C85944" w:rsidP="00C85944">
      <w:pPr>
        <w:spacing w:before="120" w:after="120"/>
        <w:rPr>
          <w:rFonts w:ascii="Open Sans" w:hAnsi="Open Sans" w:cs="Open Sans"/>
          <w:szCs w:val="22"/>
          <w:lang w:eastAsia="en-GB"/>
        </w:rPr>
      </w:pPr>
      <w:r w:rsidRPr="005365EE">
        <w:rPr>
          <w:rFonts w:ascii="Open Sans" w:hAnsi="Open Sans" w:cs="Open Sans"/>
          <w:szCs w:val="22"/>
          <w:lang w:eastAsia="en-GB"/>
        </w:rPr>
        <w:t xml:space="preserve">We strongly support Government policy to encourage using wastes and residues to generate biomethane, in line with the principles of a circular economy. However, we also consider that BEIS should not underestimate the contribution that sustainable bioenergy crops grown as part of a rotation - in combination with wastes and residues - can play in generating biomethane whilst decarbonising agriculture, enhancing the UK’s soils and supporting sustainable and profitable farming. Bioenergy crops would also enable full use of feedstocks </w:t>
      </w:r>
      <w:r w:rsidRPr="005365EE">
        <w:rPr>
          <w:rFonts w:ascii="Open Sans" w:hAnsi="Open Sans" w:cs="Open Sans"/>
          <w:szCs w:val="22"/>
          <w:lang w:eastAsia="en-GB"/>
        </w:rPr>
        <w:lastRenderedPageBreak/>
        <w:t xml:space="preserve">such as agricultural and processing wastes and residues, which are in many cases difficult to treat on their own. </w:t>
      </w:r>
    </w:p>
    <w:p w14:paraId="0CB6B5E4" w14:textId="77777777" w:rsidR="00C85944" w:rsidRDefault="00C85944" w:rsidP="00C85944">
      <w:pPr>
        <w:spacing w:before="120" w:after="120"/>
        <w:rPr>
          <w:rFonts w:ascii="Open Sans" w:hAnsi="Open Sans" w:cs="Open Sans"/>
          <w:szCs w:val="22"/>
          <w:lang w:eastAsia="en-GB"/>
        </w:rPr>
      </w:pPr>
      <w:r w:rsidRPr="005365EE">
        <w:rPr>
          <w:rFonts w:ascii="Open Sans" w:hAnsi="Open Sans" w:cs="Open Sans"/>
          <w:szCs w:val="22"/>
          <w:lang w:eastAsia="en-GB"/>
        </w:rPr>
        <w:t>When bioenergy crops are grown sustainably in line with high environmental and farming standards, and are integrated into crop rotations (e.g. by increasing the number of crop cycles - three in a two-year period), or grown on marginal land, these will encourage better soil health, biodiversity and carbon capture and fit within the definition of ‘public good’, regardless of the type and fate of the crops. A further advantage of growing crops for bioenergy is the ability for AD to better integrate into the farming system as local farmers/growers can see the benefits AD brings to their farming businesses. An example of this is the use of digestate on cover crops, which allows nutrients from digestate to be locked into cover crops over the winter period, which is then turned back into the soil in the sowing period thereby delivering nutrients to the soil. These practices have become more widely used on AD plants which rely on crops for digestion as they are more integrated with the cropping cycles. Good practices such as these can then be applied to the wider AD sector</w:t>
      </w:r>
      <w:r>
        <w:rPr>
          <w:rFonts w:ascii="Open Sans" w:hAnsi="Open Sans" w:cs="Open Sans"/>
          <w:szCs w:val="22"/>
          <w:lang w:eastAsia="en-GB"/>
        </w:rPr>
        <w:t xml:space="preserve">. They can also support jobs in rural areas. </w:t>
      </w:r>
    </w:p>
    <w:p w14:paraId="586CA7B2" w14:textId="77777777" w:rsidR="00C85944" w:rsidRPr="005365EE" w:rsidRDefault="00C85944" w:rsidP="00C85944">
      <w:pPr>
        <w:shd w:val="clear" w:color="auto" w:fill="FFFFFF"/>
        <w:spacing w:before="120" w:after="120"/>
        <w:rPr>
          <w:rFonts w:ascii="Open Sans" w:hAnsi="Open Sans" w:cs="Open Sans"/>
          <w:i/>
          <w:szCs w:val="22"/>
          <w:lang w:eastAsia="en-GB"/>
        </w:rPr>
      </w:pPr>
      <w:r w:rsidRPr="005365EE">
        <w:rPr>
          <w:rFonts w:ascii="Open Sans" w:hAnsi="Open Sans" w:cs="Open Sans"/>
          <w:szCs w:val="22"/>
          <w:lang w:eastAsia="en-GB"/>
        </w:rPr>
        <w:t>BEIS and Defra should also consider the merit and potential role of sequential crops (multiple crops in the same field) in the UK. There may be some parts of the UK where the climate makes it possible to grow these types of crops. This approach has been developed mostly in Southern Europe, pioneered by the Consorzio Italiano Biogas (CIB) to integrate anaerobic digestion with agro-ecology</w:t>
      </w:r>
      <w:r w:rsidRPr="005365EE">
        <w:rPr>
          <w:rStyle w:val="FootnoteReference"/>
          <w:rFonts w:ascii="Open Sans" w:hAnsi="Open Sans" w:cs="Open Sans"/>
          <w:szCs w:val="22"/>
          <w:lang w:eastAsia="en-GB"/>
        </w:rPr>
        <w:footnoteReference w:id="3"/>
      </w:r>
      <w:r w:rsidRPr="005365EE">
        <w:rPr>
          <w:rFonts w:ascii="Open Sans" w:hAnsi="Open Sans" w:cs="Open Sans"/>
          <w:szCs w:val="22"/>
          <w:lang w:eastAsia="en-GB"/>
        </w:rPr>
        <w:t xml:space="preserve">. This highly sustainable model has proven to deliver significant reduction in GHG emissions from agriculture and carbon sequestration, as well as to restore soil health and organic matter. The EBA’s position on sequential cropping and the associated benefits can be found </w:t>
      </w:r>
      <w:hyperlink r:id="rId12" w:history="1">
        <w:r w:rsidRPr="005365EE">
          <w:rPr>
            <w:rStyle w:val="Hyperlink"/>
            <w:rFonts w:ascii="Open Sans" w:hAnsi="Open Sans" w:cs="Open Sans"/>
            <w:color w:val="auto"/>
            <w:szCs w:val="22"/>
            <w:lang w:eastAsia="en-GB"/>
          </w:rPr>
          <w:t>here.</w:t>
        </w:r>
      </w:hyperlink>
      <w:r w:rsidRPr="005365EE">
        <w:rPr>
          <w:rFonts w:ascii="Open Sans" w:hAnsi="Open Sans" w:cs="Open Sans"/>
          <w:szCs w:val="22"/>
          <w:lang w:eastAsia="en-GB"/>
        </w:rPr>
        <w:t xml:space="preserve"> </w:t>
      </w:r>
      <w:r w:rsidRPr="005365EE">
        <w:rPr>
          <w:rFonts w:ascii="Open Sans" w:hAnsi="Open Sans" w:cs="Open Sans"/>
          <w:i/>
          <w:szCs w:val="22"/>
          <w:lang w:eastAsia="en-GB"/>
        </w:rPr>
        <w:t>‘EBA collected from the biogas sector shows that proper biogas production based on sequential cropping is a sustainable activity. On top of that, it is a powerful solution leading to decreased greenhouse gas (GHG) emissions, protection of biodiversity and restoration of soil quality through agro-ecological innovation and organic fertilization.’</w:t>
      </w:r>
    </w:p>
    <w:p w14:paraId="5B6A3686" w14:textId="77777777" w:rsidR="00C85944" w:rsidRPr="005365EE" w:rsidRDefault="00C85944" w:rsidP="00C85944">
      <w:pPr>
        <w:shd w:val="clear" w:color="auto" w:fill="FFFFFF"/>
        <w:spacing w:before="120" w:after="120"/>
        <w:rPr>
          <w:rStyle w:val="Hyperlink"/>
          <w:rFonts w:ascii="Open Sans" w:hAnsi="Open Sans" w:cs="Open Sans"/>
          <w:color w:val="auto"/>
          <w:szCs w:val="22"/>
          <w:lang w:eastAsia="en-GB"/>
        </w:rPr>
      </w:pPr>
      <w:r w:rsidRPr="005365EE">
        <w:rPr>
          <w:rFonts w:ascii="Open Sans" w:hAnsi="Open Sans" w:cs="Open Sans"/>
          <w:szCs w:val="22"/>
          <w:lang w:eastAsia="en-GB"/>
        </w:rPr>
        <w:t>The recent industry report ‘</w:t>
      </w:r>
      <w:hyperlink r:id="rId13" w:history="1">
        <w:r w:rsidRPr="005365EE">
          <w:rPr>
            <w:rStyle w:val="Hyperlink"/>
            <w:rFonts w:ascii="Open Sans" w:hAnsi="Open Sans" w:cs="Open Sans"/>
            <w:color w:val="auto"/>
            <w:szCs w:val="22"/>
            <w:lang w:eastAsia="en-GB"/>
          </w:rPr>
          <w:t>Biomethane: the pathway to 2030</w:t>
        </w:r>
      </w:hyperlink>
      <w:r w:rsidRPr="005365EE">
        <w:rPr>
          <w:rStyle w:val="Hyperlink"/>
          <w:rFonts w:ascii="Open Sans" w:hAnsi="Open Sans" w:cs="Open Sans"/>
          <w:color w:val="auto"/>
          <w:szCs w:val="22"/>
          <w:lang w:eastAsia="en-GB"/>
        </w:rPr>
        <w:t xml:space="preserve"> </w:t>
      </w:r>
      <w:r w:rsidRPr="005365EE">
        <w:rPr>
          <w:rStyle w:val="Hyperlink"/>
          <w:rFonts w:ascii="Open Sans" w:hAnsi="Open Sans" w:cs="Open Sans"/>
          <w:color w:val="auto"/>
          <w:szCs w:val="22"/>
          <w:u w:val="none"/>
          <w:lang w:eastAsia="en-GB"/>
        </w:rPr>
        <w:t xml:space="preserve">estimates 4.2 million tonnes of energy crops by 2030, on the provision these crops are grown sustainably. </w:t>
      </w:r>
    </w:p>
    <w:p w14:paraId="14BA8AE0" w14:textId="77777777" w:rsidR="00C85944" w:rsidRPr="005365EE" w:rsidRDefault="00C85944" w:rsidP="00C85944">
      <w:pPr>
        <w:shd w:val="clear" w:color="auto" w:fill="FFFFFF"/>
        <w:spacing w:before="120" w:after="120"/>
        <w:rPr>
          <w:rFonts w:ascii="Open Sans" w:hAnsi="Open Sans" w:cs="Open Sans"/>
          <w:iCs/>
          <w:szCs w:val="22"/>
          <w:lang w:eastAsia="en-GB"/>
        </w:rPr>
      </w:pPr>
      <w:r w:rsidRPr="005365EE">
        <w:rPr>
          <w:rFonts w:ascii="Open Sans" w:hAnsi="Open Sans" w:cs="Open Sans"/>
          <w:iCs/>
          <w:szCs w:val="22"/>
          <w:lang w:eastAsia="en-GB"/>
        </w:rPr>
        <w:t xml:space="preserve">See further detail on sustainable crops in our response to question 9.  </w:t>
      </w:r>
    </w:p>
    <w:p w14:paraId="536E5ED5" w14:textId="77777777" w:rsidR="00C85944" w:rsidRPr="005365EE" w:rsidRDefault="00C85944" w:rsidP="00C85944">
      <w:pPr>
        <w:spacing w:before="120" w:after="120"/>
        <w:rPr>
          <w:rFonts w:ascii="Open Sans" w:hAnsi="Open Sans" w:cs="Open Sans"/>
          <w:szCs w:val="22"/>
          <w:u w:val="single"/>
          <w:lang w:eastAsia="en-GB"/>
        </w:rPr>
      </w:pPr>
      <w:r w:rsidRPr="005365EE">
        <w:rPr>
          <w:rFonts w:ascii="Open Sans" w:hAnsi="Open Sans" w:cs="Open Sans"/>
          <w:szCs w:val="22"/>
          <w:u w:val="single"/>
          <w:lang w:eastAsia="en-GB"/>
        </w:rPr>
        <w:t xml:space="preserve">Recent estimates of biomethane potential </w:t>
      </w:r>
    </w:p>
    <w:p w14:paraId="4C38F8B4" w14:textId="77777777" w:rsidR="00C85944" w:rsidRPr="005365EE" w:rsidRDefault="00C85944" w:rsidP="00C85944">
      <w:pPr>
        <w:spacing w:before="120" w:after="120"/>
        <w:rPr>
          <w:rFonts w:ascii="Open Sans" w:hAnsi="Open Sans" w:cs="Open Sans"/>
          <w:szCs w:val="22"/>
          <w:lang w:eastAsia="en-GB"/>
        </w:rPr>
      </w:pPr>
      <w:r w:rsidRPr="005365EE">
        <w:rPr>
          <w:rFonts w:ascii="Open Sans" w:hAnsi="Open Sans" w:cs="Open Sans"/>
          <w:szCs w:val="22"/>
          <w:lang w:eastAsia="en-GB"/>
        </w:rPr>
        <w:t xml:space="preserve">The table below compares recent estimates of biomethane potential from a number of industry and independent reports based on the resources available. </w:t>
      </w:r>
    </w:p>
    <w:p w14:paraId="40A9FDBD" w14:textId="77777777" w:rsidR="00C85944" w:rsidRPr="005365EE" w:rsidRDefault="00C85944" w:rsidP="00C85944">
      <w:pPr>
        <w:spacing w:before="120" w:after="120"/>
        <w:rPr>
          <w:rFonts w:ascii="Open Sans" w:hAnsi="Open Sans" w:cs="Open Sans"/>
          <w:szCs w:val="22"/>
          <w:lang w:eastAsia="en-GB"/>
        </w:rPr>
      </w:pPr>
      <w:r w:rsidRPr="005365EE">
        <w:rPr>
          <w:rFonts w:ascii="Open Sans" w:hAnsi="Open Sans" w:cs="Open Sans"/>
          <w:szCs w:val="22"/>
          <w:lang w:eastAsia="en-GB"/>
        </w:rPr>
        <w:t xml:space="preserve">As you can see, BEIS target is very conservative compared to other recent estimates, including that from the CCC in their Net Zero: Technical Report and some members and other trade associations have called for this target to be more ambitious. </w:t>
      </w:r>
    </w:p>
    <w:p w14:paraId="54780829" w14:textId="77777777" w:rsidR="00C85944" w:rsidRPr="005365EE" w:rsidRDefault="00C85944" w:rsidP="00C85944">
      <w:pPr>
        <w:spacing w:before="120" w:after="120"/>
        <w:rPr>
          <w:rFonts w:ascii="Open Sans" w:hAnsi="Open Sans" w:cs="Open Sans"/>
          <w:i/>
          <w:iCs/>
          <w:szCs w:val="22"/>
          <w:lang w:eastAsia="en-GB"/>
        </w:rPr>
      </w:pPr>
      <w:r w:rsidRPr="005365EE">
        <w:rPr>
          <w:rFonts w:ascii="Open Sans" w:hAnsi="Open Sans" w:cs="Open Sans"/>
          <w:i/>
          <w:iCs/>
          <w:szCs w:val="22"/>
          <w:lang w:eastAsia="en-GB"/>
        </w:rPr>
        <w:lastRenderedPageBreak/>
        <w:t xml:space="preserve">Recent estimates on the potential for biomethane (from AD) by 2026, 2030, </w:t>
      </w:r>
      <w:r>
        <w:rPr>
          <w:rFonts w:ascii="Open Sans" w:hAnsi="Open Sans" w:cs="Open Sans"/>
          <w:i/>
          <w:iCs/>
          <w:szCs w:val="22"/>
          <w:lang w:eastAsia="en-GB"/>
        </w:rPr>
        <w:t xml:space="preserve">and </w:t>
      </w:r>
      <w:r w:rsidRPr="005365EE">
        <w:rPr>
          <w:rFonts w:ascii="Open Sans" w:hAnsi="Open Sans" w:cs="Open Sans"/>
          <w:i/>
          <w:iCs/>
          <w:szCs w:val="22"/>
          <w:lang w:eastAsia="en-GB"/>
        </w:rPr>
        <w:t>2032 (TWh/annum)</w:t>
      </w:r>
    </w:p>
    <w:tbl>
      <w:tblPr>
        <w:tblW w:w="0" w:type="auto"/>
        <w:tblInd w:w="100" w:type="dxa"/>
        <w:tblCellMar>
          <w:top w:w="15" w:type="dxa"/>
          <w:left w:w="15" w:type="dxa"/>
          <w:bottom w:w="15" w:type="dxa"/>
          <w:right w:w="15" w:type="dxa"/>
        </w:tblCellMar>
        <w:tblLook w:val="04A0" w:firstRow="1" w:lastRow="0" w:firstColumn="1" w:lastColumn="0" w:noHBand="0" w:noVBand="1"/>
      </w:tblPr>
      <w:tblGrid>
        <w:gridCol w:w="1742"/>
        <w:gridCol w:w="1550"/>
        <w:gridCol w:w="3331"/>
        <w:gridCol w:w="1631"/>
      </w:tblGrid>
      <w:tr w:rsidR="00C85944" w:rsidRPr="005365EE" w14:paraId="06375729" w14:textId="77777777" w:rsidTr="00C85944">
        <w:trPr>
          <w:trHeight w:val="772"/>
        </w:trPr>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DDF832" w14:textId="77777777" w:rsidR="00C85944" w:rsidRPr="005365EE" w:rsidRDefault="00C85944" w:rsidP="00C85944">
            <w:pPr>
              <w:spacing w:before="120" w:after="120"/>
              <w:ind w:left="-40"/>
              <w:rPr>
                <w:rFonts w:ascii="Open Sans" w:hAnsi="Open Sans" w:cs="Open Sans"/>
                <w:sz w:val="20"/>
                <w:szCs w:val="20"/>
                <w:lang w:eastAsia="en-GB"/>
              </w:rPr>
            </w:pPr>
            <w:r w:rsidRPr="005365EE">
              <w:rPr>
                <w:rFonts w:ascii="Open Sans" w:hAnsi="Open Sans" w:cs="Open Sans"/>
                <w:b/>
                <w:bCs/>
                <w:sz w:val="20"/>
                <w:szCs w:val="20"/>
                <w:lang w:eastAsia="en-GB"/>
              </w:rPr>
              <w:t>Source</w:t>
            </w:r>
          </w:p>
        </w:tc>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874DD6" w14:textId="77777777" w:rsidR="00C85944" w:rsidRPr="005365EE" w:rsidRDefault="00C85944" w:rsidP="00C85944">
            <w:pPr>
              <w:spacing w:before="120" w:after="120"/>
              <w:ind w:left="-40"/>
              <w:rPr>
                <w:rFonts w:ascii="Open Sans" w:hAnsi="Open Sans" w:cs="Open Sans"/>
                <w:sz w:val="20"/>
                <w:szCs w:val="20"/>
                <w:lang w:eastAsia="en-GB"/>
              </w:rPr>
            </w:pPr>
            <w:r w:rsidRPr="005365EE">
              <w:rPr>
                <w:rFonts w:ascii="Open Sans" w:hAnsi="Open Sans" w:cs="Open Sans"/>
                <w:b/>
                <w:bCs/>
                <w:sz w:val="20"/>
                <w:szCs w:val="20"/>
                <w:lang w:eastAsia="en-GB"/>
              </w:rPr>
              <w:t>By 2026</w:t>
            </w:r>
          </w:p>
        </w:tc>
        <w:tc>
          <w:tcPr>
            <w:tcW w:w="33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C1E302" w14:textId="77777777" w:rsidR="00C85944" w:rsidRPr="005365EE" w:rsidRDefault="00C85944" w:rsidP="00C85944">
            <w:pPr>
              <w:spacing w:before="120" w:after="120"/>
              <w:ind w:left="-40"/>
              <w:rPr>
                <w:rFonts w:ascii="Open Sans" w:hAnsi="Open Sans" w:cs="Open Sans"/>
                <w:sz w:val="20"/>
                <w:szCs w:val="20"/>
                <w:lang w:eastAsia="en-GB"/>
              </w:rPr>
            </w:pPr>
            <w:r w:rsidRPr="005365EE">
              <w:rPr>
                <w:rFonts w:ascii="Open Sans" w:hAnsi="Open Sans" w:cs="Open Sans"/>
                <w:b/>
                <w:bCs/>
                <w:sz w:val="20"/>
                <w:szCs w:val="20"/>
                <w:lang w:eastAsia="en-GB"/>
              </w:rPr>
              <w:t>By 2030</w:t>
            </w:r>
          </w:p>
        </w:tc>
        <w:tc>
          <w:tcPr>
            <w:tcW w:w="1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2E9C84" w14:textId="77777777" w:rsidR="00C85944" w:rsidRPr="005365EE" w:rsidRDefault="00C85944" w:rsidP="00C85944">
            <w:pPr>
              <w:spacing w:before="120" w:after="120"/>
              <w:ind w:left="-40"/>
              <w:rPr>
                <w:rFonts w:ascii="Open Sans" w:hAnsi="Open Sans" w:cs="Open Sans"/>
                <w:sz w:val="20"/>
                <w:szCs w:val="20"/>
                <w:lang w:eastAsia="en-GB"/>
              </w:rPr>
            </w:pPr>
            <w:r w:rsidRPr="005365EE">
              <w:rPr>
                <w:rFonts w:ascii="Open Sans" w:hAnsi="Open Sans" w:cs="Open Sans"/>
                <w:b/>
                <w:bCs/>
                <w:sz w:val="20"/>
                <w:szCs w:val="20"/>
                <w:lang w:eastAsia="en-GB"/>
              </w:rPr>
              <w:t>By 2032</w:t>
            </w:r>
          </w:p>
        </w:tc>
      </w:tr>
      <w:tr w:rsidR="00C85944" w:rsidRPr="005365EE" w14:paraId="0098B93F" w14:textId="77777777" w:rsidTr="00C85944">
        <w:trPr>
          <w:trHeight w:val="726"/>
        </w:trPr>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178641" w14:textId="77777777" w:rsidR="00C85944" w:rsidRPr="005365EE" w:rsidRDefault="00C85944" w:rsidP="00C85944">
            <w:pPr>
              <w:spacing w:before="120" w:after="120"/>
              <w:ind w:left="-40"/>
              <w:jc w:val="left"/>
              <w:rPr>
                <w:rFonts w:ascii="Open Sans" w:hAnsi="Open Sans" w:cs="Open Sans"/>
                <w:sz w:val="20"/>
                <w:szCs w:val="20"/>
                <w:lang w:eastAsia="en-GB"/>
              </w:rPr>
            </w:pPr>
            <w:r w:rsidRPr="005365EE">
              <w:rPr>
                <w:rFonts w:ascii="Open Sans" w:hAnsi="Open Sans" w:cs="Open Sans"/>
                <w:sz w:val="20"/>
                <w:szCs w:val="20"/>
                <w:lang w:eastAsia="en-GB"/>
              </w:rPr>
              <w:t>REA’s</w:t>
            </w:r>
            <w:hyperlink r:id="rId14" w:history="1">
              <w:r w:rsidRPr="005365EE">
                <w:rPr>
                  <w:rStyle w:val="Hyperlink"/>
                  <w:rFonts w:ascii="Open Sans" w:hAnsi="Open Sans" w:cs="Open Sans"/>
                  <w:color w:val="auto"/>
                  <w:sz w:val="20"/>
                  <w:szCs w:val="20"/>
                  <w:lang w:eastAsia="en-GB"/>
                </w:rPr>
                <w:t xml:space="preserve"> Bioenergy Strategy, 201</w:t>
              </w:r>
            </w:hyperlink>
            <w:r w:rsidRPr="005365EE">
              <w:rPr>
                <w:rFonts w:ascii="Open Sans" w:hAnsi="Open Sans" w:cs="Open Sans"/>
                <w:sz w:val="20"/>
                <w:szCs w:val="20"/>
                <w:lang w:eastAsia="en-GB"/>
              </w:rPr>
              <w:t>9</w:t>
            </w:r>
          </w:p>
        </w:tc>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863497" w14:textId="77777777" w:rsidR="00C85944" w:rsidRPr="005365EE" w:rsidRDefault="00C85944" w:rsidP="00C85944">
            <w:pPr>
              <w:spacing w:before="120" w:after="120"/>
              <w:ind w:left="-40"/>
              <w:rPr>
                <w:rFonts w:ascii="Open Sans" w:hAnsi="Open Sans" w:cs="Open Sans"/>
                <w:sz w:val="20"/>
                <w:szCs w:val="20"/>
                <w:lang w:eastAsia="en-GB"/>
              </w:rPr>
            </w:pPr>
            <w:r w:rsidRPr="005365EE">
              <w:rPr>
                <w:rFonts w:ascii="Open Sans" w:hAnsi="Open Sans" w:cs="Open Sans"/>
                <w:sz w:val="20"/>
                <w:szCs w:val="20"/>
                <w:lang w:eastAsia="en-GB"/>
              </w:rPr>
              <w:t>31</w:t>
            </w:r>
          </w:p>
        </w:tc>
        <w:tc>
          <w:tcPr>
            <w:tcW w:w="33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9C81E9" w14:textId="77777777" w:rsidR="00C85944" w:rsidRPr="005365EE" w:rsidRDefault="00C85944" w:rsidP="00C85944">
            <w:pPr>
              <w:spacing w:before="120" w:after="120"/>
              <w:ind w:left="-40"/>
              <w:rPr>
                <w:rFonts w:ascii="Open Sans" w:hAnsi="Open Sans" w:cs="Open Sans"/>
                <w:sz w:val="20"/>
                <w:szCs w:val="20"/>
                <w:lang w:eastAsia="en-GB"/>
              </w:rPr>
            </w:pPr>
            <w:r w:rsidRPr="005365EE">
              <w:rPr>
                <w:rFonts w:ascii="Open Sans" w:hAnsi="Open Sans" w:cs="Open Sans"/>
                <w:sz w:val="20"/>
                <w:szCs w:val="20"/>
                <w:lang w:eastAsia="en-GB"/>
              </w:rPr>
              <w:t>NA</w:t>
            </w:r>
          </w:p>
        </w:tc>
        <w:tc>
          <w:tcPr>
            <w:tcW w:w="1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30A78D" w14:textId="77777777" w:rsidR="00C85944" w:rsidRPr="005365EE" w:rsidRDefault="00C85944" w:rsidP="00C85944">
            <w:pPr>
              <w:spacing w:before="120" w:after="120"/>
              <w:ind w:left="-40"/>
              <w:rPr>
                <w:rFonts w:ascii="Open Sans" w:hAnsi="Open Sans" w:cs="Open Sans"/>
                <w:sz w:val="20"/>
                <w:szCs w:val="20"/>
                <w:lang w:eastAsia="en-GB"/>
              </w:rPr>
            </w:pPr>
            <w:r w:rsidRPr="005365EE">
              <w:rPr>
                <w:rFonts w:ascii="Open Sans" w:hAnsi="Open Sans" w:cs="Open Sans"/>
                <w:sz w:val="20"/>
                <w:szCs w:val="20"/>
                <w:lang w:eastAsia="en-GB"/>
              </w:rPr>
              <w:t>52</w:t>
            </w:r>
          </w:p>
        </w:tc>
      </w:tr>
      <w:tr w:rsidR="00C85944" w:rsidRPr="005365EE" w14:paraId="1E6956CB" w14:textId="77777777" w:rsidTr="00C85944">
        <w:trPr>
          <w:trHeight w:val="306"/>
        </w:trPr>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076460" w14:textId="77777777" w:rsidR="00C85944" w:rsidRPr="005365EE" w:rsidRDefault="00824F4D" w:rsidP="00C85944">
            <w:pPr>
              <w:spacing w:before="120" w:after="120"/>
              <w:ind w:left="-40"/>
              <w:jc w:val="left"/>
              <w:rPr>
                <w:rFonts w:ascii="Open Sans" w:hAnsi="Open Sans" w:cs="Open Sans"/>
                <w:sz w:val="20"/>
                <w:szCs w:val="20"/>
                <w:lang w:eastAsia="en-GB"/>
              </w:rPr>
            </w:pPr>
            <w:hyperlink r:id="rId15" w:history="1">
              <w:r w:rsidR="00C85944" w:rsidRPr="005365EE">
                <w:rPr>
                  <w:rFonts w:ascii="Open Sans" w:hAnsi="Open Sans" w:cs="Open Sans"/>
                  <w:sz w:val="20"/>
                  <w:szCs w:val="20"/>
                  <w:u w:val="single"/>
                  <w:lang w:eastAsia="en-GB"/>
                </w:rPr>
                <w:t>ENA’s Decarbonisation Pathways</w:t>
              </w:r>
            </w:hyperlink>
            <w:r w:rsidR="00C85944" w:rsidRPr="005365EE">
              <w:rPr>
                <w:rFonts w:ascii="Open Sans" w:hAnsi="Open Sans" w:cs="Open Sans"/>
                <w:sz w:val="20"/>
                <w:szCs w:val="20"/>
                <w:lang w:eastAsia="en-GB"/>
              </w:rPr>
              <w:t xml:space="preserve"> (Balanced scenario), 2019</w:t>
            </w:r>
          </w:p>
        </w:tc>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A2A372" w14:textId="77777777" w:rsidR="00C85944" w:rsidRPr="005365EE" w:rsidRDefault="00C85944" w:rsidP="00C85944">
            <w:pPr>
              <w:spacing w:before="120" w:after="120"/>
              <w:ind w:left="-40"/>
              <w:rPr>
                <w:rFonts w:ascii="Open Sans" w:hAnsi="Open Sans" w:cs="Open Sans"/>
                <w:sz w:val="20"/>
                <w:szCs w:val="20"/>
                <w:lang w:eastAsia="en-GB"/>
              </w:rPr>
            </w:pPr>
            <w:r w:rsidRPr="005365EE">
              <w:rPr>
                <w:rFonts w:ascii="Open Sans" w:hAnsi="Open Sans" w:cs="Open Sans"/>
                <w:sz w:val="20"/>
                <w:szCs w:val="20"/>
                <w:lang w:eastAsia="en-GB"/>
              </w:rPr>
              <w:t>NA</w:t>
            </w:r>
          </w:p>
        </w:tc>
        <w:tc>
          <w:tcPr>
            <w:tcW w:w="33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653970" w14:textId="77777777" w:rsidR="00C85944" w:rsidRPr="005365EE" w:rsidRDefault="00C85944" w:rsidP="00C85944">
            <w:pPr>
              <w:spacing w:before="120" w:after="120"/>
              <w:ind w:left="-40"/>
              <w:rPr>
                <w:rFonts w:ascii="Open Sans" w:hAnsi="Open Sans" w:cs="Open Sans"/>
                <w:sz w:val="20"/>
                <w:szCs w:val="20"/>
                <w:lang w:eastAsia="en-GB"/>
              </w:rPr>
            </w:pPr>
            <w:r w:rsidRPr="005365EE">
              <w:rPr>
                <w:rFonts w:ascii="Open Sans" w:hAnsi="Open Sans" w:cs="Open Sans"/>
                <w:sz w:val="20"/>
                <w:szCs w:val="20"/>
                <w:lang w:eastAsia="en-GB"/>
              </w:rPr>
              <w:t>22</w:t>
            </w:r>
          </w:p>
        </w:tc>
        <w:tc>
          <w:tcPr>
            <w:tcW w:w="1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593C40" w14:textId="77777777" w:rsidR="00C85944" w:rsidRPr="005365EE" w:rsidRDefault="00C85944" w:rsidP="00C85944">
            <w:pPr>
              <w:spacing w:before="120" w:after="120"/>
              <w:ind w:left="-40"/>
              <w:rPr>
                <w:rFonts w:ascii="Open Sans" w:hAnsi="Open Sans" w:cs="Open Sans"/>
                <w:sz w:val="20"/>
                <w:szCs w:val="20"/>
                <w:lang w:eastAsia="en-GB"/>
              </w:rPr>
            </w:pPr>
            <w:r w:rsidRPr="005365EE">
              <w:rPr>
                <w:rFonts w:ascii="Open Sans" w:hAnsi="Open Sans" w:cs="Open Sans"/>
                <w:sz w:val="20"/>
                <w:szCs w:val="20"/>
                <w:lang w:eastAsia="en-GB"/>
              </w:rPr>
              <w:t>NA</w:t>
            </w:r>
          </w:p>
        </w:tc>
      </w:tr>
      <w:tr w:rsidR="00C85944" w:rsidRPr="005365EE" w14:paraId="388DBAF2" w14:textId="77777777" w:rsidTr="00C85944">
        <w:trPr>
          <w:trHeight w:val="545"/>
        </w:trPr>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3360D1" w14:textId="77777777" w:rsidR="00C85944" w:rsidRPr="005365EE" w:rsidRDefault="00824F4D" w:rsidP="00C85944">
            <w:pPr>
              <w:spacing w:before="120" w:after="120"/>
              <w:ind w:left="-40"/>
              <w:jc w:val="left"/>
              <w:rPr>
                <w:rFonts w:ascii="Open Sans" w:hAnsi="Open Sans" w:cs="Open Sans"/>
                <w:sz w:val="20"/>
                <w:szCs w:val="20"/>
                <w:lang w:eastAsia="en-GB"/>
              </w:rPr>
            </w:pPr>
            <w:hyperlink r:id="rId16" w:history="1">
              <w:r w:rsidR="00C85944" w:rsidRPr="005365EE">
                <w:rPr>
                  <w:rFonts w:ascii="Open Sans" w:hAnsi="Open Sans" w:cs="Open Sans"/>
                  <w:sz w:val="20"/>
                  <w:szCs w:val="20"/>
                  <w:u w:val="single"/>
                  <w:lang w:eastAsia="en-GB"/>
                </w:rPr>
                <w:t>Net Zero: Technical Report,</w:t>
              </w:r>
            </w:hyperlink>
            <w:r w:rsidR="00C85944" w:rsidRPr="005365EE">
              <w:rPr>
                <w:rFonts w:ascii="Open Sans" w:hAnsi="Open Sans" w:cs="Open Sans"/>
                <w:sz w:val="20"/>
                <w:szCs w:val="20"/>
                <w:lang w:eastAsia="en-GB"/>
              </w:rPr>
              <w:t xml:space="preserve"> CCC, 2019</w:t>
            </w:r>
          </w:p>
        </w:tc>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161F2C" w14:textId="77777777" w:rsidR="00C85944" w:rsidRPr="005365EE" w:rsidRDefault="00C85944" w:rsidP="00C85944">
            <w:pPr>
              <w:spacing w:before="120" w:after="120"/>
              <w:ind w:left="-40"/>
              <w:rPr>
                <w:rFonts w:ascii="Open Sans" w:hAnsi="Open Sans" w:cs="Open Sans"/>
                <w:sz w:val="20"/>
                <w:szCs w:val="20"/>
                <w:lang w:eastAsia="en-GB"/>
              </w:rPr>
            </w:pPr>
            <w:r w:rsidRPr="005365EE">
              <w:rPr>
                <w:rFonts w:ascii="Open Sans" w:hAnsi="Open Sans" w:cs="Open Sans"/>
                <w:sz w:val="20"/>
                <w:szCs w:val="20"/>
                <w:lang w:eastAsia="en-GB"/>
              </w:rPr>
              <w:t>NA</w:t>
            </w:r>
          </w:p>
        </w:tc>
        <w:tc>
          <w:tcPr>
            <w:tcW w:w="33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B6AE61" w14:textId="77777777" w:rsidR="00C85944" w:rsidRPr="005365EE" w:rsidRDefault="00C85944" w:rsidP="00C85944">
            <w:pPr>
              <w:spacing w:before="120" w:after="120"/>
              <w:ind w:left="-40"/>
              <w:rPr>
                <w:rFonts w:ascii="Open Sans" w:hAnsi="Open Sans" w:cs="Open Sans"/>
                <w:sz w:val="20"/>
                <w:szCs w:val="20"/>
                <w:lang w:eastAsia="en-GB"/>
              </w:rPr>
            </w:pPr>
            <w:r w:rsidRPr="005365EE">
              <w:rPr>
                <w:rFonts w:ascii="Open Sans" w:hAnsi="Open Sans" w:cs="Open Sans"/>
                <w:sz w:val="20"/>
                <w:szCs w:val="20"/>
                <w:lang w:eastAsia="en-GB"/>
              </w:rPr>
              <w:t>20 (</w:t>
            </w:r>
            <w:r>
              <w:rPr>
                <w:rFonts w:ascii="Open Sans" w:hAnsi="Open Sans" w:cs="Open Sans"/>
                <w:sz w:val="20"/>
                <w:szCs w:val="20"/>
                <w:lang w:eastAsia="en-GB"/>
              </w:rPr>
              <w:t>heating homes</w:t>
            </w:r>
            <w:r w:rsidRPr="005365EE">
              <w:rPr>
                <w:rFonts w:ascii="Open Sans" w:hAnsi="Open Sans" w:cs="Open Sans"/>
                <w:sz w:val="20"/>
                <w:szCs w:val="20"/>
                <w:lang w:eastAsia="en-GB"/>
              </w:rPr>
              <w:t>)</w:t>
            </w:r>
          </w:p>
        </w:tc>
        <w:tc>
          <w:tcPr>
            <w:tcW w:w="1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4C9F73" w14:textId="77777777" w:rsidR="00C85944" w:rsidRPr="005365EE" w:rsidRDefault="00C85944" w:rsidP="00C85944">
            <w:pPr>
              <w:spacing w:before="120" w:after="120"/>
              <w:ind w:left="-40"/>
              <w:rPr>
                <w:rFonts w:ascii="Open Sans" w:hAnsi="Open Sans" w:cs="Open Sans"/>
                <w:sz w:val="20"/>
                <w:szCs w:val="20"/>
                <w:lang w:eastAsia="en-GB"/>
              </w:rPr>
            </w:pPr>
            <w:r w:rsidRPr="005365EE">
              <w:rPr>
                <w:rFonts w:ascii="Open Sans" w:hAnsi="Open Sans" w:cs="Open Sans"/>
                <w:sz w:val="20"/>
                <w:szCs w:val="20"/>
                <w:lang w:eastAsia="en-GB"/>
              </w:rPr>
              <w:t>NA</w:t>
            </w:r>
          </w:p>
        </w:tc>
      </w:tr>
      <w:tr w:rsidR="00C85944" w:rsidRPr="005365EE" w14:paraId="3EF60854" w14:textId="77777777" w:rsidTr="00C85944">
        <w:trPr>
          <w:trHeight w:val="952"/>
        </w:trPr>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49AA49" w14:textId="77777777" w:rsidR="00C85944" w:rsidRPr="005365EE" w:rsidRDefault="00824F4D" w:rsidP="00C85944">
            <w:pPr>
              <w:spacing w:before="120" w:after="120"/>
              <w:ind w:left="-40"/>
              <w:jc w:val="left"/>
              <w:rPr>
                <w:rFonts w:ascii="Open Sans" w:hAnsi="Open Sans" w:cs="Open Sans"/>
                <w:sz w:val="20"/>
                <w:szCs w:val="20"/>
                <w:lang w:eastAsia="en-GB"/>
              </w:rPr>
            </w:pPr>
            <w:hyperlink r:id="rId17" w:history="1">
              <w:r w:rsidR="00C85944" w:rsidRPr="005365EE">
                <w:rPr>
                  <w:rFonts w:ascii="Open Sans" w:hAnsi="Open Sans" w:cs="Open Sans"/>
                  <w:sz w:val="20"/>
                  <w:szCs w:val="20"/>
                  <w:u w:val="single"/>
                  <w:lang w:eastAsia="en-GB"/>
                </w:rPr>
                <w:t>Biomethane: the pathway to 2030</w:t>
              </w:r>
            </w:hyperlink>
            <w:r w:rsidR="00C85944" w:rsidRPr="005365EE">
              <w:rPr>
                <w:rFonts w:ascii="Open Sans" w:hAnsi="Open Sans" w:cs="Open Sans"/>
                <w:sz w:val="20"/>
                <w:szCs w:val="20"/>
                <w:lang w:eastAsia="en-GB"/>
              </w:rPr>
              <w:t xml:space="preserve"> (ADBA, 2020)</w:t>
            </w:r>
          </w:p>
        </w:tc>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167A3B" w14:textId="77777777" w:rsidR="00C85944" w:rsidRPr="005365EE" w:rsidRDefault="00C85944" w:rsidP="00C85944">
            <w:pPr>
              <w:spacing w:before="120" w:after="120"/>
              <w:ind w:left="-40"/>
              <w:rPr>
                <w:rFonts w:ascii="Open Sans" w:hAnsi="Open Sans" w:cs="Open Sans"/>
                <w:sz w:val="20"/>
                <w:szCs w:val="20"/>
                <w:lang w:eastAsia="en-GB"/>
              </w:rPr>
            </w:pPr>
            <w:r w:rsidRPr="005365EE">
              <w:rPr>
                <w:rFonts w:ascii="Open Sans" w:hAnsi="Open Sans" w:cs="Open Sans"/>
                <w:sz w:val="20"/>
                <w:szCs w:val="20"/>
                <w:lang w:eastAsia="en-GB"/>
              </w:rPr>
              <w:t>NA</w:t>
            </w:r>
          </w:p>
        </w:tc>
        <w:tc>
          <w:tcPr>
            <w:tcW w:w="33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5BD665" w14:textId="77777777" w:rsidR="00C85944" w:rsidRPr="005365EE" w:rsidRDefault="00C85944" w:rsidP="00C85944">
            <w:pPr>
              <w:spacing w:before="120" w:after="120"/>
              <w:ind w:left="-40"/>
              <w:jc w:val="left"/>
              <w:rPr>
                <w:rFonts w:ascii="Open Sans" w:hAnsi="Open Sans" w:cs="Open Sans"/>
                <w:sz w:val="20"/>
                <w:szCs w:val="20"/>
                <w:lang w:eastAsia="en-GB"/>
              </w:rPr>
            </w:pPr>
            <w:r w:rsidRPr="005365EE">
              <w:rPr>
                <w:rFonts w:ascii="Open Sans" w:hAnsi="Open Sans" w:cs="Open Sans"/>
                <w:sz w:val="20"/>
                <w:szCs w:val="20"/>
                <w:lang w:eastAsia="en-GB"/>
              </w:rPr>
              <w:t>~54 (conversion from 5,677 million m</w:t>
            </w:r>
            <w:r w:rsidRPr="005365EE">
              <w:rPr>
                <w:rFonts w:ascii="Open Sans" w:hAnsi="Open Sans" w:cs="Open Sans"/>
                <w:sz w:val="20"/>
                <w:szCs w:val="20"/>
                <w:vertAlign w:val="superscript"/>
                <w:lang w:eastAsia="en-GB"/>
              </w:rPr>
              <w:t>3</w:t>
            </w:r>
            <w:r w:rsidRPr="005365EE">
              <w:rPr>
                <w:rFonts w:ascii="Open Sans" w:hAnsi="Open Sans" w:cs="Open Sans"/>
                <w:sz w:val="20"/>
                <w:szCs w:val="20"/>
                <w:lang w:eastAsia="en-GB"/>
              </w:rPr>
              <w:t xml:space="preserve"> biomethane potential)</w:t>
            </w:r>
          </w:p>
        </w:tc>
        <w:tc>
          <w:tcPr>
            <w:tcW w:w="1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3C9391" w14:textId="77777777" w:rsidR="00C85944" w:rsidRPr="005365EE" w:rsidRDefault="00C85944" w:rsidP="00C85944">
            <w:pPr>
              <w:spacing w:before="120" w:after="120"/>
              <w:ind w:left="-40"/>
              <w:rPr>
                <w:rFonts w:ascii="Open Sans" w:hAnsi="Open Sans" w:cs="Open Sans"/>
                <w:sz w:val="20"/>
                <w:szCs w:val="20"/>
                <w:lang w:eastAsia="en-GB"/>
              </w:rPr>
            </w:pPr>
            <w:r w:rsidRPr="005365EE">
              <w:rPr>
                <w:rFonts w:ascii="Open Sans" w:hAnsi="Open Sans" w:cs="Open Sans"/>
                <w:sz w:val="20"/>
                <w:szCs w:val="20"/>
                <w:lang w:eastAsia="en-GB"/>
              </w:rPr>
              <w:t>NA</w:t>
            </w:r>
          </w:p>
        </w:tc>
      </w:tr>
      <w:tr w:rsidR="00C85944" w:rsidRPr="005365EE" w14:paraId="1FD16F5C" w14:textId="77777777" w:rsidTr="00C85944">
        <w:trPr>
          <w:trHeight w:val="829"/>
        </w:trPr>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AA5282" w14:textId="77777777" w:rsidR="00C85944" w:rsidRPr="005365EE" w:rsidRDefault="00824F4D" w:rsidP="00C85944">
            <w:pPr>
              <w:spacing w:before="120" w:after="120"/>
              <w:ind w:left="-40"/>
              <w:jc w:val="left"/>
              <w:rPr>
                <w:rFonts w:ascii="Open Sans" w:hAnsi="Open Sans" w:cs="Open Sans"/>
                <w:sz w:val="20"/>
                <w:szCs w:val="20"/>
                <w:lang w:eastAsia="en-GB"/>
              </w:rPr>
            </w:pPr>
            <w:hyperlink r:id="rId18" w:history="1">
              <w:r w:rsidR="00C85944" w:rsidRPr="005365EE">
                <w:rPr>
                  <w:rFonts w:ascii="Open Sans" w:hAnsi="Open Sans" w:cs="Open Sans"/>
                  <w:bCs/>
                  <w:sz w:val="20"/>
                  <w:szCs w:val="20"/>
                  <w:u w:val="single"/>
                  <w:lang w:eastAsia="en-GB"/>
                </w:rPr>
                <w:t>GGSS consultation</w:t>
              </w:r>
            </w:hyperlink>
            <w:r w:rsidR="00C85944" w:rsidRPr="005365EE">
              <w:rPr>
                <w:rFonts w:ascii="Open Sans" w:hAnsi="Open Sans" w:cs="Open Sans"/>
                <w:bCs/>
                <w:sz w:val="20"/>
                <w:szCs w:val="20"/>
                <w:lang w:eastAsia="en-GB"/>
              </w:rPr>
              <w:t>, BEIS April 2020</w:t>
            </w:r>
          </w:p>
        </w:tc>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2C36D1" w14:textId="77777777" w:rsidR="00C85944" w:rsidRPr="005365EE" w:rsidRDefault="00C85944" w:rsidP="00C85944">
            <w:pPr>
              <w:spacing w:before="120" w:after="120"/>
              <w:ind w:left="-40"/>
              <w:rPr>
                <w:rFonts w:ascii="Open Sans" w:hAnsi="Open Sans" w:cs="Open Sans"/>
                <w:sz w:val="20"/>
                <w:szCs w:val="20"/>
                <w:lang w:eastAsia="en-GB"/>
              </w:rPr>
            </w:pPr>
            <w:r w:rsidRPr="005365EE">
              <w:rPr>
                <w:rFonts w:ascii="Open Sans" w:hAnsi="Open Sans" w:cs="Open Sans"/>
                <w:bCs/>
                <w:sz w:val="20"/>
                <w:szCs w:val="20"/>
                <w:lang w:eastAsia="en-GB"/>
              </w:rPr>
              <w:t>NA</w:t>
            </w:r>
          </w:p>
        </w:tc>
        <w:tc>
          <w:tcPr>
            <w:tcW w:w="33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3FD7D9" w14:textId="77777777" w:rsidR="00C85944" w:rsidRPr="005365EE" w:rsidRDefault="00C85944" w:rsidP="00C85944">
            <w:pPr>
              <w:spacing w:before="120" w:after="120"/>
              <w:ind w:left="-40"/>
              <w:jc w:val="left"/>
              <w:rPr>
                <w:rFonts w:ascii="Open Sans" w:hAnsi="Open Sans" w:cs="Open Sans"/>
                <w:sz w:val="20"/>
                <w:szCs w:val="20"/>
                <w:lang w:eastAsia="en-GB"/>
              </w:rPr>
            </w:pPr>
            <w:r w:rsidRPr="005365EE">
              <w:rPr>
                <w:rFonts w:ascii="Open Sans" w:hAnsi="Open Sans" w:cs="Open Sans"/>
                <w:bCs/>
                <w:sz w:val="20"/>
                <w:szCs w:val="20"/>
                <w:lang w:eastAsia="en-GB"/>
              </w:rPr>
              <w:t>2.8 [under GGSS]+ 4 – 6 [under RHI] = ~ 9 TWh/annum</w:t>
            </w:r>
          </w:p>
        </w:tc>
        <w:tc>
          <w:tcPr>
            <w:tcW w:w="1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489D8F" w14:textId="77777777" w:rsidR="00C85944" w:rsidRPr="005365EE" w:rsidRDefault="00C85944" w:rsidP="00C85944">
            <w:pPr>
              <w:spacing w:before="120" w:after="120"/>
              <w:ind w:left="-40"/>
              <w:rPr>
                <w:rFonts w:ascii="Open Sans" w:hAnsi="Open Sans" w:cs="Open Sans"/>
                <w:sz w:val="20"/>
                <w:szCs w:val="20"/>
                <w:lang w:eastAsia="en-GB"/>
              </w:rPr>
            </w:pPr>
            <w:r w:rsidRPr="005365EE">
              <w:rPr>
                <w:rFonts w:ascii="Open Sans" w:hAnsi="Open Sans" w:cs="Open Sans"/>
                <w:bCs/>
                <w:sz w:val="20"/>
                <w:szCs w:val="20"/>
                <w:lang w:eastAsia="en-GB"/>
              </w:rPr>
              <w:t>NA</w:t>
            </w:r>
          </w:p>
        </w:tc>
      </w:tr>
    </w:tbl>
    <w:p w14:paraId="40A9F25D" w14:textId="77777777" w:rsidR="00C85944" w:rsidRDefault="00C85944" w:rsidP="00C85944">
      <w:pPr>
        <w:spacing w:before="120" w:after="120"/>
        <w:rPr>
          <w:rFonts w:ascii="Open Sans" w:hAnsi="Open Sans" w:cs="Open Sans"/>
          <w:szCs w:val="22"/>
          <w:u w:val="single"/>
          <w:lang w:eastAsia="en-GB"/>
        </w:rPr>
      </w:pPr>
    </w:p>
    <w:p w14:paraId="52C3C0BC" w14:textId="77777777" w:rsidR="00C85944" w:rsidRPr="00AF1B62" w:rsidRDefault="00C85944" w:rsidP="00C85944">
      <w:pPr>
        <w:spacing w:before="120" w:after="120"/>
        <w:rPr>
          <w:rFonts w:ascii="Open Sans" w:hAnsi="Open Sans" w:cs="Open Sans"/>
          <w:szCs w:val="22"/>
          <w:u w:val="single"/>
          <w:lang w:eastAsia="en-GB"/>
        </w:rPr>
      </w:pPr>
      <w:r w:rsidRPr="00AF1B62">
        <w:rPr>
          <w:rFonts w:ascii="Open Sans" w:hAnsi="Open Sans" w:cs="Open Sans"/>
          <w:szCs w:val="22"/>
          <w:u w:val="single"/>
          <w:lang w:eastAsia="en-GB"/>
        </w:rPr>
        <w:t xml:space="preserve">Biomethane from thermal gasification </w:t>
      </w:r>
    </w:p>
    <w:p w14:paraId="3AC5DC2A" w14:textId="77777777" w:rsidR="00C85944" w:rsidRPr="002F1D01" w:rsidRDefault="00C85944" w:rsidP="00C85944">
      <w:pPr>
        <w:spacing w:before="120"/>
        <w:rPr>
          <w:rFonts w:ascii="Open Sans" w:hAnsi="Open Sans" w:cs="Open Sans"/>
          <w:b/>
          <w:bCs/>
          <w:szCs w:val="22"/>
          <w:lang w:eastAsia="en-GB"/>
        </w:rPr>
      </w:pPr>
      <w:r w:rsidRPr="002F1D01">
        <w:rPr>
          <w:rFonts w:ascii="Open Sans" w:hAnsi="Open Sans" w:cs="Open Sans"/>
          <w:b/>
          <w:bCs/>
          <w:szCs w:val="22"/>
          <w:lang w:eastAsia="en-GB"/>
        </w:rPr>
        <w:t xml:space="preserve">We consider that the Green Gas Support Scheme should be technology neutral and include biomethane from thermal gasification as well as from anaerobic digestion, in line with support provided under the Renewable Heat Incentive. </w:t>
      </w:r>
    </w:p>
    <w:p w14:paraId="539C185D" w14:textId="77777777" w:rsidR="00C85944" w:rsidRPr="005365EE" w:rsidRDefault="00C85944" w:rsidP="00C85944">
      <w:pPr>
        <w:spacing w:before="120" w:after="120"/>
        <w:rPr>
          <w:rFonts w:ascii="Open Sans" w:hAnsi="Open Sans" w:cs="Open Sans"/>
          <w:szCs w:val="22"/>
          <w:lang w:eastAsia="en-GB"/>
        </w:rPr>
      </w:pPr>
      <w:r w:rsidRPr="005365EE">
        <w:rPr>
          <w:rFonts w:ascii="Open Sans" w:hAnsi="Open Sans" w:cs="Open Sans"/>
          <w:szCs w:val="22"/>
          <w:lang w:eastAsia="en-GB"/>
        </w:rPr>
        <w:t xml:space="preserve">The Non-domestic Renewable Heat Incentive scheme currently covers biomethane that is produced from AD as well as through gasification and pyrolysis. However, it is proposed that the Green Gas Support Scheme is narrowed to the support biomethane produced from AD only. </w:t>
      </w:r>
    </w:p>
    <w:p w14:paraId="265F9136" w14:textId="77777777" w:rsidR="00C85944" w:rsidRPr="005365EE" w:rsidRDefault="00C85944" w:rsidP="00C85944">
      <w:pPr>
        <w:spacing w:before="120" w:after="120"/>
        <w:rPr>
          <w:rFonts w:ascii="Open Sans" w:hAnsi="Open Sans" w:cs="Open Sans"/>
          <w:szCs w:val="22"/>
          <w:lang w:eastAsia="en-GB"/>
        </w:rPr>
      </w:pPr>
      <w:r w:rsidRPr="005365EE">
        <w:rPr>
          <w:rFonts w:ascii="Open Sans" w:hAnsi="Open Sans" w:cs="Open Sans"/>
          <w:szCs w:val="22"/>
          <w:lang w:eastAsia="en-GB"/>
        </w:rPr>
        <w:t xml:space="preserve">Gasification and pyrolysis can extend the range of feedstocks that can be converted into biomethane because they can process lignocellulosic materials that are not suitable for wet anaerobic digestion. </w:t>
      </w:r>
    </w:p>
    <w:p w14:paraId="3B528DE6" w14:textId="77777777" w:rsidR="00C85944" w:rsidRPr="005365EE" w:rsidRDefault="00C85944" w:rsidP="00C85944">
      <w:pPr>
        <w:spacing w:before="120" w:after="120"/>
        <w:rPr>
          <w:rFonts w:ascii="Open Sans" w:hAnsi="Open Sans" w:cs="Open Sans"/>
          <w:szCs w:val="22"/>
          <w:lang w:eastAsia="en-GB"/>
        </w:rPr>
      </w:pPr>
      <w:r w:rsidRPr="005365EE">
        <w:rPr>
          <w:rFonts w:ascii="Open Sans" w:hAnsi="Open Sans" w:cs="Open Sans"/>
          <w:szCs w:val="22"/>
          <w:lang w:eastAsia="en-GB"/>
        </w:rPr>
        <w:t xml:space="preserve">However, a significant barrier to the success of these projects is the availability of Government incentives to allow the technology to compete with fossil fuels. Generally, gasification projects operate at a larger scale than anaerobic digestion, which means that to date the tiering structure within the RHI had a major impact. However, recent changes to the Renewable </w:t>
      </w:r>
      <w:r w:rsidRPr="005365EE">
        <w:rPr>
          <w:rFonts w:ascii="Open Sans" w:hAnsi="Open Sans" w:cs="Open Sans"/>
          <w:szCs w:val="22"/>
          <w:lang w:eastAsia="en-GB"/>
        </w:rPr>
        <w:lastRenderedPageBreak/>
        <w:t xml:space="preserve">Transport Fuel Obligation (RTFO) have improved the support available to biomethane from thermal gasification (as this </w:t>
      </w:r>
      <w:r>
        <w:rPr>
          <w:rFonts w:ascii="Open Sans" w:hAnsi="Open Sans" w:cs="Open Sans"/>
          <w:szCs w:val="22"/>
          <w:lang w:eastAsia="en-GB"/>
        </w:rPr>
        <w:t xml:space="preserve">renewable gas </w:t>
      </w:r>
      <w:r w:rsidRPr="005365EE">
        <w:rPr>
          <w:rFonts w:ascii="Open Sans" w:hAnsi="Open Sans" w:cs="Open Sans"/>
          <w:szCs w:val="22"/>
          <w:lang w:eastAsia="en-GB"/>
        </w:rPr>
        <w:t>is now classed as Development Fuel under the RTFO) and it therefore likely that a combination of the RTFO and GGSS will allow gasification biomethane projects to progress to financial close and complete.</w:t>
      </w:r>
    </w:p>
    <w:p w14:paraId="691A7CC1" w14:textId="77777777" w:rsidR="00C85944" w:rsidRPr="005365EE" w:rsidRDefault="00C85944" w:rsidP="00C85944">
      <w:pPr>
        <w:spacing w:before="120" w:after="120"/>
        <w:rPr>
          <w:rFonts w:ascii="Open Sans" w:hAnsi="Open Sans" w:cs="Open Sans"/>
          <w:szCs w:val="22"/>
          <w:lang w:eastAsia="en-GB"/>
        </w:rPr>
      </w:pPr>
      <w:r w:rsidRPr="005365EE">
        <w:rPr>
          <w:rFonts w:ascii="Open Sans" w:hAnsi="Open Sans" w:cs="Open Sans"/>
          <w:szCs w:val="22"/>
          <w:lang w:eastAsia="en-GB"/>
        </w:rPr>
        <w:t xml:space="preserve">The proposed restriction of the GGSS to anaerobic digestion will halt the development of thermal gasification and pyrolysis projects for several years until a new green gas support scheme is developed. </w:t>
      </w:r>
    </w:p>
    <w:p w14:paraId="3830EDE7" w14:textId="77777777" w:rsidR="00C85944" w:rsidRPr="005365EE" w:rsidRDefault="00C85944" w:rsidP="00C85944">
      <w:pPr>
        <w:spacing w:before="120" w:after="120"/>
        <w:rPr>
          <w:rFonts w:ascii="Open Sans" w:hAnsi="Open Sans" w:cs="Open Sans"/>
          <w:szCs w:val="22"/>
          <w:lang w:eastAsia="en-GB"/>
        </w:rPr>
      </w:pPr>
      <w:r w:rsidRPr="005365EE">
        <w:rPr>
          <w:rFonts w:ascii="Open Sans" w:hAnsi="Open Sans" w:cs="Open Sans"/>
          <w:iCs/>
          <w:szCs w:val="22"/>
          <w:lang w:eastAsia="en-GB"/>
        </w:rPr>
        <w:t xml:space="preserve">The GGSS should provide sufficient support for a few gasification facilities to be developed. This would provide a base on which the new support scheme for green gas facilities can </w:t>
      </w:r>
      <w:r w:rsidRPr="005365EE">
        <w:rPr>
          <w:rFonts w:ascii="Open Sans" w:hAnsi="Open Sans" w:cs="Open Sans"/>
          <w:szCs w:val="22"/>
          <w:lang w:eastAsia="en-GB"/>
        </w:rPr>
        <w:t xml:space="preserve">build on. We would expect at least one or two gasification plants being built in the next five years on the basis of GGSS support with RTFO. </w:t>
      </w:r>
    </w:p>
    <w:p w14:paraId="48237F13" w14:textId="77777777" w:rsidR="00C85944" w:rsidRPr="005365EE" w:rsidRDefault="00C85944" w:rsidP="00C85944">
      <w:pPr>
        <w:spacing w:before="120" w:after="120"/>
        <w:rPr>
          <w:rFonts w:ascii="Open Sans" w:hAnsi="Open Sans" w:cs="Open Sans"/>
          <w:szCs w:val="22"/>
          <w:lang w:eastAsia="en-GB"/>
        </w:rPr>
      </w:pPr>
      <w:r w:rsidRPr="005365EE">
        <w:rPr>
          <w:rFonts w:ascii="Open Sans" w:hAnsi="Open Sans" w:cs="Open Sans"/>
          <w:szCs w:val="22"/>
          <w:lang w:eastAsia="en-GB"/>
        </w:rPr>
        <w:t>There is evidence from projects in Europe and the UK that the technology is viable, on the costs of commercial plants and their environmental impact.</w:t>
      </w:r>
      <w:r>
        <w:rPr>
          <w:rFonts w:ascii="Open Sans" w:hAnsi="Open Sans" w:cs="Open Sans"/>
          <w:szCs w:val="22"/>
          <w:lang w:eastAsia="en-GB"/>
        </w:rPr>
        <w:t xml:space="preserve"> We are happy to provide further information to BEIS on this if needed. </w:t>
      </w:r>
    </w:p>
    <w:p w14:paraId="14CED2AC" w14:textId="77777777" w:rsidR="00C85944" w:rsidRDefault="00C85944" w:rsidP="00C85944">
      <w:pPr>
        <w:spacing w:before="120" w:after="120"/>
        <w:rPr>
          <w:rFonts w:ascii="Open Sans" w:hAnsi="Open Sans" w:cs="Open Sans"/>
          <w:szCs w:val="22"/>
          <w:lang w:eastAsia="en-GB"/>
        </w:rPr>
      </w:pPr>
      <w:r w:rsidRPr="005365EE">
        <w:rPr>
          <w:rFonts w:ascii="Open Sans" w:hAnsi="Open Sans" w:cs="Open Sans"/>
          <w:szCs w:val="22"/>
          <w:lang w:eastAsia="en-GB"/>
        </w:rPr>
        <w:t>As a final point, current support for heat under the RHI, support for fuels under the RTFO and support for power generation all CfD all include gasification technologies. It would not be consistent to exclude gasification from the GGSS.</w:t>
      </w:r>
      <w:r>
        <w:rPr>
          <w:rFonts w:ascii="Open Sans" w:hAnsi="Open Sans" w:cs="Open Sans"/>
          <w:szCs w:val="22"/>
          <w:lang w:eastAsia="en-GB"/>
        </w:rPr>
        <w:t xml:space="preserve"> </w:t>
      </w:r>
    </w:p>
    <w:p w14:paraId="5D74D0FF" w14:textId="77777777" w:rsidR="00C85944" w:rsidRPr="005365EE" w:rsidRDefault="00C85944" w:rsidP="00C85944">
      <w:pPr>
        <w:spacing w:before="120" w:after="120"/>
        <w:rPr>
          <w:rFonts w:ascii="Open Sans" w:hAnsi="Open Sans" w:cs="Open Sans"/>
          <w:szCs w:val="22"/>
          <w:lang w:eastAsia="en-GB"/>
        </w:rPr>
      </w:pPr>
      <w:r>
        <w:rPr>
          <w:rFonts w:ascii="Open Sans" w:hAnsi="Open Sans" w:cs="Open Sans"/>
          <w:szCs w:val="22"/>
          <w:lang w:eastAsia="en-GB"/>
        </w:rPr>
        <w:t xml:space="preserve">However, the spending profile allocated under the GGSS may have to be updated as that highlighted in the proposals is based on the size and potential growth of the food waste market for AD. </w:t>
      </w:r>
    </w:p>
    <w:p w14:paraId="2B73E401" w14:textId="6DAB40DE" w:rsidR="00C85944" w:rsidRDefault="00C85944" w:rsidP="00971EF8">
      <w:pPr>
        <w:rPr>
          <w:rFonts w:ascii="Open Sans" w:hAnsi="Open Sans" w:cs="Open Sans"/>
          <w:b/>
          <w:bCs/>
          <w:szCs w:val="22"/>
        </w:rPr>
      </w:pPr>
    </w:p>
    <w:p w14:paraId="5DE46FCB" w14:textId="644720A8" w:rsidR="00900F4C" w:rsidRDefault="00900F4C" w:rsidP="00971EF8">
      <w:pPr>
        <w:rPr>
          <w:rFonts w:ascii="Open Sans" w:hAnsi="Open Sans" w:cs="Open Sans"/>
          <w:b/>
          <w:bCs/>
          <w:szCs w:val="22"/>
        </w:rPr>
      </w:pPr>
      <w:r>
        <w:rPr>
          <w:rFonts w:ascii="Open Sans" w:hAnsi="Open Sans" w:cs="Open Sans"/>
          <w:b/>
          <w:bCs/>
          <w:szCs w:val="22"/>
        </w:rPr>
        <w:t xml:space="preserve">Response to consultation questions </w:t>
      </w:r>
    </w:p>
    <w:p w14:paraId="17BCC059" w14:textId="77777777" w:rsidR="00900F4C" w:rsidRDefault="00900F4C" w:rsidP="00971EF8">
      <w:pPr>
        <w:rPr>
          <w:rFonts w:ascii="Open Sans" w:hAnsi="Open Sans" w:cs="Open Sans"/>
          <w:b/>
          <w:bCs/>
          <w:szCs w:val="22"/>
        </w:rPr>
      </w:pPr>
    </w:p>
    <w:p w14:paraId="12DB8D4A" w14:textId="77777777" w:rsidR="00C85944" w:rsidRPr="00C85944" w:rsidRDefault="00C85944" w:rsidP="00C85944">
      <w:pPr>
        <w:spacing w:after="160" w:line="259" w:lineRule="auto"/>
        <w:jc w:val="left"/>
        <w:rPr>
          <w:rFonts w:ascii="Open Sans" w:hAnsi="Open Sans" w:cs="Open Sans"/>
          <w:b/>
          <w:bCs/>
          <w:i/>
          <w:iCs/>
          <w:color w:val="2F5496"/>
          <w:szCs w:val="22"/>
        </w:rPr>
      </w:pPr>
      <w:r w:rsidRPr="00C85944">
        <w:rPr>
          <w:rFonts w:ascii="Open Sans" w:hAnsi="Open Sans" w:cs="Open Sans"/>
          <w:b/>
          <w:bCs/>
          <w:i/>
          <w:iCs/>
          <w:color w:val="2F5496"/>
          <w:szCs w:val="22"/>
        </w:rPr>
        <w:t>Consultation Question 1 - Do you agree that the tiering structure as outlined above is appropriate and would deliver the best value for money? Yes/No. Please provide evidence to support your response.</w:t>
      </w:r>
    </w:p>
    <w:p w14:paraId="2DB29D92" w14:textId="77777777" w:rsidR="00C85944" w:rsidRPr="005365EE" w:rsidRDefault="00C85944" w:rsidP="00C85944">
      <w:pPr>
        <w:spacing w:before="120" w:after="120"/>
        <w:rPr>
          <w:rFonts w:ascii="Open Sans" w:hAnsi="Open Sans" w:cs="Open Sans"/>
          <w:szCs w:val="22"/>
          <w:lang w:eastAsia="en-GB"/>
        </w:rPr>
      </w:pPr>
      <w:r w:rsidRPr="005365EE">
        <w:rPr>
          <w:rFonts w:ascii="Open Sans" w:hAnsi="Open Sans" w:cs="Open Sans"/>
          <w:szCs w:val="22"/>
          <w:lang w:eastAsia="en-GB"/>
        </w:rPr>
        <w:t xml:space="preserve">Yes.  </w:t>
      </w:r>
    </w:p>
    <w:p w14:paraId="3853AC0D" w14:textId="77777777" w:rsidR="00C85944" w:rsidRDefault="00C85944" w:rsidP="00C85944">
      <w:pPr>
        <w:spacing w:before="120" w:after="120"/>
        <w:jc w:val="left"/>
        <w:rPr>
          <w:rFonts w:ascii="Open Sans" w:hAnsi="Open Sans" w:cs="Open Sans"/>
          <w:b/>
          <w:bCs/>
          <w:szCs w:val="22"/>
        </w:rPr>
      </w:pPr>
      <w:bookmarkStart w:id="2" w:name="_Hlk44426471"/>
      <w:r w:rsidRPr="004F5379">
        <w:rPr>
          <w:rFonts w:ascii="Open Sans" w:hAnsi="Open Sans" w:cs="Open Sans"/>
          <w:b/>
          <w:bCs/>
          <w:szCs w:val="22"/>
        </w:rPr>
        <w:t>Generally, the expansion of Tier 1 to 60,000 MWh per annum is seen as a positive step forward to allow better economies of scale, especially as some costs remain fixed or don’t rise linearly with the size of a project (e.g. tank volumes, civils, upgrader plants, grid connections).</w:t>
      </w:r>
    </w:p>
    <w:bookmarkEnd w:id="2"/>
    <w:p w14:paraId="7CFC4988" w14:textId="77777777" w:rsidR="00C85944" w:rsidRPr="005365EE" w:rsidRDefault="00C85944" w:rsidP="00C85944">
      <w:pPr>
        <w:spacing w:before="120" w:after="120"/>
        <w:jc w:val="left"/>
        <w:rPr>
          <w:rFonts w:ascii="Open Sans" w:hAnsi="Open Sans" w:cs="Open Sans"/>
          <w:szCs w:val="22"/>
        </w:rPr>
      </w:pPr>
      <w:r w:rsidRPr="005365EE">
        <w:rPr>
          <w:rFonts w:ascii="Open Sans" w:hAnsi="Open Sans" w:cs="Open Sans"/>
          <w:szCs w:val="22"/>
        </w:rPr>
        <w:t>Industry feedback is that the proposed size of Tier 1 (the equivalent of approximately 750 m</w:t>
      </w:r>
      <w:r w:rsidRPr="005365EE">
        <w:rPr>
          <w:rFonts w:ascii="Open Sans" w:hAnsi="Open Sans" w:cs="Open Sans"/>
          <w:szCs w:val="22"/>
          <w:vertAlign w:val="superscript"/>
        </w:rPr>
        <w:t>3</w:t>
      </w:r>
      <w:r w:rsidRPr="005365EE">
        <w:rPr>
          <w:rFonts w:ascii="Open Sans" w:hAnsi="Open Sans" w:cs="Open Sans"/>
          <w:szCs w:val="22"/>
        </w:rPr>
        <w:t xml:space="preserve">/hour) is a good reflection of the size of AD plants that have been built more recently under the RHI Scheme. </w:t>
      </w:r>
    </w:p>
    <w:p w14:paraId="759DEC4D" w14:textId="77777777" w:rsidR="00C85944" w:rsidRPr="005365EE" w:rsidRDefault="00C85944" w:rsidP="00C85944">
      <w:pPr>
        <w:spacing w:before="120" w:after="120"/>
        <w:jc w:val="left"/>
        <w:rPr>
          <w:rFonts w:ascii="Open Sans" w:hAnsi="Open Sans" w:cs="Open Sans"/>
          <w:szCs w:val="22"/>
        </w:rPr>
      </w:pPr>
      <w:r w:rsidRPr="005365EE">
        <w:rPr>
          <w:rFonts w:ascii="Open Sans" w:hAnsi="Open Sans" w:cs="Open Sans"/>
          <w:szCs w:val="22"/>
        </w:rPr>
        <w:t xml:space="preserve">However, some members have raised a concern that the proposed size of a Tier 1 plant would require significant volumes of feedstocks to be secured, which may lead to greater risks compared to those from current Tier 1 plants, unless the plant owner has control over most of the plant feedstocks. Other members raised a concern that a larger size Tier 1 at the proposed levels will result in an uneven playing field with existing plants in operation ie these tiers will create unfair competition with existing plants that are capped at 40,000 MWh/annum and risk putting these assets out of business.  </w:t>
      </w:r>
    </w:p>
    <w:p w14:paraId="467F3697" w14:textId="77777777" w:rsidR="00C85944" w:rsidRDefault="00C85944" w:rsidP="00C85944">
      <w:pPr>
        <w:spacing w:before="120" w:after="120"/>
        <w:jc w:val="left"/>
        <w:rPr>
          <w:rFonts w:ascii="Open Sans" w:hAnsi="Open Sans" w:cs="Open Sans"/>
          <w:szCs w:val="22"/>
        </w:rPr>
      </w:pPr>
      <w:r w:rsidRPr="005365EE">
        <w:rPr>
          <w:rFonts w:ascii="Open Sans" w:hAnsi="Open Sans" w:cs="Open Sans"/>
          <w:szCs w:val="22"/>
        </w:rPr>
        <w:lastRenderedPageBreak/>
        <w:t xml:space="preserve">Members have also noted that the differential between Tier 1 and Tier 2 tariffs is significant and may deter industry from developing plants larger than Tier 1 and create even better economies of scale. BEIS should consider reducing the gap between the two tiers: </w:t>
      </w:r>
      <w:r>
        <w:rPr>
          <w:rFonts w:ascii="Open Sans" w:hAnsi="Open Sans" w:cs="Open Sans"/>
          <w:szCs w:val="22"/>
        </w:rPr>
        <w:t xml:space="preserve">this </w:t>
      </w:r>
      <w:r w:rsidRPr="005365EE">
        <w:rPr>
          <w:rFonts w:ascii="Open Sans" w:hAnsi="Open Sans" w:cs="Open Sans"/>
          <w:szCs w:val="22"/>
        </w:rPr>
        <w:t xml:space="preserve">would help encourage continued production of biomethane, rather than stopping production after Tier 1. </w:t>
      </w:r>
    </w:p>
    <w:p w14:paraId="195E18FF" w14:textId="77777777" w:rsidR="00C85944" w:rsidRDefault="00C85944" w:rsidP="00C85944">
      <w:pPr>
        <w:spacing w:before="120" w:after="120"/>
        <w:jc w:val="left"/>
        <w:rPr>
          <w:rFonts w:ascii="Open Sans" w:hAnsi="Open Sans" w:cs="Open Sans"/>
          <w:b/>
          <w:bCs/>
          <w:szCs w:val="22"/>
        </w:rPr>
      </w:pPr>
      <w:bookmarkStart w:id="3" w:name="_Hlk44426486"/>
      <w:r w:rsidRPr="00697123">
        <w:rPr>
          <w:rFonts w:ascii="Open Sans" w:hAnsi="Open Sans" w:cs="Open Sans"/>
          <w:b/>
          <w:bCs/>
          <w:szCs w:val="22"/>
        </w:rPr>
        <w:t>To avoid the risk of overestimating committed spend and a greater use of the tariff guarantees budget allocation resulting from participants securing 750 m</w:t>
      </w:r>
      <w:r w:rsidRPr="00697123">
        <w:rPr>
          <w:rFonts w:ascii="Open Sans" w:hAnsi="Open Sans" w:cs="Open Sans"/>
          <w:b/>
          <w:bCs/>
          <w:szCs w:val="22"/>
          <w:vertAlign w:val="superscript"/>
        </w:rPr>
        <w:t>3</w:t>
      </w:r>
      <w:r w:rsidRPr="00697123">
        <w:rPr>
          <w:rFonts w:ascii="Open Sans" w:hAnsi="Open Sans" w:cs="Open Sans"/>
          <w:b/>
          <w:bCs/>
          <w:szCs w:val="22"/>
        </w:rPr>
        <w:t xml:space="preserve">/hour capacities in their </w:t>
      </w:r>
      <w:r>
        <w:rPr>
          <w:rFonts w:ascii="Open Sans" w:hAnsi="Open Sans" w:cs="Open Sans"/>
          <w:b/>
          <w:bCs/>
          <w:szCs w:val="22"/>
        </w:rPr>
        <w:t>N</w:t>
      </w:r>
      <w:r w:rsidRPr="00697123">
        <w:rPr>
          <w:rFonts w:ascii="Open Sans" w:hAnsi="Open Sans" w:cs="Open Sans"/>
          <w:b/>
          <w:bCs/>
          <w:szCs w:val="22"/>
        </w:rPr>
        <w:t xml:space="preserve">etwork </w:t>
      </w:r>
      <w:r>
        <w:rPr>
          <w:rFonts w:ascii="Open Sans" w:hAnsi="Open Sans" w:cs="Open Sans"/>
          <w:b/>
          <w:bCs/>
          <w:szCs w:val="22"/>
        </w:rPr>
        <w:t>E</w:t>
      </w:r>
      <w:r w:rsidRPr="00697123">
        <w:rPr>
          <w:rFonts w:ascii="Open Sans" w:hAnsi="Open Sans" w:cs="Open Sans"/>
          <w:b/>
          <w:bCs/>
          <w:szCs w:val="22"/>
        </w:rPr>
        <w:t xml:space="preserve">ntry </w:t>
      </w:r>
      <w:r>
        <w:rPr>
          <w:rFonts w:ascii="Open Sans" w:hAnsi="Open Sans" w:cs="Open Sans"/>
          <w:b/>
          <w:bCs/>
          <w:szCs w:val="22"/>
        </w:rPr>
        <w:t>A</w:t>
      </w:r>
      <w:r w:rsidRPr="00697123">
        <w:rPr>
          <w:rFonts w:ascii="Open Sans" w:hAnsi="Open Sans" w:cs="Open Sans"/>
          <w:b/>
          <w:bCs/>
          <w:szCs w:val="22"/>
        </w:rPr>
        <w:t>greements (NEA), we suggest that developers are required to provide more accurate information on the expected injection rates (ie more accurate estimates of likely injection). This should be on the provision that there are no adverse consequences to participants in providing this information so long as it is a reasonable estimate</w:t>
      </w:r>
      <w:r>
        <w:rPr>
          <w:rFonts w:ascii="Open Sans" w:hAnsi="Open Sans" w:cs="Open Sans"/>
          <w:b/>
          <w:bCs/>
          <w:szCs w:val="22"/>
        </w:rPr>
        <w:t xml:space="preserve"> (</w:t>
      </w:r>
      <w:r w:rsidRPr="00631A81">
        <w:rPr>
          <w:rFonts w:ascii="Open Sans" w:hAnsi="Open Sans" w:cs="Open Sans"/>
          <w:b/>
          <w:bCs/>
          <w:szCs w:val="22"/>
        </w:rPr>
        <w:t>(ie if their number goes down they don’t risk permanently losing capacity)</w:t>
      </w:r>
      <w:r w:rsidRPr="00697123">
        <w:rPr>
          <w:rFonts w:ascii="Open Sans" w:hAnsi="Open Sans" w:cs="Open Sans"/>
          <w:b/>
          <w:bCs/>
          <w:szCs w:val="22"/>
        </w:rPr>
        <w:t xml:space="preserve">. </w:t>
      </w:r>
    </w:p>
    <w:p w14:paraId="49F1B5D1" w14:textId="77777777" w:rsidR="00C85944" w:rsidRPr="004F5379" w:rsidRDefault="00C85944" w:rsidP="00C85944">
      <w:pPr>
        <w:spacing w:before="120" w:after="120"/>
        <w:jc w:val="left"/>
        <w:rPr>
          <w:rFonts w:ascii="Open Sans" w:hAnsi="Open Sans" w:cs="Open Sans"/>
          <w:b/>
          <w:bCs/>
          <w:szCs w:val="22"/>
        </w:rPr>
      </w:pPr>
      <w:r w:rsidRPr="00697123">
        <w:rPr>
          <w:rFonts w:ascii="Open Sans" w:hAnsi="Open Sans" w:cs="Open Sans"/>
          <w:b/>
          <w:bCs/>
          <w:szCs w:val="22"/>
        </w:rPr>
        <w:t>Participants could be asked to update these estimates periodically (</w:t>
      </w:r>
      <w:r w:rsidRPr="00A60E8F">
        <w:rPr>
          <w:rFonts w:ascii="Open Sans" w:hAnsi="Open Sans" w:cs="Open Sans"/>
          <w:b/>
          <w:bCs/>
          <w:szCs w:val="22"/>
        </w:rPr>
        <w:t>possibly on an annual basis</w:t>
      </w:r>
      <w:r w:rsidRPr="00697123">
        <w:rPr>
          <w:rFonts w:ascii="Open Sans" w:hAnsi="Open Sans" w:cs="Open Sans"/>
          <w:b/>
          <w:bCs/>
          <w:szCs w:val="22"/>
        </w:rPr>
        <w:t>) if these changed significantly.</w:t>
      </w:r>
      <w:r w:rsidRPr="004F5379">
        <w:rPr>
          <w:rFonts w:ascii="Open Sans" w:hAnsi="Open Sans" w:cs="Open Sans"/>
          <w:b/>
          <w:bCs/>
          <w:szCs w:val="22"/>
        </w:rPr>
        <w:t xml:space="preserve"> </w:t>
      </w:r>
    </w:p>
    <w:bookmarkEnd w:id="3"/>
    <w:p w14:paraId="58D90231" w14:textId="77777777" w:rsidR="00C85944" w:rsidRPr="005365EE" w:rsidRDefault="00C85944" w:rsidP="00C85944">
      <w:pPr>
        <w:spacing w:before="120" w:after="120"/>
        <w:jc w:val="left"/>
        <w:rPr>
          <w:rFonts w:ascii="Open Sans" w:hAnsi="Open Sans" w:cs="Open Sans"/>
          <w:szCs w:val="22"/>
        </w:rPr>
      </w:pPr>
      <w:r w:rsidRPr="005365EE">
        <w:rPr>
          <w:rFonts w:ascii="Open Sans" w:hAnsi="Open Sans" w:cs="Open Sans"/>
          <w:szCs w:val="22"/>
        </w:rPr>
        <w:t>Some members highlighted there is a risk that a higher Tier 1 will result in developers applying for Network Entry Agreements (NEA) at or around 750 m</w:t>
      </w:r>
      <w:r w:rsidRPr="005365EE">
        <w:rPr>
          <w:rFonts w:ascii="Open Sans" w:hAnsi="Open Sans" w:cs="Open Sans"/>
          <w:szCs w:val="22"/>
          <w:vertAlign w:val="superscript"/>
        </w:rPr>
        <w:t>3</w:t>
      </w:r>
      <w:r w:rsidRPr="005365EE">
        <w:rPr>
          <w:rFonts w:ascii="Open Sans" w:hAnsi="Open Sans" w:cs="Open Sans"/>
          <w:szCs w:val="22"/>
        </w:rPr>
        <w:t xml:space="preserve">/hour, regardless of whether they are going to use all this capacity during the tariff lifetime. This will potentially result in a greater committed scheme spend </w:t>
      </w:r>
      <w:r>
        <w:rPr>
          <w:rFonts w:ascii="Open Sans" w:hAnsi="Open Sans" w:cs="Open Sans"/>
          <w:szCs w:val="22"/>
        </w:rPr>
        <w:t xml:space="preserve">, </w:t>
      </w:r>
      <w:r w:rsidRPr="005365EE">
        <w:rPr>
          <w:rFonts w:ascii="Open Sans" w:hAnsi="Open Sans" w:cs="Open Sans"/>
          <w:szCs w:val="22"/>
        </w:rPr>
        <w:t xml:space="preserve">greater use of the tariff guarantees budget allocation which may in turn result in degressions, and ‘bed blocking’ of NEA capacities (ie capacity booked that is not consistently used). </w:t>
      </w:r>
    </w:p>
    <w:p w14:paraId="183607E4" w14:textId="77777777" w:rsidR="00C85944" w:rsidRPr="005F20E9" w:rsidRDefault="00C85944" w:rsidP="00C85944">
      <w:pPr>
        <w:spacing w:before="120" w:after="120"/>
        <w:jc w:val="left"/>
        <w:rPr>
          <w:rFonts w:ascii="Open Sans" w:hAnsi="Open Sans" w:cs="Open Sans"/>
          <w:szCs w:val="22"/>
          <w:u w:val="single"/>
        </w:rPr>
      </w:pPr>
      <w:bookmarkStart w:id="4" w:name="_Hlk43720368"/>
      <w:bookmarkStart w:id="5" w:name="_Hlk44426492"/>
      <w:r w:rsidRPr="005F20E9">
        <w:rPr>
          <w:rFonts w:ascii="Open Sans" w:hAnsi="Open Sans" w:cs="Open Sans"/>
          <w:szCs w:val="22"/>
          <w:u w:val="single"/>
        </w:rPr>
        <w:t xml:space="preserve">Biomethane plant expansions </w:t>
      </w:r>
    </w:p>
    <w:p w14:paraId="6BD9737E" w14:textId="77777777" w:rsidR="00C85944" w:rsidRPr="005365EE" w:rsidRDefault="00C85944" w:rsidP="00C85944">
      <w:pPr>
        <w:spacing w:before="120" w:after="120"/>
        <w:jc w:val="left"/>
        <w:rPr>
          <w:rFonts w:ascii="Open Sans" w:hAnsi="Open Sans" w:cs="Open Sans"/>
          <w:b/>
          <w:bCs/>
          <w:szCs w:val="22"/>
        </w:rPr>
      </w:pPr>
      <w:r w:rsidRPr="005365EE">
        <w:rPr>
          <w:rFonts w:ascii="Open Sans" w:hAnsi="Open Sans" w:cs="Open Sans"/>
          <w:b/>
          <w:bCs/>
          <w:szCs w:val="22"/>
        </w:rPr>
        <w:t xml:space="preserve">As highlighted before, we strongly encourage BEIS to ensure the scheme enables plant expansions of existing assets (e.g. electricity only, co-generation plants or biomethane plants). Making these plants eligible for the Green Gas Support Scheme would maximise value for money delivered through the scheme. It would be an opportunity to stimulate further biomethane generation, whilst </w:t>
      </w:r>
      <w:r>
        <w:rPr>
          <w:rFonts w:ascii="Open Sans" w:hAnsi="Open Sans" w:cs="Open Sans"/>
          <w:b/>
          <w:bCs/>
          <w:szCs w:val="22"/>
        </w:rPr>
        <w:t xml:space="preserve">delivering best value for money. </w:t>
      </w:r>
    </w:p>
    <w:bookmarkEnd w:id="4"/>
    <w:bookmarkEnd w:id="5"/>
    <w:p w14:paraId="1030956C" w14:textId="77777777" w:rsidR="00C85944" w:rsidRPr="00195221" w:rsidRDefault="00C85944" w:rsidP="00C85944">
      <w:pPr>
        <w:pStyle w:val="CommentText"/>
        <w:spacing w:before="120" w:after="120"/>
        <w:rPr>
          <w:rFonts w:ascii="Open Sans" w:hAnsi="Open Sans" w:cs="Open Sans"/>
          <w:sz w:val="22"/>
          <w:szCs w:val="22"/>
        </w:rPr>
      </w:pPr>
      <w:r>
        <w:rPr>
          <w:rFonts w:ascii="Open Sans" w:hAnsi="Open Sans" w:cs="Open Sans"/>
          <w:sz w:val="22"/>
          <w:szCs w:val="22"/>
        </w:rPr>
        <w:t xml:space="preserve">There may be changes to local circumstances that may result in a plant needing to expand and there is no need to exclude this possibility from the scheme. For example, there may be more capacity available on the grid, additional </w:t>
      </w:r>
      <w:r w:rsidRPr="00195221">
        <w:rPr>
          <w:rFonts w:ascii="Open Sans" w:hAnsi="Open Sans" w:cs="Open Sans"/>
          <w:sz w:val="22"/>
          <w:szCs w:val="22"/>
        </w:rPr>
        <w:t xml:space="preserve">feedstock </w:t>
      </w:r>
      <w:r>
        <w:rPr>
          <w:rFonts w:ascii="Open Sans" w:hAnsi="Open Sans" w:cs="Open Sans"/>
          <w:sz w:val="22"/>
          <w:szCs w:val="22"/>
        </w:rPr>
        <w:t xml:space="preserve">may </w:t>
      </w:r>
      <w:r w:rsidRPr="00195221">
        <w:rPr>
          <w:rFonts w:ascii="Open Sans" w:hAnsi="Open Sans" w:cs="Open Sans"/>
          <w:sz w:val="22"/>
          <w:szCs w:val="22"/>
        </w:rPr>
        <w:t>bec</w:t>
      </w:r>
      <w:r>
        <w:rPr>
          <w:rFonts w:ascii="Open Sans" w:hAnsi="Open Sans" w:cs="Open Sans"/>
          <w:sz w:val="22"/>
          <w:szCs w:val="22"/>
        </w:rPr>
        <w:t>o</w:t>
      </w:r>
      <w:r w:rsidRPr="00195221">
        <w:rPr>
          <w:rFonts w:ascii="Open Sans" w:hAnsi="Open Sans" w:cs="Open Sans"/>
          <w:sz w:val="22"/>
          <w:szCs w:val="22"/>
        </w:rPr>
        <w:t>me available. Similarly, the full scale plant might be seen as too risky/expensive starting from scratch but the additional spend for an expansion might be justified once the plant is built and is operational, has secured its principal subsidy and has an existing income stream (meaning the need for working capital as part of the funding is largely removed).</w:t>
      </w:r>
    </w:p>
    <w:p w14:paraId="32E11266" w14:textId="77777777" w:rsidR="00C85944" w:rsidRDefault="00C85944" w:rsidP="00C85944">
      <w:pPr>
        <w:spacing w:before="120" w:after="120"/>
        <w:jc w:val="left"/>
        <w:rPr>
          <w:rFonts w:ascii="Open Sans" w:hAnsi="Open Sans" w:cs="Open Sans"/>
          <w:szCs w:val="22"/>
        </w:rPr>
      </w:pPr>
      <w:r>
        <w:rPr>
          <w:rFonts w:ascii="Open Sans" w:hAnsi="Open Sans" w:cs="Open Sans"/>
          <w:szCs w:val="22"/>
        </w:rPr>
        <w:t>As an example, there are likely to be</w:t>
      </w:r>
      <w:r w:rsidRPr="005365EE">
        <w:rPr>
          <w:rFonts w:ascii="Open Sans" w:hAnsi="Open Sans" w:cs="Open Sans"/>
          <w:szCs w:val="22"/>
        </w:rPr>
        <w:t xml:space="preserve"> more feedstocks available </w:t>
      </w:r>
      <w:r>
        <w:rPr>
          <w:rFonts w:ascii="Open Sans" w:hAnsi="Open Sans" w:cs="Open Sans"/>
          <w:szCs w:val="22"/>
        </w:rPr>
        <w:t>from</w:t>
      </w:r>
      <w:r w:rsidRPr="005365EE">
        <w:rPr>
          <w:rFonts w:ascii="Open Sans" w:hAnsi="Open Sans" w:cs="Open Sans"/>
          <w:szCs w:val="22"/>
        </w:rPr>
        <w:t xml:space="preserve"> 2023, when Defra introduces mandatory collections of food wastes</w:t>
      </w:r>
      <w:r>
        <w:rPr>
          <w:rFonts w:ascii="Open Sans" w:hAnsi="Open Sans" w:cs="Open Sans"/>
          <w:szCs w:val="22"/>
        </w:rPr>
        <w:t xml:space="preserve">. </w:t>
      </w:r>
      <w:r w:rsidRPr="005365EE">
        <w:rPr>
          <w:rFonts w:ascii="Open Sans" w:hAnsi="Open Sans" w:cs="Open Sans"/>
          <w:szCs w:val="22"/>
        </w:rPr>
        <w:t>If a food waste AD plant wins a local authority contract in the future but is not able to expand, the waste may have to be trucked much further afield with a potential impact on the associated GHG emissions. Furthermore, as explained earlier in this response, there are several biogas plants at sewage sludge treatment works that will come to the end of their ROCs and</w:t>
      </w:r>
      <w:r>
        <w:rPr>
          <w:rFonts w:ascii="Open Sans" w:hAnsi="Open Sans" w:cs="Open Sans"/>
          <w:szCs w:val="22"/>
        </w:rPr>
        <w:t xml:space="preserve">, in some instances, </w:t>
      </w:r>
      <w:r w:rsidRPr="005365EE">
        <w:rPr>
          <w:rFonts w:ascii="Open Sans" w:hAnsi="Open Sans" w:cs="Open Sans"/>
          <w:szCs w:val="22"/>
        </w:rPr>
        <w:t xml:space="preserve">could see this as an opportunity to upgrade their assets to biomethane. </w:t>
      </w:r>
    </w:p>
    <w:p w14:paraId="7F8B9570" w14:textId="77777777" w:rsidR="00C85944" w:rsidRDefault="00C85944" w:rsidP="00C85944">
      <w:pPr>
        <w:spacing w:before="120" w:after="120"/>
        <w:jc w:val="left"/>
        <w:rPr>
          <w:rFonts w:ascii="Open Sans" w:hAnsi="Open Sans" w:cs="Open Sans"/>
          <w:szCs w:val="22"/>
        </w:rPr>
      </w:pPr>
      <w:r>
        <w:rPr>
          <w:rFonts w:ascii="Open Sans" w:hAnsi="Open Sans" w:cs="Open Sans"/>
          <w:szCs w:val="22"/>
        </w:rPr>
        <w:lastRenderedPageBreak/>
        <w:t xml:space="preserve">There may be two possible scenarios in terms of biomethane plant expansion: an existing site registered under the RHI that expands using the GGSS; or a site originally registered under the GGSS expanding subsequently under the scheme. </w:t>
      </w:r>
    </w:p>
    <w:p w14:paraId="28F0E758" w14:textId="77777777" w:rsidR="00C85944" w:rsidRPr="00195221" w:rsidRDefault="00C85944" w:rsidP="00C85944">
      <w:pPr>
        <w:pStyle w:val="CommentText"/>
        <w:spacing w:before="120" w:after="120"/>
        <w:rPr>
          <w:rFonts w:ascii="Open Sans" w:hAnsi="Open Sans" w:cs="Open Sans"/>
          <w:sz w:val="22"/>
          <w:szCs w:val="22"/>
        </w:rPr>
      </w:pPr>
      <w:r w:rsidRPr="00195221">
        <w:rPr>
          <w:rFonts w:ascii="Open Sans" w:hAnsi="Open Sans" w:cs="Open Sans"/>
          <w:sz w:val="22"/>
          <w:szCs w:val="22"/>
        </w:rPr>
        <w:t xml:space="preserve">In both situations, the GGSS should assess </w:t>
      </w:r>
      <w:r>
        <w:rPr>
          <w:rFonts w:ascii="Open Sans" w:hAnsi="Open Sans" w:cs="Open Sans"/>
          <w:sz w:val="22"/>
          <w:szCs w:val="22"/>
        </w:rPr>
        <w:t xml:space="preserve">the </w:t>
      </w:r>
      <w:r w:rsidRPr="00195221">
        <w:rPr>
          <w:rFonts w:ascii="Open Sans" w:hAnsi="Open Sans" w:cs="Open Sans"/>
          <w:sz w:val="22"/>
          <w:szCs w:val="22"/>
        </w:rPr>
        <w:t>total gas injected at the site. For the additional capacity it should pay out at the GGSS tiering levels and rates that apply at the point the additional capacity is applied for.</w:t>
      </w:r>
      <w:r>
        <w:rPr>
          <w:rFonts w:ascii="Open Sans" w:hAnsi="Open Sans" w:cs="Open Sans"/>
          <w:sz w:val="22"/>
          <w:szCs w:val="22"/>
        </w:rPr>
        <w:t xml:space="preserve"> I</w:t>
      </w:r>
      <w:r w:rsidRPr="00195221">
        <w:rPr>
          <w:rFonts w:ascii="Open Sans" w:hAnsi="Open Sans" w:cs="Open Sans"/>
          <w:sz w:val="22"/>
          <w:szCs w:val="22"/>
        </w:rPr>
        <w:t xml:space="preserve">n terms of tariff length, </w:t>
      </w:r>
      <w:r>
        <w:rPr>
          <w:rFonts w:ascii="Open Sans" w:hAnsi="Open Sans" w:cs="Open Sans"/>
          <w:sz w:val="22"/>
          <w:szCs w:val="22"/>
        </w:rPr>
        <w:t xml:space="preserve">it is likely the policy decision would be that </w:t>
      </w:r>
      <w:r w:rsidRPr="00195221">
        <w:rPr>
          <w:rFonts w:ascii="Open Sans" w:hAnsi="Open Sans" w:cs="Open Sans"/>
          <w:sz w:val="22"/>
          <w:szCs w:val="22"/>
        </w:rPr>
        <w:t xml:space="preserve">the additional support </w:t>
      </w:r>
      <w:r>
        <w:rPr>
          <w:rFonts w:ascii="Open Sans" w:hAnsi="Open Sans" w:cs="Open Sans"/>
          <w:sz w:val="22"/>
          <w:szCs w:val="22"/>
        </w:rPr>
        <w:t xml:space="preserve">should </w:t>
      </w:r>
      <w:r w:rsidRPr="00195221">
        <w:rPr>
          <w:rFonts w:ascii="Open Sans" w:hAnsi="Open Sans" w:cs="Open Sans"/>
          <w:sz w:val="22"/>
          <w:szCs w:val="22"/>
        </w:rPr>
        <w:t>be available only to the end date of the original installation support (whether that was RHI or GGSS).</w:t>
      </w:r>
      <w:r>
        <w:rPr>
          <w:rFonts w:ascii="Open Sans" w:hAnsi="Open Sans" w:cs="Open Sans"/>
          <w:sz w:val="22"/>
          <w:szCs w:val="22"/>
        </w:rPr>
        <w:t xml:space="preserve"> This would avoid the risk of over-compensation. </w:t>
      </w:r>
    </w:p>
    <w:p w14:paraId="3CE7E5F9" w14:textId="77777777" w:rsidR="00C85944" w:rsidRDefault="00C85944" w:rsidP="00C85944">
      <w:pPr>
        <w:pStyle w:val="CommentText"/>
        <w:spacing w:before="120" w:after="120"/>
        <w:rPr>
          <w:rFonts w:ascii="Open Sans" w:hAnsi="Open Sans" w:cs="Open Sans"/>
          <w:sz w:val="22"/>
          <w:szCs w:val="22"/>
        </w:rPr>
      </w:pPr>
      <w:r>
        <w:rPr>
          <w:rFonts w:ascii="Open Sans" w:hAnsi="Open Sans" w:cs="Open Sans"/>
          <w:sz w:val="22"/>
          <w:szCs w:val="22"/>
        </w:rPr>
        <w:t>The total support available to the plant would be the same or lower than if the plant was built and applied on the scheme in one go, however b</w:t>
      </w:r>
      <w:r w:rsidRPr="00195221">
        <w:rPr>
          <w:rFonts w:ascii="Open Sans" w:hAnsi="Open Sans" w:cs="Open Sans"/>
          <w:sz w:val="22"/>
          <w:szCs w:val="22"/>
        </w:rPr>
        <w:t xml:space="preserve">uilding a plant in two stages will always be more expensive in capex terms than doing it </w:t>
      </w:r>
      <w:r>
        <w:rPr>
          <w:rFonts w:ascii="Open Sans" w:hAnsi="Open Sans" w:cs="Open Sans"/>
          <w:sz w:val="22"/>
          <w:szCs w:val="22"/>
        </w:rPr>
        <w:t xml:space="preserve">at the same time (this is because </w:t>
      </w:r>
      <w:r w:rsidRPr="00195221">
        <w:rPr>
          <w:rFonts w:ascii="Open Sans" w:hAnsi="Open Sans" w:cs="Open Sans"/>
          <w:sz w:val="22"/>
          <w:szCs w:val="22"/>
        </w:rPr>
        <w:t xml:space="preserve">some </w:t>
      </w:r>
      <w:r>
        <w:rPr>
          <w:rFonts w:ascii="Open Sans" w:hAnsi="Open Sans" w:cs="Open Sans"/>
          <w:sz w:val="22"/>
          <w:szCs w:val="22"/>
        </w:rPr>
        <w:t>items</w:t>
      </w:r>
      <w:r w:rsidRPr="00195221">
        <w:rPr>
          <w:rFonts w:ascii="Open Sans" w:hAnsi="Open Sans" w:cs="Open Sans"/>
          <w:sz w:val="22"/>
          <w:szCs w:val="22"/>
        </w:rPr>
        <w:t xml:space="preserve"> will have to be redone, </w:t>
      </w:r>
      <w:r>
        <w:rPr>
          <w:rFonts w:ascii="Open Sans" w:hAnsi="Open Sans" w:cs="Open Sans"/>
          <w:sz w:val="22"/>
          <w:szCs w:val="22"/>
        </w:rPr>
        <w:t xml:space="preserve">there will be a cost associated with </w:t>
      </w:r>
      <w:r w:rsidRPr="00195221">
        <w:rPr>
          <w:rFonts w:ascii="Open Sans" w:hAnsi="Open Sans" w:cs="Open Sans"/>
          <w:sz w:val="22"/>
          <w:szCs w:val="22"/>
        </w:rPr>
        <w:t>construction oversight, design etc.</w:t>
      </w:r>
      <w:r>
        <w:rPr>
          <w:rFonts w:ascii="Open Sans" w:hAnsi="Open Sans" w:cs="Open Sans"/>
          <w:sz w:val="22"/>
          <w:szCs w:val="22"/>
        </w:rPr>
        <w:t xml:space="preserve">). So, there will be no risk of overcompensation. </w:t>
      </w:r>
    </w:p>
    <w:p w14:paraId="276E547B" w14:textId="77777777" w:rsidR="00C85944" w:rsidRDefault="00C85944" w:rsidP="00C85944">
      <w:pPr>
        <w:pStyle w:val="CommentText"/>
        <w:spacing w:before="120" w:after="120"/>
        <w:rPr>
          <w:rFonts w:ascii="Open Sans" w:hAnsi="Open Sans" w:cs="Open Sans"/>
          <w:sz w:val="22"/>
          <w:szCs w:val="22"/>
        </w:rPr>
      </w:pPr>
      <w:r w:rsidRPr="00195221">
        <w:rPr>
          <w:rFonts w:ascii="Open Sans" w:hAnsi="Open Sans" w:cs="Open Sans"/>
          <w:sz w:val="22"/>
          <w:szCs w:val="22"/>
        </w:rPr>
        <w:t xml:space="preserve">If the choice on tariff length of support is made as suggested above, then developers would also have every incentive to </w:t>
      </w:r>
      <w:r>
        <w:rPr>
          <w:rFonts w:ascii="Open Sans" w:hAnsi="Open Sans" w:cs="Open Sans"/>
          <w:sz w:val="22"/>
          <w:szCs w:val="22"/>
        </w:rPr>
        <w:t>progress</w:t>
      </w:r>
      <w:r w:rsidRPr="00195221">
        <w:rPr>
          <w:rFonts w:ascii="Open Sans" w:hAnsi="Open Sans" w:cs="Open Sans"/>
          <w:sz w:val="22"/>
          <w:szCs w:val="22"/>
        </w:rPr>
        <w:t xml:space="preserve"> with such an expansion as soon as it was feasible.</w:t>
      </w:r>
    </w:p>
    <w:p w14:paraId="4EABB00D" w14:textId="77777777" w:rsidR="00C85944" w:rsidRPr="005365EE" w:rsidRDefault="00C85944" w:rsidP="00C85944">
      <w:pPr>
        <w:spacing w:before="120" w:after="120"/>
        <w:contextualSpacing/>
        <w:jc w:val="left"/>
        <w:rPr>
          <w:rFonts w:ascii="Open Sans" w:hAnsi="Open Sans" w:cs="Open Sans"/>
          <w:color w:val="FF0000"/>
          <w:szCs w:val="22"/>
        </w:rPr>
      </w:pPr>
      <w:r w:rsidRPr="005365EE">
        <w:rPr>
          <w:rFonts w:ascii="Open Sans" w:hAnsi="Open Sans" w:cs="Open Sans"/>
          <w:szCs w:val="22"/>
        </w:rPr>
        <w:t>We would be happy to input more information to BEIS on this proposal if required</w:t>
      </w:r>
      <w:r>
        <w:rPr>
          <w:rFonts w:ascii="Open Sans" w:hAnsi="Open Sans" w:cs="Open Sans"/>
          <w:szCs w:val="22"/>
        </w:rPr>
        <w:t>.</w:t>
      </w:r>
    </w:p>
    <w:p w14:paraId="451D2536" w14:textId="6DE3649C" w:rsidR="00C85944" w:rsidRDefault="00C85944" w:rsidP="00971EF8">
      <w:pPr>
        <w:rPr>
          <w:rFonts w:ascii="Open Sans" w:hAnsi="Open Sans" w:cs="Open Sans"/>
          <w:b/>
          <w:bCs/>
          <w:szCs w:val="22"/>
        </w:rPr>
      </w:pPr>
    </w:p>
    <w:p w14:paraId="2F03B923" w14:textId="086B43B0" w:rsidR="00C85944" w:rsidRDefault="00C85944" w:rsidP="00C85944">
      <w:pPr>
        <w:spacing w:after="160" w:line="259" w:lineRule="auto"/>
        <w:jc w:val="left"/>
        <w:rPr>
          <w:rFonts w:ascii="Open Sans" w:hAnsi="Open Sans" w:cs="Open Sans"/>
          <w:b/>
          <w:bCs/>
          <w:i/>
          <w:iCs/>
          <w:color w:val="2F5496"/>
          <w:szCs w:val="22"/>
        </w:rPr>
      </w:pPr>
      <w:r w:rsidRPr="00C85944">
        <w:rPr>
          <w:rFonts w:ascii="Open Sans" w:hAnsi="Open Sans" w:cs="Open Sans"/>
          <w:b/>
          <w:bCs/>
          <w:i/>
          <w:iCs/>
          <w:color w:val="2F5496"/>
          <w:szCs w:val="22"/>
        </w:rPr>
        <w:t>Consultation Question 2 - What are your views on the impact of a 15-year tariff period to support biomethane? Please provide evidence to support your response. </w:t>
      </w:r>
    </w:p>
    <w:p w14:paraId="0E5C3B5B" w14:textId="77777777" w:rsidR="00C85944" w:rsidRPr="006D5C46" w:rsidRDefault="00C85944" w:rsidP="00C85944">
      <w:pPr>
        <w:spacing w:before="120"/>
        <w:jc w:val="left"/>
        <w:rPr>
          <w:rFonts w:ascii="Open Sans" w:hAnsi="Open Sans" w:cs="Open Sans"/>
          <w:b/>
          <w:bCs/>
          <w:szCs w:val="22"/>
        </w:rPr>
      </w:pPr>
      <w:bookmarkStart w:id="6" w:name="_Hlk44426501"/>
      <w:bookmarkStart w:id="7" w:name="_Hlk43720412"/>
      <w:r>
        <w:rPr>
          <w:rFonts w:ascii="Open Sans" w:hAnsi="Open Sans" w:cs="Open Sans"/>
          <w:b/>
          <w:bCs/>
          <w:szCs w:val="22"/>
        </w:rPr>
        <w:t xml:space="preserve">The tariff length should not be reduced. </w:t>
      </w:r>
      <w:r w:rsidRPr="006D5C46">
        <w:rPr>
          <w:rFonts w:ascii="Open Sans" w:hAnsi="Open Sans" w:cs="Open Sans"/>
          <w:b/>
          <w:bCs/>
          <w:szCs w:val="22"/>
        </w:rPr>
        <w:t xml:space="preserve">BEIS should be focusing on reducing risk as much as possible: this sector requires long-term investors, rather than short-term high-risk investors, to drive down the cost of capital. Having a tariff period longer than 15 years would help deliver this. </w:t>
      </w:r>
    </w:p>
    <w:bookmarkEnd w:id="6"/>
    <w:p w14:paraId="035DD07A" w14:textId="77777777" w:rsidR="00C85944" w:rsidRPr="005365EE" w:rsidRDefault="00C85944" w:rsidP="00C85944">
      <w:pPr>
        <w:spacing w:before="120" w:after="120"/>
        <w:jc w:val="left"/>
        <w:rPr>
          <w:rFonts w:ascii="Open Sans" w:hAnsi="Open Sans" w:cs="Open Sans"/>
          <w:szCs w:val="22"/>
        </w:rPr>
      </w:pPr>
      <w:r w:rsidRPr="005365EE">
        <w:rPr>
          <w:rFonts w:ascii="Open Sans" w:hAnsi="Open Sans" w:cs="Open Sans"/>
          <w:szCs w:val="22"/>
        </w:rPr>
        <w:t xml:space="preserve">Most members have fed back that shortening the period from 20 to 15 years would lead to greater investment risks, leading to higher cost of capital and less sustainable roll out of the industry. This is even more relevant if the tariff period is shortened without increasing the level of the tariff, resulting in </w:t>
      </w:r>
      <w:bookmarkStart w:id="8" w:name="_Hlk43383441"/>
      <w:r w:rsidRPr="005365EE">
        <w:rPr>
          <w:rFonts w:ascii="Open Sans" w:hAnsi="Open Sans" w:cs="Open Sans"/>
          <w:szCs w:val="22"/>
        </w:rPr>
        <w:t xml:space="preserve">significantly less overall support available to projects under the scheme. </w:t>
      </w:r>
    </w:p>
    <w:bookmarkEnd w:id="7"/>
    <w:bookmarkEnd w:id="8"/>
    <w:p w14:paraId="4113978F" w14:textId="77777777" w:rsidR="00C85944" w:rsidRDefault="00C85944" w:rsidP="00C85944">
      <w:pPr>
        <w:spacing w:before="120" w:after="120"/>
        <w:jc w:val="left"/>
        <w:rPr>
          <w:rFonts w:ascii="Open Sans" w:hAnsi="Open Sans" w:cs="Open Sans"/>
          <w:szCs w:val="22"/>
        </w:rPr>
      </w:pPr>
      <w:r w:rsidRPr="005365EE">
        <w:rPr>
          <w:rFonts w:ascii="Open Sans" w:hAnsi="Open Sans" w:cs="Open Sans"/>
          <w:szCs w:val="22"/>
        </w:rPr>
        <w:t xml:space="preserve">Generally, feedback from members is that investors require longer periods ie the longer the tariff period, the more secure/less risky the investment is seen by funders. From a long-term investment perspective and to ensure the industry financial health, this tariff length may not provide sufficient certainty to investors. </w:t>
      </w:r>
    </w:p>
    <w:p w14:paraId="27AA2E7B" w14:textId="77777777" w:rsidR="00C85944" w:rsidRPr="005365EE" w:rsidRDefault="00C85944" w:rsidP="00C85944">
      <w:pPr>
        <w:spacing w:before="120" w:after="120"/>
        <w:jc w:val="left"/>
        <w:rPr>
          <w:rFonts w:ascii="Open Sans" w:hAnsi="Open Sans" w:cs="Open Sans"/>
          <w:szCs w:val="22"/>
        </w:rPr>
      </w:pPr>
      <w:r w:rsidRPr="005365EE">
        <w:rPr>
          <w:rFonts w:ascii="Open Sans" w:hAnsi="Open Sans" w:cs="Open Sans"/>
          <w:szCs w:val="22"/>
        </w:rPr>
        <w:t xml:space="preserve">Experience from members shows that a shorter tariff is likely to drive developers to take higher risks which would likely result in lower standards of projects being built ie where operation and biomethane generation do not match the project financial plan. </w:t>
      </w:r>
    </w:p>
    <w:p w14:paraId="46C5DCE1" w14:textId="77777777" w:rsidR="00C85944" w:rsidRPr="005365EE" w:rsidRDefault="00C85944" w:rsidP="00C85944">
      <w:pPr>
        <w:spacing w:before="120" w:after="120"/>
        <w:jc w:val="left"/>
        <w:rPr>
          <w:rFonts w:ascii="Open Sans" w:hAnsi="Open Sans" w:cs="Open Sans"/>
          <w:szCs w:val="22"/>
        </w:rPr>
      </w:pPr>
      <w:r>
        <w:rPr>
          <w:rFonts w:ascii="Open Sans" w:hAnsi="Open Sans" w:cs="Open Sans"/>
          <w:szCs w:val="22"/>
        </w:rPr>
        <w:t>This</w:t>
      </w:r>
      <w:r w:rsidRPr="005365EE">
        <w:rPr>
          <w:rFonts w:ascii="Open Sans" w:hAnsi="Open Sans" w:cs="Open Sans"/>
          <w:szCs w:val="22"/>
        </w:rPr>
        <w:t xml:space="preserve"> can be seen by the number of biomethane plants deployed towards the lower end of the tariffs (different to length of tariff, but they both have an impact on risk). BEIS should look at the historic performance of AD plants funded under the RHI under different tariffs ie Ofgem generation data of plants that were commissioned with the lowest tariffs vs plants that were commissioned with the highest tariffs. Generally, the REA is aware of a higher proportion of plants that </w:t>
      </w:r>
      <w:bookmarkStart w:id="9" w:name="_Hlk43383470"/>
      <w:r w:rsidRPr="005365EE">
        <w:rPr>
          <w:rFonts w:ascii="Open Sans" w:hAnsi="Open Sans" w:cs="Open Sans"/>
          <w:szCs w:val="22"/>
        </w:rPr>
        <w:t xml:space="preserve">are not generating and are on lower tariffs compared to a low </w:t>
      </w:r>
      <w:r w:rsidRPr="005365EE">
        <w:rPr>
          <w:rFonts w:ascii="Open Sans" w:hAnsi="Open Sans" w:cs="Open Sans"/>
          <w:szCs w:val="22"/>
        </w:rPr>
        <w:lastRenderedPageBreak/>
        <w:t xml:space="preserve">proportion of plants in the same situation that are on a higher tariff. This is partly due to circumstances of having struggled to finish/commission (due to unrealistically tight deadlines for commissioning projects under the scheme) or have found that the plants are not financially viable to operate with the lower tariffs. </w:t>
      </w:r>
    </w:p>
    <w:bookmarkEnd w:id="9"/>
    <w:p w14:paraId="2FB7866C" w14:textId="77777777" w:rsidR="00C85944" w:rsidRDefault="00C85944" w:rsidP="00C85944">
      <w:pPr>
        <w:spacing w:before="120" w:after="120"/>
        <w:jc w:val="left"/>
        <w:rPr>
          <w:rFonts w:ascii="Open Sans" w:hAnsi="Open Sans" w:cs="Open Sans"/>
          <w:szCs w:val="22"/>
        </w:rPr>
      </w:pPr>
      <w:r w:rsidRPr="005365EE">
        <w:rPr>
          <w:rFonts w:ascii="Open Sans" w:hAnsi="Open Sans" w:cs="Open Sans"/>
          <w:szCs w:val="22"/>
        </w:rPr>
        <w:t xml:space="preserve">The above also depends on whether the policy is intended to drive new project development or rather focuses on the expansion/optimisation of existing sites. </w:t>
      </w:r>
      <w:bookmarkStart w:id="10" w:name="_Hlk43383993"/>
      <w:r w:rsidRPr="005365EE">
        <w:rPr>
          <w:rFonts w:ascii="Open Sans" w:hAnsi="Open Sans" w:cs="Open Sans"/>
          <w:szCs w:val="22"/>
        </w:rPr>
        <w:t xml:space="preserve">Feedback from members that have developed several AD plants is that the proposed tariff levels coupled with a shorter tariff period are unlikely to stimulate new project development </w:t>
      </w:r>
      <w:bookmarkEnd w:id="10"/>
      <w:r w:rsidRPr="005365EE">
        <w:rPr>
          <w:rFonts w:ascii="Open Sans" w:hAnsi="Open Sans" w:cs="Open Sans"/>
          <w:szCs w:val="22"/>
        </w:rPr>
        <w:t xml:space="preserve">and encourage new investors and developers in the sector but may result in a number of expansions if they were eligible. </w:t>
      </w:r>
    </w:p>
    <w:p w14:paraId="2EAC992E" w14:textId="77777777" w:rsidR="00C85944" w:rsidRPr="0036610E" w:rsidRDefault="00C85944" w:rsidP="00C85944">
      <w:pPr>
        <w:spacing w:before="120" w:after="120"/>
        <w:jc w:val="left"/>
        <w:rPr>
          <w:rFonts w:ascii="Open Sans" w:hAnsi="Open Sans" w:cs="Open Sans"/>
          <w:szCs w:val="22"/>
          <w:u w:val="single"/>
        </w:rPr>
      </w:pPr>
      <w:r w:rsidRPr="0036610E">
        <w:rPr>
          <w:rFonts w:ascii="Open Sans" w:hAnsi="Open Sans" w:cs="Open Sans"/>
          <w:szCs w:val="22"/>
          <w:u w:val="single"/>
        </w:rPr>
        <w:t xml:space="preserve">Refinance </w:t>
      </w:r>
    </w:p>
    <w:p w14:paraId="2E7D392D" w14:textId="77777777" w:rsidR="00C85944" w:rsidRPr="00481D09" w:rsidRDefault="00C85944" w:rsidP="00C85944">
      <w:pPr>
        <w:spacing w:before="120" w:after="120"/>
        <w:rPr>
          <w:rFonts w:ascii="Open Sans" w:hAnsi="Open Sans" w:cs="Open Sans"/>
          <w:b/>
          <w:bCs/>
          <w:szCs w:val="22"/>
        </w:rPr>
      </w:pPr>
      <w:bookmarkStart w:id="11" w:name="_Hlk44426510"/>
      <w:r w:rsidRPr="00481D09">
        <w:rPr>
          <w:rFonts w:ascii="Open Sans" w:hAnsi="Open Sans" w:cs="Open Sans"/>
          <w:b/>
          <w:bCs/>
          <w:szCs w:val="22"/>
        </w:rPr>
        <w:t>A shorter tariff length would risk ruling out entirely the ability to re-finance projects.</w:t>
      </w:r>
    </w:p>
    <w:bookmarkEnd w:id="11"/>
    <w:p w14:paraId="1507476C" w14:textId="77777777" w:rsidR="00C85944" w:rsidRPr="0036610E" w:rsidRDefault="00C85944" w:rsidP="00C85944">
      <w:pPr>
        <w:spacing w:before="120" w:after="120"/>
        <w:rPr>
          <w:rFonts w:ascii="Open Sans" w:hAnsi="Open Sans" w:cs="Open Sans"/>
          <w:szCs w:val="22"/>
        </w:rPr>
      </w:pPr>
      <w:r>
        <w:rPr>
          <w:rFonts w:ascii="Open Sans" w:hAnsi="Open Sans" w:cs="Open Sans"/>
          <w:szCs w:val="22"/>
        </w:rPr>
        <w:t>The c</w:t>
      </w:r>
      <w:r w:rsidRPr="0036610E">
        <w:rPr>
          <w:rFonts w:ascii="Open Sans" w:hAnsi="Open Sans" w:cs="Open Sans"/>
          <w:szCs w:val="22"/>
        </w:rPr>
        <w:t>ost of funding construction phase will always be relatively high. There will always be risks on timing and functionality when this equipment is integrated and we are a very long way from a project developer/technology provider being so well established that these risks fall to the sorts of levels seen for wind and solar. Fundamentally, this is an equity-type of risk</w:t>
      </w:r>
      <w:r>
        <w:rPr>
          <w:rFonts w:ascii="Open Sans" w:hAnsi="Open Sans" w:cs="Open Sans"/>
          <w:szCs w:val="22"/>
        </w:rPr>
        <w:t xml:space="preserve">. </w:t>
      </w:r>
    </w:p>
    <w:p w14:paraId="534BA611" w14:textId="77777777" w:rsidR="00C85944" w:rsidRPr="0036610E" w:rsidRDefault="00C85944" w:rsidP="00C85944">
      <w:pPr>
        <w:spacing w:before="120" w:after="120"/>
        <w:rPr>
          <w:rFonts w:ascii="Open Sans" w:hAnsi="Open Sans" w:cs="Open Sans"/>
          <w:szCs w:val="22"/>
        </w:rPr>
      </w:pPr>
      <w:r w:rsidRPr="0036610E">
        <w:rPr>
          <w:rFonts w:ascii="Open Sans" w:hAnsi="Open Sans" w:cs="Open Sans"/>
          <w:szCs w:val="22"/>
        </w:rPr>
        <w:t>These projects are also far more expensive than stand alone CHP so it is not plausible that a farmer could fund this using their own resources. External funding will be needed.</w:t>
      </w:r>
    </w:p>
    <w:p w14:paraId="182EBDFC" w14:textId="77777777" w:rsidR="00C85944" w:rsidRPr="0036610E" w:rsidRDefault="00C85944" w:rsidP="00C85944">
      <w:pPr>
        <w:spacing w:before="120" w:after="120"/>
        <w:rPr>
          <w:rFonts w:ascii="Open Sans" w:hAnsi="Open Sans" w:cs="Open Sans"/>
          <w:szCs w:val="22"/>
        </w:rPr>
      </w:pPr>
      <w:r w:rsidRPr="0036610E">
        <w:rPr>
          <w:rFonts w:ascii="Open Sans" w:hAnsi="Open Sans" w:cs="Open Sans"/>
          <w:szCs w:val="22"/>
        </w:rPr>
        <w:t>Therefore</w:t>
      </w:r>
      <w:r>
        <w:rPr>
          <w:rFonts w:ascii="Open Sans" w:hAnsi="Open Sans" w:cs="Open Sans"/>
          <w:szCs w:val="22"/>
        </w:rPr>
        <w:t>,</w:t>
      </w:r>
      <w:r w:rsidRPr="0036610E">
        <w:rPr>
          <w:rFonts w:ascii="Open Sans" w:hAnsi="Open Sans" w:cs="Open Sans"/>
          <w:szCs w:val="22"/>
        </w:rPr>
        <w:t xml:space="preserve"> anyone funding a project using (relatively expensive) money for the construction phase will be looking to sell on once the plant is built, operational and has been granted registration. This could then be bought by an owner interested in lower-risk projects with a long term guaranteed source of funding – and with correspondingly lower cost of capital.</w:t>
      </w:r>
    </w:p>
    <w:p w14:paraId="543B1DEC" w14:textId="77777777" w:rsidR="00C85944" w:rsidRDefault="00C85944" w:rsidP="00C85944">
      <w:pPr>
        <w:spacing w:before="120" w:after="120"/>
        <w:rPr>
          <w:rFonts w:ascii="Open Sans" w:hAnsi="Open Sans" w:cs="Open Sans"/>
          <w:szCs w:val="22"/>
        </w:rPr>
      </w:pPr>
      <w:r w:rsidRPr="0036610E">
        <w:rPr>
          <w:rFonts w:ascii="Open Sans" w:hAnsi="Open Sans" w:cs="Open Sans"/>
          <w:szCs w:val="22"/>
        </w:rPr>
        <w:t>The period over which someone would be prepared to lend that money would be 12-15 years (with a strong preference for the 15) otherwise this sort of asset is not of interest to this category of investor. Given the time taken to build, commission and demonstrate full operation of plant (and the sale process itself could easily take 6 months) this would risk ruling out entirely the ability to re-finance projects.</w:t>
      </w:r>
    </w:p>
    <w:p w14:paraId="7AF7DB78" w14:textId="77777777" w:rsidR="00C85944" w:rsidRPr="0036610E" w:rsidRDefault="00C85944" w:rsidP="00C85944">
      <w:pPr>
        <w:spacing w:before="120" w:after="120"/>
        <w:rPr>
          <w:rFonts w:ascii="Open Sans" w:hAnsi="Open Sans" w:cs="Open Sans"/>
          <w:szCs w:val="22"/>
          <w:u w:val="single"/>
        </w:rPr>
      </w:pPr>
      <w:r w:rsidRPr="0036610E">
        <w:rPr>
          <w:rFonts w:ascii="Open Sans" w:hAnsi="Open Sans" w:cs="Open Sans"/>
          <w:szCs w:val="22"/>
          <w:u w:val="single"/>
        </w:rPr>
        <w:t xml:space="preserve">Two-stage tariff: </w:t>
      </w:r>
    </w:p>
    <w:p w14:paraId="11AB8AA6" w14:textId="77777777" w:rsidR="00C85944" w:rsidRPr="005365EE" w:rsidRDefault="00C85944" w:rsidP="00C85944">
      <w:pPr>
        <w:spacing w:before="120"/>
        <w:contextualSpacing/>
        <w:jc w:val="left"/>
        <w:rPr>
          <w:rFonts w:ascii="Open Sans" w:hAnsi="Open Sans" w:cs="Open Sans"/>
          <w:szCs w:val="22"/>
        </w:rPr>
      </w:pPr>
      <w:r w:rsidRPr="005365EE">
        <w:rPr>
          <w:rFonts w:ascii="Open Sans" w:hAnsi="Open Sans" w:cs="Open Sans"/>
          <w:szCs w:val="22"/>
        </w:rPr>
        <w:t xml:space="preserve">Biomethane plants will always require ongoing support on an energy basis, unlike other technologies. Because of this, some members have suggested that it may be more appropriate to this technology to be supported through a two-stage tariff: a shorter higher capex tariff (e.g. for 15 years), followed by a lower tariff to cover operational costs for the remainder of the plant life. We would be happy to input more information to BEIS on this proposal if required. </w:t>
      </w:r>
    </w:p>
    <w:p w14:paraId="1610676B" w14:textId="10C81B13" w:rsidR="00C85944" w:rsidRDefault="00C85944" w:rsidP="00C85944">
      <w:pPr>
        <w:spacing w:after="160" w:line="259" w:lineRule="auto"/>
        <w:jc w:val="left"/>
        <w:rPr>
          <w:rFonts w:ascii="Open Sans" w:hAnsi="Open Sans" w:cs="Open Sans"/>
          <w:b/>
          <w:bCs/>
          <w:i/>
          <w:iCs/>
          <w:color w:val="2F5496"/>
          <w:szCs w:val="22"/>
        </w:rPr>
      </w:pPr>
    </w:p>
    <w:p w14:paraId="67C354B5" w14:textId="2EDC6592" w:rsidR="00C85944" w:rsidRDefault="00C85944" w:rsidP="00C85944">
      <w:pPr>
        <w:spacing w:after="160" w:line="259" w:lineRule="auto"/>
        <w:jc w:val="left"/>
        <w:rPr>
          <w:rFonts w:ascii="Open Sans" w:hAnsi="Open Sans" w:cs="Open Sans"/>
          <w:b/>
          <w:bCs/>
          <w:i/>
          <w:iCs/>
          <w:color w:val="2F5496"/>
          <w:szCs w:val="22"/>
        </w:rPr>
      </w:pPr>
      <w:r>
        <w:rPr>
          <w:rFonts w:ascii="Open Sans" w:hAnsi="Open Sans" w:cs="Open Sans"/>
          <w:b/>
          <w:bCs/>
          <w:i/>
          <w:iCs/>
          <w:color w:val="2F5496"/>
          <w:szCs w:val="22"/>
        </w:rPr>
        <w:t xml:space="preserve">Consultation Question 3 - </w:t>
      </w:r>
      <w:r w:rsidRPr="00C85944">
        <w:rPr>
          <w:rFonts w:ascii="Open Sans" w:hAnsi="Open Sans" w:cs="Open Sans"/>
          <w:b/>
          <w:bCs/>
          <w:i/>
          <w:iCs/>
          <w:color w:val="2F5496"/>
          <w:szCs w:val="22"/>
        </w:rPr>
        <w:t>What are your views on the advantages and disadvantages of a shorter 10- or 12-year tariff period and whether they would help maximise value for money? Please provide evidence to support your response.</w:t>
      </w:r>
    </w:p>
    <w:p w14:paraId="617B2655" w14:textId="77777777" w:rsidR="00C85944" w:rsidRDefault="00C85944" w:rsidP="00C85944">
      <w:pPr>
        <w:spacing w:before="120" w:after="120"/>
        <w:jc w:val="left"/>
        <w:rPr>
          <w:rFonts w:ascii="Open Sans" w:hAnsi="Open Sans" w:cs="Open Sans"/>
          <w:szCs w:val="22"/>
        </w:rPr>
      </w:pPr>
      <w:bookmarkStart w:id="12" w:name="_Hlk44426517"/>
      <w:r w:rsidRPr="001E4658">
        <w:rPr>
          <w:rFonts w:ascii="Open Sans" w:hAnsi="Open Sans" w:cs="Open Sans"/>
          <w:b/>
          <w:bCs/>
          <w:szCs w:val="22"/>
        </w:rPr>
        <w:t>The risks highlighted above over shortening the tariff from 20 to 15 years would be exacerbated by reducing the tariff period further.</w:t>
      </w:r>
      <w:r w:rsidRPr="005365EE">
        <w:rPr>
          <w:rFonts w:ascii="Open Sans" w:hAnsi="Open Sans" w:cs="Open Sans"/>
          <w:szCs w:val="22"/>
        </w:rPr>
        <w:t xml:space="preserve"> </w:t>
      </w:r>
    </w:p>
    <w:bookmarkEnd w:id="12"/>
    <w:p w14:paraId="4C7A768D" w14:textId="77777777" w:rsidR="00C85944" w:rsidRPr="005365EE" w:rsidRDefault="00C85944" w:rsidP="00C85944">
      <w:pPr>
        <w:spacing w:before="120" w:after="120"/>
        <w:jc w:val="left"/>
        <w:rPr>
          <w:rFonts w:ascii="Open Sans" w:hAnsi="Open Sans" w:cs="Open Sans"/>
          <w:szCs w:val="22"/>
        </w:rPr>
      </w:pPr>
      <w:r w:rsidRPr="005365EE">
        <w:rPr>
          <w:rFonts w:ascii="Open Sans" w:hAnsi="Open Sans" w:cs="Open Sans"/>
          <w:szCs w:val="22"/>
        </w:rPr>
        <w:lastRenderedPageBreak/>
        <w:t xml:space="preserve">This would lead to even greater investment risk, leading to higher cost of capital and the delivery of lower quality projects. </w:t>
      </w:r>
      <w:bookmarkStart w:id="13" w:name="_Hlk43720429"/>
      <w:r w:rsidRPr="005365EE">
        <w:rPr>
          <w:rFonts w:ascii="Open Sans" w:hAnsi="Open Sans" w:cs="Open Sans"/>
          <w:szCs w:val="22"/>
        </w:rPr>
        <w:t xml:space="preserve">Developers may build plants quickly and potentially take short cuts. These would result in lower standards of projects, which would either shut down or would not be able to operate in their lifetime anywhere near the expected outputs. This could compromise the sector’s reputation, causing an image issue and could reduce the public support for green gas. </w:t>
      </w:r>
    </w:p>
    <w:bookmarkEnd w:id="13"/>
    <w:p w14:paraId="1122D9BD" w14:textId="77777777" w:rsidR="00C85944" w:rsidRPr="005365EE" w:rsidRDefault="00C85944" w:rsidP="00C85944">
      <w:pPr>
        <w:spacing w:before="120" w:after="120"/>
        <w:jc w:val="left"/>
        <w:rPr>
          <w:rFonts w:ascii="Open Sans" w:hAnsi="Open Sans" w:cs="Open Sans"/>
          <w:szCs w:val="22"/>
        </w:rPr>
      </w:pPr>
      <w:r w:rsidRPr="005365EE">
        <w:rPr>
          <w:rFonts w:ascii="Open Sans" w:hAnsi="Open Sans" w:cs="Open Sans"/>
          <w:szCs w:val="22"/>
        </w:rPr>
        <w:t xml:space="preserve">As explained later in the answers to questions 4 and 5, there are measures that will be adopted by Government and the regulators to raise industry standards. The current direction of travel taken by other Government departments, the environmental regulators and across Europe is that the industry will need to adopt best available techniques and best practice to minimise its impact on human health, communities and the environment, as well as to maximise its value. Any policy designed by BEIS should not move away from this by encouraging high risk, lower quality projects. </w:t>
      </w:r>
    </w:p>
    <w:p w14:paraId="0107EB53" w14:textId="77777777" w:rsidR="00C85944" w:rsidRPr="005365EE" w:rsidRDefault="00C85944" w:rsidP="00C85944">
      <w:pPr>
        <w:spacing w:before="120" w:after="120"/>
        <w:jc w:val="left"/>
        <w:rPr>
          <w:rFonts w:ascii="Open Sans" w:hAnsi="Open Sans" w:cs="Open Sans"/>
          <w:szCs w:val="22"/>
        </w:rPr>
      </w:pPr>
      <w:r w:rsidRPr="005365EE">
        <w:rPr>
          <w:rFonts w:ascii="Open Sans" w:hAnsi="Open Sans" w:cs="Open Sans"/>
          <w:szCs w:val="22"/>
        </w:rPr>
        <w:t xml:space="preserve">A joined up approach is therefore required across Government and the regulators to ensure any support provided by Government to stimulate deployment of AD plants does not encourage developers to build lower quality projects because the level of support is inadequate, rush projects to meet commissioning deadlines or take short cuts.  </w:t>
      </w:r>
    </w:p>
    <w:p w14:paraId="58315A0B" w14:textId="1ADA1207" w:rsidR="00C85944" w:rsidRPr="00C85944" w:rsidRDefault="00C85944" w:rsidP="00C85944">
      <w:pPr>
        <w:spacing w:after="160" w:line="259" w:lineRule="auto"/>
        <w:jc w:val="left"/>
        <w:rPr>
          <w:rFonts w:ascii="Open Sans" w:hAnsi="Open Sans" w:cs="Open Sans"/>
          <w:b/>
          <w:bCs/>
          <w:i/>
          <w:iCs/>
          <w:color w:val="2F5496"/>
          <w:szCs w:val="22"/>
        </w:rPr>
      </w:pPr>
      <w:r>
        <w:rPr>
          <w:rFonts w:ascii="Open Sans" w:hAnsi="Open Sans" w:cs="Open Sans"/>
          <w:b/>
          <w:bCs/>
          <w:i/>
          <w:iCs/>
          <w:color w:val="2F5496"/>
          <w:szCs w:val="22"/>
        </w:rPr>
        <w:t xml:space="preserve">Consultation Question 4 - </w:t>
      </w:r>
      <w:r w:rsidRPr="00C85944">
        <w:rPr>
          <w:rFonts w:ascii="Open Sans" w:hAnsi="Open Sans" w:cs="Open Sans"/>
          <w:b/>
          <w:bCs/>
          <w:i/>
          <w:iCs/>
          <w:color w:val="2F5496"/>
          <w:szCs w:val="22"/>
        </w:rPr>
        <w:t xml:space="preserve">Do you have any views on the appropriate tariff level, within these ranges? Please provide evidence to support your response.  </w:t>
      </w:r>
    </w:p>
    <w:p w14:paraId="5D70661A" w14:textId="77777777" w:rsidR="00C85944" w:rsidRPr="00DE0718" w:rsidRDefault="00C85944" w:rsidP="00C85944">
      <w:pPr>
        <w:spacing w:before="120" w:after="120"/>
        <w:jc w:val="left"/>
        <w:rPr>
          <w:rFonts w:ascii="Open Sans" w:hAnsi="Open Sans" w:cs="Open Sans"/>
          <w:b/>
          <w:bCs/>
          <w:szCs w:val="22"/>
        </w:rPr>
      </w:pPr>
      <w:bookmarkStart w:id="14" w:name="_Hlk44426522"/>
      <w:r w:rsidRPr="00DE0718">
        <w:rPr>
          <w:rFonts w:ascii="Open Sans" w:hAnsi="Open Sans" w:cs="Open Sans"/>
          <w:b/>
          <w:bCs/>
          <w:szCs w:val="22"/>
        </w:rPr>
        <w:t>We broadly agree that BEIS target IRR (of 10%) is appropriate, but we are concerned that</w:t>
      </w:r>
      <w:r>
        <w:rPr>
          <w:rFonts w:ascii="Open Sans" w:hAnsi="Open Sans" w:cs="Open Sans"/>
          <w:b/>
          <w:bCs/>
          <w:szCs w:val="22"/>
        </w:rPr>
        <w:t>,</w:t>
      </w:r>
      <w:r w:rsidRPr="00DE0718">
        <w:rPr>
          <w:rFonts w:ascii="Open Sans" w:hAnsi="Open Sans" w:cs="Open Sans"/>
          <w:b/>
          <w:bCs/>
          <w:szCs w:val="22"/>
        </w:rPr>
        <w:t xml:space="preserve"> for a number of reasons</w:t>
      </w:r>
      <w:r>
        <w:rPr>
          <w:rFonts w:ascii="Open Sans" w:hAnsi="Open Sans" w:cs="Open Sans"/>
          <w:b/>
          <w:bCs/>
          <w:szCs w:val="22"/>
        </w:rPr>
        <w:t>,</w:t>
      </w:r>
      <w:r w:rsidRPr="00DE0718">
        <w:rPr>
          <w:rFonts w:ascii="Open Sans" w:hAnsi="Open Sans" w:cs="Open Sans"/>
          <w:b/>
          <w:bCs/>
          <w:szCs w:val="22"/>
        </w:rPr>
        <w:t xml:space="preserve"> the tariff levels proposed may not meet it (particularly at the lower end of those proposed).</w:t>
      </w:r>
    </w:p>
    <w:bookmarkEnd w:id="14"/>
    <w:p w14:paraId="3C09D587" w14:textId="77777777" w:rsidR="00C85944" w:rsidRDefault="00C85944" w:rsidP="00C85944">
      <w:pPr>
        <w:spacing w:before="120" w:after="120"/>
        <w:jc w:val="left"/>
        <w:rPr>
          <w:rFonts w:ascii="Open Sans" w:hAnsi="Open Sans" w:cs="Open Sans"/>
          <w:szCs w:val="22"/>
        </w:rPr>
      </w:pPr>
      <w:r w:rsidRPr="005365EE">
        <w:rPr>
          <w:rFonts w:ascii="Open Sans" w:hAnsi="Open Sans" w:cs="Open Sans"/>
          <w:szCs w:val="22"/>
        </w:rPr>
        <w:t xml:space="preserve">The feedback we had so far is that industry considers that the upper bracket of these ranges are just about viable, but raised serious concern over the impact that degression will have on plants’ viability. These sorts of levels are already very close to the point at which any unnecessary reduction will cause a hiatus in deployment. In other words, if the tariff starts at those levels, even one single degression would likely make it impossible for new AD plants to deploy under the Scheme. </w:t>
      </w:r>
    </w:p>
    <w:p w14:paraId="60516CF7" w14:textId="77777777" w:rsidR="00C85944" w:rsidRPr="005365EE" w:rsidRDefault="00C85944" w:rsidP="00C85944">
      <w:pPr>
        <w:spacing w:before="120" w:after="120"/>
        <w:jc w:val="left"/>
        <w:rPr>
          <w:rFonts w:ascii="Open Sans" w:hAnsi="Open Sans" w:cs="Open Sans"/>
          <w:szCs w:val="22"/>
        </w:rPr>
      </w:pPr>
      <w:r w:rsidRPr="005365EE">
        <w:rPr>
          <w:rFonts w:ascii="Open Sans" w:hAnsi="Open Sans" w:cs="Open Sans"/>
          <w:szCs w:val="22"/>
        </w:rPr>
        <w:t xml:space="preserve">Members have also highlighted that the drop from Tier 1 to Tier from 5.5 p/kWh to 3.75 p/kWh is too great and will create a cliff edge in plant sizing and generation output. </w:t>
      </w:r>
      <w:r>
        <w:rPr>
          <w:rFonts w:ascii="Open Sans" w:hAnsi="Open Sans" w:cs="Open Sans"/>
          <w:szCs w:val="22"/>
        </w:rPr>
        <w:t>Some members have suggested that t</w:t>
      </w:r>
      <w:r w:rsidRPr="005365EE">
        <w:rPr>
          <w:rFonts w:ascii="Open Sans" w:hAnsi="Open Sans" w:cs="Open Sans"/>
          <w:szCs w:val="22"/>
        </w:rPr>
        <w:t xml:space="preserve">his could be avoided by having a two stage Tier 2. </w:t>
      </w:r>
    </w:p>
    <w:p w14:paraId="2ECE202A" w14:textId="77777777" w:rsidR="00C85944" w:rsidRPr="005365EE" w:rsidRDefault="00C85944" w:rsidP="00C85944">
      <w:pPr>
        <w:spacing w:before="120" w:after="120"/>
        <w:jc w:val="left"/>
        <w:rPr>
          <w:rFonts w:ascii="Open Sans" w:hAnsi="Open Sans" w:cs="Open Sans"/>
          <w:szCs w:val="22"/>
        </w:rPr>
      </w:pPr>
      <w:r w:rsidRPr="005365EE">
        <w:rPr>
          <w:rFonts w:ascii="Open Sans" w:hAnsi="Open Sans" w:cs="Open Sans"/>
          <w:szCs w:val="22"/>
        </w:rPr>
        <w:t>Some members have pointed out that to inform the setting of an appropriate tariff level, it is crucial that BEIS does not only consider the numbers of plants that have deployed under the RHI at these tariff levels, but also the actual performance of these plants i.e. how many plants have stopped operating, or are underperforming, and to what extent they are generating green gas. From members’ experience, a low tariff is unlikely to stop industry to deploy/develop, but it may drive poorer standards of projects</w:t>
      </w:r>
      <w:r>
        <w:rPr>
          <w:rFonts w:ascii="Open Sans" w:hAnsi="Open Sans" w:cs="Open Sans"/>
          <w:szCs w:val="22"/>
        </w:rPr>
        <w:t xml:space="preserve"> and lower levels of operation</w:t>
      </w:r>
      <w:r w:rsidRPr="005365EE">
        <w:rPr>
          <w:rFonts w:ascii="Open Sans" w:hAnsi="Open Sans" w:cs="Open Sans"/>
          <w:szCs w:val="22"/>
        </w:rPr>
        <w:t xml:space="preserve">. Costs should be collated from a sample of representative plants that are generating to the expected levels. </w:t>
      </w:r>
    </w:p>
    <w:p w14:paraId="34B4BC55" w14:textId="77777777" w:rsidR="00C85944" w:rsidRPr="00071C6A" w:rsidRDefault="00C85944" w:rsidP="00C85944">
      <w:pPr>
        <w:spacing w:before="120" w:after="120"/>
        <w:jc w:val="left"/>
        <w:rPr>
          <w:rFonts w:ascii="Open Sans" w:hAnsi="Open Sans" w:cs="Open Sans"/>
          <w:b/>
          <w:bCs/>
          <w:szCs w:val="22"/>
        </w:rPr>
      </w:pPr>
      <w:bookmarkStart w:id="15" w:name="_Hlk44426529"/>
      <w:bookmarkStart w:id="16" w:name="_Hlk43738219"/>
      <w:r w:rsidRPr="00071C6A">
        <w:rPr>
          <w:rFonts w:ascii="Open Sans" w:hAnsi="Open Sans" w:cs="Open Sans"/>
          <w:b/>
          <w:bCs/>
          <w:szCs w:val="22"/>
        </w:rPr>
        <w:t xml:space="preserve">The costs of designing and operating a plant in line with </w:t>
      </w:r>
      <w:r>
        <w:rPr>
          <w:rFonts w:ascii="Open Sans" w:hAnsi="Open Sans" w:cs="Open Sans"/>
          <w:b/>
          <w:bCs/>
          <w:szCs w:val="22"/>
        </w:rPr>
        <w:t xml:space="preserve">the </w:t>
      </w:r>
      <w:r w:rsidRPr="00071C6A">
        <w:rPr>
          <w:rFonts w:ascii="Open Sans" w:hAnsi="Open Sans" w:cs="Open Sans"/>
          <w:b/>
          <w:bCs/>
          <w:szCs w:val="22"/>
        </w:rPr>
        <w:t xml:space="preserve">upcoming </w:t>
      </w:r>
      <w:r>
        <w:rPr>
          <w:rFonts w:ascii="Open Sans" w:hAnsi="Open Sans" w:cs="Open Sans"/>
          <w:b/>
          <w:bCs/>
          <w:szCs w:val="22"/>
        </w:rPr>
        <w:t xml:space="preserve">changes brought in by the environmental regulators to permits and new regulations brought in by Defra need to be foreseen and reflected in the level of support provided and the design of BEIS policy. </w:t>
      </w:r>
    </w:p>
    <w:bookmarkEnd w:id="15"/>
    <w:p w14:paraId="14A9D0E3" w14:textId="77777777" w:rsidR="00C85944" w:rsidRDefault="00C85944" w:rsidP="00C85944">
      <w:pPr>
        <w:spacing w:before="120" w:after="120"/>
        <w:jc w:val="left"/>
        <w:rPr>
          <w:rFonts w:ascii="Open Sans" w:hAnsi="Open Sans" w:cs="Open Sans"/>
          <w:szCs w:val="22"/>
        </w:rPr>
      </w:pPr>
      <w:r>
        <w:rPr>
          <w:rFonts w:ascii="Open Sans" w:hAnsi="Open Sans" w:cs="Open Sans"/>
          <w:szCs w:val="22"/>
        </w:rPr>
        <w:lastRenderedPageBreak/>
        <w:t>It</w:t>
      </w:r>
      <w:r w:rsidRPr="005365EE">
        <w:rPr>
          <w:rFonts w:ascii="Open Sans" w:hAnsi="Open Sans" w:cs="Open Sans"/>
          <w:szCs w:val="22"/>
        </w:rPr>
        <w:t xml:space="preserve"> is crucial that the scheme drives best practice and encourage development of plants that can </w:t>
      </w:r>
      <w:r>
        <w:rPr>
          <w:rFonts w:ascii="Open Sans" w:hAnsi="Open Sans" w:cs="Open Sans"/>
          <w:szCs w:val="22"/>
        </w:rPr>
        <w:t xml:space="preserve">deliver </w:t>
      </w:r>
      <w:r w:rsidRPr="005365EE">
        <w:rPr>
          <w:rFonts w:ascii="Open Sans" w:hAnsi="Open Sans" w:cs="Open Sans"/>
          <w:szCs w:val="22"/>
        </w:rPr>
        <w:t xml:space="preserve">and make a real contribution to meet the Government’s net zero target. </w:t>
      </w:r>
    </w:p>
    <w:p w14:paraId="51BF5D4B" w14:textId="77777777" w:rsidR="00C85944" w:rsidRDefault="00C85944" w:rsidP="00C85944">
      <w:pPr>
        <w:spacing w:before="120" w:after="120"/>
        <w:rPr>
          <w:rFonts w:ascii="Open Sans" w:hAnsi="Open Sans" w:cs="Open Sans"/>
          <w:szCs w:val="22"/>
        </w:rPr>
      </w:pPr>
      <w:r>
        <w:rPr>
          <w:rFonts w:ascii="Open Sans" w:hAnsi="Open Sans" w:cs="Open Sans"/>
          <w:szCs w:val="22"/>
        </w:rPr>
        <w:t>Given that t</w:t>
      </w:r>
      <w:r w:rsidRPr="008F0FAD">
        <w:rPr>
          <w:rFonts w:ascii="Open Sans" w:hAnsi="Open Sans" w:cs="Open Sans"/>
          <w:szCs w:val="22"/>
        </w:rPr>
        <w:t>his policy is intended to be open to new applicants until 2025/26</w:t>
      </w:r>
      <w:r>
        <w:rPr>
          <w:rFonts w:ascii="Open Sans" w:hAnsi="Open Sans" w:cs="Open Sans"/>
          <w:szCs w:val="22"/>
        </w:rPr>
        <w:t>,</w:t>
      </w:r>
      <w:r w:rsidRPr="008F0FAD">
        <w:rPr>
          <w:rFonts w:ascii="Open Sans" w:hAnsi="Open Sans" w:cs="Open Sans"/>
          <w:szCs w:val="22"/>
        </w:rPr>
        <w:t xml:space="preserve"> it offers an opportunity for major changes to energy and other policies </w:t>
      </w:r>
      <w:r>
        <w:rPr>
          <w:rFonts w:ascii="Open Sans" w:hAnsi="Open Sans" w:cs="Open Sans"/>
          <w:szCs w:val="22"/>
        </w:rPr>
        <w:t xml:space="preserve">(e.g. environmental) </w:t>
      </w:r>
      <w:r w:rsidRPr="008F0FAD">
        <w:rPr>
          <w:rFonts w:ascii="Open Sans" w:hAnsi="Open Sans" w:cs="Open Sans"/>
          <w:szCs w:val="22"/>
        </w:rPr>
        <w:t>to be fully aligned.</w:t>
      </w:r>
    </w:p>
    <w:p w14:paraId="356AF55E" w14:textId="77777777" w:rsidR="00C85944" w:rsidRDefault="00C85944" w:rsidP="00C85944">
      <w:pPr>
        <w:spacing w:before="120" w:after="120"/>
        <w:rPr>
          <w:rFonts w:ascii="Open Sans" w:hAnsi="Open Sans" w:cs="Open Sans"/>
          <w:szCs w:val="22"/>
        </w:rPr>
      </w:pPr>
      <w:r>
        <w:rPr>
          <w:rFonts w:ascii="Open Sans" w:hAnsi="Open Sans" w:cs="Open Sans"/>
          <w:szCs w:val="22"/>
        </w:rPr>
        <w:t>A</w:t>
      </w:r>
      <w:r w:rsidRPr="001A1F3A">
        <w:rPr>
          <w:rFonts w:ascii="Open Sans" w:hAnsi="Open Sans" w:cs="Open Sans"/>
          <w:szCs w:val="22"/>
        </w:rPr>
        <w:t xml:space="preserve"> number of policies </w:t>
      </w:r>
      <w:r>
        <w:rPr>
          <w:rFonts w:ascii="Open Sans" w:hAnsi="Open Sans" w:cs="Open Sans"/>
          <w:szCs w:val="22"/>
        </w:rPr>
        <w:t xml:space="preserve">across other Government departments, </w:t>
      </w:r>
      <w:r w:rsidRPr="001A1F3A">
        <w:rPr>
          <w:rFonts w:ascii="Open Sans" w:hAnsi="Open Sans" w:cs="Open Sans"/>
          <w:szCs w:val="22"/>
        </w:rPr>
        <w:t xml:space="preserve">and new regulatory requirements </w:t>
      </w:r>
      <w:r>
        <w:rPr>
          <w:rFonts w:ascii="Open Sans" w:hAnsi="Open Sans" w:cs="Open Sans"/>
          <w:szCs w:val="22"/>
        </w:rPr>
        <w:t>will be</w:t>
      </w:r>
      <w:r w:rsidRPr="001A1F3A">
        <w:rPr>
          <w:rFonts w:ascii="Open Sans" w:hAnsi="Open Sans" w:cs="Open Sans"/>
          <w:szCs w:val="22"/>
        </w:rPr>
        <w:t xml:space="preserve"> implemented </w:t>
      </w:r>
      <w:r>
        <w:rPr>
          <w:rFonts w:ascii="Open Sans" w:hAnsi="Open Sans" w:cs="Open Sans"/>
          <w:szCs w:val="22"/>
        </w:rPr>
        <w:t>in the coming</w:t>
      </w:r>
      <w:r w:rsidRPr="001A1F3A">
        <w:rPr>
          <w:rFonts w:ascii="Open Sans" w:hAnsi="Open Sans" w:cs="Open Sans"/>
          <w:szCs w:val="22"/>
        </w:rPr>
        <w:t xml:space="preserve"> few years,</w:t>
      </w:r>
      <w:r>
        <w:rPr>
          <w:rFonts w:ascii="Open Sans" w:hAnsi="Open Sans" w:cs="Open Sans"/>
          <w:szCs w:val="22"/>
        </w:rPr>
        <w:t xml:space="preserve"> which mean that</w:t>
      </w:r>
      <w:r w:rsidRPr="001A1F3A">
        <w:rPr>
          <w:rFonts w:ascii="Open Sans" w:hAnsi="Open Sans" w:cs="Open Sans"/>
          <w:szCs w:val="22"/>
        </w:rPr>
        <w:t xml:space="preserve"> the AD sector will need to move to higher build and operational standards</w:t>
      </w:r>
      <w:r>
        <w:rPr>
          <w:rFonts w:ascii="Open Sans" w:hAnsi="Open Sans" w:cs="Open Sans"/>
          <w:szCs w:val="22"/>
        </w:rPr>
        <w:t>,</w:t>
      </w:r>
      <w:r w:rsidRPr="001A1F3A">
        <w:rPr>
          <w:rFonts w:ascii="Open Sans" w:hAnsi="Open Sans" w:cs="Open Sans"/>
          <w:szCs w:val="22"/>
        </w:rPr>
        <w:t xml:space="preserve"> aligned with best available techniques</w:t>
      </w:r>
      <w:r>
        <w:rPr>
          <w:rFonts w:ascii="Open Sans" w:hAnsi="Open Sans" w:cs="Open Sans"/>
          <w:szCs w:val="22"/>
        </w:rPr>
        <w:t xml:space="preserve">. These </w:t>
      </w:r>
      <w:r w:rsidRPr="001A1F3A">
        <w:rPr>
          <w:rFonts w:ascii="Open Sans" w:hAnsi="Open Sans" w:cs="Open Sans"/>
          <w:szCs w:val="22"/>
        </w:rPr>
        <w:t>will place additional capital and operational costs</w:t>
      </w:r>
      <w:r>
        <w:rPr>
          <w:rFonts w:ascii="Open Sans" w:hAnsi="Open Sans" w:cs="Open Sans"/>
          <w:szCs w:val="22"/>
        </w:rPr>
        <w:t xml:space="preserve"> on the industry. We have listed those below for information. </w:t>
      </w:r>
    </w:p>
    <w:p w14:paraId="6353D8EF" w14:textId="77777777" w:rsidR="00C85944" w:rsidRDefault="00C85944" w:rsidP="00C85944">
      <w:pPr>
        <w:spacing w:before="120" w:after="120"/>
        <w:jc w:val="left"/>
        <w:rPr>
          <w:rFonts w:ascii="Open Sans" w:hAnsi="Open Sans" w:cs="Open Sans"/>
          <w:szCs w:val="22"/>
        </w:rPr>
      </w:pPr>
      <w:r w:rsidRPr="00DA1335">
        <w:rPr>
          <w:rFonts w:ascii="Open Sans" w:hAnsi="Open Sans" w:cs="Open Sans"/>
          <w:szCs w:val="22"/>
        </w:rPr>
        <w:t xml:space="preserve">Government funded plants should be designed to these standards to ensure a long term, sustainable and </w:t>
      </w:r>
      <w:r>
        <w:rPr>
          <w:rFonts w:ascii="Open Sans" w:hAnsi="Open Sans" w:cs="Open Sans"/>
          <w:szCs w:val="22"/>
        </w:rPr>
        <w:t xml:space="preserve">financially </w:t>
      </w:r>
      <w:r w:rsidRPr="00DA1335">
        <w:rPr>
          <w:rFonts w:ascii="Open Sans" w:hAnsi="Open Sans" w:cs="Open Sans"/>
          <w:szCs w:val="22"/>
        </w:rPr>
        <w:t xml:space="preserve">healthy AD sector. </w:t>
      </w:r>
      <w:r>
        <w:rPr>
          <w:rFonts w:ascii="Open Sans" w:hAnsi="Open Sans" w:cs="Open Sans"/>
          <w:szCs w:val="22"/>
        </w:rPr>
        <w:t>To achieve this</w:t>
      </w:r>
      <w:r w:rsidRPr="00DA1335">
        <w:rPr>
          <w:rFonts w:ascii="Open Sans" w:hAnsi="Open Sans" w:cs="Open Sans"/>
          <w:szCs w:val="22"/>
        </w:rPr>
        <w:t xml:space="preserve">, it is paramount that the costs of designing a plant in line with these requirements is adequately reflected in the level of </w:t>
      </w:r>
      <w:r>
        <w:rPr>
          <w:rFonts w:ascii="Open Sans" w:hAnsi="Open Sans" w:cs="Open Sans"/>
          <w:szCs w:val="22"/>
        </w:rPr>
        <w:t>support provided to</w:t>
      </w:r>
      <w:r w:rsidRPr="00DA1335">
        <w:rPr>
          <w:rFonts w:ascii="Open Sans" w:hAnsi="Open Sans" w:cs="Open Sans"/>
          <w:szCs w:val="22"/>
        </w:rPr>
        <w:t xml:space="preserve"> new projects</w:t>
      </w:r>
      <w:r>
        <w:rPr>
          <w:rFonts w:ascii="Open Sans" w:hAnsi="Open Sans" w:cs="Open Sans"/>
          <w:szCs w:val="22"/>
        </w:rPr>
        <w:t>.</w:t>
      </w:r>
      <w:r w:rsidRPr="00DA1335">
        <w:rPr>
          <w:rFonts w:ascii="Open Sans" w:hAnsi="Open Sans" w:cs="Open Sans"/>
          <w:szCs w:val="22"/>
        </w:rPr>
        <w:t xml:space="preserve"> Also, elements of the scheme such as the tariff length and commissioning deadlines should be designed in a way that does not encourage developers to rush through build and take short cuts</w:t>
      </w:r>
      <w:r>
        <w:rPr>
          <w:rFonts w:ascii="Open Sans" w:hAnsi="Open Sans" w:cs="Open Sans"/>
          <w:szCs w:val="22"/>
        </w:rPr>
        <w:t>, resulting in lower standards of projects</w:t>
      </w:r>
      <w:r w:rsidRPr="00DA1335">
        <w:rPr>
          <w:rFonts w:ascii="Open Sans" w:hAnsi="Open Sans" w:cs="Open Sans"/>
          <w:szCs w:val="22"/>
        </w:rPr>
        <w:t xml:space="preserve"> This would</w:t>
      </w:r>
      <w:r>
        <w:rPr>
          <w:rFonts w:ascii="Open Sans" w:hAnsi="Open Sans" w:cs="Open Sans"/>
          <w:szCs w:val="22"/>
        </w:rPr>
        <w:t xml:space="preserve"> be</w:t>
      </w:r>
      <w:r w:rsidRPr="00DA1335">
        <w:rPr>
          <w:rFonts w:ascii="Open Sans" w:hAnsi="Open Sans" w:cs="Open Sans"/>
          <w:szCs w:val="22"/>
        </w:rPr>
        <w:t xml:space="preserve"> a move </w:t>
      </w:r>
      <w:r>
        <w:rPr>
          <w:rFonts w:ascii="Open Sans" w:hAnsi="Open Sans" w:cs="Open Sans"/>
          <w:szCs w:val="22"/>
        </w:rPr>
        <w:t>away from t</w:t>
      </w:r>
      <w:r w:rsidRPr="00DA1335">
        <w:rPr>
          <w:rFonts w:ascii="Open Sans" w:hAnsi="Open Sans" w:cs="Open Sans"/>
          <w:szCs w:val="22"/>
        </w:rPr>
        <w:t xml:space="preserve">he general direction of travel </w:t>
      </w:r>
      <w:r>
        <w:rPr>
          <w:rFonts w:ascii="Open Sans" w:hAnsi="Open Sans" w:cs="Open Sans"/>
          <w:szCs w:val="22"/>
        </w:rPr>
        <w:t>across</w:t>
      </w:r>
      <w:r w:rsidRPr="00DA1335">
        <w:rPr>
          <w:rFonts w:ascii="Open Sans" w:hAnsi="Open Sans" w:cs="Open Sans"/>
          <w:szCs w:val="22"/>
        </w:rPr>
        <w:t xml:space="preserve"> other Government departments and the </w:t>
      </w:r>
      <w:r>
        <w:rPr>
          <w:rFonts w:ascii="Open Sans" w:hAnsi="Open Sans" w:cs="Open Sans"/>
          <w:szCs w:val="22"/>
        </w:rPr>
        <w:t xml:space="preserve">environment protection </w:t>
      </w:r>
      <w:r w:rsidRPr="00DA1335">
        <w:rPr>
          <w:rFonts w:ascii="Open Sans" w:hAnsi="Open Sans" w:cs="Open Sans"/>
          <w:szCs w:val="22"/>
        </w:rPr>
        <w:t xml:space="preserve">regulators. </w:t>
      </w:r>
      <w:r>
        <w:rPr>
          <w:rFonts w:ascii="Open Sans" w:hAnsi="Open Sans" w:cs="Open Sans"/>
          <w:szCs w:val="22"/>
        </w:rPr>
        <w:t xml:space="preserve">For information, we have listed below the key policies where changes are being brought over the coming months and years </w:t>
      </w:r>
    </w:p>
    <w:bookmarkEnd w:id="16"/>
    <w:p w14:paraId="22B63519" w14:textId="77777777" w:rsidR="00C85944" w:rsidRPr="005365EE" w:rsidRDefault="00C85944" w:rsidP="00C85944">
      <w:pPr>
        <w:spacing w:before="120"/>
        <w:contextualSpacing/>
        <w:jc w:val="left"/>
        <w:rPr>
          <w:rFonts w:ascii="Open Sans" w:hAnsi="Open Sans" w:cs="Open Sans"/>
          <w:szCs w:val="22"/>
          <w:u w:val="single"/>
          <w:lang w:eastAsia="en-GB"/>
        </w:rPr>
      </w:pPr>
      <w:r w:rsidRPr="005365EE">
        <w:rPr>
          <w:rFonts w:ascii="Open Sans" w:hAnsi="Open Sans" w:cs="Open Sans"/>
          <w:szCs w:val="22"/>
          <w:u w:val="single"/>
          <w:lang w:eastAsia="en-GB"/>
        </w:rPr>
        <w:t xml:space="preserve">Measures to minimise ammonia emissions </w:t>
      </w:r>
    </w:p>
    <w:p w14:paraId="431FC59E" w14:textId="77777777" w:rsidR="00C85944" w:rsidRPr="005365EE" w:rsidRDefault="00C85944" w:rsidP="00C85944">
      <w:pPr>
        <w:pStyle w:val="ListParagraph"/>
        <w:numPr>
          <w:ilvl w:val="0"/>
          <w:numId w:val="14"/>
        </w:numPr>
        <w:spacing w:before="120" w:after="120"/>
        <w:ind w:left="284" w:hanging="284"/>
        <w:jc w:val="left"/>
        <w:rPr>
          <w:rFonts w:ascii="Open Sans" w:hAnsi="Open Sans" w:cs="Open Sans"/>
          <w:szCs w:val="22"/>
          <w:lang w:eastAsia="en-GB"/>
        </w:rPr>
      </w:pPr>
      <w:r w:rsidRPr="005365EE">
        <w:rPr>
          <w:rFonts w:ascii="Open Sans" w:hAnsi="Open Sans" w:cs="Open Sans"/>
          <w:szCs w:val="22"/>
          <w:lang w:eastAsia="en-GB"/>
        </w:rPr>
        <w:t xml:space="preserve">Defra’s </w:t>
      </w:r>
      <w:hyperlink r:id="rId19" w:history="1">
        <w:r w:rsidRPr="005365EE">
          <w:rPr>
            <w:rStyle w:val="Hyperlink"/>
            <w:rFonts w:ascii="Open Sans" w:hAnsi="Open Sans" w:cs="Open Sans"/>
            <w:color w:val="auto"/>
            <w:szCs w:val="22"/>
            <w:lang w:eastAsia="en-GB"/>
          </w:rPr>
          <w:t>Clean Air Strategy</w:t>
        </w:r>
      </w:hyperlink>
      <w:r w:rsidRPr="005365EE">
        <w:rPr>
          <w:rFonts w:ascii="Open Sans" w:hAnsi="Open Sans" w:cs="Open Sans"/>
          <w:szCs w:val="22"/>
          <w:lang w:eastAsia="en-GB"/>
        </w:rPr>
        <w:t xml:space="preserve">, which is also mentioned in BEIS consultation, is committed to introducing legislation that will require digestate in England to be spread using low-emission spreading equipment by 2025, and digestate stores to be covered by 2027 (but both of these measures may be phased in earlier for digestate or large volumes of slurries). There will be a full public consultation before decisions are made as to the types of covers required and the date they will be required from. A range of currently acceptable covers are described in Defra’s </w:t>
      </w:r>
      <w:hyperlink r:id="rId20" w:history="1">
        <w:r w:rsidRPr="005365EE">
          <w:rPr>
            <w:rStyle w:val="Hyperlink"/>
            <w:rFonts w:ascii="Open Sans" w:hAnsi="Open Sans" w:cs="Open Sans"/>
            <w:color w:val="auto"/>
            <w:szCs w:val="22"/>
            <w:lang w:eastAsia="en-GB"/>
          </w:rPr>
          <w:t>Code of Practice</w:t>
        </w:r>
      </w:hyperlink>
      <w:r w:rsidRPr="005365EE">
        <w:rPr>
          <w:rFonts w:ascii="Open Sans" w:hAnsi="Open Sans" w:cs="Open Sans"/>
          <w:szCs w:val="22"/>
          <w:lang w:eastAsia="en-GB"/>
        </w:rPr>
        <w:t xml:space="preserve"> to minimise ammonia emissions but these come at a range of costs. </w:t>
      </w:r>
    </w:p>
    <w:p w14:paraId="34ED0774" w14:textId="77777777" w:rsidR="00C85944" w:rsidRPr="005365EE" w:rsidRDefault="00C85944" w:rsidP="00C85944">
      <w:pPr>
        <w:spacing w:before="120"/>
        <w:contextualSpacing/>
        <w:jc w:val="left"/>
        <w:rPr>
          <w:rFonts w:ascii="Open Sans" w:hAnsi="Open Sans" w:cs="Open Sans"/>
          <w:szCs w:val="22"/>
          <w:u w:val="single"/>
          <w:shd w:val="clear" w:color="auto" w:fill="FFFFFF"/>
        </w:rPr>
      </w:pPr>
      <w:r w:rsidRPr="005365EE">
        <w:rPr>
          <w:rFonts w:ascii="Open Sans" w:hAnsi="Open Sans" w:cs="Open Sans"/>
          <w:szCs w:val="22"/>
          <w:u w:val="single"/>
          <w:lang w:eastAsia="en-GB"/>
        </w:rPr>
        <w:t>Measures to limit</w:t>
      </w:r>
      <w:r w:rsidRPr="005365EE">
        <w:rPr>
          <w:rFonts w:ascii="Open Sans" w:hAnsi="Open Sans" w:cs="Open Sans"/>
          <w:szCs w:val="22"/>
          <w:u w:val="single"/>
          <w:shd w:val="clear" w:color="auto" w:fill="FFFFFF"/>
        </w:rPr>
        <w:t xml:space="preserve"> any negative impacts on human health, communities and the environment from biowaste activities </w:t>
      </w:r>
    </w:p>
    <w:p w14:paraId="0443CACE" w14:textId="77777777" w:rsidR="00C85944" w:rsidRPr="005365EE" w:rsidRDefault="00C85944" w:rsidP="00C85944">
      <w:pPr>
        <w:spacing w:before="120"/>
        <w:contextualSpacing/>
        <w:jc w:val="left"/>
        <w:rPr>
          <w:rFonts w:ascii="Open Sans" w:hAnsi="Open Sans" w:cs="Open Sans"/>
          <w:szCs w:val="22"/>
          <w:lang w:eastAsia="en-GB"/>
        </w:rPr>
      </w:pPr>
      <w:r w:rsidRPr="005365EE">
        <w:rPr>
          <w:rFonts w:ascii="Open Sans" w:hAnsi="Open Sans" w:cs="Open Sans"/>
          <w:szCs w:val="22"/>
          <w:lang w:eastAsia="en-GB"/>
        </w:rPr>
        <w:t xml:space="preserve">In 2020 the Environment Agency </w:t>
      </w:r>
      <w:hyperlink r:id="rId21" w:history="1">
        <w:r w:rsidRPr="005365EE">
          <w:rPr>
            <w:rStyle w:val="Hyperlink"/>
            <w:rFonts w:ascii="Open Sans" w:hAnsi="Open Sans" w:cs="Open Sans"/>
            <w:color w:val="auto"/>
            <w:szCs w:val="22"/>
            <w:lang w:eastAsia="en-GB"/>
          </w:rPr>
          <w:t>consulted</w:t>
        </w:r>
      </w:hyperlink>
      <w:r w:rsidRPr="005365EE">
        <w:rPr>
          <w:rFonts w:ascii="Open Sans" w:hAnsi="Open Sans" w:cs="Open Sans"/>
          <w:szCs w:val="22"/>
          <w:lang w:eastAsia="en-GB"/>
        </w:rPr>
        <w:t xml:space="preserve"> on a review of permits for biowaste treatment including anaerobic digestion. </w:t>
      </w:r>
      <w:r w:rsidRPr="005365EE">
        <w:rPr>
          <w:rFonts w:ascii="Open Sans" w:hAnsi="Open Sans" w:cs="Open Sans"/>
          <w:szCs w:val="22"/>
          <w:shd w:val="clear" w:color="auto" w:fill="FFFFFF"/>
        </w:rPr>
        <w:t>This is as a result of the publication of the revised Waste Treatment BREF</w:t>
      </w:r>
      <w:r w:rsidRPr="005365EE">
        <w:rPr>
          <w:shd w:val="clear" w:color="auto" w:fill="FFFFFF"/>
          <w:vertAlign w:val="superscript"/>
        </w:rPr>
        <w:footnoteReference w:id="4"/>
      </w:r>
      <w:r w:rsidRPr="005365EE">
        <w:rPr>
          <w:rFonts w:ascii="Open Sans" w:hAnsi="Open Sans" w:cs="Open Sans"/>
          <w:szCs w:val="22"/>
          <w:shd w:val="clear" w:color="auto" w:fill="FFFFFF"/>
          <w:vertAlign w:val="superscript"/>
        </w:rPr>
        <w:t xml:space="preserve"> </w:t>
      </w:r>
      <w:r w:rsidRPr="005365EE">
        <w:rPr>
          <w:rFonts w:ascii="Open Sans" w:hAnsi="Open Sans" w:cs="Open Sans"/>
          <w:szCs w:val="22"/>
          <w:shd w:val="clear" w:color="auto" w:fill="FFFFFF"/>
        </w:rPr>
        <w:t xml:space="preserve">and is aimed at bringing permits in line with it and ensuring they operate to the Best Available Techniques (BAT). It follows from the EA’s </w:t>
      </w:r>
      <w:hyperlink r:id="rId22" w:history="1">
        <w:r w:rsidRPr="005365EE">
          <w:rPr>
            <w:rStyle w:val="Hyperlink"/>
            <w:rFonts w:ascii="Open Sans" w:hAnsi="Open Sans" w:cs="Open Sans"/>
            <w:color w:val="auto"/>
            <w:szCs w:val="22"/>
            <w:shd w:val="clear" w:color="auto" w:fill="FFFFFF"/>
          </w:rPr>
          <w:t>incidents</w:t>
        </w:r>
      </w:hyperlink>
      <w:r w:rsidRPr="005365EE">
        <w:rPr>
          <w:rFonts w:ascii="Open Sans" w:hAnsi="Open Sans" w:cs="Open Sans"/>
          <w:szCs w:val="22"/>
          <w:shd w:val="clear" w:color="auto" w:fill="FFFFFF"/>
        </w:rPr>
        <w:t> and </w:t>
      </w:r>
      <w:hyperlink r:id="rId23" w:history="1">
        <w:r w:rsidRPr="005365EE">
          <w:rPr>
            <w:rStyle w:val="Hyperlink"/>
            <w:rFonts w:ascii="Open Sans" w:hAnsi="Open Sans" w:cs="Open Sans"/>
            <w:color w:val="auto"/>
            <w:szCs w:val="22"/>
            <w:shd w:val="clear" w:color="auto" w:fill="FFFFFF"/>
          </w:rPr>
          <w:t>audit data</w:t>
        </w:r>
      </w:hyperlink>
      <w:r w:rsidRPr="005365EE">
        <w:rPr>
          <w:rFonts w:ascii="Open Sans" w:hAnsi="Open Sans" w:cs="Open Sans"/>
          <w:szCs w:val="22"/>
          <w:shd w:val="clear" w:color="auto" w:fill="FFFFFF"/>
        </w:rPr>
        <w:t xml:space="preserve"> from anaerobic digestion plants. The review of permits will result in the implementation of the BAT requirements set out in the BREF in the reviewed permits (i.e. plants will have to be designed and operated with best available techniques). The EA will also publish a guidance document describing ‘appropriate measures’ for the biological treatment of wastes. The appropriate measures are the minimum standards that operators must meet to comply with their environmental permit requirements.  In summary, the review will see the implementation of higher design and operational standards (standard good practice requirements and more </w:t>
      </w:r>
      <w:r w:rsidRPr="005365EE">
        <w:rPr>
          <w:rFonts w:ascii="Open Sans" w:hAnsi="Open Sans" w:cs="Open Sans"/>
          <w:szCs w:val="22"/>
          <w:shd w:val="clear" w:color="auto" w:fill="FFFFFF"/>
        </w:rPr>
        <w:lastRenderedPageBreak/>
        <w:t xml:space="preserve">capital investment improvements) for AD facilities that will certainly result in higher capital and operational costs. </w:t>
      </w:r>
    </w:p>
    <w:p w14:paraId="37C7F643" w14:textId="77777777" w:rsidR="00C85944" w:rsidRPr="005365EE" w:rsidRDefault="00C85944" w:rsidP="00C85944">
      <w:pPr>
        <w:spacing w:before="120"/>
        <w:contextualSpacing/>
        <w:jc w:val="left"/>
        <w:rPr>
          <w:rFonts w:ascii="Open Sans" w:hAnsi="Open Sans" w:cs="Open Sans"/>
          <w:szCs w:val="22"/>
          <w:lang w:eastAsia="en-GB"/>
        </w:rPr>
      </w:pPr>
    </w:p>
    <w:p w14:paraId="0D3F2F60" w14:textId="77777777" w:rsidR="00C85944" w:rsidRPr="005365EE" w:rsidRDefault="00C85944" w:rsidP="00C85944">
      <w:pPr>
        <w:spacing w:before="120"/>
        <w:contextualSpacing/>
        <w:jc w:val="left"/>
        <w:rPr>
          <w:rFonts w:ascii="Open Sans" w:hAnsi="Open Sans" w:cs="Open Sans"/>
          <w:szCs w:val="22"/>
          <w:u w:val="single"/>
          <w:lang w:eastAsia="en-GB"/>
        </w:rPr>
      </w:pPr>
      <w:r w:rsidRPr="005365EE">
        <w:rPr>
          <w:rFonts w:ascii="Open Sans" w:hAnsi="Open Sans" w:cs="Open Sans"/>
          <w:szCs w:val="22"/>
          <w:u w:val="single"/>
          <w:lang w:eastAsia="en-GB"/>
        </w:rPr>
        <w:t>Measures to improve the quality of digestate produced (e.g. reduce plastics) and support digestate markets</w:t>
      </w:r>
    </w:p>
    <w:p w14:paraId="4C0930D8" w14:textId="77777777" w:rsidR="00C85944" w:rsidRPr="005365EE" w:rsidRDefault="00C85944" w:rsidP="00C85944">
      <w:pPr>
        <w:spacing w:before="120" w:after="120"/>
        <w:jc w:val="left"/>
        <w:rPr>
          <w:rFonts w:ascii="Open Sans" w:hAnsi="Open Sans" w:cs="Open Sans"/>
          <w:szCs w:val="22"/>
        </w:rPr>
      </w:pPr>
      <w:r w:rsidRPr="005365EE">
        <w:rPr>
          <w:rFonts w:ascii="Open Sans" w:hAnsi="Open Sans" w:cs="Open Sans"/>
          <w:szCs w:val="22"/>
          <w:lang w:eastAsia="en-GB"/>
        </w:rPr>
        <w:t xml:space="preserve">Earlier this year the Environment Agency issued a call for evidence to inform the review of the current Quality Protocol for Anaerobic Digestate.  When the EA publishes its review, we are expecting it will say they no longer support this QP as it stands and if industry wishes to continue using it to demonstrate End of Waste for digestate, then the QP will need to be revised and industry will have to fund EA time spent on this. This revision is also likely to result in the introduction of higher standards that the sector will have to comply with, i.e. a stricter set of limits on plastics in digestate.  Meeting these tighter limits will likely require additional treatment processes to remove plastics and improvements </w:t>
      </w:r>
      <w:r w:rsidRPr="005365EE">
        <w:rPr>
          <w:rFonts w:ascii="Open Sans" w:hAnsi="Open Sans" w:cs="Open Sans"/>
          <w:szCs w:val="22"/>
        </w:rPr>
        <w:t xml:space="preserve">to operational procedures. The potential presence of plastics in digestate and other organic materials being spread to land represents a significant concern for the environment protection regulators and can potentially undermine market confidence in quality digestates, so it is critical this problem is addressed across the supply chain. </w:t>
      </w:r>
    </w:p>
    <w:p w14:paraId="17A3A670" w14:textId="77777777" w:rsidR="00C85944" w:rsidRPr="005365EE" w:rsidRDefault="00C85944" w:rsidP="00C85944">
      <w:pPr>
        <w:spacing w:before="120" w:after="120"/>
        <w:jc w:val="left"/>
        <w:rPr>
          <w:rFonts w:ascii="Open Sans" w:hAnsi="Open Sans" w:cs="Open Sans"/>
          <w:szCs w:val="22"/>
        </w:rPr>
      </w:pPr>
      <w:r w:rsidRPr="005365EE">
        <w:rPr>
          <w:rFonts w:ascii="Open Sans" w:hAnsi="Open Sans" w:cs="Open Sans"/>
          <w:szCs w:val="22"/>
        </w:rPr>
        <w:t xml:space="preserve">In summary, </w:t>
      </w:r>
    </w:p>
    <w:p w14:paraId="7C34D39A" w14:textId="77777777" w:rsidR="00C85944" w:rsidRPr="005365EE" w:rsidRDefault="00C85944" w:rsidP="00C85944">
      <w:pPr>
        <w:pStyle w:val="ListParagraph"/>
        <w:numPr>
          <w:ilvl w:val="0"/>
          <w:numId w:val="15"/>
        </w:numPr>
        <w:spacing w:after="120"/>
        <w:ind w:left="284" w:hanging="284"/>
        <w:contextualSpacing w:val="0"/>
        <w:rPr>
          <w:rFonts w:ascii="Open Sans" w:hAnsi="Open Sans" w:cs="Open Sans"/>
          <w:b/>
          <w:bCs/>
          <w:szCs w:val="22"/>
          <w:lang w:eastAsia="en-GB"/>
        </w:rPr>
      </w:pPr>
      <w:bookmarkStart w:id="17" w:name="_Hlk43738823"/>
      <w:bookmarkStart w:id="18" w:name="_Hlk43720449"/>
      <w:bookmarkStart w:id="19" w:name="_Hlk44426589"/>
      <w:r w:rsidRPr="005365EE">
        <w:rPr>
          <w:rFonts w:ascii="Open Sans" w:hAnsi="Open Sans" w:cs="Open Sans"/>
          <w:b/>
          <w:bCs/>
          <w:szCs w:val="22"/>
          <w:lang w:eastAsia="en-GB"/>
        </w:rPr>
        <w:t xml:space="preserve">Due to a number of policies and new regulatory requirements being implemented over the next few years, the AD sector will need to move to higher build and operational standards aligned with BATs, which will require additional capital and operational costs. </w:t>
      </w:r>
    </w:p>
    <w:p w14:paraId="11A6AEA3" w14:textId="77777777" w:rsidR="00C85944" w:rsidRPr="005365EE" w:rsidRDefault="00C85944" w:rsidP="00C85944">
      <w:pPr>
        <w:pStyle w:val="ListParagraph"/>
        <w:numPr>
          <w:ilvl w:val="0"/>
          <w:numId w:val="15"/>
        </w:numPr>
        <w:spacing w:after="120"/>
        <w:ind w:left="284" w:hanging="284"/>
        <w:contextualSpacing w:val="0"/>
        <w:rPr>
          <w:rFonts w:ascii="Open Sans" w:hAnsi="Open Sans" w:cs="Open Sans"/>
          <w:b/>
          <w:bCs/>
          <w:szCs w:val="22"/>
          <w:lang w:eastAsia="en-GB"/>
        </w:rPr>
      </w:pPr>
      <w:r w:rsidRPr="005365EE">
        <w:rPr>
          <w:rFonts w:ascii="Open Sans" w:hAnsi="Open Sans" w:cs="Open Sans"/>
          <w:b/>
          <w:bCs/>
          <w:szCs w:val="22"/>
          <w:lang w:eastAsia="en-GB"/>
        </w:rPr>
        <w:t>This policy is intended to be open to new applicants until 2025/26 so it offers an opportunity for major changes to energy and other policies to be fully aligned.</w:t>
      </w:r>
    </w:p>
    <w:bookmarkEnd w:id="17"/>
    <w:p w14:paraId="42866813" w14:textId="77777777" w:rsidR="00C85944" w:rsidRPr="005365EE" w:rsidRDefault="00C85944" w:rsidP="00C85944">
      <w:pPr>
        <w:pStyle w:val="ListParagraph"/>
        <w:numPr>
          <w:ilvl w:val="0"/>
          <w:numId w:val="15"/>
        </w:numPr>
        <w:spacing w:after="120"/>
        <w:ind w:left="284" w:hanging="284"/>
        <w:contextualSpacing w:val="0"/>
        <w:rPr>
          <w:rFonts w:ascii="Open Sans" w:hAnsi="Open Sans" w:cs="Open Sans"/>
          <w:b/>
          <w:bCs/>
          <w:szCs w:val="22"/>
          <w:lang w:eastAsia="en-GB"/>
        </w:rPr>
      </w:pPr>
      <w:r w:rsidRPr="005365EE">
        <w:rPr>
          <w:rFonts w:ascii="Open Sans" w:hAnsi="Open Sans" w:cs="Open Sans"/>
          <w:b/>
          <w:bCs/>
          <w:szCs w:val="22"/>
          <w:lang w:eastAsia="en-GB"/>
        </w:rPr>
        <w:t xml:space="preserve">BEIS should consider a sanitised project model of costs and ensure the tariff levels are appropriately set to accurately reflect these costs. </w:t>
      </w:r>
    </w:p>
    <w:p w14:paraId="395377F8" w14:textId="77777777" w:rsidR="00C85944" w:rsidRPr="00B621A1" w:rsidRDefault="00C85944" w:rsidP="00C85944">
      <w:pPr>
        <w:pStyle w:val="ListParagraph"/>
        <w:numPr>
          <w:ilvl w:val="0"/>
          <w:numId w:val="15"/>
        </w:numPr>
        <w:spacing w:after="120"/>
        <w:ind w:left="284" w:hanging="284"/>
        <w:contextualSpacing w:val="0"/>
        <w:rPr>
          <w:rFonts w:ascii="Open Sans" w:hAnsi="Open Sans" w:cs="Open Sans"/>
        </w:rPr>
      </w:pPr>
      <w:bookmarkStart w:id="20" w:name="_Hlk43738337"/>
      <w:r w:rsidRPr="008F7207">
        <w:rPr>
          <w:rFonts w:ascii="Open Sans" w:hAnsi="Open Sans" w:cs="Open Sans"/>
          <w:b/>
          <w:bCs/>
          <w:szCs w:val="22"/>
          <w:lang w:eastAsia="en-GB"/>
        </w:rPr>
        <w:t xml:space="preserve">Provided the tariff levels are appropriate, then support of plants under the Green Gas Support Scheme should be conditional upon </w:t>
      </w:r>
      <w:r>
        <w:rPr>
          <w:rFonts w:ascii="Open Sans" w:hAnsi="Open Sans" w:cs="Open Sans"/>
          <w:b/>
          <w:bCs/>
          <w:szCs w:val="22"/>
          <w:lang w:eastAsia="en-GB"/>
        </w:rPr>
        <w:t>plants holding a relevant environmental permit</w:t>
      </w:r>
      <w:bookmarkEnd w:id="18"/>
      <w:bookmarkEnd w:id="20"/>
      <w:r>
        <w:rPr>
          <w:rFonts w:ascii="Open Sans" w:hAnsi="Open Sans" w:cs="Open Sans"/>
          <w:b/>
          <w:bCs/>
          <w:szCs w:val="22"/>
          <w:lang w:eastAsia="en-GB"/>
        </w:rPr>
        <w:t xml:space="preserve"> (if required by the environmental regulator). </w:t>
      </w:r>
    </w:p>
    <w:bookmarkEnd w:id="19"/>
    <w:p w14:paraId="6915D70C" w14:textId="77777777" w:rsidR="00C85944" w:rsidRPr="00C85944" w:rsidRDefault="00C85944" w:rsidP="00C85944">
      <w:pPr>
        <w:spacing w:after="160" w:line="259" w:lineRule="auto"/>
        <w:jc w:val="left"/>
        <w:rPr>
          <w:rFonts w:ascii="Open Sans" w:hAnsi="Open Sans" w:cs="Open Sans"/>
          <w:b/>
          <w:bCs/>
          <w:i/>
          <w:iCs/>
          <w:color w:val="2F5496"/>
          <w:szCs w:val="22"/>
        </w:rPr>
      </w:pPr>
      <w:r w:rsidRPr="00C85944">
        <w:rPr>
          <w:rFonts w:ascii="Open Sans" w:hAnsi="Open Sans" w:cs="Open Sans"/>
          <w:b/>
          <w:bCs/>
          <w:i/>
          <w:iCs/>
          <w:color w:val="2F5496"/>
          <w:szCs w:val="22"/>
        </w:rPr>
        <w:t>Consultation Question 5 - Do you have suggestions of other mechanisms that could be introduced to ensure tariffs deliver the best possible value for money – for example, additional evidence on costs and revenues that applicants to the Green Gas Support Scheme could be required to provide?   </w:t>
      </w:r>
    </w:p>
    <w:p w14:paraId="5B59D9D2" w14:textId="77777777" w:rsidR="00C85944" w:rsidRPr="005365EE" w:rsidRDefault="00C85944" w:rsidP="00C85944">
      <w:pPr>
        <w:rPr>
          <w:rFonts w:ascii="Open Sans" w:hAnsi="Open Sans" w:cs="Open Sans"/>
          <w:szCs w:val="22"/>
        </w:rPr>
      </w:pPr>
      <w:r w:rsidRPr="005365EE">
        <w:rPr>
          <w:rFonts w:ascii="Open Sans" w:hAnsi="Open Sans" w:cs="Open Sans"/>
          <w:szCs w:val="22"/>
        </w:rPr>
        <w:t xml:space="preserve">A number of members involved in the development and funding of AD plants </w:t>
      </w:r>
      <w:r>
        <w:rPr>
          <w:rFonts w:ascii="Open Sans" w:hAnsi="Open Sans" w:cs="Open Sans"/>
          <w:szCs w:val="22"/>
        </w:rPr>
        <w:t>have put</w:t>
      </w:r>
      <w:r w:rsidRPr="005365EE">
        <w:rPr>
          <w:rFonts w:ascii="Open Sans" w:hAnsi="Open Sans" w:cs="Open Sans"/>
          <w:szCs w:val="22"/>
        </w:rPr>
        <w:t xml:space="preserve"> together a sanitised model of costs that </w:t>
      </w:r>
      <w:r>
        <w:rPr>
          <w:rFonts w:ascii="Open Sans" w:hAnsi="Open Sans" w:cs="Open Sans"/>
          <w:szCs w:val="22"/>
        </w:rPr>
        <w:t>has been</w:t>
      </w:r>
      <w:r w:rsidRPr="005365EE">
        <w:rPr>
          <w:rFonts w:ascii="Open Sans" w:hAnsi="Open Sans" w:cs="Open Sans"/>
          <w:szCs w:val="22"/>
        </w:rPr>
        <w:t xml:space="preserve"> supplied to BEIS separately to support this response.  </w:t>
      </w:r>
    </w:p>
    <w:p w14:paraId="210639F0" w14:textId="77777777" w:rsidR="00C85944" w:rsidRPr="005365EE" w:rsidRDefault="00C85944" w:rsidP="00C85944">
      <w:pPr>
        <w:rPr>
          <w:rFonts w:ascii="Open Sans" w:hAnsi="Open Sans" w:cs="Open Sans"/>
          <w:szCs w:val="22"/>
          <w:lang w:eastAsia="en-GB"/>
        </w:rPr>
      </w:pPr>
    </w:p>
    <w:p w14:paraId="44357557" w14:textId="391191DD" w:rsidR="00C85944" w:rsidRPr="001254C5" w:rsidRDefault="001254C5" w:rsidP="001254C5">
      <w:pPr>
        <w:spacing w:after="160" w:line="259" w:lineRule="auto"/>
        <w:jc w:val="left"/>
        <w:rPr>
          <w:rFonts w:ascii="Open Sans" w:hAnsi="Open Sans" w:cs="Open Sans"/>
          <w:b/>
          <w:bCs/>
          <w:i/>
          <w:iCs/>
          <w:color w:val="2F5496"/>
          <w:szCs w:val="22"/>
        </w:rPr>
      </w:pPr>
      <w:r w:rsidRPr="001254C5">
        <w:rPr>
          <w:rFonts w:ascii="Open Sans" w:hAnsi="Open Sans" w:cs="Open Sans"/>
          <w:b/>
          <w:bCs/>
          <w:i/>
          <w:iCs/>
          <w:color w:val="2F5496"/>
          <w:szCs w:val="22"/>
        </w:rPr>
        <w:t xml:space="preserve">Consultation Question 6 - </w:t>
      </w:r>
      <w:r w:rsidR="00C85944" w:rsidRPr="001254C5">
        <w:rPr>
          <w:rFonts w:ascii="Open Sans" w:hAnsi="Open Sans" w:cs="Open Sans"/>
          <w:b/>
          <w:bCs/>
          <w:i/>
          <w:iCs/>
          <w:color w:val="2F5496"/>
          <w:szCs w:val="22"/>
        </w:rPr>
        <w:t>From experience of degression, how do you think elements such as the frequency and size of degression, and spend triggers, should change in order to ensure value for money, whilst meeting the need for investment certainty? Please provide evidence to support your response.  </w:t>
      </w:r>
    </w:p>
    <w:p w14:paraId="51E36A23" w14:textId="77777777" w:rsidR="00C85944" w:rsidRPr="005365EE" w:rsidRDefault="00C85944" w:rsidP="00C85944">
      <w:pPr>
        <w:jc w:val="left"/>
        <w:textAlignment w:val="baseline"/>
        <w:rPr>
          <w:rFonts w:ascii="Open Sans" w:hAnsi="Open Sans" w:cs="Open Sans"/>
          <w:b/>
          <w:i/>
          <w:iCs/>
          <w:szCs w:val="22"/>
          <w:lang w:eastAsia="en-GB"/>
        </w:rPr>
      </w:pPr>
    </w:p>
    <w:p w14:paraId="1C6BB142" w14:textId="77777777" w:rsidR="00C85944" w:rsidRDefault="00C85944" w:rsidP="00C85944">
      <w:pPr>
        <w:jc w:val="left"/>
        <w:textAlignment w:val="baseline"/>
        <w:rPr>
          <w:rFonts w:ascii="Open Sans" w:hAnsi="Open Sans" w:cs="Open Sans"/>
          <w:b/>
          <w:bCs/>
          <w:szCs w:val="22"/>
          <w:lang w:eastAsia="en-GB"/>
        </w:rPr>
      </w:pPr>
      <w:bookmarkStart w:id="21" w:name="_Hlk44426603"/>
      <w:r>
        <w:rPr>
          <w:rFonts w:ascii="Open Sans" w:hAnsi="Open Sans" w:cs="Open Sans"/>
          <w:b/>
          <w:bCs/>
          <w:szCs w:val="22"/>
          <w:lang w:eastAsia="en-GB"/>
        </w:rPr>
        <w:lastRenderedPageBreak/>
        <w:t xml:space="preserve">A degression mechanism for biomethane is no </w:t>
      </w:r>
      <w:r w:rsidRPr="005365EE">
        <w:rPr>
          <w:rFonts w:ascii="Open Sans" w:hAnsi="Open Sans" w:cs="Open Sans"/>
          <w:b/>
          <w:bCs/>
          <w:szCs w:val="22"/>
          <w:lang w:eastAsia="en-GB"/>
        </w:rPr>
        <w:t>longer required.</w:t>
      </w:r>
    </w:p>
    <w:bookmarkEnd w:id="21"/>
    <w:p w14:paraId="6A7C0412" w14:textId="77777777" w:rsidR="00C85944" w:rsidRPr="005365EE" w:rsidRDefault="00C85944" w:rsidP="00C85944">
      <w:pPr>
        <w:jc w:val="left"/>
        <w:textAlignment w:val="baseline"/>
        <w:rPr>
          <w:rFonts w:ascii="Open Sans" w:hAnsi="Open Sans" w:cs="Open Sans"/>
          <w:szCs w:val="22"/>
          <w:lang w:eastAsia="en-GB"/>
        </w:rPr>
      </w:pPr>
      <w:r w:rsidRPr="005365EE">
        <w:rPr>
          <w:rFonts w:ascii="Open Sans" w:hAnsi="Open Sans" w:cs="Open Sans"/>
          <w:szCs w:val="22"/>
          <w:lang w:eastAsia="en-GB"/>
        </w:rPr>
        <w:t>It is important for BEIS to reconsider what is the purpose of degression. This was initially introduced to ensure the budget is not overspent and to drive value for money. This</w:t>
      </w:r>
      <w:r w:rsidRPr="005365EE">
        <w:rPr>
          <w:rFonts w:ascii="Open Sans" w:hAnsi="Open Sans" w:cs="Open Sans"/>
          <w:b/>
          <w:bCs/>
          <w:szCs w:val="22"/>
          <w:lang w:eastAsia="en-GB"/>
        </w:rPr>
        <w:t xml:space="preserve"> </w:t>
      </w:r>
      <w:r w:rsidRPr="005365EE">
        <w:rPr>
          <w:rFonts w:ascii="Open Sans" w:hAnsi="Open Sans" w:cs="Open Sans"/>
          <w:szCs w:val="22"/>
          <w:lang w:eastAsia="en-GB"/>
        </w:rPr>
        <w:t>is for the following reasons:</w:t>
      </w:r>
    </w:p>
    <w:p w14:paraId="32B5113D" w14:textId="77777777" w:rsidR="00C85944" w:rsidRPr="005365EE" w:rsidRDefault="00C85944" w:rsidP="00C85944">
      <w:pPr>
        <w:jc w:val="left"/>
        <w:textAlignment w:val="baseline"/>
        <w:rPr>
          <w:rFonts w:ascii="Open Sans" w:hAnsi="Open Sans" w:cs="Open Sans"/>
          <w:szCs w:val="22"/>
          <w:lang w:eastAsia="en-GB"/>
        </w:rPr>
      </w:pPr>
    </w:p>
    <w:p w14:paraId="67631DCF" w14:textId="77777777" w:rsidR="00C85944" w:rsidRPr="00C25E6B" w:rsidRDefault="00C85944" w:rsidP="00C85944">
      <w:pPr>
        <w:pStyle w:val="ListParagraph"/>
        <w:numPr>
          <w:ilvl w:val="0"/>
          <w:numId w:val="16"/>
        </w:numPr>
        <w:spacing w:after="120"/>
        <w:ind w:left="426" w:hanging="426"/>
        <w:contextualSpacing w:val="0"/>
        <w:jc w:val="left"/>
        <w:textAlignment w:val="baseline"/>
        <w:rPr>
          <w:rFonts w:ascii="Open Sans" w:hAnsi="Open Sans" w:cs="Open Sans"/>
          <w:szCs w:val="22"/>
          <w:lang w:eastAsia="en-GB"/>
        </w:rPr>
      </w:pPr>
      <w:r w:rsidRPr="00C25E6B">
        <w:rPr>
          <w:rFonts w:ascii="Open Sans" w:hAnsi="Open Sans" w:cs="Open Sans"/>
          <w:szCs w:val="22"/>
          <w:lang w:eastAsia="en-GB"/>
        </w:rPr>
        <w:t xml:space="preserve">There is no need to rely on degression to control overall spend. Tariff guarantees provide a more certain way of doing this, and we note the proposal that the scheme can only be accessed in this way. </w:t>
      </w:r>
      <w:r w:rsidRPr="00C25E6B">
        <w:rPr>
          <w:rFonts w:ascii="Open Sans" w:hAnsi="Open Sans" w:cs="Open Sans"/>
          <w:szCs w:val="22"/>
          <w:lang w:eastAsia="en-GB"/>
        </w:rPr>
        <w:annotationRef/>
      </w:r>
      <w:r w:rsidRPr="00C25E6B">
        <w:rPr>
          <w:rFonts w:ascii="Open Sans" w:hAnsi="Open Sans" w:cs="Open Sans"/>
          <w:szCs w:val="22"/>
          <w:lang w:eastAsia="en-GB"/>
        </w:rPr>
        <w:t xml:space="preserve">On the assumption that the decision is made to allow additional capacity, then BEIS could also state that such applications will be treated in the same way (ie would be held in a queue and not processed if the scheme is already over-committed). This would be fine on the assumption that the suggestion made in this response is taken up that could apply for additional capacity by providing amended NEA (this would not work if present system retained, in which total injection over the quarter must exceed that allowed for by NEA). </w:t>
      </w:r>
    </w:p>
    <w:p w14:paraId="607B876E" w14:textId="77777777" w:rsidR="00C85944" w:rsidRPr="00EC4D23" w:rsidRDefault="00C85944" w:rsidP="00C85944">
      <w:pPr>
        <w:pStyle w:val="ListParagraph"/>
        <w:numPr>
          <w:ilvl w:val="0"/>
          <w:numId w:val="16"/>
        </w:numPr>
        <w:spacing w:after="120"/>
        <w:ind w:left="426" w:hanging="426"/>
        <w:contextualSpacing w:val="0"/>
        <w:jc w:val="left"/>
        <w:textAlignment w:val="baseline"/>
        <w:rPr>
          <w:rFonts w:ascii="Open Sans" w:hAnsi="Open Sans" w:cs="Open Sans"/>
          <w:szCs w:val="22"/>
          <w:lang w:eastAsia="en-GB"/>
        </w:rPr>
      </w:pPr>
      <w:r w:rsidRPr="00EC4D23">
        <w:rPr>
          <w:rFonts w:ascii="Open Sans" w:hAnsi="Open Sans" w:cs="Open Sans"/>
          <w:szCs w:val="22"/>
          <w:lang w:eastAsia="en-GB"/>
        </w:rPr>
        <w:t xml:space="preserve">There is not much scope for cost reductions ie it would only make sense to adjust the tariff if the costs have fundamentally changed. </w:t>
      </w:r>
      <w:r>
        <w:rPr>
          <w:rFonts w:ascii="Open Sans" w:hAnsi="Open Sans" w:cs="Open Sans"/>
          <w:szCs w:val="22"/>
          <w:lang w:eastAsia="en-GB"/>
        </w:rPr>
        <w:t>A</w:t>
      </w:r>
      <w:r w:rsidRPr="00EC4D23">
        <w:rPr>
          <w:rFonts w:ascii="Open Sans" w:hAnsi="Open Sans" w:cs="Open Sans"/>
          <w:szCs w:val="22"/>
          <w:lang w:eastAsia="en-GB"/>
        </w:rPr>
        <w:t xml:space="preserve"> mid-term review of the tariff would make more sense, to allow BEIS to consider whether the tariffs should be changed to reflect significant changes to capital and operational costs. </w:t>
      </w:r>
      <w:r>
        <w:rPr>
          <w:rFonts w:ascii="Open Sans" w:hAnsi="Open Sans" w:cs="Open Sans"/>
          <w:szCs w:val="22"/>
          <w:lang w:eastAsia="en-GB"/>
        </w:rPr>
        <w:t xml:space="preserve">There are certainly changes in place that could change the economics, including availability of feedstocks costs of compliance with regulatory controls – not least in the management of digestate. It should also be noted that some of these might result in tariffs needing to be adjusted upwards. </w:t>
      </w:r>
    </w:p>
    <w:p w14:paraId="7E07831D" w14:textId="77777777" w:rsidR="00C85944" w:rsidRPr="00EC4D23" w:rsidRDefault="00C85944" w:rsidP="00C85944">
      <w:pPr>
        <w:pStyle w:val="ListParagraph"/>
        <w:numPr>
          <w:ilvl w:val="0"/>
          <w:numId w:val="16"/>
        </w:numPr>
        <w:spacing w:after="120"/>
        <w:ind w:left="426" w:hanging="426"/>
        <w:contextualSpacing w:val="0"/>
        <w:jc w:val="left"/>
        <w:textAlignment w:val="baseline"/>
        <w:rPr>
          <w:rFonts w:ascii="Open Sans" w:hAnsi="Open Sans" w:cs="Open Sans"/>
          <w:szCs w:val="22"/>
          <w:lang w:eastAsia="en-GB"/>
        </w:rPr>
      </w:pPr>
      <w:r>
        <w:rPr>
          <w:rFonts w:ascii="Open Sans" w:hAnsi="Open Sans" w:cs="Open Sans"/>
          <w:szCs w:val="22"/>
          <w:lang w:eastAsia="en-GB"/>
        </w:rPr>
        <w:t>Even if there is potential for further cost reductions, the balance of risks of over and under compensation has changed significantly since the RHI was introduced. C</w:t>
      </w:r>
      <w:r w:rsidRPr="00EC4D23">
        <w:rPr>
          <w:rFonts w:ascii="Open Sans" w:hAnsi="Open Sans" w:cs="Open Sans"/>
          <w:szCs w:val="22"/>
          <w:lang w:eastAsia="en-GB"/>
        </w:rPr>
        <w:t>urrent levels and the levels proposed in the consultation are already much closer to the point at which any reduction would make the tariff unviable and stop deployment</w:t>
      </w:r>
      <w:r>
        <w:rPr>
          <w:rFonts w:ascii="Open Sans" w:hAnsi="Open Sans" w:cs="Open Sans"/>
          <w:szCs w:val="22"/>
          <w:lang w:eastAsia="en-GB"/>
        </w:rPr>
        <w:t>, which the chances of any project making egregious returns must be close to zero</w:t>
      </w:r>
      <w:r w:rsidRPr="00EC4D23">
        <w:rPr>
          <w:rFonts w:ascii="Open Sans" w:hAnsi="Open Sans" w:cs="Open Sans"/>
          <w:szCs w:val="22"/>
          <w:lang w:eastAsia="en-GB"/>
        </w:rPr>
        <w:t xml:space="preserve">. Even </w:t>
      </w:r>
      <w:r>
        <w:rPr>
          <w:rFonts w:ascii="Open Sans" w:hAnsi="Open Sans" w:cs="Open Sans"/>
          <w:szCs w:val="22"/>
          <w:lang w:eastAsia="en-GB"/>
        </w:rPr>
        <w:t xml:space="preserve">a </w:t>
      </w:r>
      <w:r w:rsidRPr="00EC4D23">
        <w:rPr>
          <w:rFonts w:ascii="Open Sans" w:hAnsi="Open Sans" w:cs="Open Sans"/>
          <w:szCs w:val="22"/>
          <w:lang w:eastAsia="en-GB"/>
        </w:rPr>
        <w:t xml:space="preserve">single degression would likely cause a hiatus / halt deployment.  </w:t>
      </w:r>
    </w:p>
    <w:p w14:paraId="013DEEEB" w14:textId="77777777" w:rsidR="00C85944" w:rsidRPr="00796FAF" w:rsidRDefault="00C85944" w:rsidP="00C85944">
      <w:pPr>
        <w:jc w:val="left"/>
        <w:textAlignment w:val="baseline"/>
        <w:rPr>
          <w:rFonts w:ascii="Open Sans" w:hAnsi="Open Sans" w:cs="Open Sans"/>
          <w:szCs w:val="22"/>
          <w:lang w:eastAsia="en-GB"/>
        </w:rPr>
      </w:pPr>
      <w:r w:rsidRPr="00796FAF">
        <w:rPr>
          <w:rFonts w:ascii="Open Sans" w:hAnsi="Open Sans" w:cs="Open Sans"/>
          <w:szCs w:val="22"/>
          <w:lang w:eastAsia="en-GB"/>
        </w:rPr>
        <w:t xml:space="preserve">If BEIS really consider that having a degression mechanism is necessary, then the frequency of degression for biomethane should be reconsidered as it is not appropriate for this technology. Costs for this technology are not likely to change on a quarterly basis, so reviewing the tariff levels at this frequency makes little sense (if the purpose is drive value for money and reflect cost reductions). The trigger levels should be set as close as possible to the full budget allocation to minimise the risk of degression. However, if a degression occurs, a this will likely stop deployment, as highlighted already, and cause the scheme to under deploy (depending on how large is the margin between the trigger and the actual budget level). </w:t>
      </w:r>
    </w:p>
    <w:p w14:paraId="400358C1" w14:textId="77777777" w:rsidR="00C85944" w:rsidRPr="005365EE" w:rsidRDefault="00C85944" w:rsidP="00C85944">
      <w:pPr>
        <w:jc w:val="left"/>
        <w:textAlignment w:val="baseline"/>
        <w:rPr>
          <w:rFonts w:ascii="Open Sans" w:hAnsi="Open Sans" w:cs="Open Sans"/>
          <w:b/>
          <w:i/>
          <w:iCs/>
          <w:szCs w:val="22"/>
          <w:lang w:eastAsia="en-GB"/>
        </w:rPr>
      </w:pPr>
    </w:p>
    <w:p w14:paraId="5B70C479" w14:textId="77777777" w:rsidR="00C85944" w:rsidRPr="009629A1" w:rsidRDefault="00C85944" w:rsidP="00C85944">
      <w:pPr>
        <w:jc w:val="left"/>
        <w:textAlignment w:val="baseline"/>
        <w:rPr>
          <w:rFonts w:ascii="Open Sans" w:hAnsi="Open Sans" w:cs="Open Sans"/>
          <w:szCs w:val="22"/>
          <w:u w:val="single"/>
          <w:lang w:eastAsia="en-GB"/>
        </w:rPr>
      </w:pPr>
      <w:r w:rsidRPr="009629A1">
        <w:rPr>
          <w:rFonts w:ascii="Open Sans" w:hAnsi="Open Sans" w:cs="Open Sans"/>
          <w:szCs w:val="22"/>
          <w:u w:val="single"/>
          <w:lang w:eastAsia="en-GB"/>
        </w:rPr>
        <w:t xml:space="preserve">Further proposals made by BEIS </w:t>
      </w:r>
      <w:r>
        <w:rPr>
          <w:rFonts w:ascii="Open Sans" w:hAnsi="Open Sans" w:cs="Open Sans"/>
          <w:szCs w:val="22"/>
          <w:u w:val="single"/>
          <w:lang w:eastAsia="en-GB"/>
        </w:rPr>
        <w:t>(</w:t>
      </w:r>
      <w:hyperlink r:id="rId24" w:history="1">
        <w:r w:rsidRPr="009629A1">
          <w:rPr>
            <w:rStyle w:val="Hyperlink"/>
            <w:rFonts w:ascii="Open Sans" w:hAnsi="Open Sans" w:cs="Open Sans"/>
            <w:color w:val="auto"/>
            <w:szCs w:val="22"/>
            <w:lang w:eastAsia="en-GB"/>
          </w:rPr>
          <w:t>here</w:t>
        </w:r>
      </w:hyperlink>
      <w:r>
        <w:rPr>
          <w:rStyle w:val="Hyperlink"/>
          <w:rFonts w:ascii="Open Sans" w:hAnsi="Open Sans" w:cs="Open Sans"/>
          <w:color w:val="auto"/>
          <w:szCs w:val="22"/>
          <w:lang w:eastAsia="en-GB"/>
        </w:rPr>
        <w:t>)</w:t>
      </w:r>
      <w:r w:rsidRPr="009629A1">
        <w:rPr>
          <w:rFonts w:ascii="Open Sans" w:hAnsi="Open Sans" w:cs="Open Sans"/>
          <w:szCs w:val="22"/>
          <w:u w:val="single"/>
          <w:lang w:eastAsia="en-GB"/>
        </w:rPr>
        <w:t>:</w:t>
      </w:r>
    </w:p>
    <w:p w14:paraId="102E2B87" w14:textId="77777777" w:rsidR="00C85944" w:rsidRPr="005365EE" w:rsidRDefault="00C85944" w:rsidP="00C85944">
      <w:pPr>
        <w:spacing w:before="120" w:after="120"/>
        <w:jc w:val="left"/>
        <w:textAlignment w:val="baseline"/>
        <w:rPr>
          <w:rFonts w:ascii="Open Sans" w:hAnsi="Open Sans" w:cs="Open Sans"/>
          <w:b/>
          <w:bCs/>
          <w:szCs w:val="22"/>
          <w:lang w:eastAsia="en-GB"/>
        </w:rPr>
      </w:pPr>
      <w:bookmarkStart w:id="22" w:name="_Hlk43723153"/>
      <w:bookmarkStart w:id="23" w:name="_Hlk44426612"/>
      <w:r w:rsidRPr="005365EE">
        <w:rPr>
          <w:rFonts w:ascii="Open Sans" w:hAnsi="Open Sans" w:cs="Open Sans"/>
          <w:b/>
          <w:bCs/>
          <w:szCs w:val="22"/>
          <w:lang w:eastAsia="en-GB"/>
        </w:rPr>
        <w:t xml:space="preserve">We would support a review of the tariffs instead of the degression mechanism as a way to adjust the levels to reflect any dramatic changes in the cost base and to ensure the tariff levels are appropriate. </w:t>
      </w:r>
    </w:p>
    <w:bookmarkEnd w:id="22"/>
    <w:p w14:paraId="56489E27" w14:textId="77777777" w:rsidR="00C85944" w:rsidRDefault="00C85944" w:rsidP="00C85944">
      <w:pPr>
        <w:spacing w:before="120" w:after="120"/>
        <w:jc w:val="left"/>
        <w:textAlignment w:val="baseline"/>
        <w:rPr>
          <w:rFonts w:ascii="Open Sans" w:hAnsi="Open Sans" w:cs="Open Sans"/>
          <w:b/>
          <w:bCs/>
          <w:szCs w:val="22"/>
          <w:lang w:eastAsia="en-GB"/>
        </w:rPr>
      </w:pPr>
      <w:r w:rsidRPr="00E51222">
        <w:rPr>
          <w:rFonts w:ascii="Open Sans" w:hAnsi="Open Sans" w:cs="Open Sans"/>
          <w:b/>
          <w:bCs/>
          <w:szCs w:val="22"/>
          <w:lang w:eastAsia="en-GB"/>
        </w:rPr>
        <w:t>We would recommend that this is done as a single review point midway through the scheme</w:t>
      </w:r>
      <w:r>
        <w:rPr>
          <w:rFonts w:ascii="Open Sans" w:hAnsi="Open Sans" w:cs="Open Sans"/>
          <w:b/>
          <w:bCs/>
          <w:szCs w:val="22"/>
          <w:lang w:eastAsia="en-GB"/>
        </w:rPr>
        <w:t xml:space="preserve">. An annual review may seem attractive, but in the first year there would be no </w:t>
      </w:r>
      <w:r>
        <w:rPr>
          <w:rFonts w:ascii="Open Sans" w:hAnsi="Open Sans" w:cs="Open Sans"/>
          <w:b/>
          <w:bCs/>
          <w:szCs w:val="22"/>
          <w:lang w:eastAsia="en-GB"/>
        </w:rPr>
        <w:lastRenderedPageBreak/>
        <w:t>meaningful evidence of the impact of the scheme to assess and in the final year a review (and any changes made following it) would be too late to affect deployment under the scheme by 2026.</w:t>
      </w:r>
      <w:r w:rsidRPr="00E51222">
        <w:rPr>
          <w:rFonts w:ascii="Open Sans" w:hAnsi="Open Sans" w:cs="Open Sans"/>
          <w:b/>
          <w:bCs/>
          <w:szCs w:val="22"/>
          <w:lang w:eastAsia="en-GB"/>
        </w:rPr>
        <w:t xml:space="preserve"> </w:t>
      </w:r>
      <w:r>
        <w:rPr>
          <w:rFonts w:ascii="Open Sans" w:hAnsi="Open Sans" w:cs="Open Sans"/>
          <w:b/>
          <w:bCs/>
          <w:szCs w:val="22"/>
          <w:lang w:eastAsia="en-GB"/>
        </w:rPr>
        <w:t>A mid-term review would also fit reasonably well with the expected timings of changes in other government policy areas, particularly those led by Defra and the environmental regulators on farming, environmental protection and collection of waste feedstock</w:t>
      </w:r>
      <w:r w:rsidRPr="00E51222">
        <w:rPr>
          <w:rFonts w:ascii="Open Sans" w:hAnsi="Open Sans" w:cs="Open Sans"/>
          <w:b/>
          <w:bCs/>
          <w:szCs w:val="22"/>
          <w:lang w:eastAsia="en-GB"/>
        </w:rPr>
        <w:t xml:space="preserve"> </w:t>
      </w:r>
    </w:p>
    <w:p w14:paraId="3AE81C47" w14:textId="77777777" w:rsidR="00C85944" w:rsidRPr="005365EE" w:rsidRDefault="00C85944" w:rsidP="00C85944">
      <w:pPr>
        <w:spacing w:before="120" w:after="120"/>
        <w:jc w:val="left"/>
        <w:textAlignment w:val="baseline"/>
        <w:rPr>
          <w:rFonts w:ascii="Open Sans" w:hAnsi="Open Sans" w:cs="Open Sans"/>
          <w:b/>
          <w:bCs/>
          <w:szCs w:val="22"/>
          <w:lang w:eastAsia="en-GB"/>
        </w:rPr>
      </w:pPr>
      <w:bookmarkStart w:id="24" w:name="_Hlk43720462"/>
      <w:r w:rsidRPr="005365EE">
        <w:rPr>
          <w:rFonts w:ascii="Open Sans" w:hAnsi="Open Sans" w:cs="Open Sans"/>
          <w:b/>
          <w:bCs/>
          <w:szCs w:val="22"/>
          <w:lang w:eastAsia="en-GB"/>
        </w:rPr>
        <w:t xml:space="preserve">We would recommend that cost are collated by BEIS (not Ofgem) from a representative samples of AD plants on the Scheme and interpreted with the help of an appropriate consultancy firm who has experience in assessing costs associated with AD across the industry. </w:t>
      </w:r>
    </w:p>
    <w:bookmarkEnd w:id="24"/>
    <w:p w14:paraId="7591AF06" w14:textId="77777777" w:rsidR="00C85944" w:rsidRPr="005365EE" w:rsidRDefault="00C85944" w:rsidP="00C85944">
      <w:pPr>
        <w:spacing w:before="120" w:after="120"/>
        <w:jc w:val="left"/>
        <w:textAlignment w:val="baseline"/>
        <w:rPr>
          <w:rFonts w:ascii="Open Sans" w:hAnsi="Open Sans" w:cs="Open Sans"/>
          <w:b/>
          <w:bCs/>
          <w:szCs w:val="22"/>
          <w:lang w:eastAsia="en-GB"/>
        </w:rPr>
      </w:pPr>
      <w:r w:rsidRPr="005365EE">
        <w:rPr>
          <w:rFonts w:ascii="Open Sans" w:hAnsi="Open Sans" w:cs="Open Sans"/>
          <w:b/>
          <w:bCs/>
          <w:szCs w:val="22"/>
          <w:lang w:eastAsia="en-GB"/>
        </w:rPr>
        <w:t xml:space="preserve">The tariff review should not be based on a mechanism in regulations but rather be a value judgement based on emerging picture as seen by BEIS. </w:t>
      </w:r>
    </w:p>
    <w:bookmarkEnd w:id="23"/>
    <w:p w14:paraId="70F47436" w14:textId="77777777" w:rsidR="00C85944" w:rsidRPr="00796FAF" w:rsidRDefault="00C85944" w:rsidP="00C85944">
      <w:pPr>
        <w:spacing w:before="120" w:after="120"/>
        <w:jc w:val="left"/>
        <w:textAlignment w:val="baseline"/>
        <w:rPr>
          <w:rFonts w:ascii="Open Sans" w:hAnsi="Open Sans" w:cs="Open Sans"/>
          <w:szCs w:val="22"/>
          <w:lang w:eastAsia="en-GB"/>
        </w:rPr>
      </w:pPr>
      <w:r w:rsidRPr="00796FAF">
        <w:rPr>
          <w:rFonts w:ascii="Open Sans" w:hAnsi="Open Sans" w:cs="Open Sans"/>
          <w:szCs w:val="22"/>
          <w:lang w:eastAsia="en-GB"/>
        </w:rPr>
        <w:t>Another important point raised by members is that the review should not be based on a mechanism in regulations. The degression mechanism has shown that this has</w:t>
      </w:r>
      <w:r>
        <w:rPr>
          <w:rFonts w:ascii="Open Sans" w:hAnsi="Open Sans" w:cs="Open Sans"/>
          <w:szCs w:val="22"/>
          <w:lang w:eastAsia="en-GB"/>
        </w:rPr>
        <w:t xml:space="preserve"> not</w:t>
      </w:r>
      <w:r w:rsidRPr="00796FAF">
        <w:rPr>
          <w:rFonts w:ascii="Open Sans" w:hAnsi="Open Sans" w:cs="Open Sans"/>
          <w:szCs w:val="22"/>
          <w:lang w:eastAsia="en-GB"/>
        </w:rPr>
        <w:t xml:space="preserve"> worked</w:t>
      </w:r>
      <w:r>
        <w:rPr>
          <w:rFonts w:ascii="Open Sans" w:hAnsi="Open Sans" w:cs="Open Sans"/>
          <w:szCs w:val="22"/>
          <w:lang w:eastAsia="en-GB"/>
        </w:rPr>
        <w:t>, and biomethane tariff levels have effectively had to be managed via reviews.</w:t>
      </w:r>
      <w:r w:rsidRPr="00796FAF">
        <w:rPr>
          <w:rFonts w:ascii="Open Sans" w:hAnsi="Open Sans" w:cs="Open Sans"/>
          <w:szCs w:val="22"/>
          <w:lang w:eastAsia="en-GB"/>
        </w:rPr>
        <w:t xml:space="preserve"> </w:t>
      </w:r>
      <w:r>
        <w:rPr>
          <w:rFonts w:ascii="Open Sans" w:hAnsi="Open Sans" w:cs="Open Sans"/>
          <w:szCs w:val="22"/>
          <w:lang w:eastAsia="en-GB"/>
        </w:rPr>
        <w:t>I</w:t>
      </w:r>
      <w:r w:rsidRPr="00796FAF">
        <w:rPr>
          <w:rFonts w:ascii="Open Sans" w:hAnsi="Open Sans" w:cs="Open Sans"/>
          <w:szCs w:val="22"/>
          <w:lang w:eastAsia="en-GB"/>
        </w:rPr>
        <w:t>t would be difficult to write rules on this until we see what changes are needed</w:t>
      </w:r>
      <w:r>
        <w:rPr>
          <w:rFonts w:ascii="Open Sans" w:hAnsi="Open Sans" w:cs="Open Sans"/>
          <w:szCs w:val="22"/>
          <w:lang w:eastAsia="en-GB"/>
        </w:rPr>
        <w:t xml:space="preserve"> and market response to the new policy (and the interaction with changes to food waste collections in England to be introduced by Defra)</w:t>
      </w:r>
      <w:r w:rsidRPr="00796FAF">
        <w:rPr>
          <w:rFonts w:ascii="Open Sans" w:hAnsi="Open Sans" w:cs="Open Sans"/>
          <w:szCs w:val="22"/>
          <w:lang w:eastAsia="en-GB"/>
        </w:rPr>
        <w:t xml:space="preserve">. We strongly recommend this should be a value judgement based on emerging picture as seen by BEIS. </w:t>
      </w:r>
    </w:p>
    <w:p w14:paraId="6D1B1F58" w14:textId="77777777" w:rsidR="00C85944" w:rsidRPr="005365EE" w:rsidRDefault="00C85944" w:rsidP="00C85944">
      <w:pPr>
        <w:spacing w:before="120" w:after="120"/>
        <w:jc w:val="left"/>
        <w:textAlignment w:val="baseline"/>
        <w:rPr>
          <w:rFonts w:ascii="Open Sans" w:hAnsi="Open Sans" w:cs="Open Sans"/>
          <w:szCs w:val="22"/>
          <w:lang w:eastAsia="en-GB"/>
        </w:rPr>
      </w:pPr>
      <w:r w:rsidRPr="005365EE">
        <w:rPr>
          <w:rFonts w:ascii="Open Sans" w:hAnsi="Open Sans" w:cs="Open Sans"/>
          <w:szCs w:val="22"/>
          <w:lang w:eastAsia="en-GB"/>
        </w:rPr>
        <w:t>As for the proposal on requesting more detailed information, we agree that it is important accurate information on costs is collated by BEIS to support a review of the tariffs, however the following concerned have been raised by members:</w:t>
      </w:r>
    </w:p>
    <w:p w14:paraId="448E6A2E" w14:textId="77777777" w:rsidR="00C85944" w:rsidRPr="005365EE" w:rsidRDefault="00C85944" w:rsidP="00C85944">
      <w:pPr>
        <w:pStyle w:val="ListParagraph"/>
        <w:numPr>
          <w:ilvl w:val="0"/>
          <w:numId w:val="17"/>
        </w:numPr>
        <w:spacing w:before="120" w:after="120"/>
        <w:ind w:left="426" w:hanging="426"/>
        <w:contextualSpacing w:val="0"/>
        <w:jc w:val="left"/>
        <w:textAlignment w:val="baseline"/>
        <w:rPr>
          <w:rFonts w:ascii="Open Sans" w:hAnsi="Open Sans" w:cs="Open Sans"/>
          <w:szCs w:val="22"/>
          <w:lang w:eastAsia="en-GB"/>
        </w:rPr>
      </w:pPr>
      <w:r w:rsidRPr="005365EE">
        <w:rPr>
          <w:rFonts w:ascii="Open Sans" w:hAnsi="Open Sans" w:cs="Open Sans"/>
          <w:szCs w:val="22"/>
          <w:lang w:eastAsia="en-GB"/>
        </w:rPr>
        <w:t xml:space="preserve">There is no consistency between models/ developers / funders on how these items are calculated. </w:t>
      </w:r>
    </w:p>
    <w:p w14:paraId="268C4041" w14:textId="77777777" w:rsidR="00C85944" w:rsidRPr="005365EE" w:rsidRDefault="00C85944" w:rsidP="00C85944">
      <w:pPr>
        <w:pStyle w:val="ListParagraph"/>
        <w:numPr>
          <w:ilvl w:val="0"/>
          <w:numId w:val="17"/>
        </w:numPr>
        <w:spacing w:before="120" w:after="120"/>
        <w:ind w:left="426" w:hanging="426"/>
        <w:contextualSpacing w:val="0"/>
        <w:jc w:val="left"/>
        <w:textAlignment w:val="baseline"/>
        <w:rPr>
          <w:rFonts w:ascii="Open Sans" w:hAnsi="Open Sans" w:cs="Open Sans"/>
          <w:szCs w:val="22"/>
          <w:lang w:eastAsia="en-GB"/>
        </w:rPr>
      </w:pPr>
      <w:r w:rsidRPr="005365EE">
        <w:rPr>
          <w:rFonts w:ascii="Open Sans" w:hAnsi="Open Sans" w:cs="Open Sans"/>
          <w:szCs w:val="22"/>
          <w:lang w:eastAsia="en-GB"/>
        </w:rPr>
        <w:t xml:space="preserve">Simple ‘line items’ don’t exist – the way these are scoped and processed will usually vary. The risk is that if the information may be too detailed and therefore requires significant time to provide, or too high level / generic which may result in data that are not better than what is already available to BEIS. </w:t>
      </w:r>
    </w:p>
    <w:p w14:paraId="6D89B369" w14:textId="77777777" w:rsidR="00C85944" w:rsidRPr="005365EE" w:rsidRDefault="00C85944" w:rsidP="00C85944">
      <w:pPr>
        <w:pStyle w:val="ListParagraph"/>
        <w:numPr>
          <w:ilvl w:val="0"/>
          <w:numId w:val="17"/>
        </w:numPr>
        <w:spacing w:before="120" w:after="120"/>
        <w:ind w:left="426" w:hanging="426"/>
        <w:contextualSpacing w:val="0"/>
        <w:jc w:val="left"/>
        <w:textAlignment w:val="baseline"/>
        <w:rPr>
          <w:rFonts w:ascii="Open Sans" w:hAnsi="Open Sans" w:cs="Open Sans"/>
          <w:szCs w:val="22"/>
          <w:lang w:eastAsia="en-GB"/>
        </w:rPr>
      </w:pPr>
      <w:r w:rsidRPr="005365EE">
        <w:rPr>
          <w:rFonts w:ascii="Open Sans" w:hAnsi="Open Sans" w:cs="Open Sans"/>
          <w:szCs w:val="22"/>
          <w:lang w:eastAsia="en-GB"/>
        </w:rPr>
        <w:t xml:space="preserve">There is a concern that if this is done through Ofgem (ie requested at each application and then annually thereafter) it will result in additional administrative burden or delay for payments. Members would definitely prefer if this was a request from information from BEIS as opposed to Ofgem, to ensure it does not give Ofgem grounds for questioning or raising queries about costs and even enforcement actions if data was slightly inconsistent. </w:t>
      </w:r>
    </w:p>
    <w:p w14:paraId="56B4AD04" w14:textId="77777777" w:rsidR="00C85944" w:rsidRPr="005365EE" w:rsidRDefault="00C85944" w:rsidP="00C85944">
      <w:pPr>
        <w:pStyle w:val="ListParagraph"/>
        <w:numPr>
          <w:ilvl w:val="0"/>
          <w:numId w:val="17"/>
        </w:numPr>
        <w:spacing w:before="120" w:after="120"/>
        <w:ind w:left="426" w:hanging="426"/>
        <w:contextualSpacing w:val="0"/>
        <w:jc w:val="left"/>
        <w:textAlignment w:val="baseline"/>
        <w:rPr>
          <w:rFonts w:ascii="Open Sans" w:hAnsi="Open Sans" w:cs="Open Sans"/>
          <w:szCs w:val="22"/>
          <w:lang w:eastAsia="en-GB"/>
        </w:rPr>
      </w:pPr>
      <w:r w:rsidRPr="005365EE">
        <w:rPr>
          <w:rFonts w:ascii="Open Sans" w:hAnsi="Open Sans" w:cs="Open Sans"/>
          <w:szCs w:val="22"/>
          <w:lang w:eastAsia="en-GB"/>
        </w:rPr>
        <w:t xml:space="preserve">Some members have highlighted that collating costs will certainly be positive to ensure policy can respond to changes in the cost base and can help target policies to drive cost reductions in areas where this is possible and would have the highest impact. </w:t>
      </w:r>
    </w:p>
    <w:p w14:paraId="6C5E659E" w14:textId="77777777" w:rsidR="00C85944" w:rsidRPr="005365EE" w:rsidRDefault="00C85944" w:rsidP="00C85944">
      <w:pPr>
        <w:pStyle w:val="ListParagraph"/>
        <w:numPr>
          <w:ilvl w:val="0"/>
          <w:numId w:val="17"/>
        </w:numPr>
        <w:spacing w:before="120" w:after="120"/>
        <w:ind w:left="426" w:hanging="426"/>
        <w:contextualSpacing w:val="0"/>
        <w:jc w:val="left"/>
        <w:textAlignment w:val="baseline"/>
        <w:rPr>
          <w:rFonts w:ascii="Open Sans" w:hAnsi="Open Sans" w:cs="Open Sans"/>
          <w:szCs w:val="22"/>
          <w:lang w:eastAsia="en-GB"/>
        </w:rPr>
      </w:pPr>
      <w:r w:rsidRPr="005365EE">
        <w:rPr>
          <w:rFonts w:ascii="Open Sans" w:hAnsi="Open Sans" w:cs="Open Sans"/>
          <w:szCs w:val="22"/>
          <w:lang w:eastAsia="en-GB"/>
        </w:rPr>
        <w:t>There are consultancy companies out there (e.g. those that carry due diligence) that can use and interpret this data correctly. Key is to obtain meaningful information but also to ensure this is used and interpreted in a meaningful way and that it does not become another administrative issue.</w:t>
      </w:r>
    </w:p>
    <w:p w14:paraId="7C6D3F34" w14:textId="77777777" w:rsidR="00C85944" w:rsidRPr="005365EE" w:rsidRDefault="00C85944" w:rsidP="00C85944">
      <w:pPr>
        <w:pStyle w:val="ListParagraph"/>
        <w:numPr>
          <w:ilvl w:val="0"/>
          <w:numId w:val="17"/>
        </w:numPr>
        <w:spacing w:before="120" w:after="120"/>
        <w:ind w:left="426" w:hanging="426"/>
        <w:contextualSpacing w:val="0"/>
        <w:jc w:val="left"/>
        <w:textAlignment w:val="baseline"/>
        <w:rPr>
          <w:rFonts w:ascii="Open Sans" w:hAnsi="Open Sans" w:cs="Open Sans"/>
          <w:szCs w:val="22"/>
          <w:lang w:eastAsia="en-GB"/>
        </w:rPr>
      </w:pPr>
      <w:r w:rsidRPr="005365EE">
        <w:rPr>
          <w:rFonts w:ascii="Open Sans" w:hAnsi="Open Sans" w:cs="Open Sans"/>
          <w:szCs w:val="22"/>
          <w:lang w:eastAsia="en-GB"/>
        </w:rPr>
        <w:lastRenderedPageBreak/>
        <w:t xml:space="preserve">In light of the above, it may be more useful for BEIS to select a representative sample of plants (e.g. 10 biomethane plants) and assess their costs in detail rather than having this as part of an administrative process resulting in lots of poor quality data. </w:t>
      </w:r>
    </w:p>
    <w:p w14:paraId="21B8F817" w14:textId="68BDD052" w:rsidR="001254C5" w:rsidRPr="001254C5" w:rsidRDefault="00C85944" w:rsidP="001254C5">
      <w:pPr>
        <w:spacing w:after="160" w:line="259" w:lineRule="auto"/>
        <w:jc w:val="left"/>
        <w:rPr>
          <w:rFonts w:ascii="Open Sans" w:hAnsi="Open Sans" w:cs="Open Sans"/>
          <w:b/>
          <w:bCs/>
          <w:i/>
          <w:iCs/>
          <w:color w:val="2F5496"/>
          <w:szCs w:val="22"/>
        </w:rPr>
      </w:pPr>
      <w:r w:rsidRPr="001254C5">
        <w:rPr>
          <w:rFonts w:ascii="Open Sans" w:hAnsi="Open Sans" w:cs="Open Sans"/>
          <w:b/>
          <w:bCs/>
          <w:i/>
          <w:iCs/>
          <w:color w:val="2F5496"/>
          <w:szCs w:val="22"/>
        </w:rPr>
        <w:t>Con</w:t>
      </w:r>
      <w:r w:rsidR="001254C5" w:rsidRPr="001254C5">
        <w:rPr>
          <w:rFonts w:ascii="Open Sans" w:hAnsi="Open Sans" w:cs="Open Sans"/>
          <w:b/>
          <w:bCs/>
          <w:i/>
          <w:iCs/>
          <w:color w:val="2F5496"/>
          <w:szCs w:val="22"/>
        </w:rPr>
        <w:t>sultation Question 7 - Do you have further suggestions, beyond those mentioned in this consultation, which would help the Green Gas Support Scheme to deliver the best possible value for money? Please provide evidence to support your response.</w:t>
      </w:r>
    </w:p>
    <w:p w14:paraId="1CF6D503" w14:textId="77777777" w:rsidR="001254C5" w:rsidRPr="00E72926" w:rsidRDefault="001254C5" w:rsidP="001254C5">
      <w:pPr>
        <w:spacing w:before="120" w:after="120"/>
        <w:outlineLvl w:val="2"/>
        <w:rPr>
          <w:rFonts w:ascii="Open Sans" w:hAnsi="Open Sans" w:cs="Open Sans"/>
          <w:szCs w:val="22"/>
          <w:u w:val="single"/>
          <w:lang w:eastAsia="en-GB"/>
        </w:rPr>
      </w:pPr>
      <w:r w:rsidRPr="00E72926">
        <w:rPr>
          <w:rFonts w:ascii="Open Sans" w:hAnsi="Open Sans" w:cs="Open Sans"/>
          <w:szCs w:val="22"/>
          <w:u w:val="single"/>
          <w:lang w:eastAsia="en-GB"/>
        </w:rPr>
        <w:t>Reducing risks</w:t>
      </w:r>
    </w:p>
    <w:p w14:paraId="44568AF0" w14:textId="77777777" w:rsidR="001254C5" w:rsidRPr="005365EE" w:rsidRDefault="001254C5" w:rsidP="001254C5">
      <w:pPr>
        <w:spacing w:before="120" w:after="120"/>
        <w:outlineLvl w:val="2"/>
        <w:rPr>
          <w:rFonts w:ascii="Open Sans" w:hAnsi="Open Sans" w:cs="Open Sans"/>
          <w:szCs w:val="22"/>
          <w:lang w:eastAsia="en-GB"/>
        </w:rPr>
      </w:pPr>
      <w:r w:rsidRPr="005365EE">
        <w:rPr>
          <w:rFonts w:ascii="Open Sans" w:hAnsi="Open Sans" w:cs="Open Sans"/>
          <w:szCs w:val="22"/>
          <w:lang w:eastAsia="en-GB"/>
        </w:rPr>
        <w:t>BEIS should remove the risk that BEIS policy or Ofgem’s processes have any influence over the following:</w:t>
      </w:r>
    </w:p>
    <w:p w14:paraId="471CF187" w14:textId="77777777" w:rsidR="001254C5" w:rsidRPr="005365EE" w:rsidRDefault="001254C5" w:rsidP="001254C5">
      <w:pPr>
        <w:pStyle w:val="ListParagraph"/>
        <w:numPr>
          <w:ilvl w:val="0"/>
          <w:numId w:val="18"/>
        </w:numPr>
        <w:ind w:left="284" w:hanging="284"/>
        <w:contextualSpacing w:val="0"/>
        <w:outlineLvl w:val="2"/>
        <w:rPr>
          <w:rFonts w:ascii="Open Sans" w:hAnsi="Open Sans" w:cs="Open Sans"/>
          <w:szCs w:val="22"/>
          <w:lang w:eastAsia="en-GB"/>
        </w:rPr>
      </w:pPr>
      <w:r w:rsidRPr="005365EE">
        <w:rPr>
          <w:rFonts w:ascii="Open Sans" w:hAnsi="Open Sans" w:cs="Open Sans"/>
          <w:szCs w:val="22"/>
          <w:lang w:eastAsia="en-GB"/>
        </w:rPr>
        <w:t xml:space="preserve">developers driven to unrealistically tight construction/commissioning timelines due to risk of lower (or zero) support </w:t>
      </w:r>
    </w:p>
    <w:p w14:paraId="3C6AA7CD" w14:textId="77777777" w:rsidR="001254C5" w:rsidRPr="005365EE" w:rsidRDefault="001254C5" w:rsidP="001254C5">
      <w:pPr>
        <w:pStyle w:val="ListParagraph"/>
        <w:numPr>
          <w:ilvl w:val="0"/>
          <w:numId w:val="18"/>
        </w:numPr>
        <w:ind w:left="284" w:hanging="284"/>
        <w:contextualSpacing w:val="0"/>
        <w:outlineLvl w:val="2"/>
        <w:rPr>
          <w:rFonts w:ascii="Open Sans" w:hAnsi="Open Sans" w:cs="Open Sans"/>
          <w:szCs w:val="22"/>
          <w:lang w:eastAsia="en-GB"/>
        </w:rPr>
      </w:pPr>
      <w:r w:rsidRPr="005365EE">
        <w:rPr>
          <w:rFonts w:ascii="Open Sans" w:hAnsi="Open Sans" w:cs="Open Sans"/>
          <w:szCs w:val="22"/>
          <w:lang w:eastAsia="en-GB"/>
        </w:rPr>
        <w:t xml:space="preserve">risk of rules changing in between funding project and securing the tariff (tariff guarantees do not offer protection on this) </w:t>
      </w:r>
    </w:p>
    <w:p w14:paraId="62B4428E" w14:textId="77777777" w:rsidR="001254C5" w:rsidRPr="005365EE" w:rsidRDefault="001254C5" w:rsidP="001254C5">
      <w:pPr>
        <w:pStyle w:val="ListParagraph"/>
        <w:numPr>
          <w:ilvl w:val="0"/>
          <w:numId w:val="18"/>
        </w:numPr>
        <w:ind w:left="284" w:hanging="284"/>
        <w:contextualSpacing w:val="0"/>
        <w:outlineLvl w:val="2"/>
        <w:rPr>
          <w:rFonts w:ascii="Open Sans" w:hAnsi="Open Sans" w:cs="Open Sans"/>
          <w:szCs w:val="22"/>
          <w:lang w:eastAsia="en-GB"/>
        </w:rPr>
      </w:pPr>
      <w:r w:rsidRPr="005365EE">
        <w:rPr>
          <w:rFonts w:ascii="Open Sans" w:hAnsi="Open Sans" w:cs="Open Sans"/>
          <w:szCs w:val="22"/>
          <w:lang w:eastAsia="en-GB"/>
        </w:rPr>
        <w:t>risk that Ofgem will interpret rules differently to how the developer interpreted them</w:t>
      </w:r>
      <w:r>
        <w:rPr>
          <w:rFonts w:ascii="Open Sans" w:hAnsi="Open Sans" w:cs="Open Sans"/>
          <w:szCs w:val="22"/>
          <w:lang w:eastAsia="en-GB"/>
        </w:rPr>
        <w:t xml:space="preserve"> (see also our response to question 8 re commissioning definition).</w:t>
      </w:r>
    </w:p>
    <w:p w14:paraId="386A2EAF" w14:textId="77777777" w:rsidR="001254C5" w:rsidRPr="005365EE" w:rsidRDefault="001254C5" w:rsidP="001254C5">
      <w:pPr>
        <w:pStyle w:val="ListParagraph"/>
        <w:numPr>
          <w:ilvl w:val="0"/>
          <w:numId w:val="18"/>
        </w:numPr>
        <w:ind w:left="284" w:hanging="284"/>
        <w:contextualSpacing w:val="0"/>
        <w:outlineLvl w:val="2"/>
        <w:rPr>
          <w:rFonts w:ascii="Open Sans" w:hAnsi="Open Sans" w:cs="Open Sans"/>
          <w:szCs w:val="22"/>
          <w:lang w:eastAsia="en-GB"/>
        </w:rPr>
      </w:pPr>
      <w:r w:rsidRPr="005365EE">
        <w:rPr>
          <w:rFonts w:ascii="Open Sans" w:hAnsi="Open Sans" w:cs="Open Sans"/>
          <w:szCs w:val="22"/>
          <w:lang w:eastAsia="en-GB"/>
        </w:rPr>
        <w:t xml:space="preserve">risk that Ofgem's previous interpretation was correctly understood but Ofgem have then changed interpretation </w:t>
      </w:r>
      <w:r>
        <w:rPr>
          <w:rFonts w:ascii="Open Sans" w:hAnsi="Open Sans" w:cs="Open Sans"/>
          <w:szCs w:val="22"/>
          <w:lang w:eastAsia="en-GB"/>
        </w:rPr>
        <w:t xml:space="preserve">(see also our response to question 8 re commissioning definition). </w:t>
      </w:r>
    </w:p>
    <w:p w14:paraId="5C8DB508" w14:textId="77777777" w:rsidR="001254C5" w:rsidRPr="005365EE" w:rsidRDefault="001254C5" w:rsidP="001254C5">
      <w:pPr>
        <w:spacing w:before="120" w:after="120"/>
        <w:outlineLvl w:val="2"/>
        <w:rPr>
          <w:rFonts w:ascii="Open Sans" w:hAnsi="Open Sans" w:cs="Open Sans"/>
          <w:szCs w:val="22"/>
          <w:lang w:eastAsia="en-GB"/>
        </w:rPr>
      </w:pPr>
      <w:r w:rsidRPr="005365EE">
        <w:rPr>
          <w:rFonts w:ascii="Open Sans" w:hAnsi="Open Sans" w:cs="Open Sans"/>
          <w:szCs w:val="22"/>
          <w:lang w:eastAsia="en-GB"/>
        </w:rPr>
        <w:t>Also, as already highlighted below, it is paramount that the policy is not limited to green field only but also encourage expansions from existing plants, which would be in some cases more cost effective than building new plants and realise the same benefits.</w:t>
      </w:r>
    </w:p>
    <w:p w14:paraId="4366DC5B" w14:textId="77777777" w:rsidR="001254C5" w:rsidRPr="00E72926" w:rsidRDefault="001254C5" w:rsidP="001254C5">
      <w:pPr>
        <w:spacing w:before="120" w:after="120"/>
        <w:outlineLvl w:val="2"/>
        <w:rPr>
          <w:rFonts w:ascii="Open Sans" w:hAnsi="Open Sans" w:cs="Open Sans"/>
          <w:szCs w:val="22"/>
          <w:u w:val="single"/>
          <w:lang w:eastAsia="en-GB"/>
        </w:rPr>
      </w:pPr>
      <w:r w:rsidRPr="00E72926">
        <w:rPr>
          <w:rFonts w:ascii="Open Sans" w:hAnsi="Open Sans" w:cs="Open Sans"/>
          <w:szCs w:val="22"/>
          <w:u w:val="single"/>
          <w:lang w:eastAsia="en-GB"/>
        </w:rPr>
        <w:t xml:space="preserve">Incentivise GHG emission savings </w:t>
      </w:r>
    </w:p>
    <w:p w14:paraId="5C2070D7" w14:textId="77777777" w:rsidR="001254C5" w:rsidRPr="005365EE" w:rsidRDefault="001254C5" w:rsidP="001254C5">
      <w:pPr>
        <w:spacing w:before="120" w:after="120"/>
        <w:outlineLvl w:val="2"/>
        <w:rPr>
          <w:rFonts w:ascii="Open Sans" w:hAnsi="Open Sans" w:cs="Open Sans"/>
          <w:szCs w:val="22"/>
          <w:lang w:eastAsia="en-GB"/>
        </w:rPr>
      </w:pPr>
      <w:r w:rsidRPr="005365EE">
        <w:rPr>
          <w:rFonts w:ascii="Open Sans" w:hAnsi="Open Sans" w:cs="Open Sans"/>
          <w:szCs w:val="22"/>
          <w:lang w:eastAsia="en-GB"/>
        </w:rPr>
        <w:t xml:space="preserve">Some members have also suggested it would be useful to incorporate a policy mechanism or incentive within the Green Gas Support Scheme to encourage the largest GHG emission savings from AD plants. For example, there are technologies available that can minimise methane slip from AD plants, however the cost of these technologies is currently a barrier to their uptake. If there was a financial ‘bonus’ or ‘premium’ on the top of the basic support level, this could act as an incentive and drive developers to employ these technologies.  </w:t>
      </w:r>
    </w:p>
    <w:p w14:paraId="6395C384" w14:textId="77777777" w:rsidR="001254C5" w:rsidRPr="005365EE" w:rsidRDefault="001254C5" w:rsidP="001254C5">
      <w:pPr>
        <w:spacing w:before="120" w:after="120"/>
        <w:outlineLvl w:val="2"/>
        <w:rPr>
          <w:rFonts w:ascii="Open Sans" w:hAnsi="Open Sans" w:cs="Open Sans"/>
          <w:szCs w:val="22"/>
          <w:lang w:eastAsia="en-GB"/>
        </w:rPr>
      </w:pPr>
      <w:r w:rsidRPr="005365EE">
        <w:rPr>
          <w:rFonts w:ascii="Open Sans" w:hAnsi="Open Sans" w:cs="Open Sans"/>
          <w:szCs w:val="22"/>
          <w:lang w:eastAsia="en-GB"/>
        </w:rPr>
        <w:t xml:space="preserve">This is in line with our </w:t>
      </w:r>
      <w:hyperlink r:id="rId25" w:history="1">
        <w:r w:rsidRPr="005365EE">
          <w:rPr>
            <w:rStyle w:val="Hyperlink"/>
            <w:rFonts w:ascii="Open Sans" w:hAnsi="Open Sans" w:cs="Open Sans"/>
            <w:szCs w:val="22"/>
            <w:lang w:eastAsia="en-GB"/>
          </w:rPr>
          <w:t>position</w:t>
        </w:r>
      </w:hyperlink>
      <w:r w:rsidRPr="005365EE">
        <w:rPr>
          <w:rFonts w:ascii="Open Sans" w:hAnsi="Open Sans" w:cs="Open Sans"/>
          <w:szCs w:val="22"/>
          <w:lang w:eastAsia="en-GB"/>
        </w:rPr>
        <w:t xml:space="preserve"> on a future support mechanism for green gas, where we advocated a support mechanism to encourage technologies and gases with the lowest carbon profile, in line with Government’s commitment to net zero by 2050. </w:t>
      </w:r>
    </w:p>
    <w:p w14:paraId="037A8FE0" w14:textId="77777777" w:rsidR="001254C5" w:rsidRDefault="001254C5" w:rsidP="001254C5">
      <w:pPr>
        <w:spacing w:before="120" w:after="120"/>
        <w:outlineLvl w:val="2"/>
        <w:rPr>
          <w:rFonts w:ascii="Open Sans" w:hAnsi="Open Sans" w:cs="Open Sans"/>
          <w:szCs w:val="22"/>
          <w:lang w:eastAsia="en-GB"/>
        </w:rPr>
      </w:pPr>
      <w:r w:rsidRPr="005365EE">
        <w:rPr>
          <w:rFonts w:ascii="Open Sans" w:hAnsi="Open Sans" w:cs="Open Sans"/>
          <w:szCs w:val="22"/>
          <w:lang w:eastAsia="en-GB"/>
        </w:rPr>
        <w:t>Similarly, it would be beneficial to incorporate a policy mechanism to support market demand for co-products of AD, such as digestate and CO</w:t>
      </w:r>
      <w:r w:rsidRPr="005365EE">
        <w:rPr>
          <w:rFonts w:ascii="Open Sans" w:hAnsi="Open Sans" w:cs="Open Sans"/>
          <w:szCs w:val="22"/>
          <w:vertAlign w:val="subscript"/>
          <w:lang w:eastAsia="en-GB"/>
        </w:rPr>
        <w:t>2</w:t>
      </w:r>
      <w:r w:rsidRPr="005365EE">
        <w:rPr>
          <w:rFonts w:ascii="Open Sans" w:hAnsi="Open Sans" w:cs="Open Sans"/>
          <w:szCs w:val="22"/>
          <w:lang w:eastAsia="en-GB"/>
        </w:rPr>
        <w:t xml:space="preserve">, and drives best practice, encourage innovation, and recognises the wider benefits of green gas. </w:t>
      </w:r>
    </w:p>
    <w:p w14:paraId="0FEE2D97" w14:textId="77777777" w:rsidR="001254C5" w:rsidRPr="00E72926" w:rsidRDefault="001254C5" w:rsidP="001254C5">
      <w:pPr>
        <w:spacing w:before="120" w:after="120"/>
        <w:outlineLvl w:val="2"/>
        <w:rPr>
          <w:rFonts w:ascii="Open Sans" w:hAnsi="Open Sans" w:cs="Open Sans"/>
          <w:szCs w:val="22"/>
          <w:u w:val="single"/>
          <w:lang w:eastAsia="en-GB"/>
        </w:rPr>
      </w:pPr>
      <w:r w:rsidRPr="00E72926">
        <w:rPr>
          <w:rFonts w:ascii="Open Sans" w:hAnsi="Open Sans" w:cs="Open Sans"/>
          <w:szCs w:val="22"/>
          <w:u w:val="single"/>
          <w:lang w:eastAsia="en-GB"/>
        </w:rPr>
        <w:t xml:space="preserve">Encourage gas networks to be more flexible on capacity </w:t>
      </w:r>
    </w:p>
    <w:p w14:paraId="3F57A996" w14:textId="77777777" w:rsidR="001254C5" w:rsidRDefault="001254C5" w:rsidP="001254C5">
      <w:pPr>
        <w:spacing w:before="120" w:after="120"/>
        <w:rPr>
          <w:rFonts w:ascii="Open Sans" w:hAnsi="Open Sans" w:cs="Open Sans"/>
          <w:lang w:eastAsia="en-GB"/>
        </w:rPr>
      </w:pPr>
      <w:r>
        <w:rPr>
          <w:rFonts w:ascii="Open Sans" w:hAnsi="Open Sans" w:cs="Open Sans"/>
          <w:lang w:eastAsia="en-GB"/>
        </w:rPr>
        <w:t xml:space="preserve">The new scheme should also encourage the gas networks to be more flexible on how they make more capacity available to biomethane injection. Better monitoring of the network is required. Gas networks also need to encourage and facilitate use of in-grid compression to make more capacity available in the network. In-grid compression may have higher upfront capital costs, but operating costs are cheaper than other options. The networks should include this as an option in their connection offers as it is a cost effective way to make more capacity available. </w:t>
      </w:r>
    </w:p>
    <w:p w14:paraId="2111AE05" w14:textId="77777777" w:rsidR="001254C5" w:rsidRPr="00E72926" w:rsidRDefault="001254C5" w:rsidP="001254C5">
      <w:pPr>
        <w:spacing w:before="120" w:after="120"/>
        <w:rPr>
          <w:rFonts w:ascii="Open Sans" w:hAnsi="Open Sans" w:cs="Open Sans"/>
          <w:u w:val="single"/>
          <w:lang w:eastAsia="en-GB"/>
        </w:rPr>
      </w:pPr>
      <w:r w:rsidRPr="00E72926">
        <w:rPr>
          <w:rFonts w:ascii="Open Sans" w:hAnsi="Open Sans" w:cs="Open Sans"/>
          <w:u w:val="single"/>
          <w:lang w:eastAsia="en-GB"/>
        </w:rPr>
        <w:lastRenderedPageBreak/>
        <w:t>‘Hub-and-spokes’ model</w:t>
      </w:r>
    </w:p>
    <w:p w14:paraId="3E4DB714" w14:textId="77777777" w:rsidR="001254C5" w:rsidRPr="005365EE" w:rsidRDefault="001254C5" w:rsidP="001254C5">
      <w:pPr>
        <w:spacing w:before="120" w:after="120"/>
        <w:rPr>
          <w:rFonts w:ascii="Open Sans" w:hAnsi="Open Sans" w:cs="Open Sans"/>
          <w:lang w:eastAsia="en-GB"/>
        </w:rPr>
      </w:pPr>
      <w:r w:rsidRPr="005365EE">
        <w:rPr>
          <w:rFonts w:ascii="Open Sans" w:hAnsi="Open Sans" w:cs="Open Sans"/>
          <w:lang w:eastAsia="en-GB"/>
        </w:rPr>
        <w:t xml:space="preserve">The new scheme should ensure the ‘hub-and-spokes’ model, along the lines of that in place at the SGN’s Portsdown Hill Gas Injection Facility, is allowed and facilitated, as this this could unlock the potential for several on-farm AD sites that are not in close proximity to the gas network, to upgrade biogas to biomethane and inject the green gas through a centralised gas injection point.  </w:t>
      </w:r>
    </w:p>
    <w:p w14:paraId="46755C1F" w14:textId="77777777" w:rsidR="001254C5" w:rsidRPr="005365EE" w:rsidRDefault="001254C5" w:rsidP="001254C5">
      <w:pPr>
        <w:spacing w:before="120" w:after="120"/>
        <w:rPr>
          <w:rFonts w:ascii="Open Sans" w:hAnsi="Open Sans" w:cs="Open Sans"/>
          <w:lang w:eastAsia="en-GB"/>
        </w:rPr>
      </w:pPr>
      <w:r w:rsidRPr="005365EE">
        <w:rPr>
          <w:rFonts w:ascii="Open Sans" w:hAnsi="Open Sans" w:cs="Open Sans"/>
          <w:lang w:eastAsia="en-GB"/>
        </w:rPr>
        <w:t xml:space="preserve">The Injection Hub concept, developed by SGN Commercial Services, was for a large volume centralised facility to serve multiple remote bio-methane production sites that are unable to inject gas locally due to unsuitable local capacity. The way it works is described in detail </w:t>
      </w:r>
      <w:hyperlink r:id="rId26" w:history="1">
        <w:r w:rsidRPr="005365EE">
          <w:rPr>
            <w:rStyle w:val="Hyperlink"/>
            <w:rFonts w:ascii="Open Sans" w:hAnsi="Open Sans" w:cs="Open Sans"/>
            <w:lang w:eastAsia="en-GB"/>
          </w:rPr>
          <w:t>here</w:t>
        </w:r>
      </w:hyperlink>
      <w:r w:rsidRPr="005365EE">
        <w:rPr>
          <w:rFonts w:ascii="Open Sans" w:hAnsi="Open Sans" w:cs="Open Sans"/>
          <w:lang w:eastAsia="en-GB"/>
        </w:rPr>
        <w:t xml:space="preserve">. </w:t>
      </w:r>
    </w:p>
    <w:p w14:paraId="1F5BF3A5" w14:textId="77777777" w:rsidR="001254C5" w:rsidRPr="005365EE" w:rsidRDefault="001254C5" w:rsidP="001254C5">
      <w:pPr>
        <w:spacing w:before="120" w:after="120"/>
        <w:rPr>
          <w:rFonts w:ascii="Open Sans" w:hAnsi="Open Sans" w:cs="Open Sans"/>
          <w:lang w:eastAsia="en-GB"/>
        </w:rPr>
      </w:pPr>
      <w:r w:rsidRPr="005365EE">
        <w:rPr>
          <w:rFonts w:ascii="Open Sans" w:hAnsi="Open Sans" w:cs="Open Sans"/>
          <w:lang w:eastAsia="en-GB"/>
        </w:rPr>
        <w:t xml:space="preserve">Centralised gas injection could help spread the costs of connection across a several sites, making it more affordable. There is also potential for small AD sites to centralised other pieces of equipment, such as biogas upgrade equipment. </w:t>
      </w:r>
    </w:p>
    <w:p w14:paraId="259EC760" w14:textId="77777777" w:rsidR="001254C5" w:rsidRPr="005365EE" w:rsidRDefault="001254C5" w:rsidP="001254C5">
      <w:pPr>
        <w:spacing w:before="120" w:after="120"/>
        <w:rPr>
          <w:rFonts w:ascii="Open Sans" w:hAnsi="Open Sans" w:cs="Open Sans"/>
          <w:lang w:eastAsia="en-GB"/>
        </w:rPr>
      </w:pPr>
      <w:r w:rsidRPr="005365EE">
        <w:rPr>
          <w:rFonts w:ascii="Open Sans" w:hAnsi="Open Sans" w:cs="Open Sans"/>
          <w:lang w:eastAsia="en-GB"/>
        </w:rPr>
        <w:t>Third party hubs an important option for projects with a capacity issue, however there are constraints within the current RHI regulations around multiple plants connecting to a single injection point. Any future regulations need to be reflective that having multiple production sources supplying to a common injection point where there is capacity can be the most cost effective method of encouraging investment in smaller spot production sources, particularly in the rural economy.  Each of these are individual investments and should be classed as individual RHI applications, even where gas enters networks at a common point.</w:t>
      </w:r>
    </w:p>
    <w:p w14:paraId="3C9A1D9F" w14:textId="77777777" w:rsidR="001254C5" w:rsidRPr="001254C5" w:rsidRDefault="001254C5" w:rsidP="001254C5">
      <w:pPr>
        <w:spacing w:after="160" w:line="259" w:lineRule="auto"/>
        <w:jc w:val="left"/>
        <w:rPr>
          <w:rFonts w:ascii="Open Sans" w:hAnsi="Open Sans" w:cs="Open Sans"/>
          <w:b/>
          <w:bCs/>
          <w:i/>
          <w:iCs/>
          <w:color w:val="2F5496"/>
          <w:szCs w:val="22"/>
        </w:rPr>
      </w:pPr>
      <w:r w:rsidRPr="001254C5">
        <w:rPr>
          <w:rFonts w:ascii="Open Sans" w:hAnsi="Open Sans" w:cs="Open Sans"/>
          <w:b/>
          <w:bCs/>
          <w:i/>
          <w:iCs/>
          <w:color w:val="2F5496"/>
          <w:szCs w:val="22"/>
        </w:rPr>
        <w:t>Consultation Question 8 - Do you agree with the proposals for tariff guarantees for biomethane? Yes/No. How could this be improved? Please provide evidence to support your response.</w:t>
      </w:r>
    </w:p>
    <w:p w14:paraId="276D9AF5" w14:textId="77777777" w:rsidR="001254C5" w:rsidRDefault="001254C5" w:rsidP="001254C5">
      <w:pPr>
        <w:spacing w:before="120" w:after="120"/>
        <w:rPr>
          <w:rFonts w:ascii="Open Sans" w:hAnsi="Open Sans" w:cs="Open Sans"/>
          <w:szCs w:val="22"/>
          <w:lang w:eastAsia="en-GB"/>
        </w:rPr>
      </w:pPr>
      <w:r w:rsidRPr="005365EE">
        <w:rPr>
          <w:rFonts w:ascii="Open Sans" w:hAnsi="Open Sans" w:cs="Open Sans"/>
          <w:szCs w:val="22"/>
          <w:lang w:eastAsia="en-GB"/>
        </w:rPr>
        <w:t xml:space="preserve">Yes </w:t>
      </w:r>
    </w:p>
    <w:p w14:paraId="32DE653F" w14:textId="77777777" w:rsidR="001254C5" w:rsidRPr="002E7EEC" w:rsidRDefault="001254C5" w:rsidP="001254C5">
      <w:pPr>
        <w:spacing w:before="120" w:after="120"/>
        <w:rPr>
          <w:rFonts w:ascii="Open Sans" w:hAnsi="Open Sans" w:cs="Open Sans"/>
          <w:b/>
          <w:bCs/>
          <w:szCs w:val="22"/>
          <w:lang w:eastAsia="en-GB"/>
        </w:rPr>
      </w:pPr>
      <w:bookmarkStart w:id="25" w:name="_Hlk44426629"/>
      <w:r w:rsidRPr="002E7EEC">
        <w:rPr>
          <w:rFonts w:ascii="Open Sans" w:hAnsi="Open Sans" w:cs="Open Sans"/>
          <w:b/>
          <w:bCs/>
          <w:szCs w:val="22"/>
          <w:lang w:eastAsia="en-GB"/>
        </w:rPr>
        <w:t xml:space="preserve">BEIS’s intention to replicate tariff guarantees is seen as a positive step as it will continue to give developers/installers confidence of the tariff they will receive. </w:t>
      </w:r>
    </w:p>
    <w:bookmarkEnd w:id="25"/>
    <w:p w14:paraId="47AD40AD" w14:textId="6204F19E" w:rsidR="001254C5" w:rsidRDefault="001254C5" w:rsidP="001254C5">
      <w:pPr>
        <w:spacing w:before="120" w:after="120"/>
        <w:rPr>
          <w:rFonts w:ascii="Open Sans" w:hAnsi="Open Sans" w:cs="Open Sans"/>
          <w:szCs w:val="22"/>
          <w:lang w:eastAsia="en-GB"/>
        </w:rPr>
      </w:pPr>
      <w:r>
        <w:rPr>
          <w:rFonts w:ascii="Open Sans" w:hAnsi="Open Sans" w:cs="Open Sans"/>
          <w:szCs w:val="22"/>
          <w:lang w:eastAsia="en-GB"/>
        </w:rPr>
        <w:t>However,</w:t>
      </w:r>
      <w:r w:rsidRPr="005365EE">
        <w:rPr>
          <w:rFonts w:ascii="Open Sans" w:hAnsi="Open Sans" w:cs="Open Sans"/>
          <w:szCs w:val="22"/>
          <w:lang w:eastAsia="en-GB"/>
        </w:rPr>
        <w:t xml:space="preserve"> please see important considerations below. </w:t>
      </w:r>
    </w:p>
    <w:p w14:paraId="5C970C3B" w14:textId="77777777" w:rsidR="001254C5" w:rsidRPr="005365EE" w:rsidRDefault="001254C5" w:rsidP="001254C5">
      <w:pPr>
        <w:spacing w:before="120" w:after="120"/>
        <w:rPr>
          <w:rFonts w:ascii="Open Sans" w:hAnsi="Open Sans" w:cs="Open Sans"/>
          <w:szCs w:val="22"/>
          <w:u w:val="single"/>
        </w:rPr>
      </w:pPr>
      <w:r w:rsidRPr="005365EE">
        <w:rPr>
          <w:rFonts w:ascii="Open Sans" w:hAnsi="Open Sans" w:cs="Open Sans"/>
          <w:szCs w:val="22"/>
          <w:u w:val="single"/>
        </w:rPr>
        <w:t xml:space="preserve">Commissioning window </w:t>
      </w:r>
    </w:p>
    <w:p w14:paraId="52BB5B7F" w14:textId="77777777" w:rsidR="004D24E8" w:rsidRDefault="004D24E8" w:rsidP="004D24E8">
      <w:pPr>
        <w:spacing w:before="120"/>
        <w:rPr>
          <w:rFonts w:ascii="Open Sans" w:hAnsi="Open Sans" w:cs="Open Sans"/>
          <w:szCs w:val="22"/>
          <w:lang w:eastAsia="en-GB"/>
        </w:rPr>
      </w:pPr>
      <w:r w:rsidRPr="00680E47">
        <w:rPr>
          <w:rFonts w:ascii="Open Sans" w:hAnsi="Open Sans" w:cs="Open Sans"/>
          <w:b/>
          <w:bCs/>
          <w:szCs w:val="22"/>
        </w:rPr>
        <w:t xml:space="preserve">TG deadlines for a project should be set with sufficient time to enable plants to commission without rushing to meet deadlines. This could be done by introducing some flexibility or grace periods for specific delays, especially when these are outside the control of the developer. </w:t>
      </w:r>
      <w:r>
        <w:rPr>
          <w:rFonts w:ascii="Open Sans" w:hAnsi="Open Sans" w:cs="Open Sans"/>
          <w:szCs w:val="22"/>
          <w:lang w:eastAsia="en-GB"/>
        </w:rPr>
        <w:t xml:space="preserve">We understand that </w:t>
      </w:r>
      <w:hyperlink r:id="rId27" w:history="1">
        <w:r w:rsidRPr="00C63DF0">
          <w:rPr>
            <w:rStyle w:val="Hyperlink"/>
            <w:rFonts w:ascii="Open Sans" w:hAnsi="Open Sans" w:cs="Open Sans"/>
            <w:szCs w:val="22"/>
            <w:lang w:eastAsia="en-GB"/>
          </w:rPr>
          <w:t>Contracts for Difference</w:t>
        </w:r>
      </w:hyperlink>
      <w:r>
        <w:rPr>
          <w:rFonts w:ascii="Open Sans" w:hAnsi="Open Sans" w:cs="Open Sans"/>
          <w:szCs w:val="22"/>
          <w:lang w:eastAsia="en-GB"/>
        </w:rPr>
        <w:t xml:space="preserve"> have a similar mechanism in place (ie flexibility allowed </w:t>
      </w:r>
      <w:r w:rsidRPr="00C63DF0">
        <w:rPr>
          <w:rFonts w:ascii="Open Sans" w:hAnsi="Open Sans" w:cs="Open Sans"/>
          <w:szCs w:val="22"/>
          <w:lang w:eastAsia="en-GB"/>
        </w:rPr>
        <w:t>in the event of Force Majeure or grid delay impacting the project</w:t>
      </w:r>
      <w:r>
        <w:rPr>
          <w:rFonts w:ascii="Open Sans" w:hAnsi="Open Sans" w:cs="Open Sans"/>
          <w:szCs w:val="22"/>
          <w:lang w:eastAsia="en-GB"/>
        </w:rPr>
        <w:t xml:space="preserve">). </w:t>
      </w:r>
    </w:p>
    <w:p w14:paraId="560358F8" w14:textId="77777777" w:rsidR="001254C5" w:rsidRPr="00680E47" w:rsidRDefault="001254C5" w:rsidP="001254C5">
      <w:pPr>
        <w:spacing w:before="120"/>
        <w:rPr>
          <w:rFonts w:ascii="Open Sans" w:hAnsi="Open Sans" w:cs="Open Sans"/>
          <w:szCs w:val="22"/>
        </w:rPr>
      </w:pPr>
      <w:r w:rsidRPr="00680E47">
        <w:rPr>
          <w:rFonts w:ascii="Open Sans" w:hAnsi="Open Sans" w:cs="Open Sans"/>
          <w:b/>
          <w:bCs/>
          <w:szCs w:val="22"/>
        </w:rPr>
        <w:t>Deadlines over winter time should be avoided as much as possible as this is not an ideal time to build pipelines across fields</w:t>
      </w:r>
      <w:r>
        <w:rPr>
          <w:rFonts w:ascii="Open Sans" w:hAnsi="Open Sans" w:cs="Open Sans"/>
          <w:b/>
          <w:bCs/>
          <w:szCs w:val="22"/>
        </w:rPr>
        <w:t>.</w:t>
      </w:r>
    </w:p>
    <w:p w14:paraId="13CFD5B2" w14:textId="72B6350E" w:rsidR="001254C5" w:rsidRDefault="001254C5" w:rsidP="001254C5">
      <w:pPr>
        <w:spacing w:before="120" w:after="120"/>
        <w:rPr>
          <w:rFonts w:ascii="Open Sans" w:hAnsi="Open Sans" w:cs="Open Sans"/>
          <w:szCs w:val="22"/>
        </w:rPr>
      </w:pPr>
      <w:r w:rsidRPr="005365EE">
        <w:rPr>
          <w:rFonts w:ascii="Open Sans" w:hAnsi="Open Sans" w:cs="Open Sans"/>
          <w:szCs w:val="22"/>
        </w:rPr>
        <w:t xml:space="preserve">The extension of the duration of the funding of the scheme (i.e. circa 4 years) is also extremely welcome, given that a lot of the sub-optimal outcomes industry has seen have resulted from the short windows available for constructing plants and developers having to meet tariff deadlines. The TG system was designed to avoid this, but this was severely compromised by the short period that was available by the time they were eventually introduced. </w:t>
      </w:r>
    </w:p>
    <w:p w14:paraId="2745BD05" w14:textId="77777777" w:rsidR="001254C5" w:rsidRPr="005365EE" w:rsidRDefault="001254C5" w:rsidP="001254C5">
      <w:pPr>
        <w:spacing w:before="120" w:after="120"/>
        <w:rPr>
          <w:rFonts w:ascii="Open Sans" w:hAnsi="Open Sans" w:cs="Open Sans"/>
          <w:szCs w:val="22"/>
          <w:u w:val="single"/>
        </w:rPr>
      </w:pPr>
      <w:r w:rsidRPr="005365EE">
        <w:rPr>
          <w:rFonts w:ascii="Open Sans" w:hAnsi="Open Sans" w:cs="Open Sans"/>
          <w:szCs w:val="22"/>
          <w:u w:val="single"/>
        </w:rPr>
        <w:t xml:space="preserve">Commencement of construction </w:t>
      </w:r>
    </w:p>
    <w:p w14:paraId="39713ADD" w14:textId="77777777" w:rsidR="001254C5" w:rsidRDefault="001254C5" w:rsidP="001254C5">
      <w:pPr>
        <w:spacing w:before="120"/>
        <w:rPr>
          <w:rFonts w:ascii="Open Sans" w:hAnsi="Open Sans" w:cs="Open Sans"/>
          <w:b/>
          <w:bCs/>
          <w:szCs w:val="22"/>
        </w:rPr>
      </w:pPr>
      <w:bookmarkStart w:id="26" w:name="_Hlk44426647"/>
      <w:r w:rsidRPr="00680E47">
        <w:rPr>
          <w:rFonts w:ascii="Open Sans" w:hAnsi="Open Sans" w:cs="Open Sans"/>
          <w:b/>
          <w:bCs/>
          <w:szCs w:val="22"/>
        </w:rPr>
        <w:lastRenderedPageBreak/>
        <w:t>It is also crucial that more transparency and clarity is provided on Ofgem legal interpretation of the requirements that need to be met for the project to be awarded a TG and that this process is not micromanaged leading to significant administrative burden and time delays</w:t>
      </w:r>
      <w:r>
        <w:rPr>
          <w:rFonts w:ascii="Open Sans" w:hAnsi="Open Sans" w:cs="Open Sans"/>
          <w:b/>
          <w:bCs/>
          <w:szCs w:val="22"/>
        </w:rPr>
        <w:t xml:space="preserve">. </w:t>
      </w:r>
    </w:p>
    <w:p w14:paraId="47EC0627" w14:textId="77777777" w:rsidR="001254C5" w:rsidRPr="00680E47" w:rsidRDefault="001254C5" w:rsidP="001254C5">
      <w:pPr>
        <w:spacing w:before="120"/>
        <w:rPr>
          <w:rFonts w:ascii="Open Sans" w:hAnsi="Open Sans" w:cs="Open Sans"/>
          <w:szCs w:val="22"/>
        </w:rPr>
      </w:pPr>
      <w:r w:rsidRPr="00680E47">
        <w:rPr>
          <w:rFonts w:ascii="Open Sans" w:hAnsi="Open Sans" w:cs="Open Sans"/>
          <w:b/>
          <w:bCs/>
          <w:szCs w:val="22"/>
        </w:rPr>
        <w:t>BEIS should seriously consider the risks of introducing a requirement of specif</w:t>
      </w:r>
      <w:r>
        <w:rPr>
          <w:rFonts w:ascii="Open Sans" w:hAnsi="Open Sans" w:cs="Open Sans"/>
          <w:b/>
          <w:bCs/>
          <w:szCs w:val="22"/>
        </w:rPr>
        <w:t xml:space="preserve">ying </w:t>
      </w:r>
      <w:r w:rsidRPr="00680E47">
        <w:rPr>
          <w:rFonts w:ascii="Open Sans" w:hAnsi="Open Sans" w:cs="Open Sans"/>
          <w:b/>
          <w:bCs/>
          <w:szCs w:val="22"/>
        </w:rPr>
        <w:t>the commencement of construction in light of the lessons learned in the TG process to date</w:t>
      </w:r>
      <w:r>
        <w:rPr>
          <w:rFonts w:ascii="Open Sans" w:hAnsi="Open Sans" w:cs="Open Sans"/>
          <w:b/>
          <w:bCs/>
          <w:szCs w:val="22"/>
        </w:rPr>
        <w:t xml:space="preserve">. </w:t>
      </w:r>
    </w:p>
    <w:p w14:paraId="44B4E627" w14:textId="77777777" w:rsidR="001254C5" w:rsidRPr="00680E47" w:rsidRDefault="001254C5" w:rsidP="001254C5">
      <w:pPr>
        <w:spacing w:before="120"/>
        <w:rPr>
          <w:rFonts w:ascii="Open Sans" w:hAnsi="Open Sans" w:cs="Open Sans"/>
          <w:b/>
          <w:bCs/>
          <w:szCs w:val="22"/>
        </w:rPr>
      </w:pPr>
      <w:r w:rsidRPr="00680E47">
        <w:rPr>
          <w:rFonts w:ascii="Open Sans" w:hAnsi="Open Sans" w:cs="Open Sans"/>
          <w:b/>
          <w:bCs/>
          <w:szCs w:val="22"/>
        </w:rPr>
        <w:t xml:space="preserve">BEIS may wish to consider the merit of introducing an independent auditing of the TG process as a deterrent from developers to ‘game’ the system and ensure any speculative applications are minimised. </w:t>
      </w:r>
    </w:p>
    <w:bookmarkEnd w:id="26"/>
    <w:p w14:paraId="6AEE33CB" w14:textId="77777777" w:rsidR="001254C5" w:rsidRPr="005365EE" w:rsidRDefault="001254C5" w:rsidP="001254C5">
      <w:pPr>
        <w:spacing w:before="120" w:after="120"/>
        <w:rPr>
          <w:rFonts w:ascii="Open Sans" w:hAnsi="Open Sans" w:cs="Open Sans"/>
          <w:szCs w:val="22"/>
        </w:rPr>
      </w:pPr>
      <w:r w:rsidRPr="005365EE">
        <w:rPr>
          <w:rFonts w:ascii="Open Sans" w:hAnsi="Open Sans" w:cs="Open Sans"/>
          <w:szCs w:val="22"/>
        </w:rPr>
        <w:t xml:space="preserve">BEIS are suggesting the introduction of an additional stage in the TG process, which requires participants to inform Ofgem once construction commences. </w:t>
      </w:r>
    </w:p>
    <w:p w14:paraId="4F45D37A" w14:textId="77777777" w:rsidR="001254C5" w:rsidRPr="005365EE" w:rsidRDefault="001254C5" w:rsidP="001254C5">
      <w:pPr>
        <w:spacing w:before="120" w:after="120"/>
        <w:rPr>
          <w:rFonts w:ascii="Open Sans" w:hAnsi="Open Sans" w:cs="Open Sans"/>
          <w:szCs w:val="22"/>
        </w:rPr>
      </w:pPr>
      <w:r w:rsidRPr="005365EE">
        <w:rPr>
          <w:rFonts w:ascii="Open Sans" w:hAnsi="Open Sans" w:cs="Open Sans"/>
          <w:szCs w:val="22"/>
        </w:rPr>
        <w:t xml:space="preserve">This is seen by some members as positive given that a number of plants that were granted a Tariff Guarantee under the RHI scheme and that contributed to trigger January 2019 degression to the tariffs, have not ended up in a physical plant being built. Therefore, the addition of stage 2a would be useful and should ensure TGs that are awarded do end up becoming physically deployed. </w:t>
      </w:r>
    </w:p>
    <w:p w14:paraId="44CEDC57" w14:textId="77777777" w:rsidR="001254C5" w:rsidRPr="005365EE" w:rsidRDefault="001254C5" w:rsidP="001254C5">
      <w:pPr>
        <w:spacing w:before="120" w:after="120"/>
        <w:rPr>
          <w:rFonts w:ascii="Open Sans" w:hAnsi="Open Sans" w:cs="Open Sans"/>
          <w:szCs w:val="22"/>
        </w:rPr>
      </w:pPr>
      <w:r w:rsidRPr="005365EE">
        <w:rPr>
          <w:rFonts w:ascii="Open Sans" w:hAnsi="Open Sans" w:cs="Open Sans"/>
          <w:szCs w:val="22"/>
        </w:rPr>
        <w:t>However, members have expressed a strong concern that this may drive Ofgem to micromanage a plant construction programme, as there may be different interpretation of what construction means. For purposes of meeting a planning condition for instance, construction can easily start by simply pouring a very small amount of concrete so could easily be gamed or interpreted in different ways and would require a large amount of bureaucracy and Ofgem assessing construction programmes.</w:t>
      </w:r>
    </w:p>
    <w:p w14:paraId="2FB4A714" w14:textId="531E4130" w:rsidR="001254C5" w:rsidRPr="001254C5" w:rsidRDefault="001254C5" w:rsidP="001254C5">
      <w:pPr>
        <w:spacing w:before="120" w:after="120"/>
        <w:rPr>
          <w:rFonts w:ascii="Open Sans" w:hAnsi="Open Sans" w:cs="Open Sans"/>
          <w:szCs w:val="22"/>
        </w:rPr>
      </w:pPr>
      <w:r w:rsidRPr="005365EE">
        <w:rPr>
          <w:rFonts w:ascii="Open Sans" w:hAnsi="Open Sans" w:cs="Open Sans"/>
          <w:szCs w:val="22"/>
        </w:rPr>
        <w:t xml:space="preserve">Within the TG system there has been a lack of transparency and understanding on when a project is deemed by Ofgem to have achieved TG3 (ie when a plant is deemed to be commissioned) and how Ofgem’s interpretation differs from the developer’s interpretation. A similar issue could apply to the definition of construction. </w:t>
      </w:r>
    </w:p>
    <w:p w14:paraId="407A654F" w14:textId="77777777" w:rsidR="001254C5" w:rsidRPr="005365EE" w:rsidRDefault="001254C5" w:rsidP="001254C5">
      <w:pPr>
        <w:spacing w:before="120" w:after="120"/>
        <w:rPr>
          <w:rFonts w:ascii="Open Sans" w:hAnsi="Open Sans" w:cs="Open Sans"/>
          <w:szCs w:val="22"/>
          <w:u w:val="single"/>
        </w:rPr>
      </w:pPr>
      <w:r w:rsidRPr="005365EE">
        <w:rPr>
          <w:rFonts w:ascii="Open Sans" w:hAnsi="Open Sans" w:cs="Open Sans"/>
          <w:szCs w:val="22"/>
          <w:u w:val="single"/>
        </w:rPr>
        <w:t xml:space="preserve">Financial close </w:t>
      </w:r>
    </w:p>
    <w:p w14:paraId="328D66A2" w14:textId="77777777" w:rsidR="001254C5" w:rsidRPr="00680E47" w:rsidRDefault="001254C5" w:rsidP="001254C5">
      <w:pPr>
        <w:spacing w:before="120" w:after="120"/>
        <w:rPr>
          <w:rFonts w:ascii="Open Sans" w:hAnsi="Open Sans" w:cs="Open Sans"/>
          <w:b/>
          <w:bCs/>
          <w:szCs w:val="22"/>
        </w:rPr>
      </w:pPr>
      <w:bookmarkStart w:id="27" w:name="_Hlk44426653"/>
      <w:r w:rsidRPr="00680E47">
        <w:rPr>
          <w:rFonts w:ascii="Open Sans" w:hAnsi="Open Sans" w:cs="Open Sans"/>
          <w:b/>
          <w:bCs/>
          <w:szCs w:val="22"/>
        </w:rPr>
        <w:t xml:space="preserve">A more thorough assessment on financial close audits may be required by Ofgem to ensure the funding has been really drawn to cover the project. Leaving ambiguity in this step (as was done previously) accelerated the level of TGs thereby creating a premature degression based on plants which may not have had actual financial close. </w:t>
      </w:r>
    </w:p>
    <w:bookmarkEnd w:id="27"/>
    <w:p w14:paraId="2A8324CB" w14:textId="4AB7A5E1" w:rsidR="001254C5" w:rsidRPr="001254C5" w:rsidRDefault="001254C5" w:rsidP="001254C5">
      <w:pPr>
        <w:spacing w:before="120" w:after="120"/>
        <w:rPr>
          <w:rFonts w:ascii="Open Sans" w:hAnsi="Open Sans" w:cs="Open Sans"/>
          <w:szCs w:val="22"/>
        </w:rPr>
      </w:pPr>
      <w:r w:rsidRPr="005365EE">
        <w:rPr>
          <w:rFonts w:ascii="Open Sans" w:hAnsi="Open Sans" w:cs="Open Sans"/>
          <w:szCs w:val="22"/>
        </w:rPr>
        <w:t xml:space="preserve">BEIS may wish to consider again the requirements for demonstrating financial close and how these have been applied and assessed. In principle the policy is sound – this is a requirement to demonstrate that the funding exists and has been irrevocably allocated. However, this has resulted for some projects in declarations of financial close (signed off on independent audits) that were not genuine. </w:t>
      </w:r>
    </w:p>
    <w:p w14:paraId="0427412A" w14:textId="77777777" w:rsidR="001254C5" w:rsidRPr="005365EE" w:rsidRDefault="001254C5" w:rsidP="001254C5">
      <w:pPr>
        <w:spacing w:before="120" w:after="120"/>
        <w:rPr>
          <w:rFonts w:ascii="Open Sans" w:hAnsi="Open Sans" w:cs="Open Sans"/>
          <w:szCs w:val="22"/>
          <w:u w:val="single"/>
        </w:rPr>
      </w:pPr>
      <w:r w:rsidRPr="005365EE">
        <w:rPr>
          <w:rFonts w:ascii="Open Sans" w:hAnsi="Open Sans" w:cs="Open Sans"/>
          <w:szCs w:val="22"/>
          <w:u w:val="single"/>
        </w:rPr>
        <w:t xml:space="preserve">Commissioning definition </w:t>
      </w:r>
    </w:p>
    <w:p w14:paraId="70FB8B52" w14:textId="77777777" w:rsidR="001254C5" w:rsidRPr="003247A3" w:rsidRDefault="001254C5" w:rsidP="001254C5">
      <w:pPr>
        <w:pStyle w:val="CommentText"/>
        <w:spacing w:before="120" w:after="120"/>
        <w:rPr>
          <w:rFonts w:ascii="Open Sans" w:hAnsi="Open Sans" w:cs="Open Sans"/>
          <w:b/>
          <w:bCs/>
          <w:sz w:val="22"/>
          <w:szCs w:val="22"/>
        </w:rPr>
      </w:pPr>
      <w:bookmarkStart w:id="28" w:name="_Hlk44426660"/>
      <w:r w:rsidRPr="003247A3">
        <w:rPr>
          <w:rFonts w:ascii="Open Sans" w:hAnsi="Open Sans" w:cs="Open Sans"/>
          <w:b/>
          <w:bCs/>
          <w:sz w:val="22"/>
          <w:szCs w:val="22"/>
        </w:rPr>
        <w:t>In relation to the requirement to be ‘commissioned’, for the GGSS (and the final period of the RHI) we suggest the requirement to be commissioned should be replaced by one that the biomethane produced and injected was made in the long term intended biogas production plant.</w:t>
      </w:r>
    </w:p>
    <w:p w14:paraId="7D1CC94A" w14:textId="77777777" w:rsidR="001254C5" w:rsidRPr="003247A3" w:rsidRDefault="001254C5" w:rsidP="001254C5">
      <w:pPr>
        <w:pStyle w:val="CommentText"/>
        <w:spacing w:before="120" w:after="120"/>
        <w:rPr>
          <w:rFonts w:ascii="Open Sans" w:hAnsi="Open Sans" w:cs="Open Sans"/>
          <w:b/>
          <w:bCs/>
          <w:sz w:val="22"/>
          <w:szCs w:val="22"/>
        </w:rPr>
      </w:pPr>
      <w:r w:rsidRPr="003247A3">
        <w:rPr>
          <w:rFonts w:ascii="Open Sans" w:hAnsi="Open Sans" w:cs="Open Sans"/>
          <w:b/>
          <w:bCs/>
          <w:sz w:val="22"/>
          <w:szCs w:val="22"/>
        </w:rPr>
        <w:lastRenderedPageBreak/>
        <w:t>In the context of the current RHI regs, this could be done by deleting 32(4A)(b) and amending regulation 32(14) so that (for applications made from the point of the changes being introduced) registration will not be granted unless ‘injection of biomethane produced by that applicant from the biogas production plant specified in paragraph 4A(a) has commenced’</w:t>
      </w:r>
      <w:r>
        <w:rPr>
          <w:rFonts w:ascii="Open Sans" w:hAnsi="Open Sans" w:cs="Open Sans"/>
          <w:b/>
          <w:bCs/>
          <w:sz w:val="22"/>
          <w:szCs w:val="22"/>
        </w:rPr>
        <w:t xml:space="preserve">. </w:t>
      </w:r>
    </w:p>
    <w:bookmarkEnd w:id="28"/>
    <w:p w14:paraId="54630981" w14:textId="77777777" w:rsidR="001254C5" w:rsidRPr="005365EE" w:rsidRDefault="001254C5" w:rsidP="001254C5">
      <w:pPr>
        <w:spacing w:before="120" w:after="120"/>
        <w:rPr>
          <w:rFonts w:ascii="Open Sans" w:hAnsi="Open Sans" w:cs="Open Sans"/>
          <w:szCs w:val="22"/>
        </w:rPr>
      </w:pPr>
      <w:r w:rsidRPr="005365EE">
        <w:rPr>
          <w:rFonts w:ascii="Open Sans" w:hAnsi="Open Sans" w:cs="Open Sans"/>
          <w:szCs w:val="22"/>
        </w:rPr>
        <w:t xml:space="preserve">As </w:t>
      </w:r>
      <w:r>
        <w:rPr>
          <w:rFonts w:ascii="Open Sans" w:hAnsi="Open Sans" w:cs="Open Sans"/>
          <w:szCs w:val="22"/>
        </w:rPr>
        <w:t xml:space="preserve">previously </w:t>
      </w:r>
      <w:r w:rsidRPr="005365EE">
        <w:rPr>
          <w:rFonts w:ascii="Open Sans" w:hAnsi="Open Sans" w:cs="Open Sans"/>
          <w:szCs w:val="22"/>
        </w:rPr>
        <w:t xml:space="preserve">mentioned  there have been so far a lack of transparency and limited understanding on what is the legal interpretation of when a project is deemed by Ofgem to have achieved TG3 (ie when a plant is deemed to be commissioned / what is a materially delivered project against a deadline). </w:t>
      </w:r>
    </w:p>
    <w:p w14:paraId="767069CF" w14:textId="77777777" w:rsidR="001254C5" w:rsidRPr="005365EE" w:rsidRDefault="001254C5" w:rsidP="001254C5">
      <w:pPr>
        <w:spacing w:before="120" w:after="120"/>
        <w:rPr>
          <w:rFonts w:ascii="Open Sans" w:hAnsi="Open Sans" w:cs="Open Sans"/>
          <w:szCs w:val="22"/>
        </w:rPr>
      </w:pPr>
      <w:r w:rsidRPr="005365EE">
        <w:rPr>
          <w:rFonts w:ascii="Open Sans" w:hAnsi="Open Sans" w:cs="Open Sans"/>
          <w:szCs w:val="22"/>
        </w:rPr>
        <w:t xml:space="preserve">BEIS should seriously reconsider the requirement for a plant to be ‘commissioned’. This was put in place to close out two-phase commissioning, however this has led Ofgem to micromanage the ‘commissioning programme’ ie raise several queries on the commissioning plan and evidence to support/evidence that the plant has been really commissioned. </w:t>
      </w:r>
    </w:p>
    <w:p w14:paraId="51982322" w14:textId="77777777" w:rsidR="001254C5" w:rsidRPr="005365EE" w:rsidRDefault="001254C5" w:rsidP="001254C5">
      <w:pPr>
        <w:spacing w:before="120" w:after="120"/>
        <w:rPr>
          <w:rFonts w:ascii="Open Sans" w:hAnsi="Open Sans" w:cs="Open Sans"/>
          <w:szCs w:val="22"/>
        </w:rPr>
      </w:pPr>
      <w:r w:rsidRPr="005365EE">
        <w:rPr>
          <w:rFonts w:ascii="Open Sans" w:hAnsi="Open Sans" w:cs="Open Sans"/>
          <w:szCs w:val="22"/>
        </w:rPr>
        <w:t xml:space="preserve">As long as a developer has shown that injection has commenced and that the gas used to commence injection comes from the specified biogas plant, that should satisfy the objective of the policy. In addition, for digesters we already have a well-established precedent for what 'commissioned' means as it has been used for many years in RHI biogas heat applications and there is no point for Ofgem to disregard this precedent. </w:t>
      </w:r>
    </w:p>
    <w:p w14:paraId="5488AFC9" w14:textId="77777777" w:rsidR="001254C5" w:rsidRDefault="001254C5" w:rsidP="001254C5">
      <w:pPr>
        <w:spacing w:before="120" w:after="120"/>
        <w:rPr>
          <w:rFonts w:ascii="Open Sans" w:hAnsi="Open Sans" w:cs="Open Sans"/>
          <w:szCs w:val="22"/>
        </w:rPr>
      </w:pPr>
      <w:r w:rsidRPr="005365EE">
        <w:rPr>
          <w:rFonts w:ascii="Open Sans" w:hAnsi="Open Sans" w:cs="Open Sans"/>
          <w:szCs w:val="22"/>
        </w:rPr>
        <w:t xml:space="preserve">Similar issues may come into place if a definition of commencement of construction is introduced. </w:t>
      </w:r>
    </w:p>
    <w:p w14:paraId="1ACC8318" w14:textId="77777777" w:rsidR="001254C5" w:rsidRPr="003247A3" w:rsidRDefault="001254C5" w:rsidP="001254C5">
      <w:pPr>
        <w:pStyle w:val="CommentText"/>
        <w:rPr>
          <w:rFonts w:ascii="Open Sans" w:hAnsi="Open Sans" w:cs="Open Sans"/>
          <w:sz w:val="22"/>
          <w:szCs w:val="22"/>
        </w:rPr>
      </w:pPr>
      <w:r w:rsidRPr="003247A3">
        <w:rPr>
          <w:rFonts w:ascii="Open Sans" w:hAnsi="Open Sans" w:cs="Open Sans"/>
          <w:sz w:val="22"/>
          <w:szCs w:val="22"/>
        </w:rPr>
        <w:t>It is therefore essential that any rules that are introduced along these lines are not allowed to be applied in this way.</w:t>
      </w:r>
    </w:p>
    <w:p w14:paraId="32CDF7BA" w14:textId="77777777" w:rsidR="001254C5" w:rsidRPr="005365EE" w:rsidRDefault="001254C5" w:rsidP="001254C5">
      <w:pPr>
        <w:spacing w:before="120" w:after="120"/>
        <w:rPr>
          <w:rFonts w:ascii="Open Sans" w:hAnsi="Open Sans" w:cs="Open Sans"/>
          <w:szCs w:val="22"/>
        </w:rPr>
      </w:pPr>
      <w:r w:rsidRPr="005365EE">
        <w:rPr>
          <w:rFonts w:ascii="Open Sans" w:hAnsi="Open Sans" w:cs="Open Sans"/>
          <w:szCs w:val="22"/>
        </w:rPr>
        <w:t xml:space="preserve">Some members have suggested that whoever administers the scheme (Ofgem) could make use of independent auditing of participant's application shortly after awarding a tariff guarantee. This will be a huge deterrent to the industry of any 'gaming'. </w:t>
      </w:r>
    </w:p>
    <w:p w14:paraId="22A56367" w14:textId="77777777" w:rsidR="001254C5" w:rsidRDefault="001254C5" w:rsidP="001254C5">
      <w:pPr>
        <w:tabs>
          <w:tab w:val="left" w:pos="426"/>
        </w:tabs>
        <w:spacing w:before="120" w:after="120"/>
        <w:rPr>
          <w:rFonts w:ascii="Open Sans" w:hAnsi="Open Sans" w:cs="Open Sans"/>
          <w:szCs w:val="22"/>
        </w:rPr>
      </w:pPr>
      <w:r w:rsidRPr="005365EE">
        <w:rPr>
          <w:rFonts w:ascii="Open Sans" w:hAnsi="Open Sans" w:cs="Open Sans"/>
          <w:szCs w:val="22"/>
        </w:rPr>
        <w:t xml:space="preserve">We support BEIS proposal that TGs should be the only way for participants to be able to enter the scheme. </w:t>
      </w:r>
    </w:p>
    <w:p w14:paraId="3DE32F2C" w14:textId="77777777" w:rsidR="001254C5" w:rsidRPr="003247A3" w:rsidRDefault="001254C5" w:rsidP="001254C5">
      <w:pPr>
        <w:pStyle w:val="CommentText"/>
        <w:spacing w:before="120" w:after="120"/>
        <w:rPr>
          <w:rFonts w:ascii="Open Sans" w:hAnsi="Open Sans" w:cs="Open Sans"/>
          <w:sz w:val="22"/>
          <w:szCs w:val="22"/>
          <w:u w:val="single"/>
        </w:rPr>
      </w:pPr>
      <w:r w:rsidRPr="003247A3">
        <w:rPr>
          <w:rFonts w:ascii="Open Sans" w:hAnsi="Open Sans" w:cs="Open Sans"/>
          <w:sz w:val="22"/>
          <w:szCs w:val="22"/>
          <w:u w:val="single"/>
        </w:rPr>
        <w:t>Further detail on the interpretation of ‘commissioned’</w:t>
      </w:r>
    </w:p>
    <w:p w14:paraId="4F959322" w14:textId="77777777" w:rsidR="001254C5" w:rsidRPr="003247A3" w:rsidRDefault="001254C5" w:rsidP="001254C5">
      <w:pPr>
        <w:pStyle w:val="CommentText"/>
        <w:spacing w:before="120" w:after="120"/>
        <w:rPr>
          <w:rFonts w:ascii="Open Sans" w:hAnsi="Open Sans" w:cs="Open Sans"/>
          <w:sz w:val="22"/>
          <w:szCs w:val="22"/>
        </w:rPr>
      </w:pPr>
      <w:r w:rsidRPr="003247A3">
        <w:rPr>
          <w:rFonts w:ascii="Open Sans" w:hAnsi="Open Sans" w:cs="Open Sans"/>
          <w:sz w:val="22"/>
          <w:szCs w:val="22"/>
        </w:rPr>
        <w:t>This requirement was introduced in June 2018 as part of the changes to prevent ‘2-stage’ commissioning – ie a practice in which a developer could secure a tariff before their long-term source of biogas had been built. This raised concerns for BEIS on cost control in relation to timing of when the plants would build out (and risks that the project may not build out at all).</w:t>
      </w:r>
    </w:p>
    <w:p w14:paraId="383A6BA0" w14:textId="77777777" w:rsidR="001254C5" w:rsidRPr="003247A3" w:rsidRDefault="001254C5" w:rsidP="001254C5">
      <w:pPr>
        <w:pStyle w:val="CommentText"/>
        <w:spacing w:before="120" w:after="120"/>
        <w:rPr>
          <w:rFonts w:ascii="Open Sans" w:hAnsi="Open Sans" w:cs="Open Sans"/>
          <w:sz w:val="22"/>
          <w:szCs w:val="22"/>
        </w:rPr>
      </w:pPr>
      <w:r w:rsidRPr="003247A3">
        <w:rPr>
          <w:rFonts w:ascii="Open Sans" w:hAnsi="Open Sans" w:cs="Open Sans"/>
          <w:sz w:val="22"/>
          <w:szCs w:val="22"/>
        </w:rPr>
        <w:t>A light touch interpretation of ‘commissioned’ would therefore be in line with that policy intent. In fact, if the digester and injection equipment is present and physically complete this is met. Since the project must also have produced and upgraded sufficient gas that at least some gas is permitted to enter the network there can be no serious doubt as to whether the project will go ahead and one would expect its chances of ramping up in a timely fashion to be as one would expect (ie it is likely, but nothing is 100% certain when dealing with a biological process and heterogenous feedstock)</w:t>
      </w:r>
    </w:p>
    <w:p w14:paraId="343F9EA9" w14:textId="77777777" w:rsidR="001254C5" w:rsidRPr="003247A3" w:rsidRDefault="001254C5" w:rsidP="001254C5">
      <w:pPr>
        <w:pStyle w:val="CommentText"/>
        <w:spacing w:before="120" w:after="120"/>
        <w:rPr>
          <w:rFonts w:ascii="Open Sans" w:hAnsi="Open Sans" w:cs="Open Sans"/>
          <w:sz w:val="22"/>
          <w:szCs w:val="22"/>
        </w:rPr>
      </w:pPr>
      <w:r w:rsidRPr="003247A3">
        <w:rPr>
          <w:rFonts w:ascii="Open Sans" w:hAnsi="Open Sans" w:cs="Open Sans"/>
          <w:sz w:val="22"/>
          <w:szCs w:val="22"/>
        </w:rPr>
        <w:t>‘commissioned’ was already a defined term prior to June 2018 and was relevant for AD in the context of biogas production plants needing to be commissioned in order to seek support for biogas heat under the RHI.</w:t>
      </w:r>
    </w:p>
    <w:p w14:paraId="07B68274" w14:textId="77777777" w:rsidR="001254C5" w:rsidRPr="003247A3" w:rsidRDefault="001254C5" w:rsidP="001254C5">
      <w:pPr>
        <w:pStyle w:val="CommentText"/>
        <w:spacing w:before="120" w:after="120"/>
        <w:rPr>
          <w:rFonts w:ascii="Open Sans" w:hAnsi="Open Sans" w:cs="Open Sans"/>
          <w:sz w:val="22"/>
          <w:szCs w:val="22"/>
        </w:rPr>
      </w:pPr>
      <w:r w:rsidRPr="003247A3">
        <w:rPr>
          <w:rFonts w:ascii="Open Sans" w:hAnsi="Open Sans" w:cs="Open Sans"/>
          <w:sz w:val="22"/>
          <w:szCs w:val="22"/>
        </w:rPr>
        <w:lastRenderedPageBreak/>
        <w:t>So, there are 3 components to whether the site as a whole is commissioned:</w:t>
      </w:r>
    </w:p>
    <w:p w14:paraId="7FB7536F" w14:textId="77777777" w:rsidR="001254C5" w:rsidRPr="003247A3" w:rsidRDefault="001254C5" w:rsidP="001254C5">
      <w:pPr>
        <w:pStyle w:val="CommentText"/>
        <w:numPr>
          <w:ilvl w:val="0"/>
          <w:numId w:val="19"/>
        </w:numPr>
        <w:spacing w:before="120" w:after="120"/>
        <w:rPr>
          <w:rFonts w:ascii="Open Sans" w:hAnsi="Open Sans" w:cs="Open Sans"/>
          <w:sz w:val="22"/>
          <w:szCs w:val="22"/>
        </w:rPr>
      </w:pPr>
      <w:r w:rsidRPr="003247A3">
        <w:rPr>
          <w:rFonts w:ascii="Open Sans" w:hAnsi="Open Sans" w:cs="Open Sans"/>
          <w:sz w:val="22"/>
          <w:szCs w:val="22"/>
        </w:rPr>
        <w:t>The biogas production plant – precedents have been set for how this is interpreted in relation to RHI heat and these should have been followed</w:t>
      </w:r>
    </w:p>
    <w:p w14:paraId="3708CB7A" w14:textId="77777777" w:rsidR="001254C5" w:rsidRPr="003247A3" w:rsidRDefault="001254C5" w:rsidP="001254C5">
      <w:pPr>
        <w:pStyle w:val="CommentText"/>
        <w:numPr>
          <w:ilvl w:val="0"/>
          <w:numId w:val="19"/>
        </w:numPr>
        <w:spacing w:before="120" w:after="120"/>
        <w:rPr>
          <w:rFonts w:ascii="Open Sans" w:hAnsi="Open Sans" w:cs="Open Sans"/>
          <w:sz w:val="22"/>
          <w:szCs w:val="22"/>
        </w:rPr>
      </w:pPr>
      <w:r w:rsidRPr="003247A3">
        <w:rPr>
          <w:rFonts w:ascii="Open Sans" w:hAnsi="Open Sans" w:cs="Open Sans"/>
          <w:sz w:val="22"/>
          <w:szCs w:val="22"/>
        </w:rPr>
        <w:t>Upgrading equipment. This is specialist containerised kit, so it would seem appropriate to adopt a similar approach to that used for many years under the feed in tariff and Renewables Obligation in relation to CHP commissioning (ie supporting letter/certificate from the supplier, backed by a commissioning checklist)</w:t>
      </w:r>
    </w:p>
    <w:p w14:paraId="6772CE6D" w14:textId="77777777" w:rsidR="001254C5" w:rsidRPr="003247A3" w:rsidRDefault="001254C5" w:rsidP="001254C5">
      <w:pPr>
        <w:pStyle w:val="CommentText"/>
        <w:numPr>
          <w:ilvl w:val="0"/>
          <w:numId w:val="19"/>
        </w:numPr>
        <w:spacing w:before="120" w:after="120"/>
        <w:rPr>
          <w:rFonts w:ascii="Open Sans" w:hAnsi="Open Sans" w:cs="Open Sans"/>
          <w:sz w:val="22"/>
          <w:szCs w:val="22"/>
        </w:rPr>
      </w:pPr>
      <w:r w:rsidRPr="003247A3">
        <w:rPr>
          <w:rFonts w:ascii="Open Sans" w:hAnsi="Open Sans" w:cs="Open Sans"/>
          <w:sz w:val="22"/>
          <w:szCs w:val="22"/>
        </w:rPr>
        <w:t>Post-upgrader equipment controlling access to the gas grid. There is a well-established process for this in the gas industry and access to the network will not be allowed until this is completed to their satisfaction. The fact that gas was injected and a confirming letter from the gas network stating that it was commissioned should be sufficient – and the gas industry wrote previously to Ofgem setting this out clearly (through their trade association, the Energy Networks Association)</w:t>
      </w:r>
    </w:p>
    <w:p w14:paraId="3A6613E6" w14:textId="77777777" w:rsidR="001254C5" w:rsidRPr="003247A3" w:rsidRDefault="001254C5" w:rsidP="001254C5">
      <w:pPr>
        <w:pStyle w:val="CommentText"/>
        <w:spacing w:before="120" w:after="120"/>
        <w:rPr>
          <w:rFonts w:ascii="Open Sans" w:hAnsi="Open Sans" w:cs="Open Sans"/>
          <w:sz w:val="22"/>
          <w:szCs w:val="22"/>
        </w:rPr>
      </w:pPr>
      <w:r w:rsidRPr="003247A3">
        <w:rPr>
          <w:rFonts w:ascii="Open Sans" w:hAnsi="Open Sans" w:cs="Open Sans"/>
          <w:sz w:val="22"/>
          <w:szCs w:val="22"/>
        </w:rPr>
        <w:t xml:space="preserve">Ofgem launched a call for evidence on this issue </w:t>
      </w:r>
      <w:r>
        <w:rPr>
          <w:rFonts w:ascii="Open Sans" w:hAnsi="Open Sans" w:cs="Open Sans"/>
          <w:sz w:val="22"/>
          <w:szCs w:val="22"/>
        </w:rPr>
        <w:t>in November 2019</w:t>
      </w:r>
      <w:r w:rsidRPr="003247A3">
        <w:rPr>
          <w:rFonts w:ascii="Open Sans" w:hAnsi="Open Sans" w:cs="Open Sans"/>
          <w:sz w:val="22"/>
          <w:szCs w:val="22"/>
        </w:rPr>
        <w:t xml:space="preserve"> – </w:t>
      </w:r>
      <w:r>
        <w:rPr>
          <w:rFonts w:ascii="Open Sans" w:hAnsi="Open Sans" w:cs="Open Sans"/>
          <w:sz w:val="22"/>
          <w:szCs w:val="22"/>
        </w:rPr>
        <w:t>17</w:t>
      </w:r>
      <w:r w:rsidRPr="003247A3">
        <w:rPr>
          <w:rFonts w:ascii="Open Sans" w:hAnsi="Open Sans" w:cs="Open Sans"/>
          <w:sz w:val="22"/>
          <w:szCs w:val="22"/>
        </w:rPr>
        <w:t xml:space="preserve"> months after the legislation had been introduced and too late for projects that had already committed to their tariff guarantee timings to alter their practices. As this was a call for evidence rather than a consultation on changes to the scheme rules, there was a clear risk of such changes having retrospective effect – in other words, that they would affect Ofgem’s interpretation of applications made before they published their response to the call for evidence.</w:t>
      </w:r>
    </w:p>
    <w:p w14:paraId="79163265" w14:textId="77777777" w:rsidR="001254C5" w:rsidRPr="003247A3" w:rsidRDefault="001254C5" w:rsidP="001254C5">
      <w:pPr>
        <w:pStyle w:val="CommentText"/>
        <w:spacing w:before="120" w:after="120"/>
        <w:rPr>
          <w:rFonts w:ascii="Open Sans" w:hAnsi="Open Sans" w:cs="Open Sans"/>
          <w:sz w:val="22"/>
          <w:szCs w:val="22"/>
        </w:rPr>
      </w:pPr>
      <w:r w:rsidRPr="003247A3">
        <w:rPr>
          <w:rFonts w:ascii="Open Sans" w:hAnsi="Open Sans" w:cs="Open Sans"/>
          <w:sz w:val="22"/>
          <w:szCs w:val="22"/>
        </w:rPr>
        <w:t>We would note that a similar process shortly before the closure of the Renewables Obligation resulted effectively in a restatement of the previous practice rather than a change of position.</w:t>
      </w:r>
    </w:p>
    <w:p w14:paraId="639856B5" w14:textId="77777777" w:rsidR="001254C5" w:rsidRPr="003247A3" w:rsidRDefault="001254C5" w:rsidP="001254C5">
      <w:pPr>
        <w:pStyle w:val="CommentText"/>
        <w:spacing w:before="120" w:after="120"/>
        <w:rPr>
          <w:rFonts w:ascii="Open Sans" w:hAnsi="Open Sans" w:cs="Open Sans"/>
          <w:sz w:val="22"/>
          <w:szCs w:val="22"/>
        </w:rPr>
      </w:pPr>
      <w:r w:rsidRPr="003247A3">
        <w:rPr>
          <w:rFonts w:ascii="Open Sans" w:hAnsi="Open Sans" w:cs="Open Sans"/>
          <w:sz w:val="22"/>
          <w:szCs w:val="22"/>
        </w:rPr>
        <w:t>The call for evidence had only 4 responses to it, one of which was from the REA making similar arguments to those made above.</w:t>
      </w:r>
    </w:p>
    <w:p w14:paraId="66434E12" w14:textId="77777777" w:rsidR="001254C5" w:rsidRPr="003247A3" w:rsidRDefault="001254C5" w:rsidP="001254C5">
      <w:pPr>
        <w:pStyle w:val="CommentText"/>
        <w:spacing w:before="120" w:after="120"/>
        <w:rPr>
          <w:rFonts w:ascii="Open Sans" w:hAnsi="Open Sans" w:cs="Open Sans"/>
          <w:sz w:val="22"/>
          <w:szCs w:val="22"/>
        </w:rPr>
      </w:pPr>
      <w:r w:rsidRPr="003247A3">
        <w:rPr>
          <w:rFonts w:ascii="Open Sans" w:hAnsi="Open Sans" w:cs="Open Sans"/>
          <w:sz w:val="22"/>
          <w:szCs w:val="22"/>
        </w:rPr>
        <w:t xml:space="preserve">Ofgem’s outcome document (published </w:t>
      </w:r>
      <w:r>
        <w:rPr>
          <w:rFonts w:ascii="Open Sans" w:hAnsi="Open Sans" w:cs="Open Sans"/>
          <w:sz w:val="22"/>
          <w:szCs w:val="22"/>
        </w:rPr>
        <w:t>in April</w:t>
      </w:r>
      <w:r w:rsidRPr="003247A3">
        <w:rPr>
          <w:rFonts w:ascii="Open Sans" w:hAnsi="Open Sans" w:cs="Open Sans"/>
          <w:sz w:val="22"/>
          <w:szCs w:val="22"/>
        </w:rPr>
        <w:t xml:space="preserve"> 2020) sets out a large amount of additional documentation requirements. Many of our members do not recognise the approach described, and it possible they result in confusion between what is usual for the heavily regulated gas network and for the remainder of the biomethane project site. In any case, requiring these documents is completely disproportionate to the policy intent this requirement was introduced to address (ie to prevent two-phase projects, now that tariff guarantees are available).</w:t>
      </w:r>
    </w:p>
    <w:p w14:paraId="3F16ED18" w14:textId="77777777" w:rsidR="001254C5" w:rsidRPr="003247A3" w:rsidRDefault="001254C5" w:rsidP="001254C5">
      <w:pPr>
        <w:pStyle w:val="CommentText"/>
        <w:spacing w:before="120" w:after="120"/>
        <w:rPr>
          <w:rFonts w:ascii="Open Sans" w:hAnsi="Open Sans" w:cs="Open Sans"/>
          <w:sz w:val="22"/>
          <w:szCs w:val="22"/>
        </w:rPr>
      </w:pPr>
      <w:r w:rsidRPr="003247A3">
        <w:rPr>
          <w:rFonts w:ascii="Open Sans" w:hAnsi="Open Sans" w:cs="Open Sans"/>
          <w:sz w:val="22"/>
          <w:szCs w:val="22"/>
        </w:rPr>
        <w:t>At best, this will create months of delay while documents are found or generated that would not otherwise be required by any of the parties involved in building and commissioning the project. At worst, projects will be rejected or receive a lower tariff as a result of alleged deficiencies in their documentation, the need for which was not known at the time of application to the scheme.</w:t>
      </w:r>
    </w:p>
    <w:p w14:paraId="6D92826A" w14:textId="77777777" w:rsidR="001254C5" w:rsidRPr="003247A3" w:rsidRDefault="001254C5" w:rsidP="001254C5">
      <w:pPr>
        <w:pStyle w:val="CommentText"/>
        <w:spacing w:before="120" w:after="120"/>
        <w:rPr>
          <w:rFonts w:ascii="Open Sans" w:hAnsi="Open Sans" w:cs="Open Sans"/>
          <w:sz w:val="22"/>
          <w:szCs w:val="22"/>
        </w:rPr>
      </w:pPr>
      <w:r w:rsidRPr="003247A3">
        <w:rPr>
          <w:rFonts w:ascii="Open Sans" w:hAnsi="Open Sans" w:cs="Open Sans"/>
          <w:sz w:val="22"/>
          <w:szCs w:val="22"/>
        </w:rPr>
        <w:t>We know of some projects already that have had difficulties with the way this requirement is interpreted. If this is repeated, everyone involved in the current market will have had a recent, costly experience with Ofgem that will significantly increase their perception of risks involving Ofgem’s administration of biomethane support schemes.</w:t>
      </w:r>
    </w:p>
    <w:p w14:paraId="6C0F3C7D" w14:textId="0263819B" w:rsidR="001254C5" w:rsidRDefault="001254C5" w:rsidP="001254C5">
      <w:pPr>
        <w:pStyle w:val="CommentText"/>
        <w:spacing w:before="120" w:after="120"/>
        <w:rPr>
          <w:rFonts w:ascii="Open Sans" w:hAnsi="Open Sans" w:cs="Open Sans"/>
          <w:sz w:val="22"/>
          <w:szCs w:val="22"/>
        </w:rPr>
      </w:pPr>
      <w:r w:rsidRPr="003247A3">
        <w:rPr>
          <w:rFonts w:ascii="Open Sans" w:hAnsi="Open Sans" w:cs="Open Sans"/>
          <w:sz w:val="22"/>
          <w:szCs w:val="22"/>
        </w:rPr>
        <w:t>A similar risk arises in the discretion afforded to Ofgem in the ability to reject an application (that holds a tariff guarantee) if the eventual application is materially different to that which secured a tariff guarantee.</w:t>
      </w:r>
    </w:p>
    <w:p w14:paraId="1F9074A8" w14:textId="77777777" w:rsidR="001254C5" w:rsidRPr="00314347" w:rsidRDefault="001254C5" w:rsidP="001254C5">
      <w:pPr>
        <w:pStyle w:val="CommentText"/>
        <w:spacing w:before="120" w:after="120"/>
        <w:rPr>
          <w:rFonts w:ascii="Open Sans" w:hAnsi="Open Sans" w:cs="Open Sans"/>
          <w:sz w:val="22"/>
          <w:szCs w:val="22"/>
          <w:u w:val="single"/>
        </w:rPr>
      </w:pPr>
      <w:r w:rsidRPr="00314347">
        <w:rPr>
          <w:rFonts w:ascii="Open Sans" w:hAnsi="Open Sans" w:cs="Open Sans"/>
          <w:sz w:val="22"/>
          <w:szCs w:val="22"/>
          <w:u w:val="single"/>
        </w:rPr>
        <w:lastRenderedPageBreak/>
        <w:t xml:space="preserve">Minimising the risk of over estimating committed spend </w:t>
      </w:r>
    </w:p>
    <w:p w14:paraId="03D82495" w14:textId="77777777" w:rsidR="001254C5" w:rsidRPr="00680E47" w:rsidRDefault="001254C5" w:rsidP="001254C5">
      <w:pPr>
        <w:spacing w:before="120"/>
        <w:rPr>
          <w:rFonts w:ascii="Open Sans" w:hAnsi="Open Sans" w:cs="Open Sans"/>
          <w:b/>
          <w:bCs/>
          <w:szCs w:val="22"/>
        </w:rPr>
      </w:pPr>
      <w:bookmarkStart w:id="29" w:name="_Hlk44426672"/>
      <w:r w:rsidRPr="00680E47">
        <w:rPr>
          <w:rFonts w:ascii="Open Sans" w:hAnsi="Open Sans" w:cs="Open Sans"/>
          <w:b/>
          <w:bCs/>
          <w:szCs w:val="22"/>
        </w:rPr>
        <w:t xml:space="preserve">BEIS should require more realistic estimates of injection from applicants, and their periodic updating – and ensure that there are no adverse consequences to participants in providing this information so long as it is a reasonable estimate (ie if their number goes down they don’t risk permanently losing capacity). </w:t>
      </w:r>
    </w:p>
    <w:bookmarkEnd w:id="29"/>
    <w:p w14:paraId="1600098D" w14:textId="77777777" w:rsidR="001254C5" w:rsidRPr="003247A3" w:rsidRDefault="001254C5" w:rsidP="001254C5">
      <w:pPr>
        <w:pStyle w:val="CommentText"/>
        <w:spacing w:before="120" w:after="120"/>
        <w:rPr>
          <w:rFonts w:ascii="Open Sans" w:hAnsi="Open Sans" w:cs="Open Sans"/>
          <w:sz w:val="22"/>
          <w:szCs w:val="22"/>
        </w:rPr>
      </w:pPr>
      <w:r w:rsidRPr="00314347">
        <w:rPr>
          <w:rFonts w:ascii="Open Sans" w:hAnsi="Open Sans" w:cs="Open Sans"/>
          <w:sz w:val="22"/>
          <w:szCs w:val="22"/>
        </w:rPr>
        <w:t xml:space="preserve">As highlighted somewhere else in this response, producers will be strongly incentivised to secure 750 scmh NEA if they possibly can, whether or not they will be able to do that consistently – so the risk of over-estimating committed spend will be far higher than currently unless BEIS require more realistic estimates of injection from applicants, their periodic updating – and </w:t>
      </w:r>
      <w:r>
        <w:rPr>
          <w:rFonts w:ascii="Open Sans" w:hAnsi="Open Sans" w:cs="Open Sans"/>
          <w:sz w:val="22"/>
          <w:szCs w:val="22"/>
        </w:rPr>
        <w:t xml:space="preserve">ensure </w:t>
      </w:r>
      <w:r w:rsidRPr="00314347">
        <w:rPr>
          <w:rFonts w:ascii="Open Sans" w:hAnsi="Open Sans" w:cs="Open Sans"/>
          <w:sz w:val="22"/>
          <w:szCs w:val="22"/>
        </w:rPr>
        <w:t>that there are no adverse consequences to participants in providing this information so long as it is a reasonable estimate (ie if their number goes down they don’t risk permanently losing capacity</w:t>
      </w:r>
      <w:r>
        <w:rPr>
          <w:rFonts w:ascii="Open Sans" w:hAnsi="Open Sans" w:cs="Open Sans"/>
          <w:sz w:val="22"/>
          <w:szCs w:val="22"/>
        </w:rPr>
        <w:t>.</w:t>
      </w:r>
    </w:p>
    <w:p w14:paraId="0FDAF866" w14:textId="35FD2AD0" w:rsidR="001254C5" w:rsidRDefault="001254C5" w:rsidP="001254C5">
      <w:pPr>
        <w:spacing w:after="160" w:line="259" w:lineRule="auto"/>
        <w:jc w:val="left"/>
        <w:rPr>
          <w:rFonts w:ascii="Open Sans" w:hAnsi="Open Sans" w:cs="Open Sans"/>
          <w:b/>
          <w:bCs/>
          <w:i/>
          <w:iCs/>
          <w:color w:val="2F5496"/>
          <w:szCs w:val="22"/>
        </w:rPr>
      </w:pPr>
      <w:r w:rsidRPr="001254C5">
        <w:rPr>
          <w:rFonts w:ascii="Open Sans" w:hAnsi="Open Sans" w:cs="Open Sans"/>
          <w:b/>
          <w:bCs/>
          <w:i/>
          <w:iCs/>
          <w:color w:val="2F5496"/>
          <w:szCs w:val="22"/>
        </w:rPr>
        <w:t>Consultation Question 9 - What are your views on increasing the minimum percentage of waste feedstocks above 50%, now or in the future? What could be a suitable new threshold? Please provide evidence to support your response.</w:t>
      </w:r>
    </w:p>
    <w:p w14:paraId="23DC94E3" w14:textId="77777777" w:rsidR="001254C5" w:rsidRDefault="001254C5" w:rsidP="001254C5">
      <w:pPr>
        <w:spacing w:before="120"/>
        <w:contextualSpacing/>
        <w:jc w:val="left"/>
        <w:rPr>
          <w:rFonts w:ascii="Open Sans" w:hAnsi="Open Sans" w:cs="Open Sans"/>
          <w:b/>
          <w:bCs/>
          <w:szCs w:val="22"/>
        </w:rPr>
      </w:pPr>
      <w:bookmarkStart w:id="30" w:name="_Hlk44426678"/>
      <w:r>
        <w:rPr>
          <w:rFonts w:ascii="Open Sans" w:hAnsi="Open Sans" w:cs="Open Sans"/>
          <w:b/>
          <w:bCs/>
          <w:szCs w:val="22"/>
        </w:rPr>
        <w:t>F</w:t>
      </w:r>
      <w:r w:rsidRPr="004157C3">
        <w:rPr>
          <w:rFonts w:ascii="Open Sans" w:hAnsi="Open Sans" w:cs="Open Sans"/>
          <w:b/>
          <w:bCs/>
          <w:szCs w:val="22"/>
        </w:rPr>
        <w:t xml:space="preserve">or a number of reasons detailed below we cannot support a further increase of the minimum percentage of waste feedstocks above 50%. </w:t>
      </w:r>
    </w:p>
    <w:p w14:paraId="6048872E" w14:textId="77777777" w:rsidR="001254C5" w:rsidRPr="008A7C8D" w:rsidRDefault="001254C5" w:rsidP="001254C5">
      <w:pPr>
        <w:spacing w:before="120" w:after="120"/>
        <w:rPr>
          <w:rFonts w:ascii="Open Sans" w:hAnsi="Open Sans" w:cs="Open Sans"/>
          <w:b/>
          <w:bCs/>
          <w:szCs w:val="22"/>
        </w:rPr>
      </w:pPr>
      <w:r w:rsidRPr="008A7C8D">
        <w:rPr>
          <w:rFonts w:ascii="Open Sans" w:hAnsi="Open Sans" w:cs="Open Sans"/>
          <w:b/>
          <w:bCs/>
          <w:szCs w:val="22"/>
        </w:rPr>
        <w:t xml:space="preserve">Members have highlighted that there is in fact no need to include a threshold of this kind, as the economics of farm-based AD plants and the cost of crops already mean that we are unlikely to see projects developed on the basis of higher proportion of crops as this would render the project unviable. </w:t>
      </w:r>
    </w:p>
    <w:bookmarkEnd w:id="30"/>
    <w:p w14:paraId="5976CAD3" w14:textId="77777777" w:rsidR="001254C5" w:rsidRPr="005365EE" w:rsidRDefault="001254C5" w:rsidP="001254C5">
      <w:pPr>
        <w:spacing w:before="120" w:after="120"/>
        <w:rPr>
          <w:rFonts w:ascii="Open Sans" w:hAnsi="Open Sans" w:cs="Open Sans"/>
          <w:szCs w:val="22"/>
        </w:rPr>
      </w:pPr>
      <w:r w:rsidRPr="005365EE">
        <w:rPr>
          <w:rFonts w:ascii="Open Sans" w:hAnsi="Open Sans" w:cs="Open Sans"/>
          <w:szCs w:val="22"/>
        </w:rPr>
        <w:t xml:space="preserve">REA is very supportive of the commitments made in Defra’s Resources and Waste Strategy on food wastes. For a number of years the REA has lobbied Government on behalf of the industry for the introduction of mandatory collections of food wastes, both from municipal and commercial sources, in line with the principles of a circular economy. When food wastes cannot be prevented, anaerobic digestion makes the best use of these materials by producing renewable energy and organic fertiliser while closing the nutrients cycle and reducing greenhouse gas emissions. </w:t>
      </w:r>
    </w:p>
    <w:p w14:paraId="3D4FD5B2" w14:textId="77777777" w:rsidR="001254C5" w:rsidRDefault="001254C5" w:rsidP="001254C5">
      <w:pPr>
        <w:spacing w:before="120" w:after="120"/>
        <w:rPr>
          <w:rFonts w:ascii="Open Sans" w:hAnsi="Open Sans" w:cs="Open Sans"/>
          <w:szCs w:val="22"/>
        </w:rPr>
      </w:pPr>
      <w:bookmarkStart w:id="31" w:name="_Hlk43720488"/>
      <w:r w:rsidRPr="004157C3">
        <w:rPr>
          <w:rFonts w:ascii="Open Sans" w:hAnsi="Open Sans" w:cs="Open Sans"/>
          <w:szCs w:val="22"/>
        </w:rPr>
        <w:t xml:space="preserve">Notwithstanding this, we cannot support a further increase of the minimum percentage of waste feedstocks above 50%. This would have a significant impact especially on farm-based plants, for which the current minimum 50% is already a significant challenge. </w:t>
      </w:r>
      <w:bookmarkEnd w:id="31"/>
      <w:r>
        <w:rPr>
          <w:rFonts w:ascii="Open Sans" w:hAnsi="Open Sans" w:cs="Open Sans"/>
          <w:szCs w:val="22"/>
        </w:rPr>
        <w:t xml:space="preserve">It would also drive further competition for food wastes at a time this resource is already limited in some regions. </w:t>
      </w:r>
    </w:p>
    <w:p w14:paraId="3AC5EDB9" w14:textId="77777777" w:rsidR="001254C5" w:rsidRPr="005365EE" w:rsidRDefault="001254C5" w:rsidP="001254C5">
      <w:pPr>
        <w:spacing w:before="120" w:after="120"/>
        <w:rPr>
          <w:rFonts w:ascii="Open Sans" w:hAnsi="Open Sans" w:cs="Open Sans"/>
          <w:szCs w:val="22"/>
        </w:rPr>
      </w:pPr>
      <w:r w:rsidRPr="005365EE">
        <w:rPr>
          <w:rFonts w:ascii="Open Sans" w:hAnsi="Open Sans" w:cs="Open Sans"/>
          <w:szCs w:val="22"/>
        </w:rPr>
        <w:t xml:space="preserve">Some members have suggested that BEIS may wish to consider introducing a tiering structure that rewards more sustainable (lower GHG) feedstocks with a higher tariff or a financial bonus. This would encourage treatment of the most sustainable feedstocks in a similar way to what is in place under the </w:t>
      </w:r>
      <w:r>
        <w:rPr>
          <w:rFonts w:ascii="Open Sans" w:hAnsi="Open Sans" w:cs="Open Sans"/>
          <w:szCs w:val="22"/>
        </w:rPr>
        <w:t>Renewable Transport Fuel Obligation</w:t>
      </w:r>
      <w:r w:rsidRPr="005365EE">
        <w:rPr>
          <w:rFonts w:ascii="Open Sans" w:hAnsi="Open Sans" w:cs="Open Sans"/>
          <w:szCs w:val="22"/>
        </w:rPr>
        <w:t xml:space="preserve">, and would be preferable to a threshold. </w:t>
      </w:r>
      <w:r>
        <w:rPr>
          <w:rFonts w:ascii="Open Sans" w:hAnsi="Open Sans" w:cs="Open Sans"/>
          <w:szCs w:val="22"/>
        </w:rPr>
        <w:t xml:space="preserve">For information, a </w:t>
      </w:r>
      <w:hyperlink r:id="rId28" w:history="1">
        <w:r w:rsidRPr="00FC700B">
          <w:rPr>
            <w:rStyle w:val="Hyperlink"/>
            <w:rFonts w:ascii="Open Sans" w:hAnsi="Open Sans" w:cs="Open Sans"/>
            <w:szCs w:val="22"/>
          </w:rPr>
          <w:t>report</w:t>
        </w:r>
      </w:hyperlink>
      <w:r>
        <w:rPr>
          <w:rFonts w:ascii="Open Sans" w:hAnsi="Open Sans" w:cs="Open Sans"/>
          <w:szCs w:val="22"/>
        </w:rPr>
        <w:t xml:space="preserve"> published by Ricardo for SEAI </w:t>
      </w:r>
      <w:r w:rsidRPr="00FC700B">
        <w:rPr>
          <w:rFonts w:ascii="Open Sans" w:hAnsi="Open Sans" w:cs="Open Sans"/>
          <w:szCs w:val="22"/>
        </w:rPr>
        <w:t xml:space="preserve">shows countries where schemes using slurry receive additional support. </w:t>
      </w:r>
    </w:p>
    <w:p w14:paraId="563DA6CD" w14:textId="77777777" w:rsidR="001254C5" w:rsidRPr="005365EE" w:rsidRDefault="001254C5" w:rsidP="001254C5">
      <w:pPr>
        <w:spacing w:before="120" w:after="120"/>
        <w:contextualSpacing/>
        <w:jc w:val="left"/>
        <w:rPr>
          <w:rFonts w:ascii="Open Sans" w:hAnsi="Open Sans" w:cs="Open Sans"/>
          <w:szCs w:val="22"/>
        </w:rPr>
      </w:pPr>
    </w:p>
    <w:p w14:paraId="1634E316" w14:textId="77777777" w:rsidR="001254C5" w:rsidRPr="005365EE" w:rsidRDefault="001254C5" w:rsidP="001254C5">
      <w:pPr>
        <w:spacing w:before="120" w:after="120"/>
        <w:ind w:left="280" w:hanging="280"/>
        <w:rPr>
          <w:rFonts w:ascii="Open Sans" w:hAnsi="Open Sans" w:cs="Open Sans"/>
          <w:szCs w:val="22"/>
          <w:lang w:eastAsia="en-GB"/>
        </w:rPr>
      </w:pPr>
      <w:r w:rsidRPr="005365EE">
        <w:rPr>
          <w:rFonts w:ascii="Open Sans" w:hAnsi="Open Sans" w:cs="Open Sans"/>
          <w:szCs w:val="22"/>
          <w:lang w:eastAsia="en-GB"/>
        </w:rPr>
        <w:t xml:space="preserve">1.   </w:t>
      </w:r>
      <w:r w:rsidRPr="005365EE">
        <w:rPr>
          <w:rFonts w:ascii="Open Sans" w:hAnsi="Open Sans" w:cs="Open Sans"/>
          <w:szCs w:val="22"/>
          <w:u w:val="single"/>
          <w:lang w:eastAsia="en-GB"/>
        </w:rPr>
        <w:t>Uncertainty on waste availability</w:t>
      </w:r>
    </w:p>
    <w:p w14:paraId="05F889F4" w14:textId="77777777" w:rsidR="001254C5" w:rsidRPr="005365EE" w:rsidRDefault="001254C5" w:rsidP="001254C5">
      <w:pPr>
        <w:spacing w:before="120" w:after="120"/>
        <w:rPr>
          <w:rFonts w:ascii="Open Sans" w:hAnsi="Open Sans" w:cs="Open Sans"/>
          <w:szCs w:val="22"/>
          <w:lang w:eastAsia="en-GB"/>
        </w:rPr>
      </w:pPr>
      <w:r w:rsidRPr="005365EE">
        <w:rPr>
          <w:rFonts w:ascii="Open Sans" w:hAnsi="Open Sans" w:cs="Open Sans"/>
          <w:szCs w:val="22"/>
          <w:lang w:eastAsia="en-GB"/>
        </w:rPr>
        <w:lastRenderedPageBreak/>
        <w:t>As set out by BEIS in the consultation document, measures from Defra to introduce mandatory collections of food wastes are only expected to commence from 2023. The Scheme is expected to start in the financial year 2021 so there is a time gap between the two which may lead to a lack of sufficient waste feedstocks being available at the beginning of the Green Gas Support Scheme for new plants.</w:t>
      </w:r>
    </w:p>
    <w:p w14:paraId="2AD109A4" w14:textId="77777777" w:rsidR="001254C5" w:rsidRPr="005365EE" w:rsidRDefault="001254C5" w:rsidP="001254C5">
      <w:pPr>
        <w:spacing w:before="120" w:after="120"/>
        <w:rPr>
          <w:rFonts w:ascii="Open Sans" w:hAnsi="Open Sans" w:cs="Open Sans"/>
          <w:szCs w:val="22"/>
          <w:lang w:eastAsia="en-GB"/>
        </w:rPr>
      </w:pPr>
      <w:r w:rsidRPr="005365EE">
        <w:rPr>
          <w:rFonts w:ascii="Open Sans" w:hAnsi="Open Sans" w:cs="Open Sans"/>
          <w:szCs w:val="22"/>
          <w:lang w:eastAsia="en-GB"/>
        </w:rPr>
        <w:t xml:space="preserve">The size of the current food waste market is limited and it is known there is already an oversupply of AD capacity compared to the volumes of food waste available, especially in England, which leads existing plants to compete for food wastes and has determined over the past few years a downturn in the gate fees. </w:t>
      </w:r>
    </w:p>
    <w:p w14:paraId="306BB4AB" w14:textId="77777777" w:rsidR="001254C5" w:rsidRPr="005365EE" w:rsidRDefault="001254C5" w:rsidP="001254C5">
      <w:pPr>
        <w:spacing w:before="120" w:after="120"/>
        <w:rPr>
          <w:rFonts w:ascii="Open Sans" w:hAnsi="Open Sans" w:cs="Open Sans"/>
          <w:szCs w:val="22"/>
          <w:lang w:eastAsia="en-GB"/>
        </w:rPr>
      </w:pPr>
      <w:r w:rsidRPr="005365EE">
        <w:rPr>
          <w:rFonts w:ascii="Open Sans" w:hAnsi="Open Sans" w:cs="Open Sans"/>
          <w:szCs w:val="22"/>
          <w:lang w:eastAsia="en-GB"/>
        </w:rPr>
        <w:t>In addition, the volume of waste feedstocks that may become available when these measures are introduced is still very uncertain. We understand there is already an oversupply of AD capacity in the market: there are existing food waste based plants that have extra capacity to take food waste, so these, to some extent, may absorb some of the additional volumes of food wastes available. In addition, it is highly unknown how food waste prevention policies will affect the volumes of food wastes provided for recycling in the future. Reductions in the volumes of food wastes produced may to a certain extent offset increased volumes from mandatory food waste collections. </w:t>
      </w:r>
    </w:p>
    <w:p w14:paraId="2EFEC0AA" w14:textId="77777777" w:rsidR="001254C5" w:rsidRPr="005365EE" w:rsidRDefault="001254C5" w:rsidP="001254C5">
      <w:pPr>
        <w:spacing w:before="120" w:after="120"/>
        <w:rPr>
          <w:rFonts w:ascii="Open Sans" w:hAnsi="Open Sans" w:cs="Open Sans"/>
          <w:szCs w:val="22"/>
          <w:lang w:eastAsia="en-GB"/>
        </w:rPr>
      </w:pPr>
      <w:r w:rsidRPr="005365EE">
        <w:rPr>
          <w:rFonts w:ascii="Open Sans" w:hAnsi="Open Sans" w:cs="Open Sans"/>
          <w:szCs w:val="22"/>
          <w:lang w:eastAsia="en-GB"/>
        </w:rPr>
        <w:t xml:space="preserve">Increasing the minimum percentage of waste feedstocks above 50% would result in a greater competition between projects (existing and new) to secure these feedstocks and may drive down gate gees even further. Furthermore, some members are concerned that new plants supported through the Green Gas Support Scheme would outcompete existing plants as they would be able to offer processing of food waste at lower gate fees. These members argued that BEIS should use a more market based approach that allows new plants to take whatever feedstock is available. </w:t>
      </w:r>
    </w:p>
    <w:p w14:paraId="7E320A9A" w14:textId="77777777" w:rsidR="001254C5" w:rsidRPr="005365EE" w:rsidRDefault="001254C5" w:rsidP="001254C5">
      <w:pPr>
        <w:spacing w:before="120" w:after="120"/>
        <w:ind w:left="142" w:hanging="2"/>
        <w:rPr>
          <w:rFonts w:ascii="Open Sans" w:hAnsi="Open Sans" w:cs="Open Sans"/>
          <w:szCs w:val="22"/>
        </w:rPr>
      </w:pPr>
    </w:p>
    <w:p w14:paraId="60CDB5C5" w14:textId="77777777" w:rsidR="001254C5" w:rsidRPr="005365EE" w:rsidRDefault="001254C5" w:rsidP="001254C5">
      <w:pPr>
        <w:spacing w:before="120" w:after="120"/>
        <w:ind w:left="280" w:hanging="280"/>
        <w:rPr>
          <w:rFonts w:ascii="Open Sans" w:hAnsi="Open Sans" w:cs="Open Sans"/>
          <w:szCs w:val="22"/>
          <w:lang w:eastAsia="en-GB"/>
        </w:rPr>
      </w:pPr>
      <w:r w:rsidRPr="005365EE">
        <w:rPr>
          <w:rFonts w:ascii="Open Sans" w:hAnsi="Open Sans" w:cs="Open Sans"/>
          <w:szCs w:val="22"/>
          <w:lang w:eastAsia="en-GB"/>
        </w:rPr>
        <w:t xml:space="preserve">2. </w:t>
      </w:r>
      <w:r w:rsidRPr="005365EE">
        <w:rPr>
          <w:rFonts w:ascii="Open Sans" w:hAnsi="Open Sans" w:cs="Open Sans"/>
          <w:szCs w:val="22"/>
          <w:u w:val="single"/>
          <w:lang w:eastAsia="en-GB"/>
        </w:rPr>
        <w:t>Regulatory, technical, and economic challenges derived from an increase in the minimum percentage of wastes/residues</w:t>
      </w:r>
      <w:r w:rsidRPr="005365EE">
        <w:rPr>
          <w:rFonts w:ascii="Open Sans" w:hAnsi="Open Sans" w:cs="Open Sans"/>
          <w:szCs w:val="22"/>
          <w:lang w:eastAsia="en-GB"/>
        </w:rPr>
        <w:t xml:space="preserve"> </w:t>
      </w:r>
    </w:p>
    <w:p w14:paraId="4EC34246" w14:textId="77777777" w:rsidR="001254C5" w:rsidRPr="005365EE" w:rsidRDefault="001254C5" w:rsidP="001254C5">
      <w:pPr>
        <w:spacing w:before="120" w:after="120"/>
        <w:rPr>
          <w:rFonts w:ascii="Open Sans" w:hAnsi="Open Sans" w:cs="Open Sans"/>
          <w:szCs w:val="22"/>
          <w:lang w:eastAsia="en-GB"/>
        </w:rPr>
      </w:pPr>
      <w:r w:rsidRPr="005365EE">
        <w:rPr>
          <w:rFonts w:ascii="Open Sans" w:hAnsi="Open Sans" w:cs="Open Sans"/>
          <w:szCs w:val="22"/>
          <w:lang w:eastAsia="en-GB"/>
        </w:rPr>
        <w:t xml:space="preserve">Agricultural plants, which typically use predominantly agricultural feedstock such as manures, slurries, crops and crop residues, are highly unlikely to be set up to take food wastes from commercial sources and local authorities. This is because of the higher capital, processing and operational costs that come with treating these types of wastes, as well as the additional regulatory requirements (i.e. compliance with Animal By-Product Regulations) that would need to be met when these types of wastes are treated. </w:t>
      </w:r>
    </w:p>
    <w:p w14:paraId="33D24D00" w14:textId="77777777" w:rsidR="001254C5" w:rsidRPr="005365EE" w:rsidRDefault="001254C5" w:rsidP="001254C5">
      <w:pPr>
        <w:spacing w:before="120" w:after="120"/>
        <w:rPr>
          <w:rFonts w:ascii="Open Sans" w:hAnsi="Open Sans" w:cs="Open Sans"/>
          <w:szCs w:val="22"/>
          <w:lang w:eastAsia="en-GB"/>
        </w:rPr>
      </w:pPr>
      <w:r w:rsidRPr="005365EE">
        <w:rPr>
          <w:rFonts w:ascii="Open Sans" w:hAnsi="Open Sans" w:cs="Open Sans"/>
          <w:szCs w:val="22"/>
          <w:lang w:eastAsia="en-GB"/>
        </w:rPr>
        <w:t xml:space="preserve">We understand from industry experience that it would not be efficient to build a plant with the flexibility to take both food waste and energy crops. For example, a food waste plant would need different infrastructure, such as front-end grit traps, other front end processes, different odour management systems and secondary containment (~ £1 million). For agricultural plants, tanks tend to be tougher with stirring systems that can handle higher dry matters. Food waste plants would also require pasteurisation units to comply with animal by-product regulations, and, crucially, de-packaging systems to remove plastics and packaging. The only scenario where it becomes feasible to operate a plant on a 50/50 mixture of wastes/residues and crops is when the waste inputs are represented by slurries/manures or other materials such as beet pulp which do not require expensive equipment for removing the plastics or other </w:t>
      </w:r>
      <w:r w:rsidRPr="005365EE">
        <w:rPr>
          <w:rFonts w:ascii="Open Sans" w:hAnsi="Open Sans" w:cs="Open Sans"/>
          <w:szCs w:val="22"/>
          <w:lang w:eastAsia="en-GB"/>
        </w:rPr>
        <w:lastRenderedPageBreak/>
        <w:t xml:space="preserve">contaminants upfront. However, according to members, opportunities for these feedstocks are fairly limited (depending on geographical location and other factors explained below). </w:t>
      </w:r>
    </w:p>
    <w:p w14:paraId="25E0BD1D" w14:textId="77777777" w:rsidR="001254C5" w:rsidRDefault="001254C5" w:rsidP="001254C5">
      <w:pPr>
        <w:spacing w:before="120" w:after="120"/>
        <w:ind w:hanging="2"/>
        <w:rPr>
          <w:rFonts w:ascii="Open Sans" w:hAnsi="Open Sans" w:cs="Open Sans"/>
          <w:szCs w:val="22"/>
          <w:lang w:eastAsia="en-GB"/>
        </w:rPr>
      </w:pPr>
      <w:r>
        <w:rPr>
          <w:rFonts w:ascii="Open Sans" w:hAnsi="Open Sans" w:cs="Open Sans"/>
          <w:szCs w:val="22"/>
          <w:lang w:eastAsia="en-GB"/>
        </w:rPr>
        <w:t>A</w:t>
      </w:r>
      <w:r w:rsidRPr="005365EE">
        <w:rPr>
          <w:rFonts w:ascii="Open Sans" w:hAnsi="Open Sans" w:cs="Open Sans"/>
          <w:szCs w:val="22"/>
          <w:lang w:eastAsia="en-GB"/>
        </w:rPr>
        <w:t xml:space="preserve">vailability of livestock slurries/manures is not even across the country, so in some cases these feedstocks would have to be transported over large distances to be made available at the place where the plants are located. It is therefore likely that there will be extra significant financial costs associated with transporting heavy feedstocks along considerable distances and with storing those feedstocks on site.  </w:t>
      </w:r>
    </w:p>
    <w:p w14:paraId="39C3B948" w14:textId="77777777" w:rsidR="001254C5" w:rsidRPr="005365EE" w:rsidRDefault="001254C5" w:rsidP="001254C5">
      <w:pPr>
        <w:rPr>
          <w:rFonts w:ascii="Open Sans" w:hAnsi="Open Sans" w:cs="Open Sans"/>
          <w:szCs w:val="22"/>
          <w:lang w:eastAsia="en-GB"/>
        </w:rPr>
      </w:pPr>
      <w:r>
        <w:rPr>
          <w:rFonts w:ascii="Open Sans" w:hAnsi="Open Sans" w:cs="Open Sans"/>
          <w:szCs w:val="22"/>
          <w:lang w:eastAsia="en-GB"/>
        </w:rPr>
        <w:t>A</w:t>
      </w:r>
      <w:r w:rsidRPr="005365EE">
        <w:rPr>
          <w:rFonts w:ascii="Open Sans" w:hAnsi="Open Sans" w:cs="Open Sans"/>
          <w:szCs w:val="22"/>
          <w:lang w:eastAsia="en-GB"/>
        </w:rPr>
        <w:t xml:space="preserve"> member highlighted that the South West of the country has significant volumes of slurries and manures, but East Anglia has very limited slurries and manures available. As highlighted in Defra’s livestock density data</w:t>
      </w:r>
      <w:r w:rsidRPr="005365EE">
        <w:rPr>
          <w:rStyle w:val="FootnoteReference"/>
          <w:rFonts w:ascii="Open Sans" w:hAnsi="Open Sans" w:cs="Open Sans"/>
          <w:szCs w:val="22"/>
          <w:lang w:eastAsia="en-GB"/>
        </w:rPr>
        <w:footnoteReference w:id="5"/>
      </w:r>
      <w:r w:rsidRPr="005365EE">
        <w:rPr>
          <w:rFonts w:ascii="Open Sans" w:hAnsi="Open Sans" w:cs="Open Sans"/>
          <w:szCs w:val="22"/>
          <w:lang w:eastAsia="en-GB"/>
        </w:rPr>
        <w:t xml:space="preserve">, there are however hotspots of pigs in East Anglia and East Yorkshire and high density of poultry spread across England and Wales. </w:t>
      </w:r>
      <w:r>
        <w:rPr>
          <w:rFonts w:ascii="Open Sans" w:hAnsi="Open Sans" w:cs="Open Sans"/>
          <w:szCs w:val="22"/>
          <w:lang w:eastAsia="en-GB"/>
        </w:rPr>
        <w:t>S</w:t>
      </w:r>
      <w:r w:rsidRPr="005365EE">
        <w:rPr>
          <w:rFonts w:ascii="Open Sans" w:hAnsi="Open Sans" w:cs="Open Sans"/>
          <w:szCs w:val="22"/>
          <w:lang w:eastAsia="en-GB"/>
        </w:rPr>
        <w:t xml:space="preserve">ome modelling would be required to investigate further the potential access of AD plants to pig or poultry manures within reasonable distances. </w:t>
      </w:r>
    </w:p>
    <w:p w14:paraId="24A7DE64" w14:textId="77777777" w:rsidR="001254C5" w:rsidRPr="005365EE" w:rsidRDefault="001254C5" w:rsidP="001254C5">
      <w:pPr>
        <w:spacing w:before="120" w:after="120"/>
        <w:rPr>
          <w:rFonts w:ascii="Open Sans" w:hAnsi="Open Sans" w:cs="Open Sans"/>
          <w:szCs w:val="22"/>
          <w:lang w:eastAsia="en-GB"/>
        </w:rPr>
      </w:pPr>
      <w:r>
        <w:rPr>
          <w:rFonts w:ascii="Open Sans" w:hAnsi="Open Sans" w:cs="Open Sans"/>
          <w:szCs w:val="22"/>
          <w:lang w:eastAsia="en-GB"/>
        </w:rPr>
        <w:t xml:space="preserve">In addition, </w:t>
      </w:r>
      <w:r w:rsidRPr="005365EE">
        <w:rPr>
          <w:rFonts w:ascii="Open Sans" w:hAnsi="Open Sans" w:cs="Open Sans"/>
          <w:szCs w:val="22"/>
          <w:lang w:eastAsia="en-GB"/>
        </w:rPr>
        <w:t>the use of slurries and manures at this scale would make it very difficult to build efficient and economic developments. Plants would have to be much larger and would require significant quantities of manures and slurries to provide equivalent biogas yields</w:t>
      </w:r>
      <w:r>
        <w:rPr>
          <w:rFonts w:ascii="Open Sans" w:hAnsi="Open Sans" w:cs="Open Sans"/>
          <w:szCs w:val="22"/>
          <w:lang w:eastAsia="en-GB"/>
        </w:rPr>
        <w:t>, as s</w:t>
      </w:r>
      <w:r w:rsidRPr="005365EE">
        <w:rPr>
          <w:rFonts w:ascii="Open Sans" w:hAnsi="Open Sans" w:cs="Open Sans"/>
          <w:szCs w:val="22"/>
          <w:lang w:eastAsia="en-GB"/>
        </w:rPr>
        <w:t>lurry and manures typically contains low levels of biogas energy per fresh tonne.</w:t>
      </w:r>
    </w:p>
    <w:p w14:paraId="570B76FF" w14:textId="77777777" w:rsidR="001254C5" w:rsidRPr="005365EE" w:rsidRDefault="001254C5" w:rsidP="001254C5">
      <w:pPr>
        <w:spacing w:before="120" w:after="120"/>
        <w:rPr>
          <w:rFonts w:ascii="Open Sans" w:hAnsi="Open Sans" w:cs="Open Sans"/>
          <w:szCs w:val="22"/>
          <w:lang w:eastAsia="en-GB"/>
        </w:rPr>
      </w:pPr>
      <w:r>
        <w:rPr>
          <w:rFonts w:ascii="Open Sans" w:hAnsi="Open Sans" w:cs="Open Sans"/>
          <w:szCs w:val="22"/>
          <w:lang w:eastAsia="en-GB"/>
        </w:rPr>
        <w:t>I</w:t>
      </w:r>
      <w:r w:rsidRPr="005365EE">
        <w:rPr>
          <w:rFonts w:ascii="Open Sans" w:hAnsi="Open Sans" w:cs="Open Sans"/>
          <w:szCs w:val="22"/>
          <w:lang w:eastAsia="en-GB"/>
        </w:rPr>
        <w:t xml:space="preserve">ncreasing the 50% proportion for farm-based plants may in some cases drive up the transport distances that these residues will travel. In addition, it may create a perverse incentive that could result in AD plants having to buy slurries and manures to make up the minimum percentage. </w:t>
      </w:r>
    </w:p>
    <w:p w14:paraId="6DE0F837" w14:textId="77777777" w:rsidR="001254C5" w:rsidRPr="005365EE" w:rsidRDefault="001254C5" w:rsidP="001254C5">
      <w:pPr>
        <w:spacing w:before="120" w:after="120"/>
        <w:rPr>
          <w:rFonts w:ascii="Open Sans" w:hAnsi="Open Sans" w:cs="Open Sans"/>
          <w:szCs w:val="22"/>
          <w:lang w:eastAsia="en-GB"/>
        </w:rPr>
      </w:pPr>
      <w:r w:rsidRPr="005365EE">
        <w:rPr>
          <w:rFonts w:ascii="Open Sans" w:hAnsi="Open Sans" w:cs="Open Sans"/>
          <w:szCs w:val="22"/>
          <w:lang w:eastAsia="en-GB"/>
        </w:rPr>
        <w:t xml:space="preserve">Poultry manure can contain the highest biogas energy levels per fresh tonne but it also contains relatively high nitrogen levels. These could inhibit the AD process, so they need to be balanced with a low nitrogen high carbon feedstock </w:t>
      </w:r>
      <w:r>
        <w:rPr>
          <w:rFonts w:ascii="Open Sans" w:hAnsi="Open Sans" w:cs="Open Sans"/>
          <w:szCs w:val="22"/>
          <w:lang w:eastAsia="en-GB"/>
        </w:rPr>
        <w:t xml:space="preserve">like energy crops </w:t>
      </w:r>
      <w:r w:rsidRPr="005365EE">
        <w:rPr>
          <w:rFonts w:ascii="Open Sans" w:hAnsi="Open Sans" w:cs="Open Sans"/>
          <w:szCs w:val="22"/>
          <w:lang w:eastAsia="en-GB"/>
        </w:rPr>
        <w:t xml:space="preserve">that can maintain the stability and energy output of the AD plant. </w:t>
      </w:r>
    </w:p>
    <w:p w14:paraId="6A9F3F2D" w14:textId="77777777" w:rsidR="001254C5" w:rsidRPr="005365EE" w:rsidRDefault="001254C5" w:rsidP="001254C5">
      <w:pPr>
        <w:spacing w:before="120" w:after="120"/>
        <w:rPr>
          <w:rFonts w:ascii="Open Sans" w:hAnsi="Open Sans" w:cs="Open Sans"/>
          <w:szCs w:val="22"/>
          <w:lang w:eastAsia="en-GB"/>
        </w:rPr>
      </w:pPr>
      <w:r w:rsidRPr="005365EE">
        <w:rPr>
          <w:rFonts w:ascii="Open Sans" w:hAnsi="Open Sans" w:cs="Open Sans"/>
          <w:szCs w:val="22"/>
          <w:lang w:eastAsia="en-GB"/>
        </w:rPr>
        <w:t>Alternative feedstocks will need to be found by AD developers and operators – e.g. from production processes or from agriculture – however many of these feedstocks (for example straw or other grassy and woody energy crops) are not easily digestible and would require additional pre-treatment, and therefore additional capital and operational costs, before they can be digested effectively.  </w:t>
      </w:r>
    </w:p>
    <w:p w14:paraId="7A47A272" w14:textId="77777777" w:rsidR="001254C5" w:rsidRPr="005365EE" w:rsidRDefault="001254C5" w:rsidP="001254C5">
      <w:pPr>
        <w:spacing w:before="120" w:after="120"/>
        <w:rPr>
          <w:rFonts w:ascii="Open Sans" w:hAnsi="Open Sans" w:cs="Open Sans"/>
          <w:szCs w:val="22"/>
          <w:lang w:eastAsia="en-GB"/>
        </w:rPr>
      </w:pPr>
      <w:r w:rsidRPr="005365EE">
        <w:rPr>
          <w:rFonts w:ascii="Open Sans" w:hAnsi="Open Sans" w:cs="Open Sans"/>
          <w:szCs w:val="22"/>
          <w:lang w:eastAsia="en-GB"/>
        </w:rPr>
        <w:t xml:space="preserve">As highlighted in this </w:t>
      </w:r>
      <w:hyperlink r:id="rId29" w:history="1">
        <w:r w:rsidRPr="005365EE">
          <w:rPr>
            <w:rFonts w:ascii="Open Sans" w:hAnsi="Open Sans" w:cs="Open Sans"/>
            <w:szCs w:val="22"/>
            <w:u w:val="single"/>
            <w:lang w:eastAsia="en-GB"/>
          </w:rPr>
          <w:t xml:space="preserve">report </w:t>
        </w:r>
      </w:hyperlink>
      <w:r w:rsidRPr="005365EE">
        <w:rPr>
          <w:rFonts w:ascii="Open Sans" w:hAnsi="Open Sans" w:cs="Open Sans"/>
          <w:szCs w:val="22"/>
          <w:lang w:eastAsia="en-GB"/>
        </w:rPr>
        <w:t xml:space="preserve">published by BEIS, there are different technology options available to pre-treat feedstocks with a high lignocellulosic content, but there is still much uncertainty on their efficiency, reliability and capability to work at scales appropriate to AD sites. </w:t>
      </w:r>
    </w:p>
    <w:p w14:paraId="292FEE58" w14:textId="77777777" w:rsidR="001254C5" w:rsidRPr="005365EE" w:rsidRDefault="001254C5" w:rsidP="001254C5">
      <w:pPr>
        <w:spacing w:before="120" w:after="120"/>
        <w:rPr>
          <w:rFonts w:ascii="Open Sans" w:hAnsi="Open Sans" w:cs="Open Sans"/>
          <w:szCs w:val="22"/>
          <w:lang w:eastAsia="en-GB"/>
        </w:rPr>
      </w:pPr>
      <w:r w:rsidRPr="005365EE">
        <w:rPr>
          <w:rFonts w:ascii="Open Sans" w:hAnsi="Open Sans" w:cs="Open Sans"/>
          <w:szCs w:val="22"/>
          <w:lang w:eastAsia="en-GB"/>
        </w:rPr>
        <w:t xml:space="preserve">Also, some types of residues are often subject to spot market pricing changes and it is extremely important that AD plants have the ability to secure these feedstocks when they are available. At present, Ofgem’s Fuel Measurement and Sampling approval process is creating a significant barrier to the uptake of new feedstocks at AD plants, so this will need to be </w:t>
      </w:r>
      <w:r w:rsidRPr="005365EE">
        <w:rPr>
          <w:rFonts w:ascii="Open Sans" w:hAnsi="Open Sans" w:cs="Open Sans"/>
          <w:szCs w:val="22"/>
          <w:lang w:eastAsia="en-GB"/>
        </w:rPr>
        <w:lastRenderedPageBreak/>
        <w:t>addressed to encourage wastes and residues uptake at AD plants</w:t>
      </w:r>
      <w:r>
        <w:rPr>
          <w:rFonts w:ascii="Open Sans" w:hAnsi="Open Sans" w:cs="Open Sans"/>
          <w:szCs w:val="22"/>
          <w:lang w:eastAsia="en-GB"/>
        </w:rPr>
        <w:t xml:space="preserve"> (see further detail in our answer to question 9. </w:t>
      </w:r>
    </w:p>
    <w:p w14:paraId="2ED7746C" w14:textId="77777777" w:rsidR="001254C5" w:rsidRPr="005365EE" w:rsidRDefault="001254C5" w:rsidP="001254C5">
      <w:pPr>
        <w:spacing w:before="120" w:after="120"/>
        <w:rPr>
          <w:rFonts w:ascii="Open Sans" w:hAnsi="Open Sans" w:cs="Open Sans"/>
          <w:szCs w:val="22"/>
          <w:lang w:eastAsia="en-GB"/>
        </w:rPr>
      </w:pPr>
    </w:p>
    <w:p w14:paraId="1A9A0D88" w14:textId="77777777" w:rsidR="001254C5" w:rsidRPr="005365EE" w:rsidRDefault="001254C5" w:rsidP="001254C5">
      <w:pPr>
        <w:spacing w:before="120" w:after="120"/>
        <w:ind w:left="280" w:hanging="280"/>
        <w:rPr>
          <w:rFonts w:ascii="Open Sans" w:hAnsi="Open Sans" w:cs="Open Sans"/>
          <w:szCs w:val="22"/>
          <w:lang w:eastAsia="en-GB"/>
        </w:rPr>
      </w:pPr>
      <w:bookmarkStart w:id="32" w:name="_Hlk43738907"/>
      <w:r w:rsidRPr="005365EE">
        <w:rPr>
          <w:rFonts w:ascii="Open Sans" w:hAnsi="Open Sans" w:cs="Open Sans"/>
          <w:szCs w:val="22"/>
          <w:lang w:eastAsia="en-GB"/>
        </w:rPr>
        <w:t xml:space="preserve">3.   </w:t>
      </w:r>
      <w:r w:rsidRPr="005365EE">
        <w:rPr>
          <w:rFonts w:ascii="Open Sans" w:hAnsi="Open Sans" w:cs="Open Sans"/>
          <w:szCs w:val="22"/>
          <w:u w:val="single"/>
          <w:lang w:eastAsia="en-GB"/>
        </w:rPr>
        <w:t>Benefits of rotational energy crops and regenerative farming with AD</w:t>
      </w:r>
    </w:p>
    <w:p w14:paraId="2305DA06" w14:textId="77777777" w:rsidR="001254C5" w:rsidRPr="005365EE" w:rsidRDefault="001254C5" w:rsidP="001254C5">
      <w:pPr>
        <w:spacing w:before="120" w:after="120"/>
        <w:contextualSpacing/>
        <w:jc w:val="left"/>
        <w:rPr>
          <w:rFonts w:ascii="Open Sans" w:hAnsi="Open Sans" w:cs="Open Sans"/>
          <w:szCs w:val="22"/>
          <w:lang w:eastAsia="en-GB"/>
        </w:rPr>
      </w:pPr>
      <w:r w:rsidRPr="005365EE">
        <w:rPr>
          <w:rFonts w:ascii="Open Sans" w:hAnsi="Open Sans" w:cs="Open Sans"/>
          <w:szCs w:val="22"/>
          <w:lang w:eastAsia="en-GB"/>
        </w:rPr>
        <w:t>It is also important for Government to recognise the benefits that are brough</w:t>
      </w:r>
      <w:r>
        <w:rPr>
          <w:rFonts w:ascii="Open Sans" w:hAnsi="Open Sans" w:cs="Open Sans"/>
          <w:szCs w:val="22"/>
          <w:lang w:eastAsia="en-GB"/>
        </w:rPr>
        <w:t>t</w:t>
      </w:r>
      <w:r w:rsidRPr="005365EE">
        <w:rPr>
          <w:rFonts w:ascii="Open Sans" w:hAnsi="Open Sans" w:cs="Open Sans"/>
          <w:szCs w:val="22"/>
          <w:lang w:eastAsia="en-GB"/>
        </w:rPr>
        <w:t xml:space="preserve"> to farming businesses from the integration of AD cropping into arable rotations, by providing robust rotational options, local markets and opportunity for improving soil health and biodiversity. It is important to recognise that, when grown sustainably, in line with good practice and high environmental standards, crops grown for use in AD plants in combination with wastes and residues can have a really positive effect on the wider farmed environment e.g. rotational benefits, broader agronomic benefits, soil carbon and soil health in arable intensive areas of the UK where organic matter is less readily available.</w:t>
      </w:r>
      <w:r w:rsidRPr="005365EE">
        <w:rPr>
          <w:rFonts w:ascii="Open Sans" w:hAnsi="Open Sans" w:cs="Open Sans"/>
          <w:szCs w:val="22"/>
        </w:rPr>
        <w:t xml:space="preserve"> </w:t>
      </w:r>
      <w:r w:rsidRPr="005365EE">
        <w:rPr>
          <w:rFonts w:ascii="Open Sans" w:hAnsi="Open Sans" w:cs="Open Sans"/>
          <w:szCs w:val="22"/>
          <w:lang w:eastAsia="en-GB"/>
        </w:rPr>
        <w:t> </w:t>
      </w:r>
    </w:p>
    <w:p w14:paraId="3289D3D3" w14:textId="77777777" w:rsidR="001254C5" w:rsidRDefault="001254C5" w:rsidP="001254C5">
      <w:pPr>
        <w:spacing w:before="120" w:after="120"/>
        <w:rPr>
          <w:rFonts w:ascii="Open Sans" w:hAnsi="Open Sans" w:cs="Open Sans"/>
          <w:szCs w:val="22"/>
          <w:lang w:eastAsia="en-GB"/>
        </w:rPr>
      </w:pPr>
      <w:r w:rsidRPr="005365EE">
        <w:rPr>
          <w:rFonts w:ascii="Open Sans" w:hAnsi="Open Sans" w:cs="Open Sans"/>
          <w:szCs w:val="22"/>
          <w:lang w:eastAsia="en-GB"/>
        </w:rPr>
        <w:t>We are pleased to see that in the consultation document Defra recognises that ‘</w:t>
      </w:r>
      <w:r w:rsidRPr="005365EE">
        <w:rPr>
          <w:rFonts w:ascii="Open Sans" w:hAnsi="Open Sans" w:cs="Open Sans"/>
          <w:i/>
          <w:iCs/>
          <w:szCs w:val="22"/>
          <w:lang w:eastAsia="en-GB"/>
        </w:rPr>
        <w:t>energy crops can be incorporated into arable locations as cover crops’,</w:t>
      </w:r>
      <w:r w:rsidRPr="005365EE">
        <w:rPr>
          <w:rFonts w:ascii="Open Sans" w:hAnsi="Open Sans" w:cs="Open Sans"/>
          <w:szCs w:val="22"/>
          <w:lang w:eastAsia="en-GB"/>
        </w:rPr>
        <w:t xml:space="preserve"> and that ‘</w:t>
      </w:r>
      <w:r w:rsidRPr="005365EE">
        <w:rPr>
          <w:rFonts w:ascii="Open Sans" w:hAnsi="Open Sans" w:cs="Open Sans"/>
          <w:i/>
          <w:iCs/>
          <w:szCs w:val="22"/>
          <w:lang w:eastAsia="en-GB"/>
        </w:rPr>
        <w:t>where appropriate, such approaches would integrate energy and food production and could bring additional benefits to agriculture and the rural economy’</w:t>
      </w:r>
      <w:r w:rsidRPr="005365EE">
        <w:rPr>
          <w:rFonts w:ascii="Open Sans" w:hAnsi="Open Sans" w:cs="Open Sans"/>
          <w:szCs w:val="22"/>
          <w:lang w:eastAsia="en-GB"/>
        </w:rPr>
        <w:t>.</w:t>
      </w:r>
    </w:p>
    <w:p w14:paraId="6C900F9B" w14:textId="77777777" w:rsidR="001254C5" w:rsidRPr="005365EE" w:rsidRDefault="001254C5" w:rsidP="001254C5">
      <w:pPr>
        <w:spacing w:before="120" w:after="120"/>
        <w:rPr>
          <w:rFonts w:ascii="Open Sans" w:hAnsi="Open Sans" w:cs="Open Sans"/>
          <w:szCs w:val="22"/>
          <w:lang w:eastAsia="en-GB"/>
        </w:rPr>
      </w:pPr>
      <w:r w:rsidRPr="005365EE">
        <w:rPr>
          <w:rFonts w:ascii="Open Sans" w:hAnsi="Open Sans" w:cs="Open Sans"/>
          <w:szCs w:val="22"/>
          <w:lang w:eastAsia="en-GB"/>
        </w:rPr>
        <w:t>AD operators’ and growers’ experience shows that when energy crops are grown sustainably and to high standards, in rotation with food crops, this will bring significant environmental and economic benefits to the farming system. However, we understand that industry need to be able to demonstrate that best practise has been adopted in the production, harvest and storage of energy crops.</w:t>
      </w:r>
    </w:p>
    <w:bookmarkEnd w:id="32"/>
    <w:p w14:paraId="6DB391DC" w14:textId="77777777" w:rsidR="001254C5" w:rsidRPr="005365EE" w:rsidRDefault="001254C5" w:rsidP="001254C5">
      <w:pPr>
        <w:spacing w:before="240"/>
        <w:rPr>
          <w:rFonts w:ascii="Open Sans" w:hAnsi="Open Sans" w:cs="Open Sans"/>
          <w:szCs w:val="22"/>
          <w:lang w:eastAsia="en-GB"/>
        </w:rPr>
      </w:pPr>
      <w:r w:rsidRPr="005365EE">
        <w:rPr>
          <w:rFonts w:ascii="Open Sans" w:hAnsi="Open Sans" w:cs="Open Sans"/>
          <w:szCs w:val="22"/>
          <w:lang w:eastAsia="en-GB"/>
        </w:rPr>
        <w:t xml:space="preserve">If BEIS and Defra need more assurance that AD cropping is carried out in an environmentally sustainable way that benefits farming and does not negatively affect food production, we would recommend that an independent certification scheme for growing rotational energy crops is developed by industry or an independent established body. We would like to point out that similar schemes are already in place and it would not be difficult to adapt them to include AD rotational cropping. For example, LEAF (Linking Environment And Farming LEAF is an organisation working with farmers, the food industry, scientists and consumers, to encourage and enable sustainable farming that is prosperous, enriches the environment and engages local communities. They own the </w:t>
      </w:r>
      <w:hyperlink r:id="rId30" w:history="1">
        <w:r w:rsidRPr="005365EE">
          <w:rPr>
            <w:rFonts w:ascii="Open Sans" w:hAnsi="Open Sans" w:cs="Open Sans"/>
            <w:szCs w:val="22"/>
            <w:u w:val="single"/>
            <w:lang w:eastAsia="en-GB"/>
          </w:rPr>
          <w:t>LEAF Marque Standard</w:t>
        </w:r>
      </w:hyperlink>
      <w:r w:rsidRPr="005365EE">
        <w:rPr>
          <w:rFonts w:ascii="Open Sans" w:hAnsi="Open Sans" w:cs="Open Sans"/>
          <w:szCs w:val="22"/>
          <w:lang w:eastAsia="en-GB"/>
        </w:rPr>
        <w:t>, an assurance system recognising more sustainably farmed products and standing for more environmental sustainability. It is held by farm businesses which meet their rigorous standards of sustainable farming practice. LEAF Marque certified businesses have been independently verified against the robust LEAF Marque Standard. LEAF Marque certification is third party verified by LEAF Marque approved and accredited Certification Bodies (CBs). </w:t>
      </w:r>
    </w:p>
    <w:p w14:paraId="1CEF9C23" w14:textId="77777777" w:rsidR="001254C5" w:rsidRPr="005365EE" w:rsidRDefault="001254C5" w:rsidP="001254C5">
      <w:pPr>
        <w:spacing w:before="240"/>
        <w:rPr>
          <w:rFonts w:ascii="Open Sans" w:hAnsi="Open Sans" w:cs="Open Sans"/>
          <w:szCs w:val="22"/>
          <w:lang w:eastAsia="en-GB"/>
        </w:rPr>
      </w:pPr>
      <w:r w:rsidRPr="005365EE">
        <w:rPr>
          <w:rFonts w:ascii="Open Sans" w:hAnsi="Open Sans" w:cs="Open Sans"/>
          <w:szCs w:val="22"/>
          <w:lang w:eastAsia="en-GB"/>
        </w:rPr>
        <w:t>A similar standard for growing crops for AD could be developed in collaboration with LEAF or could be integrated within their LEAF Marque Standard.  The</w:t>
      </w:r>
      <w:hyperlink r:id="rId31" w:history="1">
        <w:r w:rsidRPr="005365EE">
          <w:rPr>
            <w:rFonts w:ascii="Open Sans" w:hAnsi="Open Sans" w:cs="Open Sans"/>
            <w:szCs w:val="22"/>
            <w:u w:val="single"/>
            <w:lang w:eastAsia="en-GB"/>
          </w:rPr>
          <w:t xml:space="preserve"> Code of practice</w:t>
        </w:r>
      </w:hyperlink>
      <w:r w:rsidRPr="005365EE">
        <w:rPr>
          <w:rFonts w:ascii="Open Sans" w:hAnsi="Open Sans" w:cs="Open Sans"/>
          <w:szCs w:val="22"/>
          <w:lang w:eastAsia="en-GB"/>
        </w:rPr>
        <w:t xml:space="preserve"> for growing energy crops could be included within the standard and updated if required. This standard was developed by industry to minimise any environmental risks from growing crops and has been adhered to by the biogas and biomethane sector</w:t>
      </w:r>
      <w:r>
        <w:rPr>
          <w:rFonts w:ascii="Open Sans" w:hAnsi="Open Sans" w:cs="Open Sans"/>
          <w:szCs w:val="22"/>
          <w:lang w:eastAsia="en-GB"/>
        </w:rPr>
        <w:t>.</w:t>
      </w:r>
    </w:p>
    <w:p w14:paraId="2F459DE4" w14:textId="77777777" w:rsidR="001254C5" w:rsidRPr="005365EE" w:rsidRDefault="001254C5" w:rsidP="001254C5">
      <w:pPr>
        <w:rPr>
          <w:rFonts w:ascii="Open Sans" w:hAnsi="Open Sans" w:cs="Open Sans"/>
          <w:color w:val="0070C0"/>
          <w:szCs w:val="22"/>
          <w:lang w:eastAsia="en-GB"/>
        </w:rPr>
      </w:pPr>
    </w:p>
    <w:p w14:paraId="1CC70FFE" w14:textId="77777777" w:rsidR="001254C5" w:rsidRPr="005365EE" w:rsidRDefault="001254C5" w:rsidP="001254C5">
      <w:pPr>
        <w:spacing w:before="120" w:after="120"/>
        <w:ind w:left="420" w:hanging="420"/>
        <w:rPr>
          <w:rFonts w:ascii="Open Sans" w:hAnsi="Open Sans" w:cs="Open Sans"/>
          <w:szCs w:val="22"/>
          <w:lang w:eastAsia="en-GB"/>
        </w:rPr>
      </w:pPr>
      <w:r w:rsidRPr="005365EE">
        <w:rPr>
          <w:rFonts w:ascii="Open Sans" w:hAnsi="Open Sans" w:cs="Open Sans"/>
          <w:color w:val="0070C0"/>
          <w:szCs w:val="22"/>
          <w:lang w:eastAsia="en-GB"/>
        </w:rPr>
        <w:t xml:space="preserve">4.   </w:t>
      </w:r>
      <w:r w:rsidRPr="005365EE">
        <w:rPr>
          <w:rFonts w:ascii="Open Sans" w:hAnsi="Open Sans" w:cs="Open Sans"/>
          <w:szCs w:val="22"/>
          <w:u w:val="single"/>
          <w:lang w:eastAsia="en-GB"/>
        </w:rPr>
        <w:t>Regenerative farming with AD rotational cropping can deliver public goods under the future Defra’s farming policy</w:t>
      </w:r>
    </w:p>
    <w:p w14:paraId="1BBD46C9" w14:textId="77777777" w:rsidR="001254C5" w:rsidRPr="005365EE" w:rsidRDefault="001254C5" w:rsidP="001254C5">
      <w:pPr>
        <w:spacing w:before="120" w:after="120"/>
        <w:rPr>
          <w:rFonts w:ascii="Open Sans" w:hAnsi="Open Sans" w:cs="Open Sans"/>
          <w:szCs w:val="22"/>
          <w:lang w:eastAsia="en-GB"/>
        </w:rPr>
      </w:pPr>
      <w:bookmarkStart w:id="33" w:name="_Hlk42164149"/>
      <w:r w:rsidRPr="005365EE">
        <w:rPr>
          <w:rFonts w:ascii="Open Sans" w:hAnsi="Open Sans" w:cs="Open Sans"/>
          <w:szCs w:val="22"/>
          <w:lang w:eastAsia="en-GB"/>
        </w:rPr>
        <w:lastRenderedPageBreak/>
        <w:t>Defra is developing a new farming policy that will only reward farmers for delivering public goods. In February 2020, Defra released a</w:t>
      </w:r>
      <w:hyperlink r:id="rId32" w:history="1">
        <w:r w:rsidRPr="005365EE">
          <w:rPr>
            <w:rFonts w:ascii="Open Sans" w:hAnsi="Open Sans" w:cs="Open Sans"/>
            <w:szCs w:val="22"/>
            <w:u w:val="single"/>
            <w:lang w:eastAsia="en-GB"/>
          </w:rPr>
          <w:t xml:space="preserve"> Consultation and policy discussion document</w:t>
        </w:r>
      </w:hyperlink>
      <w:r w:rsidRPr="005365EE">
        <w:rPr>
          <w:rFonts w:ascii="Open Sans" w:hAnsi="Open Sans" w:cs="Open Sans"/>
          <w:szCs w:val="22"/>
          <w:lang w:eastAsia="en-GB"/>
        </w:rPr>
        <w:t xml:space="preserve"> to set out the initial proposed design for the replacement of CAP – the Environmental Land Management Scheme (ELM). Although the consultation is currently on hold due to COVID-19, we expect the consultation to be re-instated at some point in the near future. </w:t>
      </w:r>
    </w:p>
    <w:p w14:paraId="475159BF" w14:textId="77777777" w:rsidR="001254C5" w:rsidRPr="005365EE" w:rsidRDefault="001254C5" w:rsidP="001254C5">
      <w:pPr>
        <w:spacing w:before="120" w:after="120"/>
        <w:rPr>
          <w:rFonts w:ascii="Open Sans" w:hAnsi="Open Sans" w:cs="Open Sans"/>
          <w:szCs w:val="22"/>
          <w:lang w:eastAsia="en-GB"/>
        </w:rPr>
      </w:pPr>
      <w:r w:rsidRPr="005365EE">
        <w:rPr>
          <w:rFonts w:ascii="Open Sans" w:hAnsi="Open Sans" w:cs="Open Sans"/>
          <w:szCs w:val="22"/>
          <w:lang w:eastAsia="en-GB"/>
        </w:rPr>
        <w:t>The design sees the Department move from one broad scheme, to offering one with three distinct tiers. It is proposed that Tier 1 in particular will be targeted at the majority of farmers, with payments being given based on uptake of methods that promote environmentally sustainable farming and forestry practices. Tier 2 will support land managers in delivering locally targeted environmental outcomes, which focus on local priorities, and Tier 3 will be designed to enable delivery of ‘landscape scale’ land use change projects.</w:t>
      </w:r>
    </w:p>
    <w:p w14:paraId="16ECCE3B" w14:textId="77777777" w:rsidR="001254C5" w:rsidRDefault="001254C5" w:rsidP="001254C5">
      <w:pPr>
        <w:spacing w:before="120" w:after="120"/>
        <w:rPr>
          <w:rFonts w:ascii="Open Sans" w:hAnsi="Open Sans" w:cs="Open Sans"/>
          <w:szCs w:val="22"/>
          <w:lang w:eastAsia="en-GB"/>
        </w:rPr>
      </w:pPr>
      <w:bookmarkStart w:id="34" w:name="_Hlk43739005"/>
      <w:r w:rsidRPr="005365EE">
        <w:rPr>
          <w:rFonts w:ascii="Open Sans" w:hAnsi="Open Sans" w:cs="Open Sans"/>
          <w:szCs w:val="22"/>
          <w:lang w:eastAsia="en-GB"/>
        </w:rPr>
        <w:t xml:space="preserve">As already highlighted above, AD of manures or other wastes and residues combined with rotational cropping, where this is done in line with best practice and high environmental standards, will deliver environmentally sustainable farming practices including nutrient management (including manure management), soil management (including soil organic matter content) and field cover (such as cover crops and rotations). Not only </w:t>
      </w:r>
      <w:r>
        <w:rPr>
          <w:rFonts w:ascii="Open Sans" w:hAnsi="Open Sans" w:cs="Open Sans"/>
          <w:szCs w:val="22"/>
          <w:lang w:eastAsia="en-GB"/>
        </w:rPr>
        <w:t xml:space="preserve">will </w:t>
      </w:r>
      <w:r w:rsidRPr="005365EE">
        <w:rPr>
          <w:rFonts w:ascii="Open Sans" w:hAnsi="Open Sans" w:cs="Open Sans"/>
          <w:szCs w:val="22"/>
          <w:lang w:eastAsia="en-GB"/>
        </w:rPr>
        <w:t xml:space="preserve">these practices not have a negative impact on the land, but they will also have numerous environmental benefits as described above. </w:t>
      </w:r>
    </w:p>
    <w:p w14:paraId="15B058BF" w14:textId="77777777" w:rsidR="001254C5" w:rsidRPr="007F7271" w:rsidRDefault="001254C5" w:rsidP="001254C5">
      <w:pPr>
        <w:pStyle w:val="CommentText"/>
        <w:rPr>
          <w:rFonts w:ascii="Open Sans" w:hAnsi="Open Sans" w:cs="Open Sans"/>
          <w:sz w:val="22"/>
          <w:szCs w:val="22"/>
          <w:lang w:eastAsia="en-GB"/>
        </w:rPr>
      </w:pPr>
      <w:r>
        <w:rPr>
          <w:rFonts w:ascii="Open Sans" w:hAnsi="Open Sans" w:cs="Open Sans"/>
          <w:sz w:val="22"/>
          <w:szCs w:val="22"/>
          <w:lang w:eastAsia="en-GB"/>
        </w:rPr>
        <w:t>A</w:t>
      </w:r>
      <w:r w:rsidRPr="007F7271">
        <w:rPr>
          <w:rFonts w:ascii="Open Sans" w:hAnsi="Open Sans" w:cs="Open Sans"/>
          <w:sz w:val="22"/>
          <w:szCs w:val="22"/>
          <w:lang w:eastAsia="en-GB"/>
        </w:rPr>
        <w:t xml:space="preserve"> key driver for the current restrictions was concern around agricultural practices in the cultivation of maize (mainly around soil compaction if harvesting in October/November). Sustainability criteria based on GHG savings would not hinder this, assuming the land used is well established crop land.</w:t>
      </w:r>
      <w:r>
        <w:rPr>
          <w:rFonts w:ascii="Open Sans" w:hAnsi="Open Sans" w:cs="Open Sans"/>
          <w:sz w:val="22"/>
          <w:szCs w:val="22"/>
          <w:lang w:eastAsia="en-GB"/>
        </w:rPr>
        <w:t xml:space="preserve"> </w:t>
      </w:r>
      <w:r w:rsidRPr="007F7271">
        <w:rPr>
          <w:rFonts w:ascii="Open Sans" w:hAnsi="Open Sans" w:cs="Open Sans"/>
          <w:sz w:val="22"/>
          <w:szCs w:val="22"/>
          <w:lang w:eastAsia="en-GB"/>
        </w:rPr>
        <w:t>So if there remains a need to manage risks around maize cultivation then these should be addressed via the new farming policies – and applied consistently to maize cultivation for all purposes, not purely those for energy.</w:t>
      </w:r>
    </w:p>
    <w:bookmarkEnd w:id="34"/>
    <w:p w14:paraId="29494A6A" w14:textId="77777777" w:rsidR="001254C5" w:rsidRPr="005365EE" w:rsidRDefault="001254C5" w:rsidP="001254C5">
      <w:pPr>
        <w:spacing w:before="120" w:after="120"/>
        <w:rPr>
          <w:rFonts w:ascii="Open Sans" w:hAnsi="Open Sans" w:cs="Open Sans"/>
          <w:szCs w:val="22"/>
          <w:lang w:eastAsia="en-GB"/>
        </w:rPr>
      </w:pPr>
      <w:r w:rsidRPr="005365EE">
        <w:rPr>
          <w:rFonts w:ascii="Open Sans" w:hAnsi="Open Sans" w:cs="Open Sans"/>
          <w:szCs w:val="22"/>
          <w:lang w:eastAsia="en-GB"/>
        </w:rPr>
        <w:t xml:space="preserve">In addition, the European Commission has recently adopted its </w:t>
      </w:r>
      <w:hyperlink r:id="rId33" w:history="1">
        <w:r w:rsidRPr="005365EE">
          <w:rPr>
            <w:rStyle w:val="Hyperlink"/>
            <w:rFonts w:ascii="Open Sans" w:hAnsi="Open Sans" w:cs="Open Sans"/>
            <w:color w:val="auto"/>
            <w:szCs w:val="22"/>
            <w:lang w:eastAsia="en-GB"/>
          </w:rPr>
          <w:t>Biodiversity strategy for 2030</w:t>
        </w:r>
      </w:hyperlink>
      <w:r w:rsidRPr="005365EE">
        <w:rPr>
          <w:rFonts w:ascii="Open Sans" w:hAnsi="Open Sans" w:cs="Open Sans"/>
          <w:szCs w:val="22"/>
          <w:lang w:eastAsia="en-GB"/>
        </w:rPr>
        <w:t xml:space="preserve"> and the </w:t>
      </w:r>
      <w:hyperlink r:id="rId34" w:history="1">
        <w:r w:rsidRPr="005365EE">
          <w:rPr>
            <w:rStyle w:val="Hyperlink"/>
            <w:rFonts w:ascii="Open Sans" w:hAnsi="Open Sans" w:cs="Open Sans"/>
            <w:color w:val="auto"/>
            <w:szCs w:val="22"/>
            <w:lang w:eastAsia="en-GB"/>
          </w:rPr>
          <w:t>Farm to Fork Strategy</w:t>
        </w:r>
      </w:hyperlink>
      <w:r w:rsidRPr="005365EE">
        <w:rPr>
          <w:rFonts w:ascii="Open Sans" w:hAnsi="Open Sans" w:cs="Open Sans"/>
          <w:szCs w:val="22"/>
          <w:lang w:eastAsia="en-GB"/>
        </w:rPr>
        <w:t xml:space="preserve">. These strategies are key pillars of the EU Green Deal and are essential to recognise the contribution of biogas and biomethane to sustainable farming and the protection of biodiversity. Crop rotations and significant reduction in the use of pesticides and inorganic fertilisers will be key measures to deliver these strategies and anaerobic digestion of waste and residues combined with rotational crops, combined with digestate use on agricultural land, can deliver on all three of these measures, as well as </w:t>
      </w:r>
    </w:p>
    <w:p w14:paraId="7BB892BB" w14:textId="77777777" w:rsidR="001254C5" w:rsidRPr="005365EE" w:rsidRDefault="001254C5" w:rsidP="001254C5">
      <w:pPr>
        <w:spacing w:before="120" w:after="120"/>
        <w:rPr>
          <w:rFonts w:ascii="Open Sans" w:hAnsi="Open Sans" w:cs="Open Sans"/>
          <w:szCs w:val="22"/>
          <w:lang w:eastAsia="en-GB"/>
        </w:rPr>
      </w:pPr>
      <w:r w:rsidRPr="005365EE">
        <w:rPr>
          <w:rFonts w:ascii="Open Sans" w:hAnsi="Open Sans" w:cs="Open Sans"/>
          <w:szCs w:val="22"/>
          <w:lang w:eastAsia="en-GB"/>
        </w:rPr>
        <w:t>In summary, a joined up and coherent strategy across Government Departments is needed to ensure the benefits highlighted above are adequately recognised and that the Government’s objectives to decarbonise the heat, agriculture and waste sectors are met.</w:t>
      </w:r>
    </w:p>
    <w:p w14:paraId="72E2020C" w14:textId="77777777" w:rsidR="001254C5" w:rsidRPr="005365EE" w:rsidRDefault="001254C5" w:rsidP="001254C5">
      <w:pPr>
        <w:spacing w:before="120" w:after="120"/>
        <w:rPr>
          <w:rFonts w:ascii="Open Sans" w:hAnsi="Open Sans" w:cs="Open Sans"/>
          <w:szCs w:val="22"/>
          <w:lang w:eastAsia="en-GB"/>
        </w:rPr>
      </w:pPr>
      <w:r w:rsidRPr="005365EE">
        <w:rPr>
          <w:rFonts w:ascii="Open Sans" w:hAnsi="Open Sans" w:cs="Open Sans"/>
          <w:szCs w:val="22"/>
          <w:lang w:eastAsia="en-GB"/>
        </w:rPr>
        <w:t xml:space="preserve">We therefore ask that a clearer and stronger link should be established between BEIS’ policy on green gas and Defra’s new farming policy, which highlights the role of bioenergy crops in delivering both policies. </w:t>
      </w:r>
    </w:p>
    <w:p w14:paraId="637578C6" w14:textId="77777777" w:rsidR="001254C5" w:rsidRPr="005365EE" w:rsidRDefault="001254C5" w:rsidP="001254C5">
      <w:pPr>
        <w:spacing w:before="120" w:after="120"/>
        <w:rPr>
          <w:rFonts w:ascii="Open Sans" w:hAnsi="Open Sans" w:cs="Open Sans"/>
          <w:szCs w:val="22"/>
          <w:lang w:eastAsia="en-GB"/>
        </w:rPr>
      </w:pPr>
      <w:r w:rsidRPr="005365EE">
        <w:rPr>
          <w:rFonts w:ascii="Open Sans" w:hAnsi="Open Sans" w:cs="Open Sans"/>
          <w:color w:val="0070C0"/>
          <w:szCs w:val="22"/>
          <w:lang w:eastAsia="en-GB"/>
        </w:rPr>
        <w:t> </w:t>
      </w:r>
    </w:p>
    <w:p w14:paraId="2CA72BDB" w14:textId="77777777" w:rsidR="001254C5" w:rsidRPr="005365EE" w:rsidRDefault="001254C5" w:rsidP="001254C5">
      <w:pPr>
        <w:spacing w:before="120" w:after="120"/>
        <w:ind w:left="142" w:hanging="142"/>
        <w:rPr>
          <w:rFonts w:ascii="Open Sans" w:hAnsi="Open Sans" w:cs="Open Sans"/>
          <w:szCs w:val="22"/>
          <w:lang w:eastAsia="en-GB"/>
        </w:rPr>
      </w:pPr>
      <w:r w:rsidRPr="005365EE">
        <w:rPr>
          <w:rFonts w:ascii="Open Sans" w:hAnsi="Open Sans" w:cs="Open Sans"/>
          <w:szCs w:val="22"/>
          <w:lang w:eastAsia="en-GB"/>
        </w:rPr>
        <w:t xml:space="preserve">5.  </w:t>
      </w:r>
      <w:r w:rsidRPr="005365EE">
        <w:rPr>
          <w:rFonts w:ascii="Open Sans" w:hAnsi="Open Sans" w:cs="Open Sans"/>
          <w:szCs w:val="22"/>
          <w:u w:val="single"/>
          <w:lang w:eastAsia="en-GB"/>
        </w:rPr>
        <w:t>Alignment with transport policy in terms of feedstocks (RED II Annex IX Part A and Renewable Transport Fuel Obligation)</w:t>
      </w:r>
    </w:p>
    <w:p w14:paraId="244A47ED" w14:textId="77777777" w:rsidR="001254C5" w:rsidRPr="00083D99" w:rsidRDefault="001254C5" w:rsidP="001254C5">
      <w:pPr>
        <w:spacing w:before="120" w:after="120"/>
        <w:rPr>
          <w:rFonts w:ascii="Open Sans" w:hAnsi="Open Sans" w:cs="Open Sans"/>
          <w:b/>
          <w:bCs/>
          <w:szCs w:val="22"/>
        </w:rPr>
      </w:pPr>
      <w:bookmarkStart w:id="35" w:name="_Hlk44426797"/>
      <w:r w:rsidRPr="00083D99">
        <w:rPr>
          <w:rFonts w:ascii="Open Sans" w:hAnsi="Open Sans" w:cs="Open Sans"/>
          <w:b/>
          <w:bCs/>
          <w:szCs w:val="22"/>
        </w:rPr>
        <w:t>BEIS should consider fully aligning heat and transport policies in the way feedstocks are classified and financially rewarded. G</w:t>
      </w:r>
      <w:r w:rsidRPr="00083D99">
        <w:rPr>
          <w:rFonts w:ascii="Open Sans" w:hAnsi="Open Sans" w:cs="Open Sans"/>
          <w:b/>
          <w:bCs/>
          <w:szCs w:val="22"/>
          <w:lang w:eastAsia="en-GB"/>
        </w:rPr>
        <w:t xml:space="preserve">iven that AD plants are going to switch from the RHI to the RTFO in the future, it is important that the two schemes are aligned. </w:t>
      </w:r>
    </w:p>
    <w:p w14:paraId="50B620FE" w14:textId="77777777" w:rsidR="001254C5" w:rsidRPr="005365EE" w:rsidRDefault="001254C5" w:rsidP="001254C5">
      <w:pPr>
        <w:spacing w:before="120" w:after="120"/>
        <w:rPr>
          <w:rFonts w:ascii="Open Sans" w:hAnsi="Open Sans" w:cs="Open Sans"/>
          <w:b/>
          <w:bCs/>
          <w:szCs w:val="22"/>
          <w:lang w:eastAsia="en-GB"/>
        </w:rPr>
      </w:pPr>
      <w:r w:rsidRPr="005365EE">
        <w:rPr>
          <w:rFonts w:ascii="Open Sans" w:hAnsi="Open Sans" w:cs="Open Sans"/>
          <w:b/>
          <w:bCs/>
          <w:szCs w:val="22"/>
          <w:lang w:eastAsia="en-GB"/>
        </w:rPr>
        <w:lastRenderedPageBreak/>
        <w:t xml:space="preserve">All wastes and residues as well as other feedstocks listed in Annex IX Part A of RED II and any feedstock certified under </w:t>
      </w:r>
      <w:hyperlink r:id="rId35" w:history="1">
        <w:r w:rsidRPr="005365EE">
          <w:rPr>
            <w:rStyle w:val="Hyperlink"/>
            <w:rFonts w:ascii="Open Sans" w:hAnsi="Open Sans" w:cs="Open Sans"/>
            <w:b/>
            <w:bCs/>
            <w:color w:val="auto"/>
            <w:szCs w:val="22"/>
            <w:lang w:eastAsia="en-GB"/>
          </w:rPr>
          <w:t>Commission Delegated Regulation (EU) 2019/807</w:t>
        </w:r>
      </w:hyperlink>
      <w:r w:rsidRPr="005365EE">
        <w:rPr>
          <w:rFonts w:ascii="Open Sans" w:hAnsi="Open Sans" w:cs="Open Sans"/>
          <w:b/>
          <w:bCs/>
          <w:szCs w:val="22"/>
          <w:lang w:eastAsia="en-GB"/>
        </w:rPr>
        <w:t xml:space="preserve"> (as low ILUC risk) should be encouraged. Under the RTFO the former are double counted and the later are not subject to the crop cap.  </w:t>
      </w:r>
    </w:p>
    <w:p w14:paraId="761C9E91" w14:textId="77777777" w:rsidR="001254C5" w:rsidRPr="005365EE" w:rsidRDefault="001254C5" w:rsidP="001254C5">
      <w:pPr>
        <w:shd w:val="clear" w:color="auto" w:fill="FFFFFF"/>
        <w:spacing w:before="120" w:after="120"/>
        <w:rPr>
          <w:rFonts w:ascii="Open Sans" w:hAnsi="Open Sans" w:cs="Open Sans"/>
          <w:szCs w:val="22"/>
          <w:lang w:eastAsia="en-GB"/>
        </w:rPr>
      </w:pPr>
      <w:r w:rsidRPr="005365EE">
        <w:rPr>
          <w:rFonts w:ascii="Open Sans" w:hAnsi="Open Sans" w:cs="Open Sans"/>
          <w:b/>
          <w:bCs/>
          <w:szCs w:val="22"/>
          <w:lang w:eastAsia="en-GB"/>
        </w:rPr>
        <w:t>Our key recommendations to BEIS in response to question 9 are: </w:t>
      </w:r>
    </w:p>
    <w:p w14:paraId="42FC08E7" w14:textId="77777777" w:rsidR="001254C5" w:rsidRPr="005365EE" w:rsidRDefault="001254C5" w:rsidP="001254C5">
      <w:pPr>
        <w:numPr>
          <w:ilvl w:val="0"/>
          <w:numId w:val="9"/>
        </w:numPr>
        <w:shd w:val="clear" w:color="auto" w:fill="FFFFFF"/>
        <w:tabs>
          <w:tab w:val="clear" w:pos="720"/>
        </w:tabs>
        <w:spacing w:before="120" w:after="120"/>
        <w:ind w:left="426" w:hanging="426"/>
        <w:jc w:val="left"/>
        <w:textAlignment w:val="baseline"/>
        <w:rPr>
          <w:rFonts w:ascii="Open Sans" w:hAnsi="Open Sans" w:cs="Open Sans"/>
          <w:b/>
          <w:bCs/>
          <w:szCs w:val="22"/>
          <w:lang w:eastAsia="en-GB"/>
        </w:rPr>
      </w:pPr>
      <w:r w:rsidRPr="005365EE">
        <w:rPr>
          <w:rFonts w:ascii="Open Sans" w:hAnsi="Open Sans" w:cs="Open Sans"/>
          <w:b/>
          <w:bCs/>
          <w:szCs w:val="22"/>
          <w:lang w:eastAsia="en-GB"/>
        </w:rPr>
        <w:t>The 50% minimum percentage of wastes and residues should not be changed for the reasons set out above.</w:t>
      </w:r>
    </w:p>
    <w:p w14:paraId="59EE52DE" w14:textId="77777777" w:rsidR="001254C5" w:rsidRPr="005365EE" w:rsidRDefault="001254C5" w:rsidP="001254C5">
      <w:pPr>
        <w:numPr>
          <w:ilvl w:val="1"/>
          <w:numId w:val="9"/>
        </w:numPr>
        <w:shd w:val="clear" w:color="auto" w:fill="FFFFFF"/>
        <w:spacing w:before="120" w:after="120"/>
        <w:ind w:left="426" w:hanging="426"/>
        <w:jc w:val="left"/>
        <w:textAlignment w:val="baseline"/>
        <w:rPr>
          <w:rFonts w:ascii="Open Sans" w:hAnsi="Open Sans" w:cs="Open Sans"/>
          <w:b/>
          <w:bCs/>
          <w:szCs w:val="22"/>
          <w:lang w:eastAsia="en-GB"/>
        </w:rPr>
      </w:pPr>
      <w:r w:rsidRPr="005365EE">
        <w:rPr>
          <w:rFonts w:ascii="Open Sans" w:hAnsi="Open Sans" w:cs="Open Sans"/>
          <w:b/>
          <w:bCs/>
          <w:szCs w:val="22"/>
          <w:lang w:eastAsia="en-GB"/>
        </w:rPr>
        <w:t xml:space="preserve">We would also ask that BEIS redefines what is counted towards this percentage (ie the calculation of the biogas yield produced from feedstocks that are non wastes or residues: for the purpose of that calculation, there should be no limitation on payments on biomethane made from wastes, residues and any other feedstocks that are ‘not relevant crops’ as per the RTFO, or that are included in the Annex IX of RED II part A, or are certified as low ILUC risk feedstocks  </w:t>
      </w:r>
    </w:p>
    <w:bookmarkEnd w:id="35"/>
    <w:p w14:paraId="26EDFD65" w14:textId="77777777" w:rsidR="001254C5" w:rsidRPr="005365EE" w:rsidRDefault="001254C5" w:rsidP="001254C5">
      <w:pPr>
        <w:shd w:val="clear" w:color="auto" w:fill="FFFFFF"/>
        <w:spacing w:before="240"/>
        <w:rPr>
          <w:rFonts w:ascii="Open Sans" w:hAnsi="Open Sans" w:cs="Open Sans"/>
          <w:szCs w:val="22"/>
          <w:lang w:eastAsia="en-GB"/>
        </w:rPr>
      </w:pPr>
      <w:r w:rsidRPr="005365EE">
        <w:rPr>
          <w:rFonts w:ascii="Open Sans" w:hAnsi="Open Sans" w:cs="Open Sans"/>
          <w:szCs w:val="22"/>
          <w:lang w:eastAsia="en-GB"/>
        </w:rPr>
        <w:t xml:space="preserve">BEIS’ policy on biomethane currently limits the RHI payments issued for eligible biomethane where less than 50% of the total biogas yield (by energy content) is derived from wastes or residues. The limitation of the payments is calculated by reference to the biogas yield (by energy content) that is not derived from </w:t>
      </w:r>
      <w:r w:rsidRPr="005365EE">
        <w:rPr>
          <w:rFonts w:ascii="Open Sans" w:hAnsi="Open Sans" w:cs="Open Sans"/>
          <w:szCs w:val="22"/>
          <w:u w:val="single"/>
          <w:lang w:eastAsia="en-GB"/>
        </w:rPr>
        <w:t>wastes or residues</w:t>
      </w:r>
      <w:r w:rsidRPr="005365EE">
        <w:rPr>
          <w:rFonts w:ascii="Open Sans" w:hAnsi="Open Sans" w:cs="Open Sans"/>
          <w:szCs w:val="22"/>
          <w:lang w:eastAsia="en-GB"/>
        </w:rPr>
        <w:t>. This is not aligned with European and national policy on transport for the reasons set out below. If BEIS wish to maintain this threshold, we would suggest that the limitation of the payments should be calculated by reference to the biogas yield (by energy content) that is not derived from:</w:t>
      </w:r>
    </w:p>
    <w:p w14:paraId="131ED101" w14:textId="77777777" w:rsidR="001254C5" w:rsidRPr="005365EE" w:rsidRDefault="001254C5" w:rsidP="001254C5">
      <w:pPr>
        <w:pStyle w:val="ListParagraph"/>
        <w:numPr>
          <w:ilvl w:val="0"/>
          <w:numId w:val="20"/>
        </w:numPr>
        <w:shd w:val="clear" w:color="auto" w:fill="FFFFFF"/>
        <w:spacing w:before="240" w:after="120"/>
        <w:contextualSpacing w:val="0"/>
        <w:rPr>
          <w:rFonts w:ascii="Open Sans" w:hAnsi="Open Sans" w:cs="Open Sans"/>
          <w:szCs w:val="22"/>
          <w:lang w:eastAsia="en-GB"/>
        </w:rPr>
      </w:pPr>
      <w:r w:rsidRPr="005365EE">
        <w:rPr>
          <w:rFonts w:ascii="Open Sans" w:hAnsi="Open Sans" w:cs="Open Sans"/>
          <w:szCs w:val="22"/>
          <w:lang w:eastAsia="en-GB"/>
        </w:rPr>
        <w:t>waste, and residues, and</w:t>
      </w:r>
    </w:p>
    <w:p w14:paraId="2044C784" w14:textId="77777777" w:rsidR="001254C5" w:rsidRPr="005365EE" w:rsidRDefault="001254C5" w:rsidP="001254C5">
      <w:pPr>
        <w:pStyle w:val="ListParagraph"/>
        <w:numPr>
          <w:ilvl w:val="0"/>
          <w:numId w:val="20"/>
        </w:numPr>
        <w:shd w:val="clear" w:color="auto" w:fill="FFFFFF"/>
        <w:spacing w:before="240" w:after="120"/>
        <w:contextualSpacing w:val="0"/>
        <w:rPr>
          <w:rFonts w:ascii="Open Sans" w:hAnsi="Open Sans" w:cs="Open Sans"/>
          <w:b/>
          <w:bCs/>
          <w:szCs w:val="22"/>
          <w:lang w:eastAsia="en-GB"/>
        </w:rPr>
      </w:pPr>
      <w:r w:rsidRPr="005365EE">
        <w:rPr>
          <w:rFonts w:ascii="Open Sans" w:hAnsi="Open Sans" w:cs="Open Sans"/>
          <w:szCs w:val="22"/>
          <w:u w:val="single"/>
          <w:lang w:eastAsia="en-GB"/>
        </w:rPr>
        <w:t>any other feedstocks listed in Annex IX Part A of RED II and low-ILUC risk feedstocks</w:t>
      </w:r>
      <w:r w:rsidRPr="005365EE">
        <w:rPr>
          <w:rFonts w:ascii="Open Sans" w:hAnsi="Open Sans" w:cs="Open Sans"/>
          <w:szCs w:val="22"/>
          <w:lang w:eastAsia="en-GB"/>
        </w:rPr>
        <w:t>.</w:t>
      </w:r>
      <w:r w:rsidRPr="005365EE">
        <w:rPr>
          <w:rFonts w:ascii="Open Sans" w:hAnsi="Open Sans" w:cs="Open Sans"/>
          <w:b/>
          <w:bCs/>
          <w:szCs w:val="22"/>
          <w:lang w:eastAsia="en-GB"/>
        </w:rPr>
        <w:t> </w:t>
      </w:r>
    </w:p>
    <w:p w14:paraId="09A6D69E" w14:textId="77777777" w:rsidR="001254C5" w:rsidRDefault="001254C5" w:rsidP="001254C5">
      <w:pPr>
        <w:shd w:val="clear" w:color="auto" w:fill="FFFFFF"/>
        <w:spacing w:before="120" w:after="120"/>
        <w:rPr>
          <w:rFonts w:ascii="Open Sans" w:hAnsi="Open Sans" w:cs="Open Sans"/>
          <w:szCs w:val="22"/>
          <w:u w:val="single"/>
          <w:lang w:eastAsia="en-GB"/>
        </w:rPr>
      </w:pPr>
    </w:p>
    <w:p w14:paraId="60841FB2" w14:textId="77777777" w:rsidR="001254C5" w:rsidRPr="005365EE" w:rsidRDefault="001254C5" w:rsidP="001254C5">
      <w:pPr>
        <w:shd w:val="clear" w:color="auto" w:fill="FFFFFF"/>
        <w:spacing w:before="120" w:after="120"/>
        <w:rPr>
          <w:rFonts w:ascii="Open Sans" w:hAnsi="Open Sans" w:cs="Open Sans"/>
          <w:szCs w:val="22"/>
          <w:lang w:eastAsia="en-GB"/>
        </w:rPr>
      </w:pPr>
      <w:r w:rsidRPr="005365EE">
        <w:rPr>
          <w:rFonts w:ascii="Open Sans" w:hAnsi="Open Sans" w:cs="Open Sans"/>
          <w:szCs w:val="22"/>
          <w:u w:val="single"/>
          <w:lang w:eastAsia="en-GB"/>
        </w:rPr>
        <w:t>Annex IX Part A of RED II </w:t>
      </w:r>
    </w:p>
    <w:p w14:paraId="47C0E7A0" w14:textId="77777777" w:rsidR="001254C5" w:rsidRPr="005365EE" w:rsidRDefault="001254C5" w:rsidP="001254C5">
      <w:pPr>
        <w:shd w:val="clear" w:color="auto" w:fill="FFFFFF"/>
        <w:spacing w:before="120" w:after="120"/>
        <w:rPr>
          <w:rFonts w:ascii="Open Sans" w:hAnsi="Open Sans" w:cs="Open Sans"/>
          <w:szCs w:val="22"/>
          <w:lang w:eastAsia="en-GB"/>
        </w:rPr>
      </w:pPr>
      <w:r w:rsidRPr="005365EE">
        <w:rPr>
          <w:rFonts w:ascii="Open Sans" w:hAnsi="Open Sans" w:cs="Open Sans"/>
          <w:szCs w:val="22"/>
          <w:lang w:eastAsia="en-GB"/>
        </w:rPr>
        <w:t>Under RED II, feedstocks listed in Annex IX Part A may be considered to be twice their energy content when considering their share (i.e. they can be double counted). This is because RED II seeks to encourage the production of advanced biofuels made from these feedstocks. In addition to wastes and residues, for example, this list included dedicated non-food energy crops. </w:t>
      </w:r>
    </w:p>
    <w:p w14:paraId="4E82B78C" w14:textId="77777777" w:rsidR="001254C5" w:rsidRPr="005365EE" w:rsidRDefault="001254C5" w:rsidP="001254C5">
      <w:pPr>
        <w:shd w:val="clear" w:color="auto" w:fill="FFFFFF"/>
        <w:spacing w:before="120" w:after="120"/>
        <w:rPr>
          <w:rFonts w:ascii="Open Sans" w:hAnsi="Open Sans" w:cs="Open Sans"/>
          <w:b/>
          <w:bCs/>
          <w:szCs w:val="22"/>
          <w:lang w:eastAsia="en-GB"/>
        </w:rPr>
      </w:pPr>
      <w:r w:rsidRPr="005365EE">
        <w:rPr>
          <w:rFonts w:ascii="Open Sans" w:hAnsi="Open Sans" w:cs="Open Sans"/>
          <w:szCs w:val="22"/>
          <w:lang w:eastAsia="en-GB"/>
        </w:rPr>
        <w:t xml:space="preserve">In addition, the contribution of advanced biofuels and biogas produced from the feedstock listed in </w:t>
      </w:r>
      <w:r w:rsidRPr="005365EE">
        <w:rPr>
          <w:rFonts w:ascii="Open Sans" w:hAnsi="Open Sans" w:cs="Open Sans"/>
          <w:szCs w:val="22"/>
          <w:u w:val="single"/>
          <w:lang w:eastAsia="en-GB"/>
        </w:rPr>
        <w:t>Part A</w:t>
      </w:r>
      <w:r w:rsidRPr="005365EE">
        <w:rPr>
          <w:rFonts w:ascii="Open Sans" w:hAnsi="Open Sans" w:cs="Open Sans"/>
          <w:szCs w:val="22"/>
          <w:lang w:eastAsia="en-GB"/>
        </w:rPr>
        <w:t xml:space="preserve"> of Annex IX  as a share of final consumption of energy in the transport sector shall be at least 0.2 % in 2022, at least 1 % in 2025 and </w:t>
      </w:r>
      <w:r w:rsidRPr="005365EE">
        <w:rPr>
          <w:rFonts w:ascii="Open Sans" w:hAnsi="Open Sans" w:cs="Open Sans"/>
          <w:b/>
          <w:bCs/>
          <w:szCs w:val="22"/>
          <w:lang w:eastAsia="en-GB"/>
        </w:rPr>
        <w:t>at least 3.5 % in 2030. </w:t>
      </w:r>
    </w:p>
    <w:p w14:paraId="07C84836" w14:textId="77777777" w:rsidR="001254C5" w:rsidRPr="005365EE" w:rsidRDefault="001254C5" w:rsidP="001254C5">
      <w:pPr>
        <w:shd w:val="clear" w:color="auto" w:fill="FFFFFF"/>
        <w:spacing w:before="120" w:after="120"/>
        <w:rPr>
          <w:rFonts w:ascii="Open Sans" w:hAnsi="Open Sans" w:cs="Open Sans"/>
          <w:szCs w:val="22"/>
          <w:lang w:eastAsia="en-GB"/>
        </w:rPr>
      </w:pPr>
      <w:r w:rsidRPr="005365EE">
        <w:rPr>
          <w:rFonts w:ascii="Open Sans" w:hAnsi="Open Sans" w:cs="Open Sans"/>
          <w:szCs w:val="22"/>
          <w:lang w:eastAsia="en-GB"/>
        </w:rPr>
        <w:t>Annex IX Part A is currently in the process of being reviewed. The European Commission (DG ENER) has recently asked a consortium led by E4tech to assist them in the</w:t>
      </w:r>
      <w:hyperlink r:id="rId36" w:history="1">
        <w:r w:rsidRPr="005365EE">
          <w:rPr>
            <w:rFonts w:ascii="Open Sans" w:hAnsi="Open Sans" w:cs="Open Sans"/>
            <w:szCs w:val="22"/>
            <w:u w:val="single"/>
            <w:lang w:eastAsia="en-GB"/>
          </w:rPr>
          <w:t xml:space="preserve"> evaluation</w:t>
        </w:r>
      </w:hyperlink>
      <w:r w:rsidRPr="005365EE">
        <w:rPr>
          <w:rFonts w:ascii="Open Sans" w:hAnsi="Open Sans" w:cs="Open Sans"/>
          <w:szCs w:val="22"/>
          <w:lang w:eastAsia="en-GB"/>
        </w:rPr>
        <w:t xml:space="preserve"> of biofuel feedstocks, which could be added to Annex IX of RED II. As a result of this review, it is possible there will be more wastes and residues as well as other sustainable non wastes and residues added to the list. The process will not remove any feedstocks from the list.</w:t>
      </w:r>
    </w:p>
    <w:p w14:paraId="2986E4A2" w14:textId="77777777" w:rsidR="001254C5" w:rsidRPr="005365EE" w:rsidRDefault="001254C5" w:rsidP="001254C5">
      <w:pPr>
        <w:shd w:val="clear" w:color="auto" w:fill="FFFFFF"/>
        <w:spacing w:before="120" w:after="120"/>
        <w:rPr>
          <w:rFonts w:ascii="Open Sans" w:hAnsi="Open Sans" w:cs="Open Sans"/>
          <w:szCs w:val="22"/>
          <w:lang w:eastAsia="en-GB"/>
        </w:rPr>
      </w:pPr>
      <w:r w:rsidRPr="005365EE">
        <w:rPr>
          <w:rFonts w:ascii="Open Sans" w:hAnsi="Open Sans" w:cs="Open Sans"/>
          <w:szCs w:val="22"/>
          <w:lang w:eastAsia="en-GB"/>
        </w:rPr>
        <w:t>The amended RED gives the option to exclude dedicated non-food energy crops which have been grown on contaminated or degraded land from the limit on crop based biofuels. </w:t>
      </w:r>
    </w:p>
    <w:p w14:paraId="36FDEA5A" w14:textId="77777777" w:rsidR="001254C5" w:rsidRPr="005365EE" w:rsidRDefault="001254C5" w:rsidP="001254C5">
      <w:pPr>
        <w:shd w:val="clear" w:color="auto" w:fill="FFFFFF"/>
        <w:spacing w:before="120" w:after="120"/>
        <w:rPr>
          <w:rFonts w:ascii="Open Sans" w:hAnsi="Open Sans" w:cs="Open Sans"/>
          <w:szCs w:val="22"/>
          <w:lang w:eastAsia="en-GB"/>
        </w:rPr>
      </w:pPr>
    </w:p>
    <w:p w14:paraId="46144DD2" w14:textId="77777777" w:rsidR="001254C5" w:rsidRPr="005365EE" w:rsidRDefault="001254C5" w:rsidP="001254C5">
      <w:pPr>
        <w:shd w:val="clear" w:color="auto" w:fill="FFFFFF"/>
        <w:spacing w:before="120" w:after="120"/>
        <w:rPr>
          <w:rFonts w:ascii="Open Sans" w:hAnsi="Open Sans" w:cs="Open Sans"/>
          <w:szCs w:val="22"/>
          <w:u w:val="single"/>
          <w:lang w:eastAsia="en-GB"/>
        </w:rPr>
      </w:pPr>
      <w:r w:rsidRPr="005365EE">
        <w:rPr>
          <w:rFonts w:ascii="Open Sans" w:hAnsi="Open Sans" w:cs="Open Sans"/>
          <w:szCs w:val="22"/>
          <w:u w:val="single"/>
          <w:lang w:eastAsia="en-GB"/>
        </w:rPr>
        <w:lastRenderedPageBreak/>
        <w:t xml:space="preserve">RED II and low ILUC risk biofuels </w:t>
      </w:r>
    </w:p>
    <w:p w14:paraId="13FA43F0" w14:textId="77777777" w:rsidR="001254C5" w:rsidRPr="005365EE" w:rsidRDefault="001254C5" w:rsidP="001254C5">
      <w:pPr>
        <w:spacing w:before="120" w:after="120"/>
        <w:rPr>
          <w:rFonts w:ascii="Open Sans" w:hAnsi="Open Sans" w:cs="Open Sans"/>
          <w:szCs w:val="22"/>
          <w:u w:val="single"/>
          <w:lang w:eastAsia="en-GB"/>
        </w:rPr>
      </w:pPr>
      <w:r w:rsidRPr="005365EE">
        <w:rPr>
          <w:rFonts w:ascii="Open Sans" w:hAnsi="Open Sans" w:cs="Open Sans"/>
          <w:szCs w:val="22"/>
          <w:lang w:eastAsia="en-GB"/>
        </w:rPr>
        <w:t xml:space="preserve">The Commission Delegated Regulation (EU) 2019/807 supplements the Directive with criteria to certify low ILUC (Indirect Land-Use Change) risk biofuels, bioliquids and biomass fuels from feed and food crops. Criteria are laid down in Art. 5, while Art. 6 regulates the auditing and verification requirements for certification. </w:t>
      </w:r>
    </w:p>
    <w:p w14:paraId="030D0F14" w14:textId="77777777" w:rsidR="001254C5" w:rsidRPr="005365EE" w:rsidRDefault="001254C5" w:rsidP="001254C5">
      <w:pPr>
        <w:shd w:val="clear" w:color="auto" w:fill="FFFFFF"/>
        <w:spacing w:before="120" w:after="120"/>
        <w:rPr>
          <w:rFonts w:ascii="Open Sans" w:hAnsi="Open Sans" w:cs="Open Sans"/>
          <w:szCs w:val="22"/>
          <w:lang w:eastAsia="en-GB"/>
        </w:rPr>
      </w:pPr>
    </w:p>
    <w:p w14:paraId="27083148" w14:textId="77777777" w:rsidR="001254C5" w:rsidRPr="005365EE" w:rsidRDefault="001254C5" w:rsidP="001254C5">
      <w:pPr>
        <w:spacing w:before="120" w:after="120"/>
        <w:rPr>
          <w:rFonts w:ascii="Open Sans" w:hAnsi="Open Sans" w:cs="Open Sans"/>
          <w:szCs w:val="22"/>
          <w:lang w:eastAsia="en-GB"/>
        </w:rPr>
      </w:pPr>
      <w:r w:rsidRPr="005365EE">
        <w:rPr>
          <w:rFonts w:ascii="Open Sans" w:hAnsi="Open Sans" w:cs="Open Sans"/>
          <w:szCs w:val="22"/>
          <w:u w:val="single"/>
          <w:lang w:eastAsia="en-GB"/>
        </w:rPr>
        <w:t>Renewable Transport Fuel Obligation (RTFO)</w:t>
      </w:r>
    </w:p>
    <w:p w14:paraId="005767C9" w14:textId="77777777" w:rsidR="001254C5" w:rsidRPr="005365EE" w:rsidRDefault="001254C5" w:rsidP="001254C5">
      <w:pPr>
        <w:spacing w:before="120" w:after="120"/>
        <w:rPr>
          <w:rFonts w:ascii="Open Sans" w:hAnsi="Open Sans" w:cs="Open Sans"/>
          <w:szCs w:val="22"/>
          <w:lang w:eastAsia="en-GB"/>
        </w:rPr>
      </w:pPr>
      <w:r w:rsidRPr="005365EE">
        <w:rPr>
          <w:rFonts w:ascii="Open Sans" w:hAnsi="Open Sans" w:cs="Open Sans"/>
          <w:szCs w:val="22"/>
          <w:lang w:eastAsia="en-GB"/>
        </w:rPr>
        <w:t>The RTFO seeks to encourage the development of waste-based and sustainable advanced fuels, while limiting the use of fuels made from “relevant crops”. Relevant crops are basically food crops (starch-rich crops, sugars, oil crops and main crops) and the definition in the RTFO is reproduced in full below</w:t>
      </w:r>
      <w:r w:rsidRPr="005365EE">
        <w:rPr>
          <w:rStyle w:val="FootnoteReference"/>
          <w:rFonts w:ascii="Open Sans" w:hAnsi="Open Sans" w:cs="Open Sans"/>
          <w:szCs w:val="22"/>
          <w:lang w:eastAsia="en-GB"/>
        </w:rPr>
        <w:footnoteReference w:id="6"/>
      </w:r>
      <w:r w:rsidRPr="005365EE">
        <w:rPr>
          <w:rFonts w:ascii="Open Sans" w:hAnsi="Open Sans" w:cs="Open Sans"/>
          <w:szCs w:val="22"/>
          <w:lang w:eastAsia="en-GB"/>
        </w:rPr>
        <w:t xml:space="preserve">. </w:t>
      </w:r>
    </w:p>
    <w:p w14:paraId="34353F38" w14:textId="77777777" w:rsidR="001254C5" w:rsidRPr="005365EE" w:rsidRDefault="001254C5" w:rsidP="001254C5">
      <w:pPr>
        <w:spacing w:before="120" w:after="120"/>
        <w:rPr>
          <w:rFonts w:ascii="Open Sans" w:hAnsi="Open Sans" w:cs="Open Sans"/>
          <w:szCs w:val="22"/>
          <w:lang w:eastAsia="en-GB"/>
        </w:rPr>
      </w:pPr>
      <w:r w:rsidRPr="005365EE">
        <w:rPr>
          <w:rFonts w:ascii="Open Sans" w:hAnsi="Open Sans" w:cs="Open Sans"/>
          <w:szCs w:val="22"/>
          <w:lang w:eastAsia="en-GB"/>
        </w:rPr>
        <w:t>Currently under the Renewable Transport Fuel Obligation waste feedstocks are double counted in their contribution towards meeting the obligation, as they typically provide greater GHG savings compared to other feedstocks. </w:t>
      </w:r>
    </w:p>
    <w:p w14:paraId="79C71FD5" w14:textId="77777777" w:rsidR="001254C5" w:rsidRPr="005365EE" w:rsidRDefault="001254C5" w:rsidP="001254C5">
      <w:pPr>
        <w:spacing w:before="120" w:after="120"/>
        <w:rPr>
          <w:rFonts w:ascii="Open Sans" w:hAnsi="Open Sans" w:cs="Open Sans"/>
          <w:szCs w:val="22"/>
          <w:lang w:eastAsia="en-GB"/>
        </w:rPr>
      </w:pPr>
      <w:r w:rsidRPr="005365EE">
        <w:rPr>
          <w:rFonts w:ascii="Open Sans" w:hAnsi="Open Sans" w:cs="Open Sans"/>
          <w:szCs w:val="22"/>
          <w:lang w:eastAsia="en-GB"/>
        </w:rPr>
        <w:t>The policy addresses the ILUC by capping the amount of biofuels made from “relevant crops”.  This is known as the “crop cap”.  It is set at 4% in 2020 and falls incrementally to 2% by 2032. Feedstocks listed in Annex IX of RED II, are not “relevant crops”.</w:t>
      </w:r>
    </w:p>
    <w:p w14:paraId="671D2A75" w14:textId="77777777" w:rsidR="001254C5" w:rsidRDefault="001254C5" w:rsidP="001254C5">
      <w:pPr>
        <w:spacing w:before="120" w:after="120"/>
        <w:rPr>
          <w:rFonts w:ascii="Open Sans" w:hAnsi="Open Sans" w:cs="Open Sans"/>
          <w:szCs w:val="22"/>
          <w:lang w:eastAsia="en-GB"/>
        </w:rPr>
      </w:pPr>
      <w:r w:rsidRPr="005365EE">
        <w:rPr>
          <w:rFonts w:ascii="Open Sans" w:hAnsi="Open Sans" w:cs="Open Sans"/>
          <w:szCs w:val="22"/>
          <w:lang w:eastAsia="en-GB"/>
        </w:rPr>
        <w:t xml:space="preserve">We understand that the Renewable Transport Fuel Obligation RTFO) is an entirely different policy scheme governed by a different Government department, however we believe there should be more alignment between the two policies on the theme of feedstocks. </w:t>
      </w:r>
      <w:bookmarkStart w:id="36" w:name="_Hlk43720509"/>
    </w:p>
    <w:bookmarkEnd w:id="36"/>
    <w:p w14:paraId="64F2C2E9" w14:textId="77777777" w:rsidR="001254C5" w:rsidRDefault="001254C5" w:rsidP="001254C5">
      <w:pPr>
        <w:spacing w:before="120" w:after="120"/>
        <w:rPr>
          <w:rFonts w:ascii="Open Sans" w:hAnsi="Open Sans" w:cs="Open Sans"/>
          <w:szCs w:val="22"/>
          <w:u w:val="single"/>
          <w:lang w:eastAsia="en-GB"/>
        </w:rPr>
      </w:pPr>
    </w:p>
    <w:p w14:paraId="502C60E0" w14:textId="77777777" w:rsidR="001254C5" w:rsidRPr="0096200C" w:rsidRDefault="001254C5" w:rsidP="001254C5">
      <w:pPr>
        <w:spacing w:before="120" w:after="120"/>
        <w:rPr>
          <w:rFonts w:ascii="Open Sans" w:hAnsi="Open Sans" w:cs="Open Sans"/>
          <w:szCs w:val="22"/>
          <w:u w:val="single"/>
          <w:lang w:eastAsia="en-GB"/>
        </w:rPr>
      </w:pPr>
      <w:r w:rsidRPr="0096200C">
        <w:rPr>
          <w:rFonts w:ascii="Open Sans" w:hAnsi="Open Sans" w:cs="Open Sans"/>
          <w:szCs w:val="22"/>
          <w:u w:val="single"/>
          <w:lang w:eastAsia="en-GB"/>
        </w:rPr>
        <w:t xml:space="preserve">Mechanism to review /update minimum percentage </w:t>
      </w:r>
    </w:p>
    <w:p w14:paraId="518D515B" w14:textId="77777777" w:rsidR="001254C5" w:rsidRPr="00B136EC" w:rsidRDefault="001254C5" w:rsidP="001254C5">
      <w:pPr>
        <w:spacing w:before="120" w:after="120"/>
        <w:rPr>
          <w:rFonts w:ascii="Open Sans" w:hAnsi="Open Sans" w:cs="Open Sans"/>
          <w:szCs w:val="22"/>
          <w:lang w:eastAsia="en-GB"/>
        </w:rPr>
      </w:pPr>
      <w:r w:rsidRPr="0096200C">
        <w:rPr>
          <w:rFonts w:ascii="Open Sans" w:hAnsi="Open Sans" w:cs="Open Sans"/>
          <w:szCs w:val="22"/>
          <w:lang w:eastAsia="en-GB"/>
        </w:rPr>
        <w:t xml:space="preserve">If BEIS were minded to keep the minimum percentage / threshold of wastes, we recommend there is a mechanism outside the regulations that enables BEIS to update the percentage as new evidence </w:t>
      </w:r>
      <w:r>
        <w:rPr>
          <w:rFonts w:ascii="Open Sans" w:hAnsi="Open Sans" w:cs="Open Sans"/>
          <w:szCs w:val="22"/>
          <w:lang w:eastAsia="en-GB"/>
        </w:rPr>
        <w:t xml:space="preserve">on different feedstocks </w:t>
      </w:r>
      <w:r w:rsidRPr="0096200C">
        <w:rPr>
          <w:rFonts w:ascii="Open Sans" w:hAnsi="Open Sans" w:cs="Open Sans"/>
          <w:szCs w:val="22"/>
          <w:lang w:eastAsia="en-GB"/>
        </w:rPr>
        <w:t xml:space="preserve">becomes available.  </w:t>
      </w:r>
    </w:p>
    <w:p w14:paraId="3577040C" w14:textId="77777777" w:rsidR="001254C5" w:rsidRPr="005365EE" w:rsidRDefault="001254C5" w:rsidP="001254C5">
      <w:pPr>
        <w:spacing w:before="120" w:after="120"/>
        <w:rPr>
          <w:rFonts w:ascii="Open Sans" w:hAnsi="Open Sans" w:cs="Open Sans"/>
          <w:szCs w:val="22"/>
          <w:u w:val="single"/>
          <w:lang w:eastAsia="en-GB"/>
        </w:rPr>
      </w:pPr>
    </w:p>
    <w:p w14:paraId="31E32118" w14:textId="77777777" w:rsidR="001254C5" w:rsidRPr="005365EE" w:rsidRDefault="001254C5" w:rsidP="001254C5">
      <w:pPr>
        <w:spacing w:before="120" w:after="120"/>
        <w:rPr>
          <w:rFonts w:ascii="Open Sans" w:hAnsi="Open Sans" w:cs="Open Sans"/>
          <w:szCs w:val="22"/>
          <w:u w:val="single"/>
          <w:lang w:eastAsia="en-GB"/>
        </w:rPr>
      </w:pPr>
      <w:bookmarkStart w:id="37" w:name="_Hlk44426810"/>
      <w:r w:rsidRPr="005365EE">
        <w:rPr>
          <w:rFonts w:ascii="Open Sans" w:hAnsi="Open Sans" w:cs="Open Sans"/>
          <w:szCs w:val="22"/>
          <w:u w:val="single"/>
          <w:lang w:eastAsia="en-GB"/>
        </w:rPr>
        <w:t xml:space="preserve">Constraints on liquid feedstocks </w:t>
      </w:r>
    </w:p>
    <w:p w14:paraId="71795C4C" w14:textId="77777777" w:rsidR="001254C5" w:rsidRPr="00083D99" w:rsidRDefault="001254C5" w:rsidP="001254C5">
      <w:pPr>
        <w:spacing w:before="120" w:after="120"/>
        <w:rPr>
          <w:rFonts w:ascii="Open Sans" w:hAnsi="Open Sans" w:cs="Open Sans"/>
          <w:b/>
          <w:bCs/>
          <w:szCs w:val="22"/>
          <w:lang w:eastAsia="en-GB"/>
        </w:rPr>
      </w:pPr>
      <w:r w:rsidRPr="00083D99">
        <w:rPr>
          <w:rFonts w:ascii="Open Sans" w:hAnsi="Open Sans" w:cs="Open Sans"/>
          <w:b/>
          <w:bCs/>
          <w:szCs w:val="22"/>
          <w:lang w:eastAsia="en-GB"/>
        </w:rPr>
        <w:t xml:space="preserve">There should be no constraints under the GGSS on processing liquid feedstocks that are non waste. </w:t>
      </w:r>
    </w:p>
    <w:bookmarkEnd w:id="37"/>
    <w:p w14:paraId="57D6D3DB" w14:textId="77777777" w:rsidR="001254C5" w:rsidRPr="005365EE" w:rsidRDefault="001254C5" w:rsidP="001254C5">
      <w:pPr>
        <w:spacing w:before="120" w:after="120"/>
        <w:rPr>
          <w:rFonts w:ascii="Open Sans" w:hAnsi="Open Sans" w:cs="Open Sans"/>
          <w:szCs w:val="22"/>
          <w:lang w:eastAsia="en-GB"/>
        </w:rPr>
      </w:pPr>
      <w:r w:rsidRPr="005365EE">
        <w:rPr>
          <w:rFonts w:ascii="Open Sans" w:hAnsi="Open Sans" w:cs="Open Sans"/>
          <w:szCs w:val="22"/>
          <w:lang w:eastAsia="en-GB"/>
        </w:rPr>
        <w:t>As a final but important point, the RHI currently places a constraint on the acceptance of any liquid feedstocks that are not classified as wastes (Regulation 41). Excerpt from the regulations:</w:t>
      </w:r>
    </w:p>
    <w:p w14:paraId="678A6953" w14:textId="77777777" w:rsidR="001254C5" w:rsidRPr="005365EE" w:rsidRDefault="001254C5" w:rsidP="001254C5">
      <w:pPr>
        <w:spacing w:before="120" w:after="120"/>
        <w:rPr>
          <w:rFonts w:ascii="Open Sans" w:hAnsi="Open Sans" w:cs="Open Sans"/>
          <w:szCs w:val="22"/>
          <w:lang w:eastAsia="en-GB"/>
        </w:rPr>
      </w:pPr>
      <w:r w:rsidRPr="005365EE">
        <w:rPr>
          <w:rFonts w:ascii="Open Sans" w:hAnsi="Open Sans" w:cs="Open Sans"/>
          <w:szCs w:val="22"/>
          <w:lang w:eastAsia="en-GB"/>
        </w:rPr>
        <w:lastRenderedPageBreak/>
        <w:t>‘A participant use biogas produced by AD may only use biogas that is made from one or more of the following feedstocks:</w:t>
      </w:r>
    </w:p>
    <w:p w14:paraId="43F77D27" w14:textId="77777777" w:rsidR="001254C5" w:rsidRPr="005365EE" w:rsidRDefault="001254C5" w:rsidP="001254C5">
      <w:pPr>
        <w:pStyle w:val="ListParagraph"/>
        <w:numPr>
          <w:ilvl w:val="0"/>
          <w:numId w:val="21"/>
        </w:numPr>
        <w:spacing w:before="120" w:after="120"/>
        <w:contextualSpacing w:val="0"/>
        <w:rPr>
          <w:rFonts w:ascii="Open Sans" w:hAnsi="Open Sans" w:cs="Open Sans"/>
          <w:szCs w:val="22"/>
          <w:lang w:eastAsia="en-GB"/>
        </w:rPr>
      </w:pPr>
      <w:r w:rsidRPr="005365EE">
        <w:rPr>
          <w:rFonts w:ascii="Open Sans" w:hAnsi="Open Sans" w:cs="Open Sans"/>
          <w:szCs w:val="22"/>
          <w:lang w:eastAsia="en-GB"/>
        </w:rPr>
        <w:t>Solid biomass</w:t>
      </w:r>
    </w:p>
    <w:p w14:paraId="08891F82" w14:textId="77777777" w:rsidR="001254C5" w:rsidRPr="005365EE" w:rsidRDefault="001254C5" w:rsidP="001254C5">
      <w:pPr>
        <w:pStyle w:val="ListParagraph"/>
        <w:numPr>
          <w:ilvl w:val="0"/>
          <w:numId w:val="21"/>
        </w:numPr>
        <w:spacing w:before="120" w:after="120"/>
        <w:contextualSpacing w:val="0"/>
        <w:rPr>
          <w:rFonts w:ascii="Open Sans" w:hAnsi="Open Sans" w:cs="Open Sans"/>
          <w:szCs w:val="22"/>
          <w:lang w:eastAsia="en-GB"/>
        </w:rPr>
      </w:pPr>
      <w:r w:rsidRPr="005365EE">
        <w:rPr>
          <w:rFonts w:ascii="Open Sans" w:hAnsi="Open Sans" w:cs="Open Sans"/>
          <w:szCs w:val="22"/>
          <w:lang w:eastAsia="en-GB"/>
        </w:rPr>
        <w:t>Solid waste</w:t>
      </w:r>
    </w:p>
    <w:p w14:paraId="0F8A65A4" w14:textId="77777777" w:rsidR="001254C5" w:rsidRPr="005365EE" w:rsidRDefault="001254C5" w:rsidP="001254C5">
      <w:pPr>
        <w:pStyle w:val="ListParagraph"/>
        <w:numPr>
          <w:ilvl w:val="0"/>
          <w:numId w:val="21"/>
        </w:numPr>
        <w:spacing w:before="120" w:after="120"/>
        <w:contextualSpacing w:val="0"/>
        <w:rPr>
          <w:rFonts w:ascii="Open Sans" w:hAnsi="Open Sans" w:cs="Open Sans"/>
          <w:szCs w:val="22"/>
          <w:lang w:eastAsia="en-GB"/>
        </w:rPr>
      </w:pPr>
      <w:r w:rsidRPr="005365EE">
        <w:rPr>
          <w:rFonts w:ascii="Open Sans" w:hAnsi="Open Sans" w:cs="Open Sans"/>
          <w:szCs w:val="22"/>
          <w:lang w:eastAsia="en-GB"/>
        </w:rPr>
        <w:t>Liquid waste’</w:t>
      </w:r>
    </w:p>
    <w:p w14:paraId="4B6A0CE2" w14:textId="77777777" w:rsidR="001254C5" w:rsidRDefault="001254C5" w:rsidP="001254C5">
      <w:pPr>
        <w:spacing w:before="120" w:after="120"/>
        <w:rPr>
          <w:rFonts w:ascii="Open Sans" w:hAnsi="Open Sans" w:cs="Open Sans"/>
          <w:szCs w:val="22"/>
          <w:lang w:eastAsia="en-GB"/>
        </w:rPr>
      </w:pPr>
      <w:r w:rsidRPr="005365EE">
        <w:rPr>
          <w:rFonts w:ascii="Open Sans" w:hAnsi="Open Sans" w:cs="Open Sans"/>
          <w:szCs w:val="22"/>
          <w:lang w:eastAsia="en-GB"/>
        </w:rPr>
        <w:t xml:space="preserve">This renders ineligible any liquid waste that is not classed as waste. </w:t>
      </w:r>
      <w:bookmarkStart w:id="38" w:name="_Hlk43724307"/>
      <w:r w:rsidRPr="005365EE">
        <w:rPr>
          <w:rFonts w:ascii="Open Sans" w:hAnsi="Open Sans" w:cs="Open Sans"/>
          <w:szCs w:val="22"/>
          <w:lang w:eastAsia="en-GB"/>
        </w:rPr>
        <w:t xml:space="preserve">This text has significantly constrained the use of liquid feedstocks at AD plants that are clearly sustainable and should be encouraged. Examples of liquid feedstocks that have been constrained are: glycerol from virgin oils, which is classed as a product; crude glycerol from waste oil, which is classed a processing residue and other similar liquids such as pot ale syrup, proflo etc.   </w:t>
      </w:r>
    </w:p>
    <w:p w14:paraId="3E7D1ECE" w14:textId="77777777" w:rsidR="001254C5" w:rsidRPr="00083D99" w:rsidRDefault="001254C5" w:rsidP="001254C5">
      <w:pPr>
        <w:pStyle w:val="CommentText"/>
        <w:spacing w:before="120" w:after="120"/>
        <w:rPr>
          <w:rFonts w:ascii="Open Sans" w:hAnsi="Open Sans" w:cs="Open Sans"/>
          <w:sz w:val="22"/>
          <w:szCs w:val="22"/>
          <w:lang w:eastAsia="en-GB"/>
        </w:rPr>
      </w:pPr>
      <w:r w:rsidRPr="00083D99">
        <w:rPr>
          <w:rFonts w:ascii="Open Sans" w:hAnsi="Open Sans" w:cs="Open Sans"/>
          <w:sz w:val="22"/>
          <w:szCs w:val="22"/>
          <w:lang w:eastAsia="en-GB"/>
        </w:rPr>
        <w:t>Our understanding is that this was introduced due to the original RED. Under that, ‘bioliquids’ used in power or heat must be subject to the same sustainability criteria imposed on transport biofuels, and member states may not deviate from them. These controls were introduced into the Renewables Obligation as liquids were used for power generation. This involves significant complexity, not least because the RED definition of biomass differs from that used in the rest of the RO (and RHI).</w:t>
      </w:r>
    </w:p>
    <w:p w14:paraId="6113A378" w14:textId="77777777" w:rsidR="001254C5" w:rsidRPr="00083D99" w:rsidRDefault="001254C5" w:rsidP="001254C5">
      <w:pPr>
        <w:pStyle w:val="CommentText"/>
        <w:spacing w:before="120" w:after="120"/>
        <w:rPr>
          <w:rFonts w:ascii="Open Sans" w:hAnsi="Open Sans" w:cs="Open Sans"/>
          <w:sz w:val="22"/>
          <w:szCs w:val="22"/>
          <w:lang w:eastAsia="en-GB"/>
        </w:rPr>
      </w:pPr>
      <w:r w:rsidRPr="00083D99">
        <w:rPr>
          <w:rFonts w:ascii="Open Sans" w:hAnsi="Open Sans" w:cs="Open Sans"/>
          <w:sz w:val="22"/>
          <w:szCs w:val="22"/>
          <w:lang w:eastAsia="en-GB"/>
        </w:rPr>
        <w:t>Given the relatively low opportunities for the use of renewable liquids in heating (and that the department was not wholly convinced of the quantity and value for money that these would represent) it was decided not to introduce support for liquids in the RHI at all.</w:t>
      </w:r>
    </w:p>
    <w:p w14:paraId="49731C3E" w14:textId="77777777" w:rsidR="001254C5" w:rsidRPr="007B0056" w:rsidRDefault="001254C5" w:rsidP="001254C5">
      <w:pPr>
        <w:pStyle w:val="CommentText"/>
        <w:spacing w:before="120" w:after="120"/>
        <w:rPr>
          <w:rFonts w:ascii="Open Sans" w:hAnsi="Open Sans" w:cs="Open Sans"/>
          <w:sz w:val="22"/>
          <w:szCs w:val="22"/>
          <w:lang w:eastAsia="en-GB"/>
        </w:rPr>
      </w:pPr>
      <w:r w:rsidRPr="00083D99">
        <w:rPr>
          <w:rFonts w:ascii="Open Sans" w:hAnsi="Open Sans" w:cs="Open Sans"/>
          <w:sz w:val="22"/>
          <w:szCs w:val="22"/>
          <w:lang w:eastAsia="en-GB"/>
        </w:rPr>
        <w:t>Given the UK’s exi</w:t>
      </w:r>
      <w:r>
        <w:rPr>
          <w:rFonts w:ascii="Open Sans" w:hAnsi="Open Sans" w:cs="Open Sans"/>
          <w:sz w:val="22"/>
          <w:szCs w:val="22"/>
          <w:lang w:eastAsia="en-GB"/>
        </w:rPr>
        <w:t xml:space="preserve">t </w:t>
      </w:r>
      <w:r w:rsidRPr="00083D99">
        <w:rPr>
          <w:rFonts w:ascii="Open Sans" w:hAnsi="Open Sans" w:cs="Open Sans"/>
          <w:sz w:val="22"/>
          <w:szCs w:val="22"/>
          <w:lang w:eastAsia="en-GB"/>
        </w:rPr>
        <w:t>from the EU the UK is free to make a decision on this on its own merits rather than to avoid having to administrative burden caused by RED.</w:t>
      </w:r>
      <w:r>
        <w:rPr>
          <w:rFonts w:ascii="Open Sans" w:hAnsi="Open Sans" w:cs="Open Sans"/>
          <w:sz w:val="22"/>
          <w:szCs w:val="22"/>
          <w:lang w:eastAsia="en-GB"/>
        </w:rPr>
        <w:t xml:space="preserve"> </w:t>
      </w:r>
    </w:p>
    <w:bookmarkEnd w:id="38"/>
    <w:p w14:paraId="600F54B5" w14:textId="77777777" w:rsidR="001254C5" w:rsidRPr="005365EE" w:rsidRDefault="001254C5" w:rsidP="001254C5">
      <w:pPr>
        <w:spacing w:before="120" w:after="120"/>
        <w:rPr>
          <w:rFonts w:ascii="Open Sans" w:hAnsi="Open Sans" w:cs="Open Sans"/>
          <w:szCs w:val="22"/>
          <w:lang w:eastAsia="en-GB"/>
        </w:rPr>
      </w:pPr>
      <w:r w:rsidRPr="005365EE">
        <w:rPr>
          <w:rFonts w:ascii="Open Sans" w:hAnsi="Open Sans" w:cs="Open Sans"/>
          <w:szCs w:val="22"/>
          <w:lang w:eastAsia="en-GB"/>
        </w:rPr>
        <w:t xml:space="preserve">REA and other trade associations, as well as Ofgem, have raised this regulatory matter to BEIS on a number of occasions. In addition, there are discrepancies between different schemes, as this constraint applied under the RHI scheme, but not under the RO and the RTFO schemes. </w:t>
      </w:r>
    </w:p>
    <w:bookmarkEnd w:id="33"/>
    <w:p w14:paraId="651C263E" w14:textId="77777777" w:rsidR="001254C5" w:rsidRPr="001254C5" w:rsidRDefault="001254C5" w:rsidP="001254C5">
      <w:pPr>
        <w:spacing w:after="160" w:line="259" w:lineRule="auto"/>
        <w:jc w:val="left"/>
        <w:rPr>
          <w:rFonts w:ascii="Open Sans" w:hAnsi="Open Sans" w:cs="Open Sans"/>
          <w:b/>
          <w:bCs/>
          <w:i/>
          <w:iCs/>
          <w:color w:val="2F5496"/>
          <w:szCs w:val="22"/>
        </w:rPr>
      </w:pPr>
      <w:r>
        <w:rPr>
          <w:rFonts w:ascii="Open Sans" w:hAnsi="Open Sans" w:cs="Open Sans"/>
          <w:b/>
          <w:bCs/>
          <w:i/>
          <w:iCs/>
          <w:color w:val="2F5496"/>
          <w:szCs w:val="22"/>
        </w:rPr>
        <w:t xml:space="preserve">Consultation Question 10 - </w:t>
      </w:r>
      <w:r w:rsidRPr="001254C5">
        <w:rPr>
          <w:rFonts w:ascii="Open Sans" w:hAnsi="Open Sans" w:cs="Open Sans"/>
          <w:b/>
          <w:bCs/>
          <w:i/>
          <w:iCs/>
          <w:color w:val="2F5496"/>
          <w:szCs w:val="22"/>
        </w:rPr>
        <w:t>In light of recent amendments to sustainability criteria in the RED II, do you have any views on whether the UK should look to take into account similar changes for the Green Gas Support Scheme? </w:t>
      </w:r>
    </w:p>
    <w:p w14:paraId="1A405989" w14:textId="77777777" w:rsidR="001254C5" w:rsidRPr="00000F4A" w:rsidRDefault="001254C5" w:rsidP="001254C5">
      <w:pPr>
        <w:spacing w:before="120" w:after="120"/>
        <w:rPr>
          <w:rFonts w:ascii="Open Sans" w:hAnsi="Open Sans" w:cs="Open Sans"/>
          <w:b/>
          <w:bCs/>
          <w:szCs w:val="22"/>
        </w:rPr>
      </w:pPr>
      <w:bookmarkStart w:id="39" w:name="_Hlk44426819"/>
      <w:r w:rsidRPr="00000F4A">
        <w:rPr>
          <w:rFonts w:ascii="Open Sans" w:hAnsi="Open Sans" w:cs="Open Sans"/>
          <w:b/>
          <w:bCs/>
          <w:szCs w:val="22"/>
        </w:rPr>
        <w:t xml:space="preserve">Regardless of the UK future trade arrangements, it would be sensible to align sustainability criteria to RED II to avoid any future barriers to green gas trade within the European market. </w:t>
      </w:r>
    </w:p>
    <w:p w14:paraId="31B7A66D" w14:textId="77777777" w:rsidR="001254C5" w:rsidRPr="00000F4A" w:rsidRDefault="001254C5" w:rsidP="001254C5">
      <w:pPr>
        <w:spacing w:before="120" w:after="120"/>
        <w:rPr>
          <w:rFonts w:ascii="Open Sans" w:hAnsi="Open Sans" w:cs="Open Sans"/>
          <w:b/>
          <w:bCs/>
          <w:szCs w:val="22"/>
        </w:rPr>
      </w:pPr>
      <w:bookmarkStart w:id="40" w:name="_Hlk43720577"/>
      <w:r w:rsidRPr="00000F4A">
        <w:rPr>
          <w:rFonts w:ascii="Open Sans" w:hAnsi="Open Sans" w:cs="Open Sans"/>
          <w:b/>
          <w:bCs/>
          <w:szCs w:val="22"/>
        </w:rPr>
        <w:t xml:space="preserve">If BEIS were minded to align their criteria to RED II, we strongly recommend the following is done: </w:t>
      </w:r>
    </w:p>
    <w:p w14:paraId="6D786C47" w14:textId="77777777" w:rsidR="001254C5" w:rsidRPr="00000F4A" w:rsidRDefault="001254C5" w:rsidP="001254C5">
      <w:pPr>
        <w:pStyle w:val="ListParagraph"/>
        <w:numPr>
          <w:ilvl w:val="0"/>
          <w:numId w:val="10"/>
        </w:numPr>
        <w:spacing w:before="120" w:after="120"/>
        <w:ind w:left="284" w:hanging="284"/>
        <w:contextualSpacing w:val="0"/>
        <w:rPr>
          <w:rFonts w:ascii="Open Sans" w:hAnsi="Open Sans" w:cs="Open Sans"/>
          <w:b/>
          <w:bCs/>
          <w:szCs w:val="22"/>
        </w:rPr>
      </w:pPr>
      <w:r w:rsidRPr="00000F4A">
        <w:rPr>
          <w:rFonts w:ascii="Open Sans" w:hAnsi="Open Sans" w:cs="Open Sans"/>
          <w:b/>
          <w:bCs/>
          <w:szCs w:val="22"/>
        </w:rPr>
        <w:t>Averaging of consignments to calculate lifecycle GHG emissions against the target must be allowed in line with RED II, and</w:t>
      </w:r>
    </w:p>
    <w:p w14:paraId="3FDEC0FA" w14:textId="77777777" w:rsidR="001254C5" w:rsidRDefault="001254C5" w:rsidP="001254C5">
      <w:pPr>
        <w:pStyle w:val="ListParagraph"/>
        <w:numPr>
          <w:ilvl w:val="0"/>
          <w:numId w:val="10"/>
        </w:numPr>
        <w:spacing w:before="120" w:after="120"/>
        <w:ind w:left="284" w:hanging="284"/>
        <w:contextualSpacing w:val="0"/>
        <w:rPr>
          <w:rFonts w:ascii="Open Sans" w:hAnsi="Open Sans" w:cs="Open Sans"/>
          <w:b/>
          <w:bCs/>
          <w:szCs w:val="22"/>
        </w:rPr>
      </w:pPr>
      <w:r w:rsidRPr="00000F4A">
        <w:rPr>
          <w:rFonts w:ascii="Open Sans" w:hAnsi="Open Sans" w:cs="Open Sans"/>
          <w:b/>
          <w:bCs/>
          <w:szCs w:val="22"/>
        </w:rPr>
        <w:t xml:space="preserve">The methodology to calculate the lifecycle GHG emissions must be improved to recognise a number of factors and best practice techniques that are currently unaccounted within the methodology. </w:t>
      </w:r>
      <w:r>
        <w:rPr>
          <w:rFonts w:ascii="Open Sans" w:hAnsi="Open Sans" w:cs="Open Sans"/>
          <w:b/>
          <w:bCs/>
          <w:szCs w:val="22"/>
        </w:rPr>
        <w:t xml:space="preserve">Similarly, data sharing on good practice should be improved to ensure more robust and quality are fed into the available GHG calculators. </w:t>
      </w:r>
    </w:p>
    <w:p w14:paraId="5F9E00EC" w14:textId="77777777" w:rsidR="001254C5" w:rsidRPr="00000F4A" w:rsidRDefault="001254C5" w:rsidP="001254C5">
      <w:pPr>
        <w:pStyle w:val="ListParagraph"/>
        <w:numPr>
          <w:ilvl w:val="0"/>
          <w:numId w:val="10"/>
        </w:numPr>
        <w:spacing w:before="120" w:after="120"/>
        <w:ind w:left="284" w:hanging="284"/>
        <w:contextualSpacing w:val="0"/>
        <w:rPr>
          <w:rFonts w:ascii="Open Sans" w:hAnsi="Open Sans" w:cs="Open Sans"/>
          <w:b/>
          <w:bCs/>
          <w:szCs w:val="22"/>
        </w:rPr>
      </w:pPr>
      <w:r w:rsidRPr="00000F4A">
        <w:rPr>
          <w:rFonts w:ascii="Open Sans" w:hAnsi="Open Sans" w:cs="Open Sans"/>
          <w:b/>
          <w:bCs/>
          <w:szCs w:val="22"/>
        </w:rPr>
        <w:lastRenderedPageBreak/>
        <w:t xml:space="preserve">A more stringent threshold combined with an improved methodology would encourage the sector to deliver best practices and achieve minimum or event negative GHG emissions. </w:t>
      </w:r>
    </w:p>
    <w:bookmarkEnd w:id="39"/>
    <w:bookmarkEnd w:id="40"/>
    <w:p w14:paraId="4B965039" w14:textId="77777777" w:rsidR="001254C5" w:rsidRPr="005365EE" w:rsidRDefault="001254C5" w:rsidP="001254C5">
      <w:pPr>
        <w:spacing w:after="120"/>
        <w:rPr>
          <w:rFonts w:ascii="Open Sans" w:hAnsi="Open Sans" w:cs="Open Sans"/>
          <w:szCs w:val="22"/>
        </w:rPr>
      </w:pPr>
      <w:r w:rsidRPr="005365EE">
        <w:rPr>
          <w:rFonts w:ascii="Open Sans" w:hAnsi="Open Sans" w:cs="Open Sans"/>
          <w:szCs w:val="22"/>
        </w:rPr>
        <w:t>Annex VI of RED II (</w:t>
      </w:r>
      <w:r w:rsidRPr="005365EE">
        <w:rPr>
          <w:rFonts w:ascii="Open Sans" w:hAnsi="Open Sans" w:cs="Open Sans"/>
          <w:i/>
          <w:szCs w:val="22"/>
        </w:rPr>
        <w:t>Rules for calculating the greenhouse gas impact of biomass fuels and their fossil fuel comparators</w:t>
      </w:r>
      <w:r w:rsidRPr="005365EE">
        <w:rPr>
          <w:rFonts w:ascii="Open Sans" w:hAnsi="Open Sans" w:cs="Open Sans"/>
          <w:szCs w:val="22"/>
        </w:rPr>
        <w:t xml:space="preserve">) include the GHG emission default and typical life-cycle GHG emission values and saving for different biomass fuel production pathway and the fossil fuel comparators across power, transport and heat. </w:t>
      </w:r>
    </w:p>
    <w:p w14:paraId="60908986" w14:textId="77777777" w:rsidR="001254C5" w:rsidRPr="005365EE" w:rsidRDefault="001254C5" w:rsidP="001254C5">
      <w:pPr>
        <w:spacing w:after="120"/>
        <w:rPr>
          <w:rFonts w:ascii="Open Sans" w:hAnsi="Open Sans" w:cs="Open Sans"/>
          <w:szCs w:val="22"/>
        </w:rPr>
      </w:pPr>
      <w:r w:rsidRPr="005365EE">
        <w:rPr>
          <w:rFonts w:ascii="Open Sans" w:hAnsi="Open Sans" w:cs="Open Sans"/>
          <w:szCs w:val="22"/>
        </w:rPr>
        <w:t>The new RED II comparators for biomass fuels (biogas and biomethane) are:</w:t>
      </w:r>
    </w:p>
    <w:p w14:paraId="23F8CC52" w14:textId="77777777" w:rsidR="001254C5" w:rsidRPr="005365EE" w:rsidRDefault="001254C5" w:rsidP="001254C5">
      <w:pPr>
        <w:pStyle w:val="ListParagraph"/>
        <w:numPr>
          <w:ilvl w:val="0"/>
          <w:numId w:val="23"/>
        </w:numPr>
        <w:spacing w:after="120"/>
        <w:jc w:val="left"/>
        <w:rPr>
          <w:rFonts w:ascii="Open Sans" w:hAnsi="Open Sans" w:cs="Open Sans"/>
          <w:szCs w:val="22"/>
        </w:rPr>
      </w:pPr>
      <w:r w:rsidRPr="005365EE">
        <w:rPr>
          <w:rFonts w:ascii="Open Sans" w:hAnsi="Open Sans" w:cs="Open Sans"/>
          <w:szCs w:val="22"/>
        </w:rPr>
        <w:t>Heat: 80 gCO</w:t>
      </w:r>
      <w:r w:rsidRPr="005365EE">
        <w:rPr>
          <w:rFonts w:ascii="Open Sans" w:hAnsi="Open Sans" w:cs="Open Sans"/>
          <w:szCs w:val="22"/>
          <w:vertAlign w:val="subscript"/>
        </w:rPr>
        <w:t>2</w:t>
      </w:r>
      <w:r w:rsidRPr="005365EE">
        <w:rPr>
          <w:rFonts w:ascii="Open Sans" w:hAnsi="Open Sans" w:cs="Open Sans"/>
          <w:szCs w:val="22"/>
        </w:rPr>
        <w:t>e/MJ</w:t>
      </w:r>
    </w:p>
    <w:p w14:paraId="1AC33C2F" w14:textId="77777777" w:rsidR="001254C5" w:rsidRPr="005365EE" w:rsidRDefault="001254C5" w:rsidP="001254C5">
      <w:pPr>
        <w:pStyle w:val="ListParagraph"/>
        <w:numPr>
          <w:ilvl w:val="0"/>
          <w:numId w:val="23"/>
        </w:numPr>
        <w:spacing w:after="120"/>
        <w:jc w:val="left"/>
        <w:rPr>
          <w:rFonts w:ascii="Open Sans" w:hAnsi="Open Sans" w:cs="Open Sans"/>
          <w:szCs w:val="22"/>
        </w:rPr>
      </w:pPr>
      <w:r w:rsidRPr="005365EE">
        <w:rPr>
          <w:rFonts w:ascii="Open Sans" w:hAnsi="Open Sans" w:cs="Open Sans"/>
          <w:szCs w:val="22"/>
        </w:rPr>
        <w:t>Transport: 94 gCO</w:t>
      </w:r>
      <w:r w:rsidRPr="005365EE">
        <w:rPr>
          <w:rFonts w:ascii="Open Sans" w:hAnsi="Open Sans" w:cs="Open Sans"/>
          <w:szCs w:val="22"/>
          <w:vertAlign w:val="subscript"/>
        </w:rPr>
        <w:t>2</w:t>
      </w:r>
      <w:r w:rsidRPr="005365EE">
        <w:rPr>
          <w:rFonts w:ascii="Open Sans" w:hAnsi="Open Sans" w:cs="Open Sans"/>
          <w:szCs w:val="22"/>
        </w:rPr>
        <w:t>e/MJ</w:t>
      </w:r>
    </w:p>
    <w:p w14:paraId="4EE89B1C" w14:textId="77777777" w:rsidR="001254C5" w:rsidRPr="005365EE" w:rsidRDefault="001254C5" w:rsidP="001254C5">
      <w:pPr>
        <w:pStyle w:val="ListParagraph"/>
        <w:numPr>
          <w:ilvl w:val="0"/>
          <w:numId w:val="23"/>
        </w:numPr>
        <w:spacing w:after="120"/>
        <w:jc w:val="left"/>
        <w:rPr>
          <w:rFonts w:ascii="Open Sans" w:hAnsi="Open Sans" w:cs="Open Sans"/>
          <w:szCs w:val="22"/>
        </w:rPr>
      </w:pPr>
      <w:r w:rsidRPr="005365EE">
        <w:rPr>
          <w:rFonts w:ascii="Open Sans" w:hAnsi="Open Sans" w:cs="Open Sans"/>
          <w:szCs w:val="22"/>
        </w:rPr>
        <w:t>Power: 183 gCO</w:t>
      </w:r>
      <w:r w:rsidRPr="005365EE">
        <w:rPr>
          <w:rFonts w:ascii="Open Sans" w:hAnsi="Open Sans" w:cs="Open Sans"/>
          <w:szCs w:val="22"/>
          <w:vertAlign w:val="subscript"/>
        </w:rPr>
        <w:t>2</w:t>
      </w:r>
      <w:r w:rsidRPr="005365EE">
        <w:rPr>
          <w:rFonts w:ascii="Open Sans" w:hAnsi="Open Sans" w:cs="Open Sans"/>
          <w:szCs w:val="22"/>
        </w:rPr>
        <w:t>e/MJ</w:t>
      </w:r>
    </w:p>
    <w:p w14:paraId="4C935850" w14:textId="77777777" w:rsidR="001254C5" w:rsidRPr="005365EE" w:rsidRDefault="001254C5" w:rsidP="001254C5">
      <w:pPr>
        <w:spacing w:before="120" w:after="120"/>
        <w:rPr>
          <w:rFonts w:ascii="Open Sans" w:hAnsi="Open Sans" w:cs="Open Sans"/>
          <w:szCs w:val="22"/>
        </w:rPr>
      </w:pPr>
      <w:r w:rsidRPr="005365EE">
        <w:rPr>
          <w:rFonts w:ascii="Open Sans" w:hAnsi="Open Sans" w:cs="Open Sans"/>
          <w:szCs w:val="22"/>
        </w:rPr>
        <w:t xml:space="preserve">The minimum required GHG savings, taken from Annex VI, are shown in the table below, along with the new GHG thresholds that biogas and biomethane would have to meet when used in power, heat and transport. </w:t>
      </w:r>
    </w:p>
    <w:tbl>
      <w:tblPr>
        <w:tblW w:w="9036" w:type="dxa"/>
        <w:tblInd w:w="75" w:type="dxa"/>
        <w:tblLayout w:type="fixed"/>
        <w:tblCellMar>
          <w:left w:w="0" w:type="dxa"/>
          <w:right w:w="0" w:type="dxa"/>
        </w:tblCellMar>
        <w:tblLook w:val="0600" w:firstRow="0" w:lastRow="0" w:firstColumn="0" w:lastColumn="0" w:noHBand="1" w:noVBand="1"/>
      </w:tblPr>
      <w:tblGrid>
        <w:gridCol w:w="1659"/>
        <w:gridCol w:w="1318"/>
        <w:gridCol w:w="1185"/>
        <w:gridCol w:w="1225"/>
        <w:gridCol w:w="1277"/>
        <w:gridCol w:w="1133"/>
        <w:gridCol w:w="1239"/>
      </w:tblGrid>
      <w:tr w:rsidR="001254C5" w:rsidRPr="005365EE" w14:paraId="69460226" w14:textId="77777777" w:rsidTr="00E9370C">
        <w:trPr>
          <w:trHeight w:val="478"/>
        </w:trPr>
        <w:tc>
          <w:tcPr>
            <w:tcW w:w="1659"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hideMark/>
          </w:tcPr>
          <w:p w14:paraId="4BAFD86B" w14:textId="77777777" w:rsidR="001254C5" w:rsidRPr="005365EE" w:rsidRDefault="001254C5" w:rsidP="00E9370C">
            <w:pPr>
              <w:spacing w:before="120" w:after="120"/>
              <w:rPr>
                <w:rFonts w:ascii="Open Sans" w:hAnsi="Open Sans" w:cs="Open Sans"/>
                <w:szCs w:val="22"/>
              </w:rPr>
            </w:pPr>
          </w:p>
        </w:tc>
        <w:tc>
          <w:tcPr>
            <w:tcW w:w="25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hideMark/>
          </w:tcPr>
          <w:p w14:paraId="340E552B" w14:textId="77777777" w:rsidR="001254C5" w:rsidRPr="005365EE" w:rsidRDefault="001254C5" w:rsidP="00E9370C">
            <w:pPr>
              <w:spacing w:before="120" w:after="120"/>
              <w:jc w:val="center"/>
              <w:rPr>
                <w:rFonts w:ascii="Open Sans" w:hAnsi="Open Sans" w:cs="Open Sans"/>
                <w:szCs w:val="22"/>
              </w:rPr>
            </w:pPr>
            <w:r w:rsidRPr="005365EE">
              <w:rPr>
                <w:rFonts w:ascii="Open Sans" w:hAnsi="Open Sans" w:cs="Open Sans"/>
                <w:b/>
                <w:bCs/>
                <w:szCs w:val="22"/>
              </w:rPr>
              <w:t>Transport biofuels</w:t>
            </w:r>
          </w:p>
        </w:tc>
        <w:tc>
          <w:tcPr>
            <w:tcW w:w="250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hideMark/>
          </w:tcPr>
          <w:p w14:paraId="24E6135C" w14:textId="77777777" w:rsidR="001254C5" w:rsidRPr="005365EE" w:rsidRDefault="001254C5" w:rsidP="00E9370C">
            <w:pPr>
              <w:spacing w:before="120" w:after="120"/>
              <w:jc w:val="center"/>
              <w:rPr>
                <w:rFonts w:ascii="Open Sans" w:hAnsi="Open Sans" w:cs="Open Sans"/>
                <w:szCs w:val="22"/>
              </w:rPr>
            </w:pPr>
            <w:r w:rsidRPr="005365EE">
              <w:rPr>
                <w:rFonts w:ascii="Open Sans" w:hAnsi="Open Sans" w:cs="Open Sans"/>
                <w:b/>
                <w:bCs/>
                <w:szCs w:val="22"/>
              </w:rPr>
              <w:t>Heating and cooling</w:t>
            </w:r>
          </w:p>
        </w:tc>
        <w:tc>
          <w:tcPr>
            <w:tcW w:w="2372" w:type="dxa"/>
            <w:gridSpan w:val="2"/>
            <w:tcBorders>
              <w:top w:val="single" w:sz="8" w:space="0" w:color="000000"/>
              <w:left w:val="single" w:sz="8" w:space="0" w:color="000000"/>
              <w:bottom w:val="single" w:sz="8" w:space="0" w:color="000000"/>
              <w:right w:val="single" w:sz="8" w:space="0" w:color="000000"/>
            </w:tcBorders>
          </w:tcPr>
          <w:p w14:paraId="298187DD" w14:textId="77777777" w:rsidR="001254C5" w:rsidRPr="005365EE" w:rsidRDefault="001254C5" w:rsidP="00E9370C">
            <w:pPr>
              <w:spacing w:before="120" w:after="120"/>
              <w:jc w:val="center"/>
              <w:rPr>
                <w:rFonts w:ascii="Open Sans" w:hAnsi="Open Sans" w:cs="Open Sans"/>
                <w:b/>
                <w:bCs/>
                <w:szCs w:val="22"/>
              </w:rPr>
            </w:pPr>
            <w:r w:rsidRPr="005365EE">
              <w:rPr>
                <w:rFonts w:ascii="Open Sans" w:hAnsi="Open Sans" w:cs="Open Sans"/>
                <w:b/>
                <w:bCs/>
                <w:szCs w:val="22"/>
              </w:rPr>
              <w:t>Power</w:t>
            </w:r>
          </w:p>
        </w:tc>
      </w:tr>
      <w:tr w:rsidR="001254C5" w:rsidRPr="005365EE" w14:paraId="75B6B095" w14:textId="77777777" w:rsidTr="00E9370C">
        <w:trPr>
          <w:trHeight w:val="379"/>
        </w:trPr>
        <w:tc>
          <w:tcPr>
            <w:tcW w:w="1659"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tcPr>
          <w:p w14:paraId="3DCD55FB" w14:textId="77777777" w:rsidR="001254C5" w:rsidRPr="005365EE" w:rsidRDefault="001254C5" w:rsidP="00E9370C">
            <w:pPr>
              <w:spacing w:before="120" w:after="120"/>
              <w:jc w:val="left"/>
              <w:rPr>
                <w:rFonts w:ascii="Open Sans" w:hAnsi="Open Sans" w:cs="Open Sans"/>
                <w:sz w:val="20"/>
                <w:szCs w:val="20"/>
              </w:rPr>
            </w:pPr>
            <w:r w:rsidRPr="005365EE">
              <w:rPr>
                <w:rFonts w:ascii="Open Sans" w:hAnsi="Open Sans" w:cs="Open Sans"/>
                <w:b/>
                <w:bCs/>
                <w:sz w:val="20"/>
                <w:szCs w:val="20"/>
              </w:rPr>
              <w:t>Plant operation start date</w:t>
            </w:r>
          </w:p>
        </w:tc>
        <w:tc>
          <w:tcPr>
            <w:tcW w:w="1318"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tcPr>
          <w:p w14:paraId="0968406D" w14:textId="77777777" w:rsidR="001254C5" w:rsidRPr="005365EE" w:rsidRDefault="001254C5" w:rsidP="00E9370C">
            <w:pPr>
              <w:spacing w:before="120" w:after="120"/>
              <w:jc w:val="left"/>
              <w:rPr>
                <w:rFonts w:ascii="Open Sans" w:hAnsi="Open Sans" w:cs="Open Sans"/>
                <w:b/>
                <w:sz w:val="20"/>
                <w:szCs w:val="20"/>
              </w:rPr>
            </w:pPr>
            <w:r w:rsidRPr="005365EE">
              <w:rPr>
                <w:rFonts w:ascii="Open Sans" w:hAnsi="Open Sans" w:cs="Open Sans"/>
                <w:b/>
                <w:sz w:val="20"/>
                <w:szCs w:val="20"/>
              </w:rPr>
              <w:t>Min GHG Saving (%)</w:t>
            </w:r>
          </w:p>
        </w:tc>
        <w:tc>
          <w:tcPr>
            <w:tcW w:w="1185" w:type="dxa"/>
            <w:tcBorders>
              <w:top w:val="single" w:sz="8" w:space="0" w:color="000000"/>
              <w:left w:val="single" w:sz="8" w:space="0" w:color="000000"/>
              <w:bottom w:val="single" w:sz="8" w:space="0" w:color="000000"/>
              <w:right w:val="single" w:sz="8" w:space="0" w:color="000000"/>
            </w:tcBorders>
            <w:shd w:val="clear" w:color="auto" w:fill="auto"/>
          </w:tcPr>
          <w:p w14:paraId="7F7C3896" w14:textId="77777777" w:rsidR="001254C5" w:rsidRPr="005365EE" w:rsidRDefault="001254C5" w:rsidP="00E9370C">
            <w:pPr>
              <w:spacing w:before="120" w:after="120"/>
              <w:jc w:val="left"/>
              <w:rPr>
                <w:rFonts w:ascii="Open Sans" w:hAnsi="Open Sans" w:cs="Open Sans"/>
                <w:b/>
                <w:sz w:val="20"/>
                <w:szCs w:val="20"/>
              </w:rPr>
            </w:pPr>
            <w:r w:rsidRPr="005365EE">
              <w:rPr>
                <w:rFonts w:ascii="Open Sans" w:hAnsi="Open Sans" w:cs="Open Sans"/>
                <w:b/>
                <w:sz w:val="20"/>
                <w:szCs w:val="20"/>
              </w:rPr>
              <w:t>GHG threshold (g CO</w:t>
            </w:r>
            <w:r w:rsidRPr="005365EE">
              <w:rPr>
                <w:rFonts w:ascii="Open Sans" w:hAnsi="Open Sans" w:cs="Open Sans"/>
                <w:b/>
                <w:sz w:val="20"/>
                <w:szCs w:val="20"/>
                <w:vertAlign w:val="subscript"/>
              </w:rPr>
              <w:t>2</w:t>
            </w:r>
            <w:r w:rsidRPr="005365EE">
              <w:rPr>
                <w:rFonts w:ascii="Open Sans" w:hAnsi="Open Sans" w:cs="Open Sans"/>
                <w:b/>
                <w:sz w:val="20"/>
                <w:szCs w:val="20"/>
              </w:rPr>
              <w:t>e/MJ)</w:t>
            </w:r>
          </w:p>
        </w:tc>
        <w:tc>
          <w:tcPr>
            <w:tcW w:w="1225"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tcPr>
          <w:p w14:paraId="5B93CC06" w14:textId="77777777" w:rsidR="001254C5" w:rsidRPr="005365EE" w:rsidRDefault="001254C5" w:rsidP="00E9370C">
            <w:pPr>
              <w:spacing w:before="120" w:after="120"/>
              <w:jc w:val="left"/>
              <w:rPr>
                <w:rFonts w:ascii="Open Sans" w:hAnsi="Open Sans" w:cs="Open Sans"/>
                <w:sz w:val="20"/>
                <w:szCs w:val="20"/>
              </w:rPr>
            </w:pPr>
            <w:r w:rsidRPr="005365EE">
              <w:rPr>
                <w:rFonts w:ascii="Open Sans" w:hAnsi="Open Sans" w:cs="Open Sans"/>
                <w:b/>
                <w:sz w:val="20"/>
                <w:szCs w:val="20"/>
              </w:rPr>
              <w:t>Min GHG Saving (%)</w:t>
            </w:r>
          </w:p>
        </w:tc>
        <w:tc>
          <w:tcPr>
            <w:tcW w:w="1277" w:type="dxa"/>
            <w:tcBorders>
              <w:top w:val="single" w:sz="8" w:space="0" w:color="000000"/>
              <w:left w:val="single" w:sz="8" w:space="0" w:color="000000"/>
              <w:bottom w:val="single" w:sz="8" w:space="0" w:color="000000"/>
              <w:right w:val="single" w:sz="8" w:space="0" w:color="000000"/>
            </w:tcBorders>
            <w:shd w:val="clear" w:color="auto" w:fill="auto"/>
          </w:tcPr>
          <w:p w14:paraId="5006F3FF" w14:textId="77777777" w:rsidR="001254C5" w:rsidRPr="005365EE" w:rsidRDefault="001254C5" w:rsidP="00E9370C">
            <w:pPr>
              <w:spacing w:before="120" w:after="120"/>
              <w:jc w:val="left"/>
              <w:rPr>
                <w:rFonts w:ascii="Open Sans" w:hAnsi="Open Sans" w:cs="Open Sans"/>
                <w:b/>
                <w:sz w:val="20"/>
                <w:szCs w:val="20"/>
              </w:rPr>
            </w:pPr>
            <w:r w:rsidRPr="005365EE">
              <w:rPr>
                <w:rFonts w:ascii="Open Sans" w:hAnsi="Open Sans" w:cs="Open Sans"/>
                <w:b/>
                <w:sz w:val="20"/>
                <w:szCs w:val="20"/>
              </w:rPr>
              <w:t>GHG threshold (g CO</w:t>
            </w:r>
            <w:r w:rsidRPr="005365EE">
              <w:rPr>
                <w:rFonts w:ascii="Open Sans" w:hAnsi="Open Sans" w:cs="Open Sans"/>
                <w:b/>
                <w:sz w:val="20"/>
                <w:szCs w:val="20"/>
                <w:vertAlign w:val="subscript"/>
              </w:rPr>
              <w:t>2</w:t>
            </w:r>
            <w:r w:rsidRPr="005365EE">
              <w:rPr>
                <w:rFonts w:ascii="Open Sans" w:hAnsi="Open Sans" w:cs="Open Sans"/>
                <w:b/>
                <w:sz w:val="20"/>
                <w:szCs w:val="20"/>
              </w:rPr>
              <w:t>e/MJ)</w:t>
            </w:r>
          </w:p>
        </w:tc>
        <w:tc>
          <w:tcPr>
            <w:tcW w:w="1133" w:type="dxa"/>
            <w:tcBorders>
              <w:top w:val="single" w:sz="8" w:space="0" w:color="000000"/>
              <w:left w:val="single" w:sz="8" w:space="0" w:color="000000"/>
              <w:bottom w:val="single" w:sz="8" w:space="0" w:color="000000"/>
              <w:right w:val="single" w:sz="8" w:space="0" w:color="000000"/>
            </w:tcBorders>
          </w:tcPr>
          <w:p w14:paraId="35CB541B" w14:textId="77777777" w:rsidR="001254C5" w:rsidRPr="005365EE" w:rsidRDefault="001254C5" w:rsidP="00E9370C">
            <w:pPr>
              <w:spacing w:before="120" w:after="120"/>
              <w:jc w:val="left"/>
              <w:rPr>
                <w:rFonts w:ascii="Open Sans" w:hAnsi="Open Sans" w:cs="Open Sans"/>
                <w:sz w:val="20"/>
                <w:szCs w:val="20"/>
              </w:rPr>
            </w:pPr>
            <w:r w:rsidRPr="005365EE">
              <w:rPr>
                <w:rFonts w:ascii="Open Sans" w:hAnsi="Open Sans" w:cs="Open Sans"/>
                <w:b/>
                <w:sz w:val="20"/>
                <w:szCs w:val="20"/>
              </w:rPr>
              <w:t>Min GHG Saving (%)</w:t>
            </w:r>
          </w:p>
        </w:tc>
        <w:tc>
          <w:tcPr>
            <w:tcW w:w="1239" w:type="dxa"/>
            <w:tcBorders>
              <w:top w:val="single" w:sz="8" w:space="0" w:color="000000"/>
              <w:left w:val="single" w:sz="8" w:space="0" w:color="000000"/>
              <w:bottom w:val="single" w:sz="8" w:space="0" w:color="000000"/>
              <w:right w:val="single" w:sz="8" w:space="0" w:color="000000"/>
            </w:tcBorders>
          </w:tcPr>
          <w:p w14:paraId="54665AD0" w14:textId="77777777" w:rsidR="001254C5" w:rsidRPr="005365EE" w:rsidRDefault="001254C5" w:rsidP="00E9370C">
            <w:pPr>
              <w:spacing w:before="120" w:after="120"/>
              <w:jc w:val="left"/>
              <w:rPr>
                <w:rFonts w:ascii="Open Sans" w:hAnsi="Open Sans" w:cs="Open Sans"/>
                <w:b/>
                <w:sz w:val="20"/>
                <w:szCs w:val="20"/>
              </w:rPr>
            </w:pPr>
            <w:r w:rsidRPr="005365EE">
              <w:rPr>
                <w:rFonts w:ascii="Open Sans" w:hAnsi="Open Sans" w:cs="Open Sans"/>
                <w:b/>
                <w:sz w:val="20"/>
                <w:szCs w:val="20"/>
              </w:rPr>
              <w:t>GHG threshold (g CO</w:t>
            </w:r>
            <w:r w:rsidRPr="005365EE">
              <w:rPr>
                <w:rFonts w:ascii="Open Sans" w:hAnsi="Open Sans" w:cs="Open Sans"/>
                <w:b/>
                <w:sz w:val="20"/>
                <w:szCs w:val="20"/>
                <w:vertAlign w:val="subscript"/>
              </w:rPr>
              <w:t>2</w:t>
            </w:r>
            <w:r w:rsidRPr="005365EE">
              <w:rPr>
                <w:rFonts w:ascii="Open Sans" w:hAnsi="Open Sans" w:cs="Open Sans"/>
                <w:b/>
                <w:sz w:val="20"/>
                <w:szCs w:val="20"/>
              </w:rPr>
              <w:t>e/MJ)</w:t>
            </w:r>
          </w:p>
        </w:tc>
      </w:tr>
      <w:tr w:rsidR="001254C5" w:rsidRPr="005365EE" w14:paraId="76F757A8" w14:textId="77777777" w:rsidTr="00E9370C">
        <w:trPr>
          <w:trHeight w:val="379"/>
        </w:trPr>
        <w:tc>
          <w:tcPr>
            <w:tcW w:w="1659"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hideMark/>
          </w:tcPr>
          <w:p w14:paraId="7CA127DB" w14:textId="77777777" w:rsidR="001254C5" w:rsidRPr="005365EE" w:rsidRDefault="001254C5" w:rsidP="00E9370C">
            <w:pPr>
              <w:spacing w:before="120" w:after="120"/>
              <w:jc w:val="left"/>
              <w:rPr>
                <w:rFonts w:ascii="Open Sans" w:hAnsi="Open Sans" w:cs="Open Sans"/>
                <w:sz w:val="20"/>
                <w:szCs w:val="20"/>
              </w:rPr>
            </w:pPr>
            <w:r w:rsidRPr="005365EE">
              <w:rPr>
                <w:rFonts w:ascii="Open Sans" w:hAnsi="Open Sans" w:cs="Open Sans"/>
                <w:sz w:val="20"/>
                <w:szCs w:val="20"/>
              </w:rPr>
              <w:t>Before October 2015</w:t>
            </w:r>
          </w:p>
        </w:tc>
        <w:tc>
          <w:tcPr>
            <w:tcW w:w="1318"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vAlign w:val="center"/>
            <w:hideMark/>
          </w:tcPr>
          <w:p w14:paraId="4D82F3C5" w14:textId="77777777" w:rsidR="001254C5" w:rsidRPr="005365EE" w:rsidRDefault="001254C5" w:rsidP="00E9370C">
            <w:pPr>
              <w:spacing w:before="120" w:after="120"/>
              <w:jc w:val="center"/>
              <w:rPr>
                <w:rFonts w:ascii="Open Sans" w:hAnsi="Open Sans" w:cs="Open Sans"/>
                <w:sz w:val="20"/>
                <w:szCs w:val="20"/>
              </w:rPr>
            </w:pPr>
            <w:r w:rsidRPr="005365EE">
              <w:rPr>
                <w:rFonts w:ascii="Open Sans" w:hAnsi="Open Sans" w:cs="Open Sans"/>
                <w:sz w:val="20"/>
                <w:szCs w:val="20"/>
              </w:rPr>
              <w:t>50%</w:t>
            </w:r>
          </w:p>
        </w:tc>
        <w:tc>
          <w:tcPr>
            <w:tcW w:w="11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3CEA61B" w14:textId="77777777" w:rsidR="001254C5" w:rsidRPr="005365EE" w:rsidRDefault="001254C5" w:rsidP="00E9370C">
            <w:pPr>
              <w:spacing w:before="120" w:after="120"/>
              <w:jc w:val="center"/>
              <w:rPr>
                <w:rFonts w:ascii="Open Sans" w:hAnsi="Open Sans" w:cs="Open Sans"/>
                <w:sz w:val="20"/>
                <w:szCs w:val="20"/>
              </w:rPr>
            </w:pPr>
            <w:r w:rsidRPr="005365EE">
              <w:rPr>
                <w:rFonts w:ascii="Open Sans" w:hAnsi="Open Sans" w:cs="Open Sans"/>
                <w:sz w:val="20"/>
                <w:szCs w:val="20"/>
              </w:rPr>
              <w:t>47</w:t>
            </w:r>
          </w:p>
        </w:tc>
        <w:tc>
          <w:tcPr>
            <w:tcW w:w="1225"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vAlign w:val="center"/>
            <w:hideMark/>
          </w:tcPr>
          <w:p w14:paraId="19C735F9" w14:textId="77777777" w:rsidR="001254C5" w:rsidRPr="005365EE" w:rsidRDefault="001254C5" w:rsidP="00E9370C">
            <w:pPr>
              <w:spacing w:before="120" w:after="120"/>
              <w:jc w:val="center"/>
              <w:rPr>
                <w:rFonts w:ascii="Open Sans" w:hAnsi="Open Sans" w:cs="Open Sans"/>
                <w:sz w:val="20"/>
                <w:szCs w:val="20"/>
              </w:rPr>
            </w:pPr>
            <w:r w:rsidRPr="005365EE">
              <w:rPr>
                <w:rFonts w:ascii="Open Sans" w:hAnsi="Open Sans" w:cs="Open Sans"/>
                <w:sz w:val="20"/>
                <w:szCs w:val="20"/>
              </w:rPr>
              <w:t>-</w:t>
            </w:r>
          </w:p>
        </w:tc>
        <w:tc>
          <w:tcPr>
            <w:tcW w:w="127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6E54F9" w14:textId="77777777" w:rsidR="001254C5" w:rsidRPr="005365EE" w:rsidRDefault="001254C5" w:rsidP="00E9370C">
            <w:pPr>
              <w:spacing w:before="120" w:after="120"/>
              <w:jc w:val="center"/>
              <w:rPr>
                <w:rFonts w:ascii="Open Sans" w:hAnsi="Open Sans" w:cs="Open Sans"/>
                <w:sz w:val="20"/>
                <w:szCs w:val="20"/>
              </w:rPr>
            </w:pPr>
            <w:r w:rsidRPr="005365EE">
              <w:rPr>
                <w:rFonts w:ascii="Open Sans" w:hAnsi="Open Sans" w:cs="Open Sans"/>
                <w:sz w:val="20"/>
                <w:szCs w:val="20"/>
              </w:rPr>
              <w:t>-</w:t>
            </w:r>
          </w:p>
        </w:tc>
        <w:tc>
          <w:tcPr>
            <w:tcW w:w="1133" w:type="dxa"/>
            <w:tcBorders>
              <w:top w:val="single" w:sz="8" w:space="0" w:color="000000"/>
              <w:left w:val="single" w:sz="8" w:space="0" w:color="000000"/>
              <w:bottom w:val="single" w:sz="8" w:space="0" w:color="000000"/>
              <w:right w:val="single" w:sz="8" w:space="0" w:color="000000"/>
            </w:tcBorders>
            <w:vAlign w:val="center"/>
          </w:tcPr>
          <w:p w14:paraId="45BE7AD2" w14:textId="77777777" w:rsidR="001254C5" w:rsidRPr="005365EE" w:rsidRDefault="001254C5" w:rsidP="00E9370C">
            <w:pPr>
              <w:spacing w:before="120" w:after="120"/>
              <w:jc w:val="center"/>
              <w:rPr>
                <w:rFonts w:ascii="Open Sans" w:hAnsi="Open Sans" w:cs="Open Sans"/>
                <w:sz w:val="20"/>
                <w:szCs w:val="20"/>
              </w:rPr>
            </w:pPr>
            <w:r w:rsidRPr="005365EE">
              <w:rPr>
                <w:rFonts w:ascii="Open Sans" w:hAnsi="Open Sans" w:cs="Open Sans"/>
                <w:sz w:val="20"/>
                <w:szCs w:val="20"/>
              </w:rPr>
              <w:t>-</w:t>
            </w:r>
          </w:p>
        </w:tc>
        <w:tc>
          <w:tcPr>
            <w:tcW w:w="1239" w:type="dxa"/>
            <w:tcBorders>
              <w:top w:val="single" w:sz="8" w:space="0" w:color="000000"/>
              <w:left w:val="single" w:sz="8" w:space="0" w:color="000000"/>
              <w:bottom w:val="single" w:sz="8" w:space="0" w:color="000000"/>
              <w:right w:val="single" w:sz="8" w:space="0" w:color="000000"/>
            </w:tcBorders>
            <w:vAlign w:val="center"/>
          </w:tcPr>
          <w:p w14:paraId="377AA421" w14:textId="77777777" w:rsidR="001254C5" w:rsidRPr="005365EE" w:rsidRDefault="001254C5" w:rsidP="00E9370C">
            <w:pPr>
              <w:spacing w:before="120" w:after="120"/>
              <w:jc w:val="center"/>
              <w:rPr>
                <w:rFonts w:ascii="Open Sans" w:hAnsi="Open Sans" w:cs="Open Sans"/>
                <w:sz w:val="20"/>
                <w:szCs w:val="20"/>
              </w:rPr>
            </w:pPr>
            <w:r w:rsidRPr="005365EE">
              <w:rPr>
                <w:rFonts w:ascii="Open Sans" w:hAnsi="Open Sans" w:cs="Open Sans"/>
                <w:sz w:val="20"/>
                <w:szCs w:val="20"/>
              </w:rPr>
              <w:t>-</w:t>
            </w:r>
          </w:p>
        </w:tc>
      </w:tr>
      <w:tr w:rsidR="001254C5" w:rsidRPr="005365EE" w14:paraId="14002126" w14:textId="77777777" w:rsidTr="00E9370C">
        <w:trPr>
          <w:trHeight w:val="401"/>
        </w:trPr>
        <w:tc>
          <w:tcPr>
            <w:tcW w:w="1659"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hideMark/>
          </w:tcPr>
          <w:p w14:paraId="09EAC7CA" w14:textId="77777777" w:rsidR="001254C5" w:rsidRPr="005365EE" w:rsidRDefault="001254C5" w:rsidP="00E9370C">
            <w:pPr>
              <w:spacing w:before="120" w:after="120"/>
              <w:jc w:val="left"/>
              <w:rPr>
                <w:rFonts w:ascii="Open Sans" w:hAnsi="Open Sans" w:cs="Open Sans"/>
                <w:sz w:val="20"/>
                <w:szCs w:val="20"/>
              </w:rPr>
            </w:pPr>
            <w:r w:rsidRPr="005365EE">
              <w:rPr>
                <w:rFonts w:ascii="Open Sans" w:hAnsi="Open Sans" w:cs="Open Sans"/>
                <w:sz w:val="20"/>
                <w:szCs w:val="20"/>
              </w:rPr>
              <w:t>After October 2015</w:t>
            </w:r>
          </w:p>
        </w:tc>
        <w:tc>
          <w:tcPr>
            <w:tcW w:w="1318"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vAlign w:val="center"/>
            <w:hideMark/>
          </w:tcPr>
          <w:p w14:paraId="0EFF3853" w14:textId="77777777" w:rsidR="001254C5" w:rsidRPr="005365EE" w:rsidRDefault="001254C5" w:rsidP="00E9370C">
            <w:pPr>
              <w:spacing w:before="120" w:after="120"/>
              <w:jc w:val="center"/>
              <w:rPr>
                <w:rFonts w:ascii="Open Sans" w:hAnsi="Open Sans" w:cs="Open Sans"/>
                <w:sz w:val="20"/>
                <w:szCs w:val="20"/>
              </w:rPr>
            </w:pPr>
            <w:r w:rsidRPr="005365EE">
              <w:rPr>
                <w:rFonts w:ascii="Open Sans" w:hAnsi="Open Sans" w:cs="Open Sans"/>
                <w:sz w:val="20"/>
                <w:szCs w:val="20"/>
              </w:rPr>
              <w:t>60%</w:t>
            </w:r>
          </w:p>
        </w:tc>
        <w:tc>
          <w:tcPr>
            <w:tcW w:w="11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207482" w14:textId="77777777" w:rsidR="001254C5" w:rsidRPr="005365EE" w:rsidRDefault="001254C5" w:rsidP="00E9370C">
            <w:pPr>
              <w:spacing w:before="120" w:after="120"/>
              <w:jc w:val="center"/>
              <w:rPr>
                <w:rFonts w:ascii="Open Sans" w:hAnsi="Open Sans" w:cs="Open Sans"/>
                <w:sz w:val="20"/>
                <w:szCs w:val="20"/>
              </w:rPr>
            </w:pPr>
            <w:r w:rsidRPr="005365EE">
              <w:rPr>
                <w:rFonts w:ascii="Open Sans" w:hAnsi="Open Sans" w:cs="Open Sans"/>
                <w:sz w:val="20"/>
                <w:szCs w:val="20"/>
              </w:rPr>
              <w:t>37.6</w:t>
            </w:r>
          </w:p>
        </w:tc>
        <w:tc>
          <w:tcPr>
            <w:tcW w:w="1225"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vAlign w:val="center"/>
            <w:hideMark/>
          </w:tcPr>
          <w:p w14:paraId="28228D73" w14:textId="77777777" w:rsidR="001254C5" w:rsidRPr="005365EE" w:rsidRDefault="001254C5" w:rsidP="00E9370C">
            <w:pPr>
              <w:spacing w:before="120" w:after="120"/>
              <w:jc w:val="center"/>
              <w:rPr>
                <w:rFonts w:ascii="Open Sans" w:hAnsi="Open Sans" w:cs="Open Sans"/>
                <w:sz w:val="20"/>
                <w:szCs w:val="20"/>
              </w:rPr>
            </w:pPr>
            <w:r w:rsidRPr="005365EE">
              <w:rPr>
                <w:rFonts w:ascii="Open Sans" w:hAnsi="Open Sans" w:cs="Open Sans"/>
                <w:sz w:val="20"/>
                <w:szCs w:val="20"/>
              </w:rPr>
              <w:t>-</w:t>
            </w:r>
          </w:p>
        </w:tc>
        <w:tc>
          <w:tcPr>
            <w:tcW w:w="127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992FBF" w14:textId="77777777" w:rsidR="001254C5" w:rsidRPr="005365EE" w:rsidRDefault="001254C5" w:rsidP="00E9370C">
            <w:pPr>
              <w:spacing w:before="120" w:after="120"/>
              <w:jc w:val="center"/>
              <w:rPr>
                <w:rFonts w:ascii="Open Sans" w:hAnsi="Open Sans" w:cs="Open Sans"/>
                <w:sz w:val="20"/>
                <w:szCs w:val="20"/>
              </w:rPr>
            </w:pPr>
            <w:r w:rsidRPr="005365EE">
              <w:rPr>
                <w:rFonts w:ascii="Open Sans" w:hAnsi="Open Sans" w:cs="Open Sans"/>
                <w:sz w:val="20"/>
                <w:szCs w:val="20"/>
              </w:rPr>
              <w:t>-</w:t>
            </w:r>
          </w:p>
        </w:tc>
        <w:tc>
          <w:tcPr>
            <w:tcW w:w="1133" w:type="dxa"/>
            <w:tcBorders>
              <w:top w:val="single" w:sz="8" w:space="0" w:color="000000"/>
              <w:left w:val="single" w:sz="8" w:space="0" w:color="000000"/>
              <w:bottom w:val="single" w:sz="8" w:space="0" w:color="000000"/>
              <w:right w:val="single" w:sz="8" w:space="0" w:color="000000"/>
            </w:tcBorders>
            <w:vAlign w:val="center"/>
          </w:tcPr>
          <w:p w14:paraId="1FC98A5B" w14:textId="77777777" w:rsidR="001254C5" w:rsidRPr="005365EE" w:rsidRDefault="001254C5" w:rsidP="001254C5">
            <w:pPr>
              <w:pStyle w:val="ListParagraph"/>
              <w:numPr>
                <w:ilvl w:val="0"/>
                <w:numId w:val="24"/>
              </w:numPr>
              <w:spacing w:before="120" w:after="120"/>
              <w:jc w:val="center"/>
              <w:rPr>
                <w:rFonts w:ascii="Open Sans" w:hAnsi="Open Sans" w:cs="Open Sans"/>
                <w:sz w:val="20"/>
                <w:szCs w:val="20"/>
              </w:rPr>
            </w:pPr>
          </w:p>
        </w:tc>
        <w:tc>
          <w:tcPr>
            <w:tcW w:w="1239" w:type="dxa"/>
            <w:tcBorders>
              <w:top w:val="single" w:sz="8" w:space="0" w:color="000000"/>
              <w:left w:val="single" w:sz="8" w:space="0" w:color="000000"/>
              <w:bottom w:val="single" w:sz="8" w:space="0" w:color="000000"/>
              <w:right w:val="single" w:sz="8" w:space="0" w:color="000000"/>
            </w:tcBorders>
            <w:vAlign w:val="center"/>
          </w:tcPr>
          <w:p w14:paraId="11CD81FA" w14:textId="77777777" w:rsidR="001254C5" w:rsidRPr="005365EE" w:rsidRDefault="001254C5" w:rsidP="00E9370C">
            <w:pPr>
              <w:spacing w:before="120" w:after="120"/>
              <w:jc w:val="center"/>
              <w:rPr>
                <w:rFonts w:ascii="Open Sans" w:hAnsi="Open Sans" w:cs="Open Sans"/>
                <w:sz w:val="20"/>
                <w:szCs w:val="20"/>
              </w:rPr>
            </w:pPr>
            <w:r w:rsidRPr="005365EE">
              <w:rPr>
                <w:rFonts w:ascii="Open Sans" w:hAnsi="Open Sans" w:cs="Open Sans"/>
                <w:sz w:val="20"/>
                <w:szCs w:val="20"/>
              </w:rPr>
              <w:t>-</w:t>
            </w:r>
          </w:p>
        </w:tc>
      </w:tr>
      <w:tr w:rsidR="001254C5" w:rsidRPr="005365EE" w14:paraId="1AD52B7A" w14:textId="77777777" w:rsidTr="00E9370C">
        <w:trPr>
          <w:trHeight w:val="395"/>
        </w:trPr>
        <w:tc>
          <w:tcPr>
            <w:tcW w:w="1659"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hideMark/>
          </w:tcPr>
          <w:p w14:paraId="640473A9" w14:textId="77777777" w:rsidR="001254C5" w:rsidRPr="005365EE" w:rsidRDefault="001254C5" w:rsidP="00E9370C">
            <w:pPr>
              <w:spacing w:before="120" w:after="120"/>
              <w:jc w:val="left"/>
              <w:rPr>
                <w:rFonts w:ascii="Open Sans" w:hAnsi="Open Sans" w:cs="Open Sans"/>
                <w:sz w:val="20"/>
                <w:szCs w:val="20"/>
              </w:rPr>
            </w:pPr>
            <w:r w:rsidRPr="005365EE">
              <w:rPr>
                <w:rFonts w:ascii="Open Sans" w:hAnsi="Open Sans" w:cs="Open Sans"/>
                <w:sz w:val="20"/>
                <w:szCs w:val="20"/>
              </w:rPr>
              <w:t>After January 2021</w:t>
            </w:r>
          </w:p>
        </w:tc>
        <w:tc>
          <w:tcPr>
            <w:tcW w:w="1318"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vAlign w:val="center"/>
            <w:hideMark/>
          </w:tcPr>
          <w:p w14:paraId="19D617D4" w14:textId="77777777" w:rsidR="001254C5" w:rsidRPr="005365EE" w:rsidRDefault="001254C5" w:rsidP="00E9370C">
            <w:pPr>
              <w:spacing w:before="120" w:after="120"/>
              <w:jc w:val="center"/>
              <w:rPr>
                <w:rFonts w:ascii="Open Sans" w:hAnsi="Open Sans" w:cs="Open Sans"/>
                <w:sz w:val="20"/>
                <w:szCs w:val="20"/>
              </w:rPr>
            </w:pPr>
            <w:r w:rsidRPr="005365EE">
              <w:rPr>
                <w:rFonts w:ascii="Open Sans" w:hAnsi="Open Sans" w:cs="Open Sans"/>
                <w:bCs/>
                <w:sz w:val="20"/>
                <w:szCs w:val="20"/>
              </w:rPr>
              <w:t>65%</w:t>
            </w:r>
          </w:p>
        </w:tc>
        <w:tc>
          <w:tcPr>
            <w:tcW w:w="11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5CD60A" w14:textId="77777777" w:rsidR="001254C5" w:rsidRPr="005365EE" w:rsidRDefault="001254C5" w:rsidP="00E9370C">
            <w:pPr>
              <w:spacing w:before="120" w:after="120"/>
              <w:jc w:val="center"/>
              <w:rPr>
                <w:rFonts w:ascii="Open Sans" w:hAnsi="Open Sans" w:cs="Open Sans"/>
                <w:sz w:val="20"/>
                <w:szCs w:val="20"/>
              </w:rPr>
            </w:pPr>
            <w:r w:rsidRPr="005365EE">
              <w:rPr>
                <w:rFonts w:ascii="Open Sans" w:hAnsi="Open Sans" w:cs="Open Sans"/>
                <w:sz w:val="20"/>
                <w:szCs w:val="20"/>
              </w:rPr>
              <w:t>32.9</w:t>
            </w:r>
          </w:p>
        </w:tc>
        <w:tc>
          <w:tcPr>
            <w:tcW w:w="1225"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vAlign w:val="center"/>
            <w:hideMark/>
          </w:tcPr>
          <w:p w14:paraId="158C160D" w14:textId="77777777" w:rsidR="001254C5" w:rsidRPr="005365EE" w:rsidRDefault="001254C5" w:rsidP="00E9370C">
            <w:pPr>
              <w:spacing w:before="120" w:after="120"/>
              <w:jc w:val="center"/>
              <w:rPr>
                <w:rFonts w:ascii="Open Sans" w:hAnsi="Open Sans" w:cs="Open Sans"/>
                <w:color w:val="FF0000"/>
                <w:sz w:val="20"/>
                <w:szCs w:val="20"/>
              </w:rPr>
            </w:pPr>
            <w:r w:rsidRPr="005365EE">
              <w:rPr>
                <w:rFonts w:ascii="Open Sans" w:hAnsi="Open Sans" w:cs="Open Sans"/>
                <w:bCs/>
                <w:color w:val="FF0000"/>
                <w:sz w:val="20"/>
                <w:szCs w:val="20"/>
              </w:rPr>
              <w:t>70%</w:t>
            </w:r>
          </w:p>
        </w:tc>
        <w:tc>
          <w:tcPr>
            <w:tcW w:w="127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36B116" w14:textId="77777777" w:rsidR="001254C5" w:rsidRPr="005365EE" w:rsidRDefault="001254C5" w:rsidP="00E9370C">
            <w:pPr>
              <w:spacing w:before="120" w:after="120"/>
              <w:jc w:val="center"/>
              <w:rPr>
                <w:rFonts w:ascii="Open Sans" w:hAnsi="Open Sans" w:cs="Open Sans"/>
                <w:color w:val="FF0000"/>
                <w:sz w:val="20"/>
                <w:szCs w:val="20"/>
              </w:rPr>
            </w:pPr>
            <w:r w:rsidRPr="005365EE">
              <w:rPr>
                <w:rFonts w:ascii="Open Sans" w:hAnsi="Open Sans" w:cs="Open Sans"/>
                <w:color w:val="FF0000"/>
                <w:sz w:val="20"/>
                <w:szCs w:val="20"/>
              </w:rPr>
              <w:t>24</w:t>
            </w:r>
          </w:p>
        </w:tc>
        <w:tc>
          <w:tcPr>
            <w:tcW w:w="1133" w:type="dxa"/>
            <w:tcBorders>
              <w:top w:val="single" w:sz="8" w:space="0" w:color="000000"/>
              <w:left w:val="single" w:sz="8" w:space="0" w:color="000000"/>
              <w:bottom w:val="single" w:sz="8" w:space="0" w:color="000000"/>
              <w:right w:val="single" w:sz="8" w:space="0" w:color="000000"/>
            </w:tcBorders>
            <w:vAlign w:val="center"/>
          </w:tcPr>
          <w:p w14:paraId="5F3473F4" w14:textId="77777777" w:rsidR="001254C5" w:rsidRPr="005365EE" w:rsidRDefault="001254C5" w:rsidP="00E9370C">
            <w:pPr>
              <w:spacing w:before="120" w:after="120"/>
              <w:jc w:val="center"/>
              <w:rPr>
                <w:rFonts w:ascii="Open Sans" w:hAnsi="Open Sans" w:cs="Open Sans"/>
                <w:sz w:val="20"/>
                <w:szCs w:val="20"/>
              </w:rPr>
            </w:pPr>
            <w:r w:rsidRPr="005365EE">
              <w:rPr>
                <w:rFonts w:ascii="Open Sans" w:hAnsi="Open Sans" w:cs="Open Sans"/>
                <w:bCs/>
                <w:sz w:val="20"/>
                <w:szCs w:val="20"/>
              </w:rPr>
              <w:t>70%</w:t>
            </w:r>
          </w:p>
        </w:tc>
        <w:tc>
          <w:tcPr>
            <w:tcW w:w="1239" w:type="dxa"/>
            <w:tcBorders>
              <w:top w:val="single" w:sz="8" w:space="0" w:color="000000"/>
              <w:left w:val="single" w:sz="8" w:space="0" w:color="000000"/>
              <w:bottom w:val="single" w:sz="8" w:space="0" w:color="000000"/>
              <w:right w:val="single" w:sz="8" w:space="0" w:color="000000"/>
            </w:tcBorders>
            <w:vAlign w:val="center"/>
          </w:tcPr>
          <w:p w14:paraId="7A51451C" w14:textId="77777777" w:rsidR="001254C5" w:rsidRPr="005365EE" w:rsidRDefault="001254C5" w:rsidP="00E9370C">
            <w:pPr>
              <w:spacing w:before="120" w:after="120"/>
              <w:jc w:val="center"/>
              <w:rPr>
                <w:rFonts w:ascii="Open Sans" w:hAnsi="Open Sans" w:cs="Open Sans"/>
                <w:sz w:val="20"/>
                <w:szCs w:val="20"/>
              </w:rPr>
            </w:pPr>
            <w:r w:rsidRPr="005365EE">
              <w:rPr>
                <w:rFonts w:ascii="Open Sans" w:hAnsi="Open Sans" w:cs="Open Sans"/>
                <w:sz w:val="20"/>
                <w:szCs w:val="20"/>
              </w:rPr>
              <w:t>54.9</w:t>
            </w:r>
          </w:p>
        </w:tc>
      </w:tr>
      <w:tr w:rsidR="001254C5" w:rsidRPr="005365EE" w14:paraId="006D501C" w14:textId="77777777" w:rsidTr="00E9370C">
        <w:trPr>
          <w:trHeight w:val="403"/>
        </w:trPr>
        <w:tc>
          <w:tcPr>
            <w:tcW w:w="1659"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hideMark/>
          </w:tcPr>
          <w:p w14:paraId="7EF194CC" w14:textId="77777777" w:rsidR="001254C5" w:rsidRPr="005365EE" w:rsidRDefault="001254C5" w:rsidP="00E9370C">
            <w:pPr>
              <w:spacing w:before="120" w:after="120"/>
              <w:jc w:val="left"/>
              <w:rPr>
                <w:rFonts w:ascii="Open Sans" w:hAnsi="Open Sans" w:cs="Open Sans"/>
                <w:sz w:val="20"/>
                <w:szCs w:val="20"/>
              </w:rPr>
            </w:pPr>
            <w:r w:rsidRPr="005365EE">
              <w:rPr>
                <w:rFonts w:ascii="Open Sans" w:hAnsi="Open Sans" w:cs="Open Sans"/>
                <w:sz w:val="20"/>
                <w:szCs w:val="20"/>
              </w:rPr>
              <w:t>After January 2026</w:t>
            </w:r>
          </w:p>
        </w:tc>
        <w:tc>
          <w:tcPr>
            <w:tcW w:w="1318"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vAlign w:val="center"/>
            <w:hideMark/>
          </w:tcPr>
          <w:p w14:paraId="14E66021" w14:textId="77777777" w:rsidR="001254C5" w:rsidRPr="005365EE" w:rsidRDefault="001254C5" w:rsidP="00E9370C">
            <w:pPr>
              <w:spacing w:before="120" w:after="120"/>
              <w:jc w:val="center"/>
              <w:rPr>
                <w:rFonts w:ascii="Open Sans" w:hAnsi="Open Sans" w:cs="Open Sans"/>
                <w:sz w:val="20"/>
                <w:szCs w:val="20"/>
              </w:rPr>
            </w:pPr>
            <w:r w:rsidRPr="005365EE">
              <w:rPr>
                <w:rFonts w:ascii="Open Sans" w:hAnsi="Open Sans" w:cs="Open Sans"/>
                <w:bCs/>
                <w:sz w:val="20"/>
                <w:szCs w:val="20"/>
              </w:rPr>
              <w:t>65%</w:t>
            </w:r>
          </w:p>
        </w:tc>
        <w:tc>
          <w:tcPr>
            <w:tcW w:w="11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5029BF1" w14:textId="77777777" w:rsidR="001254C5" w:rsidRPr="005365EE" w:rsidRDefault="001254C5" w:rsidP="00E9370C">
            <w:pPr>
              <w:spacing w:before="120" w:after="120"/>
              <w:jc w:val="center"/>
              <w:rPr>
                <w:rFonts w:ascii="Open Sans" w:hAnsi="Open Sans" w:cs="Open Sans"/>
                <w:sz w:val="20"/>
                <w:szCs w:val="20"/>
              </w:rPr>
            </w:pPr>
            <w:r w:rsidRPr="005365EE">
              <w:rPr>
                <w:rFonts w:ascii="Open Sans" w:hAnsi="Open Sans" w:cs="Open Sans"/>
                <w:sz w:val="20"/>
                <w:szCs w:val="20"/>
              </w:rPr>
              <w:t>32.9</w:t>
            </w:r>
          </w:p>
        </w:tc>
        <w:tc>
          <w:tcPr>
            <w:tcW w:w="1225" w:type="dxa"/>
            <w:tcBorders>
              <w:top w:val="single" w:sz="8" w:space="0" w:color="000000"/>
              <w:left w:val="single" w:sz="8" w:space="0" w:color="000000"/>
              <w:bottom w:val="single" w:sz="8" w:space="0" w:color="000000"/>
              <w:right w:val="single" w:sz="8" w:space="0" w:color="000000"/>
            </w:tcBorders>
            <w:shd w:val="clear" w:color="auto" w:fill="auto"/>
            <w:tcMar>
              <w:top w:w="15" w:type="dxa"/>
              <w:left w:w="75" w:type="dxa"/>
              <w:bottom w:w="15" w:type="dxa"/>
              <w:right w:w="75" w:type="dxa"/>
            </w:tcMar>
            <w:vAlign w:val="center"/>
            <w:hideMark/>
          </w:tcPr>
          <w:p w14:paraId="3025511B" w14:textId="77777777" w:rsidR="001254C5" w:rsidRPr="005365EE" w:rsidRDefault="001254C5" w:rsidP="00E9370C">
            <w:pPr>
              <w:spacing w:before="120" w:after="120"/>
              <w:jc w:val="center"/>
              <w:rPr>
                <w:rFonts w:ascii="Open Sans" w:hAnsi="Open Sans" w:cs="Open Sans"/>
                <w:color w:val="FF0000"/>
                <w:sz w:val="20"/>
                <w:szCs w:val="20"/>
              </w:rPr>
            </w:pPr>
            <w:r w:rsidRPr="005365EE">
              <w:rPr>
                <w:rFonts w:ascii="Open Sans" w:hAnsi="Open Sans" w:cs="Open Sans"/>
                <w:bCs/>
                <w:color w:val="FF0000"/>
                <w:sz w:val="20"/>
                <w:szCs w:val="20"/>
              </w:rPr>
              <w:t>80%</w:t>
            </w:r>
          </w:p>
        </w:tc>
        <w:tc>
          <w:tcPr>
            <w:tcW w:w="127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A54982" w14:textId="77777777" w:rsidR="001254C5" w:rsidRPr="005365EE" w:rsidRDefault="001254C5" w:rsidP="00E9370C">
            <w:pPr>
              <w:spacing w:before="120" w:after="120"/>
              <w:jc w:val="center"/>
              <w:rPr>
                <w:rFonts w:ascii="Open Sans" w:hAnsi="Open Sans" w:cs="Open Sans"/>
                <w:color w:val="FF0000"/>
                <w:sz w:val="20"/>
                <w:szCs w:val="20"/>
              </w:rPr>
            </w:pPr>
            <w:r w:rsidRPr="005365EE">
              <w:rPr>
                <w:rFonts w:ascii="Open Sans" w:hAnsi="Open Sans" w:cs="Open Sans"/>
                <w:color w:val="FF0000"/>
                <w:sz w:val="20"/>
                <w:szCs w:val="20"/>
              </w:rPr>
              <w:t>16</w:t>
            </w:r>
          </w:p>
        </w:tc>
        <w:tc>
          <w:tcPr>
            <w:tcW w:w="1133" w:type="dxa"/>
            <w:tcBorders>
              <w:top w:val="single" w:sz="8" w:space="0" w:color="000000"/>
              <w:left w:val="single" w:sz="8" w:space="0" w:color="000000"/>
              <w:bottom w:val="single" w:sz="8" w:space="0" w:color="000000"/>
              <w:right w:val="single" w:sz="8" w:space="0" w:color="000000"/>
            </w:tcBorders>
            <w:vAlign w:val="center"/>
          </w:tcPr>
          <w:p w14:paraId="3A01CBC1" w14:textId="77777777" w:rsidR="001254C5" w:rsidRPr="005365EE" w:rsidRDefault="001254C5" w:rsidP="00E9370C">
            <w:pPr>
              <w:spacing w:before="120" w:after="120"/>
              <w:jc w:val="center"/>
              <w:rPr>
                <w:rFonts w:ascii="Open Sans" w:hAnsi="Open Sans" w:cs="Open Sans"/>
                <w:sz w:val="20"/>
                <w:szCs w:val="20"/>
              </w:rPr>
            </w:pPr>
            <w:r w:rsidRPr="005365EE">
              <w:rPr>
                <w:rFonts w:ascii="Open Sans" w:hAnsi="Open Sans" w:cs="Open Sans"/>
                <w:bCs/>
                <w:sz w:val="20"/>
                <w:szCs w:val="20"/>
              </w:rPr>
              <w:t>80%</w:t>
            </w:r>
          </w:p>
        </w:tc>
        <w:tc>
          <w:tcPr>
            <w:tcW w:w="1239" w:type="dxa"/>
            <w:tcBorders>
              <w:top w:val="single" w:sz="8" w:space="0" w:color="000000"/>
              <w:left w:val="single" w:sz="8" w:space="0" w:color="000000"/>
              <w:bottom w:val="single" w:sz="8" w:space="0" w:color="000000"/>
              <w:right w:val="single" w:sz="8" w:space="0" w:color="000000"/>
            </w:tcBorders>
            <w:vAlign w:val="center"/>
          </w:tcPr>
          <w:p w14:paraId="71F2888C" w14:textId="77777777" w:rsidR="001254C5" w:rsidRPr="005365EE" w:rsidRDefault="001254C5" w:rsidP="00E9370C">
            <w:pPr>
              <w:spacing w:before="120" w:after="120"/>
              <w:jc w:val="center"/>
              <w:rPr>
                <w:rFonts w:ascii="Open Sans" w:hAnsi="Open Sans" w:cs="Open Sans"/>
                <w:sz w:val="20"/>
                <w:szCs w:val="20"/>
              </w:rPr>
            </w:pPr>
            <w:r w:rsidRPr="005365EE">
              <w:rPr>
                <w:rFonts w:ascii="Open Sans" w:hAnsi="Open Sans" w:cs="Open Sans"/>
                <w:sz w:val="20"/>
                <w:szCs w:val="20"/>
              </w:rPr>
              <w:t>36.6</w:t>
            </w:r>
          </w:p>
        </w:tc>
      </w:tr>
    </w:tbl>
    <w:p w14:paraId="7CA6EF5A" w14:textId="77777777" w:rsidR="001254C5" w:rsidRPr="005365EE" w:rsidRDefault="001254C5" w:rsidP="001254C5">
      <w:pPr>
        <w:spacing w:before="120" w:after="120"/>
        <w:rPr>
          <w:rFonts w:ascii="Open Sans" w:hAnsi="Open Sans" w:cs="Open Sans"/>
          <w:szCs w:val="22"/>
        </w:rPr>
      </w:pPr>
      <w:r w:rsidRPr="005365EE">
        <w:rPr>
          <w:rFonts w:ascii="Open Sans" w:hAnsi="Open Sans" w:cs="Open Sans"/>
          <w:szCs w:val="22"/>
        </w:rPr>
        <w:t xml:space="preserve">Following a Freedom of Information request from the REA, in October 2019 Ofgem supplied to the REA an extensive, anonymised dataset including the lifecycle average GHG emissions values for all the consignments of biogas and biomethane registered under the Renewable Heat Incentive (RHI) scheme. These include 3,578 consignments for biomethane. </w:t>
      </w:r>
    </w:p>
    <w:p w14:paraId="2B393DD8" w14:textId="77777777" w:rsidR="001254C5" w:rsidRPr="005365EE" w:rsidRDefault="001254C5" w:rsidP="001254C5">
      <w:pPr>
        <w:spacing w:before="120" w:after="120"/>
        <w:rPr>
          <w:rFonts w:ascii="Open Sans" w:hAnsi="Open Sans" w:cs="Open Sans"/>
          <w:szCs w:val="22"/>
        </w:rPr>
      </w:pPr>
      <w:r w:rsidRPr="005365EE">
        <w:rPr>
          <w:rFonts w:ascii="Open Sans" w:hAnsi="Open Sans" w:cs="Open Sans"/>
          <w:szCs w:val="22"/>
        </w:rPr>
        <w:t>Under the RHI scheme each consignment of fuel needs to meet a GHG limit of 34.8 g CO</w:t>
      </w:r>
      <w:r w:rsidRPr="005365EE">
        <w:rPr>
          <w:rFonts w:ascii="Open Sans" w:hAnsi="Open Sans" w:cs="Open Sans"/>
          <w:szCs w:val="22"/>
          <w:vertAlign w:val="subscript"/>
        </w:rPr>
        <w:t>2</w:t>
      </w:r>
      <w:r w:rsidRPr="005365EE">
        <w:rPr>
          <w:rFonts w:ascii="Open Sans" w:hAnsi="Open Sans" w:cs="Open Sans"/>
          <w:szCs w:val="22"/>
        </w:rPr>
        <w:t>e per MJ of heat generated or MJ of biomethane injected (125.28kg CO</w:t>
      </w:r>
      <w:r w:rsidRPr="005365EE">
        <w:rPr>
          <w:rFonts w:ascii="Open Sans" w:hAnsi="Open Sans" w:cs="Open Sans"/>
          <w:szCs w:val="22"/>
          <w:vertAlign w:val="subscript"/>
        </w:rPr>
        <w:t>2</w:t>
      </w:r>
      <w:r w:rsidRPr="005365EE">
        <w:rPr>
          <w:rFonts w:ascii="Open Sans" w:hAnsi="Open Sans" w:cs="Open Sans"/>
          <w:szCs w:val="22"/>
        </w:rPr>
        <w:t xml:space="preserve"> equivalent per MWh). This represents a 60% GHG saving on an EU fossil heat comparator of 87 g CO</w:t>
      </w:r>
      <w:r w:rsidRPr="005365EE">
        <w:rPr>
          <w:rFonts w:ascii="Open Sans" w:hAnsi="Open Sans" w:cs="Open Sans"/>
          <w:szCs w:val="22"/>
          <w:vertAlign w:val="subscript"/>
        </w:rPr>
        <w:t>2</w:t>
      </w:r>
      <w:r w:rsidRPr="005365EE">
        <w:rPr>
          <w:rFonts w:ascii="Open Sans" w:hAnsi="Open Sans" w:cs="Open Sans"/>
          <w:szCs w:val="22"/>
        </w:rPr>
        <w:t xml:space="preserve">e/MJ. </w:t>
      </w:r>
    </w:p>
    <w:p w14:paraId="4E0646EF" w14:textId="77777777" w:rsidR="001254C5" w:rsidRPr="005365EE" w:rsidRDefault="001254C5" w:rsidP="001254C5">
      <w:pPr>
        <w:spacing w:before="120" w:after="120"/>
        <w:rPr>
          <w:rFonts w:ascii="Open Sans" w:hAnsi="Open Sans" w:cs="Open Sans"/>
          <w:szCs w:val="22"/>
        </w:rPr>
      </w:pPr>
      <w:r w:rsidRPr="005365EE">
        <w:rPr>
          <w:rFonts w:ascii="Open Sans" w:hAnsi="Open Sans" w:cs="Open Sans"/>
          <w:szCs w:val="22"/>
        </w:rPr>
        <w:t xml:space="preserve">For consignments of waste-based biogas and biomethane, producers do not have to report the lifecycle GHG emission values as these are seen as sustainable and therefore deemed to have met the GHG emission criteria. Therefore, the database included only consignments of biomethane from crops like grass silage, sugar beet, maize, rye and wheat as well as residues such as glycerol and whey permeate. The data is therefore useful as an indicator of the </w:t>
      </w:r>
      <w:r w:rsidRPr="005365EE">
        <w:rPr>
          <w:rFonts w:ascii="Open Sans" w:hAnsi="Open Sans" w:cs="Open Sans"/>
          <w:szCs w:val="22"/>
        </w:rPr>
        <w:lastRenderedPageBreak/>
        <w:t xml:space="preserve">greenhouse gas reduction potential of agricultural AD but does not reflect the full GHG emission reduction that the industry is currently achieving due to the way the current reporting requirements have been put in place. </w:t>
      </w:r>
    </w:p>
    <w:p w14:paraId="61DC12E4" w14:textId="77777777" w:rsidR="001254C5" w:rsidRDefault="001254C5" w:rsidP="001254C5">
      <w:pPr>
        <w:spacing w:before="120" w:after="120"/>
        <w:rPr>
          <w:rFonts w:ascii="Open Sans" w:hAnsi="Open Sans" w:cs="Open Sans"/>
          <w:szCs w:val="22"/>
        </w:rPr>
      </w:pPr>
      <w:r>
        <w:rPr>
          <w:rFonts w:ascii="Open Sans" w:hAnsi="Open Sans" w:cs="Open Sans"/>
          <w:szCs w:val="22"/>
        </w:rPr>
        <w:t xml:space="preserve">Lifecycle GHG emission data on wastes from the point of collection should probably be reported in the future if the approach of averaging consignments for the purpose of the GHG calculation is allowed under the GGSS, in line with RED II. </w:t>
      </w:r>
    </w:p>
    <w:p w14:paraId="52CDAD63" w14:textId="77777777" w:rsidR="001254C5" w:rsidRPr="005365EE" w:rsidRDefault="001254C5" w:rsidP="001254C5">
      <w:pPr>
        <w:spacing w:before="120" w:after="120"/>
        <w:rPr>
          <w:rFonts w:ascii="Open Sans" w:hAnsi="Open Sans" w:cs="Open Sans"/>
          <w:szCs w:val="22"/>
        </w:rPr>
      </w:pPr>
      <w:r w:rsidRPr="005365EE">
        <w:rPr>
          <w:rFonts w:ascii="Open Sans" w:hAnsi="Open Sans" w:cs="Open Sans"/>
          <w:szCs w:val="22"/>
        </w:rPr>
        <w:t xml:space="preserve">We have undertaken an analysis of the data to verify how many consignments of biomethane would fail against the RED II lifecycle GHG emission thresholds. This is illustrated in the table below. </w:t>
      </w:r>
    </w:p>
    <w:p w14:paraId="378192C5" w14:textId="77777777" w:rsidR="001254C5" w:rsidRPr="005365EE" w:rsidRDefault="001254C5" w:rsidP="001254C5">
      <w:pPr>
        <w:spacing w:before="120" w:after="120"/>
        <w:rPr>
          <w:rFonts w:ascii="Open Sans" w:hAnsi="Open Sans" w:cs="Open Sans"/>
          <w:szCs w:val="22"/>
        </w:rPr>
      </w:pPr>
    </w:p>
    <w:tbl>
      <w:tblPr>
        <w:tblW w:w="0" w:type="auto"/>
        <w:tblInd w:w="93" w:type="dxa"/>
        <w:tblLook w:val="04A0" w:firstRow="1" w:lastRow="0" w:firstColumn="1" w:lastColumn="0" w:noHBand="0" w:noVBand="1"/>
      </w:tblPr>
      <w:tblGrid>
        <w:gridCol w:w="3417"/>
        <w:gridCol w:w="1477"/>
        <w:gridCol w:w="1987"/>
        <w:gridCol w:w="2042"/>
      </w:tblGrid>
      <w:tr w:rsidR="001254C5" w:rsidRPr="005365EE" w14:paraId="49A1323A" w14:textId="77777777" w:rsidTr="00E9370C">
        <w:trPr>
          <w:trHeight w:val="69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0E86750" w14:textId="77777777" w:rsidR="001254C5" w:rsidRPr="005365EE" w:rsidRDefault="001254C5" w:rsidP="00E9370C">
            <w:pPr>
              <w:jc w:val="left"/>
              <w:rPr>
                <w:rFonts w:ascii="Open Sans" w:hAnsi="Open Sans" w:cs="Open Sans"/>
                <w:b/>
                <w:bCs/>
                <w:szCs w:val="22"/>
                <w:lang w:eastAsia="en-GB"/>
              </w:rPr>
            </w:pPr>
            <w:r w:rsidRPr="005365EE">
              <w:rPr>
                <w:rFonts w:ascii="Open Sans" w:hAnsi="Open Sans" w:cs="Open Sans"/>
                <w:b/>
                <w:bCs/>
                <w:szCs w:val="22"/>
                <w:lang w:eastAsia="en-GB"/>
              </w:rPr>
              <w:t xml:space="preserve">Total Number of biomethane consignments where GHG emissions have been reported in the dataset = 3578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D01012" w14:textId="77777777" w:rsidR="001254C5" w:rsidRPr="005365EE" w:rsidRDefault="001254C5" w:rsidP="00E9370C">
            <w:pPr>
              <w:jc w:val="left"/>
              <w:rPr>
                <w:rFonts w:ascii="Open Sans" w:hAnsi="Open Sans" w:cs="Open Sans"/>
                <w:b/>
                <w:bCs/>
                <w:szCs w:val="22"/>
                <w:lang w:eastAsia="en-GB"/>
              </w:rPr>
            </w:pPr>
            <w:r w:rsidRPr="005365EE">
              <w:rPr>
                <w:rFonts w:ascii="Open Sans" w:hAnsi="Open Sans" w:cs="Open Sans"/>
                <w:b/>
                <w:bCs/>
                <w:szCs w:val="22"/>
                <w:lang w:eastAsia="en-GB"/>
              </w:rPr>
              <w:t>GHG emission threshold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F058298" w14:textId="77777777" w:rsidR="001254C5" w:rsidRPr="005365EE" w:rsidRDefault="001254C5" w:rsidP="00E9370C">
            <w:pPr>
              <w:jc w:val="left"/>
              <w:rPr>
                <w:rFonts w:ascii="Open Sans" w:hAnsi="Open Sans" w:cs="Open Sans"/>
                <w:b/>
                <w:bCs/>
                <w:szCs w:val="22"/>
                <w:lang w:eastAsia="en-GB"/>
              </w:rPr>
            </w:pPr>
            <w:r w:rsidRPr="005365EE">
              <w:rPr>
                <w:rFonts w:ascii="Open Sans" w:hAnsi="Open Sans" w:cs="Open Sans"/>
                <w:b/>
                <w:bCs/>
                <w:szCs w:val="22"/>
                <w:lang w:eastAsia="en-GB"/>
              </w:rPr>
              <w:t xml:space="preserve">Number of failed consignments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6FD091" w14:textId="77777777" w:rsidR="001254C5" w:rsidRPr="005365EE" w:rsidRDefault="001254C5" w:rsidP="00E9370C">
            <w:pPr>
              <w:jc w:val="left"/>
              <w:rPr>
                <w:rFonts w:ascii="Open Sans" w:hAnsi="Open Sans" w:cs="Open Sans"/>
                <w:b/>
                <w:bCs/>
                <w:szCs w:val="22"/>
                <w:lang w:eastAsia="en-GB"/>
              </w:rPr>
            </w:pPr>
            <w:r w:rsidRPr="005365EE">
              <w:rPr>
                <w:rFonts w:ascii="Open Sans" w:hAnsi="Open Sans" w:cs="Open Sans"/>
                <w:b/>
                <w:bCs/>
                <w:szCs w:val="22"/>
                <w:lang w:eastAsia="en-GB"/>
              </w:rPr>
              <w:t xml:space="preserve">Percentage of failed consignments </w:t>
            </w:r>
          </w:p>
        </w:tc>
      </w:tr>
      <w:tr w:rsidR="001254C5" w:rsidRPr="005365EE" w14:paraId="752D8715" w14:textId="77777777" w:rsidTr="00E9370C">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10B5F5" w14:textId="77777777" w:rsidR="001254C5" w:rsidRPr="005365EE" w:rsidRDefault="001254C5" w:rsidP="00E9370C">
            <w:pPr>
              <w:jc w:val="left"/>
              <w:rPr>
                <w:rFonts w:ascii="Open Sans" w:hAnsi="Open Sans" w:cs="Open Sans"/>
                <w:sz w:val="28"/>
                <w:szCs w:val="28"/>
                <w:lang w:eastAsia="en-GB"/>
              </w:rPr>
            </w:pPr>
            <w:r w:rsidRPr="005365EE">
              <w:rPr>
                <w:rFonts w:ascii="Open Sans" w:hAnsi="Open Sans" w:cs="Open Sans"/>
                <w:szCs w:val="22"/>
              </w:rPr>
              <w:t>60% savings required compared to current EU Fossil Fuel Comparator (87 g CO</w:t>
            </w:r>
            <w:r w:rsidRPr="005365EE">
              <w:rPr>
                <w:rFonts w:ascii="Open Sans" w:hAnsi="Open Sans" w:cs="Open Sans"/>
                <w:szCs w:val="22"/>
                <w:vertAlign w:val="subscript"/>
              </w:rPr>
              <w:t>2</w:t>
            </w:r>
            <w:r w:rsidRPr="005365EE">
              <w:rPr>
                <w:rFonts w:ascii="Open Sans" w:hAnsi="Open Sans" w:cs="Open Sans"/>
                <w:szCs w:val="22"/>
              </w:rPr>
              <w:t>e/MJ)</w:t>
            </w:r>
            <w:r w:rsidRPr="005365EE" w:rsidDel="000F4A8F">
              <w:rPr>
                <w:rFonts w:ascii="Open Sans" w:hAnsi="Open Sans" w:cs="Open Sans"/>
                <w:sz w:val="28"/>
                <w:szCs w:val="28"/>
                <w:lang w:eastAsia="en-GB"/>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4215E82" w14:textId="77777777" w:rsidR="001254C5" w:rsidRPr="005365EE" w:rsidRDefault="001254C5" w:rsidP="00E9370C">
            <w:pPr>
              <w:jc w:val="left"/>
              <w:rPr>
                <w:rFonts w:ascii="Open Sans" w:hAnsi="Open Sans" w:cs="Open Sans"/>
                <w:szCs w:val="22"/>
                <w:lang w:eastAsia="en-GB"/>
              </w:rPr>
            </w:pPr>
            <w:r w:rsidRPr="005365EE">
              <w:rPr>
                <w:rFonts w:ascii="Open Sans" w:hAnsi="Open Sans" w:cs="Open Sans"/>
                <w:szCs w:val="22"/>
                <w:lang w:eastAsia="en-GB"/>
              </w:rPr>
              <w:t>34.8 g CO</w:t>
            </w:r>
            <w:r w:rsidRPr="005365EE">
              <w:rPr>
                <w:rFonts w:ascii="Open Sans" w:hAnsi="Open Sans" w:cs="Open Sans"/>
                <w:szCs w:val="22"/>
                <w:vertAlign w:val="subscript"/>
                <w:lang w:eastAsia="en-GB"/>
              </w:rPr>
              <w:t>2</w:t>
            </w:r>
            <w:r w:rsidRPr="005365EE">
              <w:rPr>
                <w:rFonts w:ascii="Open Sans" w:hAnsi="Open Sans" w:cs="Open Sans"/>
                <w:szCs w:val="22"/>
                <w:lang w:eastAsia="en-GB"/>
              </w:rPr>
              <w:t>/MJ</w:t>
            </w:r>
          </w:p>
        </w:tc>
        <w:tc>
          <w:tcPr>
            <w:tcW w:w="0" w:type="auto"/>
            <w:tcBorders>
              <w:top w:val="nil"/>
              <w:left w:val="nil"/>
              <w:bottom w:val="single" w:sz="4" w:space="0" w:color="auto"/>
              <w:right w:val="single" w:sz="4" w:space="0" w:color="auto"/>
            </w:tcBorders>
            <w:shd w:val="clear" w:color="auto" w:fill="auto"/>
            <w:vAlign w:val="center"/>
            <w:hideMark/>
          </w:tcPr>
          <w:p w14:paraId="4F336749" w14:textId="77777777" w:rsidR="001254C5" w:rsidRPr="005365EE" w:rsidRDefault="001254C5" w:rsidP="00E9370C">
            <w:pPr>
              <w:jc w:val="left"/>
              <w:rPr>
                <w:rFonts w:ascii="Open Sans" w:hAnsi="Open Sans" w:cs="Open Sans"/>
                <w:szCs w:val="22"/>
                <w:lang w:eastAsia="en-GB"/>
              </w:rPr>
            </w:pPr>
            <w:r w:rsidRPr="005365EE">
              <w:rPr>
                <w:rFonts w:ascii="Open Sans" w:hAnsi="Open Sans" w:cs="Open Sans"/>
                <w:szCs w:val="22"/>
                <w:lang w:eastAsia="en-GB"/>
              </w:rPr>
              <w:t>45</w:t>
            </w:r>
          </w:p>
        </w:tc>
        <w:tc>
          <w:tcPr>
            <w:tcW w:w="0" w:type="auto"/>
            <w:tcBorders>
              <w:top w:val="nil"/>
              <w:left w:val="nil"/>
              <w:bottom w:val="single" w:sz="4" w:space="0" w:color="auto"/>
              <w:right w:val="single" w:sz="4" w:space="0" w:color="auto"/>
            </w:tcBorders>
            <w:shd w:val="clear" w:color="auto" w:fill="auto"/>
            <w:vAlign w:val="center"/>
            <w:hideMark/>
          </w:tcPr>
          <w:p w14:paraId="020E2EFE" w14:textId="77777777" w:rsidR="001254C5" w:rsidRPr="005365EE" w:rsidRDefault="001254C5" w:rsidP="00E9370C">
            <w:pPr>
              <w:jc w:val="left"/>
              <w:rPr>
                <w:rFonts w:ascii="Open Sans" w:hAnsi="Open Sans" w:cs="Open Sans"/>
                <w:b/>
                <w:bCs/>
                <w:szCs w:val="22"/>
                <w:lang w:eastAsia="en-GB"/>
              </w:rPr>
            </w:pPr>
            <w:r w:rsidRPr="005365EE">
              <w:rPr>
                <w:rFonts w:ascii="Open Sans" w:hAnsi="Open Sans" w:cs="Open Sans"/>
                <w:b/>
                <w:bCs/>
                <w:szCs w:val="22"/>
                <w:lang w:eastAsia="en-GB"/>
              </w:rPr>
              <w:t>1%</w:t>
            </w:r>
          </w:p>
        </w:tc>
      </w:tr>
      <w:tr w:rsidR="001254C5" w:rsidRPr="005365EE" w14:paraId="622CF56A" w14:textId="77777777" w:rsidTr="00E9370C">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A43567" w14:textId="77777777" w:rsidR="001254C5" w:rsidRPr="005365EE" w:rsidRDefault="001254C5" w:rsidP="00E9370C">
            <w:pPr>
              <w:jc w:val="left"/>
              <w:rPr>
                <w:rFonts w:ascii="Open Sans" w:hAnsi="Open Sans" w:cs="Open Sans"/>
                <w:szCs w:val="22"/>
              </w:rPr>
            </w:pPr>
            <w:r w:rsidRPr="005365EE">
              <w:rPr>
                <w:rFonts w:ascii="Open Sans" w:hAnsi="Open Sans" w:cs="Open Sans"/>
                <w:szCs w:val="22"/>
              </w:rPr>
              <w:t xml:space="preserve">70% savings required </w:t>
            </w:r>
          </w:p>
          <w:p w14:paraId="2CA19C3E" w14:textId="77777777" w:rsidR="001254C5" w:rsidRPr="005365EE" w:rsidRDefault="001254C5" w:rsidP="00E9370C">
            <w:pPr>
              <w:jc w:val="left"/>
              <w:rPr>
                <w:rFonts w:ascii="Open Sans" w:hAnsi="Open Sans" w:cs="Open Sans"/>
                <w:sz w:val="28"/>
                <w:szCs w:val="28"/>
                <w:lang w:eastAsia="en-GB"/>
              </w:rPr>
            </w:pPr>
            <w:r w:rsidRPr="005365EE">
              <w:rPr>
                <w:rFonts w:ascii="Open Sans" w:hAnsi="Open Sans" w:cs="Open Sans"/>
                <w:szCs w:val="22"/>
              </w:rPr>
              <w:t>from 2021 in RED II compared to heat comparator (80 g CO</w:t>
            </w:r>
            <w:r w:rsidRPr="005365EE">
              <w:rPr>
                <w:rFonts w:ascii="Open Sans" w:hAnsi="Open Sans" w:cs="Open Sans"/>
                <w:szCs w:val="22"/>
                <w:vertAlign w:val="subscript"/>
              </w:rPr>
              <w:t>2</w:t>
            </w:r>
            <w:r w:rsidRPr="005365EE">
              <w:rPr>
                <w:rFonts w:ascii="Open Sans" w:hAnsi="Open Sans" w:cs="Open Sans"/>
                <w:szCs w:val="22"/>
              </w:rPr>
              <w:t>e/MJ)</w:t>
            </w:r>
          </w:p>
        </w:tc>
        <w:tc>
          <w:tcPr>
            <w:tcW w:w="0" w:type="auto"/>
            <w:tcBorders>
              <w:top w:val="nil"/>
              <w:left w:val="nil"/>
              <w:bottom w:val="single" w:sz="4" w:space="0" w:color="auto"/>
              <w:right w:val="single" w:sz="4" w:space="0" w:color="auto"/>
            </w:tcBorders>
            <w:shd w:val="clear" w:color="auto" w:fill="auto"/>
            <w:vAlign w:val="center"/>
            <w:hideMark/>
          </w:tcPr>
          <w:p w14:paraId="4EF3B8AF" w14:textId="77777777" w:rsidR="001254C5" w:rsidRPr="005365EE" w:rsidRDefault="001254C5" w:rsidP="00E9370C">
            <w:pPr>
              <w:jc w:val="left"/>
              <w:rPr>
                <w:rFonts w:ascii="Open Sans" w:hAnsi="Open Sans" w:cs="Open Sans"/>
                <w:szCs w:val="22"/>
                <w:lang w:eastAsia="en-GB"/>
              </w:rPr>
            </w:pPr>
            <w:r w:rsidRPr="005365EE">
              <w:rPr>
                <w:rFonts w:ascii="Open Sans" w:hAnsi="Open Sans" w:cs="Open Sans"/>
                <w:szCs w:val="22"/>
                <w:lang w:eastAsia="en-GB"/>
              </w:rPr>
              <w:t>24 g CO</w:t>
            </w:r>
            <w:r w:rsidRPr="005365EE">
              <w:rPr>
                <w:rFonts w:ascii="Open Sans" w:hAnsi="Open Sans" w:cs="Open Sans"/>
                <w:szCs w:val="22"/>
                <w:vertAlign w:val="subscript"/>
                <w:lang w:eastAsia="en-GB"/>
              </w:rPr>
              <w:t>2</w:t>
            </w:r>
            <w:r w:rsidRPr="005365EE">
              <w:rPr>
                <w:rFonts w:ascii="Open Sans" w:hAnsi="Open Sans" w:cs="Open Sans"/>
                <w:szCs w:val="22"/>
                <w:lang w:eastAsia="en-GB"/>
              </w:rPr>
              <w:t>/MJ</w:t>
            </w:r>
          </w:p>
        </w:tc>
        <w:tc>
          <w:tcPr>
            <w:tcW w:w="0" w:type="auto"/>
            <w:tcBorders>
              <w:top w:val="nil"/>
              <w:left w:val="nil"/>
              <w:bottom w:val="single" w:sz="4" w:space="0" w:color="auto"/>
              <w:right w:val="single" w:sz="4" w:space="0" w:color="auto"/>
            </w:tcBorders>
            <w:shd w:val="clear" w:color="auto" w:fill="auto"/>
            <w:vAlign w:val="center"/>
            <w:hideMark/>
          </w:tcPr>
          <w:p w14:paraId="7700FA52" w14:textId="77777777" w:rsidR="001254C5" w:rsidRPr="005365EE" w:rsidRDefault="001254C5" w:rsidP="00E9370C">
            <w:pPr>
              <w:jc w:val="left"/>
              <w:rPr>
                <w:rFonts w:ascii="Open Sans" w:hAnsi="Open Sans" w:cs="Open Sans"/>
                <w:szCs w:val="22"/>
                <w:lang w:eastAsia="en-GB"/>
              </w:rPr>
            </w:pPr>
            <w:r w:rsidRPr="005365EE">
              <w:rPr>
                <w:rFonts w:ascii="Open Sans" w:hAnsi="Open Sans" w:cs="Open Sans"/>
                <w:szCs w:val="22"/>
                <w:lang w:eastAsia="en-GB"/>
              </w:rPr>
              <w:t>1074</w:t>
            </w:r>
          </w:p>
        </w:tc>
        <w:tc>
          <w:tcPr>
            <w:tcW w:w="0" w:type="auto"/>
            <w:tcBorders>
              <w:top w:val="nil"/>
              <w:left w:val="nil"/>
              <w:bottom w:val="single" w:sz="4" w:space="0" w:color="auto"/>
              <w:right w:val="single" w:sz="4" w:space="0" w:color="auto"/>
            </w:tcBorders>
            <w:shd w:val="clear" w:color="auto" w:fill="auto"/>
            <w:vAlign w:val="center"/>
            <w:hideMark/>
          </w:tcPr>
          <w:p w14:paraId="7B901971" w14:textId="77777777" w:rsidR="001254C5" w:rsidRPr="005365EE" w:rsidRDefault="001254C5" w:rsidP="00E9370C">
            <w:pPr>
              <w:jc w:val="left"/>
              <w:rPr>
                <w:rFonts w:ascii="Open Sans" w:hAnsi="Open Sans" w:cs="Open Sans"/>
                <w:b/>
                <w:bCs/>
                <w:szCs w:val="22"/>
                <w:lang w:eastAsia="en-GB"/>
              </w:rPr>
            </w:pPr>
            <w:r w:rsidRPr="005365EE">
              <w:rPr>
                <w:rFonts w:ascii="Open Sans" w:hAnsi="Open Sans" w:cs="Open Sans"/>
                <w:b/>
                <w:bCs/>
                <w:szCs w:val="22"/>
                <w:lang w:eastAsia="en-GB"/>
              </w:rPr>
              <w:t>30%</w:t>
            </w:r>
          </w:p>
        </w:tc>
      </w:tr>
      <w:tr w:rsidR="001254C5" w:rsidRPr="005365EE" w14:paraId="6DCBE6EA" w14:textId="77777777" w:rsidTr="00E9370C">
        <w:trPr>
          <w:trHeight w:val="49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CFDCF7" w14:textId="77777777" w:rsidR="001254C5" w:rsidRPr="005365EE" w:rsidRDefault="001254C5" w:rsidP="00E9370C">
            <w:pPr>
              <w:pStyle w:val="NormalWeb"/>
              <w:spacing w:before="0" w:beforeAutospacing="0" w:after="0" w:afterAutospacing="0"/>
              <w:rPr>
                <w:rFonts w:ascii="Open Sans" w:hAnsi="Open Sans" w:cs="Open Sans"/>
                <w:sz w:val="22"/>
                <w:szCs w:val="22"/>
                <w:lang w:eastAsia="en-US"/>
              </w:rPr>
            </w:pPr>
            <w:r w:rsidRPr="005365EE">
              <w:rPr>
                <w:rFonts w:ascii="Open Sans" w:hAnsi="Open Sans" w:cs="Open Sans"/>
                <w:sz w:val="22"/>
                <w:szCs w:val="22"/>
                <w:lang w:eastAsia="en-US"/>
              </w:rPr>
              <w:t xml:space="preserve">80% savings required </w:t>
            </w:r>
          </w:p>
          <w:p w14:paraId="4E5CDA6E" w14:textId="77777777" w:rsidR="001254C5" w:rsidRPr="005365EE" w:rsidRDefault="001254C5" w:rsidP="00E9370C">
            <w:pPr>
              <w:jc w:val="left"/>
              <w:rPr>
                <w:rFonts w:ascii="Open Sans" w:hAnsi="Open Sans" w:cs="Open Sans"/>
                <w:sz w:val="28"/>
                <w:szCs w:val="28"/>
                <w:lang w:eastAsia="en-GB"/>
              </w:rPr>
            </w:pPr>
            <w:r w:rsidRPr="005365EE">
              <w:rPr>
                <w:rFonts w:ascii="Open Sans" w:hAnsi="Open Sans" w:cs="Open Sans"/>
                <w:szCs w:val="22"/>
              </w:rPr>
              <w:t>from 2026 in RED II compared to heat comparator (80 g CO2e/MJ)</w:t>
            </w:r>
          </w:p>
        </w:tc>
        <w:tc>
          <w:tcPr>
            <w:tcW w:w="0" w:type="auto"/>
            <w:tcBorders>
              <w:top w:val="nil"/>
              <w:left w:val="nil"/>
              <w:bottom w:val="single" w:sz="4" w:space="0" w:color="auto"/>
              <w:right w:val="single" w:sz="4" w:space="0" w:color="auto"/>
            </w:tcBorders>
            <w:shd w:val="clear" w:color="auto" w:fill="auto"/>
            <w:vAlign w:val="center"/>
            <w:hideMark/>
          </w:tcPr>
          <w:p w14:paraId="5B347A9C" w14:textId="77777777" w:rsidR="001254C5" w:rsidRPr="005365EE" w:rsidRDefault="001254C5" w:rsidP="00E9370C">
            <w:pPr>
              <w:jc w:val="left"/>
              <w:rPr>
                <w:rFonts w:ascii="Open Sans" w:hAnsi="Open Sans" w:cs="Open Sans"/>
                <w:szCs w:val="22"/>
                <w:lang w:eastAsia="en-GB"/>
              </w:rPr>
            </w:pPr>
            <w:r w:rsidRPr="005365EE">
              <w:rPr>
                <w:rFonts w:ascii="Open Sans" w:hAnsi="Open Sans" w:cs="Open Sans"/>
                <w:szCs w:val="22"/>
                <w:lang w:eastAsia="en-GB"/>
              </w:rPr>
              <w:t>16 g CO</w:t>
            </w:r>
            <w:r w:rsidRPr="005365EE">
              <w:rPr>
                <w:rFonts w:ascii="Open Sans" w:hAnsi="Open Sans" w:cs="Open Sans"/>
                <w:szCs w:val="22"/>
                <w:vertAlign w:val="subscript"/>
                <w:lang w:eastAsia="en-GB"/>
              </w:rPr>
              <w:t>2</w:t>
            </w:r>
            <w:r w:rsidRPr="005365EE">
              <w:rPr>
                <w:rFonts w:ascii="Open Sans" w:hAnsi="Open Sans" w:cs="Open Sans"/>
                <w:szCs w:val="22"/>
                <w:lang w:eastAsia="en-GB"/>
              </w:rPr>
              <w:t>/MJ</w:t>
            </w:r>
          </w:p>
        </w:tc>
        <w:tc>
          <w:tcPr>
            <w:tcW w:w="0" w:type="auto"/>
            <w:tcBorders>
              <w:top w:val="nil"/>
              <w:left w:val="nil"/>
              <w:bottom w:val="single" w:sz="4" w:space="0" w:color="auto"/>
              <w:right w:val="single" w:sz="4" w:space="0" w:color="auto"/>
            </w:tcBorders>
            <w:shd w:val="clear" w:color="auto" w:fill="auto"/>
            <w:vAlign w:val="center"/>
            <w:hideMark/>
          </w:tcPr>
          <w:p w14:paraId="0750ABE9" w14:textId="77777777" w:rsidR="001254C5" w:rsidRPr="005365EE" w:rsidRDefault="001254C5" w:rsidP="00E9370C">
            <w:pPr>
              <w:jc w:val="left"/>
              <w:rPr>
                <w:rFonts w:ascii="Open Sans" w:hAnsi="Open Sans" w:cs="Open Sans"/>
                <w:szCs w:val="22"/>
                <w:lang w:eastAsia="en-GB"/>
              </w:rPr>
            </w:pPr>
            <w:r w:rsidRPr="005365EE">
              <w:rPr>
                <w:rFonts w:ascii="Open Sans" w:hAnsi="Open Sans" w:cs="Open Sans"/>
                <w:szCs w:val="22"/>
                <w:lang w:eastAsia="en-GB"/>
              </w:rPr>
              <w:t>1638</w:t>
            </w:r>
          </w:p>
        </w:tc>
        <w:tc>
          <w:tcPr>
            <w:tcW w:w="0" w:type="auto"/>
            <w:tcBorders>
              <w:top w:val="nil"/>
              <w:left w:val="nil"/>
              <w:bottom w:val="single" w:sz="4" w:space="0" w:color="auto"/>
              <w:right w:val="single" w:sz="4" w:space="0" w:color="auto"/>
            </w:tcBorders>
            <w:shd w:val="clear" w:color="auto" w:fill="auto"/>
            <w:vAlign w:val="center"/>
            <w:hideMark/>
          </w:tcPr>
          <w:p w14:paraId="3CDFB913" w14:textId="77777777" w:rsidR="001254C5" w:rsidRPr="005365EE" w:rsidRDefault="001254C5" w:rsidP="00E9370C">
            <w:pPr>
              <w:jc w:val="left"/>
              <w:rPr>
                <w:rFonts w:ascii="Open Sans" w:hAnsi="Open Sans" w:cs="Open Sans"/>
                <w:b/>
                <w:bCs/>
                <w:szCs w:val="22"/>
                <w:lang w:eastAsia="en-GB"/>
              </w:rPr>
            </w:pPr>
            <w:r w:rsidRPr="005365EE">
              <w:rPr>
                <w:rFonts w:ascii="Open Sans" w:hAnsi="Open Sans" w:cs="Open Sans"/>
                <w:b/>
                <w:bCs/>
                <w:szCs w:val="22"/>
                <w:lang w:eastAsia="en-GB"/>
              </w:rPr>
              <w:t>46%</w:t>
            </w:r>
          </w:p>
        </w:tc>
      </w:tr>
      <w:tr w:rsidR="001254C5" w:rsidRPr="005365EE" w14:paraId="74C03A54" w14:textId="77777777" w:rsidTr="00E9370C">
        <w:trPr>
          <w:trHeight w:val="898"/>
        </w:trPr>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266971E" w14:textId="77777777" w:rsidR="001254C5" w:rsidRPr="005365EE" w:rsidRDefault="001254C5" w:rsidP="00E9370C">
            <w:pPr>
              <w:rPr>
                <w:rFonts w:ascii="Open Sans" w:hAnsi="Open Sans" w:cs="Open Sans"/>
                <w:i/>
                <w:iCs/>
                <w:szCs w:val="22"/>
                <w:lang w:eastAsia="en-GB"/>
              </w:rPr>
            </w:pPr>
            <w:r w:rsidRPr="005365EE">
              <w:rPr>
                <w:rFonts w:ascii="Open Sans" w:hAnsi="Open Sans" w:cs="Open Sans"/>
                <w:i/>
                <w:iCs/>
                <w:szCs w:val="22"/>
                <w:lang w:eastAsia="en-GB"/>
              </w:rPr>
              <w:t xml:space="preserve">Source: Official data of all UK biomethane plants supported through the RHI provided by Ofgem to the REA in October 2019, following a FOI request </w:t>
            </w:r>
          </w:p>
        </w:tc>
      </w:tr>
    </w:tbl>
    <w:p w14:paraId="0D8A9FF4" w14:textId="77777777" w:rsidR="001254C5" w:rsidRPr="005365EE" w:rsidRDefault="001254C5" w:rsidP="001254C5">
      <w:pPr>
        <w:spacing w:before="120" w:after="120"/>
        <w:rPr>
          <w:rFonts w:ascii="Open Sans" w:hAnsi="Open Sans" w:cs="Open Sans"/>
          <w:szCs w:val="22"/>
        </w:rPr>
      </w:pPr>
      <w:r w:rsidRPr="005365EE">
        <w:rPr>
          <w:rFonts w:ascii="Open Sans" w:hAnsi="Open Sans" w:cs="Open Sans"/>
          <w:szCs w:val="22"/>
        </w:rPr>
        <w:t xml:space="preserve">As you can see from the table, a significant proportion of biomethane consignments </w:t>
      </w:r>
      <w:r w:rsidRPr="00590BD3">
        <w:rPr>
          <w:rFonts w:ascii="Open Sans" w:hAnsi="Open Sans" w:cs="Open Sans"/>
          <w:szCs w:val="22"/>
        </w:rPr>
        <w:t>for which lifecycle GHG emissions have been calculated according to the current methodology</w:t>
      </w:r>
      <w:r w:rsidRPr="005365EE">
        <w:rPr>
          <w:rFonts w:ascii="Open Sans" w:hAnsi="Open Sans" w:cs="Open Sans"/>
          <w:szCs w:val="22"/>
        </w:rPr>
        <w:t xml:space="preserve"> would fail against the RED II GHG emission thresholds</w:t>
      </w:r>
      <w:r>
        <w:rPr>
          <w:rFonts w:ascii="Open Sans" w:hAnsi="Open Sans" w:cs="Open Sans"/>
          <w:szCs w:val="22"/>
        </w:rPr>
        <w:t>.</w:t>
      </w:r>
    </w:p>
    <w:p w14:paraId="1A271BCD" w14:textId="77777777" w:rsidR="001254C5" w:rsidRPr="005365EE" w:rsidRDefault="001254C5" w:rsidP="001254C5">
      <w:pPr>
        <w:spacing w:before="120" w:after="120"/>
        <w:rPr>
          <w:rFonts w:ascii="Open Sans" w:hAnsi="Open Sans" w:cs="Open Sans"/>
          <w:color w:val="0070C0"/>
          <w:szCs w:val="22"/>
        </w:rPr>
      </w:pPr>
    </w:p>
    <w:p w14:paraId="696237E0" w14:textId="77777777" w:rsidR="001254C5" w:rsidRPr="005365EE" w:rsidRDefault="001254C5" w:rsidP="001254C5">
      <w:pPr>
        <w:pStyle w:val="ListParagraph"/>
        <w:numPr>
          <w:ilvl w:val="0"/>
          <w:numId w:val="26"/>
        </w:numPr>
        <w:spacing w:before="120" w:after="120"/>
        <w:ind w:left="284" w:hanging="284"/>
        <w:contextualSpacing w:val="0"/>
        <w:rPr>
          <w:rFonts w:ascii="Open Sans" w:hAnsi="Open Sans" w:cs="Open Sans"/>
          <w:b/>
          <w:szCs w:val="22"/>
        </w:rPr>
      </w:pPr>
      <w:r w:rsidRPr="005365EE">
        <w:rPr>
          <w:rFonts w:ascii="Open Sans" w:hAnsi="Open Sans" w:cs="Open Sans"/>
          <w:b/>
          <w:szCs w:val="22"/>
        </w:rPr>
        <w:t xml:space="preserve">Averaging of consignments </w:t>
      </w:r>
    </w:p>
    <w:p w14:paraId="78067340" w14:textId="77777777" w:rsidR="001254C5" w:rsidRPr="00DD4BC0" w:rsidRDefault="001254C5" w:rsidP="001254C5">
      <w:pPr>
        <w:spacing w:before="120"/>
        <w:rPr>
          <w:rFonts w:ascii="Open Sans" w:hAnsi="Open Sans" w:cs="Open Sans"/>
          <w:b/>
          <w:bCs/>
          <w:szCs w:val="22"/>
        </w:rPr>
      </w:pPr>
      <w:r w:rsidRPr="00DD4BC0">
        <w:rPr>
          <w:rFonts w:ascii="Open Sans" w:hAnsi="Open Sans" w:cs="Open Sans"/>
          <w:b/>
          <w:bCs/>
          <w:szCs w:val="22"/>
        </w:rPr>
        <w:t>It is absolutely crucial that</w:t>
      </w:r>
      <w:r>
        <w:rPr>
          <w:rFonts w:ascii="Open Sans" w:hAnsi="Open Sans" w:cs="Open Sans"/>
          <w:b/>
          <w:bCs/>
          <w:szCs w:val="22"/>
        </w:rPr>
        <w:t xml:space="preserve"> averaging of consignment </w:t>
      </w:r>
      <w:r w:rsidRPr="00DD4BC0">
        <w:rPr>
          <w:rFonts w:ascii="Open Sans" w:hAnsi="Open Sans" w:cs="Open Sans"/>
          <w:b/>
          <w:bCs/>
          <w:szCs w:val="22"/>
        </w:rPr>
        <w:t xml:space="preserve">is adopted in the UK, </w:t>
      </w:r>
      <w:r>
        <w:rPr>
          <w:rFonts w:ascii="Open Sans" w:hAnsi="Open Sans" w:cs="Open Sans"/>
          <w:b/>
          <w:bCs/>
          <w:szCs w:val="22"/>
        </w:rPr>
        <w:t xml:space="preserve">in line with RED II, </w:t>
      </w:r>
      <w:r w:rsidRPr="00DD4BC0">
        <w:rPr>
          <w:rFonts w:ascii="Open Sans" w:hAnsi="Open Sans" w:cs="Open Sans"/>
          <w:b/>
          <w:bCs/>
          <w:szCs w:val="22"/>
        </w:rPr>
        <w:t xml:space="preserve">if the GHG emissions thresholds are made stricter. </w:t>
      </w:r>
    </w:p>
    <w:p w14:paraId="2A804727" w14:textId="77777777" w:rsidR="001254C5" w:rsidRPr="005365EE" w:rsidRDefault="001254C5" w:rsidP="001254C5">
      <w:pPr>
        <w:spacing w:before="120" w:after="120"/>
        <w:rPr>
          <w:rFonts w:ascii="Open Sans" w:hAnsi="Open Sans" w:cs="Open Sans"/>
          <w:szCs w:val="22"/>
        </w:rPr>
      </w:pPr>
      <w:r w:rsidRPr="005365EE">
        <w:rPr>
          <w:rFonts w:ascii="Open Sans" w:hAnsi="Open Sans" w:cs="Open Sans"/>
          <w:szCs w:val="22"/>
        </w:rPr>
        <w:t xml:space="preserve">Under the Renewable Heat Incentive, supply chain emissions for AD must be calculated for each individual consignment and, as such, any consignment that does not meet the GHG threshold will not receive support under the scheme. However, the Renewable Energy Directive II adopts an alternative approach </w:t>
      </w:r>
      <w:r w:rsidRPr="005365EE">
        <w:rPr>
          <w:rFonts w:ascii="Open Sans" w:hAnsi="Open Sans" w:cs="Open Sans"/>
          <w:szCs w:val="22"/>
          <w:u w:val="single"/>
        </w:rPr>
        <w:t>where lifecycle GHG emissions can be averaged across feedstocks</w:t>
      </w:r>
      <w:r w:rsidRPr="005365EE">
        <w:rPr>
          <w:rFonts w:ascii="Open Sans" w:hAnsi="Open Sans" w:cs="Open Sans"/>
          <w:szCs w:val="22"/>
        </w:rPr>
        <w:t>. This is based on the fact that the use of manures in combination with maize is required to achieve GHG emission savings greater than 70% (a JRC report indicates that 70% GHG savings are only possible when maize and manures are mixed (JRC, 2014). The averaging of consignments calculation in RED II is shown in the screenshot below taken from RED II</w:t>
      </w:r>
      <w:r>
        <w:rPr>
          <w:rFonts w:ascii="Open Sans" w:hAnsi="Open Sans" w:cs="Open Sans"/>
          <w:szCs w:val="22"/>
        </w:rPr>
        <w:t xml:space="preserve"> </w:t>
      </w:r>
      <w:r w:rsidRPr="005365EE">
        <w:rPr>
          <w:rFonts w:ascii="Open Sans" w:hAnsi="Open Sans" w:cs="Open Sans"/>
          <w:szCs w:val="22"/>
        </w:rPr>
        <w:t>Annex IV.</w:t>
      </w:r>
      <w:r>
        <w:rPr>
          <w:rFonts w:ascii="Open Sans" w:hAnsi="Open Sans" w:cs="Open Sans"/>
          <w:szCs w:val="22"/>
        </w:rPr>
        <w:tab/>
      </w:r>
      <w:r w:rsidRPr="005365EE">
        <w:rPr>
          <w:rFonts w:ascii="Open Sans" w:hAnsi="Open Sans" w:cs="Open Sans"/>
          <w:szCs w:val="22"/>
        </w:rPr>
        <w:t xml:space="preserve"> </w:t>
      </w:r>
    </w:p>
    <w:p w14:paraId="16366209" w14:textId="77777777" w:rsidR="001254C5" w:rsidRPr="005365EE" w:rsidRDefault="001254C5" w:rsidP="001254C5">
      <w:pPr>
        <w:spacing w:before="120" w:after="120"/>
        <w:jc w:val="center"/>
        <w:rPr>
          <w:rFonts w:ascii="Open Sans" w:hAnsi="Open Sans" w:cs="Open Sans"/>
          <w:szCs w:val="22"/>
        </w:rPr>
      </w:pPr>
      <w:r w:rsidRPr="005365EE">
        <w:rPr>
          <w:rFonts w:ascii="Open Sans" w:hAnsi="Open Sans" w:cs="Open Sans"/>
          <w:noProof/>
          <w:szCs w:val="22"/>
        </w:rPr>
        <w:lastRenderedPageBreak/>
        <w:drawing>
          <wp:inline distT="0" distB="0" distL="0" distR="0" wp14:anchorId="36D16B6F" wp14:editId="1B13437D">
            <wp:extent cx="4343897" cy="3972360"/>
            <wp:effectExtent l="0" t="0" r="0" b="0"/>
            <wp:docPr id="41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 name="Picture 4"/>
                    <pic:cNvPicPr>
                      <a:picLocks noChangeAspect="1" noChangeArrowheads="1"/>
                    </pic:cNvPicPr>
                  </pic:nvPicPr>
                  <pic:blipFill rotWithShape="1">
                    <a:blip r:embed="rId37">
                      <a:extLst>
                        <a:ext uri="{28A0092B-C50C-407E-A947-70E740481C1C}">
                          <a14:useLocalDpi xmlns:a14="http://schemas.microsoft.com/office/drawing/2010/main" val="0"/>
                        </a:ext>
                      </a:extLst>
                    </a:blip>
                    <a:srcRect l="26523" t="19169" r="27021" b="5271"/>
                    <a:stretch/>
                  </pic:blipFill>
                  <pic:spPr bwMode="auto">
                    <a:xfrm>
                      <a:off x="0" y="0"/>
                      <a:ext cx="4359385" cy="3986523"/>
                    </a:xfrm>
                    <a:prstGeom prst="rect">
                      <a:avLst/>
                    </a:prstGeom>
                    <a:noFill/>
                    <a:ln>
                      <a:noFill/>
                    </a:ln>
                  </pic:spPr>
                </pic:pic>
              </a:graphicData>
            </a:graphic>
          </wp:inline>
        </w:drawing>
      </w:r>
    </w:p>
    <w:p w14:paraId="3F5BB5F5" w14:textId="77777777" w:rsidR="001254C5" w:rsidRDefault="001254C5" w:rsidP="001254C5">
      <w:pPr>
        <w:spacing w:before="120" w:after="120"/>
        <w:rPr>
          <w:rFonts w:ascii="Open Sans" w:hAnsi="Open Sans" w:cs="Open Sans"/>
          <w:szCs w:val="22"/>
        </w:rPr>
      </w:pPr>
      <w:r w:rsidRPr="005365EE">
        <w:rPr>
          <w:rFonts w:ascii="Open Sans" w:hAnsi="Open Sans" w:cs="Open Sans"/>
          <w:szCs w:val="22"/>
        </w:rPr>
        <w:t xml:space="preserve">This approach would also encourage the digestion of wastes or agricultural residues such as slurries with non-waste feedstocks. As wastes are currently exempt from GHG criteria, there is not a clear incentive to use them alongside crops. Averaging of consignment would also protect operators against unknown factors, outside the control of the operator, that can have an impact on emissions from certain consignments (e.g. a poor crop yield due to weather conditions, flooding on crops, COVID-19 increasing transport miles for residues etc.). </w:t>
      </w:r>
    </w:p>
    <w:p w14:paraId="3C6044CE" w14:textId="77777777" w:rsidR="001254C5" w:rsidRPr="005365EE" w:rsidRDefault="001254C5" w:rsidP="001254C5">
      <w:pPr>
        <w:spacing w:before="120" w:after="120"/>
        <w:rPr>
          <w:rFonts w:ascii="Open Sans" w:hAnsi="Open Sans" w:cs="Open Sans"/>
          <w:szCs w:val="22"/>
        </w:rPr>
      </w:pPr>
      <w:r w:rsidRPr="00714B07">
        <w:rPr>
          <w:rFonts w:ascii="Open Sans" w:hAnsi="Open Sans" w:cs="Open Sans"/>
          <w:szCs w:val="22"/>
        </w:rPr>
        <w:t xml:space="preserve">BEIS must adopt a more pragmatic approach that takes into </w:t>
      </w:r>
      <w:r w:rsidRPr="00714B07">
        <w:rPr>
          <w:rFonts w:ascii="Open Sans" w:hAnsi="Open Sans" w:cs="Open Sans" w:hint="eastAsia"/>
          <w:szCs w:val="22"/>
        </w:rPr>
        <w:t>account</w:t>
      </w:r>
      <w:r w:rsidRPr="00714B07">
        <w:rPr>
          <w:rFonts w:ascii="Open Sans" w:hAnsi="Open Sans" w:cs="Open Sans"/>
          <w:szCs w:val="22"/>
        </w:rPr>
        <w:t xml:space="preserve"> the operational challenges faced by AD generators on a day to day basis with respect to the diverse waste streams they need. Adopting an averaging procedure would allow for this.</w:t>
      </w:r>
    </w:p>
    <w:p w14:paraId="543C73A4" w14:textId="77777777" w:rsidR="001254C5" w:rsidRDefault="001254C5" w:rsidP="001254C5">
      <w:pPr>
        <w:spacing w:before="120" w:after="120"/>
        <w:rPr>
          <w:rFonts w:ascii="Open Sans" w:hAnsi="Open Sans" w:cs="Open Sans"/>
          <w:i/>
          <w:iCs/>
          <w:szCs w:val="22"/>
        </w:rPr>
      </w:pPr>
      <w:r w:rsidRPr="005365EE">
        <w:rPr>
          <w:rFonts w:ascii="Open Sans" w:hAnsi="Open Sans" w:cs="Open Sans"/>
          <w:szCs w:val="22"/>
        </w:rPr>
        <w:t xml:space="preserve">Paul Adams et al </w:t>
      </w:r>
      <w:r>
        <w:rPr>
          <w:rFonts w:ascii="Open Sans" w:hAnsi="Open Sans" w:cs="Open Sans"/>
          <w:szCs w:val="22"/>
        </w:rPr>
        <w:t xml:space="preserve">(2015) </w:t>
      </w:r>
      <w:r w:rsidRPr="005365EE">
        <w:rPr>
          <w:rFonts w:ascii="Open Sans" w:hAnsi="Open Sans" w:cs="Open Sans"/>
          <w:szCs w:val="22"/>
        </w:rPr>
        <w:t xml:space="preserve">mentioned in </w:t>
      </w:r>
      <w:hyperlink r:id="rId38" w:history="1">
        <w:r w:rsidRPr="005365EE">
          <w:rPr>
            <w:rStyle w:val="Hyperlink"/>
            <w:rFonts w:ascii="Open Sans" w:hAnsi="Open Sans" w:cs="Open Sans"/>
            <w:color w:val="auto"/>
            <w:szCs w:val="22"/>
          </w:rPr>
          <w:t>this paper</w:t>
        </w:r>
      </w:hyperlink>
      <w:r>
        <w:rPr>
          <w:rStyle w:val="Hyperlink"/>
          <w:rFonts w:ascii="Open Sans" w:hAnsi="Open Sans" w:cs="Open Sans"/>
          <w:color w:val="auto"/>
          <w:szCs w:val="22"/>
        </w:rPr>
        <w:t xml:space="preserve">: </w:t>
      </w:r>
      <w:r w:rsidRPr="005365EE">
        <w:rPr>
          <w:rFonts w:ascii="Open Sans" w:hAnsi="Open Sans" w:cs="Open Sans"/>
          <w:i/>
          <w:iCs/>
          <w:szCs w:val="22"/>
        </w:rPr>
        <w:t xml:space="preserve">It is inevitable that some consignments may fail BSC due to issues such as poor weather and low crop yields. The averaging of GHG emissions across the year has been implemented under the RO in order to recognise that some consignments of biomass could through no fault of the generator exceed the GHG threshold (DECC, 2014a). This is subject to the provision that the consignment of biomass must not exceed an overall ceiling, i.e. an upper GHG limit. …. By introducing a ceiling and averaging it is possible to limit the use of consignments with high GHG emissions, whilst still encouraging overall emissions to be below the average threshold.’]. </w:t>
      </w:r>
    </w:p>
    <w:p w14:paraId="2E2D4E7E" w14:textId="77777777" w:rsidR="001254C5" w:rsidRPr="005365EE" w:rsidRDefault="001254C5" w:rsidP="001254C5">
      <w:pPr>
        <w:spacing w:before="120" w:after="120"/>
        <w:rPr>
          <w:rFonts w:ascii="Open Sans" w:hAnsi="Open Sans" w:cs="Open Sans"/>
          <w:i/>
          <w:iCs/>
          <w:szCs w:val="22"/>
        </w:rPr>
      </w:pPr>
    </w:p>
    <w:p w14:paraId="1B29118A" w14:textId="77777777" w:rsidR="001254C5" w:rsidRPr="005365EE" w:rsidRDefault="001254C5" w:rsidP="001254C5">
      <w:pPr>
        <w:pStyle w:val="ListParagraph"/>
        <w:numPr>
          <w:ilvl w:val="0"/>
          <w:numId w:val="26"/>
        </w:numPr>
        <w:spacing w:before="120" w:after="120"/>
        <w:ind w:left="284" w:hanging="284"/>
        <w:contextualSpacing w:val="0"/>
        <w:rPr>
          <w:rFonts w:ascii="Open Sans" w:hAnsi="Open Sans" w:cs="Open Sans"/>
          <w:b/>
          <w:szCs w:val="22"/>
        </w:rPr>
      </w:pPr>
      <w:r w:rsidRPr="005365EE">
        <w:rPr>
          <w:rFonts w:ascii="Open Sans" w:hAnsi="Open Sans" w:cs="Open Sans"/>
          <w:b/>
          <w:szCs w:val="22"/>
        </w:rPr>
        <w:t xml:space="preserve">Changes to the methodology </w:t>
      </w:r>
      <w:r>
        <w:rPr>
          <w:rFonts w:ascii="Open Sans" w:hAnsi="Open Sans" w:cs="Open Sans"/>
          <w:b/>
          <w:szCs w:val="22"/>
        </w:rPr>
        <w:t xml:space="preserve">and sharing data on best practice </w:t>
      </w:r>
      <w:r w:rsidRPr="005365EE">
        <w:rPr>
          <w:rFonts w:ascii="Open Sans" w:hAnsi="Open Sans" w:cs="Open Sans"/>
          <w:b/>
          <w:szCs w:val="22"/>
        </w:rPr>
        <w:t xml:space="preserve"> </w:t>
      </w:r>
    </w:p>
    <w:p w14:paraId="1192A5D7" w14:textId="77777777" w:rsidR="001254C5" w:rsidRDefault="001254C5" w:rsidP="001254C5">
      <w:pPr>
        <w:rPr>
          <w:rFonts w:ascii="Calibri" w:hAnsi="Calibri"/>
          <w:szCs w:val="22"/>
        </w:rPr>
      </w:pPr>
      <w:r w:rsidRPr="00590BD3">
        <w:rPr>
          <w:rFonts w:ascii="Open Sans" w:hAnsi="Open Sans" w:cs="Open Sans"/>
          <w:b/>
          <w:bCs/>
          <w:szCs w:val="22"/>
        </w:rPr>
        <w:t xml:space="preserve">If the GHG emission thresholds are made more stringent, it is important that the methodology is updated where possible to ensure good practices are recognised and that digestate is not undervalued. In addition, more effort needs putting into sharing </w:t>
      </w:r>
      <w:r w:rsidRPr="00590BD3">
        <w:rPr>
          <w:rFonts w:ascii="Open Sans" w:hAnsi="Open Sans" w:cs="Open Sans"/>
          <w:b/>
          <w:bCs/>
          <w:szCs w:val="22"/>
        </w:rPr>
        <w:lastRenderedPageBreak/>
        <w:t xml:space="preserve">data on best practice and improving the quality of the data that are used to inform the calculations in the tools available. </w:t>
      </w:r>
      <w:r>
        <w:rPr>
          <w:rFonts w:ascii="Open Sans" w:hAnsi="Open Sans" w:cs="Open Sans"/>
          <w:b/>
          <w:bCs/>
          <w:szCs w:val="22"/>
        </w:rPr>
        <w:t xml:space="preserve">There need to be a better </w:t>
      </w:r>
      <w:r w:rsidRPr="006E155D">
        <w:rPr>
          <w:rFonts w:ascii="Open Sans" w:hAnsi="Open Sans" w:cs="Open Sans"/>
          <w:b/>
          <w:bCs/>
          <w:szCs w:val="22"/>
        </w:rPr>
        <w:t>evidence base that is readily accessible to all operators of what typical and best practice values might be.</w:t>
      </w:r>
      <w:r>
        <w:t xml:space="preserve"> </w:t>
      </w:r>
    </w:p>
    <w:p w14:paraId="41F0E041" w14:textId="77777777" w:rsidR="001254C5" w:rsidRPr="00DD4BC0" w:rsidRDefault="001254C5" w:rsidP="001254C5">
      <w:pPr>
        <w:spacing w:before="120"/>
        <w:rPr>
          <w:rFonts w:ascii="Open Sans" w:hAnsi="Open Sans" w:cs="Open Sans"/>
          <w:szCs w:val="22"/>
        </w:rPr>
      </w:pPr>
      <w:r w:rsidRPr="00DD4BC0">
        <w:rPr>
          <w:rFonts w:ascii="Open Sans" w:hAnsi="Open Sans" w:cs="Open Sans"/>
          <w:szCs w:val="22"/>
        </w:rPr>
        <w:t xml:space="preserve">There needs to be a feedback loop, share data on best practice and improve the quality of the data. The data </w:t>
      </w:r>
      <w:r>
        <w:rPr>
          <w:rFonts w:ascii="Open Sans" w:hAnsi="Open Sans" w:cs="Open Sans"/>
          <w:szCs w:val="22"/>
        </w:rPr>
        <w:t xml:space="preserve">is often not </w:t>
      </w:r>
      <w:r w:rsidRPr="00DD4BC0">
        <w:rPr>
          <w:rFonts w:ascii="Open Sans" w:hAnsi="Open Sans" w:cs="Open Sans"/>
          <w:szCs w:val="22"/>
        </w:rPr>
        <w:t>easily accessible</w:t>
      </w:r>
      <w:r>
        <w:rPr>
          <w:rFonts w:ascii="Open Sans" w:hAnsi="Open Sans" w:cs="Open Sans"/>
          <w:szCs w:val="22"/>
        </w:rPr>
        <w:t xml:space="preserve"> to operators so these tend to use default values. If more data on best practice was shared across industry, more accurate values reflecting good practices could be used to inform the GHG emission data. </w:t>
      </w:r>
    </w:p>
    <w:p w14:paraId="50D7EB77" w14:textId="77777777" w:rsidR="001254C5" w:rsidRDefault="001254C5" w:rsidP="001254C5">
      <w:pPr>
        <w:spacing w:before="120" w:after="120"/>
        <w:rPr>
          <w:rFonts w:ascii="Open Sans" w:hAnsi="Open Sans" w:cs="Open Sans"/>
          <w:szCs w:val="22"/>
        </w:rPr>
      </w:pPr>
      <w:r w:rsidRPr="005365EE">
        <w:rPr>
          <w:rFonts w:ascii="Open Sans" w:hAnsi="Open Sans" w:cs="Open Sans"/>
          <w:szCs w:val="22"/>
        </w:rPr>
        <w:t xml:space="preserve">A number of technical papers have been published to highlight all the methodological issues of the current methodology set out under the RHI to calculate the lifecycle emissions of biogas and biomethane consignments. The most recent of these papers can be found </w:t>
      </w:r>
      <w:hyperlink r:id="rId39" w:history="1">
        <w:r w:rsidRPr="005365EE">
          <w:rPr>
            <w:rStyle w:val="Hyperlink"/>
            <w:rFonts w:ascii="Open Sans" w:hAnsi="Open Sans" w:cs="Open Sans"/>
            <w:color w:val="auto"/>
            <w:szCs w:val="22"/>
          </w:rPr>
          <w:t>here</w:t>
        </w:r>
      </w:hyperlink>
      <w:r w:rsidRPr="005365EE">
        <w:rPr>
          <w:rFonts w:ascii="Open Sans" w:hAnsi="Open Sans" w:cs="Open Sans"/>
          <w:szCs w:val="22"/>
        </w:rPr>
        <w:t xml:space="preserve"> and </w:t>
      </w:r>
      <w:hyperlink r:id="rId40" w:history="1">
        <w:r w:rsidRPr="005365EE">
          <w:rPr>
            <w:rStyle w:val="Hyperlink"/>
            <w:rFonts w:ascii="Open Sans" w:hAnsi="Open Sans" w:cs="Open Sans"/>
            <w:color w:val="auto"/>
            <w:szCs w:val="22"/>
          </w:rPr>
          <w:t>here</w:t>
        </w:r>
      </w:hyperlink>
      <w:r w:rsidRPr="005365EE">
        <w:rPr>
          <w:rFonts w:ascii="Open Sans" w:hAnsi="Open Sans" w:cs="Open Sans"/>
          <w:szCs w:val="22"/>
        </w:rPr>
        <w:t xml:space="preserve">. </w:t>
      </w:r>
    </w:p>
    <w:p w14:paraId="06710382" w14:textId="77777777" w:rsidR="001254C5" w:rsidRPr="00181F25" w:rsidRDefault="001254C5" w:rsidP="001254C5">
      <w:pPr>
        <w:spacing w:before="120" w:after="120"/>
        <w:rPr>
          <w:rFonts w:ascii="Open Sans" w:hAnsi="Open Sans" w:cs="Open Sans"/>
          <w:szCs w:val="22"/>
          <w:u w:val="single"/>
        </w:rPr>
      </w:pPr>
      <w:r w:rsidRPr="00181F25">
        <w:rPr>
          <w:rFonts w:ascii="Open Sans" w:hAnsi="Open Sans" w:cs="Open Sans"/>
          <w:szCs w:val="22"/>
          <w:u w:val="single"/>
        </w:rPr>
        <w:t>Digestate regarded as a fuel under RED methodology</w:t>
      </w:r>
    </w:p>
    <w:p w14:paraId="38A04C72" w14:textId="77777777" w:rsidR="001254C5" w:rsidRPr="009F7A4A" w:rsidRDefault="001254C5" w:rsidP="001254C5">
      <w:pPr>
        <w:spacing w:before="120" w:after="120"/>
        <w:rPr>
          <w:rFonts w:ascii="Open Sans" w:hAnsi="Open Sans" w:cs="Open Sans"/>
          <w:b/>
          <w:bCs/>
          <w:szCs w:val="22"/>
        </w:rPr>
      </w:pPr>
      <w:r w:rsidRPr="009F7A4A">
        <w:rPr>
          <w:rFonts w:ascii="Open Sans" w:hAnsi="Open Sans" w:cs="Open Sans"/>
          <w:b/>
          <w:bCs/>
          <w:szCs w:val="22"/>
        </w:rPr>
        <w:t>For the purpose of the GHG calculation, digestate should not be regarded as a fuel As described by Paul Adams and colleagues, it should be possible to set a value on digestate based on its NPK or similar</w:t>
      </w:r>
      <w:r>
        <w:rPr>
          <w:rFonts w:ascii="Open Sans" w:hAnsi="Open Sans" w:cs="Open Sans"/>
          <w:b/>
          <w:bCs/>
          <w:szCs w:val="22"/>
        </w:rPr>
        <w:t xml:space="preserve"> </w:t>
      </w:r>
      <w:r w:rsidRPr="009F7A4A">
        <w:rPr>
          <w:rFonts w:ascii="Open Sans" w:hAnsi="Open Sans" w:cs="Open Sans"/>
          <w:szCs w:val="22"/>
          <w:u w:val="single"/>
        </w:rPr>
        <w:t>(</w:t>
      </w:r>
      <w:r>
        <w:rPr>
          <w:rFonts w:ascii="Open Sans" w:hAnsi="Open Sans" w:cs="Open Sans"/>
          <w:szCs w:val="22"/>
          <w:u w:val="single"/>
        </w:rPr>
        <w:t xml:space="preserve">see also Appendix I for further details and background papers). </w:t>
      </w:r>
    </w:p>
    <w:p w14:paraId="78A1906C" w14:textId="77777777" w:rsidR="001254C5" w:rsidRDefault="001254C5" w:rsidP="001254C5">
      <w:pPr>
        <w:spacing w:before="120" w:after="120"/>
        <w:rPr>
          <w:rFonts w:ascii="Open Sans" w:hAnsi="Open Sans" w:cs="Open Sans"/>
          <w:szCs w:val="22"/>
        </w:rPr>
      </w:pPr>
      <w:r>
        <w:rPr>
          <w:rFonts w:ascii="Open Sans" w:hAnsi="Open Sans" w:cs="Open Sans"/>
          <w:szCs w:val="22"/>
        </w:rPr>
        <w:t xml:space="preserve">The current methodology undervalues the agronomic contribution that digestate can make and whether it is managed according to good practice. </w:t>
      </w:r>
    </w:p>
    <w:p w14:paraId="692E655C" w14:textId="77777777" w:rsidR="001254C5" w:rsidRPr="00044260" w:rsidRDefault="001254C5" w:rsidP="001254C5">
      <w:pPr>
        <w:spacing w:before="120" w:after="120"/>
        <w:rPr>
          <w:rFonts w:ascii="Open Sans" w:hAnsi="Open Sans" w:cs="Open Sans"/>
          <w:szCs w:val="22"/>
          <w:u w:val="single"/>
        </w:rPr>
      </w:pPr>
      <w:r w:rsidRPr="00044260">
        <w:rPr>
          <w:rFonts w:ascii="Open Sans" w:hAnsi="Open Sans" w:cs="Open Sans"/>
          <w:szCs w:val="22"/>
        </w:rPr>
        <w:t>According</w:t>
      </w:r>
      <w:r w:rsidRPr="005365EE">
        <w:rPr>
          <w:rFonts w:ascii="Open Sans" w:hAnsi="Open Sans" w:cs="Open Sans"/>
          <w:szCs w:val="22"/>
        </w:rPr>
        <w:t xml:space="preserve"> to the current methodology when co-products are produced, upstream emissions are allocated between different products based on their energy content of each co-product. For digestate this means measuring the energy content of this product as if it was to be used as a fuel. </w:t>
      </w:r>
    </w:p>
    <w:p w14:paraId="33F36A71" w14:textId="77777777" w:rsidR="001254C5" w:rsidRDefault="001254C5" w:rsidP="001254C5">
      <w:pPr>
        <w:spacing w:before="120" w:after="120"/>
        <w:rPr>
          <w:rFonts w:ascii="Open Sans" w:hAnsi="Open Sans" w:cs="Open Sans"/>
          <w:szCs w:val="22"/>
        </w:rPr>
      </w:pPr>
      <w:r w:rsidRPr="005365EE">
        <w:rPr>
          <w:rFonts w:ascii="Open Sans" w:hAnsi="Open Sans" w:cs="Open Sans"/>
          <w:szCs w:val="22"/>
        </w:rPr>
        <w:t xml:space="preserve">In most cases digestate is not used as a fuel, but rather as an organic fertiliser that is applied to land replacing the need for energy intensive inorganic fertilisers. </w:t>
      </w:r>
    </w:p>
    <w:p w14:paraId="1C4739BC" w14:textId="77777777" w:rsidR="001254C5" w:rsidRPr="009305DC" w:rsidRDefault="001254C5" w:rsidP="001254C5">
      <w:pPr>
        <w:spacing w:before="120" w:after="120"/>
        <w:rPr>
          <w:rFonts w:ascii="Open Sans" w:hAnsi="Open Sans" w:cs="Open Sans"/>
          <w:szCs w:val="22"/>
        </w:rPr>
      </w:pPr>
      <w:r w:rsidRPr="009305DC">
        <w:rPr>
          <w:rFonts w:ascii="Open Sans" w:hAnsi="Open Sans" w:cs="Open Sans"/>
          <w:szCs w:val="22"/>
        </w:rPr>
        <w:t xml:space="preserve">It may also be worth noting that </w:t>
      </w:r>
      <w:r>
        <w:rPr>
          <w:rFonts w:ascii="Open Sans" w:hAnsi="Open Sans" w:cs="Open Sans"/>
          <w:szCs w:val="22"/>
        </w:rPr>
        <w:t>digestate was</w:t>
      </w:r>
      <w:r w:rsidRPr="009305DC">
        <w:rPr>
          <w:rFonts w:ascii="Open Sans" w:hAnsi="Open Sans" w:cs="Open Sans"/>
          <w:szCs w:val="22"/>
        </w:rPr>
        <w:t xml:space="preserve"> used as a fuel it cannot (in England) achieve end of waste under the QP. </w:t>
      </w:r>
    </w:p>
    <w:p w14:paraId="737E9C1D" w14:textId="77777777" w:rsidR="001254C5" w:rsidRPr="009305DC" w:rsidRDefault="001254C5" w:rsidP="001254C5">
      <w:pPr>
        <w:spacing w:before="120" w:after="120"/>
        <w:rPr>
          <w:rFonts w:ascii="Open Sans" w:hAnsi="Open Sans" w:cs="Open Sans"/>
          <w:szCs w:val="22"/>
        </w:rPr>
      </w:pPr>
      <w:r w:rsidRPr="009305DC">
        <w:rPr>
          <w:rFonts w:ascii="Open Sans" w:hAnsi="Open Sans" w:cs="Open Sans"/>
          <w:szCs w:val="22"/>
        </w:rPr>
        <w:t>The reason given for this in the RED is that it would obviously be better to understand co-products based on the ‘substitution’ method (ie based on what they replace) – but this is more subjective than an energy basis. RED</w:t>
      </w:r>
      <w:r>
        <w:rPr>
          <w:rFonts w:ascii="Open Sans" w:hAnsi="Open Sans" w:cs="Open Sans"/>
          <w:szCs w:val="22"/>
        </w:rPr>
        <w:t xml:space="preserve"> I</w:t>
      </w:r>
      <w:r w:rsidRPr="009305DC">
        <w:rPr>
          <w:rFonts w:ascii="Open Sans" w:hAnsi="Open Sans" w:cs="Open Sans"/>
          <w:szCs w:val="22"/>
        </w:rPr>
        <w:t xml:space="preserve"> states that the energy content gives similar answers to substitution and is more objective. It obviously does give similar results if the co-product is a fuel, but not in this case.</w:t>
      </w:r>
    </w:p>
    <w:p w14:paraId="5B37F4ED" w14:textId="77777777" w:rsidR="001254C5" w:rsidRPr="009305DC" w:rsidRDefault="001254C5" w:rsidP="001254C5">
      <w:pPr>
        <w:spacing w:before="120" w:after="120"/>
        <w:rPr>
          <w:rFonts w:ascii="Open Sans" w:hAnsi="Open Sans" w:cs="Open Sans"/>
          <w:szCs w:val="22"/>
        </w:rPr>
      </w:pPr>
      <w:r w:rsidRPr="009305DC">
        <w:rPr>
          <w:rFonts w:ascii="Open Sans" w:hAnsi="Open Sans" w:cs="Open Sans"/>
          <w:szCs w:val="22"/>
        </w:rPr>
        <w:t>As described by Paul Adams and colleagues, it should be possible to set a value on digestate based on its NPK or similar.</w:t>
      </w:r>
    </w:p>
    <w:p w14:paraId="0CBC13A0" w14:textId="77777777" w:rsidR="001254C5" w:rsidRPr="005365EE" w:rsidRDefault="001254C5" w:rsidP="001254C5">
      <w:pPr>
        <w:spacing w:before="120" w:after="120"/>
        <w:rPr>
          <w:rFonts w:ascii="Open Sans" w:hAnsi="Open Sans" w:cs="Open Sans"/>
          <w:szCs w:val="22"/>
        </w:rPr>
      </w:pPr>
      <w:r w:rsidRPr="005365EE">
        <w:rPr>
          <w:rFonts w:ascii="Open Sans" w:hAnsi="Open Sans" w:cs="Open Sans"/>
          <w:szCs w:val="22"/>
        </w:rPr>
        <w:t xml:space="preserve">Recognition of the fertiliser value of digestate is crucial to a viable, long term industry. Policy needs to be developed that incentives both renewable gas and nutrient-rich organic fertiliser. </w:t>
      </w:r>
    </w:p>
    <w:p w14:paraId="26498757" w14:textId="77777777" w:rsidR="001254C5" w:rsidRPr="005365EE" w:rsidRDefault="001254C5" w:rsidP="001254C5">
      <w:pPr>
        <w:spacing w:before="120" w:after="120"/>
        <w:rPr>
          <w:rFonts w:ascii="Open Sans" w:hAnsi="Open Sans" w:cs="Open Sans"/>
          <w:szCs w:val="22"/>
        </w:rPr>
      </w:pPr>
      <w:r w:rsidRPr="005365EE">
        <w:rPr>
          <w:rFonts w:ascii="Open Sans" w:hAnsi="Open Sans" w:cs="Open Sans"/>
          <w:szCs w:val="22"/>
        </w:rPr>
        <w:t xml:space="preserve">Key excerpts from </w:t>
      </w:r>
      <w:hyperlink r:id="rId41" w:history="1">
        <w:r w:rsidRPr="005365EE">
          <w:rPr>
            <w:rStyle w:val="Hyperlink"/>
            <w:rFonts w:ascii="Open Sans" w:hAnsi="Open Sans" w:cs="Open Sans"/>
            <w:color w:val="auto"/>
            <w:szCs w:val="22"/>
          </w:rPr>
          <w:t>this paper</w:t>
        </w:r>
      </w:hyperlink>
      <w:r w:rsidRPr="005365EE">
        <w:rPr>
          <w:rFonts w:ascii="Open Sans" w:hAnsi="Open Sans" w:cs="Open Sans"/>
          <w:szCs w:val="22"/>
        </w:rPr>
        <w:t xml:space="preserve"> below (Paul Adams et al, 2015).  </w:t>
      </w:r>
    </w:p>
    <w:p w14:paraId="6DD9E081" w14:textId="77777777" w:rsidR="001254C5" w:rsidRPr="005365EE" w:rsidRDefault="001254C5" w:rsidP="001254C5">
      <w:pPr>
        <w:spacing w:before="120" w:after="120"/>
        <w:rPr>
          <w:rFonts w:ascii="Open Sans" w:hAnsi="Open Sans" w:cs="Open Sans"/>
          <w:i/>
          <w:iCs/>
          <w:szCs w:val="22"/>
        </w:rPr>
      </w:pPr>
      <w:r w:rsidRPr="005365EE">
        <w:rPr>
          <w:rFonts w:ascii="Open Sans" w:hAnsi="Open Sans" w:cs="Open Sans"/>
          <w:i/>
          <w:iCs/>
          <w:szCs w:val="22"/>
        </w:rPr>
        <w:t xml:space="preserve">‘The current methodology does recognise digestate as a co-product, nonetheless with the BCC default models 100% of emissions are effectively allocated to biogas (OFGEM, 2014d). Moreover there is no clear guidance from policy-makers on how to perform the allocation calculations, or valid justification on why energy allocation is appropriate. This is an issue for many operators who will distribute digestate to different farms for use on a variety of both food crops and AD feedstocks. An additional complication is how to assign an energy value to digestate. Using the LHV is required by legislation, but this approach doesn’t value the nutrient content and potential </w:t>
      </w:r>
      <w:r w:rsidRPr="005365EE">
        <w:rPr>
          <w:rFonts w:ascii="Open Sans" w:hAnsi="Open Sans" w:cs="Open Sans"/>
          <w:i/>
          <w:iCs/>
          <w:szCs w:val="22"/>
        </w:rPr>
        <w:lastRenderedPageBreak/>
        <w:t>yield improvements of digestate application (WRAP, 2012). Policy-makers have not provided guidance on how to calculate the LHV of digestate, whether to include the enthalpy of vaporisation, or given a default value. The use of LHV is more appropriate for energy co-products as digestate has limited primary energy value, particularly in liquid form (OFGEM, 2014d). It could be more suitable to use a credit for synthetic mineral fertiliser displaced, in a similar approach to credits for excess co-generated electricity or CCR (EC, 2009a, 2010a; OFGEM, 2014b). Fertiliser credits could be determined by using the nutrient content and availability of digestate and would remove the need to perform allocation by assigning a value to digestate based on the ability to offset synthetic mineral fertilisers. It is concluded that energy allocation is not appropriate for allocating emissions to digestate.’</w:t>
      </w:r>
    </w:p>
    <w:p w14:paraId="5A86B524" w14:textId="77777777" w:rsidR="001254C5" w:rsidRPr="005365EE" w:rsidRDefault="001254C5" w:rsidP="001254C5">
      <w:pPr>
        <w:spacing w:before="120" w:after="120"/>
        <w:rPr>
          <w:rFonts w:ascii="Open Sans" w:hAnsi="Open Sans" w:cs="Open Sans"/>
          <w:i/>
          <w:iCs/>
          <w:color w:val="0070C0"/>
          <w:szCs w:val="22"/>
        </w:rPr>
      </w:pPr>
    </w:p>
    <w:p w14:paraId="7CDFFEB7" w14:textId="77777777" w:rsidR="001254C5" w:rsidRPr="005365EE" w:rsidRDefault="001254C5" w:rsidP="001254C5">
      <w:pPr>
        <w:spacing w:before="120" w:after="120"/>
        <w:rPr>
          <w:rFonts w:ascii="Open Sans" w:hAnsi="Open Sans" w:cs="Open Sans"/>
          <w:szCs w:val="22"/>
          <w:u w:val="single"/>
        </w:rPr>
      </w:pPr>
      <w:r w:rsidRPr="005365EE">
        <w:rPr>
          <w:rFonts w:ascii="Open Sans" w:hAnsi="Open Sans" w:cs="Open Sans"/>
          <w:szCs w:val="22"/>
          <w:u w:val="single"/>
        </w:rPr>
        <w:t xml:space="preserve">Techniques to minimise emissions from cultivation should be recognised </w:t>
      </w:r>
    </w:p>
    <w:p w14:paraId="383BAE1D" w14:textId="77777777" w:rsidR="001254C5" w:rsidRPr="005365EE" w:rsidRDefault="001254C5" w:rsidP="001254C5">
      <w:pPr>
        <w:spacing w:before="120" w:after="120"/>
        <w:rPr>
          <w:rFonts w:ascii="Open Sans" w:hAnsi="Open Sans" w:cs="Open Sans"/>
          <w:szCs w:val="22"/>
        </w:rPr>
      </w:pPr>
      <w:r w:rsidRPr="005365EE">
        <w:rPr>
          <w:rFonts w:ascii="Open Sans" w:hAnsi="Open Sans" w:cs="Open Sans"/>
          <w:szCs w:val="22"/>
        </w:rPr>
        <w:t>According to the above paper, around 50% of the emissions from cultivation are linked to soil emissions and these are typically these are divided into direct and indirect N</w:t>
      </w:r>
      <w:r w:rsidRPr="005365EE">
        <w:rPr>
          <w:rFonts w:ascii="Open Sans" w:hAnsi="Open Sans" w:cs="Open Sans"/>
          <w:szCs w:val="22"/>
          <w:vertAlign w:val="subscript"/>
        </w:rPr>
        <w:t>2</w:t>
      </w:r>
      <w:r w:rsidRPr="005365EE">
        <w:rPr>
          <w:rFonts w:ascii="Open Sans" w:hAnsi="Open Sans" w:cs="Open Sans"/>
          <w:szCs w:val="22"/>
        </w:rPr>
        <w:t>O emissions.</w:t>
      </w:r>
      <w:r w:rsidRPr="005365EE">
        <w:t xml:space="preserve"> </w:t>
      </w:r>
      <w:r w:rsidRPr="005365EE">
        <w:rPr>
          <w:rFonts w:ascii="Open Sans" w:hAnsi="Open Sans" w:cs="Open Sans"/>
          <w:szCs w:val="22"/>
        </w:rPr>
        <w:t xml:space="preserve">The use of nitrification inhibitors (NIs) and fertiliser nitrogen application timing could be useful strategies to help reduce these emissions. </w:t>
      </w:r>
      <w:r w:rsidRPr="00A67406">
        <w:rPr>
          <w:rFonts w:ascii="Open Sans" w:hAnsi="Open Sans" w:cs="Open Sans"/>
          <w:szCs w:val="22"/>
        </w:rPr>
        <w:t xml:space="preserve">The use of such strategies are actually recognised in the methodology and calculation tools, but industry lacks of good quality and robust data to update the default values </w:t>
      </w:r>
      <w:r>
        <w:rPr>
          <w:rFonts w:ascii="Open Sans" w:hAnsi="Open Sans" w:cs="Open Sans"/>
          <w:szCs w:val="22"/>
        </w:rPr>
        <w:t>and</w:t>
      </w:r>
      <w:r w:rsidRPr="00A67406">
        <w:rPr>
          <w:rFonts w:ascii="Open Sans" w:hAnsi="Open Sans" w:cs="Open Sans"/>
          <w:szCs w:val="22"/>
        </w:rPr>
        <w:t xml:space="preserve"> incorporate</w:t>
      </w:r>
      <w:r>
        <w:rPr>
          <w:rFonts w:ascii="Open Sans" w:hAnsi="Open Sans" w:cs="Open Sans"/>
          <w:szCs w:val="22"/>
        </w:rPr>
        <w:t xml:space="preserve"> these</w:t>
      </w:r>
      <w:r w:rsidRPr="00A67406">
        <w:rPr>
          <w:rFonts w:ascii="Open Sans" w:hAnsi="Open Sans" w:cs="Open Sans"/>
          <w:szCs w:val="22"/>
        </w:rPr>
        <w:t xml:space="preserve"> in the calculation tools. Again, it is important there is a feedback loop and regular update to the default values used in the calculators with more robust data and as more research</w:t>
      </w:r>
      <w:r>
        <w:rPr>
          <w:rFonts w:ascii="Open Sans" w:hAnsi="Open Sans" w:cs="Open Sans"/>
          <w:szCs w:val="22"/>
        </w:rPr>
        <w:t xml:space="preserve"> </w:t>
      </w:r>
      <w:r w:rsidRPr="00A67406">
        <w:rPr>
          <w:rFonts w:ascii="Open Sans" w:hAnsi="Open Sans" w:cs="Open Sans"/>
          <w:szCs w:val="22"/>
        </w:rPr>
        <w:t>becomes available.</w:t>
      </w:r>
      <w:r>
        <w:rPr>
          <w:rFonts w:ascii="Open Sans" w:hAnsi="Open Sans" w:cs="Open Sans"/>
          <w:szCs w:val="22"/>
        </w:rPr>
        <w:t xml:space="preserve"> </w:t>
      </w:r>
    </w:p>
    <w:p w14:paraId="64935D48" w14:textId="77777777" w:rsidR="001254C5" w:rsidRPr="005365EE" w:rsidRDefault="001254C5" w:rsidP="001254C5">
      <w:pPr>
        <w:spacing w:before="120" w:after="120"/>
        <w:rPr>
          <w:rFonts w:ascii="Open Sans" w:hAnsi="Open Sans" w:cs="Open Sans"/>
          <w:szCs w:val="22"/>
        </w:rPr>
      </w:pPr>
    </w:p>
    <w:p w14:paraId="046E8FB1" w14:textId="77777777" w:rsidR="001254C5" w:rsidRPr="005365EE" w:rsidRDefault="001254C5" w:rsidP="001254C5">
      <w:pPr>
        <w:spacing w:before="120" w:after="120"/>
        <w:rPr>
          <w:rFonts w:ascii="Open Sans" w:hAnsi="Open Sans" w:cs="Open Sans"/>
          <w:szCs w:val="22"/>
          <w:u w:val="single"/>
        </w:rPr>
      </w:pPr>
      <w:r w:rsidRPr="005365EE">
        <w:rPr>
          <w:rFonts w:ascii="Open Sans" w:hAnsi="Open Sans" w:cs="Open Sans"/>
          <w:szCs w:val="22"/>
          <w:u w:val="single"/>
        </w:rPr>
        <w:t xml:space="preserve">GHG credits on upstream emissions from wastes and residues </w:t>
      </w:r>
    </w:p>
    <w:p w14:paraId="208B286F" w14:textId="77777777" w:rsidR="001254C5" w:rsidRPr="005365EE" w:rsidRDefault="001254C5" w:rsidP="001254C5">
      <w:pPr>
        <w:spacing w:after="200" w:line="276" w:lineRule="auto"/>
        <w:rPr>
          <w:rFonts w:ascii="Open Sans" w:hAnsi="Open Sans" w:cs="Open Sans"/>
          <w:szCs w:val="22"/>
        </w:rPr>
      </w:pPr>
      <w:r w:rsidRPr="005365EE">
        <w:rPr>
          <w:rFonts w:ascii="Open Sans" w:hAnsi="Open Sans" w:cs="Open Sans"/>
          <w:szCs w:val="22"/>
        </w:rPr>
        <w:t xml:space="preserve">RED II recognises a bonus for management of raw manures through AD of -45g CO2/MJ. We recommend that the methodology is modified to take into account negative upstream emissions from wastes and residues such as slurries/manures and food wastes.  Excerpt from RED II Annex VI: </w:t>
      </w:r>
    </w:p>
    <w:p w14:paraId="159AE778" w14:textId="77777777" w:rsidR="001254C5" w:rsidRPr="005365EE" w:rsidRDefault="001254C5" w:rsidP="001254C5">
      <w:pPr>
        <w:spacing w:before="120" w:after="120"/>
        <w:rPr>
          <w:rFonts w:ascii="Open Sans" w:hAnsi="Open Sans" w:cs="Open Sans"/>
          <w:i/>
          <w:iCs/>
          <w:szCs w:val="22"/>
        </w:rPr>
      </w:pPr>
      <w:r w:rsidRPr="005365EE">
        <w:rPr>
          <w:rFonts w:ascii="Open Sans" w:hAnsi="Open Sans" w:cs="Open Sans"/>
          <w:i/>
          <w:iCs/>
          <w:szCs w:val="22"/>
        </w:rPr>
        <w:t>‘The values for biogas production from manure include negative emissions for emissions saved from raw manure management. The value of e</w:t>
      </w:r>
      <w:r w:rsidRPr="005365EE">
        <w:rPr>
          <w:rFonts w:ascii="Open Sans" w:hAnsi="Open Sans" w:cs="Open Sans"/>
          <w:i/>
          <w:iCs/>
          <w:szCs w:val="22"/>
          <w:vertAlign w:val="subscript"/>
        </w:rPr>
        <w:t>sca</w:t>
      </w:r>
      <w:r w:rsidRPr="005365EE">
        <w:rPr>
          <w:rFonts w:ascii="Open Sans" w:hAnsi="Open Sans" w:cs="Open Sans"/>
          <w:i/>
          <w:iCs/>
          <w:szCs w:val="22"/>
        </w:rPr>
        <w:t xml:space="preserve"> considered is equal to – 45 g CO</w:t>
      </w:r>
      <w:r w:rsidRPr="005365EE">
        <w:rPr>
          <w:rFonts w:ascii="Open Sans" w:hAnsi="Open Sans" w:cs="Open Sans"/>
          <w:i/>
          <w:iCs/>
          <w:szCs w:val="22"/>
          <w:vertAlign w:val="subscript"/>
        </w:rPr>
        <w:t>2</w:t>
      </w:r>
      <w:r w:rsidRPr="005365EE">
        <w:rPr>
          <w:rFonts w:ascii="Open Sans" w:hAnsi="Open Sans" w:cs="Open Sans"/>
          <w:i/>
          <w:iCs/>
          <w:szCs w:val="22"/>
        </w:rPr>
        <w:t xml:space="preserve">eq/MJ manure used in anaerobic digestion’. </w:t>
      </w:r>
    </w:p>
    <w:p w14:paraId="72AEA275" w14:textId="77777777" w:rsidR="001254C5" w:rsidRPr="005365EE" w:rsidRDefault="001254C5" w:rsidP="001254C5">
      <w:pPr>
        <w:spacing w:before="120" w:after="120"/>
        <w:rPr>
          <w:rFonts w:ascii="Open Sans" w:hAnsi="Open Sans" w:cs="Open Sans"/>
          <w:i/>
          <w:iCs/>
          <w:szCs w:val="22"/>
        </w:rPr>
      </w:pPr>
    </w:p>
    <w:p w14:paraId="1D7315F4" w14:textId="77777777" w:rsidR="0091542E" w:rsidRPr="004741AC" w:rsidRDefault="0091542E" w:rsidP="0091542E">
      <w:pPr>
        <w:spacing w:before="120" w:after="120"/>
        <w:rPr>
          <w:rFonts w:ascii="Open Sans" w:hAnsi="Open Sans" w:cs="Open Sans"/>
          <w:szCs w:val="22"/>
          <w:u w:val="single"/>
        </w:rPr>
      </w:pPr>
      <w:bookmarkStart w:id="41" w:name="_Hlk44612915"/>
      <w:r w:rsidRPr="00F46EDD">
        <w:rPr>
          <w:rFonts w:ascii="Open Sans" w:hAnsi="Open Sans" w:cs="Open Sans"/>
          <w:szCs w:val="22"/>
          <w:u w:val="single"/>
        </w:rPr>
        <w:t xml:space="preserve">Methane leakage from the network </w:t>
      </w:r>
    </w:p>
    <w:p w14:paraId="631DE6EA" w14:textId="77777777" w:rsidR="0091542E" w:rsidRDefault="0091542E" w:rsidP="0091542E">
      <w:pPr>
        <w:spacing w:before="120" w:after="120"/>
        <w:rPr>
          <w:rFonts w:ascii="Open Sans" w:hAnsi="Open Sans" w:cs="Open Sans"/>
          <w:szCs w:val="22"/>
        </w:rPr>
      </w:pPr>
      <w:r w:rsidRPr="00863A8F">
        <w:rPr>
          <w:rFonts w:ascii="Open Sans" w:hAnsi="Open Sans" w:cs="Open Sans"/>
          <w:szCs w:val="22"/>
        </w:rPr>
        <w:t>It should be flagged that, u</w:t>
      </w:r>
      <w:r w:rsidRPr="00187E0A">
        <w:rPr>
          <w:rFonts w:ascii="Open Sans" w:hAnsi="Open Sans" w:cs="Open Sans"/>
          <w:szCs w:val="22"/>
        </w:rPr>
        <w:t>nlikely the current RHI methodology</w:t>
      </w:r>
      <w:r w:rsidRPr="00FB67E4">
        <w:rPr>
          <w:rFonts w:ascii="Open Sans" w:hAnsi="Open Sans" w:cs="Open Sans"/>
          <w:szCs w:val="22"/>
        </w:rPr>
        <w:t xml:space="preserve"> (which only calculated GHG emissions to the point of injection), RED II GHG calculation includes an input for emi</w:t>
      </w:r>
      <w:r w:rsidRPr="00F41912">
        <w:rPr>
          <w:rFonts w:ascii="Open Sans" w:hAnsi="Open Sans" w:cs="Open Sans"/>
          <w:szCs w:val="22"/>
        </w:rPr>
        <w:t xml:space="preserve">ssions from transport and distribution of the fuel (which comes from methane leaks in the grid). </w:t>
      </w:r>
      <w:r w:rsidRPr="008B4440">
        <w:rPr>
          <w:rFonts w:ascii="Open Sans" w:hAnsi="Open Sans" w:cs="Open Sans"/>
          <w:szCs w:val="22"/>
        </w:rPr>
        <w:t>For</w:t>
      </w:r>
      <w:r w:rsidRPr="00706F1E">
        <w:rPr>
          <w:rFonts w:ascii="Open Sans" w:hAnsi="Open Sans" w:cs="Open Sans"/>
          <w:szCs w:val="22"/>
        </w:rPr>
        <w:t xml:space="preserve"> example, under the RTFO the default value for lifecycle GHG emissions associated with transport and distribution is 0.15% methane leakage. </w:t>
      </w:r>
    </w:p>
    <w:p w14:paraId="0D307E78" w14:textId="77777777" w:rsidR="0091542E" w:rsidRPr="002907C6" w:rsidRDefault="0091542E" w:rsidP="0091542E">
      <w:pPr>
        <w:spacing w:before="120" w:after="120"/>
        <w:rPr>
          <w:rFonts w:ascii="Open Sans" w:hAnsi="Open Sans" w:cs="Open Sans"/>
          <w:szCs w:val="22"/>
        </w:rPr>
      </w:pPr>
      <w:r>
        <w:rPr>
          <w:rFonts w:ascii="Open Sans" w:hAnsi="Open Sans" w:cs="Open Sans"/>
          <w:szCs w:val="22"/>
        </w:rPr>
        <w:t xml:space="preserve">A member of the REA expert in the field of biomass sustainability </w:t>
      </w:r>
      <w:r>
        <w:rPr>
          <w:rFonts w:ascii="Open Sans" w:hAnsi="Open Sans"/>
        </w:rPr>
        <w:t xml:space="preserve">provided the following information about leakage rates from the network: </w:t>
      </w:r>
      <w:r w:rsidRPr="002907C6">
        <w:rPr>
          <w:rFonts w:ascii="Open Sans" w:hAnsi="Open Sans" w:cs="Open Sans"/>
          <w:szCs w:val="22"/>
        </w:rPr>
        <w:t xml:space="preserve">leakage rates for the natural gas network (as assumed in the UK’s GHG inventory) are 0.01% of gas flowing through the system for the high pressure transmission part of the system and 0.405% for the medium and low pressure distribution system.  So </w:t>
      </w:r>
      <w:r>
        <w:rPr>
          <w:rFonts w:ascii="Open Sans" w:hAnsi="Open Sans" w:cs="Open Sans"/>
          <w:szCs w:val="22"/>
        </w:rPr>
        <w:t xml:space="preserve">the </w:t>
      </w:r>
      <w:r w:rsidRPr="002907C6">
        <w:rPr>
          <w:rFonts w:ascii="Open Sans" w:hAnsi="Open Sans" w:cs="Open Sans"/>
          <w:szCs w:val="22"/>
        </w:rPr>
        <w:t xml:space="preserve">total leakage is 0.415% of the gas that flows through the </w:t>
      </w:r>
      <w:r w:rsidRPr="002907C6">
        <w:rPr>
          <w:rFonts w:ascii="Open Sans" w:hAnsi="Open Sans" w:cs="Open Sans"/>
          <w:szCs w:val="22"/>
        </w:rPr>
        <w:lastRenderedPageBreak/>
        <w:t>system.  However</w:t>
      </w:r>
      <w:r>
        <w:rPr>
          <w:rFonts w:ascii="Open Sans" w:hAnsi="Open Sans" w:cs="Open Sans"/>
          <w:szCs w:val="22"/>
        </w:rPr>
        <w:t>,</w:t>
      </w:r>
      <w:r w:rsidRPr="002907C6">
        <w:rPr>
          <w:rFonts w:ascii="Open Sans" w:hAnsi="Open Sans" w:cs="Open Sans"/>
          <w:szCs w:val="22"/>
        </w:rPr>
        <w:t xml:space="preserve"> as natural gas is only (by weight) 81/4% methane the CH4 leakage rate is only 0.338% i.e. for every tonne of gas transported in the system and taken out of the system in the low pressure part of the network, leakage of methane is estimated to be 3.38 kg of CH</w:t>
      </w:r>
      <w:r w:rsidRPr="002907C6">
        <w:rPr>
          <w:rFonts w:ascii="Open Sans" w:hAnsi="Open Sans" w:cs="Open Sans"/>
          <w:szCs w:val="22"/>
          <w:vertAlign w:val="subscript"/>
        </w:rPr>
        <w:t>4</w:t>
      </w:r>
      <w:r w:rsidRPr="002907C6">
        <w:rPr>
          <w:rFonts w:ascii="Open Sans" w:hAnsi="Open Sans" w:cs="Open Sans"/>
          <w:szCs w:val="22"/>
        </w:rPr>
        <w:t>.</w:t>
      </w:r>
    </w:p>
    <w:p w14:paraId="187084CF" w14:textId="77777777" w:rsidR="0091542E" w:rsidRPr="005365EE" w:rsidRDefault="0091542E" w:rsidP="0091542E">
      <w:pPr>
        <w:spacing w:before="120" w:after="120"/>
        <w:rPr>
          <w:rFonts w:ascii="Open Sans" w:hAnsi="Open Sans" w:cs="Open Sans"/>
          <w:szCs w:val="22"/>
        </w:rPr>
      </w:pPr>
      <w:r w:rsidRPr="00706F1E">
        <w:rPr>
          <w:rFonts w:ascii="Open Sans" w:hAnsi="Open Sans" w:cs="Open Sans"/>
          <w:szCs w:val="22"/>
        </w:rPr>
        <w:t xml:space="preserve">This </w:t>
      </w:r>
      <w:r>
        <w:rPr>
          <w:rFonts w:ascii="Open Sans" w:hAnsi="Open Sans" w:cs="Open Sans"/>
          <w:szCs w:val="22"/>
        </w:rPr>
        <w:t xml:space="preserve">may need to be considered if BEIS decide to align the sustainability criteria to RED II and </w:t>
      </w:r>
      <w:r w:rsidRPr="00706F1E">
        <w:rPr>
          <w:rFonts w:ascii="Open Sans" w:hAnsi="Open Sans" w:cs="Open Sans"/>
          <w:szCs w:val="22"/>
        </w:rPr>
        <w:t>could of co</w:t>
      </w:r>
      <w:r w:rsidRPr="0083737C">
        <w:rPr>
          <w:rFonts w:ascii="Open Sans" w:hAnsi="Open Sans" w:cs="Open Sans"/>
          <w:szCs w:val="22"/>
        </w:rPr>
        <w:t>urse result in lower savings from AD plants.</w:t>
      </w:r>
      <w:r w:rsidRPr="005365EE">
        <w:rPr>
          <w:rFonts w:ascii="Open Sans" w:hAnsi="Open Sans" w:cs="Open Sans"/>
          <w:szCs w:val="22"/>
        </w:rPr>
        <w:t xml:space="preserve"> </w:t>
      </w:r>
      <w:r>
        <w:rPr>
          <w:rFonts w:ascii="Open Sans" w:hAnsi="Open Sans" w:cs="Open Sans"/>
          <w:szCs w:val="22"/>
        </w:rPr>
        <w:t xml:space="preserve">A number of members of the REA experts in this field could provide further information in the future, if this was needed by BEIS. </w:t>
      </w:r>
    </w:p>
    <w:bookmarkEnd w:id="41"/>
    <w:p w14:paraId="42332467" w14:textId="77777777" w:rsidR="001254C5" w:rsidRPr="005365EE" w:rsidRDefault="001254C5" w:rsidP="001254C5">
      <w:pPr>
        <w:spacing w:before="120" w:after="120"/>
        <w:rPr>
          <w:rFonts w:ascii="Open Sans" w:hAnsi="Open Sans" w:cs="Open Sans"/>
          <w:szCs w:val="22"/>
          <w:u w:val="single"/>
        </w:rPr>
      </w:pPr>
    </w:p>
    <w:p w14:paraId="3F086281" w14:textId="77777777" w:rsidR="001254C5" w:rsidRPr="005365EE" w:rsidRDefault="001254C5" w:rsidP="001254C5">
      <w:pPr>
        <w:spacing w:before="120" w:after="120"/>
        <w:rPr>
          <w:rFonts w:ascii="Open Sans" w:hAnsi="Open Sans" w:cs="Open Sans"/>
          <w:szCs w:val="22"/>
          <w:u w:val="single"/>
        </w:rPr>
      </w:pPr>
      <w:r w:rsidRPr="005365EE">
        <w:rPr>
          <w:rFonts w:ascii="Open Sans" w:hAnsi="Open Sans" w:cs="Open Sans"/>
          <w:szCs w:val="22"/>
          <w:u w:val="single"/>
        </w:rPr>
        <w:t xml:space="preserve">Soil carbon stores </w:t>
      </w:r>
    </w:p>
    <w:p w14:paraId="3FB7B599" w14:textId="77777777" w:rsidR="001254C5" w:rsidRDefault="001254C5" w:rsidP="001254C5">
      <w:pPr>
        <w:spacing w:before="120" w:after="120"/>
        <w:rPr>
          <w:rFonts w:ascii="Open Sans" w:hAnsi="Open Sans" w:cs="Open Sans"/>
          <w:szCs w:val="22"/>
        </w:rPr>
      </w:pPr>
      <w:bookmarkStart w:id="42" w:name="_Hlk44426878"/>
      <w:r w:rsidRPr="005365EE">
        <w:rPr>
          <w:rFonts w:ascii="Open Sans" w:hAnsi="Open Sans" w:cs="Open Sans"/>
          <w:b/>
          <w:bCs/>
          <w:szCs w:val="22"/>
        </w:rPr>
        <w:t xml:space="preserve">So joined-up thinking is once again required across Government departments to ensure the carbon benefits of AD are properly accounted for, and incentivised. </w:t>
      </w:r>
      <w:r>
        <w:rPr>
          <w:rFonts w:ascii="Open Sans" w:hAnsi="Open Sans" w:cs="Open Sans"/>
          <w:b/>
          <w:bCs/>
          <w:szCs w:val="22"/>
        </w:rPr>
        <w:t xml:space="preserve">The new Environmental Land Management Scheme should include an appropriate framework to measure soil carbon stores that can be then fed into the GGSS sustainability criteria. </w:t>
      </w:r>
    </w:p>
    <w:bookmarkEnd w:id="42"/>
    <w:p w14:paraId="05BE740B" w14:textId="77777777" w:rsidR="001254C5" w:rsidRPr="005365EE" w:rsidRDefault="001254C5" w:rsidP="001254C5">
      <w:pPr>
        <w:spacing w:before="120" w:after="120"/>
        <w:rPr>
          <w:rFonts w:ascii="Open Sans" w:hAnsi="Open Sans" w:cs="Open Sans"/>
          <w:szCs w:val="22"/>
        </w:rPr>
      </w:pPr>
      <w:r w:rsidRPr="005365EE">
        <w:rPr>
          <w:rFonts w:ascii="Open Sans" w:hAnsi="Open Sans" w:cs="Open Sans"/>
          <w:szCs w:val="22"/>
        </w:rPr>
        <w:t xml:space="preserve">The RED recognises that soil carbon stores should be included in the calculation of the lifecycle GHG emissions of biofuels. </w:t>
      </w:r>
    </w:p>
    <w:p w14:paraId="76768C14" w14:textId="77777777" w:rsidR="001254C5" w:rsidRPr="005365EE" w:rsidRDefault="001254C5" w:rsidP="001254C5">
      <w:pPr>
        <w:spacing w:before="120" w:after="120"/>
        <w:rPr>
          <w:rFonts w:ascii="Open Sans" w:hAnsi="Open Sans" w:cs="Open Sans"/>
          <w:i/>
          <w:szCs w:val="22"/>
        </w:rPr>
      </w:pPr>
      <w:r w:rsidRPr="005365EE">
        <w:rPr>
          <w:rFonts w:ascii="Open Sans" w:hAnsi="Open Sans" w:cs="Open Sans"/>
          <w:szCs w:val="22"/>
        </w:rPr>
        <w:t>Annex VI Part B 6states: ‘</w:t>
      </w:r>
      <w:r w:rsidRPr="005365EE">
        <w:rPr>
          <w:rFonts w:ascii="Open Sans" w:hAnsi="Open Sans" w:cs="Open Sans"/>
          <w:i/>
          <w:szCs w:val="22"/>
        </w:rPr>
        <w:t xml:space="preserve">For the purposes of the calculation referred to in point 1(a), emission savings from improved agriculture management, esca, such as shifting to reduced or zero-tillage, improved crop/rotation, the use of cover crops, including crop residue management, and the use of organic soil improver (e.g. compost, manure fermentation digestate), shall be taken into account only if solid and verifiable evidence is provided that the soil carbon has increased or that it is reasonable to expect to have increased over the period in which the raw materials concerned were cultivated while taking into account the emissions where such practices lead to increased fertiliser and herbicide use ( 1 )’. </w:t>
      </w:r>
    </w:p>
    <w:p w14:paraId="3CE8E369" w14:textId="77777777" w:rsidR="001254C5" w:rsidRPr="005365EE" w:rsidRDefault="001254C5" w:rsidP="001254C5">
      <w:pPr>
        <w:spacing w:before="120" w:after="120"/>
        <w:rPr>
          <w:rFonts w:ascii="Open Sans" w:hAnsi="Open Sans" w:cs="Open Sans"/>
          <w:i/>
          <w:szCs w:val="22"/>
        </w:rPr>
      </w:pPr>
      <w:r w:rsidRPr="005365EE">
        <w:rPr>
          <w:rFonts w:ascii="Open Sans" w:hAnsi="Open Sans" w:cs="Open Sans"/>
          <w:i/>
          <w:szCs w:val="22"/>
        </w:rPr>
        <w:t>…</w:t>
      </w:r>
    </w:p>
    <w:p w14:paraId="4D690EA2" w14:textId="77777777" w:rsidR="001254C5" w:rsidRPr="005365EE" w:rsidRDefault="001254C5" w:rsidP="001254C5">
      <w:pPr>
        <w:spacing w:before="120" w:after="120"/>
        <w:rPr>
          <w:rFonts w:ascii="Open Sans" w:hAnsi="Open Sans" w:cs="Open Sans"/>
          <w:szCs w:val="22"/>
        </w:rPr>
      </w:pPr>
      <w:r w:rsidRPr="005365EE">
        <w:rPr>
          <w:rFonts w:ascii="Open Sans" w:hAnsi="Open Sans" w:cs="Open Sans"/>
          <w:i/>
          <w:szCs w:val="22"/>
        </w:rPr>
        <w:t>Measurements of soil carbon can constitute such evidence, e.g. by a first measurement in advance of the cultivation and subsequent ones at regular intervals several years apart. In such a case, before the second measurement is available, increase in soil carbon would be estimated on the basis of representative experiments or soil models. From the second measurement onwards, the measurements would constitute the basis for determining the existence of an increase in soil carbon and its magnitude.’</w:t>
      </w:r>
    </w:p>
    <w:p w14:paraId="52632E5F" w14:textId="77777777" w:rsidR="001254C5" w:rsidRPr="005365EE" w:rsidRDefault="001254C5" w:rsidP="001254C5">
      <w:pPr>
        <w:spacing w:before="120" w:after="120"/>
        <w:rPr>
          <w:rFonts w:ascii="Open Sans" w:hAnsi="Open Sans" w:cs="Open Sans"/>
          <w:szCs w:val="22"/>
        </w:rPr>
      </w:pPr>
      <w:r w:rsidRPr="005365EE">
        <w:rPr>
          <w:rFonts w:ascii="Open Sans" w:hAnsi="Open Sans" w:cs="Open Sans"/>
          <w:szCs w:val="22"/>
        </w:rPr>
        <w:t>Therefore, provided that a robust and credible framework is developed to measure soil carbon stores and this is recognised in the life-cycle carbon accounting methodology for biomethane production, this would with no doubt play an important role in mitigating GHG emissions and drive good agricultural practices.</w:t>
      </w:r>
      <w:r>
        <w:rPr>
          <w:rFonts w:ascii="Open Sans" w:hAnsi="Open Sans" w:cs="Open Sans"/>
          <w:szCs w:val="22"/>
        </w:rPr>
        <w:t xml:space="preserve"> </w:t>
      </w:r>
    </w:p>
    <w:p w14:paraId="41F6E454" w14:textId="77777777" w:rsidR="001254C5" w:rsidRPr="005365EE" w:rsidRDefault="001254C5" w:rsidP="001254C5">
      <w:pPr>
        <w:spacing w:before="120" w:after="120"/>
        <w:rPr>
          <w:rFonts w:ascii="Open Sans" w:hAnsi="Open Sans" w:cs="Open Sans"/>
        </w:rPr>
      </w:pPr>
      <w:r w:rsidRPr="005365EE">
        <w:rPr>
          <w:rFonts w:ascii="Open Sans" w:hAnsi="Open Sans" w:cs="Open Sans"/>
        </w:rPr>
        <w:t xml:space="preserve">It is also worth pointing out that there is a move within Europe towards recognise practices that can increase carbon in farmed soils. The recent Commission’ </w:t>
      </w:r>
      <w:hyperlink r:id="rId42" w:history="1">
        <w:r w:rsidRPr="005365EE">
          <w:rPr>
            <w:rStyle w:val="Hyperlink"/>
            <w:rFonts w:ascii="Open Sans" w:hAnsi="Open Sans" w:cs="Open Sans"/>
          </w:rPr>
          <w:t>Farm to Fork Strategy</w:t>
        </w:r>
      </w:hyperlink>
      <w:r w:rsidRPr="005365EE">
        <w:rPr>
          <w:rFonts w:ascii="Open Sans" w:hAnsi="Open Sans" w:cs="Open Sans"/>
        </w:rPr>
        <w:t xml:space="preserve"> states: “</w:t>
      </w:r>
      <w:r w:rsidRPr="005365EE">
        <w:rPr>
          <w:rFonts w:ascii="Open Sans" w:hAnsi="Open Sans" w:cs="Open Sans"/>
          <w:i/>
          <w:iCs/>
        </w:rPr>
        <w:t>An example of a new green business model is carbon sequestration by farmers and foresters. Farming practices that remove CO</w:t>
      </w:r>
      <w:r w:rsidRPr="005365EE">
        <w:rPr>
          <w:rFonts w:ascii="Open Sans" w:hAnsi="Open Sans" w:cs="Open Sans"/>
          <w:i/>
          <w:iCs/>
          <w:vertAlign w:val="subscript"/>
        </w:rPr>
        <w:t>2</w:t>
      </w:r>
      <w:r w:rsidRPr="005365EE">
        <w:rPr>
          <w:rFonts w:ascii="Open Sans" w:hAnsi="Open Sans" w:cs="Open Sans"/>
          <w:i/>
          <w:iCs/>
        </w:rPr>
        <w:t xml:space="preserve"> from the atmosphere contribute to the climate neutrality objective and should be rewarded, either via the common agricultural policy (CAP) or other public or private initiatives (carbon market). Robust certification rules for carbon removals in agriculture and forestry are the first step to enable payments to farmers and foresters for the carbon sequestration they provide. Member States could use these rules to design CAP payments based on the carbon sequestered; moreover, private companies could also be interested in </w:t>
      </w:r>
      <w:r w:rsidRPr="005365EE">
        <w:rPr>
          <w:rFonts w:ascii="Open Sans" w:hAnsi="Open Sans" w:cs="Open Sans"/>
          <w:i/>
          <w:iCs/>
        </w:rPr>
        <w:lastRenderedPageBreak/>
        <w:t>purchasing such certificates to support climate action, thus providing an additional incentive (on top of CAP payments) to farmers and foresters for carbon sequestration</w:t>
      </w:r>
      <w:r w:rsidRPr="005365EE">
        <w:rPr>
          <w:rFonts w:ascii="Open Sans" w:hAnsi="Open Sans" w:cs="Open Sans"/>
        </w:rPr>
        <w:t>.</w:t>
      </w:r>
    </w:p>
    <w:p w14:paraId="37A240FC" w14:textId="77777777" w:rsidR="001254C5" w:rsidRPr="005365EE" w:rsidRDefault="001254C5" w:rsidP="001254C5">
      <w:pPr>
        <w:rPr>
          <w:rFonts w:ascii="Open Sans" w:hAnsi="Open Sans" w:cs="Open Sans"/>
        </w:rPr>
      </w:pPr>
      <w:r w:rsidRPr="005365EE">
        <w:rPr>
          <w:rFonts w:ascii="Open Sans" w:hAnsi="Open Sans" w:cs="Open Sans"/>
          <w:i/>
          <w:iCs/>
        </w:rPr>
        <w:t xml:space="preserve">A new </w:t>
      </w:r>
      <w:r w:rsidRPr="005365EE">
        <w:rPr>
          <w:rFonts w:ascii="Open Sans" w:hAnsi="Open Sans" w:cs="Open Sans"/>
          <w:b/>
          <w:bCs/>
          <w:i/>
          <w:iCs/>
        </w:rPr>
        <w:t>EU carbon farming initiative</w:t>
      </w:r>
      <w:r w:rsidRPr="005365EE">
        <w:rPr>
          <w:rFonts w:ascii="Open Sans" w:hAnsi="Open Sans" w:cs="Open Sans"/>
          <w:i/>
          <w:iCs/>
        </w:rPr>
        <w:t xml:space="preserve"> under the Climate Pact will promote this new business model, which provides farmers with a new source of income and helps other sectors to decarbonise the food chain. As announced in the Circular Economy Action Plan (CEAP), the Commission will develop a </w:t>
      </w:r>
      <w:r w:rsidRPr="005365EE">
        <w:rPr>
          <w:rFonts w:ascii="Open Sans" w:hAnsi="Open Sans" w:cs="Open Sans"/>
          <w:b/>
          <w:bCs/>
          <w:i/>
          <w:iCs/>
        </w:rPr>
        <w:t>regulatory framework for certifying carbon removals</w:t>
      </w:r>
      <w:r w:rsidRPr="005365EE">
        <w:rPr>
          <w:rFonts w:ascii="Open Sans" w:hAnsi="Open Sans" w:cs="Open Sans"/>
          <w:i/>
          <w:iCs/>
        </w:rPr>
        <w:t xml:space="preserve"> based on robust and transparent carbon accounting to monitor and verify the authenticity of carbon removals</w:t>
      </w:r>
      <w:r w:rsidRPr="005365EE">
        <w:rPr>
          <w:rFonts w:ascii="Open Sans" w:hAnsi="Open Sans" w:cs="Open Sans"/>
        </w:rPr>
        <w:t>.”</w:t>
      </w:r>
    </w:p>
    <w:p w14:paraId="66A3CE8C" w14:textId="77777777" w:rsidR="001254C5" w:rsidRPr="005365EE" w:rsidRDefault="001254C5" w:rsidP="001254C5">
      <w:pPr>
        <w:spacing w:before="120" w:after="120"/>
        <w:rPr>
          <w:rFonts w:ascii="Open Sans" w:hAnsi="Open Sans" w:cs="Open Sans"/>
          <w:szCs w:val="22"/>
          <w:u w:val="single"/>
        </w:rPr>
      </w:pPr>
    </w:p>
    <w:p w14:paraId="3537CA3F" w14:textId="77777777" w:rsidR="001254C5" w:rsidRPr="005365EE" w:rsidRDefault="001254C5" w:rsidP="001254C5">
      <w:pPr>
        <w:spacing w:before="120" w:after="120"/>
        <w:rPr>
          <w:rFonts w:ascii="Open Sans" w:hAnsi="Open Sans" w:cs="Open Sans"/>
          <w:szCs w:val="22"/>
          <w:u w:val="single"/>
        </w:rPr>
      </w:pPr>
      <w:r w:rsidRPr="005365EE">
        <w:rPr>
          <w:rFonts w:ascii="Open Sans" w:hAnsi="Open Sans" w:cs="Open Sans"/>
          <w:szCs w:val="22"/>
          <w:u w:val="single"/>
        </w:rPr>
        <w:t xml:space="preserve">Practices that can help mitigate GHG emissions </w:t>
      </w:r>
    </w:p>
    <w:p w14:paraId="38569041" w14:textId="77777777" w:rsidR="001254C5" w:rsidRDefault="001254C5" w:rsidP="001254C5">
      <w:pPr>
        <w:spacing w:before="120" w:after="120"/>
        <w:rPr>
          <w:rFonts w:ascii="Open Sans" w:hAnsi="Open Sans" w:cs="Open Sans"/>
          <w:szCs w:val="22"/>
        </w:rPr>
      </w:pPr>
      <w:r w:rsidRPr="00026787">
        <w:rPr>
          <w:rFonts w:ascii="Open Sans" w:hAnsi="Open Sans" w:cs="Open Sans"/>
          <w:szCs w:val="22"/>
        </w:rPr>
        <w:t>We list below good practices to minimise ammonia and GHG emissions that are either not included, or could be better recognised within the GHG calculation, or could be easier to use in calculators.</w:t>
      </w:r>
      <w:r>
        <w:rPr>
          <w:rFonts w:ascii="Open Sans" w:hAnsi="Open Sans" w:cs="Open Sans"/>
          <w:szCs w:val="22"/>
        </w:rPr>
        <w:t xml:space="preserve">  </w:t>
      </w:r>
    </w:p>
    <w:p w14:paraId="6BE8DE62" w14:textId="77777777" w:rsidR="001254C5" w:rsidRPr="005365EE" w:rsidRDefault="001254C5" w:rsidP="001254C5">
      <w:pPr>
        <w:spacing w:before="120" w:after="120"/>
        <w:rPr>
          <w:rFonts w:ascii="Open Sans" w:hAnsi="Open Sans" w:cs="Open Sans"/>
          <w:szCs w:val="22"/>
        </w:rPr>
      </w:pPr>
      <w:r w:rsidRPr="005365EE">
        <w:rPr>
          <w:rFonts w:ascii="Open Sans" w:hAnsi="Open Sans" w:cs="Open Sans"/>
          <w:szCs w:val="22"/>
        </w:rPr>
        <w:t xml:space="preserve">From an industry perspective, it is really important that the methodology is revisited to ensure </w:t>
      </w:r>
      <w:bookmarkStart w:id="43" w:name="_Hlk44345591"/>
      <w:r w:rsidRPr="005365EE">
        <w:rPr>
          <w:rFonts w:ascii="Open Sans" w:hAnsi="Open Sans" w:cs="Open Sans"/>
          <w:szCs w:val="22"/>
        </w:rPr>
        <w:t xml:space="preserve">good practices and techniques that can deliver lower or even negative GHG emissions are counted for. </w:t>
      </w:r>
      <w:bookmarkEnd w:id="43"/>
    </w:p>
    <w:p w14:paraId="5FA84E76" w14:textId="77777777" w:rsidR="001254C5" w:rsidRPr="005365EE" w:rsidRDefault="001254C5" w:rsidP="001254C5">
      <w:pPr>
        <w:spacing w:before="120" w:after="120"/>
        <w:rPr>
          <w:rFonts w:ascii="Open Sans" w:hAnsi="Open Sans" w:cs="Open Sans"/>
          <w:szCs w:val="22"/>
        </w:rPr>
      </w:pPr>
      <w:r w:rsidRPr="005365EE">
        <w:rPr>
          <w:rFonts w:ascii="Open Sans" w:hAnsi="Open Sans" w:cs="Open Sans"/>
          <w:szCs w:val="22"/>
        </w:rPr>
        <w:t>For AD, these are some examples of the practices that should help improve the lifecycle assessment figures for biomethane, all of which should be accounted for in the methodology:</w:t>
      </w:r>
    </w:p>
    <w:p w14:paraId="56D6DE41" w14:textId="77777777" w:rsidR="001254C5" w:rsidRPr="005365EE" w:rsidRDefault="001254C5" w:rsidP="001254C5">
      <w:pPr>
        <w:pStyle w:val="ListParagraph"/>
        <w:numPr>
          <w:ilvl w:val="0"/>
          <w:numId w:val="25"/>
        </w:numPr>
        <w:spacing w:before="120" w:after="120"/>
        <w:ind w:left="426" w:hanging="426"/>
        <w:jc w:val="left"/>
        <w:rPr>
          <w:rFonts w:ascii="Open Sans" w:hAnsi="Open Sans" w:cs="Open Sans"/>
          <w:szCs w:val="22"/>
        </w:rPr>
      </w:pPr>
      <w:r w:rsidRPr="005365EE">
        <w:rPr>
          <w:rFonts w:ascii="Open Sans" w:hAnsi="Open Sans" w:cs="Open Sans"/>
          <w:szCs w:val="22"/>
        </w:rPr>
        <w:t>Good practice application of digestate to replace fertilisers derived from fossilised carbon</w:t>
      </w:r>
    </w:p>
    <w:p w14:paraId="0C195835" w14:textId="77777777" w:rsidR="001254C5" w:rsidRPr="005365EE" w:rsidRDefault="001254C5" w:rsidP="001254C5">
      <w:pPr>
        <w:pStyle w:val="ListParagraph"/>
        <w:numPr>
          <w:ilvl w:val="0"/>
          <w:numId w:val="25"/>
        </w:numPr>
        <w:spacing w:before="120" w:after="120"/>
        <w:ind w:left="426" w:hanging="426"/>
        <w:jc w:val="left"/>
        <w:rPr>
          <w:rFonts w:ascii="Open Sans" w:hAnsi="Open Sans" w:cs="Open Sans"/>
          <w:szCs w:val="22"/>
        </w:rPr>
      </w:pPr>
      <w:r w:rsidRPr="005365EE">
        <w:rPr>
          <w:rFonts w:ascii="Open Sans" w:hAnsi="Open Sans" w:cs="Open Sans"/>
          <w:szCs w:val="22"/>
        </w:rPr>
        <w:t xml:space="preserve">Covering digestate stores to minimise GHG emissions (and ammonia) in line with best available techniques set out in </w:t>
      </w:r>
      <w:hyperlink r:id="rId43" w:history="1">
        <w:r w:rsidRPr="005365EE">
          <w:rPr>
            <w:rStyle w:val="Hyperlink"/>
            <w:rFonts w:ascii="Open Sans" w:hAnsi="Open Sans" w:cs="Open Sans"/>
            <w:color w:val="auto"/>
            <w:szCs w:val="22"/>
          </w:rPr>
          <w:t>COGAP</w:t>
        </w:r>
      </w:hyperlink>
      <w:r w:rsidRPr="005365EE">
        <w:rPr>
          <w:rFonts w:ascii="Open Sans" w:hAnsi="Open Sans" w:cs="Open Sans"/>
          <w:szCs w:val="22"/>
        </w:rPr>
        <w:t xml:space="preserve"> </w:t>
      </w:r>
    </w:p>
    <w:p w14:paraId="43598EA5" w14:textId="77777777" w:rsidR="001254C5" w:rsidRPr="005365EE" w:rsidRDefault="001254C5" w:rsidP="001254C5">
      <w:pPr>
        <w:pStyle w:val="ListParagraph"/>
        <w:numPr>
          <w:ilvl w:val="0"/>
          <w:numId w:val="25"/>
        </w:numPr>
        <w:spacing w:before="120" w:after="120"/>
        <w:ind w:left="426" w:hanging="426"/>
        <w:jc w:val="left"/>
        <w:rPr>
          <w:rStyle w:val="Hyperlink"/>
          <w:rFonts w:ascii="Open Sans" w:hAnsi="Open Sans" w:cs="Open Sans"/>
          <w:color w:val="auto"/>
          <w:szCs w:val="22"/>
          <w:u w:val="none"/>
        </w:rPr>
      </w:pPr>
      <w:r w:rsidRPr="005365EE">
        <w:rPr>
          <w:rFonts w:ascii="Open Sans" w:hAnsi="Open Sans" w:cs="Open Sans"/>
          <w:szCs w:val="22"/>
        </w:rPr>
        <w:t xml:space="preserve">Ensuring digestate is spread with low emission spreading techniques in line with best available techniques set out in </w:t>
      </w:r>
      <w:hyperlink r:id="rId44" w:history="1">
        <w:r w:rsidRPr="005365EE">
          <w:rPr>
            <w:rStyle w:val="Hyperlink"/>
            <w:rFonts w:ascii="Open Sans" w:hAnsi="Open Sans" w:cs="Open Sans"/>
            <w:color w:val="auto"/>
            <w:szCs w:val="22"/>
          </w:rPr>
          <w:t>COGAP</w:t>
        </w:r>
      </w:hyperlink>
    </w:p>
    <w:p w14:paraId="5DC21BEB" w14:textId="77777777" w:rsidR="001254C5" w:rsidRPr="005365EE" w:rsidRDefault="001254C5" w:rsidP="001254C5">
      <w:pPr>
        <w:pStyle w:val="ListParagraph"/>
        <w:numPr>
          <w:ilvl w:val="0"/>
          <w:numId w:val="25"/>
        </w:numPr>
        <w:spacing w:before="120" w:after="120"/>
        <w:ind w:left="426" w:hanging="426"/>
        <w:jc w:val="left"/>
        <w:rPr>
          <w:rFonts w:ascii="Open Sans" w:hAnsi="Open Sans" w:cs="Open Sans"/>
          <w:szCs w:val="22"/>
        </w:rPr>
      </w:pPr>
      <w:r w:rsidRPr="005365EE">
        <w:rPr>
          <w:rFonts w:ascii="Open Sans" w:hAnsi="Open Sans" w:cs="Open Sans"/>
          <w:szCs w:val="22"/>
        </w:rPr>
        <w:t>Use of best available technology to avoid minimise methane emissions or leakage from both biogas production and upgrade</w:t>
      </w:r>
    </w:p>
    <w:p w14:paraId="7AB5E740" w14:textId="77777777" w:rsidR="001254C5" w:rsidRPr="005365EE" w:rsidRDefault="001254C5" w:rsidP="001254C5">
      <w:pPr>
        <w:pStyle w:val="ListParagraph"/>
        <w:numPr>
          <w:ilvl w:val="0"/>
          <w:numId w:val="25"/>
        </w:numPr>
        <w:spacing w:before="120" w:after="120"/>
        <w:ind w:left="426" w:hanging="426"/>
        <w:jc w:val="left"/>
        <w:rPr>
          <w:rFonts w:ascii="Open Sans" w:hAnsi="Open Sans" w:cs="Open Sans"/>
          <w:szCs w:val="22"/>
        </w:rPr>
      </w:pPr>
      <w:r w:rsidRPr="005365EE">
        <w:rPr>
          <w:rFonts w:ascii="Open Sans" w:hAnsi="Open Sans" w:cs="Open Sans"/>
          <w:szCs w:val="22"/>
        </w:rPr>
        <w:t xml:space="preserve">Processing digestate to reduce the potential for emissions  </w:t>
      </w:r>
    </w:p>
    <w:p w14:paraId="2F757D22" w14:textId="77777777" w:rsidR="001254C5" w:rsidRPr="005365EE" w:rsidRDefault="001254C5" w:rsidP="001254C5">
      <w:pPr>
        <w:pStyle w:val="ListParagraph"/>
        <w:numPr>
          <w:ilvl w:val="0"/>
          <w:numId w:val="25"/>
        </w:numPr>
        <w:spacing w:before="120" w:after="120"/>
        <w:ind w:left="426" w:hanging="426"/>
        <w:jc w:val="left"/>
        <w:rPr>
          <w:rFonts w:ascii="Open Sans" w:hAnsi="Open Sans" w:cs="Open Sans"/>
          <w:szCs w:val="22"/>
        </w:rPr>
      </w:pPr>
      <w:r w:rsidRPr="005365EE">
        <w:rPr>
          <w:rFonts w:ascii="Open Sans" w:hAnsi="Open Sans" w:cs="Open Sans"/>
          <w:szCs w:val="22"/>
        </w:rPr>
        <w:t>Capture of pure CO</w:t>
      </w:r>
      <w:r w:rsidRPr="005365EE">
        <w:rPr>
          <w:rFonts w:ascii="Open Sans" w:hAnsi="Open Sans" w:cs="Open Sans"/>
          <w:szCs w:val="22"/>
          <w:vertAlign w:val="subscript"/>
        </w:rPr>
        <w:t>2</w:t>
      </w:r>
      <w:r w:rsidRPr="005365EE">
        <w:rPr>
          <w:rFonts w:ascii="Open Sans" w:hAnsi="Open Sans" w:cs="Open Sans"/>
          <w:szCs w:val="22"/>
        </w:rPr>
        <w:t xml:space="preserve"> / CCUS for storage or use in a range of markets </w:t>
      </w:r>
    </w:p>
    <w:p w14:paraId="494E56FF" w14:textId="77777777" w:rsidR="001254C5" w:rsidRPr="005365EE" w:rsidRDefault="001254C5" w:rsidP="001254C5">
      <w:pPr>
        <w:pStyle w:val="ListParagraph"/>
        <w:numPr>
          <w:ilvl w:val="0"/>
          <w:numId w:val="25"/>
        </w:numPr>
        <w:spacing w:before="120" w:after="120"/>
        <w:ind w:left="426" w:hanging="426"/>
        <w:jc w:val="left"/>
        <w:rPr>
          <w:rFonts w:ascii="Open Sans" w:hAnsi="Open Sans" w:cs="Open Sans"/>
          <w:szCs w:val="22"/>
        </w:rPr>
      </w:pPr>
      <w:r w:rsidRPr="005365EE">
        <w:rPr>
          <w:rFonts w:ascii="Open Sans" w:hAnsi="Open Sans" w:cs="Open Sans"/>
          <w:szCs w:val="22"/>
        </w:rPr>
        <w:t xml:space="preserve">Co-digestion of agricultural and industrial residues and crops with slurries/manures </w:t>
      </w:r>
    </w:p>
    <w:p w14:paraId="5D6C3FB7" w14:textId="77777777" w:rsidR="001254C5" w:rsidRPr="005365EE" w:rsidRDefault="001254C5" w:rsidP="001254C5">
      <w:pPr>
        <w:pStyle w:val="ListParagraph"/>
        <w:numPr>
          <w:ilvl w:val="0"/>
          <w:numId w:val="25"/>
        </w:numPr>
        <w:spacing w:before="120" w:after="120"/>
        <w:ind w:left="426" w:hanging="426"/>
        <w:jc w:val="left"/>
        <w:rPr>
          <w:rFonts w:ascii="Open Sans" w:hAnsi="Open Sans" w:cs="Open Sans"/>
          <w:szCs w:val="22"/>
        </w:rPr>
      </w:pPr>
      <w:r w:rsidRPr="005365EE">
        <w:rPr>
          <w:rFonts w:ascii="Open Sans" w:hAnsi="Open Sans" w:cs="Open Sans"/>
          <w:szCs w:val="22"/>
        </w:rPr>
        <w:t>Strict sustainability requirements for crops (e.g. improved agronomic practices to maximise yield/energy output and reduce use of artificial fertilisers)</w:t>
      </w:r>
    </w:p>
    <w:p w14:paraId="1CD52979" w14:textId="77777777" w:rsidR="001254C5" w:rsidRPr="005365EE" w:rsidRDefault="001254C5" w:rsidP="001254C5">
      <w:pPr>
        <w:pStyle w:val="ListParagraph"/>
        <w:numPr>
          <w:ilvl w:val="0"/>
          <w:numId w:val="25"/>
        </w:numPr>
        <w:spacing w:before="120" w:after="120"/>
        <w:ind w:left="426" w:hanging="426"/>
        <w:jc w:val="left"/>
        <w:rPr>
          <w:rFonts w:ascii="Open Sans" w:hAnsi="Open Sans" w:cs="Open Sans"/>
          <w:szCs w:val="22"/>
        </w:rPr>
      </w:pPr>
      <w:r w:rsidRPr="005365EE">
        <w:rPr>
          <w:rFonts w:ascii="Open Sans" w:hAnsi="Open Sans" w:cs="Open Sans"/>
          <w:szCs w:val="22"/>
        </w:rPr>
        <w:t xml:space="preserve">Optimised on farm digestate management and use of strategies to minimise direct emissions from soil cultivation </w:t>
      </w:r>
    </w:p>
    <w:p w14:paraId="38A4C034" w14:textId="77777777" w:rsidR="001254C5" w:rsidRPr="005365EE" w:rsidRDefault="001254C5" w:rsidP="001254C5">
      <w:pPr>
        <w:pStyle w:val="ListParagraph"/>
        <w:numPr>
          <w:ilvl w:val="0"/>
          <w:numId w:val="25"/>
        </w:numPr>
        <w:spacing w:before="120" w:after="120"/>
        <w:ind w:left="426" w:hanging="426"/>
        <w:jc w:val="left"/>
        <w:rPr>
          <w:rFonts w:ascii="Open Sans" w:hAnsi="Open Sans" w:cs="Open Sans"/>
          <w:szCs w:val="22"/>
        </w:rPr>
      </w:pPr>
      <w:r w:rsidRPr="005365EE">
        <w:rPr>
          <w:rFonts w:ascii="Open Sans" w:hAnsi="Open Sans" w:cs="Open Sans"/>
          <w:szCs w:val="22"/>
        </w:rPr>
        <w:t>Combination with green hydrogen to produce methane through in-situ or ex-situ methanation</w:t>
      </w:r>
    </w:p>
    <w:p w14:paraId="236E5C0A" w14:textId="77777777" w:rsidR="001254C5" w:rsidRPr="005365EE" w:rsidRDefault="001254C5" w:rsidP="001254C5">
      <w:pPr>
        <w:pStyle w:val="ListParagraph"/>
        <w:numPr>
          <w:ilvl w:val="0"/>
          <w:numId w:val="25"/>
        </w:numPr>
        <w:spacing w:before="120" w:after="120"/>
        <w:ind w:left="426" w:hanging="426"/>
        <w:jc w:val="left"/>
        <w:rPr>
          <w:rFonts w:ascii="Open Sans" w:hAnsi="Open Sans" w:cs="Open Sans"/>
          <w:szCs w:val="22"/>
        </w:rPr>
      </w:pPr>
      <w:r w:rsidRPr="005365EE">
        <w:rPr>
          <w:rFonts w:ascii="Open Sans" w:hAnsi="Open Sans" w:cs="Open Sans"/>
          <w:szCs w:val="22"/>
        </w:rPr>
        <w:t xml:space="preserve">Soil carbon sequestration </w:t>
      </w:r>
      <w:r>
        <w:rPr>
          <w:rFonts w:ascii="Open Sans" w:hAnsi="Open Sans" w:cs="Open Sans"/>
          <w:szCs w:val="22"/>
        </w:rPr>
        <w:t xml:space="preserve">and soil carbon addition </w:t>
      </w:r>
      <w:r w:rsidRPr="005365EE">
        <w:rPr>
          <w:rFonts w:ascii="Open Sans" w:hAnsi="Open Sans" w:cs="Open Sans"/>
          <w:szCs w:val="22"/>
        </w:rPr>
        <w:t xml:space="preserve">through the use of sustainable farming practices such as AD cropping and application of organic fertilisers to the soil.  </w:t>
      </w:r>
    </w:p>
    <w:p w14:paraId="5BCDBA9B" w14:textId="77777777" w:rsidR="001254C5" w:rsidRPr="005365EE" w:rsidRDefault="001254C5" w:rsidP="001254C5">
      <w:pPr>
        <w:spacing w:before="120" w:after="120"/>
        <w:rPr>
          <w:rFonts w:ascii="Open Sans" w:hAnsi="Open Sans" w:cs="Open Sans"/>
          <w:szCs w:val="22"/>
          <w:lang w:eastAsia="en-GB"/>
        </w:rPr>
      </w:pPr>
    </w:p>
    <w:p w14:paraId="7E7CB761" w14:textId="77777777" w:rsidR="001254C5" w:rsidRPr="00026432" w:rsidRDefault="001254C5" w:rsidP="001254C5">
      <w:pPr>
        <w:spacing w:before="120" w:after="120"/>
        <w:rPr>
          <w:rFonts w:ascii="Open Sans" w:hAnsi="Open Sans" w:cs="Open Sans"/>
          <w:szCs w:val="22"/>
          <w:u w:val="single"/>
        </w:rPr>
      </w:pPr>
      <w:bookmarkStart w:id="44" w:name="_Hlk43720605"/>
      <w:r w:rsidRPr="00026432">
        <w:rPr>
          <w:rFonts w:ascii="Open Sans" w:hAnsi="Open Sans" w:cs="Open Sans"/>
          <w:szCs w:val="22"/>
          <w:u w:val="single"/>
        </w:rPr>
        <w:t>Methane slip from biogas and biogas upgrade</w:t>
      </w:r>
    </w:p>
    <w:p w14:paraId="1193F3BC" w14:textId="77777777" w:rsidR="001254C5" w:rsidRPr="00026432" w:rsidRDefault="001254C5" w:rsidP="001254C5">
      <w:pPr>
        <w:spacing w:before="120" w:after="120"/>
        <w:rPr>
          <w:rFonts w:ascii="Open Sans" w:hAnsi="Open Sans" w:cs="Open Sans"/>
          <w:b/>
          <w:bCs/>
          <w:szCs w:val="22"/>
          <w:lang w:eastAsia="en-GB"/>
        </w:rPr>
      </w:pPr>
      <w:bookmarkStart w:id="45" w:name="_Hlk44426888"/>
      <w:r w:rsidRPr="00026432">
        <w:rPr>
          <w:rFonts w:ascii="Open Sans" w:hAnsi="Open Sans" w:cs="Open Sans"/>
          <w:b/>
          <w:bCs/>
          <w:szCs w:val="22"/>
          <w:lang w:eastAsia="en-GB"/>
        </w:rPr>
        <w:t xml:space="preserve">The consultation makes no mention of methane slip. BEIS should put in place tighter requirements on methane slip to promote industry good practice. </w:t>
      </w:r>
    </w:p>
    <w:p w14:paraId="73FA318F" w14:textId="77777777" w:rsidR="001254C5" w:rsidRPr="00026432" w:rsidRDefault="001254C5" w:rsidP="001254C5">
      <w:pPr>
        <w:spacing w:before="120" w:after="120"/>
        <w:rPr>
          <w:rFonts w:ascii="Open Sans" w:hAnsi="Open Sans" w:cs="Open Sans"/>
          <w:b/>
          <w:bCs/>
          <w:szCs w:val="22"/>
          <w:lang w:eastAsia="en-GB"/>
        </w:rPr>
      </w:pPr>
      <w:r w:rsidRPr="00026432">
        <w:rPr>
          <w:rFonts w:ascii="Open Sans" w:hAnsi="Open Sans" w:cs="Open Sans"/>
          <w:b/>
          <w:bCs/>
          <w:szCs w:val="22"/>
          <w:lang w:eastAsia="en-GB"/>
        </w:rPr>
        <w:lastRenderedPageBreak/>
        <w:t xml:space="preserve">We would recommend that one of the requirements for plants funded under the Green Gas Support Mechanism should be to have mandatory testing and reporting of methane emissions and potentially set a maximum allowable methane slip.  </w:t>
      </w:r>
    </w:p>
    <w:bookmarkEnd w:id="44"/>
    <w:bookmarkEnd w:id="45"/>
    <w:p w14:paraId="604C38FA" w14:textId="77777777" w:rsidR="001254C5" w:rsidRPr="00026432" w:rsidRDefault="001254C5" w:rsidP="001254C5">
      <w:pPr>
        <w:spacing w:before="120" w:after="120"/>
        <w:rPr>
          <w:rFonts w:ascii="Open Sans" w:hAnsi="Open Sans" w:cs="Open Sans"/>
          <w:szCs w:val="22"/>
          <w:lang w:eastAsia="en-GB"/>
        </w:rPr>
      </w:pPr>
      <w:r w:rsidRPr="00026432">
        <w:rPr>
          <w:rFonts w:ascii="Open Sans" w:hAnsi="Open Sans" w:cs="Open Sans"/>
          <w:szCs w:val="22"/>
          <w:lang w:eastAsia="en-GB"/>
        </w:rPr>
        <w:t>For information, the EBA has recently published an information sheet titled ‘</w:t>
      </w:r>
      <w:r w:rsidRPr="00026432">
        <w:rPr>
          <w:rFonts w:ascii="Open Sans" w:hAnsi="Open Sans" w:cs="Open Sans"/>
          <w:b/>
          <w:bCs/>
          <w:szCs w:val="22"/>
          <w:lang w:eastAsia="en-GB"/>
        </w:rPr>
        <w:t>Methane emission mitigation strategies</w:t>
      </w:r>
      <w:r w:rsidRPr="00026432">
        <w:rPr>
          <w:rFonts w:ascii="Open Sans" w:hAnsi="Open Sans" w:cs="Open Sans"/>
          <w:szCs w:val="22"/>
          <w:lang w:eastAsia="en-GB"/>
        </w:rPr>
        <w:t>’.</w:t>
      </w:r>
    </w:p>
    <w:p w14:paraId="6732BCBD" w14:textId="77777777" w:rsidR="001254C5" w:rsidRPr="00026432" w:rsidRDefault="001254C5" w:rsidP="001254C5">
      <w:pPr>
        <w:spacing w:before="120" w:after="120"/>
        <w:rPr>
          <w:rFonts w:ascii="Open Sans" w:hAnsi="Open Sans" w:cs="Open Sans"/>
          <w:szCs w:val="22"/>
          <w:lang w:eastAsia="en-GB"/>
        </w:rPr>
      </w:pPr>
      <w:r w:rsidRPr="00026432">
        <w:rPr>
          <w:rFonts w:ascii="Open Sans" w:hAnsi="Open Sans" w:cs="Open Sans"/>
          <w:szCs w:val="22"/>
          <w:lang w:eastAsia="en-GB"/>
        </w:rPr>
        <w:t>The European Trade Association acknowledges greenhouse gas (GHG) emissions such as methane can be emitted into the air from biogas plants, due to leakages or special events in operation. The information sheet summarises potential emission sources from AD plants and explains how to minimise those emissions. Additionally, several ongoing initiatives for reducing methane emissions in European biogas sector are introduced. </w:t>
      </w:r>
    </w:p>
    <w:p w14:paraId="207F8A69" w14:textId="77777777" w:rsidR="001254C5" w:rsidRPr="005365EE" w:rsidRDefault="001254C5" w:rsidP="001254C5">
      <w:pPr>
        <w:spacing w:before="120" w:after="120"/>
        <w:rPr>
          <w:rFonts w:ascii="Open Sans" w:hAnsi="Open Sans" w:cs="Open Sans"/>
          <w:b/>
          <w:bCs/>
          <w:szCs w:val="22"/>
          <w:lang w:eastAsia="en-GB"/>
        </w:rPr>
      </w:pPr>
      <w:r w:rsidRPr="00026432">
        <w:rPr>
          <w:rFonts w:ascii="Open Sans" w:hAnsi="Open Sans" w:cs="Open Sans"/>
          <w:szCs w:val="22"/>
          <w:lang w:eastAsia="en-GB"/>
        </w:rPr>
        <w:t xml:space="preserve">Please download the information sheet </w:t>
      </w:r>
      <w:hyperlink r:id="rId45" w:history="1">
        <w:r w:rsidRPr="00FC14EF">
          <w:rPr>
            <w:rFonts w:ascii="Open Sans" w:hAnsi="Open Sans" w:cs="Open Sans"/>
            <w:szCs w:val="22"/>
            <w:u w:val="single"/>
            <w:lang w:eastAsia="en-GB"/>
          </w:rPr>
          <w:t>here</w:t>
        </w:r>
      </w:hyperlink>
      <w:r w:rsidRPr="00026432">
        <w:rPr>
          <w:rFonts w:ascii="Open Sans" w:hAnsi="Open Sans" w:cs="Open Sans"/>
          <w:szCs w:val="22"/>
          <w:u w:val="single"/>
          <w:lang w:eastAsia="en-GB"/>
        </w:rPr>
        <w:t>.</w:t>
      </w:r>
      <w:r w:rsidRPr="005365EE">
        <w:rPr>
          <w:rFonts w:ascii="Open Sans" w:hAnsi="Open Sans" w:cs="Open Sans"/>
          <w:szCs w:val="22"/>
          <w:u w:val="single"/>
          <w:lang w:eastAsia="en-GB"/>
        </w:rPr>
        <w:t xml:space="preserve"> </w:t>
      </w:r>
    </w:p>
    <w:p w14:paraId="4CD58E94" w14:textId="77777777" w:rsidR="0091542E" w:rsidRPr="0032683B" w:rsidRDefault="0091542E" w:rsidP="0091542E">
      <w:pPr>
        <w:pStyle w:val="NormalWeb"/>
        <w:shd w:val="clear" w:color="auto" w:fill="FFFFFF"/>
        <w:rPr>
          <w:rFonts w:ascii="Open Sans" w:hAnsi="Open Sans" w:cs="Open Sans"/>
          <w:lang w:eastAsia="en-US"/>
        </w:rPr>
      </w:pPr>
      <w:r w:rsidRPr="0032683B">
        <w:rPr>
          <w:rFonts w:ascii="Open Sans" w:hAnsi="Open Sans" w:cs="Open Sans"/>
          <w:b/>
          <w:bCs/>
          <w:color w:val="000000"/>
          <w:lang w:eastAsia="en-US"/>
        </w:rPr>
        <w:t>UK’s plans to implement RED II provisions re Guarantees of Origin</w:t>
      </w:r>
    </w:p>
    <w:p w14:paraId="37CBA33A" w14:textId="77777777" w:rsidR="0091542E" w:rsidRPr="0032683B" w:rsidRDefault="0091542E" w:rsidP="0091542E">
      <w:pPr>
        <w:pStyle w:val="NormalWeb"/>
        <w:shd w:val="clear" w:color="auto" w:fill="FFFFFF"/>
        <w:jc w:val="both"/>
        <w:rPr>
          <w:rFonts w:ascii="Open Sans" w:hAnsi="Open Sans" w:cs="Open Sans"/>
          <w:b/>
          <w:bCs/>
          <w:color w:val="000000"/>
        </w:rPr>
      </w:pPr>
      <w:r w:rsidRPr="0032683B">
        <w:rPr>
          <w:rFonts w:ascii="Open Sans" w:hAnsi="Open Sans" w:cs="Open Sans"/>
          <w:b/>
          <w:bCs/>
          <w:color w:val="000000"/>
        </w:rPr>
        <w:t xml:space="preserve">We recommend that the UK and EU put in place an agreement “on mutual recognition of guarantees of origin issued in the Union” – as per RED II Article 19 clause 1 – which will allow the full integration of the UK GoO system for renewable gas with systems operating in the EU. </w:t>
      </w:r>
    </w:p>
    <w:p w14:paraId="1A41AB49" w14:textId="77777777" w:rsidR="0091542E" w:rsidRPr="0032683B" w:rsidRDefault="0091542E" w:rsidP="0091542E">
      <w:pPr>
        <w:pStyle w:val="NormalWeb"/>
        <w:shd w:val="clear" w:color="auto" w:fill="FFFFFF"/>
        <w:jc w:val="both"/>
        <w:rPr>
          <w:rFonts w:ascii="Open Sans" w:hAnsi="Open Sans" w:cs="Open Sans"/>
          <w:b/>
          <w:bCs/>
          <w:color w:val="000000"/>
        </w:rPr>
      </w:pPr>
      <w:r w:rsidRPr="0032683B">
        <w:rPr>
          <w:rFonts w:ascii="Open Sans" w:hAnsi="Open Sans" w:cs="Open Sans"/>
          <w:b/>
          <w:bCs/>
          <w:color w:val="000000"/>
        </w:rPr>
        <w:t xml:space="preserve">A mutual recognition agreement will maximise the value that UK biomethane producers will receive for their GoO and therefore ensure the Green Gas Support Scheme provides the best value for money possible. </w:t>
      </w:r>
    </w:p>
    <w:p w14:paraId="6454C05F" w14:textId="77777777" w:rsidR="0091542E" w:rsidRPr="0032683B" w:rsidRDefault="0091542E" w:rsidP="0091542E">
      <w:pPr>
        <w:pStyle w:val="NormalWeb"/>
        <w:shd w:val="clear" w:color="auto" w:fill="FFFFFF"/>
        <w:rPr>
          <w:rFonts w:ascii="Open Sans" w:hAnsi="Open Sans" w:cs="Open Sans"/>
          <w:b/>
          <w:bCs/>
          <w:color w:val="000000"/>
        </w:rPr>
      </w:pPr>
      <w:r w:rsidRPr="0032683B">
        <w:rPr>
          <w:rFonts w:ascii="Open Sans" w:hAnsi="Open Sans" w:cs="Open Sans"/>
          <w:b/>
          <w:bCs/>
          <w:color w:val="000000"/>
        </w:rPr>
        <w:t>A competent body will need to be appointed to issue GoO and we recommend that the government consider appointing an existing scheme, such as the GGCS, to minimi</w:t>
      </w:r>
      <w:r>
        <w:rPr>
          <w:rFonts w:ascii="Open Sans" w:hAnsi="Open Sans" w:cs="Open Sans"/>
          <w:b/>
          <w:bCs/>
          <w:color w:val="000000"/>
        </w:rPr>
        <w:t>s</w:t>
      </w:r>
      <w:r w:rsidRPr="0032683B">
        <w:rPr>
          <w:rFonts w:ascii="Open Sans" w:hAnsi="Open Sans" w:cs="Open Sans"/>
          <w:b/>
          <w:bCs/>
          <w:color w:val="000000"/>
        </w:rPr>
        <w:t>e disruption to the market and minimi</w:t>
      </w:r>
      <w:r>
        <w:rPr>
          <w:rFonts w:ascii="Open Sans" w:hAnsi="Open Sans" w:cs="Open Sans"/>
          <w:b/>
          <w:bCs/>
          <w:color w:val="000000"/>
        </w:rPr>
        <w:t>s</w:t>
      </w:r>
      <w:r w:rsidRPr="0032683B">
        <w:rPr>
          <w:rFonts w:ascii="Open Sans" w:hAnsi="Open Sans" w:cs="Open Sans"/>
          <w:b/>
          <w:bCs/>
          <w:color w:val="000000"/>
        </w:rPr>
        <w:t xml:space="preserve">e costs. This would also build on the experience that has already been developed such as the GGCS’s partnership with GoO issuing bodies in the EU via the European Renewable Gas Registry (ERGaR), including the development of a hub for transfer of GoO,  and their involvement in the process of updating of the EN 16325 standard required by RED II. </w:t>
      </w:r>
    </w:p>
    <w:p w14:paraId="2264E6D6" w14:textId="77777777" w:rsidR="0091542E" w:rsidRPr="0032683B" w:rsidRDefault="0091542E" w:rsidP="0091542E">
      <w:pPr>
        <w:pStyle w:val="NormalWeb"/>
        <w:shd w:val="clear" w:color="auto" w:fill="FFFFFF"/>
        <w:rPr>
          <w:rFonts w:ascii="Open Sans" w:hAnsi="Open Sans" w:cs="Open Sans"/>
          <w:lang w:eastAsia="en-US"/>
        </w:rPr>
      </w:pPr>
      <w:r w:rsidRPr="0032683B">
        <w:rPr>
          <w:rFonts w:ascii="Open Sans" w:hAnsi="Open Sans" w:cs="Open Sans"/>
          <w:color w:val="000000"/>
          <w:lang w:eastAsia="en-US"/>
        </w:rPr>
        <w:t>A “Guarantee of Origin” (GoO) is defined in Article 15 of the Renewable Energy Directive (RED). RED I only referred to GoO for renewable electricity, whilst in Article 19 of RED II the word </w:t>
      </w:r>
      <w:r w:rsidRPr="0032683B">
        <w:rPr>
          <w:rFonts w:ascii="Open Sans" w:hAnsi="Open Sans" w:cs="Open Sans"/>
          <w:i/>
          <w:iCs/>
          <w:color w:val="000000"/>
          <w:lang w:eastAsia="en-US"/>
        </w:rPr>
        <w:t>electricity</w:t>
      </w:r>
      <w:r w:rsidRPr="0032683B">
        <w:rPr>
          <w:rFonts w:ascii="Open Sans" w:hAnsi="Open Sans" w:cs="Open Sans"/>
          <w:color w:val="000000"/>
          <w:lang w:eastAsia="en-US"/>
        </w:rPr>
        <w:t> has been replaced with </w:t>
      </w:r>
      <w:r w:rsidRPr="0032683B">
        <w:rPr>
          <w:rFonts w:ascii="Open Sans" w:hAnsi="Open Sans" w:cs="Open Sans"/>
          <w:i/>
          <w:iCs/>
          <w:color w:val="000000"/>
          <w:lang w:eastAsia="en-US"/>
        </w:rPr>
        <w:t>energy</w:t>
      </w:r>
      <w:r w:rsidRPr="0032683B">
        <w:rPr>
          <w:rFonts w:ascii="Open Sans" w:hAnsi="Open Sans" w:cs="Open Sans"/>
          <w:color w:val="000000"/>
          <w:lang w:eastAsia="en-US"/>
        </w:rPr>
        <w:t> meaning that GoO now apply to renewable gas (and also renewable heat). Therefore, there will “officially” be GoO for renewable gas in the European Union</w:t>
      </w:r>
    </w:p>
    <w:p w14:paraId="13F86FEB" w14:textId="77777777" w:rsidR="0091542E" w:rsidRPr="0032683B" w:rsidRDefault="0091542E" w:rsidP="0091542E">
      <w:pPr>
        <w:pStyle w:val="NormalWeb"/>
        <w:shd w:val="clear" w:color="auto" w:fill="FFFFFF"/>
        <w:rPr>
          <w:rFonts w:ascii="Open Sans" w:hAnsi="Open Sans" w:cs="Open Sans"/>
          <w:lang w:eastAsia="en-US"/>
        </w:rPr>
      </w:pPr>
      <w:r w:rsidRPr="0032683B">
        <w:rPr>
          <w:rFonts w:ascii="Open Sans" w:hAnsi="Open Sans" w:cs="Open Sans"/>
          <w:color w:val="000000"/>
          <w:lang w:eastAsia="en-US"/>
        </w:rPr>
        <w:t xml:space="preserve">Currently there are registries that issue GoO for biomethane injection in the UK but they are not recognised by the government. The biggest such scheme is the Green Gas Certification Scheme (GGCS) which is operated by the REA subsidiary Renewable Energy Assurance Limited (REAL). </w:t>
      </w:r>
    </w:p>
    <w:p w14:paraId="3CEA4B7C" w14:textId="77777777" w:rsidR="0091542E" w:rsidRPr="0032683B" w:rsidRDefault="0091542E" w:rsidP="0091542E">
      <w:pPr>
        <w:pStyle w:val="NormalWeb"/>
        <w:shd w:val="clear" w:color="auto" w:fill="FFFFFF"/>
        <w:rPr>
          <w:rFonts w:ascii="Open Sans" w:hAnsi="Open Sans" w:cs="Open Sans"/>
          <w:lang w:eastAsia="en-US"/>
        </w:rPr>
      </w:pPr>
      <w:r w:rsidRPr="0032683B">
        <w:rPr>
          <w:rFonts w:ascii="Open Sans" w:hAnsi="Open Sans" w:cs="Open Sans"/>
          <w:color w:val="000000"/>
          <w:lang w:eastAsia="en-US"/>
        </w:rPr>
        <w:lastRenderedPageBreak/>
        <w:t xml:space="preserve">While the GGCS has been operating successfully since 2011 and runs and robust and trusted scheme, this is not enough for the continued integration of the UK and EU markets once RED II comes into effect in June 2021.  </w:t>
      </w:r>
    </w:p>
    <w:p w14:paraId="035EA7F8" w14:textId="77777777" w:rsidR="0091542E" w:rsidRPr="0032683B" w:rsidRDefault="0091542E" w:rsidP="0091542E">
      <w:pPr>
        <w:pStyle w:val="NormalWeb"/>
        <w:shd w:val="clear" w:color="auto" w:fill="FFFFFF"/>
        <w:rPr>
          <w:rFonts w:ascii="Open Sans" w:hAnsi="Open Sans" w:cs="Open Sans"/>
          <w:lang w:eastAsia="en-US"/>
        </w:rPr>
      </w:pPr>
      <w:r w:rsidRPr="0032683B">
        <w:rPr>
          <w:rFonts w:ascii="Open Sans" w:hAnsi="Open Sans" w:cs="Open Sans"/>
          <w:color w:val="000000"/>
          <w:lang w:eastAsia="en-US"/>
        </w:rPr>
        <w:t xml:space="preserve">RED II (Article 19) states that member states must appoint a single competent authority to issue GoO for gas. The GoOs that are issued must conform to the requirements of RED II which references conformity with standard CEN EN16325 (Guarantees of Origin related to energy ). Furthermore it stipulates that a mutual recognition agreement is needed with third countries for there to be recognition of each others GoO. </w:t>
      </w:r>
    </w:p>
    <w:p w14:paraId="615E995A" w14:textId="77777777" w:rsidR="0091542E" w:rsidRPr="0032683B" w:rsidRDefault="0091542E" w:rsidP="0091542E">
      <w:pPr>
        <w:pStyle w:val="NormalWeb"/>
        <w:shd w:val="clear" w:color="auto" w:fill="FFFFFF"/>
        <w:rPr>
          <w:rFonts w:ascii="Open Sans" w:hAnsi="Open Sans" w:cs="Open Sans"/>
          <w:lang w:eastAsia="en-US"/>
        </w:rPr>
      </w:pPr>
      <w:r w:rsidRPr="0032683B">
        <w:rPr>
          <w:rFonts w:ascii="Open Sans" w:hAnsi="Open Sans" w:cs="Open Sans"/>
          <w:color w:val="000000"/>
          <w:lang w:eastAsia="en-US"/>
        </w:rPr>
        <w:t>With respect to the transposition of Article 19 of RED II, BEIS’s Brexit team have communicated to the REA that</w:t>
      </w:r>
      <w:r w:rsidRPr="0032683B">
        <w:rPr>
          <w:rFonts w:ascii="Open Sans" w:hAnsi="Open Sans" w:cs="Open Sans"/>
          <w:i/>
          <w:iCs/>
          <w:color w:val="000000"/>
          <w:lang w:eastAsia="en-US"/>
        </w:rPr>
        <w:t xml:space="preserve"> ‘As the transposition deadline for the Renewable Energy Directive 2018 (“REDII”) falls outside of the transition period agreed with the EU under the Withdrawal Agreement, our expectation is that the UK would not be required to transpose REDII requirements, and the UK Government has no plans to change the arrangements for issuing gas GOOs in the UK at this stage. Going forward, the situation will depend on the nature of the free trade agreement negotiated between the UK and the EU and will be kept under review.</w:t>
      </w:r>
    </w:p>
    <w:p w14:paraId="052DFDBF" w14:textId="77777777" w:rsidR="0091542E" w:rsidRPr="0032683B" w:rsidRDefault="0091542E" w:rsidP="0091542E">
      <w:pPr>
        <w:pStyle w:val="NormalWeb"/>
        <w:shd w:val="clear" w:color="auto" w:fill="FFFFFF"/>
        <w:rPr>
          <w:rFonts w:ascii="Open Sans" w:hAnsi="Open Sans" w:cs="Open Sans"/>
          <w:lang w:eastAsia="en-US"/>
        </w:rPr>
      </w:pPr>
      <w:r w:rsidRPr="0032683B">
        <w:rPr>
          <w:rFonts w:ascii="Open Sans" w:hAnsi="Open Sans" w:cs="Open Sans"/>
          <w:i/>
          <w:iCs/>
          <w:color w:val="000000"/>
          <w:lang w:eastAsia="en-US"/>
        </w:rPr>
        <w:t>“UK REGOs will continue to be recognised by EU Member States until at least the end of the transition period (31 December 2020). After that point, the situation will depend on the outcome of EU FTA negotiations.</w:t>
      </w:r>
    </w:p>
    <w:p w14:paraId="506C3904" w14:textId="77777777" w:rsidR="0091542E" w:rsidRPr="0032683B" w:rsidRDefault="0091542E" w:rsidP="0091542E">
      <w:pPr>
        <w:pStyle w:val="NormalWeb"/>
        <w:shd w:val="clear" w:color="auto" w:fill="FFFFFF"/>
        <w:rPr>
          <w:rFonts w:ascii="Open Sans" w:hAnsi="Open Sans" w:cs="Open Sans"/>
          <w:lang w:eastAsia="en-US"/>
        </w:rPr>
      </w:pPr>
      <w:r w:rsidRPr="0032683B">
        <w:rPr>
          <w:rFonts w:ascii="Open Sans" w:hAnsi="Open Sans" w:cs="Open Sans"/>
          <w:i/>
          <w:iCs/>
          <w:color w:val="000000"/>
          <w:lang w:eastAsia="en-US"/>
        </w:rPr>
        <w:t>“EU REGOs will continue to be recognised by the UK. This will allow electricity suppliers in the UK to continue to use EU REGOs as well as those issued in Great Britain and Northern Ireland to comply with their fuel mix disclosure obligations, and ensure that existing supply contracts are not compromised, insofar as these contracts depend upon Guarantees of Origin. This position will be kept under review.</w:t>
      </w:r>
    </w:p>
    <w:p w14:paraId="62D423DF" w14:textId="77777777" w:rsidR="0091542E" w:rsidRPr="0032683B" w:rsidRDefault="0091542E" w:rsidP="0091542E">
      <w:pPr>
        <w:pStyle w:val="NormalWeb"/>
        <w:shd w:val="clear" w:color="auto" w:fill="FFFFFF"/>
        <w:rPr>
          <w:rFonts w:ascii="Open Sans" w:hAnsi="Open Sans" w:cs="Open Sans"/>
          <w:lang w:eastAsia="en-US"/>
        </w:rPr>
      </w:pPr>
      <w:r w:rsidRPr="0032683B">
        <w:rPr>
          <w:rFonts w:ascii="Open Sans" w:hAnsi="Open Sans" w:cs="Open Sans"/>
          <w:i/>
          <w:iCs/>
          <w:color w:val="000000"/>
          <w:lang w:eastAsia="en-US"/>
        </w:rPr>
        <w:t>‘We will continue to engage with the REA and other stakeholders as the nature of the UK’s FTAs with the EU and other third countries becomes clearer and our thinking evolves. “</w:t>
      </w:r>
    </w:p>
    <w:p w14:paraId="7F70FE8B" w14:textId="77777777" w:rsidR="0091542E" w:rsidRPr="0032683B" w:rsidRDefault="0091542E" w:rsidP="0091542E">
      <w:pPr>
        <w:pStyle w:val="NormalWeb"/>
        <w:shd w:val="clear" w:color="auto" w:fill="FFFFFF"/>
        <w:jc w:val="both"/>
        <w:rPr>
          <w:rFonts w:ascii="Open Sans" w:hAnsi="Open Sans" w:cs="Open Sans"/>
          <w:lang w:eastAsia="en-US"/>
        </w:rPr>
      </w:pPr>
      <w:r w:rsidRPr="0032683B">
        <w:rPr>
          <w:rFonts w:ascii="Open Sans" w:hAnsi="Open Sans" w:cs="Open Sans"/>
          <w:color w:val="000000"/>
          <w:lang w:eastAsia="en-US"/>
        </w:rPr>
        <w:t xml:space="preserve">A significant amount of the value that UK biomethane producers currently derive from the GoO market comes from customers based in the EU.  It will support the value that the Green Gas Support Scheme is able to achieve if this continues and producers income streams beyond the GGSS are as strong as possible. </w:t>
      </w:r>
    </w:p>
    <w:p w14:paraId="2CE22737" w14:textId="77777777" w:rsidR="0091542E" w:rsidRPr="0032683B" w:rsidRDefault="0091542E" w:rsidP="0091542E">
      <w:pPr>
        <w:rPr>
          <w:rFonts w:ascii="Open Sans" w:hAnsi="Open Sans" w:cs="Open Sans"/>
        </w:rPr>
      </w:pPr>
      <w:r w:rsidRPr="0032683B">
        <w:rPr>
          <w:rFonts w:ascii="Open Sans" w:hAnsi="Open Sans" w:cs="Open Sans"/>
        </w:rPr>
        <w:t>We note that government has recently tabled the following draft Statutory Instrument “</w:t>
      </w:r>
      <w:r w:rsidRPr="0032683B">
        <w:rPr>
          <w:rFonts w:ascii="Open Sans" w:hAnsi="Open Sans" w:cs="Open Sans"/>
          <w:i/>
          <w:iCs/>
        </w:rPr>
        <w:t>The Guarantees of Origin of Electricity Produced from High-efficiency Cogeneration and Renewables Obligation (Amendment) (EU Exit) Regulations 2020</w:t>
      </w:r>
      <w:r w:rsidRPr="0032683B">
        <w:rPr>
          <w:rFonts w:ascii="Open Sans" w:hAnsi="Open Sans" w:cs="Open Sans"/>
        </w:rPr>
        <w:t xml:space="preserve">”. We welcome such legislation, which provides greater clarity on the future use of Guarantees of Origin (GoO) between the UK and </w:t>
      </w:r>
      <w:r w:rsidRPr="0032683B">
        <w:rPr>
          <w:rFonts w:ascii="Open Sans" w:hAnsi="Open Sans" w:cs="Open Sans"/>
        </w:rPr>
        <w:lastRenderedPageBreak/>
        <w:t xml:space="preserve">EU markets. We also believe this move also provides a foundation to expand the discussion to renewable gas GoO. </w:t>
      </w:r>
    </w:p>
    <w:p w14:paraId="57ED9943" w14:textId="77777777" w:rsidR="001254C5" w:rsidRPr="005365EE" w:rsidRDefault="001254C5" w:rsidP="001254C5">
      <w:pPr>
        <w:pStyle w:val="NormalWeb"/>
        <w:shd w:val="clear" w:color="auto" w:fill="FFFFFF"/>
        <w:spacing w:before="120" w:beforeAutospacing="0" w:after="120" w:afterAutospacing="0"/>
        <w:rPr>
          <w:rFonts w:ascii="Open Sans" w:hAnsi="Open Sans" w:cs="Open Sans"/>
          <w:b/>
          <w:bCs/>
          <w:sz w:val="22"/>
          <w:szCs w:val="22"/>
          <w:lang w:eastAsia="en-US"/>
        </w:rPr>
      </w:pPr>
    </w:p>
    <w:p w14:paraId="4C60424E" w14:textId="29A5D84C" w:rsidR="001254C5" w:rsidRPr="001254C5" w:rsidRDefault="001254C5" w:rsidP="001254C5">
      <w:pPr>
        <w:spacing w:after="160" w:line="259" w:lineRule="auto"/>
        <w:jc w:val="left"/>
        <w:rPr>
          <w:rFonts w:ascii="Open Sans" w:hAnsi="Open Sans" w:cs="Open Sans"/>
          <w:b/>
          <w:bCs/>
          <w:i/>
          <w:iCs/>
          <w:color w:val="2F5496"/>
          <w:szCs w:val="22"/>
        </w:rPr>
      </w:pPr>
      <w:r>
        <w:rPr>
          <w:rFonts w:ascii="Open Sans" w:hAnsi="Open Sans" w:cs="Open Sans"/>
          <w:b/>
          <w:bCs/>
          <w:i/>
          <w:iCs/>
          <w:color w:val="2F5496"/>
          <w:szCs w:val="22"/>
        </w:rPr>
        <w:t xml:space="preserve">Consultation Question 11 - </w:t>
      </w:r>
      <w:r w:rsidRPr="001254C5">
        <w:rPr>
          <w:rFonts w:ascii="Open Sans" w:hAnsi="Open Sans" w:cs="Open Sans"/>
          <w:b/>
          <w:bCs/>
          <w:i/>
          <w:iCs/>
          <w:color w:val="2F5496"/>
          <w:szCs w:val="22"/>
        </w:rPr>
        <w:t xml:space="preserve">Do you have any views on how the feedstock reporting process for biomethane should be amended compared to the existing RHI requirements?  </w:t>
      </w:r>
    </w:p>
    <w:p w14:paraId="7F044EDF" w14:textId="77777777" w:rsidR="001254C5" w:rsidRPr="005365EE" w:rsidRDefault="001254C5" w:rsidP="001254C5">
      <w:pPr>
        <w:shd w:val="clear" w:color="auto" w:fill="FFFFFF"/>
        <w:spacing w:before="120" w:after="120"/>
        <w:rPr>
          <w:rFonts w:ascii="Open Sans" w:hAnsi="Open Sans" w:cs="Open Sans"/>
          <w:szCs w:val="22"/>
          <w:lang w:eastAsia="en-GB"/>
        </w:rPr>
      </w:pPr>
      <w:r w:rsidRPr="005365EE">
        <w:rPr>
          <w:rFonts w:ascii="Open Sans" w:hAnsi="Open Sans" w:cs="Open Sans"/>
          <w:szCs w:val="22"/>
          <w:lang w:eastAsia="en-GB"/>
        </w:rPr>
        <w:t>Under the current regulations and protocols, Ofgem requires biomethane plant operators (and other eligible technologies) to implement Fuel Measurement and Sampling (FMS) procedures to determine the renewable output eligible for RHI periodic support payments. These procedures detail the agreement with applicants of suitable procedures for the measurement and sampling of their fuels.</w:t>
      </w:r>
    </w:p>
    <w:p w14:paraId="6352ABB5" w14:textId="77777777" w:rsidR="001254C5" w:rsidRPr="005365EE" w:rsidRDefault="001254C5" w:rsidP="001254C5">
      <w:pPr>
        <w:shd w:val="clear" w:color="auto" w:fill="FFFFFF"/>
        <w:spacing w:before="120" w:after="120"/>
        <w:rPr>
          <w:rFonts w:ascii="Open Sans" w:hAnsi="Open Sans" w:cs="Open Sans"/>
          <w:szCs w:val="22"/>
          <w:lang w:eastAsia="en-GB"/>
        </w:rPr>
      </w:pPr>
      <w:r w:rsidRPr="005365EE">
        <w:rPr>
          <w:rFonts w:ascii="Open Sans" w:hAnsi="Open Sans" w:cs="Open Sans"/>
          <w:szCs w:val="22"/>
          <w:lang w:eastAsia="en-GB"/>
        </w:rPr>
        <w:t>FMS procedures must be agreed at the point of application for accreditation and may need to be amended where a new fuel or consignment is used or where a material change has been made on site affecting the agreed procedures.</w:t>
      </w:r>
    </w:p>
    <w:p w14:paraId="759231C4" w14:textId="77777777" w:rsidR="001254C5" w:rsidRPr="005365EE" w:rsidRDefault="001254C5" w:rsidP="001254C5">
      <w:pPr>
        <w:shd w:val="clear" w:color="auto" w:fill="FFFFFF"/>
        <w:spacing w:before="120" w:after="120"/>
        <w:rPr>
          <w:rFonts w:ascii="Open Sans" w:hAnsi="Open Sans" w:cs="Open Sans"/>
          <w:szCs w:val="22"/>
          <w:lang w:eastAsia="en-GB"/>
        </w:rPr>
      </w:pPr>
      <w:r w:rsidRPr="005365EE">
        <w:rPr>
          <w:rFonts w:ascii="Open Sans" w:hAnsi="Open Sans" w:cs="Open Sans"/>
          <w:szCs w:val="22"/>
          <w:lang w:eastAsia="en-GB"/>
        </w:rPr>
        <w:t>Ofgem can only make RHI payments on heat (or biomethane) from renewable sources, so they would not make a payment until they have reviewed and approved the revised FMS procedures. However, this is a lengthy process that can take several months and is not working for the industry, especially when they wish to take a consignment of a new feedstock and this is going to be measured and sampled in line with existing procedures. This is actively discouraging participants to use alternative or novel feedstocks.</w:t>
      </w:r>
    </w:p>
    <w:p w14:paraId="048C2571" w14:textId="77777777" w:rsidR="001254C5" w:rsidRPr="005365EE" w:rsidRDefault="001254C5" w:rsidP="001254C5">
      <w:pPr>
        <w:shd w:val="clear" w:color="auto" w:fill="FFFFFF"/>
        <w:spacing w:before="120" w:after="120"/>
        <w:rPr>
          <w:rFonts w:ascii="Open Sans" w:hAnsi="Open Sans" w:cs="Open Sans"/>
          <w:szCs w:val="22"/>
          <w:u w:val="single"/>
          <w:lang w:eastAsia="en-GB"/>
        </w:rPr>
      </w:pPr>
      <w:r w:rsidRPr="005365EE">
        <w:rPr>
          <w:rFonts w:ascii="Open Sans" w:hAnsi="Open Sans" w:cs="Open Sans"/>
          <w:szCs w:val="22"/>
          <w:u w:val="single"/>
          <w:lang w:eastAsia="en-GB"/>
        </w:rPr>
        <w:t xml:space="preserve">What is working? </w:t>
      </w:r>
    </w:p>
    <w:p w14:paraId="7EB57A70" w14:textId="2E1DEC33" w:rsidR="001254C5" w:rsidRPr="005365EE" w:rsidRDefault="001254C5" w:rsidP="001254C5">
      <w:pPr>
        <w:shd w:val="clear" w:color="auto" w:fill="FFFFFF"/>
        <w:spacing w:before="120" w:after="120"/>
        <w:rPr>
          <w:rFonts w:ascii="Open Sans" w:hAnsi="Open Sans" w:cs="Open Sans"/>
          <w:szCs w:val="22"/>
          <w:lang w:eastAsia="en-GB"/>
        </w:rPr>
      </w:pPr>
      <w:r w:rsidRPr="005365EE">
        <w:rPr>
          <w:rFonts w:ascii="Open Sans" w:hAnsi="Open Sans" w:cs="Open Sans"/>
          <w:szCs w:val="22"/>
          <w:lang w:eastAsia="en-GB"/>
        </w:rPr>
        <w:t xml:space="preserve">A member with significant expertise on FMS protocols and procedures have highlighted that the protocol works well in terms of measurement of feedstocks, i.e. it provides an accurate way to measure feedstock use accurately and is also implemented consistently across all Ofgem schemes. </w:t>
      </w:r>
    </w:p>
    <w:p w14:paraId="13270A8F" w14:textId="77777777" w:rsidR="001254C5" w:rsidRPr="005365EE" w:rsidRDefault="001254C5" w:rsidP="001254C5">
      <w:pPr>
        <w:shd w:val="clear" w:color="auto" w:fill="FFFFFF"/>
        <w:spacing w:before="120" w:after="120"/>
        <w:rPr>
          <w:rFonts w:ascii="Open Sans" w:hAnsi="Open Sans" w:cs="Open Sans"/>
          <w:szCs w:val="22"/>
          <w:u w:val="single"/>
          <w:lang w:eastAsia="en-GB"/>
        </w:rPr>
      </w:pPr>
      <w:r w:rsidRPr="005365EE">
        <w:rPr>
          <w:rFonts w:ascii="Open Sans" w:hAnsi="Open Sans" w:cs="Open Sans"/>
          <w:szCs w:val="22"/>
          <w:u w:val="single"/>
          <w:lang w:eastAsia="en-GB"/>
        </w:rPr>
        <w:t>What is not working?</w:t>
      </w:r>
    </w:p>
    <w:p w14:paraId="5BCCCAC4" w14:textId="77777777" w:rsidR="001254C5" w:rsidRPr="005365EE" w:rsidRDefault="001254C5" w:rsidP="001254C5">
      <w:pPr>
        <w:shd w:val="clear" w:color="auto" w:fill="FFFFFF"/>
        <w:spacing w:before="120" w:after="120"/>
        <w:rPr>
          <w:rFonts w:ascii="Open Sans" w:hAnsi="Open Sans" w:cs="Open Sans"/>
          <w:szCs w:val="22"/>
          <w:lang w:eastAsia="en-GB"/>
        </w:rPr>
      </w:pPr>
      <w:r w:rsidRPr="005365EE">
        <w:rPr>
          <w:rFonts w:ascii="Open Sans" w:hAnsi="Open Sans" w:cs="Open Sans"/>
          <w:szCs w:val="22"/>
          <w:lang w:eastAsia="en-GB"/>
        </w:rPr>
        <w:t>Feedstocks which could prove valuable and productive for AD cannot be taken because they are not part of the existing FMS and have not been approved by Ofgem.</w:t>
      </w:r>
    </w:p>
    <w:p w14:paraId="5A8BB198" w14:textId="77777777" w:rsidR="001254C5" w:rsidRPr="005365EE" w:rsidRDefault="001254C5" w:rsidP="001254C5">
      <w:pPr>
        <w:shd w:val="clear" w:color="auto" w:fill="FFFFFF"/>
        <w:spacing w:before="120" w:after="120"/>
        <w:rPr>
          <w:rFonts w:ascii="Open Sans" w:hAnsi="Open Sans" w:cs="Open Sans"/>
          <w:szCs w:val="22"/>
          <w:lang w:eastAsia="en-GB"/>
        </w:rPr>
      </w:pPr>
      <w:r w:rsidRPr="005365EE">
        <w:rPr>
          <w:rFonts w:ascii="Open Sans" w:hAnsi="Open Sans" w:cs="Open Sans"/>
          <w:szCs w:val="22"/>
          <w:lang w:eastAsia="en-GB"/>
        </w:rPr>
        <w:t>New or alternative feedstocks are being found through supply chains where there is a temporary over supply, such as the animal feed sector and specifically residues, such as Trafford Gold, wheat husks, syrups, and other suspended solids or liquid feeds.</w:t>
      </w:r>
    </w:p>
    <w:p w14:paraId="3C28FFBE" w14:textId="77777777" w:rsidR="001254C5" w:rsidRPr="005365EE" w:rsidRDefault="001254C5" w:rsidP="001254C5">
      <w:pPr>
        <w:shd w:val="clear" w:color="auto" w:fill="FFFFFF"/>
        <w:spacing w:before="120" w:after="120"/>
        <w:rPr>
          <w:rFonts w:ascii="Open Sans" w:hAnsi="Open Sans" w:cs="Open Sans"/>
          <w:szCs w:val="22"/>
          <w:lang w:eastAsia="en-GB"/>
        </w:rPr>
      </w:pPr>
      <w:r w:rsidRPr="005365EE">
        <w:rPr>
          <w:rFonts w:ascii="Open Sans" w:hAnsi="Open Sans" w:cs="Open Sans"/>
          <w:szCs w:val="22"/>
          <w:lang w:eastAsia="en-GB"/>
        </w:rPr>
        <w:t>Wastes and residues are often available only for short periods so the AD sector needs to be dynamic if it is to maximise the use of these more sustainable feedstocks.</w:t>
      </w:r>
    </w:p>
    <w:p w14:paraId="0BE7E89B" w14:textId="77777777" w:rsidR="001254C5" w:rsidRPr="005365EE" w:rsidRDefault="001254C5" w:rsidP="001254C5">
      <w:pPr>
        <w:shd w:val="clear" w:color="auto" w:fill="FFFFFF"/>
        <w:spacing w:before="120" w:after="120"/>
        <w:rPr>
          <w:rFonts w:ascii="Open Sans" w:hAnsi="Open Sans" w:cs="Open Sans"/>
          <w:szCs w:val="22"/>
          <w:lang w:eastAsia="en-GB"/>
        </w:rPr>
      </w:pPr>
      <w:r w:rsidRPr="005365EE">
        <w:rPr>
          <w:rFonts w:ascii="Open Sans" w:hAnsi="Open Sans" w:cs="Open Sans"/>
          <w:szCs w:val="22"/>
          <w:lang w:eastAsia="en-GB"/>
        </w:rPr>
        <w:t>These feedstocks are also subject to spot market pricing changes and it is extremely important that AD plants are able to secure these feedstocks when they are available.</w:t>
      </w:r>
    </w:p>
    <w:p w14:paraId="71AC89BE" w14:textId="59BF1F11" w:rsidR="001254C5" w:rsidRPr="00E9370C" w:rsidRDefault="001254C5" w:rsidP="001254C5">
      <w:pPr>
        <w:shd w:val="clear" w:color="auto" w:fill="FFFFFF"/>
        <w:spacing w:before="120" w:after="120"/>
        <w:rPr>
          <w:rFonts w:ascii="Open Sans" w:hAnsi="Open Sans" w:cs="Open Sans"/>
          <w:szCs w:val="22"/>
          <w:lang w:eastAsia="en-GB"/>
        </w:rPr>
      </w:pPr>
      <w:bookmarkStart w:id="46" w:name="_Hlk43720637"/>
      <w:r w:rsidRPr="005365EE">
        <w:rPr>
          <w:rFonts w:ascii="Open Sans" w:hAnsi="Open Sans" w:cs="Open Sans"/>
          <w:szCs w:val="22"/>
          <w:lang w:eastAsia="en-GB"/>
        </w:rPr>
        <w:t>There needs to be a more streamlined and consistent approach to allow for more flexibility in an ever increasingly complex supply chain and feedstock market. Ultimately, if the policy wants more use of waste and residue and transition away from more intensive feedstocks then the approval system for FMS needs to be transparent and efficient.</w:t>
      </w:r>
      <w:bookmarkEnd w:id="46"/>
    </w:p>
    <w:p w14:paraId="032D3D08" w14:textId="77777777" w:rsidR="001254C5" w:rsidRPr="005365EE" w:rsidRDefault="001254C5" w:rsidP="001254C5">
      <w:pPr>
        <w:shd w:val="clear" w:color="auto" w:fill="FFFFFF"/>
        <w:rPr>
          <w:rFonts w:ascii="Open Sans" w:hAnsi="Open Sans" w:cs="Open Sans"/>
          <w:szCs w:val="22"/>
          <w:u w:val="single"/>
          <w:lang w:eastAsia="en-GB"/>
        </w:rPr>
      </w:pPr>
      <w:r w:rsidRPr="005365EE">
        <w:rPr>
          <w:rFonts w:ascii="Open Sans" w:hAnsi="Open Sans" w:cs="Open Sans"/>
          <w:szCs w:val="22"/>
          <w:u w:val="single"/>
          <w:lang w:eastAsia="en-GB"/>
        </w:rPr>
        <w:t>Proposed solutions</w:t>
      </w:r>
    </w:p>
    <w:p w14:paraId="798B0AE2" w14:textId="77777777" w:rsidR="001254C5" w:rsidRPr="005365EE" w:rsidRDefault="001254C5" w:rsidP="001254C5">
      <w:pPr>
        <w:shd w:val="clear" w:color="auto" w:fill="FFFFFF"/>
        <w:spacing w:after="120"/>
        <w:rPr>
          <w:rFonts w:ascii="Open Sans" w:hAnsi="Open Sans" w:cs="Open Sans"/>
          <w:szCs w:val="22"/>
          <w:lang w:eastAsia="en-GB"/>
        </w:rPr>
      </w:pPr>
      <w:r w:rsidRPr="005365EE">
        <w:rPr>
          <w:rFonts w:ascii="Open Sans" w:hAnsi="Open Sans" w:cs="Open Sans"/>
          <w:szCs w:val="22"/>
          <w:lang w:eastAsia="en-GB"/>
        </w:rPr>
        <w:lastRenderedPageBreak/>
        <w:t>We would recommend a combination of the following approaches:</w:t>
      </w:r>
    </w:p>
    <w:p w14:paraId="662D7C09" w14:textId="77777777" w:rsidR="001254C5" w:rsidRPr="009B3A5A" w:rsidRDefault="001254C5" w:rsidP="001254C5">
      <w:pPr>
        <w:numPr>
          <w:ilvl w:val="0"/>
          <w:numId w:val="27"/>
        </w:numPr>
        <w:shd w:val="clear" w:color="auto" w:fill="FFFFFF"/>
        <w:tabs>
          <w:tab w:val="clear" w:pos="720"/>
        </w:tabs>
        <w:spacing w:before="240"/>
        <w:ind w:left="284" w:hanging="284"/>
        <w:jc w:val="left"/>
        <w:textAlignment w:val="baseline"/>
        <w:rPr>
          <w:rFonts w:ascii="Open Sans" w:hAnsi="Open Sans" w:cs="Open Sans"/>
          <w:b/>
          <w:bCs/>
          <w:szCs w:val="22"/>
          <w:lang w:eastAsia="en-GB"/>
        </w:rPr>
      </w:pPr>
      <w:r w:rsidRPr="009B3A5A">
        <w:rPr>
          <w:rFonts w:ascii="Open Sans" w:hAnsi="Open Sans" w:cs="Open Sans"/>
          <w:b/>
          <w:bCs/>
          <w:szCs w:val="22"/>
          <w:lang w:eastAsia="en-GB"/>
        </w:rPr>
        <w:t>Clearer guidance issued from the regulator on the classification of feedstocks    </w:t>
      </w:r>
    </w:p>
    <w:p w14:paraId="79FC4074" w14:textId="77777777" w:rsidR="001254C5" w:rsidRPr="009B3A5A" w:rsidRDefault="001254C5" w:rsidP="001254C5">
      <w:pPr>
        <w:numPr>
          <w:ilvl w:val="0"/>
          <w:numId w:val="27"/>
        </w:numPr>
        <w:shd w:val="clear" w:color="auto" w:fill="FFFFFF"/>
        <w:tabs>
          <w:tab w:val="clear" w:pos="720"/>
        </w:tabs>
        <w:ind w:left="284" w:hanging="284"/>
        <w:jc w:val="left"/>
        <w:textAlignment w:val="baseline"/>
        <w:rPr>
          <w:rFonts w:ascii="Open Sans" w:hAnsi="Open Sans" w:cs="Open Sans"/>
          <w:b/>
          <w:bCs/>
          <w:szCs w:val="22"/>
          <w:lang w:eastAsia="en-GB"/>
        </w:rPr>
      </w:pPr>
      <w:r w:rsidRPr="009B3A5A">
        <w:rPr>
          <w:rFonts w:ascii="Open Sans" w:hAnsi="Open Sans" w:cs="Open Sans"/>
          <w:b/>
          <w:bCs/>
          <w:szCs w:val="22"/>
          <w:lang w:eastAsia="en-GB"/>
        </w:rPr>
        <w:t>Ofgem should have a full list or register of all the approved feedstocks (e.g. similar to the BSL list but for feedstocks): this should be made publicly available. Although we recognise there may be some degree of variation amongst the same feedstocks across different sources, an AD operator should not go through an approval process if the same feedstock has already been approved </w:t>
      </w:r>
    </w:p>
    <w:p w14:paraId="5D41A484" w14:textId="77777777" w:rsidR="001254C5" w:rsidRPr="009B3A5A" w:rsidRDefault="001254C5" w:rsidP="001254C5">
      <w:pPr>
        <w:numPr>
          <w:ilvl w:val="0"/>
          <w:numId w:val="27"/>
        </w:numPr>
        <w:shd w:val="clear" w:color="auto" w:fill="FFFFFF"/>
        <w:tabs>
          <w:tab w:val="clear" w:pos="720"/>
        </w:tabs>
        <w:ind w:left="284" w:hanging="284"/>
        <w:jc w:val="left"/>
        <w:textAlignment w:val="baseline"/>
        <w:rPr>
          <w:rFonts w:ascii="Open Sans" w:hAnsi="Open Sans" w:cs="Open Sans"/>
          <w:b/>
          <w:bCs/>
          <w:szCs w:val="22"/>
          <w:lang w:eastAsia="en-GB"/>
        </w:rPr>
      </w:pPr>
      <w:r w:rsidRPr="009B3A5A">
        <w:rPr>
          <w:rFonts w:ascii="Open Sans" w:hAnsi="Open Sans" w:cs="Open Sans"/>
          <w:b/>
          <w:bCs/>
          <w:szCs w:val="22"/>
          <w:lang w:eastAsia="en-GB"/>
        </w:rPr>
        <w:t>FMS approval procedures should be expedited – there should be a clear timeframe for Ofgem approvals which takes into account of the commercial realities of AD plants</w:t>
      </w:r>
    </w:p>
    <w:p w14:paraId="3A5137E4" w14:textId="77777777" w:rsidR="001254C5" w:rsidRPr="009B3A5A" w:rsidRDefault="001254C5" w:rsidP="001254C5">
      <w:pPr>
        <w:numPr>
          <w:ilvl w:val="0"/>
          <w:numId w:val="27"/>
        </w:numPr>
        <w:shd w:val="clear" w:color="auto" w:fill="FFFFFF"/>
        <w:tabs>
          <w:tab w:val="clear" w:pos="720"/>
        </w:tabs>
        <w:ind w:left="284" w:hanging="284"/>
        <w:jc w:val="left"/>
        <w:textAlignment w:val="baseline"/>
        <w:rPr>
          <w:rFonts w:ascii="Open Sans" w:hAnsi="Open Sans" w:cs="Open Sans"/>
          <w:b/>
          <w:bCs/>
          <w:szCs w:val="22"/>
          <w:lang w:eastAsia="en-GB"/>
        </w:rPr>
      </w:pPr>
      <w:r w:rsidRPr="009B3A5A">
        <w:rPr>
          <w:rFonts w:ascii="Open Sans" w:hAnsi="Open Sans" w:cs="Open Sans"/>
          <w:b/>
          <w:bCs/>
          <w:szCs w:val="22"/>
          <w:lang w:eastAsia="en-GB"/>
        </w:rPr>
        <w:t xml:space="preserve">Ofgem approval process could be entirely replaced by an assessment from an independent auditor (e.g. a person not connected to the company. It could be the same person as the sustainability auditor). For example, an amendment to the FMS (e.g. for a new feedstock) could be signed off by an auditor.  </w:t>
      </w:r>
    </w:p>
    <w:p w14:paraId="58D9FACC" w14:textId="77777777" w:rsidR="001254C5" w:rsidRPr="009B3A5A" w:rsidRDefault="001254C5" w:rsidP="001254C5">
      <w:pPr>
        <w:numPr>
          <w:ilvl w:val="0"/>
          <w:numId w:val="27"/>
        </w:numPr>
        <w:shd w:val="clear" w:color="auto" w:fill="FFFFFF"/>
        <w:tabs>
          <w:tab w:val="clear" w:pos="720"/>
        </w:tabs>
        <w:ind w:left="284" w:hanging="284"/>
        <w:jc w:val="left"/>
        <w:textAlignment w:val="baseline"/>
        <w:rPr>
          <w:rFonts w:ascii="Open Sans" w:hAnsi="Open Sans" w:cs="Open Sans"/>
          <w:b/>
          <w:bCs/>
          <w:szCs w:val="22"/>
          <w:lang w:eastAsia="en-GB"/>
        </w:rPr>
      </w:pPr>
      <w:r w:rsidRPr="009B3A5A">
        <w:rPr>
          <w:rFonts w:ascii="Open Sans" w:hAnsi="Open Sans" w:cs="Open Sans"/>
          <w:b/>
          <w:bCs/>
          <w:szCs w:val="22"/>
          <w:lang w:eastAsia="en-GB"/>
        </w:rPr>
        <w:t xml:space="preserve">Ofgem should allow participants to have a much wider choice of feedstocks on the FMS (even though they may not use them immediately). We would recommend the ‘review period’ is removed for Ofgem and that a predefined list of feedstock categories is introduced. As an example, there have been cases where Ofgem have rejected an FMS because a user added many feedstocks. So Ofgem have been actively managing this to ensure only feedstock that definitely will be used are added to the FMS. This is an unnecessary restriction. </w:t>
      </w:r>
    </w:p>
    <w:p w14:paraId="3D773D33" w14:textId="77777777" w:rsidR="001254C5" w:rsidRPr="009B3A5A" w:rsidRDefault="001254C5" w:rsidP="001254C5">
      <w:pPr>
        <w:numPr>
          <w:ilvl w:val="0"/>
          <w:numId w:val="27"/>
        </w:numPr>
        <w:shd w:val="clear" w:color="auto" w:fill="FFFFFF"/>
        <w:tabs>
          <w:tab w:val="clear" w:pos="720"/>
        </w:tabs>
        <w:ind w:left="284" w:hanging="284"/>
        <w:jc w:val="left"/>
        <w:textAlignment w:val="baseline"/>
        <w:rPr>
          <w:rFonts w:ascii="Open Sans" w:hAnsi="Open Sans" w:cs="Open Sans"/>
          <w:b/>
          <w:bCs/>
          <w:szCs w:val="22"/>
          <w:lang w:eastAsia="en-GB"/>
        </w:rPr>
      </w:pPr>
      <w:r w:rsidRPr="009B3A5A">
        <w:rPr>
          <w:rFonts w:ascii="Open Sans" w:hAnsi="Open Sans" w:cs="Open Sans"/>
          <w:b/>
          <w:bCs/>
          <w:szCs w:val="22"/>
          <w:lang w:eastAsia="en-GB"/>
        </w:rPr>
        <w:t xml:space="preserve">There should be alternative rules for new feedstocks in low quantities (i.e. not requiring an FMSQ if the output is less than 2 - 5% of total energy output). </w:t>
      </w:r>
    </w:p>
    <w:p w14:paraId="2273A63F" w14:textId="77777777" w:rsidR="001254C5" w:rsidRDefault="001254C5" w:rsidP="001254C5">
      <w:pPr>
        <w:shd w:val="clear" w:color="auto" w:fill="FFFFFF"/>
        <w:rPr>
          <w:rFonts w:ascii="Open Sans" w:hAnsi="Open Sans" w:cs="Open Sans"/>
          <w:szCs w:val="22"/>
          <w:u w:val="single"/>
          <w:lang w:eastAsia="en-GB"/>
        </w:rPr>
      </w:pPr>
    </w:p>
    <w:p w14:paraId="49BD74C3" w14:textId="77777777" w:rsidR="001254C5" w:rsidRPr="005365EE" w:rsidRDefault="001254C5" w:rsidP="001254C5">
      <w:pPr>
        <w:shd w:val="clear" w:color="auto" w:fill="FFFFFF"/>
        <w:rPr>
          <w:rFonts w:ascii="Open Sans" w:hAnsi="Open Sans" w:cs="Open Sans"/>
          <w:szCs w:val="22"/>
          <w:u w:val="single"/>
          <w:lang w:eastAsia="en-GB"/>
        </w:rPr>
      </w:pPr>
      <w:r w:rsidRPr="005365EE">
        <w:rPr>
          <w:rFonts w:ascii="Open Sans" w:hAnsi="Open Sans" w:cs="Open Sans"/>
          <w:szCs w:val="22"/>
          <w:u w:val="single"/>
          <w:lang w:eastAsia="en-GB"/>
        </w:rPr>
        <w:t>Feedstocks audits</w:t>
      </w:r>
    </w:p>
    <w:p w14:paraId="04352753" w14:textId="77777777" w:rsidR="001254C5" w:rsidRPr="005365EE" w:rsidRDefault="001254C5" w:rsidP="001254C5">
      <w:pPr>
        <w:spacing w:before="120" w:after="120"/>
        <w:rPr>
          <w:rFonts w:ascii="Open Sans" w:hAnsi="Open Sans" w:cs="Open Sans"/>
          <w:szCs w:val="22"/>
          <w:lang w:eastAsia="en-GB"/>
        </w:rPr>
      </w:pPr>
      <w:r w:rsidRPr="005365EE">
        <w:rPr>
          <w:rFonts w:ascii="Open Sans" w:hAnsi="Open Sans" w:cs="Open Sans"/>
          <w:szCs w:val="22"/>
          <w:lang w:eastAsia="en-GB"/>
        </w:rPr>
        <w:t xml:space="preserve">A member that has biomethane plants registered under both, the RHI and the RTFO, have said that inconsistencies in the classification of feedstocks under the two schemes causes significant extra administrative burden, as it means two separate feedstocks audits will have to be carried out under the two schemes. Feedstock audits under the two schemes should be aligned. See also our response to question 9. </w:t>
      </w:r>
    </w:p>
    <w:p w14:paraId="155A63A4" w14:textId="70F49926" w:rsidR="001254C5" w:rsidRPr="001254C5" w:rsidRDefault="001254C5" w:rsidP="001254C5">
      <w:pPr>
        <w:spacing w:after="160" w:line="259" w:lineRule="auto"/>
        <w:jc w:val="left"/>
        <w:rPr>
          <w:rFonts w:ascii="Open Sans" w:hAnsi="Open Sans" w:cs="Open Sans"/>
          <w:b/>
          <w:bCs/>
          <w:i/>
          <w:iCs/>
          <w:color w:val="2F5496"/>
          <w:szCs w:val="22"/>
        </w:rPr>
      </w:pPr>
      <w:r w:rsidRPr="001254C5">
        <w:rPr>
          <w:rFonts w:ascii="Open Sans" w:hAnsi="Open Sans" w:cs="Open Sans"/>
          <w:b/>
          <w:bCs/>
          <w:i/>
          <w:iCs/>
          <w:color w:val="2F5496"/>
          <w:szCs w:val="22"/>
        </w:rPr>
        <w:t>Consultation Question 12</w:t>
      </w:r>
      <w:r>
        <w:rPr>
          <w:rFonts w:ascii="Open Sans" w:hAnsi="Open Sans" w:cs="Open Sans"/>
          <w:b/>
          <w:bCs/>
          <w:i/>
          <w:iCs/>
          <w:color w:val="2F5496"/>
          <w:szCs w:val="22"/>
        </w:rPr>
        <w:t xml:space="preserve"> - </w:t>
      </w:r>
      <w:r w:rsidRPr="001254C5">
        <w:rPr>
          <w:rFonts w:ascii="Open Sans" w:hAnsi="Open Sans" w:cs="Open Sans"/>
          <w:b/>
          <w:bCs/>
          <w:i/>
          <w:iCs/>
          <w:color w:val="2F5496"/>
          <w:szCs w:val="22"/>
        </w:rPr>
        <w:t>What measures and technologies exist for reducing ammonia emissions from digestate and what are the barriers to their widespread deployment?</w:t>
      </w:r>
    </w:p>
    <w:p w14:paraId="045D26B4" w14:textId="77777777" w:rsidR="001254C5" w:rsidRPr="005365EE" w:rsidRDefault="001254C5" w:rsidP="001254C5">
      <w:pPr>
        <w:spacing w:before="120" w:after="120"/>
        <w:contextualSpacing/>
        <w:jc w:val="left"/>
        <w:rPr>
          <w:rFonts w:ascii="Open Sans" w:hAnsi="Open Sans" w:cs="Open Sans"/>
          <w:szCs w:val="22"/>
          <w:lang w:eastAsia="en-GB"/>
        </w:rPr>
      </w:pPr>
      <w:r w:rsidRPr="005365EE">
        <w:rPr>
          <w:rFonts w:ascii="Open Sans" w:hAnsi="Open Sans" w:cs="Open Sans"/>
          <w:szCs w:val="22"/>
          <w:lang w:eastAsia="en-GB"/>
        </w:rPr>
        <w:t xml:space="preserve">Based on members’ feedback, we have listed below some broad categories of strategies that can be used specifically to minimise ammonia emissions at different stages: </w:t>
      </w:r>
    </w:p>
    <w:p w14:paraId="04A27B8B" w14:textId="77777777" w:rsidR="001254C5" w:rsidRPr="005365EE" w:rsidRDefault="001254C5" w:rsidP="001254C5">
      <w:pPr>
        <w:pStyle w:val="ListParagraph"/>
        <w:numPr>
          <w:ilvl w:val="0"/>
          <w:numId w:val="28"/>
        </w:numPr>
        <w:spacing w:before="120" w:after="120"/>
        <w:contextualSpacing w:val="0"/>
        <w:rPr>
          <w:rFonts w:ascii="Open Sans" w:hAnsi="Open Sans" w:cs="Open Sans"/>
          <w:szCs w:val="22"/>
          <w:lang w:eastAsia="en-GB"/>
        </w:rPr>
      </w:pPr>
      <w:r w:rsidRPr="005365EE">
        <w:rPr>
          <w:rFonts w:ascii="Open Sans" w:hAnsi="Open Sans" w:cs="Open Sans"/>
          <w:szCs w:val="22"/>
          <w:lang w:eastAsia="en-GB"/>
        </w:rPr>
        <w:t>Before and during digestate storage: ammonia stripping</w:t>
      </w:r>
    </w:p>
    <w:p w14:paraId="686A4727" w14:textId="77777777" w:rsidR="001254C5" w:rsidRPr="005365EE" w:rsidRDefault="001254C5" w:rsidP="001254C5">
      <w:pPr>
        <w:pStyle w:val="ListParagraph"/>
        <w:numPr>
          <w:ilvl w:val="0"/>
          <w:numId w:val="28"/>
        </w:numPr>
        <w:spacing w:before="120" w:after="120"/>
        <w:contextualSpacing w:val="0"/>
        <w:rPr>
          <w:rFonts w:ascii="Open Sans" w:hAnsi="Open Sans" w:cs="Open Sans"/>
          <w:szCs w:val="22"/>
          <w:lang w:eastAsia="en-GB"/>
        </w:rPr>
      </w:pPr>
      <w:r w:rsidRPr="005365EE">
        <w:rPr>
          <w:rFonts w:ascii="Open Sans" w:hAnsi="Open Sans" w:cs="Open Sans"/>
          <w:szCs w:val="22"/>
          <w:lang w:eastAsia="en-GB"/>
        </w:rPr>
        <w:t xml:space="preserve">During storage: store cover, acidification </w:t>
      </w:r>
    </w:p>
    <w:p w14:paraId="5038A432" w14:textId="77777777" w:rsidR="001254C5" w:rsidRPr="005365EE" w:rsidRDefault="001254C5" w:rsidP="001254C5">
      <w:pPr>
        <w:pStyle w:val="ListParagraph"/>
        <w:numPr>
          <w:ilvl w:val="0"/>
          <w:numId w:val="28"/>
        </w:numPr>
        <w:spacing w:before="120" w:after="120"/>
        <w:contextualSpacing w:val="0"/>
        <w:jc w:val="left"/>
        <w:rPr>
          <w:rFonts w:ascii="Open Sans" w:hAnsi="Open Sans" w:cs="Open Sans"/>
          <w:szCs w:val="22"/>
          <w:lang w:eastAsia="en-GB"/>
        </w:rPr>
      </w:pPr>
      <w:r w:rsidRPr="005365EE">
        <w:rPr>
          <w:rFonts w:ascii="Open Sans" w:hAnsi="Open Sans" w:cs="Open Sans"/>
          <w:szCs w:val="22"/>
          <w:lang w:eastAsia="en-GB"/>
        </w:rPr>
        <w:t>During application: low trajectory spreading, acidification</w:t>
      </w:r>
    </w:p>
    <w:p w14:paraId="27FFE3C3" w14:textId="77777777" w:rsidR="001254C5" w:rsidRPr="005365EE" w:rsidRDefault="001254C5" w:rsidP="001254C5">
      <w:pPr>
        <w:spacing w:before="120"/>
        <w:rPr>
          <w:rFonts w:ascii="Open Sans" w:hAnsi="Open Sans" w:cs="Open Sans"/>
          <w:szCs w:val="22"/>
          <w:lang w:eastAsia="en-GB"/>
        </w:rPr>
      </w:pPr>
      <w:r w:rsidRPr="005365EE">
        <w:rPr>
          <w:rFonts w:ascii="Open Sans" w:hAnsi="Open Sans" w:cs="Open Sans"/>
          <w:szCs w:val="22"/>
          <w:lang w:eastAsia="en-GB"/>
        </w:rPr>
        <w:t xml:space="preserve">However, members noted that </w:t>
      </w:r>
      <w:r w:rsidRPr="00DE6E98">
        <w:rPr>
          <w:rFonts w:ascii="Open Sans" w:hAnsi="Open Sans" w:cs="Open Sans"/>
          <w:b/>
          <w:bCs/>
          <w:szCs w:val="22"/>
          <w:lang w:eastAsia="en-GB"/>
        </w:rPr>
        <w:t>in all these cases the key barrier to the uptake of these strategies is the associated cost.</w:t>
      </w:r>
      <w:r w:rsidRPr="005365EE">
        <w:rPr>
          <w:rFonts w:ascii="Open Sans" w:hAnsi="Open Sans" w:cs="Open Sans"/>
          <w:szCs w:val="22"/>
          <w:lang w:eastAsia="en-GB"/>
        </w:rPr>
        <w:t xml:space="preserve"> </w:t>
      </w:r>
    </w:p>
    <w:p w14:paraId="1ED18243" w14:textId="77777777" w:rsidR="001254C5" w:rsidRPr="005365EE" w:rsidRDefault="001254C5" w:rsidP="001254C5">
      <w:pPr>
        <w:spacing w:before="120"/>
        <w:rPr>
          <w:rFonts w:ascii="Open Sans" w:hAnsi="Open Sans" w:cs="Open Sans"/>
          <w:szCs w:val="22"/>
          <w:lang w:eastAsia="en-GB"/>
        </w:rPr>
      </w:pPr>
    </w:p>
    <w:p w14:paraId="667F16AF" w14:textId="77777777" w:rsidR="001254C5" w:rsidRPr="005365EE" w:rsidRDefault="001254C5" w:rsidP="001254C5">
      <w:pPr>
        <w:spacing w:before="120"/>
        <w:contextualSpacing/>
        <w:jc w:val="left"/>
        <w:rPr>
          <w:rFonts w:ascii="Open Sans" w:hAnsi="Open Sans" w:cs="Open Sans"/>
          <w:szCs w:val="22"/>
          <w:u w:val="single"/>
          <w:lang w:eastAsia="en-GB"/>
        </w:rPr>
      </w:pPr>
      <w:r w:rsidRPr="005365EE">
        <w:rPr>
          <w:rFonts w:ascii="Open Sans" w:hAnsi="Open Sans" w:cs="Open Sans"/>
          <w:szCs w:val="22"/>
          <w:u w:val="single"/>
          <w:lang w:eastAsia="en-GB"/>
        </w:rPr>
        <w:t xml:space="preserve">Use of low-emission spreading equipment and digestate covers </w:t>
      </w:r>
    </w:p>
    <w:p w14:paraId="34962951" w14:textId="77777777" w:rsidR="001254C5" w:rsidRPr="005365EE" w:rsidRDefault="001254C5" w:rsidP="001254C5">
      <w:pPr>
        <w:spacing w:before="120"/>
        <w:contextualSpacing/>
        <w:jc w:val="left"/>
        <w:rPr>
          <w:rFonts w:ascii="Open Sans" w:hAnsi="Open Sans" w:cs="Open Sans"/>
          <w:szCs w:val="22"/>
          <w:lang w:eastAsia="en-GB"/>
        </w:rPr>
      </w:pPr>
      <w:r w:rsidRPr="005365EE">
        <w:rPr>
          <w:rFonts w:ascii="Open Sans" w:hAnsi="Open Sans" w:cs="Open Sans"/>
          <w:szCs w:val="22"/>
          <w:lang w:eastAsia="en-GB"/>
        </w:rPr>
        <w:lastRenderedPageBreak/>
        <w:t xml:space="preserve">As already highlighted in our answers to questions 4 and 5, according to the Clean Air Strategy, Defra will require digestate in England to be spread using low-emission spreading equipment by 2025, and digestate stores to be covered by 2027 (but both of these measures may be phased in earlier). There will be a full public consultation before decisions are made as to the types of covers required and the date they will be required from. A range of acceptable covers are currently described in Defra’s </w:t>
      </w:r>
      <w:hyperlink r:id="rId46" w:history="1">
        <w:r w:rsidRPr="005365EE">
          <w:rPr>
            <w:rStyle w:val="Hyperlink"/>
            <w:rFonts w:ascii="Open Sans" w:hAnsi="Open Sans" w:cs="Open Sans"/>
            <w:color w:val="auto"/>
            <w:szCs w:val="22"/>
            <w:lang w:eastAsia="en-GB"/>
          </w:rPr>
          <w:t>Code of Practice</w:t>
        </w:r>
      </w:hyperlink>
      <w:r w:rsidRPr="005365EE">
        <w:rPr>
          <w:rFonts w:ascii="Open Sans" w:hAnsi="Open Sans" w:cs="Open Sans"/>
          <w:szCs w:val="22"/>
          <w:lang w:eastAsia="en-GB"/>
        </w:rPr>
        <w:t xml:space="preserve"> to minimise ammonia emissions but these come at a range of costs. These two measures are clearly seen as key by Defra to minimise ammonia emissions and should be adopted by the sector. </w:t>
      </w:r>
    </w:p>
    <w:p w14:paraId="7FBBD7EC" w14:textId="77777777" w:rsidR="001254C5" w:rsidRPr="005365EE" w:rsidRDefault="001254C5" w:rsidP="001254C5">
      <w:pPr>
        <w:spacing w:before="120"/>
        <w:contextualSpacing/>
        <w:jc w:val="left"/>
        <w:rPr>
          <w:rFonts w:ascii="Open Sans" w:hAnsi="Open Sans" w:cs="Open Sans"/>
          <w:szCs w:val="22"/>
          <w:lang w:eastAsia="en-GB"/>
        </w:rPr>
      </w:pPr>
    </w:p>
    <w:p w14:paraId="64576E38" w14:textId="77777777" w:rsidR="001254C5" w:rsidRPr="005365EE" w:rsidRDefault="001254C5" w:rsidP="001254C5">
      <w:pPr>
        <w:spacing w:before="120"/>
        <w:contextualSpacing/>
        <w:jc w:val="left"/>
        <w:rPr>
          <w:rFonts w:ascii="Open Sans" w:hAnsi="Open Sans" w:cs="Open Sans"/>
          <w:szCs w:val="22"/>
          <w:u w:val="single"/>
          <w:lang w:eastAsia="en-GB"/>
        </w:rPr>
      </w:pPr>
      <w:r w:rsidRPr="005365EE">
        <w:rPr>
          <w:rFonts w:ascii="Open Sans" w:hAnsi="Open Sans" w:cs="Open Sans"/>
          <w:szCs w:val="22"/>
          <w:u w:val="single"/>
          <w:lang w:eastAsia="en-GB"/>
        </w:rPr>
        <w:t xml:space="preserve">Sufficient provisions for storage </w:t>
      </w:r>
    </w:p>
    <w:p w14:paraId="092C535B" w14:textId="77777777" w:rsidR="001254C5" w:rsidRDefault="001254C5" w:rsidP="001254C5">
      <w:pPr>
        <w:shd w:val="clear" w:color="auto" w:fill="FFFFFF"/>
        <w:spacing w:before="120" w:after="120"/>
        <w:rPr>
          <w:rFonts w:ascii="Open Sans" w:hAnsi="Open Sans" w:cs="Open Sans"/>
          <w:szCs w:val="22"/>
          <w:lang w:eastAsia="en-GB"/>
        </w:rPr>
      </w:pPr>
      <w:r w:rsidRPr="005365EE">
        <w:rPr>
          <w:rFonts w:ascii="Open Sans" w:hAnsi="Open Sans" w:cs="Open Sans"/>
          <w:szCs w:val="22"/>
          <w:lang w:eastAsia="en-GB"/>
        </w:rPr>
        <w:t xml:space="preserve">Defra’s </w:t>
      </w:r>
      <w:hyperlink r:id="rId47" w:history="1">
        <w:r w:rsidRPr="005365EE">
          <w:rPr>
            <w:rStyle w:val="Hyperlink"/>
            <w:rFonts w:ascii="Open Sans" w:hAnsi="Open Sans" w:cs="Open Sans"/>
            <w:color w:val="auto"/>
            <w:szCs w:val="22"/>
            <w:lang w:eastAsia="en-GB"/>
          </w:rPr>
          <w:t>Code of Practice</w:t>
        </w:r>
      </w:hyperlink>
      <w:r w:rsidRPr="005365EE">
        <w:rPr>
          <w:rStyle w:val="Hyperlink"/>
          <w:rFonts w:ascii="Open Sans" w:hAnsi="Open Sans" w:cs="Open Sans"/>
          <w:color w:val="auto"/>
          <w:szCs w:val="22"/>
          <w:lang w:eastAsia="en-GB"/>
        </w:rPr>
        <w:t xml:space="preserve"> for reducing ammonia emissions </w:t>
      </w:r>
      <w:r w:rsidRPr="005365EE">
        <w:rPr>
          <w:rStyle w:val="Hyperlink"/>
          <w:rFonts w:ascii="Open Sans" w:hAnsi="Open Sans" w:cs="Open Sans"/>
          <w:color w:val="auto"/>
          <w:szCs w:val="22"/>
          <w:u w:val="none"/>
          <w:lang w:eastAsia="en-GB"/>
        </w:rPr>
        <w:t xml:space="preserve">also </w:t>
      </w:r>
      <w:r w:rsidRPr="005365EE">
        <w:rPr>
          <w:rFonts w:ascii="Open Sans" w:hAnsi="Open Sans" w:cs="Open Sans"/>
          <w:szCs w:val="22"/>
          <w:lang w:eastAsia="en-GB"/>
        </w:rPr>
        <w:t>highlights the importance, in relation to the spreading of organic manures,</w:t>
      </w:r>
      <w:r w:rsidRPr="005365EE">
        <w:t xml:space="preserve"> </w:t>
      </w:r>
      <w:r w:rsidRPr="005365EE">
        <w:rPr>
          <w:rFonts w:ascii="Open Sans" w:hAnsi="Open Sans" w:cs="Open Sans"/>
          <w:szCs w:val="22"/>
          <w:lang w:eastAsia="en-GB"/>
        </w:rPr>
        <w:t xml:space="preserve">of ensuring there is enough well-maintained storage to be able to spread slurry (including digestate) only when the crops will use the nutrients. This is key to minimise ammonia emissions. Adequate provisions for storage at AD facilities (or off site storage facilities) are therefore instrumental to ensure digestate is applied when crops require the nutrients and to prevent ammonia emissions from its application. Again, this comes with significant capital costs. </w:t>
      </w:r>
    </w:p>
    <w:p w14:paraId="04868AF3" w14:textId="77777777" w:rsidR="001254C5" w:rsidRPr="005365EE" w:rsidRDefault="001254C5" w:rsidP="001254C5">
      <w:pPr>
        <w:shd w:val="clear" w:color="auto" w:fill="FFFFFF"/>
        <w:spacing w:before="120" w:after="120"/>
        <w:rPr>
          <w:rFonts w:ascii="Open Sans" w:hAnsi="Open Sans" w:cs="Open Sans"/>
          <w:szCs w:val="22"/>
          <w:lang w:eastAsia="en-GB"/>
        </w:rPr>
      </w:pPr>
      <w:r w:rsidRPr="005365EE">
        <w:rPr>
          <w:rFonts w:ascii="Open Sans" w:hAnsi="Open Sans" w:cs="Open Sans"/>
          <w:szCs w:val="22"/>
          <w:lang w:eastAsia="en-GB"/>
        </w:rPr>
        <w:t xml:space="preserve">For plants that produce liquid digestate, it’s likely that a minimum of 6-month storage period would typically be recommended to comply with </w:t>
      </w:r>
      <w:hyperlink r:id="rId48" w:history="1">
        <w:r w:rsidRPr="005365EE">
          <w:rPr>
            <w:rStyle w:val="Hyperlink"/>
            <w:rFonts w:ascii="Open Sans" w:hAnsi="Open Sans" w:cs="Open Sans"/>
            <w:szCs w:val="22"/>
            <w:lang w:eastAsia="en-GB"/>
          </w:rPr>
          <w:t>Defra’s Farming Rules for Water</w:t>
        </w:r>
      </w:hyperlink>
      <w:r w:rsidRPr="005365EE">
        <w:rPr>
          <w:rFonts w:ascii="Open Sans" w:hAnsi="Open Sans" w:cs="Open Sans"/>
          <w:szCs w:val="22"/>
          <w:lang w:eastAsia="en-GB"/>
        </w:rPr>
        <w:t xml:space="preserve">, although this could either be on site, or at satellite storage facilities off-site that could be potentially managed by a third-party operator. </w:t>
      </w:r>
    </w:p>
    <w:p w14:paraId="388D4B4B" w14:textId="77777777" w:rsidR="001254C5" w:rsidRPr="004B34E1" w:rsidRDefault="001254C5" w:rsidP="001254C5">
      <w:pPr>
        <w:shd w:val="clear" w:color="auto" w:fill="FFFFFF"/>
        <w:spacing w:before="120" w:after="120"/>
        <w:rPr>
          <w:rFonts w:ascii="Open Sans" w:hAnsi="Open Sans" w:cs="Open Sans"/>
          <w:b/>
          <w:bCs/>
          <w:szCs w:val="22"/>
          <w:lang w:eastAsia="en-GB"/>
        </w:rPr>
      </w:pPr>
      <w:r w:rsidRPr="004B34E1">
        <w:rPr>
          <w:rFonts w:ascii="Open Sans" w:hAnsi="Open Sans" w:cs="Open Sans"/>
          <w:b/>
          <w:bCs/>
          <w:szCs w:val="22"/>
          <w:lang w:eastAsia="en-GB"/>
        </w:rPr>
        <w:t xml:space="preserve">The best place for </w:t>
      </w:r>
      <w:r>
        <w:rPr>
          <w:rFonts w:ascii="Open Sans" w:hAnsi="Open Sans" w:cs="Open Sans"/>
          <w:b/>
          <w:bCs/>
          <w:szCs w:val="22"/>
          <w:lang w:eastAsia="en-GB"/>
        </w:rPr>
        <w:t xml:space="preserve">any </w:t>
      </w:r>
      <w:r w:rsidRPr="004B34E1">
        <w:rPr>
          <w:rFonts w:ascii="Open Sans" w:hAnsi="Open Sans" w:cs="Open Sans"/>
          <w:b/>
          <w:bCs/>
          <w:szCs w:val="22"/>
          <w:lang w:eastAsia="en-GB"/>
        </w:rPr>
        <w:t>requirements o</w:t>
      </w:r>
      <w:r>
        <w:rPr>
          <w:rFonts w:ascii="Open Sans" w:hAnsi="Open Sans" w:cs="Open Sans"/>
          <w:b/>
          <w:bCs/>
          <w:szCs w:val="22"/>
          <w:lang w:eastAsia="en-GB"/>
        </w:rPr>
        <w:t>n</w:t>
      </w:r>
      <w:r w:rsidRPr="004B34E1">
        <w:rPr>
          <w:rFonts w:ascii="Open Sans" w:hAnsi="Open Sans" w:cs="Open Sans"/>
          <w:b/>
          <w:bCs/>
          <w:szCs w:val="22"/>
          <w:lang w:eastAsia="en-GB"/>
        </w:rPr>
        <w:t xml:space="preserve"> storage</w:t>
      </w:r>
      <w:r>
        <w:rPr>
          <w:rFonts w:ascii="Open Sans" w:hAnsi="Open Sans" w:cs="Open Sans"/>
          <w:b/>
          <w:bCs/>
          <w:szCs w:val="22"/>
          <w:lang w:eastAsia="en-GB"/>
        </w:rPr>
        <w:t xml:space="preserve"> and digestate contingency planning</w:t>
      </w:r>
      <w:r w:rsidRPr="004B34E1">
        <w:rPr>
          <w:rFonts w:ascii="Open Sans" w:hAnsi="Open Sans" w:cs="Open Sans"/>
          <w:b/>
          <w:bCs/>
          <w:szCs w:val="22"/>
          <w:lang w:eastAsia="en-GB"/>
        </w:rPr>
        <w:t xml:space="preserve"> is within the environmental permitting system, </w:t>
      </w:r>
      <w:r>
        <w:rPr>
          <w:rFonts w:ascii="Open Sans" w:hAnsi="Open Sans" w:cs="Open Sans"/>
          <w:b/>
          <w:bCs/>
          <w:szCs w:val="22"/>
          <w:lang w:eastAsia="en-GB"/>
        </w:rPr>
        <w:t>and we assume the</w:t>
      </w:r>
      <w:r w:rsidRPr="004B34E1">
        <w:rPr>
          <w:rFonts w:ascii="Open Sans" w:hAnsi="Open Sans" w:cs="Open Sans"/>
          <w:b/>
          <w:bCs/>
          <w:szCs w:val="22"/>
          <w:lang w:eastAsia="en-GB"/>
        </w:rPr>
        <w:t xml:space="preserve"> GGSS w</w:t>
      </w:r>
      <w:r>
        <w:rPr>
          <w:rFonts w:ascii="Open Sans" w:hAnsi="Open Sans" w:cs="Open Sans"/>
          <w:b/>
          <w:bCs/>
          <w:szCs w:val="22"/>
          <w:lang w:eastAsia="en-GB"/>
        </w:rPr>
        <w:t>ould</w:t>
      </w:r>
      <w:r w:rsidRPr="004B34E1">
        <w:rPr>
          <w:rFonts w:ascii="Open Sans" w:hAnsi="Open Sans" w:cs="Open Sans"/>
          <w:b/>
          <w:bCs/>
          <w:szCs w:val="22"/>
          <w:lang w:eastAsia="en-GB"/>
        </w:rPr>
        <w:t xml:space="preserve"> replicate the existing RHI requirements in relation to obtaining and maintaining a permit. So, it is really important that both BEIS and Defra feed into the environmental regulator’s current review of permits and the publication of their ‘Appropriate measures’ guidance for the biowaste treatment sector</w:t>
      </w:r>
      <w:r>
        <w:rPr>
          <w:rFonts w:ascii="Open Sans" w:hAnsi="Open Sans" w:cs="Open Sans"/>
          <w:b/>
          <w:bCs/>
          <w:szCs w:val="22"/>
          <w:lang w:eastAsia="en-GB"/>
        </w:rPr>
        <w:t xml:space="preserve"> to ensure the above considerations are properly reflected. </w:t>
      </w:r>
    </w:p>
    <w:p w14:paraId="1F8E4CDF" w14:textId="77777777" w:rsidR="001254C5" w:rsidRPr="005365EE" w:rsidRDefault="001254C5" w:rsidP="001254C5">
      <w:pPr>
        <w:spacing w:before="120"/>
        <w:contextualSpacing/>
        <w:jc w:val="left"/>
        <w:rPr>
          <w:rFonts w:ascii="Open Sans" w:hAnsi="Open Sans" w:cs="Open Sans"/>
          <w:color w:val="0070C0"/>
          <w:szCs w:val="22"/>
          <w:lang w:eastAsia="en-GB"/>
        </w:rPr>
      </w:pPr>
    </w:p>
    <w:p w14:paraId="3127CB93" w14:textId="77777777" w:rsidR="001254C5" w:rsidRPr="005365EE" w:rsidRDefault="001254C5" w:rsidP="001254C5">
      <w:pPr>
        <w:spacing w:before="120" w:after="120"/>
        <w:contextualSpacing/>
        <w:jc w:val="left"/>
        <w:rPr>
          <w:rFonts w:ascii="Open Sans" w:hAnsi="Open Sans" w:cs="Open Sans"/>
          <w:szCs w:val="22"/>
          <w:u w:val="single"/>
          <w:lang w:eastAsia="en-GB"/>
        </w:rPr>
      </w:pPr>
      <w:r w:rsidRPr="005365EE">
        <w:rPr>
          <w:rFonts w:ascii="Open Sans" w:hAnsi="Open Sans" w:cs="Open Sans"/>
          <w:szCs w:val="22"/>
          <w:u w:val="single"/>
          <w:lang w:eastAsia="en-GB"/>
        </w:rPr>
        <w:t>Ammonia stripping</w:t>
      </w:r>
    </w:p>
    <w:p w14:paraId="5EB98198" w14:textId="77777777" w:rsidR="001254C5" w:rsidRPr="005365EE" w:rsidRDefault="001254C5" w:rsidP="001254C5">
      <w:pPr>
        <w:spacing w:before="120" w:after="120"/>
        <w:contextualSpacing/>
        <w:jc w:val="left"/>
        <w:rPr>
          <w:rFonts w:ascii="Open Sans" w:hAnsi="Open Sans" w:cs="Open Sans"/>
          <w:szCs w:val="22"/>
          <w:lang w:eastAsia="en-GB"/>
        </w:rPr>
      </w:pPr>
      <w:r w:rsidRPr="005365EE">
        <w:rPr>
          <w:rFonts w:ascii="Open Sans" w:hAnsi="Open Sans" w:cs="Open Sans"/>
          <w:szCs w:val="22"/>
          <w:lang w:eastAsia="en-GB"/>
        </w:rPr>
        <w:t xml:space="preserve">Ammonia stripping and other technologies to enhance digestate are certainly an option and may be necessary at some AD plants with storage or landbank constraints to reduce digestate volumes as well minimise ammonia emissions. </w:t>
      </w:r>
    </w:p>
    <w:p w14:paraId="0DAD9118" w14:textId="77777777" w:rsidR="001254C5" w:rsidRPr="005365EE" w:rsidRDefault="001254C5" w:rsidP="001254C5">
      <w:pPr>
        <w:spacing w:before="120" w:after="120"/>
        <w:contextualSpacing/>
        <w:jc w:val="left"/>
        <w:rPr>
          <w:rFonts w:ascii="Open Sans" w:hAnsi="Open Sans" w:cs="Open Sans"/>
          <w:szCs w:val="22"/>
          <w:lang w:eastAsia="en-GB"/>
        </w:rPr>
      </w:pPr>
    </w:p>
    <w:p w14:paraId="56A3F645" w14:textId="77777777" w:rsidR="001254C5" w:rsidRPr="005365EE" w:rsidRDefault="001254C5" w:rsidP="001254C5">
      <w:pPr>
        <w:spacing w:before="120" w:after="120"/>
        <w:rPr>
          <w:rFonts w:ascii="Open Sans" w:hAnsi="Open Sans" w:cs="Open Sans"/>
          <w:szCs w:val="22"/>
          <w:lang w:eastAsia="en-GB"/>
        </w:rPr>
      </w:pPr>
      <w:r w:rsidRPr="005365EE">
        <w:rPr>
          <w:rFonts w:ascii="Open Sans" w:hAnsi="Open Sans" w:cs="Open Sans"/>
          <w:szCs w:val="22"/>
          <w:lang w:eastAsia="en-GB"/>
        </w:rPr>
        <w:t xml:space="preserve">There are several case studies of plants that have adopted these techniques overseas (for example in Germany). However, there are very few examples in the UK mainly due to the cost of employing these technologies. </w:t>
      </w:r>
    </w:p>
    <w:p w14:paraId="6B2BA9E1" w14:textId="77777777" w:rsidR="001254C5" w:rsidRPr="005365EE" w:rsidRDefault="001254C5" w:rsidP="001254C5">
      <w:pPr>
        <w:shd w:val="clear" w:color="auto" w:fill="FFFFFF"/>
        <w:spacing w:before="120" w:after="120"/>
        <w:rPr>
          <w:rFonts w:ascii="Open Sans" w:hAnsi="Open Sans" w:cs="Open Sans"/>
          <w:szCs w:val="22"/>
          <w:lang w:eastAsia="en-GB"/>
        </w:rPr>
      </w:pPr>
      <w:bookmarkStart w:id="47" w:name="_Hlk42541834"/>
      <w:r w:rsidRPr="005365EE">
        <w:rPr>
          <w:rFonts w:ascii="Open Sans" w:hAnsi="Open Sans" w:cs="Open Sans"/>
          <w:szCs w:val="22"/>
          <w:u w:val="single"/>
          <w:lang w:eastAsia="en-GB"/>
        </w:rPr>
        <w:t>Case study:</w:t>
      </w:r>
      <w:r w:rsidRPr="005365EE">
        <w:rPr>
          <w:rFonts w:ascii="Open Sans" w:hAnsi="Open Sans" w:cs="Open Sans"/>
          <w:szCs w:val="22"/>
          <w:lang w:eastAsia="en-GB"/>
        </w:rPr>
        <w:t xml:space="preserve"> The Tully Centralised Anaerobic Digestion Plant designed and built by Nature Energy where </w:t>
      </w:r>
      <w:hyperlink r:id="rId49" w:history="1">
        <w:r w:rsidRPr="005365EE">
          <w:rPr>
            <w:rFonts w:ascii="Open Sans" w:hAnsi="Open Sans" w:cs="Open Sans"/>
            <w:szCs w:val="22"/>
            <w:lang w:eastAsia="en-GB"/>
          </w:rPr>
          <w:t>ammonia stripping</w:t>
        </w:r>
      </w:hyperlink>
      <w:r w:rsidRPr="005365EE">
        <w:rPr>
          <w:rFonts w:ascii="Open Sans" w:hAnsi="Open Sans" w:cs="Open Sans"/>
          <w:szCs w:val="22"/>
          <w:lang w:eastAsia="en-GB"/>
        </w:rPr>
        <w:t xml:space="preserve"> technology of </w:t>
      </w:r>
      <w:hyperlink r:id="rId50" w:history="1">
        <w:r w:rsidRPr="005365EE">
          <w:rPr>
            <w:rStyle w:val="Hyperlink"/>
            <w:rFonts w:ascii="Open Sans" w:hAnsi="Open Sans" w:cs="Open Sans"/>
            <w:color w:val="auto"/>
            <w:szCs w:val="22"/>
            <w:lang w:eastAsia="en-GB"/>
          </w:rPr>
          <w:t>ByoFlex</w:t>
        </w:r>
      </w:hyperlink>
      <w:r w:rsidRPr="005365EE">
        <w:rPr>
          <w:rFonts w:ascii="Open Sans" w:hAnsi="Open Sans" w:cs="Open Sans"/>
          <w:szCs w:val="22"/>
          <w:lang w:eastAsia="en-GB"/>
        </w:rPr>
        <w:t>® is employed to allow the plant to use, as feedstock, up to 100% poultry litter.</w:t>
      </w:r>
    </w:p>
    <w:bookmarkEnd w:id="47"/>
    <w:p w14:paraId="0520FD66" w14:textId="77777777" w:rsidR="001254C5" w:rsidRPr="005365EE" w:rsidRDefault="001254C5" w:rsidP="001254C5">
      <w:pPr>
        <w:spacing w:before="120" w:after="120"/>
        <w:rPr>
          <w:rFonts w:ascii="Open Sans" w:hAnsi="Open Sans" w:cs="Open Sans"/>
          <w:szCs w:val="22"/>
          <w:lang w:eastAsia="en-GB"/>
        </w:rPr>
      </w:pPr>
      <w:r w:rsidRPr="005365EE">
        <w:rPr>
          <w:rFonts w:ascii="Open Sans" w:hAnsi="Open Sans" w:cs="Open Sans"/>
          <w:szCs w:val="22"/>
          <w:lang w:eastAsia="en-GB"/>
        </w:rPr>
        <w:t>This plant separates out the solids and then takes out the water using vacuum evaporation. They then use sulphuric acid (H</w:t>
      </w:r>
      <w:r w:rsidRPr="005365EE">
        <w:rPr>
          <w:rFonts w:ascii="Open Sans" w:hAnsi="Open Sans" w:cs="Open Sans"/>
          <w:szCs w:val="22"/>
          <w:vertAlign w:val="subscript"/>
          <w:lang w:eastAsia="en-GB"/>
        </w:rPr>
        <w:t>2</w:t>
      </w:r>
      <w:r w:rsidRPr="005365EE">
        <w:rPr>
          <w:rFonts w:ascii="Open Sans" w:hAnsi="Open Sans" w:cs="Open Sans"/>
          <w:szCs w:val="22"/>
          <w:lang w:eastAsia="en-GB"/>
        </w:rPr>
        <w:t>SO</w:t>
      </w:r>
      <w:r w:rsidRPr="005365EE">
        <w:rPr>
          <w:rFonts w:ascii="Open Sans" w:hAnsi="Open Sans" w:cs="Open Sans"/>
          <w:szCs w:val="22"/>
          <w:vertAlign w:val="subscript"/>
          <w:lang w:eastAsia="en-GB"/>
        </w:rPr>
        <w:t>4</w:t>
      </w:r>
      <w:r w:rsidRPr="005365EE">
        <w:rPr>
          <w:rFonts w:ascii="Open Sans" w:hAnsi="Open Sans" w:cs="Open Sans"/>
          <w:szCs w:val="22"/>
          <w:lang w:eastAsia="en-GB"/>
        </w:rPr>
        <w:t>) to remove the ammonium nitrogen (NH</w:t>
      </w:r>
      <w:r w:rsidRPr="005365EE">
        <w:rPr>
          <w:rFonts w:ascii="Open Sans" w:hAnsi="Open Sans" w:cs="Open Sans"/>
          <w:szCs w:val="22"/>
          <w:vertAlign w:val="subscript"/>
          <w:lang w:eastAsia="en-GB"/>
        </w:rPr>
        <w:t>4</w:t>
      </w:r>
      <w:r w:rsidRPr="005365EE">
        <w:rPr>
          <w:rFonts w:ascii="Open Sans" w:hAnsi="Open Sans" w:cs="Open Sans"/>
          <w:szCs w:val="22"/>
          <w:lang w:eastAsia="en-GB"/>
        </w:rPr>
        <w:t>) as ammonium sulphate (NH</w:t>
      </w:r>
      <w:r w:rsidRPr="005365EE">
        <w:rPr>
          <w:rFonts w:ascii="Open Sans" w:hAnsi="Open Sans" w:cs="Open Sans"/>
          <w:szCs w:val="22"/>
          <w:vertAlign w:val="subscript"/>
          <w:lang w:eastAsia="en-GB"/>
        </w:rPr>
        <w:t>4</w:t>
      </w:r>
      <w:r w:rsidRPr="005365EE">
        <w:rPr>
          <w:rFonts w:ascii="Open Sans" w:hAnsi="Open Sans" w:cs="Open Sans"/>
          <w:szCs w:val="22"/>
          <w:lang w:eastAsia="en-GB"/>
        </w:rPr>
        <w:t>)</w:t>
      </w:r>
      <w:r w:rsidRPr="005365EE">
        <w:rPr>
          <w:rFonts w:ascii="Open Sans" w:hAnsi="Open Sans" w:cs="Open Sans"/>
          <w:szCs w:val="22"/>
          <w:vertAlign w:val="subscript"/>
          <w:lang w:eastAsia="en-GB"/>
        </w:rPr>
        <w:t>2</w:t>
      </w:r>
      <w:r w:rsidRPr="005365EE">
        <w:rPr>
          <w:rFonts w:ascii="Open Sans" w:hAnsi="Open Sans" w:cs="Open Sans"/>
          <w:szCs w:val="22"/>
          <w:lang w:eastAsia="en-GB"/>
        </w:rPr>
        <w:t>SO</w:t>
      </w:r>
      <w:r w:rsidRPr="005365EE">
        <w:rPr>
          <w:rFonts w:ascii="Open Sans" w:hAnsi="Open Sans" w:cs="Open Sans"/>
          <w:szCs w:val="22"/>
          <w:vertAlign w:val="subscript"/>
          <w:lang w:eastAsia="en-GB"/>
        </w:rPr>
        <w:t>4</w:t>
      </w:r>
      <w:r w:rsidRPr="005365EE">
        <w:rPr>
          <w:rFonts w:ascii="Open Sans" w:hAnsi="Open Sans" w:cs="Open Sans"/>
          <w:szCs w:val="22"/>
          <w:lang w:eastAsia="en-GB"/>
        </w:rPr>
        <w:t xml:space="preserve">. The resulting clean water is sufficiently clean to be discharged.  </w:t>
      </w:r>
    </w:p>
    <w:p w14:paraId="5DA5F1D1" w14:textId="77777777" w:rsidR="001254C5" w:rsidRPr="005365EE" w:rsidRDefault="001254C5" w:rsidP="001254C5">
      <w:pPr>
        <w:spacing w:before="120" w:after="120"/>
        <w:rPr>
          <w:rFonts w:ascii="Open Sans" w:hAnsi="Open Sans" w:cs="Open Sans"/>
          <w:szCs w:val="22"/>
          <w:lang w:eastAsia="en-GB"/>
        </w:rPr>
      </w:pPr>
      <w:r w:rsidRPr="005365EE">
        <w:rPr>
          <w:rFonts w:ascii="Open Sans" w:hAnsi="Open Sans" w:cs="Open Sans"/>
          <w:szCs w:val="22"/>
          <w:lang w:eastAsia="en-GB"/>
        </w:rPr>
        <w:lastRenderedPageBreak/>
        <w:t xml:space="preserve">However, in the experience of some members, this is being done successfully where farm-based materials are digested leaving a lot of fibre in the digestate. This makes separation reasonably straightforward. On the other hand, it is more challenging to separate the solids in food-based AD plants, where input materials are more digestible and maceration is part of the process. The issue of plastic contamination means that fine screens are frequently included at the back end. The overall effect is that the solids present in food based digestate are very small and comprise a lower proportion in liquid digestate than would be the case if plastic contaminants entering the digestion phase(s) were negligible. These members have had great difficulty of achieving any significant degree of separation even with polymers added to encourage solid particle flocculation. </w:t>
      </w:r>
    </w:p>
    <w:p w14:paraId="423ACEDE" w14:textId="77777777" w:rsidR="001254C5" w:rsidRPr="005365EE" w:rsidRDefault="001254C5" w:rsidP="001254C5">
      <w:pPr>
        <w:rPr>
          <w:rFonts w:ascii="Open Sans" w:hAnsi="Open Sans" w:cs="Open Sans"/>
          <w:szCs w:val="22"/>
          <w:u w:val="single"/>
          <w:lang w:eastAsia="en-GB"/>
        </w:rPr>
      </w:pPr>
      <w:r w:rsidRPr="005365EE">
        <w:rPr>
          <w:rFonts w:ascii="Open Sans" w:hAnsi="Open Sans" w:cs="Open Sans"/>
          <w:szCs w:val="22"/>
          <w:u w:val="single"/>
          <w:lang w:eastAsia="en-GB"/>
        </w:rPr>
        <w:t xml:space="preserve">Evaporation technologies </w:t>
      </w:r>
    </w:p>
    <w:p w14:paraId="651F02B9" w14:textId="77777777" w:rsidR="001254C5" w:rsidRPr="005365EE" w:rsidRDefault="001254C5" w:rsidP="001254C5">
      <w:pPr>
        <w:rPr>
          <w:rFonts w:ascii="Open Sans" w:hAnsi="Open Sans" w:cs="Open Sans"/>
          <w:szCs w:val="22"/>
        </w:rPr>
      </w:pPr>
      <w:r w:rsidRPr="005365EE">
        <w:rPr>
          <w:rFonts w:ascii="Open Sans" w:hAnsi="Open Sans" w:cs="Open Sans"/>
          <w:szCs w:val="22"/>
          <w:lang w:eastAsia="en-GB"/>
        </w:rPr>
        <w:t xml:space="preserve">Other members have </w:t>
      </w:r>
      <w:r w:rsidRPr="005365EE">
        <w:rPr>
          <w:rFonts w:ascii="Open Sans" w:hAnsi="Open Sans" w:cs="Open Sans"/>
          <w:szCs w:val="22"/>
        </w:rPr>
        <w:t xml:space="preserve">also mentioned evaporation technologies such as (Mechanical Vapor Recompression) MVR, like </w:t>
      </w:r>
      <w:hyperlink r:id="rId51" w:history="1">
        <w:r w:rsidRPr="005365EE">
          <w:rPr>
            <w:rStyle w:val="Hyperlink"/>
            <w:rFonts w:ascii="Open Sans" w:hAnsi="Open Sans" w:cs="Open Sans"/>
            <w:color w:val="auto"/>
            <w:szCs w:val="22"/>
          </w:rPr>
          <w:t>EPCON’s technologies</w:t>
        </w:r>
      </w:hyperlink>
      <w:r w:rsidRPr="005365EE">
        <w:rPr>
          <w:rFonts w:ascii="Open Sans" w:hAnsi="Open Sans" w:cs="Open Sans"/>
          <w:szCs w:val="22"/>
        </w:rPr>
        <w:t xml:space="preserve">, which are suited to manage the nitrogen (N), Phosphorus (P) and Potassium (K) output options (e.g. to focus more on N than P or K). </w:t>
      </w:r>
    </w:p>
    <w:p w14:paraId="71B85882" w14:textId="77777777" w:rsidR="001254C5" w:rsidRPr="005365EE" w:rsidRDefault="001254C5" w:rsidP="001254C5">
      <w:pPr>
        <w:spacing w:before="120" w:after="120"/>
        <w:jc w:val="left"/>
        <w:textAlignment w:val="baseline"/>
        <w:rPr>
          <w:rFonts w:ascii="Open Sans" w:hAnsi="Open Sans" w:cs="Open Sans"/>
          <w:szCs w:val="22"/>
          <w:lang w:eastAsia="en-GB"/>
        </w:rPr>
      </w:pPr>
      <w:r w:rsidRPr="005365EE">
        <w:rPr>
          <w:rFonts w:ascii="Open Sans" w:hAnsi="Open Sans" w:cs="Open Sans"/>
          <w:szCs w:val="22"/>
          <w:lang w:eastAsia="en-GB"/>
        </w:rPr>
        <w:t xml:space="preserve">Up to date, the business case for employing these technologies on site has not been seen as viable, however as regulations on storage, and application of digestate become stricter, and the potential to access higher value markets the business case for these systems may start to become more attractive. </w:t>
      </w:r>
    </w:p>
    <w:p w14:paraId="4828633F" w14:textId="77777777" w:rsidR="001254C5" w:rsidRPr="005365EE" w:rsidRDefault="001254C5" w:rsidP="001254C5">
      <w:pPr>
        <w:rPr>
          <w:rFonts w:ascii="Open Sans" w:hAnsi="Open Sans" w:cs="Open Sans"/>
          <w:szCs w:val="22"/>
          <w:u w:val="single"/>
          <w:lang w:eastAsia="en-GB"/>
        </w:rPr>
      </w:pPr>
      <w:r w:rsidRPr="005365EE">
        <w:rPr>
          <w:rFonts w:ascii="Open Sans" w:hAnsi="Open Sans" w:cs="Open Sans"/>
          <w:szCs w:val="22"/>
          <w:u w:val="single"/>
          <w:lang w:eastAsia="en-GB"/>
        </w:rPr>
        <w:t xml:space="preserve">Acidification </w:t>
      </w:r>
    </w:p>
    <w:p w14:paraId="507430A4" w14:textId="77777777" w:rsidR="001254C5" w:rsidRPr="005365EE" w:rsidRDefault="001254C5" w:rsidP="001254C5">
      <w:pPr>
        <w:rPr>
          <w:rFonts w:ascii="Open Sans" w:hAnsi="Open Sans" w:cs="Open Sans"/>
          <w:szCs w:val="22"/>
          <w:lang w:eastAsia="en-GB"/>
        </w:rPr>
      </w:pPr>
      <w:r w:rsidRPr="005365EE">
        <w:rPr>
          <w:rFonts w:ascii="Open Sans" w:hAnsi="Open Sans" w:cs="Open Sans"/>
          <w:szCs w:val="22"/>
          <w:lang w:eastAsia="en-GB"/>
        </w:rPr>
        <w:t xml:space="preserve">High pH and high ammonium content means ammonia emissions can be greater from digestate than from slurry. Lowering the pH of digestate can help reducing ammonia emissions. ADS have carried out several trials under the Defra slurry acidification project (SCF0215) to understand how acidification can control ammonia emissions. </w:t>
      </w:r>
    </w:p>
    <w:p w14:paraId="147AEBBB" w14:textId="77777777" w:rsidR="001254C5" w:rsidRPr="005365EE" w:rsidRDefault="001254C5" w:rsidP="001254C5">
      <w:pPr>
        <w:rPr>
          <w:rFonts w:ascii="Open Sans" w:hAnsi="Open Sans" w:cs="Open Sans"/>
          <w:szCs w:val="22"/>
          <w:lang w:eastAsia="en-GB"/>
        </w:rPr>
      </w:pPr>
    </w:p>
    <w:p w14:paraId="4AB22AD7" w14:textId="77777777" w:rsidR="001254C5" w:rsidRDefault="001254C5" w:rsidP="001254C5">
      <w:pPr>
        <w:rPr>
          <w:rFonts w:ascii="Open Sans" w:hAnsi="Open Sans" w:cs="Open Sans"/>
          <w:szCs w:val="22"/>
          <w:lang w:eastAsia="en-GB"/>
        </w:rPr>
      </w:pPr>
      <w:r w:rsidRPr="005365EE">
        <w:rPr>
          <w:rFonts w:ascii="Open Sans" w:hAnsi="Open Sans" w:cs="Open Sans"/>
          <w:szCs w:val="22"/>
          <w:lang w:eastAsia="en-GB"/>
        </w:rPr>
        <w:t xml:space="preserve">There are also technologies that are starting to be commercially available in the market that can lower the pH of digestate while adding value. As an example, company </w:t>
      </w:r>
      <w:hyperlink r:id="rId52" w:history="1">
        <w:r w:rsidRPr="005365EE">
          <w:rPr>
            <w:rStyle w:val="Hyperlink"/>
            <w:rFonts w:ascii="Open Sans" w:hAnsi="Open Sans" w:cs="Open Sans"/>
            <w:i/>
            <w:iCs/>
            <w:szCs w:val="22"/>
            <w:lang w:eastAsia="en-GB"/>
          </w:rPr>
          <w:t>N2 Applied</w:t>
        </w:r>
      </w:hyperlink>
      <w:r w:rsidRPr="005365EE">
        <w:rPr>
          <w:rFonts w:ascii="Open Sans" w:hAnsi="Open Sans" w:cs="Open Sans"/>
          <w:szCs w:val="22"/>
          <w:lang w:eastAsia="en-GB"/>
        </w:rPr>
        <w:t xml:space="preserve"> has developed a plasma technology that enables local production of fertiliser from liquid organic substrates such as slurry or digestate with air and electricity. The technology adds nitrogen from the air into the liquid substrate and increases the nitrogen content. The reaction stops the loss of ammonia and reduces emissions, making it an efficient and sustainable fertiliser, and creates a more circular farm system. One of the plasma treatment effect is lowering the pH from around 8 to around 6. </w:t>
      </w:r>
    </w:p>
    <w:p w14:paraId="30226601" w14:textId="77777777" w:rsidR="001254C5" w:rsidRDefault="001254C5" w:rsidP="001254C5">
      <w:pPr>
        <w:rPr>
          <w:rFonts w:ascii="Open Sans" w:hAnsi="Open Sans" w:cs="Open Sans"/>
          <w:szCs w:val="22"/>
          <w:lang w:eastAsia="en-GB"/>
        </w:rPr>
      </w:pPr>
    </w:p>
    <w:p w14:paraId="32AFFD6B" w14:textId="77777777" w:rsidR="001254C5" w:rsidRPr="00DB32C2" w:rsidRDefault="001254C5" w:rsidP="001254C5">
      <w:pPr>
        <w:rPr>
          <w:rFonts w:ascii="Open Sans" w:hAnsi="Open Sans" w:cs="Open Sans"/>
          <w:szCs w:val="22"/>
          <w:u w:val="single"/>
          <w:lang w:eastAsia="en-GB"/>
        </w:rPr>
      </w:pPr>
      <w:r w:rsidRPr="00DB32C2">
        <w:rPr>
          <w:rFonts w:ascii="Open Sans" w:hAnsi="Open Sans" w:cs="Open Sans"/>
          <w:szCs w:val="22"/>
          <w:u w:val="single"/>
          <w:lang w:eastAsia="en-GB"/>
        </w:rPr>
        <w:t xml:space="preserve">Nitrification inhibitors </w:t>
      </w:r>
    </w:p>
    <w:p w14:paraId="231D26E7" w14:textId="77777777" w:rsidR="00763B79" w:rsidRPr="003876EA" w:rsidRDefault="00763B79" w:rsidP="00763B79">
      <w:pPr>
        <w:rPr>
          <w:rFonts w:ascii="Open Sans" w:hAnsi="Open Sans" w:cs="Open Sans"/>
          <w:szCs w:val="22"/>
          <w:lang w:eastAsia="en-GB"/>
        </w:rPr>
      </w:pPr>
      <w:r w:rsidRPr="003876EA">
        <w:rPr>
          <w:rFonts w:ascii="Open Sans" w:hAnsi="Open Sans" w:cs="Open Sans"/>
          <w:szCs w:val="22"/>
          <w:lang w:eastAsia="en-GB"/>
        </w:rPr>
        <w:t>Inclusion of N- inhibitors in digestate or use of advanced technology such as Alzon or Koch Advanced Nitrogen fertiliser can help reducing nitrous oxide emissions (N</w:t>
      </w:r>
      <w:r w:rsidRPr="003876EA">
        <w:rPr>
          <w:rFonts w:ascii="Open Sans" w:hAnsi="Open Sans" w:cs="Open Sans"/>
          <w:szCs w:val="22"/>
          <w:vertAlign w:val="subscript"/>
          <w:lang w:eastAsia="en-GB"/>
        </w:rPr>
        <w:t>2</w:t>
      </w:r>
      <w:r w:rsidRPr="003876EA">
        <w:rPr>
          <w:rFonts w:ascii="Open Sans" w:hAnsi="Open Sans" w:cs="Open Sans"/>
          <w:szCs w:val="22"/>
          <w:lang w:eastAsia="en-GB"/>
        </w:rPr>
        <w:t xml:space="preserve">O). </w:t>
      </w:r>
    </w:p>
    <w:p w14:paraId="3BBB7032" w14:textId="77777777" w:rsidR="001254C5" w:rsidRDefault="001254C5" w:rsidP="001254C5">
      <w:pPr>
        <w:rPr>
          <w:rFonts w:ascii="Open Sans" w:hAnsi="Open Sans" w:cs="Open Sans"/>
          <w:szCs w:val="22"/>
          <w:lang w:eastAsia="en-GB"/>
        </w:rPr>
      </w:pPr>
    </w:p>
    <w:p w14:paraId="20CBF533" w14:textId="77777777" w:rsidR="001254C5" w:rsidRPr="00DB32C2" w:rsidRDefault="00824F4D" w:rsidP="001254C5">
      <w:pPr>
        <w:rPr>
          <w:rFonts w:ascii="Open Sans" w:hAnsi="Open Sans" w:cs="Open Sans"/>
          <w:szCs w:val="22"/>
          <w:lang w:eastAsia="en-GB"/>
        </w:rPr>
      </w:pPr>
      <w:hyperlink r:id="rId53" w:anchor="toggle-id-3" w:history="1">
        <w:r w:rsidR="001254C5" w:rsidRPr="00DB32C2">
          <w:rPr>
            <w:rStyle w:val="Hyperlink"/>
            <w:rFonts w:ascii="Open Sans" w:hAnsi="Open Sans" w:cs="Open Sans"/>
            <w:szCs w:val="22"/>
            <w:lang w:eastAsia="en-GB"/>
          </w:rPr>
          <w:t>Systemic project</w:t>
        </w:r>
      </w:hyperlink>
    </w:p>
    <w:p w14:paraId="4B8A607F" w14:textId="77777777" w:rsidR="001254C5" w:rsidRDefault="001254C5" w:rsidP="001254C5">
      <w:pPr>
        <w:spacing w:before="120" w:after="120"/>
        <w:jc w:val="left"/>
        <w:textAlignment w:val="baseline"/>
        <w:rPr>
          <w:rFonts w:ascii="Open Sans" w:hAnsi="Open Sans" w:cs="Open Sans"/>
          <w:szCs w:val="22"/>
          <w:lang w:eastAsia="en-GB"/>
        </w:rPr>
      </w:pPr>
      <w:r w:rsidRPr="00DB32C2">
        <w:rPr>
          <w:rFonts w:ascii="Open Sans" w:hAnsi="Open Sans" w:cs="Open Sans"/>
          <w:szCs w:val="22"/>
          <w:lang w:eastAsia="en-GB"/>
        </w:rPr>
        <w:t>The projects looks at several different N-recovery options from AD systems (which would reduce ammonia emissions during storage and spreading).  One of the papers also mentions N removal using aerobic treatment as being common in the Netherlands – this is a well-established water industry approach that converts ammonia to nitrogen gas. It is worth bearing in mind that the main driver for nutrient removal in the water industry is regulation and the need to meet discharge consent levels.  The costs for this make their way back through the whole treatment process and onto our water bills.</w:t>
      </w:r>
    </w:p>
    <w:p w14:paraId="16A4C01B" w14:textId="77777777" w:rsidR="001254C5" w:rsidRPr="006D4713" w:rsidRDefault="001254C5" w:rsidP="001254C5">
      <w:pPr>
        <w:spacing w:before="120" w:after="120"/>
        <w:jc w:val="left"/>
        <w:textAlignment w:val="baseline"/>
        <w:rPr>
          <w:rFonts w:ascii="Open Sans" w:hAnsi="Open Sans" w:cs="Open Sans"/>
          <w:szCs w:val="22"/>
          <w:lang w:eastAsia="en-GB"/>
        </w:rPr>
      </w:pPr>
    </w:p>
    <w:p w14:paraId="496A88BA" w14:textId="77777777" w:rsidR="001254C5" w:rsidRPr="005365EE" w:rsidRDefault="001254C5" w:rsidP="001254C5">
      <w:pPr>
        <w:spacing w:before="120" w:after="120"/>
        <w:jc w:val="left"/>
        <w:textAlignment w:val="baseline"/>
        <w:rPr>
          <w:rFonts w:ascii="Open Sans" w:hAnsi="Open Sans" w:cs="Open Sans"/>
          <w:b/>
          <w:bCs/>
          <w:szCs w:val="22"/>
          <w:lang w:eastAsia="en-GB"/>
        </w:rPr>
      </w:pPr>
      <w:r w:rsidRPr="005365EE">
        <w:rPr>
          <w:rFonts w:ascii="Open Sans" w:hAnsi="Open Sans" w:cs="Open Sans"/>
          <w:b/>
          <w:bCs/>
          <w:szCs w:val="22"/>
          <w:lang w:eastAsia="en-GB"/>
        </w:rPr>
        <w:t xml:space="preserve">End of Waste rules constraints </w:t>
      </w:r>
    </w:p>
    <w:p w14:paraId="170C14E6" w14:textId="77777777" w:rsidR="001254C5" w:rsidRPr="005365EE" w:rsidRDefault="001254C5" w:rsidP="001254C5">
      <w:pPr>
        <w:spacing w:before="120" w:after="120"/>
        <w:jc w:val="left"/>
        <w:textAlignment w:val="baseline"/>
        <w:rPr>
          <w:rFonts w:ascii="Open Sans" w:hAnsi="Open Sans" w:cs="Open Sans"/>
          <w:szCs w:val="22"/>
          <w:lang w:eastAsia="en-GB"/>
        </w:rPr>
      </w:pPr>
      <w:r w:rsidRPr="005365EE">
        <w:rPr>
          <w:rFonts w:ascii="Open Sans" w:hAnsi="Open Sans" w:cs="Open Sans"/>
          <w:szCs w:val="22"/>
          <w:lang w:eastAsia="en-GB"/>
        </w:rPr>
        <w:t xml:space="preserve">In addition to the economic barrier, it should also be noted that there are significant constraints on the further processing of waste-derived digestates under End of Waste rules in UK countries. </w:t>
      </w:r>
      <w:r w:rsidRPr="005365EE">
        <w:rPr>
          <w:rFonts w:ascii="Open Sans" w:hAnsi="Open Sans" w:cs="Open Sans"/>
          <w:b/>
          <w:bCs/>
          <w:szCs w:val="22"/>
          <w:lang w:eastAsia="en-GB"/>
        </w:rPr>
        <w:t>The Quality Protocol for Anaerobic Digestate and BSI PAS 110 specification for digestate only do not include in their scope the separation of digestate into liquid and solid outputs (operators can also choose not to do this separation). Other further processing of digestate is not within their scopes.</w:t>
      </w:r>
      <w:r w:rsidRPr="005365EE">
        <w:rPr>
          <w:rFonts w:ascii="Open Sans" w:hAnsi="Open Sans" w:cs="Open Sans"/>
          <w:szCs w:val="22"/>
          <w:lang w:eastAsia="en-GB"/>
        </w:rPr>
        <w:t xml:space="preserve">  Examples of further processing options are;</w:t>
      </w:r>
    </w:p>
    <w:p w14:paraId="458A806A" w14:textId="77777777" w:rsidR="001254C5" w:rsidRPr="005365EE" w:rsidRDefault="001254C5" w:rsidP="001254C5">
      <w:pPr>
        <w:pStyle w:val="ListParagraph"/>
        <w:numPr>
          <w:ilvl w:val="0"/>
          <w:numId w:val="29"/>
        </w:numPr>
        <w:spacing w:before="120" w:after="120"/>
        <w:contextualSpacing w:val="0"/>
        <w:jc w:val="left"/>
        <w:textAlignment w:val="baseline"/>
        <w:rPr>
          <w:rFonts w:ascii="Open Sans" w:hAnsi="Open Sans" w:cs="Open Sans"/>
          <w:szCs w:val="22"/>
          <w:lang w:eastAsia="en-GB"/>
        </w:rPr>
      </w:pPr>
      <w:r w:rsidRPr="005365EE">
        <w:rPr>
          <w:rFonts w:ascii="Open Sans" w:hAnsi="Open Sans" w:cs="Open Sans"/>
          <w:szCs w:val="22"/>
          <w:lang w:eastAsia="en-GB"/>
        </w:rPr>
        <w:t xml:space="preserve">solid digestate drying, </w:t>
      </w:r>
    </w:p>
    <w:p w14:paraId="6D6D3992" w14:textId="77777777" w:rsidR="001254C5" w:rsidRPr="005365EE" w:rsidRDefault="001254C5" w:rsidP="001254C5">
      <w:pPr>
        <w:pStyle w:val="ListParagraph"/>
        <w:numPr>
          <w:ilvl w:val="0"/>
          <w:numId w:val="29"/>
        </w:numPr>
        <w:spacing w:before="120" w:after="120"/>
        <w:contextualSpacing w:val="0"/>
        <w:jc w:val="left"/>
        <w:textAlignment w:val="baseline"/>
        <w:rPr>
          <w:rFonts w:ascii="Open Sans" w:hAnsi="Open Sans" w:cs="Open Sans"/>
          <w:szCs w:val="22"/>
          <w:lang w:eastAsia="en-GB"/>
        </w:rPr>
      </w:pPr>
      <w:r w:rsidRPr="005365EE">
        <w:rPr>
          <w:rFonts w:ascii="Open Sans" w:hAnsi="Open Sans" w:cs="Open Sans"/>
          <w:szCs w:val="22"/>
          <w:lang w:eastAsia="en-GB"/>
        </w:rPr>
        <w:t>solid digestate drying and pelletisation,</w:t>
      </w:r>
    </w:p>
    <w:p w14:paraId="124698CB" w14:textId="77777777" w:rsidR="001254C5" w:rsidRPr="005365EE" w:rsidRDefault="001254C5" w:rsidP="001254C5">
      <w:pPr>
        <w:pStyle w:val="ListParagraph"/>
        <w:numPr>
          <w:ilvl w:val="0"/>
          <w:numId w:val="29"/>
        </w:numPr>
        <w:spacing w:before="120" w:after="120"/>
        <w:contextualSpacing w:val="0"/>
        <w:jc w:val="left"/>
        <w:textAlignment w:val="baseline"/>
        <w:rPr>
          <w:rFonts w:ascii="Open Sans" w:hAnsi="Open Sans" w:cs="Open Sans"/>
          <w:szCs w:val="22"/>
          <w:lang w:eastAsia="en-GB"/>
        </w:rPr>
      </w:pPr>
      <w:r w:rsidRPr="005365EE">
        <w:rPr>
          <w:rFonts w:ascii="Open Sans" w:hAnsi="Open Sans" w:cs="Open Sans"/>
          <w:szCs w:val="22"/>
          <w:lang w:eastAsia="en-GB"/>
        </w:rPr>
        <w:t>solid digestate composting, in one or more following composting phases, with or without addition of waste/material at the start of the composting phase,</w:t>
      </w:r>
    </w:p>
    <w:p w14:paraId="396055E0" w14:textId="77777777" w:rsidR="001254C5" w:rsidRPr="005365EE" w:rsidRDefault="001254C5" w:rsidP="001254C5">
      <w:pPr>
        <w:pStyle w:val="ListParagraph"/>
        <w:numPr>
          <w:ilvl w:val="0"/>
          <w:numId w:val="29"/>
        </w:numPr>
        <w:spacing w:before="120" w:after="120"/>
        <w:contextualSpacing w:val="0"/>
        <w:jc w:val="left"/>
        <w:textAlignment w:val="baseline"/>
        <w:rPr>
          <w:rFonts w:ascii="Open Sans" w:hAnsi="Open Sans" w:cs="Open Sans"/>
          <w:szCs w:val="22"/>
          <w:lang w:eastAsia="en-GB"/>
        </w:rPr>
      </w:pPr>
      <w:r w:rsidRPr="005365EE">
        <w:rPr>
          <w:rFonts w:ascii="Open Sans" w:hAnsi="Open Sans" w:cs="Open Sans"/>
          <w:szCs w:val="22"/>
          <w:lang w:eastAsia="en-GB"/>
        </w:rPr>
        <w:t>stripping or evaporating ammonia from liquid digestates,</w:t>
      </w:r>
    </w:p>
    <w:p w14:paraId="3FCB39B5" w14:textId="77777777" w:rsidR="001254C5" w:rsidRPr="005365EE" w:rsidRDefault="001254C5" w:rsidP="001254C5">
      <w:pPr>
        <w:pStyle w:val="ListParagraph"/>
        <w:numPr>
          <w:ilvl w:val="0"/>
          <w:numId w:val="29"/>
        </w:numPr>
        <w:spacing w:before="120" w:after="120"/>
        <w:contextualSpacing w:val="0"/>
        <w:jc w:val="left"/>
        <w:textAlignment w:val="baseline"/>
        <w:rPr>
          <w:rFonts w:ascii="Open Sans" w:hAnsi="Open Sans" w:cs="Open Sans"/>
          <w:szCs w:val="22"/>
          <w:lang w:eastAsia="en-GB"/>
        </w:rPr>
      </w:pPr>
      <w:r w:rsidRPr="005365EE">
        <w:rPr>
          <w:rFonts w:ascii="Open Sans" w:hAnsi="Open Sans" w:cs="Open Sans"/>
          <w:szCs w:val="22"/>
          <w:lang w:eastAsia="en-GB"/>
        </w:rPr>
        <w:t xml:space="preserve">adding specific nutrients to liquid digestates so they become better fit liquid fertilisers for specific crop production applications, and </w:t>
      </w:r>
    </w:p>
    <w:p w14:paraId="7271AB98" w14:textId="003A86A3" w:rsidR="001254C5" w:rsidRPr="005365EE" w:rsidRDefault="001254C5" w:rsidP="001254C5">
      <w:pPr>
        <w:pStyle w:val="ListParagraph"/>
        <w:numPr>
          <w:ilvl w:val="0"/>
          <w:numId w:val="29"/>
        </w:numPr>
        <w:spacing w:before="120" w:after="120"/>
        <w:contextualSpacing w:val="0"/>
        <w:jc w:val="left"/>
        <w:textAlignment w:val="baseline"/>
        <w:rPr>
          <w:rFonts w:ascii="Open Sans" w:hAnsi="Open Sans" w:cs="Open Sans"/>
          <w:szCs w:val="22"/>
          <w:lang w:eastAsia="en-GB"/>
        </w:rPr>
      </w:pPr>
      <w:r w:rsidRPr="005365EE">
        <w:rPr>
          <w:rFonts w:ascii="Open Sans" w:hAnsi="Open Sans" w:cs="Open Sans"/>
          <w:szCs w:val="22"/>
          <w:lang w:eastAsia="en-GB"/>
        </w:rPr>
        <w:t xml:space="preserve">modifying liquid digestates so they are suitable for use in hydroponic production of crops. </w:t>
      </w:r>
    </w:p>
    <w:p w14:paraId="0DD0D411" w14:textId="77777777" w:rsidR="001254C5" w:rsidRPr="005365EE" w:rsidRDefault="001254C5" w:rsidP="001254C5">
      <w:pPr>
        <w:spacing w:before="120" w:after="120"/>
        <w:jc w:val="left"/>
        <w:textAlignment w:val="baseline"/>
        <w:rPr>
          <w:rFonts w:ascii="Open Sans" w:hAnsi="Open Sans" w:cs="Open Sans"/>
          <w:szCs w:val="22"/>
          <w:lang w:eastAsia="en-GB"/>
        </w:rPr>
      </w:pPr>
      <w:r w:rsidRPr="005365EE">
        <w:rPr>
          <w:rFonts w:ascii="Open Sans" w:hAnsi="Open Sans" w:cs="Open Sans"/>
          <w:szCs w:val="22"/>
          <w:lang w:eastAsia="en-GB"/>
        </w:rPr>
        <w:t xml:space="preserve">The consequence of this is that if any processing or further treatment of digestate is carried out after separation, the resulting output will have a waste status and therefore will need to be handled as a waste, i.e. the outputs will need to be stored and spread under waste regulatory controls, placing a significant extra burden on AD operators. This acts as a disincentive for AD developers and operators to consider options for further processing digestate after separation. </w:t>
      </w:r>
    </w:p>
    <w:p w14:paraId="1F644EBE" w14:textId="77777777" w:rsidR="001254C5" w:rsidRPr="005365EE" w:rsidRDefault="001254C5" w:rsidP="001254C5">
      <w:pPr>
        <w:spacing w:before="120" w:after="120"/>
        <w:jc w:val="left"/>
        <w:textAlignment w:val="baseline"/>
        <w:rPr>
          <w:rFonts w:ascii="Open Sans" w:hAnsi="Open Sans" w:cs="Open Sans"/>
          <w:szCs w:val="22"/>
          <w:lang w:eastAsia="en-GB"/>
        </w:rPr>
      </w:pPr>
      <w:r w:rsidRPr="005365EE">
        <w:rPr>
          <w:rFonts w:ascii="Open Sans" w:hAnsi="Open Sans" w:cs="Open Sans"/>
          <w:szCs w:val="22"/>
          <w:lang w:eastAsia="en-GB"/>
        </w:rPr>
        <w:t xml:space="preserve">AD processes with connected composting phase(s) that add in new waste/material at the start of the composting phase do not exist in the UK, yet they do in Italy and are a good option for biodegrading compostable liners and bags that are used as part of food waste collection and also for biodegrading compostable packaging items that are co-collected with the food waste.  End of Waste rules for waste derived composts and digestates need to be revised to enable the two processes to be fully integrated. </w:t>
      </w:r>
    </w:p>
    <w:p w14:paraId="662D9C33" w14:textId="77777777" w:rsidR="001254C5" w:rsidRPr="005365EE" w:rsidRDefault="001254C5" w:rsidP="001254C5">
      <w:pPr>
        <w:spacing w:before="120" w:after="120"/>
        <w:jc w:val="left"/>
        <w:textAlignment w:val="baseline"/>
        <w:rPr>
          <w:rFonts w:ascii="Open Sans" w:hAnsi="Open Sans" w:cs="Open Sans"/>
          <w:szCs w:val="22"/>
          <w:lang w:eastAsia="en-GB"/>
        </w:rPr>
      </w:pPr>
      <w:r w:rsidRPr="005365EE">
        <w:rPr>
          <w:rFonts w:ascii="Open Sans" w:hAnsi="Open Sans" w:cs="Open Sans"/>
          <w:szCs w:val="22"/>
          <w:lang w:eastAsia="en-GB"/>
        </w:rPr>
        <w:t xml:space="preserve">If Defra is looking for further treatment of digestate – e.g. ammonia stripping or evaporation techniques - as one of the options to minimise ammonia, then </w:t>
      </w:r>
      <w:r w:rsidRPr="005365EE">
        <w:rPr>
          <w:rFonts w:ascii="Open Sans" w:hAnsi="Open Sans" w:cs="Open Sans"/>
          <w:b/>
          <w:bCs/>
          <w:szCs w:val="22"/>
          <w:lang w:eastAsia="en-GB"/>
        </w:rPr>
        <w:t>it is paramount that this End of Waste rules barrier is overcome and both BSI PAS 110 and the ADQP are amended to allow these processes and also allow further innovation to happen.</w:t>
      </w:r>
      <w:r w:rsidRPr="005365EE">
        <w:rPr>
          <w:rFonts w:ascii="Open Sans" w:hAnsi="Open Sans" w:cs="Open Sans"/>
          <w:szCs w:val="22"/>
          <w:lang w:eastAsia="en-GB"/>
        </w:rPr>
        <w:t xml:space="preserve"> If these EoW rules are not improved, increasing numbers of AD operators’ choices to produce waste status digestates would be a retrograde step and could be a threat to market acceptance and the viability of the industry. Please also bear in mind that the EU Fertilising Products Regulation (EU FPR) does not include barriers to the further treatment of digestate and provides a relatively flexible framework for placing a range of compliant </w:t>
      </w:r>
      <w:r w:rsidRPr="005365EE">
        <w:rPr>
          <w:rFonts w:ascii="Open Sans" w:hAnsi="Open Sans" w:cs="Open Sans"/>
          <w:b/>
          <w:bCs/>
          <w:i/>
          <w:iCs/>
          <w:szCs w:val="22"/>
          <w:u w:val="single"/>
          <w:lang w:eastAsia="en-GB"/>
        </w:rPr>
        <w:t>product types</w:t>
      </w:r>
      <w:r w:rsidRPr="005365EE">
        <w:rPr>
          <w:rFonts w:ascii="Open Sans" w:hAnsi="Open Sans" w:cs="Open Sans"/>
          <w:szCs w:val="22"/>
          <w:lang w:eastAsia="en-GB"/>
        </w:rPr>
        <w:t xml:space="preserve"> on all markets that use those product types (inorganic fertilisers, organic fertilisers, organo-mineral fertilisers, organic soil improvers, growing media, inorganic plant biostimulants and organic </w:t>
      </w:r>
      <w:r w:rsidRPr="005365EE">
        <w:rPr>
          <w:rFonts w:ascii="Open Sans" w:hAnsi="Open Sans" w:cs="Open Sans"/>
          <w:szCs w:val="22"/>
          <w:lang w:eastAsia="en-GB"/>
        </w:rPr>
        <w:lastRenderedPageBreak/>
        <w:t>plant biostimulants).  We believe Defra is considering the extent to which the EU FPR will become mirrored in UK post-Brexit law.</w:t>
      </w:r>
    </w:p>
    <w:p w14:paraId="7ECE2DCF" w14:textId="77777777" w:rsidR="001254C5" w:rsidRPr="005365EE" w:rsidRDefault="001254C5" w:rsidP="001254C5">
      <w:pPr>
        <w:spacing w:before="120" w:after="120"/>
        <w:jc w:val="left"/>
        <w:textAlignment w:val="baseline"/>
        <w:rPr>
          <w:rFonts w:ascii="Open Sans" w:hAnsi="Open Sans" w:cs="Open Sans"/>
          <w:b/>
          <w:bCs/>
          <w:szCs w:val="22"/>
          <w:lang w:eastAsia="en-GB"/>
        </w:rPr>
      </w:pPr>
      <w:bookmarkStart w:id="48" w:name="_Hlk43720717"/>
      <w:r w:rsidRPr="005365EE">
        <w:rPr>
          <w:rFonts w:ascii="Open Sans" w:hAnsi="Open Sans" w:cs="Open Sans"/>
          <w:b/>
          <w:bCs/>
          <w:szCs w:val="22"/>
          <w:lang w:eastAsia="en-GB"/>
        </w:rPr>
        <w:t xml:space="preserve">In summary, strategies to minimise ammonia emissions do certainly exist but the significant extra costs and End of Waste issues associated with processing of digestate have so far acted as a strong disincentive to adopt such strategies. </w:t>
      </w:r>
    </w:p>
    <w:bookmarkEnd w:id="48"/>
    <w:p w14:paraId="46C063DF" w14:textId="77777777" w:rsidR="001254C5" w:rsidRPr="005365EE" w:rsidRDefault="001254C5" w:rsidP="001254C5">
      <w:pPr>
        <w:spacing w:before="120" w:after="120"/>
        <w:jc w:val="left"/>
        <w:textAlignment w:val="baseline"/>
        <w:rPr>
          <w:rFonts w:ascii="Open Sans" w:hAnsi="Open Sans" w:cs="Open Sans"/>
          <w:szCs w:val="22"/>
          <w:lang w:eastAsia="en-GB"/>
        </w:rPr>
      </w:pPr>
      <w:r w:rsidRPr="005365EE">
        <w:rPr>
          <w:rFonts w:ascii="Open Sans" w:hAnsi="Open Sans" w:cs="Open Sans"/>
          <w:szCs w:val="22"/>
          <w:lang w:eastAsia="en-GB"/>
        </w:rPr>
        <w:t xml:space="preserve">It is important that a joined-up approach is taken across the environment protection regulators, Defra and BEIS to ensure AD plants can be designed and built in line with best practice and can maximise value and minimise environmental impact with no constraints coming from End of Waste rules.  </w:t>
      </w:r>
    </w:p>
    <w:p w14:paraId="36C2A29A" w14:textId="5B8C6396" w:rsidR="00971EF8" w:rsidRDefault="00971EF8" w:rsidP="00CD42E0">
      <w:pPr>
        <w:rPr>
          <w:rFonts w:ascii="Open Sans" w:hAnsi="Open Sans" w:cs="Open Sans"/>
          <w:szCs w:val="22"/>
        </w:rPr>
      </w:pPr>
    </w:p>
    <w:p w14:paraId="2D996DD5" w14:textId="00EB832C" w:rsidR="001254C5" w:rsidRDefault="001254C5" w:rsidP="001254C5">
      <w:pPr>
        <w:spacing w:after="160" w:line="259" w:lineRule="auto"/>
        <w:jc w:val="left"/>
        <w:rPr>
          <w:rFonts w:ascii="Open Sans" w:hAnsi="Open Sans" w:cs="Open Sans"/>
          <w:b/>
          <w:bCs/>
          <w:i/>
          <w:iCs/>
          <w:color w:val="2F5496"/>
          <w:szCs w:val="22"/>
        </w:rPr>
      </w:pPr>
      <w:r w:rsidRPr="001254C5">
        <w:rPr>
          <w:rFonts w:ascii="Open Sans" w:hAnsi="Open Sans" w:cs="Open Sans"/>
          <w:b/>
          <w:bCs/>
          <w:i/>
          <w:iCs/>
          <w:color w:val="2F5496"/>
          <w:szCs w:val="22"/>
        </w:rPr>
        <w:t>Consultation Question 13 - What are the reasons for the lack of commercial demand for digestate and how can the market for digestate be strengthened?</w:t>
      </w:r>
    </w:p>
    <w:p w14:paraId="243F9667" w14:textId="77777777" w:rsidR="001254C5" w:rsidRPr="005365EE" w:rsidRDefault="001254C5" w:rsidP="001254C5">
      <w:pPr>
        <w:spacing w:before="120" w:after="120"/>
        <w:rPr>
          <w:rFonts w:ascii="Open Sans" w:hAnsi="Open Sans" w:cs="Open Sans"/>
          <w:szCs w:val="22"/>
          <w:u w:val="single"/>
          <w:lang w:eastAsia="en-GB"/>
        </w:rPr>
      </w:pPr>
      <w:r w:rsidRPr="005365EE">
        <w:rPr>
          <w:rFonts w:ascii="Open Sans" w:hAnsi="Open Sans" w:cs="Open Sans"/>
          <w:szCs w:val="22"/>
          <w:u w:val="single"/>
          <w:lang w:eastAsia="en-GB"/>
        </w:rPr>
        <w:t xml:space="preserve">Definition of commercial demand </w:t>
      </w:r>
    </w:p>
    <w:p w14:paraId="3679C17D" w14:textId="77777777" w:rsidR="001254C5" w:rsidRPr="005365EE" w:rsidRDefault="001254C5" w:rsidP="001254C5">
      <w:pPr>
        <w:spacing w:before="120" w:after="120"/>
        <w:rPr>
          <w:rFonts w:ascii="Open Sans" w:hAnsi="Open Sans" w:cs="Open Sans"/>
          <w:szCs w:val="22"/>
          <w:lang w:eastAsia="en-GB"/>
        </w:rPr>
      </w:pPr>
      <w:r w:rsidRPr="005365EE">
        <w:rPr>
          <w:rFonts w:ascii="Open Sans" w:hAnsi="Open Sans" w:cs="Open Sans"/>
          <w:szCs w:val="22"/>
          <w:lang w:eastAsia="en-GB"/>
        </w:rPr>
        <w:t xml:space="preserve">According to our members’ experience, most farmers tend to appreciate the value of digestate because of its fertiliser value and the water content, however this value does generally not outweigh the costs of storing, transporting and spreading it.  </w:t>
      </w:r>
    </w:p>
    <w:p w14:paraId="7800AA9A" w14:textId="77777777" w:rsidR="001254C5" w:rsidRPr="005365EE" w:rsidRDefault="001254C5" w:rsidP="001254C5">
      <w:pPr>
        <w:spacing w:before="120" w:after="120"/>
        <w:rPr>
          <w:rFonts w:ascii="Open Sans" w:hAnsi="Open Sans" w:cs="Open Sans"/>
          <w:szCs w:val="22"/>
          <w:lang w:eastAsia="en-GB"/>
        </w:rPr>
      </w:pPr>
      <w:r w:rsidRPr="005365EE">
        <w:rPr>
          <w:rFonts w:ascii="Open Sans" w:hAnsi="Open Sans" w:cs="Open Sans"/>
          <w:szCs w:val="22"/>
          <w:lang w:eastAsia="en-GB"/>
        </w:rPr>
        <w:t>A member noted that the answer depends on the definition of ‘commercial’. He noted that there is evidence that farmers like digestate – it is a source of readily available nitrogen and (important in a dry spring) water, and benefits to crops from digestate use are widely acknowledged. However, the inherent nutrient content of digestate means that transport, storage and application costs can (when considered together) be greater than the fertiliser replacement value of the material. This is an innate characteristic of liquid digestates – and is just as true of pig and cattle slurries.  So, although there is undoubtedly a willingness to pay for digestate, these fees are in many cases unlikely to cover the whole costs of supply.  Does this render digestate non-commercial?</w:t>
      </w:r>
    </w:p>
    <w:p w14:paraId="4C9DE01D" w14:textId="77777777" w:rsidR="001254C5" w:rsidRPr="005365EE" w:rsidRDefault="001254C5" w:rsidP="001254C5">
      <w:pPr>
        <w:spacing w:before="120" w:after="120"/>
        <w:rPr>
          <w:rFonts w:ascii="Open Sans" w:hAnsi="Open Sans" w:cs="Open Sans"/>
          <w:szCs w:val="22"/>
          <w:lang w:eastAsia="en-GB"/>
        </w:rPr>
      </w:pPr>
      <w:r w:rsidRPr="005365EE">
        <w:rPr>
          <w:rFonts w:ascii="Open Sans" w:hAnsi="Open Sans" w:cs="Open Sans"/>
          <w:szCs w:val="22"/>
          <w:lang w:eastAsia="en-GB"/>
        </w:rPr>
        <w:t xml:space="preserve">It should also be recognised that most digestates are produced on farms, from agricultural materials – the resulting digestates can be incorporated into farm nutrient planning in the same way that other organic manures are.  Since such use is likely to involve transactions between different parts of the same business, digestate will not be intended as a profit centre.  Only a minority of AD facilities process biowaste materials, and only a sub-set of these are divorced from available landbank.  It is this small sub-set that faces the most significant supply challenges – and there are currently no commercial technologies that address the fundamental ‘problem’ that digestate is mostly water; by commercial in this context it is meant technology that can process digestate to a point where the resulting outputs have sufficient value to offset the investment associated with the technology. </w:t>
      </w:r>
    </w:p>
    <w:p w14:paraId="5FAB9046" w14:textId="77777777" w:rsidR="001254C5" w:rsidRPr="005365EE" w:rsidRDefault="001254C5" w:rsidP="001254C5">
      <w:pPr>
        <w:rPr>
          <w:rFonts w:ascii="Open Sans" w:hAnsi="Open Sans" w:cs="Open Sans"/>
          <w:szCs w:val="22"/>
          <w:lang w:eastAsia="en-GB"/>
        </w:rPr>
      </w:pPr>
      <w:r w:rsidRPr="005365EE">
        <w:rPr>
          <w:rFonts w:ascii="Open Sans" w:hAnsi="Open Sans" w:cs="Open Sans"/>
          <w:szCs w:val="22"/>
          <w:lang w:eastAsia="en-GB"/>
        </w:rPr>
        <w:t>Another member based in Scotland highlighted that there isn’t a lack of commercial demand for digestate in Scotland and they consistently experience a healthy demand. Spring demand outweighs production by 100%, therefore improvements in winter storage would assist and is something which they are working towards. This member consultant, however, would not recommend additional restrictions for digestate that are not in line with the normal fertiliser guidelines as this would discourage the use of digestate. Additional precautions or limits on one product tends to diminish market confidence.</w:t>
      </w:r>
    </w:p>
    <w:p w14:paraId="2487C550" w14:textId="7CEC6F42" w:rsidR="001254C5" w:rsidRDefault="001254C5" w:rsidP="00E9370C">
      <w:pPr>
        <w:spacing w:before="120"/>
        <w:rPr>
          <w:rFonts w:ascii="Open Sans" w:hAnsi="Open Sans" w:cs="Open Sans"/>
          <w:b/>
          <w:bCs/>
          <w:szCs w:val="22"/>
          <w:lang w:eastAsia="en-GB"/>
        </w:rPr>
      </w:pPr>
      <w:r w:rsidRPr="00DB32C2">
        <w:rPr>
          <w:rFonts w:ascii="Open Sans" w:hAnsi="Open Sans" w:cs="Open Sans"/>
          <w:b/>
          <w:bCs/>
          <w:szCs w:val="22"/>
          <w:lang w:eastAsia="en-GB"/>
        </w:rPr>
        <w:lastRenderedPageBreak/>
        <w:t>In summary, there is often demand for digestate but its innate value does not always cover the logistics costs associated with its application to land and there are seasonal issues to overcome.</w:t>
      </w:r>
    </w:p>
    <w:p w14:paraId="157543C5" w14:textId="77777777" w:rsidR="00E9370C" w:rsidRPr="00E9370C" w:rsidRDefault="00E9370C" w:rsidP="00E9370C">
      <w:pPr>
        <w:spacing w:before="120"/>
        <w:rPr>
          <w:rFonts w:ascii="Open Sans" w:hAnsi="Open Sans" w:cs="Open Sans"/>
          <w:b/>
          <w:bCs/>
          <w:szCs w:val="22"/>
          <w:lang w:eastAsia="en-GB"/>
        </w:rPr>
      </w:pPr>
    </w:p>
    <w:p w14:paraId="07A951CD" w14:textId="77777777" w:rsidR="001254C5" w:rsidRPr="005365EE" w:rsidRDefault="001254C5" w:rsidP="001254C5">
      <w:pPr>
        <w:spacing w:before="120" w:after="120"/>
        <w:rPr>
          <w:rFonts w:ascii="Open Sans" w:hAnsi="Open Sans" w:cs="Open Sans"/>
          <w:szCs w:val="22"/>
          <w:u w:val="single"/>
          <w:lang w:eastAsia="en-GB"/>
        </w:rPr>
      </w:pPr>
      <w:r w:rsidRPr="005365EE">
        <w:rPr>
          <w:rFonts w:ascii="Open Sans" w:hAnsi="Open Sans" w:cs="Open Sans"/>
          <w:szCs w:val="22"/>
          <w:u w:val="single"/>
          <w:lang w:eastAsia="en-GB"/>
        </w:rPr>
        <w:t>Storage issue</w:t>
      </w:r>
    </w:p>
    <w:p w14:paraId="05B3E0BF" w14:textId="77777777" w:rsidR="001254C5" w:rsidRPr="005365EE" w:rsidRDefault="001254C5" w:rsidP="001254C5">
      <w:pPr>
        <w:spacing w:before="120" w:after="120"/>
        <w:rPr>
          <w:rFonts w:ascii="Open Sans" w:hAnsi="Open Sans" w:cs="Open Sans"/>
          <w:szCs w:val="22"/>
          <w:lang w:eastAsia="en-GB"/>
        </w:rPr>
      </w:pPr>
      <w:r w:rsidRPr="005365EE">
        <w:rPr>
          <w:rFonts w:ascii="Open Sans" w:hAnsi="Open Sans" w:cs="Open Sans"/>
          <w:szCs w:val="22"/>
          <w:lang w:eastAsia="en-GB"/>
        </w:rPr>
        <w:t xml:space="preserve">Another member noted that storage is a fundamental issue for some plants. For example, at the moment there is a drought and demand for digestate significantly outstrips supply. This issue is due to the fact that several plants have been built without or with little storage i.e. they don’t have enough storage to enable them to supply the digestate at the time of most demand. In order to commercialise digestate, AD projects would have to build significantly more storage but this would drive up capex substantially. This additional cost will need to be supported, preferably via dedicated funding or grants or under the GGSS. A member highlighted that, since lagoons are normally low-risk investments, it may make more sense to fund storage via specific grants (e.g. through Defra, like the Countryside Productivity Scheme). The current support available to AD makes it financially unviable to justify this build. </w:t>
      </w:r>
    </w:p>
    <w:p w14:paraId="60C1A67F" w14:textId="77777777" w:rsidR="001254C5" w:rsidRPr="00733157" w:rsidRDefault="001254C5" w:rsidP="001254C5">
      <w:pPr>
        <w:spacing w:before="120"/>
        <w:rPr>
          <w:rFonts w:ascii="Open Sans" w:hAnsi="Open Sans" w:cs="Open Sans"/>
          <w:b/>
          <w:bCs/>
          <w:szCs w:val="22"/>
          <w:lang w:eastAsia="en-GB"/>
        </w:rPr>
      </w:pPr>
      <w:r w:rsidRPr="00DB32C2">
        <w:rPr>
          <w:rFonts w:ascii="Open Sans" w:hAnsi="Open Sans" w:cs="Open Sans"/>
          <w:b/>
          <w:bCs/>
          <w:szCs w:val="22"/>
          <w:lang w:eastAsia="en-GB"/>
        </w:rPr>
        <w:t xml:space="preserve">In summary, AD plants should be built with sufficient storage capacity in order to be able to commercialise / market digestate, however this additional cost needs to be </w:t>
      </w:r>
      <w:r w:rsidRPr="009032FE">
        <w:rPr>
          <w:rFonts w:ascii="Open Sans" w:hAnsi="Open Sans" w:cs="Open Sans"/>
          <w:b/>
          <w:bCs/>
          <w:szCs w:val="22"/>
          <w:lang w:eastAsia="en-GB"/>
        </w:rPr>
        <w:t xml:space="preserve">covered, preferably </w:t>
      </w:r>
      <w:r w:rsidRPr="007A62A6">
        <w:rPr>
          <w:rFonts w:ascii="Open Sans" w:hAnsi="Open Sans" w:cs="Open Sans"/>
          <w:b/>
          <w:bCs/>
          <w:szCs w:val="22"/>
          <w:lang w:eastAsia="en-GB"/>
        </w:rPr>
        <w:t xml:space="preserve">via separate grants / funding (e.g. Defra’s funding) or under the GGSS. </w:t>
      </w:r>
    </w:p>
    <w:p w14:paraId="001D4F4D" w14:textId="77777777" w:rsidR="001254C5" w:rsidRPr="005365EE" w:rsidRDefault="001254C5" w:rsidP="001254C5">
      <w:pPr>
        <w:shd w:val="clear" w:color="auto" w:fill="FFFFFF"/>
        <w:rPr>
          <w:rFonts w:ascii="Open Sans" w:hAnsi="Open Sans" w:cs="Open Sans"/>
          <w:szCs w:val="22"/>
          <w:u w:val="single"/>
          <w:lang w:eastAsia="en-GB"/>
        </w:rPr>
      </w:pPr>
      <w:r w:rsidRPr="005365EE">
        <w:rPr>
          <w:rFonts w:ascii="Open Sans" w:hAnsi="Open Sans" w:cs="Open Sans"/>
          <w:szCs w:val="22"/>
          <w:u w:val="single"/>
          <w:lang w:eastAsia="en-GB"/>
        </w:rPr>
        <w:t xml:space="preserve">End of Waste rules barrier: digestate with ‘product’ status cannot be supplied to high value markets such as professional and amateur horticulture </w:t>
      </w:r>
    </w:p>
    <w:p w14:paraId="7F77E56E" w14:textId="77777777" w:rsidR="001254C5" w:rsidRPr="005365EE" w:rsidRDefault="001254C5" w:rsidP="001254C5">
      <w:pPr>
        <w:spacing w:before="120" w:after="120"/>
        <w:rPr>
          <w:rFonts w:ascii="Open Sans" w:hAnsi="Open Sans" w:cs="Open Sans"/>
          <w:szCs w:val="22"/>
          <w:lang w:eastAsia="en-GB"/>
        </w:rPr>
      </w:pPr>
      <w:r w:rsidRPr="005365EE">
        <w:rPr>
          <w:rFonts w:ascii="Open Sans" w:hAnsi="Open Sans" w:cs="Open Sans"/>
          <w:szCs w:val="22"/>
          <w:lang w:eastAsia="en-GB"/>
        </w:rPr>
        <w:t>Quality Protocols (QPs) are End of Waste frameworks recognised by the Environment Agency and used by industry on a voluntary basis to identify the point at which waste, having been fully recovered, may be regarded as a non-waste product. This means the waste derived material can be used in specified markets without the need for waste regulatory controls.</w:t>
      </w:r>
    </w:p>
    <w:p w14:paraId="35A9B076" w14:textId="77777777" w:rsidR="001254C5" w:rsidRPr="005365EE" w:rsidRDefault="001254C5" w:rsidP="001254C5">
      <w:pPr>
        <w:spacing w:before="120" w:after="120"/>
        <w:rPr>
          <w:rFonts w:ascii="Open Sans" w:hAnsi="Open Sans" w:cs="Open Sans"/>
          <w:szCs w:val="22"/>
          <w:lang w:eastAsia="en-GB"/>
        </w:rPr>
      </w:pPr>
      <w:r w:rsidRPr="005365EE">
        <w:rPr>
          <w:rFonts w:ascii="Open Sans" w:hAnsi="Open Sans" w:cs="Open Sans"/>
          <w:szCs w:val="22"/>
          <w:lang w:eastAsia="en-GB"/>
        </w:rPr>
        <w:t xml:space="preserve">The current Anaerobic Digestate Quality Protocol does not allow the supply of digestate to horticulture and other high value markets such as soft landscaping. The AD QP also does not permit digestate processing (except for a phase of aerobic maturation of dewatered, solid digestate) and only whole digestate, separated liquor and separated fibre digestate can be used in agriculture. </w:t>
      </w:r>
    </w:p>
    <w:p w14:paraId="49E37EB3" w14:textId="77777777" w:rsidR="001254C5" w:rsidRPr="005365EE" w:rsidRDefault="001254C5" w:rsidP="001254C5">
      <w:pPr>
        <w:spacing w:before="120" w:after="120"/>
        <w:rPr>
          <w:rFonts w:ascii="Open Sans" w:hAnsi="Open Sans" w:cs="Open Sans"/>
          <w:szCs w:val="22"/>
          <w:lang w:eastAsia="en-GB"/>
        </w:rPr>
      </w:pPr>
      <w:r w:rsidRPr="005365EE">
        <w:rPr>
          <w:rFonts w:ascii="Open Sans" w:hAnsi="Open Sans" w:cs="Open Sans"/>
          <w:szCs w:val="22"/>
          <w:lang w:eastAsia="en-GB"/>
        </w:rPr>
        <w:t xml:space="preserve">This has been seen by industry as a significant barrier to innovation on digestate and supply to markets other than agriculture. Particularly for digestate fibre which could be a useful ingredient into growing media, potentially as a bulky substrate that could be combined with other bulky non-peat substrates that could replace peat in growing media. There is no incentive to pursue this due to the market limitations within the QP as doing so would revert the material to being a waste and the need for regulatory controls. </w:t>
      </w:r>
    </w:p>
    <w:p w14:paraId="57980B3D" w14:textId="4EB59BBB" w:rsidR="001254C5" w:rsidRPr="005365EE" w:rsidRDefault="001254C5" w:rsidP="001254C5">
      <w:pPr>
        <w:spacing w:before="120" w:after="120"/>
        <w:rPr>
          <w:rFonts w:ascii="Open Sans" w:hAnsi="Open Sans" w:cs="Open Sans"/>
          <w:szCs w:val="22"/>
          <w:lang w:eastAsia="en-GB"/>
        </w:rPr>
      </w:pPr>
      <w:r w:rsidRPr="005365EE">
        <w:rPr>
          <w:rFonts w:ascii="Open Sans" w:hAnsi="Open Sans" w:cs="Open Sans"/>
          <w:szCs w:val="22"/>
          <w:lang w:eastAsia="en-GB"/>
        </w:rPr>
        <w:t xml:space="preserve">The EA is currently reviewing this and other Quality Protocols and so this offers an unique opportunity to address this issue and open up the markets for digestate, more in alignment with the EU Fertilising Product Regulations.  Wording within the AD QP needs to be changed to facilitate the further processing or enhancement of digestate that improves the efficiency of nutrients and retains a product status. Additional designated end markets (such as soft landscaping, amateur and professional horticulture and growing media) need to be included to enable operators to implement additional processing and achieve higher value markets for </w:t>
      </w:r>
      <w:r w:rsidRPr="005365EE">
        <w:rPr>
          <w:rFonts w:ascii="Open Sans" w:hAnsi="Open Sans" w:cs="Open Sans"/>
          <w:szCs w:val="22"/>
          <w:lang w:eastAsia="en-GB"/>
        </w:rPr>
        <w:lastRenderedPageBreak/>
        <w:t xml:space="preserve">their products. The review of the QPs should take into account the wider aims of Government across departments. </w:t>
      </w:r>
    </w:p>
    <w:p w14:paraId="7EF40F5A" w14:textId="77777777" w:rsidR="001254C5" w:rsidRPr="005365EE" w:rsidRDefault="001254C5" w:rsidP="001254C5">
      <w:pPr>
        <w:spacing w:before="120" w:after="120"/>
        <w:rPr>
          <w:rFonts w:ascii="Open Sans" w:hAnsi="Open Sans" w:cs="Open Sans"/>
          <w:szCs w:val="22"/>
          <w:u w:val="single"/>
          <w:lang w:eastAsia="en-GB"/>
        </w:rPr>
      </w:pPr>
      <w:r w:rsidRPr="005365EE">
        <w:rPr>
          <w:rFonts w:ascii="Open Sans" w:hAnsi="Open Sans" w:cs="Open Sans"/>
          <w:szCs w:val="22"/>
          <w:u w:val="single"/>
          <w:lang w:eastAsia="en-GB"/>
        </w:rPr>
        <w:t xml:space="preserve">Cost of digestate enhancement </w:t>
      </w:r>
    </w:p>
    <w:p w14:paraId="71928929" w14:textId="2824337F" w:rsidR="001254C5" w:rsidRPr="005365EE" w:rsidRDefault="001254C5" w:rsidP="00E9370C">
      <w:pPr>
        <w:spacing w:before="120" w:after="120"/>
        <w:rPr>
          <w:rFonts w:ascii="Open Sans" w:hAnsi="Open Sans" w:cs="Open Sans"/>
          <w:szCs w:val="22"/>
          <w:lang w:eastAsia="en-GB"/>
        </w:rPr>
      </w:pPr>
      <w:r w:rsidRPr="005365EE">
        <w:rPr>
          <w:rFonts w:ascii="Open Sans" w:hAnsi="Open Sans" w:cs="Open Sans"/>
          <w:szCs w:val="22"/>
          <w:lang w:eastAsia="en-GB"/>
        </w:rPr>
        <w:t xml:space="preserve">Other members commented that the technologies available to enhance digestate are generally very costly and don’t provide a guarantee that there will be a market for digestate. The above barriers outlined with the End of Waste position – the Quality Protocol also act as a disincentive to explore digestate enhancement as to do so would revert digestate to being a waste and needing to be used under waste regulatory controls. </w:t>
      </w:r>
    </w:p>
    <w:p w14:paraId="1DA4CE3A" w14:textId="77777777" w:rsidR="001254C5" w:rsidRPr="005365EE" w:rsidRDefault="001254C5" w:rsidP="001254C5">
      <w:pPr>
        <w:spacing w:before="120"/>
        <w:rPr>
          <w:rFonts w:ascii="Open Sans" w:hAnsi="Open Sans" w:cs="Open Sans"/>
          <w:szCs w:val="22"/>
          <w:u w:val="single"/>
          <w:lang w:eastAsia="en-GB"/>
        </w:rPr>
      </w:pPr>
      <w:r w:rsidRPr="005365EE">
        <w:rPr>
          <w:rFonts w:ascii="Open Sans" w:hAnsi="Open Sans" w:cs="Open Sans"/>
          <w:szCs w:val="22"/>
          <w:u w:val="single"/>
          <w:lang w:eastAsia="en-GB"/>
        </w:rPr>
        <w:t xml:space="preserve">Issues associated with plastics and land contamination </w:t>
      </w:r>
    </w:p>
    <w:p w14:paraId="568842F0" w14:textId="77777777" w:rsidR="001254C5" w:rsidRPr="005365EE" w:rsidRDefault="001254C5" w:rsidP="001254C5">
      <w:pPr>
        <w:shd w:val="clear" w:color="auto" w:fill="FFFFFF"/>
        <w:rPr>
          <w:rFonts w:ascii="Open Sans" w:hAnsi="Open Sans" w:cs="Open Sans"/>
          <w:szCs w:val="22"/>
          <w:lang w:eastAsia="en-GB"/>
        </w:rPr>
      </w:pPr>
      <w:r w:rsidRPr="005365EE">
        <w:rPr>
          <w:rFonts w:ascii="Open Sans" w:hAnsi="Open Sans" w:cs="Open Sans"/>
          <w:szCs w:val="22"/>
          <w:lang w:eastAsia="en-GB"/>
        </w:rPr>
        <w:t xml:space="preserve">For food waste based digestates the presence of plastics and contaminants, or the perception that these may be present, is a critical factor that could negatively affect digestate demand and undermine market confidence in these products. The Environment Agency is currently considering reviewing the limit for plastics in digestate in the ADQP as well as introducing limits on contamination in feedstocks within the permits. The Standard Rule Permits consultation published at the end of 2019, set a target figure of 0.5 % w/w ‘plastic and other litter’ contamination in feedstocks delivered to sites. The outcome of this consultation is yet to be published. </w:t>
      </w:r>
    </w:p>
    <w:p w14:paraId="447CD00C" w14:textId="77777777" w:rsidR="001254C5" w:rsidRPr="005365EE" w:rsidRDefault="001254C5" w:rsidP="001254C5">
      <w:pPr>
        <w:shd w:val="clear" w:color="auto" w:fill="FFFFFF"/>
        <w:rPr>
          <w:rFonts w:ascii="Open Sans" w:hAnsi="Open Sans" w:cs="Open Sans"/>
          <w:szCs w:val="22"/>
          <w:lang w:eastAsia="en-GB"/>
        </w:rPr>
      </w:pPr>
    </w:p>
    <w:p w14:paraId="0346348E" w14:textId="77777777" w:rsidR="001254C5" w:rsidRPr="005365EE" w:rsidRDefault="001254C5" w:rsidP="001254C5">
      <w:pPr>
        <w:shd w:val="clear" w:color="auto" w:fill="FFFFFF"/>
        <w:rPr>
          <w:rFonts w:ascii="Open Sans" w:hAnsi="Open Sans" w:cs="Open Sans"/>
          <w:szCs w:val="22"/>
          <w:lang w:eastAsia="en-GB"/>
        </w:rPr>
      </w:pPr>
      <w:r w:rsidRPr="005365EE">
        <w:rPr>
          <w:rFonts w:ascii="Open Sans" w:hAnsi="Open Sans" w:cs="Open Sans"/>
          <w:szCs w:val="22"/>
          <w:lang w:eastAsia="en-GB"/>
        </w:rPr>
        <w:t>Reduction of non-compostable plastics and other contaminants requires concentrated effort at all stages in the supply chain, and more focus is needed on the waste producers to ensure the quality of material coming into sites is better.  A whole system approach is needed with more funding for local authorities to deliver comprehensive education and communication campaigns to drive behaviour change.  Sites also have a role in ensuring they produce fit for purpose digestates – including composted dewatered digestate fibre - and but this would be easier if the quality of food waste delivered to sites was better. Any changes to limits for plastics in digestates, including further processed digestates, should be based on evidence.</w:t>
      </w:r>
    </w:p>
    <w:p w14:paraId="375AD70C" w14:textId="77777777" w:rsidR="001254C5" w:rsidRPr="005365EE" w:rsidRDefault="001254C5" w:rsidP="001254C5">
      <w:pPr>
        <w:shd w:val="clear" w:color="auto" w:fill="FFFFFF"/>
        <w:rPr>
          <w:rFonts w:ascii="Open Sans" w:hAnsi="Open Sans" w:cs="Open Sans"/>
          <w:szCs w:val="22"/>
          <w:lang w:eastAsia="en-GB"/>
        </w:rPr>
      </w:pPr>
    </w:p>
    <w:p w14:paraId="32F8A853" w14:textId="77777777" w:rsidR="001254C5" w:rsidRPr="005365EE" w:rsidRDefault="001254C5" w:rsidP="001254C5">
      <w:pPr>
        <w:shd w:val="clear" w:color="auto" w:fill="FFFFFF"/>
        <w:rPr>
          <w:rFonts w:ascii="Open Sans" w:hAnsi="Open Sans" w:cs="Open Sans"/>
          <w:b/>
          <w:bCs/>
          <w:szCs w:val="22"/>
          <w:lang w:eastAsia="en-GB"/>
        </w:rPr>
      </w:pPr>
      <w:bookmarkStart w:id="49" w:name="_Hlk43720738"/>
      <w:r w:rsidRPr="005365EE">
        <w:rPr>
          <w:rFonts w:ascii="Open Sans" w:hAnsi="Open Sans" w:cs="Open Sans"/>
          <w:b/>
          <w:bCs/>
          <w:szCs w:val="22"/>
          <w:lang w:eastAsia="en-GB"/>
        </w:rPr>
        <w:t>In summary, our recommendations to strengthen the markets for digestate and further processed digestate would be:</w:t>
      </w:r>
    </w:p>
    <w:p w14:paraId="085E5524" w14:textId="77777777" w:rsidR="001254C5" w:rsidRPr="005365EE" w:rsidRDefault="001254C5" w:rsidP="001254C5">
      <w:pPr>
        <w:shd w:val="clear" w:color="auto" w:fill="FFFFFF"/>
        <w:rPr>
          <w:rFonts w:ascii="Open Sans" w:hAnsi="Open Sans" w:cs="Open Sans"/>
          <w:b/>
          <w:bCs/>
          <w:szCs w:val="22"/>
          <w:lang w:eastAsia="en-GB"/>
        </w:rPr>
      </w:pPr>
    </w:p>
    <w:p w14:paraId="25F50984" w14:textId="77777777" w:rsidR="001254C5" w:rsidRPr="001C1E45" w:rsidRDefault="001254C5" w:rsidP="001254C5">
      <w:pPr>
        <w:pStyle w:val="ListParagraph"/>
        <w:numPr>
          <w:ilvl w:val="0"/>
          <w:numId w:val="24"/>
        </w:numPr>
        <w:shd w:val="clear" w:color="auto" w:fill="FFFFFF"/>
        <w:spacing w:after="120"/>
        <w:ind w:left="284" w:hanging="284"/>
        <w:contextualSpacing w:val="0"/>
        <w:rPr>
          <w:rFonts w:ascii="Open Sans" w:hAnsi="Open Sans" w:cs="Open Sans"/>
          <w:b/>
          <w:bCs/>
          <w:szCs w:val="22"/>
          <w:lang w:eastAsia="en-GB"/>
        </w:rPr>
      </w:pPr>
      <w:r w:rsidRPr="00DB32C2">
        <w:rPr>
          <w:rFonts w:ascii="Open Sans" w:hAnsi="Open Sans" w:cs="Open Sans"/>
          <w:b/>
          <w:bCs/>
          <w:szCs w:val="22"/>
          <w:lang w:eastAsia="en-GB"/>
        </w:rPr>
        <w:t>To ensure AD plants planning and design include sufficient storage of digestate (either on or off site) to meet demand and supply digestate at the right time of the year, when thi</w:t>
      </w:r>
      <w:r w:rsidRPr="009032FE">
        <w:rPr>
          <w:rFonts w:ascii="Open Sans" w:hAnsi="Open Sans" w:cs="Open Sans"/>
          <w:b/>
          <w:bCs/>
          <w:szCs w:val="22"/>
          <w:lang w:eastAsia="en-GB"/>
        </w:rPr>
        <w:t xml:space="preserve">s is needed. The additional </w:t>
      </w:r>
      <w:r w:rsidRPr="007A62A6">
        <w:rPr>
          <w:rFonts w:ascii="Open Sans" w:hAnsi="Open Sans" w:cs="Open Sans"/>
          <w:b/>
          <w:bCs/>
          <w:szCs w:val="22"/>
          <w:lang w:eastAsia="en-GB"/>
        </w:rPr>
        <w:t xml:space="preserve">cost of this needs to be supported by Government, </w:t>
      </w:r>
      <w:r w:rsidRPr="00733157">
        <w:rPr>
          <w:rFonts w:ascii="Open Sans" w:hAnsi="Open Sans" w:cs="Open Sans"/>
          <w:b/>
          <w:bCs/>
          <w:szCs w:val="22"/>
          <w:lang w:eastAsia="en-GB"/>
        </w:rPr>
        <w:t>preferably</w:t>
      </w:r>
      <w:r w:rsidRPr="000C38C7">
        <w:rPr>
          <w:rFonts w:ascii="Open Sans" w:hAnsi="Open Sans" w:cs="Open Sans"/>
          <w:b/>
          <w:bCs/>
          <w:szCs w:val="22"/>
          <w:lang w:eastAsia="en-GB"/>
        </w:rPr>
        <w:t xml:space="preserve"> via specific grants. </w:t>
      </w:r>
    </w:p>
    <w:p w14:paraId="447AD2B6" w14:textId="77777777" w:rsidR="001254C5" w:rsidRPr="005365EE" w:rsidRDefault="001254C5" w:rsidP="001254C5">
      <w:pPr>
        <w:pStyle w:val="ListParagraph"/>
        <w:numPr>
          <w:ilvl w:val="0"/>
          <w:numId w:val="24"/>
        </w:numPr>
        <w:shd w:val="clear" w:color="auto" w:fill="FFFFFF"/>
        <w:spacing w:after="120"/>
        <w:ind w:left="284" w:hanging="284"/>
        <w:contextualSpacing w:val="0"/>
        <w:rPr>
          <w:rFonts w:ascii="Open Sans" w:hAnsi="Open Sans" w:cs="Open Sans"/>
          <w:b/>
          <w:bCs/>
          <w:szCs w:val="22"/>
          <w:lang w:eastAsia="en-GB"/>
        </w:rPr>
      </w:pPr>
      <w:r w:rsidRPr="005365EE">
        <w:rPr>
          <w:rFonts w:ascii="Open Sans" w:hAnsi="Open Sans" w:cs="Open Sans"/>
          <w:b/>
          <w:bCs/>
          <w:szCs w:val="22"/>
          <w:lang w:eastAsia="en-GB"/>
        </w:rPr>
        <w:t>To provide some dedicated grants or funds to stimulate the use of and  innovation in technologies that  enhance the value of digestate, its further processing and increase its commercial demand</w:t>
      </w:r>
    </w:p>
    <w:p w14:paraId="36F26E14" w14:textId="77777777" w:rsidR="001254C5" w:rsidRPr="005365EE" w:rsidRDefault="001254C5" w:rsidP="001254C5">
      <w:pPr>
        <w:pStyle w:val="ListParagraph"/>
        <w:numPr>
          <w:ilvl w:val="0"/>
          <w:numId w:val="24"/>
        </w:numPr>
        <w:shd w:val="clear" w:color="auto" w:fill="FFFFFF"/>
        <w:spacing w:after="120"/>
        <w:ind w:left="284" w:hanging="284"/>
        <w:contextualSpacing w:val="0"/>
        <w:rPr>
          <w:rFonts w:ascii="Open Sans" w:hAnsi="Open Sans" w:cs="Open Sans"/>
          <w:b/>
          <w:bCs/>
          <w:szCs w:val="22"/>
          <w:lang w:eastAsia="en-GB"/>
        </w:rPr>
      </w:pPr>
      <w:r w:rsidRPr="005365EE">
        <w:rPr>
          <w:rFonts w:ascii="Open Sans" w:hAnsi="Open Sans" w:cs="Open Sans"/>
          <w:b/>
          <w:bCs/>
          <w:szCs w:val="22"/>
          <w:lang w:eastAsia="en-GB"/>
        </w:rPr>
        <w:t>To remove two fundamental rule barriers currently in place in the Quality Protocol for digestate: 1) the exclusion of horticulture and other high value markets (including soft landscaping and growing media) from the designated markets specified in the QP for digestate, and b) the exclusion from the scope of the QP (and BSI PAS 110) of digestate treatment processes other than separation into solid and liquid outputs (e.g. evaporation or other enhancement).</w:t>
      </w:r>
    </w:p>
    <w:p w14:paraId="0D75C691" w14:textId="456B5161" w:rsidR="001254C5" w:rsidRDefault="001254C5" w:rsidP="001254C5">
      <w:pPr>
        <w:pStyle w:val="ListParagraph"/>
        <w:shd w:val="clear" w:color="auto" w:fill="FFFFFF"/>
        <w:ind w:left="284"/>
        <w:rPr>
          <w:rFonts w:ascii="Open Sans" w:hAnsi="Open Sans" w:cs="Open Sans"/>
          <w:b/>
          <w:bCs/>
          <w:szCs w:val="22"/>
          <w:lang w:eastAsia="en-GB"/>
        </w:rPr>
      </w:pPr>
      <w:r w:rsidRPr="005365EE">
        <w:rPr>
          <w:rFonts w:ascii="Open Sans" w:hAnsi="Open Sans" w:cs="Open Sans"/>
          <w:b/>
          <w:bCs/>
          <w:szCs w:val="22"/>
          <w:lang w:eastAsia="en-GB"/>
        </w:rPr>
        <w:lastRenderedPageBreak/>
        <w:t xml:space="preserve">In line with the approach taken in the EU Fertiliser Regulations and in line with the approach adopted in Scotland by SEPA, we would actually argue that there is no need for the Quality Protocol to place unnecessary restrictions on the markets the digestate should be supplied to. </w:t>
      </w:r>
    </w:p>
    <w:p w14:paraId="411DCFB2" w14:textId="41AE4D2F" w:rsidR="00763B79" w:rsidRDefault="00763B79" w:rsidP="001254C5">
      <w:pPr>
        <w:pStyle w:val="ListParagraph"/>
        <w:shd w:val="clear" w:color="auto" w:fill="FFFFFF"/>
        <w:ind w:left="284"/>
        <w:rPr>
          <w:rFonts w:ascii="Open Sans" w:hAnsi="Open Sans" w:cs="Open Sans"/>
          <w:b/>
          <w:bCs/>
          <w:szCs w:val="22"/>
          <w:lang w:eastAsia="en-GB"/>
        </w:rPr>
      </w:pPr>
    </w:p>
    <w:p w14:paraId="434D8671" w14:textId="77777777" w:rsidR="00763B79" w:rsidRDefault="00763B79" w:rsidP="00763B79">
      <w:pPr>
        <w:rPr>
          <w:rFonts w:ascii="Open Sans" w:hAnsi="Open Sans" w:cs="Open Sans"/>
          <w:b/>
          <w:bCs/>
          <w:szCs w:val="22"/>
          <w:lang w:eastAsia="en-GB"/>
        </w:rPr>
      </w:pPr>
      <w:r>
        <w:rPr>
          <w:rFonts w:ascii="Open Sans" w:hAnsi="Open Sans" w:cs="Open Sans"/>
          <w:lang w:eastAsia="en-GB"/>
        </w:rPr>
        <w:t>We also</w:t>
      </w:r>
      <w:r w:rsidRPr="00C160DF">
        <w:rPr>
          <w:rFonts w:ascii="Open Sans" w:hAnsi="Open Sans" w:cs="Open Sans"/>
          <w:lang w:eastAsia="en-GB"/>
        </w:rPr>
        <w:t xml:space="preserve"> recommend that Government consider</w:t>
      </w:r>
      <w:r>
        <w:rPr>
          <w:rFonts w:ascii="Open Sans" w:hAnsi="Open Sans" w:cs="Open Sans"/>
          <w:lang w:eastAsia="en-GB"/>
        </w:rPr>
        <w:t>s</w:t>
      </w:r>
      <w:r w:rsidRPr="00C160DF">
        <w:rPr>
          <w:rFonts w:ascii="Open Sans" w:hAnsi="Open Sans" w:cs="Open Sans"/>
          <w:lang w:eastAsia="en-GB"/>
        </w:rPr>
        <w:t xml:space="preserve"> introducing a support payment scheme (e.g. an obligation or other similar mechanism) that rewards farmers or users that use low carbon biofertilisers and soil amendments eg ‘a low carbon biofertiliser/soil amendment credit scheme’ or similar. This would encourage the development of a market for digestates. </w:t>
      </w:r>
      <w:r>
        <w:rPr>
          <w:rFonts w:ascii="Open Sans" w:hAnsi="Open Sans" w:cs="Open Sans"/>
          <w:lang w:eastAsia="en-GB"/>
        </w:rPr>
        <w:t xml:space="preserve">This could be achieved under the new farming policy (the Environmental Land Management Scheme) or via the UK’s implementation of the EU Fertiliser Regulation. </w:t>
      </w:r>
    </w:p>
    <w:bookmarkEnd w:id="49"/>
    <w:p w14:paraId="6613E4DB" w14:textId="279B238F" w:rsidR="001254C5" w:rsidRDefault="001254C5" w:rsidP="001254C5">
      <w:pPr>
        <w:spacing w:after="160" w:line="259" w:lineRule="auto"/>
        <w:jc w:val="left"/>
        <w:rPr>
          <w:rFonts w:ascii="Open Sans" w:hAnsi="Open Sans" w:cs="Open Sans"/>
          <w:b/>
          <w:bCs/>
          <w:i/>
          <w:iCs/>
          <w:color w:val="2F5496"/>
          <w:szCs w:val="22"/>
        </w:rPr>
      </w:pPr>
    </w:p>
    <w:p w14:paraId="05AFF07B" w14:textId="102EA9E7" w:rsidR="001254C5" w:rsidRPr="001254C5" w:rsidRDefault="001254C5" w:rsidP="001254C5">
      <w:pPr>
        <w:spacing w:after="160" w:line="259" w:lineRule="auto"/>
        <w:jc w:val="left"/>
        <w:rPr>
          <w:rFonts w:ascii="Open Sans" w:hAnsi="Open Sans" w:cs="Open Sans"/>
          <w:b/>
          <w:bCs/>
          <w:i/>
          <w:iCs/>
          <w:color w:val="2F5496"/>
          <w:szCs w:val="22"/>
        </w:rPr>
      </w:pPr>
      <w:r>
        <w:rPr>
          <w:rFonts w:ascii="Open Sans" w:hAnsi="Open Sans" w:cs="Open Sans"/>
          <w:b/>
          <w:bCs/>
          <w:i/>
          <w:iCs/>
          <w:color w:val="2F5496"/>
          <w:szCs w:val="22"/>
        </w:rPr>
        <w:t xml:space="preserve">Consultation Question 14 - </w:t>
      </w:r>
      <w:r w:rsidRPr="001254C5">
        <w:rPr>
          <w:rFonts w:ascii="Open Sans" w:hAnsi="Open Sans" w:cs="Open Sans"/>
          <w:b/>
          <w:bCs/>
          <w:i/>
          <w:iCs/>
          <w:color w:val="2F5496"/>
          <w:szCs w:val="22"/>
        </w:rPr>
        <w:t>Do you agree with the proposal not to include an additional capacity mechanism within the Green Gas Support Scheme? Yes/No. Please provide evidence to support your response.</w:t>
      </w:r>
    </w:p>
    <w:p w14:paraId="44D5FD3A" w14:textId="77777777" w:rsidR="001254C5" w:rsidRPr="00D11E88" w:rsidRDefault="001254C5" w:rsidP="001254C5">
      <w:pPr>
        <w:spacing w:after="240"/>
        <w:rPr>
          <w:rFonts w:ascii="Open Sans" w:hAnsi="Open Sans" w:cs="Open Sans"/>
          <w:szCs w:val="22"/>
          <w:lang w:eastAsia="en-GB"/>
        </w:rPr>
      </w:pPr>
      <w:r w:rsidRPr="00D11E88">
        <w:rPr>
          <w:rFonts w:ascii="Open Sans" w:hAnsi="Open Sans" w:cs="Open Sans"/>
          <w:lang w:eastAsia="en-GB"/>
        </w:rPr>
        <w:t>No, for the following reasons:</w:t>
      </w:r>
    </w:p>
    <w:p w14:paraId="60607C13" w14:textId="77777777" w:rsidR="001254C5" w:rsidRPr="00D11E88" w:rsidRDefault="001254C5" w:rsidP="001254C5">
      <w:pPr>
        <w:spacing w:after="240"/>
        <w:rPr>
          <w:rFonts w:ascii="Open Sans" w:hAnsi="Open Sans" w:cs="Open Sans"/>
          <w:lang w:eastAsia="en-GB"/>
        </w:rPr>
      </w:pPr>
      <w:bookmarkStart w:id="50" w:name="_Hlk44428070"/>
      <w:r w:rsidRPr="00D11E88">
        <w:rPr>
          <w:rFonts w:ascii="Open Sans" w:hAnsi="Open Sans" w:cs="Open Sans"/>
          <w:lang w:eastAsia="en-GB"/>
        </w:rPr>
        <w:t xml:space="preserve">The ability to expand existing plant is one of the best opportunities available for value for money. Expanding existing plants should present opportunities for improved economies of scale, particularly on the capex. They should also be easier and cheaper to fund since the additional construction required will be relatively modest and the technology and operators will already be demonstrated. Also, having an operational plant with an existing income stream means the need for additional working capital is much reduced. </w:t>
      </w:r>
    </w:p>
    <w:bookmarkEnd w:id="50"/>
    <w:p w14:paraId="7084D538" w14:textId="77777777" w:rsidR="001254C5" w:rsidRPr="00D11E88" w:rsidRDefault="001254C5" w:rsidP="001254C5">
      <w:pPr>
        <w:spacing w:after="240"/>
        <w:rPr>
          <w:rFonts w:ascii="Open Sans" w:hAnsi="Open Sans" w:cs="Open Sans"/>
          <w:lang w:eastAsia="en-GB"/>
        </w:rPr>
      </w:pPr>
      <w:r w:rsidRPr="00D11E88">
        <w:rPr>
          <w:rFonts w:ascii="Open Sans" w:hAnsi="Open Sans" w:cs="Open Sans"/>
          <w:lang w:eastAsia="en-GB"/>
        </w:rPr>
        <w:t>Expanding existing plant would also be one of the few options available if or when the tariffs degress (assuming they are set at around the levels proposed).</w:t>
      </w:r>
    </w:p>
    <w:p w14:paraId="32F4A9E6" w14:textId="77777777" w:rsidR="001254C5" w:rsidRPr="00D11E88" w:rsidRDefault="001254C5" w:rsidP="001254C5">
      <w:pPr>
        <w:spacing w:after="240"/>
        <w:rPr>
          <w:rFonts w:ascii="Open Sans" w:hAnsi="Open Sans" w:cs="Open Sans"/>
          <w:lang w:eastAsia="en-GB"/>
        </w:rPr>
      </w:pPr>
      <w:r w:rsidRPr="00D11E88">
        <w:rPr>
          <w:rFonts w:ascii="Open Sans" w:hAnsi="Open Sans" w:cs="Open Sans"/>
          <w:lang w:eastAsia="en-GB"/>
        </w:rPr>
        <w:t>The relatively low uptake of this option under the RHI does not indicate it would not be needed under the GGSS. There are 2 factors that have distorted the picture:</w:t>
      </w:r>
    </w:p>
    <w:p w14:paraId="6F26AD66" w14:textId="77777777" w:rsidR="001254C5" w:rsidRPr="00D11E88" w:rsidRDefault="001254C5" w:rsidP="001254C5">
      <w:pPr>
        <w:pStyle w:val="ListParagraph"/>
        <w:numPr>
          <w:ilvl w:val="0"/>
          <w:numId w:val="30"/>
        </w:numPr>
        <w:spacing w:before="120" w:after="120"/>
        <w:contextualSpacing w:val="0"/>
        <w:jc w:val="left"/>
        <w:rPr>
          <w:rFonts w:ascii="Open Sans" w:hAnsi="Open Sans" w:cs="Open Sans"/>
          <w:lang w:eastAsia="en-GB"/>
        </w:rPr>
      </w:pPr>
      <w:r w:rsidRPr="00D11E88">
        <w:rPr>
          <w:rFonts w:ascii="Open Sans" w:hAnsi="Open Sans" w:cs="Open Sans"/>
          <w:lang w:eastAsia="en-GB"/>
        </w:rPr>
        <w:t xml:space="preserve">the way the regulations 77 is written means biomethane plants can only register additional biomethane if they are already ‘producing additional biomethane’. In practice this means that over the course of an entire quarter they must have injected (on average) above the level specified in their original NEA </w:t>
      </w:r>
      <w:r w:rsidRPr="00D11E88">
        <w:rPr>
          <w:rFonts w:ascii="Open Sans" w:hAnsi="Open Sans" w:cs="Open Sans"/>
          <w:b/>
          <w:bCs/>
          <w:lang w:eastAsia="en-GB"/>
        </w:rPr>
        <w:t>before</w:t>
      </w:r>
      <w:r w:rsidRPr="00D11E88">
        <w:rPr>
          <w:rFonts w:ascii="Open Sans" w:hAnsi="Open Sans" w:cs="Open Sans"/>
          <w:lang w:eastAsia="en-GB"/>
        </w:rPr>
        <w:t xml:space="preserve"> they can apply for that additional capacity. </w:t>
      </w:r>
    </w:p>
    <w:p w14:paraId="39D721E2" w14:textId="77777777" w:rsidR="001254C5" w:rsidRPr="00D11E88" w:rsidRDefault="001254C5" w:rsidP="001254C5">
      <w:pPr>
        <w:pStyle w:val="ListParagraph"/>
        <w:numPr>
          <w:ilvl w:val="0"/>
          <w:numId w:val="30"/>
        </w:numPr>
        <w:spacing w:before="120" w:after="120"/>
        <w:contextualSpacing w:val="0"/>
        <w:jc w:val="left"/>
        <w:rPr>
          <w:rFonts w:ascii="Open Sans" w:hAnsi="Open Sans" w:cs="Open Sans"/>
          <w:lang w:eastAsia="en-GB"/>
        </w:rPr>
      </w:pPr>
      <w:r w:rsidRPr="00D11E88">
        <w:rPr>
          <w:rFonts w:ascii="Open Sans" w:hAnsi="Open Sans" w:cs="Open Sans"/>
          <w:lang w:eastAsia="en-GB"/>
        </w:rPr>
        <w:t xml:space="preserve">there are many plants commissioned in 2014 and 2015 that sized the NEA much larger than they needed and gradually expanded. So additional capacity is happening but is not immediately visible. </w:t>
      </w:r>
    </w:p>
    <w:p w14:paraId="0D3BB073" w14:textId="77777777" w:rsidR="001254C5" w:rsidRPr="00D11E88" w:rsidRDefault="001254C5" w:rsidP="001254C5">
      <w:pPr>
        <w:spacing w:line="300" w:lineRule="atLeast"/>
        <w:rPr>
          <w:rFonts w:ascii="Open Sans" w:eastAsiaTheme="minorHAnsi" w:hAnsi="Open Sans" w:cs="Open Sans"/>
          <w:lang w:eastAsia="en-GB"/>
        </w:rPr>
      </w:pPr>
      <w:r w:rsidRPr="00D11E88">
        <w:rPr>
          <w:rFonts w:ascii="Open Sans" w:hAnsi="Open Sans" w:cs="Open Sans"/>
          <w:lang w:eastAsia="en-GB"/>
        </w:rPr>
        <w:t>Important considerations made by members are:</w:t>
      </w:r>
    </w:p>
    <w:p w14:paraId="45ECDAFB" w14:textId="77777777" w:rsidR="001254C5" w:rsidRPr="00D11E88" w:rsidRDefault="001254C5" w:rsidP="001254C5">
      <w:pPr>
        <w:spacing w:line="300" w:lineRule="atLeast"/>
        <w:rPr>
          <w:rFonts w:ascii="Open Sans" w:hAnsi="Open Sans" w:cs="Open Sans"/>
          <w:lang w:eastAsia="en-GB"/>
        </w:rPr>
      </w:pPr>
    </w:p>
    <w:p w14:paraId="2A99B9A9" w14:textId="77777777" w:rsidR="001254C5" w:rsidRPr="00D11E88" w:rsidRDefault="001254C5" w:rsidP="001254C5">
      <w:pPr>
        <w:spacing w:after="240"/>
        <w:rPr>
          <w:rFonts w:ascii="Open Sans" w:hAnsi="Open Sans" w:cs="Open Sans"/>
          <w:lang w:eastAsia="en-GB"/>
        </w:rPr>
      </w:pPr>
      <w:r w:rsidRPr="00D11E88">
        <w:rPr>
          <w:rFonts w:ascii="Open Sans" w:hAnsi="Open Sans" w:cs="Open Sans"/>
          <w:lang w:eastAsia="en-GB"/>
        </w:rPr>
        <w:t xml:space="preserve">Not allowing additional capacity for biomethane may push developers to book as much capacity in the network as possible at the beginning, and then potentially not use it for years until they are able to expand. </w:t>
      </w:r>
    </w:p>
    <w:p w14:paraId="66744024" w14:textId="77777777" w:rsidR="001254C5" w:rsidRPr="00D11E88" w:rsidRDefault="001254C5" w:rsidP="001254C5">
      <w:pPr>
        <w:spacing w:after="240"/>
        <w:rPr>
          <w:rFonts w:ascii="Open Sans" w:hAnsi="Open Sans" w:cs="Open Sans"/>
          <w:lang w:eastAsia="en-GB"/>
        </w:rPr>
      </w:pPr>
      <w:r w:rsidRPr="00D11E88">
        <w:rPr>
          <w:rFonts w:ascii="Open Sans" w:hAnsi="Open Sans" w:cs="Open Sans"/>
          <w:lang w:eastAsia="en-GB"/>
        </w:rPr>
        <w:lastRenderedPageBreak/>
        <w:t xml:space="preserve">Gas networks are reluctant to allocate capacity that is unlikely to be used in the medium term, and there are a number of measures being looked at that could increase grid capacity in general. There may also be specific changes locally that would enable a plant to inject more than was possible when it first applied to the scheme. In other words, a project could be well sized to local limitations initially but have potential to expand due to changing circumstances subsequently. </w:t>
      </w:r>
    </w:p>
    <w:p w14:paraId="14CD8451" w14:textId="77777777" w:rsidR="001254C5" w:rsidRPr="00A05F17" w:rsidRDefault="001254C5" w:rsidP="001254C5">
      <w:pPr>
        <w:rPr>
          <w:rFonts w:ascii="Open Sans" w:hAnsi="Open Sans" w:cs="Open Sans"/>
          <w:b/>
          <w:bCs/>
        </w:rPr>
      </w:pPr>
      <w:bookmarkStart w:id="51" w:name="_Hlk44428192"/>
      <w:r w:rsidRPr="00A05F17">
        <w:rPr>
          <w:rFonts w:ascii="Open Sans" w:hAnsi="Open Sans" w:cs="Open Sans"/>
          <w:b/>
          <w:bCs/>
        </w:rPr>
        <w:t>We propose that an additional capacity mechanism should be introduced for the GGSS. Rather than the existing RHI requirements, the scheme participant should be able to apply for this without a requirement to have injected at this level for a prolonged period before they can apply. We suggest that a participant should be able to apply by submitting to Ofgem the amended NEA showing the increased level they are allowed to inject at. Ofgem should make every effort to ensure that this change is processed and approved swiftly, on the assumption that no other material changes are made to the participant’s project.</w:t>
      </w:r>
    </w:p>
    <w:bookmarkEnd w:id="51"/>
    <w:p w14:paraId="33D554C6" w14:textId="2DDED527" w:rsidR="001254C5" w:rsidRDefault="001254C5" w:rsidP="00CD42E0">
      <w:pPr>
        <w:rPr>
          <w:rFonts w:ascii="Open Sans" w:hAnsi="Open Sans" w:cs="Open Sans"/>
          <w:szCs w:val="22"/>
        </w:rPr>
      </w:pPr>
    </w:p>
    <w:p w14:paraId="367F1704" w14:textId="77777777" w:rsidR="001254C5" w:rsidRPr="001254C5" w:rsidRDefault="001254C5" w:rsidP="001254C5">
      <w:pPr>
        <w:spacing w:after="160" w:line="259" w:lineRule="auto"/>
        <w:jc w:val="left"/>
        <w:rPr>
          <w:rFonts w:ascii="Open Sans" w:hAnsi="Open Sans" w:cs="Open Sans"/>
          <w:b/>
          <w:bCs/>
          <w:i/>
          <w:iCs/>
          <w:color w:val="2F5496"/>
          <w:szCs w:val="22"/>
        </w:rPr>
      </w:pPr>
      <w:r w:rsidRPr="001254C5">
        <w:rPr>
          <w:rFonts w:ascii="Open Sans" w:hAnsi="Open Sans" w:cs="Open Sans"/>
          <w:b/>
          <w:bCs/>
          <w:i/>
          <w:iCs/>
          <w:color w:val="2F5496"/>
          <w:szCs w:val="22"/>
        </w:rPr>
        <w:t>Consultation Question 15 - Do you have any views on how a change of scheme participant mechanism may differ in the Green Gas Support Scheme to the RHI? Yes/No. Please provide evidence to support your response. </w:t>
      </w:r>
    </w:p>
    <w:p w14:paraId="3A30B27F" w14:textId="77777777" w:rsidR="001254C5" w:rsidRDefault="001254C5" w:rsidP="001254C5">
      <w:pPr>
        <w:rPr>
          <w:rFonts w:ascii="Open Sans" w:hAnsi="Open Sans" w:cs="Open Sans"/>
          <w:szCs w:val="22"/>
          <w:lang w:eastAsia="en-GB"/>
        </w:rPr>
      </w:pPr>
      <w:r>
        <w:rPr>
          <w:rFonts w:ascii="Open Sans" w:hAnsi="Open Sans" w:cs="Open Sans"/>
          <w:szCs w:val="22"/>
          <w:lang w:eastAsia="en-GB"/>
        </w:rPr>
        <w:t xml:space="preserve">Yes. </w:t>
      </w:r>
    </w:p>
    <w:p w14:paraId="793C8468" w14:textId="77777777" w:rsidR="001254C5" w:rsidRPr="005365EE" w:rsidRDefault="001254C5" w:rsidP="001254C5">
      <w:pPr>
        <w:rPr>
          <w:rFonts w:ascii="Open Sans" w:hAnsi="Open Sans" w:cs="Open Sans"/>
          <w:szCs w:val="22"/>
          <w:lang w:eastAsia="en-GB"/>
        </w:rPr>
      </w:pPr>
    </w:p>
    <w:p w14:paraId="21B0748E" w14:textId="77777777" w:rsidR="001254C5" w:rsidRPr="00D04CDA" w:rsidRDefault="001254C5" w:rsidP="001254C5">
      <w:pPr>
        <w:spacing w:before="120" w:after="120"/>
        <w:rPr>
          <w:rFonts w:ascii="Open Sans" w:hAnsi="Open Sans" w:cs="Open Sans"/>
          <w:b/>
          <w:bCs/>
          <w:szCs w:val="22"/>
          <w:lang w:eastAsia="en-GB"/>
        </w:rPr>
      </w:pPr>
      <w:bookmarkStart w:id="52" w:name="_Hlk43720808"/>
      <w:r w:rsidRPr="00D04CDA">
        <w:rPr>
          <w:rFonts w:ascii="Open Sans" w:hAnsi="Open Sans" w:cs="Open Sans"/>
          <w:b/>
          <w:bCs/>
          <w:szCs w:val="22"/>
          <w:lang w:eastAsia="en-GB"/>
        </w:rPr>
        <w:t xml:space="preserve">Firstly, we support allowing for mechanism under the Green Gas Support Scheme (and the RHI) that enables a change of scheme participant as this is key to avoid stranded assets. </w:t>
      </w:r>
    </w:p>
    <w:bookmarkEnd w:id="52"/>
    <w:p w14:paraId="09743F49" w14:textId="77777777" w:rsidR="001254C5" w:rsidRPr="005365EE" w:rsidRDefault="001254C5" w:rsidP="001254C5">
      <w:pPr>
        <w:spacing w:before="120" w:after="120"/>
        <w:rPr>
          <w:rFonts w:ascii="Open Sans" w:hAnsi="Open Sans" w:cs="Open Sans"/>
          <w:szCs w:val="22"/>
          <w:lang w:eastAsia="en-GB"/>
        </w:rPr>
      </w:pPr>
      <w:r w:rsidRPr="005365EE">
        <w:rPr>
          <w:rFonts w:ascii="Open Sans" w:hAnsi="Open Sans" w:cs="Open Sans"/>
          <w:szCs w:val="22"/>
          <w:lang w:eastAsia="en-GB"/>
        </w:rPr>
        <w:t xml:space="preserve">Feedback from members is that under the RHI participants are allowed to sell the project company. This is not an issue if the project is financially healthy. However, the problem arises when the company is not financially sound (for example, has gone into administration). In that case, no other company would want to buy it.  </w:t>
      </w:r>
    </w:p>
    <w:p w14:paraId="4BAC82E0" w14:textId="77777777" w:rsidR="001254C5" w:rsidRPr="005365EE" w:rsidRDefault="001254C5" w:rsidP="001254C5">
      <w:pPr>
        <w:spacing w:before="120" w:after="120"/>
        <w:rPr>
          <w:rFonts w:ascii="Open Sans" w:hAnsi="Open Sans" w:cs="Open Sans"/>
          <w:szCs w:val="22"/>
          <w:lang w:eastAsia="en-GB"/>
        </w:rPr>
      </w:pPr>
      <w:r w:rsidRPr="005365EE">
        <w:rPr>
          <w:rFonts w:ascii="Open Sans" w:hAnsi="Open Sans" w:cs="Open Sans"/>
          <w:szCs w:val="22"/>
          <w:lang w:eastAsia="en-GB"/>
        </w:rPr>
        <w:t xml:space="preserve">Thus, what is key is to be able to transfer the RHI/GGSS to a clean new SPV: this addresses the issue and it means the assets can be reused. There have been a number of stranded assets to date as a result of the inability to do this. </w:t>
      </w:r>
    </w:p>
    <w:p w14:paraId="34259D6C" w14:textId="77777777" w:rsidR="001254C5" w:rsidRPr="005365EE" w:rsidRDefault="001254C5" w:rsidP="001254C5">
      <w:pPr>
        <w:spacing w:after="240"/>
        <w:rPr>
          <w:rFonts w:ascii="Open Sans" w:hAnsi="Open Sans" w:cs="Open Sans"/>
          <w:szCs w:val="22"/>
          <w:lang w:eastAsia="en-GB"/>
        </w:rPr>
      </w:pPr>
      <w:r w:rsidRPr="005365EE">
        <w:rPr>
          <w:rFonts w:ascii="Open Sans" w:hAnsi="Open Sans" w:cs="Open Sans"/>
          <w:szCs w:val="22"/>
          <w:lang w:eastAsia="en-GB"/>
        </w:rPr>
        <w:t xml:space="preserve">Given the above, authorisation requirements from transferor and transferee are key to the transfer, but we understand from members no other elements of the existing project registration should change. </w:t>
      </w:r>
    </w:p>
    <w:p w14:paraId="22150E1B" w14:textId="77777777" w:rsidR="001254C5" w:rsidRPr="005365EE" w:rsidRDefault="001254C5" w:rsidP="001254C5">
      <w:pPr>
        <w:spacing w:after="240"/>
        <w:rPr>
          <w:rFonts w:ascii="Open Sans" w:hAnsi="Open Sans" w:cs="Open Sans"/>
          <w:szCs w:val="22"/>
          <w:lang w:eastAsia="en-GB"/>
        </w:rPr>
      </w:pPr>
      <w:r w:rsidRPr="005365EE">
        <w:rPr>
          <w:rFonts w:ascii="Open Sans" w:hAnsi="Open Sans" w:cs="Open Sans"/>
          <w:szCs w:val="22"/>
          <w:lang w:eastAsia="en-GB"/>
        </w:rPr>
        <w:t xml:space="preserve">A member also suggested that BEIS could set a definition of an installation and include the term 'Gemini Code' which is its unique identity code used to allow a plant to inject into the gas network., similar to the MPAN under FIT. Provided certain unique parameters don't change (post code, Gemini Code) you can then transfer the scheme to new companies. </w:t>
      </w:r>
    </w:p>
    <w:p w14:paraId="1CCADB6E" w14:textId="77777777" w:rsidR="001254C5" w:rsidRPr="005365EE" w:rsidRDefault="001254C5" w:rsidP="001254C5">
      <w:pPr>
        <w:spacing w:after="240"/>
        <w:rPr>
          <w:rFonts w:ascii="Open Sans" w:hAnsi="Open Sans" w:cs="Open Sans"/>
          <w:color w:val="FF0000"/>
          <w:szCs w:val="22"/>
          <w:lang w:eastAsia="en-GB"/>
        </w:rPr>
      </w:pPr>
      <w:r w:rsidRPr="005365EE">
        <w:rPr>
          <w:rFonts w:ascii="Open Sans" w:hAnsi="Open Sans" w:cs="Open Sans"/>
          <w:szCs w:val="22"/>
          <w:lang w:eastAsia="en-GB"/>
        </w:rPr>
        <w:t xml:space="preserve">A sensible and pragmatic approach to replacement of existing equipment should also be included in the Green Gas Support Scheme. </w:t>
      </w:r>
    </w:p>
    <w:p w14:paraId="7F9798BA" w14:textId="77777777" w:rsidR="001254C5" w:rsidRPr="001254C5" w:rsidRDefault="001254C5" w:rsidP="001254C5">
      <w:pPr>
        <w:spacing w:after="160" w:line="259" w:lineRule="auto"/>
        <w:jc w:val="left"/>
        <w:rPr>
          <w:rFonts w:ascii="Open Sans" w:hAnsi="Open Sans" w:cs="Open Sans"/>
          <w:b/>
          <w:bCs/>
          <w:i/>
          <w:iCs/>
          <w:color w:val="2F5496"/>
          <w:szCs w:val="22"/>
        </w:rPr>
      </w:pPr>
      <w:r w:rsidRPr="001254C5">
        <w:rPr>
          <w:rFonts w:ascii="Open Sans" w:hAnsi="Open Sans" w:cs="Open Sans"/>
          <w:b/>
          <w:bCs/>
          <w:i/>
          <w:iCs/>
          <w:color w:val="2F5496"/>
          <w:szCs w:val="22"/>
        </w:rPr>
        <w:lastRenderedPageBreak/>
        <w:t>Consultation Question 16 - Do you agree with the proposal to not allow any interaction between the RHI and the Green Gas Support Scheme? Yes/No. Please provide evidence to support your response. </w:t>
      </w:r>
    </w:p>
    <w:p w14:paraId="27E3014A" w14:textId="77777777" w:rsidR="001254C5" w:rsidRPr="005365EE" w:rsidRDefault="001254C5" w:rsidP="001254C5">
      <w:pPr>
        <w:rPr>
          <w:rFonts w:ascii="Open Sans" w:hAnsi="Open Sans" w:cs="Open Sans"/>
          <w:color w:val="0070C0"/>
          <w:szCs w:val="22"/>
          <w:lang w:eastAsia="en-GB"/>
        </w:rPr>
      </w:pPr>
      <w:r w:rsidRPr="005365EE">
        <w:rPr>
          <w:rFonts w:ascii="Open Sans" w:hAnsi="Open Sans" w:cs="Open Sans"/>
          <w:szCs w:val="22"/>
          <w:lang w:eastAsia="en-GB"/>
        </w:rPr>
        <w:t>No</w:t>
      </w:r>
      <w:r w:rsidRPr="005365EE">
        <w:rPr>
          <w:rFonts w:ascii="Open Sans" w:hAnsi="Open Sans" w:cs="Open Sans"/>
          <w:color w:val="0070C0"/>
          <w:szCs w:val="22"/>
          <w:lang w:eastAsia="en-GB"/>
        </w:rPr>
        <w:t xml:space="preserve"> </w:t>
      </w:r>
    </w:p>
    <w:p w14:paraId="4AB534C5" w14:textId="77777777" w:rsidR="001254C5" w:rsidRPr="005365EE" w:rsidRDefault="001254C5" w:rsidP="001254C5">
      <w:pPr>
        <w:rPr>
          <w:rFonts w:ascii="Open Sans" w:hAnsi="Open Sans" w:cs="Open Sans"/>
          <w:color w:val="0070C0"/>
          <w:szCs w:val="22"/>
          <w:lang w:eastAsia="en-GB"/>
        </w:rPr>
      </w:pPr>
    </w:p>
    <w:p w14:paraId="24B64EF2" w14:textId="77777777" w:rsidR="001254C5" w:rsidRPr="00D04CDA" w:rsidRDefault="001254C5" w:rsidP="001254C5">
      <w:pPr>
        <w:spacing w:after="240"/>
        <w:rPr>
          <w:rFonts w:ascii="Open Sans" w:hAnsi="Open Sans" w:cs="Open Sans"/>
          <w:b/>
          <w:bCs/>
          <w:szCs w:val="22"/>
          <w:lang w:eastAsia="en-GB"/>
        </w:rPr>
      </w:pPr>
      <w:bookmarkStart w:id="53" w:name="_Hlk43720853"/>
      <w:r w:rsidRPr="00D04CDA">
        <w:rPr>
          <w:rFonts w:ascii="Open Sans" w:hAnsi="Open Sans" w:cs="Open Sans"/>
          <w:b/>
          <w:bCs/>
          <w:szCs w:val="22"/>
          <w:lang w:eastAsia="en-GB"/>
        </w:rPr>
        <w:t xml:space="preserve">As highlighted above, the Scheme should allow expansions from existing AD plants (electricity only, biogas heat/CHP plants supported under the RHI or biomethane plants supported under the RHI). </w:t>
      </w:r>
    </w:p>
    <w:p w14:paraId="00FF6A8B" w14:textId="77777777" w:rsidR="001254C5" w:rsidRPr="00D04CDA" w:rsidRDefault="001254C5" w:rsidP="001254C5">
      <w:pPr>
        <w:spacing w:after="240"/>
        <w:rPr>
          <w:rFonts w:ascii="Open Sans" w:hAnsi="Open Sans" w:cs="Open Sans"/>
          <w:szCs w:val="22"/>
          <w:lang w:eastAsia="en-GB"/>
        </w:rPr>
      </w:pPr>
      <w:r w:rsidRPr="00D04CDA">
        <w:rPr>
          <w:rFonts w:ascii="Open Sans" w:hAnsi="Open Sans" w:cs="Open Sans"/>
          <w:szCs w:val="22"/>
          <w:lang w:eastAsia="en-GB"/>
        </w:rPr>
        <w:t xml:space="preserve">As explained below, expansions of existing plants would be extremely beneficial in value for money terms. </w:t>
      </w:r>
    </w:p>
    <w:bookmarkEnd w:id="53"/>
    <w:p w14:paraId="61A6F4B1" w14:textId="77777777" w:rsidR="001254C5" w:rsidRPr="005365EE" w:rsidRDefault="001254C5" w:rsidP="001254C5">
      <w:pPr>
        <w:spacing w:after="240"/>
        <w:rPr>
          <w:rFonts w:ascii="Open Sans" w:hAnsi="Open Sans" w:cs="Open Sans"/>
          <w:szCs w:val="22"/>
          <w:lang w:eastAsia="en-GB"/>
        </w:rPr>
      </w:pPr>
      <w:r w:rsidRPr="005365EE">
        <w:rPr>
          <w:rFonts w:ascii="Open Sans" w:hAnsi="Open Sans" w:cs="Open Sans"/>
          <w:szCs w:val="22"/>
          <w:lang w:eastAsia="en-GB"/>
        </w:rPr>
        <w:t xml:space="preserve">A member highlighted it should not be a problem from an administrative point of view (it would sufficient to assess the combined biomethane output from the original plants and the expansion and verify which GGSS Tiers it falls under. In addition, from an administrative perspective it would be no more difficult than under the interaction with the RTFO. </w:t>
      </w:r>
    </w:p>
    <w:p w14:paraId="1B427C2B" w14:textId="77777777" w:rsidR="001254C5" w:rsidRPr="001254C5" w:rsidRDefault="001254C5" w:rsidP="001254C5">
      <w:pPr>
        <w:spacing w:after="160" w:line="259" w:lineRule="auto"/>
        <w:jc w:val="left"/>
        <w:rPr>
          <w:rFonts w:ascii="Open Sans" w:hAnsi="Open Sans" w:cs="Open Sans"/>
          <w:b/>
          <w:bCs/>
          <w:i/>
          <w:iCs/>
          <w:color w:val="2F5496"/>
          <w:szCs w:val="22"/>
        </w:rPr>
      </w:pPr>
      <w:r w:rsidRPr="001254C5">
        <w:rPr>
          <w:rFonts w:ascii="Open Sans" w:hAnsi="Open Sans" w:cs="Open Sans"/>
          <w:b/>
          <w:bCs/>
          <w:i/>
          <w:iCs/>
          <w:color w:val="2F5496"/>
          <w:szCs w:val="22"/>
        </w:rPr>
        <w:t>Consultation Question 17 - Do you agree with our proposal to allow biomethane producers to decide how much biomethane they wish to claim Green Gas Support Scheme payments for within a given quarter? Yes/No. Please provide evidence to support your response or provide an alternative proposal for scheme interaction.</w:t>
      </w:r>
    </w:p>
    <w:p w14:paraId="0E0504B7" w14:textId="77777777" w:rsidR="001254C5" w:rsidRPr="005365EE" w:rsidRDefault="001254C5" w:rsidP="001254C5">
      <w:pPr>
        <w:rPr>
          <w:rFonts w:ascii="Open Sans" w:hAnsi="Open Sans" w:cs="Open Sans"/>
          <w:szCs w:val="22"/>
          <w:lang w:eastAsia="en-GB"/>
        </w:rPr>
      </w:pPr>
      <w:r w:rsidRPr="005365EE">
        <w:rPr>
          <w:rFonts w:ascii="Open Sans" w:hAnsi="Open Sans" w:cs="Open Sans"/>
          <w:szCs w:val="22"/>
          <w:lang w:eastAsia="en-GB"/>
        </w:rPr>
        <w:t xml:space="preserve">Yes </w:t>
      </w:r>
    </w:p>
    <w:p w14:paraId="7192A962" w14:textId="77777777" w:rsidR="001254C5" w:rsidRPr="005365EE" w:rsidRDefault="001254C5" w:rsidP="001254C5">
      <w:pPr>
        <w:ind w:left="720"/>
        <w:rPr>
          <w:rFonts w:ascii="Open Sans" w:hAnsi="Open Sans" w:cs="Open Sans"/>
          <w:szCs w:val="22"/>
          <w:lang w:eastAsia="en-GB"/>
        </w:rPr>
      </w:pPr>
    </w:p>
    <w:p w14:paraId="22790AB1" w14:textId="77777777" w:rsidR="001254C5" w:rsidRPr="00D04CDA" w:rsidRDefault="001254C5" w:rsidP="001254C5">
      <w:pPr>
        <w:spacing w:after="240"/>
        <w:rPr>
          <w:rFonts w:ascii="Open Sans" w:hAnsi="Open Sans" w:cs="Open Sans"/>
          <w:b/>
          <w:bCs/>
          <w:szCs w:val="22"/>
          <w:lang w:eastAsia="en-GB"/>
        </w:rPr>
      </w:pPr>
      <w:bookmarkStart w:id="54" w:name="_Hlk43720863"/>
      <w:r w:rsidRPr="00D04CDA">
        <w:rPr>
          <w:rFonts w:ascii="Open Sans" w:hAnsi="Open Sans" w:cs="Open Sans"/>
          <w:b/>
          <w:bCs/>
          <w:szCs w:val="22"/>
          <w:lang w:eastAsia="en-GB"/>
        </w:rPr>
        <w:t>We very much welcome this proposal, as this is something we have been advocating for a long time. We agree with the consultation document</w:t>
      </w:r>
      <w:r w:rsidRPr="00D04CDA">
        <w:rPr>
          <w:rFonts w:ascii="Open Sans" w:hAnsi="Open Sans" w:cs="Open Sans" w:hint="eastAsia"/>
          <w:b/>
          <w:bCs/>
          <w:szCs w:val="22"/>
          <w:lang w:eastAsia="en-GB"/>
        </w:rPr>
        <w:t>’</w:t>
      </w:r>
      <w:r w:rsidRPr="00D04CDA">
        <w:rPr>
          <w:rFonts w:ascii="Open Sans" w:hAnsi="Open Sans" w:cs="Open Sans"/>
          <w:b/>
          <w:bCs/>
          <w:szCs w:val="22"/>
          <w:lang w:eastAsia="en-GB"/>
        </w:rPr>
        <w:t>s analysis that the current situation restricts the potential for producers to benefit from diversified revenue streams and can disincentivise production from some plant.</w:t>
      </w:r>
      <w:r w:rsidRPr="00D04CDA">
        <w:rPr>
          <w:rFonts w:ascii="Open Sans" w:hAnsi="Open Sans" w:cs="Open Sans" w:hint="eastAsia"/>
          <w:b/>
          <w:bCs/>
          <w:szCs w:val="22"/>
          <w:lang w:eastAsia="en-GB"/>
        </w:rPr>
        <w:t> </w:t>
      </w:r>
      <w:r w:rsidRPr="00D04CDA">
        <w:rPr>
          <w:rFonts w:ascii="Open Sans" w:hAnsi="Open Sans" w:cs="Open Sans"/>
          <w:b/>
          <w:bCs/>
          <w:szCs w:val="22"/>
          <w:lang w:eastAsia="en-GB"/>
        </w:rPr>
        <w:t xml:space="preserve"> We anticipate this change will result in significant additional biomethane injection from existing biomethane injection facilities as well as enabling any new projects joining the scheme to optimise their output.</w:t>
      </w:r>
    </w:p>
    <w:bookmarkEnd w:id="54"/>
    <w:p w14:paraId="189BE5F8" w14:textId="77777777" w:rsidR="001254C5" w:rsidRPr="005365EE" w:rsidRDefault="001254C5" w:rsidP="001254C5">
      <w:pPr>
        <w:spacing w:after="240"/>
        <w:rPr>
          <w:rFonts w:ascii="Open Sans" w:hAnsi="Open Sans" w:cs="Open Sans"/>
          <w:szCs w:val="22"/>
          <w:lang w:eastAsia="en-GB"/>
        </w:rPr>
      </w:pPr>
      <w:r w:rsidRPr="005365EE">
        <w:rPr>
          <w:rFonts w:ascii="Open Sans" w:hAnsi="Open Sans" w:cs="Open Sans"/>
          <w:szCs w:val="22"/>
          <w:lang w:eastAsia="en-GB"/>
        </w:rPr>
        <w:t xml:space="preserve">It will also make more biomethane available to the transport sector than has been supplied to date. </w:t>
      </w:r>
    </w:p>
    <w:p w14:paraId="2FD22161" w14:textId="77777777" w:rsidR="001254C5" w:rsidRPr="005365EE" w:rsidRDefault="001254C5" w:rsidP="001254C5">
      <w:pPr>
        <w:spacing w:after="240"/>
        <w:rPr>
          <w:rFonts w:ascii="Open Sans" w:hAnsi="Open Sans" w:cs="Open Sans"/>
          <w:szCs w:val="22"/>
          <w:lang w:eastAsia="en-GB"/>
        </w:rPr>
      </w:pPr>
      <w:r w:rsidRPr="005365EE">
        <w:rPr>
          <w:rFonts w:ascii="Open Sans" w:hAnsi="Open Sans" w:cs="Open Sans"/>
          <w:szCs w:val="22"/>
          <w:lang w:eastAsia="en-GB"/>
        </w:rPr>
        <w:t>From a practical point of view, a key issue is related to the deductions of propane energy (and potentially heat supplied to biomethane production process). A general/typical figure could be used, but this would not be 100% accurate as propane addition rates vary - both across the country and over time for a given site.</w:t>
      </w:r>
    </w:p>
    <w:p w14:paraId="2B574840" w14:textId="77777777" w:rsidR="001254C5" w:rsidRPr="005365EE" w:rsidRDefault="001254C5" w:rsidP="001254C5">
      <w:pPr>
        <w:spacing w:after="240"/>
        <w:rPr>
          <w:rFonts w:ascii="Open Sans" w:hAnsi="Open Sans" w:cs="Open Sans"/>
          <w:szCs w:val="22"/>
          <w:lang w:eastAsia="en-GB"/>
        </w:rPr>
      </w:pPr>
      <w:r w:rsidRPr="005365EE">
        <w:rPr>
          <w:rFonts w:ascii="Open Sans" w:hAnsi="Open Sans" w:cs="Open Sans"/>
          <w:szCs w:val="22"/>
          <w:lang w:eastAsia="en-GB"/>
        </w:rPr>
        <w:t xml:space="preserve">A more suitable way forward could be to ask the producer to submit meter readings for the date they wish to draw the line for biomethane, propane (and external heat) ie everything before that date is RHI/GGSS, everything after is RTFO. This should not be too much of a administrative burden for the operator as they can take regular readings and can choose at point of making GGSS/RHI quarterly returns where they draw the line. This will need to be spell out in the regulations rather than leave Ofgem to check. </w:t>
      </w:r>
    </w:p>
    <w:p w14:paraId="4E7B9A10" w14:textId="77777777" w:rsidR="001254C5" w:rsidRPr="005365EE" w:rsidRDefault="001254C5" w:rsidP="001254C5">
      <w:pPr>
        <w:spacing w:after="240"/>
        <w:rPr>
          <w:rFonts w:ascii="Open Sans" w:hAnsi="Open Sans" w:cs="Open Sans"/>
          <w:szCs w:val="22"/>
          <w:lang w:eastAsia="en-GB"/>
        </w:rPr>
      </w:pPr>
      <w:bookmarkStart w:id="55" w:name="_Hlk43720875"/>
      <w:r w:rsidRPr="005365EE">
        <w:rPr>
          <w:rFonts w:ascii="Open Sans" w:hAnsi="Open Sans" w:cs="Open Sans"/>
          <w:szCs w:val="22"/>
          <w:lang w:eastAsia="en-GB"/>
        </w:rPr>
        <w:lastRenderedPageBreak/>
        <w:t xml:space="preserve">Finally, </w:t>
      </w:r>
      <w:r w:rsidRPr="005365EE">
        <w:rPr>
          <w:rFonts w:ascii="Open Sans" w:hAnsi="Open Sans" w:cs="Open Sans"/>
          <w:b/>
          <w:bCs/>
          <w:szCs w:val="22"/>
          <w:lang w:eastAsia="en-GB"/>
        </w:rPr>
        <w:t>we recommend that Government explores the possibility of setting up central registry of green/low carbon gas injection data</w:t>
      </w:r>
      <w:r w:rsidRPr="005365EE">
        <w:rPr>
          <w:rFonts w:ascii="Open Sans" w:hAnsi="Open Sans" w:cs="Open Sans"/>
          <w:szCs w:val="22"/>
          <w:lang w:eastAsia="en-GB"/>
        </w:rPr>
        <w:t>, based on secure and independent data provided by the existing GEMINI system. Green/Low Carbon gas producers could then access this registry, provide verification of GHG values and allocate volumes of gas to different support schemes. Administrators of the RTFO, RHI, Renewable Gas Obligation Certificates and Guarantees of Origin could all receive information from this registry which would eliminate the risk of double counting. Relevant bodies should discuss who is best placed to operate such a registry and work together with the aim of minimising administration costs across all support schemes as well as the compliance cost to the gas producers. Clear rules will be needed on the interaction of the obligation and any disclosure to customer of GHG levels of gas supplied (which should/must be done via a GoO system).</w:t>
      </w:r>
    </w:p>
    <w:bookmarkEnd w:id="55"/>
    <w:p w14:paraId="58A3F808" w14:textId="366249DC" w:rsidR="001254C5" w:rsidRPr="001254C5" w:rsidRDefault="001254C5" w:rsidP="001254C5">
      <w:pPr>
        <w:spacing w:after="160" w:line="259" w:lineRule="auto"/>
        <w:jc w:val="left"/>
        <w:rPr>
          <w:rFonts w:ascii="Open Sans" w:hAnsi="Open Sans" w:cs="Open Sans"/>
          <w:b/>
          <w:bCs/>
          <w:i/>
          <w:iCs/>
          <w:color w:val="2F5496"/>
          <w:szCs w:val="22"/>
        </w:rPr>
      </w:pPr>
      <w:r w:rsidRPr="001254C5">
        <w:rPr>
          <w:rFonts w:ascii="Open Sans" w:hAnsi="Open Sans" w:cs="Open Sans"/>
          <w:b/>
          <w:bCs/>
          <w:i/>
          <w:iCs/>
          <w:color w:val="2F5496"/>
          <w:szCs w:val="22"/>
        </w:rPr>
        <w:t>Consultation Question 18 - What are the main barriers to the deployment of biomethane AD plants and what potential solutions could help to overcome these? </w:t>
      </w:r>
    </w:p>
    <w:p w14:paraId="5028B340" w14:textId="77777777" w:rsidR="001254C5" w:rsidRPr="005365EE" w:rsidRDefault="001254C5" w:rsidP="001254C5">
      <w:pPr>
        <w:rPr>
          <w:rFonts w:ascii="Open Sans" w:hAnsi="Open Sans" w:cs="Open Sans"/>
          <w:szCs w:val="22"/>
          <w:lang w:eastAsia="en-GB"/>
        </w:rPr>
      </w:pPr>
      <w:r w:rsidRPr="005365EE">
        <w:rPr>
          <w:rFonts w:ascii="Open Sans" w:hAnsi="Open Sans" w:cs="Open Sans"/>
          <w:szCs w:val="22"/>
          <w:lang w:eastAsia="en-GB"/>
        </w:rPr>
        <w:t>Barriers include:</w:t>
      </w:r>
    </w:p>
    <w:p w14:paraId="44718BDF" w14:textId="77777777" w:rsidR="001254C5" w:rsidRPr="005365EE" w:rsidRDefault="001254C5" w:rsidP="001254C5">
      <w:pPr>
        <w:rPr>
          <w:rFonts w:ascii="Open Sans" w:hAnsi="Open Sans" w:cs="Open Sans"/>
          <w:szCs w:val="22"/>
          <w:lang w:eastAsia="en-GB"/>
        </w:rPr>
      </w:pPr>
    </w:p>
    <w:p w14:paraId="530FB9E2" w14:textId="77777777" w:rsidR="001254C5" w:rsidRPr="005365EE" w:rsidRDefault="001254C5" w:rsidP="001254C5">
      <w:pPr>
        <w:rPr>
          <w:rFonts w:ascii="Open Sans" w:hAnsi="Open Sans" w:cs="Open Sans"/>
          <w:b/>
          <w:bCs/>
          <w:szCs w:val="22"/>
          <w:lang w:eastAsia="en-GB"/>
        </w:rPr>
      </w:pPr>
      <w:r w:rsidRPr="005365EE">
        <w:rPr>
          <w:rFonts w:ascii="Open Sans" w:hAnsi="Open Sans" w:cs="Open Sans"/>
          <w:b/>
          <w:bCs/>
          <w:szCs w:val="22"/>
          <w:lang w:eastAsia="en-GB"/>
        </w:rPr>
        <w:t xml:space="preserve">Capital and operational costs of AD are significant and are unlikely to see significant reductions in the future </w:t>
      </w:r>
    </w:p>
    <w:p w14:paraId="1D5B0512" w14:textId="77777777" w:rsidR="001254C5" w:rsidRPr="005365EE" w:rsidRDefault="001254C5" w:rsidP="001254C5">
      <w:pPr>
        <w:rPr>
          <w:rFonts w:ascii="Open Sans" w:hAnsi="Open Sans" w:cs="Open Sans"/>
          <w:szCs w:val="22"/>
          <w:lang w:eastAsia="en-GB"/>
        </w:rPr>
      </w:pPr>
      <w:r w:rsidRPr="005365EE">
        <w:rPr>
          <w:rFonts w:ascii="Open Sans" w:hAnsi="Open Sans" w:cs="Open Sans"/>
          <w:szCs w:val="22"/>
          <w:lang w:eastAsia="en-GB"/>
        </w:rPr>
        <w:t xml:space="preserve">The high capital costs of AD definitely present a barrier to the uptake of this technology. </w:t>
      </w:r>
    </w:p>
    <w:p w14:paraId="47DE4194" w14:textId="77777777" w:rsidR="001254C5" w:rsidRPr="005365EE" w:rsidRDefault="001254C5" w:rsidP="001254C5">
      <w:pPr>
        <w:rPr>
          <w:rFonts w:ascii="Open Sans" w:hAnsi="Open Sans" w:cs="Open Sans"/>
          <w:szCs w:val="22"/>
          <w:lang w:eastAsia="en-GB"/>
        </w:rPr>
      </w:pPr>
      <w:r w:rsidRPr="005365EE">
        <w:rPr>
          <w:rFonts w:ascii="Open Sans" w:hAnsi="Open Sans" w:cs="Open Sans"/>
          <w:szCs w:val="22"/>
          <w:lang w:eastAsia="en-GB"/>
        </w:rPr>
        <w:t xml:space="preserve">AD realises on a range of raw materials and components like concrete or aggregates all of which are driven by price inflation and plant such as CHP which are easily deployed for other projects unlike solar/wind turbines. Cost reductions have not happened quickly and we ae unlikely to see significant reductions in capex in the future. </w:t>
      </w:r>
    </w:p>
    <w:p w14:paraId="3486B3E4" w14:textId="77777777" w:rsidR="001254C5" w:rsidRPr="005365EE" w:rsidRDefault="001254C5" w:rsidP="001254C5">
      <w:pPr>
        <w:rPr>
          <w:rFonts w:ascii="Open Sans" w:hAnsi="Open Sans" w:cs="Open Sans"/>
          <w:szCs w:val="22"/>
          <w:lang w:eastAsia="en-GB"/>
        </w:rPr>
      </w:pPr>
      <w:r w:rsidRPr="005365EE">
        <w:rPr>
          <w:rFonts w:ascii="Open Sans" w:hAnsi="Open Sans" w:cs="Open Sans"/>
          <w:szCs w:val="22"/>
          <w:lang w:eastAsia="en-GB"/>
        </w:rPr>
        <w:t xml:space="preserve">AD is also a technology that has ongoing operational costs and these are generally increasing as a result of an increased level of scrutiny and stricter requirements from the environmental regulators. </w:t>
      </w:r>
    </w:p>
    <w:p w14:paraId="2EB00599" w14:textId="77777777" w:rsidR="001254C5" w:rsidRPr="005365EE" w:rsidRDefault="001254C5" w:rsidP="001254C5">
      <w:pPr>
        <w:rPr>
          <w:rFonts w:ascii="Open Sans" w:hAnsi="Open Sans" w:cs="Open Sans"/>
          <w:szCs w:val="22"/>
          <w:lang w:eastAsia="en-GB"/>
        </w:rPr>
      </w:pPr>
    </w:p>
    <w:p w14:paraId="31D39B45" w14:textId="77777777" w:rsidR="001254C5" w:rsidRPr="005365EE" w:rsidRDefault="001254C5" w:rsidP="001254C5">
      <w:pPr>
        <w:rPr>
          <w:rFonts w:ascii="Open Sans" w:hAnsi="Open Sans" w:cs="Open Sans"/>
          <w:b/>
          <w:bCs/>
          <w:szCs w:val="22"/>
          <w:lang w:eastAsia="en-GB"/>
        </w:rPr>
      </w:pPr>
      <w:r w:rsidRPr="005365EE">
        <w:rPr>
          <w:rFonts w:ascii="Open Sans" w:hAnsi="Open Sans" w:cs="Open Sans"/>
          <w:b/>
          <w:bCs/>
          <w:szCs w:val="22"/>
          <w:lang w:eastAsia="en-GB"/>
        </w:rPr>
        <w:t xml:space="preserve">Ofgem are considered one of the largest barriers to the deployment of renewable heat projects. </w:t>
      </w:r>
    </w:p>
    <w:p w14:paraId="1DF873FF" w14:textId="77777777" w:rsidR="001254C5" w:rsidRPr="005365EE" w:rsidRDefault="001254C5" w:rsidP="001254C5">
      <w:pPr>
        <w:rPr>
          <w:rFonts w:ascii="Open Sans" w:hAnsi="Open Sans" w:cs="Open Sans"/>
          <w:szCs w:val="22"/>
          <w:lang w:eastAsia="en-GB"/>
        </w:rPr>
      </w:pPr>
      <w:r w:rsidRPr="005365EE">
        <w:rPr>
          <w:rFonts w:ascii="Open Sans" w:hAnsi="Open Sans" w:cs="Open Sans"/>
          <w:szCs w:val="22"/>
          <w:lang w:eastAsia="en-GB"/>
        </w:rPr>
        <w:t xml:space="preserve">The REA continues to receive complaints from members concerning delivery of the RHI. The reasons for these complaints have been due to multiple issues including long delays to accreditations; issues with the audit process resulting in  very slow reaccreditations; lack of communication from Ofgem concerning the status of applications and changes in how Ofgem is interpreting and applying regulatory issues  (e.g. emission certificates). </w:t>
      </w:r>
    </w:p>
    <w:p w14:paraId="5F86AD84" w14:textId="77777777" w:rsidR="001254C5" w:rsidRPr="005365EE" w:rsidRDefault="001254C5" w:rsidP="001254C5">
      <w:pPr>
        <w:rPr>
          <w:rFonts w:ascii="Open Sans" w:hAnsi="Open Sans" w:cs="Open Sans"/>
          <w:szCs w:val="22"/>
          <w:lang w:eastAsia="en-GB"/>
        </w:rPr>
      </w:pPr>
    </w:p>
    <w:p w14:paraId="4CBB7D6A" w14:textId="77777777" w:rsidR="001254C5" w:rsidRPr="005365EE" w:rsidRDefault="001254C5" w:rsidP="001254C5">
      <w:pPr>
        <w:rPr>
          <w:rFonts w:ascii="Open Sans" w:hAnsi="Open Sans" w:cs="Open Sans"/>
          <w:szCs w:val="22"/>
          <w:lang w:eastAsia="en-GB"/>
        </w:rPr>
      </w:pPr>
      <w:r w:rsidRPr="005365EE">
        <w:rPr>
          <w:rFonts w:ascii="Open Sans" w:hAnsi="Open Sans" w:cs="Open Sans"/>
          <w:szCs w:val="22"/>
          <w:lang w:eastAsia="en-GB"/>
        </w:rPr>
        <w:t xml:space="preserve">We are aware that Ofgem is working toward resolving these issues, and had a number of constructive meetings with them to discuss this, however RHI delivery failures means there is now a strong industry perception that Ofgem is one of the largest barriers to the deployment of renewable heat projects. </w:t>
      </w:r>
    </w:p>
    <w:p w14:paraId="4FC72AE4" w14:textId="77777777" w:rsidR="001254C5" w:rsidRPr="005365EE" w:rsidRDefault="001254C5" w:rsidP="001254C5">
      <w:pPr>
        <w:rPr>
          <w:rFonts w:ascii="Open Sans" w:hAnsi="Open Sans" w:cs="Open Sans"/>
          <w:szCs w:val="22"/>
          <w:lang w:eastAsia="en-GB"/>
        </w:rPr>
      </w:pPr>
    </w:p>
    <w:p w14:paraId="26C54F70" w14:textId="77777777" w:rsidR="001254C5" w:rsidRPr="005365EE" w:rsidRDefault="001254C5" w:rsidP="001254C5">
      <w:pPr>
        <w:rPr>
          <w:rFonts w:ascii="Open Sans" w:hAnsi="Open Sans" w:cs="Open Sans"/>
          <w:b/>
          <w:bCs/>
          <w:szCs w:val="22"/>
          <w:lang w:eastAsia="en-GB"/>
        </w:rPr>
      </w:pPr>
      <w:r w:rsidRPr="005365EE">
        <w:rPr>
          <w:rFonts w:ascii="Open Sans" w:hAnsi="Open Sans" w:cs="Open Sans"/>
          <w:b/>
          <w:bCs/>
          <w:szCs w:val="22"/>
          <w:lang w:eastAsia="en-GB"/>
        </w:rPr>
        <w:t xml:space="preserve">Competition for food wastes </w:t>
      </w:r>
    </w:p>
    <w:p w14:paraId="7A8530A9" w14:textId="77777777" w:rsidR="001254C5" w:rsidRPr="005365EE" w:rsidRDefault="001254C5" w:rsidP="001254C5">
      <w:pPr>
        <w:spacing w:before="120" w:after="120"/>
        <w:rPr>
          <w:rFonts w:ascii="Open Sans" w:hAnsi="Open Sans" w:cs="Open Sans"/>
          <w:szCs w:val="22"/>
          <w:lang w:eastAsia="en-GB"/>
        </w:rPr>
      </w:pPr>
      <w:r w:rsidRPr="005365EE">
        <w:rPr>
          <w:rFonts w:ascii="Open Sans" w:hAnsi="Open Sans" w:cs="Open Sans"/>
          <w:szCs w:val="22"/>
          <w:lang w:eastAsia="en-GB"/>
        </w:rPr>
        <w:t xml:space="preserve">Over the past few years the AD sector has seen a steady decline on gate fees as competition for the feedstock from councils and businesses became more intense. </w:t>
      </w:r>
    </w:p>
    <w:p w14:paraId="62A8AD57" w14:textId="77777777" w:rsidR="001254C5" w:rsidRPr="005365EE" w:rsidRDefault="001254C5" w:rsidP="001254C5">
      <w:pPr>
        <w:spacing w:before="120" w:after="120"/>
        <w:rPr>
          <w:rFonts w:ascii="Open Sans" w:hAnsi="Open Sans" w:cs="Open Sans"/>
          <w:szCs w:val="22"/>
          <w:lang w:eastAsia="en-GB"/>
        </w:rPr>
      </w:pPr>
      <w:r w:rsidRPr="005365EE">
        <w:rPr>
          <w:rFonts w:ascii="Open Sans" w:hAnsi="Open Sans" w:cs="Open Sans"/>
          <w:szCs w:val="22"/>
          <w:lang w:eastAsia="en-GB"/>
        </w:rPr>
        <w:t xml:space="preserve">Further information on this trend can be found on the latest </w:t>
      </w:r>
      <w:hyperlink r:id="rId54" w:history="1">
        <w:r w:rsidRPr="005365EE">
          <w:rPr>
            <w:rStyle w:val="Hyperlink"/>
            <w:rFonts w:ascii="Open Sans" w:hAnsi="Open Sans" w:cs="Open Sans"/>
            <w:szCs w:val="22"/>
            <w:lang w:eastAsia="en-GB"/>
          </w:rPr>
          <w:t>WRAP Gate fees report</w:t>
        </w:r>
      </w:hyperlink>
      <w:r w:rsidRPr="005365EE">
        <w:rPr>
          <w:rFonts w:ascii="Open Sans" w:hAnsi="Open Sans" w:cs="Open Sans"/>
          <w:szCs w:val="22"/>
          <w:lang w:eastAsia="en-GB"/>
        </w:rPr>
        <w:t xml:space="preserve">, from which we have included some relevant excerpts below. </w:t>
      </w:r>
    </w:p>
    <w:p w14:paraId="7C0EDCCF" w14:textId="77777777" w:rsidR="001254C5" w:rsidRPr="005365EE" w:rsidRDefault="001254C5" w:rsidP="001254C5">
      <w:pPr>
        <w:spacing w:before="120" w:after="120"/>
        <w:rPr>
          <w:rFonts w:ascii="Open Sans" w:hAnsi="Open Sans" w:cs="Open Sans"/>
          <w:i/>
          <w:iCs/>
        </w:rPr>
      </w:pPr>
      <w:r w:rsidRPr="005365EE">
        <w:rPr>
          <w:rFonts w:ascii="Open Sans" w:hAnsi="Open Sans" w:cs="Open Sans"/>
          <w:i/>
          <w:iCs/>
        </w:rPr>
        <w:lastRenderedPageBreak/>
        <w:t xml:space="preserve">‘The median AD gate fee reported by local authorities for 2018 for the UK as a whole is £27/tonne, which is slightly higher than the £26/tonne gate fee from last year’s survey. Before this year’s reported gate fee, the figure had shown steady decline, since 2015. However, the median of contracts which have started in the last three years is £19/tonne, which reflect waste contractor expectations of declining gate fees more accurately. </w:t>
      </w:r>
    </w:p>
    <w:p w14:paraId="6139FB37" w14:textId="77777777" w:rsidR="001254C5" w:rsidRPr="005365EE" w:rsidRDefault="001254C5" w:rsidP="001254C5">
      <w:pPr>
        <w:spacing w:before="120" w:after="120"/>
        <w:rPr>
          <w:rFonts w:ascii="Open Sans" w:hAnsi="Open Sans" w:cs="Open Sans"/>
          <w:i/>
          <w:iCs/>
        </w:rPr>
      </w:pPr>
      <w:r w:rsidRPr="005365EE">
        <w:rPr>
          <w:rFonts w:ascii="Open Sans" w:hAnsi="Open Sans" w:cs="Open Sans"/>
          <w:i/>
          <w:iCs/>
        </w:rPr>
        <w:t xml:space="preserve">For England, the pattern over the last four years has been of steady decline (£35/tonne in 2015, £30/tonne in 2016, £26/tonne in 2017, to £23/tonne last year) until this year, where data reported by local authorities results in a median of £26/tonne. </w:t>
      </w:r>
    </w:p>
    <w:p w14:paraId="08675D4D" w14:textId="77777777" w:rsidR="001254C5" w:rsidRPr="005365EE" w:rsidRDefault="001254C5" w:rsidP="001254C5">
      <w:pPr>
        <w:spacing w:before="120" w:after="120"/>
        <w:rPr>
          <w:rFonts w:ascii="Open Sans" w:hAnsi="Open Sans" w:cs="Open Sans"/>
          <w:i/>
          <w:iCs/>
        </w:rPr>
      </w:pPr>
      <w:r w:rsidRPr="005365EE">
        <w:rPr>
          <w:rFonts w:ascii="Open Sans" w:hAnsi="Open Sans" w:cs="Open Sans"/>
          <w:i/>
          <w:iCs/>
        </w:rPr>
        <w:t xml:space="preserve">The median gate fee of all waste streams reported by the operators is £10/tonne, which is a £3/tonne increase on last year’s figure. It is much lower than the £27/tonne reported by the local authorities, although this figure includes gate fees from contracts signed some years ago. The lower figure reported by operators is likely to reflect gate fees charged at the time of the survey ie. December 2018, and therefore better reflect the current market. However, the operator survey was also dominated by respondents in England, where lower gate fees are seen compared to Wales and Scotland. </w:t>
      </w:r>
    </w:p>
    <w:p w14:paraId="0073112B" w14:textId="77777777" w:rsidR="001254C5" w:rsidRPr="005365EE" w:rsidRDefault="001254C5" w:rsidP="001254C5">
      <w:pPr>
        <w:spacing w:before="120" w:after="120"/>
        <w:rPr>
          <w:rFonts w:ascii="Open Sans" w:hAnsi="Open Sans" w:cs="Open Sans"/>
          <w:i/>
          <w:iCs/>
        </w:rPr>
      </w:pPr>
      <w:r w:rsidRPr="005365EE">
        <w:rPr>
          <w:rFonts w:ascii="Open Sans" w:hAnsi="Open Sans" w:cs="Open Sans"/>
          <w:i/>
          <w:iCs/>
        </w:rPr>
        <w:t xml:space="preserve">The median gate fee in Wales has reduced from last year’s £49/tonne to £41/tonne. Due to a small sample size for Wales, it is more likely than an individual authority’s reported gate fee has an impact on the overall result, and so the result is more sensitive to changes year on year. Despite this decrease, Wales still has the highest gate fees, which is thought to reflect the fact that a high proportion of the contracts in Wales are long-term PFI contracts. </w:t>
      </w:r>
    </w:p>
    <w:p w14:paraId="596648F4" w14:textId="77777777" w:rsidR="001254C5" w:rsidRPr="005365EE" w:rsidRDefault="001254C5" w:rsidP="001254C5">
      <w:pPr>
        <w:spacing w:before="120" w:after="120"/>
        <w:rPr>
          <w:rFonts w:ascii="Open Sans" w:hAnsi="Open Sans" w:cs="Open Sans"/>
          <w:i/>
          <w:iCs/>
          <w:color w:val="515151"/>
          <w:sz w:val="21"/>
          <w:szCs w:val="21"/>
          <w:shd w:val="clear" w:color="auto" w:fill="FFFFFF"/>
        </w:rPr>
      </w:pPr>
      <w:r w:rsidRPr="005365EE">
        <w:rPr>
          <w:rFonts w:ascii="Open Sans" w:hAnsi="Open Sans" w:cs="Open Sans"/>
          <w:i/>
          <w:iCs/>
        </w:rPr>
        <w:t xml:space="preserve">The market continues to be fragmented, affected by local competition and national legislation and policy. For example for in Scotland, food waste collections are mandated in the Waste (Scotland) Regulations 2012 and in Wales, food waste tonnages are boosted through the Collections Blueprint, creating greater demand for food waste treatment capacity, compared to England where separate food waste collections are currently not mandatory. Market perception is very much impacted by what is happening in the markets in London and the south east, where gate fees are under extreme pressure. Scotland, Wales and Northern Ireland, as well as northern England, represent stronger markets with higher typical gate fees, which are reflected in the overall medians generated by this survey’. </w:t>
      </w:r>
    </w:p>
    <w:p w14:paraId="4409AA88" w14:textId="77777777" w:rsidR="001254C5" w:rsidRPr="005365EE" w:rsidRDefault="001254C5" w:rsidP="001254C5">
      <w:pPr>
        <w:spacing w:before="120" w:after="120"/>
        <w:rPr>
          <w:rFonts w:ascii="Open Sans" w:hAnsi="Open Sans" w:cs="Open Sans"/>
          <w:i/>
          <w:iCs/>
          <w:color w:val="515151"/>
          <w:sz w:val="21"/>
          <w:szCs w:val="21"/>
          <w:shd w:val="clear" w:color="auto" w:fill="FFFFFF"/>
        </w:rPr>
      </w:pPr>
      <w:r w:rsidRPr="005365EE">
        <w:rPr>
          <w:rFonts w:ascii="Open Sans" w:hAnsi="Open Sans" w:cs="Open Sans"/>
          <w:b/>
          <w:bCs/>
        </w:rPr>
        <w:t>It is paramount that Defra’s policy to mandate separate collections of food wastes from both, local authorities and businesses, is introduced without delays to provide more access to food wastes and underpin further generation of biomethane</w:t>
      </w:r>
      <w:r w:rsidRPr="005365EE">
        <w:rPr>
          <w:rFonts w:ascii="Open Sans" w:hAnsi="Open Sans" w:cs="Open Sans"/>
        </w:rPr>
        <w:t xml:space="preserve">. </w:t>
      </w:r>
    </w:p>
    <w:p w14:paraId="41E00C4E" w14:textId="77777777" w:rsidR="001254C5" w:rsidRPr="005365EE" w:rsidRDefault="001254C5" w:rsidP="001254C5">
      <w:pPr>
        <w:rPr>
          <w:rFonts w:ascii="Open Sans" w:hAnsi="Open Sans" w:cs="Open Sans"/>
          <w:b/>
          <w:bCs/>
          <w:szCs w:val="22"/>
          <w:lang w:eastAsia="en-GB"/>
        </w:rPr>
      </w:pPr>
    </w:p>
    <w:p w14:paraId="4B44F190" w14:textId="77777777" w:rsidR="001254C5" w:rsidRPr="005365EE" w:rsidRDefault="001254C5" w:rsidP="001254C5">
      <w:pPr>
        <w:rPr>
          <w:rFonts w:ascii="Open Sans" w:hAnsi="Open Sans" w:cs="Open Sans"/>
          <w:b/>
          <w:bCs/>
          <w:szCs w:val="22"/>
          <w:lang w:eastAsia="en-GB"/>
        </w:rPr>
      </w:pPr>
      <w:r w:rsidRPr="005365EE">
        <w:rPr>
          <w:rFonts w:ascii="Open Sans" w:hAnsi="Open Sans" w:cs="Open Sans"/>
          <w:b/>
          <w:bCs/>
          <w:szCs w:val="22"/>
          <w:lang w:eastAsia="en-GB"/>
        </w:rPr>
        <w:t xml:space="preserve">Barriers to biomethane connections </w:t>
      </w:r>
    </w:p>
    <w:p w14:paraId="2EF40A5D" w14:textId="77777777" w:rsidR="001254C5" w:rsidRPr="005365EE" w:rsidRDefault="001254C5" w:rsidP="001254C5">
      <w:pPr>
        <w:rPr>
          <w:rFonts w:ascii="Open Sans" w:hAnsi="Open Sans" w:cs="Open Sans"/>
          <w:szCs w:val="22"/>
          <w:lang w:eastAsia="en-GB"/>
        </w:rPr>
      </w:pPr>
      <w:r w:rsidRPr="005365EE">
        <w:rPr>
          <w:rFonts w:ascii="Open Sans" w:hAnsi="Open Sans" w:cs="Open Sans"/>
          <w:szCs w:val="22"/>
          <w:lang w:eastAsia="en-GB"/>
        </w:rPr>
        <w:t>The key barriers associated with connection are:</w:t>
      </w:r>
    </w:p>
    <w:p w14:paraId="633E5E96" w14:textId="77777777" w:rsidR="001254C5" w:rsidRPr="005365EE" w:rsidRDefault="001254C5" w:rsidP="001254C5">
      <w:pPr>
        <w:rPr>
          <w:rFonts w:ascii="Open Sans" w:hAnsi="Open Sans" w:cs="Open Sans"/>
          <w:szCs w:val="22"/>
          <w:lang w:eastAsia="en-GB"/>
        </w:rPr>
      </w:pPr>
    </w:p>
    <w:p w14:paraId="6ABF814C" w14:textId="77777777" w:rsidR="001254C5" w:rsidRPr="005365EE" w:rsidRDefault="001254C5" w:rsidP="001254C5">
      <w:pPr>
        <w:pStyle w:val="ListParagraph"/>
        <w:numPr>
          <w:ilvl w:val="0"/>
          <w:numId w:val="37"/>
        </w:numPr>
        <w:spacing w:after="120"/>
        <w:ind w:left="284" w:hanging="284"/>
        <w:contextualSpacing w:val="0"/>
        <w:rPr>
          <w:rFonts w:ascii="Open Sans" w:hAnsi="Open Sans" w:cs="Open Sans"/>
          <w:szCs w:val="22"/>
          <w:lang w:eastAsia="en-GB"/>
        </w:rPr>
      </w:pPr>
      <w:r w:rsidRPr="005365EE">
        <w:rPr>
          <w:rFonts w:ascii="Open Sans" w:hAnsi="Open Sans" w:cs="Open Sans"/>
          <w:szCs w:val="22"/>
          <w:lang w:eastAsia="en-GB"/>
        </w:rPr>
        <w:t xml:space="preserve">The high and highly variable cost of connection due to the lack of standardisation of specification across the gas networks, </w:t>
      </w:r>
    </w:p>
    <w:p w14:paraId="4FD03486" w14:textId="77777777" w:rsidR="001254C5" w:rsidRPr="005365EE" w:rsidRDefault="001254C5" w:rsidP="001254C5">
      <w:pPr>
        <w:pStyle w:val="ListParagraph"/>
        <w:numPr>
          <w:ilvl w:val="0"/>
          <w:numId w:val="37"/>
        </w:numPr>
        <w:spacing w:after="120"/>
        <w:ind w:left="284" w:hanging="284"/>
        <w:contextualSpacing w:val="0"/>
        <w:rPr>
          <w:rFonts w:ascii="Open Sans" w:hAnsi="Open Sans" w:cs="Open Sans"/>
          <w:szCs w:val="22"/>
          <w:lang w:eastAsia="en-GB"/>
        </w:rPr>
      </w:pPr>
      <w:r w:rsidRPr="005365EE">
        <w:rPr>
          <w:rFonts w:ascii="Open Sans" w:hAnsi="Open Sans" w:cs="Open Sans"/>
          <w:szCs w:val="22"/>
          <w:lang w:eastAsia="en-GB"/>
        </w:rPr>
        <w:t>Capacity constraints on the distribution network, leading to high connection costs associated with connecting at a point with sufficient capacity, or the inability to connect, and</w:t>
      </w:r>
    </w:p>
    <w:p w14:paraId="017BD273" w14:textId="77777777" w:rsidR="001254C5" w:rsidRPr="005365EE" w:rsidRDefault="001254C5" w:rsidP="001254C5">
      <w:pPr>
        <w:pStyle w:val="ListParagraph"/>
        <w:numPr>
          <w:ilvl w:val="0"/>
          <w:numId w:val="37"/>
        </w:numPr>
        <w:spacing w:after="120"/>
        <w:ind w:left="284" w:hanging="284"/>
        <w:contextualSpacing w:val="0"/>
        <w:rPr>
          <w:rFonts w:ascii="Open Sans" w:hAnsi="Open Sans" w:cs="Open Sans"/>
          <w:szCs w:val="22"/>
          <w:lang w:eastAsia="en-GB"/>
        </w:rPr>
      </w:pPr>
      <w:r w:rsidRPr="005365EE">
        <w:rPr>
          <w:rFonts w:ascii="Open Sans" w:hAnsi="Open Sans" w:cs="Open Sans"/>
          <w:szCs w:val="22"/>
          <w:lang w:eastAsia="en-GB"/>
        </w:rPr>
        <w:t>The need for propane injection.</w:t>
      </w:r>
    </w:p>
    <w:p w14:paraId="06452A1F" w14:textId="77777777" w:rsidR="001254C5" w:rsidRPr="005365EE" w:rsidRDefault="001254C5" w:rsidP="001254C5">
      <w:pPr>
        <w:rPr>
          <w:rFonts w:ascii="Open Sans" w:hAnsi="Open Sans" w:cs="Open Sans"/>
          <w:szCs w:val="22"/>
          <w:lang w:eastAsia="en-GB"/>
        </w:rPr>
      </w:pPr>
    </w:p>
    <w:p w14:paraId="266D9E69" w14:textId="77777777" w:rsidR="001254C5" w:rsidRPr="005365EE" w:rsidRDefault="001254C5" w:rsidP="001254C5">
      <w:pPr>
        <w:rPr>
          <w:rFonts w:ascii="Open Sans" w:hAnsi="Open Sans" w:cs="Open Sans"/>
          <w:szCs w:val="22"/>
          <w:lang w:eastAsia="en-GB"/>
        </w:rPr>
      </w:pPr>
      <w:r w:rsidRPr="005365EE">
        <w:rPr>
          <w:rFonts w:ascii="Open Sans" w:hAnsi="Open Sans" w:cs="Open Sans"/>
          <w:szCs w:val="22"/>
          <w:lang w:eastAsia="en-GB"/>
        </w:rPr>
        <w:lastRenderedPageBreak/>
        <w:t xml:space="preserve">These are explained in further detail below. </w:t>
      </w:r>
    </w:p>
    <w:p w14:paraId="5662FB7E" w14:textId="77777777" w:rsidR="001254C5" w:rsidRPr="005365EE" w:rsidRDefault="001254C5" w:rsidP="001254C5">
      <w:pPr>
        <w:spacing w:before="120" w:after="120"/>
        <w:rPr>
          <w:rFonts w:ascii="Open Sans" w:hAnsi="Open Sans" w:cs="Open Sans"/>
          <w:b/>
          <w:szCs w:val="20"/>
        </w:rPr>
      </w:pPr>
    </w:p>
    <w:p w14:paraId="2E56E70E" w14:textId="77777777" w:rsidR="001254C5" w:rsidRPr="005365EE" w:rsidRDefault="001254C5" w:rsidP="001254C5">
      <w:pPr>
        <w:spacing w:before="120" w:after="120"/>
        <w:rPr>
          <w:rFonts w:ascii="Open Sans" w:hAnsi="Open Sans" w:cs="Open Sans"/>
          <w:b/>
          <w:szCs w:val="20"/>
          <w:u w:val="single"/>
        </w:rPr>
      </w:pPr>
      <w:r w:rsidRPr="005365EE">
        <w:rPr>
          <w:rFonts w:ascii="Open Sans" w:hAnsi="Open Sans" w:cs="Open Sans"/>
          <w:b/>
          <w:szCs w:val="20"/>
          <w:u w:val="single"/>
        </w:rPr>
        <w:t xml:space="preserve">Lack of standardisation across the gas networks </w:t>
      </w:r>
    </w:p>
    <w:p w14:paraId="56EAD0D0" w14:textId="77777777" w:rsidR="001254C5" w:rsidRPr="005365EE" w:rsidRDefault="001254C5" w:rsidP="001254C5">
      <w:pPr>
        <w:spacing w:before="120" w:after="120"/>
        <w:rPr>
          <w:rFonts w:ascii="Open Sans" w:hAnsi="Open Sans" w:cs="Open Sans"/>
          <w:szCs w:val="20"/>
        </w:rPr>
      </w:pPr>
      <w:r w:rsidRPr="005365EE">
        <w:rPr>
          <w:rFonts w:ascii="Open Sans" w:hAnsi="Open Sans" w:cs="Open Sans"/>
          <w:szCs w:val="20"/>
        </w:rPr>
        <w:t xml:space="preserve">We have highlighted to BEIS and Ofgem on repeated occasions the high and highly variable cost of connection due to the lack of standardisation of specification across the gas networks. </w:t>
      </w:r>
    </w:p>
    <w:p w14:paraId="09599568" w14:textId="77777777" w:rsidR="001254C5" w:rsidRPr="005365EE" w:rsidRDefault="001254C5" w:rsidP="001254C5">
      <w:pPr>
        <w:spacing w:before="120" w:after="120"/>
        <w:rPr>
          <w:rFonts w:ascii="Open Sans" w:hAnsi="Open Sans" w:cs="Open Sans"/>
          <w:szCs w:val="20"/>
        </w:rPr>
      </w:pPr>
      <w:r w:rsidRPr="005365EE">
        <w:rPr>
          <w:rFonts w:ascii="Open Sans" w:hAnsi="Open Sans" w:cs="Open Sans"/>
          <w:szCs w:val="20"/>
        </w:rPr>
        <w:t xml:space="preserve">All Gas Distribution Networks (GDNs) have different standards, contracts, policies for biomethane with significantly different costs. </w:t>
      </w:r>
    </w:p>
    <w:p w14:paraId="4CC56217" w14:textId="77777777" w:rsidR="001254C5" w:rsidRPr="005365EE" w:rsidRDefault="001254C5" w:rsidP="001254C5">
      <w:pPr>
        <w:spacing w:before="120" w:after="120"/>
        <w:rPr>
          <w:rFonts w:ascii="Open Sans" w:hAnsi="Open Sans" w:cs="Open Sans"/>
          <w:b/>
          <w:szCs w:val="20"/>
        </w:rPr>
      </w:pPr>
      <w:r w:rsidRPr="005365EE">
        <w:rPr>
          <w:rFonts w:ascii="Open Sans" w:hAnsi="Open Sans" w:cs="Open Sans"/>
          <w:szCs w:val="20"/>
        </w:rPr>
        <w:t xml:space="preserve">Although all gas networks’ RIIO2 business plans mentioned the need to work on standardisation of equipment, there is limited detail on how they intend to do so, </w:t>
      </w:r>
      <w:r w:rsidRPr="005365EE">
        <w:rPr>
          <w:rFonts w:ascii="Open Sans" w:hAnsi="Open Sans" w:cs="Open Sans"/>
          <w:bCs/>
          <w:szCs w:val="20"/>
        </w:rPr>
        <w:t>how they intend to co-ordinate this work across the networks and what is the timeframe for it.</w:t>
      </w:r>
      <w:r w:rsidRPr="005365EE">
        <w:rPr>
          <w:rFonts w:ascii="Open Sans" w:hAnsi="Open Sans" w:cs="Open Sans"/>
          <w:b/>
          <w:szCs w:val="20"/>
        </w:rPr>
        <w:t xml:space="preserve"> </w:t>
      </w:r>
    </w:p>
    <w:p w14:paraId="4B50E5BF" w14:textId="77777777" w:rsidR="001254C5" w:rsidRPr="005365EE" w:rsidRDefault="001254C5" w:rsidP="001254C5">
      <w:pPr>
        <w:spacing w:before="120" w:after="120"/>
        <w:rPr>
          <w:rFonts w:ascii="Open Sans" w:hAnsi="Open Sans" w:cs="Open Sans"/>
          <w:bCs/>
          <w:szCs w:val="20"/>
        </w:rPr>
      </w:pPr>
      <w:r w:rsidRPr="005365EE">
        <w:rPr>
          <w:rFonts w:ascii="Open Sans" w:hAnsi="Open Sans" w:cs="Open Sans"/>
          <w:szCs w:val="20"/>
        </w:rPr>
        <w:t>It should be noted that the Navigant’s recent report entitled ‘</w:t>
      </w:r>
      <w:hyperlink r:id="rId55" w:history="1">
        <w:r w:rsidRPr="005365EE">
          <w:rPr>
            <w:rStyle w:val="Hyperlink"/>
            <w:rFonts w:ascii="Open Sans" w:hAnsi="Open Sans" w:cs="Open Sans"/>
            <w:color w:val="auto"/>
            <w:szCs w:val="20"/>
          </w:rPr>
          <w:t>Pathways to Net-Zero:  Decarbonising the Gas Networks in Great Britain</w:t>
        </w:r>
      </w:hyperlink>
      <w:r w:rsidRPr="005365EE">
        <w:rPr>
          <w:rFonts w:ascii="Open Sans" w:hAnsi="Open Sans" w:cs="Open Sans"/>
          <w:szCs w:val="20"/>
        </w:rPr>
        <w:t xml:space="preserve">, commissioned by ENA, identifies the need for standardisation across the networks as a near-term action that is important in decarbonising the energy system (so called  “low regret actions”).  </w:t>
      </w:r>
      <w:r w:rsidRPr="005365EE">
        <w:rPr>
          <w:rFonts w:ascii="Open Sans" w:hAnsi="Open Sans" w:cs="Open Sans"/>
          <w:bCs/>
          <w:szCs w:val="20"/>
        </w:rPr>
        <w:t>For H</w:t>
      </w:r>
      <w:r w:rsidRPr="005365EE">
        <w:rPr>
          <w:rFonts w:ascii="Open Sans" w:hAnsi="Open Sans" w:cs="Open Sans"/>
          <w:bCs/>
          <w:szCs w:val="20"/>
          <w:vertAlign w:val="subscript"/>
        </w:rPr>
        <w:t>2</w:t>
      </w:r>
      <w:r w:rsidRPr="005365EE">
        <w:rPr>
          <w:rFonts w:ascii="Open Sans" w:hAnsi="Open Sans" w:cs="Open Sans"/>
          <w:bCs/>
          <w:szCs w:val="20"/>
        </w:rPr>
        <w:t xml:space="preserve"> it is important that we avoid the biomethane experience of assets that are required in one GDN area and are not approved in another.</w:t>
      </w:r>
    </w:p>
    <w:p w14:paraId="798A9E9C" w14:textId="77777777" w:rsidR="001254C5" w:rsidRPr="005365EE" w:rsidRDefault="001254C5" w:rsidP="001254C5">
      <w:pPr>
        <w:spacing w:before="120" w:after="120"/>
        <w:rPr>
          <w:rFonts w:ascii="Open Sans" w:hAnsi="Open Sans" w:cs="Open Sans"/>
          <w:szCs w:val="20"/>
        </w:rPr>
      </w:pPr>
      <w:r w:rsidRPr="005365EE">
        <w:rPr>
          <w:rFonts w:ascii="Open Sans" w:hAnsi="Open Sans" w:cs="Open Sans"/>
          <w:szCs w:val="20"/>
        </w:rPr>
        <w:t xml:space="preserve">This issue has been raised for a significant number of years. In 2011 -12 there was an Ofgem supported series of workshops known as </w:t>
      </w:r>
      <w:hyperlink r:id="rId56" w:history="1">
        <w:r w:rsidRPr="005365EE">
          <w:rPr>
            <w:rStyle w:val="Hyperlink"/>
            <w:rFonts w:ascii="Open Sans" w:hAnsi="Open Sans" w:cs="Open Sans"/>
            <w:color w:val="auto"/>
            <w:szCs w:val="20"/>
          </w:rPr>
          <w:t>EMIB</w:t>
        </w:r>
      </w:hyperlink>
      <w:r w:rsidRPr="005365EE">
        <w:rPr>
          <w:rFonts w:ascii="Open Sans" w:hAnsi="Open Sans" w:cs="Open Sans"/>
          <w:szCs w:val="20"/>
        </w:rPr>
        <w:t xml:space="preserve"> which set the basic regime for biomethane. </w:t>
      </w:r>
    </w:p>
    <w:p w14:paraId="55F3B8C9" w14:textId="77777777" w:rsidR="001254C5" w:rsidRPr="005365EE" w:rsidRDefault="001254C5" w:rsidP="001254C5">
      <w:pPr>
        <w:spacing w:before="120" w:after="120"/>
        <w:rPr>
          <w:rFonts w:ascii="Open Sans" w:hAnsi="Open Sans" w:cs="Open Sans"/>
          <w:szCs w:val="20"/>
        </w:rPr>
      </w:pPr>
      <w:r w:rsidRPr="005365EE">
        <w:rPr>
          <w:rFonts w:ascii="Open Sans" w:hAnsi="Open Sans" w:cs="Open Sans"/>
          <w:szCs w:val="20"/>
        </w:rPr>
        <w:t xml:space="preserve">The purpose of the group was to provide a forum for informed debate on the potential barriers to the commercial development of biomethane projects within the energy market and the appropriate means of addressing such barriers.  </w:t>
      </w:r>
    </w:p>
    <w:p w14:paraId="0204E970" w14:textId="77777777" w:rsidR="001254C5" w:rsidRPr="005365EE" w:rsidRDefault="001254C5" w:rsidP="001254C5">
      <w:pPr>
        <w:spacing w:before="120" w:after="120"/>
        <w:rPr>
          <w:rFonts w:ascii="Open Sans" w:hAnsi="Open Sans" w:cs="Open Sans"/>
          <w:szCs w:val="20"/>
        </w:rPr>
      </w:pPr>
      <w:r w:rsidRPr="005365EE">
        <w:rPr>
          <w:rFonts w:ascii="Open Sans" w:hAnsi="Open Sans" w:cs="Open Sans"/>
          <w:szCs w:val="20"/>
        </w:rPr>
        <w:t xml:space="preserve">The concept was for all 4 GDNs to adopt common policies (see </w:t>
      </w:r>
      <w:hyperlink r:id="rId57" w:history="1">
        <w:r w:rsidRPr="005365EE">
          <w:rPr>
            <w:rFonts w:ascii="Open Sans" w:hAnsi="Open Sans" w:cs="Open Sans"/>
            <w:szCs w:val="20"/>
          </w:rPr>
          <w:t>https://www.gasgovernance.co.uk/emib</w:t>
        </w:r>
      </w:hyperlink>
      <w:r w:rsidRPr="005365EE">
        <w:rPr>
          <w:rFonts w:ascii="Open Sans" w:hAnsi="Open Sans" w:cs="Open Sans"/>
          <w:szCs w:val="20"/>
        </w:rPr>
        <w:t>). At the time, it was too late to have any specific incentives within RIIO.</w:t>
      </w:r>
      <w:r>
        <w:rPr>
          <w:rFonts w:ascii="Open Sans" w:hAnsi="Open Sans" w:cs="Open Sans"/>
          <w:szCs w:val="20"/>
        </w:rPr>
        <w:t xml:space="preserve"> </w:t>
      </w:r>
      <w:r w:rsidRPr="005365EE">
        <w:rPr>
          <w:rFonts w:ascii="Open Sans" w:hAnsi="Open Sans" w:cs="Open Sans"/>
          <w:szCs w:val="20"/>
        </w:rPr>
        <w:t xml:space="preserve"> </w:t>
      </w:r>
    </w:p>
    <w:p w14:paraId="117C2F2E" w14:textId="77777777" w:rsidR="001254C5" w:rsidRPr="005365EE" w:rsidRDefault="001254C5" w:rsidP="001254C5">
      <w:pPr>
        <w:spacing w:before="120" w:after="120"/>
        <w:rPr>
          <w:rFonts w:ascii="Open Sans" w:hAnsi="Open Sans" w:cs="Open Sans"/>
          <w:b/>
          <w:i/>
          <w:szCs w:val="20"/>
        </w:rPr>
      </w:pPr>
      <w:r w:rsidRPr="005365EE">
        <w:rPr>
          <w:rFonts w:ascii="Open Sans" w:hAnsi="Open Sans" w:cs="Open Sans"/>
          <w:szCs w:val="20"/>
        </w:rPr>
        <w:t xml:space="preserve">The published </w:t>
      </w:r>
      <w:hyperlink r:id="rId58" w:history="1">
        <w:r w:rsidRPr="005365EE">
          <w:rPr>
            <w:rStyle w:val="Hyperlink"/>
            <w:rFonts w:ascii="Open Sans" w:hAnsi="Open Sans" w:cs="Open Sans"/>
            <w:color w:val="auto"/>
            <w:szCs w:val="20"/>
          </w:rPr>
          <w:t>EMIB report</w:t>
        </w:r>
      </w:hyperlink>
      <w:r w:rsidRPr="005365EE">
        <w:rPr>
          <w:rFonts w:ascii="Open Sans" w:hAnsi="Open Sans" w:cs="Open Sans"/>
          <w:szCs w:val="20"/>
        </w:rPr>
        <w:t xml:space="preserve"> (May 2012) states that ‘</w:t>
      </w:r>
      <w:r w:rsidRPr="005365EE">
        <w:rPr>
          <w:rFonts w:ascii="Open Sans" w:hAnsi="Open Sans" w:cs="Open Sans"/>
          <w:i/>
          <w:szCs w:val="20"/>
        </w:rPr>
        <w:t>It was recognised that establishing a single national set of standards would remove uncertainty and hence a potential barrier to entry. It would also support the development of competitive infrastructure provisions since different providers could develop competing products to deliver the common specification, and cost reductions should also be delivered as a result of requirements being replicated at all sites’.</w:t>
      </w:r>
      <w:r w:rsidRPr="005365EE">
        <w:rPr>
          <w:rFonts w:ascii="Open Sans" w:hAnsi="Open Sans" w:cs="Open Sans"/>
          <w:b/>
          <w:i/>
          <w:szCs w:val="20"/>
        </w:rPr>
        <w:t xml:space="preserve"> </w:t>
      </w:r>
    </w:p>
    <w:p w14:paraId="642AA1BF" w14:textId="77777777" w:rsidR="001254C5" w:rsidRPr="005365EE" w:rsidRDefault="001254C5" w:rsidP="001254C5">
      <w:pPr>
        <w:spacing w:before="120" w:after="120"/>
        <w:rPr>
          <w:rFonts w:ascii="Open Sans" w:hAnsi="Open Sans" w:cs="Open Sans"/>
          <w:szCs w:val="20"/>
        </w:rPr>
      </w:pPr>
      <w:r w:rsidRPr="005365EE">
        <w:rPr>
          <w:rFonts w:ascii="Open Sans" w:hAnsi="Open Sans" w:cs="Open Sans"/>
          <w:szCs w:val="20"/>
        </w:rPr>
        <w:t xml:space="preserve">Unfortunately, industry has seen major divergences amongst the 4 GDNs with significant additional cost. </w:t>
      </w:r>
    </w:p>
    <w:p w14:paraId="528C0968" w14:textId="77777777" w:rsidR="001254C5" w:rsidRPr="005365EE" w:rsidRDefault="001254C5" w:rsidP="001254C5">
      <w:pPr>
        <w:spacing w:before="120" w:after="120"/>
        <w:rPr>
          <w:rFonts w:ascii="Open Sans" w:hAnsi="Open Sans" w:cs="Open Sans"/>
          <w:szCs w:val="20"/>
        </w:rPr>
      </w:pPr>
      <w:r w:rsidRPr="005365EE">
        <w:rPr>
          <w:rFonts w:ascii="Open Sans" w:hAnsi="Open Sans" w:cs="Open Sans"/>
          <w:szCs w:val="20"/>
        </w:rPr>
        <w:t xml:space="preserve">The table below gives our estimate of the costs (£) in the 4 GDN areas: </w:t>
      </w:r>
    </w:p>
    <w:tbl>
      <w:tblPr>
        <w:tblStyle w:val="TableGrid"/>
        <w:tblW w:w="0" w:type="auto"/>
        <w:tblInd w:w="108" w:type="dxa"/>
        <w:tblLook w:val="04A0" w:firstRow="1" w:lastRow="0" w:firstColumn="1" w:lastColumn="0" w:noHBand="0" w:noVBand="1"/>
      </w:tblPr>
      <w:tblGrid>
        <w:gridCol w:w="1418"/>
        <w:gridCol w:w="1701"/>
        <w:gridCol w:w="1843"/>
        <w:gridCol w:w="1842"/>
        <w:gridCol w:w="1418"/>
      </w:tblGrid>
      <w:tr w:rsidR="001254C5" w:rsidRPr="005365EE" w14:paraId="2C6F5B74" w14:textId="77777777" w:rsidTr="00E9370C">
        <w:tc>
          <w:tcPr>
            <w:tcW w:w="1418" w:type="dxa"/>
          </w:tcPr>
          <w:p w14:paraId="6151BFA2" w14:textId="77777777" w:rsidR="001254C5" w:rsidRPr="005365EE" w:rsidRDefault="001254C5" w:rsidP="00E9370C">
            <w:pPr>
              <w:spacing w:before="120" w:after="120"/>
              <w:rPr>
                <w:rFonts w:ascii="Open Sans" w:hAnsi="Open Sans" w:cs="Open Sans"/>
                <w:sz w:val="20"/>
                <w:szCs w:val="20"/>
              </w:rPr>
            </w:pPr>
            <w:r w:rsidRPr="005365EE">
              <w:rPr>
                <w:rFonts w:ascii="Open Sans" w:hAnsi="Open Sans" w:cs="Open Sans"/>
                <w:sz w:val="20"/>
                <w:szCs w:val="20"/>
              </w:rPr>
              <w:t>GDN</w:t>
            </w:r>
          </w:p>
        </w:tc>
        <w:tc>
          <w:tcPr>
            <w:tcW w:w="1701" w:type="dxa"/>
          </w:tcPr>
          <w:p w14:paraId="1831966D" w14:textId="77777777" w:rsidR="001254C5" w:rsidRPr="005365EE" w:rsidRDefault="001254C5" w:rsidP="00E9370C">
            <w:pPr>
              <w:spacing w:before="120" w:after="120"/>
              <w:rPr>
                <w:rFonts w:ascii="Open Sans" w:hAnsi="Open Sans" w:cs="Open Sans"/>
                <w:sz w:val="20"/>
                <w:szCs w:val="20"/>
              </w:rPr>
            </w:pPr>
            <w:r w:rsidRPr="005365EE">
              <w:rPr>
                <w:rFonts w:ascii="Open Sans" w:hAnsi="Open Sans" w:cs="Open Sans"/>
                <w:sz w:val="20"/>
                <w:szCs w:val="20"/>
              </w:rPr>
              <w:t>Capex for Grid Entry Unit (GEU)</w:t>
            </w:r>
          </w:p>
        </w:tc>
        <w:tc>
          <w:tcPr>
            <w:tcW w:w="1843" w:type="dxa"/>
          </w:tcPr>
          <w:p w14:paraId="41648EA4" w14:textId="77777777" w:rsidR="001254C5" w:rsidRPr="005365EE" w:rsidRDefault="001254C5" w:rsidP="00E9370C">
            <w:pPr>
              <w:spacing w:before="120" w:after="120"/>
              <w:rPr>
                <w:rFonts w:ascii="Open Sans" w:hAnsi="Open Sans" w:cs="Open Sans"/>
                <w:sz w:val="20"/>
                <w:szCs w:val="20"/>
              </w:rPr>
            </w:pPr>
            <w:r w:rsidRPr="005365EE">
              <w:rPr>
                <w:rFonts w:ascii="Open Sans" w:hAnsi="Open Sans" w:cs="Open Sans"/>
                <w:sz w:val="20"/>
                <w:szCs w:val="20"/>
              </w:rPr>
              <w:t>GDN Charge (for auditing)</w:t>
            </w:r>
          </w:p>
        </w:tc>
        <w:tc>
          <w:tcPr>
            <w:tcW w:w="1842" w:type="dxa"/>
          </w:tcPr>
          <w:p w14:paraId="49C10883" w14:textId="77777777" w:rsidR="001254C5" w:rsidRPr="005365EE" w:rsidRDefault="001254C5" w:rsidP="00E9370C">
            <w:pPr>
              <w:spacing w:before="120" w:after="120"/>
              <w:rPr>
                <w:rFonts w:ascii="Open Sans" w:hAnsi="Open Sans" w:cs="Open Sans"/>
                <w:sz w:val="20"/>
                <w:szCs w:val="20"/>
              </w:rPr>
            </w:pPr>
            <w:r w:rsidRPr="005365EE">
              <w:rPr>
                <w:rFonts w:ascii="Open Sans" w:hAnsi="Open Sans" w:cs="Open Sans"/>
                <w:sz w:val="20"/>
                <w:szCs w:val="20"/>
              </w:rPr>
              <w:t>Estimated cost to satisfy wider GDN requirements</w:t>
            </w:r>
          </w:p>
        </w:tc>
        <w:tc>
          <w:tcPr>
            <w:tcW w:w="1418" w:type="dxa"/>
          </w:tcPr>
          <w:p w14:paraId="0D7068C1" w14:textId="77777777" w:rsidR="001254C5" w:rsidRPr="005365EE" w:rsidRDefault="001254C5" w:rsidP="00E9370C">
            <w:pPr>
              <w:spacing w:before="120" w:after="120"/>
              <w:rPr>
                <w:rFonts w:ascii="Open Sans" w:hAnsi="Open Sans" w:cs="Open Sans"/>
                <w:sz w:val="20"/>
                <w:szCs w:val="20"/>
              </w:rPr>
            </w:pPr>
            <w:r w:rsidRPr="005365EE">
              <w:rPr>
                <w:rFonts w:ascii="Open Sans" w:hAnsi="Open Sans" w:cs="Open Sans"/>
                <w:sz w:val="20"/>
                <w:szCs w:val="20"/>
              </w:rPr>
              <w:t>Total cost</w:t>
            </w:r>
          </w:p>
        </w:tc>
      </w:tr>
      <w:tr w:rsidR="001254C5" w:rsidRPr="005365EE" w14:paraId="25BD10E7" w14:textId="77777777" w:rsidTr="00E9370C">
        <w:tc>
          <w:tcPr>
            <w:tcW w:w="1418" w:type="dxa"/>
          </w:tcPr>
          <w:p w14:paraId="4714327A" w14:textId="77777777" w:rsidR="001254C5" w:rsidRPr="005365EE" w:rsidRDefault="001254C5" w:rsidP="00E9370C">
            <w:pPr>
              <w:spacing w:before="120" w:after="120"/>
              <w:rPr>
                <w:rFonts w:ascii="Open Sans" w:hAnsi="Open Sans" w:cs="Open Sans"/>
                <w:i/>
                <w:sz w:val="20"/>
                <w:szCs w:val="20"/>
              </w:rPr>
            </w:pPr>
            <w:r w:rsidRPr="005365EE">
              <w:rPr>
                <w:rFonts w:ascii="Open Sans" w:hAnsi="Open Sans" w:cs="Open Sans"/>
                <w:i/>
                <w:sz w:val="20"/>
                <w:szCs w:val="20"/>
              </w:rPr>
              <w:t>WWU</w:t>
            </w:r>
          </w:p>
        </w:tc>
        <w:tc>
          <w:tcPr>
            <w:tcW w:w="1701" w:type="dxa"/>
          </w:tcPr>
          <w:p w14:paraId="6CE15B24" w14:textId="77777777" w:rsidR="001254C5" w:rsidRPr="005365EE" w:rsidRDefault="001254C5" w:rsidP="00E9370C">
            <w:pPr>
              <w:spacing w:before="120" w:after="120"/>
              <w:rPr>
                <w:rFonts w:ascii="Open Sans" w:hAnsi="Open Sans" w:cs="Open Sans"/>
                <w:sz w:val="20"/>
                <w:szCs w:val="20"/>
              </w:rPr>
            </w:pPr>
            <w:r w:rsidRPr="005365EE">
              <w:rPr>
                <w:rFonts w:ascii="Open Sans" w:hAnsi="Open Sans" w:cs="Open Sans"/>
                <w:sz w:val="20"/>
                <w:szCs w:val="20"/>
              </w:rPr>
              <w:t>400,000</w:t>
            </w:r>
          </w:p>
        </w:tc>
        <w:tc>
          <w:tcPr>
            <w:tcW w:w="1843" w:type="dxa"/>
          </w:tcPr>
          <w:p w14:paraId="1C7278B4" w14:textId="77777777" w:rsidR="001254C5" w:rsidRPr="005365EE" w:rsidRDefault="001254C5" w:rsidP="00E9370C">
            <w:pPr>
              <w:spacing w:before="120" w:after="120"/>
              <w:rPr>
                <w:rFonts w:ascii="Open Sans" w:hAnsi="Open Sans" w:cs="Open Sans"/>
                <w:sz w:val="20"/>
                <w:szCs w:val="20"/>
              </w:rPr>
            </w:pPr>
            <w:r w:rsidRPr="005365EE">
              <w:rPr>
                <w:rFonts w:ascii="Open Sans" w:hAnsi="Open Sans" w:cs="Open Sans"/>
                <w:sz w:val="20"/>
                <w:szCs w:val="20"/>
              </w:rPr>
              <w:t>15,000</w:t>
            </w:r>
          </w:p>
        </w:tc>
        <w:tc>
          <w:tcPr>
            <w:tcW w:w="1842" w:type="dxa"/>
          </w:tcPr>
          <w:p w14:paraId="6E8D5858" w14:textId="77777777" w:rsidR="001254C5" w:rsidRPr="005365EE" w:rsidRDefault="001254C5" w:rsidP="00E9370C">
            <w:pPr>
              <w:spacing w:before="120" w:after="120"/>
              <w:rPr>
                <w:rFonts w:ascii="Open Sans" w:hAnsi="Open Sans" w:cs="Open Sans"/>
                <w:sz w:val="20"/>
                <w:szCs w:val="20"/>
              </w:rPr>
            </w:pPr>
            <w:r w:rsidRPr="005365EE">
              <w:rPr>
                <w:rFonts w:ascii="Open Sans" w:hAnsi="Open Sans" w:cs="Open Sans"/>
                <w:sz w:val="20"/>
                <w:szCs w:val="20"/>
              </w:rPr>
              <w:t>25,000</w:t>
            </w:r>
          </w:p>
        </w:tc>
        <w:tc>
          <w:tcPr>
            <w:tcW w:w="1418" w:type="dxa"/>
          </w:tcPr>
          <w:p w14:paraId="3F8328B2" w14:textId="77777777" w:rsidR="001254C5" w:rsidRPr="005365EE" w:rsidRDefault="001254C5" w:rsidP="00E9370C">
            <w:pPr>
              <w:spacing w:before="120" w:after="120"/>
              <w:rPr>
                <w:rFonts w:ascii="Open Sans" w:hAnsi="Open Sans" w:cs="Open Sans"/>
                <w:sz w:val="20"/>
                <w:szCs w:val="20"/>
              </w:rPr>
            </w:pPr>
            <w:r w:rsidRPr="005365EE">
              <w:rPr>
                <w:rFonts w:ascii="Open Sans" w:hAnsi="Open Sans" w:cs="Open Sans"/>
                <w:sz w:val="20"/>
                <w:szCs w:val="20"/>
              </w:rPr>
              <w:t>440,000</w:t>
            </w:r>
          </w:p>
        </w:tc>
      </w:tr>
      <w:tr w:rsidR="001254C5" w:rsidRPr="005365EE" w14:paraId="2EAF47F0" w14:textId="77777777" w:rsidTr="00E9370C">
        <w:tc>
          <w:tcPr>
            <w:tcW w:w="1418" w:type="dxa"/>
          </w:tcPr>
          <w:p w14:paraId="613E3865" w14:textId="77777777" w:rsidR="001254C5" w:rsidRPr="005365EE" w:rsidRDefault="001254C5" w:rsidP="00E9370C">
            <w:pPr>
              <w:spacing w:before="120" w:after="120"/>
              <w:rPr>
                <w:rFonts w:ascii="Open Sans" w:hAnsi="Open Sans" w:cs="Open Sans"/>
                <w:i/>
                <w:sz w:val="20"/>
                <w:szCs w:val="20"/>
              </w:rPr>
            </w:pPr>
            <w:r w:rsidRPr="005365EE">
              <w:rPr>
                <w:rFonts w:ascii="Open Sans" w:hAnsi="Open Sans" w:cs="Open Sans"/>
                <w:i/>
                <w:sz w:val="20"/>
                <w:szCs w:val="20"/>
              </w:rPr>
              <w:t>Network 2</w:t>
            </w:r>
          </w:p>
        </w:tc>
        <w:tc>
          <w:tcPr>
            <w:tcW w:w="1701" w:type="dxa"/>
          </w:tcPr>
          <w:p w14:paraId="2B0669A9" w14:textId="77777777" w:rsidR="001254C5" w:rsidRPr="005365EE" w:rsidRDefault="001254C5" w:rsidP="00E9370C">
            <w:pPr>
              <w:spacing w:before="120" w:after="120"/>
              <w:rPr>
                <w:rFonts w:ascii="Open Sans" w:hAnsi="Open Sans" w:cs="Open Sans"/>
                <w:sz w:val="20"/>
                <w:szCs w:val="20"/>
              </w:rPr>
            </w:pPr>
            <w:r w:rsidRPr="005365EE">
              <w:rPr>
                <w:rFonts w:ascii="Open Sans" w:hAnsi="Open Sans" w:cs="Open Sans"/>
                <w:sz w:val="20"/>
                <w:szCs w:val="20"/>
              </w:rPr>
              <w:t>430,000</w:t>
            </w:r>
          </w:p>
        </w:tc>
        <w:tc>
          <w:tcPr>
            <w:tcW w:w="1843" w:type="dxa"/>
          </w:tcPr>
          <w:p w14:paraId="3010529C" w14:textId="77777777" w:rsidR="001254C5" w:rsidRPr="005365EE" w:rsidRDefault="001254C5" w:rsidP="00E9370C">
            <w:pPr>
              <w:spacing w:before="120" w:after="120"/>
              <w:rPr>
                <w:rFonts w:ascii="Open Sans" w:hAnsi="Open Sans" w:cs="Open Sans"/>
                <w:sz w:val="20"/>
                <w:szCs w:val="20"/>
              </w:rPr>
            </w:pPr>
            <w:r w:rsidRPr="005365EE">
              <w:rPr>
                <w:rFonts w:ascii="Open Sans" w:hAnsi="Open Sans" w:cs="Open Sans"/>
                <w:sz w:val="20"/>
                <w:szCs w:val="20"/>
              </w:rPr>
              <w:t>85,000</w:t>
            </w:r>
          </w:p>
        </w:tc>
        <w:tc>
          <w:tcPr>
            <w:tcW w:w="1842" w:type="dxa"/>
          </w:tcPr>
          <w:p w14:paraId="7D3DF8D2" w14:textId="77777777" w:rsidR="001254C5" w:rsidRPr="005365EE" w:rsidRDefault="001254C5" w:rsidP="00E9370C">
            <w:pPr>
              <w:spacing w:before="120" w:after="120"/>
              <w:rPr>
                <w:rFonts w:ascii="Open Sans" w:hAnsi="Open Sans" w:cs="Open Sans"/>
                <w:sz w:val="20"/>
                <w:szCs w:val="20"/>
              </w:rPr>
            </w:pPr>
            <w:r w:rsidRPr="005365EE">
              <w:rPr>
                <w:rFonts w:ascii="Open Sans" w:hAnsi="Open Sans" w:cs="Open Sans"/>
                <w:sz w:val="20"/>
                <w:szCs w:val="20"/>
              </w:rPr>
              <w:t>60,000</w:t>
            </w:r>
          </w:p>
        </w:tc>
        <w:tc>
          <w:tcPr>
            <w:tcW w:w="1418" w:type="dxa"/>
          </w:tcPr>
          <w:p w14:paraId="4D7F7B70" w14:textId="77777777" w:rsidR="001254C5" w:rsidRPr="005365EE" w:rsidRDefault="001254C5" w:rsidP="00E9370C">
            <w:pPr>
              <w:spacing w:before="120" w:after="120"/>
              <w:rPr>
                <w:rFonts w:ascii="Open Sans" w:hAnsi="Open Sans" w:cs="Open Sans"/>
                <w:sz w:val="20"/>
                <w:szCs w:val="20"/>
              </w:rPr>
            </w:pPr>
            <w:r w:rsidRPr="005365EE">
              <w:rPr>
                <w:rFonts w:ascii="Open Sans" w:hAnsi="Open Sans" w:cs="Open Sans"/>
                <w:sz w:val="20"/>
                <w:szCs w:val="20"/>
              </w:rPr>
              <w:t>575,000</w:t>
            </w:r>
          </w:p>
        </w:tc>
      </w:tr>
      <w:tr w:rsidR="001254C5" w:rsidRPr="005365EE" w14:paraId="11F29AA9" w14:textId="77777777" w:rsidTr="00E9370C">
        <w:tc>
          <w:tcPr>
            <w:tcW w:w="1418" w:type="dxa"/>
          </w:tcPr>
          <w:p w14:paraId="15678A45" w14:textId="77777777" w:rsidR="001254C5" w:rsidRPr="005365EE" w:rsidRDefault="001254C5" w:rsidP="00E9370C">
            <w:pPr>
              <w:spacing w:before="120" w:after="120"/>
              <w:rPr>
                <w:rFonts w:ascii="Open Sans" w:hAnsi="Open Sans" w:cs="Open Sans"/>
                <w:i/>
                <w:sz w:val="20"/>
                <w:szCs w:val="20"/>
              </w:rPr>
            </w:pPr>
            <w:r w:rsidRPr="005365EE">
              <w:rPr>
                <w:rFonts w:ascii="Open Sans" w:hAnsi="Open Sans" w:cs="Open Sans"/>
                <w:i/>
                <w:sz w:val="20"/>
                <w:szCs w:val="20"/>
              </w:rPr>
              <w:t>Network 3</w:t>
            </w:r>
          </w:p>
        </w:tc>
        <w:tc>
          <w:tcPr>
            <w:tcW w:w="1701" w:type="dxa"/>
          </w:tcPr>
          <w:p w14:paraId="403048DE" w14:textId="77777777" w:rsidR="001254C5" w:rsidRPr="005365EE" w:rsidRDefault="001254C5" w:rsidP="00E9370C">
            <w:pPr>
              <w:spacing w:before="120" w:after="120"/>
              <w:rPr>
                <w:rFonts w:ascii="Open Sans" w:hAnsi="Open Sans" w:cs="Open Sans"/>
                <w:sz w:val="20"/>
                <w:szCs w:val="20"/>
              </w:rPr>
            </w:pPr>
            <w:r w:rsidRPr="005365EE">
              <w:rPr>
                <w:rFonts w:ascii="Open Sans" w:hAnsi="Open Sans" w:cs="Open Sans"/>
                <w:sz w:val="20"/>
                <w:szCs w:val="20"/>
              </w:rPr>
              <w:t>450,000</w:t>
            </w:r>
          </w:p>
        </w:tc>
        <w:tc>
          <w:tcPr>
            <w:tcW w:w="1843" w:type="dxa"/>
          </w:tcPr>
          <w:p w14:paraId="17683149" w14:textId="77777777" w:rsidR="001254C5" w:rsidRPr="005365EE" w:rsidRDefault="001254C5" w:rsidP="00E9370C">
            <w:pPr>
              <w:spacing w:before="120" w:after="120"/>
              <w:rPr>
                <w:rFonts w:ascii="Open Sans" w:hAnsi="Open Sans" w:cs="Open Sans"/>
                <w:sz w:val="20"/>
                <w:szCs w:val="20"/>
              </w:rPr>
            </w:pPr>
            <w:r w:rsidRPr="005365EE">
              <w:rPr>
                <w:rFonts w:ascii="Open Sans" w:hAnsi="Open Sans" w:cs="Open Sans"/>
                <w:sz w:val="20"/>
                <w:szCs w:val="20"/>
              </w:rPr>
              <w:t>40,000</w:t>
            </w:r>
          </w:p>
        </w:tc>
        <w:tc>
          <w:tcPr>
            <w:tcW w:w="1842" w:type="dxa"/>
          </w:tcPr>
          <w:p w14:paraId="13377FAF" w14:textId="77777777" w:rsidR="001254C5" w:rsidRPr="005365EE" w:rsidRDefault="001254C5" w:rsidP="00E9370C">
            <w:pPr>
              <w:spacing w:before="120" w:after="120"/>
              <w:rPr>
                <w:rFonts w:ascii="Open Sans" w:hAnsi="Open Sans" w:cs="Open Sans"/>
                <w:sz w:val="20"/>
                <w:szCs w:val="20"/>
              </w:rPr>
            </w:pPr>
            <w:r w:rsidRPr="005365EE">
              <w:rPr>
                <w:rFonts w:ascii="Open Sans" w:hAnsi="Open Sans" w:cs="Open Sans"/>
                <w:sz w:val="20"/>
                <w:szCs w:val="20"/>
              </w:rPr>
              <w:t>50,000</w:t>
            </w:r>
          </w:p>
        </w:tc>
        <w:tc>
          <w:tcPr>
            <w:tcW w:w="1418" w:type="dxa"/>
          </w:tcPr>
          <w:p w14:paraId="532A1EF6" w14:textId="77777777" w:rsidR="001254C5" w:rsidRPr="005365EE" w:rsidRDefault="001254C5" w:rsidP="00E9370C">
            <w:pPr>
              <w:spacing w:before="120" w:after="120"/>
              <w:rPr>
                <w:rFonts w:ascii="Open Sans" w:hAnsi="Open Sans" w:cs="Open Sans"/>
                <w:sz w:val="20"/>
                <w:szCs w:val="20"/>
              </w:rPr>
            </w:pPr>
            <w:r w:rsidRPr="005365EE">
              <w:rPr>
                <w:rFonts w:ascii="Open Sans" w:hAnsi="Open Sans" w:cs="Open Sans"/>
                <w:sz w:val="20"/>
                <w:szCs w:val="20"/>
              </w:rPr>
              <w:t>540,000</w:t>
            </w:r>
          </w:p>
        </w:tc>
      </w:tr>
      <w:tr w:rsidR="001254C5" w:rsidRPr="005365EE" w14:paraId="1C06ED2C" w14:textId="77777777" w:rsidTr="00E9370C">
        <w:tc>
          <w:tcPr>
            <w:tcW w:w="1418" w:type="dxa"/>
          </w:tcPr>
          <w:p w14:paraId="23241053" w14:textId="77777777" w:rsidR="001254C5" w:rsidRPr="005365EE" w:rsidRDefault="001254C5" w:rsidP="00E9370C">
            <w:pPr>
              <w:spacing w:before="120" w:after="120"/>
              <w:rPr>
                <w:rFonts w:ascii="Open Sans" w:hAnsi="Open Sans" w:cs="Open Sans"/>
                <w:i/>
                <w:sz w:val="20"/>
                <w:szCs w:val="20"/>
              </w:rPr>
            </w:pPr>
            <w:r w:rsidRPr="005365EE">
              <w:rPr>
                <w:rFonts w:ascii="Open Sans" w:hAnsi="Open Sans" w:cs="Open Sans"/>
                <w:i/>
                <w:sz w:val="20"/>
                <w:szCs w:val="20"/>
              </w:rPr>
              <w:lastRenderedPageBreak/>
              <w:t>Network 4</w:t>
            </w:r>
          </w:p>
        </w:tc>
        <w:tc>
          <w:tcPr>
            <w:tcW w:w="1701" w:type="dxa"/>
          </w:tcPr>
          <w:p w14:paraId="39930C35" w14:textId="77777777" w:rsidR="001254C5" w:rsidRPr="005365EE" w:rsidRDefault="001254C5" w:rsidP="00E9370C">
            <w:pPr>
              <w:spacing w:before="120" w:after="120"/>
              <w:rPr>
                <w:rFonts w:ascii="Open Sans" w:hAnsi="Open Sans" w:cs="Open Sans"/>
                <w:sz w:val="20"/>
                <w:szCs w:val="20"/>
              </w:rPr>
            </w:pPr>
            <w:r w:rsidRPr="005365EE">
              <w:rPr>
                <w:rFonts w:ascii="Open Sans" w:hAnsi="Open Sans" w:cs="Open Sans"/>
                <w:sz w:val="20"/>
                <w:szCs w:val="20"/>
              </w:rPr>
              <w:t>470,000</w:t>
            </w:r>
          </w:p>
        </w:tc>
        <w:tc>
          <w:tcPr>
            <w:tcW w:w="1843" w:type="dxa"/>
          </w:tcPr>
          <w:p w14:paraId="59480EBD" w14:textId="77777777" w:rsidR="001254C5" w:rsidRPr="005365EE" w:rsidRDefault="001254C5" w:rsidP="00E9370C">
            <w:pPr>
              <w:spacing w:before="120" w:after="120"/>
              <w:rPr>
                <w:rFonts w:ascii="Open Sans" w:hAnsi="Open Sans" w:cs="Open Sans"/>
                <w:sz w:val="20"/>
                <w:szCs w:val="20"/>
              </w:rPr>
            </w:pPr>
            <w:r w:rsidRPr="005365EE">
              <w:rPr>
                <w:rFonts w:ascii="Open Sans" w:hAnsi="Open Sans" w:cs="Open Sans"/>
                <w:sz w:val="20"/>
                <w:szCs w:val="20"/>
              </w:rPr>
              <w:t>40,000</w:t>
            </w:r>
          </w:p>
        </w:tc>
        <w:tc>
          <w:tcPr>
            <w:tcW w:w="1842" w:type="dxa"/>
          </w:tcPr>
          <w:p w14:paraId="3C6A5F6C" w14:textId="77777777" w:rsidR="001254C5" w:rsidRPr="005365EE" w:rsidRDefault="001254C5" w:rsidP="00E9370C">
            <w:pPr>
              <w:spacing w:before="120" w:after="120"/>
              <w:rPr>
                <w:rFonts w:ascii="Open Sans" w:hAnsi="Open Sans" w:cs="Open Sans"/>
                <w:sz w:val="20"/>
                <w:szCs w:val="20"/>
              </w:rPr>
            </w:pPr>
            <w:r w:rsidRPr="005365EE">
              <w:rPr>
                <w:rFonts w:ascii="Open Sans" w:hAnsi="Open Sans" w:cs="Open Sans"/>
                <w:sz w:val="20"/>
                <w:szCs w:val="20"/>
              </w:rPr>
              <w:t>60,000</w:t>
            </w:r>
          </w:p>
        </w:tc>
        <w:tc>
          <w:tcPr>
            <w:tcW w:w="1418" w:type="dxa"/>
          </w:tcPr>
          <w:p w14:paraId="57DB8840" w14:textId="77777777" w:rsidR="001254C5" w:rsidRPr="005365EE" w:rsidRDefault="001254C5" w:rsidP="00E9370C">
            <w:pPr>
              <w:spacing w:before="120" w:after="120"/>
              <w:rPr>
                <w:rFonts w:ascii="Open Sans" w:hAnsi="Open Sans" w:cs="Open Sans"/>
                <w:sz w:val="20"/>
                <w:szCs w:val="20"/>
              </w:rPr>
            </w:pPr>
            <w:r w:rsidRPr="005365EE">
              <w:rPr>
                <w:rFonts w:ascii="Open Sans" w:hAnsi="Open Sans" w:cs="Open Sans"/>
                <w:sz w:val="20"/>
                <w:szCs w:val="20"/>
              </w:rPr>
              <w:t>570,000</w:t>
            </w:r>
          </w:p>
        </w:tc>
      </w:tr>
    </w:tbl>
    <w:p w14:paraId="50C5765E" w14:textId="77777777" w:rsidR="001254C5" w:rsidRPr="005365EE" w:rsidRDefault="001254C5" w:rsidP="001254C5">
      <w:pPr>
        <w:spacing w:before="120" w:after="120"/>
        <w:rPr>
          <w:rFonts w:ascii="Open Sans" w:hAnsi="Open Sans" w:cs="Open Sans"/>
          <w:szCs w:val="20"/>
        </w:rPr>
      </w:pPr>
      <w:r w:rsidRPr="005365EE">
        <w:rPr>
          <w:rFonts w:ascii="Open Sans" w:hAnsi="Open Sans" w:cs="Open Sans"/>
          <w:szCs w:val="20"/>
        </w:rPr>
        <w:t xml:space="preserve">Examples of where there are technical divergences: </w:t>
      </w:r>
    </w:p>
    <w:p w14:paraId="425AD5A1" w14:textId="77777777" w:rsidR="001254C5" w:rsidRPr="005365EE" w:rsidRDefault="001254C5" w:rsidP="001254C5">
      <w:pPr>
        <w:pStyle w:val="ListParagraph"/>
        <w:numPr>
          <w:ilvl w:val="0"/>
          <w:numId w:val="35"/>
        </w:numPr>
        <w:spacing w:before="120" w:after="120"/>
        <w:jc w:val="left"/>
        <w:rPr>
          <w:rFonts w:ascii="Open Sans" w:hAnsi="Open Sans" w:cs="Open Sans"/>
          <w:szCs w:val="20"/>
        </w:rPr>
      </w:pPr>
      <w:r w:rsidRPr="005365EE">
        <w:rPr>
          <w:rFonts w:ascii="Open Sans" w:hAnsi="Open Sans" w:cs="Open Sans"/>
          <w:szCs w:val="20"/>
        </w:rPr>
        <w:t>Odorant system ownership and location in GEU</w:t>
      </w:r>
    </w:p>
    <w:p w14:paraId="31C26764" w14:textId="77777777" w:rsidR="001254C5" w:rsidRPr="005365EE" w:rsidRDefault="001254C5" w:rsidP="001254C5">
      <w:pPr>
        <w:pStyle w:val="ListParagraph"/>
        <w:numPr>
          <w:ilvl w:val="0"/>
          <w:numId w:val="35"/>
        </w:numPr>
        <w:spacing w:before="120" w:after="120"/>
        <w:jc w:val="left"/>
        <w:rPr>
          <w:rFonts w:ascii="Open Sans" w:hAnsi="Open Sans" w:cs="Open Sans"/>
          <w:szCs w:val="20"/>
        </w:rPr>
      </w:pPr>
      <w:r w:rsidRPr="005365EE">
        <w:rPr>
          <w:rFonts w:ascii="Open Sans" w:hAnsi="Open Sans" w:cs="Open Sans"/>
          <w:szCs w:val="20"/>
        </w:rPr>
        <w:t>Separate shut down plc</w:t>
      </w:r>
    </w:p>
    <w:p w14:paraId="0A05425F" w14:textId="77777777" w:rsidR="001254C5" w:rsidRPr="005365EE" w:rsidRDefault="001254C5" w:rsidP="001254C5">
      <w:pPr>
        <w:pStyle w:val="ListParagraph"/>
        <w:numPr>
          <w:ilvl w:val="0"/>
          <w:numId w:val="35"/>
        </w:numPr>
        <w:spacing w:before="120" w:after="120"/>
        <w:jc w:val="left"/>
        <w:rPr>
          <w:rFonts w:ascii="Open Sans" w:hAnsi="Open Sans" w:cs="Open Sans"/>
          <w:szCs w:val="20"/>
        </w:rPr>
      </w:pPr>
      <w:r w:rsidRPr="005365EE">
        <w:rPr>
          <w:rFonts w:ascii="Open Sans" w:hAnsi="Open Sans" w:cs="Open Sans"/>
          <w:szCs w:val="20"/>
        </w:rPr>
        <w:t>Ownership of RTU</w:t>
      </w:r>
    </w:p>
    <w:p w14:paraId="06CFDE3A" w14:textId="77777777" w:rsidR="001254C5" w:rsidRPr="005365EE" w:rsidRDefault="001254C5" w:rsidP="001254C5">
      <w:pPr>
        <w:pStyle w:val="ListParagraph"/>
        <w:numPr>
          <w:ilvl w:val="0"/>
          <w:numId w:val="35"/>
        </w:numPr>
        <w:spacing w:before="120" w:after="120"/>
        <w:jc w:val="left"/>
        <w:rPr>
          <w:rFonts w:ascii="Open Sans" w:hAnsi="Open Sans" w:cs="Open Sans"/>
          <w:szCs w:val="20"/>
        </w:rPr>
      </w:pPr>
      <w:r w:rsidRPr="005365EE">
        <w:rPr>
          <w:rFonts w:ascii="Open Sans" w:hAnsi="Open Sans" w:cs="Open Sans"/>
          <w:szCs w:val="20"/>
        </w:rPr>
        <w:t>Time of flight system</w:t>
      </w:r>
    </w:p>
    <w:p w14:paraId="6F8D14E2" w14:textId="77777777" w:rsidR="001254C5" w:rsidRPr="005365EE" w:rsidRDefault="001254C5" w:rsidP="001254C5">
      <w:pPr>
        <w:pStyle w:val="ListParagraph"/>
        <w:numPr>
          <w:ilvl w:val="0"/>
          <w:numId w:val="35"/>
        </w:numPr>
        <w:spacing w:before="120" w:after="120"/>
        <w:jc w:val="left"/>
        <w:rPr>
          <w:rFonts w:ascii="Open Sans" w:hAnsi="Open Sans" w:cs="Open Sans"/>
          <w:szCs w:val="20"/>
        </w:rPr>
      </w:pPr>
      <w:r w:rsidRPr="005365EE">
        <w:rPr>
          <w:rFonts w:ascii="Open Sans" w:hAnsi="Open Sans" w:cs="Open Sans"/>
          <w:szCs w:val="20"/>
        </w:rPr>
        <w:t>Design details of upstream plant</w:t>
      </w:r>
    </w:p>
    <w:p w14:paraId="12671CB0" w14:textId="77777777" w:rsidR="001254C5" w:rsidRPr="005365EE" w:rsidRDefault="001254C5" w:rsidP="001254C5">
      <w:pPr>
        <w:pStyle w:val="gmail-m-1961058956222727465msolistparagraph"/>
        <w:spacing w:before="120" w:beforeAutospacing="0" w:after="120" w:afterAutospacing="0"/>
        <w:rPr>
          <w:rFonts w:ascii="Open Sans" w:hAnsi="Open Sans" w:cs="Open Sans"/>
          <w:sz w:val="20"/>
          <w:szCs w:val="20"/>
          <w:lang w:val="en-US" w:eastAsia="en-US"/>
        </w:rPr>
      </w:pPr>
    </w:p>
    <w:p w14:paraId="18C445B6" w14:textId="77777777" w:rsidR="001254C5" w:rsidRPr="005365EE" w:rsidRDefault="001254C5" w:rsidP="001254C5">
      <w:pPr>
        <w:pStyle w:val="gmail-m-1961058956222727465msolistparagraph"/>
        <w:spacing w:before="120" w:beforeAutospacing="0" w:after="120" w:afterAutospacing="0"/>
        <w:rPr>
          <w:rFonts w:ascii="Open Sans" w:hAnsi="Open Sans" w:cs="Open Sans"/>
          <w:i/>
          <w:sz w:val="22"/>
          <w:szCs w:val="22"/>
          <w:lang w:val="en-US" w:eastAsia="en-US"/>
        </w:rPr>
      </w:pPr>
      <w:r w:rsidRPr="005365EE">
        <w:rPr>
          <w:rFonts w:ascii="Open Sans" w:hAnsi="Open Sans" w:cs="Open Sans"/>
          <w:i/>
          <w:sz w:val="22"/>
          <w:szCs w:val="22"/>
          <w:lang w:val="en-US" w:eastAsia="en-US"/>
        </w:rPr>
        <w:t xml:space="preserve">Example: Odorant system </w:t>
      </w:r>
    </w:p>
    <w:p w14:paraId="3CB30C51" w14:textId="77777777" w:rsidR="001254C5" w:rsidRPr="005365EE" w:rsidRDefault="001254C5" w:rsidP="001254C5">
      <w:pPr>
        <w:pStyle w:val="gmail-m-1961058956222727465msolistparagraph"/>
        <w:spacing w:before="120" w:beforeAutospacing="0" w:after="120" w:afterAutospacing="0"/>
        <w:rPr>
          <w:rFonts w:ascii="Open Sans" w:hAnsi="Open Sans" w:cs="Open Sans"/>
          <w:sz w:val="22"/>
          <w:szCs w:val="22"/>
          <w:lang w:val="en-US" w:eastAsia="en-US"/>
        </w:rPr>
      </w:pPr>
      <w:r w:rsidRPr="005365EE">
        <w:rPr>
          <w:rFonts w:ascii="Open Sans" w:hAnsi="Open Sans" w:cs="Open Sans"/>
          <w:sz w:val="22"/>
          <w:szCs w:val="22"/>
          <w:lang w:val="en-US" w:eastAsia="en-US"/>
        </w:rPr>
        <w:t xml:space="preserve">There are a number of inconsistencies in the GDN’s protocols and required GEU designs. The odorant system is an example. NGN is the only network that has the ownership of the odorant system. This slows down the process and has resulted in extended plant downtime and flaring. NGN should align with other networks (ie leave the ownership of the odorant system with the biomethane developer or whoever owns the GEU). </w:t>
      </w:r>
    </w:p>
    <w:p w14:paraId="3BEC57EB" w14:textId="77777777" w:rsidR="001254C5" w:rsidRPr="005365EE" w:rsidRDefault="001254C5" w:rsidP="001254C5">
      <w:pPr>
        <w:spacing w:before="120" w:after="120"/>
        <w:rPr>
          <w:rFonts w:ascii="Open Sans" w:hAnsi="Open Sans" w:cs="Open Sans"/>
          <w:szCs w:val="20"/>
          <w:u w:val="single"/>
        </w:rPr>
      </w:pPr>
    </w:p>
    <w:p w14:paraId="74F599B3" w14:textId="77777777" w:rsidR="001254C5" w:rsidRPr="005365EE" w:rsidRDefault="001254C5" w:rsidP="001254C5">
      <w:pPr>
        <w:spacing w:before="120" w:after="120"/>
        <w:rPr>
          <w:rFonts w:ascii="Open Sans" w:hAnsi="Open Sans" w:cs="Open Sans"/>
          <w:szCs w:val="20"/>
          <w:u w:val="single"/>
        </w:rPr>
      </w:pPr>
      <w:r w:rsidRPr="005365EE">
        <w:rPr>
          <w:rFonts w:ascii="Open Sans" w:hAnsi="Open Sans" w:cs="Open Sans"/>
          <w:szCs w:val="20"/>
          <w:u w:val="single"/>
        </w:rPr>
        <w:t xml:space="preserve">Solution </w:t>
      </w:r>
    </w:p>
    <w:p w14:paraId="0D16653C" w14:textId="77777777" w:rsidR="001254C5" w:rsidRPr="005365EE" w:rsidRDefault="001254C5" w:rsidP="001254C5">
      <w:pPr>
        <w:pStyle w:val="gmail-m-1961058956222727465msolistparagraph"/>
        <w:spacing w:before="120" w:beforeAutospacing="0" w:after="120" w:afterAutospacing="0"/>
        <w:rPr>
          <w:rFonts w:ascii="Open Sans" w:eastAsia="Times New Roman" w:hAnsi="Open Sans" w:cs="Open Sans"/>
          <w:szCs w:val="20"/>
        </w:rPr>
      </w:pPr>
      <w:r w:rsidRPr="005365EE">
        <w:rPr>
          <w:rFonts w:ascii="Open Sans" w:eastAsia="Times New Roman" w:hAnsi="Open Sans" w:cs="Open Sans"/>
          <w:sz w:val="20"/>
          <w:szCs w:val="20"/>
        </w:rPr>
        <w:t>In our view the ‘</w:t>
      </w:r>
      <w:r w:rsidRPr="005365EE">
        <w:rPr>
          <w:rFonts w:ascii="Open Sans" w:eastAsia="Times New Roman" w:hAnsi="Open Sans" w:cs="Open Sans"/>
          <w:i/>
          <w:sz w:val="20"/>
          <w:szCs w:val="20"/>
        </w:rPr>
        <w:t>WWU</w:t>
      </w:r>
      <w:r w:rsidRPr="005365EE">
        <w:rPr>
          <w:rFonts w:ascii="Open Sans" w:eastAsia="Times New Roman" w:hAnsi="Open Sans" w:cs="Open Sans"/>
          <w:sz w:val="20"/>
          <w:szCs w:val="20"/>
        </w:rPr>
        <w:t xml:space="preserve">’’s system as the most economic and efficient as this complies with HSE and Ofgem requirements at least cost. The other GDNs should adopt the </w:t>
      </w:r>
      <w:r w:rsidRPr="005365EE">
        <w:rPr>
          <w:rFonts w:ascii="Open Sans" w:eastAsia="Times New Roman" w:hAnsi="Open Sans" w:cs="Open Sans"/>
          <w:i/>
          <w:sz w:val="20"/>
          <w:szCs w:val="20"/>
        </w:rPr>
        <w:t>WWU</w:t>
      </w:r>
      <w:r w:rsidRPr="005365EE">
        <w:rPr>
          <w:rFonts w:ascii="Open Sans" w:eastAsia="Times New Roman" w:hAnsi="Open Sans" w:cs="Open Sans"/>
          <w:sz w:val="20"/>
          <w:szCs w:val="20"/>
        </w:rPr>
        <w:t xml:space="preserve">’s design, or, as proposed in the response to Ofgem RIIO2 consultation, maintain their designs but make a funding contribution equal to the difference between the total cost in their area and the </w:t>
      </w:r>
      <w:r w:rsidRPr="005365EE">
        <w:rPr>
          <w:rFonts w:ascii="Open Sans" w:eastAsia="Times New Roman" w:hAnsi="Open Sans" w:cs="Open Sans"/>
          <w:i/>
          <w:sz w:val="20"/>
          <w:szCs w:val="20"/>
        </w:rPr>
        <w:t>WWU</w:t>
      </w:r>
      <w:r w:rsidRPr="005365EE">
        <w:rPr>
          <w:rFonts w:ascii="Open Sans" w:eastAsia="Times New Roman" w:hAnsi="Open Sans" w:cs="Open Sans"/>
          <w:sz w:val="20"/>
          <w:szCs w:val="20"/>
        </w:rPr>
        <w:t xml:space="preserve">’s total cost. </w:t>
      </w:r>
    </w:p>
    <w:p w14:paraId="2F36765B" w14:textId="77777777" w:rsidR="001254C5" w:rsidRPr="005365EE" w:rsidRDefault="001254C5" w:rsidP="001254C5">
      <w:pPr>
        <w:spacing w:before="120" w:after="120"/>
        <w:rPr>
          <w:rFonts w:ascii="Open Sans" w:hAnsi="Open Sans" w:cs="Open Sans"/>
          <w:szCs w:val="20"/>
        </w:rPr>
      </w:pPr>
      <w:r w:rsidRPr="005365EE">
        <w:rPr>
          <w:rFonts w:ascii="Open Sans" w:hAnsi="Open Sans" w:cs="Open Sans"/>
          <w:szCs w:val="20"/>
        </w:rPr>
        <w:t xml:space="preserve">The same would apply to annual maintenance and compliance costs with a difference of around £10K between the highest and </w:t>
      </w:r>
      <w:r w:rsidRPr="005365EE">
        <w:rPr>
          <w:rFonts w:ascii="Open Sans" w:hAnsi="Open Sans" w:cs="Open Sans"/>
          <w:i/>
          <w:szCs w:val="20"/>
        </w:rPr>
        <w:t>WWU</w:t>
      </w:r>
      <w:r w:rsidRPr="005365EE">
        <w:rPr>
          <w:rFonts w:ascii="Open Sans" w:hAnsi="Open Sans" w:cs="Open Sans"/>
          <w:szCs w:val="20"/>
        </w:rPr>
        <w:t xml:space="preserve"> ’s approach.  </w:t>
      </w:r>
    </w:p>
    <w:p w14:paraId="57674671" w14:textId="77777777" w:rsidR="001254C5" w:rsidRPr="005365EE" w:rsidRDefault="001254C5" w:rsidP="001254C5">
      <w:pPr>
        <w:spacing w:before="120" w:after="120"/>
        <w:rPr>
          <w:rFonts w:ascii="Open Sans" w:hAnsi="Open Sans" w:cs="Open Sans"/>
          <w:szCs w:val="20"/>
        </w:rPr>
      </w:pPr>
      <w:r w:rsidRPr="005365EE">
        <w:rPr>
          <w:rFonts w:ascii="Open Sans" w:hAnsi="Open Sans" w:cs="Open Sans"/>
          <w:szCs w:val="20"/>
        </w:rPr>
        <w:t xml:space="preserve">This would provide a strong incentive for the gas networks to harmonise their specifications. If Ofgem implemented this, it is likely that all the GDNs would decide to adopt the </w:t>
      </w:r>
      <w:r w:rsidRPr="005365EE">
        <w:rPr>
          <w:rFonts w:ascii="Open Sans" w:hAnsi="Open Sans" w:cs="Open Sans"/>
          <w:i/>
          <w:szCs w:val="20"/>
        </w:rPr>
        <w:t>WWU</w:t>
      </w:r>
      <w:r w:rsidRPr="005365EE">
        <w:rPr>
          <w:rFonts w:ascii="Open Sans" w:hAnsi="Open Sans" w:cs="Open Sans"/>
          <w:szCs w:val="20"/>
        </w:rPr>
        <w:t xml:space="preserve">’s design as their shareholders will not see the business case for the additional investment. </w:t>
      </w:r>
    </w:p>
    <w:p w14:paraId="30063E89" w14:textId="77777777" w:rsidR="001254C5" w:rsidRPr="005365EE" w:rsidRDefault="001254C5" w:rsidP="001254C5">
      <w:pPr>
        <w:spacing w:before="120" w:after="120"/>
        <w:rPr>
          <w:rFonts w:ascii="Open Sans" w:hAnsi="Open Sans" w:cs="Open Sans"/>
          <w:szCs w:val="20"/>
        </w:rPr>
      </w:pPr>
      <w:r w:rsidRPr="005365EE">
        <w:rPr>
          <w:rFonts w:ascii="Open Sans" w:hAnsi="Open Sans" w:cs="Open Sans"/>
          <w:szCs w:val="20"/>
        </w:rPr>
        <w:t xml:space="preserve">Currently, there is much uncertainty around: </w:t>
      </w:r>
    </w:p>
    <w:p w14:paraId="7A99CD4E" w14:textId="77777777" w:rsidR="001254C5" w:rsidRPr="005365EE" w:rsidRDefault="001254C5" w:rsidP="001254C5">
      <w:pPr>
        <w:pStyle w:val="ListParagraph"/>
        <w:numPr>
          <w:ilvl w:val="0"/>
          <w:numId w:val="36"/>
        </w:numPr>
        <w:spacing w:before="120" w:after="120"/>
        <w:ind w:left="426" w:hanging="426"/>
        <w:jc w:val="left"/>
        <w:rPr>
          <w:rFonts w:ascii="Open Sans" w:hAnsi="Open Sans" w:cs="Open Sans"/>
          <w:szCs w:val="20"/>
        </w:rPr>
      </w:pPr>
      <w:r w:rsidRPr="005365EE">
        <w:rPr>
          <w:rFonts w:ascii="Open Sans" w:hAnsi="Open Sans" w:cs="Open Sans"/>
          <w:szCs w:val="20"/>
        </w:rPr>
        <w:t xml:space="preserve">the justification for the main areas of difference between a GEU in all GDNs except </w:t>
      </w:r>
      <w:r w:rsidRPr="005365EE">
        <w:rPr>
          <w:rFonts w:ascii="Open Sans" w:hAnsi="Open Sans" w:cs="Open Sans"/>
          <w:i/>
          <w:szCs w:val="20"/>
        </w:rPr>
        <w:t>WWU</w:t>
      </w:r>
      <w:r w:rsidRPr="005365EE">
        <w:rPr>
          <w:rFonts w:ascii="Open Sans" w:hAnsi="Open Sans" w:cs="Open Sans"/>
          <w:szCs w:val="20"/>
        </w:rPr>
        <w:t xml:space="preserve"> and the ones in </w:t>
      </w:r>
      <w:r w:rsidRPr="005365EE">
        <w:rPr>
          <w:rFonts w:ascii="Open Sans" w:hAnsi="Open Sans" w:cs="Open Sans"/>
          <w:i/>
          <w:szCs w:val="20"/>
        </w:rPr>
        <w:t>WWU</w:t>
      </w:r>
      <w:r w:rsidRPr="005365EE">
        <w:rPr>
          <w:rFonts w:ascii="Open Sans" w:hAnsi="Open Sans" w:cs="Open Sans"/>
          <w:szCs w:val="20"/>
        </w:rPr>
        <w:t xml:space="preserve"> which are commonly accepted to be the lowest cost designs to comply with HSE and Ofgem requirements.</w:t>
      </w:r>
    </w:p>
    <w:p w14:paraId="79662ABC" w14:textId="77777777" w:rsidR="001254C5" w:rsidRPr="005365EE" w:rsidRDefault="001254C5" w:rsidP="001254C5">
      <w:pPr>
        <w:pStyle w:val="ListParagraph"/>
        <w:numPr>
          <w:ilvl w:val="0"/>
          <w:numId w:val="36"/>
        </w:numPr>
        <w:spacing w:before="120" w:after="120"/>
        <w:ind w:left="426" w:hanging="426"/>
        <w:jc w:val="left"/>
        <w:rPr>
          <w:rFonts w:ascii="Open Sans" w:hAnsi="Open Sans" w:cs="Open Sans"/>
          <w:szCs w:val="20"/>
        </w:rPr>
      </w:pPr>
      <w:r w:rsidRPr="005365EE">
        <w:rPr>
          <w:rFonts w:ascii="Open Sans" w:hAnsi="Open Sans" w:cs="Open Sans"/>
          <w:szCs w:val="20"/>
        </w:rPr>
        <w:t xml:space="preserve">The reason why biomethane producers should pay more than the </w:t>
      </w:r>
      <w:r w:rsidRPr="005365EE">
        <w:rPr>
          <w:rFonts w:ascii="Open Sans" w:hAnsi="Open Sans" w:cs="Open Sans"/>
          <w:i/>
          <w:szCs w:val="20"/>
        </w:rPr>
        <w:t>WWU</w:t>
      </w:r>
      <w:r w:rsidRPr="005365EE">
        <w:rPr>
          <w:rFonts w:ascii="Open Sans" w:hAnsi="Open Sans" w:cs="Open Sans"/>
          <w:szCs w:val="20"/>
        </w:rPr>
        <w:t xml:space="preserve"> frontier cost. </w:t>
      </w:r>
    </w:p>
    <w:p w14:paraId="5F8262CF" w14:textId="77777777" w:rsidR="001254C5" w:rsidRPr="005365EE" w:rsidRDefault="001254C5" w:rsidP="001254C5">
      <w:pPr>
        <w:pStyle w:val="ListParagraph"/>
        <w:numPr>
          <w:ilvl w:val="0"/>
          <w:numId w:val="36"/>
        </w:numPr>
        <w:spacing w:before="120" w:after="120"/>
        <w:ind w:left="426" w:hanging="426"/>
        <w:jc w:val="left"/>
        <w:rPr>
          <w:rFonts w:ascii="Open Sans" w:hAnsi="Open Sans" w:cs="Open Sans"/>
          <w:szCs w:val="20"/>
        </w:rPr>
      </w:pPr>
      <w:r w:rsidRPr="005365EE">
        <w:rPr>
          <w:rFonts w:ascii="Open Sans" w:hAnsi="Open Sans" w:cs="Open Sans"/>
          <w:szCs w:val="20"/>
        </w:rPr>
        <w:t xml:space="preserve">What steps are being taken by the networks to ensure biomethane connections are ‘economic and efficient’. </w:t>
      </w:r>
    </w:p>
    <w:p w14:paraId="28158A6C" w14:textId="77777777" w:rsidR="001254C5" w:rsidRPr="005365EE" w:rsidRDefault="001254C5" w:rsidP="001254C5">
      <w:pPr>
        <w:spacing w:before="120" w:after="120"/>
        <w:rPr>
          <w:rFonts w:ascii="Open Sans" w:hAnsi="Open Sans" w:cs="Open Sans"/>
          <w:szCs w:val="20"/>
        </w:rPr>
      </w:pPr>
      <w:r w:rsidRPr="005365EE">
        <w:rPr>
          <w:rFonts w:ascii="Open Sans" w:hAnsi="Open Sans" w:cs="Open Sans"/>
          <w:szCs w:val="20"/>
        </w:rPr>
        <w:t>There is also a confused position in relation to allowing self lay for &gt;7 bar connections. Cadent have been the leader in this area , with around 10 biomethane projects going ahead as a result of Cadent allowing competitive provision of &gt;7 bar connections. This is an investment of around £200 million that would not have happened in the 2014-16 period in the other GDN areas. Other GDNs do not allow this or allow it but insist on doing the final connection which makes it uneconomic to have a competitive option. Ofgem should review all policies in this area and ensure that for H</w:t>
      </w:r>
      <w:r w:rsidRPr="005365EE">
        <w:rPr>
          <w:rFonts w:ascii="Open Sans" w:hAnsi="Open Sans" w:cs="Open Sans"/>
          <w:szCs w:val="20"/>
          <w:vertAlign w:val="subscript"/>
        </w:rPr>
        <w:t>2</w:t>
      </w:r>
      <w:r w:rsidRPr="005365EE">
        <w:rPr>
          <w:rFonts w:ascii="Open Sans" w:hAnsi="Open Sans" w:cs="Open Sans"/>
          <w:szCs w:val="20"/>
        </w:rPr>
        <w:t xml:space="preserve"> there is a fully competitive system. This should also apply to within grid compressor projects to create capacity.</w:t>
      </w:r>
    </w:p>
    <w:p w14:paraId="5D6C284D" w14:textId="77777777" w:rsidR="001254C5" w:rsidRPr="005365EE" w:rsidRDefault="001254C5" w:rsidP="001254C5">
      <w:pPr>
        <w:spacing w:before="120" w:after="120"/>
        <w:rPr>
          <w:rFonts w:ascii="Open Sans" w:hAnsi="Open Sans" w:cs="Open Sans"/>
          <w:szCs w:val="20"/>
        </w:rPr>
      </w:pPr>
    </w:p>
    <w:p w14:paraId="1952EE5D" w14:textId="77777777" w:rsidR="001254C5" w:rsidRPr="005365EE" w:rsidRDefault="001254C5" w:rsidP="001254C5">
      <w:pPr>
        <w:pStyle w:val="gmail-m-1961058956222727465msolistparagraph"/>
        <w:spacing w:before="120" w:beforeAutospacing="0" w:after="120" w:afterAutospacing="0"/>
        <w:rPr>
          <w:rFonts w:ascii="Open Sans" w:hAnsi="Open Sans" w:cs="Open Sans"/>
          <w:b/>
          <w:sz w:val="22"/>
          <w:szCs w:val="22"/>
          <w:u w:val="single"/>
          <w:lang w:val="en-US" w:eastAsia="en-US"/>
        </w:rPr>
      </w:pPr>
      <w:r w:rsidRPr="005365EE">
        <w:rPr>
          <w:rFonts w:ascii="Open Sans" w:hAnsi="Open Sans" w:cs="Open Sans"/>
          <w:b/>
          <w:sz w:val="22"/>
          <w:szCs w:val="22"/>
          <w:u w:val="single"/>
          <w:lang w:val="en-US" w:eastAsia="en-US"/>
        </w:rPr>
        <w:t>Additional GDN Requirements</w:t>
      </w:r>
    </w:p>
    <w:p w14:paraId="1D8F17D7" w14:textId="77777777" w:rsidR="001254C5" w:rsidRPr="005365EE" w:rsidRDefault="001254C5" w:rsidP="001254C5">
      <w:pPr>
        <w:pStyle w:val="gmail-m-1961058956222727465msolistparagraph"/>
        <w:spacing w:before="120" w:beforeAutospacing="0" w:after="120" w:afterAutospacing="0"/>
        <w:rPr>
          <w:rFonts w:ascii="Open Sans" w:hAnsi="Open Sans" w:cs="Open Sans"/>
          <w:bCs/>
          <w:sz w:val="22"/>
          <w:szCs w:val="22"/>
          <w:lang w:val="en-US" w:eastAsia="en-US"/>
        </w:rPr>
      </w:pPr>
      <w:r w:rsidRPr="005365EE">
        <w:rPr>
          <w:rFonts w:ascii="Open Sans" w:hAnsi="Open Sans" w:cs="Open Sans"/>
          <w:bCs/>
          <w:sz w:val="22"/>
          <w:szCs w:val="22"/>
          <w:lang w:val="en-US" w:eastAsia="en-US"/>
        </w:rPr>
        <w:t xml:space="preserve">All the GDNs should adopt a common design of GEU and common processes and this should extend to requirements related to upstream gas processing in the biogas upgrading unit. At present some GDNs require significant additional investment in gas quality monitoring upstream of the GEU and the REA believes this is not economic or efficient. Ofgem should ensure that unnecessary costs are not being pushed onto biomethane producers without a good technical/safety reason. The REA can provide examples of this in areas of maintenance and gas quality monitoring equipment and this leads to significant costs. </w:t>
      </w:r>
    </w:p>
    <w:p w14:paraId="15925379" w14:textId="77777777" w:rsidR="001254C5" w:rsidRPr="005365EE" w:rsidRDefault="001254C5" w:rsidP="001254C5">
      <w:pPr>
        <w:pStyle w:val="gmail-m-1961058956222727465msolistparagraph"/>
        <w:spacing w:before="120" w:beforeAutospacing="0" w:after="120" w:afterAutospacing="0"/>
        <w:rPr>
          <w:rFonts w:ascii="Open Sans" w:hAnsi="Open Sans" w:cs="Open Sans"/>
          <w:bCs/>
          <w:sz w:val="20"/>
          <w:szCs w:val="20"/>
          <w:lang w:val="en-US" w:eastAsia="en-US"/>
        </w:rPr>
      </w:pPr>
    </w:p>
    <w:p w14:paraId="2998FD8F" w14:textId="77777777" w:rsidR="001254C5" w:rsidRPr="005365EE" w:rsidRDefault="001254C5" w:rsidP="001254C5">
      <w:pPr>
        <w:pStyle w:val="gmail-m-1961058956222727465msolistparagraph"/>
        <w:spacing w:before="120" w:beforeAutospacing="0" w:after="120" w:afterAutospacing="0"/>
        <w:rPr>
          <w:rFonts w:ascii="Open Sans" w:hAnsi="Open Sans" w:cs="Open Sans"/>
          <w:b/>
          <w:sz w:val="22"/>
          <w:szCs w:val="22"/>
          <w:u w:val="single"/>
          <w:lang w:val="en-US" w:eastAsia="en-US"/>
        </w:rPr>
      </w:pPr>
      <w:r w:rsidRPr="005365EE">
        <w:rPr>
          <w:rFonts w:ascii="Open Sans" w:hAnsi="Open Sans" w:cs="Open Sans"/>
          <w:b/>
          <w:sz w:val="22"/>
          <w:szCs w:val="22"/>
          <w:u w:val="single"/>
          <w:lang w:val="en-US" w:eastAsia="en-US"/>
        </w:rPr>
        <w:t xml:space="preserve">Propanation </w:t>
      </w:r>
    </w:p>
    <w:p w14:paraId="6D441E0E" w14:textId="77777777" w:rsidR="001254C5" w:rsidRPr="005365EE" w:rsidRDefault="001254C5" w:rsidP="001254C5">
      <w:pPr>
        <w:pStyle w:val="gmail-m-1961058956222727465msolistparagraph"/>
        <w:spacing w:before="120" w:beforeAutospacing="0" w:after="120" w:afterAutospacing="0"/>
        <w:rPr>
          <w:rFonts w:ascii="Open Sans" w:hAnsi="Open Sans" w:cs="Open Sans"/>
          <w:sz w:val="22"/>
          <w:szCs w:val="22"/>
          <w:lang w:val="en-US" w:eastAsia="en-US"/>
        </w:rPr>
      </w:pPr>
      <w:r w:rsidRPr="005365EE">
        <w:rPr>
          <w:rFonts w:ascii="Open Sans" w:hAnsi="Open Sans" w:cs="Open Sans"/>
          <w:sz w:val="22"/>
          <w:szCs w:val="22"/>
          <w:lang w:val="en-US" w:eastAsia="en-US"/>
        </w:rPr>
        <w:t xml:space="preserve">Propanation is a substantial cost for the biomethane sector and most gas distribution networks mentioned this as an issue to address in their RIIO2 business plans. However, again in the GDNs’ business plans there doesn’t seem to be a common approach in the way the networks are trying to address this issue and there is lack of focus on the Cadent NIC Future Billing project which would address this issue. </w:t>
      </w:r>
    </w:p>
    <w:p w14:paraId="6941E762" w14:textId="77777777" w:rsidR="001254C5" w:rsidRPr="005365EE" w:rsidRDefault="001254C5" w:rsidP="001254C5">
      <w:pPr>
        <w:pStyle w:val="gmail-m-1961058956222727465msolistparagraph"/>
        <w:spacing w:before="120" w:beforeAutospacing="0" w:after="120" w:afterAutospacing="0"/>
        <w:rPr>
          <w:rFonts w:ascii="Open Sans" w:hAnsi="Open Sans" w:cs="Open Sans"/>
          <w:sz w:val="22"/>
          <w:szCs w:val="22"/>
          <w:lang w:val="en-US" w:eastAsia="en-US"/>
        </w:rPr>
      </w:pPr>
      <w:r w:rsidRPr="005365EE">
        <w:rPr>
          <w:rFonts w:ascii="Open Sans" w:hAnsi="Open Sans" w:cs="Open Sans"/>
          <w:sz w:val="22"/>
          <w:szCs w:val="22"/>
          <w:lang w:val="en-US" w:eastAsia="en-US"/>
        </w:rPr>
        <w:t>The requirement to add propane is estimated to add cost of £150,000 per year for a 500 m</w:t>
      </w:r>
      <w:r w:rsidRPr="005365EE">
        <w:rPr>
          <w:rFonts w:ascii="Open Sans" w:hAnsi="Open Sans" w:cs="Open Sans"/>
          <w:sz w:val="22"/>
          <w:szCs w:val="22"/>
          <w:vertAlign w:val="superscript"/>
          <w:lang w:val="en-US" w:eastAsia="en-US"/>
        </w:rPr>
        <w:t>3</w:t>
      </w:r>
      <w:r w:rsidRPr="005365EE">
        <w:rPr>
          <w:rFonts w:ascii="Open Sans" w:hAnsi="Open Sans" w:cs="Open Sans"/>
          <w:sz w:val="22"/>
          <w:szCs w:val="22"/>
          <w:lang w:val="en-US" w:eastAsia="en-US"/>
        </w:rPr>
        <w:t xml:space="preserve"> /hour capacity plant. In addition, propane is fossil based so it increases greenhouse gas emissions of the biomethane. </w:t>
      </w:r>
    </w:p>
    <w:p w14:paraId="205694D0" w14:textId="77777777" w:rsidR="001254C5" w:rsidRPr="005365EE" w:rsidRDefault="001254C5" w:rsidP="001254C5">
      <w:pPr>
        <w:pStyle w:val="gmail-m-1961058956222727465msolistparagraph"/>
        <w:spacing w:before="120" w:beforeAutospacing="0" w:after="120" w:afterAutospacing="0"/>
        <w:rPr>
          <w:rFonts w:ascii="Open Sans" w:hAnsi="Open Sans" w:cs="Open Sans"/>
          <w:bCs/>
          <w:sz w:val="22"/>
          <w:szCs w:val="22"/>
          <w:lang w:val="en-US" w:eastAsia="en-US"/>
        </w:rPr>
      </w:pPr>
      <w:r w:rsidRPr="005365EE">
        <w:rPr>
          <w:rFonts w:ascii="Open Sans" w:hAnsi="Open Sans" w:cs="Open Sans"/>
          <w:bCs/>
          <w:sz w:val="22"/>
          <w:szCs w:val="22"/>
          <w:lang w:val="en-US" w:eastAsia="en-US"/>
        </w:rPr>
        <w:t xml:space="preserve">Given that propanation is an issue for other green gases (such as hydrogen) as well as for biomethane, the networks should work together in one single project to reform the GS(M)R and CoTER regulations and address once for all the propanation issue across all green gases. </w:t>
      </w:r>
    </w:p>
    <w:p w14:paraId="3497ACDB" w14:textId="77777777" w:rsidR="001254C5" w:rsidRPr="005365EE" w:rsidRDefault="001254C5" w:rsidP="001254C5">
      <w:pPr>
        <w:pStyle w:val="gmail-m-1961058956222727465msolistparagraph"/>
        <w:spacing w:before="120" w:beforeAutospacing="0" w:after="120" w:afterAutospacing="0"/>
        <w:rPr>
          <w:rFonts w:ascii="Open Sans" w:hAnsi="Open Sans" w:cs="Open Sans"/>
          <w:sz w:val="22"/>
          <w:szCs w:val="22"/>
          <w:lang w:val="en-US" w:eastAsia="en-US"/>
        </w:rPr>
      </w:pPr>
      <w:r w:rsidRPr="005365EE">
        <w:rPr>
          <w:rFonts w:ascii="Open Sans" w:hAnsi="Open Sans" w:cs="Open Sans"/>
          <w:sz w:val="22"/>
          <w:szCs w:val="22"/>
          <w:lang w:val="en-US" w:eastAsia="en-US"/>
        </w:rPr>
        <w:t xml:space="preserve">This is in line with the recommendations provided in the ENA’s </w:t>
      </w:r>
      <w:hyperlink r:id="rId59" w:history="1">
        <w:r w:rsidRPr="005365EE">
          <w:rPr>
            <w:rStyle w:val="Hyperlink"/>
            <w:rFonts w:ascii="Open Sans" w:hAnsi="Open Sans" w:cs="Open Sans"/>
            <w:color w:val="auto"/>
            <w:sz w:val="22"/>
            <w:szCs w:val="22"/>
          </w:rPr>
          <w:t>Pathways to Net-Zero:  Decarbonising the Gas Networks in Great Britain</w:t>
        </w:r>
      </w:hyperlink>
      <w:r w:rsidRPr="005365EE">
        <w:rPr>
          <w:rFonts w:ascii="Open Sans" w:eastAsia="Times New Roman" w:hAnsi="Open Sans" w:cs="Open Sans"/>
          <w:sz w:val="22"/>
          <w:szCs w:val="22"/>
        </w:rPr>
        <w:t xml:space="preserve"> </w:t>
      </w:r>
      <w:r w:rsidRPr="005365EE">
        <w:rPr>
          <w:rFonts w:ascii="Open Sans" w:hAnsi="Open Sans" w:cs="Open Sans"/>
          <w:sz w:val="22"/>
          <w:szCs w:val="22"/>
          <w:lang w:val="en-US" w:eastAsia="en-US"/>
        </w:rPr>
        <w:t xml:space="preserve">report (appendix G, Action 10). This action should be completed by end of 2020. </w:t>
      </w:r>
    </w:p>
    <w:p w14:paraId="39CF175D" w14:textId="77777777" w:rsidR="001254C5" w:rsidRPr="005365EE" w:rsidRDefault="001254C5" w:rsidP="001254C5">
      <w:pPr>
        <w:pStyle w:val="gmail-m-1961058956222727465msolistparagraph"/>
        <w:spacing w:before="120" w:beforeAutospacing="0" w:after="120" w:afterAutospacing="0"/>
        <w:rPr>
          <w:rFonts w:ascii="Open Sans" w:hAnsi="Open Sans" w:cs="Open Sans"/>
          <w:sz w:val="22"/>
          <w:szCs w:val="22"/>
          <w:lang w:val="en-US" w:eastAsia="en-US"/>
        </w:rPr>
      </w:pPr>
      <w:r w:rsidRPr="005365EE">
        <w:rPr>
          <w:rFonts w:ascii="Open Sans" w:hAnsi="Open Sans" w:cs="Open Sans"/>
          <w:sz w:val="22"/>
          <w:szCs w:val="22"/>
          <w:lang w:val="en-US" w:eastAsia="en-US"/>
        </w:rPr>
        <w:t>There is another point in relation to propane and the existing rules in that if the CV is out of specification for 3 minutes (eg during start up) this automatically sends the biomethane to flare or back to the AD. This is not safety related. A degree of flexibility to allow start up excursions of CV rules should be developed to have more flexibility (eg only send to flare if CV out of spec for 15 minutes). There is no adverse consumer impact from having CV of, typically, 0.2 MJ/M</w:t>
      </w:r>
      <w:r w:rsidRPr="005365EE">
        <w:rPr>
          <w:rFonts w:ascii="Open Sans" w:hAnsi="Open Sans" w:cs="Open Sans"/>
          <w:sz w:val="22"/>
          <w:szCs w:val="22"/>
          <w:vertAlign w:val="superscript"/>
          <w:lang w:val="en-US" w:eastAsia="en-US"/>
        </w:rPr>
        <w:t>3</w:t>
      </w:r>
      <w:r w:rsidRPr="005365EE">
        <w:rPr>
          <w:rFonts w:ascii="Open Sans" w:hAnsi="Open Sans" w:cs="Open Sans"/>
          <w:sz w:val="22"/>
          <w:szCs w:val="22"/>
          <w:lang w:val="en-US" w:eastAsia="en-US"/>
        </w:rPr>
        <w:t xml:space="preserve"> below the FWACV level (typically 39.8 MJ/M</w:t>
      </w:r>
      <w:r w:rsidRPr="005365EE">
        <w:rPr>
          <w:rFonts w:ascii="Open Sans" w:hAnsi="Open Sans" w:cs="Open Sans"/>
          <w:sz w:val="22"/>
          <w:szCs w:val="22"/>
          <w:vertAlign w:val="superscript"/>
          <w:lang w:val="en-US" w:eastAsia="en-US"/>
        </w:rPr>
        <w:t>3</w:t>
      </w:r>
      <w:r w:rsidRPr="005365EE">
        <w:rPr>
          <w:rFonts w:ascii="Open Sans" w:hAnsi="Open Sans" w:cs="Open Sans"/>
          <w:sz w:val="22"/>
          <w:szCs w:val="22"/>
          <w:lang w:val="en-US" w:eastAsia="en-US"/>
        </w:rPr>
        <w:t>) for 3 minutes as this gas will not reach any consumers. However, it cases significant flaring with adverse GHG impact.</w:t>
      </w:r>
    </w:p>
    <w:p w14:paraId="58C02167" w14:textId="77777777" w:rsidR="001254C5" w:rsidRPr="005365EE" w:rsidRDefault="001254C5" w:rsidP="001254C5">
      <w:pPr>
        <w:pStyle w:val="gmail-m-1961058956222727465msolistparagraph"/>
        <w:spacing w:before="120" w:beforeAutospacing="0" w:after="120" w:afterAutospacing="0"/>
        <w:rPr>
          <w:rFonts w:ascii="Open Sans" w:hAnsi="Open Sans" w:cs="Open Sans"/>
          <w:sz w:val="22"/>
          <w:szCs w:val="22"/>
          <w:lang w:val="en-US" w:eastAsia="en-US"/>
        </w:rPr>
      </w:pPr>
      <w:r w:rsidRPr="005365EE">
        <w:rPr>
          <w:rFonts w:ascii="Open Sans" w:hAnsi="Open Sans" w:cs="Open Sans"/>
          <w:sz w:val="22"/>
          <w:szCs w:val="22"/>
          <w:lang w:val="en-US" w:eastAsia="en-US"/>
        </w:rPr>
        <w:t>The use of the diverter valve leads to significant flaring over the year and is primarily related to propane. This should only be used when a plant is commissioned as most gas quality issues are propane/CV related and not related to any harmful gas composition such as H</w:t>
      </w:r>
      <w:r w:rsidRPr="005365EE">
        <w:rPr>
          <w:rFonts w:ascii="Open Sans" w:hAnsi="Open Sans" w:cs="Open Sans"/>
          <w:sz w:val="22"/>
          <w:szCs w:val="22"/>
          <w:vertAlign w:val="subscript"/>
          <w:lang w:val="en-US" w:eastAsia="en-US"/>
        </w:rPr>
        <w:t>2</w:t>
      </w:r>
      <w:r w:rsidRPr="005365EE">
        <w:rPr>
          <w:rFonts w:ascii="Open Sans" w:hAnsi="Open Sans" w:cs="Open Sans"/>
          <w:sz w:val="22"/>
          <w:szCs w:val="22"/>
          <w:lang w:val="en-US" w:eastAsia="en-US"/>
        </w:rPr>
        <w:t xml:space="preserve">S or wobbe index. </w:t>
      </w:r>
    </w:p>
    <w:p w14:paraId="5DCE455B" w14:textId="77777777" w:rsidR="001254C5" w:rsidRPr="005365EE" w:rsidRDefault="001254C5" w:rsidP="001254C5">
      <w:pPr>
        <w:pStyle w:val="gmail-m-1961058956222727465msolistparagraph"/>
        <w:spacing w:before="120" w:beforeAutospacing="0" w:after="120" w:afterAutospacing="0"/>
        <w:rPr>
          <w:rFonts w:ascii="Open Sans" w:hAnsi="Open Sans" w:cs="Open Sans"/>
          <w:i/>
          <w:sz w:val="22"/>
          <w:szCs w:val="22"/>
          <w:lang w:val="en-US" w:eastAsia="en-US"/>
        </w:rPr>
      </w:pPr>
    </w:p>
    <w:p w14:paraId="4D47A533" w14:textId="77777777" w:rsidR="001254C5" w:rsidRPr="005365EE" w:rsidRDefault="001254C5" w:rsidP="001254C5">
      <w:pPr>
        <w:pStyle w:val="gmail-m-1961058956222727465msolistparagraph"/>
        <w:spacing w:before="120" w:beforeAutospacing="0" w:after="120" w:afterAutospacing="0"/>
        <w:rPr>
          <w:rFonts w:ascii="Open Sans" w:hAnsi="Open Sans" w:cs="Open Sans"/>
          <w:b/>
          <w:sz w:val="22"/>
          <w:szCs w:val="22"/>
          <w:u w:val="single"/>
          <w:lang w:val="en-US" w:eastAsia="en-US"/>
        </w:rPr>
      </w:pPr>
      <w:r w:rsidRPr="005365EE">
        <w:rPr>
          <w:rFonts w:ascii="Open Sans" w:hAnsi="Open Sans" w:cs="Open Sans"/>
          <w:b/>
          <w:sz w:val="22"/>
          <w:szCs w:val="22"/>
          <w:u w:val="single"/>
          <w:lang w:val="en-US" w:eastAsia="en-US"/>
        </w:rPr>
        <w:t xml:space="preserve">Capacity constraints </w:t>
      </w:r>
    </w:p>
    <w:p w14:paraId="50997A01" w14:textId="77777777" w:rsidR="001254C5" w:rsidRPr="005365EE" w:rsidRDefault="001254C5" w:rsidP="001254C5">
      <w:pPr>
        <w:spacing w:before="120" w:after="120"/>
        <w:rPr>
          <w:rFonts w:ascii="Open Sans" w:hAnsi="Open Sans" w:cs="Open Sans"/>
          <w:szCs w:val="20"/>
        </w:rPr>
      </w:pPr>
      <w:r w:rsidRPr="005365EE">
        <w:rPr>
          <w:rFonts w:ascii="Open Sans" w:hAnsi="Open Sans" w:cs="Open Sans"/>
          <w:szCs w:val="20"/>
        </w:rPr>
        <w:t xml:space="preserve">The maximum injection capacity offered by the GDNs to biomethane producers for injection is limited to the minimum demand downstream of the potential gas entry point. This varies </w:t>
      </w:r>
      <w:r w:rsidRPr="005365EE">
        <w:rPr>
          <w:rFonts w:ascii="Open Sans" w:hAnsi="Open Sans" w:cs="Open Sans"/>
          <w:szCs w:val="20"/>
        </w:rPr>
        <w:lastRenderedPageBreak/>
        <w:t xml:space="preserve">significantly at different points of the network, but it is becoming increasingly common that the closest network segment to a proposed biomethane facility does not have sufficient capacity to allow injection.  </w:t>
      </w:r>
    </w:p>
    <w:p w14:paraId="2AEA6875" w14:textId="77777777" w:rsidR="001254C5" w:rsidRPr="005365EE" w:rsidRDefault="001254C5" w:rsidP="001254C5">
      <w:pPr>
        <w:spacing w:before="120" w:after="120"/>
        <w:rPr>
          <w:rFonts w:ascii="Open Sans" w:hAnsi="Open Sans" w:cs="Open Sans"/>
          <w:szCs w:val="20"/>
        </w:rPr>
      </w:pPr>
      <w:r w:rsidRPr="005365EE">
        <w:rPr>
          <w:rFonts w:ascii="Open Sans" w:hAnsi="Open Sans" w:cs="Open Sans"/>
          <w:szCs w:val="20"/>
        </w:rPr>
        <w:t xml:space="preserve">This leads to high connection costs associated with connecting at a point with sufficient capacity, or the inability to connect. </w:t>
      </w:r>
    </w:p>
    <w:p w14:paraId="7DB62026" w14:textId="77777777" w:rsidR="001254C5" w:rsidRPr="005365EE" w:rsidRDefault="001254C5" w:rsidP="001254C5">
      <w:pPr>
        <w:spacing w:before="120" w:after="120"/>
        <w:rPr>
          <w:rFonts w:ascii="Open Sans" w:hAnsi="Open Sans" w:cs="Open Sans"/>
          <w:szCs w:val="20"/>
        </w:rPr>
      </w:pPr>
      <w:r w:rsidRPr="005365EE">
        <w:rPr>
          <w:rFonts w:ascii="Open Sans" w:hAnsi="Open Sans" w:cs="Open Sans"/>
          <w:szCs w:val="20"/>
        </w:rPr>
        <w:t xml:space="preserve">Pipelines can be installed to carry the gas from the point of production, either to a higher pressure tier which has more downstream demand, or to a location where the network has sufficient capacity at that tier. However pipeline costs, which are typically covered by the biomethane producer, can be very high and can adversely affect the business case for connection and injection to the grid. </w:t>
      </w:r>
    </w:p>
    <w:p w14:paraId="4EFC553A" w14:textId="77777777" w:rsidR="001254C5" w:rsidRPr="005365EE" w:rsidRDefault="001254C5" w:rsidP="001254C5">
      <w:pPr>
        <w:spacing w:before="120" w:after="120"/>
        <w:rPr>
          <w:rFonts w:ascii="Open Sans" w:hAnsi="Open Sans" w:cs="Open Sans"/>
          <w:szCs w:val="20"/>
        </w:rPr>
      </w:pPr>
      <w:r w:rsidRPr="005365EE">
        <w:rPr>
          <w:rFonts w:ascii="Open Sans" w:hAnsi="Open Sans" w:cs="Open Sans"/>
          <w:szCs w:val="20"/>
        </w:rPr>
        <w:t xml:space="preserve">In-grid compression is a solution to the issue of capacity and is used widely in the EU. At times when there is insufficient demand on the network to allow all gas sources to inject, compressors can be operated to ‘pump’ gas to a higher pressure tier. This solution is considered to be the most effective solution, especially where there are severe constraints in the capacity available. There are other solutions that are more cost effective where the constraints in capacity are less severe.  </w:t>
      </w:r>
    </w:p>
    <w:p w14:paraId="415E82FD" w14:textId="77777777" w:rsidR="001254C5" w:rsidRPr="005365EE" w:rsidRDefault="001254C5" w:rsidP="001254C5">
      <w:pPr>
        <w:rPr>
          <w:rFonts w:ascii="Open Sans" w:hAnsi="Open Sans" w:cs="Open Sans"/>
          <w:szCs w:val="20"/>
        </w:rPr>
      </w:pPr>
      <w:r w:rsidRPr="005365EE">
        <w:rPr>
          <w:rFonts w:ascii="Open Sans" w:hAnsi="Open Sans" w:cs="Open Sans"/>
          <w:szCs w:val="20"/>
        </w:rPr>
        <w:t xml:space="preserve">Similarly to what we highlighted above for other issues, there isn’t commonality in the way different networks approach this issue. </w:t>
      </w:r>
    </w:p>
    <w:p w14:paraId="61D3F37B" w14:textId="77777777" w:rsidR="001254C5" w:rsidRPr="005365EE" w:rsidRDefault="001254C5" w:rsidP="001254C5">
      <w:pPr>
        <w:pStyle w:val="gmail-m-1961058956222727465msolistparagraph"/>
        <w:spacing w:before="120" w:beforeAutospacing="0" w:after="120" w:afterAutospacing="0"/>
        <w:rPr>
          <w:rFonts w:ascii="Open Sans" w:hAnsi="Open Sans" w:cs="Open Sans"/>
          <w:sz w:val="22"/>
          <w:szCs w:val="22"/>
          <w:lang w:val="en-US" w:eastAsia="en-US"/>
        </w:rPr>
      </w:pPr>
      <w:r w:rsidRPr="005365EE">
        <w:rPr>
          <w:rFonts w:ascii="Open Sans" w:hAnsi="Open Sans" w:cs="Open Sans"/>
          <w:sz w:val="22"/>
          <w:szCs w:val="22"/>
          <w:lang w:val="en-US" w:eastAsia="en-US"/>
        </w:rPr>
        <w:t>There is a project on the Isle of Wight that has flared gas since 2015 – the developer had a proposal to sort the capacity in 2016 with a £200K within grid compression solution to export gas from 1 bar grid to 7 bar grid. Unfortunately, SGN did not support this but is now looking at the same project in 2021 which means an additional 5 years of summer night flaring will have taken place. SGN should explain the reasons for this delay. This example shows the lack of innovation and urgency in this area as NGN/Cadent demonstrated with an NIA project in 2012 that within grid compression was feasible. REA is award of around 10 Feasibility Studies that have looked at within grid compression but there remains no plant in GB. For such projects, the REA believes a competitive solution should be provided as design, build and maintenance of compressors is a key skill for biomethane producers (an upgrading plant will typically have 4 compressors meaning over 500 in operation). In addition, around 20 biomethane projects inject directly into the LTS. There is a major risk that the 4 GDNs develop their own standards for within grid compression that add cost and complexity with no benefit – it should be noted that such compressors are related to summer operation only and have no impact on the GDN 1 in 20 security of supply obligations. The fact that over 500 compressors are in operation and maintained by 3</w:t>
      </w:r>
      <w:r w:rsidRPr="005365EE">
        <w:rPr>
          <w:rFonts w:ascii="Open Sans" w:hAnsi="Open Sans" w:cs="Open Sans"/>
          <w:sz w:val="22"/>
          <w:szCs w:val="22"/>
          <w:vertAlign w:val="superscript"/>
          <w:lang w:val="en-US" w:eastAsia="en-US"/>
        </w:rPr>
        <w:t>rd</w:t>
      </w:r>
      <w:r w:rsidRPr="005365EE">
        <w:rPr>
          <w:rFonts w:ascii="Open Sans" w:hAnsi="Open Sans" w:cs="Open Sans"/>
          <w:sz w:val="22"/>
          <w:szCs w:val="22"/>
          <w:lang w:val="en-US" w:eastAsia="en-US"/>
        </w:rPr>
        <w:t xml:space="preserve"> parties should give Ofgem confidence that a competitive provision of such compressors (as for Gas Unie in Netherlands) is appropriate, with the GDN being the operator only. The GDNs have no competency in relation to compressors and it is not efficient for them to get involved in this activity other than as an operator. </w:t>
      </w:r>
    </w:p>
    <w:p w14:paraId="0F11FC02" w14:textId="77777777" w:rsidR="001254C5" w:rsidRPr="001254C5" w:rsidRDefault="001254C5" w:rsidP="001254C5">
      <w:pPr>
        <w:spacing w:after="160" w:line="259" w:lineRule="auto"/>
        <w:jc w:val="left"/>
        <w:rPr>
          <w:rFonts w:ascii="Open Sans" w:hAnsi="Open Sans" w:cs="Open Sans"/>
          <w:b/>
          <w:bCs/>
          <w:i/>
          <w:iCs/>
          <w:color w:val="2F5496"/>
          <w:szCs w:val="22"/>
        </w:rPr>
      </w:pPr>
      <w:r w:rsidRPr="001254C5">
        <w:rPr>
          <w:rFonts w:ascii="Open Sans" w:hAnsi="Open Sans" w:cs="Open Sans"/>
          <w:b/>
          <w:bCs/>
          <w:i/>
          <w:iCs/>
          <w:color w:val="2F5496"/>
          <w:szCs w:val="22"/>
        </w:rPr>
        <w:t>Consultation Question 19 - Do you have views on how the Green Gas Support Scheme could be improved, beyond the ways described in this consultation? Please provide evidence to support your response. </w:t>
      </w:r>
    </w:p>
    <w:p w14:paraId="45C58040" w14:textId="3FFD9006" w:rsidR="001254C5" w:rsidRDefault="001254C5" w:rsidP="00CD42E0">
      <w:pPr>
        <w:rPr>
          <w:rFonts w:ascii="Open Sans" w:hAnsi="Open Sans" w:cs="Open Sans"/>
          <w:szCs w:val="22"/>
        </w:rPr>
      </w:pPr>
    </w:p>
    <w:p w14:paraId="544C73F1" w14:textId="64135B05" w:rsidR="001254C5" w:rsidRDefault="001254C5" w:rsidP="001254C5">
      <w:pPr>
        <w:rPr>
          <w:rFonts w:ascii="Open Sans" w:eastAsiaTheme="minorHAnsi" w:hAnsi="Open Sans" w:cs="Open Sans"/>
          <w:szCs w:val="22"/>
          <w:lang w:val="en-US"/>
        </w:rPr>
      </w:pPr>
      <w:r w:rsidRPr="005365EE">
        <w:rPr>
          <w:rFonts w:ascii="Open Sans" w:eastAsiaTheme="minorHAnsi" w:hAnsi="Open Sans" w:cs="Open Sans"/>
          <w:szCs w:val="22"/>
          <w:lang w:val="en-US"/>
        </w:rPr>
        <w:lastRenderedPageBreak/>
        <w:t xml:space="preserve">Members have expressed a strong appetite for a policy mechanism that incentivises sustainable practices and techniques that can help achieve the largest GHG emission savings and delver other wider benefits. We have outlined this feature in more detail in our answers to questions 20 and 21. </w:t>
      </w:r>
    </w:p>
    <w:p w14:paraId="5597B59E" w14:textId="381F5055" w:rsidR="001254C5" w:rsidRDefault="001254C5" w:rsidP="001254C5">
      <w:pPr>
        <w:rPr>
          <w:rFonts w:ascii="Open Sans" w:eastAsiaTheme="minorHAnsi" w:hAnsi="Open Sans" w:cs="Open Sans"/>
          <w:szCs w:val="22"/>
          <w:lang w:val="en-US"/>
        </w:rPr>
      </w:pPr>
    </w:p>
    <w:p w14:paraId="7F50C027" w14:textId="440E7D2F" w:rsidR="001254C5" w:rsidRPr="001254C5" w:rsidRDefault="001254C5" w:rsidP="001254C5">
      <w:pPr>
        <w:spacing w:after="160" w:line="259" w:lineRule="auto"/>
        <w:jc w:val="left"/>
        <w:rPr>
          <w:rFonts w:ascii="Open Sans" w:hAnsi="Open Sans" w:cs="Open Sans"/>
          <w:b/>
          <w:bCs/>
          <w:i/>
          <w:iCs/>
          <w:color w:val="2F5496"/>
          <w:szCs w:val="22"/>
        </w:rPr>
      </w:pPr>
      <w:r w:rsidRPr="001254C5">
        <w:rPr>
          <w:rFonts w:ascii="Open Sans" w:hAnsi="Open Sans" w:cs="Open Sans"/>
          <w:b/>
          <w:bCs/>
          <w:i/>
          <w:iCs/>
          <w:color w:val="2F5496"/>
          <w:szCs w:val="22"/>
        </w:rPr>
        <w:t>Consultation Question 20 - Do you have any views on the most appropriate market-based mechanism for green gas support in the longer term, and how this might operate? Please provide evidence to support your response.</w:t>
      </w:r>
    </w:p>
    <w:p w14:paraId="1791F7AB" w14:textId="66005F6B" w:rsidR="001254C5" w:rsidRDefault="001254C5" w:rsidP="00CD42E0">
      <w:pPr>
        <w:rPr>
          <w:rFonts w:ascii="Open Sans" w:hAnsi="Open Sans" w:cs="Open Sans"/>
          <w:b/>
          <w:bCs/>
          <w:color w:val="FF0000"/>
          <w:szCs w:val="22"/>
        </w:rPr>
      </w:pPr>
      <w:r>
        <w:rPr>
          <w:rFonts w:ascii="Open Sans" w:hAnsi="Open Sans" w:cs="Open Sans"/>
          <w:b/>
          <w:bCs/>
          <w:color w:val="FF0000"/>
          <w:szCs w:val="22"/>
        </w:rPr>
        <w:t>No response</w:t>
      </w:r>
    </w:p>
    <w:p w14:paraId="37597765" w14:textId="7E462A44" w:rsidR="003275A4" w:rsidRDefault="003275A4" w:rsidP="00CD42E0">
      <w:pPr>
        <w:rPr>
          <w:rFonts w:ascii="Open Sans" w:hAnsi="Open Sans" w:cs="Open Sans"/>
          <w:b/>
          <w:bCs/>
          <w:color w:val="FF0000"/>
          <w:szCs w:val="22"/>
        </w:rPr>
      </w:pPr>
    </w:p>
    <w:p w14:paraId="221F0792" w14:textId="77777777" w:rsidR="003275A4" w:rsidRPr="003275A4" w:rsidRDefault="003275A4" w:rsidP="003275A4">
      <w:pPr>
        <w:spacing w:after="160" w:line="259" w:lineRule="auto"/>
        <w:jc w:val="left"/>
        <w:rPr>
          <w:rFonts w:ascii="Open Sans" w:hAnsi="Open Sans" w:cs="Open Sans"/>
          <w:b/>
          <w:bCs/>
          <w:i/>
          <w:iCs/>
          <w:color w:val="2F5496"/>
          <w:szCs w:val="22"/>
        </w:rPr>
      </w:pPr>
      <w:r w:rsidRPr="003275A4">
        <w:rPr>
          <w:rFonts w:ascii="Open Sans" w:hAnsi="Open Sans" w:cs="Open Sans"/>
          <w:b/>
          <w:bCs/>
          <w:i/>
          <w:iCs/>
          <w:color w:val="2F5496"/>
          <w:szCs w:val="22"/>
        </w:rPr>
        <w:t>Consultation Question 21 - Do you have any views on industry readiness for a market-based mechanism to support green gas in the longer term? Please provide evidence to support your response.</w:t>
      </w:r>
    </w:p>
    <w:p w14:paraId="3494F52D" w14:textId="77777777" w:rsidR="003275A4" w:rsidRPr="005365EE" w:rsidRDefault="003275A4" w:rsidP="003275A4">
      <w:pPr>
        <w:spacing w:before="120" w:after="120"/>
        <w:rPr>
          <w:rFonts w:ascii="Open Sans" w:eastAsiaTheme="minorHAnsi" w:hAnsi="Open Sans" w:cs="Open Sans"/>
          <w:b/>
          <w:bCs/>
          <w:szCs w:val="22"/>
          <w:lang w:val="en-US"/>
        </w:rPr>
      </w:pPr>
      <w:bookmarkStart w:id="56" w:name="_Hlk43720896"/>
      <w:r w:rsidRPr="005365EE">
        <w:rPr>
          <w:rFonts w:ascii="Open Sans" w:eastAsiaTheme="minorHAnsi" w:hAnsi="Open Sans" w:cs="Open Sans"/>
          <w:b/>
          <w:bCs/>
          <w:szCs w:val="22"/>
          <w:lang w:val="en-US"/>
        </w:rPr>
        <w:t xml:space="preserve">Feedback from members is that in the longer term industry would want to move to a situation where real market ‘pull’ signals play an increasing role rather than straight producer subsidies, to encourage a ‘real’ market to develop in supply and use of biomethane. </w:t>
      </w:r>
    </w:p>
    <w:p w14:paraId="518E9C7C" w14:textId="77777777" w:rsidR="003275A4" w:rsidRPr="005365EE" w:rsidRDefault="003275A4" w:rsidP="003275A4">
      <w:pPr>
        <w:spacing w:before="120"/>
        <w:contextualSpacing/>
        <w:rPr>
          <w:rFonts w:ascii="Open Sans" w:hAnsi="Open Sans" w:cs="Open Sans"/>
          <w:lang w:val="en-US"/>
        </w:rPr>
      </w:pPr>
      <w:r w:rsidRPr="005365EE">
        <w:rPr>
          <w:rFonts w:ascii="Open Sans" w:hAnsi="Open Sans" w:cs="Open Sans"/>
          <w:lang w:val="en-US"/>
        </w:rPr>
        <w:t xml:space="preserve">A long term support mechanism for green gases should also be technology neutral ie its scope is expanded to ensure that it covers all forms of renewable gas supply, i.e. biomethane from AD, bio-SNG from gasification, and green hydrogen. It should be noted that the REA is currently developing a position on hydrogen which we will be happy to share with BEIS as soon as finalised. </w:t>
      </w:r>
    </w:p>
    <w:bookmarkEnd w:id="56"/>
    <w:p w14:paraId="6716126B" w14:textId="77777777" w:rsidR="003275A4" w:rsidRPr="005365EE" w:rsidRDefault="003275A4" w:rsidP="003275A4">
      <w:pPr>
        <w:spacing w:before="120" w:after="120"/>
        <w:rPr>
          <w:rFonts w:ascii="Open Sans" w:eastAsiaTheme="minorHAnsi" w:hAnsi="Open Sans" w:cs="Open Sans"/>
          <w:szCs w:val="22"/>
          <w:lang w:val="en-US"/>
        </w:rPr>
      </w:pPr>
    </w:p>
    <w:p w14:paraId="54CD76C0" w14:textId="77777777" w:rsidR="003275A4" w:rsidRPr="005365EE" w:rsidRDefault="003275A4" w:rsidP="003275A4">
      <w:pPr>
        <w:spacing w:before="120" w:after="120"/>
        <w:rPr>
          <w:rFonts w:ascii="Open Sans" w:eastAsiaTheme="minorHAnsi" w:hAnsi="Open Sans" w:cs="Open Sans"/>
          <w:szCs w:val="22"/>
          <w:u w:val="single"/>
          <w:lang w:val="en-US"/>
        </w:rPr>
      </w:pPr>
      <w:r w:rsidRPr="005365EE">
        <w:rPr>
          <w:rFonts w:ascii="Open Sans" w:eastAsiaTheme="minorHAnsi" w:hAnsi="Open Sans" w:cs="Open Sans"/>
          <w:szCs w:val="22"/>
          <w:u w:val="single"/>
          <w:lang w:val="en-US"/>
        </w:rPr>
        <w:t xml:space="preserve">Green gas obligation that rewards carbon savings </w:t>
      </w:r>
    </w:p>
    <w:p w14:paraId="69518275" w14:textId="77777777" w:rsidR="003275A4" w:rsidRPr="005365EE" w:rsidRDefault="003275A4" w:rsidP="003275A4">
      <w:pPr>
        <w:spacing w:before="120" w:after="120"/>
        <w:rPr>
          <w:rFonts w:ascii="Open Sans" w:hAnsi="Open Sans" w:cs="Open Sans"/>
          <w:szCs w:val="22"/>
          <w:lang w:eastAsia="en-GB"/>
        </w:rPr>
      </w:pPr>
      <w:r w:rsidRPr="005365EE">
        <w:rPr>
          <w:rFonts w:ascii="Open Sans" w:eastAsiaTheme="minorHAnsi" w:hAnsi="Open Sans" w:cs="Open Sans"/>
          <w:szCs w:val="22"/>
          <w:lang w:val="en-US"/>
        </w:rPr>
        <w:t xml:space="preserve">The REA’s position on a future support scheme for green gas is set out </w:t>
      </w:r>
      <w:hyperlink r:id="rId60" w:history="1">
        <w:r w:rsidRPr="005365EE">
          <w:rPr>
            <w:rFonts w:ascii="Open Sans" w:eastAsiaTheme="minorHAnsi" w:hAnsi="Open Sans" w:cs="Open Sans"/>
            <w:u w:val="single"/>
            <w:lang w:val="en-US"/>
          </w:rPr>
          <w:t>here</w:t>
        </w:r>
        <w:r w:rsidRPr="005365EE">
          <w:rPr>
            <w:rFonts w:eastAsiaTheme="minorHAnsi"/>
            <w:lang w:val="en-US"/>
          </w:rPr>
          <w:t>.</w:t>
        </w:r>
      </w:hyperlink>
      <w:r w:rsidRPr="005365EE">
        <w:rPr>
          <w:rFonts w:ascii="Open Sans" w:eastAsiaTheme="minorHAnsi" w:hAnsi="Open Sans" w:cs="Open Sans"/>
          <w:szCs w:val="22"/>
          <w:lang w:val="en-US"/>
        </w:rPr>
        <w:t xml:space="preserve"> In this document, submitted to BEIS in October 2019, we highlighted the need for a mechanism in the medium and long terms for green gas that rewards technologies and renewable gases that deliver the largest carbon savings, whilst driving best practice and innovation. </w:t>
      </w:r>
    </w:p>
    <w:p w14:paraId="7706B31E" w14:textId="77777777" w:rsidR="003275A4" w:rsidRPr="005365EE" w:rsidRDefault="003275A4" w:rsidP="003275A4">
      <w:pPr>
        <w:shd w:val="clear" w:color="auto" w:fill="FFFFFF"/>
        <w:spacing w:before="120" w:after="120"/>
        <w:rPr>
          <w:rFonts w:ascii="Open Sans" w:hAnsi="Open Sans" w:cs="Open Sans"/>
          <w:szCs w:val="22"/>
          <w:lang w:eastAsia="en-GB"/>
        </w:rPr>
      </w:pPr>
      <w:r w:rsidRPr="005365EE">
        <w:rPr>
          <w:rFonts w:ascii="Open Sans" w:hAnsi="Open Sans" w:cs="Open Sans"/>
          <w:szCs w:val="22"/>
          <w:lang w:eastAsia="en-GB"/>
        </w:rPr>
        <w:t>The REA’s preferred mechanism would be a </w:t>
      </w:r>
      <w:r w:rsidRPr="005365EE">
        <w:rPr>
          <w:rFonts w:ascii="Open Sans" w:hAnsi="Open Sans" w:cs="Open Sans"/>
          <w:b/>
          <w:bCs/>
          <w:szCs w:val="22"/>
          <w:lang w:eastAsia="en-GB"/>
        </w:rPr>
        <w:t>green gas obligation</w:t>
      </w:r>
      <w:r w:rsidRPr="005365EE">
        <w:rPr>
          <w:rFonts w:ascii="Open Sans" w:hAnsi="Open Sans" w:cs="Open Sans"/>
          <w:szCs w:val="22"/>
          <w:lang w:eastAsia="en-GB"/>
        </w:rPr>
        <w:t> </w:t>
      </w:r>
      <w:r w:rsidRPr="005365EE">
        <w:rPr>
          <w:rFonts w:ascii="Open Sans" w:hAnsi="Open Sans" w:cs="Open Sans"/>
          <w:b/>
          <w:bCs/>
          <w:szCs w:val="22"/>
          <w:lang w:eastAsia="en-GB"/>
        </w:rPr>
        <w:t>on gas suppliers</w:t>
      </w:r>
      <w:r w:rsidRPr="005365EE">
        <w:rPr>
          <w:rFonts w:ascii="Open Sans" w:hAnsi="Open Sans" w:cs="Open Sans"/>
          <w:szCs w:val="22"/>
          <w:lang w:eastAsia="en-GB"/>
        </w:rPr>
        <w:t xml:space="preserve"> to meet a gradually increasing GHG reduction target over a period of time. In order to meet this target they would have </w:t>
      </w:r>
      <w:r>
        <w:rPr>
          <w:rFonts w:ascii="Open Sans" w:hAnsi="Open Sans" w:cs="Open Sans"/>
          <w:szCs w:val="22"/>
          <w:lang w:eastAsia="en-GB"/>
        </w:rPr>
        <w:t xml:space="preserve">the incentive </w:t>
      </w:r>
      <w:r w:rsidRPr="005365EE">
        <w:rPr>
          <w:rFonts w:ascii="Open Sans" w:hAnsi="Open Sans" w:cs="Open Sans"/>
          <w:szCs w:val="22"/>
          <w:lang w:eastAsia="en-GB"/>
        </w:rPr>
        <w:t xml:space="preserve">to source the gases that deliver the largest and cheapest carbon savings. Similar approaches already exist in the UK </w:t>
      </w:r>
      <w:r>
        <w:rPr>
          <w:rFonts w:ascii="Open Sans" w:hAnsi="Open Sans" w:cs="Open Sans"/>
          <w:szCs w:val="22"/>
          <w:lang w:eastAsia="en-GB"/>
        </w:rPr>
        <w:t xml:space="preserve">(the Greenhouse Gas Saving Obligation) </w:t>
      </w:r>
      <w:r w:rsidRPr="005365EE">
        <w:rPr>
          <w:rFonts w:ascii="Open Sans" w:hAnsi="Open Sans" w:cs="Open Sans"/>
          <w:szCs w:val="22"/>
          <w:lang w:eastAsia="en-GB"/>
        </w:rPr>
        <w:t>and for somewhere else in the world (e.g. California).</w:t>
      </w:r>
    </w:p>
    <w:p w14:paraId="57128653" w14:textId="77777777" w:rsidR="003275A4" w:rsidRPr="005365EE" w:rsidRDefault="003275A4" w:rsidP="003275A4">
      <w:pPr>
        <w:shd w:val="clear" w:color="auto" w:fill="FFFFFF"/>
        <w:spacing w:before="120" w:after="120"/>
        <w:rPr>
          <w:rFonts w:ascii="Open Sans" w:hAnsi="Open Sans" w:cs="Open Sans"/>
          <w:szCs w:val="22"/>
          <w:lang w:eastAsia="en-GB"/>
        </w:rPr>
      </w:pPr>
      <w:r>
        <w:rPr>
          <w:rFonts w:ascii="Open Sans" w:hAnsi="Open Sans" w:cs="Open Sans"/>
          <w:szCs w:val="22"/>
          <w:lang w:eastAsia="en-GB"/>
        </w:rPr>
        <w:t>the GHG saving obligation is</w:t>
      </w:r>
      <w:r w:rsidRPr="005365EE">
        <w:rPr>
          <w:rFonts w:ascii="Open Sans" w:hAnsi="Open Sans" w:cs="Open Sans"/>
          <w:szCs w:val="22"/>
          <w:lang w:eastAsia="en-GB"/>
        </w:rPr>
        <w:t xml:space="preserve"> explained in the DfT’s Motor Fuel Greenhouse Gas Emissions Reporting Regulations </w:t>
      </w:r>
      <w:hyperlink r:id="rId61" w:history="1">
        <w:r w:rsidRPr="005365EE">
          <w:rPr>
            <w:rStyle w:val="Hyperlink"/>
            <w:rFonts w:ascii="Open Sans" w:hAnsi="Open Sans" w:cs="Open Sans"/>
            <w:szCs w:val="22"/>
            <w:lang w:eastAsia="en-GB"/>
          </w:rPr>
          <w:t>guidance document.</w:t>
        </w:r>
      </w:hyperlink>
      <w:r w:rsidRPr="005365EE">
        <w:rPr>
          <w:rFonts w:ascii="Open Sans" w:hAnsi="Open Sans" w:cs="Open Sans"/>
          <w:szCs w:val="22"/>
          <w:lang w:eastAsia="en-GB"/>
        </w:rPr>
        <w:t xml:space="preserve"> The strength of the proposed approach is that it could provide a technology neutral incentive for gas suppliers to decarbonise their supplies, and for renewable and low carbon gas producers to continually strive to reduce the carbon intensity of their gas, stimulating innovation and investment in technologies and feedstocks with a low (or possibly even negative) carbon profile. Carbon Capture Usage and Storage (CCUS) technology when paired with bioenergy, delivers negative emissions. CCUS would not only expedite the route to net zero via greenhouse gas removals, but increase the supply of renewable and low carbon gases whilst providing wider benefits (e.g. to the bioeconomy).</w:t>
      </w:r>
    </w:p>
    <w:p w14:paraId="7CB804E0" w14:textId="77777777" w:rsidR="003275A4" w:rsidRPr="005365EE" w:rsidRDefault="003275A4" w:rsidP="003275A4">
      <w:pPr>
        <w:spacing w:before="120" w:after="120"/>
        <w:rPr>
          <w:rFonts w:ascii="Open Sans" w:hAnsi="Open Sans" w:cs="Open Sans"/>
          <w:szCs w:val="22"/>
          <w:shd w:val="clear" w:color="auto" w:fill="FFFFFF"/>
        </w:rPr>
      </w:pPr>
      <w:r w:rsidRPr="005365EE">
        <w:rPr>
          <w:rFonts w:ascii="Open Sans" w:hAnsi="Open Sans" w:cs="Open Sans"/>
          <w:szCs w:val="22"/>
          <w:shd w:val="clear" w:color="auto" w:fill="FFFFFF"/>
        </w:rPr>
        <w:lastRenderedPageBreak/>
        <w:t>The paper also explains the reasons why we believe that a contract for difference style mechanism for renewable gas would not be appropriate to biomethane</w:t>
      </w:r>
      <w:r>
        <w:rPr>
          <w:rFonts w:ascii="Open Sans" w:hAnsi="Open Sans" w:cs="Open Sans"/>
          <w:szCs w:val="22"/>
          <w:shd w:val="clear" w:color="auto" w:fill="FFFFFF"/>
        </w:rPr>
        <w:t xml:space="preserve">, and other approaches). </w:t>
      </w:r>
    </w:p>
    <w:p w14:paraId="3AA006B4" w14:textId="77777777" w:rsidR="003275A4" w:rsidRDefault="003275A4" w:rsidP="003275A4">
      <w:pPr>
        <w:spacing w:before="120" w:after="120"/>
        <w:rPr>
          <w:rFonts w:ascii="Open Sans" w:hAnsi="Open Sans" w:cs="Open Sans"/>
          <w:lang w:val="en-US"/>
        </w:rPr>
      </w:pPr>
      <w:r w:rsidRPr="005365EE">
        <w:rPr>
          <w:rFonts w:ascii="Open Sans" w:hAnsi="Open Sans" w:cs="Open Sans"/>
          <w:lang w:val="en-US"/>
        </w:rPr>
        <w:t>In our discussions with members, other support mechanisms were considered which are outlined below. They all have drawbacks compared to a supplier obligation.</w:t>
      </w:r>
    </w:p>
    <w:p w14:paraId="282DEEA6" w14:textId="77777777" w:rsidR="003275A4" w:rsidRPr="005365EE" w:rsidRDefault="003275A4" w:rsidP="003275A4">
      <w:pPr>
        <w:spacing w:before="120" w:after="120"/>
        <w:rPr>
          <w:rFonts w:ascii="Open Sans" w:hAnsi="Open Sans" w:cs="Open Sans"/>
          <w:lang w:val="en-US"/>
        </w:rPr>
      </w:pPr>
    </w:p>
    <w:p w14:paraId="0529262F" w14:textId="77777777" w:rsidR="003275A4" w:rsidRPr="008C3508" w:rsidRDefault="003275A4" w:rsidP="003275A4">
      <w:pPr>
        <w:spacing w:before="120" w:after="120"/>
        <w:rPr>
          <w:rFonts w:ascii="Open Sans" w:hAnsi="Open Sans" w:cs="Open Sans"/>
          <w:b/>
          <w:bCs/>
        </w:rPr>
      </w:pPr>
      <w:r w:rsidRPr="008C3508">
        <w:rPr>
          <w:rFonts w:ascii="Open Sans" w:hAnsi="Open Sans" w:cs="Open Sans"/>
          <w:b/>
          <w:bCs/>
        </w:rPr>
        <w:t xml:space="preserve">Off grid market </w:t>
      </w:r>
    </w:p>
    <w:p w14:paraId="16AA7E51" w14:textId="77777777" w:rsidR="003275A4" w:rsidRPr="0009704E" w:rsidRDefault="003275A4" w:rsidP="003275A4">
      <w:pPr>
        <w:spacing w:before="120" w:after="120"/>
        <w:rPr>
          <w:rFonts w:ascii="Open Sans" w:hAnsi="Open Sans" w:cs="Open Sans"/>
          <w:szCs w:val="22"/>
          <w:shd w:val="clear" w:color="auto" w:fill="FFFFFF"/>
        </w:rPr>
      </w:pPr>
      <w:r w:rsidRPr="0009704E">
        <w:rPr>
          <w:rFonts w:ascii="Open Sans" w:hAnsi="Open Sans" w:cs="Open Sans"/>
        </w:rPr>
        <w:t>The above policy is focused on the gas to grid market and the decarbonisation of the gas grid, however the REA has also been engaged in complimentary discussions with its members and BEIS about the decarbonisation of the off grid market.</w:t>
      </w:r>
    </w:p>
    <w:p w14:paraId="25BCA778" w14:textId="77777777" w:rsidR="003275A4" w:rsidRPr="0009704E" w:rsidRDefault="003275A4" w:rsidP="003275A4">
      <w:pPr>
        <w:spacing w:before="120" w:after="120"/>
        <w:rPr>
          <w:rFonts w:ascii="Open Sans" w:hAnsi="Open Sans" w:cs="Open Sans"/>
        </w:rPr>
      </w:pPr>
      <w:r w:rsidRPr="0009704E">
        <w:rPr>
          <w:rFonts w:ascii="Open Sans" w:hAnsi="Open Sans" w:cs="Open Sans"/>
        </w:rPr>
        <w:t>The green gas obligation outlined above would not cover road-distributed biomass, biopropane or liquid biofuels</w:t>
      </w:r>
      <w:r>
        <w:rPr>
          <w:rFonts w:ascii="Open Sans" w:hAnsi="Open Sans" w:cs="Open Sans"/>
        </w:rPr>
        <w:t>. For</w:t>
      </w:r>
      <w:r w:rsidRPr="0009704E">
        <w:rPr>
          <w:rFonts w:ascii="Open Sans" w:hAnsi="Open Sans" w:cs="Open Sans"/>
        </w:rPr>
        <w:t xml:space="preserve"> the medium to long term we would suggest that certain off gas grid heating fuels (e.g. solid biomass, and bio-kerosene) are captured within a parallel obligation mechanism. Suppliers of these fuels could be issued with certificates which they could sell to licenced gas suppliers. While not supplied through a grid system, the supply chains are suitably closed and audited to allow for such a trade mechanism to operate either in conjunction with, or separate to, a green gas obligation. The biopropane industry would welcome further conversations with BEIS on the appropriate mechanism to support the continued development of the bioLPG industry and full consideration of the relative merits of a parallel certification scheme vs a tar</w:t>
      </w:r>
      <w:r>
        <w:rPr>
          <w:rFonts w:ascii="Open Sans" w:hAnsi="Open Sans" w:cs="Open Sans"/>
        </w:rPr>
        <w:t>iff</w:t>
      </w:r>
      <w:r w:rsidRPr="0009704E">
        <w:rPr>
          <w:rFonts w:ascii="Open Sans" w:hAnsi="Open Sans" w:cs="Open Sans"/>
        </w:rPr>
        <w:t>-based mechanism. Given the different nature of the off-gas grid market this needs further consideration which we would be happy to liaise on with BEIS.</w:t>
      </w:r>
    </w:p>
    <w:p w14:paraId="64D064F8" w14:textId="70F693A9" w:rsidR="003275A4" w:rsidRPr="003275A4" w:rsidRDefault="003275A4" w:rsidP="00CD42E0">
      <w:pPr>
        <w:rPr>
          <w:rFonts w:ascii="Open Sans" w:hAnsi="Open Sans" w:cs="Open Sans"/>
        </w:rPr>
      </w:pPr>
      <w:r w:rsidRPr="0009704E">
        <w:rPr>
          <w:rFonts w:ascii="Open Sans" w:hAnsi="Open Sans" w:cs="Open Sans"/>
        </w:rPr>
        <w:t>Biopropane is chemically identical to conventional propane propane (LPG). Biopropane (bioLPG) can be blended in any ratio with conventional LPG allowing a smooth transition to 100% renewable product by 2040, the LPG industry’s target. Furthermore an existing LPG boiler is also a biopropane boiler: no infrastructure change is required for existing LPG consumers or the LPG industry when using biopropane in any blend with conventional LPG. Whilst the initial move may be to use high efficiency LPG/bioLPG boilers in homes instead of higher carbon alternatives – and this may be an enduring policy particularly in large and/or hard to treat homes - these boilers can be readily be integrated with heat pumps to create smart hybrid systems, potentially offering demand side response services. To deliver significant carbon saving, hybrid systems in off-gas grid areas will need to us low carbon biogas, such as biopropane. As well as hybrid systems biopropane can be used with CHP, gas heat pumps or fuel cells, thus offering the opportunity to increase system efficiencies even further. It is also worth noticing that there are a number of production pathways for biopropane including biorefineries (a coproduct of biodiesel or Sustainable Aviation Fuel production), anaerobic digestion and power-to-gas (using renewable hydrogen), and policy should support the development of different sustainable production pathways for biopropane.</w:t>
      </w:r>
    </w:p>
    <w:p w14:paraId="3ABBC2B0" w14:textId="77777777" w:rsidR="001254C5" w:rsidRPr="00273E54" w:rsidRDefault="001254C5" w:rsidP="00CD42E0">
      <w:pPr>
        <w:rPr>
          <w:rFonts w:ascii="Open Sans" w:hAnsi="Open Sans" w:cs="Open Sans"/>
          <w:szCs w:val="22"/>
        </w:rPr>
      </w:pPr>
    </w:p>
    <w:p w14:paraId="63E4C409" w14:textId="77777777" w:rsidR="00B96CE1" w:rsidRPr="00116A26" w:rsidRDefault="00273E54" w:rsidP="00463340">
      <w:pPr>
        <w:spacing w:after="160" w:line="259" w:lineRule="auto"/>
        <w:jc w:val="left"/>
        <w:rPr>
          <w:rFonts w:ascii="Open Sans" w:hAnsi="Open Sans" w:cs="Open Sans"/>
          <w:b/>
          <w:bCs/>
          <w:i/>
          <w:iCs/>
          <w:color w:val="2F5496"/>
          <w:szCs w:val="22"/>
        </w:rPr>
      </w:pPr>
      <w:r w:rsidRPr="00116A26">
        <w:rPr>
          <w:rFonts w:ascii="Open Sans" w:hAnsi="Open Sans" w:cs="Open Sans"/>
          <w:b/>
          <w:bCs/>
          <w:i/>
          <w:iCs/>
          <w:color w:val="2F5496"/>
          <w:szCs w:val="22"/>
        </w:rPr>
        <w:t>Consultation Question 22 - Do you agree with targeting support at domestic and non-domestic installations with a capacity up to and including 45kW? Yes/No. Please provide evidence to support your response</w:t>
      </w:r>
    </w:p>
    <w:p w14:paraId="5A418228" w14:textId="77777777" w:rsidR="00463340" w:rsidRPr="00273E54" w:rsidRDefault="00463340" w:rsidP="00B96CE1">
      <w:pPr>
        <w:pStyle w:val="ListParagraph"/>
        <w:rPr>
          <w:rFonts w:ascii="Open Sans" w:hAnsi="Open Sans" w:cs="Open Sans"/>
          <w:b/>
          <w:bCs/>
          <w:szCs w:val="22"/>
          <w:u w:val="single"/>
        </w:rPr>
      </w:pPr>
    </w:p>
    <w:p w14:paraId="1E2B2029" w14:textId="0486EA16" w:rsidR="00CD42E0" w:rsidRPr="003277D7" w:rsidRDefault="00273E54" w:rsidP="00463340">
      <w:pPr>
        <w:rPr>
          <w:rFonts w:ascii="Open Sans" w:hAnsi="Open Sans" w:cs="Open Sans"/>
          <w:b/>
          <w:bCs/>
          <w:szCs w:val="22"/>
        </w:rPr>
      </w:pPr>
      <w:bookmarkStart w:id="57" w:name="_Hlk43820565"/>
      <w:r w:rsidRPr="003277D7">
        <w:rPr>
          <w:rFonts w:ascii="Open Sans" w:hAnsi="Open Sans" w:cs="Open Sans"/>
          <w:b/>
          <w:bCs/>
          <w:szCs w:val="22"/>
        </w:rPr>
        <w:lastRenderedPageBreak/>
        <w:t xml:space="preserve">Raise the capacity cap </w:t>
      </w:r>
      <w:r w:rsidR="00CF0546" w:rsidRPr="003277D7">
        <w:rPr>
          <w:rFonts w:ascii="Open Sans" w:hAnsi="Open Sans" w:cs="Open Sans"/>
          <w:b/>
          <w:bCs/>
          <w:szCs w:val="22"/>
        </w:rPr>
        <w:t>to allow</w:t>
      </w:r>
      <w:r w:rsidRPr="003277D7">
        <w:rPr>
          <w:rFonts w:ascii="Open Sans" w:hAnsi="Open Sans" w:cs="Open Sans"/>
          <w:b/>
          <w:bCs/>
          <w:szCs w:val="22"/>
        </w:rPr>
        <w:t xml:space="preserve"> for the deployment of all small-scale </w:t>
      </w:r>
      <w:r w:rsidR="00FD20CA" w:rsidRPr="003277D7">
        <w:rPr>
          <w:rFonts w:ascii="Open Sans" w:hAnsi="Open Sans" w:cs="Open Sans"/>
          <w:b/>
          <w:bCs/>
          <w:szCs w:val="22"/>
        </w:rPr>
        <w:t>clean heat</w:t>
      </w:r>
      <w:r w:rsidRPr="003277D7">
        <w:rPr>
          <w:rFonts w:ascii="Open Sans" w:hAnsi="Open Sans" w:cs="Open Sans"/>
          <w:b/>
          <w:bCs/>
          <w:szCs w:val="22"/>
        </w:rPr>
        <w:t xml:space="preserve"> projects.</w:t>
      </w:r>
    </w:p>
    <w:bookmarkEnd w:id="57"/>
    <w:p w14:paraId="777D8062" w14:textId="77777777" w:rsidR="00620CFE" w:rsidRPr="00273E54" w:rsidRDefault="00620CFE">
      <w:pPr>
        <w:rPr>
          <w:rFonts w:ascii="Open Sans" w:hAnsi="Open Sans" w:cs="Open Sans"/>
          <w:szCs w:val="22"/>
        </w:rPr>
      </w:pPr>
    </w:p>
    <w:p w14:paraId="24B33859" w14:textId="26B028DA" w:rsidR="00C61353" w:rsidRDefault="00273E54" w:rsidP="00463340">
      <w:pPr>
        <w:rPr>
          <w:rFonts w:ascii="Open Sans" w:hAnsi="Open Sans" w:cs="Open Sans"/>
          <w:szCs w:val="22"/>
        </w:rPr>
      </w:pPr>
      <w:bookmarkStart w:id="58" w:name="_Hlk42539722"/>
      <w:r w:rsidRPr="00273E54">
        <w:rPr>
          <w:rFonts w:ascii="Open Sans" w:hAnsi="Open Sans" w:cs="Open Sans"/>
          <w:szCs w:val="22"/>
        </w:rPr>
        <w:t>Installations under 45 kW account for a very small proportion of installations deployed under the existing RHI. In the case of Biomass,</w:t>
      </w:r>
      <w:r w:rsidR="00881937" w:rsidRPr="00273E54">
        <w:rPr>
          <w:rFonts w:ascii="Open Sans" w:hAnsi="Open Sans" w:cs="Open Sans"/>
          <w:szCs w:val="22"/>
        </w:rPr>
        <w:t xml:space="preserve"> REA analysis </w:t>
      </w:r>
      <w:r w:rsidR="000A4536" w:rsidRPr="00273E54">
        <w:rPr>
          <w:rFonts w:ascii="Open Sans" w:hAnsi="Open Sans" w:cs="Open Sans"/>
          <w:szCs w:val="22"/>
        </w:rPr>
        <w:t xml:space="preserve">estimates that </w:t>
      </w:r>
      <w:r w:rsidR="00881937" w:rsidRPr="00273E54">
        <w:rPr>
          <w:rFonts w:ascii="Open Sans" w:hAnsi="Open Sans" w:cs="Open Sans"/>
          <w:szCs w:val="22"/>
        </w:rPr>
        <w:t>only 12</w:t>
      </w:r>
      <w:r w:rsidRPr="00273E54">
        <w:rPr>
          <w:rFonts w:ascii="Open Sans" w:hAnsi="Open Sans" w:cs="Open Sans"/>
          <w:szCs w:val="22"/>
        </w:rPr>
        <w:t xml:space="preserve">% of </w:t>
      </w:r>
      <w:r w:rsidR="00FD20CA" w:rsidRPr="00273E54">
        <w:rPr>
          <w:rFonts w:ascii="Open Sans" w:hAnsi="Open Sans" w:cs="Open Sans"/>
          <w:szCs w:val="22"/>
        </w:rPr>
        <w:t xml:space="preserve">the </w:t>
      </w:r>
      <w:r w:rsidRPr="00273E54">
        <w:rPr>
          <w:rFonts w:ascii="Open Sans" w:hAnsi="Open Sans" w:cs="Open Sans"/>
          <w:szCs w:val="22"/>
        </w:rPr>
        <w:t>projects deployed under the ND RHI</w:t>
      </w:r>
      <w:r w:rsidR="00881937" w:rsidRPr="00273E54">
        <w:rPr>
          <w:rFonts w:ascii="Open Sans" w:hAnsi="Open Sans" w:cs="Open Sans"/>
          <w:szCs w:val="22"/>
        </w:rPr>
        <w:t xml:space="preserve"> ‘small biomass’ tariff </w:t>
      </w:r>
      <w:r w:rsidR="000A4536" w:rsidRPr="00273E54">
        <w:rPr>
          <w:rFonts w:ascii="Open Sans" w:hAnsi="Open Sans" w:cs="Open Sans"/>
          <w:szCs w:val="22"/>
        </w:rPr>
        <w:t>are</w:t>
      </w:r>
      <w:r w:rsidR="00FD20CA" w:rsidRPr="00273E54">
        <w:rPr>
          <w:rFonts w:ascii="Open Sans" w:hAnsi="Open Sans" w:cs="Open Sans"/>
          <w:szCs w:val="22"/>
        </w:rPr>
        <w:t xml:space="preserve"> </w:t>
      </w:r>
      <w:r w:rsidR="00881937" w:rsidRPr="00273E54">
        <w:rPr>
          <w:rFonts w:ascii="Open Sans" w:hAnsi="Open Sans" w:cs="Open Sans"/>
          <w:szCs w:val="22"/>
        </w:rPr>
        <w:t>below</w:t>
      </w:r>
      <w:r w:rsidRPr="00273E54">
        <w:rPr>
          <w:rFonts w:ascii="Open Sans" w:hAnsi="Open Sans" w:cs="Open Sans"/>
          <w:szCs w:val="22"/>
        </w:rPr>
        <w:t xml:space="preserve"> 45 kW</w:t>
      </w:r>
      <w:r w:rsidR="008B59CF" w:rsidRPr="00273E54">
        <w:rPr>
          <w:rFonts w:ascii="Open Sans" w:hAnsi="Open Sans" w:cs="Open Sans"/>
          <w:szCs w:val="22"/>
        </w:rPr>
        <w:t>’s</w:t>
      </w:r>
      <w:r w:rsidRPr="00273E54">
        <w:rPr>
          <w:rFonts w:ascii="Open Sans" w:hAnsi="Open Sans" w:cs="Open Sans"/>
          <w:szCs w:val="22"/>
        </w:rPr>
        <w:t>.</w:t>
      </w:r>
      <w:r w:rsidRPr="00273E54">
        <w:rPr>
          <w:rStyle w:val="FootnoteReference"/>
          <w:rFonts w:ascii="Open Sans" w:hAnsi="Open Sans" w:cs="Open Sans"/>
          <w:szCs w:val="22"/>
        </w:rPr>
        <w:footnoteReference w:id="7"/>
      </w:r>
      <w:r w:rsidR="00881937" w:rsidRPr="00273E54">
        <w:rPr>
          <w:rFonts w:ascii="Open Sans" w:hAnsi="Open Sans" w:cs="Open Sans"/>
          <w:szCs w:val="22"/>
        </w:rPr>
        <w:t xml:space="preserve"> This equates to</w:t>
      </w:r>
      <w:r w:rsidR="008B59CF" w:rsidRPr="00273E54">
        <w:rPr>
          <w:rFonts w:ascii="Open Sans" w:hAnsi="Open Sans" w:cs="Open Sans"/>
          <w:szCs w:val="22"/>
        </w:rPr>
        <w:t xml:space="preserve"> an</w:t>
      </w:r>
      <w:r w:rsidR="00881937" w:rsidRPr="00273E54">
        <w:rPr>
          <w:rFonts w:ascii="Open Sans" w:hAnsi="Open Sans" w:cs="Open Sans"/>
          <w:szCs w:val="22"/>
        </w:rPr>
        <w:t xml:space="preserve"> estimated 11,</w:t>
      </w:r>
      <w:r w:rsidR="008B59CF" w:rsidRPr="00273E54">
        <w:rPr>
          <w:rFonts w:ascii="Open Sans" w:hAnsi="Open Sans" w:cs="Open Sans"/>
          <w:szCs w:val="22"/>
        </w:rPr>
        <w:t>400 s</w:t>
      </w:r>
      <w:r w:rsidR="00881937" w:rsidRPr="00273E54">
        <w:rPr>
          <w:rFonts w:ascii="Open Sans" w:hAnsi="Open Sans" w:cs="Open Sans"/>
          <w:szCs w:val="22"/>
        </w:rPr>
        <w:t xml:space="preserve">mall </w:t>
      </w:r>
      <w:r w:rsidR="00CF0546" w:rsidRPr="00273E54">
        <w:rPr>
          <w:rFonts w:ascii="Open Sans" w:hAnsi="Open Sans" w:cs="Open Sans"/>
          <w:szCs w:val="22"/>
        </w:rPr>
        <w:t>scale</w:t>
      </w:r>
      <w:r w:rsidR="00881937" w:rsidRPr="00273E54">
        <w:rPr>
          <w:rFonts w:ascii="Open Sans" w:hAnsi="Open Sans" w:cs="Open Sans"/>
          <w:szCs w:val="22"/>
        </w:rPr>
        <w:t xml:space="preserve"> biomass</w:t>
      </w:r>
      <w:r w:rsidR="00CF0546" w:rsidRPr="00273E54">
        <w:rPr>
          <w:rFonts w:ascii="Open Sans" w:hAnsi="Open Sans" w:cs="Open Sans"/>
          <w:szCs w:val="22"/>
        </w:rPr>
        <w:t xml:space="preserve"> </w:t>
      </w:r>
      <w:r w:rsidR="00881937" w:rsidRPr="00273E54">
        <w:rPr>
          <w:rFonts w:ascii="Open Sans" w:hAnsi="Open Sans" w:cs="Open Sans"/>
          <w:szCs w:val="22"/>
        </w:rPr>
        <w:t xml:space="preserve">projects that would not have been deployed </w:t>
      </w:r>
      <w:r w:rsidR="00CF0546" w:rsidRPr="00273E54">
        <w:rPr>
          <w:rFonts w:ascii="Open Sans" w:hAnsi="Open Sans" w:cs="Open Sans"/>
          <w:szCs w:val="22"/>
        </w:rPr>
        <w:t xml:space="preserve">if a similar capacity cap had been in place. Current </w:t>
      </w:r>
      <w:r w:rsidR="003C7304" w:rsidRPr="00273E54">
        <w:rPr>
          <w:rFonts w:ascii="Open Sans" w:hAnsi="Open Sans" w:cs="Open Sans"/>
          <w:szCs w:val="22"/>
        </w:rPr>
        <w:t xml:space="preserve">figures under the </w:t>
      </w:r>
      <w:r w:rsidR="000A4536" w:rsidRPr="00273E54">
        <w:rPr>
          <w:rFonts w:ascii="Open Sans" w:hAnsi="Open Sans" w:cs="Open Sans"/>
          <w:szCs w:val="22"/>
        </w:rPr>
        <w:t>D</w:t>
      </w:r>
      <w:r w:rsidR="003C7304" w:rsidRPr="00273E54">
        <w:rPr>
          <w:rFonts w:ascii="Open Sans" w:hAnsi="Open Sans" w:cs="Open Sans"/>
          <w:szCs w:val="22"/>
        </w:rPr>
        <w:t>omestic RHI also suggest th</w:t>
      </w:r>
      <w:r w:rsidR="00F30E27" w:rsidRPr="00273E54">
        <w:rPr>
          <w:rFonts w:ascii="Open Sans" w:hAnsi="Open Sans" w:cs="Open Sans"/>
          <w:szCs w:val="22"/>
        </w:rPr>
        <w:t xml:space="preserve">at deployment is currently so low that there is a net loss of  RHI </w:t>
      </w:r>
      <w:r w:rsidR="003C7304" w:rsidRPr="00273E54">
        <w:rPr>
          <w:rFonts w:ascii="Open Sans" w:hAnsi="Open Sans" w:cs="Open Sans"/>
          <w:szCs w:val="22"/>
        </w:rPr>
        <w:t>biomass boilers</w:t>
      </w:r>
      <w:r w:rsidR="000A4536" w:rsidRPr="00273E54">
        <w:rPr>
          <w:rFonts w:ascii="Open Sans" w:hAnsi="Open Sans" w:cs="Open Sans"/>
          <w:szCs w:val="22"/>
        </w:rPr>
        <w:t xml:space="preserve"> </w:t>
      </w:r>
      <w:r w:rsidR="00F30E27" w:rsidRPr="00273E54">
        <w:rPr>
          <w:rFonts w:ascii="Open Sans" w:hAnsi="Open Sans" w:cs="Open Sans"/>
          <w:szCs w:val="22"/>
        </w:rPr>
        <w:t>on the scheme in the last three quarters since Q3 2019.</w:t>
      </w:r>
      <w:r w:rsidRPr="00273E54">
        <w:rPr>
          <w:rStyle w:val="FootnoteReference"/>
          <w:rFonts w:ascii="Open Sans" w:hAnsi="Open Sans" w:cs="Open Sans"/>
          <w:szCs w:val="22"/>
        </w:rPr>
        <w:footnoteReference w:id="8"/>
      </w:r>
      <w:r w:rsidR="00F30E27" w:rsidRPr="00273E54">
        <w:rPr>
          <w:rFonts w:ascii="Open Sans" w:hAnsi="Open Sans" w:cs="Open Sans"/>
          <w:szCs w:val="22"/>
        </w:rPr>
        <w:t xml:space="preserve"> </w:t>
      </w:r>
      <w:r w:rsidR="003C7304" w:rsidRPr="00273E54">
        <w:rPr>
          <w:rFonts w:ascii="Open Sans" w:hAnsi="Open Sans" w:cs="Open Sans"/>
          <w:szCs w:val="22"/>
        </w:rPr>
        <w:t xml:space="preserve"> </w:t>
      </w:r>
      <w:r w:rsidR="00F30E27" w:rsidRPr="00273E54">
        <w:rPr>
          <w:rFonts w:ascii="Open Sans" w:hAnsi="Open Sans" w:cs="Open Sans"/>
          <w:szCs w:val="22"/>
        </w:rPr>
        <w:t xml:space="preserve">The proposed cap is simply not suitable for biomass projects and </w:t>
      </w:r>
      <w:r w:rsidR="00D72AB7" w:rsidRPr="00273E54">
        <w:rPr>
          <w:rFonts w:ascii="Open Sans" w:hAnsi="Open Sans" w:cs="Open Sans"/>
          <w:szCs w:val="22"/>
        </w:rPr>
        <w:t>will not even</w:t>
      </w:r>
      <w:r w:rsidR="00F30E27" w:rsidRPr="00273E54">
        <w:rPr>
          <w:rFonts w:ascii="Open Sans" w:hAnsi="Open Sans" w:cs="Open Sans"/>
          <w:szCs w:val="22"/>
        </w:rPr>
        <w:t xml:space="preserve"> deliver the limited number of </w:t>
      </w:r>
      <w:r w:rsidR="00D72AB7" w:rsidRPr="00273E54">
        <w:rPr>
          <w:rFonts w:ascii="Open Sans" w:hAnsi="Open Sans" w:cs="Open Sans"/>
          <w:szCs w:val="22"/>
        </w:rPr>
        <w:t xml:space="preserve">‘niche’ biomass projects identified within the consultation. </w:t>
      </w:r>
    </w:p>
    <w:p w14:paraId="4F1BF50F" w14:textId="03A5589F" w:rsidR="00D00D91" w:rsidRDefault="00D00D91" w:rsidP="00463340">
      <w:pPr>
        <w:rPr>
          <w:rFonts w:ascii="Open Sans" w:hAnsi="Open Sans" w:cs="Open Sans"/>
          <w:szCs w:val="22"/>
        </w:rPr>
      </w:pPr>
    </w:p>
    <w:p w14:paraId="79458CF2" w14:textId="270FB149" w:rsidR="00D00D91" w:rsidRDefault="00D00D91" w:rsidP="00463340">
      <w:pPr>
        <w:rPr>
          <w:rFonts w:ascii="Open Sans" w:hAnsi="Open Sans" w:cs="Open Sans"/>
          <w:szCs w:val="22"/>
        </w:rPr>
      </w:pPr>
      <w:r>
        <w:rPr>
          <w:rFonts w:ascii="Open Sans" w:hAnsi="Open Sans" w:cs="Open Sans"/>
          <w:szCs w:val="22"/>
        </w:rPr>
        <w:t xml:space="preserve">There is no strong justification within the consultation for the level being set at 45 kW. This is a fairly arbitrary number that originated </w:t>
      </w:r>
      <w:r w:rsidR="00CE51FA">
        <w:rPr>
          <w:rFonts w:ascii="Open Sans" w:hAnsi="Open Sans" w:cs="Open Sans"/>
          <w:szCs w:val="22"/>
        </w:rPr>
        <w:t xml:space="preserve">from the </w:t>
      </w:r>
      <w:r>
        <w:rPr>
          <w:rFonts w:ascii="Open Sans" w:hAnsi="Open Sans" w:cs="Open Sans"/>
          <w:szCs w:val="22"/>
        </w:rPr>
        <w:t>E</w:t>
      </w:r>
      <w:r w:rsidR="00C94939">
        <w:rPr>
          <w:rFonts w:ascii="Open Sans" w:hAnsi="Open Sans" w:cs="Open Sans"/>
          <w:szCs w:val="22"/>
        </w:rPr>
        <w:t>U</w:t>
      </w:r>
      <w:r>
        <w:rPr>
          <w:rFonts w:ascii="Open Sans" w:hAnsi="Open Sans" w:cs="Open Sans"/>
          <w:szCs w:val="22"/>
        </w:rPr>
        <w:t xml:space="preserve"> Renewable Energy Directive</w:t>
      </w:r>
      <w:r w:rsidR="00CE51FA">
        <w:rPr>
          <w:rFonts w:ascii="Open Sans" w:hAnsi="Open Sans" w:cs="Open Sans"/>
          <w:szCs w:val="22"/>
        </w:rPr>
        <w:t>,</w:t>
      </w:r>
      <w:r>
        <w:rPr>
          <w:rFonts w:ascii="Open Sans" w:hAnsi="Open Sans" w:cs="Open Sans"/>
          <w:szCs w:val="22"/>
        </w:rPr>
        <w:t xml:space="preserve"> that required consumer protection measures to be in place for installations below 45 </w:t>
      </w:r>
      <w:r w:rsidR="00446596">
        <w:rPr>
          <w:rFonts w:ascii="Open Sans" w:hAnsi="Open Sans" w:cs="Open Sans"/>
          <w:szCs w:val="22"/>
        </w:rPr>
        <w:t>kW</w:t>
      </w:r>
      <w:r w:rsidR="00CE51FA">
        <w:rPr>
          <w:rFonts w:ascii="Open Sans" w:hAnsi="Open Sans" w:cs="Open Sans"/>
          <w:szCs w:val="22"/>
        </w:rPr>
        <w:t xml:space="preserve">, </w:t>
      </w:r>
      <w:r w:rsidR="004025F6">
        <w:rPr>
          <w:rFonts w:ascii="Open Sans" w:hAnsi="Open Sans" w:cs="Open Sans"/>
          <w:szCs w:val="22"/>
        </w:rPr>
        <w:t>i</w:t>
      </w:r>
      <w:r w:rsidR="00CE51FA">
        <w:rPr>
          <w:rFonts w:ascii="Open Sans" w:hAnsi="Open Sans" w:cs="Open Sans"/>
          <w:szCs w:val="22"/>
        </w:rPr>
        <w:t xml:space="preserve">t was not in itself </w:t>
      </w:r>
      <w:r w:rsidR="00446596">
        <w:rPr>
          <w:rFonts w:ascii="Open Sans" w:hAnsi="Open Sans" w:cs="Open Sans"/>
          <w:szCs w:val="22"/>
        </w:rPr>
        <w:t xml:space="preserve">intended to be a </w:t>
      </w:r>
      <w:r>
        <w:rPr>
          <w:rFonts w:ascii="Open Sans" w:hAnsi="Open Sans" w:cs="Open Sans"/>
          <w:szCs w:val="22"/>
        </w:rPr>
        <w:t>threshold for a domestic installation</w:t>
      </w:r>
      <w:r w:rsidR="00CE51FA">
        <w:rPr>
          <w:rFonts w:ascii="Open Sans" w:hAnsi="Open Sans" w:cs="Open Sans"/>
          <w:szCs w:val="22"/>
        </w:rPr>
        <w:t>s</w:t>
      </w:r>
      <w:r>
        <w:rPr>
          <w:rFonts w:ascii="Open Sans" w:hAnsi="Open Sans" w:cs="Open Sans"/>
          <w:szCs w:val="22"/>
        </w:rPr>
        <w:t xml:space="preserve">. </w:t>
      </w:r>
      <w:r w:rsidR="00CE51FA">
        <w:rPr>
          <w:rFonts w:ascii="Open Sans" w:hAnsi="Open Sans" w:cs="Open Sans"/>
          <w:szCs w:val="22"/>
        </w:rPr>
        <w:t xml:space="preserve">The use of this threshold has led to </w:t>
      </w:r>
      <w:r>
        <w:rPr>
          <w:rFonts w:ascii="Open Sans" w:hAnsi="Open Sans" w:cs="Open Sans"/>
          <w:szCs w:val="22"/>
        </w:rPr>
        <w:t>ca</w:t>
      </w:r>
      <w:r w:rsidR="00CE51FA">
        <w:rPr>
          <w:rFonts w:ascii="Open Sans" w:hAnsi="Open Sans" w:cs="Open Sans"/>
          <w:szCs w:val="22"/>
        </w:rPr>
        <w:t>ses</w:t>
      </w:r>
      <w:r>
        <w:rPr>
          <w:rFonts w:ascii="Open Sans" w:hAnsi="Open Sans" w:cs="Open Sans"/>
          <w:szCs w:val="22"/>
        </w:rPr>
        <w:t xml:space="preserve"> </w:t>
      </w:r>
      <w:r w:rsidR="00446596">
        <w:rPr>
          <w:rFonts w:ascii="Open Sans" w:hAnsi="Open Sans" w:cs="Open Sans"/>
          <w:szCs w:val="22"/>
        </w:rPr>
        <w:t>in the</w:t>
      </w:r>
      <w:r>
        <w:rPr>
          <w:rFonts w:ascii="Open Sans" w:hAnsi="Open Sans" w:cs="Open Sans"/>
          <w:szCs w:val="22"/>
        </w:rPr>
        <w:t xml:space="preserve"> Domestic RHI where installations where undersized </w:t>
      </w:r>
      <w:r w:rsidR="00446596">
        <w:rPr>
          <w:rFonts w:ascii="Open Sans" w:hAnsi="Open Sans" w:cs="Open Sans"/>
          <w:szCs w:val="22"/>
        </w:rPr>
        <w:t>to</w:t>
      </w:r>
      <w:r>
        <w:rPr>
          <w:rFonts w:ascii="Open Sans" w:hAnsi="Open Sans" w:cs="Open Sans"/>
          <w:szCs w:val="22"/>
        </w:rPr>
        <w:t xml:space="preserve"> ensure </w:t>
      </w:r>
      <w:r w:rsidR="00446596">
        <w:rPr>
          <w:rFonts w:ascii="Open Sans" w:hAnsi="Open Sans" w:cs="Open Sans"/>
          <w:szCs w:val="22"/>
        </w:rPr>
        <w:t>they</w:t>
      </w:r>
      <w:r>
        <w:rPr>
          <w:rFonts w:ascii="Open Sans" w:hAnsi="Open Sans" w:cs="Open Sans"/>
          <w:szCs w:val="22"/>
        </w:rPr>
        <w:t xml:space="preserve"> fit below 45 kW when the needs of the property </w:t>
      </w:r>
      <w:r w:rsidR="00446596">
        <w:rPr>
          <w:rFonts w:ascii="Open Sans" w:hAnsi="Open Sans" w:cs="Open Sans"/>
          <w:szCs w:val="22"/>
        </w:rPr>
        <w:t>w</w:t>
      </w:r>
      <w:r w:rsidR="004025F6">
        <w:rPr>
          <w:rFonts w:ascii="Open Sans" w:hAnsi="Open Sans" w:cs="Open Sans"/>
          <w:szCs w:val="22"/>
        </w:rPr>
        <w:t>ere in</w:t>
      </w:r>
      <w:r>
        <w:rPr>
          <w:rFonts w:ascii="Open Sans" w:hAnsi="Open Sans" w:cs="Open Sans"/>
          <w:szCs w:val="22"/>
        </w:rPr>
        <w:t xml:space="preserve"> the region of 60 to 80 kW’s. </w:t>
      </w:r>
    </w:p>
    <w:p w14:paraId="261FD6AC" w14:textId="77777777" w:rsidR="004D3668" w:rsidRPr="00273E54" w:rsidRDefault="004D3668" w:rsidP="00463340">
      <w:pPr>
        <w:rPr>
          <w:rFonts w:ascii="Open Sans" w:hAnsi="Open Sans" w:cs="Open Sans"/>
          <w:szCs w:val="22"/>
        </w:rPr>
      </w:pPr>
    </w:p>
    <w:p w14:paraId="3CE03306" w14:textId="586372CD" w:rsidR="003C7304" w:rsidRPr="00273E54" w:rsidRDefault="00273E54" w:rsidP="00463340">
      <w:pPr>
        <w:rPr>
          <w:rFonts w:ascii="Open Sans" w:hAnsi="Open Sans" w:cs="Open Sans"/>
          <w:szCs w:val="22"/>
        </w:rPr>
      </w:pPr>
      <w:r w:rsidRPr="00273E54">
        <w:rPr>
          <w:rFonts w:ascii="Open Sans" w:hAnsi="Open Sans" w:cs="Open Sans"/>
          <w:szCs w:val="22"/>
        </w:rPr>
        <w:t xml:space="preserve">The 45kW cap creates a huge policy gap, excluding </w:t>
      </w:r>
      <w:r w:rsidR="008B59CF" w:rsidRPr="00273E54">
        <w:rPr>
          <w:rFonts w:ascii="Open Sans" w:hAnsi="Open Sans" w:cs="Open Sans"/>
          <w:szCs w:val="22"/>
        </w:rPr>
        <w:t>many</w:t>
      </w:r>
      <w:r w:rsidRPr="00273E54">
        <w:rPr>
          <w:rFonts w:ascii="Open Sans" w:hAnsi="Open Sans" w:cs="Open Sans"/>
          <w:szCs w:val="22"/>
        </w:rPr>
        <w:t xml:space="preserve"> </w:t>
      </w:r>
      <w:r w:rsidR="00CE51FA">
        <w:rPr>
          <w:rFonts w:ascii="Open Sans" w:hAnsi="Open Sans" w:cs="Open Sans"/>
          <w:szCs w:val="22"/>
        </w:rPr>
        <w:t xml:space="preserve">of the </w:t>
      </w:r>
      <w:r w:rsidR="00D72AB7" w:rsidRPr="00273E54">
        <w:rPr>
          <w:rFonts w:ascii="Open Sans" w:hAnsi="Open Sans" w:cs="Open Sans"/>
          <w:szCs w:val="22"/>
        </w:rPr>
        <w:t>small-scale</w:t>
      </w:r>
      <w:r w:rsidRPr="00273E54">
        <w:rPr>
          <w:rFonts w:ascii="Open Sans" w:hAnsi="Open Sans" w:cs="Open Sans"/>
          <w:szCs w:val="22"/>
        </w:rPr>
        <w:t xml:space="preserve"> heat decarbonisation projects the scheme is</w:t>
      </w:r>
      <w:r w:rsidR="00C61353" w:rsidRPr="00273E54">
        <w:rPr>
          <w:rFonts w:ascii="Open Sans" w:hAnsi="Open Sans" w:cs="Open Sans"/>
          <w:szCs w:val="22"/>
        </w:rPr>
        <w:t xml:space="preserve"> meant to be</w:t>
      </w:r>
      <w:r w:rsidRPr="00273E54">
        <w:rPr>
          <w:rFonts w:ascii="Open Sans" w:hAnsi="Open Sans" w:cs="Open Sans"/>
          <w:szCs w:val="22"/>
        </w:rPr>
        <w:t xml:space="preserve"> </w:t>
      </w:r>
      <w:r w:rsidR="00C61353" w:rsidRPr="00273E54">
        <w:rPr>
          <w:rFonts w:ascii="Open Sans" w:hAnsi="Open Sans" w:cs="Open Sans"/>
          <w:szCs w:val="22"/>
        </w:rPr>
        <w:t>f</w:t>
      </w:r>
      <w:r w:rsidRPr="00273E54">
        <w:rPr>
          <w:rFonts w:ascii="Open Sans" w:hAnsi="Open Sans" w:cs="Open Sans"/>
          <w:szCs w:val="22"/>
        </w:rPr>
        <w:t>ocused on. BEIS should reconsider th</w:t>
      </w:r>
      <w:r w:rsidR="00C61353" w:rsidRPr="00273E54">
        <w:rPr>
          <w:rFonts w:ascii="Open Sans" w:hAnsi="Open Sans" w:cs="Open Sans"/>
          <w:szCs w:val="22"/>
        </w:rPr>
        <w:t>e</w:t>
      </w:r>
      <w:r w:rsidRPr="00273E54">
        <w:rPr>
          <w:rFonts w:ascii="Open Sans" w:hAnsi="Open Sans" w:cs="Open Sans"/>
          <w:szCs w:val="22"/>
        </w:rPr>
        <w:t xml:space="preserve"> cap</w:t>
      </w:r>
      <w:r w:rsidR="00C61353" w:rsidRPr="00273E54">
        <w:rPr>
          <w:rFonts w:ascii="Open Sans" w:hAnsi="Open Sans" w:cs="Open Sans"/>
          <w:szCs w:val="22"/>
        </w:rPr>
        <w:t xml:space="preserve"> </w:t>
      </w:r>
      <w:r w:rsidR="00D72AB7" w:rsidRPr="00273E54">
        <w:rPr>
          <w:rFonts w:ascii="Open Sans" w:hAnsi="Open Sans" w:cs="Open Sans"/>
          <w:szCs w:val="22"/>
        </w:rPr>
        <w:t>in line</w:t>
      </w:r>
      <w:r w:rsidR="00C61353" w:rsidRPr="00273E54">
        <w:rPr>
          <w:rFonts w:ascii="Open Sans" w:hAnsi="Open Sans" w:cs="Open Sans"/>
          <w:szCs w:val="22"/>
        </w:rPr>
        <w:t xml:space="preserve"> with the </w:t>
      </w:r>
      <w:r w:rsidRPr="00273E54">
        <w:rPr>
          <w:rFonts w:ascii="Open Sans" w:hAnsi="Open Sans" w:cs="Open Sans"/>
          <w:szCs w:val="22"/>
        </w:rPr>
        <w:t xml:space="preserve">data they have on what has been deployed </w:t>
      </w:r>
      <w:r w:rsidR="008B59CF" w:rsidRPr="00273E54">
        <w:rPr>
          <w:rFonts w:ascii="Open Sans" w:hAnsi="Open Sans" w:cs="Open Sans"/>
          <w:szCs w:val="22"/>
        </w:rPr>
        <w:t xml:space="preserve">at the small scale of </w:t>
      </w:r>
      <w:r w:rsidRPr="00273E54">
        <w:rPr>
          <w:rFonts w:ascii="Open Sans" w:hAnsi="Open Sans" w:cs="Open Sans"/>
          <w:szCs w:val="22"/>
        </w:rPr>
        <w:t>the</w:t>
      </w:r>
      <w:r w:rsidR="00446596">
        <w:rPr>
          <w:rFonts w:ascii="Open Sans" w:hAnsi="Open Sans" w:cs="Open Sans"/>
          <w:szCs w:val="22"/>
        </w:rPr>
        <w:t xml:space="preserve"> ND</w:t>
      </w:r>
      <w:r w:rsidRPr="00273E54">
        <w:rPr>
          <w:rFonts w:ascii="Open Sans" w:hAnsi="Open Sans" w:cs="Open Sans"/>
          <w:szCs w:val="22"/>
        </w:rPr>
        <w:t xml:space="preserve"> RHI and what size of project</w:t>
      </w:r>
      <w:r w:rsidR="000A4536" w:rsidRPr="00273E54">
        <w:rPr>
          <w:rFonts w:ascii="Open Sans" w:hAnsi="Open Sans" w:cs="Open Sans"/>
          <w:szCs w:val="22"/>
        </w:rPr>
        <w:t>s</w:t>
      </w:r>
      <w:r w:rsidRPr="00273E54">
        <w:rPr>
          <w:rFonts w:ascii="Open Sans" w:hAnsi="Open Sans" w:cs="Open Sans"/>
          <w:szCs w:val="22"/>
        </w:rPr>
        <w:t xml:space="preserve"> represent the best value for money. </w:t>
      </w:r>
      <w:r w:rsidR="00446596">
        <w:rPr>
          <w:rFonts w:ascii="Open Sans" w:hAnsi="Open Sans" w:cs="Open Sans"/>
          <w:szCs w:val="22"/>
        </w:rPr>
        <w:t xml:space="preserve"> </w:t>
      </w:r>
      <w:r w:rsidR="00D00D91">
        <w:rPr>
          <w:rFonts w:ascii="Open Sans" w:hAnsi="Open Sans" w:cs="Open Sans"/>
          <w:szCs w:val="22"/>
        </w:rPr>
        <w:t xml:space="preserve">REA encourage BEIS to consider implementing a </w:t>
      </w:r>
      <w:r w:rsidRPr="00273E54">
        <w:rPr>
          <w:rFonts w:ascii="Open Sans" w:hAnsi="Open Sans" w:cs="Open Sans"/>
          <w:szCs w:val="22"/>
        </w:rPr>
        <w:t>cap of</w:t>
      </w:r>
      <w:r w:rsidR="00D00D91">
        <w:rPr>
          <w:rFonts w:ascii="Open Sans" w:hAnsi="Open Sans" w:cs="Open Sans"/>
          <w:szCs w:val="22"/>
        </w:rPr>
        <w:t xml:space="preserve"> up to</w:t>
      </w:r>
      <w:r w:rsidRPr="00273E54">
        <w:rPr>
          <w:rFonts w:ascii="Open Sans" w:hAnsi="Open Sans" w:cs="Open Sans"/>
          <w:szCs w:val="22"/>
        </w:rPr>
        <w:t xml:space="preserve"> 200 </w:t>
      </w:r>
      <w:r w:rsidR="00B03132" w:rsidRPr="00273E54">
        <w:rPr>
          <w:rFonts w:ascii="Open Sans" w:hAnsi="Open Sans" w:cs="Open Sans"/>
          <w:szCs w:val="22"/>
        </w:rPr>
        <w:t>k</w:t>
      </w:r>
      <w:r w:rsidR="00C61353" w:rsidRPr="00273E54">
        <w:rPr>
          <w:rFonts w:ascii="Open Sans" w:hAnsi="Open Sans" w:cs="Open Sans"/>
          <w:szCs w:val="22"/>
        </w:rPr>
        <w:t>W</w:t>
      </w:r>
      <w:r w:rsidR="00CE51FA">
        <w:rPr>
          <w:rFonts w:ascii="Open Sans" w:hAnsi="Open Sans" w:cs="Open Sans"/>
          <w:szCs w:val="22"/>
        </w:rPr>
        <w:t xml:space="preserve">, </w:t>
      </w:r>
      <w:r w:rsidR="00C61353" w:rsidRPr="00273E54">
        <w:rPr>
          <w:rFonts w:ascii="Open Sans" w:hAnsi="Open Sans" w:cs="Open Sans"/>
          <w:szCs w:val="22"/>
        </w:rPr>
        <w:t>in line</w:t>
      </w:r>
      <w:r w:rsidRPr="00273E54">
        <w:rPr>
          <w:rFonts w:ascii="Open Sans" w:hAnsi="Open Sans" w:cs="Open Sans"/>
          <w:szCs w:val="22"/>
        </w:rPr>
        <w:t xml:space="preserve"> with the small biomass tariff in the current ND RHI</w:t>
      </w:r>
      <w:r w:rsidR="00CE51FA">
        <w:rPr>
          <w:rFonts w:ascii="Open Sans" w:hAnsi="Open Sans" w:cs="Open Sans"/>
          <w:szCs w:val="22"/>
        </w:rPr>
        <w:t>,</w:t>
      </w:r>
      <w:r w:rsidRPr="00273E54">
        <w:rPr>
          <w:rFonts w:ascii="Open Sans" w:hAnsi="Open Sans" w:cs="Open Sans"/>
          <w:szCs w:val="22"/>
        </w:rPr>
        <w:t xml:space="preserve"> </w:t>
      </w:r>
      <w:r w:rsidR="000A4536" w:rsidRPr="00273E54">
        <w:rPr>
          <w:rFonts w:ascii="Open Sans" w:hAnsi="Open Sans" w:cs="Open Sans"/>
          <w:szCs w:val="22"/>
        </w:rPr>
        <w:t xml:space="preserve">to ensure continued deployment of heat projects across all technologies, </w:t>
      </w:r>
      <w:r w:rsidRPr="00273E54">
        <w:rPr>
          <w:rFonts w:ascii="Open Sans" w:hAnsi="Open Sans" w:cs="Open Sans"/>
          <w:szCs w:val="22"/>
        </w:rPr>
        <w:t>while further heat decarbonisation polic</w:t>
      </w:r>
      <w:r w:rsidR="000A4536" w:rsidRPr="00273E54">
        <w:rPr>
          <w:rFonts w:ascii="Open Sans" w:hAnsi="Open Sans" w:cs="Open Sans"/>
          <w:szCs w:val="22"/>
        </w:rPr>
        <w:t>ies</w:t>
      </w:r>
      <w:r w:rsidRPr="00273E54">
        <w:rPr>
          <w:rFonts w:ascii="Open Sans" w:hAnsi="Open Sans" w:cs="Open Sans"/>
          <w:szCs w:val="22"/>
        </w:rPr>
        <w:t xml:space="preserve"> </w:t>
      </w:r>
      <w:r w:rsidR="000A4536" w:rsidRPr="00273E54">
        <w:rPr>
          <w:rFonts w:ascii="Open Sans" w:hAnsi="Open Sans" w:cs="Open Sans"/>
          <w:szCs w:val="22"/>
        </w:rPr>
        <w:t>are</w:t>
      </w:r>
      <w:r w:rsidRPr="00273E54">
        <w:rPr>
          <w:rFonts w:ascii="Open Sans" w:hAnsi="Open Sans" w:cs="Open Sans"/>
          <w:szCs w:val="22"/>
        </w:rPr>
        <w:t xml:space="preserve"> brought forward for larger projects. </w:t>
      </w:r>
    </w:p>
    <w:p w14:paraId="00123BA2" w14:textId="77777777" w:rsidR="005443AB" w:rsidRPr="00273E54" w:rsidRDefault="005443AB" w:rsidP="005443AB">
      <w:pPr>
        <w:rPr>
          <w:rFonts w:ascii="Open Sans" w:hAnsi="Open Sans" w:cs="Open Sans"/>
          <w:szCs w:val="22"/>
        </w:rPr>
      </w:pPr>
    </w:p>
    <w:p w14:paraId="56867025" w14:textId="07A01C70" w:rsidR="005443AB" w:rsidRPr="003277D7" w:rsidRDefault="00273E54" w:rsidP="005443AB">
      <w:pPr>
        <w:rPr>
          <w:rFonts w:ascii="Open Sans" w:hAnsi="Open Sans" w:cs="Open Sans"/>
          <w:b/>
          <w:bCs/>
          <w:szCs w:val="22"/>
        </w:rPr>
      </w:pPr>
      <w:r w:rsidRPr="003277D7">
        <w:rPr>
          <w:rFonts w:ascii="Open Sans" w:hAnsi="Open Sans" w:cs="Open Sans"/>
          <w:b/>
          <w:bCs/>
          <w:szCs w:val="22"/>
        </w:rPr>
        <w:t xml:space="preserve">The potential for </w:t>
      </w:r>
      <w:r w:rsidR="004025F6">
        <w:rPr>
          <w:rFonts w:ascii="Open Sans" w:hAnsi="Open Sans" w:cs="Open Sans"/>
          <w:b/>
          <w:bCs/>
          <w:szCs w:val="22"/>
        </w:rPr>
        <w:t>b</w:t>
      </w:r>
      <w:r w:rsidRPr="003277D7">
        <w:rPr>
          <w:rFonts w:ascii="Open Sans" w:hAnsi="Open Sans" w:cs="Open Sans"/>
          <w:b/>
          <w:bCs/>
          <w:szCs w:val="22"/>
        </w:rPr>
        <w:t xml:space="preserve">iomass </w:t>
      </w:r>
      <w:r w:rsidR="004025F6">
        <w:rPr>
          <w:rFonts w:ascii="Open Sans" w:hAnsi="Open Sans" w:cs="Open Sans"/>
          <w:b/>
          <w:bCs/>
          <w:szCs w:val="22"/>
        </w:rPr>
        <w:t>h</w:t>
      </w:r>
      <w:r w:rsidRPr="003277D7">
        <w:rPr>
          <w:rFonts w:ascii="Open Sans" w:hAnsi="Open Sans" w:cs="Open Sans"/>
          <w:b/>
          <w:bCs/>
          <w:szCs w:val="22"/>
        </w:rPr>
        <w:t>eat is underestimated within the Clean Heat Grant Scheme</w:t>
      </w:r>
      <w:r w:rsidR="00B03132" w:rsidRPr="003277D7">
        <w:rPr>
          <w:rFonts w:ascii="Open Sans" w:hAnsi="Open Sans" w:cs="Open Sans"/>
          <w:b/>
          <w:bCs/>
          <w:szCs w:val="22"/>
        </w:rPr>
        <w:t>.</w:t>
      </w:r>
    </w:p>
    <w:p w14:paraId="7E89216B" w14:textId="77777777" w:rsidR="005443AB" w:rsidRPr="00273E54" w:rsidRDefault="005443AB" w:rsidP="005443AB">
      <w:pPr>
        <w:rPr>
          <w:rFonts w:ascii="Open Sans" w:hAnsi="Open Sans" w:cs="Open Sans"/>
          <w:szCs w:val="22"/>
        </w:rPr>
      </w:pPr>
    </w:p>
    <w:p w14:paraId="459D7BDD" w14:textId="668F411C" w:rsidR="001A1217" w:rsidRDefault="00273E54" w:rsidP="005443AB">
      <w:pPr>
        <w:rPr>
          <w:rFonts w:ascii="Open Sans" w:hAnsi="Open Sans" w:cs="Open Sans"/>
          <w:szCs w:val="22"/>
        </w:rPr>
      </w:pPr>
      <w:r w:rsidRPr="00273E54">
        <w:rPr>
          <w:rFonts w:ascii="Open Sans" w:hAnsi="Open Sans" w:cs="Open Sans"/>
          <w:szCs w:val="22"/>
        </w:rPr>
        <w:t>The renewable heat sector has huge potential for sustainable growth in the UK. The REA’s Bioenergy Strategy</w:t>
      </w:r>
      <w:r w:rsidR="005715F6">
        <w:rPr>
          <w:rFonts w:ascii="Open Sans" w:hAnsi="Open Sans" w:cs="Open Sans"/>
          <w:szCs w:val="22"/>
        </w:rPr>
        <w:t xml:space="preserve"> </w:t>
      </w:r>
      <w:r w:rsidRPr="00273E54">
        <w:rPr>
          <w:rStyle w:val="FootnoteReference"/>
          <w:rFonts w:ascii="Open Sans" w:hAnsi="Open Sans" w:cs="Open Sans"/>
          <w:szCs w:val="22"/>
        </w:rPr>
        <w:footnoteReference w:id="9"/>
      </w:r>
      <w:r w:rsidRPr="00273E54">
        <w:rPr>
          <w:rFonts w:ascii="Open Sans" w:hAnsi="Open Sans" w:cs="Open Sans"/>
          <w:szCs w:val="22"/>
        </w:rPr>
        <w:t xml:space="preserve"> identified the contribution from bioenergy alone could sustainably increase by a factor of 2.3 by 2032 to 113 TWh (20% of UK heating needs). Biomass heat, utilising efficient biomass boilers burning wood chip or pellet, could sustainably deliver 42 TWh of this by 2030, making a sizable contribution to UK heat decarbonisation. </w:t>
      </w:r>
    </w:p>
    <w:p w14:paraId="016D8CC1" w14:textId="77777777" w:rsidR="001A1217" w:rsidRDefault="001A1217" w:rsidP="005443AB">
      <w:pPr>
        <w:rPr>
          <w:rFonts w:ascii="Open Sans" w:hAnsi="Open Sans" w:cs="Open Sans"/>
          <w:szCs w:val="22"/>
        </w:rPr>
      </w:pPr>
    </w:p>
    <w:p w14:paraId="6DD3F583" w14:textId="5CA48BB2" w:rsidR="005443AB" w:rsidRPr="00273E54" w:rsidRDefault="00273E54" w:rsidP="005443AB">
      <w:pPr>
        <w:rPr>
          <w:rFonts w:ascii="Open Sans" w:hAnsi="Open Sans" w:cs="Open Sans"/>
          <w:szCs w:val="22"/>
        </w:rPr>
      </w:pPr>
      <w:r w:rsidRPr="00273E54">
        <w:rPr>
          <w:rFonts w:ascii="Open Sans" w:hAnsi="Open Sans" w:cs="Open Sans"/>
          <w:szCs w:val="22"/>
        </w:rPr>
        <w:t>BEIS data demonstrates that using wood fuels also provides the lowest cost heat decarbonisation option, with an average of £463/kW across the three biomass ND RHI tariffs.</w:t>
      </w:r>
      <w:r w:rsidRPr="00273E54">
        <w:rPr>
          <w:rStyle w:val="FootnoteReference"/>
          <w:rFonts w:ascii="Open Sans" w:hAnsi="Open Sans" w:cs="Open Sans"/>
          <w:szCs w:val="22"/>
        </w:rPr>
        <w:footnoteReference w:id="10"/>
      </w:r>
      <w:r w:rsidRPr="00273E54">
        <w:rPr>
          <w:rFonts w:ascii="Open Sans" w:hAnsi="Open Sans" w:cs="Open Sans"/>
          <w:szCs w:val="22"/>
        </w:rPr>
        <w:t xml:space="preserve">  </w:t>
      </w:r>
      <w:r w:rsidR="00CE51FA">
        <w:rPr>
          <w:rFonts w:ascii="Open Sans" w:hAnsi="Open Sans" w:cs="Open Sans"/>
          <w:szCs w:val="22"/>
        </w:rPr>
        <w:t xml:space="preserve">Furthermore, </w:t>
      </w:r>
      <w:r w:rsidR="009B7745">
        <w:rPr>
          <w:rFonts w:ascii="Open Sans" w:hAnsi="Open Sans" w:cs="Open Sans"/>
          <w:szCs w:val="22"/>
        </w:rPr>
        <w:t>analysis by the consultancy In Perpetuum</w:t>
      </w:r>
      <w:r w:rsidR="00CE51FA">
        <w:rPr>
          <w:rFonts w:ascii="Open Sans" w:hAnsi="Open Sans" w:cs="Open Sans"/>
          <w:szCs w:val="22"/>
        </w:rPr>
        <w:t>,</w:t>
      </w:r>
      <w:r w:rsidR="009B7745">
        <w:rPr>
          <w:rFonts w:ascii="Open Sans" w:hAnsi="Open Sans" w:cs="Open Sans"/>
          <w:szCs w:val="22"/>
        </w:rPr>
        <w:t xml:space="preserve"> </w:t>
      </w:r>
      <w:r w:rsidR="00CE51FA">
        <w:rPr>
          <w:rFonts w:ascii="Open Sans" w:hAnsi="Open Sans" w:cs="Open Sans"/>
          <w:szCs w:val="22"/>
        </w:rPr>
        <w:t xml:space="preserve">concerning </w:t>
      </w:r>
      <w:r w:rsidR="009B7745">
        <w:rPr>
          <w:rFonts w:ascii="Open Sans" w:hAnsi="Open Sans" w:cs="Open Sans"/>
          <w:szCs w:val="22"/>
        </w:rPr>
        <w:t>off gas grid decarbonisation</w:t>
      </w:r>
      <w:r w:rsidR="00CE51FA">
        <w:rPr>
          <w:rFonts w:ascii="Open Sans" w:hAnsi="Open Sans" w:cs="Open Sans"/>
          <w:szCs w:val="22"/>
        </w:rPr>
        <w:t xml:space="preserve">, </w:t>
      </w:r>
      <w:r w:rsidR="009B7745">
        <w:rPr>
          <w:rFonts w:ascii="Open Sans" w:hAnsi="Open Sans" w:cs="Open Sans"/>
          <w:szCs w:val="22"/>
        </w:rPr>
        <w:t>demonstrates that bioenergy applications provide</w:t>
      </w:r>
      <w:r w:rsidR="00CE51FA">
        <w:rPr>
          <w:rFonts w:ascii="Open Sans" w:hAnsi="Open Sans" w:cs="Open Sans"/>
          <w:szCs w:val="22"/>
        </w:rPr>
        <w:t>s the</w:t>
      </w:r>
      <w:r w:rsidR="009B7745">
        <w:rPr>
          <w:rFonts w:ascii="Open Sans" w:hAnsi="Open Sans" w:cs="Open Sans"/>
          <w:szCs w:val="22"/>
        </w:rPr>
        <w:t xml:space="preserve"> cheapest Annualised carbon saving cost, with Biomass costing about £271/tonne</w:t>
      </w:r>
      <w:r w:rsidR="00BC7EB4">
        <w:rPr>
          <w:rFonts w:ascii="Open Sans" w:hAnsi="Open Sans" w:cs="Open Sans"/>
          <w:szCs w:val="22"/>
        </w:rPr>
        <w:t xml:space="preserve"> of carbon saved</w:t>
      </w:r>
      <w:r w:rsidR="009B7745">
        <w:rPr>
          <w:rFonts w:ascii="Open Sans" w:hAnsi="Open Sans" w:cs="Open Sans"/>
          <w:szCs w:val="22"/>
        </w:rPr>
        <w:t xml:space="preserve">, more than a </w:t>
      </w:r>
      <w:r w:rsidR="009B7745">
        <w:rPr>
          <w:rFonts w:ascii="Open Sans" w:hAnsi="Open Sans" w:cs="Open Sans"/>
          <w:szCs w:val="22"/>
        </w:rPr>
        <w:lastRenderedPageBreak/>
        <w:t xml:space="preserve">hundred pounds cheaper per tonne then pure electrification. </w:t>
      </w:r>
      <w:r w:rsidR="009B7745">
        <w:rPr>
          <w:rStyle w:val="FootnoteReference"/>
          <w:rFonts w:ascii="Open Sans" w:hAnsi="Open Sans" w:cs="Open Sans"/>
          <w:szCs w:val="22"/>
        </w:rPr>
        <w:footnoteReference w:id="11"/>
      </w:r>
      <w:r w:rsidR="00CE51FA">
        <w:rPr>
          <w:rFonts w:ascii="Open Sans" w:hAnsi="Open Sans" w:cs="Open Sans"/>
          <w:szCs w:val="22"/>
        </w:rPr>
        <w:t xml:space="preserve"> Biomass heat has provided some of the best value for money projects under the RHI and should be en</w:t>
      </w:r>
      <w:r w:rsidR="004025F6">
        <w:rPr>
          <w:rFonts w:ascii="Open Sans" w:hAnsi="Open Sans" w:cs="Open Sans"/>
          <w:szCs w:val="22"/>
        </w:rPr>
        <w:t xml:space="preserve">abled </w:t>
      </w:r>
      <w:r w:rsidR="00CE51FA">
        <w:rPr>
          <w:rFonts w:ascii="Open Sans" w:hAnsi="Open Sans" w:cs="Open Sans"/>
          <w:szCs w:val="22"/>
        </w:rPr>
        <w:t>to do so again in the Clean Heat Grant Scheme.</w:t>
      </w:r>
    </w:p>
    <w:p w14:paraId="777E954D" w14:textId="0C33BDEC" w:rsidR="005443AB" w:rsidRDefault="005443AB" w:rsidP="005443AB">
      <w:pPr>
        <w:rPr>
          <w:rFonts w:ascii="Open Sans" w:hAnsi="Open Sans" w:cs="Open Sans"/>
          <w:szCs w:val="22"/>
        </w:rPr>
      </w:pPr>
    </w:p>
    <w:p w14:paraId="3809C513" w14:textId="16C3A9B9" w:rsidR="009B7745" w:rsidRDefault="00E46A42" w:rsidP="005443AB">
      <w:pPr>
        <w:rPr>
          <w:rFonts w:ascii="Open Sans" w:hAnsi="Open Sans" w:cs="Open Sans"/>
          <w:szCs w:val="22"/>
        </w:rPr>
      </w:pPr>
      <w:r>
        <w:rPr>
          <w:rFonts w:ascii="Open Sans" w:hAnsi="Open Sans" w:cs="Open Sans"/>
          <w:szCs w:val="22"/>
        </w:rPr>
        <w:t>M</w:t>
      </w:r>
      <w:r w:rsidR="009B7745">
        <w:rPr>
          <w:rFonts w:ascii="Open Sans" w:hAnsi="Open Sans" w:cs="Open Sans"/>
          <w:szCs w:val="22"/>
        </w:rPr>
        <w:t xml:space="preserve">uch of BEIS analysis for off gas grid decarbonisation is based on the findings of the Delta-EE report </w:t>
      </w:r>
      <w:r w:rsidR="009B7745" w:rsidRPr="00E46A42">
        <w:rPr>
          <w:rFonts w:ascii="Open Sans" w:hAnsi="Open Sans" w:cs="Open Sans"/>
          <w:i/>
          <w:iCs/>
          <w:szCs w:val="22"/>
        </w:rPr>
        <w:t>“</w:t>
      </w:r>
      <w:r w:rsidRPr="00E46A42">
        <w:rPr>
          <w:rFonts w:ascii="Open Sans" w:hAnsi="Open Sans" w:cs="Open Sans"/>
          <w:i/>
          <w:iCs/>
          <w:szCs w:val="22"/>
        </w:rPr>
        <w:t>Electric Heating in Rural Off-Gas Grid Dwellings: technical Feasibility”</w:t>
      </w:r>
      <w:r>
        <w:rPr>
          <w:rFonts w:ascii="Open Sans" w:hAnsi="Open Sans" w:cs="Open Sans"/>
          <w:szCs w:val="22"/>
        </w:rPr>
        <w:t xml:space="preserve">.  This highlights the strong potential for </w:t>
      </w:r>
      <w:r w:rsidR="00DC2137">
        <w:rPr>
          <w:rFonts w:ascii="Open Sans" w:hAnsi="Open Sans" w:cs="Open Sans"/>
          <w:szCs w:val="22"/>
        </w:rPr>
        <w:t>heat pumps</w:t>
      </w:r>
      <w:r>
        <w:rPr>
          <w:rFonts w:ascii="Open Sans" w:hAnsi="Open Sans" w:cs="Open Sans"/>
          <w:szCs w:val="22"/>
        </w:rPr>
        <w:t xml:space="preserve"> to be used for decarbonisation. We generally support the findings of this report but urge BEIS to take note of the full </w:t>
      </w:r>
      <w:r w:rsidR="00DC2137">
        <w:rPr>
          <w:rFonts w:ascii="Open Sans" w:hAnsi="Open Sans" w:cs="Open Sans"/>
          <w:szCs w:val="22"/>
        </w:rPr>
        <w:t>implications of</w:t>
      </w:r>
      <w:r w:rsidR="00327C23">
        <w:rPr>
          <w:rFonts w:ascii="Open Sans" w:hAnsi="Open Sans" w:cs="Open Sans"/>
          <w:szCs w:val="22"/>
        </w:rPr>
        <w:t xml:space="preserve"> </w:t>
      </w:r>
      <w:r>
        <w:rPr>
          <w:rFonts w:ascii="Open Sans" w:hAnsi="Open Sans" w:cs="Open Sans"/>
          <w:szCs w:val="22"/>
        </w:rPr>
        <w:t xml:space="preserve">their modelling. </w:t>
      </w:r>
      <w:r w:rsidR="00327C23">
        <w:rPr>
          <w:rFonts w:ascii="Open Sans" w:hAnsi="Open Sans" w:cs="Open Sans"/>
          <w:szCs w:val="22"/>
        </w:rPr>
        <w:t>We</w:t>
      </w:r>
      <w:r w:rsidR="00DC2137">
        <w:rPr>
          <w:rFonts w:ascii="Open Sans" w:hAnsi="Open Sans" w:cs="Open Sans"/>
          <w:szCs w:val="22"/>
        </w:rPr>
        <w:t xml:space="preserve"> </w:t>
      </w:r>
      <w:r w:rsidR="00853DE5">
        <w:rPr>
          <w:rFonts w:ascii="Open Sans" w:hAnsi="Open Sans" w:cs="Open Sans"/>
          <w:szCs w:val="22"/>
        </w:rPr>
        <w:t xml:space="preserve">particularly </w:t>
      </w:r>
      <w:r w:rsidR="00DC2137">
        <w:rPr>
          <w:rFonts w:ascii="Open Sans" w:hAnsi="Open Sans" w:cs="Open Sans"/>
          <w:szCs w:val="22"/>
        </w:rPr>
        <w:t xml:space="preserve">highlight this paragraph within the </w:t>
      </w:r>
      <w:r w:rsidR="004025F6">
        <w:rPr>
          <w:rFonts w:ascii="Open Sans" w:hAnsi="Open Sans" w:cs="Open Sans"/>
          <w:szCs w:val="22"/>
        </w:rPr>
        <w:t>E</w:t>
      </w:r>
      <w:r w:rsidR="00DC2137">
        <w:rPr>
          <w:rFonts w:ascii="Open Sans" w:hAnsi="Open Sans" w:cs="Open Sans"/>
          <w:szCs w:val="22"/>
        </w:rPr>
        <w:t xml:space="preserve">xecutive </w:t>
      </w:r>
      <w:r w:rsidR="004025F6">
        <w:rPr>
          <w:rFonts w:ascii="Open Sans" w:hAnsi="Open Sans" w:cs="Open Sans"/>
          <w:szCs w:val="22"/>
        </w:rPr>
        <w:t>S</w:t>
      </w:r>
      <w:r w:rsidR="00DC2137">
        <w:rPr>
          <w:rFonts w:ascii="Open Sans" w:hAnsi="Open Sans" w:cs="Open Sans"/>
          <w:szCs w:val="22"/>
        </w:rPr>
        <w:t>ummary</w:t>
      </w:r>
      <w:r>
        <w:rPr>
          <w:rFonts w:ascii="Open Sans" w:hAnsi="Open Sans" w:cs="Open Sans"/>
          <w:szCs w:val="22"/>
        </w:rPr>
        <w:t xml:space="preserve">: </w:t>
      </w:r>
    </w:p>
    <w:p w14:paraId="7BAB5F2C" w14:textId="37EF360F" w:rsidR="00E46A42" w:rsidRPr="00E46A42" w:rsidRDefault="00E46A42" w:rsidP="00E46A42">
      <w:pPr>
        <w:ind w:left="720"/>
        <w:rPr>
          <w:rFonts w:ascii="Open Sans" w:hAnsi="Open Sans" w:cs="Open Sans"/>
          <w:i/>
          <w:iCs/>
          <w:szCs w:val="22"/>
        </w:rPr>
      </w:pPr>
      <w:r>
        <w:rPr>
          <w:rFonts w:ascii="Open Sans" w:hAnsi="Open Sans" w:cs="Open Sans"/>
          <w:i/>
          <w:iCs/>
          <w:szCs w:val="22"/>
        </w:rPr>
        <w:t>“</w:t>
      </w:r>
      <w:r w:rsidRPr="00E46A42">
        <w:rPr>
          <w:rFonts w:ascii="Open Sans" w:hAnsi="Open Sans" w:cs="Open Sans"/>
          <w:i/>
          <w:iCs/>
          <w:szCs w:val="22"/>
        </w:rPr>
        <w:t xml:space="preserve">The results from the network modelling show that based on average peak winter day temperatures, around 84% of homes can be electrified at their current level of insulation. This increases to around 93% if all suitable homes have loft &amp; wall insulation installed. </w:t>
      </w:r>
      <w:r w:rsidRPr="00E46A42">
        <w:rPr>
          <w:rFonts w:ascii="Open Sans" w:hAnsi="Open Sans" w:cs="Open Sans"/>
          <w:b/>
          <w:bCs/>
          <w:i/>
          <w:iCs/>
          <w:szCs w:val="22"/>
        </w:rPr>
        <w:t>However, based on a 1-in-20 winter peak scenario, the proportion of homes that the current low voltage network can support drops to around 64% if ground-source heat pumps are the preferred technology for households, or to 41% if air-source heat pumps are the preferred technology (assuming that air source heat pumps require a direct electric heating back-up in a 1-in-20 winter scenario</w:t>
      </w:r>
      <w:r w:rsidRPr="00E46A42">
        <w:rPr>
          <w:rFonts w:ascii="Open Sans" w:hAnsi="Open Sans" w:cs="Open Sans"/>
          <w:i/>
          <w:iCs/>
          <w:szCs w:val="22"/>
        </w:rPr>
        <w:t>). For both merit order scenarios, adding loft and wall insulation results in only a marginal improvement in electrification rates.</w:t>
      </w:r>
      <w:r>
        <w:rPr>
          <w:rFonts w:ascii="Open Sans" w:hAnsi="Open Sans" w:cs="Open Sans"/>
          <w:i/>
          <w:iCs/>
          <w:szCs w:val="22"/>
        </w:rPr>
        <w:t>”</w:t>
      </w:r>
      <w:r w:rsidR="001345CF">
        <w:rPr>
          <w:rFonts w:ascii="Open Sans" w:hAnsi="Open Sans" w:cs="Open Sans"/>
          <w:i/>
          <w:iCs/>
          <w:szCs w:val="22"/>
        </w:rPr>
        <w:t xml:space="preserve"> </w:t>
      </w:r>
      <w:r w:rsidR="00853DE5">
        <w:rPr>
          <w:rFonts w:ascii="Open Sans" w:hAnsi="Open Sans" w:cs="Open Sans"/>
          <w:i/>
          <w:iCs/>
          <w:szCs w:val="22"/>
        </w:rPr>
        <w:t>[</w:t>
      </w:r>
      <w:r w:rsidR="001345CF">
        <w:rPr>
          <w:rFonts w:ascii="Open Sans" w:hAnsi="Open Sans" w:cs="Open Sans"/>
          <w:i/>
          <w:iCs/>
          <w:szCs w:val="22"/>
        </w:rPr>
        <w:t>Emphasis added</w:t>
      </w:r>
      <w:r w:rsidR="00853DE5">
        <w:rPr>
          <w:rFonts w:ascii="Open Sans" w:hAnsi="Open Sans" w:cs="Open Sans"/>
          <w:i/>
          <w:iCs/>
          <w:szCs w:val="22"/>
        </w:rPr>
        <w:t>]</w:t>
      </w:r>
    </w:p>
    <w:p w14:paraId="324E9841" w14:textId="42692E1A" w:rsidR="009B7745" w:rsidRDefault="009B7745" w:rsidP="005443AB">
      <w:pPr>
        <w:rPr>
          <w:rFonts w:ascii="Open Sans" w:hAnsi="Open Sans" w:cs="Open Sans"/>
          <w:szCs w:val="22"/>
        </w:rPr>
      </w:pPr>
    </w:p>
    <w:p w14:paraId="11E1C100" w14:textId="718A43A8" w:rsidR="00853DE5" w:rsidRDefault="00853DE5" w:rsidP="005443AB">
      <w:pPr>
        <w:rPr>
          <w:rFonts w:ascii="Open Sans" w:hAnsi="Open Sans" w:cs="Open Sans"/>
          <w:szCs w:val="22"/>
        </w:rPr>
      </w:pPr>
      <w:r>
        <w:rPr>
          <w:rFonts w:ascii="Open Sans" w:hAnsi="Open Sans" w:cs="Open Sans"/>
          <w:szCs w:val="22"/>
        </w:rPr>
        <w:t xml:space="preserve">Delta EE </w:t>
      </w:r>
      <w:r w:rsidR="001345CF">
        <w:rPr>
          <w:rFonts w:ascii="Open Sans" w:hAnsi="Open Sans" w:cs="Open Sans"/>
          <w:szCs w:val="22"/>
        </w:rPr>
        <w:t xml:space="preserve">make clear that when considering harsher winters, which are </w:t>
      </w:r>
      <w:r>
        <w:rPr>
          <w:rFonts w:ascii="Open Sans" w:hAnsi="Open Sans" w:cs="Open Sans"/>
          <w:szCs w:val="22"/>
        </w:rPr>
        <w:t>widely</w:t>
      </w:r>
      <w:r w:rsidR="001345CF">
        <w:rPr>
          <w:rFonts w:ascii="Open Sans" w:hAnsi="Open Sans" w:cs="Open Sans"/>
          <w:szCs w:val="22"/>
        </w:rPr>
        <w:t xml:space="preserve"> predicted to become more common, </w:t>
      </w:r>
      <w:r>
        <w:rPr>
          <w:rFonts w:ascii="Open Sans" w:hAnsi="Open Sans" w:cs="Open Sans"/>
          <w:szCs w:val="22"/>
        </w:rPr>
        <w:t xml:space="preserve">policy makers need to be considering </w:t>
      </w:r>
      <w:r w:rsidR="001345CF">
        <w:rPr>
          <w:rFonts w:ascii="Open Sans" w:hAnsi="Open Sans" w:cs="Open Sans"/>
          <w:szCs w:val="22"/>
        </w:rPr>
        <w:t xml:space="preserve">the role of higher heat load technologies. </w:t>
      </w:r>
      <w:r>
        <w:rPr>
          <w:rFonts w:ascii="Open Sans" w:hAnsi="Open Sans" w:cs="Open Sans"/>
          <w:szCs w:val="22"/>
        </w:rPr>
        <w:t>There is no doubt that</w:t>
      </w:r>
      <w:r w:rsidR="001345CF">
        <w:rPr>
          <w:rFonts w:ascii="Open Sans" w:hAnsi="Open Sans" w:cs="Open Sans"/>
          <w:szCs w:val="22"/>
        </w:rPr>
        <w:t xml:space="preserve"> </w:t>
      </w:r>
      <w:r>
        <w:rPr>
          <w:rFonts w:ascii="Open Sans" w:hAnsi="Open Sans" w:cs="Open Sans"/>
          <w:szCs w:val="22"/>
        </w:rPr>
        <w:t xml:space="preserve">heat pumps are of </w:t>
      </w:r>
      <w:r w:rsidR="00FF7ADA">
        <w:rPr>
          <w:rFonts w:ascii="Open Sans" w:hAnsi="Open Sans" w:cs="Open Sans"/>
          <w:szCs w:val="22"/>
        </w:rPr>
        <w:t xml:space="preserve">high </w:t>
      </w:r>
      <w:r>
        <w:rPr>
          <w:rFonts w:ascii="Open Sans" w:hAnsi="Open Sans" w:cs="Open Sans"/>
          <w:szCs w:val="22"/>
        </w:rPr>
        <w:t xml:space="preserve">strategic importance and have a primary role </w:t>
      </w:r>
      <w:r w:rsidR="00CE41ED">
        <w:rPr>
          <w:rFonts w:ascii="Open Sans" w:hAnsi="Open Sans" w:cs="Open Sans"/>
          <w:szCs w:val="22"/>
        </w:rPr>
        <w:t xml:space="preserve">to play </w:t>
      </w:r>
      <w:r>
        <w:rPr>
          <w:rFonts w:ascii="Open Sans" w:hAnsi="Open Sans" w:cs="Open Sans"/>
          <w:szCs w:val="22"/>
        </w:rPr>
        <w:t xml:space="preserve">in </w:t>
      </w:r>
      <w:r w:rsidR="00CE41ED">
        <w:rPr>
          <w:rFonts w:ascii="Open Sans" w:hAnsi="Open Sans" w:cs="Open Sans"/>
          <w:szCs w:val="22"/>
        </w:rPr>
        <w:t xml:space="preserve">the </w:t>
      </w:r>
      <w:r>
        <w:rPr>
          <w:rFonts w:ascii="Open Sans" w:hAnsi="Open Sans" w:cs="Open Sans"/>
          <w:szCs w:val="22"/>
        </w:rPr>
        <w:t>decarbonisation</w:t>
      </w:r>
      <w:r w:rsidR="00CE41ED">
        <w:rPr>
          <w:rFonts w:ascii="Open Sans" w:hAnsi="Open Sans" w:cs="Open Sans"/>
          <w:szCs w:val="22"/>
        </w:rPr>
        <w:t xml:space="preserve"> of such properties</w:t>
      </w:r>
      <w:r>
        <w:rPr>
          <w:rFonts w:ascii="Open Sans" w:hAnsi="Open Sans" w:cs="Open Sans"/>
          <w:szCs w:val="22"/>
        </w:rPr>
        <w:t xml:space="preserve">, however policy makers </w:t>
      </w:r>
      <w:r w:rsidR="00CE41ED">
        <w:rPr>
          <w:rFonts w:ascii="Open Sans" w:hAnsi="Open Sans" w:cs="Open Sans"/>
          <w:szCs w:val="22"/>
        </w:rPr>
        <w:t xml:space="preserve">cannot </w:t>
      </w:r>
      <w:r>
        <w:rPr>
          <w:rFonts w:ascii="Open Sans" w:hAnsi="Open Sans" w:cs="Open Sans"/>
          <w:szCs w:val="22"/>
        </w:rPr>
        <w:t>afford to underestimate</w:t>
      </w:r>
      <w:r w:rsidR="004025F6">
        <w:rPr>
          <w:rFonts w:ascii="Open Sans" w:hAnsi="Open Sans" w:cs="Open Sans"/>
          <w:szCs w:val="22"/>
        </w:rPr>
        <w:t xml:space="preserve"> how big</w:t>
      </w:r>
      <w:r>
        <w:rPr>
          <w:rFonts w:ascii="Open Sans" w:hAnsi="Open Sans" w:cs="Open Sans"/>
          <w:szCs w:val="22"/>
        </w:rPr>
        <w:t xml:space="preserve"> the </w:t>
      </w:r>
      <w:r w:rsidR="001345CF">
        <w:rPr>
          <w:rFonts w:ascii="Open Sans" w:hAnsi="Open Sans" w:cs="Open Sans"/>
          <w:szCs w:val="22"/>
        </w:rPr>
        <w:t xml:space="preserve">‘niche-role’ </w:t>
      </w:r>
      <w:r w:rsidR="004025F6">
        <w:rPr>
          <w:rFonts w:ascii="Open Sans" w:hAnsi="Open Sans" w:cs="Open Sans"/>
          <w:szCs w:val="22"/>
        </w:rPr>
        <w:t xml:space="preserve">role that is actually left for </w:t>
      </w:r>
      <w:r>
        <w:rPr>
          <w:rFonts w:ascii="Open Sans" w:hAnsi="Open Sans" w:cs="Open Sans"/>
          <w:szCs w:val="22"/>
        </w:rPr>
        <w:t>biomass</w:t>
      </w:r>
      <w:r w:rsidR="00CE41ED">
        <w:rPr>
          <w:rFonts w:ascii="Open Sans" w:hAnsi="Open Sans" w:cs="Open Sans"/>
          <w:szCs w:val="22"/>
        </w:rPr>
        <w:t xml:space="preserve">. </w:t>
      </w:r>
    </w:p>
    <w:p w14:paraId="06ACA2C1" w14:textId="77777777" w:rsidR="00853DE5" w:rsidRDefault="00853DE5" w:rsidP="005443AB">
      <w:pPr>
        <w:rPr>
          <w:rFonts w:ascii="Open Sans" w:hAnsi="Open Sans" w:cs="Open Sans"/>
          <w:szCs w:val="22"/>
        </w:rPr>
      </w:pPr>
    </w:p>
    <w:p w14:paraId="581A7DFA" w14:textId="2B95FEB6" w:rsidR="001345CF" w:rsidRDefault="001345CF" w:rsidP="005443AB">
      <w:pPr>
        <w:rPr>
          <w:rFonts w:ascii="Open Sans" w:hAnsi="Open Sans" w:cs="Open Sans"/>
          <w:szCs w:val="22"/>
        </w:rPr>
      </w:pPr>
      <w:r>
        <w:rPr>
          <w:rFonts w:ascii="Open Sans" w:hAnsi="Open Sans" w:cs="Open Sans"/>
          <w:szCs w:val="22"/>
        </w:rPr>
        <w:t xml:space="preserve">With </w:t>
      </w:r>
      <w:r w:rsidR="00FF7ADA">
        <w:rPr>
          <w:rFonts w:ascii="Open Sans" w:hAnsi="Open Sans" w:cs="Open Sans"/>
          <w:szCs w:val="22"/>
        </w:rPr>
        <w:t>Delta-EE identifying over</w:t>
      </w:r>
      <w:r>
        <w:rPr>
          <w:rFonts w:ascii="Open Sans" w:hAnsi="Open Sans" w:cs="Open Sans"/>
          <w:szCs w:val="22"/>
        </w:rPr>
        <w:t xml:space="preserve"> 1.3</w:t>
      </w:r>
      <w:r w:rsidR="00853DE5">
        <w:rPr>
          <w:rFonts w:ascii="Open Sans" w:hAnsi="Open Sans" w:cs="Open Sans"/>
          <w:szCs w:val="22"/>
        </w:rPr>
        <w:t xml:space="preserve"> </w:t>
      </w:r>
      <w:r>
        <w:rPr>
          <w:rFonts w:ascii="Open Sans" w:hAnsi="Open Sans" w:cs="Open Sans"/>
          <w:szCs w:val="22"/>
        </w:rPr>
        <w:t>mn off gas grid properties in the UK,</w:t>
      </w:r>
      <w:r w:rsidR="00853DE5">
        <w:rPr>
          <w:rFonts w:ascii="Open Sans" w:hAnsi="Open Sans" w:cs="Open Sans"/>
          <w:szCs w:val="22"/>
        </w:rPr>
        <w:t xml:space="preserve"> the above suggests there could still be over </w:t>
      </w:r>
      <w:r>
        <w:rPr>
          <w:rFonts w:ascii="Open Sans" w:hAnsi="Open Sans" w:cs="Open Sans"/>
          <w:szCs w:val="22"/>
        </w:rPr>
        <w:t>46</w:t>
      </w:r>
      <w:r w:rsidR="00CE41ED">
        <w:rPr>
          <w:rFonts w:ascii="Open Sans" w:hAnsi="Open Sans" w:cs="Open Sans"/>
          <w:szCs w:val="22"/>
        </w:rPr>
        <w:t>8</w:t>
      </w:r>
      <w:r>
        <w:rPr>
          <w:rFonts w:ascii="Open Sans" w:hAnsi="Open Sans" w:cs="Open Sans"/>
          <w:szCs w:val="22"/>
        </w:rPr>
        <w:t>,000</w:t>
      </w:r>
      <w:r w:rsidR="00FF7ADA">
        <w:rPr>
          <w:rFonts w:ascii="Open Sans" w:hAnsi="Open Sans" w:cs="Open Sans"/>
          <w:szCs w:val="22"/>
        </w:rPr>
        <w:t xml:space="preserve"> </w:t>
      </w:r>
      <w:r w:rsidR="00CE41ED">
        <w:rPr>
          <w:rFonts w:ascii="Open Sans" w:hAnsi="Open Sans" w:cs="Open Sans"/>
          <w:szCs w:val="22"/>
        </w:rPr>
        <w:t>off gas grid locations</w:t>
      </w:r>
      <w:r w:rsidR="00FF7ADA">
        <w:rPr>
          <w:rStyle w:val="FootnoteReference"/>
          <w:rFonts w:ascii="Open Sans" w:hAnsi="Open Sans" w:cs="Open Sans"/>
          <w:szCs w:val="22"/>
        </w:rPr>
        <w:footnoteReference w:id="12"/>
      </w:r>
      <w:r>
        <w:rPr>
          <w:rFonts w:ascii="Open Sans" w:hAnsi="Open Sans" w:cs="Open Sans"/>
          <w:szCs w:val="22"/>
        </w:rPr>
        <w:t xml:space="preserve"> where</w:t>
      </w:r>
      <w:r w:rsidR="00CE41ED">
        <w:rPr>
          <w:rFonts w:ascii="Open Sans" w:hAnsi="Open Sans" w:cs="Open Sans"/>
          <w:szCs w:val="22"/>
        </w:rPr>
        <w:t xml:space="preserve"> heat pumps may not be </w:t>
      </w:r>
      <w:r w:rsidR="00FF7ADA">
        <w:rPr>
          <w:rFonts w:ascii="Open Sans" w:hAnsi="Open Sans" w:cs="Open Sans"/>
          <w:szCs w:val="22"/>
        </w:rPr>
        <w:t>appropriate and</w:t>
      </w:r>
      <w:r w:rsidR="00CE41ED">
        <w:rPr>
          <w:rFonts w:ascii="Open Sans" w:hAnsi="Open Sans" w:cs="Open Sans"/>
          <w:szCs w:val="22"/>
        </w:rPr>
        <w:t xml:space="preserve"> where</w:t>
      </w:r>
      <w:r>
        <w:rPr>
          <w:rFonts w:ascii="Open Sans" w:hAnsi="Open Sans" w:cs="Open Sans"/>
          <w:szCs w:val="22"/>
        </w:rPr>
        <w:t xml:space="preserve"> biomass</w:t>
      </w:r>
      <w:r w:rsidR="00CE41ED">
        <w:rPr>
          <w:rFonts w:ascii="Open Sans" w:hAnsi="Open Sans" w:cs="Open Sans"/>
          <w:szCs w:val="22"/>
        </w:rPr>
        <w:t xml:space="preserve">, or other bioenergy options, are </w:t>
      </w:r>
      <w:r w:rsidR="00853DE5">
        <w:rPr>
          <w:rFonts w:ascii="Open Sans" w:hAnsi="Open Sans" w:cs="Open Sans"/>
          <w:szCs w:val="22"/>
        </w:rPr>
        <w:t xml:space="preserve">likely to be </w:t>
      </w:r>
      <w:r w:rsidR="00FF7ADA">
        <w:rPr>
          <w:rFonts w:ascii="Open Sans" w:hAnsi="Open Sans" w:cs="Open Sans"/>
          <w:szCs w:val="22"/>
        </w:rPr>
        <w:t>the best suited</w:t>
      </w:r>
      <w:r w:rsidR="00CE41ED">
        <w:rPr>
          <w:rFonts w:ascii="Open Sans" w:hAnsi="Open Sans" w:cs="Open Sans"/>
          <w:szCs w:val="22"/>
        </w:rPr>
        <w:t xml:space="preserve"> heating</w:t>
      </w:r>
      <w:r>
        <w:rPr>
          <w:rFonts w:ascii="Open Sans" w:hAnsi="Open Sans" w:cs="Open Sans"/>
          <w:szCs w:val="22"/>
        </w:rPr>
        <w:t xml:space="preserve"> option</w:t>
      </w:r>
      <w:r w:rsidR="00CE41ED">
        <w:rPr>
          <w:rFonts w:ascii="Open Sans" w:hAnsi="Open Sans" w:cs="Open Sans"/>
          <w:szCs w:val="22"/>
        </w:rPr>
        <w:t xml:space="preserve">. This leaves a potential </w:t>
      </w:r>
      <w:r w:rsidR="00FF7ADA">
        <w:rPr>
          <w:rFonts w:ascii="Open Sans" w:hAnsi="Open Sans" w:cs="Open Sans"/>
          <w:szCs w:val="22"/>
        </w:rPr>
        <w:t xml:space="preserve">biomass </w:t>
      </w:r>
      <w:r w:rsidR="00CE41ED">
        <w:rPr>
          <w:rFonts w:ascii="Open Sans" w:hAnsi="Open Sans" w:cs="Open Sans"/>
          <w:szCs w:val="22"/>
        </w:rPr>
        <w:t>market 17 times</w:t>
      </w:r>
      <w:r w:rsidR="00FF7ADA">
        <w:rPr>
          <w:rStyle w:val="FootnoteReference"/>
          <w:rFonts w:ascii="Open Sans" w:hAnsi="Open Sans" w:cs="Open Sans"/>
          <w:szCs w:val="22"/>
        </w:rPr>
        <w:footnoteReference w:id="13"/>
      </w:r>
      <w:r w:rsidR="00CE41ED">
        <w:rPr>
          <w:rFonts w:ascii="Open Sans" w:hAnsi="Open Sans" w:cs="Open Sans"/>
          <w:szCs w:val="22"/>
        </w:rPr>
        <w:t xml:space="preserve"> the size of what has already been deployed by the RHI and requires a strong and established sector to be in place</w:t>
      </w:r>
      <w:r w:rsidR="00AC2B86">
        <w:rPr>
          <w:rFonts w:ascii="Open Sans" w:hAnsi="Open Sans" w:cs="Open Sans"/>
          <w:szCs w:val="22"/>
        </w:rPr>
        <w:t xml:space="preserve">. </w:t>
      </w:r>
    </w:p>
    <w:p w14:paraId="24842EFF" w14:textId="7E0BAD5F" w:rsidR="00DC2137" w:rsidRPr="00DC2137" w:rsidRDefault="00DC2137" w:rsidP="005443AB">
      <w:pPr>
        <w:rPr>
          <w:rFonts w:ascii="Open Sans" w:hAnsi="Open Sans" w:cs="Open Sans"/>
          <w:szCs w:val="22"/>
        </w:rPr>
      </w:pPr>
    </w:p>
    <w:p w14:paraId="437ECBD0" w14:textId="2410E467" w:rsidR="00E46A42" w:rsidRPr="00DC2137" w:rsidRDefault="00DC2137" w:rsidP="005443AB">
      <w:pPr>
        <w:rPr>
          <w:rFonts w:ascii="Open Sans" w:hAnsi="Open Sans" w:cs="Open Sans"/>
          <w:szCs w:val="22"/>
        </w:rPr>
      </w:pPr>
      <w:r w:rsidRPr="00DC2137">
        <w:rPr>
          <w:rFonts w:ascii="Open Sans" w:hAnsi="Open Sans" w:cs="Open Sans"/>
        </w:rPr>
        <w:t>In addition</w:t>
      </w:r>
      <w:r w:rsidR="00FF7ADA">
        <w:rPr>
          <w:rFonts w:ascii="Open Sans" w:hAnsi="Open Sans" w:cs="Open Sans"/>
        </w:rPr>
        <w:t>,</w:t>
      </w:r>
      <w:r w:rsidRPr="00DC2137">
        <w:rPr>
          <w:rFonts w:ascii="Open Sans" w:hAnsi="Open Sans" w:cs="Open Sans"/>
        </w:rPr>
        <w:t xml:space="preserve"> conversations in the E</w:t>
      </w:r>
      <w:r w:rsidR="004025F6">
        <w:rPr>
          <w:rFonts w:ascii="Open Sans" w:hAnsi="Open Sans" w:cs="Open Sans"/>
        </w:rPr>
        <w:t xml:space="preserve">lectric </w:t>
      </w:r>
      <w:r w:rsidR="004025F6" w:rsidRPr="00DC2137">
        <w:rPr>
          <w:rFonts w:ascii="Open Sans" w:hAnsi="Open Sans" w:cs="Open Sans"/>
        </w:rPr>
        <w:t>V</w:t>
      </w:r>
      <w:r w:rsidR="004025F6">
        <w:rPr>
          <w:rFonts w:ascii="Open Sans" w:hAnsi="Open Sans" w:cs="Open Sans"/>
        </w:rPr>
        <w:t>ehicle</w:t>
      </w:r>
      <w:r w:rsidRPr="00DC2137">
        <w:rPr>
          <w:rFonts w:ascii="Open Sans" w:hAnsi="Open Sans" w:cs="Open Sans"/>
        </w:rPr>
        <w:t xml:space="preserve"> Energy Taskforce, on which the REA sits</w:t>
      </w:r>
      <w:r w:rsidR="00FF7ADA">
        <w:rPr>
          <w:rFonts w:ascii="Open Sans" w:hAnsi="Open Sans" w:cs="Open Sans"/>
        </w:rPr>
        <w:t xml:space="preserve">, </w:t>
      </w:r>
      <w:r w:rsidRPr="00DC2137">
        <w:rPr>
          <w:rFonts w:ascii="Open Sans" w:hAnsi="Open Sans" w:cs="Open Sans"/>
        </w:rPr>
        <w:t xml:space="preserve">indicate that electricity networks (eg DNOs) are concerned about making major new investments in expanding network capacity to facilitate the transition to electric vehicles without a clear steer from Government on the extent of the electrification of heat. This is partly as a full-scale electrification of heat would multiply the UK’s electricity demand by several factors, dwarfing new demand from electric vehicles. Even a partial electrification of heat will </w:t>
      </w:r>
      <w:r w:rsidRPr="00DC2137">
        <w:rPr>
          <w:rFonts w:ascii="Open Sans" w:hAnsi="Open Sans" w:cs="Open Sans"/>
        </w:rPr>
        <w:lastRenderedPageBreak/>
        <w:t>require both distribution and likely transmission system upgrades</w:t>
      </w:r>
      <w:r w:rsidR="00327C23">
        <w:rPr>
          <w:rFonts w:ascii="Open Sans" w:hAnsi="Open Sans" w:cs="Open Sans"/>
        </w:rPr>
        <w:t xml:space="preserve">. In addition, </w:t>
      </w:r>
      <w:r w:rsidRPr="00DC2137">
        <w:rPr>
          <w:rFonts w:ascii="Open Sans" w:hAnsi="Open Sans" w:cs="Open Sans"/>
        </w:rPr>
        <w:t>most domestic properties also typically only have a single-phase electricity supply making charging a car and running a heat pump a</w:t>
      </w:r>
      <w:r w:rsidR="00AC2B86">
        <w:rPr>
          <w:rFonts w:ascii="Open Sans" w:hAnsi="Open Sans" w:cs="Open Sans"/>
        </w:rPr>
        <w:t xml:space="preserve"> demanding</w:t>
      </w:r>
      <w:r w:rsidRPr="00DC2137">
        <w:rPr>
          <w:rFonts w:ascii="Open Sans" w:hAnsi="Open Sans" w:cs="Open Sans"/>
        </w:rPr>
        <w:t xml:space="preserve"> </w:t>
      </w:r>
      <w:r w:rsidR="00FF7ADA">
        <w:rPr>
          <w:rFonts w:ascii="Open Sans" w:hAnsi="Open Sans" w:cs="Open Sans"/>
        </w:rPr>
        <w:t>prospect.</w:t>
      </w:r>
      <w:r w:rsidRPr="00DC2137">
        <w:rPr>
          <w:rFonts w:ascii="Open Sans" w:hAnsi="Open Sans" w:cs="Open Sans"/>
        </w:rPr>
        <w:t xml:space="preserve"> These are issues which are not considered in Delta-EE’s report</w:t>
      </w:r>
      <w:r w:rsidR="00327C23">
        <w:rPr>
          <w:rFonts w:ascii="Open Sans" w:hAnsi="Open Sans" w:cs="Open Sans"/>
        </w:rPr>
        <w:t xml:space="preserve"> and need to be carefully considered as part of BEIS’s broader heat decarbonisation strategy. </w:t>
      </w:r>
    </w:p>
    <w:p w14:paraId="10280D68" w14:textId="77777777" w:rsidR="00E46A42" w:rsidRDefault="00E46A42" w:rsidP="005443AB">
      <w:pPr>
        <w:rPr>
          <w:rFonts w:ascii="Open Sans" w:hAnsi="Open Sans" w:cs="Open Sans"/>
          <w:szCs w:val="22"/>
        </w:rPr>
      </w:pPr>
    </w:p>
    <w:p w14:paraId="4E32AEC5" w14:textId="6F5845F2" w:rsidR="005443AB" w:rsidRPr="00273E54" w:rsidRDefault="00327C23" w:rsidP="005443AB">
      <w:pPr>
        <w:rPr>
          <w:rFonts w:ascii="Open Sans" w:hAnsi="Open Sans" w:cs="Open Sans"/>
          <w:szCs w:val="22"/>
        </w:rPr>
      </w:pPr>
      <w:r>
        <w:rPr>
          <w:rFonts w:ascii="Open Sans" w:hAnsi="Open Sans" w:cs="Open Sans"/>
          <w:szCs w:val="22"/>
        </w:rPr>
        <w:t>Finally, t</w:t>
      </w:r>
      <w:r w:rsidR="00273E54" w:rsidRPr="00273E54">
        <w:rPr>
          <w:rFonts w:ascii="Open Sans" w:hAnsi="Open Sans" w:cs="Open Sans"/>
          <w:szCs w:val="22"/>
        </w:rPr>
        <w:t>he role of biomass has previously also been identified by BEIS as being particularly important within larger residential developments and for commercial and industrial sites</w:t>
      </w:r>
      <w:r w:rsidR="002035C1" w:rsidRPr="00273E54">
        <w:rPr>
          <w:rFonts w:ascii="Open Sans" w:hAnsi="Open Sans" w:cs="Open Sans"/>
          <w:szCs w:val="22"/>
        </w:rPr>
        <w:t>. This was the reason for the 2018</w:t>
      </w:r>
      <w:r w:rsidR="00273E54" w:rsidRPr="00273E54">
        <w:rPr>
          <w:rFonts w:ascii="Open Sans" w:hAnsi="Open Sans" w:cs="Open Sans"/>
          <w:szCs w:val="22"/>
        </w:rPr>
        <w:t xml:space="preserve"> ND RHI</w:t>
      </w:r>
      <w:r w:rsidR="002035C1" w:rsidRPr="00273E54">
        <w:rPr>
          <w:rFonts w:ascii="Open Sans" w:hAnsi="Open Sans" w:cs="Open Sans"/>
          <w:szCs w:val="22"/>
        </w:rPr>
        <w:t xml:space="preserve"> reforms which </w:t>
      </w:r>
      <w:r w:rsidR="00273E54" w:rsidRPr="00273E54">
        <w:rPr>
          <w:rFonts w:ascii="Open Sans" w:hAnsi="Open Sans" w:cs="Open Sans"/>
          <w:szCs w:val="22"/>
        </w:rPr>
        <w:t xml:space="preserve">encouraged larger-scale projects.  Having pivoted the biomass heat sector towards these projects, which </w:t>
      </w:r>
      <w:r w:rsidR="002035C1" w:rsidRPr="00273E54">
        <w:rPr>
          <w:rFonts w:ascii="Open Sans" w:hAnsi="Open Sans" w:cs="Open Sans"/>
          <w:szCs w:val="22"/>
        </w:rPr>
        <w:t>g</w:t>
      </w:r>
      <w:r w:rsidR="00273E54" w:rsidRPr="00273E54">
        <w:rPr>
          <w:rFonts w:ascii="Open Sans" w:hAnsi="Open Sans" w:cs="Open Sans"/>
          <w:szCs w:val="22"/>
        </w:rPr>
        <w:t xml:space="preserve">overnment </w:t>
      </w:r>
      <w:r w:rsidR="002035C1" w:rsidRPr="00273E54">
        <w:rPr>
          <w:rFonts w:ascii="Open Sans" w:hAnsi="Open Sans" w:cs="Open Sans"/>
          <w:szCs w:val="22"/>
        </w:rPr>
        <w:t xml:space="preserve">argued represented the best value for money, </w:t>
      </w:r>
      <w:r w:rsidR="00273E54" w:rsidRPr="00273E54">
        <w:rPr>
          <w:rFonts w:ascii="Open Sans" w:hAnsi="Open Sans" w:cs="Open Sans"/>
          <w:szCs w:val="22"/>
        </w:rPr>
        <w:t xml:space="preserve">the current design of Clean Heat Grant scheme is now incentivising only a very limited number </w:t>
      </w:r>
      <w:r w:rsidR="00116A26" w:rsidRPr="00273E54">
        <w:rPr>
          <w:rFonts w:ascii="Open Sans" w:hAnsi="Open Sans" w:cs="Open Sans"/>
          <w:szCs w:val="22"/>
        </w:rPr>
        <w:t xml:space="preserve">of </w:t>
      </w:r>
      <w:r w:rsidR="00116A26">
        <w:rPr>
          <w:rFonts w:ascii="Open Sans" w:hAnsi="Open Sans" w:cs="Open Sans"/>
          <w:szCs w:val="22"/>
        </w:rPr>
        <w:t xml:space="preserve">very </w:t>
      </w:r>
      <w:r w:rsidR="005715F6" w:rsidRPr="00273E54">
        <w:rPr>
          <w:rFonts w:ascii="Open Sans" w:hAnsi="Open Sans" w:cs="Open Sans"/>
          <w:szCs w:val="22"/>
        </w:rPr>
        <w:t>small-scale</w:t>
      </w:r>
      <w:r w:rsidR="00273E54" w:rsidRPr="00273E54">
        <w:rPr>
          <w:rFonts w:ascii="Open Sans" w:hAnsi="Open Sans" w:cs="Open Sans"/>
          <w:szCs w:val="22"/>
        </w:rPr>
        <w:t xml:space="preserve"> biomass applications</w:t>
      </w:r>
      <w:r>
        <w:rPr>
          <w:rFonts w:ascii="Open Sans" w:hAnsi="Open Sans" w:cs="Open Sans"/>
          <w:szCs w:val="22"/>
        </w:rPr>
        <w:t>, setting a worrying precedent</w:t>
      </w:r>
      <w:r w:rsidR="00AC2B86">
        <w:rPr>
          <w:rFonts w:ascii="Open Sans" w:hAnsi="Open Sans" w:cs="Open Sans"/>
          <w:szCs w:val="22"/>
        </w:rPr>
        <w:t xml:space="preserve"> that ultimately will </w:t>
      </w:r>
      <w:r w:rsidR="004025F6">
        <w:rPr>
          <w:rFonts w:ascii="Open Sans" w:hAnsi="Open Sans" w:cs="Open Sans"/>
          <w:szCs w:val="22"/>
        </w:rPr>
        <w:t xml:space="preserve">shrink </w:t>
      </w:r>
      <w:r w:rsidR="00AC2B86">
        <w:rPr>
          <w:rFonts w:ascii="Open Sans" w:hAnsi="Open Sans" w:cs="Open Sans"/>
          <w:szCs w:val="22"/>
        </w:rPr>
        <w:t xml:space="preserve">the sector. </w:t>
      </w:r>
    </w:p>
    <w:p w14:paraId="0967A8E4" w14:textId="77777777" w:rsidR="005443AB" w:rsidRPr="00273E54" w:rsidRDefault="005443AB" w:rsidP="005443AB">
      <w:pPr>
        <w:rPr>
          <w:rFonts w:ascii="Open Sans" w:hAnsi="Open Sans" w:cs="Open Sans"/>
          <w:szCs w:val="22"/>
        </w:rPr>
      </w:pPr>
    </w:p>
    <w:p w14:paraId="68C6E6D4" w14:textId="685FF8B9" w:rsidR="005443AB" w:rsidRDefault="00273E54" w:rsidP="005443AB">
      <w:pPr>
        <w:rPr>
          <w:rFonts w:ascii="Open Sans" w:hAnsi="Open Sans" w:cs="Open Sans"/>
          <w:szCs w:val="22"/>
        </w:rPr>
      </w:pPr>
      <w:r w:rsidRPr="00273E54">
        <w:rPr>
          <w:rFonts w:ascii="Open Sans" w:hAnsi="Open Sans" w:cs="Open Sans"/>
          <w:szCs w:val="22"/>
        </w:rPr>
        <w:t>The scope of the Clean Heat Grant scheme must, therefore, be widened to realise this potential</w:t>
      </w:r>
      <w:r w:rsidR="00327C23">
        <w:rPr>
          <w:rFonts w:ascii="Open Sans" w:hAnsi="Open Sans" w:cs="Open Sans"/>
          <w:szCs w:val="22"/>
        </w:rPr>
        <w:t xml:space="preserve"> by offering a flexible grant and </w:t>
      </w:r>
      <w:r w:rsidR="0038173B">
        <w:rPr>
          <w:rFonts w:ascii="Open Sans" w:hAnsi="Open Sans" w:cs="Open Sans"/>
          <w:szCs w:val="22"/>
        </w:rPr>
        <w:t xml:space="preserve">raising the kW capacity cap. </w:t>
      </w:r>
      <w:r w:rsidR="00327C23">
        <w:rPr>
          <w:rFonts w:ascii="Open Sans" w:hAnsi="Open Sans" w:cs="Open Sans"/>
          <w:szCs w:val="22"/>
        </w:rPr>
        <w:t xml:space="preserve"> </w:t>
      </w:r>
    </w:p>
    <w:p w14:paraId="295F0ABC" w14:textId="01A6B6B1" w:rsidR="00116A26" w:rsidRDefault="00116A26" w:rsidP="005443AB">
      <w:pPr>
        <w:rPr>
          <w:rFonts w:ascii="Open Sans" w:hAnsi="Open Sans" w:cs="Open Sans"/>
          <w:szCs w:val="22"/>
        </w:rPr>
      </w:pPr>
    </w:p>
    <w:p w14:paraId="084D76D6" w14:textId="77777777" w:rsidR="00116A26" w:rsidRPr="00116A26" w:rsidRDefault="00116A26" w:rsidP="00116A26">
      <w:pPr>
        <w:rPr>
          <w:b/>
          <w:bCs/>
          <w:i/>
          <w:iCs/>
          <w:color w:val="2F5496"/>
        </w:rPr>
      </w:pPr>
      <w:r w:rsidRPr="00116A26">
        <w:rPr>
          <w:rFonts w:ascii="Open Sans" w:hAnsi="Open Sans" w:cs="Open Sans"/>
          <w:b/>
          <w:bCs/>
          <w:color w:val="2F5496"/>
          <w:szCs w:val="22"/>
        </w:rPr>
        <w:t>Consultation Question 23</w:t>
      </w:r>
      <w:r w:rsidRPr="00116A26">
        <w:rPr>
          <w:rFonts w:ascii="Open Sans" w:hAnsi="Open Sans" w:cs="Open Sans"/>
          <w:b/>
          <w:bCs/>
          <w:i/>
          <w:iCs/>
          <w:color w:val="2F5496"/>
          <w:szCs w:val="22"/>
        </w:rPr>
        <w:t xml:space="preserve"> - </w:t>
      </w:r>
      <w:r w:rsidRPr="00116A26">
        <w:rPr>
          <w:b/>
          <w:bCs/>
          <w:i/>
          <w:iCs/>
          <w:color w:val="2F5496"/>
        </w:rPr>
        <w:t>Do you agree that support for buildings technologies should change from a tariff to a grant?</w:t>
      </w:r>
    </w:p>
    <w:p w14:paraId="1ED49549" w14:textId="77777777" w:rsidR="00116A26" w:rsidRDefault="00116A26" w:rsidP="00116A26"/>
    <w:p w14:paraId="1AB39281" w14:textId="5820617F" w:rsidR="005E14B3" w:rsidRPr="003277D7" w:rsidRDefault="001A1217" w:rsidP="00116A26">
      <w:pPr>
        <w:rPr>
          <w:rFonts w:ascii="Open Sans" w:hAnsi="Open Sans" w:cs="Open Sans"/>
          <w:b/>
          <w:bCs/>
        </w:rPr>
      </w:pPr>
      <w:r w:rsidRPr="003277D7">
        <w:rPr>
          <w:rFonts w:ascii="Open Sans" w:hAnsi="Open Sans" w:cs="Open Sans"/>
          <w:b/>
          <w:bCs/>
        </w:rPr>
        <w:t xml:space="preserve">No, </w:t>
      </w:r>
      <w:r w:rsidR="00D27988" w:rsidRPr="003277D7">
        <w:rPr>
          <w:rFonts w:ascii="Open Sans" w:hAnsi="Open Sans" w:cs="Open Sans"/>
          <w:b/>
          <w:bCs/>
        </w:rPr>
        <w:t>c</w:t>
      </w:r>
      <w:r w:rsidR="005E14B3" w:rsidRPr="003277D7">
        <w:rPr>
          <w:rFonts w:ascii="Open Sans" w:hAnsi="Open Sans" w:cs="Open Sans"/>
          <w:b/>
          <w:bCs/>
        </w:rPr>
        <w:t>urrent proposals do not address the serious problems associated with previous grant schemes.</w:t>
      </w:r>
    </w:p>
    <w:p w14:paraId="5A128AF7" w14:textId="2D393E45" w:rsidR="00CC6CA2" w:rsidRDefault="00CC6CA2" w:rsidP="005443AB">
      <w:pPr>
        <w:rPr>
          <w:rFonts w:ascii="Open Sans" w:hAnsi="Open Sans" w:cs="Open Sans"/>
        </w:rPr>
      </w:pPr>
    </w:p>
    <w:p w14:paraId="5AA587F5" w14:textId="269B3572" w:rsidR="00283149" w:rsidRDefault="005E14B3" w:rsidP="005443AB">
      <w:pPr>
        <w:rPr>
          <w:rFonts w:ascii="Open Sans" w:hAnsi="Open Sans" w:cs="Open Sans"/>
        </w:rPr>
      </w:pPr>
      <w:r w:rsidRPr="005E14B3">
        <w:rPr>
          <w:rFonts w:ascii="Open Sans" w:hAnsi="Open Sans" w:cs="Open Sans"/>
        </w:rPr>
        <w:t>A</w:t>
      </w:r>
      <w:r w:rsidR="00116A26" w:rsidRPr="005E14B3">
        <w:rPr>
          <w:rFonts w:ascii="Open Sans" w:hAnsi="Open Sans" w:cs="Open Sans"/>
        </w:rPr>
        <w:t xml:space="preserve"> tariff </w:t>
      </w:r>
      <w:r w:rsidR="004025F6">
        <w:rPr>
          <w:rFonts w:ascii="Open Sans" w:hAnsi="Open Sans" w:cs="Open Sans"/>
        </w:rPr>
        <w:t>mechanism</w:t>
      </w:r>
      <w:r w:rsidR="00116A26" w:rsidRPr="005E14B3">
        <w:rPr>
          <w:rFonts w:ascii="Open Sans" w:hAnsi="Open Sans" w:cs="Open Sans"/>
        </w:rPr>
        <w:t xml:space="preserve"> ensures that payments are only made for </w:t>
      </w:r>
      <w:r w:rsidR="00283149">
        <w:rPr>
          <w:rFonts w:ascii="Open Sans" w:hAnsi="Open Sans" w:cs="Open Sans"/>
        </w:rPr>
        <w:t xml:space="preserve">the </w:t>
      </w:r>
      <w:r w:rsidR="00116A26" w:rsidRPr="005E14B3">
        <w:rPr>
          <w:rFonts w:ascii="Open Sans" w:hAnsi="Open Sans" w:cs="Open Sans"/>
        </w:rPr>
        <w:t xml:space="preserve">low carbon heat </w:t>
      </w:r>
      <w:r w:rsidR="00283149">
        <w:rPr>
          <w:rFonts w:ascii="Open Sans" w:hAnsi="Open Sans" w:cs="Open Sans"/>
        </w:rPr>
        <w:t xml:space="preserve">produced, while also </w:t>
      </w:r>
      <w:r w:rsidR="00CC6CA2">
        <w:rPr>
          <w:rFonts w:ascii="Open Sans" w:hAnsi="Open Sans" w:cs="Open Sans"/>
        </w:rPr>
        <w:t>provid</w:t>
      </w:r>
      <w:r w:rsidR="00283149">
        <w:rPr>
          <w:rFonts w:ascii="Open Sans" w:hAnsi="Open Sans" w:cs="Open Sans"/>
        </w:rPr>
        <w:t>ing</w:t>
      </w:r>
      <w:r w:rsidR="00CC6CA2">
        <w:rPr>
          <w:rFonts w:ascii="Open Sans" w:hAnsi="Open Sans" w:cs="Open Sans"/>
        </w:rPr>
        <w:t xml:space="preserve"> greater </w:t>
      </w:r>
      <w:r w:rsidR="00B17DE4">
        <w:rPr>
          <w:rFonts w:ascii="Open Sans" w:hAnsi="Open Sans" w:cs="Open Sans"/>
        </w:rPr>
        <w:t>control for the scheme administrator</w:t>
      </w:r>
      <w:r w:rsidR="00283149">
        <w:rPr>
          <w:rFonts w:ascii="Open Sans" w:hAnsi="Open Sans" w:cs="Open Sans"/>
        </w:rPr>
        <w:t xml:space="preserve">, addressing some of the issues associated with earlier grant-based </w:t>
      </w:r>
      <w:r w:rsidR="004025F6">
        <w:rPr>
          <w:rFonts w:ascii="Open Sans" w:hAnsi="Open Sans" w:cs="Open Sans"/>
        </w:rPr>
        <w:t>schemes</w:t>
      </w:r>
      <w:r w:rsidR="00CC6CA2">
        <w:rPr>
          <w:rFonts w:ascii="Open Sans" w:hAnsi="Open Sans" w:cs="Open Sans"/>
        </w:rPr>
        <w:t xml:space="preserve">. </w:t>
      </w:r>
    </w:p>
    <w:p w14:paraId="746F39C3" w14:textId="77777777" w:rsidR="00283149" w:rsidRDefault="00283149" w:rsidP="005443AB">
      <w:pPr>
        <w:rPr>
          <w:rFonts w:ascii="Open Sans" w:hAnsi="Open Sans" w:cs="Open Sans"/>
        </w:rPr>
      </w:pPr>
    </w:p>
    <w:p w14:paraId="1CAAD13D" w14:textId="7357E962" w:rsidR="009C2B36" w:rsidRDefault="00CC6CA2" w:rsidP="005443AB">
      <w:pPr>
        <w:rPr>
          <w:rFonts w:ascii="Open Sans" w:hAnsi="Open Sans" w:cs="Open Sans"/>
        </w:rPr>
      </w:pPr>
      <w:r>
        <w:rPr>
          <w:rFonts w:ascii="Open Sans" w:hAnsi="Open Sans" w:cs="Open Sans"/>
        </w:rPr>
        <w:t xml:space="preserve">The RHI </w:t>
      </w:r>
      <w:r w:rsidR="00B17DE4">
        <w:rPr>
          <w:rFonts w:ascii="Open Sans" w:hAnsi="Open Sans" w:cs="Open Sans"/>
        </w:rPr>
        <w:t>tariff ensured applicants</w:t>
      </w:r>
      <w:r w:rsidR="00116A26" w:rsidRPr="005E14B3">
        <w:rPr>
          <w:rFonts w:ascii="Open Sans" w:hAnsi="Open Sans" w:cs="Open Sans"/>
        </w:rPr>
        <w:t xml:space="preserve"> use</w:t>
      </w:r>
      <w:r w:rsidR="00B17DE4">
        <w:rPr>
          <w:rFonts w:ascii="Open Sans" w:hAnsi="Open Sans" w:cs="Open Sans"/>
        </w:rPr>
        <w:t>d</w:t>
      </w:r>
      <w:r w:rsidR="00116A26" w:rsidRPr="005E14B3">
        <w:rPr>
          <w:rFonts w:ascii="Open Sans" w:hAnsi="Open Sans" w:cs="Open Sans"/>
        </w:rPr>
        <w:t xml:space="preserve"> their low carbon heating systems</w:t>
      </w:r>
      <w:r w:rsidR="00B17DE4">
        <w:rPr>
          <w:rFonts w:ascii="Open Sans" w:hAnsi="Open Sans" w:cs="Open Sans"/>
        </w:rPr>
        <w:t xml:space="preserve">, </w:t>
      </w:r>
      <w:r w:rsidR="00116A26" w:rsidRPr="005E14B3">
        <w:rPr>
          <w:rFonts w:ascii="Open Sans" w:hAnsi="Open Sans" w:cs="Open Sans"/>
        </w:rPr>
        <w:t>rather than</w:t>
      </w:r>
      <w:r w:rsidR="00B17DE4">
        <w:rPr>
          <w:rFonts w:ascii="Open Sans" w:hAnsi="Open Sans" w:cs="Open Sans"/>
        </w:rPr>
        <w:t xml:space="preserve"> being incentivised to install </w:t>
      </w:r>
      <w:r w:rsidR="00283149">
        <w:rPr>
          <w:rFonts w:ascii="Open Sans" w:hAnsi="Open Sans" w:cs="Open Sans"/>
        </w:rPr>
        <w:t>a system which was left i</w:t>
      </w:r>
      <w:r w:rsidR="00116A26" w:rsidRPr="005E14B3">
        <w:rPr>
          <w:rFonts w:ascii="Open Sans" w:hAnsi="Open Sans" w:cs="Open Sans"/>
        </w:rPr>
        <w:t>dle</w:t>
      </w:r>
      <w:r w:rsidR="00B17DE4">
        <w:rPr>
          <w:rFonts w:ascii="Open Sans" w:hAnsi="Open Sans" w:cs="Open Sans"/>
        </w:rPr>
        <w:t xml:space="preserve"> </w:t>
      </w:r>
      <w:r w:rsidR="00A305AF">
        <w:rPr>
          <w:rFonts w:ascii="Open Sans" w:hAnsi="Open Sans" w:cs="Open Sans"/>
        </w:rPr>
        <w:t xml:space="preserve">due to lower </w:t>
      </w:r>
      <w:r w:rsidR="00283149">
        <w:rPr>
          <w:rFonts w:ascii="Open Sans" w:hAnsi="Open Sans" w:cs="Open Sans"/>
        </w:rPr>
        <w:t>fossil system</w:t>
      </w:r>
      <w:r w:rsidR="00A305AF">
        <w:rPr>
          <w:rFonts w:ascii="Open Sans" w:hAnsi="Open Sans" w:cs="Open Sans"/>
        </w:rPr>
        <w:t xml:space="preserve"> running costs</w:t>
      </w:r>
      <w:r w:rsidR="00116A26" w:rsidRPr="005E14B3">
        <w:rPr>
          <w:rFonts w:ascii="Open Sans" w:hAnsi="Open Sans" w:cs="Open Sans"/>
        </w:rPr>
        <w:t>.</w:t>
      </w:r>
      <w:r w:rsidR="00A305AF">
        <w:rPr>
          <w:rFonts w:ascii="Open Sans" w:hAnsi="Open Sans" w:cs="Open Sans"/>
        </w:rPr>
        <w:t xml:space="preserve"> For example, the grant will support the deployment of heat pumps in on-gas grid properties. In 2019 the average </w:t>
      </w:r>
      <w:r w:rsidR="00AC2B86">
        <w:rPr>
          <w:rFonts w:ascii="Open Sans" w:hAnsi="Open Sans" w:cs="Open Sans"/>
        </w:rPr>
        <w:t xml:space="preserve">domestic </w:t>
      </w:r>
      <w:r w:rsidR="00A305AF">
        <w:rPr>
          <w:rFonts w:ascii="Open Sans" w:hAnsi="Open Sans" w:cs="Open Sans"/>
        </w:rPr>
        <w:t>unit cost for electricity was 16.6 p/kWh compared to an average unit cost for gas of 3.79 p/</w:t>
      </w:r>
      <w:r w:rsidR="00AC2B86">
        <w:rPr>
          <w:rFonts w:ascii="Open Sans" w:hAnsi="Open Sans" w:cs="Open Sans"/>
        </w:rPr>
        <w:t>k</w:t>
      </w:r>
      <w:r w:rsidR="00A305AF">
        <w:rPr>
          <w:rFonts w:ascii="Open Sans" w:hAnsi="Open Sans" w:cs="Open Sans"/>
        </w:rPr>
        <w:t>Wh.</w:t>
      </w:r>
      <w:r w:rsidR="00A305AF" w:rsidRPr="00A305AF">
        <w:rPr>
          <w:rStyle w:val="FootnoteReference"/>
          <w:rFonts w:ascii="Open Sans" w:hAnsi="Open Sans" w:cs="Open Sans"/>
        </w:rPr>
        <w:t xml:space="preserve"> </w:t>
      </w:r>
      <w:r w:rsidR="00A305AF">
        <w:rPr>
          <w:rStyle w:val="FootnoteReference"/>
          <w:rFonts w:ascii="Open Sans" w:hAnsi="Open Sans" w:cs="Open Sans"/>
        </w:rPr>
        <w:footnoteReference w:id="14"/>
      </w:r>
      <w:r w:rsidR="00A305AF">
        <w:rPr>
          <w:rFonts w:ascii="Open Sans" w:hAnsi="Open Sans" w:cs="Open Sans"/>
        </w:rPr>
        <w:t xml:space="preserve">  A consumer switching from a gas boiler to a heat pump is likely to see significant increase in running costs which is not addressed by a one-off capex focused grant support mechanism. </w:t>
      </w:r>
      <w:r w:rsidR="00AC2B86">
        <w:rPr>
          <w:rFonts w:ascii="Open Sans" w:hAnsi="Open Sans" w:cs="Open Sans"/>
        </w:rPr>
        <w:t xml:space="preserve">Very similar comparisons can be made to the ongoing costs of biomass feedstocks compared to continuing to burn oil. </w:t>
      </w:r>
      <w:r w:rsidR="00A305AF">
        <w:rPr>
          <w:rFonts w:ascii="Open Sans" w:hAnsi="Open Sans" w:cs="Open Sans"/>
        </w:rPr>
        <w:t xml:space="preserve">Any saving the consumer makes in upfront costs is quickly negated by ongoing </w:t>
      </w:r>
      <w:r w:rsidR="00AC2B86">
        <w:rPr>
          <w:rFonts w:ascii="Open Sans" w:hAnsi="Open Sans" w:cs="Open Sans"/>
        </w:rPr>
        <w:t>operational expenditure</w:t>
      </w:r>
      <w:r w:rsidR="00A305AF">
        <w:rPr>
          <w:rFonts w:ascii="Open Sans" w:hAnsi="Open Sans" w:cs="Open Sans"/>
        </w:rPr>
        <w:t xml:space="preserve">, providing little incentive for the consumer to make the switch. </w:t>
      </w:r>
    </w:p>
    <w:p w14:paraId="4C06041F" w14:textId="1DD8E53E" w:rsidR="009C2B36" w:rsidRDefault="009C2B36" w:rsidP="005443AB">
      <w:pPr>
        <w:rPr>
          <w:rFonts w:ascii="Open Sans" w:hAnsi="Open Sans" w:cs="Open Sans"/>
        </w:rPr>
      </w:pPr>
    </w:p>
    <w:p w14:paraId="3C8C6794" w14:textId="500AD2E4" w:rsidR="00B17DE4" w:rsidRDefault="00283149" w:rsidP="005443AB">
      <w:pPr>
        <w:rPr>
          <w:rFonts w:ascii="Open Sans" w:hAnsi="Open Sans" w:cs="Open Sans"/>
        </w:rPr>
      </w:pPr>
      <w:r>
        <w:rPr>
          <w:rFonts w:ascii="Open Sans" w:hAnsi="Open Sans" w:cs="Open Sans"/>
        </w:rPr>
        <w:t xml:space="preserve">Similarly, the tariff mechanisms allowed for </w:t>
      </w:r>
      <w:r w:rsidR="00B17DE4">
        <w:rPr>
          <w:rFonts w:ascii="Open Sans" w:hAnsi="Open Sans" w:cs="Open Sans"/>
        </w:rPr>
        <w:t>ongoing obligations to be placed on the applicant</w:t>
      </w:r>
      <w:r>
        <w:rPr>
          <w:rFonts w:ascii="Open Sans" w:hAnsi="Open Sans" w:cs="Open Sans"/>
        </w:rPr>
        <w:t xml:space="preserve"> at risk of losing future payments</w:t>
      </w:r>
      <w:r w:rsidR="00B17DE4">
        <w:rPr>
          <w:rFonts w:ascii="Open Sans" w:hAnsi="Open Sans" w:cs="Open Sans"/>
        </w:rPr>
        <w:t>, helping to enforce sustainability</w:t>
      </w:r>
      <w:r>
        <w:rPr>
          <w:rFonts w:ascii="Open Sans" w:hAnsi="Open Sans" w:cs="Open Sans"/>
        </w:rPr>
        <w:t xml:space="preserve"> </w:t>
      </w:r>
      <w:r w:rsidR="00B17DE4">
        <w:rPr>
          <w:rFonts w:ascii="Open Sans" w:hAnsi="Open Sans" w:cs="Open Sans"/>
        </w:rPr>
        <w:t xml:space="preserve">or usage standards. </w:t>
      </w:r>
    </w:p>
    <w:p w14:paraId="32B15E28" w14:textId="77777777" w:rsidR="00B17DE4" w:rsidRDefault="00B17DE4" w:rsidP="005443AB">
      <w:pPr>
        <w:rPr>
          <w:rFonts w:ascii="Open Sans" w:hAnsi="Open Sans" w:cs="Open Sans"/>
        </w:rPr>
      </w:pPr>
    </w:p>
    <w:p w14:paraId="1AD06458" w14:textId="662BABB6" w:rsidR="00116A26" w:rsidRDefault="00116A26" w:rsidP="005443AB">
      <w:pPr>
        <w:rPr>
          <w:rFonts w:ascii="Open Sans" w:hAnsi="Open Sans" w:cs="Open Sans"/>
        </w:rPr>
      </w:pPr>
      <w:r w:rsidRPr="005E14B3">
        <w:rPr>
          <w:rFonts w:ascii="Open Sans" w:hAnsi="Open Sans" w:cs="Open Sans"/>
        </w:rPr>
        <w:t>If tariff levels are set correctly,</w:t>
      </w:r>
      <w:r w:rsidR="005E14B3">
        <w:rPr>
          <w:rFonts w:ascii="Open Sans" w:hAnsi="Open Sans" w:cs="Open Sans"/>
        </w:rPr>
        <w:t xml:space="preserve"> allowances like</w:t>
      </w:r>
      <w:r w:rsidRPr="005E14B3">
        <w:rPr>
          <w:rFonts w:ascii="Open Sans" w:hAnsi="Open Sans" w:cs="Open Sans"/>
        </w:rPr>
        <w:t xml:space="preserve"> </w:t>
      </w:r>
      <w:r w:rsidR="005E14B3">
        <w:rPr>
          <w:rFonts w:ascii="Open Sans" w:hAnsi="Open Sans" w:cs="Open Sans"/>
        </w:rPr>
        <w:t>‘</w:t>
      </w:r>
      <w:r w:rsidR="004025F6">
        <w:rPr>
          <w:rFonts w:ascii="Open Sans" w:hAnsi="Open Sans" w:cs="Open Sans"/>
        </w:rPr>
        <w:t>A</w:t>
      </w:r>
      <w:r w:rsidRPr="005E14B3">
        <w:rPr>
          <w:rFonts w:ascii="Open Sans" w:hAnsi="Open Sans" w:cs="Open Sans"/>
        </w:rPr>
        <w:t xml:space="preserve">ssignment of </w:t>
      </w:r>
      <w:r w:rsidR="004025F6">
        <w:rPr>
          <w:rFonts w:ascii="Open Sans" w:hAnsi="Open Sans" w:cs="Open Sans"/>
        </w:rPr>
        <w:t>R</w:t>
      </w:r>
      <w:r w:rsidR="00D27988" w:rsidRPr="005E14B3">
        <w:rPr>
          <w:rFonts w:ascii="Open Sans" w:hAnsi="Open Sans" w:cs="Open Sans"/>
        </w:rPr>
        <w:t>ights</w:t>
      </w:r>
      <w:r w:rsidR="00D27988">
        <w:rPr>
          <w:rFonts w:ascii="Open Sans" w:hAnsi="Open Sans" w:cs="Open Sans"/>
        </w:rPr>
        <w:t>’</w:t>
      </w:r>
      <w:r w:rsidRPr="005E14B3">
        <w:rPr>
          <w:rFonts w:ascii="Open Sans" w:hAnsi="Open Sans" w:cs="Open Sans"/>
        </w:rPr>
        <w:t xml:space="preserve"> can overcome the requirement for up front capital expenditure</w:t>
      </w:r>
      <w:r w:rsidR="005E14B3">
        <w:rPr>
          <w:rFonts w:ascii="Open Sans" w:hAnsi="Open Sans" w:cs="Open Sans"/>
        </w:rPr>
        <w:t xml:space="preserve">, as has been the case at some scales within the </w:t>
      </w:r>
      <w:r w:rsidR="005E14B3">
        <w:rPr>
          <w:rFonts w:ascii="Open Sans" w:hAnsi="Open Sans" w:cs="Open Sans"/>
        </w:rPr>
        <w:lastRenderedPageBreak/>
        <w:t>RHI</w:t>
      </w:r>
      <w:r w:rsidRPr="005E14B3">
        <w:rPr>
          <w:rFonts w:ascii="Open Sans" w:hAnsi="Open Sans" w:cs="Open Sans"/>
        </w:rPr>
        <w:t xml:space="preserve">.  </w:t>
      </w:r>
      <w:r w:rsidR="005E14B3">
        <w:rPr>
          <w:rFonts w:ascii="Open Sans" w:hAnsi="Open Sans" w:cs="Open Sans"/>
        </w:rPr>
        <w:t xml:space="preserve">Strong design, installation and maintenance standards are needed to accompany </w:t>
      </w:r>
      <w:r w:rsidR="00D27988">
        <w:rPr>
          <w:rFonts w:ascii="Open Sans" w:hAnsi="Open Sans" w:cs="Open Sans"/>
        </w:rPr>
        <w:t>a</w:t>
      </w:r>
      <w:r w:rsidR="005E14B3">
        <w:rPr>
          <w:rFonts w:ascii="Open Sans" w:hAnsi="Open Sans" w:cs="Open Sans"/>
        </w:rPr>
        <w:t xml:space="preserve"> grant scheme to ensure quality installations are </w:t>
      </w:r>
      <w:r w:rsidR="00D27988">
        <w:rPr>
          <w:rFonts w:ascii="Open Sans" w:hAnsi="Open Sans" w:cs="Open Sans"/>
        </w:rPr>
        <w:t>installed</w:t>
      </w:r>
      <w:r w:rsidR="005E14B3">
        <w:rPr>
          <w:rFonts w:ascii="Open Sans" w:hAnsi="Open Sans" w:cs="Open Sans"/>
        </w:rPr>
        <w:t xml:space="preserve"> and used. </w:t>
      </w:r>
    </w:p>
    <w:p w14:paraId="69CD0442" w14:textId="49817B13" w:rsidR="00A5230C" w:rsidRDefault="00A5230C" w:rsidP="005443AB">
      <w:pPr>
        <w:rPr>
          <w:rFonts w:ascii="Open Sans" w:hAnsi="Open Sans" w:cs="Open Sans"/>
        </w:rPr>
      </w:pPr>
    </w:p>
    <w:p w14:paraId="075B5EF9" w14:textId="221D481B" w:rsidR="00A5230C" w:rsidRPr="00273E54" w:rsidRDefault="00A5230C" w:rsidP="005443AB">
      <w:pPr>
        <w:rPr>
          <w:rFonts w:ascii="Open Sans" w:hAnsi="Open Sans" w:cs="Open Sans"/>
          <w:szCs w:val="22"/>
        </w:rPr>
      </w:pPr>
      <w:r>
        <w:rPr>
          <w:rFonts w:ascii="Open Sans" w:hAnsi="Open Sans" w:cs="Open Sans"/>
        </w:rPr>
        <w:t xml:space="preserve">We strongly encourage BEIS to further consider a tariff-based scheme, especially for larger scale projects, where economies of scale mean that up front capital </w:t>
      </w:r>
      <w:r w:rsidR="00F50375">
        <w:rPr>
          <w:rFonts w:ascii="Open Sans" w:hAnsi="Open Sans" w:cs="Open Sans"/>
        </w:rPr>
        <w:t>are</w:t>
      </w:r>
      <w:r>
        <w:rPr>
          <w:rFonts w:ascii="Open Sans" w:hAnsi="Open Sans" w:cs="Open Sans"/>
        </w:rPr>
        <w:t xml:space="preserve"> less of a barrier due to access to finance. Lessons can be learned f</w:t>
      </w:r>
      <w:r w:rsidR="00F50375">
        <w:rPr>
          <w:rFonts w:ascii="Open Sans" w:hAnsi="Open Sans" w:cs="Open Sans"/>
        </w:rPr>
        <w:t>rom reforms made to the</w:t>
      </w:r>
      <w:r>
        <w:rPr>
          <w:rFonts w:ascii="Open Sans" w:hAnsi="Open Sans" w:cs="Open Sans"/>
        </w:rPr>
        <w:t xml:space="preserve"> RHI to ensure that a future tariff mechanism </w:t>
      </w:r>
      <w:r w:rsidR="00283149">
        <w:rPr>
          <w:rFonts w:ascii="Open Sans" w:hAnsi="Open Sans" w:cs="Open Sans"/>
        </w:rPr>
        <w:t>are</w:t>
      </w:r>
      <w:r>
        <w:rPr>
          <w:rFonts w:ascii="Open Sans" w:hAnsi="Open Sans" w:cs="Open Sans"/>
        </w:rPr>
        <w:t xml:space="preserve"> well designed</w:t>
      </w:r>
      <w:r w:rsidR="00921A52">
        <w:rPr>
          <w:rFonts w:ascii="Open Sans" w:hAnsi="Open Sans" w:cs="Open Sans"/>
        </w:rPr>
        <w:t>.</w:t>
      </w:r>
    </w:p>
    <w:bookmarkEnd w:id="58"/>
    <w:p w14:paraId="31922F1B" w14:textId="77777777" w:rsidR="00C61353" w:rsidRPr="003C05B2" w:rsidRDefault="00C61353" w:rsidP="003C7304">
      <w:pPr>
        <w:pStyle w:val="ListParagraph"/>
        <w:rPr>
          <w:rFonts w:ascii="Open Sans" w:hAnsi="Open Sans" w:cs="Open Sans"/>
          <w:b/>
          <w:bCs/>
          <w:szCs w:val="22"/>
        </w:rPr>
      </w:pPr>
    </w:p>
    <w:p w14:paraId="7281422F" w14:textId="2DD283CD" w:rsidR="003C05B2" w:rsidRPr="003326CA" w:rsidRDefault="003C05B2" w:rsidP="00F30E27">
      <w:pPr>
        <w:rPr>
          <w:rFonts w:cs="Open Sans"/>
          <w:b/>
          <w:bCs/>
          <w:color w:val="1F3864" w:themeColor="accent1" w:themeShade="80"/>
          <w:szCs w:val="22"/>
        </w:rPr>
      </w:pPr>
      <w:bookmarkStart w:id="59" w:name="OLE_LINK1"/>
      <w:bookmarkStart w:id="60" w:name="OLE_LINK2"/>
      <w:r w:rsidRPr="003326CA">
        <w:rPr>
          <w:rFonts w:cs="Open Sans"/>
          <w:b/>
          <w:bCs/>
          <w:color w:val="1F3864" w:themeColor="accent1" w:themeShade="80"/>
          <w:szCs w:val="22"/>
        </w:rPr>
        <w:t xml:space="preserve">Consultation 24 - </w:t>
      </w:r>
      <w:r w:rsidRPr="003326CA">
        <w:rPr>
          <w:rFonts w:cs="Open Sans"/>
          <w:b/>
          <w:bCs/>
          <w:i/>
          <w:iCs/>
          <w:color w:val="1F3864" w:themeColor="accent1" w:themeShade="80"/>
          <w:szCs w:val="22"/>
        </w:rPr>
        <w:t>Do you agree with our proposal to offer a technology-neutral grant level? Yes/No. Please provide evidence to support your response</w:t>
      </w:r>
    </w:p>
    <w:p w14:paraId="001718AF" w14:textId="2F35E822" w:rsidR="005C7DA8" w:rsidRDefault="005C7DA8" w:rsidP="00F30E27">
      <w:pPr>
        <w:rPr>
          <w:rFonts w:ascii="Open Sans" w:hAnsi="Open Sans" w:cs="Open Sans"/>
          <w:b/>
          <w:bCs/>
          <w:szCs w:val="22"/>
        </w:rPr>
      </w:pPr>
    </w:p>
    <w:p w14:paraId="31A6766C" w14:textId="065758C0" w:rsidR="00402538" w:rsidRDefault="00F50375" w:rsidP="00F30E27">
      <w:pPr>
        <w:rPr>
          <w:rFonts w:ascii="Open Sans" w:hAnsi="Open Sans" w:cs="Open Sans"/>
          <w:szCs w:val="22"/>
        </w:rPr>
      </w:pPr>
      <w:r>
        <w:rPr>
          <w:rFonts w:ascii="Open Sans" w:hAnsi="Open Sans" w:cs="Open Sans"/>
          <w:b/>
          <w:bCs/>
          <w:szCs w:val="22"/>
        </w:rPr>
        <w:t>T</w:t>
      </w:r>
      <w:r w:rsidR="00402538">
        <w:rPr>
          <w:rFonts w:ascii="Open Sans" w:hAnsi="Open Sans" w:cs="Open Sans"/>
          <w:b/>
          <w:bCs/>
          <w:szCs w:val="22"/>
        </w:rPr>
        <w:t>he REA</w:t>
      </w:r>
      <w:r w:rsidR="007B0996" w:rsidRPr="00402538">
        <w:rPr>
          <w:rFonts w:ascii="Open Sans" w:hAnsi="Open Sans" w:cs="Open Sans"/>
          <w:b/>
          <w:bCs/>
          <w:szCs w:val="22"/>
        </w:rPr>
        <w:t xml:space="preserve"> support the </w:t>
      </w:r>
      <w:r w:rsidR="005C7DA8" w:rsidRPr="00402538">
        <w:rPr>
          <w:rFonts w:ascii="Open Sans" w:hAnsi="Open Sans" w:cs="Open Sans"/>
          <w:b/>
          <w:bCs/>
          <w:szCs w:val="22"/>
        </w:rPr>
        <w:t xml:space="preserve">policy intention to deliver a </w:t>
      </w:r>
      <w:r w:rsidR="007B0996" w:rsidRPr="00402538">
        <w:rPr>
          <w:rFonts w:ascii="Open Sans" w:hAnsi="Open Sans" w:cs="Open Sans"/>
          <w:b/>
          <w:bCs/>
          <w:szCs w:val="22"/>
        </w:rPr>
        <w:t>technology-neutral support mechanism</w:t>
      </w:r>
      <w:r>
        <w:rPr>
          <w:rFonts w:ascii="Open Sans" w:hAnsi="Open Sans" w:cs="Open Sans"/>
          <w:b/>
          <w:bCs/>
          <w:szCs w:val="22"/>
        </w:rPr>
        <w:t xml:space="preserve">, however </w:t>
      </w:r>
      <w:r w:rsidR="007B0996" w:rsidRPr="00402538">
        <w:rPr>
          <w:rFonts w:ascii="Open Sans" w:hAnsi="Open Sans" w:cs="Open Sans"/>
          <w:b/>
          <w:bCs/>
          <w:szCs w:val="22"/>
        </w:rPr>
        <w:t xml:space="preserve">this is </w:t>
      </w:r>
      <w:r w:rsidR="007B0996" w:rsidRPr="00402538">
        <w:rPr>
          <w:rFonts w:ascii="Open Sans" w:hAnsi="Open Sans" w:cs="Open Sans"/>
          <w:b/>
          <w:bCs/>
          <w:szCs w:val="22"/>
          <w:u w:val="single"/>
        </w:rPr>
        <w:t>not</w:t>
      </w:r>
      <w:r w:rsidR="007B0996" w:rsidRPr="00402538">
        <w:rPr>
          <w:rFonts w:ascii="Open Sans" w:hAnsi="Open Sans" w:cs="Open Sans"/>
          <w:b/>
          <w:bCs/>
          <w:szCs w:val="22"/>
        </w:rPr>
        <w:t xml:space="preserve"> what </w:t>
      </w:r>
      <w:r>
        <w:rPr>
          <w:rFonts w:ascii="Open Sans" w:hAnsi="Open Sans" w:cs="Open Sans"/>
          <w:b/>
          <w:bCs/>
          <w:szCs w:val="22"/>
        </w:rPr>
        <w:t xml:space="preserve">will be </w:t>
      </w:r>
      <w:r w:rsidR="007B0996" w:rsidRPr="00402538">
        <w:rPr>
          <w:rFonts w:ascii="Open Sans" w:hAnsi="Open Sans" w:cs="Open Sans"/>
          <w:b/>
          <w:bCs/>
          <w:szCs w:val="22"/>
        </w:rPr>
        <w:t>delivered by</w:t>
      </w:r>
      <w:r w:rsidR="00DC03AF">
        <w:rPr>
          <w:rFonts w:ascii="Open Sans" w:hAnsi="Open Sans" w:cs="Open Sans"/>
          <w:b/>
          <w:bCs/>
          <w:szCs w:val="22"/>
        </w:rPr>
        <w:t xml:space="preserve"> the </w:t>
      </w:r>
      <w:r w:rsidR="009B4E0D" w:rsidRPr="00402538">
        <w:rPr>
          <w:rFonts w:ascii="Open Sans" w:hAnsi="Open Sans" w:cs="Open Sans"/>
          <w:b/>
          <w:bCs/>
          <w:szCs w:val="22"/>
        </w:rPr>
        <w:t xml:space="preserve">current </w:t>
      </w:r>
      <w:r w:rsidR="007B0996" w:rsidRPr="00402538">
        <w:rPr>
          <w:rFonts w:ascii="Open Sans" w:hAnsi="Open Sans" w:cs="Open Sans"/>
          <w:b/>
          <w:bCs/>
          <w:szCs w:val="22"/>
        </w:rPr>
        <w:t xml:space="preserve">design </w:t>
      </w:r>
      <w:r w:rsidR="009B4E0D" w:rsidRPr="00402538">
        <w:rPr>
          <w:rFonts w:ascii="Open Sans" w:hAnsi="Open Sans" w:cs="Open Sans"/>
          <w:b/>
          <w:bCs/>
          <w:szCs w:val="22"/>
        </w:rPr>
        <w:t>of</w:t>
      </w:r>
      <w:r w:rsidR="007B0996" w:rsidRPr="00402538">
        <w:rPr>
          <w:rFonts w:ascii="Open Sans" w:hAnsi="Open Sans" w:cs="Open Sans"/>
          <w:b/>
          <w:bCs/>
          <w:szCs w:val="22"/>
        </w:rPr>
        <w:t xml:space="preserve"> the clean </w:t>
      </w:r>
      <w:r>
        <w:rPr>
          <w:rFonts w:ascii="Open Sans" w:hAnsi="Open Sans" w:cs="Open Sans"/>
          <w:b/>
          <w:bCs/>
          <w:szCs w:val="22"/>
        </w:rPr>
        <w:t>H</w:t>
      </w:r>
      <w:r w:rsidR="007B0996" w:rsidRPr="00402538">
        <w:rPr>
          <w:rFonts w:ascii="Open Sans" w:hAnsi="Open Sans" w:cs="Open Sans"/>
          <w:b/>
          <w:bCs/>
          <w:szCs w:val="22"/>
        </w:rPr>
        <w:t xml:space="preserve">eat </w:t>
      </w:r>
      <w:r>
        <w:rPr>
          <w:rFonts w:ascii="Open Sans" w:hAnsi="Open Sans" w:cs="Open Sans"/>
          <w:b/>
          <w:bCs/>
          <w:szCs w:val="22"/>
        </w:rPr>
        <w:t>G</w:t>
      </w:r>
      <w:r w:rsidR="007B0996" w:rsidRPr="00402538">
        <w:rPr>
          <w:rFonts w:ascii="Open Sans" w:hAnsi="Open Sans" w:cs="Open Sans"/>
          <w:b/>
          <w:bCs/>
          <w:szCs w:val="22"/>
        </w:rPr>
        <w:t xml:space="preserve">rant </w:t>
      </w:r>
      <w:r>
        <w:rPr>
          <w:rFonts w:ascii="Open Sans" w:hAnsi="Open Sans" w:cs="Open Sans"/>
          <w:b/>
          <w:bCs/>
          <w:szCs w:val="22"/>
        </w:rPr>
        <w:t>S</w:t>
      </w:r>
      <w:r w:rsidR="007B0996" w:rsidRPr="00402538">
        <w:rPr>
          <w:rFonts w:ascii="Open Sans" w:hAnsi="Open Sans" w:cs="Open Sans"/>
          <w:b/>
          <w:bCs/>
          <w:szCs w:val="22"/>
        </w:rPr>
        <w:t>cheme</w:t>
      </w:r>
      <w:r w:rsidR="007B0996">
        <w:rPr>
          <w:rFonts w:ascii="Open Sans" w:hAnsi="Open Sans" w:cs="Open Sans"/>
          <w:szCs w:val="22"/>
        </w:rPr>
        <w:t xml:space="preserve">. </w:t>
      </w:r>
    </w:p>
    <w:p w14:paraId="2F832CE9" w14:textId="77777777" w:rsidR="00402538" w:rsidRDefault="00402538" w:rsidP="00F30E27">
      <w:pPr>
        <w:rPr>
          <w:rFonts w:ascii="Open Sans" w:hAnsi="Open Sans" w:cs="Open Sans"/>
          <w:szCs w:val="22"/>
        </w:rPr>
      </w:pPr>
    </w:p>
    <w:p w14:paraId="432438F6" w14:textId="53A535CC" w:rsidR="005C7DA8" w:rsidRDefault="007B0996" w:rsidP="00F30E27">
      <w:pPr>
        <w:rPr>
          <w:rFonts w:ascii="Open Sans" w:hAnsi="Open Sans" w:cs="Open Sans"/>
          <w:szCs w:val="22"/>
        </w:rPr>
      </w:pPr>
      <w:r w:rsidRPr="00C9593D">
        <w:rPr>
          <w:rFonts w:ascii="Open Sans" w:hAnsi="Open Sans" w:cs="Open Sans"/>
          <w:szCs w:val="22"/>
        </w:rPr>
        <w:t xml:space="preserve">The </w:t>
      </w:r>
      <w:r w:rsidR="00981D75" w:rsidRPr="00C9593D">
        <w:rPr>
          <w:rFonts w:ascii="Open Sans" w:hAnsi="Open Sans" w:cs="Open Sans"/>
          <w:szCs w:val="22"/>
        </w:rPr>
        <w:t>consultation</w:t>
      </w:r>
      <w:r w:rsidR="00981D75">
        <w:rPr>
          <w:rFonts w:ascii="Open Sans" w:hAnsi="Open Sans" w:cs="Open Sans"/>
          <w:szCs w:val="22"/>
        </w:rPr>
        <w:t xml:space="preserve"> states</w:t>
      </w:r>
      <w:r w:rsidR="00AC2B86">
        <w:rPr>
          <w:rFonts w:ascii="Open Sans" w:hAnsi="Open Sans" w:cs="Open Sans"/>
          <w:szCs w:val="22"/>
        </w:rPr>
        <w:t xml:space="preserve"> </w:t>
      </w:r>
      <w:r w:rsidR="00981D75">
        <w:rPr>
          <w:rFonts w:ascii="Open Sans" w:hAnsi="Open Sans" w:cs="Open Sans"/>
          <w:szCs w:val="22"/>
        </w:rPr>
        <w:t xml:space="preserve">clearly </w:t>
      </w:r>
      <w:r w:rsidRPr="00C9593D">
        <w:rPr>
          <w:rFonts w:ascii="Open Sans" w:hAnsi="Open Sans" w:cs="Open Sans"/>
          <w:szCs w:val="22"/>
        </w:rPr>
        <w:t>that the current design</w:t>
      </w:r>
      <w:r w:rsidR="00C9593D" w:rsidRPr="00C9593D">
        <w:rPr>
          <w:rFonts w:ascii="Open Sans" w:hAnsi="Open Sans" w:cs="Open Sans"/>
          <w:szCs w:val="22"/>
        </w:rPr>
        <w:t xml:space="preserve"> is</w:t>
      </w:r>
      <w:r w:rsidRPr="00C9593D">
        <w:rPr>
          <w:rFonts w:ascii="Open Sans" w:hAnsi="Open Sans" w:cs="Open Sans"/>
          <w:szCs w:val="22"/>
        </w:rPr>
        <w:t xml:space="preserve"> </w:t>
      </w:r>
      <w:r w:rsidR="00C9593D" w:rsidRPr="00381F18">
        <w:rPr>
          <w:rFonts w:ascii="Open Sans" w:hAnsi="Open Sans" w:cs="Open Sans"/>
          <w:i/>
          <w:iCs/>
          <w:szCs w:val="22"/>
        </w:rPr>
        <w:t>“comparatively less attractive [for biomass] than it is for ASHPs. Covering a lower proportion of the upfront cost, coupled with stringent eligibility criteria”.</w:t>
      </w:r>
      <w:r w:rsidR="00C9593D">
        <w:rPr>
          <w:rFonts w:ascii="Open Sans" w:hAnsi="Open Sans" w:cs="Open Sans"/>
          <w:szCs w:val="22"/>
        </w:rPr>
        <w:t xml:space="preserve"> Similarly, the consultation highlights </w:t>
      </w:r>
      <w:r w:rsidR="00381F18">
        <w:rPr>
          <w:rFonts w:ascii="Open Sans" w:hAnsi="Open Sans" w:cs="Open Sans"/>
          <w:szCs w:val="22"/>
        </w:rPr>
        <w:t>several</w:t>
      </w:r>
      <w:r w:rsidR="00C9593D">
        <w:rPr>
          <w:rFonts w:ascii="Open Sans" w:hAnsi="Open Sans" w:cs="Open Sans"/>
          <w:szCs w:val="22"/>
        </w:rPr>
        <w:t xml:space="preserve"> technologies </w:t>
      </w:r>
      <w:r w:rsidR="00381F18">
        <w:rPr>
          <w:rFonts w:ascii="Open Sans" w:hAnsi="Open Sans" w:cs="Open Sans"/>
          <w:szCs w:val="22"/>
        </w:rPr>
        <w:t>purposefully excluded from the</w:t>
      </w:r>
      <w:r w:rsidR="00C9593D">
        <w:rPr>
          <w:rFonts w:ascii="Open Sans" w:hAnsi="Open Sans" w:cs="Open Sans"/>
          <w:szCs w:val="22"/>
        </w:rPr>
        <w:t xml:space="preserve"> scheme, including solar thermal, biofuels, hybrid systems and geothermal. </w:t>
      </w:r>
    </w:p>
    <w:p w14:paraId="08B65AED" w14:textId="56CAF569" w:rsidR="00C9593D" w:rsidRDefault="00C9593D" w:rsidP="00F30E27">
      <w:pPr>
        <w:rPr>
          <w:rFonts w:ascii="Open Sans" w:hAnsi="Open Sans" w:cs="Open Sans"/>
          <w:szCs w:val="22"/>
        </w:rPr>
      </w:pPr>
    </w:p>
    <w:p w14:paraId="551F3296" w14:textId="3219683C" w:rsidR="00B30129" w:rsidRDefault="00481BE2" w:rsidP="00F30E27">
      <w:pPr>
        <w:rPr>
          <w:rFonts w:ascii="Open Sans" w:hAnsi="Open Sans" w:cs="Open Sans"/>
          <w:szCs w:val="22"/>
        </w:rPr>
      </w:pPr>
      <w:r>
        <w:rPr>
          <w:rFonts w:ascii="Open Sans" w:hAnsi="Open Sans" w:cs="Open Sans"/>
          <w:szCs w:val="22"/>
        </w:rPr>
        <w:t>The consultation goes onto to directly identify ASHP’s as of strategic importance</w:t>
      </w:r>
      <w:r w:rsidR="009750BD">
        <w:rPr>
          <w:rFonts w:ascii="Open Sans" w:hAnsi="Open Sans" w:cs="Open Sans"/>
          <w:szCs w:val="22"/>
        </w:rPr>
        <w:t xml:space="preserve">, while the stated capex figures </w:t>
      </w:r>
      <w:r>
        <w:rPr>
          <w:rFonts w:ascii="Open Sans" w:hAnsi="Open Sans" w:cs="Open Sans"/>
          <w:szCs w:val="22"/>
        </w:rPr>
        <w:t xml:space="preserve">within the Impact Assessment demonstrate that the grant has been designed to </w:t>
      </w:r>
      <w:r w:rsidR="009750BD">
        <w:rPr>
          <w:rFonts w:ascii="Open Sans" w:hAnsi="Open Sans" w:cs="Open Sans"/>
          <w:szCs w:val="22"/>
        </w:rPr>
        <w:t>primarily deliver this technology</w:t>
      </w:r>
      <w:r>
        <w:rPr>
          <w:rFonts w:ascii="Open Sans" w:hAnsi="Open Sans" w:cs="Open Sans"/>
          <w:szCs w:val="22"/>
        </w:rPr>
        <w:t xml:space="preserve">. </w:t>
      </w:r>
      <w:r w:rsidR="009750BD">
        <w:rPr>
          <w:rFonts w:ascii="Open Sans" w:hAnsi="Open Sans" w:cs="Open Sans"/>
          <w:szCs w:val="22"/>
        </w:rPr>
        <w:t>As such</w:t>
      </w:r>
      <w:r w:rsidR="005C25C8">
        <w:rPr>
          <w:rFonts w:ascii="Open Sans" w:hAnsi="Open Sans" w:cs="Open Sans"/>
          <w:szCs w:val="22"/>
        </w:rPr>
        <w:t>,</w:t>
      </w:r>
      <w:r w:rsidR="009750BD">
        <w:rPr>
          <w:rFonts w:ascii="Open Sans" w:hAnsi="Open Sans" w:cs="Open Sans"/>
          <w:szCs w:val="22"/>
        </w:rPr>
        <w:t xml:space="preserve"> the policy objective </w:t>
      </w:r>
      <w:r w:rsidR="005C25C8">
        <w:rPr>
          <w:rFonts w:ascii="Open Sans" w:hAnsi="Open Sans" w:cs="Open Sans"/>
          <w:szCs w:val="22"/>
        </w:rPr>
        <w:t>cannot</w:t>
      </w:r>
      <w:r w:rsidR="009750BD">
        <w:rPr>
          <w:rFonts w:ascii="Open Sans" w:hAnsi="Open Sans" w:cs="Open Sans"/>
          <w:szCs w:val="22"/>
        </w:rPr>
        <w:t xml:space="preserve"> </w:t>
      </w:r>
      <w:r w:rsidR="005C25C8">
        <w:rPr>
          <w:rFonts w:ascii="Open Sans" w:hAnsi="Open Sans" w:cs="Open Sans"/>
          <w:szCs w:val="22"/>
        </w:rPr>
        <w:t xml:space="preserve">be claimed as </w:t>
      </w:r>
      <w:r w:rsidR="009750BD">
        <w:rPr>
          <w:rFonts w:ascii="Open Sans" w:hAnsi="Open Sans" w:cs="Open Sans"/>
          <w:szCs w:val="22"/>
        </w:rPr>
        <w:t>tec</w:t>
      </w:r>
      <w:r w:rsidR="005C25C8">
        <w:rPr>
          <w:rFonts w:ascii="Open Sans" w:hAnsi="Open Sans" w:cs="Open Sans"/>
          <w:szCs w:val="22"/>
        </w:rPr>
        <w:t xml:space="preserve">hnology neutral and the resulting </w:t>
      </w:r>
      <w:r w:rsidR="009750BD">
        <w:rPr>
          <w:rFonts w:ascii="Open Sans" w:hAnsi="Open Sans" w:cs="Open Sans"/>
          <w:szCs w:val="22"/>
        </w:rPr>
        <w:t>policy sends</w:t>
      </w:r>
      <w:r w:rsidR="005C25C8">
        <w:rPr>
          <w:rFonts w:ascii="Open Sans" w:hAnsi="Open Sans" w:cs="Open Sans"/>
          <w:szCs w:val="22"/>
        </w:rPr>
        <w:t xml:space="preserve"> a</w:t>
      </w:r>
      <w:r w:rsidR="009750BD">
        <w:rPr>
          <w:rFonts w:ascii="Open Sans" w:hAnsi="Open Sans" w:cs="Open Sans"/>
          <w:szCs w:val="22"/>
        </w:rPr>
        <w:t xml:space="preserve"> clear market signal</w:t>
      </w:r>
      <w:r w:rsidR="0016569E">
        <w:rPr>
          <w:rFonts w:ascii="Open Sans" w:hAnsi="Open Sans" w:cs="Open Sans"/>
          <w:szCs w:val="22"/>
        </w:rPr>
        <w:t>, which ultimately also heavily</w:t>
      </w:r>
      <w:r w:rsidR="00F61F36">
        <w:rPr>
          <w:rFonts w:ascii="Open Sans" w:hAnsi="Open Sans" w:cs="Open Sans"/>
          <w:szCs w:val="22"/>
        </w:rPr>
        <w:t xml:space="preserve"> restricts consumer choice</w:t>
      </w:r>
      <w:r w:rsidR="0016569E">
        <w:rPr>
          <w:rFonts w:ascii="Open Sans" w:hAnsi="Open Sans" w:cs="Open Sans"/>
          <w:szCs w:val="22"/>
        </w:rPr>
        <w:t>.</w:t>
      </w:r>
    </w:p>
    <w:p w14:paraId="13C08770" w14:textId="77777777" w:rsidR="0016569E" w:rsidRDefault="0016569E" w:rsidP="00F30E27">
      <w:pPr>
        <w:rPr>
          <w:rFonts w:ascii="Open Sans" w:hAnsi="Open Sans" w:cs="Open Sans"/>
          <w:szCs w:val="22"/>
        </w:rPr>
      </w:pPr>
    </w:p>
    <w:p w14:paraId="29031C89" w14:textId="2A5EB857" w:rsidR="005C25C8" w:rsidRDefault="009750BD" w:rsidP="00F30E27">
      <w:pPr>
        <w:rPr>
          <w:rFonts w:ascii="Open Sans" w:hAnsi="Open Sans" w:cs="Open Sans"/>
          <w:szCs w:val="22"/>
        </w:rPr>
      </w:pPr>
      <w:r>
        <w:rPr>
          <w:rFonts w:ascii="Open Sans" w:hAnsi="Open Sans" w:cs="Open Sans"/>
          <w:szCs w:val="22"/>
        </w:rPr>
        <w:t>As described in answer to question 25, a</w:t>
      </w:r>
      <w:r w:rsidR="00381F18">
        <w:rPr>
          <w:rFonts w:ascii="Open Sans" w:hAnsi="Open Sans" w:cs="Open Sans"/>
          <w:szCs w:val="22"/>
        </w:rPr>
        <w:t xml:space="preserve"> technology-neutral </w:t>
      </w:r>
      <w:r w:rsidR="00981D75">
        <w:rPr>
          <w:rFonts w:ascii="Open Sans" w:hAnsi="Open Sans" w:cs="Open Sans"/>
          <w:szCs w:val="22"/>
        </w:rPr>
        <w:t>grant</w:t>
      </w:r>
      <w:r w:rsidR="009B4E0D">
        <w:rPr>
          <w:rFonts w:ascii="Open Sans" w:hAnsi="Open Sans" w:cs="Open Sans"/>
          <w:szCs w:val="22"/>
        </w:rPr>
        <w:t xml:space="preserve"> could be achieved through a </w:t>
      </w:r>
      <w:r w:rsidR="00981D75">
        <w:rPr>
          <w:rFonts w:ascii="Open Sans" w:hAnsi="Open Sans" w:cs="Open Sans"/>
          <w:szCs w:val="22"/>
        </w:rPr>
        <w:t>flexible</w:t>
      </w:r>
      <w:r w:rsidR="009B4E0D">
        <w:rPr>
          <w:rFonts w:ascii="Open Sans" w:hAnsi="Open Sans" w:cs="Open Sans"/>
          <w:szCs w:val="22"/>
        </w:rPr>
        <w:t xml:space="preserve"> grant level based on the capacity deployed</w:t>
      </w:r>
      <w:r w:rsidR="00981D75">
        <w:rPr>
          <w:rFonts w:ascii="Open Sans" w:hAnsi="Open Sans" w:cs="Open Sans"/>
          <w:szCs w:val="22"/>
        </w:rPr>
        <w:t xml:space="preserve">. This would help cover the partial cost of each </w:t>
      </w:r>
      <w:r w:rsidR="009B4E0D">
        <w:rPr>
          <w:rFonts w:ascii="Open Sans" w:hAnsi="Open Sans" w:cs="Open Sans"/>
          <w:szCs w:val="22"/>
        </w:rPr>
        <w:t>k</w:t>
      </w:r>
      <w:r w:rsidR="00981D75">
        <w:rPr>
          <w:rFonts w:ascii="Open Sans" w:hAnsi="Open Sans" w:cs="Open Sans"/>
          <w:szCs w:val="22"/>
        </w:rPr>
        <w:t xml:space="preserve">W, no matter the technology. This would allow developers to </w:t>
      </w:r>
      <w:r w:rsidR="009B4E0D">
        <w:rPr>
          <w:rFonts w:ascii="Open Sans" w:hAnsi="Open Sans" w:cs="Open Sans"/>
          <w:szCs w:val="22"/>
        </w:rPr>
        <w:t>assess</w:t>
      </w:r>
      <w:r w:rsidR="00981D75">
        <w:rPr>
          <w:rFonts w:ascii="Open Sans" w:hAnsi="Open Sans" w:cs="Open Sans"/>
          <w:szCs w:val="22"/>
        </w:rPr>
        <w:t xml:space="preserve"> a property and its heat </w:t>
      </w:r>
      <w:r w:rsidR="009B4E0D">
        <w:rPr>
          <w:rFonts w:ascii="Open Sans" w:hAnsi="Open Sans" w:cs="Open Sans"/>
          <w:szCs w:val="22"/>
        </w:rPr>
        <w:t xml:space="preserve">requirements, allowing </w:t>
      </w:r>
      <w:r w:rsidR="00481BE2">
        <w:rPr>
          <w:rFonts w:ascii="Open Sans" w:hAnsi="Open Sans" w:cs="Open Sans"/>
          <w:szCs w:val="22"/>
        </w:rPr>
        <w:t xml:space="preserve">for </w:t>
      </w:r>
      <w:r w:rsidR="009B4E0D">
        <w:rPr>
          <w:rFonts w:ascii="Open Sans" w:hAnsi="Open Sans" w:cs="Open Sans"/>
          <w:szCs w:val="22"/>
        </w:rPr>
        <w:t xml:space="preserve">the design of </w:t>
      </w:r>
      <w:r w:rsidR="00481BE2">
        <w:rPr>
          <w:rFonts w:ascii="Open Sans" w:hAnsi="Open Sans" w:cs="Open Sans"/>
          <w:szCs w:val="22"/>
        </w:rPr>
        <w:t xml:space="preserve">a </w:t>
      </w:r>
      <w:r w:rsidR="009B4E0D">
        <w:rPr>
          <w:rFonts w:ascii="Open Sans" w:hAnsi="Open Sans" w:cs="Open Sans"/>
          <w:szCs w:val="22"/>
        </w:rPr>
        <w:t>heat</w:t>
      </w:r>
      <w:r w:rsidR="00981D75">
        <w:rPr>
          <w:rFonts w:ascii="Open Sans" w:hAnsi="Open Sans" w:cs="Open Sans"/>
          <w:szCs w:val="22"/>
        </w:rPr>
        <w:t xml:space="preserve"> installation in accordance </w:t>
      </w:r>
      <w:r w:rsidR="009B4E0D">
        <w:rPr>
          <w:rFonts w:ascii="Open Sans" w:hAnsi="Open Sans" w:cs="Open Sans"/>
          <w:szCs w:val="22"/>
        </w:rPr>
        <w:t xml:space="preserve">with the need of the </w:t>
      </w:r>
      <w:r w:rsidR="005C25C8">
        <w:rPr>
          <w:rFonts w:ascii="Open Sans" w:hAnsi="Open Sans" w:cs="Open Sans"/>
          <w:szCs w:val="22"/>
        </w:rPr>
        <w:t>building</w:t>
      </w:r>
      <w:r w:rsidR="00981D75">
        <w:rPr>
          <w:rFonts w:ascii="Open Sans" w:hAnsi="Open Sans" w:cs="Open Sans"/>
          <w:szCs w:val="22"/>
        </w:rPr>
        <w:t xml:space="preserve">. </w:t>
      </w:r>
      <w:r w:rsidR="005C25C8">
        <w:rPr>
          <w:rFonts w:ascii="Open Sans" w:hAnsi="Open Sans" w:cs="Open Sans"/>
          <w:szCs w:val="22"/>
        </w:rPr>
        <w:t xml:space="preserve">The continued use of heat lost assessments will also ensure BEIS’s strategic objective of </w:t>
      </w:r>
      <w:r w:rsidR="0016569E">
        <w:rPr>
          <w:rFonts w:ascii="Open Sans" w:hAnsi="Open Sans" w:cs="Open Sans"/>
          <w:szCs w:val="22"/>
        </w:rPr>
        <w:t xml:space="preserve">primarily </w:t>
      </w:r>
      <w:r w:rsidR="005C25C8">
        <w:rPr>
          <w:rFonts w:ascii="Open Sans" w:hAnsi="Open Sans" w:cs="Open Sans"/>
          <w:szCs w:val="22"/>
        </w:rPr>
        <w:t xml:space="preserve">delivering heat pumps, with biomass where it is most appropriate to do so, is also met. </w:t>
      </w:r>
    </w:p>
    <w:p w14:paraId="4CD31656" w14:textId="77777777" w:rsidR="005C25C8" w:rsidRDefault="005C25C8" w:rsidP="00F30E27">
      <w:pPr>
        <w:rPr>
          <w:rFonts w:ascii="Open Sans" w:hAnsi="Open Sans" w:cs="Open Sans"/>
          <w:szCs w:val="22"/>
        </w:rPr>
      </w:pPr>
    </w:p>
    <w:p w14:paraId="75439309" w14:textId="0A48AE17" w:rsidR="00381F18" w:rsidRPr="00C9593D" w:rsidRDefault="00981D75" w:rsidP="00F30E27">
      <w:pPr>
        <w:rPr>
          <w:rFonts w:ascii="Open Sans" w:hAnsi="Open Sans" w:cs="Open Sans"/>
          <w:color w:val="2F5496"/>
          <w:szCs w:val="22"/>
        </w:rPr>
      </w:pPr>
      <w:r>
        <w:rPr>
          <w:rFonts w:ascii="Open Sans" w:hAnsi="Open Sans" w:cs="Open Sans"/>
          <w:szCs w:val="22"/>
        </w:rPr>
        <w:t>As it stands the grant directly encourages the installation of cheaper technologies</w:t>
      </w:r>
      <w:r w:rsidR="009B4E0D">
        <w:rPr>
          <w:rFonts w:ascii="Open Sans" w:hAnsi="Open Sans" w:cs="Open Sans"/>
          <w:szCs w:val="22"/>
        </w:rPr>
        <w:t xml:space="preserve"> and smaller systems</w:t>
      </w:r>
      <w:r w:rsidR="005C25C8">
        <w:rPr>
          <w:rFonts w:ascii="Open Sans" w:hAnsi="Open Sans" w:cs="Open Sans"/>
          <w:szCs w:val="22"/>
        </w:rPr>
        <w:t xml:space="preserve">. </w:t>
      </w:r>
      <w:r w:rsidR="009B4E0D">
        <w:rPr>
          <w:rFonts w:ascii="Open Sans" w:hAnsi="Open Sans" w:cs="Open Sans"/>
          <w:szCs w:val="22"/>
        </w:rPr>
        <w:t xml:space="preserve"> It does not encourage </w:t>
      </w:r>
      <w:r w:rsidR="005C25C8">
        <w:rPr>
          <w:rFonts w:ascii="Open Sans" w:hAnsi="Open Sans" w:cs="Open Sans"/>
          <w:szCs w:val="22"/>
        </w:rPr>
        <w:t xml:space="preserve">installers to assess the right technology and size of project for that </w:t>
      </w:r>
      <w:r w:rsidR="00F50375">
        <w:rPr>
          <w:rFonts w:ascii="Open Sans" w:hAnsi="Open Sans" w:cs="Open Sans"/>
          <w:szCs w:val="22"/>
        </w:rPr>
        <w:t>building’s</w:t>
      </w:r>
      <w:r w:rsidR="005C25C8">
        <w:rPr>
          <w:rFonts w:ascii="Open Sans" w:hAnsi="Open Sans" w:cs="Open Sans"/>
          <w:szCs w:val="22"/>
        </w:rPr>
        <w:t xml:space="preserve"> needs. </w:t>
      </w:r>
    </w:p>
    <w:p w14:paraId="7BCE4244" w14:textId="77777777" w:rsidR="003C05B2" w:rsidRPr="000C1F50" w:rsidRDefault="003C05B2" w:rsidP="00F30E27">
      <w:pPr>
        <w:rPr>
          <w:rFonts w:ascii="Open Sans" w:hAnsi="Open Sans" w:cs="Open Sans"/>
          <w:b/>
          <w:bCs/>
          <w:color w:val="2F5496"/>
          <w:szCs w:val="22"/>
        </w:rPr>
      </w:pPr>
    </w:p>
    <w:p w14:paraId="5025DB5A" w14:textId="171F3F85" w:rsidR="00B96CE1" w:rsidRPr="000C1F50" w:rsidRDefault="00273E54" w:rsidP="00F30E27">
      <w:pPr>
        <w:rPr>
          <w:rFonts w:ascii="Open Sans" w:hAnsi="Open Sans" w:cs="Open Sans"/>
          <w:b/>
          <w:bCs/>
          <w:i/>
          <w:iCs/>
          <w:color w:val="2F5496"/>
          <w:szCs w:val="22"/>
        </w:rPr>
      </w:pPr>
      <w:r w:rsidRPr="000C1F50">
        <w:rPr>
          <w:rFonts w:ascii="Open Sans" w:hAnsi="Open Sans" w:cs="Open Sans"/>
          <w:b/>
          <w:bCs/>
          <w:color w:val="2F5496"/>
          <w:szCs w:val="22"/>
        </w:rPr>
        <w:t xml:space="preserve">Consultation Question 25 - </w:t>
      </w:r>
      <w:r w:rsidRPr="000C1F50">
        <w:rPr>
          <w:rFonts w:ascii="Open Sans" w:hAnsi="Open Sans" w:cs="Open Sans"/>
          <w:b/>
          <w:bCs/>
          <w:i/>
          <w:iCs/>
          <w:color w:val="2F5496"/>
          <w:szCs w:val="22"/>
        </w:rPr>
        <w:t xml:space="preserve">Do you agree that £4,000 is an appropriate grant amount to meet the aims of the scheme? </w:t>
      </w:r>
    </w:p>
    <w:p w14:paraId="1CC3C247" w14:textId="77777777" w:rsidR="00E54BD8" w:rsidRDefault="00E54BD8" w:rsidP="00E54BD8">
      <w:pPr>
        <w:rPr>
          <w:rFonts w:ascii="Open Sans" w:hAnsi="Open Sans" w:cs="Open Sans"/>
          <w:szCs w:val="22"/>
        </w:rPr>
      </w:pPr>
    </w:p>
    <w:p w14:paraId="02412EC1" w14:textId="42C1B4DE" w:rsidR="00D957D5" w:rsidRPr="0016569E" w:rsidRDefault="00E54BD8" w:rsidP="00D957D5">
      <w:pPr>
        <w:rPr>
          <w:rFonts w:ascii="Open Sans" w:hAnsi="Open Sans" w:cs="Open Sans"/>
          <w:b/>
          <w:bCs/>
          <w:szCs w:val="22"/>
        </w:rPr>
      </w:pPr>
      <w:r w:rsidRPr="0016569E">
        <w:rPr>
          <w:rFonts w:ascii="Open Sans" w:hAnsi="Open Sans" w:cs="Open Sans"/>
          <w:b/>
          <w:bCs/>
          <w:szCs w:val="22"/>
        </w:rPr>
        <w:t xml:space="preserve">No, </w:t>
      </w:r>
      <w:r w:rsidR="003326CA" w:rsidRPr="0016569E">
        <w:rPr>
          <w:rFonts w:ascii="Open Sans" w:hAnsi="Open Sans" w:cs="Open Sans"/>
          <w:b/>
          <w:bCs/>
          <w:szCs w:val="22"/>
        </w:rPr>
        <w:t>t</w:t>
      </w:r>
      <w:r w:rsidRPr="0016569E">
        <w:rPr>
          <w:rFonts w:ascii="Open Sans" w:hAnsi="Open Sans" w:cs="Open Sans"/>
          <w:b/>
          <w:bCs/>
          <w:szCs w:val="22"/>
        </w:rPr>
        <w:t xml:space="preserve">he current grant of £4000 is not an incentive for </w:t>
      </w:r>
      <w:r w:rsidR="0016569E" w:rsidRPr="0016569E">
        <w:rPr>
          <w:rFonts w:ascii="Open Sans" w:hAnsi="Open Sans" w:cs="Open Sans"/>
          <w:b/>
          <w:bCs/>
          <w:szCs w:val="22"/>
        </w:rPr>
        <w:t>most</w:t>
      </w:r>
      <w:r w:rsidRPr="0016569E">
        <w:rPr>
          <w:rFonts w:ascii="Open Sans" w:hAnsi="Open Sans" w:cs="Open Sans"/>
          <w:b/>
          <w:bCs/>
          <w:szCs w:val="22"/>
        </w:rPr>
        <w:t xml:space="preserve"> small-scale heat decarbonisation projects to deploy. </w:t>
      </w:r>
      <w:r w:rsidR="003326CA" w:rsidRPr="0016569E">
        <w:rPr>
          <w:rFonts w:ascii="Open Sans" w:hAnsi="Open Sans" w:cs="Open Sans"/>
          <w:b/>
          <w:bCs/>
          <w:szCs w:val="22"/>
        </w:rPr>
        <w:t xml:space="preserve"> </w:t>
      </w:r>
    </w:p>
    <w:p w14:paraId="5EA300A6" w14:textId="77777777" w:rsidR="00D957D5" w:rsidRDefault="00D957D5" w:rsidP="00D957D5">
      <w:pPr>
        <w:rPr>
          <w:rFonts w:ascii="Open Sans" w:hAnsi="Open Sans" w:cs="Open Sans"/>
          <w:szCs w:val="22"/>
        </w:rPr>
      </w:pPr>
    </w:p>
    <w:p w14:paraId="48D3EFE1" w14:textId="0CD28260" w:rsidR="00D957D5" w:rsidRDefault="0033331E" w:rsidP="00D957D5">
      <w:pPr>
        <w:rPr>
          <w:rFonts w:ascii="Open Sans" w:hAnsi="Open Sans" w:cs="Open Sans"/>
          <w:szCs w:val="22"/>
        </w:rPr>
      </w:pPr>
      <w:r>
        <w:rPr>
          <w:rFonts w:ascii="Open Sans" w:hAnsi="Open Sans" w:cs="Open Sans"/>
          <w:szCs w:val="22"/>
        </w:rPr>
        <w:lastRenderedPageBreak/>
        <w:t xml:space="preserve">In the table below </w:t>
      </w:r>
      <w:r w:rsidR="008933AD">
        <w:rPr>
          <w:rFonts w:ascii="Open Sans" w:hAnsi="Open Sans" w:cs="Open Sans"/>
          <w:szCs w:val="22"/>
        </w:rPr>
        <w:t xml:space="preserve">we highlight the capex costs for renewable heat installations according the BEIS’s own </w:t>
      </w:r>
      <w:r w:rsidR="00326421">
        <w:rPr>
          <w:rFonts w:ascii="Open Sans" w:hAnsi="Open Sans" w:cs="Open Sans"/>
          <w:szCs w:val="22"/>
        </w:rPr>
        <w:t>numbers in the</w:t>
      </w:r>
      <w:r w:rsidR="00D957D5">
        <w:rPr>
          <w:rFonts w:ascii="Open Sans" w:hAnsi="Open Sans" w:cs="Open Sans"/>
          <w:szCs w:val="22"/>
        </w:rPr>
        <w:t xml:space="preserve"> 2019 Domestic RHI Annual </w:t>
      </w:r>
      <w:r>
        <w:rPr>
          <w:rFonts w:ascii="Open Sans" w:hAnsi="Open Sans" w:cs="Open Sans"/>
          <w:szCs w:val="22"/>
        </w:rPr>
        <w:t>D</w:t>
      </w:r>
      <w:r w:rsidR="00D957D5">
        <w:rPr>
          <w:rFonts w:ascii="Open Sans" w:hAnsi="Open Sans" w:cs="Open Sans"/>
          <w:szCs w:val="22"/>
        </w:rPr>
        <w:t xml:space="preserve">eployment </w:t>
      </w:r>
      <w:r>
        <w:rPr>
          <w:rFonts w:ascii="Open Sans" w:hAnsi="Open Sans" w:cs="Open Sans"/>
          <w:szCs w:val="22"/>
        </w:rPr>
        <w:t>S</w:t>
      </w:r>
      <w:r w:rsidR="00D957D5">
        <w:rPr>
          <w:rFonts w:ascii="Open Sans" w:hAnsi="Open Sans" w:cs="Open Sans"/>
          <w:szCs w:val="22"/>
        </w:rPr>
        <w:t>tatistics.  As demonstrate</w:t>
      </w:r>
      <w:r w:rsidR="00F2770F">
        <w:rPr>
          <w:rFonts w:ascii="Open Sans" w:hAnsi="Open Sans" w:cs="Open Sans"/>
          <w:szCs w:val="22"/>
        </w:rPr>
        <w:t>d</w:t>
      </w:r>
      <w:r>
        <w:rPr>
          <w:rFonts w:ascii="Open Sans" w:hAnsi="Open Sans" w:cs="Open Sans"/>
          <w:szCs w:val="22"/>
        </w:rPr>
        <w:t xml:space="preserve">, </w:t>
      </w:r>
      <w:r w:rsidR="00D957D5">
        <w:rPr>
          <w:rFonts w:ascii="Open Sans" w:hAnsi="Open Sans" w:cs="Open Sans"/>
          <w:szCs w:val="22"/>
        </w:rPr>
        <w:t>t</w:t>
      </w:r>
      <w:r w:rsidR="00D957D5" w:rsidRPr="00273E54">
        <w:rPr>
          <w:rFonts w:ascii="Open Sans" w:hAnsi="Open Sans" w:cs="Open Sans"/>
          <w:szCs w:val="22"/>
        </w:rPr>
        <w:t xml:space="preserve">he </w:t>
      </w:r>
      <w:r w:rsidR="00D957D5">
        <w:rPr>
          <w:rFonts w:ascii="Open Sans" w:hAnsi="Open Sans" w:cs="Open Sans"/>
          <w:szCs w:val="22"/>
        </w:rPr>
        <w:t xml:space="preserve">proposed </w:t>
      </w:r>
      <w:r w:rsidR="00D957D5" w:rsidRPr="00273E54">
        <w:rPr>
          <w:rFonts w:ascii="Open Sans" w:hAnsi="Open Sans" w:cs="Open Sans"/>
          <w:szCs w:val="22"/>
        </w:rPr>
        <w:t xml:space="preserve">grant of £4000 </w:t>
      </w:r>
      <w:r w:rsidR="00362145">
        <w:rPr>
          <w:rFonts w:ascii="Open Sans" w:hAnsi="Open Sans" w:cs="Open Sans"/>
          <w:szCs w:val="22"/>
        </w:rPr>
        <w:t>will not</w:t>
      </w:r>
      <w:r w:rsidR="00D957D5" w:rsidRPr="00273E54">
        <w:rPr>
          <w:rFonts w:ascii="Open Sans" w:hAnsi="Open Sans" w:cs="Open Sans"/>
          <w:szCs w:val="22"/>
        </w:rPr>
        <w:t xml:space="preserve"> incentivise </w:t>
      </w:r>
      <w:r w:rsidR="00D957D5">
        <w:rPr>
          <w:rFonts w:ascii="Open Sans" w:hAnsi="Open Sans" w:cs="Open Sans"/>
          <w:szCs w:val="22"/>
        </w:rPr>
        <w:t xml:space="preserve">renewable heat </w:t>
      </w:r>
      <w:r w:rsidR="00D957D5" w:rsidRPr="00273E54">
        <w:rPr>
          <w:rFonts w:ascii="Open Sans" w:hAnsi="Open Sans" w:cs="Open Sans"/>
          <w:szCs w:val="22"/>
        </w:rPr>
        <w:t xml:space="preserve">projects </w:t>
      </w:r>
      <w:r w:rsidR="00D957D5">
        <w:rPr>
          <w:rFonts w:ascii="Open Sans" w:hAnsi="Open Sans" w:cs="Open Sans"/>
          <w:szCs w:val="22"/>
        </w:rPr>
        <w:t xml:space="preserve">of any technology type </w:t>
      </w:r>
      <w:r w:rsidR="00D957D5" w:rsidRPr="00273E54">
        <w:rPr>
          <w:rFonts w:ascii="Open Sans" w:hAnsi="Open Sans" w:cs="Open Sans"/>
          <w:szCs w:val="22"/>
        </w:rPr>
        <w:t>much above 10kW</w:t>
      </w:r>
      <w:r w:rsidR="00D957D5">
        <w:rPr>
          <w:rFonts w:ascii="Open Sans" w:hAnsi="Open Sans" w:cs="Open Sans"/>
          <w:szCs w:val="22"/>
        </w:rPr>
        <w:t xml:space="preserve">, as the proportion of the total costs of the project are </w:t>
      </w:r>
      <w:r>
        <w:rPr>
          <w:rFonts w:ascii="Open Sans" w:hAnsi="Open Sans" w:cs="Open Sans"/>
          <w:szCs w:val="22"/>
        </w:rPr>
        <w:t xml:space="preserve">simply </w:t>
      </w:r>
      <w:r w:rsidR="00D957D5">
        <w:rPr>
          <w:rFonts w:ascii="Open Sans" w:hAnsi="Open Sans" w:cs="Open Sans"/>
          <w:szCs w:val="22"/>
        </w:rPr>
        <w:t>not significant enough</w:t>
      </w:r>
      <w:r w:rsidR="00D957D5" w:rsidRPr="00273E54">
        <w:rPr>
          <w:rFonts w:ascii="Open Sans" w:hAnsi="Open Sans" w:cs="Open Sans"/>
          <w:szCs w:val="22"/>
        </w:rPr>
        <w:t>.</w:t>
      </w:r>
      <w:r w:rsidR="00D957D5">
        <w:rPr>
          <w:rFonts w:ascii="Open Sans" w:hAnsi="Open Sans" w:cs="Open Sans"/>
          <w:szCs w:val="22"/>
        </w:rPr>
        <w:t xml:space="preserve"> </w:t>
      </w:r>
      <w:r w:rsidR="00326421">
        <w:rPr>
          <w:rFonts w:ascii="Open Sans" w:hAnsi="Open Sans" w:cs="Open Sans"/>
          <w:szCs w:val="22"/>
        </w:rPr>
        <w:t xml:space="preserve"> In all </w:t>
      </w:r>
      <w:r w:rsidR="0016569E">
        <w:rPr>
          <w:rFonts w:ascii="Open Sans" w:hAnsi="Open Sans" w:cs="Open Sans"/>
          <w:szCs w:val="22"/>
        </w:rPr>
        <w:t>technologies, capacities</w:t>
      </w:r>
      <w:r w:rsidR="00326421">
        <w:rPr>
          <w:rFonts w:ascii="Open Sans" w:hAnsi="Open Sans" w:cs="Open Sans"/>
          <w:szCs w:val="22"/>
        </w:rPr>
        <w:t xml:space="preserve"> of above 10 kW fall</w:t>
      </w:r>
      <w:r w:rsidR="0016569E">
        <w:rPr>
          <w:rFonts w:ascii="Open Sans" w:hAnsi="Open Sans" w:cs="Open Sans"/>
          <w:szCs w:val="22"/>
        </w:rPr>
        <w:t xml:space="preserve"> </w:t>
      </w:r>
      <w:r w:rsidR="00326421">
        <w:rPr>
          <w:rFonts w:ascii="Open Sans" w:hAnsi="Open Sans" w:cs="Open Sans"/>
          <w:szCs w:val="22"/>
        </w:rPr>
        <w:t>foul of BEIS</w:t>
      </w:r>
      <w:r w:rsidR="0016569E">
        <w:rPr>
          <w:rFonts w:ascii="Open Sans" w:hAnsi="Open Sans" w:cs="Open Sans"/>
          <w:szCs w:val="22"/>
        </w:rPr>
        <w:t>’s</w:t>
      </w:r>
      <w:r w:rsidR="00326421">
        <w:rPr>
          <w:rFonts w:ascii="Open Sans" w:hAnsi="Open Sans" w:cs="Open Sans"/>
          <w:szCs w:val="22"/>
        </w:rPr>
        <w:t xml:space="preserve"> justification of the “psychological threshold” </w:t>
      </w:r>
      <w:r w:rsidR="0016569E">
        <w:rPr>
          <w:rFonts w:ascii="Open Sans" w:hAnsi="Open Sans" w:cs="Open Sans"/>
          <w:szCs w:val="22"/>
        </w:rPr>
        <w:t>described in</w:t>
      </w:r>
      <w:r w:rsidR="00326421">
        <w:rPr>
          <w:rFonts w:ascii="Open Sans" w:hAnsi="Open Sans" w:cs="Open Sans"/>
          <w:szCs w:val="22"/>
        </w:rPr>
        <w:t xml:space="preserve"> the cited “</w:t>
      </w:r>
      <w:r w:rsidR="00326421" w:rsidRPr="00326421">
        <w:rPr>
          <w:rFonts w:ascii="Open Sans" w:hAnsi="Open Sans" w:cs="Open Sans"/>
          <w:szCs w:val="22"/>
        </w:rPr>
        <w:t>Price elasticity research</w:t>
      </w:r>
      <w:r w:rsidR="00326421">
        <w:rPr>
          <w:rFonts w:ascii="Open Sans" w:hAnsi="Open Sans" w:cs="Open Sans"/>
          <w:szCs w:val="22"/>
        </w:rPr>
        <w:t>”</w:t>
      </w:r>
      <w:r w:rsidR="0016569E">
        <w:rPr>
          <w:rFonts w:ascii="Open Sans" w:hAnsi="Open Sans" w:cs="Open Sans"/>
          <w:szCs w:val="22"/>
        </w:rPr>
        <w:t xml:space="preserve">. This makes clear </w:t>
      </w:r>
      <w:r w:rsidR="00326421">
        <w:rPr>
          <w:rFonts w:ascii="Open Sans" w:hAnsi="Open Sans" w:cs="Open Sans"/>
          <w:szCs w:val="22"/>
        </w:rPr>
        <w:t>consumers are much more likely to pay capital costs once the pr</w:t>
      </w:r>
      <w:r>
        <w:rPr>
          <w:rFonts w:ascii="Open Sans" w:hAnsi="Open Sans" w:cs="Open Sans"/>
          <w:szCs w:val="22"/>
        </w:rPr>
        <w:t>i</w:t>
      </w:r>
      <w:r w:rsidR="00326421">
        <w:rPr>
          <w:rFonts w:ascii="Open Sans" w:hAnsi="Open Sans" w:cs="Open Sans"/>
          <w:szCs w:val="22"/>
        </w:rPr>
        <w:t>ce falls below £</w:t>
      </w:r>
      <w:r w:rsidR="00603B3E">
        <w:rPr>
          <w:rFonts w:ascii="Open Sans" w:hAnsi="Open Sans" w:cs="Open Sans"/>
          <w:szCs w:val="22"/>
        </w:rPr>
        <w:t>10</w:t>
      </w:r>
      <w:r w:rsidR="00326421">
        <w:rPr>
          <w:rFonts w:ascii="Open Sans" w:hAnsi="Open Sans" w:cs="Open Sans"/>
          <w:szCs w:val="22"/>
        </w:rPr>
        <w:t>,000 pounds</w:t>
      </w:r>
      <w:r w:rsidR="00603B3E">
        <w:rPr>
          <w:rFonts w:ascii="Open Sans" w:hAnsi="Open Sans" w:cs="Open Sans"/>
          <w:szCs w:val="22"/>
        </w:rPr>
        <w:t xml:space="preserve">, with significant consumer uptake once below £7,000. </w:t>
      </w:r>
      <w:r w:rsidR="00326421">
        <w:rPr>
          <w:rFonts w:ascii="Open Sans" w:hAnsi="Open Sans" w:cs="Open Sans"/>
          <w:szCs w:val="22"/>
        </w:rPr>
        <w:t xml:space="preserve"> </w:t>
      </w:r>
    </w:p>
    <w:p w14:paraId="30BF38FA" w14:textId="6C9FAABB" w:rsidR="0033331E" w:rsidRDefault="0033331E" w:rsidP="00D957D5">
      <w:pPr>
        <w:rPr>
          <w:rFonts w:ascii="Open Sans" w:hAnsi="Open Sans" w:cs="Open Sans"/>
          <w:szCs w:val="22"/>
        </w:rPr>
      </w:pPr>
    </w:p>
    <w:p w14:paraId="7C9DB3D9" w14:textId="20F45ADC" w:rsidR="0033331E" w:rsidRDefault="0033331E" w:rsidP="0033331E">
      <w:pPr>
        <w:rPr>
          <w:rFonts w:ascii="Open Sans" w:hAnsi="Open Sans" w:cs="Open Sans"/>
          <w:szCs w:val="22"/>
        </w:rPr>
      </w:pPr>
      <w:r>
        <w:rPr>
          <w:rFonts w:ascii="Open Sans" w:hAnsi="Open Sans" w:cs="Open Sans"/>
          <w:szCs w:val="22"/>
        </w:rPr>
        <w:t xml:space="preserve">The £4000 level means that if a </w:t>
      </w:r>
      <w:r w:rsidR="00B15D68">
        <w:rPr>
          <w:rFonts w:ascii="Open Sans" w:hAnsi="Open Sans" w:cs="Open Sans"/>
          <w:szCs w:val="22"/>
        </w:rPr>
        <w:t>project</w:t>
      </w:r>
      <w:r>
        <w:rPr>
          <w:rFonts w:ascii="Open Sans" w:hAnsi="Open Sans" w:cs="Open Sans"/>
          <w:szCs w:val="22"/>
        </w:rPr>
        <w:t xml:space="preserve"> is</w:t>
      </w:r>
      <w:r w:rsidRPr="00273E54">
        <w:rPr>
          <w:rFonts w:ascii="Open Sans" w:hAnsi="Open Sans" w:cs="Open Sans"/>
          <w:szCs w:val="22"/>
        </w:rPr>
        <w:t xml:space="preserve"> deployed above</w:t>
      </w:r>
      <w:r>
        <w:rPr>
          <w:rFonts w:ascii="Open Sans" w:hAnsi="Open Sans" w:cs="Open Sans"/>
          <w:szCs w:val="22"/>
        </w:rPr>
        <w:t xml:space="preserve"> 10 kW, they</w:t>
      </w:r>
      <w:r w:rsidRPr="00273E54">
        <w:rPr>
          <w:rFonts w:ascii="Open Sans" w:hAnsi="Open Sans" w:cs="Open Sans"/>
          <w:szCs w:val="22"/>
        </w:rPr>
        <w:t xml:space="preserve"> are likely to be of low quality, or undersized</w:t>
      </w:r>
      <w:r w:rsidR="001972D5">
        <w:rPr>
          <w:rFonts w:ascii="Open Sans" w:hAnsi="Open Sans" w:cs="Open Sans"/>
          <w:szCs w:val="22"/>
        </w:rPr>
        <w:t xml:space="preserve"> to a level that does not meet the consumers heat needs</w:t>
      </w:r>
      <w:r w:rsidR="00B15D68">
        <w:rPr>
          <w:rFonts w:ascii="Open Sans" w:hAnsi="Open Sans" w:cs="Open Sans"/>
          <w:szCs w:val="22"/>
        </w:rPr>
        <w:t>.</w:t>
      </w:r>
      <w:r w:rsidRPr="00273E54">
        <w:rPr>
          <w:rFonts w:ascii="Open Sans" w:hAnsi="Open Sans" w:cs="Open Sans"/>
          <w:szCs w:val="22"/>
        </w:rPr>
        <w:t xml:space="preserve"> </w:t>
      </w:r>
      <w:r w:rsidR="00B15D68">
        <w:rPr>
          <w:rFonts w:ascii="Open Sans" w:hAnsi="Open Sans" w:cs="Open Sans"/>
          <w:szCs w:val="22"/>
        </w:rPr>
        <w:t>A</w:t>
      </w:r>
      <w:r w:rsidR="001972D5">
        <w:rPr>
          <w:rFonts w:ascii="Open Sans" w:hAnsi="Open Sans" w:cs="Open Sans"/>
          <w:szCs w:val="22"/>
        </w:rPr>
        <w:t xml:space="preserve">pplicants </w:t>
      </w:r>
      <w:r w:rsidRPr="00273E54">
        <w:rPr>
          <w:rFonts w:ascii="Open Sans" w:hAnsi="Open Sans" w:cs="Open Sans"/>
          <w:szCs w:val="22"/>
        </w:rPr>
        <w:t xml:space="preserve"> are </w:t>
      </w:r>
      <w:r w:rsidR="00B15D68">
        <w:rPr>
          <w:rFonts w:ascii="Open Sans" w:hAnsi="Open Sans" w:cs="Open Sans"/>
          <w:szCs w:val="22"/>
        </w:rPr>
        <w:t xml:space="preserve">effectively </w:t>
      </w:r>
      <w:r w:rsidRPr="00273E54">
        <w:rPr>
          <w:rFonts w:ascii="Open Sans" w:hAnsi="Open Sans" w:cs="Open Sans"/>
          <w:szCs w:val="22"/>
        </w:rPr>
        <w:t xml:space="preserve">disincentivised to consider </w:t>
      </w:r>
      <w:r>
        <w:rPr>
          <w:rFonts w:ascii="Open Sans" w:hAnsi="Open Sans" w:cs="Open Sans"/>
          <w:szCs w:val="22"/>
        </w:rPr>
        <w:t xml:space="preserve">better designed </w:t>
      </w:r>
      <w:r w:rsidRPr="00273E54">
        <w:rPr>
          <w:rFonts w:ascii="Open Sans" w:hAnsi="Open Sans" w:cs="Open Sans"/>
          <w:szCs w:val="22"/>
        </w:rPr>
        <w:t>projects where the grant will cover less of the total project cost.</w:t>
      </w:r>
      <w:r>
        <w:rPr>
          <w:rFonts w:ascii="Open Sans" w:hAnsi="Open Sans" w:cs="Open Sans"/>
          <w:szCs w:val="22"/>
        </w:rPr>
        <w:t xml:space="preserve"> </w:t>
      </w:r>
    </w:p>
    <w:p w14:paraId="2845DFB4" w14:textId="1BA3CFB7" w:rsidR="004D3668" w:rsidRPr="004D3668" w:rsidRDefault="004D3668" w:rsidP="0033331E">
      <w:pPr>
        <w:rPr>
          <w:rFonts w:ascii="Open Sans" w:hAnsi="Open Sans" w:cs="Open Sans"/>
          <w:szCs w:val="22"/>
        </w:rPr>
      </w:pPr>
    </w:p>
    <w:p w14:paraId="7664525B" w14:textId="6A17E32E" w:rsidR="004D3668" w:rsidRPr="004D3668" w:rsidRDefault="004D3668" w:rsidP="0033331E">
      <w:pPr>
        <w:rPr>
          <w:rFonts w:ascii="Open Sans" w:hAnsi="Open Sans" w:cs="Open Sans"/>
          <w:szCs w:val="22"/>
        </w:rPr>
      </w:pPr>
      <w:r w:rsidRPr="004D3668">
        <w:rPr>
          <w:rFonts w:ascii="Open Sans" w:hAnsi="Open Sans" w:cs="Open Sans"/>
        </w:rPr>
        <w:t>It is further worth noting that much of the activity in the RHI market to date at the &lt;10kW scale has been</w:t>
      </w:r>
      <w:r w:rsidRPr="004D3668">
        <w:t xml:space="preserve"> </w:t>
      </w:r>
      <w:r w:rsidRPr="004D3668">
        <w:rPr>
          <w:rFonts w:ascii="Open Sans" w:hAnsi="Open Sans" w:cs="Open Sans"/>
        </w:rPr>
        <w:t>usefully</w:t>
      </w:r>
      <w:r w:rsidRPr="004D3668">
        <w:t xml:space="preserve"> </w:t>
      </w:r>
      <w:r w:rsidRPr="004D3668">
        <w:rPr>
          <w:rFonts w:ascii="Open Sans" w:hAnsi="Open Sans" w:cs="Open Sans"/>
        </w:rPr>
        <w:t>driven by social housing providers taking advantage of the RHI to replace night storage heaters, and should not be seen as an indicator of the likely future growth market for renewable heating systems.</w:t>
      </w:r>
    </w:p>
    <w:p w14:paraId="4BF4779E" w14:textId="77777777" w:rsidR="0033331E" w:rsidRDefault="0033331E" w:rsidP="00D957D5">
      <w:pPr>
        <w:rPr>
          <w:rFonts w:ascii="Open Sans" w:hAnsi="Open Sans" w:cs="Open Sans"/>
          <w:szCs w:val="22"/>
        </w:rPr>
      </w:pPr>
    </w:p>
    <w:p w14:paraId="2DB9F939" w14:textId="5E6DD3A5" w:rsidR="0033331E" w:rsidRDefault="0033331E" w:rsidP="00D957D5">
      <w:pPr>
        <w:rPr>
          <w:rFonts w:ascii="Open Sans" w:hAnsi="Open Sans" w:cs="Open Sans"/>
          <w:szCs w:val="22"/>
        </w:rPr>
      </w:pPr>
      <w:r>
        <w:rPr>
          <w:rFonts w:ascii="Open Sans" w:hAnsi="Open Sans" w:cs="Open Sans"/>
          <w:szCs w:val="22"/>
        </w:rPr>
        <w:t xml:space="preserve">As explained further in answer to question 26 we strongly encourage BEIS to consider a </w:t>
      </w:r>
      <w:r w:rsidR="0016569E">
        <w:rPr>
          <w:rFonts w:ascii="Open Sans" w:hAnsi="Open Sans" w:cs="Open Sans"/>
          <w:szCs w:val="22"/>
        </w:rPr>
        <w:t>flexible grant</w:t>
      </w:r>
      <w:r>
        <w:rPr>
          <w:rFonts w:ascii="Open Sans" w:hAnsi="Open Sans" w:cs="Open Sans"/>
          <w:szCs w:val="22"/>
        </w:rPr>
        <w:t xml:space="preserve">-based on the capacity </w:t>
      </w:r>
      <w:r w:rsidR="00603B3E">
        <w:rPr>
          <w:rFonts w:ascii="Open Sans" w:hAnsi="Open Sans" w:cs="Open Sans"/>
          <w:szCs w:val="22"/>
        </w:rPr>
        <w:t>needed to be</w:t>
      </w:r>
      <w:r>
        <w:rPr>
          <w:rFonts w:ascii="Open Sans" w:hAnsi="Open Sans" w:cs="Open Sans"/>
          <w:szCs w:val="22"/>
        </w:rPr>
        <w:t xml:space="preserve"> deployed. </w:t>
      </w:r>
    </w:p>
    <w:p w14:paraId="365D4B0A" w14:textId="3414A044" w:rsidR="0016569E" w:rsidRDefault="0016569E" w:rsidP="00D957D5">
      <w:pPr>
        <w:rPr>
          <w:rFonts w:ascii="Open Sans" w:hAnsi="Open Sans" w:cs="Open Sans"/>
          <w:szCs w:val="22"/>
        </w:rPr>
      </w:pPr>
    </w:p>
    <w:p w14:paraId="2DCEDCA2" w14:textId="5A7A4012" w:rsidR="00326421" w:rsidRPr="0016569E" w:rsidRDefault="0016569E" w:rsidP="00D957D5">
      <w:pPr>
        <w:rPr>
          <w:rFonts w:ascii="Open Sans" w:hAnsi="Open Sans" w:cs="Open Sans"/>
          <w:b/>
          <w:bCs/>
          <w:i/>
          <w:iCs/>
          <w:szCs w:val="22"/>
        </w:rPr>
      </w:pPr>
      <w:r w:rsidRPr="0016569E">
        <w:rPr>
          <w:rFonts w:ascii="Open Sans" w:hAnsi="Open Sans" w:cs="Open Sans"/>
          <w:b/>
          <w:bCs/>
          <w:i/>
          <w:iCs/>
          <w:szCs w:val="22"/>
        </w:rPr>
        <w:t xml:space="preserve">Table 1: A </w:t>
      </w:r>
      <w:r>
        <w:rPr>
          <w:rFonts w:ascii="Open Sans" w:hAnsi="Open Sans" w:cs="Open Sans"/>
          <w:b/>
          <w:bCs/>
          <w:i/>
          <w:iCs/>
          <w:szCs w:val="22"/>
        </w:rPr>
        <w:t>flat g</w:t>
      </w:r>
      <w:r w:rsidRPr="0016569E">
        <w:rPr>
          <w:rFonts w:ascii="Open Sans" w:hAnsi="Open Sans" w:cs="Open Sans"/>
          <w:b/>
          <w:bCs/>
          <w:i/>
          <w:iCs/>
          <w:szCs w:val="22"/>
        </w:rPr>
        <w:t>rant of £4000 will not incentivise deployment much above 10 kW.</w:t>
      </w:r>
    </w:p>
    <w:tbl>
      <w:tblPr>
        <w:tblStyle w:val="TableGrid"/>
        <w:tblW w:w="9493" w:type="dxa"/>
        <w:tblLayout w:type="fixed"/>
        <w:tblLook w:val="04A0" w:firstRow="1" w:lastRow="0" w:firstColumn="1" w:lastColumn="0" w:noHBand="0" w:noVBand="1"/>
      </w:tblPr>
      <w:tblGrid>
        <w:gridCol w:w="1555"/>
        <w:gridCol w:w="1417"/>
        <w:gridCol w:w="1418"/>
        <w:gridCol w:w="992"/>
        <w:gridCol w:w="1276"/>
        <w:gridCol w:w="1417"/>
        <w:gridCol w:w="1418"/>
      </w:tblGrid>
      <w:tr w:rsidR="001E0B1F" w14:paraId="050D4BE7" w14:textId="77777777" w:rsidTr="001E0B1F">
        <w:tc>
          <w:tcPr>
            <w:tcW w:w="1555" w:type="dxa"/>
          </w:tcPr>
          <w:p w14:paraId="40A8252E" w14:textId="70205971" w:rsidR="00D957D5" w:rsidRPr="00362145" w:rsidRDefault="00D957D5" w:rsidP="003326CA">
            <w:pPr>
              <w:rPr>
                <w:rFonts w:ascii="Open Sans" w:hAnsi="Open Sans" w:cs="Open Sans"/>
                <w:b/>
                <w:bCs/>
                <w:sz w:val="18"/>
                <w:szCs w:val="18"/>
              </w:rPr>
            </w:pPr>
            <w:r w:rsidRPr="00362145">
              <w:rPr>
                <w:rFonts w:ascii="Open Sans" w:hAnsi="Open Sans" w:cs="Open Sans"/>
                <w:b/>
                <w:bCs/>
                <w:sz w:val="18"/>
                <w:szCs w:val="18"/>
              </w:rPr>
              <w:t>Technology</w:t>
            </w:r>
          </w:p>
        </w:tc>
        <w:tc>
          <w:tcPr>
            <w:tcW w:w="1417" w:type="dxa"/>
          </w:tcPr>
          <w:p w14:paraId="0DA73865" w14:textId="774552D9" w:rsidR="00D957D5" w:rsidRPr="00362145" w:rsidRDefault="00D957D5" w:rsidP="003326CA">
            <w:pPr>
              <w:rPr>
                <w:rFonts w:ascii="Open Sans" w:hAnsi="Open Sans" w:cs="Open Sans"/>
                <w:b/>
                <w:bCs/>
                <w:sz w:val="18"/>
                <w:szCs w:val="18"/>
              </w:rPr>
            </w:pPr>
            <w:r w:rsidRPr="00362145">
              <w:rPr>
                <w:rFonts w:ascii="Open Sans" w:hAnsi="Open Sans" w:cs="Open Sans"/>
                <w:b/>
                <w:bCs/>
                <w:sz w:val="18"/>
                <w:szCs w:val="18"/>
              </w:rPr>
              <w:t>Installation Capacity (kW)</w:t>
            </w:r>
          </w:p>
        </w:tc>
        <w:tc>
          <w:tcPr>
            <w:tcW w:w="1418" w:type="dxa"/>
          </w:tcPr>
          <w:p w14:paraId="632B36A2" w14:textId="04BA75B1" w:rsidR="00D957D5" w:rsidRPr="00362145" w:rsidRDefault="00D957D5" w:rsidP="003326CA">
            <w:pPr>
              <w:rPr>
                <w:rFonts w:ascii="Open Sans" w:hAnsi="Open Sans" w:cs="Open Sans"/>
                <w:b/>
                <w:bCs/>
                <w:sz w:val="18"/>
                <w:szCs w:val="18"/>
              </w:rPr>
            </w:pPr>
            <w:r w:rsidRPr="00362145">
              <w:rPr>
                <w:rFonts w:ascii="Open Sans" w:hAnsi="Open Sans" w:cs="Open Sans"/>
                <w:b/>
                <w:bCs/>
                <w:sz w:val="18"/>
                <w:szCs w:val="18"/>
              </w:rPr>
              <w:t xml:space="preserve">Median recorded cost of installation under the Domestic RHI April 2014 – Dec 2019 </w:t>
            </w:r>
          </w:p>
        </w:tc>
        <w:tc>
          <w:tcPr>
            <w:tcW w:w="992" w:type="dxa"/>
          </w:tcPr>
          <w:p w14:paraId="255A0495" w14:textId="77777777" w:rsidR="00D957D5" w:rsidRPr="00362145" w:rsidRDefault="00D957D5" w:rsidP="00421034">
            <w:pPr>
              <w:rPr>
                <w:rFonts w:ascii="Arial" w:hAnsi="Arial" w:cs="Arial"/>
                <w:b/>
                <w:bCs/>
                <w:color w:val="000000"/>
                <w:sz w:val="18"/>
                <w:szCs w:val="18"/>
              </w:rPr>
            </w:pPr>
            <w:r w:rsidRPr="00362145">
              <w:rPr>
                <w:rFonts w:ascii="Arial" w:hAnsi="Arial" w:cs="Arial"/>
                <w:b/>
                <w:bCs/>
                <w:color w:val="000000"/>
                <w:sz w:val="18"/>
                <w:szCs w:val="18"/>
              </w:rPr>
              <w:t>Cost per Kilowatt of Capacity (£/kW)</w:t>
            </w:r>
            <w:r w:rsidRPr="00362145">
              <w:rPr>
                <w:rFonts w:ascii="Arial" w:hAnsi="Arial" w:cs="Arial"/>
                <w:b/>
                <w:bCs/>
                <w:color w:val="000000"/>
                <w:sz w:val="18"/>
                <w:szCs w:val="18"/>
                <w:vertAlign w:val="superscript"/>
              </w:rPr>
              <w:t>2</w:t>
            </w:r>
          </w:p>
          <w:p w14:paraId="0BDBCAAF" w14:textId="77777777" w:rsidR="00D957D5" w:rsidRPr="00362145" w:rsidRDefault="00D957D5" w:rsidP="003326CA">
            <w:pPr>
              <w:rPr>
                <w:rFonts w:ascii="Open Sans" w:hAnsi="Open Sans" w:cs="Open Sans"/>
                <w:b/>
                <w:bCs/>
                <w:sz w:val="18"/>
                <w:szCs w:val="18"/>
              </w:rPr>
            </w:pPr>
          </w:p>
        </w:tc>
        <w:tc>
          <w:tcPr>
            <w:tcW w:w="1276" w:type="dxa"/>
          </w:tcPr>
          <w:p w14:paraId="09FB4949" w14:textId="020545B2" w:rsidR="00D957D5" w:rsidRPr="00362145" w:rsidRDefault="00D957D5" w:rsidP="003326CA">
            <w:pPr>
              <w:rPr>
                <w:rFonts w:ascii="Open Sans" w:hAnsi="Open Sans" w:cs="Open Sans"/>
                <w:b/>
                <w:bCs/>
                <w:sz w:val="18"/>
                <w:szCs w:val="18"/>
              </w:rPr>
            </w:pPr>
            <w:r w:rsidRPr="00362145">
              <w:rPr>
                <w:rFonts w:ascii="Open Sans" w:hAnsi="Open Sans" w:cs="Open Sans"/>
                <w:b/>
                <w:bCs/>
                <w:sz w:val="18"/>
                <w:szCs w:val="18"/>
              </w:rPr>
              <w:t>Percentage (%) of project cost covered by £4000 grant</w:t>
            </w:r>
          </w:p>
        </w:tc>
        <w:tc>
          <w:tcPr>
            <w:tcW w:w="1417" w:type="dxa"/>
          </w:tcPr>
          <w:p w14:paraId="0837215B" w14:textId="01B9E920" w:rsidR="00D957D5" w:rsidRPr="00362145" w:rsidRDefault="00D957D5" w:rsidP="003326CA">
            <w:pPr>
              <w:rPr>
                <w:rFonts w:ascii="Open Sans" w:hAnsi="Open Sans" w:cs="Open Sans"/>
                <w:b/>
                <w:bCs/>
                <w:sz w:val="18"/>
                <w:szCs w:val="18"/>
              </w:rPr>
            </w:pPr>
            <w:r w:rsidRPr="00362145">
              <w:rPr>
                <w:rFonts w:ascii="Open Sans" w:hAnsi="Open Sans" w:cs="Open Sans"/>
                <w:b/>
                <w:bCs/>
                <w:sz w:val="18"/>
                <w:szCs w:val="18"/>
              </w:rPr>
              <w:t xml:space="preserve">Expected capital cost still needed to be met by the consumer </w:t>
            </w:r>
          </w:p>
        </w:tc>
        <w:tc>
          <w:tcPr>
            <w:tcW w:w="1418" w:type="dxa"/>
          </w:tcPr>
          <w:p w14:paraId="46075D80" w14:textId="1EBA8DC3" w:rsidR="00D957D5" w:rsidRPr="00362145" w:rsidRDefault="00D957D5" w:rsidP="003326CA">
            <w:pPr>
              <w:rPr>
                <w:rFonts w:ascii="Open Sans" w:hAnsi="Open Sans" w:cs="Open Sans"/>
                <w:b/>
                <w:bCs/>
                <w:sz w:val="18"/>
                <w:szCs w:val="18"/>
              </w:rPr>
            </w:pPr>
            <w:r w:rsidRPr="00362145">
              <w:rPr>
                <w:rFonts w:ascii="Open Sans" w:hAnsi="Open Sans" w:cs="Open Sans"/>
                <w:b/>
                <w:bCs/>
                <w:sz w:val="18"/>
                <w:szCs w:val="18"/>
              </w:rPr>
              <w:t xml:space="preserve">Is </w:t>
            </w:r>
            <w:r w:rsidR="00326421" w:rsidRPr="00362145">
              <w:rPr>
                <w:rFonts w:ascii="Open Sans" w:hAnsi="Open Sans" w:cs="Open Sans"/>
                <w:b/>
                <w:bCs/>
                <w:sz w:val="18"/>
                <w:szCs w:val="18"/>
              </w:rPr>
              <w:t xml:space="preserve">cost to consumer </w:t>
            </w:r>
            <w:r w:rsidRPr="00362145">
              <w:rPr>
                <w:rFonts w:ascii="Open Sans" w:hAnsi="Open Sans" w:cs="Open Sans"/>
                <w:b/>
                <w:bCs/>
                <w:sz w:val="18"/>
                <w:szCs w:val="18"/>
              </w:rPr>
              <w:t xml:space="preserve">below £7000 </w:t>
            </w:r>
            <w:r w:rsidR="00326421" w:rsidRPr="00362145">
              <w:rPr>
                <w:rFonts w:ascii="Open Sans" w:hAnsi="Open Sans" w:cs="Open Sans"/>
                <w:b/>
                <w:bCs/>
                <w:sz w:val="18"/>
                <w:szCs w:val="18"/>
              </w:rPr>
              <w:t xml:space="preserve">- </w:t>
            </w:r>
            <w:r w:rsidRPr="00362145">
              <w:rPr>
                <w:rFonts w:ascii="Open Sans" w:hAnsi="Open Sans" w:cs="Open Sans"/>
                <w:b/>
                <w:bCs/>
                <w:sz w:val="18"/>
                <w:szCs w:val="18"/>
              </w:rPr>
              <w:t>the “</w:t>
            </w:r>
            <w:r w:rsidR="00BB37F9" w:rsidRPr="00362145">
              <w:rPr>
                <w:rFonts w:ascii="Open Sans" w:hAnsi="Open Sans" w:cs="Open Sans"/>
                <w:b/>
                <w:bCs/>
                <w:sz w:val="18"/>
                <w:szCs w:val="18"/>
              </w:rPr>
              <w:t>psychological</w:t>
            </w:r>
            <w:r w:rsidRPr="00362145">
              <w:rPr>
                <w:rFonts w:ascii="Open Sans" w:hAnsi="Open Sans" w:cs="Open Sans"/>
                <w:b/>
                <w:bCs/>
                <w:sz w:val="18"/>
                <w:szCs w:val="18"/>
              </w:rPr>
              <w:t xml:space="preserve"> threshold” </w:t>
            </w:r>
            <w:r w:rsidR="00326421" w:rsidRPr="00362145">
              <w:rPr>
                <w:rFonts w:ascii="Open Sans" w:hAnsi="Open Sans" w:cs="Open Sans"/>
                <w:b/>
                <w:bCs/>
                <w:sz w:val="18"/>
                <w:szCs w:val="18"/>
              </w:rPr>
              <w:t>for deployment</w:t>
            </w:r>
          </w:p>
        </w:tc>
      </w:tr>
      <w:tr w:rsidR="001E0B1F" w14:paraId="222F508E" w14:textId="77777777" w:rsidTr="006550DA">
        <w:trPr>
          <w:trHeight w:val="208"/>
        </w:trPr>
        <w:tc>
          <w:tcPr>
            <w:tcW w:w="1555" w:type="dxa"/>
            <w:vMerge w:val="restart"/>
            <w:vAlign w:val="center"/>
          </w:tcPr>
          <w:p w14:paraId="6A25903E" w14:textId="7A3C38B5" w:rsidR="00326421" w:rsidRPr="00362145" w:rsidRDefault="00326421" w:rsidP="006550DA">
            <w:pPr>
              <w:jc w:val="center"/>
              <w:rPr>
                <w:rFonts w:ascii="Open Sans" w:hAnsi="Open Sans" w:cs="Open Sans"/>
                <w:sz w:val="18"/>
                <w:szCs w:val="18"/>
              </w:rPr>
            </w:pPr>
            <w:r w:rsidRPr="00362145">
              <w:rPr>
                <w:rFonts w:ascii="Open Sans" w:hAnsi="Open Sans" w:cs="Open Sans"/>
                <w:sz w:val="18"/>
                <w:szCs w:val="18"/>
              </w:rPr>
              <w:t>Air Source Heat Pump</w:t>
            </w:r>
          </w:p>
        </w:tc>
        <w:tc>
          <w:tcPr>
            <w:tcW w:w="1417" w:type="dxa"/>
            <w:vAlign w:val="center"/>
          </w:tcPr>
          <w:p w14:paraId="3E1B849F" w14:textId="582FFBE7" w:rsidR="00326421" w:rsidRPr="00B15D68" w:rsidRDefault="00326421" w:rsidP="006550DA">
            <w:pPr>
              <w:jc w:val="center"/>
              <w:rPr>
                <w:rFonts w:ascii="Open Sans" w:hAnsi="Open Sans" w:cs="Open Sans"/>
                <w:color w:val="00B050"/>
                <w:sz w:val="18"/>
                <w:szCs w:val="18"/>
              </w:rPr>
            </w:pPr>
            <w:r w:rsidRPr="00B15D68">
              <w:rPr>
                <w:rFonts w:ascii="Arial" w:hAnsi="Arial" w:cs="Arial"/>
                <w:color w:val="00B050"/>
                <w:sz w:val="18"/>
                <w:szCs w:val="18"/>
              </w:rPr>
              <w:t>Less than 5</w:t>
            </w:r>
          </w:p>
        </w:tc>
        <w:tc>
          <w:tcPr>
            <w:tcW w:w="1418" w:type="dxa"/>
            <w:vAlign w:val="center"/>
          </w:tcPr>
          <w:p w14:paraId="40BBA965" w14:textId="17F3B569" w:rsidR="00326421" w:rsidRPr="00B15D68" w:rsidRDefault="00326421" w:rsidP="006550DA">
            <w:pPr>
              <w:jc w:val="center"/>
              <w:rPr>
                <w:rFonts w:ascii="Open Sans" w:hAnsi="Open Sans" w:cs="Open Sans"/>
                <w:color w:val="00B050"/>
                <w:sz w:val="18"/>
                <w:szCs w:val="18"/>
              </w:rPr>
            </w:pPr>
            <w:r w:rsidRPr="00B15D68">
              <w:rPr>
                <w:rFonts w:ascii="Arial" w:hAnsi="Arial" w:cs="Arial"/>
                <w:color w:val="00B050"/>
                <w:sz w:val="18"/>
                <w:szCs w:val="18"/>
              </w:rPr>
              <w:t>£7,290</w:t>
            </w:r>
          </w:p>
        </w:tc>
        <w:tc>
          <w:tcPr>
            <w:tcW w:w="992" w:type="dxa"/>
            <w:vAlign w:val="center"/>
          </w:tcPr>
          <w:p w14:paraId="7A5E552A" w14:textId="735A6785" w:rsidR="00326421" w:rsidRPr="00B15D68" w:rsidRDefault="00326421" w:rsidP="006550DA">
            <w:pPr>
              <w:jc w:val="center"/>
              <w:rPr>
                <w:rFonts w:ascii="Open Sans" w:hAnsi="Open Sans" w:cs="Open Sans"/>
                <w:color w:val="00B050"/>
                <w:sz w:val="18"/>
                <w:szCs w:val="18"/>
              </w:rPr>
            </w:pPr>
            <w:r w:rsidRPr="00B15D68">
              <w:rPr>
                <w:rFonts w:ascii="Arial" w:hAnsi="Arial" w:cs="Arial"/>
                <w:color w:val="00B050"/>
                <w:sz w:val="18"/>
                <w:szCs w:val="18"/>
              </w:rPr>
              <w:t>£1,480</w:t>
            </w:r>
          </w:p>
        </w:tc>
        <w:tc>
          <w:tcPr>
            <w:tcW w:w="1276" w:type="dxa"/>
            <w:vAlign w:val="center"/>
          </w:tcPr>
          <w:p w14:paraId="0FF6256C" w14:textId="6E424CEE" w:rsidR="00326421" w:rsidRPr="00B15D68" w:rsidRDefault="00326421" w:rsidP="006550DA">
            <w:pPr>
              <w:jc w:val="center"/>
              <w:rPr>
                <w:rFonts w:ascii="Open Sans" w:hAnsi="Open Sans" w:cs="Open Sans"/>
                <w:color w:val="00B050"/>
                <w:sz w:val="18"/>
                <w:szCs w:val="18"/>
              </w:rPr>
            </w:pPr>
            <w:r w:rsidRPr="00B15D68">
              <w:rPr>
                <w:rFonts w:ascii="Arial" w:hAnsi="Arial" w:cs="Arial"/>
                <w:color w:val="00B050"/>
                <w:sz w:val="18"/>
                <w:szCs w:val="18"/>
              </w:rPr>
              <w:t>55 %</w:t>
            </w:r>
          </w:p>
        </w:tc>
        <w:tc>
          <w:tcPr>
            <w:tcW w:w="1417" w:type="dxa"/>
            <w:vAlign w:val="center"/>
          </w:tcPr>
          <w:p w14:paraId="710648C5" w14:textId="690C699D" w:rsidR="00326421" w:rsidRPr="00B15D68" w:rsidRDefault="00326421" w:rsidP="006550DA">
            <w:pPr>
              <w:jc w:val="center"/>
              <w:rPr>
                <w:rFonts w:ascii="Open Sans" w:hAnsi="Open Sans" w:cs="Open Sans"/>
                <w:color w:val="00B050"/>
                <w:sz w:val="18"/>
                <w:szCs w:val="18"/>
              </w:rPr>
            </w:pPr>
            <w:r w:rsidRPr="00B15D68">
              <w:rPr>
                <w:rFonts w:ascii="Arial" w:hAnsi="Arial" w:cs="Arial"/>
                <w:color w:val="00B050"/>
                <w:sz w:val="18"/>
                <w:szCs w:val="18"/>
              </w:rPr>
              <w:t>£3,290</w:t>
            </w:r>
          </w:p>
        </w:tc>
        <w:tc>
          <w:tcPr>
            <w:tcW w:w="1418" w:type="dxa"/>
            <w:vAlign w:val="center"/>
          </w:tcPr>
          <w:p w14:paraId="192291AC" w14:textId="482F6A4A" w:rsidR="00326421" w:rsidRPr="00B15D68" w:rsidRDefault="00326421" w:rsidP="006550DA">
            <w:pPr>
              <w:jc w:val="center"/>
              <w:rPr>
                <w:rFonts w:ascii="Open Sans" w:hAnsi="Open Sans" w:cs="Open Sans"/>
                <w:color w:val="00B050"/>
                <w:sz w:val="18"/>
                <w:szCs w:val="18"/>
              </w:rPr>
            </w:pPr>
            <w:r w:rsidRPr="00B15D68">
              <w:rPr>
                <w:rFonts w:ascii="Open Sans" w:hAnsi="Open Sans" w:cs="Open Sans"/>
                <w:color w:val="00B050"/>
                <w:sz w:val="18"/>
                <w:szCs w:val="18"/>
              </w:rPr>
              <w:t>Yes</w:t>
            </w:r>
          </w:p>
        </w:tc>
      </w:tr>
      <w:tr w:rsidR="001E0B1F" w14:paraId="1A57BBC2" w14:textId="77777777" w:rsidTr="006550DA">
        <w:tc>
          <w:tcPr>
            <w:tcW w:w="1555" w:type="dxa"/>
            <w:vMerge/>
            <w:vAlign w:val="center"/>
          </w:tcPr>
          <w:p w14:paraId="0C320C6A" w14:textId="77777777" w:rsidR="00326421" w:rsidRPr="00362145" w:rsidRDefault="00326421" w:rsidP="006550DA">
            <w:pPr>
              <w:jc w:val="center"/>
              <w:rPr>
                <w:rFonts w:ascii="Open Sans" w:hAnsi="Open Sans" w:cs="Open Sans"/>
                <w:sz w:val="18"/>
                <w:szCs w:val="18"/>
              </w:rPr>
            </w:pPr>
          </w:p>
        </w:tc>
        <w:tc>
          <w:tcPr>
            <w:tcW w:w="1417" w:type="dxa"/>
            <w:vAlign w:val="center"/>
          </w:tcPr>
          <w:p w14:paraId="7712F427" w14:textId="43DFA9D4" w:rsidR="00326421" w:rsidRPr="00B15D68" w:rsidRDefault="00326421" w:rsidP="006550DA">
            <w:pPr>
              <w:jc w:val="center"/>
              <w:rPr>
                <w:rFonts w:ascii="Open Sans" w:hAnsi="Open Sans" w:cs="Open Sans"/>
                <w:color w:val="00B050"/>
                <w:sz w:val="18"/>
                <w:szCs w:val="18"/>
              </w:rPr>
            </w:pPr>
            <w:r w:rsidRPr="00B15D68">
              <w:rPr>
                <w:rFonts w:ascii="Arial" w:hAnsi="Arial" w:cs="Arial"/>
                <w:color w:val="00B050"/>
                <w:sz w:val="18"/>
                <w:szCs w:val="18"/>
              </w:rPr>
              <w:t>6 - 10</w:t>
            </w:r>
          </w:p>
        </w:tc>
        <w:tc>
          <w:tcPr>
            <w:tcW w:w="1418" w:type="dxa"/>
            <w:vAlign w:val="center"/>
          </w:tcPr>
          <w:p w14:paraId="2D2D7E78" w14:textId="59A956D8" w:rsidR="00326421" w:rsidRPr="00B15D68" w:rsidRDefault="00326421" w:rsidP="006550DA">
            <w:pPr>
              <w:jc w:val="center"/>
              <w:rPr>
                <w:rFonts w:ascii="Open Sans" w:hAnsi="Open Sans" w:cs="Open Sans"/>
                <w:color w:val="00B050"/>
                <w:sz w:val="18"/>
                <w:szCs w:val="18"/>
              </w:rPr>
            </w:pPr>
            <w:r w:rsidRPr="00B15D68">
              <w:rPr>
                <w:rFonts w:ascii="Arial" w:hAnsi="Arial" w:cs="Arial"/>
                <w:color w:val="00B050"/>
                <w:sz w:val="18"/>
                <w:szCs w:val="18"/>
              </w:rPr>
              <w:t>£8,220</w:t>
            </w:r>
          </w:p>
        </w:tc>
        <w:tc>
          <w:tcPr>
            <w:tcW w:w="992" w:type="dxa"/>
            <w:vAlign w:val="center"/>
          </w:tcPr>
          <w:p w14:paraId="455996A3" w14:textId="48A11FD5" w:rsidR="00326421" w:rsidRPr="00B15D68" w:rsidRDefault="00326421" w:rsidP="006550DA">
            <w:pPr>
              <w:jc w:val="center"/>
              <w:rPr>
                <w:rFonts w:ascii="Open Sans" w:hAnsi="Open Sans" w:cs="Open Sans"/>
                <w:color w:val="00B050"/>
                <w:sz w:val="18"/>
                <w:szCs w:val="18"/>
              </w:rPr>
            </w:pPr>
            <w:r w:rsidRPr="00B15D68">
              <w:rPr>
                <w:rFonts w:ascii="Arial" w:hAnsi="Arial" w:cs="Arial"/>
                <w:color w:val="00B050"/>
                <w:sz w:val="18"/>
                <w:szCs w:val="18"/>
              </w:rPr>
              <w:t>£1,080</w:t>
            </w:r>
          </w:p>
        </w:tc>
        <w:tc>
          <w:tcPr>
            <w:tcW w:w="1276" w:type="dxa"/>
            <w:vAlign w:val="center"/>
          </w:tcPr>
          <w:p w14:paraId="18F4CB47" w14:textId="684F0751" w:rsidR="00326421" w:rsidRPr="00B15D68" w:rsidRDefault="00326421" w:rsidP="006550DA">
            <w:pPr>
              <w:jc w:val="center"/>
              <w:rPr>
                <w:rFonts w:ascii="Open Sans" w:hAnsi="Open Sans" w:cs="Open Sans"/>
                <w:color w:val="00B050"/>
                <w:sz w:val="18"/>
                <w:szCs w:val="18"/>
              </w:rPr>
            </w:pPr>
            <w:r w:rsidRPr="00B15D68">
              <w:rPr>
                <w:rFonts w:ascii="Arial" w:hAnsi="Arial" w:cs="Arial"/>
                <w:color w:val="00B050"/>
                <w:sz w:val="18"/>
                <w:szCs w:val="18"/>
              </w:rPr>
              <w:t>49 %</w:t>
            </w:r>
          </w:p>
        </w:tc>
        <w:tc>
          <w:tcPr>
            <w:tcW w:w="1417" w:type="dxa"/>
            <w:vAlign w:val="center"/>
          </w:tcPr>
          <w:p w14:paraId="02271107" w14:textId="236E6228" w:rsidR="00326421" w:rsidRPr="00B15D68" w:rsidRDefault="00326421" w:rsidP="006550DA">
            <w:pPr>
              <w:jc w:val="center"/>
              <w:rPr>
                <w:rFonts w:ascii="Open Sans" w:hAnsi="Open Sans" w:cs="Open Sans"/>
                <w:color w:val="00B050"/>
                <w:sz w:val="18"/>
                <w:szCs w:val="18"/>
              </w:rPr>
            </w:pPr>
            <w:r w:rsidRPr="00B15D68">
              <w:rPr>
                <w:rFonts w:ascii="Arial" w:hAnsi="Arial" w:cs="Arial"/>
                <w:color w:val="00B050"/>
                <w:sz w:val="18"/>
                <w:szCs w:val="18"/>
              </w:rPr>
              <w:t>£4,220</w:t>
            </w:r>
          </w:p>
        </w:tc>
        <w:tc>
          <w:tcPr>
            <w:tcW w:w="1418" w:type="dxa"/>
            <w:vAlign w:val="center"/>
          </w:tcPr>
          <w:p w14:paraId="2FC4EFCB" w14:textId="6DEA577E" w:rsidR="00326421" w:rsidRPr="00B15D68" w:rsidRDefault="00326421" w:rsidP="006550DA">
            <w:pPr>
              <w:jc w:val="center"/>
              <w:rPr>
                <w:rFonts w:ascii="Open Sans" w:hAnsi="Open Sans" w:cs="Open Sans"/>
                <w:color w:val="00B050"/>
                <w:sz w:val="18"/>
                <w:szCs w:val="18"/>
              </w:rPr>
            </w:pPr>
            <w:r w:rsidRPr="00B15D68">
              <w:rPr>
                <w:rFonts w:ascii="Open Sans" w:hAnsi="Open Sans" w:cs="Open Sans"/>
                <w:color w:val="00B050"/>
                <w:sz w:val="18"/>
                <w:szCs w:val="18"/>
              </w:rPr>
              <w:t>Yes</w:t>
            </w:r>
          </w:p>
        </w:tc>
      </w:tr>
      <w:tr w:rsidR="001E0B1F" w14:paraId="746F3221" w14:textId="77777777" w:rsidTr="006550DA">
        <w:tc>
          <w:tcPr>
            <w:tcW w:w="1555" w:type="dxa"/>
            <w:vMerge/>
            <w:vAlign w:val="center"/>
          </w:tcPr>
          <w:p w14:paraId="32CAD480" w14:textId="77777777" w:rsidR="00326421" w:rsidRPr="00362145" w:rsidRDefault="00326421" w:rsidP="006550DA">
            <w:pPr>
              <w:jc w:val="center"/>
              <w:rPr>
                <w:rFonts w:ascii="Open Sans" w:hAnsi="Open Sans" w:cs="Open Sans"/>
                <w:sz w:val="18"/>
                <w:szCs w:val="18"/>
              </w:rPr>
            </w:pPr>
          </w:p>
        </w:tc>
        <w:tc>
          <w:tcPr>
            <w:tcW w:w="1417" w:type="dxa"/>
            <w:vAlign w:val="center"/>
          </w:tcPr>
          <w:p w14:paraId="2A46EFDE" w14:textId="76830CD8"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11 - 15</w:t>
            </w:r>
          </w:p>
        </w:tc>
        <w:tc>
          <w:tcPr>
            <w:tcW w:w="1418" w:type="dxa"/>
            <w:vAlign w:val="center"/>
          </w:tcPr>
          <w:p w14:paraId="7E6CE86B" w14:textId="289E73FE"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£11,500</w:t>
            </w:r>
          </w:p>
        </w:tc>
        <w:tc>
          <w:tcPr>
            <w:tcW w:w="992" w:type="dxa"/>
            <w:vAlign w:val="center"/>
          </w:tcPr>
          <w:p w14:paraId="331D49BB" w14:textId="325753DD"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£920</w:t>
            </w:r>
          </w:p>
        </w:tc>
        <w:tc>
          <w:tcPr>
            <w:tcW w:w="1276" w:type="dxa"/>
            <w:vAlign w:val="center"/>
          </w:tcPr>
          <w:p w14:paraId="05A26454" w14:textId="5B3906EC"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35 %</w:t>
            </w:r>
          </w:p>
        </w:tc>
        <w:tc>
          <w:tcPr>
            <w:tcW w:w="1417" w:type="dxa"/>
            <w:vAlign w:val="center"/>
          </w:tcPr>
          <w:p w14:paraId="41EF9261" w14:textId="57B10250"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£7,500</w:t>
            </w:r>
          </w:p>
        </w:tc>
        <w:tc>
          <w:tcPr>
            <w:tcW w:w="1418" w:type="dxa"/>
            <w:vAlign w:val="center"/>
          </w:tcPr>
          <w:p w14:paraId="1ECF5EFE" w14:textId="6760EBD8" w:rsidR="00326421" w:rsidRPr="00362145" w:rsidRDefault="00326421" w:rsidP="006550DA">
            <w:pPr>
              <w:jc w:val="center"/>
              <w:rPr>
                <w:rFonts w:ascii="Open Sans" w:hAnsi="Open Sans" w:cs="Open Sans"/>
                <w:color w:val="FF0000"/>
                <w:sz w:val="18"/>
                <w:szCs w:val="18"/>
              </w:rPr>
            </w:pPr>
            <w:r w:rsidRPr="00362145">
              <w:rPr>
                <w:rFonts w:ascii="Open Sans" w:hAnsi="Open Sans" w:cs="Open Sans"/>
                <w:color w:val="FF0000"/>
                <w:sz w:val="18"/>
                <w:szCs w:val="18"/>
              </w:rPr>
              <w:t>No</w:t>
            </w:r>
          </w:p>
        </w:tc>
      </w:tr>
      <w:tr w:rsidR="001E0B1F" w14:paraId="19C5BA1D" w14:textId="77777777" w:rsidTr="006550DA">
        <w:tc>
          <w:tcPr>
            <w:tcW w:w="1555" w:type="dxa"/>
            <w:vMerge/>
            <w:vAlign w:val="center"/>
          </w:tcPr>
          <w:p w14:paraId="68E316DE" w14:textId="77777777" w:rsidR="00326421" w:rsidRPr="00362145" w:rsidRDefault="00326421" w:rsidP="006550DA">
            <w:pPr>
              <w:jc w:val="center"/>
              <w:rPr>
                <w:rFonts w:ascii="Open Sans" w:hAnsi="Open Sans" w:cs="Open Sans"/>
                <w:sz w:val="18"/>
                <w:szCs w:val="18"/>
              </w:rPr>
            </w:pPr>
          </w:p>
        </w:tc>
        <w:tc>
          <w:tcPr>
            <w:tcW w:w="1417" w:type="dxa"/>
            <w:vAlign w:val="center"/>
          </w:tcPr>
          <w:p w14:paraId="6AF13EA7" w14:textId="1C90AAB7"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16 - 20</w:t>
            </w:r>
          </w:p>
        </w:tc>
        <w:tc>
          <w:tcPr>
            <w:tcW w:w="1418" w:type="dxa"/>
            <w:vAlign w:val="center"/>
          </w:tcPr>
          <w:p w14:paraId="43FD7E1C" w14:textId="2C8CDBA4"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£13,000</w:t>
            </w:r>
          </w:p>
        </w:tc>
        <w:tc>
          <w:tcPr>
            <w:tcW w:w="992" w:type="dxa"/>
            <w:vAlign w:val="center"/>
          </w:tcPr>
          <w:p w14:paraId="6EDBD24F" w14:textId="5E22A07B"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£810</w:t>
            </w:r>
          </w:p>
        </w:tc>
        <w:tc>
          <w:tcPr>
            <w:tcW w:w="1276" w:type="dxa"/>
            <w:vAlign w:val="center"/>
          </w:tcPr>
          <w:p w14:paraId="02200E40" w14:textId="71736CDE"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31 %</w:t>
            </w:r>
          </w:p>
        </w:tc>
        <w:tc>
          <w:tcPr>
            <w:tcW w:w="1417" w:type="dxa"/>
            <w:vAlign w:val="center"/>
          </w:tcPr>
          <w:p w14:paraId="22CF4FF2" w14:textId="338A89BF"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£9,000</w:t>
            </w:r>
          </w:p>
        </w:tc>
        <w:tc>
          <w:tcPr>
            <w:tcW w:w="1418" w:type="dxa"/>
            <w:vAlign w:val="center"/>
          </w:tcPr>
          <w:p w14:paraId="063AAE38" w14:textId="415601E0" w:rsidR="00326421" w:rsidRPr="00362145" w:rsidRDefault="00326421" w:rsidP="006550DA">
            <w:pPr>
              <w:jc w:val="center"/>
              <w:rPr>
                <w:rFonts w:ascii="Open Sans" w:hAnsi="Open Sans" w:cs="Open Sans"/>
                <w:color w:val="FF0000"/>
                <w:sz w:val="18"/>
                <w:szCs w:val="18"/>
              </w:rPr>
            </w:pPr>
            <w:r w:rsidRPr="00362145">
              <w:rPr>
                <w:rFonts w:ascii="Open Sans" w:hAnsi="Open Sans" w:cs="Open Sans"/>
                <w:color w:val="FF0000"/>
                <w:sz w:val="18"/>
                <w:szCs w:val="18"/>
              </w:rPr>
              <w:t>No</w:t>
            </w:r>
          </w:p>
        </w:tc>
      </w:tr>
      <w:tr w:rsidR="001E0B1F" w14:paraId="70CCF046" w14:textId="77777777" w:rsidTr="006550DA">
        <w:tc>
          <w:tcPr>
            <w:tcW w:w="1555" w:type="dxa"/>
            <w:vMerge/>
            <w:vAlign w:val="center"/>
          </w:tcPr>
          <w:p w14:paraId="5181A654" w14:textId="77777777" w:rsidR="00326421" w:rsidRPr="00362145" w:rsidRDefault="00326421" w:rsidP="006550DA">
            <w:pPr>
              <w:jc w:val="center"/>
              <w:rPr>
                <w:rFonts w:ascii="Open Sans" w:hAnsi="Open Sans" w:cs="Open Sans"/>
                <w:sz w:val="18"/>
                <w:szCs w:val="18"/>
              </w:rPr>
            </w:pPr>
          </w:p>
        </w:tc>
        <w:tc>
          <w:tcPr>
            <w:tcW w:w="1417" w:type="dxa"/>
            <w:vAlign w:val="center"/>
          </w:tcPr>
          <w:p w14:paraId="75D6BC67" w14:textId="74F1E5D9"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21 - 25</w:t>
            </w:r>
          </w:p>
        </w:tc>
        <w:tc>
          <w:tcPr>
            <w:tcW w:w="1418" w:type="dxa"/>
            <w:vAlign w:val="center"/>
          </w:tcPr>
          <w:p w14:paraId="4A06BE18" w14:textId="12CE395F"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£17,970</w:t>
            </w:r>
          </w:p>
        </w:tc>
        <w:tc>
          <w:tcPr>
            <w:tcW w:w="992" w:type="dxa"/>
            <w:vAlign w:val="center"/>
          </w:tcPr>
          <w:p w14:paraId="7FB7702A" w14:textId="00A2F67F"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£770</w:t>
            </w:r>
          </w:p>
        </w:tc>
        <w:tc>
          <w:tcPr>
            <w:tcW w:w="1276" w:type="dxa"/>
            <w:vAlign w:val="center"/>
          </w:tcPr>
          <w:p w14:paraId="3B56E61B" w14:textId="06D71F50"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22 %</w:t>
            </w:r>
          </w:p>
        </w:tc>
        <w:tc>
          <w:tcPr>
            <w:tcW w:w="1417" w:type="dxa"/>
            <w:vAlign w:val="center"/>
          </w:tcPr>
          <w:p w14:paraId="0FC6748D" w14:textId="6CAB0D55"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£13,970</w:t>
            </w:r>
          </w:p>
        </w:tc>
        <w:tc>
          <w:tcPr>
            <w:tcW w:w="1418" w:type="dxa"/>
            <w:vAlign w:val="center"/>
          </w:tcPr>
          <w:p w14:paraId="4B71F76D" w14:textId="6A0C0CA8" w:rsidR="00326421" w:rsidRPr="00362145" w:rsidRDefault="00326421" w:rsidP="006550DA">
            <w:pPr>
              <w:jc w:val="center"/>
              <w:rPr>
                <w:rFonts w:ascii="Open Sans" w:hAnsi="Open Sans" w:cs="Open Sans"/>
                <w:color w:val="FF0000"/>
                <w:sz w:val="18"/>
                <w:szCs w:val="18"/>
              </w:rPr>
            </w:pPr>
            <w:r w:rsidRPr="00362145">
              <w:rPr>
                <w:rFonts w:ascii="Open Sans" w:hAnsi="Open Sans" w:cs="Open Sans"/>
                <w:color w:val="FF0000"/>
                <w:sz w:val="18"/>
                <w:szCs w:val="18"/>
              </w:rPr>
              <w:t>No</w:t>
            </w:r>
          </w:p>
        </w:tc>
      </w:tr>
      <w:tr w:rsidR="001E0B1F" w14:paraId="60CDC14E" w14:textId="77777777" w:rsidTr="006550DA">
        <w:tc>
          <w:tcPr>
            <w:tcW w:w="1555" w:type="dxa"/>
            <w:vMerge/>
            <w:vAlign w:val="center"/>
          </w:tcPr>
          <w:p w14:paraId="012A9BA7" w14:textId="77777777" w:rsidR="00326421" w:rsidRPr="00362145" w:rsidRDefault="00326421" w:rsidP="006550DA">
            <w:pPr>
              <w:jc w:val="center"/>
              <w:rPr>
                <w:rFonts w:ascii="Open Sans" w:hAnsi="Open Sans" w:cs="Open Sans"/>
                <w:sz w:val="18"/>
                <w:szCs w:val="18"/>
              </w:rPr>
            </w:pPr>
          </w:p>
        </w:tc>
        <w:tc>
          <w:tcPr>
            <w:tcW w:w="1417" w:type="dxa"/>
            <w:vAlign w:val="center"/>
          </w:tcPr>
          <w:p w14:paraId="5AA210A3" w14:textId="7F0BBEF3"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26 - 30</w:t>
            </w:r>
          </w:p>
        </w:tc>
        <w:tc>
          <w:tcPr>
            <w:tcW w:w="1418" w:type="dxa"/>
            <w:vAlign w:val="center"/>
          </w:tcPr>
          <w:p w14:paraId="1665152F" w14:textId="1256D12D"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£20,000</w:t>
            </w:r>
          </w:p>
        </w:tc>
        <w:tc>
          <w:tcPr>
            <w:tcW w:w="992" w:type="dxa"/>
            <w:vAlign w:val="center"/>
          </w:tcPr>
          <w:p w14:paraId="3EEA7475" w14:textId="40F55C46"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£710</w:t>
            </w:r>
          </w:p>
        </w:tc>
        <w:tc>
          <w:tcPr>
            <w:tcW w:w="1276" w:type="dxa"/>
            <w:vAlign w:val="center"/>
          </w:tcPr>
          <w:p w14:paraId="438271D0" w14:textId="1FE1C093"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20 %</w:t>
            </w:r>
          </w:p>
        </w:tc>
        <w:tc>
          <w:tcPr>
            <w:tcW w:w="1417" w:type="dxa"/>
            <w:vAlign w:val="center"/>
          </w:tcPr>
          <w:p w14:paraId="7E551313" w14:textId="12D4EAFD"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£16,000</w:t>
            </w:r>
          </w:p>
        </w:tc>
        <w:tc>
          <w:tcPr>
            <w:tcW w:w="1418" w:type="dxa"/>
            <w:vAlign w:val="center"/>
          </w:tcPr>
          <w:p w14:paraId="20C9A9EE" w14:textId="3E21BDE9" w:rsidR="00326421" w:rsidRPr="00362145" w:rsidRDefault="00326421" w:rsidP="006550DA">
            <w:pPr>
              <w:jc w:val="center"/>
              <w:rPr>
                <w:rFonts w:ascii="Open Sans" w:hAnsi="Open Sans" w:cs="Open Sans"/>
                <w:color w:val="FF0000"/>
                <w:sz w:val="18"/>
                <w:szCs w:val="18"/>
              </w:rPr>
            </w:pPr>
            <w:r w:rsidRPr="00362145">
              <w:rPr>
                <w:rFonts w:ascii="Open Sans" w:hAnsi="Open Sans" w:cs="Open Sans"/>
                <w:color w:val="FF0000"/>
                <w:sz w:val="18"/>
                <w:szCs w:val="18"/>
              </w:rPr>
              <w:t>No</w:t>
            </w:r>
          </w:p>
        </w:tc>
      </w:tr>
      <w:tr w:rsidR="001E0B1F" w14:paraId="42F3DAE0" w14:textId="77777777" w:rsidTr="006550DA">
        <w:tc>
          <w:tcPr>
            <w:tcW w:w="1555" w:type="dxa"/>
            <w:vMerge/>
            <w:vAlign w:val="center"/>
          </w:tcPr>
          <w:p w14:paraId="507DC226" w14:textId="77777777" w:rsidR="00326421" w:rsidRPr="00362145" w:rsidRDefault="00326421" w:rsidP="006550DA">
            <w:pPr>
              <w:jc w:val="center"/>
              <w:rPr>
                <w:rFonts w:ascii="Open Sans" w:hAnsi="Open Sans" w:cs="Open Sans"/>
                <w:sz w:val="18"/>
                <w:szCs w:val="18"/>
              </w:rPr>
            </w:pPr>
          </w:p>
        </w:tc>
        <w:tc>
          <w:tcPr>
            <w:tcW w:w="1417" w:type="dxa"/>
            <w:vAlign w:val="center"/>
          </w:tcPr>
          <w:p w14:paraId="038E0C77" w14:textId="00A959B5"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31 - 35</w:t>
            </w:r>
          </w:p>
        </w:tc>
        <w:tc>
          <w:tcPr>
            <w:tcW w:w="1418" w:type="dxa"/>
            <w:vAlign w:val="center"/>
          </w:tcPr>
          <w:p w14:paraId="7B80F0D7" w14:textId="11B733C0"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£20,000</w:t>
            </w:r>
          </w:p>
        </w:tc>
        <w:tc>
          <w:tcPr>
            <w:tcW w:w="992" w:type="dxa"/>
            <w:vAlign w:val="center"/>
          </w:tcPr>
          <w:p w14:paraId="1CA4707A" w14:textId="5775246C"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£630</w:t>
            </w:r>
          </w:p>
        </w:tc>
        <w:tc>
          <w:tcPr>
            <w:tcW w:w="1276" w:type="dxa"/>
            <w:vAlign w:val="center"/>
          </w:tcPr>
          <w:p w14:paraId="6B7BC246" w14:textId="44032BD6"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20 %</w:t>
            </w:r>
          </w:p>
        </w:tc>
        <w:tc>
          <w:tcPr>
            <w:tcW w:w="1417" w:type="dxa"/>
            <w:vAlign w:val="center"/>
          </w:tcPr>
          <w:p w14:paraId="05D8DBFD" w14:textId="7519E440"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£16,000</w:t>
            </w:r>
          </w:p>
        </w:tc>
        <w:tc>
          <w:tcPr>
            <w:tcW w:w="1418" w:type="dxa"/>
            <w:vAlign w:val="center"/>
          </w:tcPr>
          <w:p w14:paraId="6B7C2364" w14:textId="2F7F670B" w:rsidR="00326421" w:rsidRPr="00362145" w:rsidRDefault="00326421" w:rsidP="006550DA">
            <w:pPr>
              <w:jc w:val="center"/>
              <w:rPr>
                <w:rFonts w:ascii="Open Sans" w:hAnsi="Open Sans" w:cs="Open Sans"/>
                <w:color w:val="FF0000"/>
                <w:sz w:val="18"/>
                <w:szCs w:val="18"/>
              </w:rPr>
            </w:pPr>
            <w:r w:rsidRPr="00362145">
              <w:rPr>
                <w:rFonts w:ascii="Open Sans" w:hAnsi="Open Sans" w:cs="Open Sans"/>
                <w:color w:val="FF0000"/>
                <w:sz w:val="18"/>
                <w:szCs w:val="18"/>
              </w:rPr>
              <w:t>No</w:t>
            </w:r>
          </w:p>
        </w:tc>
      </w:tr>
      <w:tr w:rsidR="001E0B1F" w14:paraId="3DEBD4D3" w14:textId="77777777" w:rsidTr="006550DA">
        <w:tc>
          <w:tcPr>
            <w:tcW w:w="1555" w:type="dxa"/>
            <w:vMerge/>
            <w:vAlign w:val="center"/>
          </w:tcPr>
          <w:p w14:paraId="658201BC" w14:textId="77777777" w:rsidR="00326421" w:rsidRPr="00362145" w:rsidRDefault="00326421" w:rsidP="006550DA">
            <w:pPr>
              <w:jc w:val="center"/>
              <w:rPr>
                <w:rFonts w:ascii="Open Sans" w:hAnsi="Open Sans" w:cs="Open Sans"/>
                <w:sz w:val="18"/>
                <w:szCs w:val="18"/>
              </w:rPr>
            </w:pPr>
          </w:p>
        </w:tc>
        <w:tc>
          <w:tcPr>
            <w:tcW w:w="1417" w:type="dxa"/>
            <w:vAlign w:val="center"/>
          </w:tcPr>
          <w:p w14:paraId="47896BAD" w14:textId="7BE317BE"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36 - 40</w:t>
            </w:r>
          </w:p>
        </w:tc>
        <w:tc>
          <w:tcPr>
            <w:tcW w:w="1418" w:type="dxa"/>
            <w:vAlign w:val="center"/>
          </w:tcPr>
          <w:p w14:paraId="7DF4B8A4" w14:textId="66CF396C" w:rsidR="00326421" w:rsidRPr="00362145" w:rsidRDefault="0033331E" w:rsidP="006550DA">
            <w:pPr>
              <w:jc w:val="center"/>
              <w:rPr>
                <w:rFonts w:ascii="Open Sans" w:hAnsi="Open Sans" w:cs="Open Sans"/>
                <w:sz w:val="18"/>
                <w:szCs w:val="18"/>
              </w:rPr>
            </w:pPr>
            <w:r w:rsidRPr="00362145">
              <w:rPr>
                <w:rFonts w:ascii="Arial" w:hAnsi="Arial" w:cs="Arial"/>
                <w:color w:val="000000"/>
                <w:sz w:val="18"/>
                <w:szCs w:val="18"/>
              </w:rPr>
              <w:t>-</w:t>
            </w:r>
          </w:p>
        </w:tc>
        <w:tc>
          <w:tcPr>
            <w:tcW w:w="992" w:type="dxa"/>
            <w:vAlign w:val="center"/>
          </w:tcPr>
          <w:p w14:paraId="305C61E4" w14:textId="7D565CEA" w:rsidR="00326421" w:rsidRPr="00362145" w:rsidRDefault="0033331E" w:rsidP="006550DA">
            <w:pPr>
              <w:jc w:val="center"/>
              <w:rPr>
                <w:rFonts w:ascii="Open Sans" w:hAnsi="Open Sans" w:cs="Open Sans"/>
                <w:sz w:val="18"/>
                <w:szCs w:val="18"/>
              </w:rPr>
            </w:pPr>
            <w:r w:rsidRPr="00362145">
              <w:rPr>
                <w:rFonts w:ascii="Arial" w:hAnsi="Arial" w:cs="Arial"/>
                <w:color w:val="000000"/>
                <w:sz w:val="18"/>
                <w:szCs w:val="18"/>
              </w:rPr>
              <w:t>-</w:t>
            </w:r>
          </w:p>
        </w:tc>
        <w:tc>
          <w:tcPr>
            <w:tcW w:w="1276" w:type="dxa"/>
            <w:vAlign w:val="center"/>
          </w:tcPr>
          <w:p w14:paraId="63243A79" w14:textId="26EAFDE2" w:rsidR="00326421" w:rsidRPr="00362145" w:rsidRDefault="0033331E" w:rsidP="006550DA">
            <w:pPr>
              <w:jc w:val="center"/>
              <w:rPr>
                <w:rFonts w:ascii="Open Sans" w:hAnsi="Open Sans" w:cs="Open Sans"/>
                <w:sz w:val="18"/>
                <w:szCs w:val="18"/>
              </w:rPr>
            </w:pPr>
            <w:r w:rsidRPr="00362145">
              <w:rPr>
                <w:rFonts w:ascii="Arial" w:hAnsi="Arial" w:cs="Arial"/>
                <w:color w:val="000000"/>
                <w:sz w:val="18"/>
                <w:szCs w:val="18"/>
              </w:rPr>
              <w:t>-</w:t>
            </w:r>
          </w:p>
        </w:tc>
        <w:tc>
          <w:tcPr>
            <w:tcW w:w="1417" w:type="dxa"/>
            <w:vAlign w:val="center"/>
          </w:tcPr>
          <w:p w14:paraId="7FE41B34" w14:textId="33A0C8A5" w:rsidR="00326421" w:rsidRPr="00362145" w:rsidRDefault="0033331E" w:rsidP="006550DA">
            <w:pPr>
              <w:jc w:val="center"/>
              <w:rPr>
                <w:rFonts w:ascii="Open Sans" w:hAnsi="Open Sans" w:cs="Open Sans"/>
                <w:sz w:val="18"/>
                <w:szCs w:val="18"/>
              </w:rPr>
            </w:pPr>
            <w:r w:rsidRPr="00362145">
              <w:rPr>
                <w:rFonts w:ascii="Arial" w:hAnsi="Arial" w:cs="Arial"/>
                <w:color w:val="000000"/>
                <w:sz w:val="18"/>
                <w:szCs w:val="18"/>
              </w:rPr>
              <w:t>-</w:t>
            </w:r>
          </w:p>
        </w:tc>
        <w:tc>
          <w:tcPr>
            <w:tcW w:w="1418" w:type="dxa"/>
            <w:vAlign w:val="center"/>
          </w:tcPr>
          <w:p w14:paraId="6CF4A5A1" w14:textId="7EB68E46" w:rsidR="00326421" w:rsidRPr="00362145" w:rsidRDefault="0033331E" w:rsidP="006550DA">
            <w:pPr>
              <w:jc w:val="center"/>
              <w:rPr>
                <w:rFonts w:ascii="Open Sans" w:hAnsi="Open Sans" w:cs="Open Sans"/>
                <w:sz w:val="18"/>
                <w:szCs w:val="18"/>
              </w:rPr>
            </w:pPr>
            <w:r w:rsidRPr="00362145">
              <w:rPr>
                <w:rFonts w:ascii="Arial" w:hAnsi="Arial" w:cs="Arial"/>
                <w:color w:val="000000"/>
                <w:sz w:val="18"/>
                <w:szCs w:val="18"/>
              </w:rPr>
              <w:t>-</w:t>
            </w:r>
          </w:p>
        </w:tc>
      </w:tr>
      <w:tr w:rsidR="001E0B1F" w14:paraId="424E5E21" w14:textId="77777777" w:rsidTr="006550DA">
        <w:tc>
          <w:tcPr>
            <w:tcW w:w="1555" w:type="dxa"/>
            <w:vMerge/>
            <w:vAlign w:val="center"/>
          </w:tcPr>
          <w:p w14:paraId="3D0C9D0B" w14:textId="77777777" w:rsidR="00326421" w:rsidRPr="00362145" w:rsidRDefault="00326421" w:rsidP="006550DA">
            <w:pPr>
              <w:jc w:val="center"/>
              <w:rPr>
                <w:rFonts w:ascii="Open Sans" w:hAnsi="Open Sans" w:cs="Open Sans"/>
                <w:sz w:val="18"/>
                <w:szCs w:val="18"/>
              </w:rPr>
            </w:pPr>
          </w:p>
        </w:tc>
        <w:tc>
          <w:tcPr>
            <w:tcW w:w="1417" w:type="dxa"/>
            <w:vAlign w:val="center"/>
          </w:tcPr>
          <w:p w14:paraId="27F184DE" w14:textId="5212CD8F"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41 - 45</w:t>
            </w:r>
          </w:p>
        </w:tc>
        <w:tc>
          <w:tcPr>
            <w:tcW w:w="1418" w:type="dxa"/>
            <w:vAlign w:val="center"/>
          </w:tcPr>
          <w:p w14:paraId="7782F244" w14:textId="6A36301B"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£22,500</w:t>
            </w:r>
          </w:p>
        </w:tc>
        <w:tc>
          <w:tcPr>
            <w:tcW w:w="992" w:type="dxa"/>
            <w:vAlign w:val="center"/>
          </w:tcPr>
          <w:p w14:paraId="75950EB0" w14:textId="2D5018C8"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£530</w:t>
            </w:r>
          </w:p>
        </w:tc>
        <w:tc>
          <w:tcPr>
            <w:tcW w:w="1276" w:type="dxa"/>
            <w:vAlign w:val="center"/>
          </w:tcPr>
          <w:p w14:paraId="72617D08" w14:textId="74D37D01"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18 %</w:t>
            </w:r>
          </w:p>
        </w:tc>
        <w:tc>
          <w:tcPr>
            <w:tcW w:w="1417" w:type="dxa"/>
            <w:vAlign w:val="center"/>
          </w:tcPr>
          <w:p w14:paraId="210688EE" w14:textId="036A996C" w:rsidR="00326421" w:rsidRPr="00362145" w:rsidRDefault="00326421" w:rsidP="006550DA">
            <w:pPr>
              <w:jc w:val="center"/>
              <w:rPr>
                <w:rFonts w:ascii="Open Sans" w:hAnsi="Open Sans" w:cs="Open Sans"/>
                <w:sz w:val="18"/>
                <w:szCs w:val="18"/>
              </w:rPr>
            </w:pPr>
            <w:r w:rsidRPr="00362145">
              <w:rPr>
                <w:rFonts w:ascii="Arial" w:hAnsi="Arial" w:cs="Arial"/>
                <w:color w:val="000000"/>
                <w:sz w:val="18"/>
                <w:szCs w:val="18"/>
              </w:rPr>
              <w:t>£18,500</w:t>
            </w:r>
          </w:p>
        </w:tc>
        <w:tc>
          <w:tcPr>
            <w:tcW w:w="1418" w:type="dxa"/>
            <w:vAlign w:val="center"/>
          </w:tcPr>
          <w:p w14:paraId="12BFD107" w14:textId="44927CA3" w:rsidR="00326421" w:rsidRPr="00362145" w:rsidRDefault="00326421" w:rsidP="006550DA">
            <w:pPr>
              <w:jc w:val="center"/>
              <w:rPr>
                <w:rFonts w:ascii="Open Sans" w:hAnsi="Open Sans" w:cs="Open Sans"/>
                <w:sz w:val="18"/>
                <w:szCs w:val="18"/>
              </w:rPr>
            </w:pPr>
            <w:r w:rsidRPr="00362145">
              <w:rPr>
                <w:rFonts w:ascii="Open Sans" w:hAnsi="Open Sans" w:cs="Open Sans"/>
                <w:color w:val="FF0000"/>
                <w:sz w:val="18"/>
                <w:szCs w:val="18"/>
              </w:rPr>
              <w:t>No</w:t>
            </w:r>
          </w:p>
        </w:tc>
      </w:tr>
      <w:tr w:rsidR="001E0B1F" w14:paraId="505DE5AF" w14:textId="77777777" w:rsidTr="006550DA">
        <w:trPr>
          <w:trHeight w:val="79"/>
        </w:trPr>
        <w:tc>
          <w:tcPr>
            <w:tcW w:w="1555" w:type="dxa"/>
            <w:vMerge/>
            <w:vAlign w:val="center"/>
          </w:tcPr>
          <w:p w14:paraId="765562D9" w14:textId="77777777" w:rsidR="00326421" w:rsidRPr="00362145" w:rsidRDefault="00326421" w:rsidP="006550DA">
            <w:pPr>
              <w:jc w:val="center"/>
              <w:rPr>
                <w:rFonts w:ascii="Open Sans" w:hAnsi="Open Sans" w:cs="Open Sans"/>
                <w:sz w:val="18"/>
                <w:szCs w:val="18"/>
              </w:rPr>
            </w:pPr>
          </w:p>
        </w:tc>
        <w:tc>
          <w:tcPr>
            <w:tcW w:w="1417" w:type="dxa"/>
            <w:vAlign w:val="center"/>
          </w:tcPr>
          <w:p w14:paraId="44BE2268" w14:textId="3B8F4767" w:rsidR="00326421" w:rsidRPr="00362145" w:rsidRDefault="00326421" w:rsidP="006550DA">
            <w:pPr>
              <w:jc w:val="center"/>
              <w:rPr>
                <w:rFonts w:ascii="Arial" w:hAnsi="Arial" w:cs="Arial"/>
                <w:b/>
                <w:bCs/>
                <w:color w:val="000000"/>
                <w:sz w:val="20"/>
                <w:szCs w:val="20"/>
              </w:rPr>
            </w:pPr>
            <w:r w:rsidRPr="00362145">
              <w:rPr>
                <w:rFonts w:ascii="Arial" w:hAnsi="Arial" w:cs="Arial"/>
                <w:b/>
                <w:bCs/>
                <w:color w:val="000000"/>
                <w:sz w:val="20"/>
                <w:szCs w:val="20"/>
              </w:rPr>
              <w:t>Average across the range</w:t>
            </w:r>
          </w:p>
        </w:tc>
        <w:tc>
          <w:tcPr>
            <w:tcW w:w="1418" w:type="dxa"/>
            <w:vAlign w:val="center"/>
          </w:tcPr>
          <w:p w14:paraId="4D3AC81F" w14:textId="6AB5BC9E" w:rsidR="00326421" w:rsidRPr="00362145" w:rsidRDefault="00326421" w:rsidP="006550DA">
            <w:pPr>
              <w:jc w:val="center"/>
              <w:rPr>
                <w:rFonts w:ascii="Arial" w:hAnsi="Arial" w:cs="Arial"/>
                <w:b/>
                <w:bCs/>
                <w:color w:val="000000"/>
                <w:sz w:val="20"/>
                <w:szCs w:val="20"/>
              </w:rPr>
            </w:pPr>
            <w:r w:rsidRPr="00362145">
              <w:rPr>
                <w:rFonts w:ascii="Arial" w:hAnsi="Arial" w:cs="Arial"/>
                <w:b/>
                <w:bCs/>
                <w:color w:val="000000"/>
                <w:sz w:val="20"/>
                <w:szCs w:val="20"/>
              </w:rPr>
              <w:t>£11,274</w:t>
            </w:r>
          </w:p>
        </w:tc>
        <w:tc>
          <w:tcPr>
            <w:tcW w:w="992" w:type="dxa"/>
            <w:vAlign w:val="center"/>
          </w:tcPr>
          <w:p w14:paraId="631C2D05" w14:textId="7D8F38C2" w:rsidR="00326421" w:rsidRPr="00362145" w:rsidRDefault="00326421" w:rsidP="006550DA">
            <w:pPr>
              <w:jc w:val="center"/>
              <w:rPr>
                <w:rFonts w:ascii="Arial" w:hAnsi="Arial" w:cs="Arial"/>
                <w:b/>
                <w:bCs/>
                <w:color w:val="000000"/>
                <w:sz w:val="20"/>
                <w:szCs w:val="20"/>
              </w:rPr>
            </w:pPr>
            <w:r w:rsidRPr="00362145">
              <w:rPr>
                <w:rFonts w:ascii="Arial" w:hAnsi="Arial" w:cs="Arial"/>
                <w:b/>
                <w:bCs/>
                <w:color w:val="000000"/>
                <w:sz w:val="20"/>
                <w:szCs w:val="20"/>
              </w:rPr>
              <w:t>£866</w:t>
            </w:r>
          </w:p>
        </w:tc>
        <w:tc>
          <w:tcPr>
            <w:tcW w:w="1276" w:type="dxa"/>
            <w:vAlign w:val="center"/>
          </w:tcPr>
          <w:p w14:paraId="4AF7F7E6" w14:textId="264B15E7" w:rsidR="00326421" w:rsidRPr="00362145" w:rsidRDefault="00326421" w:rsidP="006550DA">
            <w:pPr>
              <w:jc w:val="center"/>
              <w:rPr>
                <w:rFonts w:ascii="Open Sans" w:hAnsi="Open Sans" w:cs="Open Sans"/>
                <w:b/>
                <w:bCs/>
                <w:sz w:val="20"/>
                <w:szCs w:val="20"/>
              </w:rPr>
            </w:pPr>
            <w:r w:rsidRPr="00362145">
              <w:rPr>
                <w:rFonts w:ascii="Open Sans" w:hAnsi="Open Sans" w:cs="Open Sans"/>
                <w:b/>
                <w:bCs/>
                <w:sz w:val="20"/>
                <w:szCs w:val="20"/>
              </w:rPr>
              <w:t>35 %</w:t>
            </w:r>
          </w:p>
        </w:tc>
        <w:tc>
          <w:tcPr>
            <w:tcW w:w="1417" w:type="dxa"/>
            <w:vAlign w:val="center"/>
          </w:tcPr>
          <w:p w14:paraId="25EE1FA7" w14:textId="10C48876" w:rsidR="00326421" w:rsidRPr="00362145" w:rsidRDefault="00326421" w:rsidP="006550DA">
            <w:pPr>
              <w:jc w:val="center"/>
              <w:rPr>
                <w:rFonts w:ascii="Open Sans" w:hAnsi="Open Sans" w:cs="Open Sans"/>
                <w:b/>
                <w:bCs/>
                <w:sz w:val="20"/>
                <w:szCs w:val="20"/>
              </w:rPr>
            </w:pPr>
            <w:r w:rsidRPr="00362145">
              <w:rPr>
                <w:rFonts w:ascii="Open Sans" w:hAnsi="Open Sans" w:cs="Open Sans"/>
                <w:b/>
                <w:bCs/>
                <w:sz w:val="20"/>
                <w:szCs w:val="20"/>
              </w:rPr>
              <w:t>£7,274</w:t>
            </w:r>
          </w:p>
        </w:tc>
        <w:tc>
          <w:tcPr>
            <w:tcW w:w="1418" w:type="dxa"/>
            <w:vAlign w:val="center"/>
          </w:tcPr>
          <w:p w14:paraId="3B410F21" w14:textId="42C44D96" w:rsidR="00326421" w:rsidRPr="00362145" w:rsidRDefault="00326421" w:rsidP="006550DA">
            <w:pPr>
              <w:jc w:val="center"/>
              <w:rPr>
                <w:rFonts w:ascii="Open Sans" w:hAnsi="Open Sans" w:cs="Open Sans"/>
                <w:b/>
                <w:bCs/>
                <w:sz w:val="20"/>
                <w:szCs w:val="20"/>
              </w:rPr>
            </w:pPr>
            <w:r w:rsidRPr="00362145">
              <w:rPr>
                <w:rFonts w:ascii="Open Sans" w:hAnsi="Open Sans" w:cs="Open Sans"/>
                <w:b/>
                <w:bCs/>
                <w:color w:val="FF0000"/>
                <w:sz w:val="20"/>
                <w:szCs w:val="20"/>
              </w:rPr>
              <w:t>No</w:t>
            </w:r>
          </w:p>
        </w:tc>
      </w:tr>
      <w:tr w:rsidR="00326421" w14:paraId="5C2271C5" w14:textId="77777777" w:rsidTr="001E0B1F">
        <w:trPr>
          <w:trHeight w:val="79"/>
        </w:trPr>
        <w:tc>
          <w:tcPr>
            <w:tcW w:w="9493" w:type="dxa"/>
            <w:gridSpan w:val="7"/>
            <w:shd w:val="clear" w:color="auto" w:fill="4472C4" w:themeFill="accent1"/>
          </w:tcPr>
          <w:p w14:paraId="008A7E78" w14:textId="77777777" w:rsidR="00326421" w:rsidRPr="00362145" w:rsidRDefault="00326421" w:rsidP="00326421">
            <w:pPr>
              <w:rPr>
                <w:rFonts w:ascii="Open Sans" w:hAnsi="Open Sans" w:cs="Open Sans"/>
                <w:sz w:val="18"/>
                <w:szCs w:val="18"/>
              </w:rPr>
            </w:pPr>
          </w:p>
        </w:tc>
      </w:tr>
      <w:tr w:rsidR="00362145" w14:paraId="25683083" w14:textId="77777777" w:rsidTr="006550DA">
        <w:trPr>
          <w:trHeight w:val="79"/>
        </w:trPr>
        <w:tc>
          <w:tcPr>
            <w:tcW w:w="1555" w:type="dxa"/>
            <w:vMerge w:val="restart"/>
            <w:vAlign w:val="center"/>
          </w:tcPr>
          <w:p w14:paraId="52B25202" w14:textId="3EB0E353" w:rsidR="00362145" w:rsidRPr="00362145" w:rsidRDefault="00362145" w:rsidP="006550DA">
            <w:pPr>
              <w:jc w:val="center"/>
              <w:rPr>
                <w:rFonts w:ascii="Open Sans" w:hAnsi="Open Sans" w:cs="Open Sans"/>
                <w:sz w:val="18"/>
                <w:szCs w:val="18"/>
              </w:rPr>
            </w:pPr>
            <w:r w:rsidRPr="00362145">
              <w:rPr>
                <w:rFonts w:ascii="Open Sans" w:hAnsi="Open Sans" w:cs="Open Sans"/>
                <w:sz w:val="18"/>
                <w:szCs w:val="18"/>
              </w:rPr>
              <w:t>Biomass</w:t>
            </w:r>
          </w:p>
        </w:tc>
        <w:tc>
          <w:tcPr>
            <w:tcW w:w="1417" w:type="dxa"/>
            <w:vAlign w:val="center"/>
          </w:tcPr>
          <w:p w14:paraId="1E00FD3B" w14:textId="2E4A20DF" w:rsidR="00362145" w:rsidRPr="00362145" w:rsidRDefault="00362145" w:rsidP="006550DA">
            <w:pPr>
              <w:jc w:val="center"/>
              <w:rPr>
                <w:rFonts w:ascii="Arial" w:hAnsi="Arial" w:cs="Arial"/>
                <w:color w:val="000000"/>
                <w:sz w:val="18"/>
                <w:szCs w:val="18"/>
              </w:rPr>
            </w:pPr>
            <w:r w:rsidRPr="00362145">
              <w:rPr>
                <w:rFonts w:ascii="Arial" w:hAnsi="Arial" w:cs="Arial"/>
                <w:color w:val="000000"/>
                <w:sz w:val="18"/>
                <w:szCs w:val="18"/>
              </w:rPr>
              <w:t>Less than 5</w:t>
            </w:r>
          </w:p>
        </w:tc>
        <w:tc>
          <w:tcPr>
            <w:tcW w:w="1418" w:type="dxa"/>
            <w:vAlign w:val="center"/>
          </w:tcPr>
          <w:p w14:paraId="26FF867E" w14:textId="01FF0443" w:rsidR="00362145" w:rsidRPr="00362145" w:rsidRDefault="00362145" w:rsidP="006550DA">
            <w:pPr>
              <w:jc w:val="center"/>
              <w:rPr>
                <w:rFonts w:ascii="Arial" w:hAnsi="Arial" w:cs="Arial"/>
                <w:color w:val="000000"/>
                <w:sz w:val="18"/>
                <w:szCs w:val="18"/>
              </w:rPr>
            </w:pPr>
            <w:r w:rsidRPr="00362145">
              <w:rPr>
                <w:rFonts w:ascii="Arial" w:hAnsi="Arial" w:cs="Arial"/>
                <w:color w:val="000000"/>
                <w:sz w:val="18"/>
                <w:szCs w:val="18"/>
              </w:rPr>
              <w:t>-</w:t>
            </w:r>
          </w:p>
        </w:tc>
        <w:tc>
          <w:tcPr>
            <w:tcW w:w="992" w:type="dxa"/>
            <w:vAlign w:val="center"/>
          </w:tcPr>
          <w:p w14:paraId="33D7633F" w14:textId="2634EA65" w:rsidR="00362145" w:rsidRPr="00362145" w:rsidRDefault="00362145" w:rsidP="006550DA">
            <w:pPr>
              <w:jc w:val="center"/>
              <w:rPr>
                <w:rFonts w:ascii="Arial" w:hAnsi="Arial" w:cs="Arial"/>
                <w:color w:val="000000"/>
                <w:sz w:val="18"/>
                <w:szCs w:val="18"/>
              </w:rPr>
            </w:pPr>
            <w:r w:rsidRPr="00362145">
              <w:rPr>
                <w:rFonts w:ascii="Arial" w:hAnsi="Arial" w:cs="Arial"/>
                <w:color w:val="000000"/>
                <w:sz w:val="18"/>
                <w:szCs w:val="18"/>
              </w:rPr>
              <w:t>-</w:t>
            </w:r>
          </w:p>
        </w:tc>
        <w:tc>
          <w:tcPr>
            <w:tcW w:w="1276" w:type="dxa"/>
            <w:vAlign w:val="center"/>
          </w:tcPr>
          <w:p w14:paraId="690728B3" w14:textId="2A70CE1A" w:rsidR="00362145" w:rsidRPr="00362145" w:rsidRDefault="00362145" w:rsidP="006550DA">
            <w:pPr>
              <w:jc w:val="center"/>
              <w:rPr>
                <w:rFonts w:ascii="Open Sans" w:hAnsi="Open Sans" w:cs="Open Sans"/>
                <w:sz w:val="18"/>
                <w:szCs w:val="18"/>
              </w:rPr>
            </w:pPr>
            <w:r w:rsidRPr="00362145">
              <w:rPr>
                <w:rFonts w:ascii="Open Sans" w:hAnsi="Open Sans" w:cs="Open Sans"/>
                <w:sz w:val="18"/>
                <w:szCs w:val="18"/>
              </w:rPr>
              <w:t>-</w:t>
            </w:r>
          </w:p>
        </w:tc>
        <w:tc>
          <w:tcPr>
            <w:tcW w:w="1417" w:type="dxa"/>
            <w:vAlign w:val="center"/>
          </w:tcPr>
          <w:p w14:paraId="52B13970" w14:textId="77777777" w:rsidR="00362145" w:rsidRPr="00362145" w:rsidRDefault="00362145" w:rsidP="006550DA">
            <w:pPr>
              <w:jc w:val="center"/>
              <w:rPr>
                <w:rFonts w:ascii="Open Sans" w:hAnsi="Open Sans" w:cs="Open Sans"/>
                <w:sz w:val="18"/>
                <w:szCs w:val="18"/>
              </w:rPr>
            </w:pPr>
          </w:p>
        </w:tc>
        <w:tc>
          <w:tcPr>
            <w:tcW w:w="1418" w:type="dxa"/>
            <w:vAlign w:val="center"/>
          </w:tcPr>
          <w:p w14:paraId="73F5526E" w14:textId="77777777" w:rsidR="00362145" w:rsidRPr="00362145" w:rsidRDefault="00362145" w:rsidP="006550DA">
            <w:pPr>
              <w:jc w:val="center"/>
              <w:rPr>
                <w:rFonts w:ascii="Open Sans" w:hAnsi="Open Sans" w:cs="Open Sans"/>
                <w:sz w:val="18"/>
                <w:szCs w:val="18"/>
              </w:rPr>
            </w:pPr>
          </w:p>
        </w:tc>
      </w:tr>
      <w:tr w:rsidR="00362145" w14:paraId="72551095" w14:textId="77777777" w:rsidTr="006550DA">
        <w:trPr>
          <w:trHeight w:val="79"/>
        </w:trPr>
        <w:tc>
          <w:tcPr>
            <w:tcW w:w="1555" w:type="dxa"/>
            <w:vMerge/>
            <w:vAlign w:val="center"/>
          </w:tcPr>
          <w:p w14:paraId="2B36A88C" w14:textId="77777777" w:rsidR="00362145" w:rsidRPr="00362145" w:rsidRDefault="00362145" w:rsidP="006550DA">
            <w:pPr>
              <w:jc w:val="center"/>
              <w:rPr>
                <w:rFonts w:ascii="Open Sans" w:hAnsi="Open Sans" w:cs="Open Sans"/>
                <w:sz w:val="18"/>
                <w:szCs w:val="18"/>
              </w:rPr>
            </w:pPr>
          </w:p>
        </w:tc>
        <w:tc>
          <w:tcPr>
            <w:tcW w:w="1417" w:type="dxa"/>
            <w:vAlign w:val="center"/>
          </w:tcPr>
          <w:p w14:paraId="6AECD6A0" w14:textId="6CDBE8D2" w:rsidR="00362145" w:rsidRPr="00362145" w:rsidRDefault="00362145" w:rsidP="006550DA">
            <w:pPr>
              <w:jc w:val="center"/>
              <w:rPr>
                <w:rFonts w:ascii="Arial" w:hAnsi="Arial" w:cs="Arial"/>
                <w:color w:val="000000"/>
                <w:sz w:val="18"/>
                <w:szCs w:val="18"/>
              </w:rPr>
            </w:pPr>
            <w:r w:rsidRPr="00362145">
              <w:rPr>
                <w:rFonts w:ascii="Arial" w:hAnsi="Arial" w:cs="Arial"/>
                <w:color w:val="000000"/>
                <w:sz w:val="18"/>
                <w:szCs w:val="18"/>
              </w:rPr>
              <w:t>6 - 10</w:t>
            </w:r>
          </w:p>
        </w:tc>
        <w:tc>
          <w:tcPr>
            <w:tcW w:w="1418" w:type="dxa"/>
            <w:vAlign w:val="center"/>
          </w:tcPr>
          <w:p w14:paraId="1AF2BB2D" w14:textId="3EBCFEB6" w:rsidR="00362145" w:rsidRPr="00362145" w:rsidRDefault="00362145" w:rsidP="006550DA">
            <w:pPr>
              <w:jc w:val="center"/>
              <w:rPr>
                <w:rFonts w:ascii="Arial" w:hAnsi="Arial" w:cs="Arial"/>
                <w:color w:val="000000"/>
                <w:sz w:val="18"/>
                <w:szCs w:val="18"/>
              </w:rPr>
            </w:pPr>
            <w:r w:rsidRPr="00362145">
              <w:rPr>
                <w:rFonts w:ascii="Arial" w:hAnsi="Arial" w:cs="Arial"/>
                <w:color w:val="000000"/>
                <w:sz w:val="18"/>
                <w:szCs w:val="18"/>
              </w:rPr>
              <w:t>£13,000</w:t>
            </w:r>
          </w:p>
        </w:tc>
        <w:tc>
          <w:tcPr>
            <w:tcW w:w="992" w:type="dxa"/>
            <w:vAlign w:val="center"/>
          </w:tcPr>
          <w:p w14:paraId="6D037B58" w14:textId="3AB54941" w:rsidR="00362145" w:rsidRPr="00362145" w:rsidRDefault="00362145" w:rsidP="006550DA">
            <w:pPr>
              <w:jc w:val="center"/>
              <w:rPr>
                <w:rFonts w:ascii="Arial" w:hAnsi="Arial" w:cs="Arial"/>
                <w:color w:val="000000"/>
                <w:sz w:val="18"/>
                <w:szCs w:val="18"/>
              </w:rPr>
            </w:pPr>
            <w:r w:rsidRPr="00362145">
              <w:rPr>
                <w:rFonts w:ascii="Arial" w:hAnsi="Arial" w:cs="Arial"/>
                <w:color w:val="000000"/>
                <w:sz w:val="18"/>
                <w:szCs w:val="18"/>
              </w:rPr>
              <w:t>£1,360</w:t>
            </w:r>
          </w:p>
        </w:tc>
        <w:tc>
          <w:tcPr>
            <w:tcW w:w="1276" w:type="dxa"/>
            <w:vAlign w:val="center"/>
          </w:tcPr>
          <w:p w14:paraId="399FE28B" w14:textId="2F384B02" w:rsidR="00362145" w:rsidRPr="00362145" w:rsidRDefault="00362145" w:rsidP="006550DA">
            <w:pPr>
              <w:jc w:val="center"/>
              <w:rPr>
                <w:rFonts w:ascii="Open Sans" w:hAnsi="Open Sans" w:cs="Open Sans"/>
                <w:sz w:val="18"/>
                <w:szCs w:val="18"/>
              </w:rPr>
            </w:pPr>
            <w:r w:rsidRPr="00362145">
              <w:rPr>
                <w:rFonts w:ascii="Arial" w:hAnsi="Arial" w:cs="Arial"/>
                <w:color w:val="000000"/>
                <w:sz w:val="18"/>
                <w:szCs w:val="18"/>
              </w:rPr>
              <w:t>31</w:t>
            </w:r>
          </w:p>
        </w:tc>
        <w:tc>
          <w:tcPr>
            <w:tcW w:w="1417" w:type="dxa"/>
            <w:vAlign w:val="center"/>
          </w:tcPr>
          <w:p w14:paraId="45C2C6D6" w14:textId="795BC623" w:rsidR="00362145" w:rsidRPr="00362145" w:rsidRDefault="00362145" w:rsidP="006550DA">
            <w:pPr>
              <w:jc w:val="center"/>
              <w:rPr>
                <w:rFonts w:ascii="Open Sans" w:hAnsi="Open Sans" w:cs="Open Sans"/>
                <w:sz w:val="18"/>
                <w:szCs w:val="18"/>
              </w:rPr>
            </w:pPr>
            <w:r w:rsidRPr="00362145">
              <w:rPr>
                <w:rFonts w:ascii="Arial" w:hAnsi="Arial" w:cs="Arial"/>
                <w:color w:val="000000"/>
                <w:sz w:val="18"/>
                <w:szCs w:val="18"/>
              </w:rPr>
              <w:t>9,000</w:t>
            </w:r>
          </w:p>
        </w:tc>
        <w:tc>
          <w:tcPr>
            <w:tcW w:w="1418" w:type="dxa"/>
            <w:vAlign w:val="center"/>
          </w:tcPr>
          <w:p w14:paraId="5C52DF80" w14:textId="70C3B707" w:rsidR="00362145" w:rsidRPr="00362145" w:rsidRDefault="00362145" w:rsidP="006550DA">
            <w:pPr>
              <w:jc w:val="center"/>
              <w:rPr>
                <w:rFonts w:ascii="Open Sans" w:hAnsi="Open Sans" w:cs="Open Sans"/>
                <w:sz w:val="18"/>
                <w:szCs w:val="18"/>
              </w:rPr>
            </w:pPr>
            <w:r w:rsidRPr="00362145">
              <w:rPr>
                <w:rFonts w:ascii="Open Sans" w:hAnsi="Open Sans" w:cs="Open Sans"/>
                <w:color w:val="FF0000"/>
                <w:sz w:val="18"/>
                <w:szCs w:val="18"/>
              </w:rPr>
              <w:t>No</w:t>
            </w:r>
          </w:p>
        </w:tc>
      </w:tr>
      <w:tr w:rsidR="00362145" w14:paraId="1E07A00D" w14:textId="77777777" w:rsidTr="006550DA">
        <w:trPr>
          <w:trHeight w:val="79"/>
        </w:trPr>
        <w:tc>
          <w:tcPr>
            <w:tcW w:w="1555" w:type="dxa"/>
            <w:vMerge/>
            <w:vAlign w:val="center"/>
          </w:tcPr>
          <w:p w14:paraId="5690CD19" w14:textId="77777777" w:rsidR="00362145" w:rsidRPr="00362145" w:rsidRDefault="00362145" w:rsidP="006550DA">
            <w:pPr>
              <w:jc w:val="center"/>
              <w:rPr>
                <w:rFonts w:ascii="Open Sans" w:hAnsi="Open Sans" w:cs="Open Sans"/>
                <w:sz w:val="18"/>
                <w:szCs w:val="18"/>
              </w:rPr>
            </w:pPr>
          </w:p>
        </w:tc>
        <w:tc>
          <w:tcPr>
            <w:tcW w:w="1417" w:type="dxa"/>
            <w:vAlign w:val="center"/>
          </w:tcPr>
          <w:p w14:paraId="0C191D8A" w14:textId="4B7FAA03" w:rsidR="00362145" w:rsidRPr="00362145" w:rsidRDefault="00362145" w:rsidP="006550DA">
            <w:pPr>
              <w:jc w:val="center"/>
              <w:rPr>
                <w:rFonts w:ascii="Arial" w:hAnsi="Arial" w:cs="Arial"/>
                <w:color w:val="000000"/>
                <w:sz w:val="18"/>
                <w:szCs w:val="18"/>
              </w:rPr>
            </w:pPr>
            <w:r w:rsidRPr="00362145">
              <w:rPr>
                <w:rFonts w:ascii="Arial" w:hAnsi="Arial" w:cs="Arial"/>
                <w:color w:val="000000"/>
                <w:sz w:val="18"/>
                <w:szCs w:val="18"/>
              </w:rPr>
              <w:t>11 - 15</w:t>
            </w:r>
          </w:p>
        </w:tc>
        <w:tc>
          <w:tcPr>
            <w:tcW w:w="1418" w:type="dxa"/>
            <w:vAlign w:val="center"/>
          </w:tcPr>
          <w:p w14:paraId="3A8EE85D" w14:textId="6BF031B7" w:rsidR="00362145" w:rsidRPr="00362145" w:rsidRDefault="00362145" w:rsidP="006550DA">
            <w:pPr>
              <w:jc w:val="center"/>
              <w:rPr>
                <w:rFonts w:ascii="Arial" w:hAnsi="Arial" w:cs="Arial"/>
                <w:color w:val="000000"/>
                <w:sz w:val="18"/>
                <w:szCs w:val="18"/>
              </w:rPr>
            </w:pPr>
            <w:r w:rsidRPr="00362145">
              <w:rPr>
                <w:rFonts w:ascii="Arial" w:hAnsi="Arial" w:cs="Arial"/>
                <w:color w:val="000000"/>
                <w:sz w:val="18"/>
                <w:szCs w:val="18"/>
              </w:rPr>
              <w:t>£11,760</w:t>
            </w:r>
          </w:p>
        </w:tc>
        <w:tc>
          <w:tcPr>
            <w:tcW w:w="992" w:type="dxa"/>
            <w:vAlign w:val="center"/>
          </w:tcPr>
          <w:p w14:paraId="1774F83A" w14:textId="1BF51C80" w:rsidR="00362145" w:rsidRPr="00362145" w:rsidRDefault="00362145" w:rsidP="006550DA">
            <w:pPr>
              <w:jc w:val="center"/>
              <w:rPr>
                <w:rFonts w:ascii="Arial" w:hAnsi="Arial" w:cs="Arial"/>
                <w:color w:val="000000"/>
                <w:sz w:val="18"/>
                <w:szCs w:val="18"/>
              </w:rPr>
            </w:pPr>
            <w:r w:rsidRPr="00362145">
              <w:rPr>
                <w:rFonts w:ascii="Arial" w:hAnsi="Arial" w:cs="Arial"/>
                <w:color w:val="000000"/>
                <w:sz w:val="18"/>
                <w:szCs w:val="18"/>
              </w:rPr>
              <w:t>£820</w:t>
            </w:r>
          </w:p>
        </w:tc>
        <w:tc>
          <w:tcPr>
            <w:tcW w:w="1276" w:type="dxa"/>
            <w:vAlign w:val="center"/>
          </w:tcPr>
          <w:p w14:paraId="7D6384A3" w14:textId="7D9409C4" w:rsidR="00362145" w:rsidRPr="00362145" w:rsidRDefault="00362145" w:rsidP="006550DA">
            <w:pPr>
              <w:jc w:val="center"/>
              <w:rPr>
                <w:rFonts w:ascii="Open Sans" w:hAnsi="Open Sans" w:cs="Open Sans"/>
                <w:sz w:val="18"/>
                <w:szCs w:val="18"/>
              </w:rPr>
            </w:pPr>
            <w:r w:rsidRPr="00362145">
              <w:rPr>
                <w:rFonts w:ascii="Arial" w:hAnsi="Arial" w:cs="Arial"/>
                <w:color w:val="000000"/>
                <w:sz w:val="18"/>
                <w:szCs w:val="18"/>
              </w:rPr>
              <w:t>34</w:t>
            </w:r>
          </w:p>
        </w:tc>
        <w:tc>
          <w:tcPr>
            <w:tcW w:w="1417" w:type="dxa"/>
            <w:vAlign w:val="center"/>
          </w:tcPr>
          <w:p w14:paraId="6DE44A90" w14:textId="5DB1C494" w:rsidR="00362145" w:rsidRPr="00362145" w:rsidRDefault="00362145" w:rsidP="006550DA">
            <w:pPr>
              <w:jc w:val="center"/>
              <w:rPr>
                <w:rFonts w:ascii="Open Sans" w:hAnsi="Open Sans" w:cs="Open Sans"/>
                <w:sz w:val="18"/>
                <w:szCs w:val="18"/>
              </w:rPr>
            </w:pPr>
            <w:r w:rsidRPr="00362145">
              <w:rPr>
                <w:rFonts w:ascii="Arial" w:hAnsi="Arial" w:cs="Arial"/>
                <w:color w:val="000000"/>
                <w:sz w:val="18"/>
                <w:szCs w:val="18"/>
              </w:rPr>
              <w:t>7,760</w:t>
            </w:r>
          </w:p>
        </w:tc>
        <w:tc>
          <w:tcPr>
            <w:tcW w:w="1418" w:type="dxa"/>
            <w:vAlign w:val="center"/>
          </w:tcPr>
          <w:p w14:paraId="6A0D5F23" w14:textId="1F5175FD" w:rsidR="00362145" w:rsidRPr="00362145" w:rsidRDefault="00362145" w:rsidP="006550DA">
            <w:pPr>
              <w:jc w:val="center"/>
              <w:rPr>
                <w:rFonts w:ascii="Open Sans" w:hAnsi="Open Sans" w:cs="Open Sans"/>
                <w:sz w:val="18"/>
                <w:szCs w:val="18"/>
              </w:rPr>
            </w:pPr>
            <w:r w:rsidRPr="00362145">
              <w:rPr>
                <w:rFonts w:ascii="Open Sans" w:hAnsi="Open Sans" w:cs="Open Sans"/>
                <w:color w:val="FF0000"/>
                <w:sz w:val="18"/>
                <w:szCs w:val="18"/>
              </w:rPr>
              <w:t>No</w:t>
            </w:r>
          </w:p>
        </w:tc>
      </w:tr>
      <w:tr w:rsidR="00362145" w14:paraId="51E1E52C" w14:textId="77777777" w:rsidTr="006550DA">
        <w:trPr>
          <w:trHeight w:val="79"/>
        </w:trPr>
        <w:tc>
          <w:tcPr>
            <w:tcW w:w="1555" w:type="dxa"/>
            <w:vMerge/>
            <w:vAlign w:val="center"/>
          </w:tcPr>
          <w:p w14:paraId="4CDACD37" w14:textId="77777777" w:rsidR="00362145" w:rsidRPr="00362145" w:rsidRDefault="00362145" w:rsidP="006550DA">
            <w:pPr>
              <w:jc w:val="center"/>
              <w:rPr>
                <w:rFonts w:ascii="Open Sans" w:hAnsi="Open Sans" w:cs="Open Sans"/>
                <w:sz w:val="18"/>
                <w:szCs w:val="18"/>
              </w:rPr>
            </w:pPr>
          </w:p>
        </w:tc>
        <w:tc>
          <w:tcPr>
            <w:tcW w:w="1417" w:type="dxa"/>
            <w:vAlign w:val="center"/>
          </w:tcPr>
          <w:p w14:paraId="00FFA4E8" w14:textId="7BAA1A51" w:rsidR="00362145" w:rsidRPr="00362145" w:rsidRDefault="00362145" w:rsidP="006550DA">
            <w:pPr>
              <w:jc w:val="center"/>
              <w:rPr>
                <w:rFonts w:ascii="Arial" w:hAnsi="Arial" w:cs="Arial"/>
                <w:color w:val="000000"/>
                <w:sz w:val="18"/>
                <w:szCs w:val="18"/>
              </w:rPr>
            </w:pPr>
            <w:r w:rsidRPr="00362145">
              <w:rPr>
                <w:rFonts w:ascii="Arial" w:hAnsi="Arial" w:cs="Arial"/>
                <w:color w:val="000000"/>
                <w:sz w:val="18"/>
                <w:szCs w:val="18"/>
              </w:rPr>
              <w:t>16 - 20</w:t>
            </w:r>
          </w:p>
        </w:tc>
        <w:tc>
          <w:tcPr>
            <w:tcW w:w="1418" w:type="dxa"/>
            <w:vAlign w:val="center"/>
          </w:tcPr>
          <w:p w14:paraId="6A65F74D" w14:textId="38252D54" w:rsidR="00362145" w:rsidRPr="00362145" w:rsidRDefault="00362145" w:rsidP="006550DA">
            <w:pPr>
              <w:jc w:val="center"/>
              <w:rPr>
                <w:rFonts w:ascii="Arial" w:hAnsi="Arial" w:cs="Arial"/>
                <w:color w:val="000000"/>
                <w:sz w:val="18"/>
                <w:szCs w:val="18"/>
              </w:rPr>
            </w:pPr>
            <w:r w:rsidRPr="00362145">
              <w:rPr>
                <w:rFonts w:ascii="Arial" w:hAnsi="Arial" w:cs="Arial"/>
                <w:color w:val="000000"/>
                <w:sz w:val="18"/>
                <w:szCs w:val="18"/>
              </w:rPr>
              <w:t>£13,000</w:t>
            </w:r>
          </w:p>
        </w:tc>
        <w:tc>
          <w:tcPr>
            <w:tcW w:w="992" w:type="dxa"/>
            <w:vAlign w:val="center"/>
          </w:tcPr>
          <w:p w14:paraId="64CD2674" w14:textId="54C61534" w:rsidR="00362145" w:rsidRPr="00362145" w:rsidRDefault="00362145" w:rsidP="006550DA">
            <w:pPr>
              <w:jc w:val="center"/>
              <w:rPr>
                <w:rFonts w:ascii="Arial" w:hAnsi="Arial" w:cs="Arial"/>
                <w:color w:val="000000"/>
                <w:sz w:val="18"/>
                <w:szCs w:val="18"/>
              </w:rPr>
            </w:pPr>
            <w:r>
              <w:rPr>
                <w:rFonts w:ascii="Arial" w:hAnsi="Arial" w:cs="Arial"/>
                <w:color w:val="000000"/>
                <w:sz w:val="18"/>
                <w:szCs w:val="18"/>
              </w:rPr>
              <w:t>£</w:t>
            </w:r>
            <w:r w:rsidRPr="00362145">
              <w:rPr>
                <w:rFonts w:ascii="Arial" w:hAnsi="Arial" w:cs="Arial"/>
                <w:color w:val="000000"/>
                <w:sz w:val="18"/>
                <w:szCs w:val="18"/>
              </w:rPr>
              <w:t>690</w:t>
            </w:r>
          </w:p>
        </w:tc>
        <w:tc>
          <w:tcPr>
            <w:tcW w:w="1276" w:type="dxa"/>
            <w:vAlign w:val="center"/>
          </w:tcPr>
          <w:p w14:paraId="2D492182" w14:textId="7B583979" w:rsidR="00362145" w:rsidRPr="00362145" w:rsidRDefault="00362145" w:rsidP="006550DA">
            <w:pPr>
              <w:jc w:val="center"/>
              <w:rPr>
                <w:rFonts w:ascii="Open Sans" w:hAnsi="Open Sans" w:cs="Open Sans"/>
                <w:sz w:val="18"/>
                <w:szCs w:val="18"/>
              </w:rPr>
            </w:pPr>
            <w:r w:rsidRPr="00362145">
              <w:rPr>
                <w:rFonts w:ascii="Arial" w:hAnsi="Arial" w:cs="Arial"/>
                <w:color w:val="000000"/>
                <w:sz w:val="18"/>
                <w:szCs w:val="18"/>
              </w:rPr>
              <w:t>31</w:t>
            </w:r>
          </w:p>
        </w:tc>
        <w:tc>
          <w:tcPr>
            <w:tcW w:w="1417" w:type="dxa"/>
            <w:vAlign w:val="center"/>
          </w:tcPr>
          <w:p w14:paraId="69974B3F" w14:textId="12725821" w:rsidR="00362145" w:rsidRPr="00362145" w:rsidRDefault="00362145" w:rsidP="006550DA">
            <w:pPr>
              <w:jc w:val="center"/>
              <w:rPr>
                <w:rFonts w:ascii="Open Sans" w:hAnsi="Open Sans" w:cs="Open Sans"/>
                <w:sz w:val="18"/>
                <w:szCs w:val="18"/>
              </w:rPr>
            </w:pPr>
            <w:r w:rsidRPr="00362145">
              <w:rPr>
                <w:rFonts w:ascii="Arial" w:hAnsi="Arial" w:cs="Arial"/>
                <w:color w:val="000000"/>
                <w:sz w:val="18"/>
                <w:szCs w:val="18"/>
              </w:rPr>
              <w:t>9,000</w:t>
            </w:r>
          </w:p>
        </w:tc>
        <w:tc>
          <w:tcPr>
            <w:tcW w:w="1418" w:type="dxa"/>
            <w:vAlign w:val="center"/>
          </w:tcPr>
          <w:p w14:paraId="6C2E939D" w14:textId="13283ADD" w:rsidR="00362145" w:rsidRPr="00362145" w:rsidRDefault="00362145" w:rsidP="006550DA">
            <w:pPr>
              <w:jc w:val="center"/>
              <w:rPr>
                <w:rFonts w:ascii="Open Sans" w:hAnsi="Open Sans" w:cs="Open Sans"/>
                <w:sz w:val="18"/>
                <w:szCs w:val="18"/>
              </w:rPr>
            </w:pPr>
            <w:r w:rsidRPr="00362145">
              <w:rPr>
                <w:rFonts w:ascii="Open Sans" w:hAnsi="Open Sans" w:cs="Open Sans"/>
                <w:color w:val="FF0000"/>
                <w:sz w:val="18"/>
                <w:szCs w:val="18"/>
              </w:rPr>
              <w:t>No</w:t>
            </w:r>
          </w:p>
        </w:tc>
      </w:tr>
      <w:tr w:rsidR="00362145" w14:paraId="289F09D4" w14:textId="77777777" w:rsidTr="006550DA">
        <w:trPr>
          <w:trHeight w:val="79"/>
        </w:trPr>
        <w:tc>
          <w:tcPr>
            <w:tcW w:w="1555" w:type="dxa"/>
            <w:vMerge/>
            <w:vAlign w:val="center"/>
          </w:tcPr>
          <w:p w14:paraId="7FCA6F2A" w14:textId="77777777" w:rsidR="00362145" w:rsidRPr="00362145" w:rsidRDefault="00362145" w:rsidP="006550DA">
            <w:pPr>
              <w:jc w:val="center"/>
              <w:rPr>
                <w:rFonts w:ascii="Open Sans" w:hAnsi="Open Sans" w:cs="Open Sans"/>
                <w:sz w:val="18"/>
                <w:szCs w:val="18"/>
              </w:rPr>
            </w:pPr>
          </w:p>
        </w:tc>
        <w:tc>
          <w:tcPr>
            <w:tcW w:w="1417" w:type="dxa"/>
            <w:vAlign w:val="center"/>
          </w:tcPr>
          <w:p w14:paraId="141792D9" w14:textId="47C07E7A" w:rsidR="00362145" w:rsidRPr="00362145" w:rsidRDefault="00362145" w:rsidP="006550DA">
            <w:pPr>
              <w:jc w:val="center"/>
              <w:rPr>
                <w:rFonts w:ascii="Arial" w:hAnsi="Arial" w:cs="Arial"/>
                <w:color w:val="000000"/>
                <w:sz w:val="18"/>
                <w:szCs w:val="18"/>
              </w:rPr>
            </w:pPr>
            <w:r w:rsidRPr="00362145">
              <w:rPr>
                <w:rFonts w:ascii="Arial" w:hAnsi="Arial" w:cs="Arial"/>
                <w:color w:val="000000"/>
                <w:sz w:val="18"/>
                <w:szCs w:val="18"/>
              </w:rPr>
              <w:t>21 - 25</w:t>
            </w:r>
          </w:p>
        </w:tc>
        <w:tc>
          <w:tcPr>
            <w:tcW w:w="1418" w:type="dxa"/>
            <w:vAlign w:val="center"/>
          </w:tcPr>
          <w:p w14:paraId="67695A95" w14:textId="1F3D55F7" w:rsidR="00362145" w:rsidRPr="00362145" w:rsidRDefault="00362145" w:rsidP="006550DA">
            <w:pPr>
              <w:jc w:val="center"/>
              <w:rPr>
                <w:rFonts w:ascii="Arial" w:hAnsi="Arial" w:cs="Arial"/>
                <w:color w:val="000000"/>
                <w:sz w:val="18"/>
                <w:szCs w:val="18"/>
              </w:rPr>
            </w:pPr>
            <w:r w:rsidRPr="00362145">
              <w:rPr>
                <w:rFonts w:ascii="Arial" w:hAnsi="Arial" w:cs="Arial"/>
                <w:color w:val="000000"/>
                <w:sz w:val="18"/>
                <w:szCs w:val="18"/>
              </w:rPr>
              <w:t>£14,750</w:t>
            </w:r>
          </w:p>
        </w:tc>
        <w:tc>
          <w:tcPr>
            <w:tcW w:w="992" w:type="dxa"/>
            <w:vAlign w:val="center"/>
          </w:tcPr>
          <w:p w14:paraId="4FC4F878" w14:textId="1B1F4DEC" w:rsidR="00362145" w:rsidRPr="00362145" w:rsidRDefault="00362145" w:rsidP="006550DA">
            <w:pPr>
              <w:jc w:val="center"/>
              <w:rPr>
                <w:rFonts w:ascii="Arial" w:hAnsi="Arial" w:cs="Arial"/>
                <w:color w:val="000000"/>
                <w:sz w:val="18"/>
                <w:szCs w:val="18"/>
              </w:rPr>
            </w:pPr>
            <w:r>
              <w:rPr>
                <w:rFonts w:ascii="Arial" w:hAnsi="Arial" w:cs="Arial"/>
                <w:color w:val="000000"/>
                <w:sz w:val="18"/>
                <w:szCs w:val="18"/>
              </w:rPr>
              <w:t>£</w:t>
            </w:r>
            <w:r w:rsidRPr="00362145">
              <w:rPr>
                <w:rFonts w:ascii="Arial" w:hAnsi="Arial" w:cs="Arial"/>
                <w:color w:val="000000"/>
                <w:sz w:val="18"/>
                <w:szCs w:val="18"/>
              </w:rPr>
              <w:t>610</w:t>
            </w:r>
          </w:p>
        </w:tc>
        <w:tc>
          <w:tcPr>
            <w:tcW w:w="1276" w:type="dxa"/>
            <w:vAlign w:val="center"/>
          </w:tcPr>
          <w:p w14:paraId="527CF47A" w14:textId="7BF8A332" w:rsidR="00362145" w:rsidRPr="00362145" w:rsidRDefault="00362145" w:rsidP="006550DA">
            <w:pPr>
              <w:jc w:val="center"/>
              <w:rPr>
                <w:rFonts w:ascii="Open Sans" w:hAnsi="Open Sans" w:cs="Open Sans"/>
                <w:sz w:val="18"/>
                <w:szCs w:val="18"/>
              </w:rPr>
            </w:pPr>
            <w:r w:rsidRPr="00362145">
              <w:rPr>
                <w:rFonts w:ascii="Arial" w:hAnsi="Arial" w:cs="Arial"/>
                <w:color w:val="000000"/>
                <w:sz w:val="18"/>
                <w:szCs w:val="18"/>
              </w:rPr>
              <w:t>27</w:t>
            </w:r>
          </w:p>
        </w:tc>
        <w:tc>
          <w:tcPr>
            <w:tcW w:w="1417" w:type="dxa"/>
            <w:vAlign w:val="center"/>
          </w:tcPr>
          <w:p w14:paraId="1EBBC0D7" w14:textId="7E03BD95" w:rsidR="00362145" w:rsidRPr="00362145" w:rsidRDefault="00362145" w:rsidP="006550DA">
            <w:pPr>
              <w:jc w:val="center"/>
              <w:rPr>
                <w:rFonts w:ascii="Open Sans" w:hAnsi="Open Sans" w:cs="Open Sans"/>
                <w:sz w:val="18"/>
                <w:szCs w:val="18"/>
              </w:rPr>
            </w:pPr>
            <w:r w:rsidRPr="00362145">
              <w:rPr>
                <w:rFonts w:ascii="Arial" w:hAnsi="Arial" w:cs="Arial"/>
                <w:color w:val="000000"/>
                <w:sz w:val="18"/>
                <w:szCs w:val="18"/>
              </w:rPr>
              <w:t>10,750</w:t>
            </w:r>
          </w:p>
        </w:tc>
        <w:tc>
          <w:tcPr>
            <w:tcW w:w="1418" w:type="dxa"/>
            <w:vAlign w:val="center"/>
          </w:tcPr>
          <w:p w14:paraId="23E1CDC0" w14:textId="0966DC7F" w:rsidR="00362145" w:rsidRPr="00362145" w:rsidRDefault="00362145" w:rsidP="006550DA">
            <w:pPr>
              <w:jc w:val="center"/>
              <w:rPr>
                <w:rFonts w:ascii="Open Sans" w:hAnsi="Open Sans" w:cs="Open Sans"/>
                <w:sz w:val="18"/>
                <w:szCs w:val="18"/>
              </w:rPr>
            </w:pPr>
            <w:r w:rsidRPr="00362145">
              <w:rPr>
                <w:rFonts w:ascii="Open Sans" w:hAnsi="Open Sans" w:cs="Open Sans"/>
                <w:color w:val="FF0000"/>
                <w:sz w:val="18"/>
                <w:szCs w:val="18"/>
              </w:rPr>
              <w:t>No</w:t>
            </w:r>
          </w:p>
        </w:tc>
      </w:tr>
      <w:tr w:rsidR="00362145" w14:paraId="778874FC" w14:textId="77777777" w:rsidTr="006550DA">
        <w:trPr>
          <w:trHeight w:val="79"/>
        </w:trPr>
        <w:tc>
          <w:tcPr>
            <w:tcW w:w="1555" w:type="dxa"/>
            <w:vMerge/>
            <w:vAlign w:val="center"/>
          </w:tcPr>
          <w:p w14:paraId="7A157133" w14:textId="77777777" w:rsidR="00362145" w:rsidRPr="00362145" w:rsidRDefault="00362145" w:rsidP="006550DA">
            <w:pPr>
              <w:jc w:val="center"/>
              <w:rPr>
                <w:rFonts w:ascii="Open Sans" w:hAnsi="Open Sans" w:cs="Open Sans"/>
                <w:sz w:val="18"/>
                <w:szCs w:val="18"/>
              </w:rPr>
            </w:pPr>
          </w:p>
        </w:tc>
        <w:tc>
          <w:tcPr>
            <w:tcW w:w="1417" w:type="dxa"/>
            <w:vAlign w:val="center"/>
          </w:tcPr>
          <w:p w14:paraId="23A4AF8F" w14:textId="3EC0DB46" w:rsidR="00362145" w:rsidRPr="00362145" w:rsidRDefault="00362145" w:rsidP="006550DA">
            <w:pPr>
              <w:jc w:val="center"/>
              <w:rPr>
                <w:rFonts w:ascii="Arial" w:hAnsi="Arial" w:cs="Arial"/>
                <w:color w:val="000000"/>
                <w:sz w:val="18"/>
                <w:szCs w:val="18"/>
              </w:rPr>
            </w:pPr>
            <w:r w:rsidRPr="00362145">
              <w:rPr>
                <w:rFonts w:ascii="Arial" w:hAnsi="Arial" w:cs="Arial"/>
                <w:color w:val="000000"/>
                <w:sz w:val="18"/>
                <w:szCs w:val="18"/>
              </w:rPr>
              <w:t>26 - 30</w:t>
            </w:r>
          </w:p>
        </w:tc>
        <w:tc>
          <w:tcPr>
            <w:tcW w:w="1418" w:type="dxa"/>
            <w:vAlign w:val="center"/>
          </w:tcPr>
          <w:p w14:paraId="7FEFC881" w14:textId="6DED8008" w:rsidR="00362145" w:rsidRPr="00362145" w:rsidRDefault="00362145" w:rsidP="006550DA">
            <w:pPr>
              <w:jc w:val="center"/>
              <w:rPr>
                <w:rFonts w:ascii="Arial" w:hAnsi="Arial" w:cs="Arial"/>
                <w:color w:val="000000"/>
                <w:sz w:val="18"/>
                <w:szCs w:val="18"/>
              </w:rPr>
            </w:pPr>
            <w:r w:rsidRPr="00362145">
              <w:rPr>
                <w:rFonts w:ascii="Arial" w:hAnsi="Arial" w:cs="Arial"/>
                <w:color w:val="000000"/>
                <w:sz w:val="18"/>
                <w:szCs w:val="18"/>
              </w:rPr>
              <w:t>£16,500</w:t>
            </w:r>
          </w:p>
        </w:tc>
        <w:tc>
          <w:tcPr>
            <w:tcW w:w="992" w:type="dxa"/>
            <w:vAlign w:val="center"/>
          </w:tcPr>
          <w:p w14:paraId="2CEBE89D" w14:textId="30049F18" w:rsidR="00362145" w:rsidRPr="00362145" w:rsidRDefault="00362145" w:rsidP="006550DA">
            <w:pPr>
              <w:jc w:val="center"/>
              <w:rPr>
                <w:rFonts w:ascii="Arial" w:hAnsi="Arial" w:cs="Arial"/>
                <w:color w:val="000000"/>
                <w:sz w:val="18"/>
                <w:szCs w:val="18"/>
              </w:rPr>
            </w:pPr>
            <w:r>
              <w:rPr>
                <w:rFonts w:ascii="Arial" w:hAnsi="Arial" w:cs="Arial"/>
                <w:color w:val="000000"/>
                <w:sz w:val="18"/>
                <w:szCs w:val="18"/>
              </w:rPr>
              <w:t>£</w:t>
            </w:r>
            <w:r w:rsidRPr="00362145">
              <w:rPr>
                <w:rFonts w:ascii="Arial" w:hAnsi="Arial" w:cs="Arial"/>
                <w:color w:val="000000"/>
                <w:sz w:val="18"/>
                <w:szCs w:val="18"/>
              </w:rPr>
              <w:t>600</w:t>
            </w:r>
          </w:p>
        </w:tc>
        <w:tc>
          <w:tcPr>
            <w:tcW w:w="1276" w:type="dxa"/>
            <w:vAlign w:val="center"/>
          </w:tcPr>
          <w:p w14:paraId="71478A4D" w14:textId="1EA12569" w:rsidR="00362145" w:rsidRPr="00362145" w:rsidRDefault="00362145" w:rsidP="006550DA">
            <w:pPr>
              <w:jc w:val="center"/>
              <w:rPr>
                <w:rFonts w:ascii="Open Sans" w:hAnsi="Open Sans" w:cs="Open Sans"/>
                <w:sz w:val="18"/>
                <w:szCs w:val="18"/>
              </w:rPr>
            </w:pPr>
            <w:r w:rsidRPr="00362145">
              <w:rPr>
                <w:rFonts w:ascii="Arial" w:hAnsi="Arial" w:cs="Arial"/>
                <w:color w:val="000000"/>
                <w:sz w:val="18"/>
                <w:szCs w:val="18"/>
              </w:rPr>
              <w:t>24</w:t>
            </w:r>
          </w:p>
        </w:tc>
        <w:tc>
          <w:tcPr>
            <w:tcW w:w="1417" w:type="dxa"/>
            <w:vAlign w:val="center"/>
          </w:tcPr>
          <w:p w14:paraId="60919FCF" w14:textId="4C9367E4" w:rsidR="00362145" w:rsidRPr="00362145" w:rsidRDefault="00362145" w:rsidP="006550DA">
            <w:pPr>
              <w:jc w:val="center"/>
              <w:rPr>
                <w:rFonts w:ascii="Open Sans" w:hAnsi="Open Sans" w:cs="Open Sans"/>
                <w:sz w:val="18"/>
                <w:szCs w:val="18"/>
              </w:rPr>
            </w:pPr>
            <w:r w:rsidRPr="00362145">
              <w:rPr>
                <w:rFonts w:ascii="Arial" w:hAnsi="Arial" w:cs="Arial"/>
                <w:color w:val="000000"/>
                <w:sz w:val="18"/>
                <w:szCs w:val="18"/>
              </w:rPr>
              <w:t>12,500</w:t>
            </w:r>
          </w:p>
        </w:tc>
        <w:tc>
          <w:tcPr>
            <w:tcW w:w="1418" w:type="dxa"/>
            <w:vAlign w:val="center"/>
          </w:tcPr>
          <w:p w14:paraId="4DACC182" w14:textId="4A25AE0E" w:rsidR="00362145" w:rsidRPr="00362145" w:rsidRDefault="00362145" w:rsidP="006550DA">
            <w:pPr>
              <w:jc w:val="center"/>
              <w:rPr>
                <w:rFonts w:ascii="Open Sans" w:hAnsi="Open Sans" w:cs="Open Sans"/>
                <w:sz w:val="18"/>
                <w:szCs w:val="18"/>
              </w:rPr>
            </w:pPr>
            <w:r w:rsidRPr="00362145">
              <w:rPr>
                <w:rFonts w:ascii="Open Sans" w:hAnsi="Open Sans" w:cs="Open Sans"/>
                <w:color w:val="FF0000"/>
                <w:sz w:val="18"/>
                <w:szCs w:val="18"/>
              </w:rPr>
              <w:t>No</w:t>
            </w:r>
          </w:p>
        </w:tc>
      </w:tr>
      <w:tr w:rsidR="00362145" w14:paraId="138D4FC8" w14:textId="77777777" w:rsidTr="006550DA">
        <w:trPr>
          <w:trHeight w:val="79"/>
        </w:trPr>
        <w:tc>
          <w:tcPr>
            <w:tcW w:w="1555" w:type="dxa"/>
            <w:vMerge/>
            <w:vAlign w:val="center"/>
          </w:tcPr>
          <w:p w14:paraId="3133396B" w14:textId="77777777" w:rsidR="00362145" w:rsidRPr="00362145" w:rsidRDefault="00362145" w:rsidP="006550DA">
            <w:pPr>
              <w:jc w:val="center"/>
              <w:rPr>
                <w:rFonts w:ascii="Open Sans" w:hAnsi="Open Sans" w:cs="Open Sans"/>
                <w:sz w:val="18"/>
                <w:szCs w:val="18"/>
              </w:rPr>
            </w:pPr>
          </w:p>
        </w:tc>
        <w:tc>
          <w:tcPr>
            <w:tcW w:w="1417" w:type="dxa"/>
            <w:vAlign w:val="center"/>
          </w:tcPr>
          <w:p w14:paraId="152E83B5" w14:textId="07A8D4D0" w:rsidR="00362145" w:rsidRPr="00362145" w:rsidRDefault="00362145" w:rsidP="006550DA">
            <w:pPr>
              <w:jc w:val="center"/>
              <w:rPr>
                <w:rFonts w:ascii="Arial" w:hAnsi="Arial" w:cs="Arial"/>
                <w:color w:val="000000"/>
                <w:sz w:val="18"/>
                <w:szCs w:val="18"/>
              </w:rPr>
            </w:pPr>
            <w:r w:rsidRPr="00362145">
              <w:rPr>
                <w:rFonts w:ascii="Arial" w:hAnsi="Arial" w:cs="Arial"/>
                <w:color w:val="000000"/>
                <w:sz w:val="18"/>
                <w:szCs w:val="18"/>
              </w:rPr>
              <w:t>31 - 35</w:t>
            </w:r>
          </w:p>
        </w:tc>
        <w:tc>
          <w:tcPr>
            <w:tcW w:w="1418" w:type="dxa"/>
            <w:vAlign w:val="center"/>
          </w:tcPr>
          <w:p w14:paraId="347F7552" w14:textId="41C4E2DA" w:rsidR="00362145" w:rsidRPr="00362145" w:rsidRDefault="00362145" w:rsidP="006550DA">
            <w:pPr>
              <w:jc w:val="center"/>
              <w:rPr>
                <w:rFonts w:ascii="Arial" w:hAnsi="Arial" w:cs="Arial"/>
                <w:color w:val="000000"/>
                <w:sz w:val="18"/>
                <w:szCs w:val="18"/>
              </w:rPr>
            </w:pPr>
            <w:r w:rsidRPr="00362145">
              <w:rPr>
                <w:rFonts w:ascii="Arial" w:hAnsi="Arial" w:cs="Arial"/>
                <w:color w:val="000000"/>
                <w:sz w:val="18"/>
                <w:szCs w:val="18"/>
              </w:rPr>
              <w:t>£18,000</w:t>
            </w:r>
          </w:p>
        </w:tc>
        <w:tc>
          <w:tcPr>
            <w:tcW w:w="992" w:type="dxa"/>
            <w:vAlign w:val="center"/>
          </w:tcPr>
          <w:p w14:paraId="18C497F8" w14:textId="5AEFB4FB" w:rsidR="00362145" w:rsidRPr="00362145" w:rsidRDefault="00362145" w:rsidP="006550DA">
            <w:pPr>
              <w:jc w:val="center"/>
              <w:rPr>
                <w:rFonts w:ascii="Arial" w:hAnsi="Arial" w:cs="Arial"/>
                <w:color w:val="000000"/>
                <w:sz w:val="18"/>
                <w:szCs w:val="18"/>
              </w:rPr>
            </w:pPr>
            <w:r>
              <w:rPr>
                <w:rFonts w:ascii="Arial" w:hAnsi="Arial" w:cs="Arial"/>
                <w:color w:val="000000"/>
                <w:sz w:val="18"/>
                <w:szCs w:val="18"/>
              </w:rPr>
              <w:t>£</w:t>
            </w:r>
            <w:r w:rsidRPr="00362145">
              <w:rPr>
                <w:rFonts w:ascii="Arial" w:hAnsi="Arial" w:cs="Arial"/>
                <w:color w:val="000000"/>
                <w:sz w:val="18"/>
                <w:szCs w:val="18"/>
              </w:rPr>
              <w:t>510</w:t>
            </w:r>
          </w:p>
        </w:tc>
        <w:tc>
          <w:tcPr>
            <w:tcW w:w="1276" w:type="dxa"/>
            <w:vAlign w:val="center"/>
          </w:tcPr>
          <w:p w14:paraId="4906BC04" w14:textId="259DD5E9" w:rsidR="00362145" w:rsidRPr="00362145" w:rsidRDefault="00362145" w:rsidP="006550DA">
            <w:pPr>
              <w:jc w:val="center"/>
              <w:rPr>
                <w:rFonts w:ascii="Open Sans" w:hAnsi="Open Sans" w:cs="Open Sans"/>
                <w:sz w:val="18"/>
                <w:szCs w:val="18"/>
              </w:rPr>
            </w:pPr>
            <w:r w:rsidRPr="00362145">
              <w:rPr>
                <w:rFonts w:ascii="Arial" w:hAnsi="Arial" w:cs="Arial"/>
                <w:color w:val="000000"/>
                <w:sz w:val="18"/>
                <w:szCs w:val="18"/>
              </w:rPr>
              <w:t>22</w:t>
            </w:r>
          </w:p>
        </w:tc>
        <w:tc>
          <w:tcPr>
            <w:tcW w:w="1417" w:type="dxa"/>
            <w:vAlign w:val="center"/>
          </w:tcPr>
          <w:p w14:paraId="2267C4C4" w14:textId="0C433D49" w:rsidR="00362145" w:rsidRPr="00362145" w:rsidRDefault="00362145" w:rsidP="006550DA">
            <w:pPr>
              <w:jc w:val="center"/>
              <w:rPr>
                <w:rFonts w:ascii="Open Sans" w:hAnsi="Open Sans" w:cs="Open Sans"/>
                <w:sz w:val="18"/>
                <w:szCs w:val="18"/>
              </w:rPr>
            </w:pPr>
            <w:r w:rsidRPr="00362145">
              <w:rPr>
                <w:rFonts w:ascii="Arial" w:hAnsi="Arial" w:cs="Arial"/>
                <w:color w:val="000000"/>
                <w:sz w:val="18"/>
                <w:szCs w:val="18"/>
              </w:rPr>
              <w:t>14,000</w:t>
            </w:r>
          </w:p>
        </w:tc>
        <w:tc>
          <w:tcPr>
            <w:tcW w:w="1418" w:type="dxa"/>
            <w:vAlign w:val="center"/>
          </w:tcPr>
          <w:p w14:paraId="01F4487B" w14:textId="22933896" w:rsidR="00362145" w:rsidRPr="00362145" w:rsidRDefault="00362145" w:rsidP="006550DA">
            <w:pPr>
              <w:jc w:val="center"/>
              <w:rPr>
                <w:rFonts w:ascii="Open Sans" w:hAnsi="Open Sans" w:cs="Open Sans"/>
                <w:sz w:val="18"/>
                <w:szCs w:val="18"/>
              </w:rPr>
            </w:pPr>
            <w:r w:rsidRPr="00362145">
              <w:rPr>
                <w:rFonts w:ascii="Open Sans" w:hAnsi="Open Sans" w:cs="Open Sans"/>
                <w:color w:val="FF0000"/>
                <w:sz w:val="18"/>
                <w:szCs w:val="18"/>
              </w:rPr>
              <w:t>No</w:t>
            </w:r>
          </w:p>
        </w:tc>
      </w:tr>
      <w:tr w:rsidR="00362145" w14:paraId="5D09CAAF" w14:textId="77777777" w:rsidTr="006550DA">
        <w:trPr>
          <w:trHeight w:val="79"/>
        </w:trPr>
        <w:tc>
          <w:tcPr>
            <w:tcW w:w="1555" w:type="dxa"/>
            <w:vMerge/>
            <w:vAlign w:val="center"/>
          </w:tcPr>
          <w:p w14:paraId="5AAFED65" w14:textId="77777777" w:rsidR="00362145" w:rsidRPr="00362145" w:rsidRDefault="00362145" w:rsidP="006550DA">
            <w:pPr>
              <w:jc w:val="center"/>
              <w:rPr>
                <w:rFonts w:ascii="Open Sans" w:hAnsi="Open Sans" w:cs="Open Sans"/>
                <w:sz w:val="18"/>
                <w:szCs w:val="18"/>
              </w:rPr>
            </w:pPr>
          </w:p>
        </w:tc>
        <w:tc>
          <w:tcPr>
            <w:tcW w:w="1417" w:type="dxa"/>
            <w:vAlign w:val="center"/>
          </w:tcPr>
          <w:p w14:paraId="2A332903" w14:textId="72F8F4DE" w:rsidR="00362145" w:rsidRPr="00362145" w:rsidRDefault="00362145" w:rsidP="006550DA">
            <w:pPr>
              <w:jc w:val="center"/>
              <w:rPr>
                <w:rFonts w:ascii="Arial" w:hAnsi="Arial" w:cs="Arial"/>
                <w:color w:val="000000"/>
                <w:sz w:val="18"/>
                <w:szCs w:val="18"/>
              </w:rPr>
            </w:pPr>
            <w:r w:rsidRPr="00362145">
              <w:rPr>
                <w:rFonts w:ascii="Arial" w:hAnsi="Arial" w:cs="Arial"/>
                <w:color w:val="000000"/>
                <w:sz w:val="18"/>
                <w:szCs w:val="18"/>
              </w:rPr>
              <w:t>36 - 40</w:t>
            </w:r>
          </w:p>
        </w:tc>
        <w:tc>
          <w:tcPr>
            <w:tcW w:w="1418" w:type="dxa"/>
            <w:vAlign w:val="center"/>
          </w:tcPr>
          <w:p w14:paraId="07B93275" w14:textId="3A8D5E4E" w:rsidR="00362145" w:rsidRPr="00362145" w:rsidRDefault="00362145" w:rsidP="006550DA">
            <w:pPr>
              <w:jc w:val="center"/>
              <w:rPr>
                <w:rFonts w:ascii="Arial" w:hAnsi="Arial" w:cs="Arial"/>
                <w:color w:val="000000"/>
                <w:sz w:val="18"/>
                <w:szCs w:val="18"/>
              </w:rPr>
            </w:pPr>
            <w:r w:rsidRPr="00362145">
              <w:rPr>
                <w:rFonts w:ascii="Arial" w:hAnsi="Arial" w:cs="Arial"/>
                <w:color w:val="000000"/>
                <w:sz w:val="18"/>
                <w:szCs w:val="18"/>
              </w:rPr>
              <w:t>£19,390</w:t>
            </w:r>
          </w:p>
        </w:tc>
        <w:tc>
          <w:tcPr>
            <w:tcW w:w="992" w:type="dxa"/>
            <w:vAlign w:val="center"/>
          </w:tcPr>
          <w:p w14:paraId="66D1683A" w14:textId="0E747BD4" w:rsidR="00362145" w:rsidRPr="00362145" w:rsidRDefault="00362145" w:rsidP="006550DA">
            <w:pPr>
              <w:jc w:val="center"/>
              <w:rPr>
                <w:rFonts w:ascii="Arial" w:hAnsi="Arial" w:cs="Arial"/>
                <w:color w:val="000000"/>
                <w:sz w:val="18"/>
                <w:szCs w:val="18"/>
              </w:rPr>
            </w:pPr>
            <w:r>
              <w:rPr>
                <w:rFonts w:ascii="Arial" w:hAnsi="Arial" w:cs="Arial"/>
                <w:color w:val="000000"/>
                <w:sz w:val="18"/>
                <w:szCs w:val="18"/>
              </w:rPr>
              <w:t>£</w:t>
            </w:r>
            <w:r w:rsidRPr="00362145">
              <w:rPr>
                <w:rFonts w:ascii="Arial" w:hAnsi="Arial" w:cs="Arial"/>
                <w:color w:val="000000"/>
                <w:sz w:val="18"/>
                <w:szCs w:val="18"/>
              </w:rPr>
              <w:t>500</w:t>
            </w:r>
          </w:p>
        </w:tc>
        <w:tc>
          <w:tcPr>
            <w:tcW w:w="1276" w:type="dxa"/>
            <w:vAlign w:val="center"/>
          </w:tcPr>
          <w:p w14:paraId="0A985BFB" w14:textId="31D678E3" w:rsidR="00362145" w:rsidRPr="00362145" w:rsidRDefault="00362145" w:rsidP="006550DA">
            <w:pPr>
              <w:jc w:val="center"/>
              <w:rPr>
                <w:rFonts w:ascii="Open Sans" w:hAnsi="Open Sans" w:cs="Open Sans"/>
                <w:sz w:val="18"/>
                <w:szCs w:val="18"/>
              </w:rPr>
            </w:pPr>
            <w:r w:rsidRPr="00362145">
              <w:rPr>
                <w:rFonts w:ascii="Arial" w:hAnsi="Arial" w:cs="Arial"/>
                <w:color w:val="000000"/>
                <w:sz w:val="18"/>
                <w:szCs w:val="18"/>
              </w:rPr>
              <w:t>21</w:t>
            </w:r>
          </w:p>
        </w:tc>
        <w:tc>
          <w:tcPr>
            <w:tcW w:w="1417" w:type="dxa"/>
            <w:vAlign w:val="center"/>
          </w:tcPr>
          <w:p w14:paraId="120D56AC" w14:textId="6C6EE9C7" w:rsidR="00362145" w:rsidRPr="00362145" w:rsidRDefault="00362145" w:rsidP="006550DA">
            <w:pPr>
              <w:jc w:val="center"/>
              <w:rPr>
                <w:rFonts w:ascii="Open Sans" w:hAnsi="Open Sans" w:cs="Open Sans"/>
                <w:sz w:val="18"/>
                <w:szCs w:val="18"/>
              </w:rPr>
            </w:pPr>
            <w:r w:rsidRPr="00362145">
              <w:rPr>
                <w:rFonts w:ascii="Arial" w:hAnsi="Arial" w:cs="Arial"/>
                <w:color w:val="000000"/>
                <w:sz w:val="18"/>
                <w:szCs w:val="18"/>
              </w:rPr>
              <w:t>15,390</w:t>
            </w:r>
          </w:p>
        </w:tc>
        <w:tc>
          <w:tcPr>
            <w:tcW w:w="1418" w:type="dxa"/>
            <w:vAlign w:val="center"/>
          </w:tcPr>
          <w:p w14:paraId="24C2B796" w14:textId="04EEA2BF" w:rsidR="00362145" w:rsidRPr="00362145" w:rsidRDefault="00362145" w:rsidP="006550DA">
            <w:pPr>
              <w:jc w:val="center"/>
              <w:rPr>
                <w:rFonts w:ascii="Open Sans" w:hAnsi="Open Sans" w:cs="Open Sans"/>
                <w:sz w:val="18"/>
                <w:szCs w:val="18"/>
              </w:rPr>
            </w:pPr>
            <w:r w:rsidRPr="00362145">
              <w:rPr>
                <w:rFonts w:ascii="Open Sans" w:hAnsi="Open Sans" w:cs="Open Sans"/>
                <w:color w:val="FF0000"/>
                <w:sz w:val="18"/>
                <w:szCs w:val="18"/>
              </w:rPr>
              <w:t>No</w:t>
            </w:r>
          </w:p>
        </w:tc>
      </w:tr>
      <w:tr w:rsidR="00362145" w14:paraId="3D89F5AA" w14:textId="77777777" w:rsidTr="006550DA">
        <w:trPr>
          <w:trHeight w:val="79"/>
        </w:trPr>
        <w:tc>
          <w:tcPr>
            <w:tcW w:w="1555" w:type="dxa"/>
            <w:vMerge/>
            <w:vAlign w:val="center"/>
          </w:tcPr>
          <w:p w14:paraId="132771E0" w14:textId="77777777" w:rsidR="00362145" w:rsidRPr="00362145" w:rsidRDefault="00362145" w:rsidP="006550DA">
            <w:pPr>
              <w:jc w:val="center"/>
              <w:rPr>
                <w:rFonts w:ascii="Open Sans" w:hAnsi="Open Sans" w:cs="Open Sans"/>
                <w:sz w:val="18"/>
                <w:szCs w:val="18"/>
              </w:rPr>
            </w:pPr>
          </w:p>
        </w:tc>
        <w:tc>
          <w:tcPr>
            <w:tcW w:w="1417" w:type="dxa"/>
            <w:vAlign w:val="center"/>
          </w:tcPr>
          <w:p w14:paraId="6B486CE6" w14:textId="690504DD" w:rsidR="00362145" w:rsidRPr="00362145" w:rsidRDefault="00362145" w:rsidP="006550DA">
            <w:pPr>
              <w:jc w:val="center"/>
              <w:rPr>
                <w:rFonts w:ascii="Arial" w:hAnsi="Arial" w:cs="Arial"/>
                <w:color w:val="000000"/>
                <w:sz w:val="18"/>
                <w:szCs w:val="18"/>
              </w:rPr>
            </w:pPr>
            <w:r w:rsidRPr="00362145">
              <w:rPr>
                <w:rFonts w:ascii="Arial" w:hAnsi="Arial" w:cs="Arial"/>
                <w:color w:val="000000"/>
                <w:sz w:val="18"/>
                <w:szCs w:val="18"/>
              </w:rPr>
              <w:t>41 - 45</w:t>
            </w:r>
          </w:p>
        </w:tc>
        <w:tc>
          <w:tcPr>
            <w:tcW w:w="1418" w:type="dxa"/>
            <w:vAlign w:val="center"/>
          </w:tcPr>
          <w:p w14:paraId="54869B2E" w14:textId="2F2549C8" w:rsidR="00362145" w:rsidRPr="00362145" w:rsidRDefault="00362145" w:rsidP="006550DA">
            <w:pPr>
              <w:jc w:val="center"/>
              <w:rPr>
                <w:rFonts w:ascii="Arial" w:hAnsi="Arial" w:cs="Arial"/>
                <w:color w:val="000000"/>
                <w:sz w:val="18"/>
                <w:szCs w:val="18"/>
              </w:rPr>
            </w:pPr>
            <w:r w:rsidRPr="00362145">
              <w:rPr>
                <w:rFonts w:ascii="Arial" w:hAnsi="Arial" w:cs="Arial"/>
                <w:color w:val="000000"/>
                <w:sz w:val="18"/>
                <w:szCs w:val="18"/>
              </w:rPr>
              <w:t>£25,000</w:t>
            </w:r>
          </w:p>
        </w:tc>
        <w:tc>
          <w:tcPr>
            <w:tcW w:w="992" w:type="dxa"/>
            <w:vAlign w:val="center"/>
          </w:tcPr>
          <w:p w14:paraId="4AFC15A4" w14:textId="55000C16" w:rsidR="00362145" w:rsidRPr="00362145" w:rsidRDefault="00362145" w:rsidP="006550DA">
            <w:pPr>
              <w:jc w:val="center"/>
              <w:rPr>
                <w:rFonts w:ascii="Arial" w:hAnsi="Arial" w:cs="Arial"/>
                <w:color w:val="000000"/>
                <w:sz w:val="18"/>
                <w:szCs w:val="18"/>
              </w:rPr>
            </w:pPr>
            <w:r>
              <w:rPr>
                <w:rFonts w:ascii="Arial" w:hAnsi="Arial" w:cs="Arial"/>
                <w:color w:val="000000"/>
                <w:sz w:val="18"/>
                <w:szCs w:val="18"/>
              </w:rPr>
              <w:t>£</w:t>
            </w:r>
            <w:r w:rsidRPr="00362145">
              <w:rPr>
                <w:rFonts w:ascii="Arial" w:hAnsi="Arial" w:cs="Arial"/>
                <w:color w:val="000000"/>
                <w:sz w:val="18"/>
                <w:szCs w:val="18"/>
              </w:rPr>
              <w:t>570</w:t>
            </w:r>
          </w:p>
        </w:tc>
        <w:tc>
          <w:tcPr>
            <w:tcW w:w="1276" w:type="dxa"/>
            <w:vAlign w:val="center"/>
          </w:tcPr>
          <w:p w14:paraId="43D71DED" w14:textId="114AC496" w:rsidR="00362145" w:rsidRPr="00362145" w:rsidRDefault="00362145" w:rsidP="006550DA">
            <w:pPr>
              <w:jc w:val="center"/>
              <w:rPr>
                <w:rFonts w:ascii="Open Sans" w:hAnsi="Open Sans" w:cs="Open Sans"/>
                <w:sz w:val="18"/>
                <w:szCs w:val="18"/>
              </w:rPr>
            </w:pPr>
            <w:r w:rsidRPr="00362145">
              <w:rPr>
                <w:rFonts w:ascii="Arial" w:hAnsi="Arial" w:cs="Arial"/>
                <w:color w:val="000000"/>
                <w:sz w:val="18"/>
                <w:szCs w:val="18"/>
              </w:rPr>
              <w:t>16</w:t>
            </w:r>
          </w:p>
        </w:tc>
        <w:tc>
          <w:tcPr>
            <w:tcW w:w="1417" w:type="dxa"/>
            <w:vAlign w:val="center"/>
          </w:tcPr>
          <w:p w14:paraId="2EA3F5C6" w14:textId="32F52E6C" w:rsidR="00362145" w:rsidRPr="00362145" w:rsidRDefault="00362145" w:rsidP="006550DA">
            <w:pPr>
              <w:jc w:val="center"/>
              <w:rPr>
                <w:rFonts w:ascii="Open Sans" w:hAnsi="Open Sans" w:cs="Open Sans"/>
                <w:sz w:val="18"/>
                <w:szCs w:val="18"/>
              </w:rPr>
            </w:pPr>
            <w:r w:rsidRPr="00362145">
              <w:rPr>
                <w:rFonts w:ascii="Arial" w:hAnsi="Arial" w:cs="Arial"/>
                <w:color w:val="000000"/>
                <w:sz w:val="18"/>
                <w:szCs w:val="18"/>
              </w:rPr>
              <w:t>21,000</w:t>
            </w:r>
          </w:p>
        </w:tc>
        <w:tc>
          <w:tcPr>
            <w:tcW w:w="1418" w:type="dxa"/>
            <w:vAlign w:val="center"/>
          </w:tcPr>
          <w:p w14:paraId="63187D40" w14:textId="51E61B1B" w:rsidR="00362145" w:rsidRPr="00362145" w:rsidRDefault="00362145" w:rsidP="006550DA">
            <w:pPr>
              <w:jc w:val="center"/>
              <w:rPr>
                <w:rFonts w:ascii="Open Sans" w:hAnsi="Open Sans" w:cs="Open Sans"/>
                <w:sz w:val="18"/>
                <w:szCs w:val="18"/>
              </w:rPr>
            </w:pPr>
            <w:r w:rsidRPr="00362145">
              <w:rPr>
                <w:rFonts w:ascii="Open Sans" w:hAnsi="Open Sans" w:cs="Open Sans"/>
                <w:color w:val="FF0000"/>
                <w:sz w:val="18"/>
                <w:szCs w:val="18"/>
              </w:rPr>
              <w:t>No</w:t>
            </w:r>
          </w:p>
        </w:tc>
      </w:tr>
      <w:tr w:rsidR="00362145" w14:paraId="23C24357" w14:textId="77777777" w:rsidTr="006550DA">
        <w:trPr>
          <w:trHeight w:val="79"/>
        </w:trPr>
        <w:tc>
          <w:tcPr>
            <w:tcW w:w="1555" w:type="dxa"/>
            <w:vMerge/>
            <w:vAlign w:val="center"/>
          </w:tcPr>
          <w:p w14:paraId="143B5056" w14:textId="77777777" w:rsidR="00362145" w:rsidRPr="00362145" w:rsidRDefault="00362145" w:rsidP="006550DA">
            <w:pPr>
              <w:jc w:val="center"/>
              <w:rPr>
                <w:rFonts w:ascii="Open Sans" w:hAnsi="Open Sans" w:cs="Open Sans"/>
                <w:sz w:val="18"/>
                <w:szCs w:val="18"/>
              </w:rPr>
            </w:pPr>
          </w:p>
        </w:tc>
        <w:tc>
          <w:tcPr>
            <w:tcW w:w="1417" w:type="dxa"/>
            <w:vAlign w:val="center"/>
          </w:tcPr>
          <w:p w14:paraId="4285BF85" w14:textId="00987485" w:rsidR="00362145" w:rsidRPr="00362145" w:rsidRDefault="00362145" w:rsidP="006550DA">
            <w:pPr>
              <w:jc w:val="center"/>
              <w:rPr>
                <w:rFonts w:ascii="Arial" w:hAnsi="Arial" w:cs="Arial"/>
                <w:b/>
                <w:bCs/>
                <w:color w:val="000000"/>
                <w:sz w:val="20"/>
                <w:szCs w:val="20"/>
              </w:rPr>
            </w:pPr>
            <w:r w:rsidRPr="00362145">
              <w:rPr>
                <w:rFonts w:ascii="Arial" w:hAnsi="Arial" w:cs="Arial"/>
                <w:b/>
                <w:bCs/>
                <w:color w:val="000000"/>
                <w:sz w:val="20"/>
                <w:szCs w:val="20"/>
              </w:rPr>
              <w:t>Average across the range</w:t>
            </w:r>
          </w:p>
        </w:tc>
        <w:tc>
          <w:tcPr>
            <w:tcW w:w="1418" w:type="dxa"/>
            <w:vAlign w:val="center"/>
          </w:tcPr>
          <w:p w14:paraId="201127B6" w14:textId="4455D1D8" w:rsidR="00362145" w:rsidRPr="00362145" w:rsidRDefault="00362145" w:rsidP="006550DA">
            <w:pPr>
              <w:jc w:val="center"/>
              <w:rPr>
                <w:rFonts w:ascii="Arial" w:hAnsi="Arial" w:cs="Arial"/>
                <w:b/>
                <w:bCs/>
                <w:color w:val="000000"/>
                <w:sz w:val="20"/>
                <w:szCs w:val="20"/>
              </w:rPr>
            </w:pPr>
            <w:r w:rsidRPr="00362145">
              <w:rPr>
                <w:rFonts w:ascii="Arial" w:hAnsi="Arial" w:cs="Arial"/>
                <w:b/>
                <w:bCs/>
                <w:color w:val="000000"/>
                <w:sz w:val="20"/>
                <w:szCs w:val="20"/>
              </w:rPr>
              <w:t>£16,425</w:t>
            </w:r>
          </w:p>
        </w:tc>
        <w:tc>
          <w:tcPr>
            <w:tcW w:w="992" w:type="dxa"/>
            <w:vAlign w:val="center"/>
          </w:tcPr>
          <w:p w14:paraId="4D2D3527" w14:textId="72D091B0" w:rsidR="00362145" w:rsidRPr="00362145" w:rsidRDefault="00362145" w:rsidP="006550DA">
            <w:pPr>
              <w:jc w:val="center"/>
              <w:rPr>
                <w:rFonts w:ascii="Arial" w:hAnsi="Arial" w:cs="Arial"/>
                <w:b/>
                <w:bCs/>
                <w:color w:val="000000"/>
                <w:sz w:val="20"/>
                <w:szCs w:val="20"/>
              </w:rPr>
            </w:pPr>
            <w:r w:rsidRPr="00362145">
              <w:rPr>
                <w:rFonts w:ascii="Arial" w:hAnsi="Arial" w:cs="Arial"/>
                <w:b/>
                <w:bCs/>
                <w:color w:val="000000"/>
                <w:sz w:val="20"/>
                <w:szCs w:val="20"/>
              </w:rPr>
              <w:t>£708</w:t>
            </w:r>
          </w:p>
        </w:tc>
        <w:tc>
          <w:tcPr>
            <w:tcW w:w="1276" w:type="dxa"/>
            <w:vAlign w:val="center"/>
          </w:tcPr>
          <w:p w14:paraId="5A5CF04F" w14:textId="1FEAB5C7" w:rsidR="00362145" w:rsidRPr="00362145" w:rsidRDefault="00362145" w:rsidP="006550DA">
            <w:pPr>
              <w:jc w:val="center"/>
              <w:rPr>
                <w:rFonts w:ascii="Open Sans" w:hAnsi="Open Sans" w:cs="Open Sans"/>
                <w:b/>
                <w:bCs/>
                <w:sz w:val="20"/>
                <w:szCs w:val="20"/>
              </w:rPr>
            </w:pPr>
            <w:r w:rsidRPr="00362145">
              <w:rPr>
                <w:rFonts w:ascii="Arial" w:hAnsi="Arial" w:cs="Arial"/>
                <w:b/>
                <w:bCs/>
                <w:color w:val="000000"/>
                <w:sz w:val="20"/>
                <w:szCs w:val="20"/>
              </w:rPr>
              <w:t>24</w:t>
            </w:r>
          </w:p>
        </w:tc>
        <w:tc>
          <w:tcPr>
            <w:tcW w:w="1417" w:type="dxa"/>
            <w:vAlign w:val="center"/>
          </w:tcPr>
          <w:p w14:paraId="3A7BEA0E" w14:textId="2BE79DDE" w:rsidR="00362145" w:rsidRPr="00362145" w:rsidRDefault="00362145" w:rsidP="006550DA">
            <w:pPr>
              <w:jc w:val="center"/>
              <w:rPr>
                <w:rFonts w:ascii="Open Sans" w:hAnsi="Open Sans" w:cs="Open Sans"/>
                <w:b/>
                <w:bCs/>
                <w:sz w:val="20"/>
                <w:szCs w:val="20"/>
              </w:rPr>
            </w:pPr>
            <w:r w:rsidRPr="00362145">
              <w:rPr>
                <w:rFonts w:ascii="Arial" w:hAnsi="Arial" w:cs="Arial"/>
                <w:b/>
                <w:bCs/>
                <w:color w:val="000000"/>
                <w:sz w:val="20"/>
                <w:szCs w:val="20"/>
              </w:rPr>
              <w:t>12,425</w:t>
            </w:r>
          </w:p>
        </w:tc>
        <w:tc>
          <w:tcPr>
            <w:tcW w:w="1418" w:type="dxa"/>
            <w:vAlign w:val="center"/>
          </w:tcPr>
          <w:p w14:paraId="3ECEEF61" w14:textId="03AAAA9C" w:rsidR="00362145" w:rsidRPr="00362145" w:rsidRDefault="00362145" w:rsidP="006550DA">
            <w:pPr>
              <w:jc w:val="center"/>
              <w:rPr>
                <w:rFonts w:ascii="Open Sans" w:hAnsi="Open Sans" w:cs="Open Sans"/>
                <w:b/>
                <w:bCs/>
                <w:sz w:val="20"/>
                <w:szCs w:val="20"/>
              </w:rPr>
            </w:pPr>
            <w:r w:rsidRPr="00362145">
              <w:rPr>
                <w:rFonts w:ascii="Open Sans" w:hAnsi="Open Sans" w:cs="Open Sans"/>
                <w:b/>
                <w:bCs/>
                <w:color w:val="FF0000"/>
                <w:sz w:val="20"/>
                <w:szCs w:val="20"/>
              </w:rPr>
              <w:t>No</w:t>
            </w:r>
          </w:p>
        </w:tc>
      </w:tr>
    </w:tbl>
    <w:p w14:paraId="62EA108D" w14:textId="77777777" w:rsidR="008933AD" w:rsidRDefault="008933AD" w:rsidP="003326CA">
      <w:pPr>
        <w:rPr>
          <w:rFonts w:ascii="Open Sans" w:hAnsi="Open Sans" w:cs="Open Sans"/>
          <w:szCs w:val="22"/>
        </w:rPr>
      </w:pPr>
    </w:p>
    <w:p w14:paraId="2D781A66" w14:textId="065EA737" w:rsidR="008933AD" w:rsidRPr="003277D7" w:rsidRDefault="0033331E" w:rsidP="003326CA">
      <w:pPr>
        <w:rPr>
          <w:rFonts w:ascii="Open Sans" w:hAnsi="Open Sans" w:cs="Open Sans"/>
          <w:b/>
          <w:bCs/>
          <w:szCs w:val="22"/>
        </w:rPr>
      </w:pPr>
      <w:r w:rsidRPr="003277D7">
        <w:rPr>
          <w:rFonts w:ascii="Open Sans" w:hAnsi="Open Sans" w:cs="Open Sans"/>
          <w:b/>
          <w:bCs/>
          <w:szCs w:val="22"/>
        </w:rPr>
        <w:t>A £4000 grant will not cover the VAT for projects deploying at the upper end of the capacity range</w:t>
      </w:r>
    </w:p>
    <w:p w14:paraId="7328BBB5" w14:textId="7CB5FE52" w:rsidR="00362145" w:rsidRDefault="00362145" w:rsidP="003326CA">
      <w:pPr>
        <w:rPr>
          <w:rFonts w:ascii="Open Sans" w:hAnsi="Open Sans" w:cs="Open Sans"/>
          <w:b/>
          <w:bCs/>
          <w:szCs w:val="22"/>
          <w:u w:val="single"/>
        </w:rPr>
      </w:pPr>
    </w:p>
    <w:p w14:paraId="534417E4" w14:textId="4E1B97C2" w:rsidR="0093442B" w:rsidRDefault="00362145" w:rsidP="003326CA">
      <w:pPr>
        <w:rPr>
          <w:rFonts w:ascii="Open Sans" w:hAnsi="Open Sans" w:cs="Open Sans"/>
          <w:szCs w:val="22"/>
        </w:rPr>
      </w:pPr>
      <w:r>
        <w:rPr>
          <w:rFonts w:ascii="Open Sans" w:hAnsi="Open Sans" w:cs="Open Sans"/>
          <w:szCs w:val="22"/>
        </w:rPr>
        <w:t xml:space="preserve">In addition to the capex costs of a project, we also encourage BEIS to consider what proportion of the consumers cost is VAT. As of last year, VAT on energy saving materials, which includes domestic </w:t>
      </w:r>
      <w:r w:rsidR="0093442B">
        <w:rPr>
          <w:rFonts w:ascii="Open Sans" w:hAnsi="Open Sans" w:cs="Open Sans"/>
          <w:szCs w:val="22"/>
        </w:rPr>
        <w:t xml:space="preserve">renewable heat technologies </w:t>
      </w:r>
      <w:r w:rsidR="00E02393">
        <w:rPr>
          <w:rFonts w:ascii="Open Sans" w:hAnsi="Open Sans" w:cs="Open Sans"/>
          <w:szCs w:val="22"/>
        </w:rPr>
        <w:t xml:space="preserve">like </w:t>
      </w:r>
      <w:r w:rsidR="0093442B">
        <w:rPr>
          <w:rFonts w:ascii="Open Sans" w:hAnsi="Open Sans" w:cs="Open Sans"/>
          <w:szCs w:val="22"/>
        </w:rPr>
        <w:t xml:space="preserve">heat pumps and biomass installations, </w:t>
      </w:r>
      <w:r w:rsidR="004E5F41">
        <w:rPr>
          <w:rFonts w:ascii="Open Sans" w:hAnsi="Open Sans" w:cs="Open Sans"/>
          <w:szCs w:val="22"/>
        </w:rPr>
        <w:t>increased from</w:t>
      </w:r>
      <w:r>
        <w:rPr>
          <w:rFonts w:ascii="Open Sans" w:hAnsi="Open Sans" w:cs="Open Sans"/>
          <w:szCs w:val="22"/>
        </w:rPr>
        <w:t xml:space="preserve"> 5% to 20% </w:t>
      </w:r>
      <w:r w:rsidR="0093442B">
        <w:rPr>
          <w:rFonts w:ascii="Open Sans" w:hAnsi="Open Sans" w:cs="Open Sans"/>
          <w:szCs w:val="22"/>
        </w:rPr>
        <w:t xml:space="preserve">(unless certain relief criteria applied). As such, BEIS need to be conscious of the fact that a large proportion of the grant will simply be paying the government applied tax on the technology. </w:t>
      </w:r>
    </w:p>
    <w:p w14:paraId="481828B1" w14:textId="77777777" w:rsidR="0093442B" w:rsidRDefault="0093442B" w:rsidP="003326CA">
      <w:pPr>
        <w:rPr>
          <w:rFonts w:ascii="Open Sans" w:hAnsi="Open Sans" w:cs="Open Sans"/>
          <w:szCs w:val="22"/>
        </w:rPr>
      </w:pPr>
    </w:p>
    <w:p w14:paraId="26FF3D63" w14:textId="5884A2E3" w:rsidR="00DA5C07" w:rsidRDefault="0093442B" w:rsidP="003326CA">
      <w:pPr>
        <w:rPr>
          <w:rFonts w:ascii="Open Sans" w:hAnsi="Open Sans" w:cs="Open Sans"/>
          <w:szCs w:val="22"/>
        </w:rPr>
      </w:pPr>
      <w:r>
        <w:rPr>
          <w:rFonts w:ascii="Open Sans" w:hAnsi="Open Sans" w:cs="Open Sans"/>
          <w:szCs w:val="22"/>
        </w:rPr>
        <w:t xml:space="preserve">In the case of installations at the upper end of the capacity range, where the grant level covers 20% or less of the total project cost, the grant may only be paying the VAT on the project. In such cases a set level grant does little more </w:t>
      </w:r>
      <w:r w:rsidR="00E02393">
        <w:rPr>
          <w:rFonts w:ascii="Open Sans" w:hAnsi="Open Sans" w:cs="Open Sans"/>
          <w:szCs w:val="22"/>
        </w:rPr>
        <w:t>than</w:t>
      </w:r>
      <w:r>
        <w:rPr>
          <w:rFonts w:ascii="Open Sans" w:hAnsi="Open Sans" w:cs="Open Sans"/>
          <w:szCs w:val="22"/>
        </w:rPr>
        <w:t xml:space="preserve"> see Government money recycled from BEIS to Treasury</w:t>
      </w:r>
      <w:r w:rsidR="00BB37F9">
        <w:rPr>
          <w:rFonts w:ascii="Open Sans" w:hAnsi="Open Sans" w:cs="Open Sans"/>
          <w:szCs w:val="22"/>
        </w:rPr>
        <w:t>, via consumers. This makes the grant redundant offering no benefit</w:t>
      </w:r>
      <w:r w:rsidR="00DA5C07">
        <w:rPr>
          <w:rFonts w:ascii="Open Sans" w:hAnsi="Open Sans" w:cs="Open Sans"/>
          <w:szCs w:val="22"/>
        </w:rPr>
        <w:t xml:space="preserve">, or incentive for heat decarbonisation. </w:t>
      </w:r>
    </w:p>
    <w:p w14:paraId="75D9F5E6" w14:textId="77777777" w:rsidR="00BB37F9" w:rsidRDefault="00BB37F9" w:rsidP="003326CA">
      <w:pPr>
        <w:rPr>
          <w:rFonts w:ascii="Open Sans" w:hAnsi="Open Sans" w:cs="Open Sans"/>
          <w:szCs w:val="22"/>
        </w:rPr>
      </w:pPr>
    </w:p>
    <w:p w14:paraId="643E651E" w14:textId="2BCF955B" w:rsidR="0093442B" w:rsidRPr="003277D7" w:rsidRDefault="0093442B" w:rsidP="003326CA">
      <w:pPr>
        <w:rPr>
          <w:rFonts w:ascii="Open Sans" w:hAnsi="Open Sans" w:cs="Open Sans"/>
          <w:b/>
          <w:bCs/>
          <w:szCs w:val="22"/>
        </w:rPr>
      </w:pPr>
      <w:r w:rsidRPr="003277D7">
        <w:rPr>
          <w:rFonts w:ascii="Open Sans" w:hAnsi="Open Sans" w:cs="Open Sans"/>
          <w:b/>
          <w:bCs/>
          <w:szCs w:val="22"/>
        </w:rPr>
        <w:t>A flat level of £4</w:t>
      </w:r>
      <w:r w:rsidR="00BB37F9" w:rsidRPr="003277D7">
        <w:rPr>
          <w:rFonts w:ascii="Open Sans" w:hAnsi="Open Sans" w:cs="Open Sans"/>
          <w:b/>
          <w:bCs/>
          <w:szCs w:val="22"/>
        </w:rPr>
        <w:t>,</w:t>
      </w:r>
      <w:r w:rsidRPr="003277D7">
        <w:rPr>
          <w:rFonts w:ascii="Open Sans" w:hAnsi="Open Sans" w:cs="Open Sans"/>
          <w:b/>
          <w:bCs/>
          <w:szCs w:val="22"/>
        </w:rPr>
        <w:t xml:space="preserve">000 does not </w:t>
      </w:r>
      <w:r w:rsidR="00BB37F9" w:rsidRPr="003277D7">
        <w:rPr>
          <w:rFonts w:ascii="Open Sans" w:hAnsi="Open Sans" w:cs="Open Sans"/>
          <w:b/>
          <w:bCs/>
          <w:szCs w:val="22"/>
        </w:rPr>
        <w:t xml:space="preserve">incentivise projects that provide </w:t>
      </w:r>
      <w:r w:rsidRPr="003277D7">
        <w:rPr>
          <w:rFonts w:ascii="Open Sans" w:hAnsi="Open Sans" w:cs="Open Sans"/>
          <w:b/>
          <w:bCs/>
          <w:szCs w:val="22"/>
        </w:rPr>
        <w:t>the best value of money</w:t>
      </w:r>
    </w:p>
    <w:p w14:paraId="0104E133" w14:textId="33401262" w:rsidR="00BB37F9" w:rsidRDefault="00BB37F9" w:rsidP="003326CA">
      <w:pPr>
        <w:rPr>
          <w:rFonts w:ascii="Open Sans" w:hAnsi="Open Sans" w:cs="Open Sans"/>
          <w:b/>
          <w:bCs/>
          <w:szCs w:val="22"/>
        </w:rPr>
      </w:pPr>
    </w:p>
    <w:p w14:paraId="4E36C700" w14:textId="560CE0C2" w:rsidR="00BB37F9" w:rsidRDefault="00BB37F9" w:rsidP="001F36DC">
      <w:pPr>
        <w:rPr>
          <w:rFonts w:ascii="Open Sans" w:hAnsi="Open Sans" w:cs="Open Sans"/>
          <w:szCs w:val="22"/>
        </w:rPr>
      </w:pPr>
      <w:r>
        <w:rPr>
          <w:rFonts w:ascii="Open Sans" w:hAnsi="Open Sans" w:cs="Open Sans"/>
          <w:szCs w:val="22"/>
        </w:rPr>
        <w:t>The consultation document also makes clear that the grant is intended “</w:t>
      </w:r>
      <w:r w:rsidRPr="00BB37F9">
        <w:rPr>
          <w:rFonts w:ascii="Open Sans" w:hAnsi="Open Sans" w:cs="Open Sans"/>
          <w:i/>
          <w:iCs/>
          <w:szCs w:val="22"/>
        </w:rPr>
        <w:t>to target public support on those technologies that offer best value for money”</w:t>
      </w:r>
      <w:r>
        <w:rPr>
          <w:rFonts w:ascii="Open Sans" w:hAnsi="Open Sans" w:cs="Open Sans"/>
          <w:szCs w:val="22"/>
        </w:rPr>
        <w:t>. Again BEIS 2019 Domestic RHI deployment data indicates that on a cost per kW basis</w:t>
      </w:r>
      <w:r w:rsidR="00DA5C07">
        <w:rPr>
          <w:rFonts w:ascii="Open Sans" w:hAnsi="Open Sans" w:cs="Open Sans"/>
          <w:szCs w:val="22"/>
        </w:rPr>
        <w:t xml:space="preserve">, </w:t>
      </w:r>
      <w:r>
        <w:rPr>
          <w:rFonts w:ascii="Open Sans" w:hAnsi="Open Sans" w:cs="Open Sans"/>
          <w:szCs w:val="22"/>
        </w:rPr>
        <w:t xml:space="preserve">larger scale projects above 10 kW provide the best value per £ spent. </w:t>
      </w:r>
      <w:r w:rsidR="00DA5C07">
        <w:rPr>
          <w:rFonts w:ascii="Open Sans" w:hAnsi="Open Sans" w:cs="Open Sans"/>
          <w:szCs w:val="22"/>
        </w:rPr>
        <w:t xml:space="preserve"> This is true of all renewable heat technologies.</w:t>
      </w:r>
    </w:p>
    <w:p w14:paraId="2C3A03EA" w14:textId="77777777" w:rsidR="00BB37F9" w:rsidRDefault="00BB37F9" w:rsidP="001F36DC">
      <w:pPr>
        <w:rPr>
          <w:rFonts w:ascii="Open Sans" w:hAnsi="Open Sans" w:cs="Open Sans"/>
          <w:szCs w:val="22"/>
        </w:rPr>
      </w:pPr>
    </w:p>
    <w:p w14:paraId="565D7C20" w14:textId="50085C19" w:rsidR="00E54BD8" w:rsidRPr="00BB37F9" w:rsidRDefault="00BB37F9" w:rsidP="001F36DC">
      <w:pPr>
        <w:rPr>
          <w:rFonts w:ascii="Open Sans" w:hAnsi="Open Sans" w:cs="Open Sans"/>
          <w:color w:val="2F5496"/>
          <w:szCs w:val="22"/>
        </w:rPr>
      </w:pPr>
      <w:r>
        <w:rPr>
          <w:rFonts w:ascii="Open Sans" w:hAnsi="Open Sans" w:cs="Open Sans"/>
          <w:szCs w:val="22"/>
        </w:rPr>
        <w:t xml:space="preserve">This is especially true for biomass </w:t>
      </w:r>
      <w:r w:rsidR="00DA5C07">
        <w:rPr>
          <w:rFonts w:ascii="Open Sans" w:hAnsi="Open Sans" w:cs="Open Sans"/>
          <w:szCs w:val="22"/>
        </w:rPr>
        <w:t xml:space="preserve">where an average of £708/ kW across the capacity range is lower than any other technology supported by the scheme. This is even lower in the ND RHI where the </w:t>
      </w:r>
      <w:r w:rsidR="00913032">
        <w:rPr>
          <w:rFonts w:ascii="Open Sans" w:hAnsi="Open Sans" w:cs="Open Sans"/>
          <w:szCs w:val="22"/>
        </w:rPr>
        <w:t>small-scale</w:t>
      </w:r>
      <w:r w:rsidR="00DA5C07">
        <w:rPr>
          <w:rFonts w:ascii="Open Sans" w:hAnsi="Open Sans" w:cs="Open Sans"/>
          <w:szCs w:val="22"/>
        </w:rPr>
        <w:t xml:space="preserve"> biomass tariff averages </w:t>
      </w:r>
      <w:r w:rsidR="00DA5C07" w:rsidRPr="00273E54">
        <w:rPr>
          <w:rFonts w:ascii="Open Sans" w:hAnsi="Open Sans" w:cs="Open Sans"/>
          <w:szCs w:val="22"/>
        </w:rPr>
        <w:t>£463/kW across the three biomass ND RHI tariffs</w:t>
      </w:r>
      <w:r w:rsidR="00DA5C07">
        <w:rPr>
          <w:rFonts w:ascii="Open Sans" w:hAnsi="Open Sans" w:cs="Open Sans"/>
          <w:szCs w:val="22"/>
        </w:rPr>
        <w:t>.</w:t>
      </w:r>
    </w:p>
    <w:p w14:paraId="03721622" w14:textId="77777777" w:rsidR="00BB37F9" w:rsidRDefault="00BB37F9" w:rsidP="001F36DC">
      <w:pPr>
        <w:rPr>
          <w:rFonts w:ascii="Open Sans" w:hAnsi="Open Sans" w:cs="Open Sans"/>
          <w:b/>
          <w:bCs/>
          <w:color w:val="2F5496"/>
          <w:szCs w:val="22"/>
        </w:rPr>
      </w:pPr>
    </w:p>
    <w:p w14:paraId="532A7F56" w14:textId="5B6FB43C" w:rsidR="001F36DC" w:rsidRPr="003277D7" w:rsidRDefault="001F36DC" w:rsidP="001F36DC">
      <w:pPr>
        <w:rPr>
          <w:rFonts w:ascii="Open Sans" w:hAnsi="Open Sans" w:cs="Open Sans"/>
          <w:b/>
          <w:bCs/>
          <w:i/>
          <w:iCs/>
          <w:color w:val="2F5496"/>
          <w:szCs w:val="22"/>
        </w:rPr>
      </w:pPr>
      <w:r w:rsidRPr="003277D7">
        <w:rPr>
          <w:rFonts w:ascii="Open Sans" w:hAnsi="Open Sans" w:cs="Open Sans"/>
          <w:b/>
          <w:bCs/>
          <w:color w:val="2F5496"/>
          <w:szCs w:val="22"/>
        </w:rPr>
        <w:t xml:space="preserve">Consultation Question 26 - </w:t>
      </w:r>
      <w:r w:rsidRPr="003277D7">
        <w:rPr>
          <w:rFonts w:ascii="Open Sans" w:hAnsi="Open Sans" w:cs="Open Sans"/>
          <w:b/>
          <w:bCs/>
          <w:i/>
          <w:iCs/>
          <w:color w:val="2F5496"/>
          <w:szCs w:val="22"/>
        </w:rPr>
        <w:t xml:space="preserve">Do you agree with the recommendation for a flat-rate grant? Yes/No. Please provide evidence to support your response. </w:t>
      </w:r>
    </w:p>
    <w:p w14:paraId="24D4A204" w14:textId="77777777" w:rsidR="001F36DC" w:rsidRPr="00273E54" w:rsidRDefault="001F36DC" w:rsidP="00F30E27">
      <w:pPr>
        <w:rPr>
          <w:rFonts w:ascii="Open Sans" w:hAnsi="Open Sans" w:cs="Open Sans"/>
          <w:b/>
          <w:bCs/>
          <w:color w:val="2F5496"/>
          <w:szCs w:val="22"/>
        </w:rPr>
      </w:pPr>
    </w:p>
    <w:bookmarkEnd w:id="59"/>
    <w:bookmarkEnd w:id="60"/>
    <w:p w14:paraId="208599F6" w14:textId="070F5F8B" w:rsidR="00F30E27" w:rsidRPr="00402538" w:rsidRDefault="00E54BD8" w:rsidP="00F30E27">
      <w:pPr>
        <w:rPr>
          <w:rFonts w:ascii="Open Sans" w:hAnsi="Open Sans" w:cs="Open Sans"/>
          <w:b/>
          <w:bCs/>
          <w:szCs w:val="22"/>
        </w:rPr>
      </w:pPr>
      <w:r w:rsidRPr="00402538">
        <w:rPr>
          <w:rFonts w:ascii="Open Sans" w:hAnsi="Open Sans" w:cs="Open Sans"/>
          <w:b/>
          <w:bCs/>
          <w:szCs w:val="22"/>
        </w:rPr>
        <w:t xml:space="preserve">No, </w:t>
      </w:r>
      <w:r w:rsidR="00B74B1D" w:rsidRPr="00402538">
        <w:rPr>
          <w:rFonts w:ascii="Open Sans" w:hAnsi="Open Sans" w:cs="Open Sans"/>
          <w:b/>
          <w:bCs/>
          <w:szCs w:val="22"/>
        </w:rPr>
        <w:t>the</w:t>
      </w:r>
      <w:r w:rsidR="00273E54" w:rsidRPr="00402538">
        <w:rPr>
          <w:rFonts w:ascii="Open Sans" w:hAnsi="Open Sans" w:cs="Open Sans"/>
          <w:b/>
          <w:bCs/>
          <w:szCs w:val="22"/>
        </w:rPr>
        <w:t xml:space="preserve"> grant level should be flexible, meeting a proportion of the cost for each kW capacity being deployed. </w:t>
      </w:r>
      <w:r w:rsidR="00B74B1D" w:rsidRPr="00402538">
        <w:rPr>
          <w:rFonts w:ascii="Open Sans" w:hAnsi="Open Sans" w:cs="Open Sans"/>
          <w:b/>
          <w:bCs/>
          <w:szCs w:val="22"/>
        </w:rPr>
        <w:t>This</w:t>
      </w:r>
      <w:r w:rsidR="00273E54" w:rsidRPr="00402538">
        <w:rPr>
          <w:rFonts w:ascii="Open Sans" w:hAnsi="Open Sans" w:cs="Open Sans"/>
          <w:b/>
          <w:bCs/>
          <w:szCs w:val="22"/>
        </w:rPr>
        <w:t xml:space="preserve"> </w:t>
      </w:r>
      <w:r w:rsidR="00AD3399" w:rsidRPr="00402538">
        <w:rPr>
          <w:rFonts w:ascii="Open Sans" w:hAnsi="Open Sans" w:cs="Open Sans"/>
          <w:b/>
          <w:bCs/>
          <w:szCs w:val="22"/>
        </w:rPr>
        <w:t>should</w:t>
      </w:r>
      <w:r w:rsidR="00273E54" w:rsidRPr="00402538">
        <w:rPr>
          <w:rFonts w:ascii="Open Sans" w:hAnsi="Open Sans" w:cs="Open Sans"/>
          <w:b/>
          <w:bCs/>
          <w:szCs w:val="22"/>
        </w:rPr>
        <w:t xml:space="preserve"> be accompanied by a low-interest loan</w:t>
      </w:r>
      <w:r w:rsidR="00B15D68">
        <w:rPr>
          <w:rFonts w:ascii="Open Sans" w:hAnsi="Open Sans" w:cs="Open Sans"/>
          <w:b/>
          <w:bCs/>
          <w:szCs w:val="22"/>
        </w:rPr>
        <w:t xml:space="preserve">, as seen in Scotland, </w:t>
      </w:r>
      <w:r w:rsidR="00273E54" w:rsidRPr="00402538">
        <w:rPr>
          <w:rFonts w:ascii="Open Sans" w:hAnsi="Open Sans" w:cs="Open Sans"/>
          <w:b/>
          <w:bCs/>
          <w:szCs w:val="22"/>
        </w:rPr>
        <w:t>to meet the remaining project costs.</w:t>
      </w:r>
    </w:p>
    <w:p w14:paraId="40704790" w14:textId="77777777" w:rsidR="00D72AB7" w:rsidRPr="00273E54" w:rsidRDefault="00D72AB7" w:rsidP="00B96CE1">
      <w:pPr>
        <w:spacing w:after="120"/>
        <w:rPr>
          <w:rFonts w:ascii="Open Sans" w:hAnsi="Open Sans" w:cs="Open Sans"/>
          <w:b/>
          <w:bCs/>
          <w:szCs w:val="22"/>
        </w:rPr>
      </w:pPr>
    </w:p>
    <w:p w14:paraId="2944F21A" w14:textId="35BDF7FE" w:rsidR="00E00A0D" w:rsidRDefault="00913032" w:rsidP="00F30E27">
      <w:pPr>
        <w:rPr>
          <w:rFonts w:ascii="Open Sans" w:hAnsi="Open Sans" w:cs="Open Sans"/>
          <w:szCs w:val="22"/>
        </w:rPr>
      </w:pPr>
      <w:r>
        <w:rPr>
          <w:rFonts w:ascii="Open Sans" w:hAnsi="Open Sans" w:cs="Open Sans"/>
          <w:szCs w:val="22"/>
        </w:rPr>
        <w:t xml:space="preserve">As demonstrated in answer to question 25, the average capital expenditure </w:t>
      </w:r>
      <w:r w:rsidR="00232B09">
        <w:rPr>
          <w:rFonts w:ascii="Open Sans" w:hAnsi="Open Sans" w:cs="Open Sans"/>
          <w:szCs w:val="22"/>
        </w:rPr>
        <w:t xml:space="preserve">for any renewable heat </w:t>
      </w:r>
      <w:r w:rsidR="003C646A">
        <w:rPr>
          <w:rFonts w:ascii="Open Sans" w:hAnsi="Open Sans" w:cs="Open Sans"/>
          <w:szCs w:val="22"/>
        </w:rPr>
        <w:t>system increases</w:t>
      </w:r>
      <w:r w:rsidR="00232B09">
        <w:rPr>
          <w:rFonts w:ascii="Open Sans" w:hAnsi="Open Sans" w:cs="Open Sans"/>
          <w:szCs w:val="22"/>
        </w:rPr>
        <w:t xml:space="preserve"> with project size. At the same time, the required </w:t>
      </w:r>
      <w:r w:rsidR="003C646A">
        <w:rPr>
          <w:rFonts w:ascii="Open Sans" w:hAnsi="Open Sans" w:cs="Open Sans"/>
          <w:szCs w:val="22"/>
        </w:rPr>
        <w:t>cost of</w:t>
      </w:r>
      <w:r w:rsidR="00232B09">
        <w:rPr>
          <w:rFonts w:ascii="Open Sans" w:hAnsi="Open Sans" w:cs="Open Sans"/>
          <w:szCs w:val="22"/>
        </w:rPr>
        <w:t xml:space="preserve"> Biomass or Ground </w:t>
      </w:r>
      <w:r w:rsidR="003C646A">
        <w:rPr>
          <w:rFonts w:ascii="Open Sans" w:hAnsi="Open Sans" w:cs="Open Sans"/>
          <w:szCs w:val="22"/>
        </w:rPr>
        <w:t>S</w:t>
      </w:r>
      <w:r w:rsidR="00232B09">
        <w:rPr>
          <w:rFonts w:ascii="Open Sans" w:hAnsi="Open Sans" w:cs="Open Sans"/>
          <w:szCs w:val="22"/>
        </w:rPr>
        <w:t xml:space="preserve">ource </w:t>
      </w:r>
      <w:r w:rsidR="003C646A">
        <w:rPr>
          <w:rFonts w:ascii="Open Sans" w:hAnsi="Open Sans" w:cs="Open Sans"/>
          <w:szCs w:val="22"/>
        </w:rPr>
        <w:t>H</w:t>
      </w:r>
      <w:r w:rsidR="00232B09">
        <w:rPr>
          <w:rFonts w:ascii="Open Sans" w:hAnsi="Open Sans" w:cs="Open Sans"/>
          <w:szCs w:val="22"/>
        </w:rPr>
        <w:t xml:space="preserve">eat </w:t>
      </w:r>
      <w:r w:rsidR="003C646A">
        <w:rPr>
          <w:rFonts w:ascii="Open Sans" w:hAnsi="Open Sans" w:cs="Open Sans"/>
          <w:szCs w:val="22"/>
        </w:rPr>
        <w:t>P</w:t>
      </w:r>
      <w:r w:rsidR="00232B09">
        <w:rPr>
          <w:rFonts w:ascii="Open Sans" w:hAnsi="Open Sans" w:cs="Open Sans"/>
          <w:szCs w:val="22"/>
        </w:rPr>
        <w:t xml:space="preserve">umps </w:t>
      </w:r>
      <w:r w:rsidR="003C646A">
        <w:rPr>
          <w:rFonts w:ascii="Open Sans" w:hAnsi="Open Sans" w:cs="Open Sans"/>
          <w:szCs w:val="22"/>
        </w:rPr>
        <w:t>are higher than those for</w:t>
      </w:r>
      <w:r w:rsidR="00232B09">
        <w:rPr>
          <w:rFonts w:ascii="Open Sans" w:hAnsi="Open Sans" w:cs="Open Sans"/>
          <w:szCs w:val="22"/>
        </w:rPr>
        <w:t xml:space="preserve"> </w:t>
      </w:r>
      <w:r w:rsidR="00A51CAC">
        <w:rPr>
          <w:rFonts w:ascii="Open Sans" w:hAnsi="Open Sans" w:cs="Open Sans"/>
          <w:szCs w:val="22"/>
        </w:rPr>
        <w:t xml:space="preserve">an </w:t>
      </w:r>
      <w:r w:rsidR="00232B09">
        <w:rPr>
          <w:rFonts w:ascii="Open Sans" w:hAnsi="Open Sans" w:cs="Open Sans"/>
          <w:szCs w:val="22"/>
        </w:rPr>
        <w:t xml:space="preserve">Air Source Heat Pump. As a </w:t>
      </w:r>
      <w:r w:rsidR="003C646A">
        <w:rPr>
          <w:rFonts w:ascii="Open Sans" w:hAnsi="Open Sans" w:cs="Open Sans"/>
          <w:szCs w:val="22"/>
        </w:rPr>
        <w:t xml:space="preserve">result, a </w:t>
      </w:r>
      <w:r w:rsidR="00232B09">
        <w:rPr>
          <w:rFonts w:ascii="Open Sans" w:hAnsi="Open Sans" w:cs="Open Sans"/>
          <w:szCs w:val="22"/>
        </w:rPr>
        <w:t xml:space="preserve">flat-rate grant will inevitably be a more attractive offer to </w:t>
      </w:r>
      <w:r w:rsidR="006550DA">
        <w:rPr>
          <w:rFonts w:ascii="Open Sans" w:hAnsi="Open Sans" w:cs="Open Sans"/>
          <w:szCs w:val="22"/>
        </w:rPr>
        <w:t xml:space="preserve">smaller </w:t>
      </w:r>
      <w:r w:rsidR="00232B09">
        <w:rPr>
          <w:rFonts w:ascii="Open Sans" w:hAnsi="Open Sans" w:cs="Open Sans"/>
          <w:szCs w:val="22"/>
        </w:rPr>
        <w:t>project</w:t>
      </w:r>
      <w:r w:rsidR="006550DA">
        <w:rPr>
          <w:rFonts w:ascii="Open Sans" w:hAnsi="Open Sans" w:cs="Open Sans"/>
          <w:szCs w:val="22"/>
        </w:rPr>
        <w:t>s</w:t>
      </w:r>
      <w:r w:rsidR="00232B09">
        <w:rPr>
          <w:rFonts w:ascii="Open Sans" w:hAnsi="Open Sans" w:cs="Open Sans"/>
          <w:szCs w:val="22"/>
        </w:rPr>
        <w:t xml:space="preserve"> or a cheaper technology, </w:t>
      </w:r>
      <w:r w:rsidR="00E00A0D">
        <w:rPr>
          <w:rFonts w:ascii="Open Sans" w:hAnsi="Open Sans" w:cs="Open Sans"/>
          <w:szCs w:val="22"/>
        </w:rPr>
        <w:t>where</w:t>
      </w:r>
      <w:r w:rsidR="006550DA">
        <w:rPr>
          <w:rFonts w:ascii="Open Sans" w:hAnsi="Open Sans" w:cs="Open Sans"/>
          <w:szCs w:val="22"/>
        </w:rPr>
        <w:t xml:space="preserve"> </w:t>
      </w:r>
      <w:r w:rsidR="003C646A">
        <w:rPr>
          <w:rFonts w:ascii="Open Sans" w:hAnsi="Open Sans" w:cs="Open Sans"/>
          <w:szCs w:val="22"/>
        </w:rPr>
        <w:t xml:space="preserve">the grant makes up the largest </w:t>
      </w:r>
      <w:r w:rsidR="007547EF">
        <w:rPr>
          <w:rFonts w:ascii="Open Sans" w:hAnsi="Open Sans" w:cs="Open Sans"/>
          <w:szCs w:val="22"/>
        </w:rPr>
        <w:t xml:space="preserve">possible </w:t>
      </w:r>
      <w:r w:rsidR="003C646A">
        <w:rPr>
          <w:rFonts w:ascii="Open Sans" w:hAnsi="Open Sans" w:cs="Open Sans"/>
          <w:szCs w:val="22"/>
        </w:rPr>
        <w:t xml:space="preserve">proportion of total capital costs. </w:t>
      </w:r>
    </w:p>
    <w:p w14:paraId="47EE8BB8" w14:textId="77777777" w:rsidR="00E00A0D" w:rsidRDefault="00E00A0D" w:rsidP="00F30E27">
      <w:pPr>
        <w:rPr>
          <w:rFonts w:ascii="Open Sans" w:hAnsi="Open Sans" w:cs="Open Sans"/>
          <w:szCs w:val="22"/>
        </w:rPr>
      </w:pPr>
    </w:p>
    <w:p w14:paraId="45679491" w14:textId="49B855F7" w:rsidR="003C646A" w:rsidRDefault="00E00A0D" w:rsidP="00F30E27">
      <w:pPr>
        <w:rPr>
          <w:rFonts w:ascii="Open Sans" w:hAnsi="Open Sans" w:cs="Open Sans"/>
          <w:szCs w:val="22"/>
        </w:rPr>
      </w:pPr>
      <w:r>
        <w:rPr>
          <w:rFonts w:ascii="Open Sans" w:hAnsi="Open Sans" w:cs="Open Sans"/>
          <w:szCs w:val="22"/>
        </w:rPr>
        <w:lastRenderedPageBreak/>
        <w:t>This creates a</w:t>
      </w:r>
      <w:r w:rsidR="00D95032">
        <w:rPr>
          <w:rFonts w:ascii="Open Sans" w:hAnsi="Open Sans" w:cs="Open Sans"/>
          <w:szCs w:val="22"/>
        </w:rPr>
        <w:t>n</w:t>
      </w:r>
      <w:r>
        <w:rPr>
          <w:rFonts w:ascii="Open Sans" w:hAnsi="Open Sans" w:cs="Open Sans"/>
          <w:szCs w:val="22"/>
        </w:rPr>
        <w:t xml:space="preserve"> unbalanced market incentive, where the grant favours </w:t>
      </w:r>
      <w:r w:rsidR="00D95032">
        <w:rPr>
          <w:rFonts w:ascii="Open Sans" w:hAnsi="Open Sans" w:cs="Open Sans"/>
          <w:szCs w:val="22"/>
        </w:rPr>
        <w:t>a</w:t>
      </w:r>
      <w:r w:rsidR="00A4375C">
        <w:rPr>
          <w:rFonts w:ascii="Open Sans" w:hAnsi="Open Sans" w:cs="Open Sans"/>
          <w:szCs w:val="22"/>
        </w:rPr>
        <w:t xml:space="preserve"> certain type </w:t>
      </w:r>
      <w:r w:rsidR="007547EF">
        <w:rPr>
          <w:rFonts w:ascii="Open Sans" w:hAnsi="Open Sans" w:cs="Open Sans"/>
          <w:szCs w:val="22"/>
        </w:rPr>
        <w:t>of project</w:t>
      </w:r>
      <w:r>
        <w:rPr>
          <w:rFonts w:ascii="Open Sans" w:hAnsi="Open Sans" w:cs="Open Sans"/>
          <w:szCs w:val="22"/>
        </w:rPr>
        <w:t xml:space="preserve"> </w:t>
      </w:r>
      <w:r w:rsidR="00A4375C">
        <w:rPr>
          <w:rFonts w:ascii="Open Sans" w:hAnsi="Open Sans" w:cs="Open Sans"/>
          <w:szCs w:val="22"/>
        </w:rPr>
        <w:t>at</w:t>
      </w:r>
      <w:r>
        <w:rPr>
          <w:rFonts w:ascii="Open Sans" w:hAnsi="Open Sans" w:cs="Open Sans"/>
          <w:szCs w:val="22"/>
        </w:rPr>
        <w:t xml:space="preserve"> </w:t>
      </w:r>
      <w:r w:rsidR="00FD6C15">
        <w:rPr>
          <w:rFonts w:ascii="Open Sans" w:hAnsi="Open Sans" w:cs="Open Sans"/>
          <w:szCs w:val="22"/>
        </w:rPr>
        <w:t xml:space="preserve">the </w:t>
      </w:r>
      <w:r>
        <w:rPr>
          <w:rFonts w:ascii="Open Sans" w:hAnsi="Open Sans" w:cs="Open Sans"/>
          <w:szCs w:val="22"/>
        </w:rPr>
        <w:t xml:space="preserve">detriment </w:t>
      </w:r>
      <w:r w:rsidR="00603B3E">
        <w:rPr>
          <w:rFonts w:ascii="Open Sans" w:hAnsi="Open Sans" w:cs="Open Sans"/>
          <w:szCs w:val="22"/>
        </w:rPr>
        <w:t>of</w:t>
      </w:r>
      <w:r>
        <w:rPr>
          <w:rFonts w:ascii="Open Sans" w:hAnsi="Open Sans" w:cs="Open Sans"/>
          <w:szCs w:val="22"/>
        </w:rPr>
        <w:t xml:space="preserve"> considering the </w:t>
      </w:r>
      <w:r w:rsidR="00D95032">
        <w:rPr>
          <w:rFonts w:ascii="Open Sans" w:hAnsi="Open Sans" w:cs="Open Sans"/>
          <w:szCs w:val="22"/>
        </w:rPr>
        <w:t>full</w:t>
      </w:r>
      <w:r>
        <w:rPr>
          <w:rFonts w:ascii="Open Sans" w:hAnsi="Open Sans" w:cs="Open Sans"/>
          <w:szCs w:val="22"/>
        </w:rPr>
        <w:t xml:space="preserve"> heat requirements for the building. </w:t>
      </w:r>
      <w:r w:rsidR="00D95032">
        <w:rPr>
          <w:rFonts w:ascii="Open Sans" w:hAnsi="Open Sans" w:cs="Open Sans"/>
          <w:szCs w:val="22"/>
        </w:rPr>
        <w:t>In</w:t>
      </w:r>
      <w:r>
        <w:rPr>
          <w:rFonts w:ascii="Open Sans" w:hAnsi="Open Sans" w:cs="Open Sans"/>
          <w:szCs w:val="22"/>
        </w:rPr>
        <w:t xml:space="preserve"> the case of </w:t>
      </w:r>
      <w:r w:rsidR="00D95032">
        <w:rPr>
          <w:rFonts w:ascii="Open Sans" w:hAnsi="Open Sans" w:cs="Open Sans"/>
          <w:szCs w:val="22"/>
        </w:rPr>
        <w:t xml:space="preserve">a </w:t>
      </w:r>
      <w:r>
        <w:rPr>
          <w:rFonts w:ascii="Open Sans" w:hAnsi="Open Sans" w:cs="Open Sans"/>
          <w:szCs w:val="22"/>
        </w:rPr>
        <w:t>£4000 flat rate grant, this</w:t>
      </w:r>
      <w:r w:rsidR="00D95032">
        <w:rPr>
          <w:rFonts w:ascii="Open Sans" w:hAnsi="Open Sans" w:cs="Open Sans"/>
          <w:szCs w:val="22"/>
        </w:rPr>
        <w:t xml:space="preserve"> will</w:t>
      </w:r>
      <w:r>
        <w:rPr>
          <w:rFonts w:ascii="Open Sans" w:hAnsi="Open Sans" w:cs="Open Sans"/>
          <w:szCs w:val="22"/>
        </w:rPr>
        <w:t xml:space="preserve"> favour sub 10 kW systems and predominantly </w:t>
      </w:r>
      <w:r w:rsidR="00FD6C15">
        <w:rPr>
          <w:rFonts w:ascii="Open Sans" w:hAnsi="Open Sans" w:cs="Open Sans"/>
          <w:szCs w:val="22"/>
        </w:rPr>
        <w:t>ASHPs</w:t>
      </w:r>
      <w:r>
        <w:rPr>
          <w:rFonts w:ascii="Open Sans" w:hAnsi="Open Sans" w:cs="Open Sans"/>
          <w:szCs w:val="22"/>
        </w:rPr>
        <w:t xml:space="preserve">, </w:t>
      </w:r>
      <w:r w:rsidR="00603B3E">
        <w:rPr>
          <w:rFonts w:ascii="Open Sans" w:hAnsi="Open Sans" w:cs="Open Sans"/>
          <w:szCs w:val="22"/>
        </w:rPr>
        <w:t xml:space="preserve">while disincentivising </w:t>
      </w:r>
      <w:r>
        <w:rPr>
          <w:rFonts w:ascii="Open Sans" w:hAnsi="Open Sans" w:cs="Open Sans"/>
          <w:szCs w:val="22"/>
        </w:rPr>
        <w:t>larger installation</w:t>
      </w:r>
      <w:r w:rsidR="00603B3E">
        <w:rPr>
          <w:rFonts w:ascii="Open Sans" w:hAnsi="Open Sans" w:cs="Open Sans"/>
          <w:szCs w:val="22"/>
        </w:rPr>
        <w:t>s</w:t>
      </w:r>
      <w:r>
        <w:rPr>
          <w:rFonts w:ascii="Open Sans" w:hAnsi="Open Sans" w:cs="Open Sans"/>
          <w:szCs w:val="22"/>
        </w:rPr>
        <w:t xml:space="preserve"> or a </w:t>
      </w:r>
      <w:r w:rsidR="00A4375C">
        <w:rPr>
          <w:rFonts w:ascii="Open Sans" w:hAnsi="Open Sans" w:cs="Open Sans"/>
          <w:szCs w:val="22"/>
        </w:rPr>
        <w:t>more expensive technology that may be</w:t>
      </w:r>
      <w:r w:rsidR="00FD6C15">
        <w:rPr>
          <w:rFonts w:ascii="Open Sans" w:hAnsi="Open Sans" w:cs="Open Sans"/>
          <w:szCs w:val="22"/>
        </w:rPr>
        <w:t xml:space="preserve"> better</w:t>
      </w:r>
      <w:r w:rsidR="00A4375C">
        <w:rPr>
          <w:rFonts w:ascii="Open Sans" w:hAnsi="Open Sans" w:cs="Open Sans"/>
          <w:szCs w:val="22"/>
        </w:rPr>
        <w:t xml:space="preserve"> suited to the heat requirements</w:t>
      </w:r>
      <w:r>
        <w:rPr>
          <w:rFonts w:ascii="Open Sans" w:hAnsi="Open Sans" w:cs="Open Sans"/>
          <w:szCs w:val="22"/>
        </w:rPr>
        <w:t xml:space="preserve">. </w:t>
      </w:r>
      <w:r w:rsidR="0013697E">
        <w:rPr>
          <w:rFonts w:ascii="Open Sans" w:hAnsi="Open Sans" w:cs="Open Sans"/>
          <w:szCs w:val="22"/>
        </w:rPr>
        <w:t>Th</w:t>
      </w:r>
      <w:r w:rsidR="00A4375C">
        <w:rPr>
          <w:rFonts w:ascii="Open Sans" w:hAnsi="Open Sans" w:cs="Open Sans"/>
          <w:szCs w:val="22"/>
        </w:rPr>
        <w:t>e proposed grant is therefore not</w:t>
      </w:r>
      <w:r w:rsidR="0013697E">
        <w:rPr>
          <w:rFonts w:ascii="Open Sans" w:hAnsi="Open Sans" w:cs="Open Sans"/>
          <w:szCs w:val="22"/>
        </w:rPr>
        <w:t xml:space="preserve"> technology neutral</w:t>
      </w:r>
      <w:r w:rsidR="00A4375C">
        <w:rPr>
          <w:rFonts w:ascii="Open Sans" w:hAnsi="Open Sans" w:cs="Open Sans"/>
          <w:szCs w:val="22"/>
        </w:rPr>
        <w:t xml:space="preserve"> nor does it</w:t>
      </w:r>
      <w:r w:rsidR="0013697E">
        <w:rPr>
          <w:rFonts w:ascii="Open Sans" w:hAnsi="Open Sans" w:cs="Open Sans"/>
          <w:szCs w:val="22"/>
        </w:rPr>
        <w:t xml:space="preserve"> ensure quality </w:t>
      </w:r>
      <w:r w:rsidR="007547EF">
        <w:rPr>
          <w:rFonts w:ascii="Open Sans" w:hAnsi="Open Sans" w:cs="Open Sans"/>
          <w:szCs w:val="22"/>
        </w:rPr>
        <w:t>installations or</w:t>
      </w:r>
      <w:r w:rsidR="0013697E">
        <w:rPr>
          <w:rFonts w:ascii="Open Sans" w:hAnsi="Open Sans" w:cs="Open Sans"/>
          <w:szCs w:val="22"/>
        </w:rPr>
        <w:t xml:space="preserve"> deploy projects across the total capacity range of the scheme</w:t>
      </w:r>
      <w:r w:rsidR="00603B3E">
        <w:rPr>
          <w:rFonts w:ascii="Open Sans" w:hAnsi="Open Sans" w:cs="Open Sans"/>
          <w:szCs w:val="22"/>
        </w:rPr>
        <w:t xml:space="preserve"> - </w:t>
      </w:r>
      <w:r w:rsidR="0013697E">
        <w:rPr>
          <w:rFonts w:ascii="Open Sans" w:hAnsi="Open Sans" w:cs="Open Sans"/>
          <w:szCs w:val="22"/>
        </w:rPr>
        <w:t xml:space="preserve">all of which are stated objectives of the policy. </w:t>
      </w:r>
    </w:p>
    <w:p w14:paraId="6401C2EB" w14:textId="329FA19D" w:rsidR="00E00A0D" w:rsidRDefault="00E00A0D" w:rsidP="00F30E27">
      <w:pPr>
        <w:rPr>
          <w:rFonts w:ascii="Open Sans" w:hAnsi="Open Sans" w:cs="Open Sans"/>
          <w:szCs w:val="22"/>
        </w:rPr>
      </w:pPr>
    </w:p>
    <w:p w14:paraId="3300DA9B" w14:textId="34DFA621" w:rsidR="00220E1F" w:rsidRDefault="00A4375C" w:rsidP="00F30E27">
      <w:pPr>
        <w:rPr>
          <w:rFonts w:ascii="Open Sans" w:hAnsi="Open Sans" w:cs="Open Sans"/>
          <w:szCs w:val="22"/>
        </w:rPr>
      </w:pPr>
      <w:r>
        <w:rPr>
          <w:rFonts w:ascii="Open Sans" w:hAnsi="Open Sans" w:cs="Open Sans"/>
          <w:szCs w:val="22"/>
        </w:rPr>
        <w:t>The grant</w:t>
      </w:r>
      <w:r w:rsidR="0013697E">
        <w:rPr>
          <w:rFonts w:ascii="Open Sans" w:hAnsi="Open Sans" w:cs="Open Sans"/>
          <w:szCs w:val="22"/>
        </w:rPr>
        <w:t xml:space="preserve"> needs to be able to cover roughly similar proportion of the total cost of a project, no matter the size or technology required. The fairest way to do this would be to deliver a grant based on the capacity required to sufficiently heat the building. This is best achieved by providing a flexible grant that pays out based on £/kW deployed, with a </w:t>
      </w:r>
      <w:r w:rsidR="00473FC9">
        <w:rPr>
          <w:rFonts w:ascii="Open Sans" w:hAnsi="Open Sans" w:cs="Open Sans"/>
          <w:szCs w:val="22"/>
        </w:rPr>
        <w:t>proportion</w:t>
      </w:r>
      <w:r w:rsidR="0013697E">
        <w:rPr>
          <w:rFonts w:ascii="Open Sans" w:hAnsi="Open Sans" w:cs="Open Sans"/>
          <w:szCs w:val="22"/>
        </w:rPr>
        <w:t xml:space="preserve"> of each kW covered by the grant. </w:t>
      </w:r>
      <w:r w:rsidR="00A51CAC">
        <w:rPr>
          <w:rFonts w:ascii="Open Sans" w:hAnsi="Open Sans" w:cs="Open Sans"/>
          <w:szCs w:val="22"/>
        </w:rPr>
        <w:t xml:space="preserve">An illustration of what this level could be is provided in answer to question 27. </w:t>
      </w:r>
    </w:p>
    <w:p w14:paraId="740EBC75" w14:textId="77777777" w:rsidR="00603B3E" w:rsidRDefault="00603B3E" w:rsidP="00220E1F">
      <w:pPr>
        <w:rPr>
          <w:rFonts w:ascii="Open Sans" w:hAnsi="Open Sans" w:cs="Open Sans"/>
          <w:szCs w:val="22"/>
        </w:rPr>
      </w:pPr>
    </w:p>
    <w:p w14:paraId="27BA2B18" w14:textId="70F2E0BA" w:rsidR="00603B3E" w:rsidRPr="00402538" w:rsidRDefault="00603B3E" w:rsidP="00F30E27">
      <w:pPr>
        <w:rPr>
          <w:rFonts w:ascii="Open Sans" w:hAnsi="Open Sans" w:cs="Open Sans"/>
          <w:b/>
          <w:bCs/>
          <w:szCs w:val="22"/>
        </w:rPr>
      </w:pPr>
      <w:r w:rsidRPr="00402538">
        <w:rPr>
          <w:rFonts w:ascii="Open Sans" w:hAnsi="Open Sans" w:cs="Open Sans"/>
          <w:b/>
          <w:bCs/>
          <w:szCs w:val="22"/>
        </w:rPr>
        <w:t xml:space="preserve">A low interest loan should also be provided with the flexible grant </w:t>
      </w:r>
    </w:p>
    <w:p w14:paraId="17A4FBA0" w14:textId="77777777" w:rsidR="00603B3E" w:rsidRDefault="00603B3E" w:rsidP="00F30E27">
      <w:pPr>
        <w:rPr>
          <w:rFonts w:ascii="Open Sans" w:hAnsi="Open Sans" w:cs="Open Sans"/>
          <w:szCs w:val="22"/>
        </w:rPr>
      </w:pPr>
    </w:p>
    <w:p w14:paraId="2323B9EF" w14:textId="77777777" w:rsidR="00EB762E" w:rsidRDefault="00EB762E" w:rsidP="00EB762E">
      <w:pPr>
        <w:rPr>
          <w:rFonts w:ascii="Open Sans" w:hAnsi="Open Sans" w:cs="Open Sans"/>
          <w:szCs w:val="22"/>
        </w:rPr>
      </w:pPr>
      <w:r w:rsidRPr="00273E54">
        <w:rPr>
          <w:rFonts w:ascii="Open Sans" w:hAnsi="Open Sans" w:cs="Open Sans"/>
          <w:szCs w:val="22"/>
        </w:rPr>
        <w:t>To further enable larger projects to deploy, a low-interest loan should also be offered in conjunction with the scheme to help cover the remaining cost of the project. This will also help mitigate low quality or undersized projects</w:t>
      </w:r>
      <w:r>
        <w:rPr>
          <w:rFonts w:ascii="Open Sans" w:hAnsi="Open Sans" w:cs="Open Sans"/>
          <w:szCs w:val="22"/>
        </w:rPr>
        <w:t xml:space="preserve"> by enabling consumers to consider more expensive installations. </w:t>
      </w:r>
    </w:p>
    <w:p w14:paraId="2CA0DD7E" w14:textId="77777777" w:rsidR="00EB762E" w:rsidRDefault="00EB762E" w:rsidP="00EB762E">
      <w:pPr>
        <w:rPr>
          <w:rFonts w:ascii="Open Sans" w:hAnsi="Open Sans" w:cs="Open Sans"/>
          <w:szCs w:val="22"/>
        </w:rPr>
      </w:pPr>
    </w:p>
    <w:p w14:paraId="325DF22E" w14:textId="776D9587" w:rsidR="00EB762E" w:rsidRDefault="00EB762E" w:rsidP="00EB762E">
      <w:pPr>
        <w:rPr>
          <w:rFonts w:ascii="Open Sans" w:hAnsi="Open Sans" w:cs="Open Sans"/>
          <w:szCs w:val="22"/>
        </w:rPr>
      </w:pPr>
      <w:r w:rsidRPr="00273E54">
        <w:rPr>
          <w:rFonts w:ascii="Open Sans" w:hAnsi="Open Sans" w:cs="Open Sans"/>
          <w:szCs w:val="22"/>
        </w:rPr>
        <w:t>Such a loan is likely easiest supplied by Government</w:t>
      </w:r>
      <w:r>
        <w:rPr>
          <w:rFonts w:ascii="Open Sans" w:hAnsi="Open Sans" w:cs="Open Sans"/>
          <w:szCs w:val="22"/>
        </w:rPr>
        <w:t xml:space="preserve"> and can be modelled on the successful Home Energy Scotland Loan Scheme, which provides 0% interest loans up to £17,500 for renewable energy systems.</w:t>
      </w:r>
      <w:r w:rsidR="00052441">
        <w:rPr>
          <w:rStyle w:val="FootnoteReference"/>
          <w:rFonts w:ascii="Open Sans" w:hAnsi="Open Sans" w:cs="Open Sans"/>
          <w:szCs w:val="22"/>
        </w:rPr>
        <w:footnoteReference w:id="15"/>
      </w:r>
      <w:r>
        <w:rPr>
          <w:rFonts w:ascii="Open Sans" w:hAnsi="Open Sans" w:cs="Open Sans"/>
          <w:szCs w:val="22"/>
        </w:rPr>
        <w:t xml:space="preserve"> </w:t>
      </w:r>
      <w:r w:rsidR="00052441">
        <w:rPr>
          <w:rFonts w:ascii="Open Sans" w:hAnsi="Open Sans" w:cs="Open Sans"/>
          <w:szCs w:val="22"/>
        </w:rPr>
        <w:t xml:space="preserve">At this level, the remaining capital expenditure following receipt of the grant is easily met and will make the Clean Heat Grant Scheme far more attractive to consumers. This would simply be a case of extending this scheme to the rest of the UK. </w:t>
      </w:r>
    </w:p>
    <w:p w14:paraId="5920AC85" w14:textId="77777777" w:rsidR="00EB762E" w:rsidRDefault="00EB762E" w:rsidP="00EB762E">
      <w:pPr>
        <w:rPr>
          <w:rFonts w:ascii="Open Sans" w:hAnsi="Open Sans" w:cs="Open Sans"/>
          <w:szCs w:val="22"/>
        </w:rPr>
      </w:pPr>
    </w:p>
    <w:p w14:paraId="531BB410" w14:textId="57660DFC" w:rsidR="00270123" w:rsidRDefault="00EB762E" w:rsidP="00EB762E">
      <w:pPr>
        <w:rPr>
          <w:rFonts w:ascii="Open Sans" w:hAnsi="Open Sans" w:cs="Open Sans"/>
          <w:szCs w:val="22"/>
        </w:rPr>
      </w:pPr>
      <w:r>
        <w:rPr>
          <w:rFonts w:ascii="Open Sans" w:hAnsi="Open Sans" w:cs="Open Sans"/>
          <w:szCs w:val="22"/>
        </w:rPr>
        <w:t xml:space="preserve">Alternatively, a public private </w:t>
      </w:r>
      <w:r w:rsidRPr="00273E54">
        <w:rPr>
          <w:rFonts w:ascii="Open Sans" w:hAnsi="Open Sans" w:cs="Open Sans"/>
          <w:szCs w:val="22"/>
        </w:rPr>
        <w:t>sector</w:t>
      </w:r>
      <w:r>
        <w:rPr>
          <w:rFonts w:ascii="Open Sans" w:hAnsi="Open Sans" w:cs="Open Sans"/>
          <w:szCs w:val="22"/>
        </w:rPr>
        <w:t xml:space="preserve"> scheme could be established with an appropriate UK finance body.  The Carbon Trust and Siemens collaborated on such a loan scheme from around 2004 to 2013, which proved successful at supporting market growth across all technologies</w:t>
      </w:r>
      <w:r w:rsidR="00E0171B">
        <w:rPr>
          <w:rFonts w:ascii="Open Sans" w:hAnsi="Open Sans" w:cs="Open Sans"/>
          <w:szCs w:val="22"/>
        </w:rPr>
        <w:t>.</w:t>
      </w:r>
      <w:r w:rsidR="005D7314">
        <w:rPr>
          <w:rStyle w:val="FootnoteReference"/>
          <w:rFonts w:ascii="Open Sans" w:hAnsi="Open Sans" w:cs="Open Sans"/>
          <w:szCs w:val="22"/>
        </w:rPr>
        <w:footnoteReference w:id="16"/>
      </w:r>
      <w:r>
        <w:rPr>
          <w:rFonts w:ascii="Open Sans" w:hAnsi="Open Sans" w:cs="Open Sans"/>
          <w:szCs w:val="22"/>
        </w:rPr>
        <w:t xml:space="preserve"> The REA would be happy to help facilitate </w:t>
      </w:r>
      <w:r w:rsidR="00052441">
        <w:rPr>
          <w:rFonts w:ascii="Open Sans" w:hAnsi="Open Sans" w:cs="Open Sans"/>
          <w:szCs w:val="22"/>
        </w:rPr>
        <w:t xml:space="preserve">Government </w:t>
      </w:r>
      <w:r>
        <w:rPr>
          <w:rFonts w:ascii="Open Sans" w:hAnsi="Open Sans" w:cs="Open Sans"/>
          <w:szCs w:val="22"/>
        </w:rPr>
        <w:t xml:space="preserve">discussions </w:t>
      </w:r>
      <w:r w:rsidR="00052441">
        <w:rPr>
          <w:rFonts w:ascii="Open Sans" w:hAnsi="Open Sans" w:cs="Open Sans"/>
          <w:szCs w:val="22"/>
        </w:rPr>
        <w:t xml:space="preserve">on this </w:t>
      </w:r>
      <w:r>
        <w:rPr>
          <w:rFonts w:ascii="Open Sans" w:hAnsi="Open Sans" w:cs="Open Sans"/>
          <w:szCs w:val="22"/>
        </w:rPr>
        <w:t xml:space="preserve">with relevant organisations through our </w:t>
      </w:r>
      <w:r w:rsidR="00052441">
        <w:rPr>
          <w:rFonts w:ascii="Open Sans" w:hAnsi="Open Sans" w:cs="Open Sans"/>
          <w:szCs w:val="22"/>
        </w:rPr>
        <w:t>F</w:t>
      </w:r>
      <w:r>
        <w:rPr>
          <w:rFonts w:ascii="Open Sans" w:hAnsi="Open Sans" w:cs="Open Sans"/>
          <w:szCs w:val="22"/>
        </w:rPr>
        <w:t xml:space="preserve">inance </w:t>
      </w:r>
      <w:r w:rsidR="00052441">
        <w:rPr>
          <w:rFonts w:ascii="Open Sans" w:hAnsi="Open Sans" w:cs="Open Sans"/>
          <w:szCs w:val="22"/>
        </w:rPr>
        <w:t>F</w:t>
      </w:r>
      <w:r>
        <w:rPr>
          <w:rFonts w:ascii="Open Sans" w:hAnsi="Open Sans" w:cs="Open Sans"/>
          <w:szCs w:val="22"/>
        </w:rPr>
        <w:t xml:space="preserve">orum. </w:t>
      </w:r>
    </w:p>
    <w:p w14:paraId="4D1761F1" w14:textId="5B8B42BE" w:rsidR="00E464EE" w:rsidRDefault="00E464EE" w:rsidP="00F30E27">
      <w:pPr>
        <w:rPr>
          <w:rFonts w:ascii="Open Sans" w:hAnsi="Open Sans" w:cs="Open Sans"/>
          <w:szCs w:val="22"/>
        </w:rPr>
      </w:pPr>
    </w:p>
    <w:p w14:paraId="088C6691" w14:textId="06068544" w:rsidR="00795275" w:rsidRPr="00402538" w:rsidRDefault="00795275" w:rsidP="00F30E27">
      <w:pPr>
        <w:rPr>
          <w:rFonts w:ascii="Open Sans" w:hAnsi="Open Sans" w:cs="Open Sans"/>
          <w:b/>
          <w:bCs/>
          <w:szCs w:val="22"/>
        </w:rPr>
      </w:pPr>
      <w:r w:rsidRPr="00402538">
        <w:rPr>
          <w:rFonts w:ascii="Open Sans" w:hAnsi="Open Sans" w:cs="Open Sans"/>
          <w:b/>
          <w:bCs/>
          <w:szCs w:val="22"/>
        </w:rPr>
        <w:t xml:space="preserve">Use the </w:t>
      </w:r>
      <w:r w:rsidR="00A51CAC">
        <w:rPr>
          <w:rFonts w:ascii="Open Sans" w:hAnsi="Open Sans" w:cs="Open Sans"/>
          <w:b/>
          <w:bCs/>
          <w:szCs w:val="22"/>
        </w:rPr>
        <w:t>h</w:t>
      </w:r>
      <w:r w:rsidRPr="00402538">
        <w:rPr>
          <w:rFonts w:ascii="Open Sans" w:hAnsi="Open Sans" w:cs="Open Sans"/>
          <w:b/>
          <w:bCs/>
          <w:szCs w:val="22"/>
        </w:rPr>
        <w:t xml:space="preserve">eat </w:t>
      </w:r>
      <w:r w:rsidR="00A51CAC">
        <w:rPr>
          <w:rFonts w:ascii="Open Sans" w:hAnsi="Open Sans" w:cs="Open Sans"/>
          <w:b/>
          <w:bCs/>
          <w:szCs w:val="22"/>
        </w:rPr>
        <w:t>l</w:t>
      </w:r>
      <w:r w:rsidRPr="00402538">
        <w:rPr>
          <w:rFonts w:ascii="Open Sans" w:hAnsi="Open Sans" w:cs="Open Sans"/>
          <w:b/>
          <w:bCs/>
          <w:szCs w:val="22"/>
        </w:rPr>
        <w:t xml:space="preserve">oss </w:t>
      </w:r>
      <w:r w:rsidR="00A51CAC">
        <w:rPr>
          <w:rFonts w:ascii="Open Sans" w:hAnsi="Open Sans" w:cs="Open Sans"/>
          <w:b/>
          <w:bCs/>
          <w:szCs w:val="22"/>
        </w:rPr>
        <w:t>as</w:t>
      </w:r>
      <w:r w:rsidRPr="00402538">
        <w:rPr>
          <w:rFonts w:ascii="Open Sans" w:hAnsi="Open Sans" w:cs="Open Sans"/>
          <w:b/>
          <w:bCs/>
          <w:szCs w:val="22"/>
        </w:rPr>
        <w:t>sessment to avoid the scheme encouraging unintended behaviours</w:t>
      </w:r>
    </w:p>
    <w:p w14:paraId="18064B7C" w14:textId="45C940B4" w:rsidR="006E016F" w:rsidRDefault="006E016F" w:rsidP="00926D06">
      <w:pPr>
        <w:rPr>
          <w:rFonts w:ascii="Open Sans" w:hAnsi="Open Sans" w:cs="Open Sans"/>
          <w:b/>
          <w:bCs/>
          <w:i/>
          <w:iCs/>
          <w:color w:val="2F5496"/>
          <w:szCs w:val="22"/>
        </w:rPr>
      </w:pPr>
    </w:p>
    <w:p w14:paraId="54C41A1F" w14:textId="4D94081D" w:rsidR="000C1F50" w:rsidRDefault="000C1F50" w:rsidP="00926D06">
      <w:pPr>
        <w:rPr>
          <w:rFonts w:ascii="Open Sans" w:hAnsi="Open Sans" w:cs="Open Sans"/>
          <w:szCs w:val="22"/>
        </w:rPr>
      </w:pPr>
      <w:r w:rsidRPr="000C1F50">
        <w:rPr>
          <w:rFonts w:ascii="Open Sans" w:hAnsi="Open Sans" w:cs="Open Sans"/>
          <w:szCs w:val="22"/>
        </w:rPr>
        <w:t>It is recognised</w:t>
      </w:r>
      <w:r w:rsidR="00F36138">
        <w:rPr>
          <w:rFonts w:ascii="Open Sans" w:hAnsi="Open Sans" w:cs="Open Sans"/>
          <w:szCs w:val="22"/>
        </w:rPr>
        <w:t xml:space="preserve"> in the consultation that varying support by installation size has the potential to incentivise unintended behaviours, as seen in some cases within the ND RHI. However, a flat rate grant does not</w:t>
      </w:r>
      <w:r w:rsidR="00402538">
        <w:rPr>
          <w:rFonts w:ascii="Open Sans" w:hAnsi="Open Sans" w:cs="Open Sans"/>
          <w:szCs w:val="22"/>
        </w:rPr>
        <w:t xml:space="preserve"> resolve</w:t>
      </w:r>
      <w:r w:rsidR="00F36138">
        <w:rPr>
          <w:rFonts w:ascii="Open Sans" w:hAnsi="Open Sans" w:cs="Open Sans"/>
          <w:szCs w:val="22"/>
        </w:rPr>
        <w:t xml:space="preserve"> this issue. </w:t>
      </w:r>
      <w:r w:rsidR="007547EF">
        <w:rPr>
          <w:rFonts w:ascii="Open Sans" w:hAnsi="Open Sans" w:cs="Open Sans"/>
          <w:szCs w:val="22"/>
        </w:rPr>
        <w:t>A</w:t>
      </w:r>
      <w:r w:rsidR="00F36138">
        <w:rPr>
          <w:rFonts w:ascii="Open Sans" w:hAnsi="Open Sans" w:cs="Open Sans"/>
          <w:szCs w:val="22"/>
        </w:rPr>
        <w:t>s currently proposed</w:t>
      </w:r>
      <w:r w:rsidR="003277D7">
        <w:rPr>
          <w:rFonts w:ascii="Open Sans" w:hAnsi="Open Sans" w:cs="Open Sans"/>
          <w:szCs w:val="22"/>
        </w:rPr>
        <w:t xml:space="preserve">, </w:t>
      </w:r>
      <w:r w:rsidR="00F36138">
        <w:rPr>
          <w:rFonts w:ascii="Open Sans" w:hAnsi="Open Sans" w:cs="Open Sans"/>
          <w:szCs w:val="22"/>
        </w:rPr>
        <w:t xml:space="preserve">the </w:t>
      </w:r>
      <w:r w:rsidR="00402538">
        <w:rPr>
          <w:rFonts w:ascii="Open Sans" w:hAnsi="Open Sans" w:cs="Open Sans"/>
          <w:szCs w:val="22"/>
        </w:rPr>
        <w:t>low grant</w:t>
      </w:r>
      <w:r w:rsidR="00F36138">
        <w:rPr>
          <w:rFonts w:ascii="Open Sans" w:hAnsi="Open Sans" w:cs="Open Sans"/>
          <w:szCs w:val="22"/>
        </w:rPr>
        <w:t xml:space="preserve"> will </w:t>
      </w:r>
      <w:r w:rsidR="00402538">
        <w:rPr>
          <w:rFonts w:ascii="Open Sans" w:hAnsi="Open Sans" w:cs="Open Sans"/>
          <w:szCs w:val="22"/>
        </w:rPr>
        <w:t>likely see projects undersized</w:t>
      </w:r>
      <w:r w:rsidR="00F36138">
        <w:rPr>
          <w:rFonts w:ascii="Open Sans" w:hAnsi="Open Sans" w:cs="Open Sans"/>
          <w:szCs w:val="22"/>
        </w:rPr>
        <w:t xml:space="preserve"> </w:t>
      </w:r>
      <w:r w:rsidR="00402538">
        <w:rPr>
          <w:rFonts w:ascii="Open Sans" w:hAnsi="Open Sans" w:cs="Open Sans"/>
          <w:szCs w:val="22"/>
        </w:rPr>
        <w:t>to</w:t>
      </w:r>
      <w:r w:rsidR="00F36138">
        <w:rPr>
          <w:rFonts w:ascii="Open Sans" w:hAnsi="Open Sans" w:cs="Open Sans"/>
          <w:szCs w:val="22"/>
        </w:rPr>
        <w:t xml:space="preserve"> ensure the grant covers the largest proportion of the overall costs. </w:t>
      </w:r>
      <w:r w:rsidR="00402538">
        <w:rPr>
          <w:rFonts w:ascii="Open Sans" w:hAnsi="Open Sans" w:cs="Open Sans"/>
          <w:szCs w:val="22"/>
        </w:rPr>
        <w:t>Alternatively,</w:t>
      </w:r>
      <w:r w:rsidR="00F36138">
        <w:rPr>
          <w:rFonts w:ascii="Open Sans" w:hAnsi="Open Sans" w:cs="Open Sans"/>
          <w:szCs w:val="22"/>
        </w:rPr>
        <w:t xml:space="preserve"> there is also a risk of multiple small </w:t>
      </w:r>
      <w:r w:rsidR="00A51CAC">
        <w:rPr>
          <w:rFonts w:ascii="Open Sans" w:hAnsi="Open Sans" w:cs="Open Sans"/>
          <w:szCs w:val="22"/>
        </w:rPr>
        <w:t>AHPS</w:t>
      </w:r>
      <w:r w:rsidR="00052441">
        <w:rPr>
          <w:rFonts w:ascii="Open Sans" w:hAnsi="Open Sans" w:cs="Open Sans"/>
          <w:szCs w:val="22"/>
        </w:rPr>
        <w:t>’</w:t>
      </w:r>
      <w:r w:rsidR="00A51CAC">
        <w:rPr>
          <w:rFonts w:ascii="Open Sans" w:hAnsi="Open Sans" w:cs="Open Sans"/>
          <w:szCs w:val="22"/>
        </w:rPr>
        <w:t>s/</w:t>
      </w:r>
      <w:r w:rsidR="00F36138">
        <w:rPr>
          <w:rFonts w:ascii="Open Sans" w:hAnsi="Open Sans" w:cs="Open Sans"/>
          <w:szCs w:val="22"/>
        </w:rPr>
        <w:t>boilers being installed, when one larger one would do, as they could potentially get a flat grant for each</w:t>
      </w:r>
      <w:r w:rsidR="00A51CAC">
        <w:rPr>
          <w:rFonts w:ascii="Open Sans" w:hAnsi="Open Sans" w:cs="Open Sans"/>
          <w:szCs w:val="22"/>
        </w:rPr>
        <w:t xml:space="preserve"> </w:t>
      </w:r>
      <w:r w:rsidR="00F36138">
        <w:rPr>
          <w:rFonts w:ascii="Open Sans" w:hAnsi="Open Sans" w:cs="Open Sans"/>
          <w:szCs w:val="22"/>
        </w:rPr>
        <w:t xml:space="preserve">installed. While there </w:t>
      </w:r>
      <w:r w:rsidR="00F36138">
        <w:rPr>
          <w:rFonts w:ascii="Open Sans" w:hAnsi="Open Sans" w:cs="Open Sans"/>
          <w:szCs w:val="22"/>
        </w:rPr>
        <w:lastRenderedPageBreak/>
        <w:t xml:space="preserve">are genuine situations where multiple boilers are appropriate, it was highlighted in the NAO review of the RHI that </w:t>
      </w:r>
      <w:r w:rsidR="00402538">
        <w:rPr>
          <w:rFonts w:ascii="Open Sans" w:hAnsi="Open Sans" w:cs="Open Sans"/>
          <w:szCs w:val="22"/>
        </w:rPr>
        <w:t>the scheme had no way of assessing this need.</w:t>
      </w:r>
      <w:r w:rsidR="00052441">
        <w:rPr>
          <w:rStyle w:val="FootnoteReference"/>
          <w:rFonts w:ascii="Open Sans" w:hAnsi="Open Sans" w:cs="Open Sans"/>
          <w:szCs w:val="22"/>
        </w:rPr>
        <w:footnoteReference w:id="17"/>
      </w:r>
      <w:r w:rsidR="00402538">
        <w:rPr>
          <w:rFonts w:ascii="Open Sans" w:hAnsi="Open Sans" w:cs="Open Sans"/>
          <w:szCs w:val="22"/>
        </w:rPr>
        <w:t xml:space="preserve"> </w:t>
      </w:r>
    </w:p>
    <w:p w14:paraId="6E455AA7" w14:textId="75B3AA68" w:rsidR="00402538" w:rsidRDefault="00402538" w:rsidP="00926D06">
      <w:pPr>
        <w:rPr>
          <w:rFonts w:ascii="Open Sans" w:hAnsi="Open Sans" w:cs="Open Sans"/>
          <w:szCs w:val="22"/>
        </w:rPr>
      </w:pPr>
    </w:p>
    <w:p w14:paraId="36B87775" w14:textId="77777777" w:rsidR="00B15D68" w:rsidRDefault="007547EF" w:rsidP="00926D06">
      <w:pPr>
        <w:rPr>
          <w:rFonts w:ascii="Open Sans" w:hAnsi="Open Sans" w:cs="Open Sans"/>
          <w:szCs w:val="22"/>
        </w:rPr>
      </w:pPr>
      <w:r>
        <w:rPr>
          <w:rFonts w:ascii="Open Sans" w:hAnsi="Open Sans" w:cs="Open Sans"/>
          <w:szCs w:val="22"/>
        </w:rPr>
        <w:t>T</w:t>
      </w:r>
      <w:r w:rsidR="00402538">
        <w:rPr>
          <w:rFonts w:ascii="Open Sans" w:hAnsi="Open Sans" w:cs="Open Sans"/>
          <w:szCs w:val="22"/>
        </w:rPr>
        <w:t>he proposed heat loss assessment should not only be used to ascertain if the right technology is being installed, but if the right capacity of being proposed</w:t>
      </w:r>
      <w:r w:rsidR="00052441">
        <w:rPr>
          <w:rFonts w:ascii="Open Sans" w:hAnsi="Open Sans" w:cs="Open Sans"/>
          <w:szCs w:val="22"/>
        </w:rPr>
        <w:t xml:space="preserve"> on all Clean Heat Grant Scheme Applications</w:t>
      </w:r>
      <w:r w:rsidR="00402538">
        <w:rPr>
          <w:rFonts w:ascii="Open Sans" w:hAnsi="Open Sans" w:cs="Open Sans"/>
          <w:szCs w:val="22"/>
        </w:rPr>
        <w:t>. The value of the grant is then based on th</w:t>
      </w:r>
      <w:r w:rsidR="00A51CAC">
        <w:rPr>
          <w:rFonts w:ascii="Open Sans" w:hAnsi="Open Sans" w:cs="Open Sans"/>
          <w:szCs w:val="22"/>
        </w:rPr>
        <w:t xml:space="preserve">is </w:t>
      </w:r>
      <w:r w:rsidR="00402538">
        <w:rPr>
          <w:rFonts w:ascii="Open Sans" w:hAnsi="Open Sans" w:cs="Open Sans"/>
          <w:szCs w:val="22"/>
        </w:rPr>
        <w:t>assessment, with £/kW paid out on the actual capacity required.  This should avoid people being able to benefits</w:t>
      </w:r>
    </w:p>
    <w:p w14:paraId="089D4DCC" w14:textId="73D11250" w:rsidR="00402538" w:rsidRPr="000C1F50" w:rsidRDefault="00402538" w:rsidP="00926D06">
      <w:pPr>
        <w:rPr>
          <w:rFonts w:ascii="Open Sans" w:hAnsi="Open Sans" w:cs="Open Sans"/>
          <w:szCs w:val="22"/>
        </w:rPr>
      </w:pPr>
      <w:r>
        <w:rPr>
          <w:rFonts w:ascii="Open Sans" w:hAnsi="Open Sans" w:cs="Open Sans"/>
          <w:szCs w:val="22"/>
        </w:rPr>
        <w:t xml:space="preserve"> from wrongly sizing installations or gaming the system to get more vouchers. </w:t>
      </w:r>
    </w:p>
    <w:p w14:paraId="1AE02930" w14:textId="0A72F07A" w:rsidR="00795275" w:rsidRPr="00795275" w:rsidRDefault="00795275" w:rsidP="00926D06">
      <w:pPr>
        <w:rPr>
          <w:rFonts w:ascii="Open Sans" w:hAnsi="Open Sans" w:cs="Open Sans"/>
          <w:b/>
          <w:bCs/>
          <w:color w:val="2F5496"/>
          <w:szCs w:val="22"/>
        </w:rPr>
      </w:pPr>
    </w:p>
    <w:p w14:paraId="2C2F1E29" w14:textId="2F90E7E6" w:rsidR="006E016F" w:rsidRPr="00D11867" w:rsidRDefault="00E464EE" w:rsidP="00926D06">
      <w:pPr>
        <w:rPr>
          <w:rFonts w:ascii="Open Sans" w:hAnsi="Open Sans" w:cs="Open Sans"/>
          <w:b/>
          <w:bCs/>
          <w:i/>
          <w:iCs/>
          <w:color w:val="2F5496"/>
          <w:szCs w:val="22"/>
        </w:rPr>
      </w:pPr>
      <w:r w:rsidRPr="00D11867">
        <w:rPr>
          <w:rFonts w:ascii="Open Sans" w:hAnsi="Open Sans" w:cs="Open Sans"/>
          <w:b/>
          <w:bCs/>
          <w:i/>
          <w:iCs/>
          <w:color w:val="2F5496"/>
          <w:szCs w:val="22"/>
        </w:rPr>
        <w:t xml:space="preserve">Question 27 - </w:t>
      </w:r>
      <w:r w:rsidR="000D49A6" w:rsidRPr="00D11867">
        <w:rPr>
          <w:rFonts w:ascii="Open Sans" w:hAnsi="Open Sans" w:cs="Open Sans"/>
          <w:b/>
          <w:bCs/>
          <w:i/>
          <w:iCs/>
          <w:color w:val="2F5496"/>
          <w:szCs w:val="22"/>
        </w:rPr>
        <w:t>If you believe a variation by capacity should be considered, please provide evidence to justify a process and level for varying the grant.</w:t>
      </w:r>
    </w:p>
    <w:p w14:paraId="429B1D88" w14:textId="29E694F7" w:rsidR="000D49A6" w:rsidRDefault="000D49A6" w:rsidP="00926D06">
      <w:pPr>
        <w:rPr>
          <w:rFonts w:ascii="Arial" w:hAnsi="Arial" w:cs="Arial"/>
          <w:sz w:val="30"/>
          <w:szCs w:val="30"/>
        </w:rPr>
      </w:pPr>
    </w:p>
    <w:p w14:paraId="2CF08862" w14:textId="2D4CBAF0" w:rsidR="00E464EE" w:rsidRDefault="00E464EE" w:rsidP="00E54BD8">
      <w:pPr>
        <w:rPr>
          <w:rFonts w:ascii="Open Sans" w:hAnsi="Open Sans" w:cs="Open Sans"/>
          <w:szCs w:val="22"/>
        </w:rPr>
      </w:pPr>
      <w:r>
        <w:rPr>
          <w:rFonts w:ascii="Open Sans" w:hAnsi="Open Sans" w:cs="Open Sans"/>
          <w:szCs w:val="22"/>
        </w:rPr>
        <w:t xml:space="preserve">As an illustration, the REA has analysed what a grant based on £280/ kW, with a </w:t>
      </w:r>
      <w:r w:rsidR="006E374B">
        <w:rPr>
          <w:rFonts w:ascii="Open Sans" w:hAnsi="Open Sans" w:cs="Open Sans"/>
          <w:szCs w:val="22"/>
        </w:rPr>
        <w:t>minimum</w:t>
      </w:r>
      <w:r>
        <w:rPr>
          <w:rFonts w:ascii="Open Sans" w:hAnsi="Open Sans" w:cs="Open Sans"/>
          <w:szCs w:val="22"/>
        </w:rPr>
        <w:t xml:space="preserve"> grant level £4000, would mean for the scheme. </w:t>
      </w:r>
    </w:p>
    <w:p w14:paraId="622F7CB3" w14:textId="03418EFD" w:rsidR="00E464EE" w:rsidRDefault="00E464EE" w:rsidP="00E54BD8">
      <w:pPr>
        <w:rPr>
          <w:rFonts w:ascii="Open Sans" w:hAnsi="Open Sans" w:cs="Open Sans"/>
          <w:szCs w:val="22"/>
        </w:rPr>
      </w:pPr>
    </w:p>
    <w:p w14:paraId="051721DB" w14:textId="7A7CB399" w:rsidR="00E464EE" w:rsidRDefault="00E464EE" w:rsidP="00E54BD8">
      <w:pPr>
        <w:rPr>
          <w:rFonts w:ascii="Open Sans" w:hAnsi="Open Sans" w:cs="Open Sans"/>
          <w:szCs w:val="22"/>
        </w:rPr>
      </w:pPr>
      <w:r>
        <w:rPr>
          <w:rFonts w:ascii="Open Sans" w:hAnsi="Open Sans" w:cs="Open Sans"/>
          <w:szCs w:val="22"/>
        </w:rPr>
        <w:t xml:space="preserve">The figure </w:t>
      </w:r>
      <w:r w:rsidR="006E374B">
        <w:rPr>
          <w:rFonts w:ascii="Open Sans" w:hAnsi="Open Sans" w:cs="Open Sans"/>
          <w:szCs w:val="22"/>
        </w:rPr>
        <w:t xml:space="preserve">of </w:t>
      </w:r>
      <w:r>
        <w:rPr>
          <w:rFonts w:ascii="Open Sans" w:hAnsi="Open Sans" w:cs="Open Sans"/>
          <w:szCs w:val="22"/>
        </w:rPr>
        <w:t xml:space="preserve">£280/ kW is arrived at based on BEIS 2019 </w:t>
      </w:r>
      <w:r w:rsidR="006E374B">
        <w:rPr>
          <w:rFonts w:ascii="Open Sans" w:hAnsi="Open Sans" w:cs="Open Sans"/>
          <w:szCs w:val="22"/>
        </w:rPr>
        <w:t>Deployment</w:t>
      </w:r>
      <w:r>
        <w:rPr>
          <w:rFonts w:ascii="Open Sans" w:hAnsi="Open Sans" w:cs="Open Sans"/>
          <w:szCs w:val="22"/>
        </w:rPr>
        <w:t xml:space="preserve"> </w:t>
      </w:r>
      <w:r w:rsidR="006E374B">
        <w:rPr>
          <w:rFonts w:ascii="Open Sans" w:hAnsi="Open Sans" w:cs="Open Sans"/>
          <w:szCs w:val="22"/>
        </w:rPr>
        <w:t>Data</w:t>
      </w:r>
      <w:r>
        <w:rPr>
          <w:rFonts w:ascii="Open Sans" w:hAnsi="Open Sans" w:cs="Open Sans"/>
          <w:szCs w:val="22"/>
        </w:rPr>
        <w:t>,</w:t>
      </w:r>
      <w:r w:rsidR="006E374B">
        <w:rPr>
          <w:rFonts w:ascii="Open Sans" w:hAnsi="Open Sans" w:cs="Open Sans"/>
          <w:szCs w:val="22"/>
        </w:rPr>
        <w:t xml:space="preserve"> specifically “</w:t>
      </w:r>
      <w:r w:rsidR="006E374B" w:rsidRPr="006E374B">
        <w:rPr>
          <w:rFonts w:ascii="Open Sans" w:hAnsi="Open Sans" w:cs="Open Sans"/>
          <w:i/>
          <w:iCs/>
          <w:szCs w:val="22"/>
        </w:rPr>
        <w:t>Table S2.1 - Average reported costs of domestic RHI installations, Great Britain, April 2014 to December 2019</w:t>
      </w:r>
      <w:r w:rsidR="006E374B">
        <w:rPr>
          <w:rFonts w:ascii="Open Sans" w:hAnsi="Open Sans" w:cs="Open Sans"/>
          <w:szCs w:val="22"/>
        </w:rPr>
        <w:t>”</w:t>
      </w:r>
      <w:r w:rsidR="00FC530B">
        <w:rPr>
          <w:rFonts w:ascii="Open Sans" w:hAnsi="Open Sans" w:cs="Open Sans"/>
          <w:szCs w:val="22"/>
        </w:rPr>
        <w:t>, using the following assumptions:</w:t>
      </w:r>
    </w:p>
    <w:p w14:paraId="3B137AD9" w14:textId="77777777" w:rsidR="006E374B" w:rsidRDefault="006E374B" w:rsidP="00E54BD8">
      <w:pPr>
        <w:rPr>
          <w:rFonts w:ascii="Open Sans" w:hAnsi="Open Sans" w:cs="Open Sans"/>
          <w:szCs w:val="22"/>
        </w:rPr>
      </w:pPr>
    </w:p>
    <w:p w14:paraId="600520B9" w14:textId="7840F242" w:rsidR="006E374B" w:rsidRPr="00FC530B" w:rsidRDefault="00FC530B" w:rsidP="00FC530B">
      <w:pPr>
        <w:pStyle w:val="ListParagraph"/>
        <w:numPr>
          <w:ilvl w:val="0"/>
          <w:numId w:val="7"/>
        </w:numPr>
        <w:rPr>
          <w:rFonts w:ascii="Open Sans" w:hAnsi="Open Sans" w:cs="Open Sans"/>
          <w:szCs w:val="22"/>
        </w:rPr>
      </w:pPr>
      <w:r>
        <w:rPr>
          <w:rFonts w:ascii="Open Sans" w:hAnsi="Open Sans" w:cs="Open Sans"/>
          <w:szCs w:val="22"/>
        </w:rPr>
        <w:t>T</w:t>
      </w:r>
      <w:r w:rsidR="006E374B" w:rsidRPr="00FC530B">
        <w:rPr>
          <w:rFonts w:ascii="Open Sans" w:hAnsi="Open Sans" w:cs="Open Sans"/>
          <w:szCs w:val="22"/>
        </w:rPr>
        <w:t>he median cost per kW</w:t>
      </w:r>
      <w:r>
        <w:rPr>
          <w:rFonts w:ascii="Open Sans" w:hAnsi="Open Sans" w:cs="Open Sans"/>
          <w:szCs w:val="22"/>
        </w:rPr>
        <w:t xml:space="preserve"> for biomass,</w:t>
      </w:r>
      <w:r w:rsidR="006E374B" w:rsidRPr="00FC530B">
        <w:rPr>
          <w:rFonts w:ascii="Open Sans" w:hAnsi="Open Sans" w:cs="Open Sans"/>
          <w:szCs w:val="22"/>
        </w:rPr>
        <w:t xml:space="preserve"> </w:t>
      </w:r>
      <w:r w:rsidRPr="00FC530B">
        <w:rPr>
          <w:rFonts w:ascii="Open Sans" w:hAnsi="Open Sans" w:cs="Open Sans"/>
          <w:szCs w:val="22"/>
        </w:rPr>
        <w:t>across a capacity range of 0 – 45 kW</w:t>
      </w:r>
      <w:r>
        <w:rPr>
          <w:rFonts w:ascii="Open Sans" w:hAnsi="Open Sans" w:cs="Open Sans"/>
          <w:szCs w:val="22"/>
        </w:rPr>
        <w:t>,</w:t>
      </w:r>
      <w:r w:rsidR="006E374B" w:rsidRPr="00FC530B">
        <w:rPr>
          <w:rFonts w:ascii="Open Sans" w:hAnsi="Open Sans" w:cs="Open Sans"/>
          <w:szCs w:val="22"/>
        </w:rPr>
        <w:t xml:space="preserve"> </w:t>
      </w:r>
      <w:r>
        <w:rPr>
          <w:rFonts w:ascii="Open Sans" w:hAnsi="Open Sans" w:cs="Open Sans"/>
          <w:szCs w:val="22"/>
        </w:rPr>
        <w:t xml:space="preserve">is </w:t>
      </w:r>
      <w:r w:rsidRPr="00FC530B">
        <w:rPr>
          <w:rFonts w:ascii="Open Sans" w:hAnsi="Open Sans" w:cs="Open Sans"/>
          <w:szCs w:val="22"/>
        </w:rPr>
        <w:t>just above £700/kW</w:t>
      </w:r>
      <w:r>
        <w:rPr>
          <w:rFonts w:ascii="Open Sans" w:hAnsi="Open Sans" w:cs="Open Sans"/>
          <w:szCs w:val="22"/>
        </w:rPr>
        <w:t xml:space="preserve">. </w:t>
      </w:r>
      <w:r w:rsidR="00052441">
        <w:rPr>
          <w:rFonts w:ascii="Open Sans" w:hAnsi="Open Sans" w:cs="Open Sans"/>
          <w:szCs w:val="22"/>
        </w:rPr>
        <w:t>Biomass</w:t>
      </w:r>
      <w:r>
        <w:rPr>
          <w:rFonts w:ascii="Open Sans" w:hAnsi="Open Sans" w:cs="Open Sans"/>
          <w:szCs w:val="22"/>
        </w:rPr>
        <w:t xml:space="preserve"> provides the</w:t>
      </w:r>
      <w:r w:rsidR="006E374B" w:rsidRPr="00FC530B">
        <w:rPr>
          <w:rFonts w:ascii="Open Sans" w:hAnsi="Open Sans" w:cs="Open Sans"/>
          <w:szCs w:val="22"/>
        </w:rPr>
        <w:t xml:space="preserve"> lowest £/</w:t>
      </w:r>
      <w:r>
        <w:rPr>
          <w:rFonts w:ascii="Open Sans" w:hAnsi="Open Sans" w:cs="Open Sans"/>
          <w:szCs w:val="22"/>
        </w:rPr>
        <w:t>kW</w:t>
      </w:r>
      <w:r w:rsidR="006E374B" w:rsidRPr="00FC530B">
        <w:rPr>
          <w:rFonts w:ascii="Open Sans" w:hAnsi="Open Sans" w:cs="Open Sans"/>
          <w:szCs w:val="22"/>
        </w:rPr>
        <w:t xml:space="preserve"> figure across all the technologies</w:t>
      </w:r>
      <w:r w:rsidR="00052441">
        <w:rPr>
          <w:rFonts w:ascii="Open Sans" w:hAnsi="Open Sans" w:cs="Open Sans"/>
          <w:szCs w:val="22"/>
        </w:rPr>
        <w:t xml:space="preserve">, providing a figure that can be confidently stated as providing value for money. </w:t>
      </w:r>
    </w:p>
    <w:p w14:paraId="60768FF1" w14:textId="73AC4E58" w:rsidR="006E374B" w:rsidRPr="00FC530B" w:rsidRDefault="006E374B" w:rsidP="00A4375C">
      <w:pPr>
        <w:pStyle w:val="ListParagraph"/>
        <w:numPr>
          <w:ilvl w:val="0"/>
          <w:numId w:val="7"/>
        </w:numPr>
        <w:rPr>
          <w:rFonts w:ascii="Open Sans" w:hAnsi="Open Sans" w:cs="Open Sans"/>
          <w:szCs w:val="22"/>
        </w:rPr>
      </w:pPr>
      <w:r w:rsidRPr="00FC530B">
        <w:rPr>
          <w:rFonts w:ascii="Open Sans" w:hAnsi="Open Sans" w:cs="Open Sans"/>
          <w:szCs w:val="22"/>
        </w:rPr>
        <w:t xml:space="preserve">Considering the grant is meant to meet a proportion of the total cost of a project, we suggest a grant level </w:t>
      </w:r>
      <w:r w:rsidR="00FC530B">
        <w:rPr>
          <w:rFonts w:ascii="Open Sans" w:hAnsi="Open Sans" w:cs="Open Sans"/>
          <w:szCs w:val="22"/>
        </w:rPr>
        <w:t>that covers</w:t>
      </w:r>
      <w:r w:rsidRPr="00FC530B">
        <w:rPr>
          <w:rFonts w:ascii="Open Sans" w:hAnsi="Open Sans" w:cs="Open Sans"/>
          <w:szCs w:val="22"/>
        </w:rPr>
        <w:t xml:space="preserve"> </w:t>
      </w:r>
      <w:r w:rsidR="00FC530B">
        <w:rPr>
          <w:rFonts w:ascii="Open Sans" w:hAnsi="Open Sans" w:cs="Open Sans"/>
          <w:szCs w:val="22"/>
        </w:rPr>
        <w:t xml:space="preserve">about </w:t>
      </w:r>
      <w:r w:rsidRPr="00FC530B">
        <w:rPr>
          <w:rFonts w:ascii="Open Sans" w:hAnsi="Open Sans" w:cs="Open Sans"/>
          <w:szCs w:val="22"/>
        </w:rPr>
        <w:t xml:space="preserve">40% </w:t>
      </w:r>
      <w:r w:rsidR="00FC530B">
        <w:rPr>
          <w:rFonts w:ascii="Open Sans" w:hAnsi="Open Sans" w:cs="Open Sans"/>
          <w:szCs w:val="22"/>
        </w:rPr>
        <w:t>of each</w:t>
      </w:r>
      <w:r w:rsidRPr="00FC530B">
        <w:rPr>
          <w:rFonts w:ascii="Open Sans" w:hAnsi="Open Sans" w:cs="Open Sans"/>
          <w:szCs w:val="22"/>
        </w:rPr>
        <w:t xml:space="preserve"> kW deployed. </w:t>
      </w:r>
    </w:p>
    <w:p w14:paraId="38F6A236" w14:textId="68A2A5C3" w:rsidR="00FC530B" w:rsidRDefault="006E374B" w:rsidP="00FC530B">
      <w:pPr>
        <w:pStyle w:val="ListParagraph"/>
        <w:numPr>
          <w:ilvl w:val="0"/>
          <w:numId w:val="7"/>
        </w:numPr>
        <w:rPr>
          <w:rFonts w:ascii="Open Sans" w:hAnsi="Open Sans" w:cs="Open Sans"/>
          <w:szCs w:val="22"/>
        </w:rPr>
      </w:pPr>
      <w:r w:rsidRPr="00FC530B">
        <w:rPr>
          <w:rFonts w:ascii="Open Sans" w:hAnsi="Open Sans" w:cs="Open Sans"/>
          <w:szCs w:val="22"/>
        </w:rPr>
        <w:t xml:space="preserve">40% of £700/kW </w:t>
      </w:r>
      <w:r w:rsidR="00FC530B">
        <w:rPr>
          <w:rFonts w:ascii="Open Sans" w:hAnsi="Open Sans" w:cs="Open Sans"/>
          <w:szCs w:val="22"/>
        </w:rPr>
        <w:t xml:space="preserve">would suggest a grant of </w:t>
      </w:r>
      <w:r w:rsidRPr="00FC530B">
        <w:rPr>
          <w:rFonts w:ascii="Open Sans" w:hAnsi="Open Sans" w:cs="Open Sans"/>
          <w:szCs w:val="22"/>
        </w:rPr>
        <w:t>£280/kW</w:t>
      </w:r>
      <w:r w:rsidR="00FC530B">
        <w:rPr>
          <w:rFonts w:ascii="Open Sans" w:hAnsi="Open Sans" w:cs="Open Sans"/>
          <w:szCs w:val="22"/>
        </w:rPr>
        <w:t>.</w:t>
      </w:r>
    </w:p>
    <w:p w14:paraId="42BE1271" w14:textId="54B2ACAC" w:rsidR="00FC530B" w:rsidRDefault="00FC530B" w:rsidP="00FC530B">
      <w:pPr>
        <w:pStyle w:val="ListParagraph"/>
        <w:numPr>
          <w:ilvl w:val="0"/>
          <w:numId w:val="7"/>
        </w:numPr>
        <w:rPr>
          <w:rFonts w:ascii="Open Sans" w:hAnsi="Open Sans" w:cs="Open Sans"/>
          <w:szCs w:val="22"/>
        </w:rPr>
      </w:pPr>
      <w:r>
        <w:rPr>
          <w:rFonts w:ascii="Open Sans" w:hAnsi="Open Sans" w:cs="Open Sans"/>
          <w:szCs w:val="22"/>
        </w:rPr>
        <w:t>A minimum grant level of £4000 should be maintained, allowing the scheme to continue to prioritise smaller</w:t>
      </w:r>
      <w:r w:rsidR="00B15D68">
        <w:rPr>
          <w:rFonts w:ascii="Open Sans" w:hAnsi="Open Sans" w:cs="Open Sans"/>
          <w:szCs w:val="22"/>
        </w:rPr>
        <w:t xml:space="preserve"> strategic</w:t>
      </w:r>
      <w:r>
        <w:rPr>
          <w:rFonts w:ascii="Open Sans" w:hAnsi="Open Sans" w:cs="Open Sans"/>
          <w:szCs w:val="22"/>
        </w:rPr>
        <w:t xml:space="preserve"> installations, like ASHPs, as stated as an objective by BEIS.</w:t>
      </w:r>
    </w:p>
    <w:p w14:paraId="66DCF6F5" w14:textId="74B81AE7" w:rsidR="00FC530B" w:rsidRDefault="00FC530B" w:rsidP="00FC530B">
      <w:pPr>
        <w:ind w:left="360"/>
        <w:rPr>
          <w:rFonts w:ascii="Open Sans" w:hAnsi="Open Sans" w:cs="Open Sans"/>
          <w:szCs w:val="22"/>
        </w:rPr>
      </w:pPr>
    </w:p>
    <w:p w14:paraId="55ED09AD" w14:textId="65972C48" w:rsidR="00FC530B" w:rsidRDefault="00FC530B" w:rsidP="00FC530B">
      <w:pPr>
        <w:rPr>
          <w:rFonts w:ascii="Open Sans" w:hAnsi="Open Sans" w:cs="Open Sans"/>
          <w:szCs w:val="22"/>
        </w:rPr>
      </w:pPr>
      <w:r>
        <w:rPr>
          <w:rFonts w:ascii="Open Sans" w:hAnsi="Open Sans" w:cs="Open Sans"/>
          <w:szCs w:val="22"/>
        </w:rPr>
        <w:t>Below, using the median cost of</w:t>
      </w:r>
      <w:r w:rsidR="00D43EA1">
        <w:rPr>
          <w:rFonts w:ascii="Open Sans" w:hAnsi="Open Sans" w:cs="Open Sans"/>
          <w:szCs w:val="22"/>
        </w:rPr>
        <w:t xml:space="preserve"> an</w:t>
      </w:r>
      <w:r>
        <w:rPr>
          <w:rFonts w:ascii="Open Sans" w:hAnsi="Open Sans" w:cs="Open Sans"/>
          <w:szCs w:val="22"/>
        </w:rPr>
        <w:t xml:space="preserve"> installations on the </w:t>
      </w:r>
      <w:r w:rsidR="006B78FB">
        <w:rPr>
          <w:rFonts w:ascii="Open Sans" w:hAnsi="Open Sans" w:cs="Open Sans"/>
          <w:szCs w:val="22"/>
        </w:rPr>
        <w:t>D</w:t>
      </w:r>
      <w:r>
        <w:rPr>
          <w:rFonts w:ascii="Open Sans" w:hAnsi="Open Sans" w:cs="Open Sans"/>
          <w:szCs w:val="22"/>
        </w:rPr>
        <w:t>omestic RHI, we compare what a flat £4000 grant would mean compared to a flexible grant based on £280/ kW</w:t>
      </w:r>
      <w:r w:rsidR="006550DA">
        <w:rPr>
          <w:rFonts w:ascii="Open Sans" w:hAnsi="Open Sans" w:cs="Open Sans"/>
          <w:szCs w:val="22"/>
        </w:rPr>
        <w:t xml:space="preserve"> for consumers. </w:t>
      </w:r>
      <w:r w:rsidR="00A4375C">
        <w:rPr>
          <w:rFonts w:ascii="Open Sans" w:hAnsi="Open Sans" w:cs="Open Sans"/>
          <w:szCs w:val="22"/>
        </w:rPr>
        <w:t xml:space="preserve">This is done for both ASHP’s and Biomass installations. </w:t>
      </w:r>
    </w:p>
    <w:p w14:paraId="0A4C07BD" w14:textId="429FBB26" w:rsidR="00FC530B" w:rsidRDefault="00FC530B" w:rsidP="00FC530B">
      <w:pPr>
        <w:rPr>
          <w:rFonts w:ascii="Open Sans" w:hAnsi="Open Sans" w:cs="Open Sans"/>
          <w:szCs w:val="22"/>
        </w:rPr>
      </w:pPr>
    </w:p>
    <w:p w14:paraId="04DB672B" w14:textId="209B0911" w:rsidR="00052441" w:rsidRPr="00052441" w:rsidRDefault="00052441" w:rsidP="00FC530B">
      <w:pPr>
        <w:rPr>
          <w:rFonts w:ascii="Open Sans" w:hAnsi="Open Sans" w:cs="Open Sans"/>
          <w:b/>
          <w:bCs/>
          <w:i/>
          <w:iCs/>
          <w:szCs w:val="22"/>
        </w:rPr>
      </w:pPr>
      <w:r w:rsidRPr="00052441">
        <w:rPr>
          <w:rFonts w:ascii="Open Sans" w:hAnsi="Open Sans" w:cs="Open Sans"/>
          <w:b/>
          <w:bCs/>
          <w:i/>
          <w:iCs/>
          <w:szCs w:val="22"/>
        </w:rPr>
        <w:t>Table 2: Comparison of Flat rate Grant Vs Flexible Grant</w:t>
      </w:r>
    </w:p>
    <w:tbl>
      <w:tblPr>
        <w:tblStyle w:val="TableGrid"/>
        <w:tblW w:w="9252" w:type="dxa"/>
        <w:tblLook w:val="04A0" w:firstRow="1" w:lastRow="0" w:firstColumn="1" w:lastColumn="0" w:noHBand="0" w:noVBand="1"/>
      </w:tblPr>
      <w:tblGrid>
        <w:gridCol w:w="1602"/>
        <w:gridCol w:w="1145"/>
        <w:gridCol w:w="1467"/>
        <w:gridCol w:w="1593"/>
        <w:gridCol w:w="1408"/>
        <w:gridCol w:w="2037"/>
      </w:tblGrid>
      <w:tr w:rsidR="004836E0" w:rsidRPr="004836E0" w14:paraId="226C002D" w14:textId="77777777" w:rsidTr="004836E0">
        <w:tc>
          <w:tcPr>
            <w:tcW w:w="9252" w:type="dxa"/>
            <w:gridSpan w:val="6"/>
            <w:shd w:val="clear" w:color="auto" w:fill="D9D9D9" w:themeFill="background1" w:themeFillShade="D9"/>
          </w:tcPr>
          <w:p w14:paraId="30C576D1" w14:textId="4C2C8824" w:rsidR="004836E0" w:rsidRPr="004836E0" w:rsidRDefault="004836E0" w:rsidP="004836E0">
            <w:pPr>
              <w:jc w:val="left"/>
              <w:rPr>
                <w:rFonts w:ascii="Open Sans" w:hAnsi="Open Sans" w:cs="Open Sans"/>
                <w:b/>
                <w:bCs/>
                <w:sz w:val="18"/>
                <w:szCs w:val="18"/>
              </w:rPr>
            </w:pPr>
            <w:r w:rsidRPr="004836E0">
              <w:rPr>
                <w:rFonts w:ascii="Open Sans" w:hAnsi="Open Sans" w:cs="Open Sans"/>
                <w:b/>
                <w:bCs/>
                <w:sz w:val="18"/>
                <w:szCs w:val="18"/>
              </w:rPr>
              <w:t>Air Source Heat Pumps</w:t>
            </w:r>
            <w:r w:rsidR="001972D5">
              <w:rPr>
                <w:rFonts w:ascii="Open Sans" w:hAnsi="Open Sans" w:cs="Open Sans"/>
                <w:b/>
                <w:bCs/>
                <w:sz w:val="18"/>
                <w:szCs w:val="18"/>
              </w:rPr>
              <w:t xml:space="preserve"> </w:t>
            </w:r>
            <w:r w:rsidR="001972D5" w:rsidRPr="004836E0">
              <w:rPr>
                <w:rFonts w:ascii="Open Sans" w:hAnsi="Open Sans" w:cs="Open Sans"/>
                <w:b/>
                <w:bCs/>
                <w:sz w:val="18"/>
                <w:szCs w:val="18"/>
              </w:rPr>
              <w:t>Illustrative costs</w:t>
            </w:r>
          </w:p>
        </w:tc>
      </w:tr>
      <w:tr w:rsidR="004836E0" w:rsidRPr="004836E0" w14:paraId="030BB9F8" w14:textId="77777777" w:rsidTr="006B78FB">
        <w:tc>
          <w:tcPr>
            <w:tcW w:w="0" w:type="auto"/>
            <w:vAlign w:val="center"/>
          </w:tcPr>
          <w:p w14:paraId="51AB4D55" w14:textId="569E0D2D" w:rsidR="004836E0" w:rsidRPr="004836E0" w:rsidRDefault="004836E0" w:rsidP="006B78FB">
            <w:pPr>
              <w:jc w:val="center"/>
              <w:rPr>
                <w:rFonts w:ascii="Open Sans" w:hAnsi="Open Sans" w:cs="Open Sans"/>
                <w:sz w:val="18"/>
                <w:szCs w:val="18"/>
              </w:rPr>
            </w:pPr>
            <w:r w:rsidRPr="004836E0">
              <w:rPr>
                <w:rFonts w:ascii="Open Sans" w:hAnsi="Open Sans" w:cs="Open Sans"/>
                <w:sz w:val="18"/>
                <w:szCs w:val="18"/>
              </w:rPr>
              <w:t>Illustrative Installation capacity (kW)</w:t>
            </w:r>
          </w:p>
        </w:tc>
        <w:tc>
          <w:tcPr>
            <w:tcW w:w="0" w:type="auto"/>
            <w:tcBorders>
              <w:right w:val="single" w:sz="18" w:space="0" w:color="auto"/>
            </w:tcBorders>
            <w:vAlign w:val="center"/>
          </w:tcPr>
          <w:p w14:paraId="33C29809" w14:textId="70389FB7" w:rsidR="004836E0" w:rsidRPr="004836E0" w:rsidRDefault="004836E0" w:rsidP="006B78FB">
            <w:pPr>
              <w:jc w:val="center"/>
              <w:rPr>
                <w:rFonts w:ascii="Open Sans" w:hAnsi="Open Sans" w:cs="Open Sans"/>
                <w:sz w:val="18"/>
                <w:szCs w:val="18"/>
              </w:rPr>
            </w:pPr>
            <w:r w:rsidRPr="004836E0">
              <w:rPr>
                <w:rFonts w:ascii="Open Sans" w:hAnsi="Open Sans" w:cs="Open Sans"/>
                <w:sz w:val="18"/>
                <w:szCs w:val="18"/>
              </w:rPr>
              <w:t>Median cost (£)</w:t>
            </w:r>
          </w:p>
        </w:tc>
        <w:tc>
          <w:tcPr>
            <w:tcW w:w="3060" w:type="dxa"/>
            <w:gridSpan w:val="2"/>
            <w:tcBorders>
              <w:top w:val="single" w:sz="18" w:space="0" w:color="auto"/>
              <w:left w:val="single" w:sz="18" w:space="0" w:color="auto"/>
              <w:right w:val="single" w:sz="18" w:space="0" w:color="auto"/>
            </w:tcBorders>
            <w:vAlign w:val="center"/>
          </w:tcPr>
          <w:p w14:paraId="5C0090B3" w14:textId="0F5DDCD3" w:rsidR="004836E0" w:rsidRPr="004836E0" w:rsidRDefault="006B78FB" w:rsidP="006B78FB">
            <w:pPr>
              <w:jc w:val="center"/>
              <w:rPr>
                <w:rFonts w:ascii="Open Sans" w:hAnsi="Open Sans" w:cs="Open Sans"/>
                <w:sz w:val="18"/>
                <w:szCs w:val="18"/>
              </w:rPr>
            </w:pPr>
            <w:r>
              <w:rPr>
                <w:rFonts w:ascii="Open Sans" w:hAnsi="Open Sans" w:cs="Open Sans"/>
                <w:sz w:val="18"/>
                <w:szCs w:val="18"/>
              </w:rPr>
              <w:t>£</w:t>
            </w:r>
            <w:r w:rsidR="004836E0" w:rsidRPr="004836E0">
              <w:rPr>
                <w:rFonts w:ascii="Open Sans" w:hAnsi="Open Sans" w:cs="Open Sans"/>
                <w:sz w:val="18"/>
                <w:szCs w:val="18"/>
              </w:rPr>
              <w:t>4000 flat grant</w:t>
            </w:r>
          </w:p>
        </w:tc>
        <w:tc>
          <w:tcPr>
            <w:tcW w:w="3445" w:type="dxa"/>
            <w:gridSpan w:val="2"/>
            <w:tcBorders>
              <w:top w:val="single" w:sz="18" w:space="0" w:color="auto"/>
              <w:left w:val="single" w:sz="18" w:space="0" w:color="auto"/>
              <w:right w:val="single" w:sz="18" w:space="0" w:color="auto"/>
            </w:tcBorders>
            <w:vAlign w:val="center"/>
          </w:tcPr>
          <w:p w14:paraId="772FE25B" w14:textId="2B4F739A" w:rsidR="004836E0" w:rsidRPr="004836E0" w:rsidRDefault="004836E0" w:rsidP="006B78FB">
            <w:pPr>
              <w:jc w:val="center"/>
              <w:rPr>
                <w:rFonts w:ascii="Open Sans" w:hAnsi="Open Sans" w:cs="Open Sans"/>
                <w:sz w:val="18"/>
                <w:szCs w:val="18"/>
              </w:rPr>
            </w:pPr>
            <w:r w:rsidRPr="004836E0">
              <w:rPr>
                <w:rFonts w:ascii="Open Sans" w:hAnsi="Open Sans" w:cs="Open Sans"/>
                <w:sz w:val="18"/>
                <w:szCs w:val="18"/>
              </w:rPr>
              <w:t xml:space="preserve">Flexible </w:t>
            </w:r>
            <w:r w:rsidR="00D11867">
              <w:rPr>
                <w:rFonts w:ascii="Open Sans" w:hAnsi="Open Sans" w:cs="Open Sans"/>
                <w:sz w:val="18"/>
                <w:szCs w:val="18"/>
              </w:rPr>
              <w:t>£</w:t>
            </w:r>
            <w:r w:rsidRPr="004836E0">
              <w:rPr>
                <w:rFonts w:ascii="Open Sans" w:hAnsi="Open Sans" w:cs="Open Sans"/>
                <w:sz w:val="18"/>
                <w:szCs w:val="18"/>
              </w:rPr>
              <w:t xml:space="preserve">280/kW grant, with minimum grant of </w:t>
            </w:r>
            <w:r w:rsidR="006B78FB">
              <w:rPr>
                <w:rFonts w:ascii="Open Sans" w:hAnsi="Open Sans" w:cs="Open Sans"/>
                <w:sz w:val="18"/>
                <w:szCs w:val="18"/>
              </w:rPr>
              <w:t>£</w:t>
            </w:r>
            <w:r w:rsidRPr="004836E0">
              <w:rPr>
                <w:rFonts w:ascii="Open Sans" w:hAnsi="Open Sans" w:cs="Open Sans"/>
                <w:sz w:val="18"/>
                <w:szCs w:val="18"/>
              </w:rPr>
              <w:t>4000</w:t>
            </w:r>
          </w:p>
        </w:tc>
      </w:tr>
      <w:tr w:rsidR="006B78FB" w:rsidRPr="004836E0" w14:paraId="36DBD0FE" w14:textId="77777777" w:rsidTr="00A4375C">
        <w:trPr>
          <w:trHeight w:val="283"/>
        </w:trPr>
        <w:tc>
          <w:tcPr>
            <w:tcW w:w="0" w:type="auto"/>
          </w:tcPr>
          <w:p w14:paraId="74AC4A29" w14:textId="5BAAE2EE" w:rsidR="006B78FB" w:rsidRPr="004836E0" w:rsidRDefault="006B78FB" w:rsidP="006B78FB">
            <w:pPr>
              <w:jc w:val="center"/>
              <w:rPr>
                <w:rFonts w:ascii="Open Sans" w:hAnsi="Open Sans" w:cs="Open Sans"/>
                <w:sz w:val="18"/>
                <w:szCs w:val="18"/>
              </w:rPr>
            </w:pPr>
          </w:p>
        </w:tc>
        <w:tc>
          <w:tcPr>
            <w:tcW w:w="0" w:type="auto"/>
            <w:tcBorders>
              <w:right w:val="single" w:sz="18" w:space="0" w:color="auto"/>
            </w:tcBorders>
          </w:tcPr>
          <w:p w14:paraId="10A5FDF5" w14:textId="77777777" w:rsidR="006B78FB" w:rsidRPr="004836E0" w:rsidRDefault="006B78FB" w:rsidP="006B78FB">
            <w:pPr>
              <w:jc w:val="center"/>
              <w:rPr>
                <w:rFonts w:ascii="Open Sans" w:hAnsi="Open Sans" w:cs="Open Sans"/>
                <w:sz w:val="18"/>
                <w:szCs w:val="18"/>
              </w:rPr>
            </w:pPr>
          </w:p>
        </w:tc>
        <w:tc>
          <w:tcPr>
            <w:tcW w:w="1467" w:type="dxa"/>
            <w:tcBorders>
              <w:left w:val="single" w:sz="18" w:space="0" w:color="auto"/>
            </w:tcBorders>
            <w:vAlign w:val="center"/>
          </w:tcPr>
          <w:p w14:paraId="4B0C6B9B" w14:textId="29B62791" w:rsidR="006B78FB" w:rsidRPr="004836E0" w:rsidRDefault="006B78FB" w:rsidP="006B78FB">
            <w:pPr>
              <w:jc w:val="center"/>
              <w:rPr>
                <w:rFonts w:ascii="Open Sans" w:hAnsi="Open Sans" w:cs="Open Sans"/>
                <w:sz w:val="18"/>
                <w:szCs w:val="18"/>
              </w:rPr>
            </w:pPr>
            <w:r w:rsidRPr="004836E0">
              <w:rPr>
                <w:rFonts w:ascii="Open Sans" w:hAnsi="Open Sans" w:cs="Open Sans"/>
                <w:sz w:val="18"/>
                <w:szCs w:val="18"/>
              </w:rPr>
              <w:t>Grant (£)</w:t>
            </w:r>
          </w:p>
        </w:tc>
        <w:tc>
          <w:tcPr>
            <w:tcW w:w="1593" w:type="dxa"/>
            <w:tcBorders>
              <w:right w:val="single" w:sz="18" w:space="0" w:color="auto"/>
            </w:tcBorders>
            <w:vAlign w:val="center"/>
          </w:tcPr>
          <w:p w14:paraId="407A183E" w14:textId="68C0876E" w:rsidR="006B78FB" w:rsidRPr="004836E0" w:rsidRDefault="006B78FB" w:rsidP="006B78FB">
            <w:pPr>
              <w:jc w:val="center"/>
              <w:rPr>
                <w:rFonts w:ascii="Open Sans" w:hAnsi="Open Sans" w:cs="Open Sans"/>
                <w:sz w:val="18"/>
                <w:szCs w:val="18"/>
              </w:rPr>
            </w:pPr>
            <w:r w:rsidRPr="004836E0">
              <w:rPr>
                <w:rFonts w:ascii="Open Sans" w:hAnsi="Open Sans" w:cs="Open Sans"/>
                <w:sz w:val="18"/>
                <w:szCs w:val="18"/>
              </w:rPr>
              <w:t>Cost left to consumer</w:t>
            </w:r>
            <w:r>
              <w:rPr>
                <w:rFonts w:ascii="Open Sans" w:hAnsi="Open Sans" w:cs="Open Sans"/>
                <w:sz w:val="18"/>
                <w:szCs w:val="18"/>
              </w:rPr>
              <w:t xml:space="preserve"> (£)</w:t>
            </w:r>
          </w:p>
        </w:tc>
        <w:tc>
          <w:tcPr>
            <w:tcW w:w="1408" w:type="dxa"/>
            <w:tcBorders>
              <w:left w:val="single" w:sz="18" w:space="0" w:color="auto"/>
            </w:tcBorders>
            <w:vAlign w:val="center"/>
          </w:tcPr>
          <w:p w14:paraId="2700D64C" w14:textId="6E68660F" w:rsidR="006B78FB" w:rsidRPr="004836E0" w:rsidRDefault="006B78FB" w:rsidP="006B78FB">
            <w:pPr>
              <w:jc w:val="center"/>
              <w:rPr>
                <w:rFonts w:ascii="Open Sans" w:hAnsi="Open Sans" w:cs="Open Sans"/>
                <w:sz w:val="18"/>
                <w:szCs w:val="18"/>
              </w:rPr>
            </w:pPr>
            <w:r w:rsidRPr="004836E0">
              <w:rPr>
                <w:rFonts w:ascii="Open Sans" w:hAnsi="Open Sans" w:cs="Open Sans"/>
                <w:sz w:val="18"/>
                <w:szCs w:val="18"/>
              </w:rPr>
              <w:t>Grant (£)</w:t>
            </w:r>
          </w:p>
        </w:tc>
        <w:tc>
          <w:tcPr>
            <w:tcW w:w="2037" w:type="dxa"/>
            <w:tcBorders>
              <w:right w:val="single" w:sz="18" w:space="0" w:color="auto"/>
            </w:tcBorders>
            <w:vAlign w:val="center"/>
          </w:tcPr>
          <w:p w14:paraId="6E4DB9BF" w14:textId="1069B02E" w:rsidR="006B78FB" w:rsidRPr="004836E0" w:rsidRDefault="006B78FB" w:rsidP="006B78FB">
            <w:pPr>
              <w:jc w:val="center"/>
              <w:rPr>
                <w:rFonts w:ascii="Open Sans" w:hAnsi="Open Sans" w:cs="Open Sans"/>
                <w:sz w:val="18"/>
                <w:szCs w:val="18"/>
              </w:rPr>
            </w:pPr>
            <w:r w:rsidRPr="004836E0">
              <w:rPr>
                <w:rFonts w:ascii="Open Sans" w:hAnsi="Open Sans" w:cs="Open Sans"/>
                <w:sz w:val="18"/>
                <w:szCs w:val="18"/>
              </w:rPr>
              <w:t>Cost left to consumer</w:t>
            </w:r>
            <w:r>
              <w:rPr>
                <w:rFonts w:ascii="Open Sans" w:hAnsi="Open Sans" w:cs="Open Sans"/>
                <w:sz w:val="18"/>
                <w:szCs w:val="18"/>
              </w:rPr>
              <w:t xml:space="preserve"> (£)</w:t>
            </w:r>
          </w:p>
        </w:tc>
      </w:tr>
      <w:tr w:rsidR="004836E0" w:rsidRPr="004836E0" w14:paraId="7C7BEDF3" w14:textId="77777777" w:rsidTr="006B78FB">
        <w:trPr>
          <w:trHeight w:val="283"/>
        </w:trPr>
        <w:tc>
          <w:tcPr>
            <w:tcW w:w="0" w:type="auto"/>
          </w:tcPr>
          <w:p w14:paraId="16D9F78E" w14:textId="02C076BC" w:rsidR="004836E0" w:rsidRPr="004836E0" w:rsidRDefault="004836E0" w:rsidP="006B78FB">
            <w:pPr>
              <w:jc w:val="center"/>
              <w:rPr>
                <w:rFonts w:ascii="Open Sans" w:hAnsi="Open Sans" w:cs="Open Sans"/>
                <w:sz w:val="18"/>
                <w:szCs w:val="18"/>
              </w:rPr>
            </w:pPr>
            <w:r w:rsidRPr="004836E0">
              <w:rPr>
                <w:rFonts w:ascii="Open Sans" w:hAnsi="Open Sans" w:cs="Open Sans"/>
                <w:sz w:val="18"/>
                <w:szCs w:val="18"/>
              </w:rPr>
              <w:t>5</w:t>
            </w:r>
          </w:p>
        </w:tc>
        <w:tc>
          <w:tcPr>
            <w:tcW w:w="0" w:type="auto"/>
            <w:tcBorders>
              <w:right w:val="single" w:sz="18" w:space="0" w:color="auto"/>
            </w:tcBorders>
          </w:tcPr>
          <w:p w14:paraId="42FABAB5" w14:textId="679E7358"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7,290.00</w:t>
            </w:r>
          </w:p>
        </w:tc>
        <w:tc>
          <w:tcPr>
            <w:tcW w:w="1467" w:type="dxa"/>
            <w:tcBorders>
              <w:left w:val="single" w:sz="18" w:space="0" w:color="auto"/>
            </w:tcBorders>
          </w:tcPr>
          <w:p w14:paraId="27D98D78" w14:textId="793FCD94"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4,000.00</w:t>
            </w:r>
          </w:p>
        </w:tc>
        <w:tc>
          <w:tcPr>
            <w:tcW w:w="1593" w:type="dxa"/>
            <w:tcBorders>
              <w:right w:val="single" w:sz="18" w:space="0" w:color="auto"/>
            </w:tcBorders>
          </w:tcPr>
          <w:p w14:paraId="1EFAB67D" w14:textId="1FBE8FF8" w:rsidR="004836E0" w:rsidRPr="006B78FB" w:rsidRDefault="004836E0" w:rsidP="006B78FB">
            <w:pPr>
              <w:jc w:val="center"/>
              <w:rPr>
                <w:rFonts w:ascii="Open Sans" w:hAnsi="Open Sans" w:cs="Open Sans"/>
                <w:color w:val="06926B"/>
                <w:sz w:val="18"/>
                <w:szCs w:val="18"/>
              </w:rPr>
            </w:pPr>
            <w:r w:rsidRPr="006B78FB">
              <w:rPr>
                <w:rFonts w:ascii="Open Sans" w:hAnsi="Open Sans" w:cs="Open Sans"/>
                <w:color w:val="06926B"/>
                <w:sz w:val="18"/>
                <w:szCs w:val="18"/>
              </w:rPr>
              <w:t>3,290.00</w:t>
            </w:r>
          </w:p>
        </w:tc>
        <w:tc>
          <w:tcPr>
            <w:tcW w:w="1408" w:type="dxa"/>
            <w:tcBorders>
              <w:left w:val="single" w:sz="18" w:space="0" w:color="auto"/>
            </w:tcBorders>
          </w:tcPr>
          <w:p w14:paraId="13378AA4" w14:textId="3061C129"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4,000.00</w:t>
            </w:r>
          </w:p>
        </w:tc>
        <w:tc>
          <w:tcPr>
            <w:tcW w:w="2037" w:type="dxa"/>
            <w:tcBorders>
              <w:right w:val="single" w:sz="18" w:space="0" w:color="auto"/>
            </w:tcBorders>
          </w:tcPr>
          <w:p w14:paraId="0F925963" w14:textId="684BE0A0" w:rsidR="004836E0" w:rsidRPr="006B78FB" w:rsidRDefault="004836E0" w:rsidP="006B78FB">
            <w:pPr>
              <w:jc w:val="center"/>
              <w:rPr>
                <w:rFonts w:ascii="Open Sans" w:hAnsi="Open Sans" w:cs="Open Sans"/>
                <w:color w:val="06926B"/>
                <w:sz w:val="18"/>
                <w:szCs w:val="18"/>
              </w:rPr>
            </w:pPr>
            <w:r w:rsidRPr="006B78FB">
              <w:rPr>
                <w:rFonts w:ascii="Open Sans" w:hAnsi="Open Sans" w:cs="Open Sans"/>
                <w:color w:val="06926B"/>
                <w:sz w:val="18"/>
                <w:szCs w:val="18"/>
              </w:rPr>
              <w:t>3,290.00</w:t>
            </w:r>
          </w:p>
        </w:tc>
      </w:tr>
      <w:tr w:rsidR="004836E0" w:rsidRPr="004836E0" w14:paraId="2061C30F" w14:textId="77777777" w:rsidTr="006B78FB">
        <w:trPr>
          <w:trHeight w:val="283"/>
        </w:trPr>
        <w:tc>
          <w:tcPr>
            <w:tcW w:w="0" w:type="auto"/>
          </w:tcPr>
          <w:p w14:paraId="5C8E400A" w14:textId="2C97AD37" w:rsidR="004836E0" w:rsidRPr="004836E0" w:rsidRDefault="004836E0" w:rsidP="006B78FB">
            <w:pPr>
              <w:jc w:val="center"/>
              <w:rPr>
                <w:rFonts w:ascii="Open Sans" w:hAnsi="Open Sans" w:cs="Open Sans"/>
                <w:sz w:val="18"/>
                <w:szCs w:val="18"/>
              </w:rPr>
            </w:pPr>
            <w:r w:rsidRPr="004836E0">
              <w:rPr>
                <w:rFonts w:ascii="Open Sans" w:hAnsi="Open Sans" w:cs="Open Sans"/>
                <w:sz w:val="18"/>
                <w:szCs w:val="18"/>
              </w:rPr>
              <w:t>10</w:t>
            </w:r>
          </w:p>
        </w:tc>
        <w:tc>
          <w:tcPr>
            <w:tcW w:w="0" w:type="auto"/>
            <w:tcBorders>
              <w:right w:val="single" w:sz="18" w:space="0" w:color="auto"/>
            </w:tcBorders>
          </w:tcPr>
          <w:p w14:paraId="583B95A6" w14:textId="78A90773"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8,220.00</w:t>
            </w:r>
          </w:p>
        </w:tc>
        <w:tc>
          <w:tcPr>
            <w:tcW w:w="1467" w:type="dxa"/>
            <w:tcBorders>
              <w:left w:val="single" w:sz="18" w:space="0" w:color="auto"/>
            </w:tcBorders>
          </w:tcPr>
          <w:p w14:paraId="00E8EF3B" w14:textId="2F6FF859"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4,000.00</w:t>
            </w:r>
          </w:p>
        </w:tc>
        <w:tc>
          <w:tcPr>
            <w:tcW w:w="1593" w:type="dxa"/>
            <w:tcBorders>
              <w:right w:val="single" w:sz="18" w:space="0" w:color="auto"/>
            </w:tcBorders>
          </w:tcPr>
          <w:p w14:paraId="21C4C8A0" w14:textId="47653568" w:rsidR="004836E0" w:rsidRPr="006B78FB" w:rsidRDefault="004836E0" w:rsidP="006B78FB">
            <w:pPr>
              <w:jc w:val="center"/>
              <w:rPr>
                <w:rFonts w:ascii="Open Sans" w:hAnsi="Open Sans" w:cs="Open Sans"/>
                <w:color w:val="06926B"/>
                <w:sz w:val="18"/>
                <w:szCs w:val="18"/>
              </w:rPr>
            </w:pPr>
            <w:r w:rsidRPr="006B78FB">
              <w:rPr>
                <w:rFonts w:ascii="Open Sans" w:hAnsi="Open Sans" w:cs="Open Sans"/>
                <w:color w:val="06926B"/>
                <w:sz w:val="18"/>
                <w:szCs w:val="18"/>
              </w:rPr>
              <w:t>4,220.00</w:t>
            </w:r>
          </w:p>
        </w:tc>
        <w:tc>
          <w:tcPr>
            <w:tcW w:w="1408" w:type="dxa"/>
            <w:tcBorders>
              <w:left w:val="single" w:sz="18" w:space="0" w:color="auto"/>
            </w:tcBorders>
          </w:tcPr>
          <w:p w14:paraId="15516D2B" w14:textId="7F25CE72"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4,000.00</w:t>
            </w:r>
          </w:p>
        </w:tc>
        <w:tc>
          <w:tcPr>
            <w:tcW w:w="2037" w:type="dxa"/>
            <w:tcBorders>
              <w:right w:val="single" w:sz="18" w:space="0" w:color="auto"/>
            </w:tcBorders>
          </w:tcPr>
          <w:p w14:paraId="74D8131A" w14:textId="5D08D1BA" w:rsidR="004836E0" w:rsidRPr="006B78FB" w:rsidRDefault="004836E0" w:rsidP="006B78FB">
            <w:pPr>
              <w:jc w:val="center"/>
              <w:rPr>
                <w:rFonts w:ascii="Open Sans" w:hAnsi="Open Sans" w:cs="Open Sans"/>
                <w:color w:val="06926B"/>
                <w:sz w:val="18"/>
                <w:szCs w:val="18"/>
              </w:rPr>
            </w:pPr>
            <w:r w:rsidRPr="006B78FB">
              <w:rPr>
                <w:rFonts w:ascii="Open Sans" w:hAnsi="Open Sans" w:cs="Open Sans"/>
                <w:color w:val="06926B"/>
                <w:sz w:val="18"/>
                <w:szCs w:val="18"/>
              </w:rPr>
              <w:t>4,220.00</w:t>
            </w:r>
          </w:p>
        </w:tc>
      </w:tr>
      <w:tr w:rsidR="004836E0" w:rsidRPr="004836E0" w14:paraId="30C1189D" w14:textId="77777777" w:rsidTr="006B78FB">
        <w:trPr>
          <w:trHeight w:val="283"/>
        </w:trPr>
        <w:tc>
          <w:tcPr>
            <w:tcW w:w="0" w:type="auto"/>
          </w:tcPr>
          <w:p w14:paraId="415CB713" w14:textId="51DCE32F" w:rsidR="004836E0" w:rsidRPr="004836E0" w:rsidRDefault="004836E0" w:rsidP="006B78FB">
            <w:pPr>
              <w:jc w:val="center"/>
              <w:rPr>
                <w:rFonts w:ascii="Open Sans" w:hAnsi="Open Sans" w:cs="Open Sans"/>
                <w:sz w:val="18"/>
                <w:szCs w:val="18"/>
              </w:rPr>
            </w:pPr>
            <w:r w:rsidRPr="004836E0">
              <w:rPr>
                <w:rFonts w:ascii="Open Sans" w:hAnsi="Open Sans" w:cs="Open Sans"/>
                <w:sz w:val="18"/>
                <w:szCs w:val="18"/>
              </w:rPr>
              <w:t>15</w:t>
            </w:r>
          </w:p>
        </w:tc>
        <w:tc>
          <w:tcPr>
            <w:tcW w:w="0" w:type="auto"/>
            <w:tcBorders>
              <w:right w:val="single" w:sz="18" w:space="0" w:color="auto"/>
            </w:tcBorders>
          </w:tcPr>
          <w:p w14:paraId="1CE83AC8" w14:textId="0684C30C"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11,500.00</w:t>
            </w:r>
          </w:p>
        </w:tc>
        <w:tc>
          <w:tcPr>
            <w:tcW w:w="1467" w:type="dxa"/>
            <w:tcBorders>
              <w:left w:val="single" w:sz="18" w:space="0" w:color="auto"/>
            </w:tcBorders>
          </w:tcPr>
          <w:p w14:paraId="1423CD32" w14:textId="34850CAB"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4,000.00</w:t>
            </w:r>
          </w:p>
        </w:tc>
        <w:tc>
          <w:tcPr>
            <w:tcW w:w="1593" w:type="dxa"/>
            <w:tcBorders>
              <w:right w:val="single" w:sz="18" w:space="0" w:color="auto"/>
            </w:tcBorders>
          </w:tcPr>
          <w:p w14:paraId="23EB1398" w14:textId="149FDC24" w:rsidR="004836E0" w:rsidRPr="006B78FB" w:rsidRDefault="004836E0" w:rsidP="006B78FB">
            <w:pPr>
              <w:jc w:val="center"/>
              <w:rPr>
                <w:rFonts w:ascii="Open Sans" w:hAnsi="Open Sans" w:cs="Open Sans"/>
                <w:color w:val="06926B"/>
                <w:sz w:val="18"/>
                <w:szCs w:val="18"/>
              </w:rPr>
            </w:pPr>
            <w:r w:rsidRPr="006B78FB">
              <w:rPr>
                <w:rFonts w:ascii="Open Sans" w:hAnsi="Open Sans" w:cs="Open Sans"/>
                <w:color w:val="06926B"/>
                <w:sz w:val="18"/>
                <w:szCs w:val="18"/>
              </w:rPr>
              <w:t>7,500.00</w:t>
            </w:r>
          </w:p>
        </w:tc>
        <w:tc>
          <w:tcPr>
            <w:tcW w:w="1408" w:type="dxa"/>
            <w:tcBorders>
              <w:left w:val="single" w:sz="18" w:space="0" w:color="auto"/>
            </w:tcBorders>
          </w:tcPr>
          <w:p w14:paraId="0C5B7B06" w14:textId="7EC6A421"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4,200.00</w:t>
            </w:r>
          </w:p>
        </w:tc>
        <w:tc>
          <w:tcPr>
            <w:tcW w:w="2037" w:type="dxa"/>
            <w:tcBorders>
              <w:right w:val="single" w:sz="18" w:space="0" w:color="auto"/>
            </w:tcBorders>
          </w:tcPr>
          <w:p w14:paraId="777A7AAC" w14:textId="2692E2EE" w:rsidR="004836E0" w:rsidRPr="006B78FB" w:rsidRDefault="004836E0" w:rsidP="006B78FB">
            <w:pPr>
              <w:jc w:val="center"/>
              <w:rPr>
                <w:rFonts w:ascii="Open Sans" w:hAnsi="Open Sans" w:cs="Open Sans"/>
                <w:color w:val="06926B"/>
                <w:sz w:val="18"/>
                <w:szCs w:val="18"/>
              </w:rPr>
            </w:pPr>
            <w:r w:rsidRPr="006B78FB">
              <w:rPr>
                <w:rFonts w:ascii="Open Sans" w:hAnsi="Open Sans" w:cs="Open Sans"/>
                <w:color w:val="06926B"/>
                <w:sz w:val="18"/>
                <w:szCs w:val="18"/>
              </w:rPr>
              <w:t>7,300.00</w:t>
            </w:r>
          </w:p>
        </w:tc>
      </w:tr>
      <w:tr w:rsidR="004836E0" w:rsidRPr="004836E0" w14:paraId="58DB8D1C" w14:textId="77777777" w:rsidTr="006B78FB">
        <w:trPr>
          <w:trHeight w:val="283"/>
        </w:trPr>
        <w:tc>
          <w:tcPr>
            <w:tcW w:w="0" w:type="auto"/>
          </w:tcPr>
          <w:p w14:paraId="19BA34EA" w14:textId="22046881" w:rsidR="004836E0" w:rsidRPr="004836E0" w:rsidRDefault="004836E0" w:rsidP="006B78FB">
            <w:pPr>
              <w:jc w:val="center"/>
              <w:rPr>
                <w:rFonts w:ascii="Open Sans" w:hAnsi="Open Sans" w:cs="Open Sans"/>
                <w:sz w:val="18"/>
                <w:szCs w:val="18"/>
              </w:rPr>
            </w:pPr>
            <w:r w:rsidRPr="004836E0">
              <w:rPr>
                <w:rFonts w:ascii="Open Sans" w:hAnsi="Open Sans" w:cs="Open Sans"/>
                <w:sz w:val="18"/>
                <w:szCs w:val="18"/>
              </w:rPr>
              <w:t>20</w:t>
            </w:r>
          </w:p>
        </w:tc>
        <w:tc>
          <w:tcPr>
            <w:tcW w:w="0" w:type="auto"/>
            <w:tcBorders>
              <w:right w:val="single" w:sz="18" w:space="0" w:color="auto"/>
            </w:tcBorders>
          </w:tcPr>
          <w:p w14:paraId="178CBAC5" w14:textId="0552FA9C"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13,000.00</w:t>
            </w:r>
          </w:p>
        </w:tc>
        <w:tc>
          <w:tcPr>
            <w:tcW w:w="1467" w:type="dxa"/>
            <w:tcBorders>
              <w:left w:val="single" w:sz="18" w:space="0" w:color="auto"/>
            </w:tcBorders>
          </w:tcPr>
          <w:p w14:paraId="0CE5CF2B" w14:textId="4745E3D7"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4,000.00</w:t>
            </w:r>
          </w:p>
        </w:tc>
        <w:tc>
          <w:tcPr>
            <w:tcW w:w="1593" w:type="dxa"/>
            <w:tcBorders>
              <w:right w:val="single" w:sz="18" w:space="0" w:color="auto"/>
            </w:tcBorders>
          </w:tcPr>
          <w:p w14:paraId="027DD780" w14:textId="17F0ED8D" w:rsidR="004836E0" w:rsidRPr="006B78FB" w:rsidRDefault="004836E0" w:rsidP="006B78FB">
            <w:pPr>
              <w:jc w:val="center"/>
              <w:rPr>
                <w:rFonts w:ascii="Open Sans" w:hAnsi="Open Sans" w:cs="Open Sans"/>
                <w:color w:val="06926B"/>
                <w:sz w:val="18"/>
                <w:szCs w:val="18"/>
              </w:rPr>
            </w:pPr>
            <w:r w:rsidRPr="006B78FB">
              <w:rPr>
                <w:rFonts w:ascii="Open Sans" w:hAnsi="Open Sans" w:cs="Open Sans"/>
                <w:color w:val="06926B"/>
                <w:sz w:val="18"/>
                <w:szCs w:val="18"/>
              </w:rPr>
              <w:t>9,000.00</w:t>
            </w:r>
          </w:p>
        </w:tc>
        <w:tc>
          <w:tcPr>
            <w:tcW w:w="1408" w:type="dxa"/>
            <w:tcBorders>
              <w:left w:val="single" w:sz="18" w:space="0" w:color="auto"/>
            </w:tcBorders>
          </w:tcPr>
          <w:p w14:paraId="30C105F8" w14:textId="7DE3D177"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5,600.00</w:t>
            </w:r>
          </w:p>
        </w:tc>
        <w:tc>
          <w:tcPr>
            <w:tcW w:w="2037" w:type="dxa"/>
            <w:tcBorders>
              <w:right w:val="single" w:sz="18" w:space="0" w:color="auto"/>
            </w:tcBorders>
          </w:tcPr>
          <w:p w14:paraId="69A7790B" w14:textId="028ADD85" w:rsidR="004836E0" w:rsidRPr="006B78FB" w:rsidRDefault="004836E0" w:rsidP="006B78FB">
            <w:pPr>
              <w:jc w:val="center"/>
              <w:rPr>
                <w:rFonts w:ascii="Open Sans" w:hAnsi="Open Sans" w:cs="Open Sans"/>
                <w:color w:val="06926B"/>
                <w:sz w:val="18"/>
                <w:szCs w:val="18"/>
              </w:rPr>
            </w:pPr>
            <w:r w:rsidRPr="006B78FB">
              <w:rPr>
                <w:rFonts w:ascii="Open Sans" w:hAnsi="Open Sans" w:cs="Open Sans"/>
                <w:color w:val="06926B"/>
                <w:sz w:val="18"/>
                <w:szCs w:val="18"/>
              </w:rPr>
              <w:t>7,400.00</w:t>
            </w:r>
          </w:p>
        </w:tc>
      </w:tr>
      <w:tr w:rsidR="004836E0" w:rsidRPr="004836E0" w14:paraId="664A82E4" w14:textId="77777777" w:rsidTr="006B78FB">
        <w:trPr>
          <w:trHeight w:val="283"/>
        </w:trPr>
        <w:tc>
          <w:tcPr>
            <w:tcW w:w="0" w:type="auto"/>
          </w:tcPr>
          <w:p w14:paraId="0A2D4B7A" w14:textId="27BD384E" w:rsidR="004836E0" w:rsidRPr="004836E0" w:rsidRDefault="004836E0" w:rsidP="006B78FB">
            <w:pPr>
              <w:jc w:val="center"/>
              <w:rPr>
                <w:rFonts w:ascii="Open Sans" w:hAnsi="Open Sans" w:cs="Open Sans"/>
                <w:sz w:val="18"/>
                <w:szCs w:val="18"/>
              </w:rPr>
            </w:pPr>
            <w:r w:rsidRPr="004836E0">
              <w:rPr>
                <w:rFonts w:ascii="Open Sans" w:hAnsi="Open Sans" w:cs="Open Sans"/>
                <w:sz w:val="18"/>
                <w:szCs w:val="18"/>
              </w:rPr>
              <w:lastRenderedPageBreak/>
              <w:t>25</w:t>
            </w:r>
          </w:p>
        </w:tc>
        <w:tc>
          <w:tcPr>
            <w:tcW w:w="0" w:type="auto"/>
            <w:tcBorders>
              <w:right w:val="single" w:sz="18" w:space="0" w:color="auto"/>
            </w:tcBorders>
          </w:tcPr>
          <w:p w14:paraId="06B5358E" w14:textId="3786439E"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17,970.00</w:t>
            </w:r>
          </w:p>
        </w:tc>
        <w:tc>
          <w:tcPr>
            <w:tcW w:w="1467" w:type="dxa"/>
            <w:tcBorders>
              <w:left w:val="single" w:sz="18" w:space="0" w:color="auto"/>
            </w:tcBorders>
          </w:tcPr>
          <w:p w14:paraId="70D43ED5" w14:textId="155B3D76"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4,000.00</w:t>
            </w:r>
          </w:p>
        </w:tc>
        <w:tc>
          <w:tcPr>
            <w:tcW w:w="1593" w:type="dxa"/>
            <w:tcBorders>
              <w:right w:val="single" w:sz="18" w:space="0" w:color="auto"/>
            </w:tcBorders>
          </w:tcPr>
          <w:p w14:paraId="2CECD378" w14:textId="1AE2C613"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13,970.00</w:t>
            </w:r>
          </w:p>
        </w:tc>
        <w:tc>
          <w:tcPr>
            <w:tcW w:w="1408" w:type="dxa"/>
            <w:tcBorders>
              <w:left w:val="single" w:sz="18" w:space="0" w:color="auto"/>
            </w:tcBorders>
          </w:tcPr>
          <w:p w14:paraId="14795F4A" w14:textId="03A48BCF"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7,000.00</w:t>
            </w:r>
          </w:p>
        </w:tc>
        <w:tc>
          <w:tcPr>
            <w:tcW w:w="2037" w:type="dxa"/>
            <w:tcBorders>
              <w:right w:val="single" w:sz="18" w:space="0" w:color="auto"/>
            </w:tcBorders>
          </w:tcPr>
          <w:p w14:paraId="0AE74B90" w14:textId="00379B68" w:rsidR="004836E0" w:rsidRPr="006B78FB" w:rsidRDefault="004836E0" w:rsidP="006B78FB">
            <w:pPr>
              <w:jc w:val="center"/>
              <w:rPr>
                <w:rFonts w:ascii="Open Sans" w:hAnsi="Open Sans" w:cs="Open Sans"/>
                <w:color w:val="06926B"/>
                <w:sz w:val="18"/>
                <w:szCs w:val="18"/>
              </w:rPr>
            </w:pPr>
            <w:r w:rsidRPr="006B78FB">
              <w:rPr>
                <w:rFonts w:ascii="Open Sans" w:hAnsi="Open Sans" w:cs="Open Sans"/>
                <w:color w:val="06926B"/>
                <w:sz w:val="18"/>
                <w:szCs w:val="18"/>
              </w:rPr>
              <w:t>10,970.00</w:t>
            </w:r>
          </w:p>
        </w:tc>
      </w:tr>
      <w:tr w:rsidR="004836E0" w:rsidRPr="004836E0" w14:paraId="58FBA7EC" w14:textId="77777777" w:rsidTr="006B78FB">
        <w:trPr>
          <w:trHeight w:val="283"/>
        </w:trPr>
        <w:tc>
          <w:tcPr>
            <w:tcW w:w="0" w:type="auto"/>
          </w:tcPr>
          <w:p w14:paraId="48440129" w14:textId="4223EF65" w:rsidR="004836E0" w:rsidRPr="004836E0" w:rsidRDefault="004836E0" w:rsidP="006B78FB">
            <w:pPr>
              <w:jc w:val="center"/>
              <w:rPr>
                <w:rFonts w:ascii="Open Sans" w:hAnsi="Open Sans" w:cs="Open Sans"/>
                <w:sz w:val="18"/>
                <w:szCs w:val="18"/>
              </w:rPr>
            </w:pPr>
            <w:r w:rsidRPr="004836E0">
              <w:rPr>
                <w:rFonts w:ascii="Open Sans" w:hAnsi="Open Sans" w:cs="Open Sans"/>
                <w:sz w:val="18"/>
                <w:szCs w:val="18"/>
              </w:rPr>
              <w:t>30</w:t>
            </w:r>
          </w:p>
        </w:tc>
        <w:tc>
          <w:tcPr>
            <w:tcW w:w="0" w:type="auto"/>
            <w:tcBorders>
              <w:right w:val="single" w:sz="18" w:space="0" w:color="auto"/>
            </w:tcBorders>
          </w:tcPr>
          <w:p w14:paraId="73ED6300" w14:textId="060E64DC"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20,000.00</w:t>
            </w:r>
          </w:p>
        </w:tc>
        <w:tc>
          <w:tcPr>
            <w:tcW w:w="1467" w:type="dxa"/>
            <w:tcBorders>
              <w:left w:val="single" w:sz="18" w:space="0" w:color="auto"/>
            </w:tcBorders>
          </w:tcPr>
          <w:p w14:paraId="74FBE06C" w14:textId="3F8BF9D9"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4,000.00</w:t>
            </w:r>
          </w:p>
        </w:tc>
        <w:tc>
          <w:tcPr>
            <w:tcW w:w="1593" w:type="dxa"/>
            <w:tcBorders>
              <w:right w:val="single" w:sz="18" w:space="0" w:color="auto"/>
            </w:tcBorders>
          </w:tcPr>
          <w:p w14:paraId="355C29E3" w14:textId="37F84EAD"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16,000.00</w:t>
            </w:r>
          </w:p>
        </w:tc>
        <w:tc>
          <w:tcPr>
            <w:tcW w:w="1408" w:type="dxa"/>
            <w:tcBorders>
              <w:left w:val="single" w:sz="18" w:space="0" w:color="auto"/>
            </w:tcBorders>
          </w:tcPr>
          <w:p w14:paraId="2BBFBBD0" w14:textId="2E7FE55F"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8,400.00</w:t>
            </w:r>
          </w:p>
        </w:tc>
        <w:tc>
          <w:tcPr>
            <w:tcW w:w="2037" w:type="dxa"/>
            <w:tcBorders>
              <w:right w:val="single" w:sz="18" w:space="0" w:color="auto"/>
            </w:tcBorders>
          </w:tcPr>
          <w:p w14:paraId="6C461E0C" w14:textId="3F6F7EDF"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11,600.00</w:t>
            </w:r>
          </w:p>
        </w:tc>
      </w:tr>
      <w:tr w:rsidR="004836E0" w:rsidRPr="004836E0" w14:paraId="27DF93F3" w14:textId="77777777" w:rsidTr="006B78FB">
        <w:trPr>
          <w:trHeight w:val="283"/>
        </w:trPr>
        <w:tc>
          <w:tcPr>
            <w:tcW w:w="0" w:type="auto"/>
          </w:tcPr>
          <w:p w14:paraId="64AC3355" w14:textId="628E43E1" w:rsidR="004836E0" w:rsidRPr="004836E0" w:rsidRDefault="004836E0" w:rsidP="006B78FB">
            <w:pPr>
              <w:jc w:val="center"/>
              <w:rPr>
                <w:rFonts w:ascii="Open Sans" w:hAnsi="Open Sans" w:cs="Open Sans"/>
                <w:sz w:val="18"/>
                <w:szCs w:val="18"/>
              </w:rPr>
            </w:pPr>
            <w:r w:rsidRPr="004836E0">
              <w:rPr>
                <w:rFonts w:ascii="Open Sans" w:hAnsi="Open Sans" w:cs="Open Sans"/>
                <w:sz w:val="18"/>
                <w:szCs w:val="18"/>
              </w:rPr>
              <w:t>35</w:t>
            </w:r>
          </w:p>
        </w:tc>
        <w:tc>
          <w:tcPr>
            <w:tcW w:w="0" w:type="auto"/>
            <w:tcBorders>
              <w:right w:val="single" w:sz="18" w:space="0" w:color="auto"/>
            </w:tcBorders>
          </w:tcPr>
          <w:p w14:paraId="3D3A2583" w14:textId="7A73158D"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20,000.00</w:t>
            </w:r>
          </w:p>
        </w:tc>
        <w:tc>
          <w:tcPr>
            <w:tcW w:w="1467" w:type="dxa"/>
            <w:tcBorders>
              <w:left w:val="single" w:sz="18" w:space="0" w:color="auto"/>
            </w:tcBorders>
          </w:tcPr>
          <w:p w14:paraId="7ABDE010" w14:textId="4EBB5088"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4,000.00</w:t>
            </w:r>
          </w:p>
        </w:tc>
        <w:tc>
          <w:tcPr>
            <w:tcW w:w="1593" w:type="dxa"/>
            <w:tcBorders>
              <w:right w:val="single" w:sz="18" w:space="0" w:color="auto"/>
            </w:tcBorders>
          </w:tcPr>
          <w:p w14:paraId="6530255B" w14:textId="313A53FB"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16,000.00</w:t>
            </w:r>
          </w:p>
        </w:tc>
        <w:tc>
          <w:tcPr>
            <w:tcW w:w="1408" w:type="dxa"/>
            <w:tcBorders>
              <w:left w:val="single" w:sz="18" w:space="0" w:color="auto"/>
            </w:tcBorders>
          </w:tcPr>
          <w:p w14:paraId="0315F82B" w14:textId="1B72E820"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9,800.00</w:t>
            </w:r>
          </w:p>
        </w:tc>
        <w:tc>
          <w:tcPr>
            <w:tcW w:w="2037" w:type="dxa"/>
            <w:tcBorders>
              <w:right w:val="single" w:sz="18" w:space="0" w:color="auto"/>
            </w:tcBorders>
          </w:tcPr>
          <w:p w14:paraId="72F7CF7B" w14:textId="08214FF1"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10,200.00</w:t>
            </w:r>
          </w:p>
        </w:tc>
      </w:tr>
      <w:tr w:rsidR="004836E0" w:rsidRPr="004836E0" w14:paraId="1B28D117" w14:textId="77777777" w:rsidTr="006B78FB">
        <w:trPr>
          <w:trHeight w:val="283"/>
        </w:trPr>
        <w:tc>
          <w:tcPr>
            <w:tcW w:w="0" w:type="auto"/>
          </w:tcPr>
          <w:p w14:paraId="57262F4F" w14:textId="4BAEBC93" w:rsidR="004836E0" w:rsidRPr="004836E0" w:rsidRDefault="004836E0" w:rsidP="006B78FB">
            <w:pPr>
              <w:jc w:val="center"/>
              <w:rPr>
                <w:rFonts w:ascii="Open Sans" w:hAnsi="Open Sans" w:cs="Open Sans"/>
                <w:sz w:val="18"/>
                <w:szCs w:val="18"/>
              </w:rPr>
            </w:pPr>
            <w:r w:rsidRPr="004836E0">
              <w:rPr>
                <w:rFonts w:ascii="Open Sans" w:hAnsi="Open Sans" w:cs="Open Sans"/>
                <w:sz w:val="18"/>
                <w:szCs w:val="18"/>
              </w:rPr>
              <w:t>40</w:t>
            </w:r>
          </w:p>
        </w:tc>
        <w:tc>
          <w:tcPr>
            <w:tcW w:w="0" w:type="auto"/>
            <w:tcBorders>
              <w:right w:val="single" w:sz="18" w:space="0" w:color="auto"/>
            </w:tcBorders>
          </w:tcPr>
          <w:p w14:paraId="6EF1E135" w14:textId="03581718" w:rsidR="004836E0" w:rsidRPr="004836E0" w:rsidRDefault="004836E0" w:rsidP="006B78FB">
            <w:pPr>
              <w:jc w:val="center"/>
              <w:rPr>
                <w:rFonts w:ascii="Open Sans" w:hAnsi="Open Sans" w:cs="Open Sans"/>
                <w:sz w:val="18"/>
                <w:szCs w:val="18"/>
              </w:rPr>
            </w:pPr>
            <w:r w:rsidRPr="004836E0">
              <w:rPr>
                <w:rFonts w:ascii="Open Sans" w:hAnsi="Open Sans" w:cs="Open Sans"/>
                <w:sz w:val="18"/>
                <w:szCs w:val="18"/>
              </w:rPr>
              <w:t>#</w:t>
            </w:r>
          </w:p>
        </w:tc>
        <w:tc>
          <w:tcPr>
            <w:tcW w:w="1467" w:type="dxa"/>
            <w:tcBorders>
              <w:left w:val="single" w:sz="18" w:space="0" w:color="auto"/>
            </w:tcBorders>
          </w:tcPr>
          <w:p w14:paraId="5059A397" w14:textId="270FFDC8"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4,000.00</w:t>
            </w:r>
          </w:p>
        </w:tc>
        <w:tc>
          <w:tcPr>
            <w:tcW w:w="1593" w:type="dxa"/>
            <w:tcBorders>
              <w:right w:val="single" w:sz="18" w:space="0" w:color="auto"/>
            </w:tcBorders>
          </w:tcPr>
          <w:p w14:paraId="1E79AD56" w14:textId="1F0FC6FD" w:rsidR="004836E0" w:rsidRPr="004836E0" w:rsidRDefault="006B78FB" w:rsidP="006B78FB">
            <w:pPr>
              <w:jc w:val="center"/>
              <w:rPr>
                <w:rFonts w:ascii="Open Sans" w:hAnsi="Open Sans" w:cs="Open Sans"/>
                <w:sz w:val="18"/>
                <w:szCs w:val="18"/>
              </w:rPr>
            </w:pPr>
            <w:r>
              <w:rPr>
                <w:rFonts w:ascii="Open Sans" w:hAnsi="Open Sans" w:cs="Open Sans"/>
                <w:sz w:val="18"/>
                <w:szCs w:val="18"/>
              </w:rPr>
              <w:t>#</w:t>
            </w:r>
          </w:p>
        </w:tc>
        <w:tc>
          <w:tcPr>
            <w:tcW w:w="1408" w:type="dxa"/>
            <w:tcBorders>
              <w:left w:val="single" w:sz="18" w:space="0" w:color="auto"/>
            </w:tcBorders>
          </w:tcPr>
          <w:p w14:paraId="3CFB7244" w14:textId="1147D347"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11,200.00</w:t>
            </w:r>
          </w:p>
        </w:tc>
        <w:tc>
          <w:tcPr>
            <w:tcW w:w="2037" w:type="dxa"/>
            <w:tcBorders>
              <w:right w:val="single" w:sz="18" w:space="0" w:color="auto"/>
            </w:tcBorders>
          </w:tcPr>
          <w:p w14:paraId="705C2C9F" w14:textId="3B519BF2" w:rsidR="004836E0" w:rsidRPr="004836E0" w:rsidRDefault="006B78FB" w:rsidP="006B78FB">
            <w:pPr>
              <w:jc w:val="center"/>
              <w:rPr>
                <w:rFonts w:ascii="Open Sans" w:hAnsi="Open Sans" w:cs="Open Sans"/>
                <w:sz w:val="18"/>
                <w:szCs w:val="18"/>
              </w:rPr>
            </w:pPr>
            <w:r>
              <w:rPr>
                <w:rFonts w:ascii="Open Sans" w:hAnsi="Open Sans" w:cs="Open Sans"/>
                <w:sz w:val="18"/>
                <w:szCs w:val="18"/>
              </w:rPr>
              <w:t>#</w:t>
            </w:r>
          </w:p>
        </w:tc>
      </w:tr>
      <w:tr w:rsidR="004836E0" w:rsidRPr="004836E0" w14:paraId="5D29DC30" w14:textId="77777777" w:rsidTr="006B78FB">
        <w:trPr>
          <w:trHeight w:val="283"/>
        </w:trPr>
        <w:tc>
          <w:tcPr>
            <w:tcW w:w="0" w:type="auto"/>
          </w:tcPr>
          <w:p w14:paraId="3CD824E9" w14:textId="54F1B786" w:rsidR="004836E0" w:rsidRPr="004836E0" w:rsidRDefault="004836E0" w:rsidP="006B78FB">
            <w:pPr>
              <w:jc w:val="center"/>
              <w:rPr>
                <w:rFonts w:ascii="Open Sans" w:hAnsi="Open Sans" w:cs="Open Sans"/>
                <w:sz w:val="18"/>
                <w:szCs w:val="18"/>
              </w:rPr>
            </w:pPr>
            <w:r w:rsidRPr="004836E0">
              <w:rPr>
                <w:rFonts w:ascii="Open Sans" w:hAnsi="Open Sans" w:cs="Open Sans"/>
                <w:sz w:val="18"/>
                <w:szCs w:val="18"/>
              </w:rPr>
              <w:t>45</w:t>
            </w:r>
          </w:p>
        </w:tc>
        <w:tc>
          <w:tcPr>
            <w:tcW w:w="0" w:type="auto"/>
            <w:tcBorders>
              <w:right w:val="single" w:sz="18" w:space="0" w:color="auto"/>
            </w:tcBorders>
          </w:tcPr>
          <w:p w14:paraId="4B0CCA3F" w14:textId="4D3D4C75"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22,500.00</w:t>
            </w:r>
          </w:p>
        </w:tc>
        <w:tc>
          <w:tcPr>
            <w:tcW w:w="1467" w:type="dxa"/>
            <w:tcBorders>
              <w:left w:val="single" w:sz="18" w:space="0" w:color="auto"/>
            </w:tcBorders>
          </w:tcPr>
          <w:p w14:paraId="44B7B74A" w14:textId="1361F6D5"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4,000.00</w:t>
            </w:r>
          </w:p>
        </w:tc>
        <w:tc>
          <w:tcPr>
            <w:tcW w:w="1593" w:type="dxa"/>
            <w:tcBorders>
              <w:right w:val="single" w:sz="18" w:space="0" w:color="auto"/>
            </w:tcBorders>
          </w:tcPr>
          <w:p w14:paraId="221ECF80" w14:textId="2E81ADAE"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18,500.00</w:t>
            </w:r>
          </w:p>
        </w:tc>
        <w:tc>
          <w:tcPr>
            <w:tcW w:w="1408" w:type="dxa"/>
            <w:tcBorders>
              <w:left w:val="single" w:sz="18" w:space="0" w:color="auto"/>
            </w:tcBorders>
          </w:tcPr>
          <w:p w14:paraId="130B17D3" w14:textId="11300650" w:rsidR="004836E0" w:rsidRPr="004836E0" w:rsidRDefault="004836E0" w:rsidP="006B78FB">
            <w:pPr>
              <w:jc w:val="center"/>
              <w:rPr>
                <w:rFonts w:ascii="Open Sans" w:hAnsi="Open Sans" w:cs="Open Sans"/>
                <w:sz w:val="18"/>
                <w:szCs w:val="18"/>
              </w:rPr>
            </w:pPr>
            <w:r w:rsidRPr="004836E0">
              <w:rPr>
                <w:rFonts w:ascii="Open Sans" w:hAnsi="Open Sans" w:cs="Open Sans"/>
                <w:color w:val="000000"/>
                <w:sz w:val="18"/>
                <w:szCs w:val="18"/>
              </w:rPr>
              <w:t>12,600.00</w:t>
            </w:r>
          </w:p>
        </w:tc>
        <w:tc>
          <w:tcPr>
            <w:tcW w:w="2037" w:type="dxa"/>
            <w:tcBorders>
              <w:right w:val="single" w:sz="18" w:space="0" w:color="auto"/>
            </w:tcBorders>
          </w:tcPr>
          <w:p w14:paraId="5EFE4F02" w14:textId="0D6A02A2" w:rsidR="004836E0" w:rsidRPr="006B78FB" w:rsidRDefault="004836E0" w:rsidP="006B78FB">
            <w:pPr>
              <w:jc w:val="center"/>
              <w:rPr>
                <w:rFonts w:ascii="Open Sans" w:hAnsi="Open Sans" w:cs="Open Sans"/>
                <w:color w:val="70AD47" w:themeColor="accent6"/>
                <w:sz w:val="18"/>
                <w:szCs w:val="18"/>
              </w:rPr>
            </w:pPr>
            <w:r w:rsidRPr="006B78FB">
              <w:rPr>
                <w:rFonts w:ascii="Open Sans" w:hAnsi="Open Sans" w:cs="Open Sans"/>
                <w:color w:val="06926B"/>
                <w:sz w:val="18"/>
                <w:szCs w:val="18"/>
              </w:rPr>
              <w:t>9,900.00</w:t>
            </w:r>
          </w:p>
        </w:tc>
      </w:tr>
      <w:tr w:rsidR="004836E0" w:rsidRPr="004836E0" w14:paraId="5D12D749" w14:textId="77777777" w:rsidTr="006B78FB">
        <w:trPr>
          <w:trHeight w:val="283"/>
        </w:trPr>
        <w:tc>
          <w:tcPr>
            <w:tcW w:w="0" w:type="auto"/>
            <w:vAlign w:val="bottom"/>
          </w:tcPr>
          <w:p w14:paraId="13A9326B" w14:textId="4AD88451" w:rsidR="004836E0" w:rsidRPr="004836E0" w:rsidRDefault="004836E0" w:rsidP="006B78FB">
            <w:pPr>
              <w:jc w:val="center"/>
              <w:rPr>
                <w:rFonts w:ascii="Open Sans" w:hAnsi="Open Sans" w:cs="Open Sans"/>
                <w:b/>
                <w:bCs/>
                <w:sz w:val="18"/>
                <w:szCs w:val="18"/>
              </w:rPr>
            </w:pPr>
            <w:r w:rsidRPr="004836E0">
              <w:rPr>
                <w:rFonts w:ascii="Open Sans" w:hAnsi="Open Sans" w:cs="Open Sans"/>
                <w:b/>
                <w:bCs/>
                <w:sz w:val="18"/>
                <w:szCs w:val="18"/>
              </w:rPr>
              <w:t>Average</w:t>
            </w:r>
          </w:p>
        </w:tc>
        <w:tc>
          <w:tcPr>
            <w:tcW w:w="0" w:type="auto"/>
            <w:tcBorders>
              <w:right w:val="single" w:sz="18" w:space="0" w:color="auto"/>
            </w:tcBorders>
            <w:vAlign w:val="bottom"/>
          </w:tcPr>
          <w:p w14:paraId="5CFFDCE8" w14:textId="08ACC8C2" w:rsidR="004836E0" w:rsidRPr="004836E0" w:rsidRDefault="004836E0" w:rsidP="006B78FB">
            <w:pPr>
              <w:jc w:val="center"/>
              <w:rPr>
                <w:rFonts w:ascii="Open Sans" w:hAnsi="Open Sans" w:cs="Open Sans"/>
                <w:b/>
                <w:bCs/>
                <w:sz w:val="18"/>
                <w:szCs w:val="18"/>
              </w:rPr>
            </w:pPr>
            <w:r w:rsidRPr="004836E0">
              <w:rPr>
                <w:rFonts w:ascii="Open Sans" w:hAnsi="Open Sans" w:cs="Open Sans"/>
                <w:b/>
                <w:bCs/>
                <w:color w:val="000000"/>
                <w:sz w:val="18"/>
                <w:szCs w:val="18"/>
              </w:rPr>
              <w:t>15,060.00</w:t>
            </w:r>
          </w:p>
        </w:tc>
        <w:tc>
          <w:tcPr>
            <w:tcW w:w="1467" w:type="dxa"/>
            <w:tcBorders>
              <w:left w:val="single" w:sz="18" w:space="0" w:color="auto"/>
              <w:bottom w:val="single" w:sz="18" w:space="0" w:color="auto"/>
            </w:tcBorders>
            <w:vAlign w:val="bottom"/>
          </w:tcPr>
          <w:p w14:paraId="5ECA864C" w14:textId="0D27ABBD" w:rsidR="004836E0" w:rsidRPr="004836E0" w:rsidRDefault="004836E0" w:rsidP="006B78FB">
            <w:pPr>
              <w:jc w:val="center"/>
              <w:rPr>
                <w:rFonts w:ascii="Open Sans" w:hAnsi="Open Sans" w:cs="Open Sans"/>
                <w:b/>
                <w:bCs/>
                <w:sz w:val="18"/>
                <w:szCs w:val="18"/>
              </w:rPr>
            </w:pPr>
            <w:r w:rsidRPr="004836E0">
              <w:rPr>
                <w:rFonts w:ascii="Open Sans" w:hAnsi="Open Sans" w:cs="Open Sans"/>
                <w:b/>
                <w:bCs/>
                <w:color w:val="000000"/>
                <w:sz w:val="18"/>
                <w:szCs w:val="18"/>
              </w:rPr>
              <w:t>4,000.00</w:t>
            </w:r>
          </w:p>
        </w:tc>
        <w:tc>
          <w:tcPr>
            <w:tcW w:w="1593" w:type="dxa"/>
            <w:tcBorders>
              <w:bottom w:val="single" w:sz="18" w:space="0" w:color="auto"/>
              <w:right w:val="single" w:sz="18" w:space="0" w:color="auto"/>
            </w:tcBorders>
            <w:vAlign w:val="bottom"/>
          </w:tcPr>
          <w:p w14:paraId="7AEDC9C9" w14:textId="41196EB5" w:rsidR="004836E0" w:rsidRPr="004836E0" w:rsidRDefault="004836E0" w:rsidP="006B78FB">
            <w:pPr>
              <w:jc w:val="center"/>
              <w:rPr>
                <w:rFonts w:ascii="Open Sans" w:hAnsi="Open Sans" w:cs="Open Sans"/>
                <w:b/>
                <w:bCs/>
                <w:sz w:val="18"/>
                <w:szCs w:val="18"/>
              </w:rPr>
            </w:pPr>
            <w:r w:rsidRPr="004836E0">
              <w:rPr>
                <w:rFonts w:ascii="Open Sans" w:hAnsi="Open Sans" w:cs="Open Sans"/>
                <w:b/>
                <w:bCs/>
                <w:color w:val="000000"/>
                <w:sz w:val="18"/>
                <w:szCs w:val="18"/>
              </w:rPr>
              <w:t>11,060.00</w:t>
            </w:r>
          </w:p>
        </w:tc>
        <w:tc>
          <w:tcPr>
            <w:tcW w:w="1408" w:type="dxa"/>
            <w:tcBorders>
              <w:left w:val="single" w:sz="18" w:space="0" w:color="auto"/>
              <w:bottom w:val="single" w:sz="18" w:space="0" w:color="auto"/>
            </w:tcBorders>
            <w:vAlign w:val="bottom"/>
          </w:tcPr>
          <w:p w14:paraId="0F632BDE" w14:textId="5D1A0866" w:rsidR="004836E0" w:rsidRPr="004836E0" w:rsidRDefault="004836E0" w:rsidP="006B78FB">
            <w:pPr>
              <w:jc w:val="center"/>
              <w:rPr>
                <w:rFonts w:ascii="Open Sans" w:hAnsi="Open Sans" w:cs="Open Sans"/>
                <w:b/>
                <w:bCs/>
                <w:sz w:val="18"/>
                <w:szCs w:val="18"/>
              </w:rPr>
            </w:pPr>
            <w:r w:rsidRPr="004836E0">
              <w:rPr>
                <w:rFonts w:ascii="Open Sans" w:hAnsi="Open Sans" w:cs="Open Sans"/>
                <w:b/>
                <w:bCs/>
                <w:color w:val="000000"/>
                <w:sz w:val="18"/>
                <w:szCs w:val="18"/>
              </w:rPr>
              <w:t>7,422.22</w:t>
            </w:r>
          </w:p>
        </w:tc>
        <w:tc>
          <w:tcPr>
            <w:tcW w:w="2037" w:type="dxa"/>
            <w:tcBorders>
              <w:bottom w:val="single" w:sz="18" w:space="0" w:color="auto"/>
              <w:right w:val="single" w:sz="18" w:space="0" w:color="auto"/>
            </w:tcBorders>
            <w:vAlign w:val="bottom"/>
          </w:tcPr>
          <w:p w14:paraId="30022359" w14:textId="6B4D1F0B" w:rsidR="004836E0" w:rsidRPr="006B78FB" w:rsidRDefault="004836E0" w:rsidP="006B78FB">
            <w:pPr>
              <w:jc w:val="center"/>
              <w:rPr>
                <w:rFonts w:ascii="Open Sans" w:hAnsi="Open Sans" w:cs="Open Sans"/>
                <w:b/>
                <w:bCs/>
                <w:color w:val="70AD47" w:themeColor="accent6"/>
                <w:sz w:val="18"/>
                <w:szCs w:val="18"/>
              </w:rPr>
            </w:pPr>
            <w:r w:rsidRPr="006B78FB">
              <w:rPr>
                <w:rFonts w:ascii="Open Sans" w:hAnsi="Open Sans" w:cs="Open Sans"/>
                <w:b/>
                <w:bCs/>
                <w:color w:val="06926B"/>
                <w:sz w:val="18"/>
                <w:szCs w:val="18"/>
              </w:rPr>
              <w:t>8,110.00</w:t>
            </w:r>
          </w:p>
        </w:tc>
      </w:tr>
    </w:tbl>
    <w:p w14:paraId="021B21F9" w14:textId="0DC5BD0A" w:rsidR="00FC530B" w:rsidRDefault="006B78FB" w:rsidP="00FC530B">
      <w:pPr>
        <w:rPr>
          <w:rFonts w:ascii="Open Sans" w:hAnsi="Open Sans" w:cs="Open Sans"/>
          <w:szCs w:val="22"/>
        </w:rPr>
      </w:pPr>
      <w:r>
        <w:rPr>
          <w:rFonts w:ascii="Open Sans" w:hAnsi="Open Sans" w:cs="Open Sans"/>
          <w:szCs w:val="22"/>
        </w:rPr>
        <w:t># Data no</w:t>
      </w:r>
      <w:r w:rsidR="006550DA">
        <w:rPr>
          <w:rFonts w:ascii="Open Sans" w:hAnsi="Open Sans" w:cs="Open Sans"/>
          <w:szCs w:val="22"/>
        </w:rPr>
        <w:t>t</w:t>
      </w:r>
      <w:r>
        <w:rPr>
          <w:rFonts w:ascii="Open Sans" w:hAnsi="Open Sans" w:cs="Open Sans"/>
          <w:szCs w:val="22"/>
        </w:rPr>
        <w:t xml:space="preserve"> </w:t>
      </w:r>
      <w:r w:rsidR="006550DA">
        <w:rPr>
          <w:rFonts w:ascii="Open Sans" w:hAnsi="Open Sans" w:cs="Open Sans"/>
          <w:szCs w:val="22"/>
        </w:rPr>
        <w:t>available</w:t>
      </w:r>
    </w:p>
    <w:p w14:paraId="30E6FA18" w14:textId="77777777" w:rsidR="004836E0" w:rsidRDefault="004836E0" w:rsidP="00FC530B">
      <w:pPr>
        <w:rPr>
          <w:rFonts w:ascii="Open Sans" w:hAnsi="Open Sans" w:cs="Open Sans"/>
          <w:szCs w:val="22"/>
        </w:rPr>
      </w:pPr>
    </w:p>
    <w:tbl>
      <w:tblPr>
        <w:tblStyle w:val="TableGrid"/>
        <w:tblW w:w="9209" w:type="dxa"/>
        <w:tblLook w:val="04A0" w:firstRow="1" w:lastRow="0" w:firstColumn="1" w:lastColumn="0" w:noHBand="0" w:noVBand="1"/>
      </w:tblPr>
      <w:tblGrid>
        <w:gridCol w:w="1502"/>
        <w:gridCol w:w="1187"/>
        <w:gridCol w:w="1417"/>
        <w:gridCol w:w="1701"/>
        <w:gridCol w:w="1706"/>
        <w:gridCol w:w="1696"/>
      </w:tblGrid>
      <w:tr w:rsidR="004836E0" w14:paraId="3E163FE8" w14:textId="77777777" w:rsidTr="006B78FB">
        <w:tc>
          <w:tcPr>
            <w:tcW w:w="9209" w:type="dxa"/>
            <w:gridSpan w:val="6"/>
            <w:shd w:val="clear" w:color="auto" w:fill="D9D9D9" w:themeFill="background1" w:themeFillShade="D9"/>
          </w:tcPr>
          <w:p w14:paraId="655D0F06" w14:textId="658D0CD5" w:rsidR="004836E0" w:rsidRPr="006B78FB" w:rsidRDefault="004836E0" w:rsidP="004836E0">
            <w:pPr>
              <w:rPr>
                <w:rFonts w:ascii="Open Sans" w:hAnsi="Open Sans" w:cs="Open Sans"/>
                <w:b/>
                <w:bCs/>
                <w:sz w:val="18"/>
                <w:szCs w:val="18"/>
              </w:rPr>
            </w:pPr>
            <w:r w:rsidRPr="006B78FB">
              <w:rPr>
                <w:rFonts w:ascii="Open Sans" w:hAnsi="Open Sans" w:cs="Open Sans"/>
                <w:b/>
                <w:bCs/>
                <w:sz w:val="18"/>
                <w:szCs w:val="18"/>
              </w:rPr>
              <w:t>Biomass illustrative Costs</w:t>
            </w:r>
          </w:p>
        </w:tc>
      </w:tr>
      <w:tr w:rsidR="006B78FB" w14:paraId="658C6C9D" w14:textId="77777777" w:rsidTr="006B78FB">
        <w:tc>
          <w:tcPr>
            <w:tcW w:w="1502" w:type="dxa"/>
            <w:vAlign w:val="center"/>
          </w:tcPr>
          <w:p w14:paraId="16DF8B92" w14:textId="47A39889" w:rsidR="006B78FB" w:rsidRPr="004836E0" w:rsidRDefault="006B78FB" w:rsidP="006B78FB">
            <w:pPr>
              <w:jc w:val="center"/>
              <w:rPr>
                <w:rFonts w:ascii="Open Sans" w:hAnsi="Open Sans" w:cs="Open Sans"/>
                <w:sz w:val="18"/>
                <w:szCs w:val="18"/>
              </w:rPr>
            </w:pPr>
            <w:r w:rsidRPr="004836E0">
              <w:rPr>
                <w:rFonts w:ascii="Open Sans" w:hAnsi="Open Sans" w:cs="Open Sans"/>
                <w:sz w:val="18"/>
                <w:szCs w:val="18"/>
              </w:rPr>
              <w:t>Illustrative Installation capacity (kW)</w:t>
            </w:r>
          </w:p>
        </w:tc>
        <w:tc>
          <w:tcPr>
            <w:tcW w:w="1187" w:type="dxa"/>
            <w:tcBorders>
              <w:right w:val="single" w:sz="18" w:space="0" w:color="auto"/>
            </w:tcBorders>
            <w:vAlign w:val="center"/>
          </w:tcPr>
          <w:p w14:paraId="18FA2C05" w14:textId="6A1F9051" w:rsidR="006B78FB" w:rsidRPr="004836E0" w:rsidRDefault="006B78FB" w:rsidP="006B78FB">
            <w:pPr>
              <w:jc w:val="center"/>
              <w:rPr>
                <w:rFonts w:ascii="Open Sans" w:hAnsi="Open Sans" w:cs="Open Sans"/>
                <w:color w:val="000000"/>
                <w:sz w:val="18"/>
                <w:szCs w:val="18"/>
              </w:rPr>
            </w:pPr>
            <w:r w:rsidRPr="004836E0">
              <w:rPr>
                <w:rFonts w:ascii="Open Sans" w:hAnsi="Open Sans" w:cs="Open Sans"/>
                <w:sz w:val="18"/>
                <w:szCs w:val="18"/>
              </w:rPr>
              <w:t>Median cost (£)</w:t>
            </w:r>
          </w:p>
        </w:tc>
        <w:tc>
          <w:tcPr>
            <w:tcW w:w="3118" w:type="dxa"/>
            <w:gridSpan w:val="2"/>
            <w:tcBorders>
              <w:top w:val="single" w:sz="18" w:space="0" w:color="auto"/>
              <w:left w:val="single" w:sz="18" w:space="0" w:color="auto"/>
              <w:right w:val="single" w:sz="18" w:space="0" w:color="auto"/>
            </w:tcBorders>
            <w:vAlign w:val="center"/>
          </w:tcPr>
          <w:p w14:paraId="120395C4" w14:textId="6E9AC5B6" w:rsidR="006B78FB" w:rsidRPr="004836E0" w:rsidRDefault="00052441" w:rsidP="006B78FB">
            <w:pPr>
              <w:jc w:val="center"/>
              <w:rPr>
                <w:rFonts w:ascii="Open Sans" w:hAnsi="Open Sans" w:cs="Open Sans"/>
                <w:color w:val="000000"/>
                <w:sz w:val="18"/>
                <w:szCs w:val="18"/>
              </w:rPr>
            </w:pPr>
            <w:r>
              <w:rPr>
                <w:rFonts w:ascii="Open Sans" w:hAnsi="Open Sans" w:cs="Open Sans"/>
                <w:sz w:val="18"/>
                <w:szCs w:val="18"/>
              </w:rPr>
              <w:t>£</w:t>
            </w:r>
            <w:r w:rsidR="006B78FB" w:rsidRPr="004836E0">
              <w:rPr>
                <w:rFonts w:ascii="Open Sans" w:hAnsi="Open Sans" w:cs="Open Sans"/>
                <w:sz w:val="18"/>
                <w:szCs w:val="18"/>
              </w:rPr>
              <w:t>4000 flat grant</w:t>
            </w:r>
          </w:p>
        </w:tc>
        <w:tc>
          <w:tcPr>
            <w:tcW w:w="3402" w:type="dxa"/>
            <w:gridSpan w:val="2"/>
            <w:tcBorders>
              <w:top w:val="single" w:sz="18" w:space="0" w:color="auto"/>
              <w:left w:val="single" w:sz="18" w:space="0" w:color="auto"/>
              <w:right w:val="single" w:sz="18" w:space="0" w:color="auto"/>
            </w:tcBorders>
            <w:vAlign w:val="center"/>
          </w:tcPr>
          <w:p w14:paraId="2C4B7320" w14:textId="6C238FC5" w:rsidR="006B78FB" w:rsidRPr="004836E0" w:rsidRDefault="006B78FB" w:rsidP="006B78FB">
            <w:pPr>
              <w:jc w:val="center"/>
              <w:rPr>
                <w:rFonts w:ascii="Open Sans" w:hAnsi="Open Sans" w:cs="Open Sans"/>
                <w:color w:val="000000"/>
                <w:sz w:val="18"/>
                <w:szCs w:val="18"/>
              </w:rPr>
            </w:pPr>
            <w:r w:rsidRPr="004836E0">
              <w:rPr>
                <w:rFonts w:ascii="Open Sans" w:hAnsi="Open Sans" w:cs="Open Sans"/>
                <w:sz w:val="18"/>
                <w:szCs w:val="18"/>
              </w:rPr>
              <w:t xml:space="preserve">Flexible </w:t>
            </w:r>
            <w:r w:rsidR="00D11867">
              <w:rPr>
                <w:rFonts w:ascii="Open Sans" w:hAnsi="Open Sans" w:cs="Open Sans"/>
                <w:sz w:val="18"/>
                <w:szCs w:val="18"/>
              </w:rPr>
              <w:t>£</w:t>
            </w:r>
            <w:r w:rsidRPr="004836E0">
              <w:rPr>
                <w:rFonts w:ascii="Open Sans" w:hAnsi="Open Sans" w:cs="Open Sans"/>
                <w:sz w:val="18"/>
                <w:szCs w:val="18"/>
              </w:rPr>
              <w:t>280/kW grant, with minimum grant of 4000</w:t>
            </w:r>
          </w:p>
        </w:tc>
      </w:tr>
      <w:tr w:rsidR="006B78FB" w14:paraId="52A7C390" w14:textId="77777777" w:rsidTr="006B78FB">
        <w:tc>
          <w:tcPr>
            <w:tcW w:w="1502" w:type="dxa"/>
            <w:vAlign w:val="center"/>
          </w:tcPr>
          <w:p w14:paraId="169AD0E2" w14:textId="77777777" w:rsidR="006B78FB" w:rsidRPr="004836E0" w:rsidRDefault="006B78FB" w:rsidP="006B78FB">
            <w:pPr>
              <w:jc w:val="center"/>
              <w:rPr>
                <w:rFonts w:ascii="Open Sans" w:hAnsi="Open Sans" w:cs="Open Sans"/>
                <w:sz w:val="18"/>
                <w:szCs w:val="18"/>
              </w:rPr>
            </w:pPr>
          </w:p>
        </w:tc>
        <w:tc>
          <w:tcPr>
            <w:tcW w:w="1187" w:type="dxa"/>
            <w:tcBorders>
              <w:right w:val="single" w:sz="18" w:space="0" w:color="auto"/>
            </w:tcBorders>
            <w:vAlign w:val="center"/>
          </w:tcPr>
          <w:p w14:paraId="4C4C26BF" w14:textId="77777777" w:rsidR="006B78FB" w:rsidRPr="004836E0" w:rsidRDefault="006B78FB" w:rsidP="006B78FB">
            <w:pPr>
              <w:jc w:val="center"/>
              <w:rPr>
                <w:rFonts w:ascii="Open Sans" w:hAnsi="Open Sans" w:cs="Open Sans"/>
                <w:color w:val="000000"/>
                <w:sz w:val="18"/>
                <w:szCs w:val="18"/>
              </w:rPr>
            </w:pPr>
          </w:p>
        </w:tc>
        <w:tc>
          <w:tcPr>
            <w:tcW w:w="1417" w:type="dxa"/>
            <w:tcBorders>
              <w:left w:val="single" w:sz="18" w:space="0" w:color="auto"/>
            </w:tcBorders>
            <w:vAlign w:val="center"/>
          </w:tcPr>
          <w:p w14:paraId="20775384" w14:textId="6B6A4280" w:rsidR="006B78FB" w:rsidRPr="004836E0" w:rsidRDefault="006B78FB" w:rsidP="006B78FB">
            <w:pPr>
              <w:jc w:val="center"/>
              <w:rPr>
                <w:rFonts w:ascii="Open Sans" w:hAnsi="Open Sans" w:cs="Open Sans"/>
                <w:color w:val="000000"/>
                <w:sz w:val="18"/>
                <w:szCs w:val="18"/>
              </w:rPr>
            </w:pPr>
            <w:r w:rsidRPr="004836E0">
              <w:rPr>
                <w:rFonts w:ascii="Open Sans" w:hAnsi="Open Sans" w:cs="Open Sans"/>
                <w:sz w:val="18"/>
                <w:szCs w:val="18"/>
              </w:rPr>
              <w:t>Grant (£)</w:t>
            </w:r>
          </w:p>
        </w:tc>
        <w:tc>
          <w:tcPr>
            <w:tcW w:w="1701" w:type="dxa"/>
            <w:tcBorders>
              <w:right w:val="single" w:sz="18" w:space="0" w:color="auto"/>
            </w:tcBorders>
            <w:vAlign w:val="center"/>
          </w:tcPr>
          <w:p w14:paraId="1CCBB889" w14:textId="7F8A86DF" w:rsidR="006B78FB" w:rsidRPr="004836E0" w:rsidRDefault="006B78FB" w:rsidP="006B78FB">
            <w:pPr>
              <w:jc w:val="center"/>
              <w:rPr>
                <w:rFonts w:ascii="Open Sans" w:hAnsi="Open Sans" w:cs="Open Sans"/>
                <w:color w:val="000000"/>
                <w:sz w:val="18"/>
                <w:szCs w:val="18"/>
              </w:rPr>
            </w:pPr>
            <w:r w:rsidRPr="004836E0">
              <w:rPr>
                <w:rFonts w:ascii="Open Sans" w:hAnsi="Open Sans" w:cs="Open Sans"/>
                <w:sz w:val="18"/>
                <w:szCs w:val="18"/>
              </w:rPr>
              <w:t>Cost left to consumer</w:t>
            </w:r>
            <w:r>
              <w:rPr>
                <w:rFonts w:ascii="Open Sans" w:hAnsi="Open Sans" w:cs="Open Sans"/>
                <w:sz w:val="18"/>
                <w:szCs w:val="18"/>
              </w:rPr>
              <w:t xml:space="preserve"> (£)</w:t>
            </w:r>
          </w:p>
        </w:tc>
        <w:tc>
          <w:tcPr>
            <w:tcW w:w="1706" w:type="dxa"/>
            <w:tcBorders>
              <w:left w:val="single" w:sz="18" w:space="0" w:color="auto"/>
            </w:tcBorders>
            <w:vAlign w:val="center"/>
          </w:tcPr>
          <w:p w14:paraId="4E73217B" w14:textId="314AF236" w:rsidR="006B78FB" w:rsidRPr="004836E0" w:rsidRDefault="006B78FB" w:rsidP="006B78FB">
            <w:pPr>
              <w:jc w:val="center"/>
              <w:rPr>
                <w:rFonts w:ascii="Open Sans" w:hAnsi="Open Sans" w:cs="Open Sans"/>
                <w:color w:val="000000"/>
                <w:sz w:val="18"/>
                <w:szCs w:val="18"/>
              </w:rPr>
            </w:pPr>
            <w:r w:rsidRPr="004836E0">
              <w:rPr>
                <w:rFonts w:ascii="Open Sans" w:hAnsi="Open Sans" w:cs="Open Sans"/>
                <w:sz w:val="18"/>
                <w:szCs w:val="18"/>
              </w:rPr>
              <w:t>Grant (£)</w:t>
            </w:r>
          </w:p>
        </w:tc>
        <w:tc>
          <w:tcPr>
            <w:tcW w:w="1696" w:type="dxa"/>
            <w:tcBorders>
              <w:right w:val="single" w:sz="18" w:space="0" w:color="auto"/>
            </w:tcBorders>
            <w:vAlign w:val="center"/>
          </w:tcPr>
          <w:p w14:paraId="31D850FD" w14:textId="233AD012" w:rsidR="006B78FB" w:rsidRPr="004836E0" w:rsidRDefault="006B78FB" w:rsidP="006B78FB">
            <w:pPr>
              <w:jc w:val="center"/>
              <w:rPr>
                <w:rFonts w:ascii="Open Sans" w:hAnsi="Open Sans" w:cs="Open Sans"/>
                <w:color w:val="000000"/>
                <w:sz w:val="18"/>
                <w:szCs w:val="18"/>
              </w:rPr>
            </w:pPr>
            <w:r w:rsidRPr="004836E0">
              <w:rPr>
                <w:rFonts w:ascii="Open Sans" w:hAnsi="Open Sans" w:cs="Open Sans"/>
                <w:sz w:val="18"/>
                <w:szCs w:val="18"/>
              </w:rPr>
              <w:t>Cost left to consumer</w:t>
            </w:r>
            <w:r>
              <w:rPr>
                <w:rFonts w:ascii="Open Sans" w:hAnsi="Open Sans" w:cs="Open Sans"/>
                <w:sz w:val="18"/>
                <w:szCs w:val="18"/>
              </w:rPr>
              <w:t xml:space="preserve"> (£)</w:t>
            </w:r>
          </w:p>
        </w:tc>
      </w:tr>
      <w:tr w:rsidR="004836E0" w14:paraId="1029EDF6" w14:textId="77777777" w:rsidTr="006B78FB">
        <w:tc>
          <w:tcPr>
            <w:tcW w:w="1502" w:type="dxa"/>
            <w:vAlign w:val="center"/>
          </w:tcPr>
          <w:p w14:paraId="769E823E" w14:textId="3B42640C" w:rsidR="004836E0" w:rsidRDefault="004836E0" w:rsidP="006B78FB">
            <w:pPr>
              <w:jc w:val="center"/>
              <w:rPr>
                <w:rFonts w:ascii="Open Sans" w:hAnsi="Open Sans" w:cs="Open Sans"/>
                <w:szCs w:val="22"/>
              </w:rPr>
            </w:pPr>
            <w:r w:rsidRPr="004836E0">
              <w:rPr>
                <w:rFonts w:ascii="Open Sans" w:hAnsi="Open Sans" w:cs="Open Sans"/>
                <w:sz w:val="18"/>
                <w:szCs w:val="18"/>
              </w:rPr>
              <w:t>5</w:t>
            </w:r>
          </w:p>
        </w:tc>
        <w:tc>
          <w:tcPr>
            <w:tcW w:w="1187" w:type="dxa"/>
            <w:tcBorders>
              <w:right w:val="single" w:sz="18" w:space="0" w:color="auto"/>
            </w:tcBorders>
            <w:vAlign w:val="center"/>
          </w:tcPr>
          <w:p w14:paraId="39F771FF" w14:textId="3D697E71" w:rsidR="004836E0" w:rsidRDefault="006B78FB" w:rsidP="006B78FB">
            <w:pPr>
              <w:jc w:val="center"/>
              <w:rPr>
                <w:rFonts w:ascii="Open Sans" w:hAnsi="Open Sans" w:cs="Open Sans"/>
                <w:szCs w:val="22"/>
              </w:rPr>
            </w:pPr>
            <w:r>
              <w:rPr>
                <w:rFonts w:ascii="Open Sans" w:hAnsi="Open Sans" w:cs="Open Sans"/>
                <w:szCs w:val="22"/>
              </w:rPr>
              <w:t>#</w:t>
            </w:r>
          </w:p>
        </w:tc>
        <w:tc>
          <w:tcPr>
            <w:tcW w:w="1417" w:type="dxa"/>
            <w:tcBorders>
              <w:left w:val="single" w:sz="18" w:space="0" w:color="auto"/>
            </w:tcBorders>
            <w:vAlign w:val="center"/>
          </w:tcPr>
          <w:p w14:paraId="64DD05A6" w14:textId="607909B8"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4,000.00</w:t>
            </w:r>
          </w:p>
        </w:tc>
        <w:tc>
          <w:tcPr>
            <w:tcW w:w="1701" w:type="dxa"/>
            <w:tcBorders>
              <w:right w:val="single" w:sz="18" w:space="0" w:color="auto"/>
            </w:tcBorders>
            <w:vAlign w:val="center"/>
          </w:tcPr>
          <w:p w14:paraId="0E2E8C1F" w14:textId="7BB5DC11" w:rsidR="004836E0" w:rsidRDefault="006B78FB" w:rsidP="006B78FB">
            <w:pPr>
              <w:jc w:val="center"/>
              <w:rPr>
                <w:rFonts w:ascii="Open Sans" w:hAnsi="Open Sans" w:cs="Open Sans"/>
                <w:szCs w:val="22"/>
              </w:rPr>
            </w:pPr>
            <w:r>
              <w:rPr>
                <w:rFonts w:ascii="Open Sans" w:hAnsi="Open Sans" w:cs="Open Sans"/>
                <w:szCs w:val="22"/>
              </w:rPr>
              <w:t>#</w:t>
            </w:r>
          </w:p>
        </w:tc>
        <w:tc>
          <w:tcPr>
            <w:tcW w:w="1706" w:type="dxa"/>
            <w:tcBorders>
              <w:left w:val="single" w:sz="18" w:space="0" w:color="auto"/>
            </w:tcBorders>
            <w:vAlign w:val="center"/>
          </w:tcPr>
          <w:p w14:paraId="2AC23A6F" w14:textId="4C29459F"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4,000.00</w:t>
            </w:r>
          </w:p>
        </w:tc>
        <w:tc>
          <w:tcPr>
            <w:tcW w:w="1696" w:type="dxa"/>
            <w:tcBorders>
              <w:right w:val="single" w:sz="18" w:space="0" w:color="auto"/>
            </w:tcBorders>
            <w:vAlign w:val="center"/>
          </w:tcPr>
          <w:p w14:paraId="78487E80" w14:textId="4762F720" w:rsidR="004836E0" w:rsidRDefault="006B78FB" w:rsidP="006B78FB">
            <w:pPr>
              <w:jc w:val="center"/>
              <w:rPr>
                <w:rFonts w:ascii="Open Sans" w:hAnsi="Open Sans" w:cs="Open Sans"/>
                <w:szCs w:val="22"/>
              </w:rPr>
            </w:pPr>
            <w:r>
              <w:rPr>
                <w:rFonts w:ascii="Open Sans" w:hAnsi="Open Sans" w:cs="Open Sans"/>
                <w:szCs w:val="22"/>
              </w:rPr>
              <w:t>#</w:t>
            </w:r>
          </w:p>
        </w:tc>
      </w:tr>
      <w:tr w:rsidR="004836E0" w14:paraId="6576C13F" w14:textId="77777777" w:rsidTr="006B78FB">
        <w:tc>
          <w:tcPr>
            <w:tcW w:w="1502" w:type="dxa"/>
            <w:vAlign w:val="center"/>
          </w:tcPr>
          <w:p w14:paraId="339ABAC7" w14:textId="7D28CA28" w:rsidR="004836E0" w:rsidRDefault="004836E0" w:rsidP="006B78FB">
            <w:pPr>
              <w:jc w:val="center"/>
              <w:rPr>
                <w:rFonts w:ascii="Open Sans" w:hAnsi="Open Sans" w:cs="Open Sans"/>
                <w:szCs w:val="22"/>
              </w:rPr>
            </w:pPr>
            <w:r w:rsidRPr="004836E0">
              <w:rPr>
                <w:rFonts w:ascii="Open Sans" w:hAnsi="Open Sans" w:cs="Open Sans"/>
                <w:sz w:val="18"/>
                <w:szCs w:val="18"/>
              </w:rPr>
              <w:t>10</w:t>
            </w:r>
          </w:p>
        </w:tc>
        <w:tc>
          <w:tcPr>
            <w:tcW w:w="1187" w:type="dxa"/>
            <w:tcBorders>
              <w:right w:val="single" w:sz="18" w:space="0" w:color="auto"/>
            </w:tcBorders>
            <w:vAlign w:val="center"/>
          </w:tcPr>
          <w:p w14:paraId="51FC37EA" w14:textId="2B798938"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13,000.00</w:t>
            </w:r>
          </w:p>
        </w:tc>
        <w:tc>
          <w:tcPr>
            <w:tcW w:w="1417" w:type="dxa"/>
            <w:tcBorders>
              <w:left w:val="single" w:sz="18" w:space="0" w:color="auto"/>
            </w:tcBorders>
            <w:vAlign w:val="center"/>
          </w:tcPr>
          <w:p w14:paraId="53F9DAC2" w14:textId="29329A8C"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4,000.00</w:t>
            </w:r>
          </w:p>
        </w:tc>
        <w:tc>
          <w:tcPr>
            <w:tcW w:w="1701" w:type="dxa"/>
            <w:tcBorders>
              <w:right w:val="single" w:sz="18" w:space="0" w:color="auto"/>
            </w:tcBorders>
            <w:vAlign w:val="center"/>
          </w:tcPr>
          <w:p w14:paraId="334A1AA5" w14:textId="11D8C66F" w:rsidR="004836E0" w:rsidRPr="006B78FB" w:rsidRDefault="004836E0" w:rsidP="006B78FB">
            <w:pPr>
              <w:jc w:val="center"/>
              <w:rPr>
                <w:rFonts w:ascii="Open Sans" w:hAnsi="Open Sans" w:cs="Open Sans"/>
                <w:color w:val="06926B"/>
                <w:szCs w:val="22"/>
              </w:rPr>
            </w:pPr>
            <w:r w:rsidRPr="006B78FB">
              <w:rPr>
                <w:rFonts w:ascii="Open Sans" w:hAnsi="Open Sans" w:cs="Open Sans"/>
                <w:color w:val="06926B"/>
                <w:sz w:val="18"/>
                <w:szCs w:val="18"/>
              </w:rPr>
              <w:t>9,000.00</w:t>
            </w:r>
          </w:p>
        </w:tc>
        <w:tc>
          <w:tcPr>
            <w:tcW w:w="1706" w:type="dxa"/>
            <w:tcBorders>
              <w:left w:val="single" w:sz="18" w:space="0" w:color="auto"/>
            </w:tcBorders>
            <w:vAlign w:val="center"/>
          </w:tcPr>
          <w:p w14:paraId="3CED016F" w14:textId="1693A3FE"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4,000.00</w:t>
            </w:r>
          </w:p>
        </w:tc>
        <w:tc>
          <w:tcPr>
            <w:tcW w:w="1696" w:type="dxa"/>
            <w:tcBorders>
              <w:right w:val="single" w:sz="18" w:space="0" w:color="auto"/>
            </w:tcBorders>
            <w:vAlign w:val="center"/>
          </w:tcPr>
          <w:p w14:paraId="6B5CE2D4" w14:textId="5DD3D224" w:rsidR="004836E0" w:rsidRPr="006B78FB" w:rsidRDefault="004836E0" w:rsidP="006B78FB">
            <w:pPr>
              <w:jc w:val="center"/>
              <w:rPr>
                <w:rFonts w:ascii="Open Sans" w:hAnsi="Open Sans" w:cs="Open Sans"/>
                <w:color w:val="06926B"/>
                <w:szCs w:val="22"/>
              </w:rPr>
            </w:pPr>
            <w:r w:rsidRPr="006B78FB">
              <w:rPr>
                <w:rFonts w:ascii="Open Sans" w:hAnsi="Open Sans" w:cs="Open Sans"/>
                <w:color w:val="06926B"/>
                <w:sz w:val="18"/>
                <w:szCs w:val="18"/>
              </w:rPr>
              <w:t>9,000.00</w:t>
            </w:r>
          </w:p>
        </w:tc>
      </w:tr>
      <w:tr w:rsidR="004836E0" w14:paraId="22295411" w14:textId="77777777" w:rsidTr="006B78FB">
        <w:tc>
          <w:tcPr>
            <w:tcW w:w="1502" w:type="dxa"/>
            <w:vAlign w:val="center"/>
          </w:tcPr>
          <w:p w14:paraId="17E06CD3" w14:textId="6B430125" w:rsidR="004836E0" w:rsidRDefault="004836E0" w:rsidP="006B78FB">
            <w:pPr>
              <w:jc w:val="center"/>
              <w:rPr>
                <w:rFonts w:ascii="Open Sans" w:hAnsi="Open Sans" w:cs="Open Sans"/>
                <w:szCs w:val="22"/>
              </w:rPr>
            </w:pPr>
            <w:r w:rsidRPr="004836E0">
              <w:rPr>
                <w:rFonts w:ascii="Open Sans" w:hAnsi="Open Sans" w:cs="Open Sans"/>
                <w:sz w:val="18"/>
                <w:szCs w:val="18"/>
              </w:rPr>
              <w:t>15</w:t>
            </w:r>
          </w:p>
        </w:tc>
        <w:tc>
          <w:tcPr>
            <w:tcW w:w="1187" w:type="dxa"/>
            <w:tcBorders>
              <w:right w:val="single" w:sz="18" w:space="0" w:color="auto"/>
            </w:tcBorders>
            <w:vAlign w:val="center"/>
          </w:tcPr>
          <w:p w14:paraId="17BB9373" w14:textId="651E85D9"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11,760.00</w:t>
            </w:r>
          </w:p>
        </w:tc>
        <w:tc>
          <w:tcPr>
            <w:tcW w:w="1417" w:type="dxa"/>
            <w:tcBorders>
              <w:left w:val="single" w:sz="18" w:space="0" w:color="auto"/>
            </w:tcBorders>
            <w:vAlign w:val="center"/>
          </w:tcPr>
          <w:p w14:paraId="1214707B" w14:textId="5F5E23EA"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4,000.00</w:t>
            </w:r>
          </w:p>
        </w:tc>
        <w:tc>
          <w:tcPr>
            <w:tcW w:w="1701" w:type="dxa"/>
            <w:tcBorders>
              <w:right w:val="single" w:sz="18" w:space="0" w:color="auto"/>
            </w:tcBorders>
            <w:vAlign w:val="center"/>
          </w:tcPr>
          <w:p w14:paraId="352BE006" w14:textId="15E99551" w:rsidR="004836E0" w:rsidRPr="006B78FB" w:rsidRDefault="004836E0" w:rsidP="006B78FB">
            <w:pPr>
              <w:jc w:val="center"/>
              <w:rPr>
                <w:rFonts w:ascii="Open Sans" w:hAnsi="Open Sans" w:cs="Open Sans"/>
                <w:color w:val="06926B"/>
                <w:szCs w:val="22"/>
              </w:rPr>
            </w:pPr>
            <w:r w:rsidRPr="006B78FB">
              <w:rPr>
                <w:rFonts w:ascii="Open Sans" w:hAnsi="Open Sans" w:cs="Open Sans"/>
                <w:color w:val="06926B"/>
                <w:sz w:val="18"/>
                <w:szCs w:val="18"/>
              </w:rPr>
              <w:t>7,760.00</w:t>
            </w:r>
          </w:p>
        </w:tc>
        <w:tc>
          <w:tcPr>
            <w:tcW w:w="1706" w:type="dxa"/>
            <w:tcBorders>
              <w:left w:val="single" w:sz="18" w:space="0" w:color="auto"/>
            </w:tcBorders>
            <w:vAlign w:val="center"/>
          </w:tcPr>
          <w:p w14:paraId="6F3E08A3" w14:textId="783489FF"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4,200.00</w:t>
            </w:r>
          </w:p>
        </w:tc>
        <w:tc>
          <w:tcPr>
            <w:tcW w:w="1696" w:type="dxa"/>
            <w:tcBorders>
              <w:right w:val="single" w:sz="18" w:space="0" w:color="auto"/>
            </w:tcBorders>
            <w:vAlign w:val="center"/>
          </w:tcPr>
          <w:p w14:paraId="39DE59D7" w14:textId="77B77E48" w:rsidR="004836E0" w:rsidRPr="006B78FB" w:rsidRDefault="004836E0" w:rsidP="006B78FB">
            <w:pPr>
              <w:jc w:val="center"/>
              <w:rPr>
                <w:rFonts w:ascii="Open Sans" w:hAnsi="Open Sans" w:cs="Open Sans"/>
                <w:color w:val="06926B"/>
                <w:szCs w:val="22"/>
              </w:rPr>
            </w:pPr>
            <w:r w:rsidRPr="006B78FB">
              <w:rPr>
                <w:rFonts w:ascii="Open Sans" w:hAnsi="Open Sans" w:cs="Open Sans"/>
                <w:color w:val="06926B"/>
                <w:sz w:val="18"/>
                <w:szCs w:val="18"/>
              </w:rPr>
              <w:t>7,560.00</w:t>
            </w:r>
          </w:p>
        </w:tc>
      </w:tr>
      <w:tr w:rsidR="004836E0" w14:paraId="45AC14A3" w14:textId="77777777" w:rsidTr="006B78FB">
        <w:tc>
          <w:tcPr>
            <w:tcW w:w="1502" w:type="dxa"/>
            <w:vAlign w:val="center"/>
          </w:tcPr>
          <w:p w14:paraId="268AC42E" w14:textId="376E27B8" w:rsidR="004836E0" w:rsidRDefault="004836E0" w:rsidP="006B78FB">
            <w:pPr>
              <w:jc w:val="center"/>
              <w:rPr>
                <w:rFonts w:ascii="Open Sans" w:hAnsi="Open Sans" w:cs="Open Sans"/>
                <w:szCs w:val="22"/>
              </w:rPr>
            </w:pPr>
            <w:r w:rsidRPr="004836E0">
              <w:rPr>
                <w:rFonts w:ascii="Open Sans" w:hAnsi="Open Sans" w:cs="Open Sans"/>
                <w:sz w:val="18"/>
                <w:szCs w:val="18"/>
              </w:rPr>
              <w:t>20</w:t>
            </w:r>
          </w:p>
        </w:tc>
        <w:tc>
          <w:tcPr>
            <w:tcW w:w="1187" w:type="dxa"/>
            <w:tcBorders>
              <w:right w:val="single" w:sz="18" w:space="0" w:color="auto"/>
            </w:tcBorders>
            <w:vAlign w:val="center"/>
          </w:tcPr>
          <w:p w14:paraId="3494CE70" w14:textId="71FE602C"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13,000.00</w:t>
            </w:r>
          </w:p>
        </w:tc>
        <w:tc>
          <w:tcPr>
            <w:tcW w:w="1417" w:type="dxa"/>
            <w:tcBorders>
              <w:left w:val="single" w:sz="18" w:space="0" w:color="auto"/>
            </w:tcBorders>
            <w:vAlign w:val="center"/>
          </w:tcPr>
          <w:p w14:paraId="4BC05B3B" w14:textId="4478DC7F"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4,000.00</w:t>
            </w:r>
          </w:p>
        </w:tc>
        <w:tc>
          <w:tcPr>
            <w:tcW w:w="1701" w:type="dxa"/>
            <w:tcBorders>
              <w:right w:val="single" w:sz="18" w:space="0" w:color="auto"/>
            </w:tcBorders>
            <w:vAlign w:val="center"/>
          </w:tcPr>
          <w:p w14:paraId="2D78B748" w14:textId="52416435" w:rsidR="004836E0" w:rsidRPr="006B78FB" w:rsidRDefault="004836E0" w:rsidP="006B78FB">
            <w:pPr>
              <w:jc w:val="center"/>
              <w:rPr>
                <w:rFonts w:ascii="Open Sans" w:hAnsi="Open Sans" w:cs="Open Sans"/>
                <w:color w:val="06926B"/>
                <w:szCs w:val="22"/>
              </w:rPr>
            </w:pPr>
            <w:r w:rsidRPr="006B78FB">
              <w:rPr>
                <w:rFonts w:ascii="Open Sans" w:hAnsi="Open Sans" w:cs="Open Sans"/>
                <w:color w:val="06926B"/>
                <w:sz w:val="18"/>
                <w:szCs w:val="18"/>
              </w:rPr>
              <w:t>9,000.00</w:t>
            </w:r>
          </w:p>
        </w:tc>
        <w:tc>
          <w:tcPr>
            <w:tcW w:w="1706" w:type="dxa"/>
            <w:tcBorders>
              <w:left w:val="single" w:sz="18" w:space="0" w:color="auto"/>
            </w:tcBorders>
            <w:vAlign w:val="center"/>
          </w:tcPr>
          <w:p w14:paraId="0B1C1EA0" w14:textId="0155DD1A"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5,600.00</w:t>
            </w:r>
          </w:p>
        </w:tc>
        <w:tc>
          <w:tcPr>
            <w:tcW w:w="1696" w:type="dxa"/>
            <w:tcBorders>
              <w:right w:val="single" w:sz="18" w:space="0" w:color="auto"/>
            </w:tcBorders>
            <w:vAlign w:val="center"/>
          </w:tcPr>
          <w:p w14:paraId="50CF8EF4" w14:textId="3736109F" w:rsidR="004836E0" w:rsidRPr="006B78FB" w:rsidRDefault="004836E0" w:rsidP="006B78FB">
            <w:pPr>
              <w:jc w:val="center"/>
              <w:rPr>
                <w:rFonts w:ascii="Open Sans" w:hAnsi="Open Sans" w:cs="Open Sans"/>
                <w:color w:val="06926B"/>
                <w:szCs w:val="22"/>
              </w:rPr>
            </w:pPr>
            <w:r w:rsidRPr="006B78FB">
              <w:rPr>
                <w:rFonts w:ascii="Open Sans" w:hAnsi="Open Sans" w:cs="Open Sans"/>
                <w:color w:val="06926B"/>
                <w:sz w:val="18"/>
                <w:szCs w:val="18"/>
              </w:rPr>
              <w:t>7,400.00</w:t>
            </w:r>
          </w:p>
        </w:tc>
      </w:tr>
      <w:tr w:rsidR="004836E0" w14:paraId="026CA68E" w14:textId="77777777" w:rsidTr="006B78FB">
        <w:tc>
          <w:tcPr>
            <w:tcW w:w="1502" w:type="dxa"/>
            <w:vAlign w:val="center"/>
          </w:tcPr>
          <w:p w14:paraId="75A07D90" w14:textId="0B96BD30" w:rsidR="004836E0" w:rsidRDefault="004836E0" w:rsidP="006B78FB">
            <w:pPr>
              <w:jc w:val="center"/>
              <w:rPr>
                <w:rFonts w:ascii="Open Sans" w:hAnsi="Open Sans" w:cs="Open Sans"/>
                <w:szCs w:val="22"/>
              </w:rPr>
            </w:pPr>
            <w:r w:rsidRPr="004836E0">
              <w:rPr>
                <w:rFonts w:ascii="Open Sans" w:hAnsi="Open Sans" w:cs="Open Sans"/>
                <w:sz w:val="18"/>
                <w:szCs w:val="18"/>
              </w:rPr>
              <w:t>25</w:t>
            </w:r>
          </w:p>
        </w:tc>
        <w:tc>
          <w:tcPr>
            <w:tcW w:w="1187" w:type="dxa"/>
            <w:tcBorders>
              <w:right w:val="single" w:sz="18" w:space="0" w:color="auto"/>
            </w:tcBorders>
            <w:vAlign w:val="center"/>
          </w:tcPr>
          <w:p w14:paraId="28FE010A" w14:textId="18C118A7"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14,750.00</w:t>
            </w:r>
          </w:p>
        </w:tc>
        <w:tc>
          <w:tcPr>
            <w:tcW w:w="1417" w:type="dxa"/>
            <w:tcBorders>
              <w:left w:val="single" w:sz="18" w:space="0" w:color="auto"/>
            </w:tcBorders>
            <w:vAlign w:val="center"/>
          </w:tcPr>
          <w:p w14:paraId="337A9CB3" w14:textId="77242DB5"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4,000.00</w:t>
            </w:r>
          </w:p>
        </w:tc>
        <w:tc>
          <w:tcPr>
            <w:tcW w:w="1701" w:type="dxa"/>
            <w:tcBorders>
              <w:right w:val="single" w:sz="18" w:space="0" w:color="auto"/>
            </w:tcBorders>
            <w:vAlign w:val="center"/>
          </w:tcPr>
          <w:p w14:paraId="01DA3E1F" w14:textId="3DEE6422"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10,750.00</w:t>
            </w:r>
          </w:p>
        </w:tc>
        <w:tc>
          <w:tcPr>
            <w:tcW w:w="1706" w:type="dxa"/>
            <w:tcBorders>
              <w:left w:val="single" w:sz="18" w:space="0" w:color="auto"/>
            </w:tcBorders>
            <w:vAlign w:val="center"/>
          </w:tcPr>
          <w:p w14:paraId="2C8DDC7E" w14:textId="54AB4CCF"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7,000.00</w:t>
            </w:r>
          </w:p>
        </w:tc>
        <w:tc>
          <w:tcPr>
            <w:tcW w:w="1696" w:type="dxa"/>
            <w:tcBorders>
              <w:right w:val="single" w:sz="18" w:space="0" w:color="auto"/>
            </w:tcBorders>
            <w:vAlign w:val="center"/>
          </w:tcPr>
          <w:p w14:paraId="59508E37" w14:textId="26CF10F9" w:rsidR="004836E0" w:rsidRPr="006B78FB" w:rsidRDefault="004836E0" w:rsidP="006B78FB">
            <w:pPr>
              <w:jc w:val="center"/>
              <w:rPr>
                <w:rFonts w:ascii="Open Sans" w:hAnsi="Open Sans" w:cs="Open Sans"/>
                <w:color w:val="06926B"/>
                <w:szCs w:val="22"/>
              </w:rPr>
            </w:pPr>
            <w:r w:rsidRPr="006B78FB">
              <w:rPr>
                <w:rFonts w:ascii="Open Sans" w:hAnsi="Open Sans" w:cs="Open Sans"/>
                <w:color w:val="06926B"/>
                <w:sz w:val="18"/>
                <w:szCs w:val="18"/>
              </w:rPr>
              <w:t>7,750.00</w:t>
            </w:r>
          </w:p>
        </w:tc>
      </w:tr>
      <w:tr w:rsidR="004836E0" w14:paraId="2A089EC8" w14:textId="77777777" w:rsidTr="006B78FB">
        <w:tc>
          <w:tcPr>
            <w:tcW w:w="1502" w:type="dxa"/>
            <w:vAlign w:val="center"/>
          </w:tcPr>
          <w:p w14:paraId="1D3E4F82" w14:textId="362A02C1" w:rsidR="004836E0" w:rsidRDefault="004836E0" w:rsidP="006B78FB">
            <w:pPr>
              <w:jc w:val="center"/>
              <w:rPr>
                <w:rFonts w:ascii="Open Sans" w:hAnsi="Open Sans" w:cs="Open Sans"/>
                <w:szCs w:val="22"/>
              </w:rPr>
            </w:pPr>
            <w:r w:rsidRPr="004836E0">
              <w:rPr>
                <w:rFonts w:ascii="Open Sans" w:hAnsi="Open Sans" w:cs="Open Sans"/>
                <w:sz w:val="18"/>
                <w:szCs w:val="18"/>
              </w:rPr>
              <w:t>30</w:t>
            </w:r>
          </w:p>
        </w:tc>
        <w:tc>
          <w:tcPr>
            <w:tcW w:w="1187" w:type="dxa"/>
            <w:tcBorders>
              <w:right w:val="single" w:sz="18" w:space="0" w:color="auto"/>
            </w:tcBorders>
            <w:vAlign w:val="center"/>
          </w:tcPr>
          <w:p w14:paraId="7A7CF15D" w14:textId="340E1D02"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16,500.00</w:t>
            </w:r>
          </w:p>
        </w:tc>
        <w:tc>
          <w:tcPr>
            <w:tcW w:w="1417" w:type="dxa"/>
            <w:tcBorders>
              <w:left w:val="single" w:sz="18" w:space="0" w:color="auto"/>
            </w:tcBorders>
            <w:vAlign w:val="center"/>
          </w:tcPr>
          <w:p w14:paraId="2644640A" w14:textId="50449CC3"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4,000.00</w:t>
            </w:r>
          </w:p>
        </w:tc>
        <w:tc>
          <w:tcPr>
            <w:tcW w:w="1701" w:type="dxa"/>
            <w:tcBorders>
              <w:right w:val="single" w:sz="18" w:space="0" w:color="auto"/>
            </w:tcBorders>
            <w:vAlign w:val="center"/>
          </w:tcPr>
          <w:p w14:paraId="28BE92CD" w14:textId="483A357D"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12,500.00</w:t>
            </w:r>
          </w:p>
        </w:tc>
        <w:tc>
          <w:tcPr>
            <w:tcW w:w="1706" w:type="dxa"/>
            <w:tcBorders>
              <w:left w:val="single" w:sz="18" w:space="0" w:color="auto"/>
            </w:tcBorders>
            <w:vAlign w:val="center"/>
          </w:tcPr>
          <w:p w14:paraId="32127AAC" w14:textId="5E57345F"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8,400.00</w:t>
            </w:r>
          </w:p>
        </w:tc>
        <w:tc>
          <w:tcPr>
            <w:tcW w:w="1696" w:type="dxa"/>
            <w:tcBorders>
              <w:right w:val="single" w:sz="18" w:space="0" w:color="auto"/>
            </w:tcBorders>
            <w:vAlign w:val="center"/>
          </w:tcPr>
          <w:p w14:paraId="09F8D4CE" w14:textId="3A029581" w:rsidR="004836E0" w:rsidRPr="006B78FB" w:rsidRDefault="004836E0" w:rsidP="006B78FB">
            <w:pPr>
              <w:jc w:val="center"/>
              <w:rPr>
                <w:rFonts w:ascii="Open Sans" w:hAnsi="Open Sans" w:cs="Open Sans"/>
                <w:color w:val="06926B"/>
                <w:szCs w:val="22"/>
              </w:rPr>
            </w:pPr>
            <w:r w:rsidRPr="006B78FB">
              <w:rPr>
                <w:rFonts w:ascii="Open Sans" w:hAnsi="Open Sans" w:cs="Open Sans"/>
                <w:color w:val="06926B"/>
                <w:sz w:val="18"/>
                <w:szCs w:val="18"/>
              </w:rPr>
              <w:t>8,100.00</w:t>
            </w:r>
          </w:p>
        </w:tc>
      </w:tr>
      <w:tr w:rsidR="004836E0" w14:paraId="0CF28648" w14:textId="77777777" w:rsidTr="006B78FB">
        <w:tc>
          <w:tcPr>
            <w:tcW w:w="1502" w:type="dxa"/>
            <w:vAlign w:val="center"/>
          </w:tcPr>
          <w:p w14:paraId="27C01E1F" w14:textId="6FBC3D96" w:rsidR="004836E0" w:rsidRDefault="004836E0" w:rsidP="006B78FB">
            <w:pPr>
              <w:jc w:val="center"/>
              <w:rPr>
                <w:rFonts w:ascii="Open Sans" w:hAnsi="Open Sans" w:cs="Open Sans"/>
                <w:szCs w:val="22"/>
              </w:rPr>
            </w:pPr>
            <w:r w:rsidRPr="004836E0">
              <w:rPr>
                <w:rFonts w:ascii="Open Sans" w:hAnsi="Open Sans" w:cs="Open Sans"/>
                <w:sz w:val="18"/>
                <w:szCs w:val="18"/>
              </w:rPr>
              <w:t>35</w:t>
            </w:r>
          </w:p>
        </w:tc>
        <w:tc>
          <w:tcPr>
            <w:tcW w:w="1187" w:type="dxa"/>
            <w:tcBorders>
              <w:right w:val="single" w:sz="18" w:space="0" w:color="auto"/>
            </w:tcBorders>
            <w:vAlign w:val="center"/>
          </w:tcPr>
          <w:p w14:paraId="10505F56" w14:textId="5B80C064"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18,000.00</w:t>
            </w:r>
          </w:p>
        </w:tc>
        <w:tc>
          <w:tcPr>
            <w:tcW w:w="1417" w:type="dxa"/>
            <w:tcBorders>
              <w:left w:val="single" w:sz="18" w:space="0" w:color="auto"/>
            </w:tcBorders>
            <w:vAlign w:val="center"/>
          </w:tcPr>
          <w:p w14:paraId="76661212" w14:textId="3B57C677"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4,000.00</w:t>
            </w:r>
          </w:p>
        </w:tc>
        <w:tc>
          <w:tcPr>
            <w:tcW w:w="1701" w:type="dxa"/>
            <w:tcBorders>
              <w:right w:val="single" w:sz="18" w:space="0" w:color="auto"/>
            </w:tcBorders>
            <w:vAlign w:val="center"/>
          </w:tcPr>
          <w:p w14:paraId="44D046B5" w14:textId="23F0FA13"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14,000.00</w:t>
            </w:r>
          </w:p>
        </w:tc>
        <w:tc>
          <w:tcPr>
            <w:tcW w:w="1706" w:type="dxa"/>
            <w:tcBorders>
              <w:left w:val="single" w:sz="18" w:space="0" w:color="auto"/>
            </w:tcBorders>
            <w:vAlign w:val="center"/>
          </w:tcPr>
          <w:p w14:paraId="05356580" w14:textId="65D3BAF6"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9,800.00</w:t>
            </w:r>
          </w:p>
        </w:tc>
        <w:tc>
          <w:tcPr>
            <w:tcW w:w="1696" w:type="dxa"/>
            <w:tcBorders>
              <w:right w:val="single" w:sz="18" w:space="0" w:color="auto"/>
            </w:tcBorders>
            <w:vAlign w:val="center"/>
          </w:tcPr>
          <w:p w14:paraId="6C838782" w14:textId="672244D2" w:rsidR="004836E0" w:rsidRPr="006B78FB" w:rsidRDefault="004836E0" w:rsidP="006B78FB">
            <w:pPr>
              <w:jc w:val="center"/>
              <w:rPr>
                <w:rFonts w:ascii="Open Sans" w:hAnsi="Open Sans" w:cs="Open Sans"/>
                <w:color w:val="06926B"/>
                <w:szCs w:val="22"/>
              </w:rPr>
            </w:pPr>
            <w:r w:rsidRPr="006B78FB">
              <w:rPr>
                <w:rFonts w:ascii="Open Sans" w:hAnsi="Open Sans" w:cs="Open Sans"/>
                <w:color w:val="06926B"/>
                <w:sz w:val="18"/>
                <w:szCs w:val="18"/>
              </w:rPr>
              <w:t>8,200.00</w:t>
            </w:r>
          </w:p>
        </w:tc>
      </w:tr>
      <w:tr w:rsidR="004836E0" w14:paraId="3D69E49E" w14:textId="77777777" w:rsidTr="006B78FB">
        <w:tc>
          <w:tcPr>
            <w:tcW w:w="1502" w:type="dxa"/>
            <w:vAlign w:val="center"/>
          </w:tcPr>
          <w:p w14:paraId="185E1E05" w14:textId="2DC0DEF2" w:rsidR="004836E0" w:rsidRDefault="004836E0" w:rsidP="006B78FB">
            <w:pPr>
              <w:jc w:val="center"/>
              <w:rPr>
                <w:rFonts w:ascii="Open Sans" w:hAnsi="Open Sans" w:cs="Open Sans"/>
                <w:szCs w:val="22"/>
              </w:rPr>
            </w:pPr>
            <w:r w:rsidRPr="004836E0">
              <w:rPr>
                <w:rFonts w:ascii="Open Sans" w:hAnsi="Open Sans" w:cs="Open Sans"/>
                <w:sz w:val="18"/>
                <w:szCs w:val="18"/>
              </w:rPr>
              <w:t>40</w:t>
            </w:r>
          </w:p>
        </w:tc>
        <w:tc>
          <w:tcPr>
            <w:tcW w:w="1187" w:type="dxa"/>
            <w:tcBorders>
              <w:right w:val="single" w:sz="18" w:space="0" w:color="auto"/>
            </w:tcBorders>
            <w:vAlign w:val="center"/>
          </w:tcPr>
          <w:p w14:paraId="6DB256D1" w14:textId="12CE9681"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19,390.00</w:t>
            </w:r>
          </w:p>
        </w:tc>
        <w:tc>
          <w:tcPr>
            <w:tcW w:w="1417" w:type="dxa"/>
            <w:tcBorders>
              <w:left w:val="single" w:sz="18" w:space="0" w:color="auto"/>
            </w:tcBorders>
            <w:vAlign w:val="center"/>
          </w:tcPr>
          <w:p w14:paraId="6DB9882F" w14:textId="6C56ECD3"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4,000.00</w:t>
            </w:r>
          </w:p>
        </w:tc>
        <w:tc>
          <w:tcPr>
            <w:tcW w:w="1701" w:type="dxa"/>
            <w:tcBorders>
              <w:right w:val="single" w:sz="18" w:space="0" w:color="auto"/>
            </w:tcBorders>
            <w:vAlign w:val="center"/>
          </w:tcPr>
          <w:p w14:paraId="01AA6173" w14:textId="669DBFFB"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15,390.00</w:t>
            </w:r>
          </w:p>
        </w:tc>
        <w:tc>
          <w:tcPr>
            <w:tcW w:w="1706" w:type="dxa"/>
            <w:tcBorders>
              <w:left w:val="single" w:sz="18" w:space="0" w:color="auto"/>
            </w:tcBorders>
            <w:vAlign w:val="center"/>
          </w:tcPr>
          <w:p w14:paraId="00691B53" w14:textId="067A20DC"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11,200.00</w:t>
            </w:r>
          </w:p>
        </w:tc>
        <w:tc>
          <w:tcPr>
            <w:tcW w:w="1696" w:type="dxa"/>
            <w:tcBorders>
              <w:right w:val="single" w:sz="18" w:space="0" w:color="auto"/>
            </w:tcBorders>
            <w:vAlign w:val="center"/>
          </w:tcPr>
          <w:p w14:paraId="5B49E884" w14:textId="61397DFE" w:rsidR="004836E0" w:rsidRPr="006B78FB" w:rsidRDefault="004836E0" w:rsidP="006B78FB">
            <w:pPr>
              <w:jc w:val="center"/>
              <w:rPr>
                <w:rFonts w:ascii="Open Sans" w:hAnsi="Open Sans" w:cs="Open Sans"/>
                <w:color w:val="06926B"/>
                <w:szCs w:val="22"/>
              </w:rPr>
            </w:pPr>
            <w:r w:rsidRPr="006B78FB">
              <w:rPr>
                <w:rFonts w:ascii="Open Sans" w:hAnsi="Open Sans" w:cs="Open Sans"/>
                <w:color w:val="06926B"/>
                <w:sz w:val="18"/>
                <w:szCs w:val="18"/>
              </w:rPr>
              <w:t>8,190.00</w:t>
            </w:r>
          </w:p>
        </w:tc>
      </w:tr>
      <w:tr w:rsidR="004836E0" w14:paraId="4427E840" w14:textId="77777777" w:rsidTr="006B78FB">
        <w:tc>
          <w:tcPr>
            <w:tcW w:w="1502" w:type="dxa"/>
            <w:vAlign w:val="center"/>
          </w:tcPr>
          <w:p w14:paraId="1E501B45" w14:textId="72358881" w:rsidR="004836E0" w:rsidRDefault="004836E0" w:rsidP="006B78FB">
            <w:pPr>
              <w:jc w:val="center"/>
              <w:rPr>
                <w:rFonts w:ascii="Open Sans" w:hAnsi="Open Sans" w:cs="Open Sans"/>
                <w:szCs w:val="22"/>
              </w:rPr>
            </w:pPr>
            <w:r w:rsidRPr="004836E0">
              <w:rPr>
                <w:rFonts w:ascii="Open Sans" w:hAnsi="Open Sans" w:cs="Open Sans"/>
                <w:sz w:val="18"/>
                <w:szCs w:val="18"/>
              </w:rPr>
              <w:t>45</w:t>
            </w:r>
          </w:p>
        </w:tc>
        <w:tc>
          <w:tcPr>
            <w:tcW w:w="1187" w:type="dxa"/>
            <w:tcBorders>
              <w:right w:val="single" w:sz="18" w:space="0" w:color="auto"/>
            </w:tcBorders>
            <w:vAlign w:val="center"/>
          </w:tcPr>
          <w:p w14:paraId="0232F964" w14:textId="18C90DE7"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25,000.00</w:t>
            </w:r>
          </w:p>
        </w:tc>
        <w:tc>
          <w:tcPr>
            <w:tcW w:w="1417" w:type="dxa"/>
            <w:tcBorders>
              <w:left w:val="single" w:sz="18" w:space="0" w:color="auto"/>
            </w:tcBorders>
            <w:vAlign w:val="center"/>
          </w:tcPr>
          <w:p w14:paraId="78962434" w14:textId="1C97EA65"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4,000.00</w:t>
            </w:r>
          </w:p>
        </w:tc>
        <w:tc>
          <w:tcPr>
            <w:tcW w:w="1701" w:type="dxa"/>
            <w:tcBorders>
              <w:right w:val="single" w:sz="18" w:space="0" w:color="auto"/>
            </w:tcBorders>
            <w:vAlign w:val="center"/>
          </w:tcPr>
          <w:p w14:paraId="32F7C58C" w14:textId="49AE9C41"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21,000.00</w:t>
            </w:r>
          </w:p>
        </w:tc>
        <w:tc>
          <w:tcPr>
            <w:tcW w:w="1706" w:type="dxa"/>
            <w:tcBorders>
              <w:left w:val="single" w:sz="18" w:space="0" w:color="auto"/>
            </w:tcBorders>
            <w:vAlign w:val="center"/>
          </w:tcPr>
          <w:p w14:paraId="66625091" w14:textId="75323D1A"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12,600.00</w:t>
            </w:r>
          </w:p>
        </w:tc>
        <w:tc>
          <w:tcPr>
            <w:tcW w:w="1696" w:type="dxa"/>
            <w:tcBorders>
              <w:right w:val="single" w:sz="18" w:space="0" w:color="auto"/>
            </w:tcBorders>
            <w:vAlign w:val="center"/>
          </w:tcPr>
          <w:p w14:paraId="64B9BA2B" w14:textId="0E776270" w:rsidR="004836E0" w:rsidRDefault="004836E0" w:rsidP="006B78FB">
            <w:pPr>
              <w:jc w:val="center"/>
              <w:rPr>
                <w:rFonts w:ascii="Open Sans" w:hAnsi="Open Sans" w:cs="Open Sans"/>
                <w:szCs w:val="22"/>
              </w:rPr>
            </w:pPr>
            <w:r w:rsidRPr="004836E0">
              <w:rPr>
                <w:rFonts w:ascii="Open Sans" w:hAnsi="Open Sans" w:cs="Open Sans"/>
                <w:color w:val="000000"/>
                <w:sz w:val="18"/>
                <w:szCs w:val="18"/>
              </w:rPr>
              <w:t>12,400.00</w:t>
            </w:r>
          </w:p>
        </w:tc>
      </w:tr>
      <w:tr w:rsidR="004836E0" w14:paraId="12BA0D56" w14:textId="77777777" w:rsidTr="006B78FB">
        <w:tc>
          <w:tcPr>
            <w:tcW w:w="1502" w:type="dxa"/>
            <w:vAlign w:val="center"/>
          </w:tcPr>
          <w:p w14:paraId="57D36085" w14:textId="2310520C" w:rsidR="004836E0" w:rsidRPr="006B78FB" w:rsidRDefault="004836E0" w:rsidP="006B78FB">
            <w:pPr>
              <w:jc w:val="center"/>
              <w:rPr>
                <w:rFonts w:ascii="Open Sans" w:hAnsi="Open Sans" w:cs="Open Sans"/>
                <w:b/>
                <w:bCs/>
                <w:szCs w:val="22"/>
              </w:rPr>
            </w:pPr>
            <w:r w:rsidRPr="006B78FB">
              <w:rPr>
                <w:rFonts w:ascii="Open Sans" w:hAnsi="Open Sans" w:cs="Open Sans"/>
                <w:b/>
                <w:bCs/>
                <w:sz w:val="18"/>
                <w:szCs w:val="18"/>
              </w:rPr>
              <w:t>Average</w:t>
            </w:r>
          </w:p>
        </w:tc>
        <w:tc>
          <w:tcPr>
            <w:tcW w:w="1187" w:type="dxa"/>
            <w:tcBorders>
              <w:right w:val="single" w:sz="18" w:space="0" w:color="auto"/>
            </w:tcBorders>
            <w:vAlign w:val="center"/>
          </w:tcPr>
          <w:p w14:paraId="632AA156" w14:textId="72C2B55E" w:rsidR="004836E0" w:rsidRDefault="004836E0" w:rsidP="006B78FB">
            <w:pPr>
              <w:jc w:val="center"/>
              <w:rPr>
                <w:rFonts w:ascii="Open Sans" w:hAnsi="Open Sans" w:cs="Open Sans"/>
                <w:szCs w:val="22"/>
              </w:rPr>
            </w:pPr>
            <w:r w:rsidRPr="004836E0">
              <w:rPr>
                <w:rFonts w:ascii="Open Sans" w:hAnsi="Open Sans" w:cs="Open Sans"/>
                <w:b/>
                <w:bCs/>
                <w:color w:val="000000"/>
                <w:sz w:val="18"/>
                <w:szCs w:val="18"/>
              </w:rPr>
              <w:t>16,425.00</w:t>
            </w:r>
          </w:p>
        </w:tc>
        <w:tc>
          <w:tcPr>
            <w:tcW w:w="1417" w:type="dxa"/>
            <w:tcBorders>
              <w:left w:val="single" w:sz="18" w:space="0" w:color="auto"/>
              <w:bottom w:val="single" w:sz="18" w:space="0" w:color="auto"/>
            </w:tcBorders>
            <w:vAlign w:val="center"/>
          </w:tcPr>
          <w:p w14:paraId="757C43F8" w14:textId="5B15F323" w:rsidR="004836E0" w:rsidRDefault="004836E0" w:rsidP="006B78FB">
            <w:pPr>
              <w:jc w:val="center"/>
              <w:rPr>
                <w:rFonts w:ascii="Open Sans" w:hAnsi="Open Sans" w:cs="Open Sans"/>
                <w:szCs w:val="22"/>
              </w:rPr>
            </w:pPr>
            <w:r w:rsidRPr="004836E0">
              <w:rPr>
                <w:rFonts w:ascii="Open Sans" w:hAnsi="Open Sans" w:cs="Open Sans"/>
                <w:b/>
                <w:bCs/>
                <w:color w:val="000000"/>
                <w:sz w:val="18"/>
                <w:szCs w:val="18"/>
              </w:rPr>
              <w:t>4,000.00</w:t>
            </w:r>
          </w:p>
        </w:tc>
        <w:tc>
          <w:tcPr>
            <w:tcW w:w="1701" w:type="dxa"/>
            <w:tcBorders>
              <w:bottom w:val="single" w:sz="18" w:space="0" w:color="auto"/>
              <w:right w:val="single" w:sz="18" w:space="0" w:color="auto"/>
            </w:tcBorders>
            <w:vAlign w:val="center"/>
          </w:tcPr>
          <w:p w14:paraId="3B48783B" w14:textId="29D88EDE" w:rsidR="004836E0" w:rsidRDefault="004836E0" w:rsidP="006B78FB">
            <w:pPr>
              <w:jc w:val="center"/>
              <w:rPr>
                <w:rFonts w:ascii="Open Sans" w:hAnsi="Open Sans" w:cs="Open Sans"/>
                <w:szCs w:val="22"/>
              </w:rPr>
            </w:pPr>
            <w:r w:rsidRPr="004836E0">
              <w:rPr>
                <w:rFonts w:ascii="Open Sans" w:hAnsi="Open Sans" w:cs="Open Sans"/>
                <w:b/>
                <w:bCs/>
                <w:color w:val="000000"/>
                <w:sz w:val="18"/>
                <w:szCs w:val="18"/>
              </w:rPr>
              <w:t>12,425.00</w:t>
            </w:r>
          </w:p>
        </w:tc>
        <w:tc>
          <w:tcPr>
            <w:tcW w:w="1706" w:type="dxa"/>
            <w:tcBorders>
              <w:left w:val="single" w:sz="18" w:space="0" w:color="auto"/>
              <w:bottom w:val="single" w:sz="18" w:space="0" w:color="auto"/>
            </w:tcBorders>
            <w:vAlign w:val="center"/>
          </w:tcPr>
          <w:p w14:paraId="66394214" w14:textId="7D15E069" w:rsidR="004836E0" w:rsidRDefault="004836E0" w:rsidP="006B78FB">
            <w:pPr>
              <w:jc w:val="center"/>
              <w:rPr>
                <w:rFonts w:ascii="Open Sans" w:hAnsi="Open Sans" w:cs="Open Sans"/>
                <w:szCs w:val="22"/>
              </w:rPr>
            </w:pPr>
            <w:r w:rsidRPr="004836E0">
              <w:rPr>
                <w:rFonts w:ascii="Open Sans" w:hAnsi="Open Sans" w:cs="Open Sans"/>
                <w:b/>
                <w:bCs/>
                <w:color w:val="000000"/>
                <w:sz w:val="18"/>
                <w:szCs w:val="18"/>
              </w:rPr>
              <w:t>7,422.22</w:t>
            </w:r>
          </w:p>
        </w:tc>
        <w:tc>
          <w:tcPr>
            <w:tcW w:w="1696" w:type="dxa"/>
            <w:tcBorders>
              <w:bottom w:val="single" w:sz="18" w:space="0" w:color="auto"/>
              <w:right w:val="single" w:sz="18" w:space="0" w:color="auto"/>
            </w:tcBorders>
            <w:vAlign w:val="center"/>
          </w:tcPr>
          <w:p w14:paraId="3DA8E084" w14:textId="36BFBFE8" w:rsidR="004836E0" w:rsidRDefault="004836E0" w:rsidP="006B78FB">
            <w:pPr>
              <w:jc w:val="center"/>
              <w:rPr>
                <w:rFonts w:ascii="Open Sans" w:hAnsi="Open Sans" w:cs="Open Sans"/>
                <w:szCs w:val="22"/>
              </w:rPr>
            </w:pPr>
            <w:r w:rsidRPr="00335B9D">
              <w:rPr>
                <w:rFonts w:ascii="Open Sans" w:hAnsi="Open Sans" w:cs="Open Sans"/>
                <w:b/>
                <w:bCs/>
                <w:color w:val="06926B"/>
                <w:sz w:val="18"/>
                <w:szCs w:val="18"/>
              </w:rPr>
              <w:t>8,575.00</w:t>
            </w:r>
          </w:p>
        </w:tc>
      </w:tr>
    </w:tbl>
    <w:p w14:paraId="6859657C" w14:textId="5B271950" w:rsidR="00FC530B" w:rsidRPr="00FC530B" w:rsidRDefault="006B78FB" w:rsidP="004836E0">
      <w:pPr>
        <w:rPr>
          <w:rFonts w:ascii="Open Sans" w:hAnsi="Open Sans" w:cs="Open Sans"/>
          <w:szCs w:val="22"/>
        </w:rPr>
      </w:pPr>
      <w:r>
        <w:rPr>
          <w:rFonts w:ascii="Open Sans" w:hAnsi="Open Sans" w:cs="Open Sans"/>
          <w:szCs w:val="22"/>
        </w:rPr>
        <w:t xml:space="preserve"># Data not </w:t>
      </w:r>
      <w:r w:rsidR="006550DA">
        <w:rPr>
          <w:rFonts w:ascii="Open Sans" w:hAnsi="Open Sans" w:cs="Open Sans"/>
          <w:szCs w:val="22"/>
        </w:rPr>
        <w:t>available</w:t>
      </w:r>
    </w:p>
    <w:p w14:paraId="57F4E283" w14:textId="77777777" w:rsidR="00FC530B" w:rsidRPr="00FC530B" w:rsidRDefault="00FC530B" w:rsidP="00FC530B">
      <w:pPr>
        <w:pStyle w:val="ListParagraph"/>
        <w:rPr>
          <w:rFonts w:ascii="Open Sans" w:hAnsi="Open Sans" w:cs="Open Sans"/>
          <w:szCs w:val="22"/>
        </w:rPr>
      </w:pPr>
    </w:p>
    <w:p w14:paraId="65B18C74" w14:textId="17243E5F" w:rsidR="006E374B" w:rsidRPr="00335B9D" w:rsidRDefault="006550DA" w:rsidP="00E54BD8">
      <w:pPr>
        <w:rPr>
          <w:rFonts w:ascii="Open Sans" w:hAnsi="Open Sans" w:cs="Open Sans"/>
          <w:b/>
          <w:bCs/>
          <w:szCs w:val="22"/>
        </w:rPr>
      </w:pPr>
      <w:r w:rsidRPr="00335B9D">
        <w:rPr>
          <w:rFonts w:ascii="Open Sans" w:hAnsi="Open Sans" w:cs="Open Sans"/>
          <w:b/>
          <w:bCs/>
          <w:szCs w:val="22"/>
        </w:rPr>
        <w:t>A flexible grant allows for greater deployment</w:t>
      </w:r>
      <w:r w:rsidR="00A638F5" w:rsidRPr="00335B9D">
        <w:rPr>
          <w:rFonts w:ascii="Open Sans" w:hAnsi="Open Sans" w:cs="Open Sans"/>
          <w:b/>
          <w:bCs/>
          <w:szCs w:val="22"/>
        </w:rPr>
        <w:t xml:space="preserve"> across the capacity </w:t>
      </w:r>
      <w:r w:rsidR="00A4375C" w:rsidRPr="00335B9D">
        <w:rPr>
          <w:rFonts w:ascii="Open Sans" w:hAnsi="Open Sans" w:cs="Open Sans"/>
          <w:b/>
          <w:bCs/>
          <w:szCs w:val="22"/>
        </w:rPr>
        <w:t>range,</w:t>
      </w:r>
      <w:r w:rsidR="00335B9D">
        <w:rPr>
          <w:rFonts w:ascii="Open Sans" w:hAnsi="Open Sans" w:cs="Open Sans"/>
          <w:b/>
          <w:bCs/>
          <w:szCs w:val="22"/>
        </w:rPr>
        <w:t xml:space="preserve"> while keeping the </w:t>
      </w:r>
      <w:r w:rsidR="00A638F5" w:rsidRPr="00335B9D">
        <w:rPr>
          <w:rFonts w:ascii="Open Sans" w:hAnsi="Open Sans" w:cs="Open Sans"/>
          <w:b/>
          <w:bCs/>
          <w:szCs w:val="22"/>
        </w:rPr>
        <w:t xml:space="preserve">capital cost to the consumer below </w:t>
      </w:r>
      <w:r w:rsidR="00335B9D" w:rsidRPr="00335B9D">
        <w:rPr>
          <w:rFonts w:ascii="Open Sans" w:hAnsi="Open Sans" w:cs="Open Sans"/>
          <w:b/>
          <w:bCs/>
          <w:szCs w:val="22"/>
        </w:rPr>
        <w:t>£10,000.</w:t>
      </w:r>
    </w:p>
    <w:p w14:paraId="569B1CD9" w14:textId="77777777" w:rsidR="006E374B" w:rsidRDefault="006E374B" w:rsidP="00E54BD8">
      <w:pPr>
        <w:rPr>
          <w:rFonts w:ascii="Open Sans" w:hAnsi="Open Sans" w:cs="Open Sans"/>
          <w:szCs w:val="22"/>
        </w:rPr>
      </w:pPr>
    </w:p>
    <w:p w14:paraId="0A3DA2C6" w14:textId="431A851E" w:rsidR="00B315A8" w:rsidRDefault="001972D5" w:rsidP="00E54BD8">
      <w:pPr>
        <w:rPr>
          <w:rFonts w:ascii="Open Sans" w:hAnsi="Open Sans" w:cs="Open Sans"/>
          <w:szCs w:val="22"/>
        </w:rPr>
      </w:pPr>
      <w:r>
        <w:rPr>
          <w:rFonts w:ascii="Open Sans" w:hAnsi="Open Sans" w:cs="Open Sans"/>
          <w:szCs w:val="22"/>
        </w:rPr>
        <w:t>T</w:t>
      </w:r>
      <w:r w:rsidR="006550DA">
        <w:rPr>
          <w:rFonts w:ascii="Open Sans" w:hAnsi="Open Sans" w:cs="Open Sans"/>
          <w:szCs w:val="22"/>
        </w:rPr>
        <w:t xml:space="preserve">able </w:t>
      </w:r>
      <w:r>
        <w:rPr>
          <w:rFonts w:ascii="Open Sans" w:hAnsi="Open Sans" w:cs="Open Sans"/>
          <w:szCs w:val="22"/>
        </w:rPr>
        <w:t xml:space="preserve">two </w:t>
      </w:r>
      <w:r w:rsidR="00D43EA1">
        <w:rPr>
          <w:rFonts w:ascii="Open Sans" w:hAnsi="Open Sans" w:cs="Open Sans"/>
          <w:szCs w:val="22"/>
        </w:rPr>
        <w:t>demonstrate</w:t>
      </w:r>
      <w:r w:rsidR="006550DA">
        <w:rPr>
          <w:rFonts w:ascii="Open Sans" w:hAnsi="Open Sans" w:cs="Open Sans"/>
          <w:szCs w:val="22"/>
        </w:rPr>
        <w:t xml:space="preserve"> that a </w:t>
      </w:r>
      <w:r w:rsidR="00D43EA1">
        <w:rPr>
          <w:rFonts w:ascii="Open Sans" w:hAnsi="Open Sans" w:cs="Open Sans"/>
          <w:szCs w:val="22"/>
        </w:rPr>
        <w:t>flexible</w:t>
      </w:r>
      <w:r w:rsidR="006550DA">
        <w:rPr>
          <w:rFonts w:ascii="Open Sans" w:hAnsi="Open Sans" w:cs="Open Sans"/>
          <w:szCs w:val="22"/>
        </w:rPr>
        <w:t xml:space="preserve"> grant </w:t>
      </w:r>
      <w:r w:rsidR="00D43EA1">
        <w:rPr>
          <w:rFonts w:ascii="Open Sans" w:hAnsi="Open Sans" w:cs="Open Sans"/>
          <w:szCs w:val="22"/>
        </w:rPr>
        <w:t>allows for</w:t>
      </w:r>
      <w:r w:rsidR="00CD4AB6">
        <w:rPr>
          <w:rFonts w:ascii="Open Sans" w:hAnsi="Open Sans" w:cs="Open Sans"/>
          <w:szCs w:val="22"/>
        </w:rPr>
        <w:t xml:space="preserve"> projects across the proposed capacity range to deploy, with a similar level of each project covered by </w:t>
      </w:r>
      <w:r w:rsidR="00A638F5">
        <w:rPr>
          <w:rFonts w:ascii="Open Sans" w:hAnsi="Open Sans" w:cs="Open Sans"/>
          <w:szCs w:val="22"/>
        </w:rPr>
        <w:t>the</w:t>
      </w:r>
      <w:r w:rsidR="00CD4AB6">
        <w:rPr>
          <w:rFonts w:ascii="Open Sans" w:hAnsi="Open Sans" w:cs="Open Sans"/>
          <w:szCs w:val="22"/>
        </w:rPr>
        <w:t xml:space="preserve"> grant. Most significantly</w:t>
      </w:r>
      <w:r w:rsidR="00A638F5">
        <w:rPr>
          <w:rFonts w:ascii="Open Sans" w:hAnsi="Open Sans" w:cs="Open Sans"/>
          <w:szCs w:val="22"/>
        </w:rPr>
        <w:t xml:space="preserve">, </w:t>
      </w:r>
      <w:r w:rsidR="00CD4AB6">
        <w:rPr>
          <w:rFonts w:ascii="Open Sans" w:hAnsi="Open Sans" w:cs="Open Sans"/>
          <w:szCs w:val="22"/>
        </w:rPr>
        <w:t xml:space="preserve">a </w:t>
      </w:r>
      <w:r w:rsidR="00B315A8">
        <w:rPr>
          <w:rFonts w:ascii="Open Sans" w:hAnsi="Open Sans" w:cs="Open Sans"/>
          <w:szCs w:val="22"/>
        </w:rPr>
        <w:t>flexible</w:t>
      </w:r>
      <w:r w:rsidR="00CD4AB6">
        <w:rPr>
          <w:rFonts w:ascii="Open Sans" w:hAnsi="Open Sans" w:cs="Open Sans"/>
          <w:szCs w:val="22"/>
        </w:rPr>
        <w:t xml:space="preserve"> grant of £280/ k</w:t>
      </w:r>
      <w:r w:rsidR="00A638F5">
        <w:rPr>
          <w:rFonts w:ascii="Open Sans" w:hAnsi="Open Sans" w:cs="Open Sans"/>
          <w:szCs w:val="22"/>
        </w:rPr>
        <w:t>W</w:t>
      </w:r>
      <w:r w:rsidR="00CD4AB6">
        <w:rPr>
          <w:rFonts w:ascii="Open Sans" w:hAnsi="Open Sans" w:cs="Open Sans"/>
          <w:szCs w:val="22"/>
        </w:rPr>
        <w:t xml:space="preserve"> results in the consumer</w:t>
      </w:r>
      <w:r w:rsidR="00A638F5">
        <w:rPr>
          <w:rFonts w:ascii="Open Sans" w:hAnsi="Open Sans" w:cs="Open Sans"/>
          <w:szCs w:val="22"/>
        </w:rPr>
        <w:t xml:space="preserve"> </w:t>
      </w:r>
      <w:r w:rsidR="00335B9D">
        <w:rPr>
          <w:rFonts w:ascii="Open Sans" w:hAnsi="Open Sans" w:cs="Open Sans"/>
          <w:szCs w:val="22"/>
        </w:rPr>
        <w:t xml:space="preserve">having </w:t>
      </w:r>
      <w:r w:rsidR="00CD4AB6">
        <w:rPr>
          <w:rFonts w:ascii="Open Sans" w:hAnsi="Open Sans" w:cs="Open Sans"/>
          <w:szCs w:val="22"/>
        </w:rPr>
        <w:t>a remaining capital cost below £10,000 (</w:t>
      </w:r>
      <w:r w:rsidR="00CD4AB6" w:rsidRPr="00A638F5">
        <w:rPr>
          <w:rFonts w:ascii="Open Sans" w:hAnsi="Open Sans" w:cs="Open Sans"/>
          <w:i/>
          <w:iCs/>
          <w:color w:val="06926B"/>
          <w:szCs w:val="22"/>
        </w:rPr>
        <w:t>highlighted in green</w:t>
      </w:r>
      <w:r w:rsidR="00CD4AB6">
        <w:rPr>
          <w:rFonts w:ascii="Open Sans" w:hAnsi="Open Sans" w:cs="Open Sans"/>
          <w:szCs w:val="22"/>
        </w:rPr>
        <w:t>)</w:t>
      </w:r>
      <w:r w:rsidR="00A638F5">
        <w:rPr>
          <w:rFonts w:ascii="Open Sans" w:hAnsi="Open Sans" w:cs="Open Sans"/>
          <w:szCs w:val="22"/>
        </w:rPr>
        <w:t xml:space="preserve"> in most cases</w:t>
      </w:r>
      <w:r>
        <w:rPr>
          <w:rFonts w:ascii="Open Sans" w:hAnsi="Open Sans" w:cs="Open Sans"/>
          <w:szCs w:val="22"/>
        </w:rPr>
        <w:t>,</w:t>
      </w:r>
      <w:r w:rsidR="00A4375C">
        <w:rPr>
          <w:rFonts w:ascii="Open Sans" w:hAnsi="Open Sans" w:cs="Open Sans"/>
          <w:szCs w:val="22"/>
        </w:rPr>
        <w:t xml:space="preserve"> no matter the capacity being installed</w:t>
      </w:r>
      <w:r w:rsidR="00A638F5">
        <w:rPr>
          <w:rFonts w:ascii="Open Sans" w:hAnsi="Open Sans" w:cs="Open Sans"/>
          <w:szCs w:val="22"/>
        </w:rPr>
        <w:t>. This is</w:t>
      </w:r>
      <w:r w:rsidR="00B315A8">
        <w:rPr>
          <w:rFonts w:ascii="Open Sans" w:hAnsi="Open Sans" w:cs="Open Sans"/>
          <w:szCs w:val="22"/>
        </w:rPr>
        <w:t xml:space="preserve"> below the ‘psychological threshold’ identified in the consultation</w:t>
      </w:r>
      <w:r w:rsidR="00A638F5">
        <w:rPr>
          <w:rFonts w:ascii="Open Sans" w:hAnsi="Open Sans" w:cs="Open Sans"/>
          <w:szCs w:val="22"/>
        </w:rPr>
        <w:t xml:space="preserve"> as being critical to incentivising consumer uptake</w:t>
      </w:r>
      <w:r w:rsidR="00A4375C">
        <w:rPr>
          <w:rFonts w:ascii="Open Sans" w:hAnsi="Open Sans" w:cs="Open Sans"/>
          <w:szCs w:val="22"/>
        </w:rPr>
        <w:t xml:space="preserve">. </w:t>
      </w:r>
    </w:p>
    <w:p w14:paraId="68C131A0" w14:textId="5699A66F" w:rsidR="00B315A8" w:rsidRDefault="00B315A8" w:rsidP="00E54BD8">
      <w:pPr>
        <w:rPr>
          <w:rFonts w:ascii="Open Sans" w:hAnsi="Open Sans" w:cs="Open Sans"/>
          <w:szCs w:val="22"/>
        </w:rPr>
      </w:pPr>
    </w:p>
    <w:p w14:paraId="7BC3DCD8" w14:textId="28267B9F" w:rsidR="00927A06" w:rsidRDefault="00335B9D" w:rsidP="00E54BD8">
      <w:pPr>
        <w:rPr>
          <w:rFonts w:ascii="Open Sans" w:hAnsi="Open Sans" w:cs="Open Sans"/>
          <w:szCs w:val="22"/>
        </w:rPr>
      </w:pPr>
      <w:r>
        <w:rPr>
          <w:rFonts w:ascii="Open Sans" w:hAnsi="Open Sans" w:cs="Open Sans"/>
          <w:szCs w:val="22"/>
        </w:rPr>
        <w:t xml:space="preserve">As identified in answer to question 26 the grant should be accompanied by a </w:t>
      </w:r>
      <w:r w:rsidRPr="00273E54">
        <w:rPr>
          <w:rFonts w:ascii="Open Sans" w:hAnsi="Open Sans" w:cs="Open Sans"/>
          <w:szCs w:val="22"/>
        </w:rPr>
        <w:t xml:space="preserve">low-interest loan to help cover the remaining cost of the project. </w:t>
      </w:r>
    </w:p>
    <w:p w14:paraId="1CEA5F69" w14:textId="665B122A" w:rsidR="00335B9D" w:rsidRDefault="00335B9D" w:rsidP="00E54BD8">
      <w:pPr>
        <w:rPr>
          <w:rFonts w:ascii="Open Sans" w:hAnsi="Open Sans" w:cs="Open Sans"/>
          <w:szCs w:val="22"/>
        </w:rPr>
      </w:pPr>
    </w:p>
    <w:p w14:paraId="0DED9715" w14:textId="4F07FF30" w:rsidR="00E54BD8" w:rsidRPr="00F62AAD" w:rsidRDefault="00D3126D" w:rsidP="00926D06">
      <w:pPr>
        <w:rPr>
          <w:rFonts w:ascii="Arial" w:hAnsi="Arial" w:cs="Arial"/>
          <w:b/>
          <w:bCs/>
          <w:sz w:val="30"/>
          <w:szCs w:val="30"/>
        </w:rPr>
      </w:pPr>
      <w:r>
        <w:rPr>
          <w:rFonts w:ascii="Open Sans" w:hAnsi="Open Sans" w:cs="Open Sans"/>
          <w:b/>
          <w:bCs/>
          <w:szCs w:val="22"/>
        </w:rPr>
        <w:t xml:space="preserve">The </w:t>
      </w:r>
      <w:r w:rsidR="00F92FC6">
        <w:rPr>
          <w:rFonts w:ascii="Open Sans" w:hAnsi="Open Sans" w:cs="Open Sans"/>
          <w:b/>
          <w:bCs/>
          <w:szCs w:val="22"/>
        </w:rPr>
        <w:t>g</w:t>
      </w:r>
      <w:r w:rsidR="00335B9D" w:rsidRPr="00F62AAD">
        <w:rPr>
          <w:rFonts w:ascii="Open Sans" w:hAnsi="Open Sans" w:cs="Open Sans"/>
          <w:b/>
          <w:bCs/>
          <w:szCs w:val="22"/>
        </w:rPr>
        <w:t xml:space="preserve">rant </w:t>
      </w:r>
      <w:r w:rsidR="00F92FC6">
        <w:rPr>
          <w:rFonts w:ascii="Open Sans" w:hAnsi="Open Sans" w:cs="Open Sans"/>
          <w:b/>
          <w:bCs/>
          <w:szCs w:val="22"/>
        </w:rPr>
        <w:t>p</w:t>
      </w:r>
      <w:r w:rsidR="00335B9D" w:rsidRPr="00F62AAD">
        <w:rPr>
          <w:rFonts w:ascii="Open Sans" w:hAnsi="Open Sans" w:cs="Open Sans"/>
          <w:b/>
          <w:bCs/>
          <w:szCs w:val="22"/>
        </w:rPr>
        <w:t>rocess</w:t>
      </w:r>
      <w:r>
        <w:rPr>
          <w:rFonts w:ascii="Open Sans" w:hAnsi="Open Sans" w:cs="Open Sans"/>
          <w:b/>
          <w:bCs/>
          <w:szCs w:val="22"/>
        </w:rPr>
        <w:t xml:space="preserve"> can be designed to avoid unintended behaviours</w:t>
      </w:r>
    </w:p>
    <w:p w14:paraId="4D1D49D0" w14:textId="30AFD9F5" w:rsidR="00E54BD8" w:rsidRDefault="00E54BD8" w:rsidP="00926D06">
      <w:pPr>
        <w:rPr>
          <w:rFonts w:ascii="Arial" w:hAnsi="Arial" w:cs="Arial"/>
          <w:sz w:val="30"/>
          <w:szCs w:val="30"/>
        </w:rPr>
      </w:pPr>
    </w:p>
    <w:p w14:paraId="710132CD" w14:textId="676152A2" w:rsidR="00795275" w:rsidRDefault="00D3126D" w:rsidP="00926D06">
      <w:pPr>
        <w:rPr>
          <w:rFonts w:ascii="Open Sans" w:hAnsi="Open Sans" w:cs="Open Sans"/>
          <w:szCs w:val="22"/>
        </w:rPr>
      </w:pPr>
      <w:r>
        <w:rPr>
          <w:rFonts w:ascii="Open Sans" w:hAnsi="Open Sans" w:cs="Open Sans"/>
          <w:szCs w:val="22"/>
        </w:rPr>
        <w:t>T</w:t>
      </w:r>
      <w:r w:rsidR="00F62AAD">
        <w:rPr>
          <w:rFonts w:ascii="Open Sans" w:hAnsi="Open Sans" w:cs="Open Sans"/>
          <w:szCs w:val="22"/>
        </w:rPr>
        <w:t>he grant level can be based and issued in conjunction with the heat loss assessment</w:t>
      </w:r>
      <w:r w:rsidR="001972D5">
        <w:rPr>
          <w:rFonts w:ascii="Open Sans" w:hAnsi="Open Sans" w:cs="Open Sans"/>
          <w:szCs w:val="22"/>
        </w:rPr>
        <w:t xml:space="preserve"> which should be carried out for all applications</w:t>
      </w:r>
      <w:r w:rsidR="00F62AAD">
        <w:rPr>
          <w:rFonts w:ascii="Open Sans" w:hAnsi="Open Sans" w:cs="Open Sans"/>
          <w:szCs w:val="22"/>
        </w:rPr>
        <w:t>. The assessment will stipulate both the appropriateness of the technology being installed and the capacity required to effectively heat the building.</w:t>
      </w:r>
      <w:r w:rsidR="00795275">
        <w:rPr>
          <w:rFonts w:ascii="Open Sans" w:hAnsi="Open Sans" w:cs="Open Sans"/>
          <w:szCs w:val="22"/>
        </w:rPr>
        <w:t xml:space="preserve"> </w:t>
      </w:r>
    </w:p>
    <w:p w14:paraId="7E65D96C" w14:textId="77777777" w:rsidR="00795275" w:rsidRDefault="00795275" w:rsidP="00926D06">
      <w:pPr>
        <w:rPr>
          <w:rFonts w:ascii="Open Sans" w:hAnsi="Open Sans" w:cs="Open Sans"/>
          <w:szCs w:val="22"/>
        </w:rPr>
      </w:pPr>
    </w:p>
    <w:p w14:paraId="50B7C136" w14:textId="78FF35DC" w:rsidR="004F753B" w:rsidRDefault="00F62AAD" w:rsidP="00926D06">
      <w:pPr>
        <w:rPr>
          <w:rFonts w:ascii="Open Sans" w:hAnsi="Open Sans" w:cs="Open Sans"/>
          <w:szCs w:val="22"/>
        </w:rPr>
      </w:pPr>
      <w:r>
        <w:rPr>
          <w:rFonts w:ascii="Open Sans" w:hAnsi="Open Sans" w:cs="Open Sans"/>
          <w:szCs w:val="22"/>
        </w:rPr>
        <w:t xml:space="preserve">On acceptance of an application, </w:t>
      </w:r>
      <w:r w:rsidR="006A73D5">
        <w:rPr>
          <w:rFonts w:ascii="Open Sans" w:hAnsi="Open Sans" w:cs="Open Sans"/>
          <w:szCs w:val="22"/>
        </w:rPr>
        <w:t>which includes</w:t>
      </w:r>
      <w:r>
        <w:rPr>
          <w:rFonts w:ascii="Open Sans" w:hAnsi="Open Sans" w:cs="Open Sans"/>
          <w:szCs w:val="22"/>
        </w:rPr>
        <w:t xml:space="preserve"> a</w:t>
      </w:r>
      <w:r w:rsidR="006A73D5">
        <w:rPr>
          <w:rFonts w:ascii="Open Sans" w:hAnsi="Open Sans" w:cs="Open Sans"/>
          <w:szCs w:val="22"/>
        </w:rPr>
        <w:t>n</w:t>
      </w:r>
      <w:r>
        <w:rPr>
          <w:rFonts w:ascii="Open Sans" w:hAnsi="Open Sans" w:cs="Open Sans"/>
          <w:szCs w:val="22"/>
        </w:rPr>
        <w:t xml:space="preserve"> independent heat loss assessment, </w:t>
      </w:r>
      <w:r w:rsidR="006A73D5">
        <w:rPr>
          <w:rFonts w:ascii="Open Sans" w:hAnsi="Open Sans" w:cs="Open Sans"/>
          <w:szCs w:val="22"/>
        </w:rPr>
        <w:t>Ofgem w</w:t>
      </w:r>
      <w:r w:rsidR="00795275">
        <w:rPr>
          <w:rFonts w:ascii="Open Sans" w:hAnsi="Open Sans" w:cs="Open Sans"/>
          <w:szCs w:val="22"/>
        </w:rPr>
        <w:t>i</w:t>
      </w:r>
      <w:r w:rsidR="006A73D5">
        <w:rPr>
          <w:rFonts w:ascii="Open Sans" w:hAnsi="Open Sans" w:cs="Open Sans"/>
          <w:szCs w:val="22"/>
        </w:rPr>
        <w:t xml:space="preserve">ll be able to issue the grant voucher at a value </w:t>
      </w:r>
      <w:r>
        <w:rPr>
          <w:rFonts w:ascii="Open Sans" w:hAnsi="Open Sans" w:cs="Open Sans"/>
          <w:szCs w:val="22"/>
        </w:rPr>
        <w:t xml:space="preserve">based on the capacity recorded as required </w:t>
      </w:r>
      <w:r>
        <w:rPr>
          <w:rFonts w:ascii="Open Sans" w:hAnsi="Open Sans" w:cs="Open Sans"/>
          <w:szCs w:val="22"/>
        </w:rPr>
        <w:lastRenderedPageBreak/>
        <w:t>by the assessment. For example, if the capacity required is 20 k</w:t>
      </w:r>
      <w:r w:rsidR="00F92FC6">
        <w:rPr>
          <w:rFonts w:ascii="Open Sans" w:hAnsi="Open Sans" w:cs="Open Sans"/>
          <w:szCs w:val="22"/>
        </w:rPr>
        <w:t>W’s</w:t>
      </w:r>
      <w:r>
        <w:rPr>
          <w:rFonts w:ascii="Open Sans" w:hAnsi="Open Sans" w:cs="Open Sans"/>
          <w:szCs w:val="22"/>
        </w:rPr>
        <w:t>, and a grant of £280 per kW is applied, a vouche</w:t>
      </w:r>
      <w:r w:rsidR="006A73D5">
        <w:rPr>
          <w:rFonts w:ascii="Open Sans" w:hAnsi="Open Sans" w:cs="Open Sans"/>
          <w:szCs w:val="22"/>
        </w:rPr>
        <w:t xml:space="preserve">r </w:t>
      </w:r>
      <w:r>
        <w:rPr>
          <w:rFonts w:ascii="Open Sans" w:hAnsi="Open Sans" w:cs="Open Sans"/>
          <w:szCs w:val="22"/>
        </w:rPr>
        <w:t xml:space="preserve">for £5600 </w:t>
      </w:r>
      <w:r w:rsidR="004F753B">
        <w:rPr>
          <w:rFonts w:ascii="Open Sans" w:hAnsi="Open Sans" w:cs="Open Sans"/>
          <w:szCs w:val="22"/>
        </w:rPr>
        <w:t xml:space="preserve">would be issued. </w:t>
      </w:r>
      <w:r w:rsidR="00795275">
        <w:rPr>
          <w:rFonts w:ascii="Open Sans" w:hAnsi="Open Sans" w:cs="Open Sans"/>
          <w:szCs w:val="22"/>
        </w:rPr>
        <w:t xml:space="preserve">This can be done with the assurance that the project is appropriately sized and well designed to meet the heat needs </w:t>
      </w:r>
      <w:r w:rsidR="00E76400">
        <w:rPr>
          <w:rFonts w:ascii="Open Sans" w:hAnsi="Open Sans" w:cs="Open Sans"/>
          <w:szCs w:val="22"/>
        </w:rPr>
        <w:t>of</w:t>
      </w:r>
      <w:r w:rsidR="00795275">
        <w:rPr>
          <w:rFonts w:ascii="Open Sans" w:hAnsi="Open Sans" w:cs="Open Sans"/>
          <w:szCs w:val="22"/>
        </w:rPr>
        <w:t xml:space="preserve"> the property</w:t>
      </w:r>
      <w:r w:rsidR="00F92FC6">
        <w:rPr>
          <w:rFonts w:ascii="Open Sans" w:hAnsi="Open Sans" w:cs="Open Sans"/>
          <w:szCs w:val="22"/>
        </w:rPr>
        <w:t>.</w:t>
      </w:r>
      <w:r w:rsidR="00795275">
        <w:rPr>
          <w:rFonts w:ascii="Open Sans" w:hAnsi="Open Sans" w:cs="Open Sans"/>
          <w:szCs w:val="22"/>
        </w:rPr>
        <w:t xml:space="preserve"> </w:t>
      </w:r>
    </w:p>
    <w:p w14:paraId="19F245C2" w14:textId="77777777" w:rsidR="004F753B" w:rsidRDefault="004F753B" w:rsidP="00926D06">
      <w:pPr>
        <w:rPr>
          <w:rFonts w:ascii="Open Sans" w:hAnsi="Open Sans" w:cs="Open Sans"/>
          <w:szCs w:val="22"/>
        </w:rPr>
      </w:pPr>
    </w:p>
    <w:p w14:paraId="65494672" w14:textId="079E3606" w:rsidR="00F62AAD" w:rsidRPr="00F62AAD" w:rsidRDefault="004F753B" w:rsidP="00926D06">
      <w:pPr>
        <w:rPr>
          <w:rFonts w:ascii="Open Sans" w:hAnsi="Open Sans" w:cs="Open Sans"/>
          <w:szCs w:val="22"/>
        </w:rPr>
      </w:pPr>
      <w:r>
        <w:rPr>
          <w:rFonts w:ascii="Open Sans" w:hAnsi="Open Sans" w:cs="Open Sans"/>
          <w:szCs w:val="22"/>
        </w:rPr>
        <w:t>By avoiding explicit tiers and basing the grant on</w:t>
      </w:r>
      <w:r w:rsidR="006A73D5">
        <w:rPr>
          <w:rFonts w:ascii="Open Sans" w:hAnsi="Open Sans" w:cs="Open Sans"/>
          <w:szCs w:val="22"/>
        </w:rPr>
        <w:t xml:space="preserve"> the</w:t>
      </w:r>
      <w:r>
        <w:rPr>
          <w:rFonts w:ascii="Open Sans" w:hAnsi="Open Sans" w:cs="Open Sans"/>
          <w:szCs w:val="22"/>
        </w:rPr>
        <w:t xml:space="preserve"> heat loss assessment, the scheme should be able to avoid the oversizing issues</w:t>
      </w:r>
      <w:r w:rsidR="00D3126D">
        <w:rPr>
          <w:rFonts w:ascii="Open Sans" w:hAnsi="Open Sans" w:cs="Open Sans"/>
          <w:szCs w:val="22"/>
        </w:rPr>
        <w:t xml:space="preserve"> or multiple boiler issue</w:t>
      </w:r>
      <w:r w:rsidR="00795275">
        <w:rPr>
          <w:rFonts w:ascii="Open Sans" w:hAnsi="Open Sans" w:cs="Open Sans"/>
          <w:szCs w:val="22"/>
        </w:rPr>
        <w:t xml:space="preserve">s </w:t>
      </w:r>
      <w:r>
        <w:rPr>
          <w:rFonts w:ascii="Open Sans" w:hAnsi="Open Sans" w:cs="Open Sans"/>
          <w:szCs w:val="22"/>
        </w:rPr>
        <w:t xml:space="preserve">experienced in the non-domestic RHI. </w:t>
      </w:r>
      <w:r w:rsidR="00F62AAD">
        <w:rPr>
          <w:rFonts w:ascii="Open Sans" w:hAnsi="Open Sans" w:cs="Open Sans"/>
          <w:szCs w:val="22"/>
        </w:rPr>
        <w:t xml:space="preserve"> </w:t>
      </w:r>
    </w:p>
    <w:p w14:paraId="438EAB48" w14:textId="77777777" w:rsidR="00F62AAD" w:rsidRDefault="00F62AAD" w:rsidP="00926D06">
      <w:pPr>
        <w:rPr>
          <w:rFonts w:ascii="Arial" w:hAnsi="Arial" w:cs="Arial"/>
          <w:sz w:val="30"/>
          <w:szCs w:val="30"/>
        </w:rPr>
      </w:pPr>
    </w:p>
    <w:p w14:paraId="56DB850B" w14:textId="769F4C61" w:rsidR="000D49A6" w:rsidRPr="00D11867" w:rsidRDefault="00D11867" w:rsidP="00926D06">
      <w:pPr>
        <w:rPr>
          <w:rFonts w:ascii="Open Sans" w:hAnsi="Open Sans" w:cs="Open Sans"/>
          <w:b/>
          <w:bCs/>
          <w:i/>
          <w:iCs/>
          <w:color w:val="2F5496"/>
          <w:szCs w:val="22"/>
        </w:rPr>
      </w:pPr>
      <w:r w:rsidRPr="00D11867">
        <w:rPr>
          <w:rFonts w:ascii="Open Sans" w:hAnsi="Open Sans" w:cs="Open Sans"/>
          <w:b/>
          <w:bCs/>
          <w:i/>
          <w:iCs/>
          <w:color w:val="2F5496"/>
          <w:szCs w:val="22"/>
        </w:rPr>
        <w:t xml:space="preserve">Question 28 - </w:t>
      </w:r>
      <w:r w:rsidR="000D49A6" w:rsidRPr="00D11867">
        <w:rPr>
          <w:rFonts w:ascii="Open Sans" w:hAnsi="Open Sans" w:cs="Open Sans"/>
          <w:b/>
          <w:bCs/>
          <w:i/>
          <w:iCs/>
          <w:color w:val="2F5496"/>
          <w:szCs w:val="22"/>
        </w:rPr>
        <w:t>Please provide any relevant views to help inform development of the delivery mechanism</w:t>
      </w:r>
    </w:p>
    <w:p w14:paraId="32720EFB" w14:textId="32A5C108" w:rsidR="000D49A6" w:rsidRDefault="000D49A6" w:rsidP="00926D06">
      <w:pPr>
        <w:rPr>
          <w:rFonts w:ascii="Open Sans" w:hAnsi="Open Sans" w:cs="Open Sans"/>
          <w:szCs w:val="22"/>
        </w:rPr>
      </w:pPr>
    </w:p>
    <w:p w14:paraId="043A68A6" w14:textId="4FCD5FE7" w:rsidR="00D11867" w:rsidRDefault="002120D5" w:rsidP="00926D06">
      <w:pPr>
        <w:rPr>
          <w:rFonts w:ascii="Open Sans" w:hAnsi="Open Sans" w:cs="Open Sans"/>
          <w:szCs w:val="22"/>
        </w:rPr>
      </w:pPr>
      <w:r>
        <w:rPr>
          <w:rFonts w:ascii="Open Sans" w:hAnsi="Open Sans" w:cs="Open Sans"/>
          <w:szCs w:val="22"/>
        </w:rPr>
        <w:t xml:space="preserve">We </w:t>
      </w:r>
      <w:r w:rsidR="00D11867">
        <w:rPr>
          <w:rFonts w:ascii="Open Sans" w:hAnsi="Open Sans" w:cs="Open Sans"/>
          <w:szCs w:val="22"/>
        </w:rPr>
        <w:t>welcome</w:t>
      </w:r>
      <w:r>
        <w:rPr>
          <w:rFonts w:ascii="Open Sans" w:hAnsi="Open Sans" w:cs="Open Sans"/>
          <w:szCs w:val="22"/>
        </w:rPr>
        <w:t xml:space="preserve"> BEIS’s </w:t>
      </w:r>
      <w:r w:rsidR="00D11867">
        <w:rPr>
          <w:rFonts w:ascii="Open Sans" w:hAnsi="Open Sans" w:cs="Open Sans"/>
          <w:szCs w:val="22"/>
        </w:rPr>
        <w:t xml:space="preserve">intention </w:t>
      </w:r>
      <w:r>
        <w:rPr>
          <w:rFonts w:ascii="Open Sans" w:hAnsi="Open Sans" w:cs="Open Sans"/>
          <w:szCs w:val="22"/>
        </w:rPr>
        <w:t xml:space="preserve">to make the delivery of the grant as straight forward as possible. </w:t>
      </w:r>
    </w:p>
    <w:p w14:paraId="14E4F238" w14:textId="77777777" w:rsidR="00D11867" w:rsidRDefault="00D11867" w:rsidP="00926D06">
      <w:pPr>
        <w:rPr>
          <w:rFonts w:ascii="Open Sans" w:hAnsi="Open Sans" w:cs="Open Sans"/>
          <w:szCs w:val="22"/>
        </w:rPr>
      </w:pPr>
    </w:p>
    <w:p w14:paraId="79AF9EB5" w14:textId="32A14BAC" w:rsidR="005974A0" w:rsidRPr="005974A0" w:rsidRDefault="005974A0" w:rsidP="00926D06">
      <w:pPr>
        <w:rPr>
          <w:rFonts w:ascii="Open Sans" w:hAnsi="Open Sans" w:cs="Open Sans"/>
          <w:b/>
          <w:bCs/>
          <w:szCs w:val="22"/>
        </w:rPr>
      </w:pPr>
      <w:r w:rsidRPr="005974A0">
        <w:rPr>
          <w:rFonts w:ascii="Open Sans" w:hAnsi="Open Sans" w:cs="Open Sans"/>
          <w:b/>
          <w:bCs/>
          <w:szCs w:val="22"/>
        </w:rPr>
        <w:t xml:space="preserve">The size of the project will need to be stated in stage 1 and justified in stage 2. </w:t>
      </w:r>
    </w:p>
    <w:p w14:paraId="00106EF7" w14:textId="77777777" w:rsidR="005974A0" w:rsidRDefault="005974A0" w:rsidP="00926D06">
      <w:pPr>
        <w:rPr>
          <w:rFonts w:ascii="Open Sans" w:hAnsi="Open Sans" w:cs="Open Sans"/>
          <w:szCs w:val="22"/>
        </w:rPr>
      </w:pPr>
    </w:p>
    <w:p w14:paraId="1BEB2973" w14:textId="0492A0D9" w:rsidR="002120D5" w:rsidRDefault="00D11867" w:rsidP="00926D06">
      <w:pPr>
        <w:rPr>
          <w:rFonts w:ascii="Open Sans" w:hAnsi="Open Sans" w:cs="Open Sans"/>
          <w:szCs w:val="22"/>
        </w:rPr>
      </w:pPr>
      <w:r>
        <w:rPr>
          <w:rFonts w:ascii="Open Sans" w:hAnsi="Open Sans" w:cs="Open Sans"/>
          <w:szCs w:val="22"/>
        </w:rPr>
        <w:t>Given the above suggestion</w:t>
      </w:r>
      <w:r w:rsidR="00F41DA3">
        <w:rPr>
          <w:rFonts w:ascii="Open Sans" w:hAnsi="Open Sans" w:cs="Open Sans"/>
          <w:szCs w:val="22"/>
        </w:rPr>
        <w:t xml:space="preserve"> </w:t>
      </w:r>
      <w:r>
        <w:rPr>
          <w:rFonts w:ascii="Open Sans" w:hAnsi="Open Sans" w:cs="Open Sans"/>
          <w:szCs w:val="22"/>
        </w:rPr>
        <w:t xml:space="preserve">for a </w:t>
      </w:r>
      <w:r w:rsidR="00F41DA3">
        <w:rPr>
          <w:rFonts w:ascii="Open Sans" w:hAnsi="Open Sans" w:cs="Open Sans"/>
          <w:szCs w:val="22"/>
        </w:rPr>
        <w:t xml:space="preserve">flexible grant based </w:t>
      </w:r>
      <w:r w:rsidR="002C2621">
        <w:rPr>
          <w:rFonts w:ascii="Open Sans" w:hAnsi="Open Sans" w:cs="Open Sans"/>
          <w:szCs w:val="22"/>
        </w:rPr>
        <w:t>on per kW</w:t>
      </w:r>
      <w:r w:rsidR="00F41DA3">
        <w:rPr>
          <w:rFonts w:ascii="Open Sans" w:hAnsi="Open Sans" w:cs="Open Sans"/>
          <w:szCs w:val="22"/>
        </w:rPr>
        <w:t xml:space="preserve"> deployed, the</w:t>
      </w:r>
      <w:r w:rsidR="000F74F4">
        <w:rPr>
          <w:rFonts w:ascii="Open Sans" w:hAnsi="Open Sans" w:cs="Open Sans"/>
          <w:szCs w:val="22"/>
        </w:rPr>
        <w:t xml:space="preserve"> first stage</w:t>
      </w:r>
      <w:r w:rsidR="00F41DA3">
        <w:rPr>
          <w:rFonts w:ascii="Open Sans" w:hAnsi="Open Sans" w:cs="Open Sans"/>
          <w:szCs w:val="22"/>
        </w:rPr>
        <w:t xml:space="preserve"> </w:t>
      </w:r>
      <w:r w:rsidR="002C2621">
        <w:rPr>
          <w:rFonts w:ascii="Open Sans" w:hAnsi="Open Sans" w:cs="Open Sans"/>
          <w:szCs w:val="22"/>
        </w:rPr>
        <w:t xml:space="preserve">of the </w:t>
      </w:r>
      <w:r w:rsidR="00F41DA3">
        <w:rPr>
          <w:rFonts w:ascii="Open Sans" w:hAnsi="Open Sans" w:cs="Open Sans"/>
          <w:szCs w:val="22"/>
        </w:rPr>
        <w:t>application</w:t>
      </w:r>
      <w:r w:rsidR="000F74F4">
        <w:rPr>
          <w:rFonts w:ascii="Open Sans" w:hAnsi="Open Sans" w:cs="Open Sans"/>
          <w:szCs w:val="22"/>
        </w:rPr>
        <w:t xml:space="preserve"> will need </w:t>
      </w:r>
      <w:r w:rsidR="00F41DA3">
        <w:rPr>
          <w:rFonts w:ascii="Open Sans" w:hAnsi="Open Sans" w:cs="Open Sans"/>
          <w:szCs w:val="22"/>
        </w:rPr>
        <w:t xml:space="preserve">to include a statement on the size of the project </w:t>
      </w:r>
      <w:r w:rsidR="002C2621">
        <w:rPr>
          <w:rFonts w:ascii="Open Sans" w:hAnsi="Open Sans" w:cs="Open Sans"/>
          <w:szCs w:val="22"/>
        </w:rPr>
        <w:t>required</w:t>
      </w:r>
      <w:r w:rsidR="00F41DA3">
        <w:rPr>
          <w:rFonts w:ascii="Open Sans" w:hAnsi="Open Sans" w:cs="Open Sans"/>
          <w:szCs w:val="22"/>
        </w:rPr>
        <w:t>.</w:t>
      </w:r>
      <w:r w:rsidR="002C2621">
        <w:rPr>
          <w:rFonts w:ascii="Open Sans" w:hAnsi="Open Sans" w:cs="Open Sans"/>
          <w:szCs w:val="22"/>
        </w:rPr>
        <w:t xml:space="preserve"> This will need to be backed up within stage two with a heat loss assessment that demonstrates the installation is correctly sized and that the grant is issued at a fair level. This also means that a heat loss assessment is required for all projects, not just biomass boiler installations. </w:t>
      </w:r>
    </w:p>
    <w:p w14:paraId="0AAAC97B" w14:textId="53EE32D3" w:rsidR="002C2621" w:rsidRDefault="002C2621" w:rsidP="00926D06">
      <w:pPr>
        <w:rPr>
          <w:rFonts w:ascii="Open Sans" w:hAnsi="Open Sans" w:cs="Open Sans"/>
          <w:szCs w:val="22"/>
        </w:rPr>
      </w:pPr>
    </w:p>
    <w:p w14:paraId="26E5498E" w14:textId="705BA50F" w:rsidR="00B9181D" w:rsidRDefault="002C2621" w:rsidP="00926D06">
      <w:pPr>
        <w:rPr>
          <w:rFonts w:ascii="Open Sans" w:hAnsi="Open Sans" w:cs="Open Sans"/>
          <w:szCs w:val="22"/>
        </w:rPr>
      </w:pPr>
      <w:r>
        <w:rPr>
          <w:rFonts w:ascii="Open Sans" w:hAnsi="Open Sans" w:cs="Open Sans"/>
          <w:szCs w:val="22"/>
        </w:rPr>
        <w:t xml:space="preserve">Given the intention to make the first stage of the </w:t>
      </w:r>
      <w:r w:rsidR="00B9181D">
        <w:rPr>
          <w:rFonts w:ascii="Open Sans" w:hAnsi="Open Sans" w:cs="Open Sans"/>
          <w:szCs w:val="22"/>
        </w:rPr>
        <w:t xml:space="preserve">application consumer led, it will be important that the applicant is made aware that the grant they receive is based on the size of the project installed and that this will need </w:t>
      </w:r>
      <w:r w:rsidR="00B30129">
        <w:rPr>
          <w:rFonts w:ascii="Open Sans" w:hAnsi="Open Sans" w:cs="Open Sans"/>
          <w:szCs w:val="22"/>
        </w:rPr>
        <w:t>to be</w:t>
      </w:r>
      <w:r w:rsidR="00B9181D">
        <w:rPr>
          <w:rFonts w:ascii="Open Sans" w:hAnsi="Open Sans" w:cs="Open Sans"/>
          <w:szCs w:val="22"/>
        </w:rPr>
        <w:t xml:space="preserve"> appropriately justified by the installer in stage 2. It is important that consumers are protected during this process and that in the event that they have been miss sold an installation, that can then not be justified in stage 2, the remaining cost does not revert to the consumer. This </w:t>
      </w:r>
      <w:r w:rsidR="007E665F">
        <w:rPr>
          <w:rFonts w:ascii="Open Sans" w:hAnsi="Open Sans" w:cs="Open Sans"/>
          <w:szCs w:val="22"/>
        </w:rPr>
        <w:t>will</w:t>
      </w:r>
      <w:r w:rsidR="00B9181D">
        <w:rPr>
          <w:rFonts w:ascii="Open Sans" w:hAnsi="Open Sans" w:cs="Open Sans"/>
          <w:szCs w:val="22"/>
        </w:rPr>
        <w:t xml:space="preserve"> help to ensure installers design and install appropriately sized projects, as failure to secure a grant could see costs come back to them. </w:t>
      </w:r>
    </w:p>
    <w:p w14:paraId="650640C3" w14:textId="3BEF5A79" w:rsidR="00B9181D" w:rsidRDefault="00B9181D" w:rsidP="00926D06">
      <w:pPr>
        <w:rPr>
          <w:rFonts w:ascii="Open Sans" w:hAnsi="Open Sans" w:cs="Open Sans"/>
          <w:szCs w:val="22"/>
        </w:rPr>
      </w:pPr>
    </w:p>
    <w:p w14:paraId="3538BCFE" w14:textId="685A033C" w:rsidR="005974A0" w:rsidRPr="005974A0" w:rsidRDefault="005974A0" w:rsidP="00926D06">
      <w:pPr>
        <w:rPr>
          <w:rFonts w:ascii="Open Sans" w:hAnsi="Open Sans" w:cs="Open Sans"/>
          <w:b/>
          <w:bCs/>
          <w:szCs w:val="22"/>
        </w:rPr>
      </w:pPr>
      <w:r w:rsidRPr="005974A0">
        <w:rPr>
          <w:rFonts w:ascii="Open Sans" w:hAnsi="Open Sans" w:cs="Open Sans"/>
          <w:b/>
          <w:bCs/>
          <w:szCs w:val="22"/>
        </w:rPr>
        <w:t>A transparent process of recycling unspent budget is required in the legislation.</w:t>
      </w:r>
    </w:p>
    <w:p w14:paraId="79D3B3A3" w14:textId="77777777" w:rsidR="005974A0" w:rsidRDefault="005974A0" w:rsidP="00926D06">
      <w:pPr>
        <w:rPr>
          <w:rFonts w:ascii="Open Sans" w:hAnsi="Open Sans" w:cs="Open Sans"/>
          <w:szCs w:val="22"/>
        </w:rPr>
      </w:pPr>
    </w:p>
    <w:p w14:paraId="4BA87F8F" w14:textId="58B65755" w:rsidR="00B9181D" w:rsidRDefault="007E665F" w:rsidP="00926D06">
      <w:pPr>
        <w:rPr>
          <w:rFonts w:ascii="Open Sans" w:hAnsi="Open Sans" w:cs="Open Sans"/>
          <w:szCs w:val="22"/>
        </w:rPr>
      </w:pPr>
      <w:r>
        <w:rPr>
          <w:rFonts w:ascii="Open Sans" w:hAnsi="Open Sans" w:cs="Open Sans"/>
          <w:szCs w:val="22"/>
        </w:rPr>
        <w:t>W</w:t>
      </w:r>
      <w:r w:rsidR="00B9181D">
        <w:rPr>
          <w:rFonts w:ascii="Open Sans" w:hAnsi="Open Sans" w:cs="Open Sans"/>
          <w:szCs w:val="22"/>
        </w:rPr>
        <w:t xml:space="preserve">e support the intention to ensure that vouchers are redeemed in a reasonable </w:t>
      </w:r>
      <w:r>
        <w:rPr>
          <w:rFonts w:ascii="Open Sans" w:hAnsi="Open Sans" w:cs="Open Sans"/>
          <w:szCs w:val="22"/>
        </w:rPr>
        <w:t>time</w:t>
      </w:r>
      <w:r w:rsidR="00B9181D">
        <w:rPr>
          <w:rFonts w:ascii="Open Sans" w:hAnsi="Open Sans" w:cs="Open Sans"/>
          <w:szCs w:val="22"/>
        </w:rPr>
        <w:t xml:space="preserve"> and that unused vouchers are cancelled so that funding can be released for other applicants</w:t>
      </w:r>
      <w:r>
        <w:rPr>
          <w:rFonts w:ascii="Open Sans" w:hAnsi="Open Sans" w:cs="Open Sans"/>
          <w:szCs w:val="22"/>
        </w:rPr>
        <w:t>. This has been a major issue within previous power and heat</w:t>
      </w:r>
      <w:r w:rsidR="00B30129">
        <w:rPr>
          <w:rFonts w:ascii="Open Sans" w:hAnsi="Open Sans" w:cs="Open Sans"/>
          <w:szCs w:val="22"/>
        </w:rPr>
        <w:t xml:space="preserve"> support</w:t>
      </w:r>
      <w:r>
        <w:rPr>
          <w:rFonts w:ascii="Open Sans" w:hAnsi="Open Sans" w:cs="Open Sans"/>
          <w:szCs w:val="22"/>
        </w:rPr>
        <w:t xml:space="preserve"> mechanism</w:t>
      </w:r>
      <w:r w:rsidR="005974A0">
        <w:rPr>
          <w:rFonts w:ascii="Open Sans" w:hAnsi="Open Sans" w:cs="Open Sans"/>
          <w:szCs w:val="22"/>
        </w:rPr>
        <w:t xml:space="preserve">. For </w:t>
      </w:r>
      <w:r>
        <w:rPr>
          <w:rFonts w:ascii="Open Sans" w:hAnsi="Open Sans" w:cs="Open Sans"/>
          <w:szCs w:val="22"/>
        </w:rPr>
        <w:t>example</w:t>
      </w:r>
      <w:r w:rsidR="005974A0">
        <w:rPr>
          <w:rFonts w:ascii="Open Sans" w:hAnsi="Open Sans" w:cs="Open Sans"/>
          <w:szCs w:val="22"/>
        </w:rPr>
        <w:t>,</w:t>
      </w:r>
      <w:r>
        <w:rPr>
          <w:rFonts w:ascii="Open Sans" w:hAnsi="Open Sans" w:cs="Open Sans"/>
          <w:szCs w:val="22"/>
        </w:rPr>
        <w:t xml:space="preserve"> the FiT scheme</w:t>
      </w:r>
      <w:r w:rsidR="00B30129">
        <w:rPr>
          <w:rFonts w:ascii="Open Sans" w:hAnsi="Open Sans" w:cs="Open Sans"/>
          <w:szCs w:val="22"/>
        </w:rPr>
        <w:t xml:space="preserve"> </w:t>
      </w:r>
      <w:r>
        <w:rPr>
          <w:rFonts w:ascii="Open Sans" w:hAnsi="Open Sans" w:cs="Open Sans"/>
          <w:szCs w:val="22"/>
        </w:rPr>
        <w:t>had no mechanism to see spending</w:t>
      </w:r>
      <w:r w:rsidR="00B30129">
        <w:rPr>
          <w:rFonts w:ascii="Open Sans" w:hAnsi="Open Sans" w:cs="Open Sans"/>
          <w:szCs w:val="22"/>
        </w:rPr>
        <w:t xml:space="preserve">, that had been locked in by a tariff guarantee, </w:t>
      </w:r>
      <w:r>
        <w:rPr>
          <w:rFonts w:ascii="Open Sans" w:hAnsi="Open Sans" w:cs="Open Sans"/>
          <w:szCs w:val="22"/>
        </w:rPr>
        <w:t>recycled when it became apparent a project was not going to be built</w:t>
      </w:r>
      <w:r w:rsidR="005974A0">
        <w:rPr>
          <w:rFonts w:ascii="Open Sans" w:hAnsi="Open Sans" w:cs="Open Sans"/>
          <w:szCs w:val="22"/>
        </w:rPr>
        <w:t xml:space="preserve"> and the tariff</w:t>
      </w:r>
      <w:r w:rsidR="00B30129">
        <w:rPr>
          <w:rFonts w:ascii="Open Sans" w:hAnsi="Open Sans" w:cs="Open Sans"/>
          <w:szCs w:val="22"/>
        </w:rPr>
        <w:t xml:space="preserve"> surrendered</w:t>
      </w:r>
      <w:r w:rsidR="005974A0">
        <w:rPr>
          <w:rFonts w:ascii="Open Sans" w:hAnsi="Open Sans" w:cs="Open Sans"/>
          <w:szCs w:val="22"/>
        </w:rPr>
        <w:t xml:space="preserve">. A transparent mechanism that sees the budget recycled, if a voucher is cancelled, needs to be carefully considered within the legislation for the </w:t>
      </w:r>
      <w:r w:rsidR="00B30129">
        <w:rPr>
          <w:rFonts w:ascii="Open Sans" w:hAnsi="Open Sans" w:cs="Open Sans"/>
          <w:szCs w:val="22"/>
        </w:rPr>
        <w:t>new</w:t>
      </w:r>
      <w:r w:rsidR="005974A0">
        <w:rPr>
          <w:rFonts w:ascii="Open Sans" w:hAnsi="Open Sans" w:cs="Open Sans"/>
          <w:szCs w:val="22"/>
        </w:rPr>
        <w:t xml:space="preserve"> scheme. </w:t>
      </w:r>
    </w:p>
    <w:p w14:paraId="2E89A488" w14:textId="7179AF79" w:rsidR="005974A0" w:rsidRDefault="005974A0" w:rsidP="00926D06">
      <w:pPr>
        <w:rPr>
          <w:rFonts w:ascii="Open Sans" w:hAnsi="Open Sans" w:cs="Open Sans"/>
          <w:szCs w:val="22"/>
        </w:rPr>
      </w:pPr>
    </w:p>
    <w:p w14:paraId="242A0E8A" w14:textId="46BB133A" w:rsidR="00F41DA3" w:rsidRPr="002206C8" w:rsidRDefault="002206C8" w:rsidP="00926D06">
      <w:pPr>
        <w:rPr>
          <w:rFonts w:ascii="Open Sans" w:hAnsi="Open Sans" w:cs="Open Sans"/>
          <w:b/>
          <w:bCs/>
          <w:szCs w:val="22"/>
        </w:rPr>
      </w:pPr>
      <w:r w:rsidRPr="002206C8">
        <w:rPr>
          <w:rFonts w:ascii="Open Sans" w:hAnsi="Open Sans" w:cs="Open Sans"/>
          <w:b/>
          <w:bCs/>
          <w:szCs w:val="22"/>
        </w:rPr>
        <w:t xml:space="preserve">Clear KPI’s must be published for Ofgem and </w:t>
      </w:r>
      <w:r>
        <w:rPr>
          <w:rFonts w:ascii="Open Sans" w:hAnsi="Open Sans" w:cs="Open Sans"/>
          <w:b/>
          <w:bCs/>
          <w:szCs w:val="22"/>
        </w:rPr>
        <w:t xml:space="preserve">BEIS must hold them accountable </w:t>
      </w:r>
      <w:r w:rsidR="00E76400">
        <w:rPr>
          <w:rFonts w:ascii="Open Sans" w:hAnsi="Open Sans" w:cs="Open Sans"/>
          <w:b/>
          <w:bCs/>
          <w:szCs w:val="22"/>
        </w:rPr>
        <w:t>on</w:t>
      </w:r>
      <w:r>
        <w:rPr>
          <w:rFonts w:ascii="Open Sans" w:hAnsi="Open Sans" w:cs="Open Sans"/>
          <w:b/>
          <w:bCs/>
          <w:szCs w:val="22"/>
        </w:rPr>
        <w:t xml:space="preserve"> the scheme’s delivery. </w:t>
      </w:r>
    </w:p>
    <w:p w14:paraId="5138A87C" w14:textId="25072E5A" w:rsidR="00F41DA3" w:rsidRDefault="00F41DA3" w:rsidP="00926D06">
      <w:pPr>
        <w:rPr>
          <w:rFonts w:ascii="Open Sans" w:hAnsi="Open Sans" w:cs="Open Sans"/>
          <w:szCs w:val="22"/>
        </w:rPr>
      </w:pPr>
    </w:p>
    <w:p w14:paraId="44846C99" w14:textId="1E8402F2" w:rsidR="00F64F26" w:rsidRDefault="002206C8" w:rsidP="002206C8">
      <w:pPr>
        <w:rPr>
          <w:rFonts w:ascii="Open Sans" w:hAnsi="Open Sans" w:cs="Open Sans"/>
        </w:rPr>
      </w:pPr>
      <w:r>
        <w:rPr>
          <w:rFonts w:ascii="Open Sans" w:hAnsi="Open Sans" w:cs="Open Sans"/>
        </w:rPr>
        <w:t xml:space="preserve">Over the </w:t>
      </w:r>
      <w:r w:rsidR="00F64F26">
        <w:rPr>
          <w:rFonts w:ascii="Open Sans" w:hAnsi="Open Sans" w:cs="Open Sans"/>
        </w:rPr>
        <w:t xml:space="preserve">life of the RHI </w:t>
      </w:r>
      <w:r>
        <w:rPr>
          <w:rFonts w:ascii="Open Sans" w:hAnsi="Open Sans" w:cs="Open Sans"/>
        </w:rPr>
        <w:t>the REA has regularly engaged with Ofgem</w:t>
      </w:r>
      <w:r w:rsidR="00DC03AF">
        <w:rPr>
          <w:rFonts w:ascii="Open Sans" w:hAnsi="Open Sans" w:cs="Open Sans"/>
        </w:rPr>
        <w:t xml:space="preserve"> E-Serve</w:t>
      </w:r>
      <w:r w:rsidR="00F64F26">
        <w:rPr>
          <w:rFonts w:ascii="Open Sans" w:hAnsi="Open Sans" w:cs="Open Sans"/>
        </w:rPr>
        <w:t xml:space="preserve"> </w:t>
      </w:r>
      <w:r>
        <w:rPr>
          <w:rFonts w:ascii="Open Sans" w:hAnsi="Open Sans" w:cs="Open Sans"/>
        </w:rPr>
        <w:t>concerning our member’s</w:t>
      </w:r>
      <w:r w:rsidR="00F64F26">
        <w:rPr>
          <w:rFonts w:ascii="Open Sans" w:hAnsi="Open Sans" w:cs="Open Sans"/>
        </w:rPr>
        <w:t xml:space="preserve"> deep</w:t>
      </w:r>
      <w:r>
        <w:rPr>
          <w:rFonts w:ascii="Open Sans" w:hAnsi="Open Sans" w:cs="Open Sans"/>
        </w:rPr>
        <w:t xml:space="preserve"> frustrations </w:t>
      </w:r>
      <w:r w:rsidR="00F64F26">
        <w:rPr>
          <w:rFonts w:ascii="Open Sans" w:hAnsi="Open Sans" w:cs="Open Sans"/>
        </w:rPr>
        <w:t xml:space="preserve">in </w:t>
      </w:r>
      <w:r w:rsidR="00DC03AF">
        <w:rPr>
          <w:rFonts w:ascii="Open Sans" w:hAnsi="Open Sans" w:cs="Open Sans"/>
        </w:rPr>
        <w:t>the</w:t>
      </w:r>
      <w:r>
        <w:rPr>
          <w:rFonts w:ascii="Open Sans" w:hAnsi="Open Sans" w:cs="Open Sans"/>
        </w:rPr>
        <w:t xml:space="preserve"> delivery of the </w:t>
      </w:r>
      <w:r w:rsidR="00B30129">
        <w:rPr>
          <w:rFonts w:ascii="Open Sans" w:hAnsi="Open Sans" w:cs="Open Sans"/>
        </w:rPr>
        <w:t>RHI</w:t>
      </w:r>
      <w:r>
        <w:rPr>
          <w:rFonts w:ascii="Open Sans" w:hAnsi="Open Sans" w:cs="Open Sans"/>
        </w:rPr>
        <w:t xml:space="preserve">.  </w:t>
      </w:r>
      <w:r w:rsidR="00F64F26">
        <w:rPr>
          <w:rFonts w:ascii="Open Sans" w:hAnsi="Open Sans" w:cs="Open Sans"/>
        </w:rPr>
        <w:t>W</w:t>
      </w:r>
      <w:r>
        <w:rPr>
          <w:rFonts w:ascii="Open Sans" w:hAnsi="Open Sans" w:cs="Open Sans"/>
        </w:rPr>
        <w:t>e continue to receive regular communications from members reporting a wide range of operational issues</w:t>
      </w:r>
      <w:r w:rsidR="00F64F26">
        <w:rPr>
          <w:rFonts w:ascii="Open Sans" w:hAnsi="Open Sans" w:cs="Open Sans"/>
        </w:rPr>
        <w:t xml:space="preserve"> and serious complaints.   </w:t>
      </w:r>
    </w:p>
    <w:p w14:paraId="68474FD4" w14:textId="77777777" w:rsidR="00F64F26" w:rsidRDefault="00F64F26" w:rsidP="002206C8">
      <w:pPr>
        <w:rPr>
          <w:rFonts w:ascii="Open Sans" w:hAnsi="Open Sans" w:cs="Open Sans"/>
        </w:rPr>
      </w:pPr>
    </w:p>
    <w:p w14:paraId="592DB068" w14:textId="5809E0B5" w:rsidR="00F64F26" w:rsidRDefault="00B30129" w:rsidP="002206C8">
      <w:pPr>
        <w:rPr>
          <w:rFonts w:ascii="Open Sans" w:hAnsi="Open Sans" w:cs="Open Sans"/>
        </w:rPr>
      </w:pPr>
      <w:r>
        <w:rPr>
          <w:rFonts w:ascii="Open Sans" w:hAnsi="Open Sans" w:cs="Open Sans"/>
        </w:rPr>
        <w:t>Delays</w:t>
      </w:r>
      <w:r w:rsidR="002206C8">
        <w:rPr>
          <w:rFonts w:ascii="Open Sans" w:hAnsi="Open Sans" w:cs="Open Sans"/>
        </w:rPr>
        <w:t xml:space="preserve"> to accreditations, or reaccreditations,</w:t>
      </w:r>
      <w:r w:rsidR="00451DF7">
        <w:rPr>
          <w:rFonts w:ascii="Open Sans" w:hAnsi="Open Sans" w:cs="Open Sans"/>
        </w:rPr>
        <w:t xml:space="preserve"> has been </w:t>
      </w:r>
      <w:r w:rsidR="00DC03AF">
        <w:rPr>
          <w:rFonts w:ascii="Open Sans" w:hAnsi="Open Sans" w:cs="Open Sans"/>
        </w:rPr>
        <w:t xml:space="preserve">long term </w:t>
      </w:r>
      <w:r w:rsidR="00F64F26">
        <w:rPr>
          <w:rFonts w:ascii="Open Sans" w:hAnsi="Open Sans" w:cs="Open Sans"/>
        </w:rPr>
        <w:t>concern</w:t>
      </w:r>
      <w:r w:rsidR="002206C8">
        <w:rPr>
          <w:rFonts w:ascii="Open Sans" w:hAnsi="Open Sans" w:cs="Open Sans"/>
        </w:rPr>
        <w:t xml:space="preserve">. A twelve-month delay seems common in the cases reported to us, with several reporting delays of over 23 months. While we appreciate Ofgem needs to appropriately consider applications, the length of delays </w:t>
      </w:r>
      <w:r w:rsidR="00451DF7">
        <w:rPr>
          <w:rFonts w:ascii="Open Sans" w:hAnsi="Open Sans" w:cs="Open Sans"/>
        </w:rPr>
        <w:t>has been simply</w:t>
      </w:r>
      <w:r w:rsidR="002206C8">
        <w:rPr>
          <w:rFonts w:ascii="Open Sans" w:hAnsi="Open Sans" w:cs="Open Sans"/>
        </w:rPr>
        <w:t xml:space="preserve"> unacceptable. In these cases, our members report being engaged, responsive to queries and proactive within the RHI application process. When they do get </w:t>
      </w:r>
      <w:r w:rsidR="00DC03AF">
        <w:rPr>
          <w:rFonts w:ascii="Open Sans" w:hAnsi="Open Sans" w:cs="Open Sans"/>
        </w:rPr>
        <w:t>responses,</w:t>
      </w:r>
      <w:r w:rsidR="002206C8">
        <w:rPr>
          <w:rFonts w:ascii="Open Sans" w:hAnsi="Open Sans" w:cs="Open Sans"/>
        </w:rPr>
        <w:t xml:space="preserve"> they are frequently asked for information that they have already sent or for new information which seems irrelevant to the application. </w:t>
      </w:r>
      <w:r w:rsidR="00451DF7">
        <w:rPr>
          <w:rFonts w:ascii="Open Sans" w:hAnsi="Open Sans" w:cs="Open Sans"/>
        </w:rPr>
        <w:t xml:space="preserve">Issues seem to be significantly exacerbated by </w:t>
      </w:r>
      <w:r w:rsidR="00DC03AF">
        <w:rPr>
          <w:rFonts w:ascii="Open Sans" w:hAnsi="Open Sans" w:cs="Open Sans"/>
        </w:rPr>
        <w:t>Ofgem being under</w:t>
      </w:r>
      <w:r w:rsidR="00AF354E">
        <w:rPr>
          <w:rFonts w:ascii="Open Sans" w:hAnsi="Open Sans" w:cs="Open Sans"/>
        </w:rPr>
        <w:t>-</w:t>
      </w:r>
      <w:r w:rsidR="00DC03AF">
        <w:rPr>
          <w:rFonts w:ascii="Open Sans" w:hAnsi="Open Sans" w:cs="Open Sans"/>
        </w:rPr>
        <w:t xml:space="preserve">resourced or some staff not having received adequate technical training. </w:t>
      </w:r>
      <w:r w:rsidR="00451DF7">
        <w:rPr>
          <w:rFonts w:ascii="Open Sans" w:hAnsi="Open Sans" w:cs="Open Sans"/>
        </w:rPr>
        <w:t xml:space="preserve"> </w:t>
      </w:r>
      <w:r w:rsidR="00F64F26">
        <w:rPr>
          <w:rFonts w:ascii="Open Sans" w:hAnsi="Open Sans" w:cs="Open Sans"/>
        </w:rPr>
        <w:t xml:space="preserve">Most seriously of all, these delays have led to some applicants reaching a point of insolvency due to delays in RHI income.  </w:t>
      </w:r>
    </w:p>
    <w:p w14:paraId="263DD0B9" w14:textId="2C7D1111" w:rsidR="00F64F26" w:rsidRDefault="00F64F26" w:rsidP="00F64F26">
      <w:pPr>
        <w:rPr>
          <w:rFonts w:ascii="Open Sans" w:hAnsi="Open Sans" w:cs="Open Sans"/>
        </w:rPr>
      </w:pPr>
    </w:p>
    <w:p w14:paraId="55047412" w14:textId="2D32F861" w:rsidR="00F64F26" w:rsidRDefault="00586513" w:rsidP="00F64F26">
      <w:pPr>
        <w:rPr>
          <w:rFonts w:ascii="Open Sans" w:hAnsi="Open Sans" w:cs="Open Sans"/>
        </w:rPr>
      </w:pPr>
      <w:r>
        <w:rPr>
          <w:rFonts w:ascii="Open Sans" w:hAnsi="Open Sans" w:cs="Open Sans"/>
        </w:rPr>
        <w:t>If Ofgem are to be awarded the contract for administering the Clean Heat Grant Scheme</w:t>
      </w:r>
      <w:r w:rsidR="00DC03AF">
        <w:rPr>
          <w:rFonts w:ascii="Open Sans" w:hAnsi="Open Sans" w:cs="Open Sans"/>
        </w:rPr>
        <w:t>, and it is not put out to wider tender, the existing</w:t>
      </w:r>
      <w:r>
        <w:rPr>
          <w:rFonts w:ascii="Open Sans" w:hAnsi="Open Sans" w:cs="Open Sans"/>
        </w:rPr>
        <w:t xml:space="preserve"> operational issues </w:t>
      </w:r>
      <w:r w:rsidR="00F64F26">
        <w:rPr>
          <w:rFonts w:ascii="Open Sans" w:hAnsi="Open Sans" w:cs="Open Sans"/>
        </w:rPr>
        <w:t xml:space="preserve">must be </w:t>
      </w:r>
      <w:r>
        <w:rPr>
          <w:rFonts w:ascii="Open Sans" w:hAnsi="Open Sans" w:cs="Open Sans"/>
        </w:rPr>
        <w:t>demonstrably resolved.  The new contract must include</w:t>
      </w:r>
      <w:r w:rsidR="00F64F26">
        <w:rPr>
          <w:rFonts w:ascii="Open Sans" w:hAnsi="Open Sans" w:cs="Open Sans"/>
        </w:rPr>
        <w:t xml:space="preserve"> clear KPI’s that BEIS actively hold them accountable</w:t>
      </w:r>
      <w:r>
        <w:rPr>
          <w:rFonts w:ascii="Open Sans" w:hAnsi="Open Sans" w:cs="Open Sans"/>
        </w:rPr>
        <w:t xml:space="preserve"> with regular performance reviews. </w:t>
      </w:r>
    </w:p>
    <w:p w14:paraId="73056FFA" w14:textId="77777777" w:rsidR="002120D5" w:rsidRPr="00E752B5" w:rsidRDefault="002120D5" w:rsidP="00926D06">
      <w:pPr>
        <w:rPr>
          <w:rFonts w:ascii="Open Sans" w:hAnsi="Open Sans" w:cs="Open Sans"/>
          <w:szCs w:val="22"/>
        </w:rPr>
      </w:pPr>
    </w:p>
    <w:p w14:paraId="3BB0B3B3" w14:textId="183F36E3" w:rsidR="000D49A6" w:rsidRDefault="00DC03AF" w:rsidP="00926D06">
      <w:pPr>
        <w:rPr>
          <w:rFonts w:ascii="Open Sans" w:hAnsi="Open Sans" w:cs="Open Sans"/>
          <w:b/>
          <w:bCs/>
          <w:i/>
          <w:iCs/>
          <w:color w:val="2F5496"/>
          <w:szCs w:val="22"/>
        </w:rPr>
      </w:pPr>
      <w:r w:rsidRPr="00DC03AF">
        <w:rPr>
          <w:rFonts w:ascii="Open Sans" w:hAnsi="Open Sans" w:cs="Open Sans"/>
          <w:b/>
          <w:bCs/>
          <w:i/>
          <w:iCs/>
          <w:color w:val="2F5496"/>
          <w:szCs w:val="22"/>
        </w:rPr>
        <w:t xml:space="preserve">Question 29 - </w:t>
      </w:r>
      <w:r w:rsidR="000D49A6" w:rsidRPr="00DC03AF">
        <w:rPr>
          <w:rFonts w:ascii="Open Sans" w:hAnsi="Open Sans" w:cs="Open Sans"/>
          <w:b/>
          <w:bCs/>
          <w:i/>
          <w:iCs/>
          <w:color w:val="2F5496"/>
          <w:szCs w:val="22"/>
        </w:rPr>
        <w:t>Do you agree with the minimum efficiency requirements for heat pumps and evidence requirements? Yes/No. Please provide further evidence to support your response.</w:t>
      </w:r>
    </w:p>
    <w:p w14:paraId="4C297436" w14:textId="6D5C1BF9" w:rsidR="00DC03AF" w:rsidRDefault="00DC03AF" w:rsidP="00926D06">
      <w:pPr>
        <w:rPr>
          <w:rFonts w:ascii="Open Sans" w:hAnsi="Open Sans" w:cs="Open Sans"/>
          <w:b/>
          <w:bCs/>
          <w:i/>
          <w:iCs/>
          <w:color w:val="2F5496"/>
          <w:szCs w:val="22"/>
        </w:rPr>
      </w:pPr>
    </w:p>
    <w:p w14:paraId="01AA0FEE" w14:textId="6E66EB3E" w:rsidR="00DC03AF" w:rsidRPr="00DC03AF" w:rsidRDefault="00DC03AF" w:rsidP="00926D06">
      <w:pPr>
        <w:rPr>
          <w:rFonts w:ascii="Open Sans" w:hAnsi="Open Sans" w:cs="Open Sans"/>
          <w:szCs w:val="22"/>
        </w:rPr>
      </w:pPr>
      <w:r w:rsidRPr="00DC03AF">
        <w:rPr>
          <w:rFonts w:ascii="Open Sans" w:hAnsi="Open Sans" w:cs="Open Sans"/>
          <w:szCs w:val="22"/>
          <w:highlight w:val="yellow"/>
        </w:rPr>
        <w:t xml:space="preserve">Members views on the question welcome </w:t>
      </w:r>
      <w:r w:rsidRPr="00DC03AF">
        <w:rPr>
          <w:rFonts w:ascii="Open Sans" w:hAnsi="Open Sans" w:cs="Open Sans"/>
          <w:szCs w:val="22"/>
        </w:rPr>
        <w:t xml:space="preserve"> </w:t>
      </w:r>
    </w:p>
    <w:p w14:paraId="70154B00" w14:textId="7BEB433F" w:rsidR="000D49A6" w:rsidRPr="002120D5" w:rsidRDefault="000D49A6" w:rsidP="00926D06">
      <w:pPr>
        <w:rPr>
          <w:rFonts w:ascii="Open Sans" w:hAnsi="Open Sans" w:cs="Open Sans"/>
          <w:b/>
          <w:bCs/>
          <w:szCs w:val="22"/>
        </w:rPr>
      </w:pPr>
    </w:p>
    <w:p w14:paraId="0B7FB8A8" w14:textId="114BFEC1" w:rsidR="000D49A6" w:rsidRDefault="00DC03AF" w:rsidP="00926D06">
      <w:pPr>
        <w:rPr>
          <w:rFonts w:ascii="Open Sans" w:hAnsi="Open Sans" w:cs="Open Sans"/>
          <w:b/>
          <w:bCs/>
          <w:color w:val="2F5496"/>
          <w:szCs w:val="22"/>
        </w:rPr>
      </w:pPr>
      <w:r w:rsidRPr="00DC03AF">
        <w:rPr>
          <w:rFonts w:ascii="Open Sans" w:hAnsi="Open Sans" w:cs="Open Sans"/>
          <w:b/>
          <w:bCs/>
          <w:i/>
          <w:iCs/>
          <w:color w:val="2F5496"/>
          <w:szCs w:val="22"/>
        </w:rPr>
        <w:t xml:space="preserve">Question 30 - </w:t>
      </w:r>
      <w:r w:rsidR="000D49A6" w:rsidRPr="00DC03AF">
        <w:rPr>
          <w:rFonts w:ascii="Open Sans" w:hAnsi="Open Sans" w:cs="Open Sans"/>
          <w:b/>
          <w:bCs/>
          <w:i/>
          <w:iCs/>
          <w:color w:val="2F5496"/>
          <w:szCs w:val="22"/>
        </w:rPr>
        <w:t>Do you agree with the proposal to require electricity metering for all heat pump installations? Yes/No. Please provide further evidence to support your response.</w:t>
      </w:r>
    </w:p>
    <w:p w14:paraId="2B78ED3C" w14:textId="5931D656" w:rsidR="00DC03AF" w:rsidRDefault="00DC03AF" w:rsidP="00926D06">
      <w:pPr>
        <w:rPr>
          <w:rFonts w:ascii="Open Sans" w:hAnsi="Open Sans" w:cs="Open Sans"/>
          <w:b/>
          <w:bCs/>
          <w:color w:val="2F5496"/>
          <w:szCs w:val="22"/>
        </w:rPr>
      </w:pPr>
    </w:p>
    <w:p w14:paraId="67F87C47" w14:textId="03B92426" w:rsidR="00DC03AF" w:rsidRPr="00B30129" w:rsidRDefault="00B30129" w:rsidP="00926D06">
      <w:pPr>
        <w:rPr>
          <w:rFonts w:ascii="Open Sans" w:hAnsi="Open Sans" w:cs="Open Sans"/>
          <w:b/>
          <w:bCs/>
          <w:color w:val="2F5496"/>
          <w:szCs w:val="22"/>
        </w:rPr>
      </w:pPr>
      <w:r w:rsidRPr="00B30129">
        <w:rPr>
          <w:rFonts w:ascii="Open Sans" w:hAnsi="Open Sans" w:cs="Open Sans"/>
        </w:rPr>
        <w:t xml:space="preserve">Yes, but this should go further and there should be a requirement to install heat meters on the output of the heat pumps as well.  Whilst the installation of an electricity meter allows the householder to monitor electricity usage, it does not give them an understanding of the system efficiency.  Fitting a heat meter as well allows comparison of electricity used with heat delivered and thus provides a clear indication of system performance.  This will drive installation standards up as householders can hold installers to account.  Poor design in heat pump systems </w:t>
      </w:r>
      <w:r w:rsidR="00855CFB">
        <w:rPr>
          <w:rFonts w:ascii="Open Sans" w:hAnsi="Open Sans" w:cs="Open Sans"/>
        </w:rPr>
        <w:t xml:space="preserve">can </w:t>
      </w:r>
      <w:r w:rsidRPr="00B30129">
        <w:rPr>
          <w:rFonts w:ascii="Open Sans" w:hAnsi="Open Sans" w:cs="Open Sans"/>
        </w:rPr>
        <w:t>result in excessive electricity consumption, depriving other grid users of capacity and increasing heating costs for consumers.</w:t>
      </w:r>
    </w:p>
    <w:p w14:paraId="19CFC778" w14:textId="77777777" w:rsidR="000D49A6" w:rsidRPr="00E752B5" w:rsidRDefault="000D49A6" w:rsidP="00926D06">
      <w:pPr>
        <w:rPr>
          <w:rFonts w:ascii="Open Sans" w:hAnsi="Open Sans" w:cs="Open Sans"/>
          <w:b/>
          <w:bCs/>
          <w:color w:val="2F5496"/>
          <w:szCs w:val="22"/>
        </w:rPr>
      </w:pPr>
    </w:p>
    <w:p w14:paraId="358B39DF" w14:textId="29C6015D" w:rsidR="00B96CE1" w:rsidRPr="00E752B5" w:rsidRDefault="00273E54" w:rsidP="00926D06">
      <w:pPr>
        <w:rPr>
          <w:rFonts w:ascii="Open Sans" w:hAnsi="Open Sans" w:cs="Open Sans"/>
          <w:b/>
          <w:bCs/>
          <w:i/>
          <w:iCs/>
          <w:color w:val="2F5496"/>
          <w:szCs w:val="22"/>
        </w:rPr>
      </w:pPr>
      <w:r w:rsidRPr="00E752B5">
        <w:rPr>
          <w:rFonts w:ascii="Open Sans" w:hAnsi="Open Sans" w:cs="Open Sans"/>
          <w:b/>
          <w:bCs/>
          <w:color w:val="2F5496"/>
          <w:szCs w:val="22"/>
        </w:rPr>
        <w:t>Consultation Question 31 - D</w:t>
      </w:r>
      <w:r w:rsidRPr="00E752B5">
        <w:rPr>
          <w:rFonts w:ascii="Open Sans" w:hAnsi="Open Sans" w:cs="Open Sans"/>
          <w:b/>
          <w:bCs/>
          <w:i/>
          <w:iCs/>
          <w:color w:val="2F5496"/>
          <w:szCs w:val="22"/>
        </w:rPr>
        <w:t>o you agree with the proposed air quality requirements set out above? Yes/No. Please provide further evidence to support your response.</w:t>
      </w:r>
    </w:p>
    <w:p w14:paraId="3937FFD9" w14:textId="77777777" w:rsidR="00B96CE1" w:rsidRPr="00E752B5" w:rsidRDefault="00B96CE1" w:rsidP="00B96CE1">
      <w:pPr>
        <w:rPr>
          <w:rFonts w:ascii="Open Sans" w:hAnsi="Open Sans" w:cs="Open Sans"/>
          <w:b/>
          <w:bCs/>
          <w:szCs w:val="22"/>
          <w:u w:val="single"/>
        </w:rPr>
      </w:pPr>
    </w:p>
    <w:p w14:paraId="0612DDBD" w14:textId="77777777" w:rsidR="00C6515F" w:rsidRPr="00F92FC6" w:rsidRDefault="00C6515F" w:rsidP="00B96CE1">
      <w:pPr>
        <w:rPr>
          <w:rFonts w:ascii="Open Sans" w:hAnsi="Open Sans" w:cs="Open Sans"/>
          <w:b/>
          <w:bCs/>
          <w:szCs w:val="22"/>
        </w:rPr>
      </w:pPr>
      <w:r w:rsidRPr="00F92FC6">
        <w:rPr>
          <w:rFonts w:ascii="Open Sans" w:hAnsi="Open Sans" w:cs="Open Sans"/>
          <w:b/>
          <w:bCs/>
          <w:szCs w:val="22"/>
        </w:rPr>
        <w:t xml:space="preserve">No. </w:t>
      </w:r>
    </w:p>
    <w:p w14:paraId="22B39BF6" w14:textId="77777777" w:rsidR="00C6515F" w:rsidRPr="00F92FC6" w:rsidRDefault="00C6515F" w:rsidP="00B96CE1">
      <w:pPr>
        <w:rPr>
          <w:rFonts w:ascii="Open Sans" w:hAnsi="Open Sans" w:cs="Open Sans"/>
          <w:b/>
          <w:bCs/>
          <w:szCs w:val="22"/>
        </w:rPr>
      </w:pPr>
    </w:p>
    <w:p w14:paraId="345EE786" w14:textId="1CD140E7" w:rsidR="007D6443" w:rsidRPr="00F92FC6" w:rsidRDefault="00273E54" w:rsidP="00B96CE1">
      <w:pPr>
        <w:rPr>
          <w:rFonts w:ascii="Open Sans" w:hAnsi="Open Sans" w:cs="Open Sans"/>
          <w:b/>
          <w:bCs/>
          <w:szCs w:val="22"/>
        </w:rPr>
      </w:pPr>
      <w:r w:rsidRPr="00F92FC6">
        <w:rPr>
          <w:rFonts w:ascii="Open Sans" w:hAnsi="Open Sans" w:cs="Open Sans"/>
          <w:b/>
          <w:bCs/>
          <w:szCs w:val="22"/>
        </w:rPr>
        <w:t>Biomass projects</w:t>
      </w:r>
      <w:r w:rsidR="00926D06" w:rsidRPr="00F92FC6">
        <w:rPr>
          <w:rFonts w:ascii="Open Sans" w:hAnsi="Open Sans" w:cs="Open Sans"/>
          <w:b/>
          <w:bCs/>
          <w:szCs w:val="22"/>
        </w:rPr>
        <w:t xml:space="preserve">, regulated with </w:t>
      </w:r>
      <w:r w:rsidRPr="00F92FC6">
        <w:rPr>
          <w:rFonts w:ascii="Open Sans" w:hAnsi="Open Sans" w:cs="Open Sans"/>
          <w:b/>
          <w:bCs/>
          <w:szCs w:val="22"/>
        </w:rPr>
        <w:t>high emission</w:t>
      </w:r>
      <w:r w:rsidR="00926D06" w:rsidRPr="00F92FC6">
        <w:rPr>
          <w:rFonts w:ascii="Open Sans" w:hAnsi="Open Sans" w:cs="Open Sans"/>
          <w:b/>
          <w:bCs/>
          <w:szCs w:val="22"/>
        </w:rPr>
        <w:t xml:space="preserve"> and maintenance</w:t>
      </w:r>
      <w:r w:rsidRPr="00F92FC6">
        <w:rPr>
          <w:rFonts w:ascii="Open Sans" w:hAnsi="Open Sans" w:cs="Open Sans"/>
          <w:b/>
          <w:bCs/>
          <w:szCs w:val="22"/>
        </w:rPr>
        <w:t xml:space="preserve"> standards</w:t>
      </w:r>
      <w:r w:rsidR="00926D06" w:rsidRPr="00F92FC6">
        <w:rPr>
          <w:rFonts w:ascii="Open Sans" w:hAnsi="Open Sans" w:cs="Open Sans"/>
          <w:b/>
          <w:bCs/>
          <w:szCs w:val="22"/>
        </w:rPr>
        <w:t xml:space="preserve">, </w:t>
      </w:r>
      <w:r w:rsidRPr="00F92FC6">
        <w:rPr>
          <w:rFonts w:ascii="Open Sans" w:hAnsi="Open Sans" w:cs="Open Sans"/>
          <w:b/>
          <w:bCs/>
          <w:szCs w:val="22"/>
        </w:rPr>
        <w:t xml:space="preserve">should be allowed to be deployed in </w:t>
      </w:r>
      <w:r w:rsidR="009303A7" w:rsidRPr="00F92FC6">
        <w:rPr>
          <w:rFonts w:ascii="Open Sans" w:hAnsi="Open Sans" w:cs="Open Sans"/>
          <w:b/>
          <w:bCs/>
          <w:szCs w:val="22"/>
        </w:rPr>
        <w:t>on</w:t>
      </w:r>
      <w:r w:rsidR="007459B8" w:rsidRPr="00F92FC6">
        <w:rPr>
          <w:rFonts w:ascii="Open Sans" w:hAnsi="Open Sans" w:cs="Open Sans"/>
          <w:b/>
          <w:bCs/>
          <w:szCs w:val="22"/>
        </w:rPr>
        <w:t>-</w:t>
      </w:r>
      <w:r w:rsidR="009303A7" w:rsidRPr="00F92FC6">
        <w:rPr>
          <w:rFonts w:ascii="Open Sans" w:hAnsi="Open Sans" w:cs="Open Sans"/>
          <w:b/>
          <w:bCs/>
          <w:szCs w:val="22"/>
        </w:rPr>
        <w:t xml:space="preserve">gas grid areas. </w:t>
      </w:r>
    </w:p>
    <w:p w14:paraId="37E4C24B" w14:textId="77777777" w:rsidR="007D6443" w:rsidRPr="00E752B5" w:rsidRDefault="007D6443" w:rsidP="007D6443">
      <w:pPr>
        <w:pStyle w:val="ListParagraph"/>
        <w:rPr>
          <w:rFonts w:ascii="Open Sans" w:hAnsi="Open Sans" w:cs="Open Sans"/>
          <w:b/>
          <w:bCs/>
          <w:szCs w:val="22"/>
        </w:rPr>
      </w:pPr>
    </w:p>
    <w:p w14:paraId="347EE6D3" w14:textId="6CBE3082" w:rsidR="00AB16B2" w:rsidRDefault="00273E54" w:rsidP="00926D06">
      <w:pPr>
        <w:rPr>
          <w:rFonts w:ascii="Open Sans" w:hAnsi="Open Sans" w:cs="Open Sans"/>
          <w:szCs w:val="22"/>
        </w:rPr>
      </w:pPr>
      <w:r w:rsidRPr="00E752B5">
        <w:rPr>
          <w:rFonts w:ascii="Open Sans" w:hAnsi="Open Sans" w:cs="Open Sans"/>
          <w:szCs w:val="22"/>
        </w:rPr>
        <w:t xml:space="preserve">Biomass, due to </w:t>
      </w:r>
      <w:r w:rsidR="00926D06" w:rsidRPr="00E752B5">
        <w:rPr>
          <w:rFonts w:ascii="Open Sans" w:hAnsi="Open Sans" w:cs="Open Sans"/>
          <w:szCs w:val="22"/>
        </w:rPr>
        <w:t>its</w:t>
      </w:r>
      <w:r w:rsidRPr="00E752B5">
        <w:rPr>
          <w:rFonts w:ascii="Open Sans" w:hAnsi="Open Sans" w:cs="Open Sans"/>
          <w:szCs w:val="22"/>
        </w:rPr>
        <w:t xml:space="preserve"> </w:t>
      </w:r>
      <w:r w:rsidR="00A022F0" w:rsidRPr="00E752B5">
        <w:rPr>
          <w:rFonts w:ascii="Open Sans" w:hAnsi="Open Sans" w:cs="Open Sans"/>
          <w:szCs w:val="22"/>
        </w:rPr>
        <w:t>ability to meet higher</w:t>
      </w:r>
      <w:r w:rsidR="006E016F" w:rsidRPr="00E752B5">
        <w:rPr>
          <w:rFonts w:ascii="Open Sans" w:hAnsi="Open Sans" w:cs="Open Sans"/>
          <w:szCs w:val="22"/>
        </w:rPr>
        <w:t xml:space="preserve"> and varying</w:t>
      </w:r>
      <w:r w:rsidR="00A022F0" w:rsidRPr="00E752B5">
        <w:rPr>
          <w:rFonts w:ascii="Open Sans" w:hAnsi="Open Sans" w:cs="Open Sans"/>
          <w:szCs w:val="22"/>
        </w:rPr>
        <w:t xml:space="preserve"> </w:t>
      </w:r>
      <w:r w:rsidRPr="00E752B5">
        <w:rPr>
          <w:rFonts w:ascii="Open Sans" w:hAnsi="Open Sans" w:cs="Open Sans"/>
          <w:szCs w:val="22"/>
        </w:rPr>
        <w:t>heat load</w:t>
      </w:r>
      <w:r w:rsidR="00A022F0" w:rsidRPr="00E752B5">
        <w:rPr>
          <w:rFonts w:ascii="Open Sans" w:hAnsi="Open Sans" w:cs="Open Sans"/>
          <w:szCs w:val="22"/>
        </w:rPr>
        <w:t>s</w:t>
      </w:r>
      <w:r w:rsidR="006E016F" w:rsidRPr="00E752B5">
        <w:rPr>
          <w:rFonts w:ascii="Open Sans" w:hAnsi="Open Sans" w:cs="Open Sans"/>
          <w:szCs w:val="22"/>
        </w:rPr>
        <w:t xml:space="preserve">, </w:t>
      </w:r>
      <w:r w:rsidRPr="00E752B5">
        <w:rPr>
          <w:rFonts w:ascii="Open Sans" w:hAnsi="Open Sans" w:cs="Open Sans"/>
          <w:szCs w:val="22"/>
        </w:rPr>
        <w:t xml:space="preserve">has a particularly strong role to play in </w:t>
      </w:r>
      <w:r w:rsidR="00926C15" w:rsidRPr="00E752B5">
        <w:rPr>
          <w:rFonts w:ascii="Open Sans" w:hAnsi="Open Sans" w:cs="Open Sans"/>
          <w:szCs w:val="22"/>
        </w:rPr>
        <w:t>c</w:t>
      </w:r>
      <w:r w:rsidRPr="00E752B5">
        <w:rPr>
          <w:rFonts w:ascii="Open Sans" w:hAnsi="Open Sans" w:cs="Open Sans"/>
          <w:szCs w:val="22"/>
        </w:rPr>
        <w:t xml:space="preserve">ommercial </w:t>
      </w:r>
      <w:r w:rsidR="00926D06" w:rsidRPr="00E752B5">
        <w:rPr>
          <w:rFonts w:ascii="Open Sans" w:hAnsi="Open Sans" w:cs="Open Sans"/>
          <w:szCs w:val="22"/>
        </w:rPr>
        <w:t>applications, including</w:t>
      </w:r>
      <w:r w:rsidR="00926C15" w:rsidRPr="00E752B5">
        <w:rPr>
          <w:rFonts w:ascii="Open Sans" w:hAnsi="Open Sans" w:cs="Open Sans"/>
          <w:szCs w:val="22"/>
        </w:rPr>
        <w:t xml:space="preserve"> p</w:t>
      </w:r>
      <w:r w:rsidRPr="00E752B5">
        <w:rPr>
          <w:rFonts w:ascii="Open Sans" w:hAnsi="Open Sans" w:cs="Open Sans"/>
          <w:szCs w:val="22"/>
        </w:rPr>
        <w:t xml:space="preserve">ublic sector </w:t>
      </w:r>
      <w:r w:rsidR="00926D06" w:rsidRPr="00E752B5">
        <w:rPr>
          <w:rFonts w:ascii="Open Sans" w:hAnsi="Open Sans" w:cs="Open Sans"/>
          <w:szCs w:val="22"/>
        </w:rPr>
        <w:t>buildings</w:t>
      </w:r>
      <w:r w:rsidRPr="00E752B5">
        <w:rPr>
          <w:rFonts w:ascii="Open Sans" w:hAnsi="Open Sans" w:cs="Open Sans"/>
          <w:szCs w:val="22"/>
        </w:rPr>
        <w:t xml:space="preserve"> such as </w:t>
      </w:r>
      <w:r w:rsidR="00926D06" w:rsidRPr="00E752B5">
        <w:rPr>
          <w:rFonts w:ascii="Open Sans" w:hAnsi="Open Sans" w:cs="Open Sans"/>
          <w:szCs w:val="22"/>
        </w:rPr>
        <w:t>hospitals, schools</w:t>
      </w:r>
      <w:r w:rsidRPr="00E752B5">
        <w:rPr>
          <w:rFonts w:ascii="Open Sans" w:hAnsi="Open Sans" w:cs="Open Sans"/>
          <w:szCs w:val="22"/>
        </w:rPr>
        <w:t>, public swimming pools, council offices and innovation in district heating schemes.</w:t>
      </w:r>
      <w:r w:rsidR="009303A7" w:rsidRPr="00E752B5">
        <w:rPr>
          <w:rFonts w:ascii="Open Sans" w:hAnsi="Open Sans" w:cs="Open Sans"/>
          <w:szCs w:val="22"/>
        </w:rPr>
        <w:t xml:space="preserve"> </w:t>
      </w:r>
      <w:r w:rsidR="00AB16B2">
        <w:rPr>
          <w:rFonts w:ascii="Open Sans" w:hAnsi="Open Sans" w:cs="Open Sans"/>
          <w:szCs w:val="22"/>
        </w:rPr>
        <w:t xml:space="preserve">The RHI has </w:t>
      </w:r>
      <w:r w:rsidR="00AB16B2">
        <w:rPr>
          <w:rFonts w:ascii="Open Sans" w:hAnsi="Open Sans" w:cs="Open Sans"/>
          <w:szCs w:val="22"/>
        </w:rPr>
        <w:lastRenderedPageBreak/>
        <w:t>also demonstrated that biomass provides the best value for money of any technology at these scales</w:t>
      </w:r>
      <w:r w:rsidR="00CB6E76">
        <w:rPr>
          <w:rFonts w:ascii="Open Sans" w:hAnsi="Open Sans" w:cs="Open Sans"/>
          <w:szCs w:val="22"/>
        </w:rPr>
        <w:t>, averaging £463/ kW across the range of biomass tariffs in the Non-Domestic RHI</w:t>
      </w:r>
      <w:r w:rsidR="00855CFB">
        <w:rPr>
          <w:rFonts w:ascii="Open Sans" w:hAnsi="Open Sans" w:cs="Open Sans"/>
          <w:szCs w:val="22"/>
        </w:rPr>
        <w:t xml:space="preserve"> -</w:t>
      </w:r>
      <w:r w:rsidR="00CB6E76">
        <w:rPr>
          <w:rFonts w:ascii="Open Sans" w:hAnsi="Open Sans" w:cs="Open Sans"/>
          <w:szCs w:val="22"/>
        </w:rPr>
        <w:t xml:space="preserve"> half that of any other technology.  </w:t>
      </w:r>
      <w:r w:rsidR="009303A7" w:rsidRPr="00E752B5">
        <w:rPr>
          <w:rFonts w:ascii="Open Sans" w:hAnsi="Open Sans" w:cs="Open Sans"/>
          <w:szCs w:val="22"/>
        </w:rPr>
        <w:t xml:space="preserve">Such buildings </w:t>
      </w:r>
      <w:r w:rsidR="005443AB" w:rsidRPr="00E752B5">
        <w:rPr>
          <w:rFonts w:ascii="Open Sans" w:hAnsi="Open Sans" w:cs="Open Sans"/>
          <w:szCs w:val="22"/>
        </w:rPr>
        <w:t>are</w:t>
      </w:r>
      <w:r w:rsidR="00CB6E76">
        <w:rPr>
          <w:rFonts w:ascii="Open Sans" w:hAnsi="Open Sans" w:cs="Open Sans"/>
          <w:szCs w:val="22"/>
        </w:rPr>
        <w:t xml:space="preserve">, however, </w:t>
      </w:r>
      <w:r w:rsidR="005443AB" w:rsidRPr="00E752B5">
        <w:rPr>
          <w:rFonts w:ascii="Open Sans" w:hAnsi="Open Sans" w:cs="Open Sans"/>
          <w:szCs w:val="22"/>
        </w:rPr>
        <w:t xml:space="preserve">commonly </w:t>
      </w:r>
      <w:r w:rsidR="007459B8" w:rsidRPr="00E752B5">
        <w:rPr>
          <w:rFonts w:ascii="Open Sans" w:hAnsi="Open Sans" w:cs="Open Sans"/>
          <w:szCs w:val="22"/>
        </w:rPr>
        <w:t xml:space="preserve">located </w:t>
      </w:r>
      <w:r w:rsidR="005443AB" w:rsidRPr="00E752B5">
        <w:rPr>
          <w:rFonts w:ascii="Open Sans" w:hAnsi="Open Sans" w:cs="Open Sans"/>
          <w:szCs w:val="22"/>
        </w:rPr>
        <w:t xml:space="preserve">within on-gas grid areas. </w:t>
      </w:r>
    </w:p>
    <w:p w14:paraId="11439298" w14:textId="77777777" w:rsidR="00AB16B2" w:rsidRDefault="00AB16B2" w:rsidP="00926D06">
      <w:pPr>
        <w:rPr>
          <w:rFonts w:ascii="Open Sans" w:hAnsi="Open Sans" w:cs="Open Sans"/>
          <w:szCs w:val="22"/>
        </w:rPr>
      </w:pPr>
    </w:p>
    <w:p w14:paraId="77D739D5" w14:textId="0164E035" w:rsidR="005D7314" w:rsidRPr="00E752B5" w:rsidRDefault="00CB6E76" w:rsidP="00926D06">
      <w:pPr>
        <w:rPr>
          <w:rFonts w:ascii="Open Sans" w:hAnsi="Open Sans" w:cs="Open Sans"/>
          <w:szCs w:val="22"/>
        </w:rPr>
      </w:pPr>
      <w:r>
        <w:rPr>
          <w:rFonts w:ascii="Open Sans" w:hAnsi="Open Sans" w:cs="Open Sans"/>
          <w:szCs w:val="22"/>
        </w:rPr>
        <w:t>T</w:t>
      </w:r>
      <w:r w:rsidR="005443AB" w:rsidRPr="00E752B5">
        <w:rPr>
          <w:rFonts w:ascii="Open Sans" w:hAnsi="Open Sans" w:cs="Open Sans"/>
          <w:szCs w:val="22"/>
        </w:rPr>
        <w:t>he</w:t>
      </w:r>
      <w:r w:rsidR="00273E54" w:rsidRPr="00E752B5">
        <w:rPr>
          <w:rFonts w:ascii="Open Sans" w:hAnsi="Open Sans" w:cs="Open Sans"/>
          <w:szCs w:val="22"/>
        </w:rPr>
        <w:t xml:space="preserve"> proposed restriction </w:t>
      </w:r>
      <w:r w:rsidR="005D7314" w:rsidRPr="00E752B5">
        <w:rPr>
          <w:rFonts w:ascii="Open Sans" w:hAnsi="Open Sans" w:cs="Open Sans"/>
          <w:szCs w:val="22"/>
        </w:rPr>
        <w:t>ignores the results that can be achieved from deploying Best Available Techniques (BAT), adopts an approach seen nowhere else in the world and sets a dangerous and difficult-to-reverse precedent which will further obstruct the deployment of renewable heat.</w:t>
      </w:r>
      <w:r>
        <w:rPr>
          <w:rFonts w:ascii="Open Sans" w:hAnsi="Open Sans" w:cs="Open Sans"/>
          <w:szCs w:val="22"/>
        </w:rPr>
        <w:t xml:space="preserve"> Ultimately this will make the full decarbonisation of the UK heat requirements more expensive, whil</w:t>
      </w:r>
      <w:r w:rsidR="00070B71">
        <w:rPr>
          <w:rFonts w:ascii="Open Sans" w:hAnsi="Open Sans" w:cs="Open Sans"/>
          <w:szCs w:val="22"/>
        </w:rPr>
        <w:t>st</w:t>
      </w:r>
      <w:r>
        <w:rPr>
          <w:rFonts w:ascii="Open Sans" w:hAnsi="Open Sans" w:cs="Open Sans"/>
          <w:szCs w:val="22"/>
        </w:rPr>
        <w:t xml:space="preserve"> not addressing the primary causes of emissions. </w:t>
      </w:r>
    </w:p>
    <w:p w14:paraId="07114D33" w14:textId="0BF174C6" w:rsidR="007D6443" w:rsidRPr="00E752B5" w:rsidRDefault="007D6443" w:rsidP="005D7314">
      <w:pPr>
        <w:rPr>
          <w:rFonts w:ascii="Open Sans" w:hAnsi="Open Sans" w:cs="Open Sans"/>
          <w:szCs w:val="22"/>
        </w:rPr>
      </w:pPr>
    </w:p>
    <w:p w14:paraId="3DCB4457" w14:textId="24C4215A" w:rsidR="007D6443" w:rsidRDefault="00273E54" w:rsidP="00926D06">
      <w:pPr>
        <w:rPr>
          <w:rFonts w:ascii="Open Sans" w:hAnsi="Open Sans" w:cs="Open Sans"/>
          <w:szCs w:val="22"/>
        </w:rPr>
      </w:pPr>
      <w:r w:rsidRPr="00E752B5">
        <w:rPr>
          <w:rFonts w:ascii="Open Sans" w:hAnsi="Open Sans" w:cs="Open Sans"/>
          <w:szCs w:val="22"/>
        </w:rPr>
        <w:t>As</w:t>
      </w:r>
      <w:r w:rsidR="00926D06" w:rsidRPr="00E752B5">
        <w:rPr>
          <w:rFonts w:ascii="Open Sans" w:hAnsi="Open Sans" w:cs="Open Sans"/>
          <w:szCs w:val="22"/>
        </w:rPr>
        <w:t xml:space="preserve"> has been</w:t>
      </w:r>
      <w:r w:rsidRPr="00E752B5">
        <w:rPr>
          <w:rFonts w:ascii="Open Sans" w:hAnsi="Open Sans" w:cs="Open Sans"/>
          <w:szCs w:val="22"/>
        </w:rPr>
        <w:t xml:space="preserve"> demonstrated to BEIS during the last urban biomass consultation, emissions from biomass boilers are not an issue where </w:t>
      </w:r>
      <w:r w:rsidR="00CB6E76">
        <w:rPr>
          <w:rFonts w:ascii="Open Sans" w:hAnsi="Open Sans" w:cs="Open Sans"/>
          <w:szCs w:val="22"/>
        </w:rPr>
        <w:t>best</w:t>
      </w:r>
      <w:r w:rsidR="00A022F0" w:rsidRPr="00E752B5">
        <w:rPr>
          <w:rFonts w:ascii="Open Sans" w:hAnsi="Open Sans" w:cs="Open Sans"/>
          <w:szCs w:val="22"/>
        </w:rPr>
        <w:t xml:space="preserve"> practice in design and operation are followed, and where flue gas</w:t>
      </w:r>
      <w:r w:rsidRPr="00E752B5">
        <w:rPr>
          <w:rFonts w:ascii="Open Sans" w:hAnsi="Open Sans" w:cs="Open Sans"/>
          <w:szCs w:val="22"/>
        </w:rPr>
        <w:t xml:space="preserve"> filters are fitted.</w:t>
      </w:r>
      <w:r w:rsidR="00926D06" w:rsidRPr="00E752B5">
        <w:rPr>
          <w:rFonts w:ascii="Open Sans" w:hAnsi="Open Sans" w:cs="Open Sans"/>
          <w:szCs w:val="22"/>
        </w:rPr>
        <w:t xml:space="preserve"> These are </w:t>
      </w:r>
      <w:r w:rsidR="00A022F0" w:rsidRPr="00E752B5">
        <w:rPr>
          <w:rFonts w:ascii="Open Sans" w:hAnsi="Open Sans" w:cs="Open Sans"/>
          <w:szCs w:val="22"/>
        </w:rPr>
        <w:t xml:space="preserve">mature technologies which are readily </w:t>
      </w:r>
      <w:r w:rsidR="00926D06" w:rsidRPr="00E752B5">
        <w:rPr>
          <w:rFonts w:ascii="Open Sans" w:hAnsi="Open Sans" w:cs="Open Sans"/>
          <w:szCs w:val="22"/>
        </w:rPr>
        <w:t xml:space="preserve">available. </w:t>
      </w:r>
      <w:r w:rsidRPr="00E752B5">
        <w:rPr>
          <w:rFonts w:ascii="Open Sans" w:hAnsi="Open Sans" w:cs="Open Sans"/>
          <w:szCs w:val="22"/>
        </w:rPr>
        <w:t xml:space="preserve"> Where </w:t>
      </w:r>
      <w:r w:rsidR="00A022F0" w:rsidRPr="00E752B5">
        <w:rPr>
          <w:rFonts w:ascii="Open Sans" w:hAnsi="Open Sans" w:cs="Open Sans"/>
          <w:szCs w:val="22"/>
        </w:rPr>
        <w:t xml:space="preserve">tighter </w:t>
      </w:r>
      <w:r w:rsidRPr="00E752B5">
        <w:rPr>
          <w:rFonts w:ascii="Open Sans" w:hAnsi="Open Sans" w:cs="Open Sans"/>
          <w:szCs w:val="22"/>
        </w:rPr>
        <w:t>emission and maintenance standards are put in place, biomass boilers meet emission levels</w:t>
      </w:r>
      <w:r w:rsidR="007459B8" w:rsidRPr="00E752B5">
        <w:rPr>
          <w:rFonts w:ascii="Open Sans" w:hAnsi="Open Sans" w:cs="Open Sans"/>
          <w:szCs w:val="22"/>
        </w:rPr>
        <w:t xml:space="preserve"> that cause no issues for </w:t>
      </w:r>
      <w:r w:rsidR="009303A7" w:rsidRPr="00E752B5">
        <w:rPr>
          <w:rFonts w:ascii="Open Sans" w:hAnsi="Open Sans" w:cs="Open Sans"/>
          <w:szCs w:val="22"/>
        </w:rPr>
        <w:t>urban</w:t>
      </w:r>
      <w:r w:rsidR="007459B8" w:rsidRPr="00E752B5">
        <w:rPr>
          <w:rFonts w:ascii="Open Sans" w:hAnsi="Open Sans" w:cs="Open Sans"/>
          <w:szCs w:val="22"/>
        </w:rPr>
        <w:t xml:space="preserve"> air quality</w:t>
      </w:r>
      <w:r w:rsidR="009303A7" w:rsidRPr="00E752B5">
        <w:rPr>
          <w:rFonts w:ascii="Open Sans" w:hAnsi="Open Sans" w:cs="Open Sans"/>
          <w:szCs w:val="22"/>
        </w:rPr>
        <w:t xml:space="preserve">. A survey conducted of WHA members during the previous consultation demonstrated average </w:t>
      </w:r>
      <w:r w:rsidR="005443AB" w:rsidRPr="00E752B5">
        <w:rPr>
          <w:rFonts w:ascii="Open Sans" w:hAnsi="Open Sans" w:cs="Open Sans"/>
          <w:szCs w:val="22"/>
        </w:rPr>
        <w:t>PM</w:t>
      </w:r>
      <w:r w:rsidR="009303A7" w:rsidRPr="00E752B5">
        <w:rPr>
          <w:rFonts w:ascii="Open Sans" w:hAnsi="Open Sans" w:cs="Open Sans"/>
          <w:szCs w:val="22"/>
        </w:rPr>
        <w:t xml:space="preserve"> of 5.18 g</w:t>
      </w:r>
      <w:r w:rsidR="005443AB" w:rsidRPr="00E752B5">
        <w:rPr>
          <w:rFonts w:ascii="Open Sans" w:hAnsi="Open Sans" w:cs="Open Sans"/>
          <w:szCs w:val="22"/>
        </w:rPr>
        <w:t>rams per GJ from current</w:t>
      </w:r>
      <w:r w:rsidR="00A022F0" w:rsidRPr="00E752B5">
        <w:rPr>
          <w:rFonts w:ascii="Open Sans" w:hAnsi="Open Sans" w:cs="Open Sans"/>
          <w:szCs w:val="22"/>
        </w:rPr>
        <w:t xml:space="preserve">ly operating </w:t>
      </w:r>
      <w:r w:rsidR="005443AB" w:rsidRPr="00E752B5">
        <w:rPr>
          <w:rFonts w:ascii="Open Sans" w:hAnsi="Open Sans" w:cs="Open Sans"/>
          <w:szCs w:val="22"/>
        </w:rPr>
        <w:t>installation</w:t>
      </w:r>
      <w:r w:rsidR="00A022F0" w:rsidRPr="00E752B5">
        <w:rPr>
          <w:rFonts w:ascii="Open Sans" w:hAnsi="Open Sans" w:cs="Open Sans"/>
          <w:szCs w:val="22"/>
        </w:rPr>
        <w:t>s -</w:t>
      </w:r>
      <w:r w:rsidR="009303A7" w:rsidRPr="00E752B5">
        <w:rPr>
          <w:rFonts w:ascii="Open Sans" w:hAnsi="Open Sans" w:cs="Open Sans"/>
          <w:szCs w:val="22"/>
        </w:rPr>
        <w:t xml:space="preserve"> a fraction of the RHI’s PM </w:t>
      </w:r>
      <w:r w:rsidR="005443AB" w:rsidRPr="00E752B5">
        <w:rPr>
          <w:rFonts w:ascii="Open Sans" w:hAnsi="Open Sans" w:cs="Open Sans"/>
          <w:szCs w:val="22"/>
        </w:rPr>
        <w:t xml:space="preserve">restrictions of 30 grams per GJ net heat output. </w:t>
      </w:r>
      <w:r w:rsidR="00A022F0" w:rsidRPr="00E752B5">
        <w:rPr>
          <w:rFonts w:ascii="Open Sans" w:hAnsi="Open Sans" w:cs="Open Sans"/>
          <w:szCs w:val="22"/>
        </w:rPr>
        <w:t xml:space="preserve"> </w:t>
      </w:r>
      <w:r w:rsidR="005443AB" w:rsidRPr="00E752B5">
        <w:rPr>
          <w:rFonts w:ascii="Open Sans" w:hAnsi="Open Sans" w:cs="Open Sans"/>
          <w:szCs w:val="22"/>
        </w:rPr>
        <w:t xml:space="preserve">Such levels do not pose a threat to urban air quality. </w:t>
      </w:r>
      <w:r w:rsidRPr="00E752B5">
        <w:rPr>
          <w:rStyle w:val="FootnoteReference"/>
          <w:rFonts w:ascii="Open Sans" w:hAnsi="Open Sans" w:cs="Open Sans"/>
          <w:szCs w:val="22"/>
        </w:rPr>
        <w:footnoteReference w:id="18"/>
      </w:r>
    </w:p>
    <w:p w14:paraId="13404C32" w14:textId="365E7E81" w:rsidR="00CB6E76" w:rsidRDefault="00CB6E76" w:rsidP="00926D06">
      <w:pPr>
        <w:rPr>
          <w:rFonts w:ascii="Open Sans" w:hAnsi="Open Sans" w:cs="Open Sans"/>
          <w:szCs w:val="22"/>
        </w:rPr>
      </w:pPr>
    </w:p>
    <w:p w14:paraId="3C5B0400" w14:textId="191C06FE" w:rsidR="00E86DC5" w:rsidRDefault="00E86DC5" w:rsidP="00E86DC5">
      <w:pPr>
        <w:spacing w:before="120" w:after="120"/>
        <w:rPr>
          <w:rFonts w:ascii="Arial" w:hAnsi="Arial" w:cs="Arial"/>
        </w:rPr>
      </w:pPr>
      <w:r w:rsidRPr="00E86DC5">
        <w:rPr>
          <w:rFonts w:ascii="Open Sans" w:hAnsi="Open Sans" w:cs="Open Sans"/>
        </w:rPr>
        <w:t>Excluding new installations in urban on-gas-grid areas will also not address the fact that in some locations, excluding background concentrations, peak emissions from domestic fireplaces and inefficient stoves (commonly used as secondary heating for aesthetic reasons as well as comfort) are thought to contribute up to 31% of the concentrations in air of PM</w:t>
      </w:r>
      <w:r w:rsidRPr="00E86DC5">
        <w:rPr>
          <w:rFonts w:ascii="Open Sans" w:hAnsi="Open Sans" w:cs="Open Sans"/>
          <w:vertAlign w:val="subscript"/>
        </w:rPr>
        <w:t>2.5</w:t>
      </w:r>
      <w:r w:rsidRPr="00E86DC5">
        <w:rPr>
          <w:rFonts w:ascii="Open Sans" w:hAnsi="Open Sans" w:cs="Open Sans"/>
        </w:rPr>
        <w:t>, particulate matter harmful to health</w:t>
      </w:r>
      <w:r w:rsidR="00070B71">
        <w:rPr>
          <w:rFonts w:ascii="Open Sans" w:hAnsi="Open Sans" w:cs="Open Sans"/>
        </w:rPr>
        <w:t>.</w:t>
      </w:r>
      <w:r w:rsidRPr="00E86DC5">
        <w:rPr>
          <w:rFonts w:ascii="Open Sans" w:hAnsi="Open Sans" w:cs="Open Sans"/>
          <w:vertAlign w:val="superscript"/>
        </w:rPr>
        <w:footnoteReference w:id="19"/>
      </w:r>
      <w:r w:rsidRPr="00E86DC5">
        <w:rPr>
          <w:rFonts w:ascii="Open Sans" w:hAnsi="Open Sans" w:cs="Open Sans"/>
        </w:rPr>
        <w:t xml:space="preserve"> These forms of heating are meant to be regulated by Clean Air Zones and DEFRA Exemptions, both of which are currently poorly enforced </w:t>
      </w:r>
      <w:r w:rsidR="00855CFB">
        <w:rPr>
          <w:rFonts w:ascii="Open Sans" w:hAnsi="Open Sans" w:cs="Open Sans"/>
        </w:rPr>
        <w:t>with</w:t>
      </w:r>
      <w:r w:rsidRPr="00E86DC5">
        <w:rPr>
          <w:rFonts w:ascii="Open Sans" w:hAnsi="Open Sans" w:cs="Open Sans"/>
        </w:rPr>
        <w:t xml:space="preserve"> low awareness about the legal requirements amongst both suppliers and users. Emissions from wood-fuelled biomass- boilers, by comparison, are far smaller and controllable using high-performance filters</w:t>
      </w:r>
      <w:r w:rsidR="00070B71">
        <w:rPr>
          <w:rFonts w:ascii="Open Sans" w:hAnsi="Open Sans" w:cs="Open Sans"/>
        </w:rPr>
        <w:t>.</w:t>
      </w:r>
    </w:p>
    <w:p w14:paraId="5C52678E" w14:textId="3BF7396B" w:rsidR="00FD42D6" w:rsidRDefault="00FD42D6" w:rsidP="00E86DC5">
      <w:pPr>
        <w:spacing w:before="120" w:after="120"/>
        <w:rPr>
          <w:rFonts w:ascii="Open Sans" w:hAnsi="Open Sans" w:cs="Open Sans"/>
          <w:szCs w:val="22"/>
        </w:rPr>
      </w:pPr>
      <w:r>
        <w:rPr>
          <w:rFonts w:ascii="Open Sans" w:hAnsi="Open Sans" w:cs="Open Sans"/>
          <w:szCs w:val="22"/>
        </w:rPr>
        <w:t xml:space="preserve">It must also be remembered that emissions from all types and sizes of biomass combustion is already regulated to emission limit values: </w:t>
      </w:r>
    </w:p>
    <w:p w14:paraId="5AB69A95" w14:textId="00640DA4" w:rsidR="00FD42D6" w:rsidRDefault="00FD42D6" w:rsidP="00FD42D6">
      <w:pPr>
        <w:pStyle w:val="ListParagraph"/>
        <w:numPr>
          <w:ilvl w:val="0"/>
          <w:numId w:val="8"/>
        </w:numPr>
        <w:rPr>
          <w:rFonts w:ascii="Open Sans" w:hAnsi="Open Sans" w:cs="Open Sans"/>
          <w:szCs w:val="22"/>
        </w:rPr>
      </w:pPr>
      <w:r>
        <w:rPr>
          <w:rFonts w:ascii="Open Sans" w:hAnsi="Open Sans" w:cs="Open Sans"/>
          <w:szCs w:val="22"/>
        </w:rPr>
        <w:t>Large size installations (above 50 MW) are subject to the Industrial Emissions Directive</w:t>
      </w:r>
    </w:p>
    <w:p w14:paraId="7F45A85E" w14:textId="67965D70" w:rsidR="006B299D" w:rsidRDefault="00FD42D6" w:rsidP="00926D06">
      <w:pPr>
        <w:pStyle w:val="ListParagraph"/>
        <w:numPr>
          <w:ilvl w:val="0"/>
          <w:numId w:val="8"/>
        </w:numPr>
        <w:rPr>
          <w:rFonts w:ascii="Open Sans" w:hAnsi="Open Sans" w:cs="Open Sans"/>
          <w:szCs w:val="22"/>
        </w:rPr>
      </w:pPr>
      <w:r>
        <w:rPr>
          <w:rFonts w:ascii="Open Sans" w:hAnsi="Open Sans" w:cs="Open Sans"/>
          <w:szCs w:val="22"/>
        </w:rPr>
        <w:t xml:space="preserve">Medium size installations (1 MW – 50 </w:t>
      </w:r>
      <w:r w:rsidR="00070B71">
        <w:rPr>
          <w:rFonts w:ascii="Open Sans" w:hAnsi="Open Sans" w:cs="Open Sans"/>
          <w:szCs w:val="22"/>
        </w:rPr>
        <w:t>MW)</w:t>
      </w:r>
      <w:r>
        <w:rPr>
          <w:rFonts w:ascii="Open Sans" w:hAnsi="Open Sans" w:cs="Open Sans"/>
          <w:szCs w:val="22"/>
        </w:rPr>
        <w:t xml:space="preserve"> are subject to the Medium Combustion Directive. </w:t>
      </w:r>
    </w:p>
    <w:p w14:paraId="3A099AE4" w14:textId="769BE378" w:rsidR="00926D06" w:rsidRDefault="006B299D" w:rsidP="00926D06">
      <w:pPr>
        <w:pStyle w:val="ListParagraph"/>
        <w:numPr>
          <w:ilvl w:val="0"/>
          <w:numId w:val="8"/>
        </w:numPr>
        <w:rPr>
          <w:rFonts w:ascii="Open Sans" w:hAnsi="Open Sans" w:cs="Open Sans"/>
          <w:szCs w:val="22"/>
        </w:rPr>
      </w:pPr>
      <w:r>
        <w:rPr>
          <w:rFonts w:ascii="Open Sans" w:hAnsi="Open Sans" w:cs="Open Sans"/>
          <w:szCs w:val="22"/>
        </w:rPr>
        <w:t>R</w:t>
      </w:r>
      <w:r w:rsidRPr="006B299D">
        <w:rPr>
          <w:rFonts w:ascii="Open Sans" w:hAnsi="Open Sans" w:cs="Open Sans"/>
          <w:szCs w:val="22"/>
        </w:rPr>
        <w:t>esidential heating</w:t>
      </w:r>
      <w:r>
        <w:rPr>
          <w:rFonts w:ascii="Open Sans" w:hAnsi="Open Sans" w:cs="Open Sans"/>
          <w:szCs w:val="22"/>
        </w:rPr>
        <w:t xml:space="preserve"> is subject to the </w:t>
      </w:r>
      <w:r w:rsidRPr="006B299D">
        <w:rPr>
          <w:rFonts w:ascii="Open Sans" w:hAnsi="Open Sans" w:cs="Open Sans"/>
          <w:szCs w:val="22"/>
        </w:rPr>
        <w:t>eco-design scheme for solid fuel boilers (Commission Regulation (EU) 2015/1189) and local space heaters (Commission Regulation (EU) 2015/1185) set</w:t>
      </w:r>
      <w:r>
        <w:rPr>
          <w:rFonts w:ascii="Open Sans" w:hAnsi="Open Sans" w:cs="Open Sans"/>
          <w:szCs w:val="22"/>
        </w:rPr>
        <w:t>s</w:t>
      </w:r>
      <w:r w:rsidRPr="006B299D">
        <w:rPr>
          <w:rFonts w:ascii="Open Sans" w:hAnsi="Open Sans" w:cs="Open Sans"/>
          <w:szCs w:val="22"/>
        </w:rPr>
        <w:t xml:space="preserve"> minimum efficiency and maximum emissions levels for biomass heating installations </w:t>
      </w:r>
      <w:r>
        <w:rPr>
          <w:rFonts w:ascii="Open Sans" w:hAnsi="Open Sans" w:cs="Open Sans"/>
          <w:szCs w:val="22"/>
        </w:rPr>
        <w:t xml:space="preserve">that are </w:t>
      </w:r>
      <w:r w:rsidRPr="006B299D">
        <w:rPr>
          <w:rFonts w:ascii="Open Sans" w:hAnsi="Open Sans" w:cs="Open Sans"/>
          <w:szCs w:val="22"/>
        </w:rPr>
        <w:t>on EU market. These requirements ensure all new biomass heating installations emit minimum levels of emissions.</w:t>
      </w:r>
    </w:p>
    <w:p w14:paraId="557261C9" w14:textId="11DB9B2F" w:rsidR="00B4496C" w:rsidRDefault="00B4496C" w:rsidP="00B4496C">
      <w:pPr>
        <w:rPr>
          <w:rFonts w:ascii="Open Sans" w:hAnsi="Open Sans" w:cs="Open Sans"/>
          <w:szCs w:val="22"/>
        </w:rPr>
      </w:pPr>
    </w:p>
    <w:p w14:paraId="30DD1678" w14:textId="4F1CEB58" w:rsidR="00B4496C" w:rsidRPr="00B4496C" w:rsidRDefault="00B4496C" w:rsidP="00B4496C">
      <w:pPr>
        <w:rPr>
          <w:rFonts w:ascii="Open Sans" w:hAnsi="Open Sans" w:cs="Open Sans"/>
          <w:szCs w:val="22"/>
        </w:rPr>
      </w:pPr>
      <w:r>
        <w:rPr>
          <w:rFonts w:ascii="Open Sans" w:hAnsi="Open Sans" w:cs="Open Sans"/>
          <w:szCs w:val="22"/>
        </w:rPr>
        <w:lastRenderedPageBreak/>
        <w:t>In addition to the above, in February this year</w:t>
      </w:r>
      <w:r w:rsidR="00070B71">
        <w:rPr>
          <w:rFonts w:ascii="Open Sans" w:hAnsi="Open Sans" w:cs="Open Sans"/>
          <w:szCs w:val="22"/>
        </w:rPr>
        <w:t>, the</w:t>
      </w:r>
      <w:r>
        <w:rPr>
          <w:rFonts w:ascii="Open Sans" w:hAnsi="Open Sans" w:cs="Open Sans"/>
          <w:szCs w:val="22"/>
        </w:rPr>
        <w:t xml:space="preserve"> Government released new policies relating to using Cleaner Fuels for Domestic Burning. These polices were directly aimed at improving emissions from solid fuels, including wood burning. These new regulations were welcomed by the biomass heat industry and appeared to be moving the conversation in the right direction – recognising that better regulation and public education </w:t>
      </w:r>
      <w:r w:rsidR="000C7AAA">
        <w:rPr>
          <w:rFonts w:ascii="Open Sans" w:hAnsi="Open Sans" w:cs="Open Sans"/>
          <w:szCs w:val="22"/>
        </w:rPr>
        <w:t>were the solution to these issues</w:t>
      </w:r>
      <w:r>
        <w:rPr>
          <w:rFonts w:ascii="Open Sans" w:hAnsi="Open Sans" w:cs="Open Sans"/>
          <w:szCs w:val="22"/>
        </w:rPr>
        <w:t xml:space="preserve">. The new proposed ban therefore </w:t>
      </w:r>
      <w:r w:rsidR="000C7AAA">
        <w:rPr>
          <w:rFonts w:ascii="Open Sans" w:hAnsi="Open Sans" w:cs="Open Sans"/>
          <w:szCs w:val="22"/>
        </w:rPr>
        <w:t xml:space="preserve">goes back on the intentions of that consultation and are inconsistent with the </w:t>
      </w:r>
      <w:r w:rsidR="00070B71">
        <w:rPr>
          <w:rFonts w:ascii="Open Sans" w:hAnsi="Open Sans" w:cs="Open Sans"/>
          <w:szCs w:val="22"/>
        </w:rPr>
        <w:t>G</w:t>
      </w:r>
      <w:r w:rsidR="000C7AAA">
        <w:rPr>
          <w:rFonts w:ascii="Open Sans" w:hAnsi="Open Sans" w:cs="Open Sans"/>
          <w:szCs w:val="22"/>
        </w:rPr>
        <w:t xml:space="preserve">overnment announcements earlier </w:t>
      </w:r>
      <w:r w:rsidR="00070B71">
        <w:rPr>
          <w:rFonts w:ascii="Open Sans" w:hAnsi="Open Sans" w:cs="Open Sans"/>
          <w:szCs w:val="22"/>
        </w:rPr>
        <w:t xml:space="preserve">in the </w:t>
      </w:r>
      <w:r w:rsidR="000C7AAA">
        <w:rPr>
          <w:rFonts w:ascii="Open Sans" w:hAnsi="Open Sans" w:cs="Open Sans"/>
          <w:szCs w:val="22"/>
        </w:rPr>
        <w:t xml:space="preserve">year.  </w:t>
      </w:r>
    </w:p>
    <w:p w14:paraId="574C98C2" w14:textId="75EDFE6F" w:rsidR="00C6515F" w:rsidRDefault="00C6515F" w:rsidP="00C6515F">
      <w:pPr>
        <w:rPr>
          <w:rFonts w:ascii="Open Sans" w:hAnsi="Open Sans" w:cs="Open Sans"/>
          <w:szCs w:val="22"/>
        </w:rPr>
      </w:pPr>
    </w:p>
    <w:p w14:paraId="4646EA06" w14:textId="33D71837" w:rsidR="00C6515F" w:rsidRPr="00C6515F" w:rsidRDefault="00C6515F" w:rsidP="00C6515F">
      <w:pPr>
        <w:rPr>
          <w:rFonts w:ascii="Open Sans" w:hAnsi="Open Sans" w:cs="Open Sans"/>
          <w:szCs w:val="22"/>
        </w:rPr>
      </w:pPr>
      <w:r>
        <w:rPr>
          <w:rFonts w:ascii="Open Sans" w:hAnsi="Open Sans" w:cs="Open Sans"/>
          <w:szCs w:val="22"/>
        </w:rPr>
        <w:t>The proposed restriction</w:t>
      </w:r>
      <w:r w:rsidR="00070B71">
        <w:rPr>
          <w:rFonts w:ascii="Open Sans" w:hAnsi="Open Sans" w:cs="Open Sans"/>
          <w:szCs w:val="22"/>
        </w:rPr>
        <w:t>s</w:t>
      </w:r>
      <w:r>
        <w:rPr>
          <w:rFonts w:ascii="Open Sans" w:hAnsi="Open Sans" w:cs="Open Sans"/>
          <w:szCs w:val="22"/>
        </w:rPr>
        <w:t xml:space="preserve"> are therefore unnecessary and damaging to both the purpose of the Clean Heat Grant Scheme and to the Government b</w:t>
      </w:r>
      <w:r w:rsidR="00070B71">
        <w:rPr>
          <w:rFonts w:ascii="Open Sans" w:hAnsi="Open Sans" w:cs="Open Sans"/>
          <w:szCs w:val="22"/>
        </w:rPr>
        <w:t>roader</w:t>
      </w:r>
      <w:r>
        <w:rPr>
          <w:rFonts w:ascii="Open Sans" w:hAnsi="Open Sans" w:cs="Open Sans"/>
          <w:szCs w:val="22"/>
        </w:rPr>
        <w:t xml:space="preserve"> heat decarbonisation objectives, </w:t>
      </w:r>
      <w:r w:rsidR="00070B71">
        <w:rPr>
          <w:rFonts w:ascii="Open Sans" w:hAnsi="Open Sans" w:cs="Open Sans"/>
          <w:szCs w:val="22"/>
        </w:rPr>
        <w:t>creating a</w:t>
      </w:r>
      <w:r>
        <w:rPr>
          <w:rFonts w:ascii="Open Sans" w:hAnsi="Open Sans" w:cs="Open Sans"/>
          <w:szCs w:val="22"/>
        </w:rPr>
        <w:t xml:space="preserve"> barrier to deployment. </w:t>
      </w:r>
      <w:r w:rsidR="00E76400">
        <w:rPr>
          <w:rFonts w:ascii="Open Sans" w:hAnsi="Open Sans" w:cs="Open Sans"/>
          <w:szCs w:val="22"/>
        </w:rPr>
        <w:t xml:space="preserve">It also greatly restricts consumer choice. </w:t>
      </w:r>
      <w:r>
        <w:rPr>
          <w:rFonts w:ascii="Open Sans" w:hAnsi="Open Sans" w:cs="Open Sans"/>
          <w:szCs w:val="22"/>
        </w:rPr>
        <w:t>The market will be able to determine where biomass is an appropriate renewable heat technology for a site, in terms of delivering heat requirements and value for money. Rather than a</w:t>
      </w:r>
      <w:r w:rsidR="00070B71">
        <w:rPr>
          <w:rFonts w:ascii="Open Sans" w:hAnsi="Open Sans" w:cs="Open Sans"/>
          <w:szCs w:val="22"/>
        </w:rPr>
        <w:t>n</w:t>
      </w:r>
      <w:r>
        <w:rPr>
          <w:rFonts w:ascii="Open Sans" w:hAnsi="Open Sans" w:cs="Open Sans"/>
          <w:szCs w:val="22"/>
        </w:rPr>
        <w:t xml:space="preserve"> outright ban, the Governments focus must be on the ensuring the tight installation and maintenance standards so that what is installed </w:t>
      </w:r>
      <w:r w:rsidR="00E76400">
        <w:rPr>
          <w:rFonts w:ascii="Open Sans" w:hAnsi="Open Sans" w:cs="Open Sans"/>
          <w:szCs w:val="22"/>
        </w:rPr>
        <w:t>poses</w:t>
      </w:r>
      <w:r>
        <w:rPr>
          <w:rFonts w:ascii="Open Sans" w:hAnsi="Open Sans" w:cs="Open Sans"/>
          <w:szCs w:val="22"/>
        </w:rPr>
        <w:t xml:space="preserve"> no risk to air quality. </w:t>
      </w:r>
    </w:p>
    <w:p w14:paraId="40942AF3" w14:textId="0F40799B" w:rsidR="006B299D" w:rsidRDefault="006B299D" w:rsidP="006B299D">
      <w:pPr>
        <w:rPr>
          <w:rFonts w:ascii="Open Sans" w:hAnsi="Open Sans" w:cs="Open Sans"/>
          <w:szCs w:val="22"/>
        </w:rPr>
      </w:pPr>
    </w:p>
    <w:p w14:paraId="1D87FC24" w14:textId="61B5D0AA" w:rsidR="006E1CD9" w:rsidRPr="00E752B5" w:rsidRDefault="00273E54" w:rsidP="00556297">
      <w:pPr>
        <w:rPr>
          <w:rFonts w:ascii="Open Sans" w:hAnsi="Open Sans" w:cs="Open Sans"/>
          <w:szCs w:val="22"/>
        </w:rPr>
      </w:pPr>
      <w:r w:rsidRPr="00E752B5">
        <w:rPr>
          <w:rFonts w:ascii="Open Sans" w:hAnsi="Open Sans" w:cs="Open Sans"/>
          <w:szCs w:val="22"/>
        </w:rPr>
        <w:t xml:space="preserve">Examples </w:t>
      </w:r>
      <w:r w:rsidR="005443AB" w:rsidRPr="00E752B5">
        <w:rPr>
          <w:rFonts w:ascii="Open Sans" w:hAnsi="Open Sans" w:cs="Open Sans"/>
          <w:szCs w:val="22"/>
        </w:rPr>
        <w:t>for how standards, in conjunction with support mechanisms, can be effectively used to incentivise high-quality u</w:t>
      </w:r>
      <w:r w:rsidR="007D6443" w:rsidRPr="00E752B5">
        <w:rPr>
          <w:rFonts w:ascii="Open Sans" w:hAnsi="Open Sans" w:cs="Open Sans"/>
          <w:szCs w:val="22"/>
        </w:rPr>
        <w:t xml:space="preserve">rban biomass installations can be </w:t>
      </w:r>
      <w:r w:rsidRPr="00E752B5">
        <w:rPr>
          <w:rFonts w:ascii="Open Sans" w:hAnsi="Open Sans" w:cs="Open Sans"/>
          <w:szCs w:val="22"/>
        </w:rPr>
        <w:t xml:space="preserve">taken from </w:t>
      </w:r>
      <w:r w:rsidR="007D6443" w:rsidRPr="00E752B5">
        <w:rPr>
          <w:rFonts w:ascii="Open Sans" w:hAnsi="Open Sans" w:cs="Open Sans"/>
          <w:szCs w:val="22"/>
        </w:rPr>
        <w:t xml:space="preserve">across Europe.  In Germany, support is tiered </w:t>
      </w:r>
      <w:r w:rsidRPr="00E752B5">
        <w:rPr>
          <w:rFonts w:ascii="Open Sans" w:hAnsi="Open Sans" w:cs="Open Sans"/>
          <w:szCs w:val="22"/>
        </w:rPr>
        <w:t>based on</w:t>
      </w:r>
      <w:r w:rsidR="007D6443" w:rsidRPr="00E752B5">
        <w:rPr>
          <w:rFonts w:ascii="Open Sans" w:hAnsi="Open Sans" w:cs="Open Sans"/>
          <w:szCs w:val="22"/>
        </w:rPr>
        <w:t xml:space="preserve"> the emissions profile of </w:t>
      </w:r>
      <w:r w:rsidRPr="00E752B5">
        <w:rPr>
          <w:rFonts w:ascii="Open Sans" w:hAnsi="Open Sans" w:cs="Open Sans"/>
          <w:szCs w:val="22"/>
        </w:rPr>
        <w:t xml:space="preserve">a </w:t>
      </w:r>
      <w:r w:rsidR="007D6443" w:rsidRPr="00E752B5">
        <w:rPr>
          <w:rFonts w:ascii="Open Sans" w:hAnsi="Open Sans" w:cs="Open Sans"/>
          <w:szCs w:val="22"/>
        </w:rPr>
        <w:t>system, ensuring that the highest levels of subsidy support are only awarded to the best-performing systems. This combination drives installations which are appropriately sized</w:t>
      </w:r>
      <w:r w:rsidRPr="00E752B5">
        <w:rPr>
          <w:rFonts w:ascii="Open Sans" w:hAnsi="Open Sans" w:cs="Open Sans"/>
          <w:szCs w:val="22"/>
        </w:rPr>
        <w:t>,</w:t>
      </w:r>
      <w:r w:rsidR="007D6443" w:rsidRPr="00E752B5">
        <w:rPr>
          <w:rFonts w:ascii="Open Sans" w:hAnsi="Open Sans" w:cs="Open Sans"/>
          <w:szCs w:val="22"/>
        </w:rPr>
        <w:t xml:space="preserve"> optimised for efficiency and which are suitably clean for urban areas. This model should be replicated within the Clean Heat Grant Scheme</w:t>
      </w:r>
      <w:r w:rsidR="005443AB" w:rsidRPr="00E752B5">
        <w:rPr>
          <w:rFonts w:ascii="Open Sans" w:hAnsi="Open Sans" w:cs="Open Sans"/>
          <w:szCs w:val="22"/>
        </w:rPr>
        <w:t xml:space="preserve"> and future heat </w:t>
      </w:r>
      <w:r w:rsidR="00BD0B87" w:rsidRPr="00E752B5">
        <w:rPr>
          <w:rFonts w:ascii="Open Sans" w:hAnsi="Open Sans" w:cs="Open Sans"/>
          <w:szCs w:val="22"/>
        </w:rPr>
        <w:t>policies, ensuing</w:t>
      </w:r>
      <w:r w:rsidR="007D6443" w:rsidRPr="00E752B5">
        <w:rPr>
          <w:rFonts w:ascii="Open Sans" w:hAnsi="Open Sans" w:cs="Open Sans"/>
          <w:szCs w:val="22"/>
        </w:rPr>
        <w:t xml:space="preserve"> the installations built within urban areas meet </w:t>
      </w:r>
      <w:r w:rsidR="006B299D">
        <w:rPr>
          <w:rFonts w:ascii="Open Sans" w:hAnsi="Open Sans" w:cs="Open Sans"/>
          <w:szCs w:val="22"/>
        </w:rPr>
        <w:t>tight</w:t>
      </w:r>
      <w:r w:rsidR="007D6443" w:rsidRPr="00E752B5">
        <w:rPr>
          <w:rFonts w:ascii="Open Sans" w:hAnsi="Open Sans" w:cs="Open Sans"/>
          <w:szCs w:val="22"/>
        </w:rPr>
        <w:t xml:space="preserve"> emission </w:t>
      </w:r>
      <w:r w:rsidR="005443AB" w:rsidRPr="00E752B5">
        <w:rPr>
          <w:rFonts w:ascii="Open Sans" w:hAnsi="Open Sans" w:cs="Open Sans"/>
          <w:szCs w:val="22"/>
        </w:rPr>
        <w:t xml:space="preserve">and maintenance </w:t>
      </w:r>
      <w:r w:rsidR="007D6443" w:rsidRPr="00E752B5">
        <w:rPr>
          <w:rFonts w:ascii="Open Sans" w:hAnsi="Open Sans" w:cs="Open Sans"/>
          <w:szCs w:val="22"/>
        </w:rPr>
        <w:t>standards</w:t>
      </w:r>
      <w:r w:rsidR="007459B8" w:rsidRPr="00E752B5">
        <w:rPr>
          <w:rFonts w:ascii="Open Sans" w:hAnsi="Open Sans" w:cs="Open Sans"/>
          <w:szCs w:val="22"/>
        </w:rPr>
        <w:t>,</w:t>
      </w:r>
      <w:r w:rsidR="007D6443" w:rsidRPr="00E752B5">
        <w:rPr>
          <w:rFonts w:ascii="Open Sans" w:hAnsi="Open Sans" w:cs="Open Sans"/>
          <w:szCs w:val="22"/>
        </w:rPr>
        <w:t xml:space="preserve"> rather than excluding </w:t>
      </w:r>
      <w:r w:rsidR="007459B8" w:rsidRPr="00E752B5">
        <w:rPr>
          <w:rFonts w:ascii="Open Sans" w:hAnsi="Open Sans" w:cs="Open Sans"/>
          <w:szCs w:val="22"/>
        </w:rPr>
        <w:t>on gas grid</w:t>
      </w:r>
      <w:r w:rsidR="007D6443" w:rsidRPr="00E752B5">
        <w:rPr>
          <w:rFonts w:ascii="Open Sans" w:hAnsi="Open Sans" w:cs="Open Sans"/>
          <w:szCs w:val="22"/>
        </w:rPr>
        <w:t xml:space="preserve"> installations entirely.</w:t>
      </w:r>
    </w:p>
    <w:p w14:paraId="5D2C8C06" w14:textId="28F4ECB1" w:rsidR="00273E54" w:rsidRDefault="00273E54" w:rsidP="00556297">
      <w:pPr>
        <w:rPr>
          <w:rFonts w:ascii="Open Sans" w:hAnsi="Open Sans" w:cs="Open Sans"/>
          <w:szCs w:val="22"/>
        </w:rPr>
      </w:pPr>
    </w:p>
    <w:p w14:paraId="41D0A3D6" w14:textId="2B4B1018" w:rsidR="000D49A6" w:rsidRPr="006B299D" w:rsidRDefault="006B299D" w:rsidP="00556297">
      <w:pPr>
        <w:rPr>
          <w:rFonts w:ascii="Open Sans" w:hAnsi="Open Sans" w:cs="Open Sans"/>
          <w:b/>
          <w:bCs/>
          <w:i/>
          <w:iCs/>
          <w:color w:val="2F5496"/>
          <w:szCs w:val="22"/>
        </w:rPr>
      </w:pPr>
      <w:r w:rsidRPr="006B299D">
        <w:rPr>
          <w:rFonts w:ascii="Open Sans" w:hAnsi="Open Sans" w:cs="Open Sans"/>
          <w:b/>
          <w:bCs/>
          <w:i/>
          <w:iCs/>
          <w:color w:val="2F5496"/>
          <w:szCs w:val="22"/>
        </w:rPr>
        <w:t xml:space="preserve">Question 32 - </w:t>
      </w:r>
      <w:r w:rsidR="000D49A6" w:rsidRPr="006B299D">
        <w:rPr>
          <w:rFonts w:ascii="Open Sans" w:hAnsi="Open Sans" w:cs="Open Sans"/>
          <w:b/>
          <w:bCs/>
          <w:i/>
          <w:iCs/>
          <w:color w:val="2F5496"/>
          <w:szCs w:val="22"/>
        </w:rPr>
        <w:t>Do you have any comments on how best to ensure ongoing compliance with fuel sustainability and quality requirements following the redemption of a grant?</w:t>
      </w:r>
    </w:p>
    <w:p w14:paraId="26F6D20D" w14:textId="79B52A6D" w:rsidR="00273E54" w:rsidRDefault="00273E54" w:rsidP="00556297">
      <w:pPr>
        <w:rPr>
          <w:rFonts w:ascii="Open Sans" w:hAnsi="Open Sans" w:cs="Open Sans"/>
          <w:b/>
          <w:bCs/>
          <w:szCs w:val="22"/>
        </w:rPr>
      </w:pPr>
    </w:p>
    <w:p w14:paraId="3629A344" w14:textId="0EF99FD5" w:rsidR="006B299D" w:rsidRDefault="006B299D" w:rsidP="00556297">
      <w:pPr>
        <w:rPr>
          <w:rFonts w:ascii="Open Sans" w:hAnsi="Open Sans" w:cs="Open Sans"/>
          <w:szCs w:val="22"/>
        </w:rPr>
      </w:pPr>
      <w:r>
        <w:rPr>
          <w:rFonts w:ascii="Open Sans" w:hAnsi="Open Sans" w:cs="Open Sans"/>
          <w:szCs w:val="22"/>
        </w:rPr>
        <w:t xml:space="preserve">A major weakness of a </w:t>
      </w:r>
      <w:r w:rsidR="00C6515F">
        <w:rPr>
          <w:rFonts w:ascii="Open Sans" w:hAnsi="Open Sans" w:cs="Open Sans"/>
          <w:szCs w:val="22"/>
        </w:rPr>
        <w:t>grant-based</w:t>
      </w:r>
      <w:r>
        <w:rPr>
          <w:rFonts w:ascii="Open Sans" w:hAnsi="Open Sans" w:cs="Open Sans"/>
          <w:szCs w:val="22"/>
        </w:rPr>
        <w:t xml:space="preserve"> scheme i</w:t>
      </w:r>
      <w:r w:rsidR="00070B71">
        <w:rPr>
          <w:rFonts w:ascii="Open Sans" w:hAnsi="Open Sans" w:cs="Open Sans"/>
          <w:szCs w:val="22"/>
        </w:rPr>
        <w:t>s</w:t>
      </w:r>
      <w:r>
        <w:rPr>
          <w:rFonts w:ascii="Open Sans" w:hAnsi="Open Sans" w:cs="Open Sans"/>
          <w:szCs w:val="22"/>
        </w:rPr>
        <w:t xml:space="preserve"> the difficulty of enforcing ongoing </w:t>
      </w:r>
      <w:r w:rsidR="00C6515F">
        <w:rPr>
          <w:rFonts w:ascii="Open Sans" w:hAnsi="Open Sans" w:cs="Open Sans"/>
          <w:szCs w:val="22"/>
        </w:rPr>
        <w:t xml:space="preserve">obligations on the user where they are not in receipt of continued support. </w:t>
      </w:r>
      <w:r w:rsidR="000C7AAA">
        <w:rPr>
          <w:rFonts w:ascii="Open Sans" w:hAnsi="Open Sans" w:cs="Open Sans"/>
          <w:szCs w:val="22"/>
        </w:rPr>
        <w:t>W</w:t>
      </w:r>
      <w:r w:rsidR="00C6515F">
        <w:rPr>
          <w:rFonts w:ascii="Open Sans" w:hAnsi="Open Sans" w:cs="Open Sans"/>
          <w:szCs w:val="22"/>
        </w:rPr>
        <w:t>e support the Government’s intention to develop</w:t>
      </w:r>
      <w:r w:rsidR="00070B71">
        <w:rPr>
          <w:rFonts w:ascii="Open Sans" w:hAnsi="Open Sans" w:cs="Open Sans"/>
          <w:szCs w:val="22"/>
        </w:rPr>
        <w:t xml:space="preserve"> </w:t>
      </w:r>
      <w:r w:rsidR="00C6515F">
        <w:rPr>
          <w:rFonts w:ascii="Open Sans" w:hAnsi="Open Sans" w:cs="Open Sans"/>
          <w:szCs w:val="22"/>
        </w:rPr>
        <w:t>new fuel quality standards and maintenance standards</w:t>
      </w:r>
      <w:r w:rsidR="00E86DC5">
        <w:rPr>
          <w:rFonts w:ascii="Open Sans" w:hAnsi="Open Sans" w:cs="Open Sans"/>
          <w:szCs w:val="22"/>
        </w:rPr>
        <w:t>, maintain current obliga</w:t>
      </w:r>
      <w:r w:rsidR="00B4496C">
        <w:rPr>
          <w:rFonts w:ascii="Open Sans" w:hAnsi="Open Sans" w:cs="Open Sans"/>
          <w:szCs w:val="22"/>
        </w:rPr>
        <w:t xml:space="preserve">tions to use BSL compliant fuel and </w:t>
      </w:r>
      <w:r w:rsidR="00C6515F">
        <w:rPr>
          <w:rFonts w:ascii="Open Sans" w:hAnsi="Open Sans" w:cs="Open Sans"/>
          <w:szCs w:val="22"/>
        </w:rPr>
        <w:t>maintain a legal requirement to comply with environmental permitting and local and national laws</w:t>
      </w:r>
      <w:r w:rsidR="00070B71">
        <w:rPr>
          <w:rFonts w:ascii="Open Sans" w:hAnsi="Open Sans" w:cs="Open Sans"/>
          <w:szCs w:val="22"/>
        </w:rPr>
        <w:t>.</w:t>
      </w:r>
    </w:p>
    <w:p w14:paraId="376AD178" w14:textId="17F2B0C1" w:rsidR="00C6515F" w:rsidRDefault="00C6515F" w:rsidP="00556297">
      <w:pPr>
        <w:rPr>
          <w:rFonts w:ascii="Open Sans" w:hAnsi="Open Sans" w:cs="Open Sans"/>
          <w:szCs w:val="22"/>
        </w:rPr>
      </w:pPr>
    </w:p>
    <w:p w14:paraId="54738C84" w14:textId="5C2291A6" w:rsidR="00C6515F" w:rsidRDefault="00C6515F" w:rsidP="00556297">
      <w:pPr>
        <w:rPr>
          <w:rFonts w:ascii="Open Sans" w:hAnsi="Open Sans" w:cs="Open Sans"/>
        </w:rPr>
      </w:pPr>
      <w:r>
        <w:rPr>
          <w:rFonts w:ascii="Open Sans" w:hAnsi="Open Sans" w:cs="Open Sans"/>
          <w:szCs w:val="22"/>
        </w:rPr>
        <w:t>However, even greater focus will now have to be placed on enforcement and education</w:t>
      </w:r>
      <w:r w:rsidR="00E86DC5">
        <w:rPr>
          <w:rFonts w:ascii="Open Sans" w:hAnsi="Open Sans" w:cs="Open Sans"/>
          <w:szCs w:val="22"/>
        </w:rPr>
        <w:t xml:space="preserve">.  </w:t>
      </w:r>
      <w:r w:rsidR="00E86DC5" w:rsidRPr="00E86DC5">
        <w:rPr>
          <w:rFonts w:ascii="Open Sans" w:hAnsi="Open Sans" w:cs="Open Sans"/>
        </w:rPr>
        <w:t>Clean Air Zones and DEFRA Exemptions</w:t>
      </w:r>
      <w:r w:rsidR="00E86DC5">
        <w:rPr>
          <w:rFonts w:ascii="Open Sans" w:hAnsi="Open Sans" w:cs="Open Sans"/>
        </w:rPr>
        <w:t xml:space="preserve"> have long been poorly enforced</w:t>
      </w:r>
      <w:r w:rsidR="005C4FD8">
        <w:rPr>
          <w:rFonts w:ascii="Open Sans" w:hAnsi="Open Sans" w:cs="Open Sans"/>
        </w:rPr>
        <w:t>,</w:t>
      </w:r>
      <w:r w:rsidR="000C7AAA">
        <w:rPr>
          <w:rFonts w:ascii="Open Sans" w:hAnsi="Open Sans" w:cs="Open Sans"/>
        </w:rPr>
        <w:t xml:space="preserve"> while much of the public remain unaware of what they are and are not allowed to do. </w:t>
      </w:r>
      <w:r w:rsidR="00E86DC5">
        <w:rPr>
          <w:rFonts w:ascii="Open Sans" w:hAnsi="Open Sans" w:cs="Open Sans"/>
        </w:rPr>
        <w:t xml:space="preserve"> The Government recently brought in new regulations for the </w:t>
      </w:r>
      <w:r w:rsidR="00B4496C">
        <w:rPr>
          <w:rFonts w:ascii="Open Sans" w:hAnsi="Open Sans" w:cs="Open Sans"/>
        </w:rPr>
        <w:t>cleaner domestic burning of solid fuels and wood, which the WHA and REA welcomed</w:t>
      </w:r>
      <w:r w:rsidR="000C7AAA">
        <w:rPr>
          <w:rFonts w:ascii="Open Sans" w:hAnsi="Open Sans" w:cs="Open Sans"/>
        </w:rPr>
        <w:t xml:space="preserve">. In doing so the Government made commitments to a new public education campaign on these issues which we are yet to see </w:t>
      </w:r>
      <w:r w:rsidR="005C4FD8">
        <w:rPr>
          <w:rFonts w:ascii="Open Sans" w:hAnsi="Open Sans" w:cs="Open Sans"/>
        </w:rPr>
        <w:t>delivered but</w:t>
      </w:r>
      <w:r w:rsidR="000C7AAA">
        <w:rPr>
          <w:rFonts w:ascii="Open Sans" w:hAnsi="Open Sans" w:cs="Open Sans"/>
        </w:rPr>
        <w:t xml:space="preserve"> will now</w:t>
      </w:r>
      <w:r w:rsidR="005C4FD8">
        <w:rPr>
          <w:rFonts w:ascii="Open Sans" w:hAnsi="Open Sans" w:cs="Open Sans"/>
        </w:rPr>
        <w:t xml:space="preserve"> also</w:t>
      </w:r>
      <w:r w:rsidR="000C7AAA">
        <w:rPr>
          <w:rFonts w:ascii="Open Sans" w:hAnsi="Open Sans" w:cs="Open Sans"/>
        </w:rPr>
        <w:t xml:space="preserve"> need to incorporate the proposals for the </w:t>
      </w:r>
      <w:r w:rsidR="00070B71">
        <w:rPr>
          <w:rFonts w:ascii="Open Sans" w:hAnsi="Open Sans" w:cs="Open Sans"/>
        </w:rPr>
        <w:t>C</w:t>
      </w:r>
      <w:r w:rsidR="000C7AAA">
        <w:rPr>
          <w:rFonts w:ascii="Open Sans" w:hAnsi="Open Sans" w:cs="Open Sans"/>
        </w:rPr>
        <w:t xml:space="preserve">lean </w:t>
      </w:r>
      <w:r w:rsidR="00070B71">
        <w:rPr>
          <w:rFonts w:ascii="Open Sans" w:hAnsi="Open Sans" w:cs="Open Sans"/>
        </w:rPr>
        <w:t>H</w:t>
      </w:r>
      <w:r w:rsidR="000C7AAA">
        <w:rPr>
          <w:rFonts w:ascii="Open Sans" w:hAnsi="Open Sans" w:cs="Open Sans"/>
        </w:rPr>
        <w:t xml:space="preserve">eat </w:t>
      </w:r>
      <w:r w:rsidR="00070B71">
        <w:rPr>
          <w:rFonts w:ascii="Open Sans" w:hAnsi="Open Sans" w:cs="Open Sans"/>
        </w:rPr>
        <w:t>G</w:t>
      </w:r>
      <w:r w:rsidR="000C7AAA">
        <w:rPr>
          <w:rFonts w:ascii="Open Sans" w:hAnsi="Open Sans" w:cs="Open Sans"/>
        </w:rPr>
        <w:t xml:space="preserve">rant </w:t>
      </w:r>
      <w:r w:rsidR="00070B71">
        <w:rPr>
          <w:rFonts w:ascii="Open Sans" w:hAnsi="Open Sans" w:cs="Open Sans"/>
        </w:rPr>
        <w:t>S</w:t>
      </w:r>
      <w:r w:rsidR="000C7AAA">
        <w:rPr>
          <w:rFonts w:ascii="Open Sans" w:hAnsi="Open Sans" w:cs="Open Sans"/>
        </w:rPr>
        <w:t xml:space="preserve">cheme. </w:t>
      </w:r>
    </w:p>
    <w:p w14:paraId="6BBB94B2" w14:textId="16447451" w:rsidR="000C7AAA" w:rsidRDefault="000C7AAA" w:rsidP="00556297">
      <w:pPr>
        <w:rPr>
          <w:rFonts w:ascii="Open Sans" w:hAnsi="Open Sans" w:cs="Open Sans"/>
        </w:rPr>
      </w:pPr>
    </w:p>
    <w:p w14:paraId="5B2F0072" w14:textId="1BAC02D2" w:rsidR="000C7AAA" w:rsidRDefault="000C7AAA" w:rsidP="00556297">
      <w:pPr>
        <w:rPr>
          <w:rFonts w:ascii="Open Sans" w:hAnsi="Open Sans" w:cs="Open Sans"/>
        </w:rPr>
      </w:pPr>
      <w:r>
        <w:rPr>
          <w:rFonts w:ascii="Open Sans" w:hAnsi="Open Sans" w:cs="Open Sans"/>
        </w:rPr>
        <w:t>Enforcement action</w:t>
      </w:r>
      <w:r w:rsidR="005C4FD8">
        <w:rPr>
          <w:rFonts w:ascii="Open Sans" w:hAnsi="Open Sans" w:cs="Open Sans"/>
        </w:rPr>
        <w:t>s</w:t>
      </w:r>
      <w:r>
        <w:rPr>
          <w:rFonts w:ascii="Open Sans" w:hAnsi="Open Sans" w:cs="Open Sans"/>
        </w:rPr>
        <w:t xml:space="preserve"> will need to be carefully considered. This will </w:t>
      </w:r>
      <w:r w:rsidR="005C4FD8">
        <w:rPr>
          <w:rFonts w:ascii="Open Sans" w:hAnsi="Open Sans" w:cs="Open Sans"/>
        </w:rPr>
        <w:t xml:space="preserve">likely </w:t>
      </w:r>
      <w:r>
        <w:rPr>
          <w:rFonts w:ascii="Open Sans" w:hAnsi="Open Sans" w:cs="Open Sans"/>
        </w:rPr>
        <w:t xml:space="preserve">require audits </w:t>
      </w:r>
      <w:r w:rsidR="005C4FD8">
        <w:rPr>
          <w:rFonts w:ascii="Open Sans" w:hAnsi="Open Sans" w:cs="Open Sans"/>
        </w:rPr>
        <w:t>of installed systems</w:t>
      </w:r>
      <w:r w:rsidR="00070B71">
        <w:rPr>
          <w:rFonts w:ascii="Open Sans" w:hAnsi="Open Sans" w:cs="Open Sans"/>
        </w:rPr>
        <w:t xml:space="preserve"> and the administrator</w:t>
      </w:r>
      <w:r w:rsidR="005C4FD8">
        <w:rPr>
          <w:rFonts w:ascii="Open Sans" w:hAnsi="Open Sans" w:cs="Open Sans"/>
        </w:rPr>
        <w:t xml:space="preserve"> provided power</w:t>
      </w:r>
      <w:r w:rsidR="00070B71">
        <w:rPr>
          <w:rFonts w:ascii="Open Sans" w:hAnsi="Open Sans" w:cs="Open Sans"/>
        </w:rPr>
        <w:t>s</w:t>
      </w:r>
      <w:r w:rsidR="005C4FD8">
        <w:rPr>
          <w:rFonts w:ascii="Open Sans" w:hAnsi="Open Sans" w:cs="Open Sans"/>
        </w:rPr>
        <w:t xml:space="preserve"> to issue fines if non-compliance is proven</w:t>
      </w:r>
      <w:r>
        <w:rPr>
          <w:rFonts w:ascii="Open Sans" w:hAnsi="Open Sans" w:cs="Open Sans"/>
        </w:rPr>
        <w:t xml:space="preserve">, </w:t>
      </w:r>
      <w:r w:rsidR="005C4FD8">
        <w:rPr>
          <w:rFonts w:ascii="Open Sans" w:hAnsi="Open Sans" w:cs="Open Sans"/>
        </w:rPr>
        <w:t>replacing their power to stop</w:t>
      </w:r>
      <w:r>
        <w:rPr>
          <w:rFonts w:ascii="Open Sans" w:hAnsi="Open Sans" w:cs="Open Sans"/>
        </w:rPr>
        <w:t xml:space="preserve"> ongoing support payments</w:t>
      </w:r>
      <w:r w:rsidR="0060021A">
        <w:rPr>
          <w:rFonts w:ascii="Open Sans" w:hAnsi="Open Sans" w:cs="Open Sans"/>
        </w:rPr>
        <w:t xml:space="preserve"> as done in the RHI. </w:t>
      </w:r>
    </w:p>
    <w:p w14:paraId="1641BE53" w14:textId="732F3983" w:rsidR="005C4FD8" w:rsidRDefault="005C4FD8" w:rsidP="00556297">
      <w:pPr>
        <w:rPr>
          <w:rFonts w:ascii="Open Sans" w:hAnsi="Open Sans" w:cs="Open Sans"/>
        </w:rPr>
      </w:pPr>
    </w:p>
    <w:p w14:paraId="60EDDD74" w14:textId="496DF59E" w:rsidR="000D49A6" w:rsidRPr="0060021A" w:rsidRDefault="005C4FD8" w:rsidP="00556297">
      <w:pPr>
        <w:rPr>
          <w:rFonts w:ascii="Open Sans" w:hAnsi="Open Sans" w:cs="Open Sans"/>
          <w:b/>
          <w:bCs/>
          <w:color w:val="2F5496"/>
          <w:szCs w:val="22"/>
        </w:rPr>
      </w:pPr>
      <w:r w:rsidRPr="0060021A">
        <w:rPr>
          <w:rFonts w:ascii="Open Sans" w:hAnsi="Open Sans" w:cs="Open Sans"/>
          <w:b/>
          <w:bCs/>
          <w:i/>
          <w:iCs/>
          <w:color w:val="2F5496"/>
          <w:szCs w:val="22"/>
        </w:rPr>
        <w:t xml:space="preserve">Question 33- </w:t>
      </w:r>
      <w:r w:rsidR="000D49A6" w:rsidRPr="0060021A">
        <w:rPr>
          <w:rFonts w:ascii="Open Sans" w:hAnsi="Open Sans" w:cs="Open Sans"/>
          <w:b/>
          <w:bCs/>
          <w:i/>
          <w:iCs/>
          <w:color w:val="2F5496"/>
          <w:szCs w:val="22"/>
        </w:rPr>
        <w:t xml:space="preserve">Please provide views on the appropriate requirements for the heat loss calculation, as well as the minimum heat loss value that should need to be demonstrated. </w:t>
      </w:r>
    </w:p>
    <w:p w14:paraId="1A749521" w14:textId="401753DD" w:rsidR="005C4FD8" w:rsidRDefault="005C4FD8" w:rsidP="00556297">
      <w:pPr>
        <w:rPr>
          <w:rFonts w:ascii="Open Sans" w:hAnsi="Open Sans" w:cs="Open Sans"/>
          <w:b/>
          <w:bCs/>
          <w:color w:val="2F5496"/>
          <w:szCs w:val="22"/>
        </w:rPr>
      </w:pPr>
    </w:p>
    <w:p w14:paraId="59F91E86" w14:textId="7419D830" w:rsidR="005C4FD8" w:rsidRDefault="005C4FD8" w:rsidP="00556297">
      <w:pPr>
        <w:rPr>
          <w:rFonts w:ascii="Open Sans" w:hAnsi="Open Sans" w:cs="Open Sans"/>
          <w:szCs w:val="22"/>
        </w:rPr>
      </w:pPr>
      <w:r w:rsidRPr="005C4FD8">
        <w:rPr>
          <w:rFonts w:ascii="Open Sans" w:hAnsi="Open Sans" w:cs="Open Sans"/>
          <w:szCs w:val="22"/>
        </w:rPr>
        <w:t xml:space="preserve">We believe the Heat Loss Assessment should be conducted as part of all </w:t>
      </w:r>
      <w:r>
        <w:rPr>
          <w:rFonts w:ascii="Open Sans" w:hAnsi="Open Sans" w:cs="Open Sans"/>
          <w:szCs w:val="22"/>
        </w:rPr>
        <w:t>applications</w:t>
      </w:r>
      <w:r w:rsidRPr="005C4FD8">
        <w:rPr>
          <w:rFonts w:ascii="Open Sans" w:hAnsi="Open Sans" w:cs="Open Sans"/>
          <w:szCs w:val="22"/>
        </w:rPr>
        <w:t xml:space="preserve"> on the scheme, not just biomass. </w:t>
      </w:r>
      <w:r>
        <w:rPr>
          <w:rFonts w:ascii="Open Sans" w:hAnsi="Open Sans" w:cs="Open Sans"/>
          <w:szCs w:val="22"/>
        </w:rPr>
        <w:t xml:space="preserve">This should be used to make clear the capacity of the installation required, and the grant level based on this number. </w:t>
      </w:r>
      <w:r w:rsidR="00070B71">
        <w:rPr>
          <w:rFonts w:ascii="Open Sans" w:hAnsi="Open Sans" w:cs="Open Sans"/>
          <w:szCs w:val="22"/>
        </w:rPr>
        <w:t xml:space="preserve"> See answer to question 26 and 27.</w:t>
      </w:r>
    </w:p>
    <w:p w14:paraId="4EE7BA59" w14:textId="2AE4CCD0" w:rsidR="005C4FD8" w:rsidRDefault="005C4FD8" w:rsidP="00556297">
      <w:pPr>
        <w:rPr>
          <w:rFonts w:ascii="Open Sans" w:hAnsi="Open Sans" w:cs="Open Sans"/>
          <w:szCs w:val="22"/>
        </w:rPr>
      </w:pPr>
    </w:p>
    <w:p w14:paraId="411F2BEC" w14:textId="63E4E5EF" w:rsidR="001E481A" w:rsidRPr="005C4FD8" w:rsidRDefault="005C4FD8" w:rsidP="00556297">
      <w:pPr>
        <w:rPr>
          <w:rFonts w:ascii="Open Sans" w:hAnsi="Open Sans" w:cs="Open Sans"/>
          <w:szCs w:val="22"/>
        </w:rPr>
      </w:pPr>
      <w:r w:rsidRPr="005C4FD8">
        <w:rPr>
          <w:rFonts w:ascii="Open Sans" w:hAnsi="Open Sans" w:cs="Open Sans"/>
          <w:szCs w:val="22"/>
          <w:highlight w:val="yellow"/>
        </w:rPr>
        <w:t>Members views welcome on this question – including views on the minimum heat loss value (W.m2) that should need to be demonstrated for biomass to be installed.</w:t>
      </w:r>
      <w:r>
        <w:rPr>
          <w:rFonts w:ascii="Open Sans" w:hAnsi="Open Sans" w:cs="Open Sans"/>
          <w:szCs w:val="22"/>
        </w:rPr>
        <w:t xml:space="preserve"> </w:t>
      </w:r>
    </w:p>
    <w:p w14:paraId="10702E18" w14:textId="77777777" w:rsidR="000D49A6" w:rsidRPr="00E752B5" w:rsidRDefault="000D49A6" w:rsidP="00556297">
      <w:pPr>
        <w:rPr>
          <w:rFonts w:ascii="Open Sans" w:hAnsi="Open Sans" w:cs="Open Sans"/>
          <w:szCs w:val="22"/>
        </w:rPr>
      </w:pPr>
    </w:p>
    <w:p w14:paraId="69D38E50" w14:textId="0F300408" w:rsidR="000D49A6" w:rsidRPr="0060021A" w:rsidRDefault="005C4FD8" w:rsidP="00556297">
      <w:pPr>
        <w:rPr>
          <w:rFonts w:ascii="Open Sans" w:hAnsi="Open Sans" w:cs="Open Sans"/>
          <w:b/>
          <w:bCs/>
          <w:i/>
          <w:iCs/>
          <w:color w:val="2F5496"/>
          <w:szCs w:val="22"/>
        </w:rPr>
      </w:pPr>
      <w:r w:rsidRPr="0060021A">
        <w:rPr>
          <w:rFonts w:ascii="Open Sans" w:hAnsi="Open Sans" w:cs="Open Sans"/>
          <w:b/>
          <w:bCs/>
          <w:i/>
          <w:iCs/>
          <w:color w:val="2F5496"/>
          <w:szCs w:val="22"/>
        </w:rPr>
        <w:t xml:space="preserve">Question 34 - </w:t>
      </w:r>
      <w:r w:rsidR="000D49A6" w:rsidRPr="0060021A">
        <w:rPr>
          <w:rFonts w:ascii="Open Sans" w:hAnsi="Open Sans" w:cs="Open Sans"/>
          <w:b/>
          <w:bCs/>
          <w:i/>
          <w:iCs/>
          <w:color w:val="2F5496"/>
          <w:szCs w:val="22"/>
        </w:rPr>
        <w:t>Please provide views on any other criteria to ensure that biomass support is focused on hard to treat properties only.</w:t>
      </w:r>
    </w:p>
    <w:p w14:paraId="683DBF3B" w14:textId="5F55DC90" w:rsidR="000D49A6" w:rsidRDefault="000D49A6" w:rsidP="00556297">
      <w:pPr>
        <w:rPr>
          <w:rFonts w:ascii="Open Sans" w:hAnsi="Open Sans" w:cs="Open Sans"/>
          <w:szCs w:val="22"/>
        </w:rPr>
      </w:pPr>
    </w:p>
    <w:p w14:paraId="7AFB97BC" w14:textId="77EA5580" w:rsidR="001E481A" w:rsidRDefault="001E481A" w:rsidP="00556297">
      <w:pPr>
        <w:rPr>
          <w:rFonts w:ascii="Open Sans" w:hAnsi="Open Sans" w:cs="Open Sans"/>
          <w:szCs w:val="22"/>
        </w:rPr>
      </w:pPr>
      <w:r>
        <w:rPr>
          <w:rFonts w:ascii="Open Sans" w:hAnsi="Open Sans" w:cs="Open Sans"/>
          <w:szCs w:val="22"/>
        </w:rPr>
        <w:t xml:space="preserve">Additional </w:t>
      </w:r>
      <w:r w:rsidR="00070B71">
        <w:rPr>
          <w:rFonts w:ascii="Open Sans" w:hAnsi="Open Sans" w:cs="Open Sans"/>
          <w:szCs w:val="22"/>
        </w:rPr>
        <w:t xml:space="preserve">criteria </w:t>
      </w:r>
      <w:r>
        <w:rPr>
          <w:rFonts w:ascii="Open Sans" w:hAnsi="Open Sans" w:cs="Open Sans"/>
          <w:szCs w:val="22"/>
        </w:rPr>
        <w:t xml:space="preserve">that </w:t>
      </w:r>
      <w:r w:rsidR="00772512">
        <w:rPr>
          <w:rFonts w:ascii="Open Sans" w:hAnsi="Open Sans" w:cs="Open Sans"/>
          <w:szCs w:val="22"/>
        </w:rPr>
        <w:t>could</w:t>
      </w:r>
      <w:r>
        <w:rPr>
          <w:rFonts w:ascii="Open Sans" w:hAnsi="Open Sans" w:cs="Open Sans"/>
          <w:szCs w:val="22"/>
        </w:rPr>
        <w:t xml:space="preserve"> </w:t>
      </w:r>
      <w:r w:rsidR="00772512">
        <w:rPr>
          <w:rFonts w:ascii="Open Sans" w:hAnsi="Open Sans" w:cs="Open Sans"/>
          <w:szCs w:val="22"/>
        </w:rPr>
        <w:t>demonstrate</w:t>
      </w:r>
      <w:r>
        <w:rPr>
          <w:rFonts w:ascii="Open Sans" w:hAnsi="Open Sans" w:cs="Open Sans"/>
          <w:szCs w:val="22"/>
        </w:rPr>
        <w:t xml:space="preserve"> biomass </w:t>
      </w:r>
      <w:r w:rsidR="00772512">
        <w:rPr>
          <w:rFonts w:ascii="Open Sans" w:hAnsi="Open Sans" w:cs="Open Sans"/>
          <w:szCs w:val="22"/>
        </w:rPr>
        <w:t xml:space="preserve">as appropriate </w:t>
      </w:r>
      <w:r>
        <w:rPr>
          <w:rFonts w:ascii="Open Sans" w:hAnsi="Open Sans" w:cs="Open Sans"/>
          <w:szCs w:val="22"/>
        </w:rPr>
        <w:t>for a property:</w:t>
      </w:r>
    </w:p>
    <w:p w14:paraId="0CF8C74B" w14:textId="11C2FA5A" w:rsidR="001E481A" w:rsidRDefault="001E481A" w:rsidP="001E481A">
      <w:pPr>
        <w:pStyle w:val="ListParagraph"/>
        <w:numPr>
          <w:ilvl w:val="0"/>
          <w:numId w:val="8"/>
        </w:numPr>
        <w:rPr>
          <w:rFonts w:ascii="Open Sans" w:hAnsi="Open Sans" w:cs="Open Sans"/>
          <w:szCs w:val="22"/>
        </w:rPr>
      </w:pPr>
      <w:r w:rsidRPr="00772512">
        <w:rPr>
          <w:rFonts w:ascii="Open Sans" w:hAnsi="Open Sans" w:cs="Open Sans"/>
          <w:szCs w:val="22"/>
        </w:rPr>
        <w:t>Grid capacity</w:t>
      </w:r>
      <w:r>
        <w:rPr>
          <w:rFonts w:ascii="Open Sans" w:hAnsi="Open Sans" w:cs="Open Sans"/>
          <w:szCs w:val="22"/>
        </w:rPr>
        <w:t xml:space="preserve"> – the </w:t>
      </w:r>
      <w:r w:rsidR="00772512">
        <w:rPr>
          <w:rFonts w:ascii="Open Sans" w:hAnsi="Open Sans" w:cs="Open Sans"/>
          <w:szCs w:val="22"/>
        </w:rPr>
        <w:t xml:space="preserve">properties </w:t>
      </w:r>
      <w:r>
        <w:rPr>
          <w:rFonts w:ascii="Open Sans" w:hAnsi="Open Sans" w:cs="Open Sans"/>
          <w:szCs w:val="22"/>
        </w:rPr>
        <w:t xml:space="preserve">grid connection and </w:t>
      </w:r>
      <w:r w:rsidR="00772512">
        <w:rPr>
          <w:rFonts w:ascii="Open Sans" w:hAnsi="Open Sans" w:cs="Open Sans"/>
          <w:szCs w:val="22"/>
        </w:rPr>
        <w:t xml:space="preserve">local </w:t>
      </w:r>
      <w:r>
        <w:rPr>
          <w:rFonts w:ascii="Open Sans" w:hAnsi="Open Sans" w:cs="Open Sans"/>
          <w:szCs w:val="22"/>
        </w:rPr>
        <w:t xml:space="preserve">distributed grid needs </w:t>
      </w:r>
      <w:r w:rsidR="00772512">
        <w:rPr>
          <w:rFonts w:ascii="Open Sans" w:hAnsi="Open Sans" w:cs="Open Sans"/>
          <w:szCs w:val="22"/>
        </w:rPr>
        <w:t>should</w:t>
      </w:r>
      <w:r>
        <w:rPr>
          <w:rFonts w:ascii="Open Sans" w:hAnsi="Open Sans" w:cs="Open Sans"/>
          <w:szCs w:val="22"/>
        </w:rPr>
        <w:t xml:space="preserve"> be considered. It is possible that a house grid connection </w:t>
      </w:r>
      <w:r w:rsidR="00BD45D6">
        <w:rPr>
          <w:rFonts w:ascii="Open Sans" w:hAnsi="Open Sans" w:cs="Open Sans"/>
          <w:szCs w:val="22"/>
        </w:rPr>
        <w:t>cannot</w:t>
      </w:r>
      <w:r>
        <w:rPr>
          <w:rFonts w:ascii="Open Sans" w:hAnsi="Open Sans" w:cs="Open Sans"/>
          <w:szCs w:val="22"/>
        </w:rPr>
        <w:t xml:space="preserve"> support the running of a larger heat pump </w:t>
      </w:r>
      <w:r w:rsidR="00565068">
        <w:rPr>
          <w:rFonts w:ascii="Open Sans" w:hAnsi="Open Sans" w:cs="Open Sans"/>
          <w:szCs w:val="22"/>
        </w:rPr>
        <w:t>installation</w:t>
      </w:r>
      <w:r>
        <w:rPr>
          <w:rFonts w:ascii="Open Sans" w:hAnsi="Open Sans" w:cs="Open Sans"/>
          <w:szCs w:val="22"/>
        </w:rPr>
        <w:t xml:space="preserve">, or local grid constraints </w:t>
      </w:r>
      <w:r w:rsidR="00772512">
        <w:rPr>
          <w:rFonts w:ascii="Open Sans" w:hAnsi="Open Sans" w:cs="Open Sans"/>
          <w:szCs w:val="22"/>
        </w:rPr>
        <w:t>may on occasion make such</w:t>
      </w:r>
      <w:r>
        <w:rPr>
          <w:rFonts w:ascii="Open Sans" w:hAnsi="Open Sans" w:cs="Open Sans"/>
          <w:szCs w:val="22"/>
        </w:rPr>
        <w:t xml:space="preserve"> an </w:t>
      </w:r>
      <w:r w:rsidR="00BD45D6">
        <w:rPr>
          <w:rFonts w:ascii="Open Sans" w:hAnsi="Open Sans" w:cs="Open Sans"/>
          <w:szCs w:val="22"/>
        </w:rPr>
        <w:t>installation</w:t>
      </w:r>
      <w:r>
        <w:rPr>
          <w:rFonts w:ascii="Open Sans" w:hAnsi="Open Sans" w:cs="Open Sans"/>
          <w:szCs w:val="22"/>
        </w:rPr>
        <w:t xml:space="preserve"> </w:t>
      </w:r>
      <w:r w:rsidR="00565068">
        <w:rPr>
          <w:rFonts w:ascii="Open Sans" w:hAnsi="Open Sans" w:cs="Open Sans"/>
          <w:szCs w:val="22"/>
        </w:rPr>
        <w:t>impractical</w:t>
      </w:r>
      <w:r w:rsidR="00772512">
        <w:rPr>
          <w:rFonts w:ascii="Open Sans" w:hAnsi="Open Sans" w:cs="Open Sans"/>
          <w:szCs w:val="22"/>
        </w:rPr>
        <w:t xml:space="preserve">, especially if </w:t>
      </w:r>
      <w:r w:rsidR="00633BBE">
        <w:rPr>
          <w:rFonts w:ascii="Open Sans" w:hAnsi="Open Sans" w:cs="Open Sans"/>
          <w:szCs w:val="22"/>
        </w:rPr>
        <w:t>an</w:t>
      </w:r>
      <w:r w:rsidR="00772512">
        <w:rPr>
          <w:rFonts w:ascii="Open Sans" w:hAnsi="Open Sans" w:cs="Open Sans"/>
          <w:szCs w:val="22"/>
        </w:rPr>
        <w:t xml:space="preserve"> electric vehicle is also being used at the property</w:t>
      </w:r>
      <w:r>
        <w:rPr>
          <w:rFonts w:ascii="Open Sans" w:hAnsi="Open Sans" w:cs="Open Sans"/>
          <w:szCs w:val="22"/>
        </w:rPr>
        <w:t>. In such cases</w:t>
      </w:r>
      <w:r w:rsidR="00772512">
        <w:rPr>
          <w:rFonts w:ascii="Open Sans" w:hAnsi="Open Sans" w:cs="Open Sans"/>
          <w:szCs w:val="22"/>
        </w:rPr>
        <w:t xml:space="preserve"> biomass may be a </w:t>
      </w:r>
      <w:r>
        <w:rPr>
          <w:rFonts w:ascii="Open Sans" w:hAnsi="Open Sans" w:cs="Open Sans"/>
          <w:szCs w:val="22"/>
        </w:rPr>
        <w:t xml:space="preserve">considered </w:t>
      </w:r>
      <w:r w:rsidR="00BD45D6">
        <w:rPr>
          <w:rFonts w:ascii="Open Sans" w:hAnsi="Open Sans" w:cs="Open Sans"/>
          <w:szCs w:val="22"/>
        </w:rPr>
        <w:t>a</w:t>
      </w:r>
      <w:r w:rsidR="00772512">
        <w:rPr>
          <w:rFonts w:ascii="Open Sans" w:hAnsi="Open Sans" w:cs="Open Sans"/>
          <w:szCs w:val="22"/>
        </w:rPr>
        <w:t xml:space="preserve"> more</w:t>
      </w:r>
      <w:r w:rsidR="00BD45D6">
        <w:rPr>
          <w:rFonts w:ascii="Open Sans" w:hAnsi="Open Sans" w:cs="Open Sans"/>
          <w:szCs w:val="22"/>
        </w:rPr>
        <w:t xml:space="preserve"> </w:t>
      </w:r>
      <w:r>
        <w:rPr>
          <w:rFonts w:ascii="Open Sans" w:hAnsi="Open Sans" w:cs="Open Sans"/>
          <w:szCs w:val="22"/>
        </w:rPr>
        <w:t xml:space="preserve">appropriate technology to install. </w:t>
      </w:r>
    </w:p>
    <w:p w14:paraId="730E53D2" w14:textId="3D62AE55" w:rsidR="00BD45D6" w:rsidRPr="00BD45D6" w:rsidRDefault="001E481A" w:rsidP="00BD45D6">
      <w:pPr>
        <w:pStyle w:val="ListParagraph"/>
        <w:numPr>
          <w:ilvl w:val="0"/>
          <w:numId w:val="8"/>
        </w:numPr>
        <w:rPr>
          <w:rFonts w:ascii="Open Sans" w:hAnsi="Open Sans" w:cs="Open Sans"/>
          <w:szCs w:val="22"/>
        </w:rPr>
      </w:pPr>
      <w:r>
        <w:rPr>
          <w:rFonts w:ascii="Open Sans" w:hAnsi="Open Sans" w:cs="Open Sans"/>
          <w:szCs w:val="22"/>
        </w:rPr>
        <w:t xml:space="preserve">The heat requirements of a building </w:t>
      </w:r>
      <w:r w:rsidR="00565068">
        <w:rPr>
          <w:rFonts w:ascii="Open Sans" w:hAnsi="Open Sans" w:cs="Open Sans"/>
          <w:szCs w:val="22"/>
        </w:rPr>
        <w:t>in a harsh winter scenario, where the higher heat load of biomass might provide energy security, especially on still nights when electricity cost</w:t>
      </w:r>
      <w:r w:rsidR="00772512">
        <w:rPr>
          <w:rFonts w:ascii="Open Sans" w:hAnsi="Open Sans" w:cs="Open Sans"/>
          <w:szCs w:val="22"/>
        </w:rPr>
        <w:t>s</w:t>
      </w:r>
      <w:r w:rsidR="00565068">
        <w:rPr>
          <w:rFonts w:ascii="Open Sans" w:hAnsi="Open Sans" w:cs="Open Sans"/>
          <w:szCs w:val="22"/>
        </w:rPr>
        <w:t xml:space="preserve"> might be highest.</w:t>
      </w:r>
    </w:p>
    <w:p w14:paraId="38BBA34D" w14:textId="1167BEBF" w:rsidR="00565068" w:rsidRDefault="00565068" w:rsidP="001E481A">
      <w:pPr>
        <w:pStyle w:val="ListParagraph"/>
        <w:numPr>
          <w:ilvl w:val="0"/>
          <w:numId w:val="8"/>
        </w:numPr>
        <w:rPr>
          <w:rFonts w:ascii="Open Sans" w:hAnsi="Open Sans" w:cs="Open Sans"/>
          <w:szCs w:val="22"/>
        </w:rPr>
      </w:pPr>
      <w:r>
        <w:rPr>
          <w:rFonts w:ascii="Open Sans" w:hAnsi="Open Sans" w:cs="Open Sans"/>
          <w:szCs w:val="22"/>
        </w:rPr>
        <w:t>Value for money for per kW installed</w:t>
      </w:r>
      <w:r w:rsidR="00772512">
        <w:rPr>
          <w:rFonts w:ascii="Open Sans" w:hAnsi="Open Sans" w:cs="Open Sans"/>
          <w:szCs w:val="22"/>
        </w:rPr>
        <w:t xml:space="preserve"> or £’s per tonne of carbon saved</w:t>
      </w:r>
      <w:r>
        <w:rPr>
          <w:rFonts w:ascii="Open Sans" w:hAnsi="Open Sans" w:cs="Open Sans"/>
          <w:szCs w:val="22"/>
        </w:rPr>
        <w:t xml:space="preserve">, where biomass might represent better value for money to the consumer where a </w:t>
      </w:r>
      <w:r w:rsidR="00772512">
        <w:rPr>
          <w:rFonts w:ascii="Open Sans" w:hAnsi="Open Sans" w:cs="Open Sans"/>
          <w:szCs w:val="22"/>
        </w:rPr>
        <w:t>larger scale installation</w:t>
      </w:r>
      <w:r>
        <w:rPr>
          <w:rFonts w:ascii="Open Sans" w:hAnsi="Open Sans" w:cs="Open Sans"/>
          <w:szCs w:val="22"/>
        </w:rPr>
        <w:t xml:space="preserve"> is required. </w:t>
      </w:r>
    </w:p>
    <w:p w14:paraId="747660AC" w14:textId="315D1BB6" w:rsidR="00565068" w:rsidRDefault="00565068" w:rsidP="001E481A">
      <w:pPr>
        <w:pStyle w:val="ListParagraph"/>
        <w:numPr>
          <w:ilvl w:val="0"/>
          <w:numId w:val="8"/>
        </w:numPr>
        <w:rPr>
          <w:rFonts w:ascii="Open Sans" w:hAnsi="Open Sans" w:cs="Open Sans"/>
          <w:szCs w:val="22"/>
        </w:rPr>
      </w:pPr>
      <w:r>
        <w:rPr>
          <w:rFonts w:ascii="Open Sans" w:hAnsi="Open Sans" w:cs="Open Sans"/>
          <w:szCs w:val="22"/>
        </w:rPr>
        <w:t xml:space="preserve">Possibility for a district heating system, where multiple properties could benefit from a larger scale biomass system or ground source heat pumps running off the same array. </w:t>
      </w:r>
    </w:p>
    <w:p w14:paraId="3B5DD46A" w14:textId="0404C425" w:rsidR="00565068" w:rsidRDefault="00565068" w:rsidP="005E4B71">
      <w:pPr>
        <w:pStyle w:val="ListParagraph"/>
        <w:numPr>
          <w:ilvl w:val="0"/>
          <w:numId w:val="8"/>
        </w:numPr>
        <w:rPr>
          <w:rFonts w:ascii="Open Sans" w:hAnsi="Open Sans" w:cs="Open Sans"/>
          <w:szCs w:val="22"/>
        </w:rPr>
      </w:pPr>
      <w:r w:rsidRPr="00772512">
        <w:rPr>
          <w:rFonts w:ascii="Open Sans" w:hAnsi="Open Sans" w:cs="Open Sans"/>
          <w:szCs w:val="22"/>
        </w:rPr>
        <w:t>The cost of a green electricity tariff in that area</w:t>
      </w:r>
      <w:r w:rsidR="00772512" w:rsidRPr="00772512">
        <w:rPr>
          <w:rFonts w:ascii="Open Sans" w:hAnsi="Open Sans" w:cs="Open Sans"/>
          <w:szCs w:val="22"/>
        </w:rPr>
        <w:t>, i</w:t>
      </w:r>
      <w:r w:rsidR="00BD45D6" w:rsidRPr="00772512">
        <w:rPr>
          <w:rFonts w:ascii="Open Sans" w:hAnsi="Open Sans" w:cs="Open Sans"/>
          <w:szCs w:val="22"/>
        </w:rPr>
        <w:t>mpacting running costs</w:t>
      </w:r>
      <w:r w:rsidR="00772512" w:rsidRPr="00772512">
        <w:rPr>
          <w:rFonts w:ascii="Open Sans" w:hAnsi="Open Sans" w:cs="Open Sans"/>
          <w:szCs w:val="22"/>
        </w:rPr>
        <w:t>.</w:t>
      </w:r>
      <w:r w:rsidRPr="00772512">
        <w:rPr>
          <w:rFonts w:ascii="Open Sans" w:hAnsi="Open Sans" w:cs="Open Sans"/>
          <w:szCs w:val="22"/>
        </w:rPr>
        <w:t xml:space="preserve"> Heating via electricity is only green if the electricity being used is coming from </w:t>
      </w:r>
      <w:r w:rsidR="00772512" w:rsidRPr="00772512">
        <w:rPr>
          <w:rFonts w:ascii="Open Sans" w:hAnsi="Open Sans" w:cs="Open Sans"/>
          <w:szCs w:val="22"/>
        </w:rPr>
        <w:t xml:space="preserve">a </w:t>
      </w:r>
      <w:r w:rsidRPr="00772512">
        <w:rPr>
          <w:rFonts w:ascii="Open Sans" w:hAnsi="Open Sans" w:cs="Open Sans"/>
          <w:szCs w:val="22"/>
        </w:rPr>
        <w:t xml:space="preserve">renewable energy </w:t>
      </w:r>
      <w:r w:rsidR="00772512" w:rsidRPr="00772512">
        <w:rPr>
          <w:rFonts w:ascii="Open Sans" w:hAnsi="Open Sans" w:cs="Open Sans"/>
          <w:szCs w:val="22"/>
        </w:rPr>
        <w:t>tariff</w:t>
      </w:r>
      <w:r w:rsidRPr="00772512">
        <w:rPr>
          <w:rFonts w:ascii="Open Sans" w:hAnsi="Open Sans" w:cs="Open Sans"/>
          <w:szCs w:val="22"/>
        </w:rPr>
        <w:t xml:space="preserve">. </w:t>
      </w:r>
    </w:p>
    <w:p w14:paraId="45E56C06" w14:textId="77777777" w:rsidR="00772512" w:rsidRPr="00772512" w:rsidRDefault="00772512" w:rsidP="00772512">
      <w:pPr>
        <w:pStyle w:val="ListParagraph"/>
        <w:rPr>
          <w:rFonts w:ascii="Open Sans" w:hAnsi="Open Sans" w:cs="Open Sans"/>
          <w:szCs w:val="22"/>
        </w:rPr>
      </w:pPr>
    </w:p>
    <w:p w14:paraId="60FF0BEE" w14:textId="4E6283D6" w:rsidR="00565068" w:rsidRPr="00565068" w:rsidRDefault="00565068" w:rsidP="00565068">
      <w:pPr>
        <w:rPr>
          <w:rFonts w:ascii="Open Sans" w:hAnsi="Open Sans" w:cs="Open Sans"/>
          <w:i/>
          <w:iCs/>
          <w:szCs w:val="22"/>
        </w:rPr>
      </w:pPr>
      <w:r w:rsidRPr="00565068">
        <w:rPr>
          <w:rFonts w:ascii="Open Sans" w:hAnsi="Open Sans" w:cs="Open Sans"/>
          <w:i/>
          <w:iCs/>
          <w:szCs w:val="22"/>
          <w:highlight w:val="yellow"/>
        </w:rPr>
        <w:t>Further members views welcome</w:t>
      </w:r>
    </w:p>
    <w:p w14:paraId="7329186D" w14:textId="77777777" w:rsidR="001E481A" w:rsidRPr="00E752B5" w:rsidRDefault="001E481A" w:rsidP="00556297">
      <w:pPr>
        <w:rPr>
          <w:rFonts w:ascii="Open Sans" w:hAnsi="Open Sans" w:cs="Open Sans"/>
          <w:szCs w:val="22"/>
        </w:rPr>
      </w:pPr>
    </w:p>
    <w:p w14:paraId="1AC50735" w14:textId="43B93FEF" w:rsidR="000D49A6" w:rsidRPr="00565068" w:rsidRDefault="00565068" w:rsidP="00556297">
      <w:pPr>
        <w:rPr>
          <w:rFonts w:ascii="Open Sans" w:hAnsi="Open Sans" w:cs="Open Sans"/>
          <w:b/>
          <w:bCs/>
          <w:i/>
          <w:iCs/>
          <w:color w:val="2F5496"/>
          <w:szCs w:val="22"/>
        </w:rPr>
      </w:pPr>
      <w:r w:rsidRPr="00565068">
        <w:rPr>
          <w:rFonts w:ascii="Open Sans" w:hAnsi="Open Sans" w:cs="Open Sans"/>
          <w:b/>
          <w:bCs/>
          <w:i/>
          <w:iCs/>
          <w:color w:val="2F5496"/>
          <w:szCs w:val="22"/>
        </w:rPr>
        <w:t xml:space="preserve">Question 35 - </w:t>
      </w:r>
      <w:r w:rsidR="000D49A6" w:rsidRPr="00565068">
        <w:rPr>
          <w:rFonts w:ascii="Open Sans" w:hAnsi="Open Sans" w:cs="Open Sans"/>
          <w:b/>
          <w:bCs/>
          <w:i/>
          <w:iCs/>
          <w:color w:val="2F5496"/>
          <w:szCs w:val="22"/>
        </w:rPr>
        <w:t>What do you consider to be the main consumer protection risks of providing support through an upfront grant and how might they be mitigated? Please provide evidence to support your response to question.</w:t>
      </w:r>
    </w:p>
    <w:p w14:paraId="2A54C98F" w14:textId="34D68725" w:rsidR="00565068" w:rsidRDefault="00565068" w:rsidP="00556297">
      <w:pPr>
        <w:rPr>
          <w:rFonts w:ascii="Open Sans" w:hAnsi="Open Sans" w:cs="Open Sans"/>
          <w:b/>
          <w:bCs/>
          <w:szCs w:val="22"/>
        </w:rPr>
      </w:pPr>
    </w:p>
    <w:p w14:paraId="1DEA92B0" w14:textId="7AA4E0DA" w:rsidR="00565068" w:rsidRDefault="00565068" w:rsidP="00556297">
      <w:pPr>
        <w:rPr>
          <w:rFonts w:ascii="Open Sans" w:hAnsi="Open Sans" w:cs="Open Sans"/>
          <w:szCs w:val="22"/>
        </w:rPr>
      </w:pPr>
      <w:r>
        <w:rPr>
          <w:rFonts w:ascii="Open Sans" w:hAnsi="Open Sans" w:cs="Open Sans"/>
          <w:szCs w:val="22"/>
        </w:rPr>
        <w:t xml:space="preserve">A low level, flat rate grant </w:t>
      </w:r>
      <w:r w:rsidR="00A24095">
        <w:rPr>
          <w:rFonts w:ascii="Open Sans" w:hAnsi="Open Sans" w:cs="Open Sans"/>
          <w:szCs w:val="22"/>
        </w:rPr>
        <w:t xml:space="preserve">with a capacity cap of 45 kW </w:t>
      </w:r>
      <w:r>
        <w:rPr>
          <w:rFonts w:ascii="Open Sans" w:hAnsi="Open Sans" w:cs="Open Sans"/>
          <w:szCs w:val="22"/>
        </w:rPr>
        <w:t xml:space="preserve">could well see installers trying to push down project costs by </w:t>
      </w:r>
      <w:r w:rsidR="00772512">
        <w:rPr>
          <w:rFonts w:ascii="Open Sans" w:hAnsi="Open Sans" w:cs="Open Sans"/>
          <w:szCs w:val="22"/>
        </w:rPr>
        <w:t>under sizing</w:t>
      </w:r>
      <w:r>
        <w:rPr>
          <w:rFonts w:ascii="Open Sans" w:hAnsi="Open Sans" w:cs="Open Sans"/>
          <w:szCs w:val="22"/>
        </w:rPr>
        <w:t xml:space="preserve"> projects or reducing quality. This will ensure the grant covers a greater proportion of the overall project cost, making it appear more attractive to the consumer. This could lead to </w:t>
      </w:r>
      <w:r w:rsidR="00772512">
        <w:rPr>
          <w:rFonts w:ascii="Open Sans" w:hAnsi="Open Sans" w:cs="Open Sans"/>
          <w:szCs w:val="22"/>
        </w:rPr>
        <w:t xml:space="preserve">mis selling </w:t>
      </w:r>
      <w:r>
        <w:rPr>
          <w:rFonts w:ascii="Open Sans" w:hAnsi="Open Sans" w:cs="Open Sans"/>
          <w:szCs w:val="22"/>
        </w:rPr>
        <w:t xml:space="preserve">and leave consumers with installations not suitable for their property or unable to heat the property efficiently.  Tight </w:t>
      </w:r>
      <w:r w:rsidR="003E4E95">
        <w:rPr>
          <w:rFonts w:ascii="Open Sans" w:hAnsi="Open Sans" w:cs="Open Sans"/>
          <w:szCs w:val="22"/>
        </w:rPr>
        <w:t>installation</w:t>
      </w:r>
      <w:r>
        <w:rPr>
          <w:rFonts w:ascii="Open Sans" w:hAnsi="Open Sans" w:cs="Open Sans"/>
          <w:szCs w:val="22"/>
        </w:rPr>
        <w:t xml:space="preserve"> standards will help </w:t>
      </w:r>
      <w:r w:rsidR="003E4E95">
        <w:rPr>
          <w:rFonts w:ascii="Open Sans" w:hAnsi="Open Sans" w:cs="Open Sans"/>
          <w:szCs w:val="22"/>
        </w:rPr>
        <w:t>address</w:t>
      </w:r>
      <w:r>
        <w:rPr>
          <w:rFonts w:ascii="Open Sans" w:hAnsi="Open Sans" w:cs="Open Sans"/>
          <w:szCs w:val="22"/>
        </w:rPr>
        <w:t xml:space="preserve"> this </w:t>
      </w:r>
      <w:r w:rsidR="003E4E95">
        <w:rPr>
          <w:rFonts w:ascii="Open Sans" w:hAnsi="Open Sans" w:cs="Open Sans"/>
          <w:szCs w:val="22"/>
        </w:rPr>
        <w:t>issue;</w:t>
      </w:r>
      <w:r>
        <w:rPr>
          <w:rFonts w:ascii="Open Sans" w:hAnsi="Open Sans" w:cs="Open Sans"/>
          <w:szCs w:val="22"/>
        </w:rPr>
        <w:t xml:space="preserve"> </w:t>
      </w:r>
      <w:r w:rsidR="003E4E95">
        <w:rPr>
          <w:rFonts w:ascii="Open Sans" w:hAnsi="Open Sans" w:cs="Open Sans"/>
          <w:szCs w:val="22"/>
        </w:rPr>
        <w:t>however,</w:t>
      </w:r>
      <w:r>
        <w:rPr>
          <w:rFonts w:ascii="Open Sans" w:hAnsi="Open Sans" w:cs="Open Sans"/>
          <w:szCs w:val="22"/>
        </w:rPr>
        <w:t xml:space="preserve"> it would also be helped by having a flexible grant</w:t>
      </w:r>
      <w:r w:rsidR="009723D3">
        <w:rPr>
          <w:rFonts w:ascii="Open Sans" w:hAnsi="Open Sans" w:cs="Open Sans"/>
          <w:szCs w:val="22"/>
        </w:rPr>
        <w:t xml:space="preserve">, </w:t>
      </w:r>
      <w:r w:rsidR="003277D7">
        <w:rPr>
          <w:rFonts w:ascii="Open Sans" w:hAnsi="Open Sans" w:cs="Open Sans"/>
          <w:szCs w:val="22"/>
        </w:rPr>
        <w:t>s</w:t>
      </w:r>
      <w:r w:rsidR="003E4E95">
        <w:rPr>
          <w:rFonts w:ascii="Open Sans" w:hAnsi="Open Sans" w:cs="Open Sans"/>
          <w:szCs w:val="22"/>
        </w:rPr>
        <w:t xml:space="preserve">ee answer to question 27 </w:t>
      </w:r>
      <w:r w:rsidR="00633BBE">
        <w:rPr>
          <w:rFonts w:ascii="Open Sans" w:hAnsi="Open Sans" w:cs="Open Sans"/>
          <w:szCs w:val="22"/>
        </w:rPr>
        <w:t>for further details</w:t>
      </w:r>
      <w:r w:rsidR="003E4E95">
        <w:rPr>
          <w:rFonts w:ascii="Open Sans" w:hAnsi="Open Sans" w:cs="Open Sans"/>
          <w:szCs w:val="22"/>
        </w:rPr>
        <w:t xml:space="preserve">. </w:t>
      </w:r>
    </w:p>
    <w:p w14:paraId="1711826A" w14:textId="15C4EBC9" w:rsidR="00A24095" w:rsidRDefault="00A24095" w:rsidP="00556297">
      <w:pPr>
        <w:rPr>
          <w:rFonts w:ascii="Open Sans" w:hAnsi="Open Sans" w:cs="Open Sans"/>
          <w:szCs w:val="22"/>
        </w:rPr>
      </w:pPr>
    </w:p>
    <w:p w14:paraId="3E96383D" w14:textId="3CCC1512" w:rsidR="00A24095" w:rsidRDefault="00A24095" w:rsidP="00556297">
      <w:pPr>
        <w:rPr>
          <w:rFonts w:ascii="Open Sans" w:hAnsi="Open Sans" w:cs="Open Sans"/>
          <w:szCs w:val="22"/>
        </w:rPr>
      </w:pPr>
      <w:r>
        <w:rPr>
          <w:rFonts w:ascii="Open Sans" w:hAnsi="Open Sans" w:cs="Open Sans"/>
          <w:szCs w:val="22"/>
        </w:rPr>
        <w:t>We also highlight that the design of the grant, which primarily targets ASHP’s</w:t>
      </w:r>
      <w:r w:rsidR="00A305AF">
        <w:rPr>
          <w:rFonts w:ascii="Open Sans" w:hAnsi="Open Sans" w:cs="Open Sans"/>
          <w:szCs w:val="22"/>
        </w:rPr>
        <w:t xml:space="preserve"> and bans biomass in on gas-grid area</w:t>
      </w:r>
      <w:r w:rsidR="00577DA4">
        <w:rPr>
          <w:rFonts w:ascii="Open Sans" w:hAnsi="Open Sans" w:cs="Open Sans"/>
          <w:szCs w:val="22"/>
        </w:rPr>
        <w:t>s</w:t>
      </w:r>
      <w:r w:rsidR="00A305AF">
        <w:rPr>
          <w:rFonts w:ascii="Open Sans" w:hAnsi="Open Sans" w:cs="Open Sans"/>
          <w:szCs w:val="22"/>
        </w:rPr>
        <w:t xml:space="preserve"> greatly</w:t>
      </w:r>
      <w:r>
        <w:rPr>
          <w:rFonts w:ascii="Open Sans" w:hAnsi="Open Sans" w:cs="Open Sans"/>
          <w:szCs w:val="22"/>
        </w:rPr>
        <w:t xml:space="preserve"> damages consumer choice. The </w:t>
      </w:r>
      <w:r w:rsidR="00577DA4">
        <w:rPr>
          <w:rFonts w:ascii="Open Sans" w:hAnsi="Open Sans" w:cs="Open Sans"/>
          <w:szCs w:val="22"/>
        </w:rPr>
        <w:t>design of the grant means that consumers are actively discouraged from considering</w:t>
      </w:r>
      <w:r>
        <w:rPr>
          <w:rFonts w:ascii="Open Sans" w:hAnsi="Open Sans" w:cs="Open Sans"/>
          <w:szCs w:val="22"/>
        </w:rPr>
        <w:t xml:space="preserve"> the range of renewable heat technologies which might, in certain situations, better meet their heat needs. </w:t>
      </w:r>
    </w:p>
    <w:p w14:paraId="37D87673" w14:textId="0644E96E" w:rsidR="003E4E95" w:rsidRDefault="003E4E95" w:rsidP="00556297">
      <w:pPr>
        <w:rPr>
          <w:rFonts w:ascii="Open Sans" w:hAnsi="Open Sans" w:cs="Open Sans"/>
          <w:szCs w:val="22"/>
        </w:rPr>
      </w:pPr>
    </w:p>
    <w:p w14:paraId="1CBBD7A9" w14:textId="652B8DC5" w:rsidR="003E4E95" w:rsidRDefault="003E4E95" w:rsidP="00556297">
      <w:pPr>
        <w:rPr>
          <w:rFonts w:ascii="Open Sans" w:hAnsi="Open Sans" w:cs="Open Sans"/>
          <w:szCs w:val="22"/>
        </w:rPr>
      </w:pPr>
      <w:r>
        <w:rPr>
          <w:rFonts w:ascii="Open Sans" w:hAnsi="Open Sans" w:cs="Open Sans"/>
          <w:szCs w:val="22"/>
        </w:rPr>
        <w:t xml:space="preserve">The </w:t>
      </w:r>
      <w:r w:rsidR="00633BBE">
        <w:rPr>
          <w:rFonts w:ascii="Open Sans" w:hAnsi="Open Sans" w:cs="Open Sans"/>
          <w:szCs w:val="22"/>
        </w:rPr>
        <w:t>h</w:t>
      </w:r>
      <w:r>
        <w:rPr>
          <w:rFonts w:ascii="Open Sans" w:hAnsi="Open Sans" w:cs="Open Sans"/>
          <w:szCs w:val="22"/>
        </w:rPr>
        <w:t xml:space="preserve">eat loss assessment should also be used to justify the correct size of installations for all applications to scheme, ensuring the correct size system is being installed for the consumer. </w:t>
      </w:r>
    </w:p>
    <w:p w14:paraId="431B4EEB" w14:textId="09AF7620" w:rsidR="009723D3" w:rsidRDefault="009723D3" w:rsidP="00556297">
      <w:pPr>
        <w:rPr>
          <w:rFonts w:ascii="Open Sans" w:hAnsi="Open Sans" w:cs="Open Sans"/>
          <w:szCs w:val="22"/>
        </w:rPr>
      </w:pPr>
    </w:p>
    <w:p w14:paraId="2B53718F" w14:textId="3C1440C7" w:rsidR="009723D3" w:rsidRDefault="009723D3" w:rsidP="00556297">
      <w:pPr>
        <w:rPr>
          <w:rFonts w:ascii="Open Sans" w:hAnsi="Open Sans" w:cs="Open Sans"/>
          <w:szCs w:val="22"/>
        </w:rPr>
      </w:pPr>
      <w:r>
        <w:rPr>
          <w:rFonts w:ascii="Open Sans" w:hAnsi="Open Sans" w:cs="Open Sans"/>
          <w:szCs w:val="22"/>
        </w:rPr>
        <w:t>The proposal for quarterly caps on the number of grants issued has the potential to lead to pressure selling from installers. Consumers may be rushed into a decision by being told that the number of available grants could be about to run out</w:t>
      </w:r>
      <w:r w:rsidR="00633BBE">
        <w:rPr>
          <w:rFonts w:ascii="Open Sans" w:hAnsi="Open Sans" w:cs="Open Sans"/>
          <w:szCs w:val="22"/>
        </w:rPr>
        <w:t>.</w:t>
      </w:r>
    </w:p>
    <w:p w14:paraId="5D402B70" w14:textId="01CF4F51" w:rsidR="003E4E95" w:rsidRDefault="003E4E95" w:rsidP="00556297">
      <w:pPr>
        <w:rPr>
          <w:rFonts w:ascii="Open Sans" w:hAnsi="Open Sans" w:cs="Open Sans"/>
          <w:szCs w:val="22"/>
        </w:rPr>
      </w:pPr>
    </w:p>
    <w:p w14:paraId="092291EC" w14:textId="3E8BAB03" w:rsidR="003E4E95" w:rsidRDefault="003E4E95" w:rsidP="00556297">
      <w:pPr>
        <w:rPr>
          <w:rFonts w:ascii="Open Sans" w:hAnsi="Open Sans" w:cs="Open Sans"/>
          <w:szCs w:val="22"/>
        </w:rPr>
      </w:pPr>
      <w:r>
        <w:rPr>
          <w:rFonts w:ascii="Open Sans" w:hAnsi="Open Sans" w:cs="Open Sans"/>
          <w:szCs w:val="22"/>
        </w:rPr>
        <w:t>The REA also endorses the response from the Renewable Energy Consumer Code (RECC) in relation to this question.  They have strong data concerning consumer issues within t</w:t>
      </w:r>
      <w:r w:rsidR="00E521F7">
        <w:rPr>
          <w:rFonts w:ascii="Open Sans" w:hAnsi="Open Sans" w:cs="Open Sans"/>
          <w:szCs w:val="22"/>
        </w:rPr>
        <w:t>h</w:t>
      </w:r>
      <w:r>
        <w:rPr>
          <w:rFonts w:ascii="Open Sans" w:hAnsi="Open Sans" w:cs="Open Sans"/>
          <w:szCs w:val="22"/>
        </w:rPr>
        <w:t xml:space="preserve">e RHI, from which important lessons can be learned. </w:t>
      </w:r>
    </w:p>
    <w:p w14:paraId="0F2C6C3B" w14:textId="3640DA9E" w:rsidR="003275A4" w:rsidRDefault="003275A4" w:rsidP="00556297">
      <w:pPr>
        <w:rPr>
          <w:rFonts w:ascii="Open Sans" w:hAnsi="Open Sans" w:cs="Open Sans"/>
          <w:szCs w:val="22"/>
        </w:rPr>
      </w:pPr>
    </w:p>
    <w:p w14:paraId="66A4D179" w14:textId="77777777" w:rsidR="003275A4" w:rsidRPr="003275A4" w:rsidRDefault="003275A4" w:rsidP="003275A4">
      <w:pPr>
        <w:rPr>
          <w:rFonts w:ascii="Open Sans" w:hAnsi="Open Sans" w:cs="Open Sans"/>
          <w:b/>
          <w:bCs/>
          <w:i/>
          <w:iCs/>
          <w:color w:val="2F5496"/>
          <w:szCs w:val="22"/>
        </w:rPr>
      </w:pPr>
      <w:r w:rsidRPr="003275A4">
        <w:rPr>
          <w:rFonts w:ascii="Open Sans" w:hAnsi="Open Sans" w:cs="Open Sans"/>
          <w:b/>
          <w:bCs/>
          <w:i/>
          <w:iCs/>
          <w:color w:val="2F5496"/>
          <w:szCs w:val="22"/>
        </w:rPr>
        <w:t>Question 36 - Do you agree with the proposed budgetary control mechanisms as a means of preventing scheme overspend? Yes/No. Please provide evidence to support your response.</w:t>
      </w:r>
    </w:p>
    <w:p w14:paraId="710FA84D" w14:textId="5C050C03" w:rsidR="003275A4" w:rsidRPr="00565068" w:rsidRDefault="003275A4" w:rsidP="00556297">
      <w:pPr>
        <w:rPr>
          <w:rFonts w:ascii="Open Sans" w:hAnsi="Open Sans" w:cs="Open Sans"/>
          <w:szCs w:val="22"/>
        </w:rPr>
      </w:pPr>
    </w:p>
    <w:p w14:paraId="7B39B582" w14:textId="77777777" w:rsidR="003275A4" w:rsidRPr="005365EE" w:rsidRDefault="003275A4" w:rsidP="003275A4">
      <w:pPr>
        <w:jc w:val="left"/>
        <w:textAlignment w:val="baseline"/>
        <w:rPr>
          <w:rFonts w:ascii="Open Sans" w:hAnsi="Open Sans" w:cs="Open Sans"/>
          <w:bCs/>
          <w:szCs w:val="22"/>
          <w:lang w:eastAsia="en-GB"/>
        </w:rPr>
      </w:pPr>
      <w:r w:rsidRPr="005365EE">
        <w:rPr>
          <w:rFonts w:ascii="Open Sans" w:hAnsi="Open Sans" w:cs="Open Sans"/>
          <w:bCs/>
          <w:szCs w:val="22"/>
          <w:lang w:eastAsia="en-GB"/>
        </w:rPr>
        <w:t xml:space="preserve">The answer to this question is already covered in our answers to questions 6, 7 and 8. </w:t>
      </w:r>
    </w:p>
    <w:p w14:paraId="040008DD" w14:textId="1060A828" w:rsidR="000D49A6" w:rsidRPr="003E4E95" w:rsidRDefault="000D49A6" w:rsidP="00556297">
      <w:pPr>
        <w:rPr>
          <w:rFonts w:ascii="Open Sans" w:hAnsi="Open Sans" w:cs="Open Sans"/>
          <w:b/>
          <w:bCs/>
          <w:szCs w:val="22"/>
        </w:rPr>
      </w:pPr>
    </w:p>
    <w:p w14:paraId="671FBDE7" w14:textId="477AD1C6" w:rsidR="000D49A6" w:rsidRDefault="003E4E95" w:rsidP="00556297">
      <w:pPr>
        <w:rPr>
          <w:rFonts w:ascii="Open Sans" w:hAnsi="Open Sans" w:cs="Open Sans"/>
          <w:b/>
          <w:bCs/>
          <w:i/>
          <w:iCs/>
          <w:color w:val="2F5496"/>
          <w:szCs w:val="22"/>
        </w:rPr>
      </w:pPr>
      <w:r w:rsidRPr="003E4E95">
        <w:rPr>
          <w:rFonts w:ascii="Open Sans" w:hAnsi="Open Sans" w:cs="Open Sans"/>
          <w:b/>
          <w:bCs/>
          <w:i/>
          <w:iCs/>
          <w:color w:val="2F5496"/>
          <w:szCs w:val="22"/>
        </w:rPr>
        <w:t xml:space="preserve">Question 37 - </w:t>
      </w:r>
      <w:r w:rsidR="000D49A6" w:rsidRPr="003E4E95">
        <w:rPr>
          <w:rFonts w:ascii="Open Sans" w:hAnsi="Open Sans" w:cs="Open Sans"/>
          <w:b/>
          <w:bCs/>
          <w:i/>
          <w:iCs/>
          <w:color w:val="2F5496"/>
          <w:szCs w:val="22"/>
        </w:rPr>
        <w:t>Do you agree that quarterly grant windows would prevent overspend and manage demand to ensure an even spread of deployment? Yes/No. Please provide evidence to support your response.</w:t>
      </w:r>
    </w:p>
    <w:p w14:paraId="4DCE69A0" w14:textId="02B71105" w:rsidR="003E4E95" w:rsidRDefault="003E4E95" w:rsidP="00556297">
      <w:pPr>
        <w:rPr>
          <w:rFonts w:ascii="Open Sans" w:hAnsi="Open Sans" w:cs="Open Sans"/>
          <w:b/>
          <w:bCs/>
          <w:i/>
          <w:iCs/>
          <w:color w:val="2F5496"/>
          <w:szCs w:val="22"/>
        </w:rPr>
      </w:pPr>
    </w:p>
    <w:p w14:paraId="0B617719" w14:textId="243C4582" w:rsidR="003E4E95" w:rsidRDefault="003E4E95" w:rsidP="003E4E95">
      <w:pPr>
        <w:rPr>
          <w:rFonts w:ascii="Open Sans" w:hAnsi="Open Sans" w:cs="Open Sans"/>
          <w:szCs w:val="22"/>
        </w:rPr>
      </w:pPr>
      <w:r>
        <w:rPr>
          <w:rFonts w:ascii="Open Sans" w:hAnsi="Open Sans" w:cs="Open Sans"/>
          <w:szCs w:val="22"/>
        </w:rPr>
        <w:t>No, not enough detail has been provided around how the quarterly caps would</w:t>
      </w:r>
      <w:r w:rsidR="002952CB">
        <w:rPr>
          <w:rFonts w:ascii="Open Sans" w:hAnsi="Open Sans" w:cs="Open Sans"/>
          <w:szCs w:val="22"/>
        </w:rPr>
        <w:t xml:space="preserve"> be set</w:t>
      </w:r>
      <w:r w:rsidR="00032E11">
        <w:rPr>
          <w:rFonts w:ascii="Open Sans" w:hAnsi="Open Sans" w:cs="Open Sans"/>
          <w:szCs w:val="22"/>
        </w:rPr>
        <w:t xml:space="preserve"> </w:t>
      </w:r>
      <w:r>
        <w:rPr>
          <w:rFonts w:ascii="Open Sans" w:hAnsi="Open Sans" w:cs="Open Sans"/>
          <w:szCs w:val="22"/>
        </w:rPr>
        <w:t>for</w:t>
      </w:r>
      <w:r w:rsidR="00032E11">
        <w:rPr>
          <w:rFonts w:ascii="Open Sans" w:hAnsi="Open Sans" w:cs="Open Sans"/>
          <w:szCs w:val="22"/>
        </w:rPr>
        <w:t xml:space="preserve"> industry </w:t>
      </w:r>
      <w:r>
        <w:rPr>
          <w:rFonts w:ascii="Open Sans" w:hAnsi="Open Sans" w:cs="Open Sans"/>
          <w:szCs w:val="22"/>
        </w:rPr>
        <w:t>to be able to support the proposal.</w:t>
      </w:r>
    </w:p>
    <w:p w14:paraId="438B420E" w14:textId="77777777" w:rsidR="003E4E95" w:rsidRDefault="003E4E95" w:rsidP="003E4E95">
      <w:pPr>
        <w:rPr>
          <w:rFonts w:ascii="Open Sans" w:hAnsi="Open Sans" w:cs="Open Sans"/>
          <w:szCs w:val="22"/>
        </w:rPr>
      </w:pPr>
    </w:p>
    <w:p w14:paraId="66E028B6" w14:textId="0F136BC0" w:rsidR="003E4E95" w:rsidRPr="00032E11" w:rsidRDefault="003E4E95" w:rsidP="003E4E95">
      <w:pPr>
        <w:rPr>
          <w:rFonts w:ascii="Open Sans" w:hAnsi="Open Sans" w:cs="Open Sans"/>
          <w:szCs w:val="22"/>
        </w:rPr>
      </w:pPr>
      <w:r>
        <w:rPr>
          <w:rFonts w:ascii="Open Sans" w:hAnsi="Open Sans" w:cs="Open Sans"/>
          <w:szCs w:val="22"/>
        </w:rPr>
        <w:t>Given that this scheme is primarily focused on domestic heat users, a quarterly cap risks locking consumers out of the scheme for up to three months, during a period when they could urgently need a new heating installation.</w:t>
      </w:r>
      <w:r w:rsidR="009723D3">
        <w:rPr>
          <w:rFonts w:ascii="Open Sans" w:hAnsi="Open Sans" w:cs="Open Sans"/>
          <w:szCs w:val="22"/>
        </w:rPr>
        <w:t xml:space="preserve"> Equally, as raised in question 35, quarterly caps could be used to pressure sell, with installer rushing consumers to make a decision on the basis that the number of available grants is about to </w:t>
      </w:r>
      <w:r w:rsidR="00E521F7">
        <w:rPr>
          <w:rFonts w:ascii="Open Sans" w:hAnsi="Open Sans" w:cs="Open Sans"/>
          <w:szCs w:val="22"/>
        </w:rPr>
        <w:t>run out</w:t>
      </w:r>
      <w:r w:rsidR="009723D3">
        <w:rPr>
          <w:rFonts w:ascii="Open Sans" w:hAnsi="Open Sans" w:cs="Open Sans"/>
          <w:szCs w:val="22"/>
        </w:rPr>
        <w:t xml:space="preserve">. </w:t>
      </w:r>
      <w:r>
        <w:rPr>
          <w:rFonts w:ascii="Open Sans" w:hAnsi="Open Sans" w:cs="Open Sans"/>
          <w:szCs w:val="22"/>
        </w:rPr>
        <w:t xml:space="preserve"> A</w:t>
      </w:r>
      <w:r w:rsidR="009723D3">
        <w:rPr>
          <w:rFonts w:ascii="Open Sans" w:hAnsi="Open Sans" w:cs="Open Sans"/>
          <w:szCs w:val="22"/>
        </w:rPr>
        <w:t>s such</w:t>
      </w:r>
      <w:r w:rsidR="00587C19">
        <w:rPr>
          <w:rFonts w:ascii="Open Sans" w:hAnsi="Open Sans" w:cs="Open Sans"/>
          <w:szCs w:val="22"/>
        </w:rPr>
        <w:t xml:space="preserve">, </w:t>
      </w:r>
      <w:r>
        <w:rPr>
          <w:rFonts w:ascii="Open Sans" w:hAnsi="Open Sans" w:cs="Open Sans"/>
          <w:szCs w:val="22"/>
        </w:rPr>
        <w:t>quarterly cap</w:t>
      </w:r>
      <w:r w:rsidR="009723D3">
        <w:rPr>
          <w:rFonts w:ascii="Open Sans" w:hAnsi="Open Sans" w:cs="Open Sans"/>
          <w:szCs w:val="22"/>
        </w:rPr>
        <w:t>s</w:t>
      </w:r>
      <w:r>
        <w:rPr>
          <w:rFonts w:ascii="Open Sans" w:hAnsi="Open Sans" w:cs="Open Sans"/>
          <w:szCs w:val="22"/>
        </w:rPr>
        <w:t xml:space="preserve"> </w:t>
      </w:r>
      <w:r w:rsidR="009723D3">
        <w:rPr>
          <w:rFonts w:ascii="Open Sans" w:hAnsi="Open Sans" w:cs="Open Sans"/>
          <w:szCs w:val="22"/>
        </w:rPr>
        <w:t>could</w:t>
      </w:r>
      <w:r>
        <w:rPr>
          <w:rFonts w:ascii="Open Sans" w:hAnsi="Open Sans" w:cs="Open Sans"/>
          <w:szCs w:val="22"/>
        </w:rPr>
        <w:t xml:space="preserve"> become a barrier to consumer engagement and see potential renewable installations abandoned in favour of fossil </w:t>
      </w:r>
      <w:r w:rsidRPr="00032E11">
        <w:rPr>
          <w:rFonts w:ascii="Open Sans" w:hAnsi="Open Sans" w:cs="Open Sans"/>
          <w:szCs w:val="22"/>
        </w:rPr>
        <w:t xml:space="preserve">fuelled systems. </w:t>
      </w:r>
    </w:p>
    <w:p w14:paraId="4414A3E4" w14:textId="57DDB38B" w:rsidR="003E4E95" w:rsidRPr="00032E11" w:rsidRDefault="003E4E95" w:rsidP="00556297">
      <w:pPr>
        <w:rPr>
          <w:rFonts w:ascii="Open Sans" w:hAnsi="Open Sans" w:cs="Open Sans"/>
          <w:szCs w:val="22"/>
        </w:rPr>
      </w:pPr>
    </w:p>
    <w:p w14:paraId="6F3DCEBC" w14:textId="75036A4E" w:rsidR="003E4E95" w:rsidRPr="00032E11" w:rsidRDefault="00032E11" w:rsidP="00556297">
      <w:pPr>
        <w:rPr>
          <w:rFonts w:ascii="Open Sans" w:hAnsi="Open Sans" w:cs="Open Sans"/>
          <w:szCs w:val="22"/>
        </w:rPr>
      </w:pPr>
      <w:r>
        <w:rPr>
          <w:rFonts w:ascii="Open Sans" w:hAnsi="Open Sans" w:cs="Open Sans"/>
          <w:szCs w:val="22"/>
        </w:rPr>
        <w:t>Quarterly d</w:t>
      </w:r>
      <w:r w:rsidR="003E4E95" w:rsidRPr="00032E11">
        <w:rPr>
          <w:rFonts w:ascii="Open Sans" w:hAnsi="Open Sans" w:cs="Open Sans"/>
          <w:szCs w:val="22"/>
        </w:rPr>
        <w:t>eployment caps proved</w:t>
      </w:r>
      <w:r w:rsidRPr="00032E11">
        <w:rPr>
          <w:rFonts w:ascii="Open Sans" w:hAnsi="Open Sans" w:cs="Open Sans"/>
          <w:szCs w:val="22"/>
        </w:rPr>
        <w:t xml:space="preserve"> </w:t>
      </w:r>
      <w:r w:rsidR="003E4E95" w:rsidRPr="00032E11">
        <w:rPr>
          <w:rFonts w:ascii="Open Sans" w:hAnsi="Open Sans" w:cs="Open Sans"/>
          <w:szCs w:val="22"/>
        </w:rPr>
        <w:t xml:space="preserve">detrimental for the </w:t>
      </w:r>
      <w:r w:rsidR="002952CB" w:rsidRPr="00032E11">
        <w:rPr>
          <w:rFonts w:ascii="Open Sans" w:hAnsi="Open Sans" w:cs="Open Sans"/>
          <w:szCs w:val="22"/>
        </w:rPr>
        <w:t xml:space="preserve">AD </w:t>
      </w:r>
      <w:r w:rsidR="003E4E95" w:rsidRPr="00032E11">
        <w:rPr>
          <w:rFonts w:ascii="Open Sans" w:hAnsi="Open Sans" w:cs="Open Sans"/>
          <w:szCs w:val="22"/>
        </w:rPr>
        <w:t>industry within the Feed in Tariff, with the caps being set far to</w:t>
      </w:r>
      <w:r>
        <w:rPr>
          <w:rFonts w:ascii="Open Sans" w:hAnsi="Open Sans" w:cs="Open Sans"/>
          <w:szCs w:val="22"/>
        </w:rPr>
        <w:t>o</w:t>
      </w:r>
      <w:r w:rsidR="003E4E95" w:rsidRPr="00032E11">
        <w:rPr>
          <w:rFonts w:ascii="Open Sans" w:hAnsi="Open Sans" w:cs="Open Sans"/>
          <w:szCs w:val="22"/>
        </w:rPr>
        <w:t xml:space="preserve"> low. The result was a que</w:t>
      </w:r>
      <w:r w:rsidR="009723D3">
        <w:rPr>
          <w:rFonts w:ascii="Open Sans" w:hAnsi="Open Sans" w:cs="Open Sans"/>
          <w:szCs w:val="22"/>
        </w:rPr>
        <w:t>ue</w:t>
      </w:r>
      <w:r w:rsidR="003E4E95" w:rsidRPr="00032E11">
        <w:rPr>
          <w:rFonts w:ascii="Open Sans" w:hAnsi="Open Sans" w:cs="Open Sans"/>
          <w:szCs w:val="22"/>
        </w:rPr>
        <w:t xml:space="preserve"> of projects </w:t>
      </w:r>
      <w:r w:rsidR="002952CB" w:rsidRPr="00032E11">
        <w:rPr>
          <w:rFonts w:ascii="Open Sans" w:hAnsi="Open Sans" w:cs="Open Sans"/>
          <w:szCs w:val="22"/>
        </w:rPr>
        <w:t>desperately</w:t>
      </w:r>
      <w:r w:rsidR="003E4E95" w:rsidRPr="00032E11">
        <w:rPr>
          <w:rFonts w:ascii="Open Sans" w:hAnsi="Open Sans" w:cs="Open Sans"/>
          <w:szCs w:val="22"/>
        </w:rPr>
        <w:t xml:space="preserve"> trying to get </w:t>
      </w:r>
      <w:r w:rsidR="002952CB" w:rsidRPr="00032E11">
        <w:rPr>
          <w:rFonts w:ascii="Open Sans" w:hAnsi="Open Sans" w:cs="Open Sans"/>
          <w:szCs w:val="22"/>
        </w:rPr>
        <w:t>a tariff as soon a</w:t>
      </w:r>
      <w:r w:rsidRPr="00032E11">
        <w:rPr>
          <w:rFonts w:ascii="Open Sans" w:hAnsi="Open Sans" w:cs="Open Sans"/>
          <w:szCs w:val="22"/>
        </w:rPr>
        <w:t>s</w:t>
      </w:r>
      <w:r w:rsidR="002952CB" w:rsidRPr="00032E11">
        <w:rPr>
          <w:rFonts w:ascii="Open Sans" w:hAnsi="Open Sans" w:cs="Open Sans"/>
          <w:szCs w:val="22"/>
        </w:rPr>
        <w:t xml:space="preserve"> applications opened each quarter. This created a </w:t>
      </w:r>
      <w:r w:rsidRPr="00032E11">
        <w:rPr>
          <w:rFonts w:ascii="Open Sans" w:hAnsi="Open Sans" w:cs="Open Sans"/>
          <w:szCs w:val="22"/>
        </w:rPr>
        <w:t>lottery</w:t>
      </w:r>
      <w:r w:rsidR="002952CB" w:rsidRPr="00032E11">
        <w:rPr>
          <w:rFonts w:ascii="Open Sans" w:hAnsi="Open Sans" w:cs="Open Sans"/>
          <w:szCs w:val="22"/>
        </w:rPr>
        <w:t>, often dependent on who had the be</w:t>
      </w:r>
      <w:r w:rsidR="008D2059">
        <w:rPr>
          <w:rFonts w:ascii="Open Sans" w:hAnsi="Open Sans" w:cs="Open Sans"/>
          <w:szCs w:val="22"/>
        </w:rPr>
        <w:t>st</w:t>
      </w:r>
      <w:r w:rsidR="002952CB" w:rsidRPr="00032E11">
        <w:rPr>
          <w:rFonts w:ascii="Open Sans" w:hAnsi="Open Sans" w:cs="Open Sans"/>
          <w:szCs w:val="22"/>
        </w:rPr>
        <w:t xml:space="preserve"> internet connection</w:t>
      </w:r>
      <w:r>
        <w:rPr>
          <w:rFonts w:ascii="Open Sans" w:hAnsi="Open Sans" w:cs="Open Sans"/>
          <w:szCs w:val="22"/>
        </w:rPr>
        <w:t xml:space="preserve">, </w:t>
      </w:r>
      <w:r w:rsidR="002952CB" w:rsidRPr="00032E11">
        <w:rPr>
          <w:rFonts w:ascii="Open Sans" w:hAnsi="Open Sans" w:cs="Open Sans"/>
          <w:szCs w:val="22"/>
        </w:rPr>
        <w:t xml:space="preserve">rather </w:t>
      </w:r>
      <w:r w:rsidR="008D2059" w:rsidRPr="00032E11">
        <w:rPr>
          <w:rFonts w:ascii="Open Sans" w:hAnsi="Open Sans" w:cs="Open Sans"/>
          <w:szCs w:val="22"/>
        </w:rPr>
        <w:t>than</w:t>
      </w:r>
      <w:r w:rsidR="002952CB" w:rsidRPr="00032E11">
        <w:rPr>
          <w:rFonts w:ascii="Open Sans" w:hAnsi="Open Sans" w:cs="Open Sans"/>
          <w:szCs w:val="22"/>
        </w:rPr>
        <w:t xml:space="preserve"> a fair system of allocation. Such a system </w:t>
      </w:r>
      <w:r w:rsidRPr="00032E11">
        <w:rPr>
          <w:rFonts w:ascii="Open Sans" w:hAnsi="Open Sans" w:cs="Open Sans"/>
          <w:szCs w:val="22"/>
        </w:rPr>
        <w:t xml:space="preserve">discouraged developers </w:t>
      </w:r>
      <w:r w:rsidR="002952CB" w:rsidRPr="00032E11">
        <w:rPr>
          <w:rFonts w:ascii="Open Sans" w:hAnsi="Open Sans" w:cs="Open Sans"/>
          <w:szCs w:val="22"/>
        </w:rPr>
        <w:t xml:space="preserve">from engaging with the scheme, as the risk of not getting a tariff within a quarter </w:t>
      </w:r>
      <w:r w:rsidR="008D2059">
        <w:rPr>
          <w:rFonts w:ascii="Open Sans" w:hAnsi="Open Sans" w:cs="Open Sans"/>
          <w:szCs w:val="22"/>
        </w:rPr>
        <w:t xml:space="preserve">became </w:t>
      </w:r>
      <w:r w:rsidR="002952CB" w:rsidRPr="00032E11">
        <w:rPr>
          <w:rFonts w:ascii="Open Sans" w:hAnsi="Open Sans" w:cs="Open Sans"/>
          <w:szCs w:val="22"/>
        </w:rPr>
        <w:t xml:space="preserve">too great. Such impacts must be avoided in the case of the </w:t>
      </w:r>
      <w:r w:rsidR="008D2059">
        <w:rPr>
          <w:rFonts w:ascii="Open Sans" w:hAnsi="Open Sans" w:cs="Open Sans"/>
          <w:szCs w:val="22"/>
        </w:rPr>
        <w:t>C</w:t>
      </w:r>
      <w:r w:rsidR="002952CB" w:rsidRPr="00032E11">
        <w:rPr>
          <w:rFonts w:ascii="Open Sans" w:hAnsi="Open Sans" w:cs="Open Sans"/>
          <w:szCs w:val="22"/>
        </w:rPr>
        <w:t xml:space="preserve">lean </w:t>
      </w:r>
      <w:r w:rsidR="008D2059">
        <w:rPr>
          <w:rFonts w:ascii="Open Sans" w:hAnsi="Open Sans" w:cs="Open Sans"/>
          <w:szCs w:val="22"/>
        </w:rPr>
        <w:t>H</w:t>
      </w:r>
      <w:r w:rsidR="002952CB" w:rsidRPr="00032E11">
        <w:rPr>
          <w:rFonts w:ascii="Open Sans" w:hAnsi="Open Sans" w:cs="Open Sans"/>
          <w:szCs w:val="22"/>
        </w:rPr>
        <w:t xml:space="preserve">eat </w:t>
      </w:r>
      <w:r w:rsidR="008D2059">
        <w:rPr>
          <w:rFonts w:ascii="Open Sans" w:hAnsi="Open Sans" w:cs="Open Sans"/>
          <w:szCs w:val="22"/>
        </w:rPr>
        <w:t>G</w:t>
      </w:r>
      <w:r w:rsidR="002952CB" w:rsidRPr="00032E11">
        <w:rPr>
          <w:rFonts w:ascii="Open Sans" w:hAnsi="Open Sans" w:cs="Open Sans"/>
          <w:szCs w:val="22"/>
        </w:rPr>
        <w:t xml:space="preserve">rant scheme, especially where domestic consumers are involved. </w:t>
      </w:r>
    </w:p>
    <w:p w14:paraId="1A447ABC" w14:textId="50252B67" w:rsidR="00032E11" w:rsidRPr="00032E11" w:rsidRDefault="00032E11" w:rsidP="00556297">
      <w:pPr>
        <w:rPr>
          <w:rFonts w:ascii="Open Sans" w:hAnsi="Open Sans" w:cs="Open Sans"/>
          <w:szCs w:val="22"/>
        </w:rPr>
      </w:pPr>
    </w:p>
    <w:p w14:paraId="146756C4" w14:textId="5FBC14F9" w:rsidR="00032E11" w:rsidRDefault="00032E11" w:rsidP="00556297">
      <w:pPr>
        <w:rPr>
          <w:rFonts w:ascii="Open Sans" w:hAnsi="Open Sans" w:cs="Open Sans"/>
          <w:szCs w:val="22"/>
        </w:rPr>
      </w:pPr>
      <w:r w:rsidRPr="00032E11">
        <w:rPr>
          <w:rFonts w:ascii="Open Sans" w:hAnsi="Open Sans" w:cs="Open Sans"/>
          <w:szCs w:val="22"/>
        </w:rPr>
        <w:lastRenderedPageBreak/>
        <w:t xml:space="preserve">The design for such quarterly caps needs to be very carefully thought out and considered </w:t>
      </w:r>
      <w:r w:rsidR="008D2059" w:rsidRPr="00032E11">
        <w:rPr>
          <w:rFonts w:ascii="Open Sans" w:hAnsi="Open Sans" w:cs="Open Sans"/>
          <w:szCs w:val="22"/>
        </w:rPr>
        <w:t>in line</w:t>
      </w:r>
      <w:r w:rsidRPr="00032E11">
        <w:rPr>
          <w:rFonts w:ascii="Open Sans" w:hAnsi="Open Sans" w:cs="Open Sans"/>
          <w:szCs w:val="22"/>
        </w:rPr>
        <w:t xml:space="preserve"> with real deployment figures. </w:t>
      </w:r>
    </w:p>
    <w:p w14:paraId="3539ECAA" w14:textId="77777777" w:rsidR="00032E11" w:rsidRDefault="00032E11" w:rsidP="00556297">
      <w:pPr>
        <w:rPr>
          <w:rFonts w:ascii="Open Sans" w:hAnsi="Open Sans" w:cs="Open Sans"/>
          <w:szCs w:val="22"/>
        </w:rPr>
      </w:pPr>
    </w:p>
    <w:p w14:paraId="3CFEF598" w14:textId="7F0CF1D7" w:rsidR="00032E11" w:rsidRPr="00032E11" w:rsidRDefault="00032E11" w:rsidP="00556297">
      <w:pPr>
        <w:rPr>
          <w:rFonts w:ascii="Open Sans" w:hAnsi="Open Sans" w:cs="Open Sans"/>
          <w:szCs w:val="22"/>
        </w:rPr>
      </w:pPr>
      <w:r>
        <w:rPr>
          <w:rFonts w:ascii="Open Sans" w:hAnsi="Open Sans" w:cs="Open Sans"/>
          <w:szCs w:val="22"/>
        </w:rPr>
        <w:t>Given the UK’s heat decarbonisation ambitions, and need for mass transition to low carbon heating systems, if demand for the grant proves to be so great that the budget is quickly allocated</w:t>
      </w:r>
      <w:r w:rsidR="008D2059">
        <w:rPr>
          <w:rFonts w:ascii="Open Sans" w:hAnsi="Open Sans" w:cs="Open Sans"/>
          <w:szCs w:val="22"/>
        </w:rPr>
        <w:t xml:space="preserve">, </w:t>
      </w:r>
      <w:r w:rsidR="008F2B11">
        <w:rPr>
          <w:rFonts w:ascii="Open Sans" w:hAnsi="Open Sans" w:cs="Open Sans"/>
          <w:szCs w:val="22"/>
        </w:rPr>
        <w:t xml:space="preserve"> </w:t>
      </w:r>
      <w:r>
        <w:rPr>
          <w:rFonts w:ascii="Open Sans" w:hAnsi="Open Sans" w:cs="Open Sans"/>
          <w:szCs w:val="22"/>
        </w:rPr>
        <w:t xml:space="preserve">this should be evidence for BEIS and Treasury that further budget </w:t>
      </w:r>
      <w:r w:rsidR="008D2059">
        <w:rPr>
          <w:rFonts w:ascii="Open Sans" w:hAnsi="Open Sans" w:cs="Open Sans"/>
          <w:szCs w:val="22"/>
        </w:rPr>
        <w:t xml:space="preserve">needs to </w:t>
      </w:r>
      <w:r>
        <w:rPr>
          <w:rFonts w:ascii="Open Sans" w:hAnsi="Open Sans" w:cs="Open Sans"/>
          <w:szCs w:val="22"/>
        </w:rPr>
        <w:t xml:space="preserve">be </w:t>
      </w:r>
      <w:r w:rsidR="00587C19">
        <w:rPr>
          <w:rFonts w:ascii="Open Sans" w:hAnsi="Open Sans" w:cs="Open Sans"/>
          <w:szCs w:val="22"/>
        </w:rPr>
        <w:t xml:space="preserve">released </w:t>
      </w:r>
      <w:r>
        <w:rPr>
          <w:rFonts w:ascii="Open Sans" w:hAnsi="Open Sans" w:cs="Open Sans"/>
          <w:szCs w:val="22"/>
        </w:rPr>
        <w:t xml:space="preserve">to </w:t>
      </w:r>
      <w:r w:rsidR="00587C19">
        <w:rPr>
          <w:rFonts w:ascii="Open Sans" w:hAnsi="Open Sans" w:cs="Open Sans"/>
          <w:szCs w:val="22"/>
        </w:rPr>
        <w:t xml:space="preserve">the </w:t>
      </w:r>
      <w:r>
        <w:rPr>
          <w:rFonts w:ascii="Open Sans" w:hAnsi="Open Sans" w:cs="Open Sans"/>
          <w:szCs w:val="22"/>
        </w:rPr>
        <w:t>scheme, rather th</w:t>
      </w:r>
      <w:r w:rsidR="009723D3">
        <w:rPr>
          <w:rFonts w:ascii="Open Sans" w:hAnsi="Open Sans" w:cs="Open Sans"/>
          <w:szCs w:val="22"/>
        </w:rPr>
        <w:t>a</w:t>
      </w:r>
      <w:r>
        <w:rPr>
          <w:rFonts w:ascii="Open Sans" w:hAnsi="Open Sans" w:cs="Open Sans"/>
          <w:szCs w:val="22"/>
        </w:rPr>
        <w:t xml:space="preserve">n a reason to restrict the schemes success. </w:t>
      </w:r>
    </w:p>
    <w:p w14:paraId="44A44023" w14:textId="6C3D6224" w:rsidR="000D49A6" w:rsidRPr="00E752B5" w:rsidRDefault="000D49A6" w:rsidP="00556297">
      <w:pPr>
        <w:rPr>
          <w:rFonts w:ascii="Open Sans" w:hAnsi="Open Sans" w:cs="Open Sans"/>
          <w:szCs w:val="22"/>
        </w:rPr>
      </w:pPr>
    </w:p>
    <w:p w14:paraId="09EB00B5" w14:textId="597C80B1" w:rsidR="000D49A6" w:rsidRPr="00FF36CA" w:rsidRDefault="0024189A" w:rsidP="00556297">
      <w:pPr>
        <w:rPr>
          <w:rFonts w:ascii="Open Sans" w:hAnsi="Open Sans" w:cs="Open Sans"/>
          <w:b/>
          <w:bCs/>
          <w:i/>
          <w:iCs/>
          <w:color w:val="2F5496"/>
          <w:szCs w:val="22"/>
        </w:rPr>
      </w:pPr>
      <w:r w:rsidRPr="00FF36CA">
        <w:rPr>
          <w:rFonts w:ascii="Open Sans" w:hAnsi="Open Sans" w:cs="Open Sans"/>
          <w:b/>
          <w:bCs/>
          <w:i/>
          <w:iCs/>
          <w:color w:val="2F5496"/>
          <w:szCs w:val="22"/>
        </w:rPr>
        <w:t xml:space="preserve">Question 38 - </w:t>
      </w:r>
      <w:r w:rsidR="000D49A6" w:rsidRPr="00FF36CA">
        <w:rPr>
          <w:rFonts w:ascii="Open Sans" w:hAnsi="Open Sans" w:cs="Open Sans"/>
          <w:b/>
          <w:bCs/>
          <w:i/>
          <w:iCs/>
          <w:color w:val="2F5496"/>
          <w:szCs w:val="22"/>
        </w:rPr>
        <w:t>Do you agree with not supporting process heating under the Clean Heat Grant? Yes/No. Please provide evidence to support your response</w:t>
      </w:r>
    </w:p>
    <w:p w14:paraId="116F2825" w14:textId="6B8D0727" w:rsidR="008F2B11" w:rsidRDefault="008F2B11" w:rsidP="00556297">
      <w:pPr>
        <w:rPr>
          <w:rFonts w:ascii="Open Sans" w:hAnsi="Open Sans" w:cs="Open Sans"/>
          <w:szCs w:val="22"/>
        </w:rPr>
      </w:pPr>
    </w:p>
    <w:p w14:paraId="01CBC99F" w14:textId="6F4F4F42" w:rsidR="0024189A" w:rsidRPr="0024189A" w:rsidRDefault="0024189A" w:rsidP="00556297">
      <w:pPr>
        <w:rPr>
          <w:rFonts w:ascii="Open Sans" w:hAnsi="Open Sans" w:cs="Open Sans"/>
          <w:szCs w:val="22"/>
        </w:rPr>
      </w:pPr>
      <w:r w:rsidRPr="0024189A">
        <w:rPr>
          <w:rFonts w:ascii="Open Sans" w:hAnsi="Open Sans" w:cs="Open Sans"/>
          <w:szCs w:val="22"/>
        </w:rPr>
        <w:t xml:space="preserve">We do not believe the grant will a sufficient incentive for process heating, so this is </w:t>
      </w:r>
      <w:r w:rsidR="00FF36CA">
        <w:rPr>
          <w:rFonts w:ascii="Open Sans" w:hAnsi="Open Sans" w:cs="Open Sans"/>
          <w:szCs w:val="22"/>
        </w:rPr>
        <w:t>un</w:t>
      </w:r>
      <w:r w:rsidRPr="0024189A">
        <w:rPr>
          <w:rFonts w:ascii="Open Sans" w:hAnsi="Open Sans" w:cs="Open Sans"/>
          <w:szCs w:val="22"/>
        </w:rPr>
        <w:t>likely to be a significant issue.</w:t>
      </w:r>
    </w:p>
    <w:p w14:paraId="33E81312" w14:textId="77777777" w:rsidR="0024189A" w:rsidRDefault="0024189A" w:rsidP="00556297">
      <w:pPr>
        <w:rPr>
          <w:rFonts w:ascii="Open Sans" w:hAnsi="Open Sans" w:cs="Open Sans"/>
          <w:szCs w:val="22"/>
          <w:highlight w:val="yellow"/>
        </w:rPr>
      </w:pPr>
    </w:p>
    <w:p w14:paraId="1C584819" w14:textId="020278FC" w:rsidR="008F2B11" w:rsidRDefault="008F2B11" w:rsidP="00556297">
      <w:pPr>
        <w:rPr>
          <w:rFonts w:ascii="Open Sans" w:hAnsi="Open Sans" w:cs="Open Sans"/>
          <w:szCs w:val="22"/>
        </w:rPr>
      </w:pPr>
      <w:r w:rsidRPr="008F2B11">
        <w:rPr>
          <w:rFonts w:ascii="Open Sans" w:hAnsi="Open Sans" w:cs="Open Sans"/>
          <w:szCs w:val="22"/>
          <w:highlight w:val="yellow"/>
        </w:rPr>
        <w:t>Members views welcome</w:t>
      </w:r>
    </w:p>
    <w:p w14:paraId="3D3AC968" w14:textId="7560B725" w:rsidR="008F2B11" w:rsidRDefault="008F2B11" w:rsidP="00556297">
      <w:pPr>
        <w:rPr>
          <w:rFonts w:ascii="Open Sans" w:hAnsi="Open Sans" w:cs="Open Sans"/>
          <w:szCs w:val="22"/>
        </w:rPr>
      </w:pPr>
    </w:p>
    <w:p w14:paraId="6F7B9AEE" w14:textId="77777777" w:rsidR="003275A4" w:rsidRPr="003275A4" w:rsidRDefault="003275A4" w:rsidP="003275A4">
      <w:pPr>
        <w:rPr>
          <w:rFonts w:ascii="Open Sans" w:hAnsi="Open Sans" w:cs="Open Sans"/>
          <w:b/>
          <w:bCs/>
          <w:i/>
          <w:iCs/>
          <w:color w:val="2F5496"/>
          <w:szCs w:val="22"/>
        </w:rPr>
      </w:pPr>
      <w:r w:rsidRPr="003275A4">
        <w:rPr>
          <w:rFonts w:ascii="Open Sans" w:hAnsi="Open Sans" w:cs="Open Sans"/>
          <w:b/>
          <w:bCs/>
          <w:i/>
          <w:iCs/>
          <w:color w:val="2F5496"/>
          <w:szCs w:val="22"/>
        </w:rPr>
        <w:t>Question 39 - Do you agree with not supporting biogas combustion under the new policies? Yes/No. Please provide evidence to support your response, including any wider detail on decarbonisation opportunities for biogas combustion in rural areas.</w:t>
      </w:r>
    </w:p>
    <w:p w14:paraId="1A5EF770" w14:textId="02989986" w:rsidR="003275A4" w:rsidRDefault="003275A4" w:rsidP="00556297">
      <w:pPr>
        <w:rPr>
          <w:rFonts w:ascii="Open Sans" w:hAnsi="Open Sans" w:cs="Open Sans"/>
          <w:szCs w:val="22"/>
        </w:rPr>
      </w:pPr>
    </w:p>
    <w:p w14:paraId="35A76A16" w14:textId="77777777" w:rsidR="003275A4" w:rsidRDefault="003275A4" w:rsidP="003275A4">
      <w:pPr>
        <w:spacing w:before="120" w:after="120"/>
        <w:rPr>
          <w:rFonts w:ascii="Open Sans" w:hAnsi="Open Sans" w:cs="Open Sans"/>
          <w:iCs/>
        </w:rPr>
      </w:pPr>
      <w:r>
        <w:rPr>
          <w:rFonts w:ascii="Open Sans" w:hAnsi="Open Sans" w:cs="Open Sans"/>
          <w:iCs/>
        </w:rPr>
        <w:t>No.</w:t>
      </w:r>
    </w:p>
    <w:p w14:paraId="729D9073" w14:textId="77777777" w:rsidR="003275A4" w:rsidRDefault="003275A4" w:rsidP="003275A4">
      <w:pPr>
        <w:spacing w:before="120" w:after="120"/>
        <w:rPr>
          <w:rFonts w:ascii="Open Sans" w:hAnsi="Open Sans" w:cs="Open Sans"/>
          <w:iCs/>
        </w:rPr>
      </w:pPr>
      <w:bookmarkStart w:id="61" w:name="_Hlk44428274"/>
      <w:r w:rsidRPr="00DF662F">
        <w:rPr>
          <w:rFonts w:ascii="Open Sans" w:hAnsi="Open Sans" w:cs="Open Sans"/>
          <w:iCs/>
        </w:rPr>
        <w:t xml:space="preserve">There is </w:t>
      </w:r>
      <w:r>
        <w:rPr>
          <w:rFonts w:ascii="Open Sans" w:hAnsi="Open Sans" w:cs="Open Sans"/>
          <w:iCs/>
        </w:rPr>
        <w:t>significant</w:t>
      </w:r>
      <w:r w:rsidRPr="00DF662F">
        <w:rPr>
          <w:rFonts w:ascii="Open Sans" w:hAnsi="Open Sans" w:cs="Open Sans"/>
          <w:iCs/>
        </w:rPr>
        <w:t xml:space="preserve"> scope to decarbonise Biogas CHP and boilers applications in the farming and industrial sector</w:t>
      </w:r>
      <w:r>
        <w:rPr>
          <w:rFonts w:ascii="Open Sans" w:hAnsi="Open Sans" w:cs="Open Sans"/>
          <w:iCs/>
        </w:rPr>
        <w:t xml:space="preserve">. These </w:t>
      </w:r>
      <w:r w:rsidRPr="00DF662F">
        <w:rPr>
          <w:rFonts w:ascii="Open Sans" w:hAnsi="Open Sans" w:cs="Open Sans"/>
          <w:iCs/>
        </w:rPr>
        <w:t xml:space="preserve">could make a real </w:t>
      </w:r>
      <w:r>
        <w:rPr>
          <w:rFonts w:ascii="Open Sans" w:hAnsi="Open Sans" w:cs="Open Sans"/>
          <w:iCs/>
        </w:rPr>
        <w:t xml:space="preserve">contribution </w:t>
      </w:r>
      <w:r w:rsidRPr="00DF662F">
        <w:rPr>
          <w:rFonts w:ascii="Open Sans" w:hAnsi="Open Sans" w:cs="Open Sans"/>
          <w:iCs/>
        </w:rPr>
        <w:t xml:space="preserve">to reduce GHG emissions from farms and industry as well as reduce their carbon footprint. </w:t>
      </w:r>
      <w:r>
        <w:rPr>
          <w:rFonts w:ascii="Open Sans" w:hAnsi="Open Sans" w:cs="Open Sans"/>
          <w:iCs/>
        </w:rPr>
        <w:t xml:space="preserve">We look forward to feed further feedback on this in our response to this </w:t>
      </w:r>
      <w:hyperlink r:id="rId62" w:history="1">
        <w:r w:rsidRPr="002C3C8E">
          <w:rPr>
            <w:rStyle w:val="Hyperlink"/>
            <w:rFonts w:ascii="Open Sans" w:hAnsi="Open Sans" w:cs="Open Sans"/>
            <w:iCs/>
          </w:rPr>
          <w:t>call for evidence</w:t>
        </w:r>
      </w:hyperlink>
      <w:r>
        <w:rPr>
          <w:rFonts w:ascii="Open Sans" w:hAnsi="Open Sans" w:cs="Open Sans"/>
          <w:iCs/>
        </w:rPr>
        <w:t xml:space="preserve">. </w:t>
      </w:r>
    </w:p>
    <w:bookmarkEnd w:id="61"/>
    <w:p w14:paraId="21BB9067" w14:textId="77777777" w:rsidR="003275A4" w:rsidRPr="00DF662F" w:rsidRDefault="003275A4" w:rsidP="003275A4">
      <w:pPr>
        <w:spacing w:before="120" w:after="120"/>
        <w:rPr>
          <w:rFonts w:ascii="Open Sans" w:hAnsi="Open Sans" w:cs="Open Sans"/>
          <w:iCs/>
        </w:rPr>
      </w:pPr>
      <w:r w:rsidRPr="00DF662F">
        <w:rPr>
          <w:rFonts w:ascii="Open Sans" w:hAnsi="Open Sans" w:cs="Open Sans"/>
          <w:iCs/>
        </w:rPr>
        <w:t>food production, rural communities and farms, with SMEs leading the way using carbon negative, decentralised energy innovation to replace fossil fuel</w:t>
      </w:r>
      <w:r>
        <w:rPr>
          <w:rFonts w:ascii="Open Sans" w:hAnsi="Open Sans" w:cs="Open Sans"/>
          <w:iCs/>
        </w:rPr>
        <w:t xml:space="preserve">. </w:t>
      </w:r>
      <w:r w:rsidRPr="00DF662F">
        <w:rPr>
          <w:rFonts w:ascii="Open Sans" w:hAnsi="Open Sans" w:cs="Open Sans"/>
          <w:iCs/>
        </w:rPr>
        <w:t>97% of food manufacturers are SME’s</w:t>
      </w:r>
      <w:r>
        <w:rPr>
          <w:rFonts w:ascii="Open Sans" w:hAnsi="Open Sans" w:cs="Open Sans"/>
          <w:iCs/>
        </w:rPr>
        <w:t xml:space="preserve">. </w:t>
      </w:r>
    </w:p>
    <w:p w14:paraId="339F8660" w14:textId="77777777" w:rsidR="003275A4" w:rsidRPr="00DF662F" w:rsidRDefault="003275A4" w:rsidP="003275A4">
      <w:pPr>
        <w:spacing w:before="120" w:after="120"/>
        <w:rPr>
          <w:rFonts w:ascii="Open Sans" w:hAnsi="Open Sans" w:cs="Open Sans"/>
          <w:iCs/>
        </w:rPr>
      </w:pPr>
      <w:r w:rsidRPr="00DF662F">
        <w:rPr>
          <w:rFonts w:ascii="Open Sans" w:hAnsi="Open Sans" w:cs="Open Sans"/>
          <w:iCs/>
        </w:rPr>
        <w:t xml:space="preserve">Significant unfulfilled potential exists to convert biowastes and residues into clean energy on both factories and farms. </w:t>
      </w:r>
      <w:r>
        <w:rPr>
          <w:rFonts w:ascii="Open Sans" w:hAnsi="Open Sans" w:cs="Open Sans"/>
          <w:iCs/>
        </w:rPr>
        <w:t xml:space="preserve">However, if these will not be met without support. </w:t>
      </w:r>
      <w:r w:rsidRPr="00DF662F">
        <w:rPr>
          <w:rFonts w:ascii="Open Sans" w:hAnsi="Open Sans" w:cs="Open Sans"/>
          <w:iCs/>
        </w:rPr>
        <w:t xml:space="preserve">It is vital that scalable, onsite AD is included in the RHI, so SME’s have a level playing field at suitable scales (i.e. under 600kW thermal output). </w:t>
      </w:r>
    </w:p>
    <w:p w14:paraId="09F2EB3E" w14:textId="77777777" w:rsidR="003275A4" w:rsidRPr="00DF662F" w:rsidRDefault="003275A4" w:rsidP="003275A4">
      <w:pPr>
        <w:spacing w:before="120" w:after="120"/>
        <w:rPr>
          <w:rFonts w:ascii="Open Sans" w:hAnsi="Open Sans" w:cs="Open Sans"/>
          <w:iCs/>
        </w:rPr>
      </w:pPr>
      <w:r w:rsidRPr="00DF662F">
        <w:rPr>
          <w:rFonts w:ascii="Open Sans" w:hAnsi="Open Sans" w:cs="Open Sans"/>
          <w:iCs/>
        </w:rPr>
        <w:t xml:space="preserve">Support for SME transition to low carbon manufacturing has been demonstrated on a number of existing onsite biogas plants (case studies available). There are many more SMEs and food or rural businesses that could generate biogas from bio-residues and displace fossil-based heat in production processes. Conversion to biomethane also addresses process use, as well as use in HGV transport. </w:t>
      </w:r>
    </w:p>
    <w:p w14:paraId="47375F3F" w14:textId="77777777" w:rsidR="003275A4" w:rsidRPr="00DF662F" w:rsidRDefault="003275A4" w:rsidP="003275A4">
      <w:pPr>
        <w:spacing w:before="120" w:after="120"/>
        <w:rPr>
          <w:rFonts w:ascii="Open Sans" w:hAnsi="Open Sans" w:cs="Open Sans"/>
          <w:iCs/>
        </w:rPr>
      </w:pPr>
      <w:r w:rsidRPr="00DF662F">
        <w:rPr>
          <w:rFonts w:ascii="Open Sans" w:hAnsi="Open Sans" w:cs="Open Sans"/>
          <w:iCs/>
        </w:rPr>
        <w:t>While larger agri-food corporates like Diageo or Arla may have the financial and technical resources to make great strides towards zero carbon manufacturing, this is not the case for the many domestic SMEs that proliferate in the agri-food sector. Therefore, it is vital that the revised RHI proposals are accessible to all businesses (including SMEs) and plant sizes (inc. &lt;600kWth) so that the whole of the sector works together and proportionately to decarbonise as quickly and constructively as possible.</w:t>
      </w:r>
    </w:p>
    <w:p w14:paraId="324DD6CB" w14:textId="77777777" w:rsidR="003275A4" w:rsidRPr="00DF662F" w:rsidRDefault="003275A4" w:rsidP="003275A4">
      <w:pPr>
        <w:spacing w:before="120" w:after="120"/>
        <w:rPr>
          <w:rFonts w:ascii="Open Sans" w:hAnsi="Open Sans" w:cs="Open Sans"/>
          <w:iCs/>
        </w:rPr>
      </w:pPr>
      <w:r w:rsidRPr="00DF662F">
        <w:rPr>
          <w:rFonts w:ascii="Open Sans" w:hAnsi="Open Sans" w:cs="Open Sans"/>
          <w:iCs/>
        </w:rPr>
        <w:lastRenderedPageBreak/>
        <w:t xml:space="preserve">A few factories already create biogas from their biodegradable residues but there is </w:t>
      </w:r>
      <w:r>
        <w:rPr>
          <w:rFonts w:ascii="Open Sans" w:hAnsi="Open Sans" w:cs="Open Sans"/>
          <w:iCs/>
        </w:rPr>
        <w:t xml:space="preserve">significant </w:t>
      </w:r>
      <w:r w:rsidRPr="00DF662F">
        <w:rPr>
          <w:rFonts w:ascii="Open Sans" w:hAnsi="Open Sans" w:cs="Open Sans"/>
          <w:iCs/>
        </w:rPr>
        <w:t xml:space="preserve">scope to deploy smaller biogas plants on UK factory, farm and community sites.  This will require continued policy support to encourage SMEs to convert effluents and residues into renewable energy, reduce their site emissions and offset even harder to decarbonise sectors like air travel and shipping. </w:t>
      </w:r>
    </w:p>
    <w:p w14:paraId="6F35FA97" w14:textId="77777777" w:rsidR="003275A4" w:rsidRPr="00DF662F" w:rsidRDefault="003275A4" w:rsidP="003275A4">
      <w:pPr>
        <w:spacing w:before="120" w:after="120"/>
        <w:rPr>
          <w:rFonts w:ascii="Open Sans" w:hAnsi="Open Sans" w:cs="Open Sans"/>
          <w:iCs/>
        </w:rPr>
      </w:pPr>
      <w:r w:rsidRPr="00DF662F">
        <w:rPr>
          <w:rFonts w:ascii="Open Sans" w:hAnsi="Open Sans" w:cs="Open Sans"/>
          <w:iCs/>
        </w:rPr>
        <w:t>Future Food Sector Biogas Projects on smaller factory and farm sites will often be off the gas network.  Onsite AD can help decarbonise production operations if such projects can secure the new RHI for a sustained period until any new system is put in place. It is vital that RHI is retained post 2021, and at &lt;600kWth scale, to support the agri-food transition to Carbon Net Zero.</w:t>
      </w:r>
    </w:p>
    <w:p w14:paraId="04DB72B0" w14:textId="77777777" w:rsidR="003275A4" w:rsidRPr="00DF662F" w:rsidRDefault="003275A4" w:rsidP="003275A4">
      <w:pPr>
        <w:pStyle w:val="PlainText"/>
        <w:spacing w:before="120" w:after="120"/>
        <w:rPr>
          <w:rFonts w:ascii="Open Sans" w:eastAsia="Times New Roman" w:hAnsi="Open Sans" w:cs="Open Sans"/>
          <w:iCs/>
          <w:szCs w:val="24"/>
        </w:rPr>
      </w:pPr>
      <w:r w:rsidRPr="00DF662F">
        <w:rPr>
          <w:rFonts w:ascii="Open Sans" w:eastAsia="Times New Roman" w:hAnsi="Open Sans" w:cs="Open Sans"/>
          <w:iCs/>
          <w:szCs w:val="24"/>
        </w:rPr>
        <w:t xml:space="preserve">British food processors and factory sites (particularly SMEs) must improve use of natural resources and meet future expectations from retailers, consumers, regulators and other stakeholders. Ongoing support at &lt;600kWth for onsite biogas plants will deliver resource-efficient decarbonisation.  </w:t>
      </w:r>
    </w:p>
    <w:p w14:paraId="71CB78EA" w14:textId="77777777" w:rsidR="003275A4" w:rsidRPr="00DF662F" w:rsidRDefault="003275A4" w:rsidP="003275A4">
      <w:pPr>
        <w:pStyle w:val="PlainText"/>
        <w:spacing w:before="120" w:after="120"/>
        <w:rPr>
          <w:rFonts w:ascii="Open Sans" w:eastAsia="Times New Roman" w:hAnsi="Open Sans" w:cs="Open Sans"/>
          <w:iCs/>
          <w:szCs w:val="24"/>
        </w:rPr>
      </w:pPr>
      <w:bookmarkStart w:id="62" w:name="_Hlk43981046"/>
      <w:r w:rsidRPr="00DF662F">
        <w:rPr>
          <w:rFonts w:ascii="Open Sans" w:eastAsia="Times New Roman" w:hAnsi="Open Sans" w:cs="Open Sans"/>
          <w:iCs/>
          <w:szCs w:val="24"/>
        </w:rPr>
        <w:t xml:space="preserve">Investing in emissions reduction now needs to be a serious priority if the agri-food industry (and its SMEs) is to curb the carbon impact of production, processing, manufacture and distribution. Onsite off grid bioenergy will do this but only if a re-structured RHI includes support below 600kWth. </w:t>
      </w:r>
      <w:bookmarkEnd w:id="62"/>
    </w:p>
    <w:p w14:paraId="25EAA4F1" w14:textId="77777777" w:rsidR="003275A4" w:rsidRPr="005365EE" w:rsidRDefault="003275A4" w:rsidP="003275A4">
      <w:pPr>
        <w:spacing w:before="120" w:after="120"/>
        <w:rPr>
          <w:rFonts w:ascii="Open Sans" w:hAnsi="Open Sans" w:cs="Open Sans"/>
          <w:iCs/>
        </w:rPr>
      </w:pPr>
    </w:p>
    <w:p w14:paraId="35C675D0" w14:textId="77777777" w:rsidR="003275A4" w:rsidRPr="005365EE" w:rsidRDefault="003275A4" w:rsidP="003275A4">
      <w:pPr>
        <w:spacing w:before="120" w:after="120"/>
        <w:rPr>
          <w:rFonts w:ascii="Open Sans" w:hAnsi="Open Sans" w:cs="Open Sans"/>
          <w:i/>
        </w:rPr>
      </w:pPr>
      <w:r w:rsidRPr="005365EE">
        <w:rPr>
          <w:rFonts w:ascii="Open Sans" w:hAnsi="Open Sans" w:cs="Open Sans"/>
          <w:i/>
        </w:rPr>
        <w:t>Agricultural sector</w:t>
      </w:r>
    </w:p>
    <w:p w14:paraId="19A27240" w14:textId="77777777" w:rsidR="003275A4" w:rsidRPr="005365EE" w:rsidRDefault="003275A4" w:rsidP="003275A4">
      <w:pPr>
        <w:spacing w:before="120" w:after="120"/>
        <w:rPr>
          <w:rFonts w:ascii="Open Sans" w:hAnsi="Open Sans" w:cs="Open Sans"/>
        </w:rPr>
      </w:pPr>
      <w:r w:rsidRPr="005365EE">
        <w:rPr>
          <w:rFonts w:ascii="Open Sans" w:hAnsi="Open Sans" w:cs="Open Sans"/>
        </w:rPr>
        <w:t xml:space="preserve">Most UK farms are off the gas grid, particularly small ones. In these situations, on-farm anaerobic digestion would enable the replacement of fossil fuel heat required for farm buildings and the farmer’s own household with renewable heat from biogas (as both, heating and hot water supply), whilst delivering numerous additional benefits. In addition to decarbonising off-gas-grid heat, significant and cost-effective greenhouse gas mitigation could be achieved by the controlled/managed processing of slurry and fertiliser replacement through the use of renewable biofertiliser. </w:t>
      </w:r>
    </w:p>
    <w:p w14:paraId="0805B1E2" w14:textId="77777777" w:rsidR="003275A4" w:rsidRPr="005365EE" w:rsidRDefault="003275A4" w:rsidP="003275A4">
      <w:pPr>
        <w:spacing w:before="120" w:after="120"/>
        <w:rPr>
          <w:rFonts w:ascii="Open Sans" w:hAnsi="Open Sans" w:cs="Open Sans"/>
        </w:rPr>
      </w:pPr>
    </w:p>
    <w:p w14:paraId="5D85DA28" w14:textId="77777777" w:rsidR="003275A4" w:rsidRPr="005365EE" w:rsidRDefault="003275A4" w:rsidP="003275A4">
      <w:pPr>
        <w:spacing w:before="120" w:after="120"/>
        <w:rPr>
          <w:rFonts w:ascii="Open Sans" w:hAnsi="Open Sans" w:cs="Open Sans"/>
          <w:i/>
        </w:rPr>
      </w:pPr>
      <w:r w:rsidRPr="005365EE">
        <w:rPr>
          <w:rFonts w:ascii="Open Sans" w:hAnsi="Open Sans" w:cs="Open Sans"/>
          <w:i/>
        </w:rPr>
        <w:t xml:space="preserve">Food and beverage sector </w:t>
      </w:r>
    </w:p>
    <w:p w14:paraId="730F0D11" w14:textId="77777777" w:rsidR="003275A4" w:rsidRPr="005365EE" w:rsidRDefault="003275A4" w:rsidP="003275A4">
      <w:pPr>
        <w:spacing w:before="120" w:after="120"/>
        <w:rPr>
          <w:rFonts w:ascii="Open Sans" w:hAnsi="Open Sans" w:cs="Open Sans"/>
        </w:rPr>
      </w:pPr>
      <w:r w:rsidRPr="005365EE">
        <w:rPr>
          <w:rFonts w:ascii="Open Sans" w:hAnsi="Open Sans" w:cs="Open Sans"/>
        </w:rPr>
        <w:t>Similarly, on-site anaerobic digestion deployed at factory sites, especially in the food and beverage sector, could provide part of the heat requirement for the beverage or food manufacturing process, which would replace some of the fossil fuel heat, especially within processes that have a significant heat requirement (distilleries, breweries etc.). Nestlé, Diageo, and First Milk are examples of companies using on-site AD to process biodegradable production residues to generate heat and power that could be used on site to some extent. It would need to be combined with other low-carbon technologies that are dispatchable and can generate high-grade heating, such as biomass.</w:t>
      </w:r>
    </w:p>
    <w:p w14:paraId="33464D0C" w14:textId="143FEFD3" w:rsidR="003275A4" w:rsidRPr="003275A4" w:rsidRDefault="003275A4" w:rsidP="003275A4">
      <w:pPr>
        <w:spacing w:before="120" w:after="120"/>
        <w:rPr>
          <w:rFonts w:ascii="Open Sans" w:hAnsi="Open Sans" w:cs="Open Sans"/>
          <w:bCs/>
          <w:szCs w:val="22"/>
          <w:lang w:eastAsia="en-GB"/>
        </w:rPr>
      </w:pPr>
      <w:r w:rsidRPr="005365EE">
        <w:rPr>
          <w:rFonts w:ascii="Open Sans" w:hAnsi="Open Sans" w:cs="Open Sans"/>
        </w:rPr>
        <w:t xml:space="preserve">There are members who are looking a developing AD projects on industrial applications where typically a combination of solid waste and wastewater from the industrial processes is used to generate biogas. We understand from members that these projects are </w:t>
      </w:r>
      <w:r w:rsidRPr="005365EE">
        <w:rPr>
          <w:rFonts w:ascii="Open Sans" w:hAnsi="Open Sans" w:cs="Open Sans"/>
          <w:lang w:val="en-US"/>
        </w:rPr>
        <w:t xml:space="preserve">typically high waste water flow / low gas yield systems and so are less suited to CHP or biomethane upgrading. </w:t>
      </w:r>
      <w:r w:rsidRPr="005365EE">
        <w:rPr>
          <w:rFonts w:ascii="Open Sans" w:hAnsi="Open Sans" w:cs="Open Sans"/>
          <w:lang w:val="en-US"/>
        </w:rPr>
        <w:lastRenderedPageBreak/>
        <w:t xml:space="preserve">Instead to optimise capital cost the client is typically seeking to burn the biogas in their boilers to replace the purchase of natural gas. </w:t>
      </w:r>
    </w:p>
    <w:p w14:paraId="368F61CB" w14:textId="77777777" w:rsidR="003275A4" w:rsidRPr="00E752B5" w:rsidRDefault="003275A4" w:rsidP="00556297">
      <w:pPr>
        <w:rPr>
          <w:rFonts w:ascii="Open Sans" w:hAnsi="Open Sans" w:cs="Open Sans"/>
          <w:szCs w:val="22"/>
        </w:rPr>
      </w:pPr>
    </w:p>
    <w:p w14:paraId="0C88F5F9" w14:textId="0E5887DC" w:rsidR="000D49A6" w:rsidRPr="00FF36CA" w:rsidRDefault="00FF36CA" w:rsidP="00556297">
      <w:pPr>
        <w:rPr>
          <w:rFonts w:ascii="Open Sans" w:hAnsi="Open Sans" w:cs="Open Sans"/>
          <w:b/>
          <w:bCs/>
          <w:i/>
          <w:iCs/>
          <w:color w:val="2F5496"/>
          <w:szCs w:val="22"/>
        </w:rPr>
      </w:pPr>
      <w:r w:rsidRPr="00FF36CA">
        <w:rPr>
          <w:rFonts w:ascii="Open Sans" w:hAnsi="Open Sans" w:cs="Open Sans"/>
          <w:b/>
          <w:bCs/>
          <w:i/>
          <w:iCs/>
          <w:color w:val="2F5496"/>
          <w:szCs w:val="22"/>
        </w:rPr>
        <w:t xml:space="preserve">Question </w:t>
      </w:r>
      <w:r w:rsidR="003275A4">
        <w:rPr>
          <w:rFonts w:ascii="Open Sans" w:hAnsi="Open Sans" w:cs="Open Sans"/>
          <w:b/>
          <w:bCs/>
          <w:i/>
          <w:iCs/>
          <w:color w:val="2F5496"/>
          <w:szCs w:val="22"/>
        </w:rPr>
        <w:t>40</w:t>
      </w:r>
      <w:r w:rsidRPr="00FF36CA">
        <w:rPr>
          <w:rFonts w:ascii="Open Sans" w:hAnsi="Open Sans" w:cs="Open Sans"/>
          <w:b/>
          <w:bCs/>
          <w:i/>
          <w:iCs/>
          <w:color w:val="2F5496"/>
          <w:szCs w:val="22"/>
        </w:rPr>
        <w:t xml:space="preserve"> - </w:t>
      </w:r>
      <w:r w:rsidR="000D49A6" w:rsidRPr="00FF36CA">
        <w:rPr>
          <w:rFonts w:ascii="Open Sans" w:hAnsi="Open Sans" w:cs="Open Sans"/>
          <w:b/>
          <w:bCs/>
          <w:i/>
          <w:iCs/>
          <w:color w:val="2F5496"/>
          <w:szCs w:val="22"/>
        </w:rPr>
        <w:t>Do you agree with not supporting solar thermal systems under the Clean Heat Grant? Yes/No. Please provide evidence to support your response</w:t>
      </w:r>
    </w:p>
    <w:p w14:paraId="1B6EE4BE" w14:textId="084A14CF" w:rsidR="008F2B11" w:rsidRDefault="008F2B11" w:rsidP="00556297">
      <w:pPr>
        <w:rPr>
          <w:rFonts w:ascii="Open Sans" w:hAnsi="Open Sans" w:cs="Open Sans"/>
          <w:b/>
          <w:bCs/>
          <w:szCs w:val="22"/>
        </w:rPr>
      </w:pPr>
    </w:p>
    <w:p w14:paraId="165789BF" w14:textId="77777777" w:rsidR="008F2B11" w:rsidRDefault="008F2B11" w:rsidP="008F2B11">
      <w:pPr>
        <w:rPr>
          <w:rFonts w:ascii="Open Sans" w:hAnsi="Open Sans" w:cs="Open Sans"/>
          <w:szCs w:val="22"/>
        </w:rPr>
      </w:pPr>
      <w:r w:rsidRPr="008F2B11">
        <w:rPr>
          <w:rFonts w:ascii="Open Sans" w:hAnsi="Open Sans" w:cs="Open Sans"/>
          <w:szCs w:val="22"/>
          <w:highlight w:val="yellow"/>
        </w:rPr>
        <w:t>Members views welcome</w:t>
      </w:r>
    </w:p>
    <w:p w14:paraId="4F8514B8" w14:textId="3F78BC99" w:rsidR="000D49A6" w:rsidRPr="00E752B5" w:rsidRDefault="000D49A6" w:rsidP="00556297">
      <w:pPr>
        <w:rPr>
          <w:rFonts w:ascii="Open Sans" w:hAnsi="Open Sans" w:cs="Open Sans"/>
          <w:szCs w:val="22"/>
        </w:rPr>
      </w:pPr>
    </w:p>
    <w:p w14:paraId="34C347FE" w14:textId="77777777" w:rsidR="00E40BD8" w:rsidRDefault="00E40BD8" w:rsidP="00E40BD8">
      <w:pPr>
        <w:rPr>
          <w:rFonts w:ascii="Open Sans" w:hAnsi="Open Sans" w:cs="Open Sans"/>
          <w:szCs w:val="22"/>
        </w:rPr>
      </w:pPr>
      <w:r>
        <w:rPr>
          <w:rFonts w:ascii="Open Sans" w:hAnsi="Open Sans" w:cs="Open Sans"/>
        </w:rPr>
        <w:t xml:space="preserve">No </w:t>
      </w:r>
    </w:p>
    <w:p w14:paraId="42ADAB12" w14:textId="77777777" w:rsidR="00E40BD8" w:rsidRDefault="00E40BD8" w:rsidP="00E40BD8">
      <w:pPr>
        <w:rPr>
          <w:rFonts w:ascii="Open Sans" w:hAnsi="Open Sans" w:cs="Open Sans"/>
        </w:rPr>
      </w:pPr>
    </w:p>
    <w:p w14:paraId="1B88BC8A" w14:textId="77777777" w:rsidR="00E40BD8" w:rsidRDefault="00E40BD8" w:rsidP="00E40BD8">
      <w:pPr>
        <w:rPr>
          <w:rFonts w:ascii="Open Sans" w:hAnsi="Open Sans" w:cs="Open Sans"/>
          <w:color w:val="000000"/>
        </w:rPr>
      </w:pPr>
      <w:r>
        <w:rPr>
          <w:rFonts w:ascii="Open Sans" w:hAnsi="Open Sans" w:cs="Open Sans"/>
        </w:rPr>
        <w:t xml:space="preserve">BEIS should consider how biofuels, such as bioLPG, could also be supported within the Clean heat Grant Scheme and future heat support mechanism. In off gas grid areas, they provide a direct renewable drop in fuel for oil-based heating systems, providing another </w:t>
      </w:r>
      <w:r>
        <w:rPr>
          <w:rFonts w:ascii="Open Sans" w:hAnsi="Open Sans" w:cs="Open Sans"/>
          <w:color w:val="000000"/>
        </w:rPr>
        <w:t>cost-effective and proven low-carbon fuel to decarbonise hard-to-treat homes. They also provide benefits in terms of local emissions. For example, bioLPG is a  clean-burning and smokeless low carbon gas, producing on average PM of 51 g/GJ and 1.2 g/GJ  of NOx.</w:t>
      </w:r>
    </w:p>
    <w:p w14:paraId="67B5BC4B" w14:textId="77777777" w:rsidR="00E40BD8" w:rsidRDefault="00E40BD8" w:rsidP="00E40BD8">
      <w:pPr>
        <w:rPr>
          <w:rFonts w:ascii="Open Sans" w:hAnsi="Open Sans" w:cs="Open Sans"/>
          <w:color w:val="000000"/>
        </w:rPr>
      </w:pPr>
    </w:p>
    <w:p w14:paraId="420571FF" w14:textId="77777777" w:rsidR="00E40BD8" w:rsidRDefault="00E40BD8" w:rsidP="00E40BD8">
      <w:pPr>
        <w:rPr>
          <w:rFonts w:ascii="Open Sans" w:hAnsi="Open Sans" w:cs="Open Sans"/>
          <w:color w:val="000000"/>
        </w:rPr>
      </w:pPr>
      <w:r>
        <w:rPr>
          <w:rFonts w:ascii="Open Sans" w:hAnsi="Open Sans" w:cs="Open Sans"/>
          <w:color w:val="000000"/>
        </w:rPr>
        <w:t>Given the nature of UK housing stock, with many houses having low levels of energy efficiency, it is right to recognise that a diverse and varied heat market is required to effectively decarbonise. H</w:t>
      </w:r>
      <w:r>
        <w:rPr>
          <w:rFonts w:ascii="Open Sans" w:hAnsi="Open Sans" w:cs="Open Sans"/>
        </w:rPr>
        <w:t xml:space="preserve">ybrid heat pumps (e.g. heat pump + biofuel boiler) are a further valuable and cost-effective solution for decarbonising heat.  The bioLPG sector have modelled, </w:t>
      </w:r>
      <w:r>
        <w:rPr>
          <w:rFonts w:ascii="Open Sans" w:hAnsi="Open Sans" w:cs="Open Sans"/>
          <w:color w:val="000000"/>
        </w:rPr>
        <w:t xml:space="preserve">against an oil baseline, that hybrids could reduce household emissions by at least 94% by 2050, this could be increased to 98% if sourced from lower carbon feedstocks such as wastes. As such hybrids represent a solution well in line with the governments net-zero ambitions. </w:t>
      </w:r>
    </w:p>
    <w:p w14:paraId="65F31AED" w14:textId="77777777" w:rsidR="00E40BD8" w:rsidRDefault="00E40BD8" w:rsidP="00E40BD8">
      <w:pPr>
        <w:rPr>
          <w:rFonts w:ascii="Open Sans" w:hAnsi="Open Sans" w:cs="Open Sans"/>
          <w:color w:val="000000"/>
        </w:rPr>
      </w:pPr>
    </w:p>
    <w:p w14:paraId="3A5CE764" w14:textId="77777777" w:rsidR="00E40BD8" w:rsidRDefault="00E40BD8" w:rsidP="00E40BD8">
      <w:pPr>
        <w:rPr>
          <w:rFonts w:ascii="Open Sans" w:hAnsi="Open Sans" w:cs="Open Sans"/>
          <w:color w:val="000000"/>
        </w:rPr>
      </w:pPr>
      <w:r>
        <w:rPr>
          <w:rFonts w:ascii="Open Sans" w:hAnsi="Open Sans" w:cs="Open Sans"/>
          <w:color w:val="000000"/>
        </w:rPr>
        <w:t>Smart hybrid systems also enable consumers to make the most of flexible price signals. A household could use increasingly popular time-of-use tariffs and smart energy platforms to optimise their hybrid heat pump to keep bills down. The smart energy platform allows switching between the heat pump and boiler depending on the cheapest price of energy. The boiler is therefore only primarily used when the cost of electricity is above that of the biofuel. Optimising the hybrid in this way ensures that it is financially attractive for the household to use the heat pump to meet around ~90% of the annual heat demand, while the boiler is able to provide heating when it is cheapest to do. This has the added benefit of helping to remove stress from the electricity grid when energy demand is particularly high, such as on a cold still night. Modelling indicates that by optimising the hybrid (using a smart energy platform and a time of use tariff), the household could save between 22% and 32% on their annual fuel bill.</w:t>
      </w:r>
    </w:p>
    <w:p w14:paraId="1925B362" w14:textId="77777777" w:rsidR="00E40BD8" w:rsidRDefault="00E40BD8" w:rsidP="00E40BD8">
      <w:pPr>
        <w:rPr>
          <w:rFonts w:ascii="Open Sans" w:hAnsi="Open Sans" w:cs="Open Sans"/>
          <w:color w:val="000000"/>
        </w:rPr>
      </w:pPr>
    </w:p>
    <w:p w14:paraId="565F7816" w14:textId="77777777" w:rsidR="00E40BD8" w:rsidRDefault="00E40BD8" w:rsidP="00E40BD8">
      <w:pPr>
        <w:rPr>
          <w:rFonts w:ascii="Open Sans" w:hAnsi="Open Sans" w:cs="Open Sans"/>
          <w:color w:val="000000"/>
        </w:rPr>
      </w:pPr>
      <w:r>
        <w:rPr>
          <w:rFonts w:ascii="Open Sans" w:hAnsi="Open Sans" w:cs="Open Sans"/>
          <w:color w:val="000000"/>
        </w:rPr>
        <w:t xml:space="preserve">The consultation highlights that BEIS lack the data on hybrid or biofuel performance. However, a small ring-fenced proportion of the £100 million could in theory be used to help BEIS see biofuel and hybrid projects deployed. This would help in establishing further data to inform future decarbonisation policies. </w:t>
      </w:r>
    </w:p>
    <w:p w14:paraId="08B0F162" w14:textId="77777777" w:rsidR="006339F5" w:rsidRPr="00E752B5" w:rsidRDefault="006339F5" w:rsidP="00556297">
      <w:pPr>
        <w:rPr>
          <w:rFonts w:ascii="Open Sans" w:hAnsi="Open Sans" w:cs="Open Sans"/>
          <w:szCs w:val="22"/>
        </w:rPr>
      </w:pPr>
    </w:p>
    <w:p w14:paraId="3E5383A8" w14:textId="6EA426C2" w:rsidR="000D49A6" w:rsidRPr="00FF36CA" w:rsidRDefault="00FF36CA" w:rsidP="00556297">
      <w:pPr>
        <w:rPr>
          <w:rFonts w:ascii="Open Sans" w:hAnsi="Open Sans" w:cs="Open Sans"/>
          <w:b/>
          <w:bCs/>
          <w:i/>
          <w:iCs/>
          <w:color w:val="2F5496"/>
          <w:szCs w:val="22"/>
        </w:rPr>
      </w:pPr>
      <w:r w:rsidRPr="00FF36CA">
        <w:rPr>
          <w:rFonts w:ascii="Open Sans" w:hAnsi="Open Sans" w:cs="Open Sans"/>
          <w:b/>
          <w:bCs/>
          <w:i/>
          <w:iCs/>
          <w:color w:val="2F5496"/>
          <w:szCs w:val="22"/>
        </w:rPr>
        <w:t xml:space="preserve">Question 41 - </w:t>
      </w:r>
      <w:r w:rsidR="000D49A6" w:rsidRPr="00FF36CA">
        <w:rPr>
          <w:rFonts w:ascii="Open Sans" w:hAnsi="Open Sans" w:cs="Open Sans"/>
          <w:b/>
          <w:bCs/>
          <w:i/>
          <w:iCs/>
          <w:color w:val="2F5496"/>
          <w:szCs w:val="22"/>
        </w:rPr>
        <w:t>What are the main risks of non-compliance, fraud or gaming associated with the</w:t>
      </w:r>
      <w:r w:rsidR="008F2B11" w:rsidRPr="00FF36CA">
        <w:rPr>
          <w:rFonts w:ascii="Open Sans" w:hAnsi="Open Sans" w:cs="Open Sans"/>
          <w:b/>
          <w:bCs/>
          <w:i/>
          <w:iCs/>
          <w:color w:val="2F5496"/>
          <w:szCs w:val="22"/>
        </w:rPr>
        <w:t xml:space="preserve"> </w:t>
      </w:r>
      <w:r w:rsidR="000D49A6" w:rsidRPr="00FF36CA">
        <w:rPr>
          <w:rFonts w:ascii="Open Sans" w:hAnsi="Open Sans" w:cs="Open Sans"/>
          <w:b/>
          <w:bCs/>
          <w:i/>
          <w:iCs/>
          <w:color w:val="2F5496"/>
          <w:szCs w:val="22"/>
        </w:rPr>
        <w:t xml:space="preserve">Clean Heat Grant? </w:t>
      </w:r>
    </w:p>
    <w:p w14:paraId="1E4484BB" w14:textId="77777777" w:rsidR="00FF36CA" w:rsidRDefault="00FF36CA" w:rsidP="00556297">
      <w:pPr>
        <w:rPr>
          <w:rFonts w:ascii="Open Sans" w:hAnsi="Open Sans" w:cs="Open Sans"/>
          <w:szCs w:val="22"/>
        </w:rPr>
      </w:pPr>
    </w:p>
    <w:p w14:paraId="7C6E5B31" w14:textId="16E3DACB" w:rsidR="008F2B11" w:rsidRDefault="008F2B11" w:rsidP="00556297">
      <w:pPr>
        <w:rPr>
          <w:rFonts w:ascii="Open Sans" w:hAnsi="Open Sans" w:cs="Open Sans"/>
          <w:szCs w:val="22"/>
        </w:rPr>
      </w:pPr>
      <w:r>
        <w:rPr>
          <w:rFonts w:ascii="Open Sans" w:hAnsi="Open Sans" w:cs="Open Sans"/>
          <w:szCs w:val="22"/>
        </w:rPr>
        <w:lastRenderedPageBreak/>
        <w:t xml:space="preserve">As already indicated, we believe a flat rate grant </w:t>
      </w:r>
      <w:r w:rsidR="009723D3">
        <w:rPr>
          <w:rFonts w:ascii="Open Sans" w:hAnsi="Open Sans" w:cs="Open Sans"/>
          <w:szCs w:val="22"/>
        </w:rPr>
        <w:t xml:space="preserve">will </w:t>
      </w:r>
      <w:r>
        <w:rPr>
          <w:rFonts w:ascii="Open Sans" w:hAnsi="Open Sans" w:cs="Open Sans"/>
          <w:szCs w:val="22"/>
        </w:rPr>
        <w:t xml:space="preserve">likely lead to the under sizing of projects to create a more attractive offer for consumers, where the grant covers </w:t>
      </w:r>
      <w:r w:rsidR="009723D3">
        <w:rPr>
          <w:rFonts w:ascii="Open Sans" w:hAnsi="Open Sans" w:cs="Open Sans"/>
          <w:szCs w:val="22"/>
        </w:rPr>
        <w:t xml:space="preserve">a </w:t>
      </w:r>
      <w:r>
        <w:rPr>
          <w:rFonts w:ascii="Open Sans" w:hAnsi="Open Sans" w:cs="Open Sans"/>
          <w:szCs w:val="22"/>
        </w:rPr>
        <w:t>greater propo</w:t>
      </w:r>
      <w:r w:rsidR="009723D3">
        <w:rPr>
          <w:rFonts w:ascii="Open Sans" w:hAnsi="Open Sans" w:cs="Open Sans"/>
          <w:szCs w:val="22"/>
        </w:rPr>
        <w:t xml:space="preserve">rtion </w:t>
      </w:r>
      <w:r>
        <w:rPr>
          <w:rFonts w:ascii="Open Sans" w:hAnsi="Open Sans" w:cs="Open Sans"/>
          <w:szCs w:val="22"/>
        </w:rPr>
        <w:t xml:space="preserve">of the project costs. This could see consumers be </w:t>
      </w:r>
      <w:r w:rsidR="00FF36CA">
        <w:rPr>
          <w:rFonts w:ascii="Open Sans" w:hAnsi="Open Sans" w:cs="Open Sans"/>
          <w:szCs w:val="22"/>
        </w:rPr>
        <w:t>mis sold</w:t>
      </w:r>
      <w:r>
        <w:rPr>
          <w:rFonts w:ascii="Open Sans" w:hAnsi="Open Sans" w:cs="Open Sans"/>
          <w:szCs w:val="22"/>
        </w:rPr>
        <w:t xml:space="preserve"> for developers to be able to maximise the number of grants they are able to claim. </w:t>
      </w:r>
    </w:p>
    <w:p w14:paraId="27A0C177" w14:textId="5D2AB451" w:rsidR="008F2B11" w:rsidRDefault="008F2B11" w:rsidP="00556297">
      <w:pPr>
        <w:rPr>
          <w:rFonts w:ascii="Open Sans" w:hAnsi="Open Sans" w:cs="Open Sans"/>
          <w:szCs w:val="22"/>
        </w:rPr>
      </w:pPr>
    </w:p>
    <w:p w14:paraId="4A546935" w14:textId="36125650" w:rsidR="008F2B11" w:rsidRDefault="008F2B11" w:rsidP="00556297">
      <w:pPr>
        <w:rPr>
          <w:rFonts w:ascii="Open Sans" w:hAnsi="Open Sans" w:cs="Open Sans"/>
          <w:szCs w:val="22"/>
        </w:rPr>
      </w:pPr>
      <w:r>
        <w:rPr>
          <w:rFonts w:ascii="Open Sans" w:hAnsi="Open Sans" w:cs="Open Sans"/>
          <w:szCs w:val="22"/>
        </w:rPr>
        <w:t xml:space="preserve">Equally, where a larger scale project is needed, at the upper end of the capacity range, there could be the possibility of gaming the system by installing two cheaper smaller systems, claiming two grants, rather </w:t>
      </w:r>
      <w:r w:rsidR="009723D3">
        <w:rPr>
          <w:rFonts w:ascii="Open Sans" w:hAnsi="Open Sans" w:cs="Open Sans"/>
          <w:szCs w:val="22"/>
        </w:rPr>
        <w:t>than</w:t>
      </w:r>
      <w:r>
        <w:rPr>
          <w:rFonts w:ascii="Open Sans" w:hAnsi="Open Sans" w:cs="Open Sans"/>
          <w:szCs w:val="22"/>
        </w:rPr>
        <w:t xml:space="preserve"> install the size or type of project that is actually required. </w:t>
      </w:r>
    </w:p>
    <w:p w14:paraId="58EA440C" w14:textId="2E415807" w:rsidR="008F2B11" w:rsidRDefault="008F2B11" w:rsidP="00556297">
      <w:pPr>
        <w:rPr>
          <w:rFonts w:ascii="Open Sans" w:hAnsi="Open Sans" w:cs="Open Sans"/>
          <w:szCs w:val="22"/>
        </w:rPr>
      </w:pPr>
    </w:p>
    <w:p w14:paraId="080E0EEB" w14:textId="4FE64E45" w:rsidR="008F2B11" w:rsidRPr="008F2B11" w:rsidRDefault="008F2B11" w:rsidP="00556297">
      <w:pPr>
        <w:rPr>
          <w:rFonts w:ascii="Open Sans" w:hAnsi="Open Sans" w:cs="Open Sans"/>
          <w:szCs w:val="22"/>
        </w:rPr>
      </w:pPr>
      <w:r>
        <w:rPr>
          <w:rFonts w:ascii="Open Sans" w:hAnsi="Open Sans" w:cs="Open Sans"/>
          <w:szCs w:val="22"/>
        </w:rPr>
        <w:t>There are also concerns that the flat rate grant does no</w:t>
      </w:r>
      <w:r w:rsidR="0085082B">
        <w:rPr>
          <w:rFonts w:ascii="Open Sans" w:hAnsi="Open Sans" w:cs="Open Sans"/>
          <w:szCs w:val="22"/>
        </w:rPr>
        <w:t>t</w:t>
      </w:r>
      <w:r>
        <w:rPr>
          <w:rFonts w:ascii="Open Sans" w:hAnsi="Open Sans" w:cs="Open Sans"/>
          <w:szCs w:val="22"/>
        </w:rPr>
        <w:t xml:space="preserve"> in itself incentivise the use </w:t>
      </w:r>
      <w:r w:rsidR="0085082B">
        <w:rPr>
          <w:rFonts w:ascii="Open Sans" w:hAnsi="Open Sans" w:cs="Open Sans"/>
          <w:szCs w:val="22"/>
        </w:rPr>
        <w:t>of</w:t>
      </w:r>
      <w:r>
        <w:rPr>
          <w:rFonts w:ascii="Open Sans" w:hAnsi="Open Sans" w:cs="Open Sans"/>
          <w:szCs w:val="22"/>
        </w:rPr>
        <w:t xml:space="preserve"> renewable heating system. The grant could be used by those wanting </w:t>
      </w:r>
      <w:r w:rsidR="0085082B">
        <w:rPr>
          <w:rFonts w:ascii="Open Sans" w:hAnsi="Open Sans" w:cs="Open Sans"/>
          <w:szCs w:val="22"/>
        </w:rPr>
        <w:t xml:space="preserve">to </w:t>
      </w:r>
      <w:r>
        <w:rPr>
          <w:rFonts w:ascii="Open Sans" w:hAnsi="Open Sans" w:cs="Open Sans"/>
          <w:szCs w:val="22"/>
        </w:rPr>
        <w:t xml:space="preserve">‘green wash’ their activities, installing a renewable energy system without the intension to </w:t>
      </w:r>
      <w:r w:rsidR="00587C19">
        <w:rPr>
          <w:rFonts w:ascii="Open Sans" w:hAnsi="Open Sans" w:cs="Open Sans"/>
          <w:szCs w:val="22"/>
        </w:rPr>
        <w:t>use</w:t>
      </w:r>
      <w:r>
        <w:rPr>
          <w:rFonts w:ascii="Open Sans" w:hAnsi="Open Sans" w:cs="Open Sans"/>
          <w:szCs w:val="22"/>
        </w:rPr>
        <w:t xml:space="preserve"> it as the fossil heating system remains cheaper to run. </w:t>
      </w:r>
    </w:p>
    <w:p w14:paraId="6F795036" w14:textId="77777777" w:rsidR="000D49A6" w:rsidRPr="00E752B5" w:rsidRDefault="000D49A6" w:rsidP="00556297">
      <w:pPr>
        <w:rPr>
          <w:rFonts w:ascii="Open Sans" w:hAnsi="Open Sans" w:cs="Open Sans"/>
          <w:szCs w:val="22"/>
        </w:rPr>
      </w:pPr>
    </w:p>
    <w:p w14:paraId="0A56F6E2" w14:textId="02EDEE32" w:rsidR="000D49A6" w:rsidRPr="00FF36CA" w:rsidRDefault="00FF36CA" w:rsidP="00556297">
      <w:pPr>
        <w:rPr>
          <w:rFonts w:ascii="Open Sans" w:hAnsi="Open Sans" w:cs="Open Sans"/>
          <w:b/>
          <w:bCs/>
          <w:i/>
          <w:iCs/>
          <w:color w:val="2F5496"/>
          <w:szCs w:val="22"/>
        </w:rPr>
      </w:pPr>
      <w:r w:rsidRPr="00FF36CA">
        <w:rPr>
          <w:rFonts w:ascii="Open Sans" w:hAnsi="Open Sans" w:cs="Open Sans"/>
          <w:b/>
          <w:bCs/>
          <w:i/>
          <w:iCs/>
          <w:color w:val="2F5496"/>
          <w:szCs w:val="22"/>
        </w:rPr>
        <w:t xml:space="preserve">Question 42 - </w:t>
      </w:r>
      <w:r w:rsidR="000D49A6" w:rsidRPr="00FF36CA">
        <w:rPr>
          <w:rFonts w:ascii="Open Sans" w:hAnsi="Open Sans" w:cs="Open Sans"/>
          <w:b/>
          <w:bCs/>
          <w:i/>
          <w:iCs/>
          <w:color w:val="2F5496"/>
          <w:szCs w:val="22"/>
        </w:rPr>
        <w:t>What would be the most important features of an audit regime to minimise the risk of non-compliance?</w:t>
      </w:r>
    </w:p>
    <w:p w14:paraId="0B9C15A9" w14:textId="7DF7A9E4" w:rsidR="008F2B11" w:rsidRPr="0024189A" w:rsidRDefault="008F2B11" w:rsidP="00556297">
      <w:pPr>
        <w:rPr>
          <w:rFonts w:ascii="Open Sans" w:hAnsi="Open Sans" w:cs="Open Sans"/>
          <w:b/>
          <w:bCs/>
          <w:szCs w:val="22"/>
        </w:rPr>
      </w:pPr>
    </w:p>
    <w:p w14:paraId="213D8432" w14:textId="07925606" w:rsidR="008F2B11" w:rsidRPr="00FF36CA" w:rsidRDefault="0024189A" w:rsidP="00556297">
      <w:pPr>
        <w:rPr>
          <w:rFonts w:ascii="Open Sans" w:hAnsi="Open Sans" w:cs="Open Sans"/>
          <w:szCs w:val="22"/>
        </w:rPr>
      </w:pPr>
      <w:r w:rsidRPr="00FF36CA">
        <w:rPr>
          <w:rFonts w:ascii="Open Sans" w:hAnsi="Open Sans" w:cs="Open Sans"/>
          <w:szCs w:val="22"/>
          <w:highlight w:val="yellow"/>
        </w:rPr>
        <w:t>Members views welcome</w:t>
      </w:r>
    </w:p>
    <w:p w14:paraId="034E43C5" w14:textId="77777777" w:rsidR="00E752B5" w:rsidRPr="00E752B5" w:rsidRDefault="00E752B5" w:rsidP="00556297">
      <w:pPr>
        <w:rPr>
          <w:rFonts w:ascii="Open Sans" w:hAnsi="Open Sans" w:cs="Open Sans"/>
          <w:b/>
          <w:bCs/>
          <w:szCs w:val="22"/>
        </w:rPr>
      </w:pPr>
    </w:p>
    <w:p w14:paraId="2E7F0882" w14:textId="4D015EBF" w:rsidR="00273E54" w:rsidRPr="00273E54" w:rsidRDefault="00273E54" w:rsidP="00273E54">
      <w:pPr>
        <w:rPr>
          <w:rFonts w:ascii="Open Sans" w:hAnsi="Open Sans" w:cs="Open Sans"/>
          <w:b/>
          <w:bCs/>
          <w:szCs w:val="22"/>
        </w:rPr>
      </w:pPr>
      <w:r w:rsidRPr="00273E54">
        <w:rPr>
          <w:rFonts w:ascii="Open Sans" w:hAnsi="Open Sans" w:cs="Open Sans"/>
          <w:b/>
          <w:bCs/>
          <w:szCs w:val="22"/>
        </w:rPr>
        <w:t>Ju</w:t>
      </w:r>
      <w:r w:rsidR="00D86235">
        <w:rPr>
          <w:rFonts w:ascii="Open Sans" w:hAnsi="Open Sans" w:cs="Open Sans"/>
          <w:b/>
          <w:bCs/>
          <w:szCs w:val="22"/>
        </w:rPr>
        <w:t>ly</w:t>
      </w:r>
      <w:r w:rsidRPr="00273E54">
        <w:rPr>
          <w:rFonts w:ascii="Open Sans" w:hAnsi="Open Sans" w:cs="Open Sans"/>
          <w:b/>
          <w:bCs/>
          <w:szCs w:val="22"/>
        </w:rPr>
        <w:t xml:space="preserve"> 2020</w:t>
      </w:r>
    </w:p>
    <w:p w14:paraId="10ACAD6D" w14:textId="489C9329" w:rsidR="00273E54" w:rsidRDefault="00273E54">
      <w:pPr>
        <w:rPr>
          <w:rFonts w:ascii="Open Sans" w:hAnsi="Open Sans" w:cs="Open Sans"/>
          <w:i/>
          <w:iCs/>
          <w:szCs w:val="22"/>
        </w:rPr>
      </w:pPr>
      <w:r w:rsidRPr="00273E54">
        <w:rPr>
          <w:rFonts w:ascii="Open Sans" w:hAnsi="Open Sans" w:cs="Open Sans"/>
          <w:i/>
          <w:iCs/>
          <w:szCs w:val="22"/>
        </w:rPr>
        <w:t xml:space="preserve">If you have any questions relating to this consultation and the REA’s response please contact </w:t>
      </w:r>
      <w:hyperlink r:id="rId63" w:history="1">
        <w:r w:rsidRPr="00273E54">
          <w:rPr>
            <w:rStyle w:val="Hyperlink"/>
            <w:rFonts w:ascii="Open Sans" w:hAnsi="Open Sans" w:cs="Open Sans"/>
            <w:i/>
            <w:iCs/>
            <w:szCs w:val="22"/>
          </w:rPr>
          <w:t>heat@r-e-a.net</w:t>
        </w:r>
      </w:hyperlink>
      <w:r w:rsidRPr="00273E54">
        <w:rPr>
          <w:rFonts w:ascii="Open Sans" w:hAnsi="Open Sans" w:cs="Open Sans"/>
          <w:i/>
          <w:iCs/>
          <w:szCs w:val="22"/>
        </w:rPr>
        <w:t xml:space="preserve"> </w:t>
      </w:r>
    </w:p>
    <w:p w14:paraId="39C67A90" w14:textId="0E58CB05" w:rsidR="00D86235" w:rsidRDefault="00D86235">
      <w:pPr>
        <w:rPr>
          <w:rFonts w:ascii="Open Sans" w:hAnsi="Open Sans" w:cs="Open Sans"/>
          <w:i/>
          <w:iCs/>
          <w:szCs w:val="22"/>
        </w:rPr>
      </w:pPr>
    </w:p>
    <w:p w14:paraId="355B30A4" w14:textId="77777777" w:rsidR="00D86235" w:rsidRPr="00467444" w:rsidRDefault="00D86235" w:rsidP="00D86235">
      <w:pPr>
        <w:widowControl w:val="0"/>
        <w:pBdr>
          <w:top w:val="nil"/>
          <w:left w:val="nil"/>
          <w:bottom w:val="nil"/>
          <w:right w:val="nil"/>
          <w:between w:val="nil"/>
        </w:pBdr>
        <w:jc w:val="left"/>
        <w:rPr>
          <w:rFonts w:ascii="Open Sans" w:eastAsia="Arial" w:hAnsi="Open Sans" w:cs="Open Sans"/>
          <w:b/>
          <w:bCs/>
          <w:color w:val="000000"/>
          <w:szCs w:val="22"/>
        </w:rPr>
      </w:pPr>
      <w:r w:rsidRPr="00467444">
        <w:rPr>
          <w:rFonts w:ascii="Open Sans" w:eastAsia="Arial" w:hAnsi="Open Sans" w:cs="Open Sans"/>
          <w:b/>
          <w:bCs/>
          <w:color w:val="000000"/>
          <w:szCs w:val="22"/>
        </w:rPr>
        <w:t>Appendix 1</w:t>
      </w:r>
    </w:p>
    <w:p w14:paraId="0665E1EB" w14:textId="77777777" w:rsidR="00D86235" w:rsidRPr="00467444" w:rsidRDefault="00D86235" w:rsidP="00D86235">
      <w:pPr>
        <w:widowControl w:val="0"/>
        <w:pBdr>
          <w:top w:val="nil"/>
          <w:left w:val="nil"/>
          <w:bottom w:val="nil"/>
          <w:right w:val="nil"/>
          <w:between w:val="nil"/>
        </w:pBdr>
        <w:jc w:val="left"/>
        <w:rPr>
          <w:rFonts w:ascii="Open Sans" w:eastAsia="Arial" w:hAnsi="Open Sans" w:cs="Open Sans"/>
          <w:color w:val="000000"/>
          <w:szCs w:val="22"/>
        </w:rPr>
      </w:pPr>
    </w:p>
    <w:p w14:paraId="0D989BC9" w14:textId="77777777" w:rsidR="00D86235" w:rsidRPr="00467444" w:rsidRDefault="00D86235" w:rsidP="00D86235">
      <w:pPr>
        <w:widowControl w:val="0"/>
        <w:pBdr>
          <w:top w:val="nil"/>
          <w:left w:val="nil"/>
          <w:bottom w:val="nil"/>
          <w:right w:val="nil"/>
          <w:between w:val="nil"/>
        </w:pBdr>
        <w:jc w:val="left"/>
        <w:rPr>
          <w:rFonts w:ascii="Open Sans" w:hAnsi="Open Sans" w:cs="Open Sans"/>
          <w:color w:val="000000"/>
        </w:rPr>
      </w:pPr>
      <w:r w:rsidRPr="00467444">
        <w:rPr>
          <w:rFonts w:ascii="Open Sans" w:eastAsia="Arial" w:hAnsi="Open Sans" w:cs="Open Sans"/>
          <w:color w:val="000000"/>
          <w:szCs w:val="22"/>
        </w:rPr>
        <w:t>Digestate is a valuable co-product of the anaerobic digestion process and as such is it correct that a proportion of the greenhouse gas emissions of the biogas production process are attributed to its production.</w:t>
      </w:r>
    </w:p>
    <w:p w14:paraId="329D3654" w14:textId="77777777" w:rsidR="00D86235" w:rsidRPr="00467444" w:rsidRDefault="00D86235" w:rsidP="00D86235">
      <w:pPr>
        <w:widowControl w:val="0"/>
        <w:pBdr>
          <w:top w:val="nil"/>
          <w:left w:val="nil"/>
          <w:bottom w:val="nil"/>
          <w:right w:val="nil"/>
          <w:between w:val="nil"/>
        </w:pBdr>
        <w:jc w:val="left"/>
        <w:rPr>
          <w:rFonts w:ascii="Open Sans" w:hAnsi="Open Sans" w:cs="Open Sans"/>
          <w:color w:val="000000"/>
        </w:rPr>
      </w:pPr>
    </w:p>
    <w:p w14:paraId="5439F2DB" w14:textId="77777777" w:rsidR="00D86235" w:rsidRPr="00467444" w:rsidRDefault="00D86235" w:rsidP="00D86235">
      <w:pPr>
        <w:widowControl w:val="0"/>
        <w:pBdr>
          <w:top w:val="nil"/>
          <w:left w:val="nil"/>
          <w:bottom w:val="nil"/>
          <w:right w:val="nil"/>
          <w:between w:val="nil"/>
        </w:pBdr>
        <w:jc w:val="left"/>
        <w:rPr>
          <w:rFonts w:ascii="Open Sans" w:hAnsi="Open Sans" w:cs="Open Sans"/>
          <w:color w:val="000000"/>
        </w:rPr>
      </w:pPr>
      <w:r w:rsidRPr="00467444">
        <w:rPr>
          <w:rFonts w:ascii="Open Sans" w:eastAsia="Arial" w:hAnsi="Open Sans" w:cs="Open Sans"/>
          <w:color w:val="000000"/>
          <w:szCs w:val="22"/>
        </w:rPr>
        <w:t>There are a variety of methods for calculating the appropriate proportion of the emissions of the AD process to allocate to the digestate. Some examples include:</w:t>
      </w:r>
    </w:p>
    <w:p w14:paraId="4E269A31" w14:textId="77777777" w:rsidR="00D86235" w:rsidRPr="00467444" w:rsidRDefault="00D86235" w:rsidP="00D86235">
      <w:pPr>
        <w:widowControl w:val="0"/>
        <w:pBdr>
          <w:top w:val="nil"/>
          <w:left w:val="nil"/>
          <w:bottom w:val="nil"/>
          <w:right w:val="nil"/>
          <w:between w:val="nil"/>
        </w:pBdr>
        <w:jc w:val="left"/>
        <w:rPr>
          <w:rFonts w:ascii="Open Sans" w:hAnsi="Open Sans" w:cs="Open Sans"/>
          <w:color w:val="000000"/>
        </w:rPr>
      </w:pPr>
    </w:p>
    <w:p w14:paraId="39F63373" w14:textId="77777777" w:rsidR="00D86235" w:rsidRPr="00467444" w:rsidRDefault="00D86235" w:rsidP="00D86235">
      <w:pPr>
        <w:widowControl w:val="0"/>
        <w:pBdr>
          <w:top w:val="nil"/>
          <w:left w:val="nil"/>
          <w:bottom w:val="nil"/>
          <w:right w:val="nil"/>
          <w:between w:val="nil"/>
        </w:pBdr>
        <w:jc w:val="left"/>
        <w:rPr>
          <w:rFonts w:ascii="Open Sans" w:hAnsi="Open Sans" w:cs="Open Sans"/>
          <w:color w:val="000000"/>
        </w:rPr>
      </w:pPr>
      <w:r w:rsidRPr="00467444">
        <w:rPr>
          <w:rFonts w:ascii="Open Sans" w:eastAsia="Arial" w:hAnsi="Open Sans" w:cs="Open Sans"/>
          <w:color w:val="000000"/>
          <w:szCs w:val="22"/>
        </w:rPr>
        <w:t>- By the higher calorific value of the digestate according to recommendations made in the EU Renewable Energy Directive (EU, 2009)</w:t>
      </w:r>
    </w:p>
    <w:p w14:paraId="3520A0F7" w14:textId="77777777" w:rsidR="00D86235" w:rsidRPr="00467444" w:rsidRDefault="00D86235" w:rsidP="00D86235">
      <w:pPr>
        <w:widowControl w:val="0"/>
        <w:pBdr>
          <w:top w:val="nil"/>
          <w:left w:val="nil"/>
          <w:bottom w:val="nil"/>
          <w:right w:val="nil"/>
          <w:between w:val="nil"/>
        </w:pBdr>
        <w:jc w:val="left"/>
        <w:rPr>
          <w:rFonts w:ascii="Open Sans" w:hAnsi="Open Sans" w:cs="Open Sans"/>
          <w:color w:val="000000"/>
        </w:rPr>
      </w:pPr>
    </w:p>
    <w:p w14:paraId="3FCBE392" w14:textId="77777777" w:rsidR="00D86235" w:rsidRPr="00467444" w:rsidRDefault="00D86235" w:rsidP="00D86235">
      <w:pPr>
        <w:widowControl w:val="0"/>
        <w:pBdr>
          <w:top w:val="nil"/>
          <w:left w:val="nil"/>
          <w:bottom w:val="nil"/>
          <w:right w:val="nil"/>
          <w:between w:val="nil"/>
        </w:pBdr>
        <w:jc w:val="left"/>
        <w:rPr>
          <w:rFonts w:ascii="Open Sans" w:hAnsi="Open Sans" w:cs="Open Sans"/>
          <w:color w:val="000000"/>
        </w:rPr>
      </w:pPr>
      <w:r w:rsidRPr="00467444">
        <w:rPr>
          <w:rFonts w:ascii="Open Sans" w:eastAsia="Arial" w:hAnsi="Open Sans" w:cs="Open Sans"/>
          <w:color w:val="000000"/>
          <w:szCs w:val="22"/>
        </w:rPr>
        <w:t>- Mass allocation methods, which allocate emissions by weight of nutrients in the digestate (Hijazi et al., 2016)</w:t>
      </w:r>
    </w:p>
    <w:p w14:paraId="0BE62897" w14:textId="77777777" w:rsidR="00D86235" w:rsidRPr="00467444" w:rsidRDefault="00D86235" w:rsidP="00D86235">
      <w:pPr>
        <w:widowControl w:val="0"/>
        <w:pBdr>
          <w:top w:val="nil"/>
          <w:left w:val="nil"/>
          <w:bottom w:val="nil"/>
          <w:right w:val="nil"/>
          <w:between w:val="nil"/>
        </w:pBdr>
        <w:jc w:val="left"/>
        <w:rPr>
          <w:rFonts w:ascii="Open Sans" w:hAnsi="Open Sans" w:cs="Open Sans"/>
          <w:color w:val="000000"/>
        </w:rPr>
      </w:pPr>
    </w:p>
    <w:p w14:paraId="17AFE673" w14:textId="77777777" w:rsidR="00D86235" w:rsidRPr="00467444" w:rsidRDefault="00D86235" w:rsidP="00D86235">
      <w:pPr>
        <w:widowControl w:val="0"/>
        <w:pBdr>
          <w:top w:val="nil"/>
          <w:left w:val="nil"/>
          <w:bottom w:val="nil"/>
          <w:right w:val="nil"/>
          <w:between w:val="nil"/>
        </w:pBdr>
        <w:jc w:val="left"/>
        <w:rPr>
          <w:rFonts w:ascii="Open Sans" w:hAnsi="Open Sans" w:cs="Open Sans"/>
          <w:color w:val="000000"/>
        </w:rPr>
      </w:pPr>
      <w:r w:rsidRPr="00467444">
        <w:rPr>
          <w:rFonts w:ascii="Open Sans" w:eastAsia="Arial" w:hAnsi="Open Sans" w:cs="Open Sans"/>
          <w:color w:val="000000"/>
          <w:szCs w:val="22"/>
        </w:rPr>
        <w:t>- Economic allocation methods, in which the allocation of emissions is determined by the comparative market value of the digestate and biogas products (Hijazi et al., 2016; Rehl et al., 2012)</w:t>
      </w:r>
    </w:p>
    <w:p w14:paraId="52288917" w14:textId="77777777" w:rsidR="00D86235" w:rsidRPr="00467444" w:rsidRDefault="00D86235" w:rsidP="00D86235">
      <w:pPr>
        <w:widowControl w:val="0"/>
        <w:pBdr>
          <w:top w:val="nil"/>
          <w:left w:val="nil"/>
          <w:bottom w:val="nil"/>
          <w:right w:val="nil"/>
          <w:between w:val="nil"/>
        </w:pBdr>
        <w:jc w:val="left"/>
        <w:rPr>
          <w:rFonts w:ascii="Open Sans" w:hAnsi="Open Sans" w:cs="Open Sans"/>
          <w:color w:val="000000"/>
        </w:rPr>
      </w:pPr>
    </w:p>
    <w:p w14:paraId="782023D9" w14:textId="77777777" w:rsidR="00D86235" w:rsidRPr="00467444" w:rsidRDefault="00D86235" w:rsidP="00D86235">
      <w:pPr>
        <w:widowControl w:val="0"/>
        <w:pBdr>
          <w:top w:val="nil"/>
          <w:left w:val="nil"/>
          <w:bottom w:val="nil"/>
          <w:right w:val="nil"/>
          <w:between w:val="nil"/>
        </w:pBdr>
        <w:jc w:val="left"/>
        <w:rPr>
          <w:rFonts w:ascii="Open Sans" w:hAnsi="Open Sans" w:cs="Open Sans"/>
          <w:color w:val="000000"/>
        </w:rPr>
      </w:pPr>
      <w:r w:rsidRPr="00467444">
        <w:rPr>
          <w:rFonts w:ascii="Open Sans" w:eastAsia="Arial" w:hAnsi="Open Sans" w:cs="Open Sans"/>
          <w:color w:val="000000"/>
          <w:szCs w:val="22"/>
        </w:rPr>
        <w:t xml:space="preserve">The portion of emissions that is allocated to digestate has a substantial impact on the emissions intensity of biogas produced at an AD facility. A study performed in 2019 found that biogas plants consuming a variety of feedstocks would allocate between 29-36% of emissions to digestate when allocating by higher calorific value, but 64-71% when allocating </w:t>
      </w:r>
      <w:r w:rsidRPr="00467444">
        <w:rPr>
          <w:rFonts w:ascii="Open Sans" w:eastAsia="Arial" w:hAnsi="Open Sans" w:cs="Open Sans"/>
          <w:color w:val="000000"/>
          <w:szCs w:val="22"/>
        </w:rPr>
        <w:lastRenderedPageBreak/>
        <w:t>through mass allocation (Timonen et al., 2019).</w:t>
      </w:r>
    </w:p>
    <w:p w14:paraId="040C3CA3" w14:textId="77777777" w:rsidR="00D86235" w:rsidRPr="00467444" w:rsidRDefault="00D86235" w:rsidP="00D86235">
      <w:pPr>
        <w:widowControl w:val="0"/>
        <w:pBdr>
          <w:top w:val="nil"/>
          <w:left w:val="nil"/>
          <w:bottom w:val="nil"/>
          <w:right w:val="nil"/>
          <w:between w:val="nil"/>
        </w:pBdr>
        <w:jc w:val="left"/>
        <w:rPr>
          <w:rFonts w:ascii="Open Sans" w:hAnsi="Open Sans" w:cs="Open Sans"/>
          <w:color w:val="000000"/>
        </w:rPr>
      </w:pPr>
    </w:p>
    <w:p w14:paraId="647EF5FB" w14:textId="77777777" w:rsidR="00D86235" w:rsidRPr="00467444" w:rsidRDefault="00D86235" w:rsidP="00D86235">
      <w:pPr>
        <w:widowControl w:val="0"/>
        <w:pBdr>
          <w:top w:val="nil"/>
          <w:left w:val="nil"/>
          <w:bottom w:val="nil"/>
          <w:right w:val="nil"/>
          <w:between w:val="nil"/>
        </w:pBdr>
        <w:jc w:val="left"/>
        <w:rPr>
          <w:rFonts w:ascii="Open Sans" w:hAnsi="Open Sans" w:cs="Open Sans"/>
          <w:color w:val="000000"/>
        </w:rPr>
      </w:pPr>
      <w:r w:rsidRPr="00467444">
        <w:rPr>
          <w:rFonts w:ascii="Open Sans" w:eastAsia="Arial" w:hAnsi="Open Sans" w:cs="Open Sans"/>
          <w:color w:val="000000"/>
          <w:szCs w:val="22"/>
        </w:rPr>
        <w:t>In the model developed by Ricardo to perform a life-cycle analysis of the biomethane production process at our plants, emissions are allocated to digestate produced by our plants by comparing the higher calorific value of the digestate with the energy content of the other products of the AD process, including electricity exports and biomethane injection. However, unlike the other products of the AD process, digestate is not a fuel. This methodology</w:t>
      </w:r>
      <w:r w:rsidRPr="00467444">
        <w:rPr>
          <w:rFonts w:ascii="Open Sans" w:hAnsi="Open Sans" w:cs="Open Sans"/>
        </w:rPr>
        <w:t>, therefore,</w:t>
      </w:r>
      <w:r w:rsidRPr="00467444">
        <w:rPr>
          <w:rFonts w:ascii="Open Sans" w:eastAsia="Arial" w:hAnsi="Open Sans" w:cs="Open Sans"/>
          <w:color w:val="000000"/>
          <w:szCs w:val="22"/>
        </w:rPr>
        <w:t xml:space="preserve"> neglects the true value of the nutrient-rich digestate and fails to cover the entire carbon lifecycle of digestion chains.</w:t>
      </w:r>
    </w:p>
    <w:p w14:paraId="75AF83EF" w14:textId="77777777" w:rsidR="00D86235" w:rsidRPr="00467444" w:rsidRDefault="00D86235" w:rsidP="00D86235">
      <w:pPr>
        <w:widowControl w:val="0"/>
        <w:pBdr>
          <w:top w:val="nil"/>
          <w:left w:val="nil"/>
          <w:bottom w:val="nil"/>
          <w:right w:val="nil"/>
          <w:between w:val="nil"/>
        </w:pBdr>
        <w:jc w:val="left"/>
        <w:rPr>
          <w:rFonts w:ascii="Open Sans" w:hAnsi="Open Sans" w:cs="Open Sans"/>
          <w:color w:val="000000"/>
        </w:rPr>
      </w:pPr>
    </w:p>
    <w:p w14:paraId="69655B49" w14:textId="77777777" w:rsidR="00D86235" w:rsidRPr="00467444" w:rsidRDefault="00D86235" w:rsidP="00D86235">
      <w:pPr>
        <w:widowControl w:val="0"/>
        <w:pBdr>
          <w:top w:val="nil"/>
          <w:left w:val="nil"/>
          <w:bottom w:val="nil"/>
          <w:right w:val="nil"/>
          <w:between w:val="nil"/>
        </w:pBdr>
        <w:jc w:val="left"/>
        <w:rPr>
          <w:rFonts w:ascii="Open Sans" w:hAnsi="Open Sans" w:cs="Open Sans"/>
          <w:color w:val="000000"/>
        </w:rPr>
      </w:pPr>
      <w:r w:rsidRPr="00467444">
        <w:rPr>
          <w:rFonts w:ascii="Open Sans" w:eastAsia="Arial" w:hAnsi="Open Sans" w:cs="Open Sans"/>
          <w:color w:val="000000"/>
          <w:szCs w:val="22"/>
        </w:rPr>
        <w:t>One particular and important consequence of this methodology is that liquid digestate, a valuable fertilizer, is considered by the current methodology to have no GHG mitigation value as it has a negative calorific value due to its high water content.</w:t>
      </w:r>
    </w:p>
    <w:p w14:paraId="706BFC46" w14:textId="77777777" w:rsidR="00D86235" w:rsidRPr="00467444" w:rsidRDefault="00D86235" w:rsidP="00D86235">
      <w:pPr>
        <w:widowControl w:val="0"/>
        <w:pBdr>
          <w:top w:val="nil"/>
          <w:left w:val="nil"/>
          <w:bottom w:val="nil"/>
          <w:right w:val="nil"/>
          <w:between w:val="nil"/>
        </w:pBdr>
        <w:jc w:val="left"/>
        <w:rPr>
          <w:rFonts w:ascii="Open Sans" w:hAnsi="Open Sans" w:cs="Open Sans"/>
          <w:color w:val="000000"/>
        </w:rPr>
      </w:pPr>
    </w:p>
    <w:p w14:paraId="79B9F3D3" w14:textId="77777777" w:rsidR="00D86235" w:rsidRPr="00467444" w:rsidRDefault="00D86235" w:rsidP="00D86235">
      <w:pPr>
        <w:widowControl w:val="0"/>
        <w:pBdr>
          <w:top w:val="nil"/>
          <w:left w:val="nil"/>
          <w:bottom w:val="nil"/>
          <w:right w:val="nil"/>
          <w:between w:val="nil"/>
        </w:pBdr>
        <w:jc w:val="left"/>
        <w:rPr>
          <w:rFonts w:ascii="Open Sans" w:hAnsi="Open Sans" w:cs="Open Sans"/>
          <w:color w:val="000000"/>
        </w:rPr>
      </w:pPr>
      <w:r w:rsidRPr="00467444">
        <w:rPr>
          <w:rFonts w:ascii="Open Sans" w:eastAsia="Arial" w:hAnsi="Open Sans" w:cs="Open Sans"/>
          <w:color w:val="000000"/>
          <w:szCs w:val="22"/>
        </w:rPr>
        <w:t xml:space="preserve">Shifting the methodology of the LCA to allocate emissions to digestate based on mass or economic allocation methods would better appreciate the value of digestate produced by biogas plants and incentivise plant operators to ensure that the production and utilisation of this resource </w:t>
      </w:r>
      <w:r w:rsidRPr="00467444">
        <w:rPr>
          <w:rFonts w:ascii="Open Sans" w:hAnsi="Open Sans" w:cs="Open Sans"/>
        </w:rPr>
        <w:t>are</w:t>
      </w:r>
      <w:r w:rsidRPr="00467444">
        <w:rPr>
          <w:rFonts w:ascii="Open Sans" w:eastAsia="Arial" w:hAnsi="Open Sans" w:cs="Open Sans"/>
          <w:color w:val="000000"/>
          <w:szCs w:val="22"/>
        </w:rPr>
        <w:t xml:space="preserve"> optimised. Furthermore, it will also better demonstrate the capability of AD to produce low carbon energy.</w:t>
      </w:r>
    </w:p>
    <w:p w14:paraId="6DCBE328" w14:textId="77777777" w:rsidR="00D86235" w:rsidRPr="00467444" w:rsidRDefault="00D86235" w:rsidP="00D86235">
      <w:pPr>
        <w:widowControl w:val="0"/>
        <w:pBdr>
          <w:top w:val="nil"/>
          <w:left w:val="nil"/>
          <w:bottom w:val="nil"/>
          <w:right w:val="nil"/>
          <w:between w:val="nil"/>
        </w:pBdr>
        <w:jc w:val="left"/>
        <w:rPr>
          <w:rFonts w:ascii="Open Sans" w:hAnsi="Open Sans" w:cs="Open Sans"/>
          <w:color w:val="000000"/>
        </w:rPr>
      </w:pPr>
    </w:p>
    <w:p w14:paraId="41D658F6" w14:textId="77777777" w:rsidR="00D86235" w:rsidRPr="00467444" w:rsidRDefault="00D86235" w:rsidP="00D86235">
      <w:pPr>
        <w:widowControl w:val="0"/>
        <w:pBdr>
          <w:top w:val="nil"/>
          <w:left w:val="nil"/>
          <w:bottom w:val="nil"/>
          <w:right w:val="nil"/>
          <w:between w:val="nil"/>
        </w:pBdr>
        <w:jc w:val="left"/>
        <w:rPr>
          <w:rFonts w:ascii="Open Sans" w:hAnsi="Open Sans" w:cs="Open Sans"/>
          <w:color w:val="000000"/>
        </w:rPr>
      </w:pPr>
      <w:r w:rsidRPr="00467444">
        <w:rPr>
          <w:rFonts w:ascii="Open Sans" w:eastAsia="Arial" w:hAnsi="Open Sans" w:cs="Open Sans"/>
          <w:color w:val="000000"/>
          <w:szCs w:val="22"/>
        </w:rPr>
        <w:t>EU, 2009. Decision No 406/2009/EC of the European Parliament and of the Council of 23 April 2009 on the Effort of Member States to Reduce Their Greenhouse Gas Emissions to Meet the Community's Greenhouse Gas Emission Reduction Commitments up to 2020. http://eurlex.europa.eu/LexUriServ/LexUriServ.do? uri¼CELEX:32009D0406:EN:NOT.</w:t>
      </w:r>
    </w:p>
    <w:p w14:paraId="571FB0B4" w14:textId="77777777" w:rsidR="00D86235" w:rsidRPr="00467444" w:rsidRDefault="00D86235" w:rsidP="00D86235">
      <w:pPr>
        <w:widowControl w:val="0"/>
        <w:pBdr>
          <w:top w:val="nil"/>
          <w:left w:val="nil"/>
          <w:bottom w:val="nil"/>
          <w:right w:val="nil"/>
          <w:between w:val="nil"/>
        </w:pBdr>
        <w:jc w:val="left"/>
        <w:rPr>
          <w:rFonts w:ascii="Open Sans" w:hAnsi="Open Sans" w:cs="Open Sans"/>
          <w:color w:val="000000"/>
        </w:rPr>
      </w:pPr>
    </w:p>
    <w:p w14:paraId="75CAD356" w14:textId="77777777" w:rsidR="00D86235" w:rsidRPr="00467444" w:rsidRDefault="00D86235" w:rsidP="00D86235">
      <w:pPr>
        <w:widowControl w:val="0"/>
        <w:pBdr>
          <w:top w:val="nil"/>
          <w:left w:val="nil"/>
          <w:bottom w:val="nil"/>
          <w:right w:val="nil"/>
          <w:between w:val="nil"/>
        </w:pBdr>
        <w:jc w:val="left"/>
        <w:rPr>
          <w:rFonts w:ascii="Open Sans" w:hAnsi="Open Sans" w:cs="Open Sans"/>
          <w:color w:val="000000"/>
        </w:rPr>
      </w:pPr>
      <w:r w:rsidRPr="00467444">
        <w:rPr>
          <w:rFonts w:ascii="Open Sans" w:eastAsia="Arial" w:hAnsi="Open Sans" w:cs="Open Sans"/>
          <w:color w:val="000000"/>
          <w:szCs w:val="22"/>
        </w:rPr>
        <w:t>Hijazi, O., Munro, S., Zerhusen, B., Effenberger, M., 2016. Review of life cycle assessment for biogas production in Europe. February 2016. In: Renewable and Sustainable Energy Reviews, vol. 54, pp. 1291e1300. Available. https://www.sciencedirect.com/science/article/pii/S1364032115010928#bib43.</w:t>
      </w:r>
    </w:p>
    <w:p w14:paraId="011A844E" w14:textId="77777777" w:rsidR="00D86235" w:rsidRPr="00467444" w:rsidRDefault="00D86235" w:rsidP="00D86235">
      <w:pPr>
        <w:widowControl w:val="0"/>
        <w:pBdr>
          <w:top w:val="nil"/>
          <w:left w:val="nil"/>
          <w:bottom w:val="nil"/>
          <w:right w:val="nil"/>
          <w:between w:val="nil"/>
        </w:pBdr>
        <w:jc w:val="left"/>
        <w:rPr>
          <w:rFonts w:ascii="Open Sans" w:hAnsi="Open Sans" w:cs="Open Sans"/>
          <w:color w:val="000000"/>
        </w:rPr>
      </w:pPr>
    </w:p>
    <w:p w14:paraId="715253C3" w14:textId="77777777" w:rsidR="00D86235" w:rsidRPr="00467444" w:rsidRDefault="00D86235" w:rsidP="00D86235">
      <w:pPr>
        <w:widowControl w:val="0"/>
        <w:pBdr>
          <w:top w:val="nil"/>
          <w:left w:val="nil"/>
          <w:bottom w:val="nil"/>
          <w:right w:val="nil"/>
          <w:between w:val="nil"/>
        </w:pBdr>
        <w:jc w:val="left"/>
        <w:rPr>
          <w:rFonts w:ascii="Open Sans" w:hAnsi="Open Sans" w:cs="Open Sans"/>
          <w:color w:val="000000"/>
        </w:rPr>
      </w:pPr>
      <w:r w:rsidRPr="00467444">
        <w:rPr>
          <w:rFonts w:ascii="Open Sans" w:eastAsia="Arial" w:hAnsi="Open Sans" w:cs="Open Sans"/>
          <w:color w:val="000000"/>
          <w:szCs w:val="22"/>
        </w:rPr>
        <w:t>Rehl, T., Lansche, J., Müller, J., 2012. Life cycle assessment of energy generation from biogas - attributional vs. consequential approach. Renew. Sustain. Energy Rev. 16 (2012), 3766e3775.</w:t>
      </w:r>
    </w:p>
    <w:p w14:paraId="7E645F37" w14:textId="77777777" w:rsidR="00D86235" w:rsidRPr="00467444" w:rsidRDefault="00D86235" w:rsidP="00D86235">
      <w:pPr>
        <w:widowControl w:val="0"/>
        <w:pBdr>
          <w:top w:val="nil"/>
          <w:left w:val="nil"/>
          <w:bottom w:val="nil"/>
          <w:right w:val="nil"/>
          <w:between w:val="nil"/>
        </w:pBdr>
        <w:jc w:val="left"/>
        <w:rPr>
          <w:rFonts w:ascii="Open Sans" w:hAnsi="Open Sans" w:cs="Open Sans"/>
          <w:color w:val="000000"/>
        </w:rPr>
      </w:pPr>
    </w:p>
    <w:p w14:paraId="6BA5C4A1" w14:textId="77777777" w:rsidR="00D86235" w:rsidRPr="00467444" w:rsidRDefault="00D86235" w:rsidP="00D86235">
      <w:pPr>
        <w:widowControl w:val="0"/>
        <w:pBdr>
          <w:top w:val="nil"/>
          <w:left w:val="nil"/>
          <w:bottom w:val="nil"/>
          <w:right w:val="nil"/>
          <w:between w:val="nil"/>
        </w:pBdr>
        <w:jc w:val="left"/>
        <w:rPr>
          <w:rFonts w:ascii="Open Sans" w:hAnsi="Open Sans" w:cs="Open Sans"/>
          <w:color w:val="000000"/>
        </w:rPr>
      </w:pPr>
      <w:r w:rsidRPr="00467444">
        <w:rPr>
          <w:rFonts w:ascii="Open Sans" w:eastAsia="Arial" w:hAnsi="Open Sans" w:cs="Open Sans"/>
          <w:color w:val="000000"/>
          <w:szCs w:val="22"/>
        </w:rPr>
        <w:t>Timonen, K., Sinkko T., Luostarinen, S. Tampio, E., Joensuu, K., 2019. LCA of anaerobic digestion: Emission allocation for energy and digestate. June 2019. In: Journal of Cleaner Production</w:t>
      </w:r>
    </w:p>
    <w:p w14:paraId="517533DF" w14:textId="77777777" w:rsidR="00D86235" w:rsidRPr="00467444" w:rsidRDefault="00D86235" w:rsidP="00D86235">
      <w:pPr>
        <w:widowControl w:val="0"/>
        <w:pBdr>
          <w:top w:val="nil"/>
          <w:left w:val="nil"/>
          <w:bottom w:val="nil"/>
          <w:right w:val="nil"/>
          <w:between w:val="nil"/>
        </w:pBdr>
        <w:jc w:val="left"/>
        <w:rPr>
          <w:rFonts w:ascii="Open Sans" w:hAnsi="Open Sans" w:cs="Open Sans"/>
          <w:color w:val="000000"/>
        </w:rPr>
      </w:pPr>
      <w:r w:rsidRPr="00467444">
        <w:rPr>
          <w:rFonts w:ascii="Open Sans" w:eastAsia="Arial" w:hAnsi="Open Sans" w:cs="Open Sans"/>
          <w:color w:val="000000"/>
          <w:szCs w:val="22"/>
        </w:rPr>
        <w:t>Volume 235, 20 October 2019, Pages 1567-1579. Available. http://www.sciencedirect.com/science/article/pii/S0959652619320402.</w:t>
      </w:r>
    </w:p>
    <w:p w14:paraId="7F713716" w14:textId="77777777" w:rsidR="00D86235" w:rsidRPr="00273E54" w:rsidRDefault="00D86235">
      <w:pPr>
        <w:rPr>
          <w:rFonts w:ascii="Open Sans" w:hAnsi="Open Sans" w:cs="Open Sans"/>
          <w:b/>
          <w:bCs/>
          <w:szCs w:val="22"/>
        </w:rPr>
      </w:pPr>
    </w:p>
    <w:sectPr w:rsidR="00D86235" w:rsidRPr="00273E54" w:rsidSect="00EA2285">
      <w:headerReference w:type="default" r:id="rId64"/>
      <w:headerReference w:type="first" r:id="rId65"/>
      <w:footerReference w:type="first" r:id="rId66"/>
      <w:pgSz w:w="11906" w:h="16838"/>
      <w:pgMar w:top="1702"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CF39FB" w14:textId="77777777" w:rsidR="00824F4D" w:rsidRDefault="00824F4D">
      <w:r>
        <w:separator/>
      </w:r>
    </w:p>
  </w:endnote>
  <w:endnote w:type="continuationSeparator" w:id="0">
    <w:p w14:paraId="1ACD3FC1" w14:textId="77777777" w:rsidR="00824F4D" w:rsidRDefault="00824F4D">
      <w:r>
        <w:continuationSeparator/>
      </w:r>
    </w:p>
  </w:endnote>
  <w:endnote w:type="continuationNotice" w:id="1">
    <w:p w14:paraId="39C7F510" w14:textId="77777777" w:rsidR="00824F4D" w:rsidRDefault="00824F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ant garde">
    <w:altName w:val="Century Gothi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FuturaPT-Light">
    <w:altName w:val="Century Gothic"/>
    <w:charset w:val="00"/>
    <w:family w:val="swiss"/>
    <w:pitch w:val="variable"/>
  </w:font>
  <w:font w:name="FuturaPT-Book">
    <w:altName w:val="Century Gothic"/>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DC8F3" w14:textId="77777777" w:rsidR="00824F4D" w:rsidRPr="00D3350C" w:rsidRDefault="00824F4D" w:rsidP="00EA2285">
    <w:pPr>
      <w:widowControl w:val="0"/>
      <w:tabs>
        <w:tab w:val="left" w:pos="8364"/>
        <w:tab w:val="left" w:pos="8505"/>
      </w:tabs>
      <w:autoSpaceDE w:val="0"/>
      <w:autoSpaceDN w:val="0"/>
      <w:spacing w:before="84"/>
      <w:ind w:left="582" w:right="379" w:hanging="298"/>
      <w:jc w:val="center"/>
      <w:rPr>
        <w:rFonts w:ascii="FuturaPT-Light" w:eastAsia="FuturaPT-Light" w:hAnsi="FuturaPT-Light" w:cs="FuturaPT-Light"/>
        <w:sz w:val="16"/>
        <w:szCs w:val="16"/>
        <w:lang w:val="en-US"/>
      </w:rPr>
    </w:pPr>
    <w:r w:rsidRPr="00D3350C">
      <w:rPr>
        <w:rFonts w:ascii="FuturaPT-Light" w:eastAsia="FuturaPT-Light" w:hAnsi="FuturaPT-Light" w:cs="FuturaPT-Light"/>
        <w:color w:val="1E1E1E"/>
        <w:sz w:val="16"/>
        <w:szCs w:val="16"/>
        <w:lang w:val="en-US"/>
      </w:rPr>
      <w:t>THE ASSOCIATION FOR RENEWABLE ENERGY AND CLEAN TECHNOLOGY</w:t>
    </w:r>
  </w:p>
  <w:p w14:paraId="2502D245" w14:textId="77777777" w:rsidR="00824F4D" w:rsidRPr="00D3350C" w:rsidRDefault="00824F4D" w:rsidP="00EA2285">
    <w:pPr>
      <w:widowControl w:val="0"/>
      <w:tabs>
        <w:tab w:val="left" w:pos="8364"/>
        <w:tab w:val="left" w:pos="8505"/>
      </w:tabs>
      <w:autoSpaceDE w:val="0"/>
      <w:autoSpaceDN w:val="0"/>
      <w:spacing w:before="64"/>
      <w:ind w:right="379" w:hanging="298"/>
      <w:jc w:val="center"/>
      <w:rPr>
        <w:rFonts w:ascii="FuturaPT-Light" w:eastAsia="FuturaPT-Light" w:hAnsi="FuturaPT-Light" w:cs="FuturaPT-Light"/>
        <w:color w:val="06926B"/>
        <w:sz w:val="16"/>
        <w:szCs w:val="16"/>
        <w:lang w:val="en-US"/>
      </w:rPr>
    </w:pPr>
    <w:r w:rsidRPr="00D3350C">
      <w:rPr>
        <w:rFonts w:ascii="FuturaPT-Book" w:eastAsia="FuturaPT-Light" w:hAnsi="FuturaPT-Light" w:cs="FuturaPT-Light"/>
        <w:color w:val="06926B"/>
        <w:sz w:val="16"/>
        <w:szCs w:val="16"/>
        <w:lang w:val="en-US"/>
      </w:rPr>
      <w:t xml:space="preserve">Tel: </w:t>
    </w:r>
    <w:r w:rsidRPr="00D3350C">
      <w:rPr>
        <w:rFonts w:ascii="FuturaPT-Light" w:eastAsia="FuturaPT-Light" w:hAnsi="FuturaPT-Light" w:cs="FuturaPT-Light"/>
        <w:color w:val="06926B"/>
        <w:sz w:val="16"/>
        <w:szCs w:val="16"/>
        <w:lang w:val="en-US"/>
      </w:rPr>
      <w:t xml:space="preserve">+44 (0)20 7925 3570 </w:t>
    </w:r>
    <w:r w:rsidRPr="00D3350C">
      <w:rPr>
        <w:rFonts w:ascii="FuturaPT-Book" w:eastAsia="FuturaPT-Light" w:hAnsi="FuturaPT-Light" w:cs="FuturaPT-Light"/>
        <w:color w:val="06926B"/>
        <w:sz w:val="16"/>
        <w:szCs w:val="16"/>
        <w:lang w:val="en-US"/>
      </w:rPr>
      <w:t xml:space="preserve">Email: </w:t>
    </w:r>
    <w:hyperlink r:id="rId1" w:history="1">
      <w:r w:rsidRPr="00D3350C">
        <w:rPr>
          <w:rFonts w:ascii="FuturaPT-Light" w:eastAsia="FuturaPT-Light" w:hAnsi="FuturaPT-Light" w:cs="FuturaPT-Light"/>
          <w:color w:val="06926B"/>
          <w:sz w:val="16"/>
          <w:szCs w:val="16"/>
          <w:lang w:val="en-US"/>
        </w:rPr>
        <w:t>info@r-e-a.net</w:t>
      </w:r>
    </w:hyperlink>
    <w:r w:rsidRPr="00D3350C">
      <w:rPr>
        <w:rFonts w:ascii="FuturaPT-Light" w:eastAsia="FuturaPT-Light" w:hAnsi="FuturaPT-Light" w:cs="FuturaPT-Light"/>
        <w:color w:val="06926B"/>
        <w:sz w:val="16"/>
        <w:szCs w:val="16"/>
        <w:lang w:val="en-US"/>
      </w:rPr>
      <w:t xml:space="preserve"> </w:t>
    </w:r>
    <w:r w:rsidRPr="00D3350C">
      <w:rPr>
        <w:rFonts w:ascii="FuturaPT-Book" w:eastAsia="FuturaPT-Light" w:hAnsi="FuturaPT-Light" w:cs="FuturaPT-Light"/>
        <w:color w:val="06926B"/>
        <w:sz w:val="16"/>
        <w:szCs w:val="16"/>
        <w:lang w:val="en-US"/>
      </w:rPr>
      <w:t xml:space="preserve">Web: </w:t>
    </w:r>
    <w:hyperlink r:id="rId2" w:history="1">
      <w:r w:rsidRPr="00D3350C">
        <w:rPr>
          <w:rFonts w:ascii="FuturaPT-Light" w:eastAsia="FuturaPT-Light" w:hAnsi="FuturaPT-Light" w:cs="FuturaPT-Light"/>
          <w:color w:val="06926B"/>
          <w:sz w:val="16"/>
          <w:szCs w:val="16"/>
          <w:lang w:val="en-US"/>
        </w:rPr>
        <w:t>www.r-e-a.net</w:t>
      </w:r>
    </w:hyperlink>
  </w:p>
  <w:p w14:paraId="7849592F" w14:textId="77777777" w:rsidR="00824F4D" w:rsidRPr="00D3350C" w:rsidRDefault="00824F4D" w:rsidP="00EA2285">
    <w:pPr>
      <w:widowControl w:val="0"/>
      <w:tabs>
        <w:tab w:val="left" w:pos="8364"/>
        <w:tab w:val="left" w:pos="8505"/>
      </w:tabs>
      <w:autoSpaceDE w:val="0"/>
      <w:autoSpaceDN w:val="0"/>
      <w:spacing w:before="64"/>
      <w:ind w:right="379" w:hanging="298"/>
      <w:jc w:val="center"/>
      <w:rPr>
        <w:rFonts w:ascii="FuturaPT-Light" w:eastAsia="FuturaPT-Light" w:hAnsi="FuturaPT-Light" w:cs="FuturaPT-Light"/>
        <w:sz w:val="16"/>
        <w:szCs w:val="16"/>
        <w:lang w:val="en-US"/>
      </w:rPr>
    </w:pPr>
    <w:r w:rsidRPr="00D3350C">
      <w:rPr>
        <w:rFonts w:ascii="FuturaPT-Light" w:eastAsia="FuturaPT-Light" w:hAnsi="FuturaPT-Light" w:cs="FuturaPT-Light"/>
        <w:color w:val="06926B"/>
        <w:sz w:val="16"/>
        <w:szCs w:val="16"/>
        <w:lang w:val="en-US"/>
      </w:rPr>
      <w:t>Company no: 04241430 Registered in England and Wales</w:t>
    </w:r>
  </w:p>
  <w:p w14:paraId="30EF6227" w14:textId="77777777" w:rsidR="00824F4D" w:rsidRDefault="00824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999E6" w14:textId="77777777" w:rsidR="00824F4D" w:rsidRDefault="00824F4D" w:rsidP="00926C15">
      <w:r>
        <w:separator/>
      </w:r>
    </w:p>
  </w:footnote>
  <w:footnote w:type="continuationSeparator" w:id="0">
    <w:p w14:paraId="037FEB08" w14:textId="77777777" w:rsidR="00824F4D" w:rsidRDefault="00824F4D" w:rsidP="00926C15">
      <w:r>
        <w:continuationSeparator/>
      </w:r>
    </w:p>
  </w:footnote>
  <w:footnote w:type="continuationNotice" w:id="1">
    <w:p w14:paraId="054E85DD" w14:textId="77777777" w:rsidR="00824F4D" w:rsidRDefault="00824F4D"/>
  </w:footnote>
  <w:footnote w:id="2">
    <w:p w14:paraId="0232980B" w14:textId="77777777" w:rsidR="00824F4D" w:rsidRPr="00076C82" w:rsidRDefault="00824F4D" w:rsidP="00971EF8">
      <w:pPr>
        <w:pStyle w:val="FootnoteText"/>
        <w:rPr>
          <w:rFonts w:ascii="Open Sans" w:hAnsi="Open Sans" w:cs="Open Sans"/>
          <w:sz w:val="18"/>
          <w:szCs w:val="18"/>
        </w:rPr>
      </w:pPr>
      <w:r w:rsidRPr="00076C82">
        <w:rPr>
          <w:rStyle w:val="FootnoteReference"/>
          <w:rFonts w:ascii="Open Sans" w:hAnsi="Open Sans" w:cs="Open Sans"/>
          <w:sz w:val="18"/>
          <w:szCs w:val="18"/>
        </w:rPr>
        <w:footnoteRef/>
      </w:r>
      <w:r w:rsidRPr="00076C82">
        <w:rPr>
          <w:rFonts w:ascii="Open Sans" w:hAnsi="Open Sans" w:cs="Open Sans"/>
          <w:sz w:val="18"/>
          <w:szCs w:val="18"/>
        </w:rPr>
        <w:t xml:space="preserve"> REA (2020)</w:t>
      </w:r>
      <w:r>
        <w:rPr>
          <w:rFonts w:ascii="Open Sans" w:hAnsi="Open Sans" w:cs="Open Sans"/>
          <w:sz w:val="18"/>
          <w:szCs w:val="18"/>
        </w:rPr>
        <w:t xml:space="preserve"> </w:t>
      </w:r>
      <w:r w:rsidRPr="00076C82">
        <w:rPr>
          <w:rFonts w:ascii="Open Sans" w:hAnsi="Open Sans" w:cs="Open Sans"/>
          <w:i/>
          <w:iCs/>
          <w:sz w:val="18"/>
          <w:szCs w:val="18"/>
        </w:rPr>
        <w:t>REview 2020</w:t>
      </w:r>
      <w:r w:rsidRPr="00076C82">
        <w:rPr>
          <w:rFonts w:ascii="Open Sans" w:hAnsi="Open Sans" w:cs="Open Sans"/>
          <w:sz w:val="18"/>
          <w:szCs w:val="18"/>
        </w:rPr>
        <w:t xml:space="preserve">  </w:t>
      </w:r>
      <w:hyperlink r:id="rId1" w:history="1">
        <w:r w:rsidRPr="00076C82">
          <w:rPr>
            <w:rStyle w:val="Hyperlink"/>
            <w:rFonts w:ascii="Open Sans" w:hAnsi="Open Sans" w:cs="Open Sans"/>
            <w:sz w:val="18"/>
            <w:szCs w:val="18"/>
          </w:rPr>
          <w:t>https://www.r-e-a.net/resources/review-2020/</w:t>
        </w:r>
      </w:hyperlink>
      <w:r w:rsidRPr="00076C82">
        <w:rPr>
          <w:rFonts w:ascii="Open Sans" w:hAnsi="Open Sans" w:cs="Open Sans"/>
          <w:sz w:val="18"/>
          <w:szCs w:val="18"/>
        </w:rPr>
        <w:t xml:space="preserve"> </w:t>
      </w:r>
    </w:p>
  </w:footnote>
  <w:footnote w:id="3">
    <w:p w14:paraId="7F138177" w14:textId="77777777" w:rsidR="00824F4D" w:rsidRPr="00DA1D79" w:rsidRDefault="00824F4D" w:rsidP="00C85944">
      <w:pPr>
        <w:pStyle w:val="NormalWeb"/>
        <w:spacing w:before="0" w:beforeAutospacing="0" w:after="0" w:afterAutospacing="0"/>
        <w:textAlignment w:val="top"/>
        <w:rPr>
          <w:rFonts w:ascii="Open Sans" w:hAnsi="Open Sans" w:cs="Open Sans"/>
          <w:sz w:val="22"/>
          <w:szCs w:val="22"/>
        </w:rPr>
      </w:pPr>
      <w:r>
        <w:rPr>
          <w:rStyle w:val="FootnoteReference"/>
        </w:rPr>
        <w:footnoteRef/>
      </w:r>
      <w:r>
        <w:t xml:space="preserve"> </w:t>
      </w:r>
      <w:r w:rsidRPr="00DA1D79">
        <w:rPr>
          <w:rFonts w:ascii="Open Sans" w:hAnsi="Open Sans" w:cs="Open Sans"/>
          <w:sz w:val="18"/>
          <w:szCs w:val="18"/>
        </w:rPr>
        <w:t xml:space="preserve">The so called </w:t>
      </w:r>
      <w:r w:rsidRPr="00DA1D79">
        <w:rPr>
          <w:rFonts w:ascii="Open Sans" w:hAnsi="Open Sans" w:cs="Open Sans"/>
          <w:i/>
          <w:sz w:val="18"/>
          <w:szCs w:val="18"/>
        </w:rPr>
        <w:t>Biogasdonerigh</w:t>
      </w:r>
      <w:r w:rsidRPr="00DA1D79">
        <w:rPr>
          <w:rFonts w:ascii="Open Sans" w:hAnsi="Open Sans" w:cs="Open Sans"/>
          <w:sz w:val="18"/>
          <w:szCs w:val="18"/>
        </w:rPr>
        <w:t>t® model. Food and feed production are not displaced when producers adopt sequential cropping, therefore this practice should be recognis</w:t>
      </w:r>
      <w:r>
        <w:rPr>
          <w:rFonts w:ascii="Open Sans" w:hAnsi="Open Sans" w:cs="Open Sans"/>
          <w:sz w:val="18"/>
          <w:szCs w:val="18"/>
        </w:rPr>
        <w:t>ed</w:t>
      </w:r>
      <w:r w:rsidRPr="00DA1D79">
        <w:rPr>
          <w:rFonts w:ascii="Open Sans" w:hAnsi="Open Sans" w:cs="Open Sans"/>
          <w:sz w:val="18"/>
          <w:szCs w:val="18"/>
        </w:rPr>
        <w:t xml:space="preserve"> as low ILUC risk potential.</w:t>
      </w:r>
      <w:r>
        <w:rPr>
          <w:rFonts w:ascii="Open Sans" w:hAnsi="Open Sans" w:cs="Open Sans"/>
          <w:sz w:val="18"/>
          <w:szCs w:val="18"/>
        </w:rPr>
        <w:t xml:space="preserve"> </w:t>
      </w:r>
      <w:r w:rsidRPr="008A582A">
        <w:rPr>
          <w:rFonts w:ascii="Open Sans" w:hAnsi="Open Sans" w:cs="Open Sans"/>
          <w:sz w:val="18"/>
          <w:szCs w:val="18"/>
        </w:rPr>
        <w:t>More research need</w:t>
      </w:r>
      <w:r>
        <w:rPr>
          <w:rFonts w:ascii="Open Sans" w:hAnsi="Open Sans" w:cs="Open Sans"/>
          <w:sz w:val="18"/>
          <w:szCs w:val="18"/>
        </w:rPr>
        <w:t xml:space="preserve">s </w:t>
      </w:r>
      <w:r w:rsidRPr="008A582A">
        <w:rPr>
          <w:rFonts w:ascii="Open Sans" w:hAnsi="Open Sans" w:cs="Open Sans"/>
          <w:sz w:val="18"/>
          <w:szCs w:val="18"/>
        </w:rPr>
        <w:t>to be carried out in the UK to understand whether double cropping is possible and could be adopted in the UK given the different climate</w:t>
      </w:r>
      <w:r>
        <w:rPr>
          <w:rFonts w:ascii="Open Sans" w:hAnsi="Open Sans" w:cs="Open Sans"/>
          <w:sz w:val="18"/>
          <w:szCs w:val="18"/>
        </w:rPr>
        <w:t xml:space="preserve">. Further information </w:t>
      </w:r>
      <w:hyperlink r:id="rId2" w:history="1">
        <w:r w:rsidRPr="00B54F0A">
          <w:rPr>
            <w:rStyle w:val="Hyperlink"/>
            <w:rFonts w:ascii="Open Sans" w:hAnsi="Open Sans" w:cs="Open Sans"/>
            <w:sz w:val="18"/>
            <w:szCs w:val="18"/>
          </w:rPr>
          <w:t>here</w:t>
        </w:r>
      </w:hyperlink>
      <w:r>
        <w:rPr>
          <w:rFonts w:ascii="Open Sans" w:hAnsi="Open Sans" w:cs="Open Sans"/>
          <w:sz w:val="18"/>
          <w:szCs w:val="18"/>
        </w:rPr>
        <w:t xml:space="preserve"> and </w:t>
      </w:r>
      <w:hyperlink r:id="rId3" w:history="1">
        <w:r w:rsidRPr="00B54F0A">
          <w:rPr>
            <w:rStyle w:val="Hyperlink"/>
            <w:rFonts w:ascii="Open Sans" w:hAnsi="Open Sans" w:cs="Open Sans"/>
            <w:sz w:val="18"/>
            <w:szCs w:val="18"/>
          </w:rPr>
          <w:t>here</w:t>
        </w:r>
      </w:hyperlink>
      <w:r>
        <w:rPr>
          <w:rFonts w:ascii="Open Sans" w:hAnsi="Open Sans" w:cs="Open Sans"/>
          <w:sz w:val="18"/>
          <w:szCs w:val="18"/>
        </w:rPr>
        <w:t xml:space="preserve">. </w:t>
      </w:r>
    </w:p>
    <w:p w14:paraId="2A5AA625" w14:textId="77777777" w:rsidR="00824F4D" w:rsidRDefault="00824F4D" w:rsidP="00C85944">
      <w:pPr>
        <w:spacing w:before="120" w:after="120"/>
        <w:rPr>
          <w:rFonts w:cs="Open Sans"/>
          <w:lang w:eastAsia="en-GB"/>
        </w:rPr>
      </w:pPr>
    </w:p>
    <w:p w14:paraId="72A4B347" w14:textId="77777777" w:rsidR="00824F4D" w:rsidRDefault="00824F4D" w:rsidP="00C85944">
      <w:pPr>
        <w:pStyle w:val="FootnoteText"/>
      </w:pPr>
    </w:p>
  </w:footnote>
  <w:footnote w:id="4">
    <w:p w14:paraId="522E417B" w14:textId="77777777" w:rsidR="00824F4D" w:rsidRDefault="00824F4D" w:rsidP="00C85944">
      <w:pPr>
        <w:pStyle w:val="FootnoteText"/>
      </w:pPr>
      <w:r>
        <w:rPr>
          <w:rStyle w:val="FootnoteReference"/>
        </w:rPr>
        <w:footnoteRef/>
      </w:r>
      <w:r>
        <w:t xml:space="preserve"> </w:t>
      </w:r>
      <w:r w:rsidRPr="00ED11CA">
        <w:rPr>
          <w:rFonts w:ascii="Open Sans" w:hAnsi="Open Sans" w:cs="Open Sans"/>
        </w:rPr>
        <w:t>The reference document adopted by the European Commission setting out best available techniques (BAT) for the waste treatment sector</w:t>
      </w:r>
    </w:p>
  </w:footnote>
  <w:footnote w:id="5">
    <w:p w14:paraId="473189F5" w14:textId="77777777" w:rsidR="00824F4D" w:rsidRPr="00234122" w:rsidRDefault="00824F4D" w:rsidP="001254C5">
      <w:pPr>
        <w:jc w:val="left"/>
        <w:rPr>
          <w:rFonts w:ascii="Open Sans" w:hAnsi="Open Sans" w:cs="Open Sans"/>
          <w:sz w:val="18"/>
          <w:szCs w:val="18"/>
        </w:rPr>
      </w:pPr>
      <w:r>
        <w:rPr>
          <w:rStyle w:val="FootnoteReference"/>
        </w:rPr>
        <w:footnoteRef/>
      </w:r>
      <w:r>
        <w:t xml:space="preserve"> </w:t>
      </w:r>
      <w:hyperlink r:id="rId4" w:history="1">
        <w:r w:rsidRPr="00234122">
          <w:rPr>
            <w:rStyle w:val="Hyperlink"/>
            <w:rFonts w:ascii="Open Sans" w:hAnsi="Open Sans" w:cs="Open Sans"/>
            <w:sz w:val="18"/>
            <w:szCs w:val="18"/>
          </w:rPr>
          <w:t>http://apha.defra.gov.uk/documents/surveillance/diseases/lddg-pop-report-pig2019.pdf</w:t>
        </w:r>
      </w:hyperlink>
    </w:p>
    <w:p w14:paraId="52864C8D" w14:textId="77777777" w:rsidR="00824F4D" w:rsidRPr="00234122" w:rsidRDefault="00824F4D" w:rsidP="001254C5">
      <w:pPr>
        <w:jc w:val="left"/>
        <w:rPr>
          <w:rFonts w:ascii="Open Sans" w:hAnsi="Open Sans" w:cs="Open Sans"/>
          <w:sz w:val="18"/>
          <w:szCs w:val="18"/>
        </w:rPr>
      </w:pPr>
      <w:hyperlink r:id="rId5" w:history="1">
        <w:r w:rsidRPr="00234122">
          <w:rPr>
            <w:rStyle w:val="Hyperlink"/>
            <w:rFonts w:ascii="Open Sans" w:hAnsi="Open Sans" w:cs="Open Sans"/>
            <w:sz w:val="18"/>
            <w:szCs w:val="18"/>
          </w:rPr>
          <w:t>http://apha.defra.gov.uk/documents/surveillance/diseases/lddg-pop-report-avian2019.pdf</w:t>
        </w:r>
      </w:hyperlink>
    </w:p>
    <w:p w14:paraId="0533A12E" w14:textId="77777777" w:rsidR="00824F4D" w:rsidRPr="00234122" w:rsidRDefault="00824F4D" w:rsidP="001254C5">
      <w:pPr>
        <w:jc w:val="left"/>
        <w:rPr>
          <w:rFonts w:ascii="Open Sans" w:hAnsi="Open Sans" w:cs="Open Sans"/>
          <w:sz w:val="18"/>
          <w:szCs w:val="18"/>
        </w:rPr>
      </w:pPr>
      <w:hyperlink r:id="rId6" w:history="1">
        <w:r w:rsidRPr="00234122">
          <w:rPr>
            <w:rStyle w:val="Hyperlink"/>
            <w:rFonts w:ascii="Open Sans" w:hAnsi="Open Sans" w:cs="Open Sans"/>
            <w:sz w:val="18"/>
            <w:szCs w:val="18"/>
          </w:rPr>
          <w:t>http://apha.defra.gov.uk/documents/surveillance/diseases/lddg-pop-report-cattle-1118.pdf</w:t>
        </w:r>
      </w:hyperlink>
    </w:p>
    <w:p w14:paraId="28BB2107" w14:textId="77777777" w:rsidR="00824F4D" w:rsidRDefault="00824F4D" w:rsidP="001254C5">
      <w:pPr>
        <w:pStyle w:val="FootnoteText"/>
      </w:pPr>
    </w:p>
  </w:footnote>
  <w:footnote w:id="6">
    <w:p w14:paraId="2DEECFAD" w14:textId="77777777" w:rsidR="00824F4D" w:rsidRPr="00921230" w:rsidRDefault="00824F4D" w:rsidP="001254C5">
      <w:pPr>
        <w:tabs>
          <w:tab w:val="left" w:pos="0"/>
        </w:tabs>
        <w:ind w:right="1162"/>
        <w:rPr>
          <w:rFonts w:ascii="Open Sans" w:hAnsi="Open Sans" w:cs="Open Sans"/>
          <w:i/>
          <w:sz w:val="18"/>
          <w:szCs w:val="18"/>
        </w:rPr>
      </w:pPr>
      <w:r w:rsidRPr="00921230">
        <w:rPr>
          <w:rFonts w:ascii="Open Sans" w:hAnsi="Open Sans" w:cs="Open Sans"/>
          <w:i/>
          <w:sz w:val="18"/>
          <w:szCs w:val="18"/>
        </w:rPr>
        <w:t>“relevant crops” means starch-rich crops, sugars, oil crops and main crops, where “starch-rich crops” include -</w:t>
      </w:r>
    </w:p>
    <w:p w14:paraId="3DA1FA49" w14:textId="77777777" w:rsidR="00824F4D" w:rsidRPr="00921230" w:rsidRDefault="00824F4D" w:rsidP="001254C5">
      <w:pPr>
        <w:pStyle w:val="ListParagraph"/>
        <w:widowControl w:val="0"/>
        <w:numPr>
          <w:ilvl w:val="0"/>
          <w:numId w:val="22"/>
        </w:numPr>
        <w:tabs>
          <w:tab w:val="left" w:pos="0"/>
          <w:tab w:val="left" w:pos="426"/>
        </w:tabs>
        <w:autoSpaceDE w:val="0"/>
        <w:autoSpaceDN w:val="0"/>
        <w:ind w:left="0" w:firstLine="0"/>
        <w:contextualSpacing w:val="0"/>
        <w:rPr>
          <w:rFonts w:ascii="Open Sans" w:hAnsi="Open Sans" w:cs="Open Sans"/>
          <w:i/>
          <w:sz w:val="18"/>
          <w:szCs w:val="18"/>
        </w:rPr>
      </w:pPr>
      <w:r w:rsidRPr="00921230">
        <w:rPr>
          <w:rFonts w:ascii="Open Sans" w:hAnsi="Open Sans" w:cs="Open Sans"/>
          <w:i/>
          <w:sz w:val="18"/>
          <w:szCs w:val="18"/>
        </w:rPr>
        <w:t>cereals (regardless of whether only the grains are used or the whole</w:t>
      </w:r>
      <w:r w:rsidRPr="00921230">
        <w:rPr>
          <w:rFonts w:ascii="Open Sans" w:hAnsi="Open Sans" w:cs="Open Sans"/>
          <w:i/>
          <w:spacing w:val="-18"/>
          <w:sz w:val="18"/>
          <w:szCs w:val="18"/>
        </w:rPr>
        <w:t xml:space="preserve"> </w:t>
      </w:r>
      <w:r w:rsidRPr="00921230">
        <w:rPr>
          <w:rFonts w:ascii="Open Sans" w:hAnsi="Open Sans" w:cs="Open Sans"/>
          <w:i/>
          <w:sz w:val="18"/>
          <w:szCs w:val="18"/>
        </w:rPr>
        <w:t>plant);</w:t>
      </w:r>
    </w:p>
    <w:p w14:paraId="0A0BA594" w14:textId="77777777" w:rsidR="00824F4D" w:rsidRPr="00921230" w:rsidRDefault="00824F4D" w:rsidP="001254C5">
      <w:pPr>
        <w:pStyle w:val="ListParagraph"/>
        <w:widowControl w:val="0"/>
        <w:numPr>
          <w:ilvl w:val="0"/>
          <w:numId w:val="22"/>
        </w:numPr>
        <w:tabs>
          <w:tab w:val="left" w:pos="0"/>
          <w:tab w:val="left" w:pos="426"/>
        </w:tabs>
        <w:autoSpaceDE w:val="0"/>
        <w:autoSpaceDN w:val="0"/>
        <w:ind w:left="0" w:right="1811" w:firstLine="0"/>
        <w:contextualSpacing w:val="0"/>
        <w:rPr>
          <w:rFonts w:ascii="Open Sans" w:hAnsi="Open Sans" w:cs="Open Sans"/>
          <w:i/>
          <w:sz w:val="18"/>
          <w:szCs w:val="18"/>
        </w:rPr>
      </w:pPr>
      <w:r w:rsidRPr="00921230">
        <w:rPr>
          <w:rFonts w:ascii="Open Sans" w:hAnsi="Open Sans" w:cs="Open Sans"/>
          <w:i/>
          <w:sz w:val="18"/>
          <w:szCs w:val="18"/>
        </w:rPr>
        <w:t>tubers and root crops, including potatoes, Jerusalem artichokes, sweet potatoes, cassava and yams;</w:t>
      </w:r>
      <w:r w:rsidRPr="00921230">
        <w:rPr>
          <w:rFonts w:ascii="Open Sans" w:hAnsi="Open Sans" w:cs="Open Sans"/>
          <w:i/>
          <w:spacing w:val="1"/>
          <w:sz w:val="18"/>
          <w:szCs w:val="18"/>
        </w:rPr>
        <w:t xml:space="preserve"> </w:t>
      </w:r>
      <w:r w:rsidRPr="00921230">
        <w:rPr>
          <w:rFonts w:ascii="Open Sans" w:hAnsi="Open Sans" w:cs="Open Sans"/>
          <w:i/>
          <w:sz w:val="18"/>
          <w:szCs w:val="18"/>
        </w:rPr>
        <w:t>and</w:t>
      </w:r>
    </w:p>
    <w:p w14:paraId="7BDBD72F" w14:textId="77777777" w:rsidR="00824F4D" w:rsidRPr="00921230" w:rsidRDefault="00824F4D" w:rsidP="001254C5">
      <w:pPr>
        <w:pStyle w:val="ListParagraph"/>
        <w:widowControl w:val="0"/>
        <w:numPr>
          <w:ilvl w:val="0"/>
          <w:numId w:val="22"/>
        </w:numPr>
        <w:tabs>
          <w:tab w:val="left" w:pos="0"/>
          <w:tab w:val="left" w:pos="426"/>
        </w:tabs>
        <w:autoSpaceDE w:val="0"/>
        <w:autoSpaceDN w:val="0"/>
        <w:ind w:left="0" w:firstLine="0"/>
        <w:contextualSpacing w:val="0"/>
        <w:rPr>
          <w:rFonts w:ascii="Open Sans" w:hAnsi="Open Sans" w:cs="Open Sans"/>
          <w:i/>
          <w:sz w:val="18"/>
          <w:szCs w:val="18"/>
        </w:rPr>
      </w:pPr>
      <w:r w:rsidRPr="00921230">
        <w:rPr>
          <w:rFonts w:ascii="Open Sans" w:hAnsi="Open Sans" w:cs="Open Sans"/>
          <w:i/>
          <w:sz w:val="18"/>
          <w:szCs w:val="18"/>
        </w:rPr>
        <w:t>corm crops, including taro and</w:t>
      </w:r>
      <w:r w:rsidRPr="00921230">
        <w:rPr>
          <w:rFonts w:ascii="Open Sans" w:hAnsi="Open Sans" w:cs="Open Sans"/>
          <w:i/>
          <w:spacing w:val="-3"/>
          <w:sz w:val="18"/>
          <w:szCs w:val="18"/>
        </w:rPr>
        <w:t xml:space="preserve"> </w:t>
      </w:r>
      <w:r w:rsidRPr="00921230">
        <w:rPr>
          <w:rFonts w:ascii="Open Sans" w:hAnsi="Open Sans" w:cs="Open Sans"/>
          <w:i/>
          <w:sz w:val="18"/>
          <w:szCs w:val="18"/>
        </w:rPr>
        <w:t>cocoyam,</w:t>
      </w:r>
    </w:p>
    <w:p w14:paraId="3BDB1DA9" w14:textId="77777777" w:rsidR="00824F4D" w:rsidRPr="00921230" w:rsidRDefault="00824F4D" w:rsidP="001254C5">
      <w:pPr>
        <w:tabs>
          <w:tab w:val="left" w:pos="0"/>
        </w:tabs>
        <w:spacing w:before="119"/>
        <w:rPr>
          <w:rFonts w:ascii="Open Sans" w:hAnsi="Open Sans" w:cs="Open Sans"/>
          <w:i/>
          <w:sz w:val="18"/>
          <w:szCs w:val="18"/>
        </w:rPr>
      </w:pPr>
      <w:r w:rsidRPr="00921230">
        <w:rPr>
          <w:rFonts w:ascii="Open Sans" w:hAnsi="Open Sans" w:cs="Open Sans"/>
          <w:i/>
          <w:sz w:val="18"/>
          <w:szCs w:val="18"/>
        </w:rPr>
        <w:t>but feedstocks listed in Annex IX of the directive are not relevant crops;</w:t>
      </w:r>
    </w:p>
    <w:p w14:paraId="600DB256" w14:textId="77777777" w:rsidR="00824F4D" w:rsidRDefault="00824F4D" w:rsidP="001254C5">
      <w:pPr>
        <w:pStyle w:val="FootnoteText"/>
      </w:pPr>
    </w:p>
  </w:footnote>
  <w:footnote w:id="7">
    <w:p w14:paraId="69FF9092" w14:textId="77777777" w:rsidR="00824F4D" w:rsidRPr="00076C82" w:rsidRDefault="00824F4D">
      <w:pPr>
        <w:pStyle w:val="FootnoteText"/>
        <w:rPr>
          <w:rFonts w:ascii="Open Sans" w:hAnsi="Open Sans" w:cs="Open Sans"/>
          <w:sz w:val="18"/>
          <w:szCs w:val="18"/>
        </w:rPr>
      </w:pPr>
      <w:r w:rsidRPr="00076C82">
        <w:rPr>
          <w:rStyle w:val="FootnoteReference"/>
          <w:rFonts w:ascii="Open Sans" w:hAnsi="Open Sans" w:cs="Open Sans"/>
          <w:sz w:val="18"/>
          <w:szCs w:val="18"/>
        </w:rPr>
        <w:footnoteRef/>
      </w:r>
      <w:r w:rsidRPr="00076C82">
        <w:rPr>
          <w:rFonts w:ascii="Open Sans" w:hAnsi="Open Sans" w:cs="Open Sans"/>
          <w:sz w:val="18"/>
          <w:szCs w:val="18"/>
        </w:rPr>
        <w:t xml:space="preserve"> REA Analysis based on FoI RHI Data as of May 2018. Given very low deployment rates since 2018, 12% is expected to be a reliable estimate. </w:t>
      </w:r>
    </w:p>
  </w:footnote>
  <w:footnote w:id="8">
    <w:p w14:paraId="0C5A2230" w14:textId="77777777" w:rsidR="00824F4D" w:rsidRDefault="00824F4D">
      <w:pPr>
        <w:pStyle w:val="FootnoteText"/>
      </w:pPr>
      <w:r w:rsidRPr="00076C82">
        <w:rPr>
          <w:rStyle w:val="FootnoteReference"/>
          <w:rFonts w:ascii="Open Sans" w:hAnsi="Open Sans" w:cs="Open Sans"/>
          <w:sz w:val="18"/>
          <w:szCs w:val="18"/>
        </w:rPr>
        <w:footnoteRef/>
      </w:r>
      <w:r w:rsidRPr="00076C82">
        <w:rPr>
          <w:rFonts w:ascii="Open Sans" w:hAnsi="Open Sans" w:cs="Open Sans"/>
          <w:sz w:val="18"/>
          <w:szCs w:val="18"/>
        </w:rPr>
        <w:t xml:space="preserve"> BEIS RHI Monthly Deployment Data as of March 2020.</w:t>
      </w:r>
      <w:r>
        <w:t xml:space="preserve"> </w:t>
      </w:r>
    </w:p>
  </w:footnote>
  <w:footnote w:id="9">
    <w:p w14:paraId="78DE3A31" w14:textId="77777777" w:rsidR="00824F4D" w:rsidRPr="00CE51FA" w:rsidRDefault="00824F4D" w:rsidP="005443AB">
      <w:pPr>
        <w:pStyle w:val="FootnoteText"/>
        <w:rPr>
          <w:rFonts w:ascii="Open Sans" w:hAnsi="Open Sans" w:cs="Open Sans"/>
          <w:sz w:val="18"/>
          <w:szCs w:val="18"/>
        </w:rPr>
      </w:pPr>
      <w:r w:rsidRPr="00CE51FA">
        <w:rPr>
          <w:rStyle w:val="FootnoteReference"/>
          <w:rFonts w:ascii="Open Sans" w:hAnsi="Open Sans" w:cs="Open Sans"/>
          <w:sz w:val="18"/>
          <w:szCs w:val="18"/>
        </w:rPr>
        <w:footnoteRef/>
      </w:r>
      <w:r w:rsidRPr="00CE51FA">
        <w:rPr>
          <w:rFonts w:ascii="Open Sans" w:hAnsi="Open Sans" w:cs="Open Sans"/>
          <w:sz w:val="18"/>
          <w:szCs w:val="18"/>
        </w:rPr>
        <w:t xml:space="preserve"> REA (2019) </w:t>
      </w:r>
      <w:r w:rsidRPr="00CE51FA">
        <w:rPr>
          <w:rFonts w:ascii="Open Sans" w:hAnsi="Open Sans" w:cs="Open Sans"/>
          <w:i/>
          <w:iCs/>
          <w:sz w:val="18"/>
          <w:szCs w:val="18"/>
        </w:rPr>
        <w:t>REA Bioenergy Strategy Phase 2: A Vision to 2032 and Beyond</w:t>
      </w:r>
      <w:r w:rsidRPr="00CE51FA">
        <w:rPr>
          <w:rFonts w:ascii="Open Sans" w:hAnsi="Open Sans" w:cs="Open Sans"/>
          <w:sz w:val="18"/>
          <w:szCs w:val="18"/>
        </w:rPr>
        <w:t xml:space="preserve">, </w:t>
      </w:r>
      <w:hyperlink r:id="rId7" w:history="1">
        <w:r w:rsidRPr="00CE51FA">
          <w:rPr>
            <w:rStyle w:val="Hyperlink"/>
            <w:rFonts w:ascii="Open Sans" w:hAnsi="Open Sans" w:cs="Open Sans"/>
            <w:sz w:val="18"/>
            <w:szCs w:val="18"/>
          </w:rPr>
          <w:t>https://www.bioenergy-strategy.com/publications</w:t>
        </w:r>
      </w:hyperlink>
      <w:r w:rsidRPr="00CE51FA">
        <w:rPr>
          <w:rFonts w:ascii="Open Sans" w:hAnsi="Open Sans" w:cs="Open Sans"/>
          <w:sz w:val="18"/>
          <w:szCs w:val="18"/>
        </w:rPr>
        <w:t xml:space="preserve"> </w:t>
      </w:r>
    </w:p>
  </w:footnote>
  <w:footnote w:id="10">
    <w:p w14:paraId="006B50D5" w14:textId="77777777" w:rsidR="00824F4D" w:rsidRPr="00CE51FA" w:rsidRDefault="00824F4D">
      <w:pPr>
        <w:pStyle w:val="FootnoteText"/>
        <w:rPr>
          <w:rFonts w:ascii="Open Sans" w:hAnsi="Open Sans" w:cs="Open Sans"/>
          <w:sz w:val="18"/>
          <w:szCs w:val="18"/>
        </w:rPr>
      </w:pPr>
      <w:r w:rsidRPr="00CE51FA">
        <w:rPr>
          <w:rStyle w:val="FootnoteReference"/>
          <w:rFonts w:ascii="Open Sans" w:hAnsi="Open Sans" w:cs="Open Sans"/>
          <w:sz w:val="18"/>
          <w:szCs w:val="18"/>
        </w:rPr>
        <w:footnoteRef/>
      </w:r>
      <w:r w:rsidRPr="00CE51FA">
        <w:rPr>
          <w:rFonts w:ascii="Open Sans" w:hAnsi="Open Sans" w:cs="Open Sans"/>
          <w:sz w:val="18"/>
          <w:szCs w:val="18"/>
        </w:rPr>
        <w:t xml:space="preserve"> BEIS RHI monthly deployment data: December 2019 (Annual edition)</w:t>
      </w:r>
    </w:p>
  </w:footnote>
  <w:footnote w:id="11">
    <w:p w14:paraId="7C7D1066" w14:textId="174A9EF0" w:rsidR="00824F4D" w:rsidRDefault="00824F4D">
      <w:pPr>
        <w:pStyle w:val="FootnoteText"/>
      </w:pPr>
      <w:r w:rsidRPr="00CE51FA">
        <w:rPr>
          <w:rStyle w:val="FootnoteReference"/>
          <w:rFonts w:ascii="Open Sans" w:hAnsi="Open Sans" w:cs="Open Sans"/>
          <w:sz w:val="18"/>
          <w:szCs w:val="18"/>
        </w:rPr>
        <w:footnoteRef/>
      </w:r>
      <w:r w:rsidRPr="00CE51FA">
        <w:rPr>
          <w:rFonts w:ascii="Open Sans" w:hAnsi="Open Sans" w:cs="Open Sans"/>
          <w:sz w:val="18"/>
          <w:szCs w:val="18"/>
        </w:rPr>
        <w:t xml:space="preserve"> Full study already Shared with BEIS – available again on request with permission to share analysis from In Perpetuum. Figures also used in Oftec (2019) </w:t>
      </w:r>
      <w:r w:rsidRPr="00CE51FA">
        <w:rPr>
          <w:rFonts w:ascii="Open Sans" w:hAnsi="Open Sans" w:cs="Open Sans"/>
          <w:i/>
          <w:iCs/>
          <w:sz w:val="18"/>
          <w:szCs w:val="18"/>
        </w:rPr>
        <w:t>A Strategy for Decarbonising Oil Heated Homes</w:t>
      </w:r>
      <w:r w:rsidRPr="00CE51FA">
        <w:rPr>
          <w:rFonts w:ascii="Open Sans" w:hAnsi="Open Sans" w:cs="Open Sans"/>
          <w:sz w:val="18"/>
          <w:szCs w:val="18"/>
        </w:rPr>
        <w:t xml:space="preserve"> </w:t>
      </w:r>
      <w:hyperlink r:id="rId8" w:history="1">
        <w:r w:rsidRPr="00CE51FA">
          <w:rPr>
            <w:rStyle w:val="Hyperlink"/>
            <w:rFonts w:ascii="Open Sans" w:hAnsi="Open Sans" w:cs="Open Sans"/>
            <w:sz w:val="18"/>
            <w:szCs w:val="18"/>
          </w:rPr>
          <w:t>https://www.oftec.org/docs/default-source/publications/pub115-oftec-industrial-strategy-for-decarbonising-oil-heated-homes.pdf?sfvrsn=71afe801_18</w:t>
        </w:r>
      </w:hyperlink>
      <w:r>
        <w:rPr>
          <w:rFonts w:ascii="Open Sans" w:hAnsi="Open Sans" w:cs="Open Sans"/>
          <w:szCs w:val="22"/>
        </w:rPr>
        <w:t xml:space="preserve"> </w:t>
      </w:r>
    </w:p>
  </w:footnote>
  <w:footnote w:id="12">
    <w:p w14:paraId="0B550345" w14:textId="77777777" w:rsidR="00824F4D" w:rsidRDefault="00824F4D" w:rsidP="00FF7ADA">
      <w:pPr>
        <w:pStyle w:val="FootnoteText"/>
      </w:pPr>
      <w:r>
        <w:rPr>
          <w:rStyle w:val="FootnoteReference"/>
        </w:rPr>
        <w:footnoteRef/>
      </w:r>
      <w:r>
        <w:t xml:space="preserve"> 468,000 based on Delta-EE number that 64% of properties could be electrified if ground source heat pumps are the preferred technology in a 1-in-20 peak winter scenario. 36% of 1.3mn off gas grid properties equals 468,000</w:t>
      </w:r>
    </w:p>
  </w:footnote>
  <w:footnote w:id="13">
    <w:p w14:paraId="14FAFDEF" w14:textId="46742612" w:rsidR="00824F4D" w:rsidRDefault="00824F4D">
      <w:pPr>
        <w:pStyle w:val="FootnoteText"/>
      </w:pPr>
      <w:r>
        <w:rPr>
          <w:rStyle w:val="FootnoteReference"/>
        </w:rPr>
        <w:footnoteRef/>
      </w:r>
      <w:r>
        <w:t xml:space="preserve"> The RHI has deployed 16,954 accredited biomass boilers in the ND RHI and 9,418 accredited biomass boilers in the domestic RHI, totalling 26,372 as of May 2020. </w:t>
      </w:r>
    </w:p>
  </w:footnote>
  <w:footnote w:id="14">
    <w:p w14:paraId="1B4AD548" w14:textId="77777777" w:rsidR="00824F4D" w:rsidRPr="00A305AF" w:rsidRDefault="00824F4D" w:rsidP="00A305AF">
      <w:pPr>
        <w:pStyle w:val="FootnoteText"/>
        <w:rPr>
          <w:rFonts w:ascii="Open Sans" w:hAnsi="Open Sans" w:cs="Open Sans"/>
          <w:sz w:val="18"/>
          <w:szCs w:val="18"/>
        </w:rPr>
      </w:pPr>
      <w:r w:rsidRPr="00A305AF">
        <w:rPr>
          <w:rStyle w:val="FootnoteReference"/>
          <w:rFonts w:ascii="Open Sans" w:hAnsi="Open Sans" w:cs="Open Sans"/>
          <w:sz w:val="18"/>
          <w:szCs w:val="18"/>
        </w:rPr>
        <w:footnoteRef/>
      </w:r>
      <w:r w:rsidRPr="00A305AF">
        <w:rPr>
          <w:rFonts w:ascii="Open Sans" w:hAnsi="Open Sans" w:cs="Open Sans"/>
          <w:sz w:val="18"/>
          <w:szCs w:val="18"/>
        </w:rPr>
        <w:t xml:space="preserve"> BEIS (2019) Annual Domestic Energy Bills, </w:t>
      </w:r>
      <w:hyperlink r:id="rId9" w:history="1">
        <w:r w:rsidRPr="00A305AF">
          <w:rPr>
            <w:rStyle w:val="Hyperlink"/>
            <w:rFonts w:ascii="Open Sans" w:hAnsi="Open Sans" w:cs="Open Sans"/>
            <w:sz w:val="18"/>
            <w:szCs w:val="18"/>
          </w:rPr>
          <w:t>https://www.gov.uk/government/statistical-data-sets/annual-domestic-energy-price-statistics</w:t>
        </w:r>
      </w:hyperlink>
      <w:r w:rsidRPr="00A305AF">
        <w:rPr>
          <w:rFonts w:ascii="Open Sans" w:hAnsi="Open Sans" w:cs="Open Sans"/>
          <w:sz w:val="18"/>
          <w:szCs w:val="18"/>
        </w:rPr>
        <w:t xml:space="preserve"> </w:t>
      </w:r>
    </w:p>
  </w:footnote>
  <w:footnote w:id="15">
    <w:p w14:paraId="60CDA7F0" w14:textId="71DCC8B8" w:rsidR="00824F4D" w:rsidRPr="00052441" w:rsidRDefault="00824F4D">
      <w:pPr>
        <w:pStyle w:val="FootnoteText"/>
        <w:rPr>
          <w:rFonts w:ascii="Open Sans" w:hAnsi="Open Sans" w:cs="Open Sans"/>
          <w:sz w:val="18"/>
          <w:szCs w:val="18"/>
        </w:rPr>
      </w:pPr>
      <w:r w:rsidRPr="00052441">
        <w:rPr>
          <w:rStyle w:val="FootnoteReference"/>
          <w:rFonts w:ascii="Open Sans" w:hAnsi="Open Sans" w:cs="Open Sans"/>
          <w:sz w:val="18"/>
          <w:szCs w:val="18"/>
        </w:rPr>
        <w:footnoteRef/>
      </w:r>
      <w:r w:rsidRPr="00052441">
        <w:rPr>
          <w:rFonts w:ascii="Open Sans" w:hAnsi="Open Sans" w:cs="Open Sans"/>
          <w:sz w:val="18"/>
          <w:szCs w:val="18"/>
        </w:rPr>
        <w:t xml:space="preserve"> For further details see: </w:t>
      </w:r>
      <w:hyperlink r:id="rId10" w:history="1">
        <w:r w:rsidRPr="004A6F35">
          <w:rPr>
            <w:rStyle w:val="Hyperlink"/>
            <w:rFonts w:ascii="Open Sans" w:hAnsi="Open Sans" w:cs="Open Sans"/>
            <w:sz w:val="18"/>
            <w:szCs w:val="18"/>
          </w:rPr>
          <w:t>https://energysavingtrust.org.uk/scotland/grants-loans/home-energy-scotland-loan-overview</w:t>
        </w:r>
      </w:hyperlink>
      <w:r>
        <w:rPr>
          <w:rFonts w:ascii="Open Sans" w:hAnsi="Open Sans" w:cs="Open Sans"/>
          <w:sz w:val="18"/>
          <w:szCs w:val="18"/>
        </w:rPr>
        <w:t xml:space="preserve"> </w:t>
      </w:r>
    </w:p>
  </w:footnote>
  <w:footnote w:id="16">
    <w:p w14:paraId="346BBF1B" w14:textId="1C7BDFD3" w:rsidR="00824F4D" w:rsidRDefault="00824F4D">
      <w:pPr>
        <w:pStyle w:val="FootnoteText"/>
      </w:pPr>
      <w:r w:rsidRPr="00052441">
        <w:rPr>
          <w:rStyle w:val="FootnoteReference"/>
          <w:rFonts w:ascii="Open Sans" w:hAnsi="Open Sans" w:cs="Open Sans"/>
          <w:sz w:val="18"/>
          <w:szCs w:val="18"/>
        </w:rPr>
        <w:footnoteRef/>
      </w:r>
      <w:r w:rsidRPr="00052441">
        <w:rPr>
          <w:rFonts w:ascii="Open Sans" w:hAnsi="Open Sans" w:cs="Open Sans"/>
          <w:sz w:val="18"/>
          <w:szCs w:val="18"/>
        </w:rPr>
        <w:t xml:space="preserve"> For further details see: </w:t>
      </w:r>
      <w:hyperlink r:id="rId11" w:history="1">
        <w:r w:rsidRPr="00052441">
          <w:rPr>
            <w:rStyle w:val="Hyperlink"/>
            <w:rFonts w:ascii="Open Sans" w:hAnsi="Open Sans" w:cs="Open Sans"/>
            <w:sz w:val="18"/>
            <w:szCs w:val="18"/>
          </w:rPr>
          <w:t>https://news.siemens.co.uk/news/the-carbon-trust-and-siemens-launch-new-green-finance-deal-worth-550-million-to-green-businesses-in-the-uk</w:t>
        </w:r>
      </w:hyperlink>
      <w:r>
        <w:t xml:space="preserve"> </w:t>
      </w:r>
    </w:p>
  </w:footnote>
  <w:footnote w:id="17">
    <w:p w14:paraId="20686F12" w14:textId="7B354627" w:rsidR="00824F4D" w:rsidRPr="00052441" w:rsidRDefault="00824F4D">
      <w:pPr>
        <w:pStyle w:val="FootnoteText"/>
        <w:rPr>
          <w:rFonts w:ascii="Open Sans" w:hAnsi="Open Sans" w:cs="Open Sans"/>
          <w:sz w:val="18"/>
          <w:szCs w:val="18"/>
        </w:rPr>
      </w:pPr>
      <w:r w:rsidRPr="00052441">
        <w:rPr>
          <w:rStyle w:val="FootnoteReference"/>
          <w:rFonts w:ascii="Open Sans" w:hAnsi="Open Sans" w:cs="Open Sans"/>
          <w:sz w:val="18"/>
          <w:szCs w:val="18"/>
        </w:rPr>
        <w:footnoteRef/>
      </w:r>
      <w:r w:rsidRPr="00052441">
        <w:rPr>
          <w:rFonts w:ascii="Open Sans" w:hAnsi="Open Sans" w:cs="Open Sans"/>
          <w:sz w:val="18"/>
          <w:szCs w:val="18"/>
        </w:rPr>
        <w:t xml:space="preserve"> NAO (2018) “Low carbon heating of homes and businesses and the Renewable Heat Incentive” </w:t>
      </w:r>
      <w:hyperlink r:id="rId12" w:history="1">
        <w:r w:rsidRPr="00052441">
          <w:rPr>
            <w:rStyle w:val="Hyperlink"/>
            <w:rFonts w:ascii="Open Sans" w:hAnsi="Open Sans" w:cs="Open Sans"/>
            <w:sz w:val="18"/>
            <w:szCs w:val="18"/>
          </w:rPr>
          <w:t>https://www.nao.org.uk/report/low-carbon-heating-of-homes-and-businesses-and-the-renewable-heat-incentive/</w:t>
        </w:r>
      </w:hyperlink>
      <w:r w:rsidRPr="00052441">
        <w:rPr>
          <w:rFonts w:ascii="Open Sans" w:hAnsi="Open Sans" w:cs="Open Sans"/>
          <w:sz w:val="18"/>
          <w:szCs w:val="18"/>
        </w:rPr>
        <w:t xml:space="preserve"> </w:t>
      </w:r>
    </w:p>
  </w:footnote>
  <w:footnote w:id="18">
    <w:p w14:paraId="56C46944" w14:textId="77777777" w:rsidR="00824F4D" w:rsidRPr="00076C82" w:rsidRDefault="00824F4D">
      <w:pPr>
        <w:pStyle w:val="FootnoteText"/>
        <w:rPr>
          <w:rFonts w:ascii="Open Sans" w:hAnsi="Open Sans" w:cs="Open Sans"/>
          <w:sz w:val="18"/>
          <w:szCs w:val="18"/>
        </w:rPr>
      </w:pPr>
      <w:r w:rsidRPr="00076C82">
        <w:rPr>
          <w:rStyle w:val="FootnoteReference"/>
          <w:rFonts w:ascii="Open Sans" w:hAnsi="Open Sans" w:cs="Open Sans"/>
          <w:sz w:val="18"/>
          <w:szCs w:val="18"/>
        </w:rPr>
        <w:footnoteRef/>
      </w:r>
      <w:r w:rsidRPr="00076C82">
        <w:rPr>
          <w:rFonts w:ascii="Open Sans" w:hAnsi="Open Sans" w:cs="Open Sans"/>
          <w:sz w:val="18"/>
          <w:szCs w:val="18"/>
        </w:rPr>
        <w:t xml:space="preserve"> WHA and REA response to BEIS RHI Consultation – Biomass Combustion in Urban Areas </w:t>
      </w:r>
      <w:hyperlink r:id="rId13" w:history="1">
        <w:r w:rsidRPr="00076C82">
          <w:rPr>
            <w:rStyle w:val="Hyperlink"/>
            <w:rFonts w:ascii="Open Sans" w:hAnsi="Open Sans" w:cs="Open Sans"/>
            <w:sz w:val="18"/>
            <w:szCs w:val="18"/>
          </w:rPr>
          <w:t>https://www.r-e-a.net/resources/beis-rhi-consultation-biomass-combustion-in-urban-areas/</w:t>
        </w:r>
      </w:hyperlink>
      <w:r w:rsidRPr="00076C82">
        <w:rPr>
          <w:rFonts w:ascii="Open Sans" w:hAnsi="Open Sans" w:cs="Open Sans"/>
          <w:sz w:val="18"/>
          <w:szCs w:val="18"/>
        </w:rPr>
        <w:t xml:space="preserve"> </w:t>
      </w:r>
    </w:p>
  </w:footnote>
  <w:footnote w:id="19">
    <w:p w14:paraId="5400B9CA" w14:textId="77777777" w:rsidR="00824F4D" w:rsidRPr="0065142C" w:rsidRDefault="00824F4D" w:rsidP="00E86DC5">
      <w:pPr>
        <w:pStyle w:val="FootnoteText"/>
        <w:rPr>
          <w:rFonts w:ascii="Arial" w:hAnsi="Arial" w:cs="Arial"/>
          <w:lang w:val="da-DK"/>
        </w:rPr>
      </w:pPr>
      <w:r w:rsidRPr="0065142C">
        <w:rPr>
          <w:rStyle w:val="FootnoteReference"/>
          <w:rFonts w:ascii="Arial" w:hAnsi="Arial" w:cs="Arial"/>
        </w:rPr>
        <w:footnoteRef/>
      </w:r>
      <w:r w:rsidRPr="0065142C">
        <w:rPr>
          <w:rFonts w:ascii="Arial" w:hAnsi="Arial" w:cs="Arial"/>
          <w:sz w:val="18"/>
          <w:lang w:val="da-DK"/>
        </w:rPr>
        <w:t xml:space="preserve"> Fuller et al. 2017, pg.</w:t>
      </w:r>
      <w:r w:rsidRPr="0065142C">
        <w:rPr>
          <w:rFonts w:ascii="Arial" w:hAnsi="Arial" w:cs="Arial"/>
          <w:sz w:val="18"/>
          <w:lang w:val="da-DK"/>
        </w:rPr>
        <w:tab/>
        <w:t xml:space="preserve">4 </w:t>
      </w:r>
      <w:hyperlink r:id="rId14" w:history="1">
        <w:r w:rsidRPr="0065142C">
          <w:rPr>
            <w:rStyle w:val="Hyperlink"/>
            <w:rFonts w:ascii="Arial" w:hAnsi="Arial" w:cs="Arial"/>
            <w:sz w:val="18"/>
            <w:lang w:val="da-DK"/>
          </w:rPr>
          <w:t>https://uk-air.defra.gov.uk/assets/documents/reports/cat05/1801301017_KCL_WoodBurningReport_2017_FINAL.pdf</w:t>
        </w:r>
      </w:hyperlink>
      <w:r w:rsidRPr="0065142C">
        <w:rPr>
          <w:rFonts w:ascii="Arial" w:hAnsi="Arial" w:cs="Arial"/>
          <w:lang w:val="da-DK"/>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D9CE1" w14:textId="77777777" w:rsidR="00824F4D" w:rsidRDefault="00824F4D" w:rsidP="005E2924">
    <w:pPr>
      <w:pStyle w:val="Header"/>
      <w:jc w:val="right"/>
    </w:pPr>
    <w:r>
      <w:rPr>
        <w:noProof/>
      </w:rPr>
      <w:drawing>
        <wp:anchor distT="0" distB="0" distL="114300" distR="114300" simplePos="0" relativeHeight="251658240" behindDoc="0" locked="0" layoutInCell="1" allowOverlap="1" wp14:anchorId="4F0A6A0E" wp14:editId="5D9381F6">
          <wp:simplePos x="0" y="0"/>
          <wp:positionH relativeFrom="margin">
            <wp:align>left</wp:align>
          </wp:positionH>
          <wp:positionV relativeFrom="paragraph">
            <wp:posOffset>-244524</wp:posOffset>
          </wp:positionV>
          <wp:extent cx="1158875" cy="704850"/>
          <wp:effectExtent l="0" t="0" r="3175" b="0"/>
          <wp:wrapSquare wrapText="bothSides"/>
          <wp:docPr id="6" name="Picture 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od Heat logo - FINAL small.jpg"/>
                  <pic:cNvPicPr/>
                </pic:nvPicPr>
                <pic:blipFill>
                  <a:blip r:embed="rId1">
                    <a:extLst>
                      <a:ext uri="{28A0092B-C50C-407E-A947-70E740481C1C}">
                        <a14:useLocalDpi xmlns:a14="http://schemas.microsoft.com/office/drawing/2010/main" val="0"/>
                      </a:ext>
                    </a:extLst>
                  </a:blip>
                  <a:srcRect b="14020"/>
                  <a:stretch>
                    <a:fillRect/>
                  </a:stretch>
                </pic:blipFill>
                <pic:spPr bwMode="auto">
                  <a:xfrm>
                    <a:off x="0" y="0"/>
                    <a:ext cx="1159710" cy="70499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EEDA343" wp14:editId="7D9D4CEE">
          <wp:simplePos x="0" y="0"/>
          <wp:positionH relativeFrom="margin">
            <wp:align>right</wp:align>
          </wp:positionH>
          <wp:positionV relativeFrom="paragraph">
            <wp:posOffset>-151032</wp:posOffset>
          </wp:positionV>
          <wp:extent cx="1242060" cy="646430"/>
          <wp:effectExtent l="0" t="0" r="0" b="0"/>
          <wp:wrapSquare wrapText="bothSides"/>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A_logo_rgb_HR_cropped sm.png"/>
                  <pic:cNvPicPr/>
                </pic:nvPicPr>
                <pic:blipFill>
                  <a:blip r:embed="rId2">
                    <a:extLst>
                      <a:ext uri="{28A0092B-C50C-407E-A947-70E740481C1C}">
                        <a14:useLocalDpi xmlns:a14="http://schemas.microsoft.com/office/drawing/2010/main" val="0"/>
                      </a:ext>
                    </a:extLst>
                  </a:blip>
                  <a:stretch>
                    <a:fillRect/>
                  </a:stretch>
                </pic:blipFill>
                <pic:spPr>
                  <a:xfrm>
                    <a:off x="0" y="0"/>
                    <a:ext cx="1242060" cy="6464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9EB39" w14:textId="343BCA12" w:rsidR="00824F4D" w:rsidRPr="00EA423D" w:rsidRDefault="00824F4D">
    <w:pPr>
      <w:pStyle w:val="Header"/>
      <w:rPr>
        <w:i/>
        <w:iCs/>
      </w:rPr>
    </w:pPr>
    <w:r w:rsidRPr="00EA423D">
      <w:rPr>
        <w:i/>
        <w:iCs/>
        <w:noProof/>
        <w:highlight w:val="yellow"/>
      </w:rPr>
      <w:drawing>
        <wp:anchor distT="0" distB="0" distL="114300" distR="114300" simplePos="0" relativeHeight="251661312" behindDoc="0" locked="0" layoutInCell="1" allowOverlap="1" wp14:anchorId="169D2F97" wp14:editId="27376157">
          <wp:simplePos x="0" y="0"/>
          <wp:positionH relativeFrom="margin">
            <wp:posOffset>4489450</wp:posOffset>
          </wp:positionH>
          <wp:positionV relativeFrom="paragraph">
            <wp:posOffset>-18415</wp:posOffset>
          </wp:positionV>
          <wp:extent cx="1242060" cy="646430"/>
          <wp:effectExtent l="0" t="0" r="0" b="0"/>
          <wp:wrapSquare wrapText="bothSides"/>
          <wp:docPr id="9" name="Picture 9"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389499" name="REA_logo_rgb_HR_cropped sm.png"/>
                  <pic:cNvPicPr/>
                </pic:nvPicPr>
                <pic:blipFill>
                  <a:blip r:embed="rId1">
                    <a:extLst>
                      <a:ext uri="{28A0092B-C50C-407E-A947-70E740481C1C}">
                        <a14:useLocalDpi xmlns:a14="http://schemas.microsoft.com/office/drawing/2010/main" val="0"/>
                      </a:ext>
                    </a:extLst>
                  </a:blip>
                  <a:stretch>
                    <a:fillRect/>
                  </a:stretch>
                </pic:blipFill>
                <pic:spPr>
                  <a:xfrm>
                    <a:off x="0" y="0"/>
                    <a:ext cx="1242060" cy="646430"/>
                  </a:xfrm>
                  <a:prstGeom prst="rect">
                    <a:avLst/>
                  </a:prstGeom>
                </pic:spPr>
              </pic:pic>
            </a:graphicData>
          </a:graphic>
          <wp14:sizeRelH relativeFrom="page">
            <wp14:pctWidth>0</wp14:pctWidth>
          </wp14:sizeRelH>
          <wp14:sizeRelV relativeFrom="page">
            <wp14:pctHeight>0</wp14:pctHeight>
          </wp14:sizeRelV>
        </wp:anchor>
      </w:drawing>
    </w:r>
    <w:r w:rsidRPr="00EA423D">
      <w:rPr>
        <w:i/>
        <w:iCs/>
        <w:noProof/>
        <w:highlight w:val="yellow"/>
      </w:rPr>
      <w:drawing>
        <wp:anchor distT="0" distB="0" distL="114300" distR="114300" simplePos="0" relativeHeight="251660288" behindDoc="0" locked="0" layoutInCell="1" allowOverlap="1" wp14:anchorId="129E03E6" wp14:editId="5308585C">
          <wp:simplePos x="0" y="0"/>
          <wp:positionH relativeFrom="margin">
            <wp:posOffset>0</wp:posOffset>
          </wp:positionH>
          <wp:positionV relativeFrom="paragraph">
            <wp:posOffset>-112395</wp:posOffset>
          </wp:positionV>
          <wp:extent cx="1158875" cy="704850"/>
          <wp:effectExtent l="0" t="0" r="3175" b="0"/>
          <wp:wrapSquare wrapText="bothSides"/>
          <wp:docPr id="8" name="Picture 8"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67767" name="Wood Heat logo - FINAL small.jpg"/>
                  <pic:cNvPicPr/>
                </pic:nvPicPr>
                <pic:blipFill>
                  <a:blip r:embed="rId2">
                    <a:extLst>
                      <a:ext uri="{28A0092B-C50C-407E-A947-70E740481C1C}">
                        <a14:useLocalDpi xmlns:a14="http://schemas.microsoft.com/office/drawing/2010/main" val="0"/>
                      </a:ext>
                    </a:extLst>
                  </a:blip>
                  <a:srcRect b="14020"/>
                  <a:stretch>
                    <a:fillRect/>
                  </a:stretch>
                </pic:blipFill>
                <pic:spPr bwMode="auto">
                  <a:xfrm>
                    <a:off x="0" y="0"/>
                    <a:ext cx="1158875" cy="704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A423D">
      <w:rPr>
        <w:i/>
        <w:iCs/>
        <w:highlight w:val="yellow"/>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A2C1B"/>
    <w:multiLevelType w:val="hybridMultilevel"/>
    <w:tmpl w:val="92BA7B88"/>
    <w:lvl w:ilvl="0" w:tplc="91AE414C">
      <w:start w:val="1"/>
      <w:numFmt w:val="decimal"/>
      <w:lvlText w:val="%1)"/>
      <w:lvlJc w:val="left"/>
      <w:pPr>
        <w:ind w:left="720" w:hanging="360"/>
      </w:pPr>
      <w:rPr>
        <w:rFonts w:hint="default"/>
      </w:rPr>
    </w:lvl>
    <w:lvl w:ilvl="1" w:tplc="653AC54E" w:tentative="1">
      <w:start w:val="1"/>
      <w:numFmt w:val="lowerLetter"/>
      <w:lvlText w:val="%2."/>
      <w:lvlJc w:val="left"/>
      <w:pPr>
        <w:ind w:left="1440" w:hanging="360"/>
      </w:pPr>
    </w:lvl>
    <w:lvl w:ilvl="2" w:tplc="D8F835B2" w:tentative="1">
      <w:start w:val="1"/>
      <w:numFmt w:val="lowerRoman"/>
      <w:lvlText w:val="%3."/>
      <w:lvlJc w:val="right"/>
      <w:pPr>
        <w:ind w:left="2160" w:hanging="180"/>
      </w:pPr>
    </w:lvl>
    <w:lvl w:ilvl="3" w:tplc="7E96E862" w:tentative="1">
      <w:start w:val="1"/>
      <w:numFmt w:val="decimal"/>
      <w:lvlText w:val="%4."/>
      <w:lvlJc w:val="left"/>
      <w:pPr>
        <w:ind w:left="2880" w:hanging="360"/>
      </w:pPr>
    </w:lvl>
    <w:lvl w:ilvl="4" w:tplc="BC326C7A" w:tentative="1">
      <w:start w:val="1"/>
      <w:numFmt w:val="lowerLetter"/>
      <w:lvlText w:val="%5."/>
      <w:lvlJc w:val="left"/>
      <w:pPr>
        <w:ind w:left="3600" w:hanging="360"/>
      </w:pPr>
    </w:lvl>
    <w:lvl w:ilvl="5" w:tplc="072802CC" w:tentative="1">
      <w:start w:val="1"/>
      <w:numFmt w:val="lowerRoman"/>
      <w:lvlText w:val="%6."/>
      <w:lvlJc w:val="right"/>
      <w:pPr>
        <w:ind w:left="4320" w:hanging="180"/>
      </w:pPr>
    </w:lvl>
    <w:lvl w:ilvl="6" w:tplc="BBD0BEC4" w:tentative="1">
      <w:start w:val="1"/>
      <w:numFmt w:val="decimal"/>
      <w:lvlText w:val="%7."/>
      <w:lvlJc w:val="left"/>
      <w:pPr>
        <w:ind w:left="5040" w:hanging="360"/>
      </w:pPr>
    </w:lvl>
    <w:lvl w:ilvl="7" w:tplc="0E30C060" w:tentative="1">
      <w:start w:val="1"/>
      <w:numFmt w:val="lowerLetter"/>
      <w:lvlText w:val="%8."/>
      <w:lvlJc w:val="left"/>
      <w:pPr>
        <w:ind w:left="5760" w:hanging="360"/>
      </w:pPr>
    </w:lvl>
    <w:lvl w:ilvl="8" w:tplc="AD38CFB6" w:tentative="1">
      <w:start w:val="1"/>
      <w:numFmt w:val="lowerRoman"/>
      <w:lvlText w:val="%9."/>
      <w:lvlJc w:val="right"/>
      <w:pPr>
        <w:ind w:left="6480" w:hanging="180"/>
      </w:pPr>
    </w:lvl>
  </w:abstractNum>
  <w:abstractNum w:abstractNumId="1" w15:restartNumberingAfterBreak="0">
    <w:nsid w:val="041678B1"/>
    <w:multiLevelType w:val="hybridMultilevel"/>
    <w:tmpl w:val="F2568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A4531"/>
    <w:multiLevelType w:val="hybridMultilevel"/>
    <w:tmpl w:val="E2986B3C"/>
    <w:lvl w:ilvl="0" w:tplc="FE2ED188">
      <w:start w:val="1"/>
      <w:numFmt w:val="decimal"/>
      <w:lvlText w:val="%1."/>
      <w:lvlJc w:val="left"/>
      <w:pPr>
        <w:ind w:left="720" w:hanging="360"/>
      </w:pPr>
      <w:rPr>
        <w:rFonts w:hint="default"/>
      </w:rPr>
    </w:lvl>
    <w:lvl w:ilvl="1" w:tplc="FDF0A3EE" w:tentative="1">
      <w:start w:val="1"/>
      <w:numFmt w:val="lowerLetter"/>
      <w:lvlText w:val="%2."/>
      <w:lvlJc w:val="left"/>
      <w:pPr>
        <w:ind w:left="1440" w:hanging="360"/>
      </w:pPr>
    </w:lvl>
    <w:lvl w:ilvl="2" w:tplc="5380DF9A" w:tentative="1">
      <w:start w:val="1"/>
      <w:numFmt w:val="lowerRoman"/>
      <w:lvlText w:val="%3."/>
      <w:lvlJc w:val="right"/>
      <w:pPr>
        <w:ind w:left="2160" w:hanging="180"/>
      </w:pPr>
    </w:lvl>
    <w:lvl w:ilvl="3" w:tplc="911A0652" w:tentative="1">
      <w:start w:val="1"/>
      <w:numFmt w:val="decimal"/>
      <w:lvlText w:val="%4."/>
      <w:lvlJc w:val="left"/>
      <w:pPr>
        <w:ind w:left="2880" w:hanging="360"/>
      </w:pPr>
    </w:lvl>
    <w:lvl w:ilvl="4" w:tplc="ED6E16E6" w:tentative="1">
      <w:start w:val="1"/>
      <w:numFmt w:val="lowerLetter"/>
      <w:lvlText w:val="%5."/>
      <w:lvlJc w:val="left"/>
      <w:pPr>
        <w:ind w:left="3600" w:hanging="360"/>
      </w:pPr>
    </w:lvl>
    <w:lvl w:ilvl="5" w:tplc="BFC0ACA6" w:tentative="1">
      <w:start w:val="1"/>
      <w:numFmt w:val="lowerRoman"/>
      <w:lvlText w:val="%6."/>
      <w:lvlJc w:val="right"/>
      <w:pPr>
        <w:ind w:left="4320" w:hanging="180"/>
      </w:pPr>
    </w:lvl>
    <w:lvl w:ilvl="6" w:tplc="D3D2CCAC" w:tentative="1">
      <w:start w:val="1"/>
      <w:numFmt w:val="decimal"/>
      <w:lvlText w:val="%7."/>
      <w:lvlJc w:val="left"/>
      <w:pPr>
        <w:ind w:left="5040" w:hanging="360"/>
      </w:pPr>
    </w:lvl>
    <w:lvl w:ilvl="7" w:tplc="72662076" w:tentative="1">
      <w:start w:val="1"/>
      <w:numFmt w:val="lowerLetter"/>
      <w:lvlText w:val="%8."/>
      <w:lvlJc w:val="left"/>
      <w:pPr>
        <w:ind w:left="5760" w:hanging="360"/>
      </w:pPr>
    </w:lvl>
    <w:lvl w:ilvl="8" w:tplc="D78CD6C2" w:tentative="1">
      <w:start w:val="1"/>
      <w:numFmt w:val="lowerRoman"/>
      <w:lvlText w:val="%9."/>
      <w:lvlJc w:val="right"/>
      <w:pPr>
        <w:ind w:left="6480" w:hanging="180"/>
      </w:pPr>
    </w:lvl>
  </w:abstractNum>
  <w:abstractNum w:abstractNumId="3" w15:restartNumberingAfterBreak="0">
    <w:nsid w:val="09C21226"/>
    <w:multiLevelType w:val="hybridMultilevel"/>
    <w:tmpl w:val="7076B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297AC6"/>
    <w:multiLevelType w:val="multilevel"/>
    <w:tmpl w:val="B3148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462062"/>
    <w:multiLevelType w:val="hybridMultilevel"/>
    <w:tmpl w:val="17E6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5A17E6"/>
    <w:multiLevelType w:val="hybridMultilevel"/>
    <w:tmpl w:val="16A4D632"/>
    <w:lvl w:ilvl="0" w:tplc="6A385C40">
      <w:start w:val="1"/>
      <w:numFmt w:val="bullet"/>
      <w:lvlText w:val=""/>
      <w:lvlJc w:val="left"/>
      <w:pPr>
        <w:ind w:left="780" w:hanging="360"/>
      </w:pPr>
      <w:rPr>
        <w:rFonts w:ascii="Symbol" w:hAnsi="Symbol" w:hint="default"/>
      </w:rPr>
    </w:lvl>
    <w:lvl w:ilvl="1" w:tplc="8280EC5A" w:tentative="1">
      <w:start w:val="1"/>
      <w:numFmt w:val="bullet"/>
      <w:lvlText w:val="o"/>
      <w:lvlJc w:val="left"/>
      <w:pPr>
        <w:ind w:left="1500" w:hanging="360"/>
      </w:pPr>
      <w:rPr>
        <w:rFonts w:ascii="Courier New" w:hAnsi="Courier New" w:cs="Courier New" w:hint="default"/>
      </w:rPr>
    </w:lvl>
    <w:lvl w:ilvl="2" w:tplc="CE46F1D4" w:tentative="1">
      <w:start w:val="1"/>
      <w:numFmt w:val="bullet"/>
      <w:lvlText w:val=""/>
      <w:lvlJc w:val="left"/>
      <w:pPr>
        <w:ind w:left="2220" w:hanging="360"/>
      </w:pPr>
      <w:rPr>
        <w:rFonts w:ascii="Wingdings" w:hAnsi="Wingdings" w:hint="default"/>
      </w:rPr>
    </w:lvl>
    <w:lvl w:ilvl="3" w:tplc="FB72EC20" w:tentative="1">
      <w:start w:val="1"/>
      <w:numFmt w:val="bullet"/>
      <w:lvlText w:val=""/>
      <w:lvlJc w:val="left"/>
      <w:pPr>
        <w:ind w:left="2940" w:hanging="360"/>
      </w:pPr>
      <w:rPr>
        <w:rFonts w:ascii="Symbol" w:hAnsi="Symbol" w:hint="default"/>
      </w:rPr>
    </w:lvl>
    <w:lvl w:ilvl="4" w:tplc="0D803BE2" w:tentative="1">
      <w:start w:val="1"/>
      <w:numFmt w:val="bullet"/>
      <w:lvlText w:val="o"/>
      <w:lvlJc w:val="left"/>
      <w:pPr>
        <w:ind w:left="3660" w:hanging="360"/>
      </w:pPr>
      <w:rPr>
        <w:rFonts w:ascii="Courier New" w:hAnsi="Courier New" w:cs="Courier New" w:hint="default"/>
      </w:rPr>
    </w:lvl>
    <w:lvl w:ilvl="5" w:tplc="99BC4F7A" w:tentative="1">
      <w:start w:val="1"/>
      <w:numFmt w:val="bullet"/>
      <w:lvlText w:val=""/>
      <w:lvlJc w:val="left"/>
      <w:pPr>
        <w:ind w:left="4380" w:hanging="360"/>
      </w:pPr>
      <w:rPr>
        <w:rFonts w:ascii="Wingdings" w:hAnsi="Wingdings" w:hint="default"/>
      </w:rPr>
    </w:lvl>
    <w:lvl w:ilvl="6" w:tplc="56B49F94" w:tentative="1">
      <w:start w:val="1"/>
      <w:numFmt w:val="bullet"/>
      <w:lvlText w:val=""/>
      <w:lvlJc w:val="left"/>
      <w:pPr>
        <w:ind w:left="5100" w:hanging="360"/>
      </w:pPr>
      <w:rPr>
        <w:rFonts w:ascii="Symbol" w:hAnsi="Symbol" w:hint="default"/>
      </w:rPr>
    </w:lvl>
    <w:lvl w:ilvl="7" w:tplc="93246788" w:tentative="1">
      <w:start w:val="1"/>
      <w:numFmt w:val="bullet"/>
      <w:lvlText w:val="o"/>
      <w:lvlJc w:val="left"/>
      <w:pPr>
        <w:ind w:left="5820" w:hanging="360"/>
      </w:pPr>
      <w:rPr>
        <w:rFonts w:ascii="Courier New" w:hAnsi="Courier New" w:cs="Courier New" w:hint="default"/>
      </w:rPr>
    </w:lvl>
    <w:lvl w:ilvl="8" w:tplc="46B05020" w:tentative="1">
      <w:start w:val="1"/>
      <w:numFmt w:val="bullet"/>
      <w:lvlText w:val=""/>
      <w:lvlJc w:val="left"/>
      <w:pPr>
        <w:ind w:left="6540" w:hanging="360"/>
      </w:pPr>
      <w:rPr>
        <w:rFonts w:ascii="Wingdings" w:hAnsi="Wingdings" w:hint="default"/>
      </w:rPr>
    </w:lvl>
  </w:abstractNum>
  <w:abstractNum w:abstractNumId="7" w15:restartNumberingAfterBreak="0">
    <w:nsid w:val="0C7D5150"/>
    <w:multiLevelType w:val="hybridMultilevel"/>
    <w:tmpl w:val="98DCBB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014482"/>
    <w:multiLevelType w:val="multilevel"/>
    <w:tmpl w:val="48E4EAE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227A87"/>
    <w:multiLevelType w:val="hybridMultilevel"/>
    <w:tmpl w:val="CA329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22548"/>
    <w:multiLevelType w:val="hybridMultilevel"/>
    <w:tmpl w:val="E2986B3C"/>
    <w:lvl w:ilvl="0" w:tplc="20BAC53C">
      <w:start w:val="1"/>
      <w:numFmt w:val="decimal"/>
      <w:lvlText w:val="%1."/>
      <w:lvlJc w:val="left"/>
      <w:pPr>
        <w:ind w:left="720" w:hanging="360"/>
      </w:pPr>
      <w:rPr>
        <w:rFonts w:hint="default"/>
      </w:rPr>
    </w:lvl>
    <w:lvl w:ilvl="1" w:tplc="1E10C8D2" w:tentative="1">
      <w:start w:val="1"/>
      <w:numFmt w:val="lowerLetter"/>
      <w:lvlText w:val="%2."/>
      <w:lvlJc w:val="left"/>
      <w:pPr>
        <w:ind w:left="1440" w:hanging="360"/>
      </w:pPr>
    </w:lvl>
    <w:lvl w:ilvl="2" w:tplc="BE94D428" w:tentative="1">
      <w:start w:val="1"/>
      <w:numFmt w:val="lowerRoman"/>
      <w:lvlText w:val="%3."/>
      <w:lvlJc w:val="right"/>
      <w:pPr>
        <w:ind w:left="2160" w:hanging="180"/>
      </w:pPr>
    </w:lvl>
    <w:lvl w:ilvl="3" w:tplc="96781628" w:tentative="1">
      <w:start w:val="1"/>
      <w:numFmt w:val="decimal"/>
      <w:lvlText w:val="%4."/>
      <w:lvlJc w:val="left"/>
      <w:pPr>
        <w:ind w:left="2880" w:hanging="360"/>
      </w:pPr>
    </w:lvl>
    <w:lvl w:ilvl="4" w:tplc="7F962FE4" w:tentative="1">
      <w:start w:val="1"/>
      <w:numFmt w:val="lowerLetter"/>
      <w:lvlText w:val="%5."/>
      <w:lvlJc w:val="left"/>
      <w:pPr>
        <w:ind w:left="3600" w:hanging="360"/>
      </w:pPr>
    </w:lvl>
    <w:lvl w:ilvl="5" w:tplc="B5BA0E38" w:tentative="1">
      <w:start w:val="1"/>
      <w:numFmt w:val="lowerRoman"/>
      <w:lvlText w:val="%6."/>
      <w:lvlJc w:val="right"/>
      <w:pPr>
        <w:ind w:left="4320" w:hanging="180"/>
      </w:pPr>
    </w:lvl>
    <w:lvl w:ilvl="6" w:tplc="BC64B94C" w:tentative="1">
      <w:start w:val="1"/>
      <w:numFmt w:val="decimal"/>
      <w:lvlText w:val="%7."/>
      <w:lvlJc w:val="left"/>
      <w:pPr>
        <w:ind w:left="5040" w:hanging="360"/>
      </w:pPr>
    </w:lvl>
    <w:lvl w:ilvl="7" w:tplc="2462118E" w:tentative="1">
      <w:start w:val="1"/>
      <w:numFmt w:val="lowerLetter"/>
      <w:lvlText w:val="%8."/>
      <w:lvlJc w:val="left"/>
      <w:pPr>
        <w:ind w:left="5760" w:hanging="360"/>
      </w:pPr>
    </w:lvl>
    <w:lvl w:ilvl="8" w:tplc="CC2E8EB4" w:tentative="1">
      <w:start w:val="1"/>
      <w:numFmt w:val="lowerRoman"/>
      <w:lvlText w:val="%9."/>
      <w:lvlJc w:val="right"/>
      <w:pPr>
        <w:ind w:left="6480" w:hanging="180"/>
      </w:pPr>
    </w:lvl>
  </w:abstractNum>
  <w:abstractNum w:abstractNumId="11" w15:restartNumberingAfterBreak="0">
    <w:nsid w:val="1D0211F4"/>
    <w:multiLevelType w:val="hybridMultilevel"/>
    <w:tmpl w:val="EA0E9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27075D"/>
    <w:multiLevelType w:val="hybridMultilevel"/>
    <w:tmpl w:val="55122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7F68A1"/>
    <w:multiLevelType w:val="multilevel"/>
    <w:tmpl w:val="48E4EAE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6E184F"/>
    <w:multiLevelType w:val="hybridMultilevel"/>
    <w:tmpl w:val="9CBA1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A24F0A"/>
    <w:multiLevelType w:val="hybridMultilevel"/>
    <w:tmpl w:val="E2986B3C"/>
    <w:lvl w:ilvl="0" w:tplc="E93AFEC2">
      <w:start w:val="1"/>
      <w:numFmt w:val="decimal"/>
      <w:lvlText w:val="%1."/>
      <w:lvlJc w:val="left"/>
      <w:pPr>
        <w:ind w:left="720" w:hanging="360"/>
      </w:pPr>
      <w:rPr>
        <w:rFonts w:hint="default"/>
      </w:rPr>
    </w:lvl>
    <w:lvl w:ilvl="1" w:tplc="DD50CC32" w:tentative="1">
      <w:start w:val="1"/>
      <w:numFmt w:val="lowerLetter"/>
      <w:lvlText w:val="%2."/>
      <w:lvlJc w:val="left"/>
      <w:pPr>
        <w:ind w:left="1440" w:hanging="360"/>
      </w:pPr>
    </w:lvl>
    <w:lvl w:ilvl="2" w:tplc="552257F8" w:tentative="1">
      <w:start w:val="1"/>
      <w:numFmt w:val="lowerRoman"/>
      <w:lvlText w:val="%3."/>
      <w:lvlJc w:val="right"/>
      <w:pPr>
        <w:ind w:left="2160" w:hanging="180"/>
      </w:pPr>
    </w:lvl>
    <w:lvl w:ilvl="3" w:tplc="572EE832" w:tentative="1">
      <w:start w:val="1"/>
      <w:numFmt w:val="decimal"/>
      <w:lvlText w:val="%4."/>
      <w:lvlJc w:val="left"/>
      <w:pPr>
        <w:ind w:left="2880" w:hanging="360"/>
      </w:pPr>
    </w:lvl>
    <w:lvl w:ilvl="4" w:tplc="8AFECEA8" w:tentative="1">
      <w:start w:val="1"/>
      <w:numFmt w:val="lowerLetter"/>
      <w:lvlText w:val="%5."/>
      <w:lvlJc w:val="left"/>
      <w:pPr>
        <w:ind w:left="3600" w:hanging="360"/>
      </w:pPr>
    </w:lvl>
    <w:lvl w:ilvl="5" w:tplc="8DCEBF46" w:tentative="1">
      <w:start w:val="1"/>
      <w:numFmt w:val="lowerRoman"/>
      <w:lvlText w:val="%6."/>
      <w:lvlJc w:val="right"/>
      <w:pPr>
        <w:ind w:left="4320" w:hanging="180"/>
      </w:pPr>
    </w:lvl>
    <w:lvl w:ilvl="6" w:tplc="57D2668C" w:tentative="1">
      <w:start w:val="1"/>
      <w:numFmt w:val="decimal"/>
      <w:lvlText w:val="%7."/>
      <w:lvlJc w:val="left"/>
      <w:pPr>
        <w:ind w:left="5040" w:hanging="360"/>
      </w:pPr>
    </w:lvl>
    <w:lvl w:ilvl="7" w:tplc="73D2C2CE" w:tentative="1">
      <w:start w:val="1"/>
      <w:numFmt w:val="lowerLetter"/>
      <w:lvlText w:val="%8."/>
      <w:lvlJc w:val="left"/>
      <w:pPr>
        <w:ind w:left="5760" w:hanging="360"/>
      </w:pPr>
    </w:lvl>
    <w:lvl w:ilvl="8" w:tplc="FB4298BE" w:tentative="1">
      <w:start w:val="1"/>
      <w:numFmt w:val="lowerRoman"/>
      <w:lvlText w:val="%9."/>
      <w:lvlJc w:val="right"/>
      <w:pPr>
        <w:ind w:left="6480" w:hanging="180"/>
      </w:pPr>
    </w:lvl>
  </w:abstractNum>
  <w:abstractNum w:abstractNumId="16" w15:restartNumberingAfterBreak="0">
    <w:nsid w:val="2ABF1457"/>
    <w:multiLevelType w:val="hybridMultilevel"/>
    <w:tmpl w:val="E390A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3908F9"/>
    <w:multiLevelType w:val="hybridMultilevel"/>
    <w:tmpl w:val="502E70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937F9B"/>
    <w:multiLevelType w:val="hybridMultilevel"/>
    <w:tmpl w:val="9318AB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AC1E2B"/>
    <w:multiLevelType w:val="hybridMultilevel"/>
    <w:tmpl w:val="C0ACFF4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4FB3ABF"/>
    <w:multiLevelType w:val="hybridMultilevel"/>
    <w:tmpl w:val="FA063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E23F8D"/>
    <w:multiLevelType w:val="hybridMultilevel"/>
    <w:tmpl w:val="1DB292A4"/>
    <w:lvl w:ilvl="0" w:tplc="131A298C">
      <w:start w:val="1"/>
      <w:numFmt w:val="decimal"/>
      <w:lvlText w:val="%1)"/>
      <w:lvlJc w:val="left"/>
      <w:pPr>
        <w:ind w:left="720"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9E29B6"/>
    <w:multiLevelType w:val="hybridMultilevel"/>
    <w:tmpl w:val="F3E2E3C0"/>
    <w:lvl w:ilvl="0" w:tplc="FABA5878">
      <w:start w:val="1"/>
      <w:numFmt w:val="decimal"/>
      <w:lvlText w:val="%1)"/>
      <w:lvlJc w:val="left"/>
      <w:pPr>
        <w:ind w:left="720" w:hanging="360"/>
      </w:pPr>
      <w:rPr>
        <w:rFonts w:hint="default"/>
      </w:rPr>
    </w:lvl>
    <w:lvl w:ilvl="1" w:tplc="4A7A79BC" w:tentative="1">
      <w:start w:val="1"/>
      <w:numFmt w:val="lowerLetter"/>
      <w:lvlText w:val="%2."/>
      <w:lvlJc w:val="left"/>
      <w:pPr>
        <w:ind w:left="1440" w:hanging="360"/>
      </w:pPr>
    </w:lvl>
    <w:lvl w:ilvl="2" w:tplc="B8983B16" w:tentative="1">
      <w:start w:val="1"/>
      <w:numFmt w:val="lowerRoman"/>
      <w:lvlText w:val="%3."/>
      <w:lvlJc w:val="right"/>
      <w:pPr>
        <w:ind w:left="2160" w:hanging="180"/>
      </w:pPr>
    </w:lvl>
    <w:lvl w:ilvl="3" w:tplc="14D481C6" w:tentative="1">
      <w:start w:val="1"/>
      <w:numFmt w:val="decimal"/>
      <w:lvlText w:val="%4."/>
      <w:lvlJc w:val="left"/>
      <w:pPr>
        <w:ind w:left="2880" w:hanging="360"/>
      </w:pPr>
    </w:lvl>
    <w:lvl w:ilvl="4" w:tplc="2B42E7F6" w:tentative="1">
      <w:start w:val="1"/>
      <w:numFmt w:val="lowerLetter"/>
      <w:lvlText w:val="%5."/>
      <w:lvlJc w:val="left"/>
      <w:pPr>
        <w:ind w:left="3600" w:hanging="360"/>
      </w:pPr>
    </w:lvl>
    <w:lvl w:ilvl="5" w:tplc="527A671E" w:tentative="1">
      <w:start w:val="1"/>
      <w:numFmt w:val="lowerRoman"/>
      <w:lvlText w:val="%6."/>
      <w:lvlJc w:val="right"/>
      <w:pPr>
        <w:ind w:left="4320" w:hanging="180"/>
      </w:pPr>
    </w:lvl>
    <w:lvl w:ilvl="6" w:tplc="5CFCA36E" w:tentative="1">
      <w:start w:val="1"/>
      <w:numFmt w:val="decimal"/>
      <w:lvlText w:val="%7."/>
      <w:lvlJc w:val="left"/>
      <w:pPr>
        <w:ind w:left="5040" w:hanging="360"/>
      </w:pPr>
    </w:lvl>
    <w:lvl w:ilvl="7" w:tplc="20F4AE6E" w:tentative="1">
      <w:start w:val="1"/>
      <w:numFmt w:val="lowerLetter"/>
      <w:lvlText w:val="%8."/>
      <w:lvlJc w:val="left"/>
      <w:pPr>
        <w:ind w:left="5760" w:hanging="360"/>
      </w:pPr>
    </w:lvl>
    <w:lvl w:ilvl="8" w:tplc="632AA732" w:tentative="1">
      <w:start w:val="1"/>
      <w:numFmt w:val="lowerRoman"/>
      <w:lvlText w:val="%9."/>
      <w:lvlJc w:val="right"/>
      <w:pPr>
        <w:ind w:left="6480" w:hanging="180"/>
      </w:pPr>
    </w:lvl>
  </w:abstractNum>
  <w:abstractNum w:abstractNumId="23" w15:restartNumberingAfterBreak="0">
    <w:nsid w:val="437B178E"/>
    <w:multiLevelType w:val="multilevel"/>
    <w:tmpl w:val="D108E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2D4787"/>
    <w:multiLevelType w:val="hybridMultilevel"/>
    <w:tmpl w:val="89064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C404FB"/>
    <w:multiLevelType w:val="hybridMultilevel"/>
    <w:tmpl w:val="EBB4EC4C"/>
    <w:lvl w:ilvl="0" w:tplc="EE804964">
      <w:start w:val="4000"/>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B83447"/>
    <w:multiLevelType w:val="multilevel"/>
    <w:tmpl w:val="48E4EAE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C47251"/>
    <w:multiLevelType w:val="hybridMultilevel"/>
    <w:tmpl w:val="B52E5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F2379F"/>
    <w:multiLevelType w:val="hybridMultilevel"/>
    <w:tmpl w:val="0E0C56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4F23C6"/>
    <w:multiLevelType w:val="hybridMultilevel"/>
    <w:tmpl w:val="59048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330CBA"/>
    <w:multiLevelType w:val="multilevel"/>
    <w:tmpl w:val="48E4EAE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A31FE6"/>
    <w:multiLevelType w:val="hybridMultilevel"/>
    <w:tmpl w:val="3C889992"/>
    <w:lvl w:ilvl="0" w:tplc="2C50886C">
      <w:start w:val="2"/>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AA39DF"/>
    <w:multiLevelType w:val="multilevel"/>
    <w:tmpl w:val="48E4EAE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85664B"/>
    <w:multiLevelType w:val="multilevel"/>
    <w:tmpl w:val="48E4EAE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B068FB"/>
    <w:multiLevelType w:val="hybridMultilevel"/>
    <w:tmpl w:val="7DF48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121886"/>
    <w:multiLevelType w:val="multilevel"/>
    <w:tmpl w:val="48E4EAE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6304CB"/>
    <w:multiLevelType w:val="multilevel"/>
    <w:tmpl w:val="48E4EAE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7347F2"/>
    <w:multiLevelType w:val="hybridMultilevel"/>
    <w:tmpl w:val="9080F2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437109"/>
    <w:multiLevelType w:val="hybridMultilevel"/>
    <w:tmpl w:val="55A04032"/>
    <w:lvl w:ilvl="0" w:tplc="306E6164">
      <w:start w:val="1"/>
      <w:numFmt w:val="lowerLetter"/>
      <w:lvlText w:val="(%1)"/>
      <w:lvlJc w:val="left"/>
      <w:pPr>
        <w:ind w:left="1712" w:hanging="588"/>
      </w:pPr>
      <w:rPr>
        <w:rFonts w:ascii="Arial" w:eastAsia="Arial" w:hAnsi="Arial" w:cs="Arial" w:hint="default"/>
        <w:i/>
        <w:spacing w:val="-4"/>
        <w:w w:val="99"/>
        <w:sz w:val="24"/>
        <w:szCs w:val="24"/>
        <w:lang w:val="en-US" w:eastAsia="en-US" w:bidi="en-US"/>
      </w:rPr>
    </w:lvl>
    <w:lvl w:ilvl="1" w:tplc="C96E3730">
      <w:numFmt w:val="bullet"/>
      <w:lvlText w:val="•"/>
      <w:lvlJc w:val="left"/>
      <w:pPr>
        <w:ind w:left="2650" w:hanging="588"/>
      </w:pPr>
      <w:rPr>
        <w:rFonts w:hint="default"/>
        <w:lang w:val="en-US" w:eastAsia="en-US" w:bidi="en-US"/>
      </w:rPr>
    </w:lvl>
    <w:lvl w:ilvl="2" w:tplc="A6C6A374">
      <w:numFmt w:val="bullet"/>
      <w:lvlText w:val="•"/>
      <w:lvlJc w:val="left"/>
      <w:pPr>
        <w:ind w:left="3581" w:hanging="588"/>
      </w:pPr>
      <w:rPr>
        <w:rFonts w:hint="default"/>
        <w:lang w:val="en-US" w:eastAsia="en-US" w:bidi="en-US"/>
      </w:rPr>
    </w:lvl>
    <w:lvl w:ilvl="3" w:tplc="46046A86">
      <w:numFmt w:val="bullet"/>
      <w:lvlText w:val="•"/>
      <w:lvlJc w:val="left"/>
      <w:pPr>
        <w:ind w:left="4511" w:hanging="588"/>
      </w:pPr>
      <w:rPr>
        <w:rFonts w:hint="default"/>
        <w:lang w:val="en-US" w:eastAsia="en-US" w:bidi="en-US"/>
      </w:rPr>
    </w:lvl>
    <w:lvl w:ilvl="4" w:tplc="ECF4E73C">
      <w:numFmt w:val="bullet"/>
      <w:lvlText w:val="•"/>
      <w:lvlJc w:val="left"/>
      <w:pPr>
        <w:ind w:left="5442" w:hanging="588"/>
      </w:pPr>
      <w:rPr>
        <w:rFonts w:hint="default"/>
        <w:lang w:val="en-US" w:eastAsia="en-US" w:bidi="en-US"/>
      </w:rPr>
    </w:lvl>
    <w:lvl w:ilvl="5" w:tplc="97FC40EE">
      <w:numFmt w:val="bullet"/>
      <w:lvlText w:val="•"/>
      <w:lvlJc w:val="left"/>
      <w:pPr>
        <w:ind w:left="6373" w:hanging="588"/>
      </w:pPr>
      <w:rPr>
        <w:rFonts w:hint="default"/>
        <w:lang w:val="en-US" w:eastAsia="en-US" w:bidi="en-US"/>
      </w:rPr>
    </w:lvl>
    <w:lvl w:ilvl="6" w:tplc="45121FBA">
      <w:numFmt w:val="bullet"/>
      <w:lvlText w:val="•"/>
      <w:lvlJc w:val="left"/>
      <w:pPr>
        <w:ind w:left="7303" w:hanging="588"/>
      </w:pPr>
      <w:rPr>
        <w:rFonts w:hint="default"/>
        <w:lang w:val="en-US" w:eastAsia="en-US" w:bidi="en-US"/>
      </w:rPr>
    </w:lvl>
    <w:lvl w:ilvl="7" w:tplc="966C1C9C">
      <w:numFmt w:val="bullet"/>
      <w:lvlText w:val="•"/>
      <w:lvlJc w:val="left"/>
      <w:pPr>
        <w:ind w:left="8234" w:hanging="588"/>
      </w:pPr>
      <w:rPr>
        <w:rFonts w:hint="default"/>
        <w:lang w:val="en-US" w:eastAsia="en-US" w:bidi="en-US"/>
      </w:rPr>
    </w:lvl>
    <w:lvl w:ilvl="8" w:tplc="E3F24504">
      <w:numFmt w:val="bullet"/>
      <w:lvlText w:val="•"/>
      <w:lvlJc w:val="left"/>
      <w:pPr>
        <w:ind w:left="9165" w:hanging="588"/>
      </w:pPr>
      <w:rPr>
        <w:rFonts w:hint="default"/>
        <w:lang w:val="en-US" w:eastAsia="en-US" w:bidi="en-US"/>
      </w:rPr>
    </w:lvl>
  </w:abstractNum>
  <w:abstractNum w:abstractNumId="39" w15:restartNumberingAfterBreak="0">
    <w:nsid w:val="79EC3059"/>
    <w:multiLevelType w:val="multilevel"/>
    <w:tmpl w:val="25A8F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E71AAB"/>
    <w:multiLevelType w:val="hybridMultilevel"/>
    <w:tmpl w:val="012C46E2"/>
    <w:lvl w:ilvl="0" w:tplc="7D023E28">
      <w:start w:val="19"/>
      <w:numFmt w:val="bullet"/>
      <w:lvlText w:val="-"/>
      <w:lvlJc w:val="left"/>
      <w:pPr>
        <w:ind w:left="720" w:hanging="360"/>
      </w:pPr>
      <w:rPr>
        <w:rFonts w:ascii="Open Sans" w:eastAsiaTheme="minorHAnsi" w:hAnsi="Open Sans" w:cs="Open San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10"/>
  </w:num>
  <w:num w:numId="4">
    <w:abstractNumId w:val="15"/>
  </w:num>
  <w:num w:numId="5">
    <w:abstractNumId w:val="2"/>
  </w:num>
  <w:num w:numId="6">
    <w:abstractNumId w:val="6"/>
  </w:num>
  <w:num w:numId="7">
    <w:abstractNumId w:val="11"/>
  </w:num>
  <w:num w:numId="8">
    <w:abstractNumId w:val="25"/>
  </w:num>
  <w:num w:numId="9">
    <w:abstractNumId w:val="4"/>
  </w:num>
  <w:num w:numId="10">
    <w:abstractNumId w:val="14"/>
  </w:num>
  <w:num w:numId="11">
    <w:abstractNumId w:val="20"/>
  </w:num>
  <w:num w:numId="12">
    <w:abstractNumId w:val="28"/>
  </w:num>
  <w:num w:numId="13">
    <w:abstractNumId w:val="23"/>
  </w:num>
  <w:num w:numId="14">
    <w:abstractNumId w:val="31"/>
  </w:num>
  <w:num w:numId="15">
    <w:abstractNumId w:val="16"/>
  </w:num>
  <w:num w:numId="16">
    <w:abstractNumId w:val="21"/>
  </w:num>
  <w:num w:numId="17">
    <w:abstractNumId w:val="3"/>
  </w:num>
  <w:num w:numId="18">
    <w:abstractNumId w:val="27"/>
  </w:num>
  <w:num w:numId="19">
    <w:abstractNumId w:val="18"/>
  </w:num>
  <w:num w:numId="20">
    <w:abstractNumId w:val="1"/>
  </w:num>
  <w:num w:numId="21">
    <w:abstractNumId w:val="5"/>
  </w:num>
  <w:num w:numId="22">
    <w:abstractNumId w:val="38"/>
  </w:num>
  <w:num w:numId="23">
    <w:abstractNumId w:val="34"/>
  </w:num>
  <w:num w:numId="24">
    <w:abstractNumId w:val="40"/>
  </w:num>
  <w:num w:numId="25">
    <w:abstractNumId w:val="24"/>
  </w:num>
  <w:num w:numId="26">
    <w:abstractNumId w:val="7"/>
  </w:num>
  <w:num w:numId="27">
    <w:abstractNumId w:val="39"/>
  </w:num>
  <w:num w:numId="28">
    <w:abstractNumId w:val="29"/>
  </w:num>
  <w:num w:numId="29">
    <w:abstractNumId w:val="37"/>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lvl w:ilvl="0">
        <w:numFmt w:val="decimal"/>
        <w:lvlText w:val="%1."/>
        <w:lvlJc w:val="left"/>
      </w:lvl>
    </w:lvlOverride>
  </w:num>
  <w:num w:numId="32">
    <w:abstractNumId w:val="32"/>
  </w:num>
  <w:num w:numId="33">
    <w:abstractNumId w:val="8"/>
  </w:num>
  <w:num w:numId="34">
    <w:abstractNumId w:val="13"/>
  </w:num>
  <w:num w:numId="35">
    <w:abstractNumId w:val="12"/>
  </w:num>
  <w:num w:numId="36">
    <w:abstractNumId w:val="9"/>
  </w:num>
  <w:num w:numId="37">
    <w:abstractNumId w:val="17"/>
  </w:num>
  <w:num w:numId="38">
    <w:abstractNumId w:val="26"/>
  </w:num>
  <w:num w:numId="39">
    <w:abstractNumId w:val="35"/>
  </w:num>
  <w:num w:numId="40">
    <w:abstractNumId w:val="36"/>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2E0"/>
    <w:rsid w:val="00032E11"/>
    <w:rsid w:val="00052441"/>
    <w:rsid w:val="00070B71"/>
    <w:rsid w:val="000758E0"/>
    <w:rsid w:val="00076C82"/>
    <w:rsid w:val="000A4536"/>
    <w:rsid w:val="000A5A68"/>
    <w:rsid w:val="000C1F50"/>
    <w:rsid w:val="000C7AAA"/>
    <w:rsid w:val="000D49A6"/>
    <w:rsid w:val="000F74F4"/>
    <w:rsid w:val="00116A26"/>
    <w:rsid w:val="001254C5"/>
    <w:rsid w:val="001345CF"/>
    <w:rsid w:val="0013697E"/>
    <w:rsid w:val="00147FCE"/>
    <w:rsid w:val="0016569E"/>
    <w:rsid w:val="001972D5"/>
    <w:rsid w:val="001A1217"/>
    <w:rsid w:val="001A718E"/>
    <w:rsid w:val="001E0B1F"/>
    <w:rsid w:val="001E4324"/>
    <w:rsid w:val="001E481A"/>
    <w:rsid w:val="001F36DC"/>
    <w:rsid w:val="00202DBD"/>
    <w:rsid w:val="002035C1"/>
    <w:rsid w:val="002120D5"/>
    <w:rsid w:val="00214DDA"/>
    <w:rsid w:val="002206C8"/>
    <w:rsid w:val="00220E1F"/>
    <w:rsid w:val="00232B09"/>
    <w:rsid w:val="00236E7A"/>
    <w:rsid w:val="0024189A"/>
    <w:rsid w:val="00263A2E"/>
    <w:rsid w:val="00270123"/>
    <w:rsid w:val="00273E54"/>
    <w:rsid w:val="00273FDE"/>
    <w:rsid w:val="00275E25"/>
    <w:rsid w:val="00283149"/>
    <w:rsid w:val="002952CB"/>
    <w:rsid w:val="002C2621"/>
    <w:rsid w:val="002E0671"/>
    <w:rsid w:val="00326421"/>
    <w:rsid w:val="003275A4"/>
    <w:rsid w:val="003277D7"/>
    <w:rsid w:val="00327C23"/>
    <w:rsid w:val="003326CA"/>
    <w:rsid w:val="0033331E"/>
    <w:rsid w:val="00335B9D"/>
    <w:rsid w:val="00347020"/>
    <w:rsid w:val="00355E12"/>
    <w:rsid w:val="00362145"/>
    <w:rsid w:val="003624BC"/>
    <w:rsid w:val="0038173B"/>
    <w:rsid w:val="00381F18"/>
    <w:rsid w:val="003C05B2"/>
    <w:rsid w:val="003C646A"/>
    <w:rsid w:val="003C7304"/>
    <w:rsid w:val="003E4E95"/>
    <w:rsid w:val="00402538"/>
    <w:rsid w:val="004025F6"/>
    <w:rsid w:val="00421034"/>
    <w:rsid w:val="00423F04"/>
    <w:rsid w:val="0042512E"/>
    <w:rsid w:val="004264DE"/>
    <w:rsid w:val="00441F4F"/>
    <w:rsid w:val="00446596"/>
    <w:rsid w:val="00451DF7"/>
    <w:rsid w:val="00463340"/>
    <w:rsid w:val="00473FC9"/>
    <w:rsid w:val="00474CAB"/>
    <w:rsid w:val="00481BE2"/>
    <w:rsid w:val="004836E0"/>
    <w:rsid w:val="004D24E8"/>
    <w:rsid w:val="004D3668"/>
    <w:rsid w:val="004E5F41"/>
    <w:rsid w:val="004F2880"/>
    <w:rsid w:val="004F753B"/>
    <w:rsid w:val="00535E89"/>
    <w:rsid w:val="005443AB"/>
    <w:rsid w:val="00556297"/>
    <w:rsid w:val="00565068"/>
    <w:rsid w:val="005715F6"/>
    <w:rsid w:val="00577DA4"/>
    <w:rsid w:val="00586513"/>
    <w:rsid w:val="00587C19"/>
    <w:rsid w:val="005974A0"/>
    <w:rsid w:val="005C25C8"/>
    <w:rsid w:val="005C4FD8"/>
    <w:rsid w:val="005C7DA8"/>
    <w:rsid w:val="005D7314"/>
    <w:rsid w:val="005E14B3"/>
    <w:rsid w:val="005E2924"/>
    <w:rsid w:val="005E392F"/>
    <w:rsid w:val="005E4B71"/>
    <w:rsid w:val="0060021A"/>
    <w:rsid w:val="00603B3E"/>
    <w:rsid w:val="00620CFE"/>
    <w:rsid w:val="006339F5"/>
    <w:rsid w:val="00633BBE"/>
    <w:rsid w:val="006550DA"/>
    <w:rsid w:val="006A05F8"/>
    <w:rsid w:val="006A73D5"/>
    <w:rsid w:val="006B299D"/>
    <w:rsid w:val="006B78FB"/>
    <w:rsid w:val="006C2DF7"/>
    <w:rsid w:val="006D7FD2"/>
    <w:rsid w:val="006E016F"/>
    <w:rsid w:val="006E1CD9"/>
    <w:rsid w:val="006E374B"/>
    <w:rsid w:val="007144F5"/>
    <w:rsid w:val="00721B89"/>
    <w:rsid w:val="00734CD2"/>
    <w:rsid w:val="007459B8"/>
    <w:rsid w:val="007547EF"/>
    <w:rsid w:val="00763B79"/>
    <w:rsid w:val="00772512"/>
    <w:rsid w:val="00795275"/>
    <w:rsid w:val="007B0996"/>
    <w:rsid w:val="007B267A"/>
    <w:rsid w:val="007D6443"/>
    <w:rsid w:val="007E665F"/>
    <w:rsid w:val="00824F4D"/>
    <w:rsid w:val="008425D9"/>
    <w:rsid w:val="0085082B"/>
    <w:rsid w:val="00853DE5"/>
    <w:rsid w:val="00855CFB"/>
    <w:rsid w:val="00881937"/>
    <w:rsid w:val="008933AD"/>
    <w:rsid w:val="008A47AF"/>
    <w:rsid w:val="008B59CF"/>
    <w:rsid w:val="008C0649"/>
    <w:rsid w:val="008D2059"/>
    <w:rsid w:val="008F2B11"/>
    <w:rsid w:val="00900F4C"/>
    <w:rsid w:val="00913032"/>
    <w:rsid w:val="0091542E"/>
    <w:rsid w:val="00921A52"/>
    <w:rsid w:val="00926C15"/>
    <w:rsid w:val="00926D06"/>
    <w:rsid w:val="00927A06"/>
    <w:rsid w:val="009303A7"/>
    <w:rsid w:val="00930ACE"/>
    <w:rsid w:val="0093442B"/>
    <w:rsid w:val="00971EF8"/>
    <w:rsid w:val="00972357"/>
    <w:rsid w:val="009723D3"/>
    <w:rsid w:val="009750BD"/>
    <w:rsid w:val="00981D75"/>
    <w:rsid w:val="00986DD5"/>
    <w:rsid w:val="009B4E0D"/>
    <w:rsid w:val="009B7745"/>
    <w:rsid w:val="009C2B36"/>
    <w:rsid w:val="00A022F0"/>
    <w:rsid w:val="00A23B53"/>
    <w:rsid w:val="00A24095"/>
    <w:rsid w:val="00A305AF"/>
    <w:rsid w:val="00A4375C"/>
    <w:rsid w:val="00A51CAC"/>
    <w:rsid w:val="00A5230C"/>
    <w:rsid w:val="00A56F16"/>
    <w:rsid w:val="00A638F5"/>
    <w:rsid w:val="00AB16B2"/>
    <w:rsid w:val="00AB2DAD"/>
    <w:rsid w:val="00AC2B86"/>
    <w:rsid w:val="00AD3399"/>
    <w:rsid w:val="00AF354E"/>
    <w:rsid w:val="00AF3CAC"/>
    <w:rsid w:val="00B03132"/>
    <w:rsid w:val="00B06706"/>
    <w:rsid w:val="00B15D68"/>
    <w:rsid w:val="00B17DE4"/>
    <w:rsid w:val="00B30129"/>
    <w:rsid w:val="00B315A8"/>
    <w:rsid w:val="00B4496C"/>
    <w:rsid w:val="00B47CAD"/>
    <w:rsid w:val="00B6002E"/>
    <w:rsid w:val="00B74B1D"/>
    <w:rsid w:val="00B9181D"/>
    <w:rsid w:val="00B96CE1"/>
    <w:rsid w:val="00BB2AB5"/>
    <w:rsid w:val="00BB37F9"/>
    <w:rsid w:val="00BC7EB4"/>
    <w:rsid w:val="00BD0B87"/>
    <w:rsid w:val="00BD45D6"/>
    <w:rsid w:val="00C0314B"/>
    <w:rsid w:val="00C21D10"/>
    <w:rsid w:val="00C405B0"/>
    <w:rsid w:val="00C5482E"/>
    <w:rsid w:val="00C61353"/>
    <w:rsid w:val="00C6515F"/>
    <w:rsid w:val="00C67CB8"/>
    <w:rsid w:val="00C85944"/>
    <w:rsid w:val="00C86C24"/>
    <w:rsid w:val="00C94939"/>
    <w:rsid w:val="00C9593D"/>
    <w:rsid w:val="00CA0409"/>
    <w:rsid w:val="00CB6E76"/>
    <w:rsid w:val="00CC6CA2"/>
    <w:rsid w:val="00CD42E0"/>
    <w:rsid w:val="00CD4AB6"/>
    <w:rsid w:val="00CD6AB1"/>
    <w:rsid w:val="00CE0CD7"/>
    <w:rsid w:val="00CE41ED"/>
    <w:rsid w:val="00CE51FA"/>
    <w:rsid w:val="00CF0546"/>
    <w:rsid w:val="00D00D91"/>
    <w:rsid w:val="00D042A0"/>
    <w:rsid w:val="00D11867"/>
    <w:rsid w:val="00D27988"/>
    <w:rsid w:val="00D3126D"/>
    <w:rsid w:val="00D3350C"/>
    <w:rsid w:val="00D3560B"/>
    <w:rsid w:val="00D424DC"/>
    <w:rsid w:val="00D43EA1"/>
    <w:rsid w:val="00D727B0"/>
    <w:rsid w:val="00D72AB7"/>
    <w:rsid w:val="00D86235"/>
    <w:rsid w:val="00D911BB"/>
    <w:rsid w:val="00D95032"/>
    <w:rsid w:val="00D957D5"/>
    <w:rsid w:val="00DA5C07"/>
    <w:rsid w:val="00DC03AF"/>
    <w:rsid w:val="00DC2137"/>
    <w:rsid w:val="00E00A0D"/>
    <w:rsid w:val="00E0171B"/>
    <w:rsid w:val="00E02393"/>
    <w:rsid w:val="00E02919"/>
    <w:rsid w:val="00E05E13"/>
    <w:rsid w:val="00E115E0"/>
    <w:rsid w:val="00E11739"/>
    <w:rsid w:val="00E158E6"/>
    <w:rsid w:val="00E40BD8"/>
    <w:rsid w:val="00E44C34"/>
    <w:rsid w:val="00E464EE"/>
    <w:rsid w:val="00E46A42"/>
    <w:rsid w:val="00E46BF3"/>
    <w:rsid w:val="00E521F7"/>
    <w:rsid w:val="00E54BD8"/>
    <w:rsid w:val="00E752B5"/>
    <w:rsid w:val="00E76400"/>
    <w:rsid w:val="00E86DC5"/>
    <w:rsid w:val="00E9370C"/>
    <w:rsid w:val="00EA2285"/>
    <w:rsid w:val="00EA423D"/>
    <w:rsid w:val="00EB762E"/>
    <w:rsid w:val="00EC1B5D"/>
    <w:rsid w:val="00EF0051"/>
    <w:rsid w:val="00EF64ED"/>
    <w:rsid w:val="00F2770F"/>
    <w:rsid w:val="00F30E27"/>
    <w:rsid w:val="00F31F97"/>
    <w:rsid w:val="00F36138"/>
    <w:rsid w:val="00F41DA3"/>
    <w:rsid w:val="00F50375"/>
    <w:rsid w:val="00F54B03"/>
    <w:rsid w:val="00F61F36"/>
    <w:rsid w:val="00F62AAD"/>
    <w:rsid w:val="00F64F26"/>
    <w:rsid w:val="00F92C90"/>
    <w:rsid w:val="00F92FC6"/>
    <w:rsid w:val="00FC530B"/>
    <w:rsid w:val="00FD20CA"/>
    <w:rsid w:val="00FD42D6"/>
    <w:rsid w:val="00FD6C15"/>
    <w:rsid w:val="00FF36CA"/>
    <w:rsid w:val="00FF7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6C8E4"/>
  <w15:chartTrackingRefBased/>
  <w15:docId w15:val="{DBCEC4C4-E9EE-4072-B676-A023511D8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2E0"/>
    <w:pPr>
      <w:spacing w:after="0" w:line="240" w:lineRule="auto"/>
      <w:jc w:val="both"/>
    </w:pPr>
    <w:rPr>
      <w:rFonts w:ascii="avant garde" w:eastAsia="Times New Roman" w:hAnsi="avant garde"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CD42E0"/>
    <w:pPr>
      <w:ind w:left="720"/>
      <w:contextualSpacing/>
    </w:pPr>
  </w:style>
  <w:style w:type="paragraph" w:styleId="BalloonText">
    <w:name w:val="Balloon Text"/>
    <w:basedOn w:val="Normal"/>
    <w:link w:val="BalloonTextChar"/>
    <w:uiPriority w:val="99"/>
    <w:semiHidden/>
    <w:unhideWhenUsed/>
    <w:rsid w:val="00CF05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546"/>
    <w:rPr>
      <w:rFonts w:ascii="Segoe UI" w:eastAsia="Times New Roman" w:hAnsi="Segoe UI" w:cs="Segoe UI"/>
      <w:sz w:val="18"/>
      <w:szCs w:val="18"/>
    </w:rPr>
  </w:style>
  <w:style w:type="paragraph" w:styleId="FootnoteText">
    <w:name w:val="footnote text"/>
    <w:basedOn w:val="Normal"/>
    <w:link w:val="FootnoteTextChar"/>
    <w:uiPriority w:val="99"/>
    <w:unhideWhenUsed/>
    <w:rsid w:val="00926C15"/>
    <w:rPr>
      <w:sz w:val="20"/>
      <w:szCs w:val="20"/>
    </w:rPr>
  </w:style>
  <w:style w:type="character" w:customStyle="1" w:styleId="FootnoteTextChar">
    <w:name w:val="Footnote Text Char"/>
    <w:basedOn w:val="DefaultParagraphFont"/>
    <w:link w:val="FootnoteText"/>
    <w:uiPriority w:val="99"/>
    <w:rsid w:val="00926C15"/>
    <w:rPr>
      <w:rFonts w:ascii="avant garde" w:eastAsia="Times New Roman" w:hAnsi="avant garde" w:cs="Times New Roman"/>
      <w:sz w:val="20"/>
      <w:szCs w:val="20"/>
    </w:rPr>
  </w:style>
  <w:style w:type="character" w:styleId="FootnoteReference">
    <w:name w:val="footnote reference"/>
    <w:basedOn w:val="DefaultParagraphFont"/>
    <w:uiPriority w:val="99"/>
    <w:unhideWhenUsed/>
    <w:rsid w:val="00926C15"/>
    <w:rPr>
      <w:vertAlign w:val="superscript"/>
    </w:rPr>
  </w:style>
  <w:style w:type="character" w:styleId="Hyperlink">
    <w:name w:val="Hyperlink"/>
    <w:basedOn w:val="DefaultParagraphFont"/>
    <w:uiPriority w:val="99"/>
    <w:unhideWhenUsed/>
    <w:rsid w:val="00926C15"/>
    <w:rPr>
      <w:color w:val="0000FF"/>
      <w:u w:val="single"/>
    </w:rPr>
  </w:style>
  <w:style w:type="paragraph" w:styleId="Header">
    <w:name w:val="header"/>
    <w:basedOn w:val="Normal"/>
    <w:link w:val="HeaderChar"/>
    <w:uiPriority w:val="99"/>
    <w:unhideWhenUsed/>
    <w:rsid w:val="005E2924"/>
    <w:pPr>
      <w:tabs>
        <w:tab w:val="center" w:pos="4513"/>
        <w:tab w:val="right" w:pos="9026"/>
      </w:tabs>
    </w:pPr>
  </w:style>
  <w:style w:type="character" w:customStyle="1" w:styleId="HeaderChar">
    <w:name w:val="Header Char"/>
    <w:basedOn w:val="DefaultParagraphFont"/>
    <w:link w:val="Header"/>
    <w:uiPriority w:val="99"/>
    <w:rsid w:val="005E2924"/>
    <w:rPr>
      <w:rFonts w:ascii="avant garde" w:eastAsia="Times New Roman" w:hAnsi="avant garde" w:cs="Times New Roman"/>
      <w:szCs w:val="24"/>
    </w:rPr>
  </w:style>
  <w:style w:type="paragraph" w:styleId="Footer">
    <w:name w:val="footer"/>
    <w:basedOn w:val="Normal"/>
    <w:link w:val="FooterChar"/>
    <w:uiPriority w:val="99"/>
    <w:unhideWhenUsed/>
    <w:rsid w:val="005E2924"/>
    <w:pPr>
      <w:tabs>
        <w:tab w:val="center" w:pos="4513"/>
        <w:tab w:val="right" w:pos="9026"/>
      </w:tabs>
    </w:pPr>
  </w:style>
  <w:style w:type="character" w:customStyle="1" w:styleId="FooterChar">
    <w:name w:val="Footer Char"/>
    <w:basedOn w:val="DefaultParagraphFont"/>
    <w:link w:val="Footer"/>
    <w:uiPriority w:val="99"/>
    <w:rsid w:val="005E2924"/>
    <w:rPr>
      <w:rFonts w:ascii="avant garde" w:eastAsia="Times New Roman" w:hAnsi="avant garde" w:cs="Times New Roman"/>
      <w:szCs w:val="24"/>
    </w:rPr>
  </w:style>
  <w:style w:type="character" w:customStyle="1" w:styleId="UnresolvedMention1">
    <w:name w:val="Unresolved Mention1"/>
    <w:basedOn w:val="DefaultParagraphFont"/>
    <w:uiPriority w:val="99"/>
    <w:semiHidden/>
    <w:unhideWhenUsed/>
    <w:rsid w:val="005E2924"/>
    <w:rPr>
      <w:color w:val="605E5C"/>
      <w:shd w:val="clear" w:color="auto" w:fill="E1DFDD"/>
    </w:rPr>
  </w:style>
  <w:style w:type="character" w:styleId="FollowedHyperlink">
    <w:name w:val="FollowedHyperlink"/>
    <w:basedOn w:val="DefaultParagraphFont"/>
    <w:uiPriority w:val="99"/>
    <w:semiHidden/>
    <w:unhideWhenUsed/>
    <w:rsid w:val="00463340"/>
    <w:rPr>
      <w:color w:val="954F72" w:themeColor="followedHyperlink"/>
      <w:u w:val="single"/>
    </w:rPr>
  </w:style>
  <w:style w:type="character" w:styleId="UnresolvedMention">
    <w:name w:val="Unresolved Mention"/>
    <w:basedOn w:val="DefaultParagraphFont"/>
    <w:uiPriority w:val="99"/>
    <w:rsid w:val="00273E54"/>
    <w:rPr>
      <w:color w:val="605E5C"/>
      <w:shd w:val="clear" w:color="auto" w:fill="E1DFDD"/>
    </w:rPr>
  </w:style>
  <w:style w:type="paragraph" w:styleId="Revision">
    <w:name w:val="Revision"/>
    <w:hidden/>
    <w:uiPriority w:val="99"/>
    <w:semiHidden/>
    <w:rsid w:val="00A23B53"/>
    <w:pPr>
      <w:spacing w:after="0" w:line="240" w:lineRule="auto"/>
    </w:pPr>
    <w:rPr>
      <w:rFonts w:ascii="avant garde" w:eastAsia="Times New Roman" w:hAnsi="avant garde" w:cs="Times New Roman"/>
      <w:szCs w:val="24"/>
    </w:rPr>
  </w:style>
  <w:style w:type="table" w:styleId="TableGrid">
    <w:name w:val="Table Grid"/>
    <w:basedOn w:val="TableNormal"/>
    <w:uiPriority w:val="39"/>
    <w:rsid w:val="00421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C85944"/>
    <w:rPr>
      <w:sz w:val="20"/>
      <w:szCs w:val="20"/>
    </w:rPr>
  </w:style>
  <w:style w:type="character" w:customStyle="1" w:styleId="CommentTextChar">
    <w:name w:val="Comment Text Char"/>
    <w:basedOn w:val="DefaultParagraphFont"/>
    <w:link w:val="CommentText"/>
    <w:uiPriority w:val="99"/>
    <w:rsid w:val="00C85944"/>
    <w:rPr>
      <w:rFonts w:ascii="avant garde" w:eastAsia="Times New Roman" w:hAnsi="avant garde" w:cs="Times New Roman"/>
      <w:sz w:val="20"/>
      <w:szCs w:val="20"/>
    </w:rPr>
  </w:style>
  <w:style w:type="paragraph" w:styleId="NormalWeb">
    <w:name w:val="Normal (Web)"/>
    <w:basedOn w:val="Normal"/>
    <w:uiPriority w:val="99"/>
    <w:unhideWhenUsed/>
    <w:rsid w:val="00C85944"/>
    <w:pPr>
      <w:spacing w:before="100" w:beforeAutospacing="1" w:after="100" w:afterAutospacing="1"/>
      <w:jc w:val="left"/>
    </w:pPr>
    <w:rPr>
      <w:rFonts w:ascii="Times New Roman" w:hAnsi="Times New Roman"/>
      <w:sz w:val="24"/>
      <w:lang w:eastAsia="en-GB"/>
    </w:rPr>
  </w:style>
  <w:style w:type="character" w:customStyle="1" w:styleId="ListParagraphChar">
    <w:name w:val="List Paragraph Char"/>
    <w:aliases w:val="Dot pt Char"/>
    <w:basedOn w:val="DefaultParagraphFont"/>
    <w:link w:val="ListParagraph"/>
    <w:uiPriority w:val="34"/>
    <w:locked/>
    <w:rsid w:val="00C85944"/>
    <w:rPr>
      <w:rFonts w:ascii="avant garde" w:eastAsia="Times New Roman" w:hAnsi="avant garde" w:cs="Times New Roman"/>
      <w:szCs w:val="24"/>
    </w:rPr>
  </w:style>
  <w:style w:type="character" w:styleId="CommentReference">
    <w:name w:val="annotation reference"/>
    <w:basedOn w:val="DefaultParagraphFont"/>
    <w:uiPriority w:val="99"/>
    <w:semiHidden/>
    <w:unhideWhenUsed/>
    <w:rsid w:val="00C85944"/>
    <w:rPr>
      <w:sz w:val="16"/>
      <w:szCs w:val="16"/>
    </w:rPr>
  </w:style>
  <w:style w:type="paragraph" w:styleId="PlainText">
    <w:name w:val="Plain Text"/>
    <w:basedOn w:val="Normal"/>
    <w:link w:val="PlainTextChar"/>
    <w:uiPriority w:val="99"/>
    <w:unhideWhenUsed/>
    <w:rsid w:val="00C85944"/>
    <w:pPr>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C85944"/>
    <w:rPr>
      <w:rFonts w:ascii="Calibri" w:hAnsi="Calibri"/>
      <w:szCs w:val="21"/>
    </w:rPr>
  </w:style>
  <w:style w:type="paragraph" w:customStyle="1" w:styleId="gmail-m-1961058956222727465msolistparagraph">
    <w:name w:val="gmail-m_-1961058956222727465msolistparagraph"/>
    <w:basedOn w:val="Normal"/>
    <w:rsid w:val="001254C5"/>
    <w:pPr>
      <w:spacing w:before="100" w:beforeAutospacing="1" w:after="100" w:afterAutospacing="1"/>
      <w:jc w:val="left"/>
    </w:pPr>
    <w:rPr>
      <w:rFonts w:ascii="Times New Roman" w:eastAsiaTheme="minorHAnsi" w:hAnsi="Times New Roman"/>
      <w:sz w:val="24"/>
      <w:lang w:eastAsia="en-GB"/>
    </w:rPr>
  </w:style>
  <w:style w:type="paragraph" w:styleId="CommentSubject">
    <w:name w:val="annotation subject"/>
    <w:basedOn w:val="CommentText"/>
    <w:next w:val="CommentText"/>
    <w:link w:val="CommentSubjectChar"/>
    <w:uiPriority w:val="99"/>
    <w:semiHidden/>
    <w:unhideWhenUsed/>
    <w:rsid w:val="0042512E"/>
    <w:rPr>
      <w:b/>
      <w:bCs/>
    </w:rPr>
  </w:style>
  <w:style w:type="character" w:customStyle="1" w:styleId="CommentSubjectChar">
    <w:name w:val="Comment Subject Char"/>
    <w:basedOn w:val="CommentTextChar"/>
    <w:link w:val="CommentSubject"/>
    <w:uiPriority w:val="99"/>
    <w:semiHidden/>
    <w:rsid w:val="0042512E"/>
    <w:rPr>
      <w:rFonts w:ascii="avant garde" w:eastAsia="Times New Roman" w:hAnsi="avant garde"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823517">
      <w:bodyDiv w:val="1"/>
      <w:marLeft w:val="0"/>
      <w:marRight w:val="0"/>
      <w:marTop w:val="0"/>
      <w:marBottom w:val="0"/>
      <w:divBdr>
        <w:top w:val="none" w:sz="0" w:space="0" w:color="auto"/>
        <w:left w:val="none" w:sz="0" w:space="0" w:color="auto"/>
        <w:bottom w:val="none" w:sz="0" w:space="0" w:color="auto"/>
        <w:right w:val="none" w:sz="0" w:space="0" w:color="auto"/>
      </w:divBdr>
    </w:div>
    <w:div w:id="563563136">
      <w:bodyDiv w:val="1"/>
      <w:marLeft w:val="0"/>
      <w:marRight w:val="0"/>
      <w:marTop w:val="0"/>
      <w:marBottom w:val="0"/>
      <w:divBdr>
        <w:top w:val="none" w:sz="0" w:space="0" w:color="auto"/>
        <w:left w:val="none" w:sz="0" w:space="0" w:color="auto"/>
        <w:bottom w:val="none" w:sz="0" w:space="0" w:color="auto"/>
        <w:right w:val="none" w:sz="0" w:space="0" w:color="auto"/>
      </w:divBdr>
    </w:div>
    <w:div w:id="693504237">
      <w:bodyDiv w:val="1"/>
      <w:marLeft w:val="0"/>
      <w:marRight w:val="0"/>
      <w:marTop w:val="0"/>
      <w:marBottom w:val="0"/>
      <w:divBdr>
        <w:top w:val="none" w:sz="0" w:space="0" w:color="auto"/>
        <w:left w:val="none" w:sz="0" w:space="0" w:color="auto"/>
        <w:bottom w:val="none" w:sz="0" w:space="0" w:color="auto"/>
        <w:right w:val="none" w:sz="0" w:space="0" w:color="auto"/>
      </w:divBdr>
    </w:div>
    <w:div w:id="736514579">
      <w:bodyDiv w:val="1"/>
      <w:marLeft w:val="0"/>
      <w:marRight w:val="0"/>
      <w:marTop w:val="0"/>
      <w:marBottom w:val="0"/>
      <w:divBdr>
        <w:top w:val="none" w:sz="0" w:space="0" w:color="auto"/>
        <w:left w:val="none" w:sz="0" w:space="0" w:color="auto"/>
        <w:bottom w:val="none" w:sz="0" w:space="0" w:color="auto"/>
        <w:right w:val="none" w:sz="0" w:space="0" w:color="auto"/>
      </w:divBdr>
    </w:div>
    <w:div w:id="749158726">
      <w:bodyDiv w:val="1"/>
      <w:marLeft w:val="0"/>
      <w:marRight w:val="0"/>
      <w:marTop w:val="0"/>
      <w:marBottom w:val="0"/>
      <w:divBdr>
        <w:top w:val="none" w:sz="0" w:space="0" w:color="auto"/>
        <w:left w:val="none" w:sz="0" w:space="0" w:color="auto"/>
        <w:bottom w:val="none" w:sz="0" w:space="0" w:color="auto"/>
        <w:right w:val="none" w:sz="0" w:space="0" w:color="auto"/>
      </w:divBdr>
    </w:div>
    <w:div w:id="947853942">
      <w:bodyDiv w:val="1"/>
      <w:marLeft w:val="0"/>
      <w:marRight w:val="0"/>
      <w:marTop w:val="0"/>
      <w:marBottom w:val="0"/>
      <w:divBdr>
        <w:top w:val="none" w:sz="0" w:space="0" w:color="auto"/>
        <w:left w:val="none" w:sz="0" w:space="0" w:color="auto"/>
        <w:bottom w:val="none" w:sz="0" w:space="0" w:color="auto"/>
        <w:right w:val="none" w:sz="0" w:space="0" w:color="auto"/>
      </w:divBdr>
    </w:div>
    <w:div w:id="1705321974">
      <w:bodyDiv w:val="1"/>
      <w:marLeft w:val="0"/>
      <w:marRight w:val="0"/>
      <w:marTop w:val="0"/>
      <w:marBottom w:val="0"/>
      <w:divBdr>
        <w:top w:val="none" w:sz="0" w:space="0" w:color="auto"/>
        <w:left w:val="none" w:sz="0" w:space="0" w:color="auto"/>
        <w:bottom w:val="none" w:sz="0" w:space="0" w:color="auto"/>
        <w:right w:val="none" w:sz="0" w:space="0" w:color="auto"/>
      </w:divBdr>
    </w:div>
    <w:div w:id="187472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gncommercialservices.co.uk/case-study/portsdown-hill-injection-hub/1" TargetMode="External"/><Relationship Id="rId21" Type="http://schemas.openxmlformats.org/officeDocument/2006/relationships/hyperlink" Target="https://consult.environment-agency.gov.uk/environmental-permitting/standard-rules-consultation-no-20/" TargetMode="External"/><Relationship Id="rId34" Type="http://schemas.openxmlformats.org/officeDocument/2006/relationships/hyperlink" Target="https://ec.europa.eu/info/strategy/priorities-2019-2024/european-green-deal/actions-being-taken-eu/farm-fork_en" TargetMode="External"/><Relationship Id="rId42" Type="http://schemas.openxmlformats.org/officeDocument/2006/relationships/hyperlink" Target="https://eur-lex.europa.eu/legal-content/EN/TXT/?uri=CELEX:52020DC0381" TargetMode="External"/><Relationship Id="rId47" Type="http://schemas.openxmlformats.org/officeDocument/2006/relationships/hyperlink" Target="https://www.gov.uk/government/publications/code-of-good-agricultural-practice-for-reducing-ammonia-emissions" TargetMode="External"/><Relationship Id="rId50" Type="http://schemas.openxmlformats.org/officeDocument/2006/relationships/hyperlink" Target="https://www.byosis.com/systems/byoflex" TargetMode="External"/><Relationship Id="rId55" Type="http://schemas.openxmlformats.org/officeDocument/2006/relationships/hyperlink" Target="http://www.energynetworks.org/assets/files/gas/Navigant%20Pathways%20to%20Net-Zero.pdf" TargetMode="External"/><Relationship Id="rId63" Type="http://schemas.openxmlformats.org/officeDocument/2006/relationships/hyperlink" Target="mailto:heat@r-e-a.net"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heccc.org.uk/publication/net-zero-technical-report/" TargetMode="External"/><Relationship Id="rId29" Type="http://schemas.openxmlformats.org/officeDocument/2006/relationships/hyperlink" Target="https://www.gov.uk/government/publications/innovation-needs-assessment-for-biomass-heat" TargetMode="External"/><Relationship Id="rId11" Type="http://schemas.openxmlformats.org/officeDocument/2006/relationships/hyperlink" Target="http://adbioresources.org/news/adba-launches-biomethane-the-pathway-to-2030-report" TargetMode="External"/><Relationship Id="rId24" Type="http://schemas.openxmlformats.org/officeDocument/2006/relationships/hyperlink" Target="https://www.gov.uk/government/consultations/future-support-for-low-carbon-heat/consultation-section-ensuring-value-for-money-through-tariff-changes-more-detail" TargetMode="External"/><Relationship Id="rId32" Type="http://schemas.openxmlformats.org/officeDocument/2006/relationships/hyperlink" Target="https://consult.defra.gov.uk/elm/elmpolicyconsultation/supporting_documents/elmdiscussiondocument20200225a%20002.pdf" TargetMode="External"/><Relationship Id="rId37" Type="http://schemas.openxmlformats.org/officeDocument/2006/relationships/image" Target="media/image1.png"/><Relationship Id="rId40" Type="http://schemas.openxmlformats.org/officeDocument/2006/relationships/hyperlink" Target="https://purehost.bath.ac.uk/ws/portalfiles/portal/134135782/Adams_et_al_2015_GHG_Accounting_Issues_for_Biogas_and_Biomethane.pdf" TargetMode="External"/><Relationship Id="rId45" Type="http://schemas.openxmlformats.org/officeDocument/2006/relationships/hyperlink" Target="https://www.europeanbiogas.eu/wp-content/uploads/2020/05/Methane-emission-mitigation-strategies-info-sheet-for-biogas-industry.pdf" TargetMode="External"/><Relationship Id="rId53" Type="http://schemas.openxmlformats.org/officeDocument/2006/relationships/hyperlink" Target="https://systemicproject.eu/downloads/" TargetMode="External"/><Relationship Id="rId58" Type="http://schemas.openxmlformats.org/officeDocument/2006/relationships/hyperlink" Target="https://gasgov-mst-files.s3.eu-west-1.amazonaws.com/s3fs-public/ggf/EMIB%20Report%20V1.0.pdf"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assets.publishing.service.gov.uk/government/uploads/system/uploads/attachment_data/file/887537/ghg-reporting-regulations.pdf" TargetMode="External"/><Relationship Id="rId19" Type="http://schemas.openxmlformats.org/officeDocument/2006/relationships/hyperlink" Target="https://www.gov.uk/government/publications/clean-air-strategy-2019" TargetMode="External"/><Relationship Id="rId14" Type="http://schemas.openxmlformats.org/officeDocument/2006/relationships/hyperlink" Target="https://www.bioenergy-strategy.com/" TargetMode="External"/><Relationship Id="rId22" Type="http://schemas.openxmlformats.org/officeDocument/2006/relationships/hyperlink" Target="https://consult.environment-agency.gov.uk/environmental-permitting/standard-rules-consultation-no-20/user_uploads/incidents-report--2010-2018--final.pdf" TargetMode="External"/><Relationship Id="rId27" Type="http://schemas.openxmlformats.org/officeDocument/2006/relationships/hyperlink" Target="https://www.lowcarboncontracts.uk/sites/default/files/publications/Contracts%20for%20Difference%20-%20Generator%20Guide%20Feb%202019.pdf" TargetMode="External"/><Relationship Id="rId30" Type="http://schemas.openxmlformats.org/officeDocument/2006/relationships/hyperlink" Target="https://s3-eu-west-1.amazonaws.com/leaf-website/LEAF-Marque-Standard-v15.0-Final.pdf" TargetMode="External"/><Relationship Id="rId35" Type="http://schemas.openxmlformats.org/officeDocument/2006/relationships/hyperlink" Target="https://eur-lex.europa.eu/legal-content/EN/TXT/PDF/?uri=CELEX:32019R0807&amp;from=EN" TargetMode="External"/><Relationship Id="rId43" Type="http://schemas.openxmlformats.org/officeDocument/2006/relationships/hyperlink" Target="https://www.gov.uk/government/publications/code-of-good-agricultural-practice-for-reducing-ammonia-emissions/code-of-good-agricultural-practice-cogap-for-reducing-ammonia-emissions" TargetMode="External"/><Relationship Id="rId48" Type="http://schemas.openxmlformats.org/officeDocument/2006/relationships/hyperlink" Target="https://www.gov.uk/government/news/new-farming-rules-for-water" TargetMode="External"/><Relationship Id="rId56" Type="http://schemas.openxmlformats.org/officeDocument/2006/relationships/hyperlink" Target="https://www.gasgovernance.co.uk/emib" TargetMode="External"/><Relationship Id="rId64" Type="http://schemas.openxmlformats.org/officeDocument/2006/relationships/header" Target="header1.xml"/><Relationship Id="rId8" Type="http://schemas.openxmlformats.org/officeDocument/2006/relationships/hyperlink" Target="https://assets.publishing.service.gov.uk/government/uploads/system/uploads/attachment_data/file/881623/future-support-for-low-carbon-heat-impact-assessment.pdf" TargetMode="External"/><Relationship Id="rId51" Type="http://schemas.openxmlformats.org/officeDocument/2006/relationships/hyperlink" Target="https://www.epcon.org/technology.html" TargetMode="External"/><Relationship Id="rId3" Type="http://schemas.openxmlformats.org/officeDocument/2006/relationships/styles" Target="styles.xml"/><Relationship Id="rId12" Type="http://schemas.openxmlformats.org/officeDocument/2006/relationships/hyperlink" Target="https://www.europeanbiogas.eu/evidence-collected-by-eba-shows-positive-impact-of-sequential-cropping-on-ghg-reductions-biodiversity-and-soil-quality/" TargetMode="External"/><Relationship Id="rId17" Type="http://schemas.openxmlformats.org/officeDocument/2006/relationships/hyperlink" Target="http://adbioresources.org/news/adba-launches-biomethane-the-pathway-to-2030-report" TargetMode="External"/><Relationship Id="rId25" Type="http://schemas.openxmlformats.org/officeDocument/2006/relationships/hyperlink" Target="https://www.r-e-a.net/resources/reas-latest-position-on-a-future-green-gas-mechanism-submitted-to-beis/" TargetMode="External"/><Relationship Id="rId33" Type="http://schemas.openxmlformats.org/officeDocument/2006/relationships/hyperlink" Target="https://ec.europa.eu/environment/nature/biodiversity/strategy/index_en.htm" TargetMode="External"/><Relationship Id="rId38" Type="http://schemas.openxmlformats.org/officeDocument/2006/relationships/hyperlink" Target="https://purehost.bath.ac.uk/ws/portalfiles/portal/134135782/Adams_et_al_2015_GHG_Accounting_Issues_for_Biogas_and_Biomethane.pdf" TargetMode="External"/><Relationship Id="rId46" Type="http://schemas.openxmlformats.org/officeDocument/2006/relationships/hyperlink" Target="https://www.gov.uk/government/publications/code-of-good-agricultural-practice-for-reducing-ammonia-emissions" TargetMode="External"/><Relationship Id="rId59" Type="http://schemas.openxmlformats.org/officeDocument/2006/relationships/hyperlink" Target="http://www.energynetworks.org/assets/files/gas/Navigant%20Pathways%20to%20Net-Zero.pdf" TargetMode="External"/><Relationship Id="rId67" Type="http://schemas.openxmlformats.org/officeDocument/2006/relationships/fontTable" Target="fontTable.xml"/><Relationship Id="rId20" Type="http://schemas.openxmlformats.org/officeDocument/2006/relationships/hyperlink" Target="https://www.gov.uk/government/publications/code-of-good-agricultural-practice-for-reducing-ammonia-emissions" TargetMode="External"/><Relationship Id="rId41" Type="http://schemas.openxmlformats.org/officeDocument/2006/relationships/hyperlink" Target="https://purehost.bath.ac.uk/ws/portalfiles/portal/134135782/Adams_et_al_2015_GHG_Accounting_Issues_for_Biogas_and_Biomethane.pdf" TargetMode="External"/><Relationship Id="rId54" Type="http://schemas.openxmlformats.org/officeDocument/2006/relationships/hyperlink" Target="https://www.wrap.org.uk/sites/files/wrap/WRAP%20gate%20fees%20report%202019.pdf" TargetMode="External"/><Relationship Id="rId62" Type="http://schemas.openxmlformats.org/officeDocument/2006/relationships/hyperlink" Target="https://www.gov.uk/government/consultations/combined-heat-and-power-chp-the-route-to-2050-call-for-evidenc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energynetworks.org/gas/futures/gas-decarbonisation-pathways/pathways-to-net-zero-report.html" TargetMode="External"/><Relationship Id="rId23" Type="http://schemas.openxmlformats.org/officeDocument/2006/relationships/hyperlink" Target="https://consult.environment-agency.gov.uk/environmental-permitting/standard-rules-consultation-no-20/user_uploads/ad-audit-data-report-2015-to-2018-final-v2.pdf" TargetMode="External"/><Relationship Id="rId28" Type="http://schemas.openxmlformats.org/officeDocument/2006/relationships/hyperlink" Target="https://www.seai.ie/publications/Assessment-of-Cost-and-Benefits-of-Biogas-and-Biomethane-in-Ireland.pdf" TargetMode="External"/><Relationship Id="rId36" Type="http://schemas.openxmlformats.org/officeDocument/2006/relationships/hyperlink" Target="https://mcusercontent.com/57981e55e365722b7bb40867b/files/36c55683-8599-45e5-ad00-4e90a8e91e78/AnnexIX_StkCons_Instructions_V1.pdf?utm_source=REA+Member+List+%E2%80%93+GDPR+compliant&amp;utm_campaign=03e75b0477-EMAIL_CAMPAIGN_2020_05_01_11_28&amp;utm_medium=email&amp;utm_term=0_60f97b574c-03e75b0477-250368921" TargetMode="External"/><Relationship Id="rId49" Type="http://schemas.openxmlformats.org/officeDocument/2006/relationships/hyperlink" Target="https://www.byosis.com/systems/byoflex" TargetMode="External"/><Relationship Id="rId57" Type="http://schemas.openxmlformats.org/officeDocument/2006/relationships/hyperlink" Target="https://www.gasgovernance.co.uk/emib" TargetMode="External"/><Relationship Id="rId10" Type="http://schemas.openxmlformats.org/officeDocument/2006/relationships/hyperlink" Target="https://www.r-e-a.net/wp-content/uploads/2019/10/REA-Bioenergy-Strategy-Phase-2-A-Vision-to-2032-and-Beyond.pdf" TargetMode="External"/><Relationship Id="rId31" Type="http://schemas.openxmlformats.org/officeDocument/2006/relationships/hyperlink" Target="http://adbioresources.org/wp-content/uploads/2014/09/cbp-a5_Web.pdf" TargetMode="External"/><Relationship Id="rId44" Type="http://schemas.openxmlformats.org/officeDocument/2006/relationships/hyperlink" Target="https://www.gov.uk/government/publications/code-of-good-agricultural-practice-for-reducing-ammonia-emissions/code-of-good-agricultural-practice-cogap-for-reducing-ammonia-emissions" TargetMode="External"/><Relationship Id="rId52" Type="http://schemas.openxmlformats.org/officeDocument/2006/relationships/hyperlink" Target="https://n2.no/" TargetMode="External"/><Relationship Id="rId60" Type="http://schemas.openxmlformats.org/officeDocument/2006/relationships/hyperlink" Target="https://www.r-e-a.net/resources/reas-latest-position-on-a-future-green-gas-mechanism-submitted-to-beis/" TargetMode="External"/><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881623/future-support-for-low-carbon-heat-impact-assessment.pdf" TargetMode="External"/><Relationship Id="rId13" Type="http://schemas.openxmlformats.org/officeDocument/2006/relationships/hyperlink" Target="http://adbioresources.org/news/adba-launches-biomethane-the-pathway-to-2030-report" TargetMode="External"/><Relationship Id="rId18" Type="http://schemas.openxmlformats.org/officeDocument/2006/relationships/hyperlink" Target="https://www.gov.uk/government/consultations/future-support-for-low-carbon-heat" TargetMode="External"/><Relationship Id="rId39" Type="http://schemas.openxmlformats.org/officeDocument/2006/relationships/hyperlink" Target="https://researchportal.bath.ac.uk/en/publications/biomass-sustainability-criteria-greenhouse-gas-accounting-issue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a.net/" TargetMode="External"/><Relationship Id="rId1" Type="http://schemas.openxmlformats.org/officeDocument/2006/relationships/hyperlink" Target="mailto:info@r-e-a.ne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oftec.org/docs/default-source/publications/pub115-oftec-industrial-strategy-for-decarbonising-oil-heated-homes.pdf?sfvrsn=71afe801_18" TargetMode="External"/><Relationship Id="rId13" Type="http://schemas.openxmlformats.org/officeDocument/2006/relationships/hyperlink" Target="https://www.r-e-a.net/resources/beis-rhi-consultation-biomass-combustion-in-urban-areas/" TargetMode="External"/><Relationship Id="rId3" Type="http://schemas.openxmlformats.org/officeDocument/2006/relationships/hyperlink" Target="https://www.europeanbiogas.eu/wp-content/uploads/2018/10/Biogas-done-Right-extended-2.pdf" TargetMode="External"/><Relationship Id="rId7" Type="http://schemas.openxmlformats.org/officeDocument/2006/relationships/hyperlink" Target="https://www.bioenergy-strategy.com/publications" TargetMode="External"/><Relationship Id="rId12" Type="http://schemas.openxmlformats.org/officeDocument/2006/relationships/hyperlink" Target="https://www.nao.org.uk/report/low-carbon-heating-of-homes-and-businesses-and-the-renewable-heat-incentive/" TargetMode="External"/><Relationship Id="rId2" Type="http://schemas.openxmlformats.org/officeDocument/2006/relationships/hyperlink" Target="https://www.europeanbiogas.eu/wp-content/uploads/2018/10/Biogas-done-Right-extended-2.pdf" TargetMode="External"/><Relationship Id="rId1" Type="http://schemas.openxmlformats.org/officeDocument/2006/relationships/hyperlink" Target="https://www.r-e-a.net/resources/review-2020/" TargetMode="External"/><Relationship Id="rId6" Type="http://schemas.openxmlformats.org/officeDocument/2006/relationships/hyperlink" Target="http://apha.defra.gov.uk/documents/surveillance/diseases/lddg-pop-report-cattle-1118.pdf" TargetMode="External"/><Relationship Id="rId11" Type="http://schemas.openxmlformats.org/officeDocument/2006/relationships/hyperlink" Target="https://news.siemens.co.uk/news/the-carbon-trust-and-siemens-launch-new-green-finance-deal-worth-550-million-to-green-businesses-in-the-uk" TargetMode="External"/><Relationship Id="rId5" Type="http://schemas.openxmlformats.org/officeDocument/2006/relationships/hyperlink" Target="http://apha.defra.gov.uk/documents/surveillance/diseases/lddg-pop-report-avian2019.pdf" TargetMode="External"/><Relationship Id="rId10" Type="http://schemas.openxmlformats.org/officeDocument/2006/relationships/hyperlink" Target="https://energysavingtrust.org.uk/scotland/grants-loans/home-energy-scotland-loan-overview" TargetMode="External"/><Relationship Id="rId4" Type="http://schemas.openxmlformats.org/officeDocument/2006/relationships/hyperlink" Target="http://apha.defra.gov.uk/documents/surveillance/diseases/lddg-pop-report-pig2019.pdf" TargetMode="External"/><Relationship Id="rId9" Type="http://schemas.openxmlformats.org/officeDocument/2006/relationships/hyperlink" Target="https://www.gov.uk/government/statistical-data-sets/annual-domestic-energy-price-statistics" TargetMode="External"/><Relationship Id="rId14" Type="http://schemas.openxmlformats.org/officeDocument/2006/relationships/hyperlink" Target="https://uk-air.defra.gov.uk/assets/documents/reports/cat05/1801301017_KCL_WoodBurningReport_2017_FINAL.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66660-11AD-4673-8D64-FD911D6C8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77</Pages>
  <Words>34735</Words>
  <Characters>197994</Characters>
  <Application>Microsoft Office Word</Application>
  <DocSecurity>0</DocSecurity>
  <Lines>1649</Lines>
  <Paragraphs>464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Sommerfeld</dc:creator>
  <cp:lastModifiedBy>Sam Tickle</cp:lastModifiedBy>
  <cp:revision>12</cp:revision>
  <cp:lastPrinted>2020-06-11T14:34:00Z</cp:lastPrinted>
  <dcterms:created xsi:type="dcterms:W3CDTF">2020-07-02T15:56:00Z</dcterms:created>
  <dcterms:modified xsi:type="dcterms:W3CDTF">2020-07-03T09:12:00Z</dcterms:modified>
</cp:coreProperties>
</file>