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7B54C" w14:textId="77777777" w:rsidR="00412F13" w:rsidRPr="00CC09AF" w:rsidRDefault="00ED3FF6" w:rsidP="00CC09AF">
      <w:pPr>
        <w:pStyle w:val="Heading"/>
        <w:jc w:val="center"/>
        <w:rPr>
          <w:i/>
          <w:iCs/>
        </w:rPr>
      </w:pPr>
      <w:r w:rsidRPr="00CC09AF">
        <w:rPr>
          <w:rFonts w:eastAsia="Arial Unicode MS" w:cs="Arial Unicode MS"/>
          <w:i/>
          <w:iCs/>
        </w:rPr>
        <w:t xml:space="preserve">Developing </w:t>
      </w:r>
      <w:proofErr w:type="gramStart"/>
      <w:r w:rsidRPr="00CC09AF">
        <w:rPr>
          <w:rFonts w:eastAsia="Arial Unicode MS" w:cs="Arial Unicode MS"/>
          <w:i/>
          <w:iCs/>
        </w:rPr>
        <w:t>an</w:t>
      </w:r>
      <w:proofErr w:type="gramEnd"/>
      <w:r w:rsidRPr="00CC09AF">
        <w:rPr>
          <w:rFonts w:eastAsia="Arial Unicode MS" w:cs="Arial Unicode MS"/>
          <w:i/>
          <w:iCs/>
        </w:rPr>
        <w:t xml:space="preserve"> REA position statement on Hydrogen</w:t>
      </w:r>
    </w:p>
    <w:p w14:paraId="11E31D79" w14:textId="77777777" w:rsidR="00412F13" w:rsidRPr="00FB1C93" w:rsidRDefault="00412F13">
      <w:pPr>
        <w:pStyle w:val="PlainText"/>
        <w:rPr>
          <w:lang w:val="en-GB"/>
        </w:rPr>
      </w:pPr>
    </w:p>
    <w:p w14:paraId="50EE5DE8" w14:textId="7A238B6C" w:rsidR="00412F13" w:rsidRPr="000034E7" w:rsidRDefault="00CC09AF">
      <w:pPr>
        <w:pStyle w:val="Heading2"/>
        <w:rPr>
          <w:rFonts w:ascii="Open Sans" w:hAnsi="Open Sans" w:cs="Open Sans"/>
          <w:lang w:val="en-GB"/>
        </w:rPr>
      </w:pPr>
      <w:r w:rsidRPr="000034E7">
        <w:rPr>
          <w:rFonts w:ascii="Open Sans" w:hAnsi="Open Sans" w:cs="Open Sans"/>
          <w:lang w:val="en-GB"/>
        </w:rPr>
        <w:t xml:space="preserve">The </w:t>
      </w:r>
      <w:r w:rsidR="00ED3FF6" w:rsidRPr="000034E7">
        <w:rPr>
          <w:rFonts w:ascii="Open Sans" w:hAnsi="Open Sans" w:cs="Open Sans"/>
          <w:lang w:val="en-GB"/>
        </w:rPr>
        <w:t>Benefits of sustainable hydrogen</w:t>
      </w:r>
    </w:p>
    <w:p w14:paraId="63957AE6" w14:textId="7E4D0FB0" w:rsidR="00412F13" w:rsidRPr="000034E7" w:rsidRDefault="00ED3FF6">
      <w:pPr>
        <w:pStyle w:val="PlainText"/>
        <w:rPr>
          <w:rFonts w:ascii="Open Sans" w:hAnsi="Open Sans" w:cs="Open Sans"/>
          <w:lang w:val="en-GB"/>
        </w:rPr>
      </w:pPr>
      <w:r w:rsidRPr="000034E7">
        <w:rPr>
          <w:rFonts w:ascii="Open Sans" w:eastAsia="Arial Unicode MS" w:hAnsi="Open Sans" w:cs="Open Sans"/>
          <w:lang w:val="en-GB"/>
        </w:rPr>
        <w:t>Hydrogen is a carbon free energy carrier with the potential to decarbonise challenging sectors (</w:t>
      </w:r>
      <w:r w:rsidR="00CA08A7" w:rsidRPr="000034E7">
        <w:rPr>
          <w:rFonts w:ascii="Open Sans" w:eastAsia="Arial Unicode MS" w:hAnsi="Open Sans" w:cs="Open Sans"/>
          <w:lang w:val="en-GB"/>
        </w:rPr>
        <w:t>e.g.</w:t>
      </w:r>
      <w:r w:rsidR="00010BB3" w:rsidRPr="000034E7">
        <w:rPr>
          <w:rFonts w:ascii="Open Sans" w:eastAsia="Arial Unicode MS" w:hAnsi="Open Sans" w:cs="Open Sans"/>
          <w:lang w:val="en-GB"/>
        </w:rPr>
        <w:t xml:space="preserve"> </w:t>
      </w:r>
      <w:r w:rsidRPr="000034E7">
        <w:rPr>
          <w:rFonts w:ascii="Open Sans" w:eastAsia="Arial Unicode MS" w:hAnsi="Open Sans" w:cs="Open Sans"/>
          <w:lang w:val="en-GB"/>
        </w:rPr>
        <w:t>industrial clusters</w:t>
      </w:r>
      <w:r w:rsidR="003A0007" w:rsidRPr="000034E7">
        <w:rPr>
          <w:rFonts w:ascii="Open Sans" w:eastAsia="Arial Unicode MS" w:hAnsi="Open Sans" w:cs="Open Sans"/>
          <w:lang w:val="en-GB"/>
        </w:rPr>
        <w:t xml:space="preserve">, </w:t>
      </w:r>
      <w:proofErr w:type="gramStart"/>
      <w:r w:rsidR="003A0007" w:rsidRPr="000034E7">
        <w:rPr>
          <w:rFonts w:ascii="Open Sans" w:eastAsia="Arial Unicode MS" w:hAnsi="Open Sans" w:cs="Open Sans"/>
          <w:lang w:val="en-GB"/>
        </w:rPr>
        <w:t>heating</w:t>
      </w:r>
      <w:proofErr w:type="gramEnd"/>
      <w:r w:rsidR="003A0007" w:rsidRPr="000034E7">
        <w:rPr>
          <w:rFonts w:ascii="Open Sans" w:eastAsia="Arial Unicode MS" w:hAnsi="Open Sans" w:cs="Open Sans"/>
          <w:lang w:val="en-GB"/>
        </w:rPr>
        <w:t xml:space="preserve"> and </w:t>
      </w:r>
      <w:r w:rsidR="00010BB3" w:rsidRPr="000034E7">
        <w:rPr>
          <w:rFonts w:ascii="Open Sans" w:eastAsia="Arial Unicode MS" w:hAnsi="Open Sans" w:cs="Open Sans"/>
          <w:lang w:val="en-GB"/>
        </w:rPr>
        <w:t xml:space="preserve">transport - in particular </w:t>
      </w:r>
      <w:r w:rsidRPr="000034E7">
        <w:rPr>
          <w:rFonts w:ascii="Open Sans" w:eastAsia="Arial Unicode MS" w:hAnsi="Open Sans" w:cs="Open Sans"/>
          <w:lang w:val="en-GB"/>
        </w:rPr>
        <w:t>aviation, marine</w:t>
      </w:r>
      <w:r w:rsidR="003A0007" w:rsidRPr="000034E7">
        <w:rPr>
          <w:rFonts w:ascii="Open Sans" w:eastAsia="Arial Unicode MS" w:hAnsi="Open Sans" w:cs="Open Sans"/>
          <w:lang w:val="en-GB"/>
        </w:rPr>
        <w:t xml:space="preserve"> and </w:t>
      </w:r>
      <w:r w:rsidRPr="000034E7">
        <w:rPr>
          <w:rFonts w:ascii="Open Sans" w:eastAsia="Arial Unicode MS" w:hAnsi="Open Sans" w:cs="Open Sans"/>
          <w:lang w:val="en-GB"/>
        </w:rPr>
        <w:t>heavy freight)</w:t>
      </w:r>
      <w:r w:rsidR="00CA08A7" w:rsidRPr="000034E7">
        <w:rPr>
          <w:rFonts w:ascii="Open Sans" w:eastAsia="Arial Unicode MS" w:hAnsi="Open Sans" w:cs="Open Sans"/>
          <w:lang w:val="en-GB"/>
        </w:rPr>
        <w:t>.</w:t>
      </w:r>
      <w:r w:rsidRPr="000034E7">
        <w:rPr>
          <w:rFonts w:ascii="Open Sans" w:eastAsia="Arial Unicode MS" w:hAnsi="Open Sans" w:cs="Open Sans"/>
          <w:lang w:val="en-GB"/>
        </w:rPr>
        <w:t xml:space="preserve">  It can also be used for large scale energy storage.  Hydrogen has zero emissions at the point of use, but its upstream or “well to tank” </w:t>
      </w:r>
      <w:r w:rsidR="00C048A7">
        <w:rPr>
          <w:rFonts w:ascii="Open Sans" w:eastAsia="Arial Unicode MS" w:hAnsi="Open Sans" w:cs="Open Sans"/>
          <w:lang w:val="en-GB"/>
        </w:rPr>
        <w:t>(</w:t>
      </w:r>
      <w:proofErr w:type="spellStart"/>
      <w:r w:rsidR="00C048A7">
        <w:rPr>
          <w:rFonts w:ascii="Open Sans" w:eastAsia="Arial Unicode MS" w:hAnsi="Open Sans" w:cs="Open Sans"/>
          <w:lang w:val="en-GB"/>
        </w:rPr>
        <w:t>WtT</w:t>
      </w:r>
      <w:proofErr w:type="spellEnd"/>
      <w:r w:rsidR="00C048A7">
        <w:rPr>
          <w:rFonts w:ascii="Open Sans" w:eastAsia="Arial Unicode MS" w:hAnsi="Open Sans" w:cs="Open Sans"/>
          <w:lang w:val="en-GB"/>
        </w:rPr>
        <w:t xml:space="preserve">) </w:t>
      </w:r>
      <w:r w:rsidRPr="000034E7">
        <w:rPr>
          <w:rFonts w:ascii="Open Sans" w:eastAsia="Arial Unicode MS" w:hAnsi="Open Sans" w:cs="Open Sans"/>
          <w:lang w:val="en-GB"/>
        </w:rPr>
        <w:t>emissions vary considerably, depending on how it is made.</w:t>
      </w:r>
    </w:p>
    <w:p w14:paraId="7898BFCA" w14:textId="77777777" w:rsidR="00412F13" w:rsidRPr="000034E7" w:rsidRDefault="00412F13">
      <w:pPr>
        <w:pStyle w:val="PlainText"/>
        <w:rPr>
          <w:rFonts w:ascii="Open Sans" w:hAnsi="Open Sans" w:cs="Open Sans"/>
          <w:lang w:val="en-GB"/>
        </w:rPr>
      </w:pPr>
    </w:p>
    <w:p w14:paraId="17029A5A" w14:textId="4257049F" w:rsidR="00412F13" w:rsidRPr="000034E7" w:rsidRDefault="00ED3FF6">
      <w:pPr>
        <w:pStyle w:val="PlainText"/>
        <w:rPr>
          <w:rFonts w:ascii="Open Sans" w:hAnsi="Open Sans" w:cs="Open Sans"/>
          <w:lang w:val="en-GB"/>
        </w:rPr>
      </w:pPr>
      <w:r w:rsidRPr="000034E7">
        <w:rPr>
          <w:rFonts w:ascii="Open Sans" w:eastAsia="Arial Unicode MS" w:hAnsi="Open Sans" w:cs="Open Sans"/>
          <w:lang w:val="en-GB"/>
        </w:rPr>
        <w:t xml:space="preserve">There is much interest in the role that hydrogen can play in a future energy system, and the EU </w:t>
      </w:r>
      <w:r w:rsidR="00010BB3" w:rsidRPr="000034E7">
        <w:rPr>
          <w:rFonts w:ascii="Open Sans" w:eastAsia="Arial Unicode MS" w:hAnsi="Open Sans" w:cs="Open Sans"/>
          <w:lang w:val="en-GB"/>
        </w:rPr>
        <w:t xml:space="preserve"> is </w:t>
      </w:r>
      <w:r w:rsidRPr="000034E7">
        <w:rPr>
          <w:rFonts w:ascii="Open Sans" w:eastAsia="Arial Unicode MS" w:hAnsi="Open Sans" w:cs="Open Sans"/>
          <w:lang w:val="en-GB"/>
        </w:rPr>
        <w:t>planning to make this one of the keystones of a stimulus package for a green recovery from the Coronavirus epidemic</w:t>
      </w:r>
      <w:r w:rsidR="00010BB3" w:rsidRPr="000034E7">
        <w:rPr>
          <w:rFonts w:ascii="Open Sans" w:eastAsia="Arial Unicode MS" w:hAnsi="Open Sans" w:cs="Open Sans"/>
          <w:lang w:val="en-GB"/>
        </w:rPr>
        <w:t>, with significant announcements imminent</w:t>
      </w:r>
      <w:r w:rsidRPr="000034E7">
        <w:rPr>
          <w:rFonts w:ascii="Open Sans" w:eastAsia="Arial Unicode MS" w:hAnsi="Open Sans" w:cs="Open Sans"/>
          <w:lang w:val="en-GB"/>
        </w:rPr>
        <w:t>.</w:t>
      </w:r>
      <w:r w:rsidR="00CA08A7" w:rsidRPr="000034E7">
        <w:rPr>
          <w:rFonts w:ascii="Open Sans" w:eastAsia="Arial Unicode MS" w:hAnsi="Open Sans" w:cs="Open Sans"/>
          <w:lang w:val="en-GB"/>
        </w:rPr>
        <w:t xml:space="preserve">  </w:t>
      </w:r>
      <w:r w:rsidR="008854E1" w:rsidRPr="000034E7">
        <w:rPr>
          <w:rFonts w:ascii="Open Sans" w:eastAsia="Arial Unicode MS" w:hAnsi="Open Sans" w:cs="Open Sans"/>
          <w:lang w:val="en-GB"/>
        </w:rPr>
        <w:t>T</w:t>
      </w:r>
      <w:r w:rsidR="003A0007" w:rsidRPr="000034E7">
        <w:rPr>
          <w:rFonts w:ascii="Open Sans" w:eastAsia="Arial Unicode MS" w:hAnsi="Open Sans" w:cs="Open Sans"/>
          <w:lang w:val="en-GB"/>
        </w:rPr>
        <w:t>he German Government</w:t>
      </w:r>
      <w:r w:rsidR="008854E1" w:rsidRPr="000034E7">
        <w:rPr>
          <w:rFonts w:ascii="Open Sans" w:eastAsia="Arial Unicode MS" w:hAnsi="Open Sans" w:cs="Open Sans"/>
          <w:lang w:val="en-GB"/>
        </w:rPr>
        <w:t xml:space="preserve"> recently</w:t>
      </w:r>
      <w:r w:rsidR="003A0007" w:rsidRPr="000034E7">
        <w:rPr>
          <w:rFonts w:ascii="Open Sans" w:eastAsia="Arial Unicode MS" w:hAnsi="Open Sans" w:cs="Open Sans"/>
          <w:lang w:val="en-GB"/>
        </w:rPr>
        <w:t xml:space="preserve"> announced a </w:t>
      </w:r>
      <w:r w:rsidR="00397208" w:rsidRPr="000034E7">
        <w:rPr>
          <w:rFonts w:ascii="Open Sans" w:eastAsia="Arial Unicode MS" w:hAnsi="Open Sans" w:cs="Open Sans"/>
          <w:lang w:val="en-GB"/>
        </w:rPr>
        <w:t xml:space="preserve">National Hydrogen Strategy, with a </w:t>
      </w:r>
      <w:r w:rsidR="003A0007" w:rsidRPr="000034E7">
        <w:rPr>
          <w:rFonts w:ascii="Open Sans" w:eastAsia="Times New Roman" w:hAnsi="Open Sans" w:cs="Open Sans"/>
        </w:rPr>
        <w:t>5GW target for electrolysis by 2030</w:t>
      </w:r>
      <w:r w:rsidR="00397208" w:rsidRPr="000034E7">
        <w:rPr>
          <w:rStyle w:val="FootnoteReference"/>
          <w:rFonts w:ascii="Open Sans" w:eastAsia="Times New Roman" w:hAnsi="Open Sans" w:cs="Open Sans"/>
        </w:rPr>
        <w:footnoteReference w:id="2"/>
      </w:r>
      <w:r w:rsidR="00CA08A7" w:rsidRPr="000034E7">
        <w:rPr>
          <w:rFonts w:ascii="Open Sans" w:eastAsia="Arial Unicode MS" w:hAnsi="Open Sans" w:cs="Open Sans"/>
          <w:lang w:val="en-GB"/>
        </w:rPr>
        <w:t>.</w:t>
      </w:r>
    </w:p>
    <w:p w14:paraId="59E82CCF" w14:textId="77777777" w:rsidR="00412F13" w:rsidRPr="000034E7" w:rsidRDefault="00412F13">
      <w:pPr>
        <w:pStyle w:val="PlainText"/>
        <w:rPr>
          <w:rFonts w:ascii="Open Sans" w:hAnsi="Open Sans" w:cs="Open Sans"/>
          <w:lang w:val="en-GB"/>
        </w:rPr>
      </w:pPr>
    </w:p>
    <w:p w14:paraId="3B0BF14B" w14:textId="28454CE5" w:rsidR="00412F13" w:rsidRPr="000034E7" w:rsidRDefault="00ED3FF6">
      <w:pPr>
        <w:pStyle w:val="PlainText"/>
        <w:rPr>
          <w:rFonts w:ascii="Open Sans" w:hAnsi="Open Sans" w:cs="Open Sans"/>
          <w:lang w:val="en-GB"/>
        </w:rPr>
      </w:pPr>
      <w:r w:rsidRPr="000034E7">
        <w:rPr>
          <w:rFonts w:ascii="Open Sans" w:eastAsia="Arial Unicode MS" w:hAnsi="Open Sans" w:cs="Open Sans"/>
          <w:lang w:val="en-GB"/>
        </w:rPr>
        <w:t>There are several projects looking at the role that hydrogen can play in decarbonising the UK gas grid and serving the energy needs of industry.  There are various ways that the development of hydrogen impacts</w:t>
      </w:r>
      <w:r w:rsidR="00397208" w:rsidRPr="000034E7">
        <w:rPr>
          <w:rFonts w:ascii="Open Sans" w:eastAsia="Arial Unicode MS" w:hAnsi="Open Sans" w:cs="Open Sans"/>
          <w:lang w:val="en-GB"/>
        </w:rPr>
        <w:t>,</w:t>
      </w:r>
      <w:r w:rsidRPr="000034E7">
        <w:rPr>
          <w:rFonts w:ascii="Open Sans" w:eastAsia="Arial Unicode MS" w:hAnsi="Open Sans" w:cs="Open Sans"/>
          <w:lang w:val="en-GB"/>
        </w:rPr>
        <w:t xml:space="preserve"> </w:t>
      </w:r>
      <w:r w:rsidR="00010BB3" w:rsidRPr="000034E7">
        <w:rPr>
          <w:rFonts w:ascii="Open Sans" w:eastAsia="Arial Unicode MS" w:hAnsi="Open Sans" w:cs="Open Sans"/>
          <w:lang w:val="en-GB"/>
        </w:rPr>
        <w:t xml:space="preserve">facilitates and interacts with </w:t>
      </w:r>
      <w:r w:rsidRPr="000034E7">
        <w:rPr>
          <w:rFonts w:ascii="Open Sans" w:eastAsia="Arial Unicode MS" w:hAnsi="Open Sans" w:cs="Open Sans"/>
          <w:lang w:val="en-GB"/>
        </w:rPr>
        <w:t>renewable energy deployment and with REA members’ interests.</w:t>
      </w:r>
    </w:p>
    <w:p w14:paraId="543499E5" w14:textId="77777777" w:rsidR="00412F13" w:rsidRPr="000034E7" w:rsidRDefault="00412F13">
      <w:pPr>
        <w:pStyle w:val="PlainText"/>
        <w:rPr>
          <w:rFonts w:ascii="Open Sans" w:hAnsi="Open Sans" w:cs="Open Sans"/>
          <w:lang w:val="en-GB"/>
        </w:rPr>
      </w:pPr>
    </w:p>
    <w:p w14:paraId="0100C342" w14:textId="77777777" w:rsidR="00412F13" w:rsidRPr="000034E7" w:rsidRDefault="00ED3FF6">
      <w:pPr>
        <w:pStyle w:val="Heading3"/>
        <w:rPr>
          <w:rFonts w:ascii="Open Sans" w:hAnsi="Open Sans" w:cs="Open Sans"/>
          <w:lang w:val="en-GB"/>
        </w:rPr>
      </w:pPr>
      <w:r w:rsidRPr="000034E7">
        <w:rPr>
          <w:rFonts w:ascii="Open Sans" w:hAnsi="Open Sans" w:cs="Open Sans"/>
          <w:lang w:val="en-GB"/>
        </w:rPr>
        <w:t>Timescale for comment on this paper</w:t>
      </w:r>
    </w:p>
    <w:p w14:paraId="154F5F05" w14:textId="77777777" w:rsidR="00412F13" w:rsidRPr="000034E7" w:rsidRDefault="00412F13">
      <w:pPr>
        <w:pStyle w:val="PlainText"/>
        <w:rPr>
          <w:rFonts w:ascii="Open Sans" w:hAnsi="Open Sans" w:cs="Open Sans"/>
          <w:lang w:val="en-GB"/>
        </w:rPr>
      </w:pPr>
    </w:p>
    <w:p w14:paraId="25A0BFFB" w14:textId="34ACE5D7" w:rsidR="00412F13" w:rsidRPr="000034E7" w:rsidRDefault="00ED3FF6" w:rsidP="00C048A7">
      <w:pPr>
        <w:pStyle w:val="PlainText"/>
        <w:rPr>
          <w:rFonts w:ascii="Open Sans" w:hAnsi="Open Sans" w:cs="Open Sans"/>
          <w:lang w:val="en-GB"/>
        </w:rPr>
      </w:pPr>
      <w:r w:rsidRPr="000034E7">
        <w:rPr>
          <w:rFonts w:ascii="Open Sans" w:eastAsia="Arial Unicode MS" w:hAnsi="Open Sans" w:cs="Open Sans"/>
          <w:lang w:val="en-GB"/>
        </w:rPr>
        <w:t>This paper is the first statement of the REA’s position on hydrogen</w:t>
      </w:r>
      <w:r w:rsidR="00A0013B">
        <w:rPr>
          <w:rFonts w:ascii="Open Sans" w:eastAsia="Arial Unicode MS" w:hAnsi="Open Sans" w:cs="Open Sans"/>
          <w:lang w:val="en-GB"/>
        </w:rPr>
        <w:t>.</w:t>
      </w:r>
      <w:r w:rsidR="00CC09AF" w:rsidRPr="000034E7">
        <w:rPr>
          <w:rFonts w:ascii="Open Sans" w:eastAsia="Arial Unicode MS" w:hAnsi="Open Sans" w:cs="Open Sans"/>
          <w:lang w:val="en-GB"/>
        </w:rPr>
        <w:t xml:space="preserve"> </w:t>
      </w:r>
    </w:p>
    <w:p w14:paraId="22F1B63F" w14:textId="3F09E3B4" w:rsidR="00412F13" w:rsidRPr="000034E7" w:rsidRDefault="00ED3FF6">
      <w:pPr>
        <w:pStyle w:val="Body"/>
        <w:rPr>
          <w:rFonts w:ascii="Open Sans" w:hAnsi="Open Sans" w:cs="Open Sans"/>
          <w:lang w:val="en-GB"/>
        </w:rPr>
      </w:pPr>
      <w:r w:rsidRPr="000034E7">
        <w:rPr>
          <w:rFonts w:ascii="Open Sans" w:hAnsi="Open Sans" w:cs="Open Sans"/>
          <w:lang w:val="en-GB"/>
        </w:rPr>
        <w:t xml:space="preserve">Please send in comments to </w:t>
      </w:r>
      <w:hyperlink r:id="rId8" w:history="1">
        <w:r w:rsidRPr="000034E7">
          <w:rPr>
            <w:rStyle w:val="Hyperlink0"/>
            <w:rFonts w:ascii="Open Sans" w:hAnsi="Open Sans" w:cs="Open Sans"/>
            <w:lang w:val="en-GB"/>
          </w:rPr>
          <w:t>ghartnell@r-e-a.net</w:t>
        </w:r>
      </w:hyperlink>
      <w:r w:rsidRPr="000034E7">
        <w:rPr>
          <w:rFonts w:ascii="Open Sans" w:hAnsi="Open Sans" w:cs="Open Sans"/>
          <w:lang w:val="en-GB"/>
        </w:rPr>
        <w:t xml:space="preserve"> by the </w:t>
      </w:r>
      <w:r w:rsidR="00C048A7">
        <w:rPr>
          <w:rFonts w:ascii="Open Sans" w:hAnsi="Open Sans" w:cs="Open Sans"/>
          <w:lang w:val="en-GB"/>
        </w:rPr>
        <w:t>end of July</w:t>
      </w:r>
      <w:r w:rsidRPr="000034E7">
        <w:rPr>
          <w:rFonts w:ascii="Open Sans" w:hAnsi="Open Sans" w:cs="Open Sans"/>
          <w:lang w:val="en-GB"/>
        </w:rPr>
        <w:t xml:space="preserve">.  </w:t>
      </w:r>
    </w:p>
    <w:p w14:paraId="6BD2A6CA" w14:textId="5605B991" w:rsidR="00412F13" w:rsidRPr="000034E7" w:rsidRDefault="00412F13">
      <w:pPr>
        <w:pStyle w:val="Body"/>
        <w:widowControl w:val="0"/>
        <w:spacing w:after="0" w:line="240" w:lineRule="auto"/>
        <w:rPr>
          <w:rFonts w:ascii="Open Sans" w:hAnsi="Open Sans" w:cs="Open Sans"/>
          <w:lang w:val="en-GB"/>
        </w:rPr>
      </w:pPr>
    </w:p>
    <w:p w14:paraId="0B5594E6" w14:textId="1AF3489D" w:rsidR="00412F13" w:rsidRPr="000034E7" w:rsidRDefault="00ED3FF6">
      <w:pPr>
        <w:pStyle w:val="Heading2"/>
        <w:rPr>
          <w:rFonts w:ascii="Open Sans" w:hAnsi="Open Sans" w:cs="Open Sans"/>
          <w:lang w:val="en-GB"/>
        </w:rPr>
      </w:pPr>
      <w:r w:rsidRPr="000034E7">
        <w:rPr>
          <w:rFonts w:ascii="Open Sans" w:hAnsi="Open Sans" w:cs="Open Sans"/>
          <w:lang w:val="en-GB"/>
        </w:rPr>
        <w:t>Hydrogen production routes and GHG characteristics</w:t>
      </w:r>
    </w:p>
    <w:p w14:paraId="5B390BFB" w14:textId="3DB866FC" w:rsidR="003D03FE" w:rsidRPr="000034E7" w:rsidRDefault="002765F2" w:rsidP="00397208">
      <w:pPr>
        <w:rPr>
          <w:rFonts w:ascii="Open Sans" w:hAnsi="Open Sans" w:cs="Open Sans"/>
          <w:lang w:val="en-GB"/>
        </w:rPr>
      </w:pPr>
      <w:r w:rsidRPr="000034E7">
        <w:rPr>
          <w:rFonts w:ascii="Open Sans" w:hAnsi="Open Sans" w:cs="Open Sans"/>
          <w:lang w:val="en-GB"/>
        </w:rPr>
        <w:t xml:space="preserve">This table summarises the </w:t>
      </w:r>
      <w:proofErr w:type="gramStart"/>
      <w:r w:rsidRPr="000034E7">
        <w:rPr>
          <w:rFonts w:ascii="Open Sans" w:hAnsi="Open Sans" w:cs="Open Sans"/>
          <w:lang w:val="en-GB"/>
        </w:rPr>
        <w:t>various different</w:t>
      </w:r>
      <w:proofErr w:type="gramEnd"/>
      <w:r w:rsidRPr="000034E7">
        <w:rPr>
          <w:rFonts w:ascii="Open Sans" w:hAnsi="Open Sans" w:cs="Open Sans"/>
          <w:lang w:val="en-GB"/>
        </w:rPr>
        <w:t xml:space="preserve"> means of producing hydrogen and the terminology used and the ranges of emissions involved.  The emission characteristics vary widely, from being significantly higher than natural gas, to being negative.  </w:t>
      </w:r>
      <w:r w:rsidR="00397208" w:rsidRPr="000034E7">
        <w:rPr>
          <w:rFonts w:ascii="Open Sans" w:hAnsi="Open Sans" w:cs="Open Sans"/>
          <w:lang w:val="en-GB"/>
        </w:rPr>
        <w:t xml:space="preserve">The degree of certainty regarding some of the figures is lower for some than for others.  </w:t>
      </w:r>
      <w:proofErr w:type="gramStart"/>
      <w:r w:rsidR="00397208" w:rsidRPr="000034E7">
        <w:rPr>
          <w:rFonts w:ascii="Open Sans" w:hAnsi="Open Sans" w:cs="Open Sans"/>
          <w:lang w:val="en-GB"/>
        </w:rPr>
        <w:t>In particular, there</w:t>
      </w:r>
      <w:proofErr w:type="gramEnd"/>
      <w:r w:rsidR="00397208" w:rsidRPr="000034E7">
        <w:rPr>
          <w:rFonts w:ascii="Open Sans" w:hAnsi="Open Sans" w:cs="Open Sans"/>
          <w:lang w:val="en-GB"/>
        </w:rPr>
        <w:t xml:space="preserve"> is significant uncertainty around</w:t>
      </w:r>
      <w:r w:rsidR="00C048A7">
        <w:rPr>
          <w:rFonts w:ascii="Open Sans" w:hAnsi="Open Sans" w:cs="Open Sans"/>
          <w:lang w:val="en-GB"/>
        </w:rPr>
        <w:t xml:space="preserve"> the emissions performance of</w:t>
      </w:r>
      <w:r w:rsidR="008854E1" w:rsidRPr="000034E7">
        <w:rPr>
          <w:rFonts w:ascii="Open Sans" w:hAnsi="Open Sans" w:cs="Open Sans"/>
          <w:lang w:val="en-GB"/>
        </w:rPr>
        <w:t xml:space="preserve"> Carbon Capture and Storage</w:t>
      </w:r>
      <w:r w:rsidR="00397208" w:rsidRPr="000034E7">
        <w:rPr>
          <w:rFonts w:ascii="Open Sans" w:hAnsi="Open Sans" w:cs="Open Sans"/>
          <w:lang w:val="en-GB"/>
        </w:rPr>
        <w:t xml:space="preserve"> </w:t>
      </w:r>
      <w:r w:rsidR="008854E1" w:rsidRPr="000034E7">
        <w:rPr>
          <w:rFonts w:ascii="Open Sans" w:hAnsi="Open Sans" w:cs="Open Sans"/>
          <w:lang w:val="en-GB"/>
        </w:rPr>
        <w:t>(</w:t>
      </w:r>
      <w:r w:rsidR="00397208" w:rsidRPr="000034E7">
        <w:rPr>
          <w:rFonts w:ascii="Open Sans" w:hAnsi="Open Sans" w:cs="Open Sans"/>
          <w:lang w:val="en-GB"/>
        </w:rPr>
        <w:t>CCS</w:t>
      </w:r>
      <w:r w:rsidR="008854E1" w:rsidRPr="000034E7">
        <w:rPr>
          <w:rFonts w:ascii="Open Sans" w:hAnsi="Open Sans" w:cs="Open Sans"/>
          <w:lang w:val="en-GB"/>
        </w:rPr>
        <w:t>)</w:t>
      </w:r>
      <w:r w:rsidR="00397208" w:rsidRPr="000034E7">
        <w:rPr>
          <w:rFonts w:ascii="Open Sans" w:hAnsi="Open Sans" w:cs="Open Sans"/>
          <w:lang w:val="en-GB"/>
        </w:rPr>
        <w:t xml:space="preserve">. </w:t>
      </w:r>
      <w:r w:rsidR="00AB22A8" w:rsidRPr="000034E7">
        <w:rPr>
          <w:rFonts w:ascii="Open Sans" w:hAnsi="Open Sans" w:cs="Open Sans"/>
          <w:lang w:val="en-GB"/>
        </w:rPr>
        <w:t xml:space="preserve"> </w:t>
      </w:r>
    </w:p>
    <w:p w14:paraId="63F10D9C" w14:textId="77777777" w:rsidR="00397208" w:rsidRPr="000034E7" w:rsidRDefault="00397208" w:rsidP="00587E21">
      <w:pPr>
        <w:rPr>
          <w:rFonts w:ascii="Open Sans" w:hAnsi="Open Sans" w:cs="Open Sans"/>
          <w:lang w:val="en-GB"/>
        </w:rPr>
      </w:pPr>
    </w:p>
    <w:p w14:paraId="5DA394A3" w14:textId="0176B7D4" w:rsidR="00A0013B" w:rsidRDefault="002765F2" w:rsidP="00FB1C93">
      <w:pPr>
        <w:rPr>
          <w:rFonts w:ascii="Open Sans" w:hAnsi="Open Sans" w:cs="Open Sans"/>
          <w:lang w:val="en-GB"/>
        </w:rPr>
      </w:pPr>
      <w:r w:rsidRPr="000034E7">
        <w:rPr>
          <w:rFonts w:ascii="Open Sans" w:hAnsi="Open Sans" w:cs="Open Sans"/>
          <w:lang w:val="en-GB"/>
        </w:rPr>
        <w:t xml:space="preserve">Only renewable sources of energy provide the opportunity to achieve zero emissions (via electrolysis), or negative emissions (via biomass with carbon capture and storage - BECCS). </w:t>
      </w:r>
      <w:r w:rsidR="00397208" w:rsidRPr="000034E7">
        <w:rPr>
          <w:rFonts w:ascii="Open Sans" w:hAnsi="Open Sans" w:cs="Open Sans"/>
          <w:lang w:val="en-GB"/>
        </w:rPr>
        <w:t xml:space="preserve"> </w:t>
      </w:r>
      <w:r w:rsidR="001B2A4D" w:rsidRPr="000034E7">
        <w:rPr>
          <w:rFonts w:ascii="Open Sans" w:hAnsi="Open Sans" w:cs="Open Sans"/>
          <w:lang w:val="en-GB"/>
        </w:rPr>
        <w:t xml:space="preserve">Entirely renewable hydrogen </w:t>
      </w:r>
      <w:r w:rsidR="008854E1" w:rsidRPr="000034E7">
        <w:rPr>
          <w:rFonts w:ascii="Open Sans" w:hAnsi="Open Sans" w:cs="Open Sans"/>
          <w:lang w:val="en-GB"/>
        </w:rPr>
        <w:t xml:space="preserve">should be </w:t>
      </w:r>
      <w:r w:rsidR="001B2A4D" w:rsidRPr="000034E7">
        <w:rPr>
          <w:rFonts w:ascii="Open Sans" w:hAnsi="Open Sans" w:cs="Open Sans"/>
          <w:lang w:val="en-GB"/>
        </w:rPr>
        <w:t>the goal</w:t>
      </w:r>
      <w:r w:rsidR="008854E1" w:rsidRPr="000034E7">
        <w:rPr>
          <w:rFonts w:ascii="Open Sans" w:hAnsi="Open Sans" w:cs="Open Sans"/>
          <w:lang w:val="en-GB"/>
        </w:rPr>
        <w:t xml:space="preserve"> of new hydrogen production in the REA’s view</w:t>
      </w:r>
      <w:r w:rsidR="001B2A4D" w:rsidRPr="000034E7">
        <w:rPr>
          <w:rFonts w:ascii="Open Sans" w:hAnsi="Open Sans" w:cs="Open Sans"/>
          <w:lang w:val="en-GB"/>
        </w:rPr>
        <w:t>.</w:t>
      </w:r>
    </w:p>
    <w:p w14:paraId="4276F0F2" w14:textId="77777777" w:rsidR="00A0013B" w:rsidRDefault="00A0013B">
      <w:pPr>
        <w:rPr>
          <w:rFonts w:ascii="Open Sans" w:hAnsi="Open Sans" w:cs="Open Sans"/>
          <w:lang w:val="en-GB"/>
        </w:rPr>
      </w:pPr>
      <w:r>
        <w:rPr>
          <w:rFonts w:ascii="Open Sans" w:hAnsi="Open Sans" w:cs="Open Sans"/>
          <w:lang w:val="en-GB"/>
        </w:rPr>
        <w:br w:type="page"/>
      </w:r>
    </w:p>
    <w:tbl>
      <w:tblPr>
        <w:tblW w:w="101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1"/>
        <w:gridCol w:w="2098"/>
        <w:gridCol w:w="3013"/>
        <w:gridCol w:w="2454"/>
      </w:tblGrid>
      <w:tr w:rsidR="00412F13" w:rsidRPr="000034E7" w14:paraId="4F69E341" w14:textId="77777777" w:rsidTr="00A0013B">
        <w:trPr>
          <w:trHeight w:val="100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FA56A" w14:textId="7BD4E1A4" w:rsidR="00412F13" w:rsidRPr="000034E7" w:rsidRDefault="00ED3FF6" w:rsidP="0093731B">
            <w:pPr>
              <w:pStyle w:val="PlainText"/>
              <w:jc w:val="center"/>
              <w:rPr>
                <w:rFonts w:ascii="Open Sans" w:hAnsi="Open Sans" w:cs="Open Sans"/>
                <w:b/>
                <w:bCs/>
                <w:sz w:val="20"/>
                <w:szCs w:val="20"/>
                <w:lang w:val="en-GB"/>
              </w:rPr>
            </w:pPr>
            <w:r w:rsidRPr="000034E7">
              <w:rPr>
                <w:rFonts w:ascii="Open Sans" w:hAnsi="Open Sans" w:cs="Open Sans"/>
                <w:b/>
                <w:bCs/>
                <w:sz w:val="20"/>
                <w:szCs w:val="20"/>
                <w:lang w:val="en-GB"/>
              </w:rPr>
              <w:lastRenderedPageBreak/>
              <w:t>Production methods</w:t>
            </w:r>
          </w:p>
          <w:p w14:paraId="30E15A26" w14:textId="504C2A29" w:rsidR="00AB22A8" w:rsidRPr="000034E7" w:rsidRDefault="00AB22A8" w:rsidP="0093731B">
            <w:pPr>
              <w:pStyle w:val="PlainText"/>
              <w:jc w:val="center"/>
              <w:rPr>
                <w:rFonts w:ascii="Open Sans" w:hAnsi="Open Sans" w:cs="Open Sans"/>
                <w:b/>
                <w:bCs/>
                <w:sz w:val="20"/>
                <w:szCs w:val="20"/>
                <w:lang w:val="en-GB"/>
              </w:rPr>
            </w:pPr>
            <w:r w:rsidRPr="000034E7">
              <w:rPr>
                <w:rFonts w:ascii="Open Sans" w:hAnsi="Open Sans" w:cs="Open Sans"/>
                <w:b/>
                <w:bCs/>
                <w:sz w:val="20"/>
                <w:szCs w:val="20"/>
                <w:lang w:val="en-GB"/>
              </w:rPr>
              <w:t>+</w:t>
            </w:r>
          </w:p>
          <w:p w14:paraId="7EB9B889" w14:textId="6A5605B0" w:rsidR="00AB22A8" w:rsidRPr="000034E7" w:rsidRDefault="00AB22A8" w:rsidP="0093731B">
            <w:pPr>
              <w:pStyle w:val="PlainText"/>
              <w:jc w:val="center"/>
              <w:rPr>
                <w:rFonts w:ascii="Open Sans" w:hAnsi="Open Sans" w:cs="Open Sans"/>
                <w:b/>
                <w:bCs/>
                <w:lang w:val="en-GB"/>
              </w:rPr>
            </w:pPr>
            <w:r w:rsidRPr="000034E7">
              <w:rPr>
                <w:rFonts w:ascii="Open Sans" w:hAnsi="Open Sans" w:cs="Open Sans"/>
                <w:b/>
                <w:bCs/>
                <w:i/>
                <w:iCs/>
                <w:sz w:val="20"/>
                <w:szCs w:val="20"/>
                <w:lang w:val="en-GB"/>
              </w:rPr>
              <w:t>Cost estimates in £/MWh for 2025, from CCC report</w:t>
            </w:r>
            <w:r w:rsidRPr="000034E7">
              <w:rPr>
                <w:rStyle w:val="FootnoteReference"/>
                <w:rFonts w:ascii="Open Sans" w:hAnsi="Open Sans" w:cs="Open Sans"/>
                <w:b/>
                <w:bCs/>
                <w:sz w:val="20"/>
                <w:szCs w:val="20"/>
                <w:lang w:val="en-GB"/>
              </w:rPr>
              <w:footnoteReference w:id="3"/>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96811" w14:textId="77777777" w:rsidR="00412F13" w:rsidRPr="000034E7" w:rsidRDefault="00ED3FF6" w:rsidP="0093731B">
            <w:pPr>
              <w:pStyle w:val="PlainText"/>
              <w:jc w:val="center"/>
              <w:rPr>
                <w:rFonts w:ascii="Open Sans" w:hAnsi="Open Sans" w:cs="Open Sans"/>
                <w:b/>
                <w:bCs/>
                <w:lang w:val="en-GB"/>
              </w:rPr>
            </w:pPr>
            <w:r w:rsidRPr="000034E7">
              <w:rPr>
                <w:rFonts w:ascii="Open Sans" w:hAnsi="Open Sans" w:cs="Open Sans"/>
                <w:b/>
                <w:bCs/>
                <w:sz w:val="20"/>
                <w:szCs w:val="20"/>
                <w:lang w:val="en-GB"/>
              </w:rPr>
              <w:t>Terminology</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A173C" w14:textId="77777777" w:rsidR="00412F13" w:rsidRPr="000034E7" w:rsidRDefault="00ED3FF6" w:rsidP="0093731B">
            <w:pPr>
              <w:pStyle w:val="PlainText"/>
              <w:jc w:val="center"/>
              <w:rPr>
                <w:rFonts w:ascii="Open Sans" w:hAnsi="Open Sans" w:cs="Open Sans"/>
                <w:b/>
                <w:bCs/>
                <w:lang w:val="en-GB"/>
              </w:rPr>
            </w:pPr>
            <w:r w:rsidRPr="000034E7">
              <w:rPr>
                <w:rFonts w:ascii="Open Sans" w:hAnsi="Open Sans" w:cs="Open Sans"/>
                <w:b/>
                <w:bCs/>
                <w:sz w:val="20"/>
                <w:szCs w:val="20"/>
                <w:lang w:val="en-GB"/>
              </w:rPr>
              <w:t>CO</w:t>
            </w:r>
            <w:r w:rsidRPr="000034E7">
              <w:rPr>
                <w:rFonts w:ascii="Open Sans" w:hAnsi="Open Sans" w:cs="Open Sans"/>
                <w:b/>
                <w:bCs/>
                <w:sz w:val="20"/>
                <w:szCs w:val="20"/>
                <w:vertAlign w:val="subscript"/>
                <w:lang w:val="en-GB"/>
              </w:rPr>
              <w:t>2</w:t>
            </w:r>
            <w:r w:rsidRPr="000034E7">
              <w:rPr>
                <w:rFonts w:ascii="Open Sans" w:hAnsi="Open Sans" w:cs="Open Sans"/>
                <w:b/>
                <w:bCs/>
                <w:sz w:val="20"/>
                <w:szCs w:val="20"/>
                <w:lang w:val="en-GB"/>
              </w:rPr>
              <w:t>e emissions in g/MJ HHV (savings as % of natural gas in 2030)</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A4870" w14:textId="77777777" w:rsidR="00412F13" w:rsidRPr="000034E7" w:rsidRDefault="00ED3FF6" w:rsidP="0093731B">
            <w:pPr>
              <w:pStyle w:val="PlainText"/>
              <w:jc w:val="center"/>
              <w:rPr>
                <w:rFonts w:ascii="Open Sans" w:hAnsi="Open Sans" w:cs="Open Sans"/>
                <w:b/>
                <w:bCs/>
                <w:lang w:val="en-GB"/>
              </w:rPr>
            </w:pPr>
            <w:r w:rsidRPr="000034E7">
              <w:rPr>
                <w:rFonts w:ascii="Open Sans" w:hAnsi="Open Sans" w:cs="Open Sans"/>
                <w:b/>
                <w:bCs/>
                <w:sz w:val="20"/>
                <w:szCs w:val="20"/>
                <w:lang w:val="en-GB"/>
              </w:rPr>
              <w:t>Notes / comments</w:t>
            </w:r>
          </w:p>
        </w:tc>
      </w:tr>
      <w:tr w:rsidR="00412F13" w:rsidRPr="000034E7" w14:paraId="5C3CAEA1" w14:textId="77777777" w:rsidTr="00A0013B">
        <w:trPr>
          <w:trHeight w:val="74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0041D"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Unabated SMR of fossil fuels (mainly gas)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A9BA9"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Grey (sometimes “Brown”) 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2750A" w14:textId="5329CF9C" w:rsidR="00412F13" w:rsidRPr="000034E7" w:rsidRDefault="009A02C3">
            <w:pPr>
              <w:pStyle w:val="Body"/>
              <w:spacing w:after="0" w:line="240" w:lineRule="auto"/>
              <w:rPr>
                <w:rFonts w:ascii="Open Sans" w:hAnsi="Open Sans" w:cs="Open Sans"/>
                <w:lang w:val="en-GB"/>
              </w:rPr>
            </w:pPr>
            <w:proofErr w:type="gramStart"/>
            <w:r w:rsidRPr="000034E7">
              <w:rPr>
                <w:rFonts w:ascii="Open Sans" w:hAnsi="Open Sans" w:cs="Open Sans"/>
                <w:sz w:val="20"/>
                <w:szCs w:val="20"/>
                <w:lang w:val="en-GB"/>
              </w:rPr>
              <w:t>91  This</w:t>
            </w:r>
            <w:proofErr w:type="gramEnd"/>
            <w:r w:rsidRPr="000034E7">
              <w:rPr>
                <w:rFonts w:ascii="Open Sans" w:hAnsi="Open Sans" w:cs="Open Sans"/>
                <w:sz w:val="20"/>
                <w:szCs w:val="20"/>
                <w:lang w:val="en-GB"/>
              </w:rPr>
              <w:t xml:space="preserve"> </w:t>
            </w:r>
            <w:r w:rsidR="00ED3FF6" w:rsidRPr="000034E7">
              <w:rPr>
                <w:rFonts w:ascii="Open Sans" w:hAnsi="Open Sans" w:cs="Open Sans"/>
                <w:sz w:val="20"/>
                <w:szCs w:val="20"/>
                <w:lang w:val="en-GB"/>
              </w:rPr>
              <w:t>exceed</w:t>
            </w:r>
            <w:r w:rsidRPr="000034E7">
              <w:rPr>
                <w:rFonts w:ascii="Open Sans" w:hAnsi="Open Sans" w:cs="Open Sans"/>
                <w:sz w:val="20"/>
                <w:szCs w:val="20"/>
                <w:lang w:val="en-GB"/>
              </w:rPr>
              <w:t>s</w:t>
            </w:r>
            <w:r w:rsidR="00ED3FF6" w:rsidRPr="000034E7">
              <w:rPr>
                <w:rFonts w:ascii="Open Sans" w:hAnsi="Open Sans" w:cs="Open Sans"/>
                <w:sz w:val="20"/>
                <w:szCs w:val="20"/>
                <w:lang w:val="en-GB"/>
              </w:rPr>
              <w:t xml:space="preserve"> that of natural gas</w:t>
            </w:r>
            <w:r w:rsidRPr="000034E7">
              <w:rPr>
                <w:rStyle w:val="FootnoteReference"/>
                <w:rFonts w:ascii="Open Sans" w:hAnsi="Open Sans" w:cs="Open Sans"/>
                <w:sz w:val="20"/>
                <w:szCs w:val="20"/>
                <w:lang w:val="en-GB"/>
              </w:rPr>
              <w:footnoteReference w:id="4"/>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0E7E2"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Clearly this is not to be advocated</w:t>
            </w:r>
          </w:p>
        </w:tc>
      </w:tr>
      <w:tr w:rsidR="00412F13" w:rsidRPr="000034E7" w14:paraId="58468F86" w14:textId="77777777" w:rsidTr="00A0013B">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609E7" w14:textId="52C85640"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 xml:space="preserve">Electrolysis using electricity produced from </w:t>
            </w:r>
            <w:r w:rsidR="009A02C3" w:rsidRPr="000034E7">
              <w:rPr>
                <w:rFonts w:ascii="Open Sans" w:hAnsi="Open Sans" w:cs="Open Sans"/>
                <w:sz w:val="20"/>
                <w:szCs w:val="20"/>
                <w:lang w:val="en-GB"/>
              </w:rPr>
              <w:t>grid electricity</w:t>
            </w:r>
          </w:p>
          <w:p w14:paraId="3FB3F285" w14:textId="77777777" w:rsidR="00DE5E6E" w:rsidRPr="000034E7" w:rsidRDefault="00DE5E6E">
            <w:pPr>
              <w:pStyle w:val="PlainText"/>
              <w:rPr>
                <w:rFonts w:ascii="Open Sans" w:hAnsi="Open Sans" w:cs="Open Sans"/>
                <w:sz w:val="20"/>
                <w:szCs w:val="20"/>
                <w:lang w:val="en-GB"/>
              </w:rPr>
            </w:pPr>
          </w:p>
          <w:p w14:paraId="1F04350D" w14:textId="728EEC21" w:rsidR="00DE5E6E" w:rsidRPr="000034E7" w:rsidRDefault="00DE5E6E" w:rsidP="00DE5E6E">
            <w:pPr>
              <w:pStyle w:val="PlainText"/>
              <w:jc w:val="center"/>
              <w:rPr>
                <w:rFonts w:ascii="Open Sans" w:hAnsi="Open Sans" w:cs="Open Sans"/>
                <w:b/>
                <w:bCs/>
                <w:i/>
                <w:iCs/>
                <w:lang w:val="en-GB"/>
              </w:rPr>
            </w:pPr>
            <w:r w:rsidRPr="000034E7">
              <w:rPr>
                <w:rFonts w:ascii="Open Sans" w:hAnsi="Open Sans" w:cs="Open Sans"/>
                <w:b/>
                <w:bCs/>
                <w:i/>
                <w:iCs/>
                <w:sz w:val="20"/>
                <w:szCs w:val="20"/>
                <w:lang w:val="en-GB"/>
              </w:rPr>
              <w:t>£89 – 90 depending on technology NB electricity accounts for 80 – 86% of the costs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3F009" w14:textId="77777777" w:rsidR="00412F13" w:rsidRPr="000034E7" w:rsidRDefault="00412F13" w:rsidP="00FB1C93">
            <w:pPr>
              <w:rPr>
                <w:rFonts w:ascii="Open Sans" w:hAnsi="Open Sans" w:cs="Open Sans"/>
                <w:lang w:val="en-GB"/>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C91F1" w14:textId="7005A99E" w:rsidR="00412F13" w:rsidRPr="000034E7" w:rsidRDefault="009A02C3">
            <w:pPr>
              <w:pStyle w:val="PlainText"/>
              <w:rPr>
                <w:rFonts w:ascii="Open Sans" w:hAnsi="Open Sans" w:cs="Open Sans"/>
                <w:lang w:val="en-GB"/>
              </w:rPr>
            </w:pPr>
            <w:r w:rsidRPr="000034E7">
              <w:rPr>
                <w:rFonts w:ascii="Open Sans" w:hAnsi="Open Sans" w:cs="Open Sans"/>
                <w:sz w:val="20"/>
                <w:szCs w:val="20"/>
                <w:lang w:val="en-GB"/>
              </w:rPr>
              <w:t>This will vary according to the carbon intensity of the grid and other assumptions on the timing of hydrogen production</w:t>
            </w:r>
            <w:r w:rsidRPr="000034E7">
              <w:rPr>
                <w:rFonts w:ascii="Open Sans" w:hAnsi="Open Sans" w:cs="Open Sans"/>
                <w:lang w:val="en-GB"/>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78A04" w14:textId="24490783" w:rsidR="00412F13" w:rsidRPr="000034E7" w:rsidRDefault="009A02C3" w:rsidP="0011498F">
            <w:pPr>
              <w:rPr>
                <w:rFonts w:ascii="Open Sans" w:hAnsi="Open Sans" w:cs="Open Sans"/>
                <w:lang w:val="en-GB"/>
              </w:rPr>
            </w:pPr>
            <w:r w:rsidRPr="000034E7">
              <w:rPr>
                <w:rFonts w:ascii="Open Sans" w:hAnsi="Open Sans" w:cs="Open Sans"/>
                <w:u w:color="000000"/>
                <w:lang w:val="en-GB" w:eastAsia="en-GB"/>
              </w:rPr>
              <w:t xml:space="preserve">For information, the </w:t>
            </w:r>
            <w:proofErr w:type="spellStart"/>
            <w:r w:rsidRPr="000034E7">
              <w:rPr>
                <w:rFonts w:ascii="Open Sans" w:hAnsi="Open Sans" w:cs="Open Sans"/>
                <w:u w:color="000000"/>
                <w:lang w:val="en-GB" w:eastAsia="en-GB"/>
              </w:rPr>
              <w:t>CertifHy</w:t>
            </w:r>
            <w:proofErr w:type="spellEnd"/>
            <w:r w:rsidRPr="000034E7">
              <w:rPr>
                <w:rFonts w:ascii="Open Sans" w:hAnsi="Open Sans" w:cs="Open Sans"/>
                <w:u w:color="000000"/>
                <w:lang w:val="en-GB" w:eastAsia="en-GB"/>
              </w:rPr>
              <w:t xml:space="preserve"> project suggests that the threshold for which hydrogen could be regarded as low carbon is 364 g CO2e/MJ</w:t>
            </w:r>
          </w:p>
        </w:tc>
      </w:tr>
      <w:tr w:rsidR="00412F13" w:rsidRPr="000034E7" w14:paraId="61042AB7" w14:textId="77777777" w:rsidTr="00A0013B">
        <w:trPr>
          <w:trHeight w:val="116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D9E1"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ATR of fossil fuels, with CCS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F4A2D"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Blue 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9E74" w14:textId="77777777"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6 - 12 (80% - 89%)</w:t>
            </w:r>
          </w:p>
          <w:p w14:paraId="70849697" w14:textId="77777777" w:rsidR="00412F13" w:rsidRPr="000034E7" w:rsidRDefault="00ED3FF6">
            <w:pPr>
              <w:pStyle w:val="CommentText"/>
              <w:rPr>
                <w:rFonts w:ascii="Open Sans" w:hAnsi="Open Sans" w:cs="Open Sans"/>
                <w:lang w:val="en-GB"/>
              </w:rPr>
            </w:pPr>
            <w:r w:rsidRPr="000034E7">
              <w:rPr>
                <w:rFonts w:ascii="Open Sans" w:hAnsi="Open Sans" w:cs="Open Sans"/>
                <w:lang w:val="en-GB"/>
              </w:rPr>
              <w:t xml:space="preserve">Inputs for calculation taken from BEIS </w:t>
            </w:r>
            <w:proofErr w:type="spellStart"/>
            <w:r w:rsidRPr="000034E7">
              <w:rPr>
                <w:rFonts w:ascii="Open Sans" w:hAnsi="Open Sans" w:cs="Open Sans"/>
                <w:lang w:val="en-GB"/>
              </w:rPr>
              <w:t>Hynet</w:t>
            </w:r>
            <w:proofErr w:type="spellEnd"/>
            <w:r w:rsidRPr="000034E7">
              <w:rPr>
                <w:rFonts w:ascii="Open Sans" w:hAnsi="Open Sans" w:cs="Open Sans"/>
                <w:lang w:val="en-GB"/>
              </w:rPr>
              <w:t xml:space="preserve"> report  </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1FF84"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Variation is according to gas source and CCS capture rate</w:t>
            </w:r>
          </w:p>
        </w:tc>
      </w:tr>
      <w:tr w:rsidR="00412F13" w:rsidRPr="000034E7" w14:paraId="21122F64" w14:textId="77777777" w:rsidTr="00A0013B">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6FDBF" w14:textId="77777777"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SMR of fossil fuels, with CCS</w:t>
            </w:r>
          </w:p>
          <w:p w14:paraId="77E79E6C" w14:textId="7AF6799D" w:rsidR="00DE5E6E" w:rsidRPr="000034E7" w:rsidRDefault="00DE5E6E" w:rsidP="00DE5E6E">
            <w:pPr>
              <w:pStyle w:val="PlainText"/>
              <w:jc w:val="center"/>
              <w:rPr>
                <w:rFonts w:ascii="Open Sans" w:hAnsi="Open Sans" w:cs="Open Sans"/>
                <w:b/>
                <w:bCs/>
                <w:i/>
                <w:iCs/>
                <w:lang w:val="en-GB"/>
              </w:rPr>
            </w:pPr>
            <w:r w:rsidRPr="000034E7">
              <w:rPr>
                <w:rFonts w:ascii="Open Sans" w:hAnsi="Open Sans" w:cs="Open Sans"/>
                <w:b/>
                <w:bCs/>
                <w:i/>
                <w:iCs/>
                <w:sz w:val="20"/>
                <w:szCs w:val="20"/>
                <w:lang w:val="en-GB"/>
              </w:rPr>
              <w:t>£32 - 50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7D50"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Blue 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52514"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13 - 20 (65% - 76%) (Inputs for calculation taken from H21 report)</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C40E4" w14:textId="20B202D6"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Variation is according to gas source, see ref above</w:t>
            </w:r>
          </w:p>
        </w:tc>
      </w:tr>
      <w:tr w:rsidR="00412F13" w:rsidRPr="000034E7" w14:paraId="26BCBE46" w14:textId="77777777" w:rsidTr="00A0013B">
        <w:trPr>
          <w:trHeight w:val="74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A198" w14:textId="77777777" w:rsidR="00DE5E6E"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Gasification of biomass</w:t>
            </w:r>
          </w:p>
          <w:p w14:paraId="51B0CA85" w14:textId="73C11ED2" w:rsidR="00412F13" w:rsidRPr="000034E7" w:rsidRDefault="00DE5E6E" w:rsidP="00DE5E6E">
            <w:pPr>
              <w:pStyle w:val="PlainText"/>
              <w:jc w:val="center"/>
              <w:rPr>
                <w:rFonts w:ascii="Open Sans" w:hAnsi="Open Sans" w:cs="Open Sans"/>
                <w:b/>
                <w:bCs/>
                <w:i/>
                <w:iCs/>
                <w:lang w:val="en-GB"/>
              </w:rPr>
            </w:pPr>
            <w:r w:rsidRPr="000034E7">
              <w:rPr>
                <w:rFonts w:ascii="Open Sans" w:hAnsi="Open Sans" w:cs="Open Sans"/>
                <w:b/>
                <w:bCs/>
                <w:i/>
                <w:iCs/>
                <w:sz w:val="20"/>
                <w:szCs w:val="20"/>
                <w:lang w:val="en-GB"/>
              </w:rPr>
              <w:t>£106 with CCS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63D31"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Biohydrogen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6315B" w14:textId="77777777"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13 (78%) (without CCS)</w:t>
            </w:r>
          </w:p>
          <w:p w14:paraId="12503E83" w14:textId="77777777"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-89 (254%) (with CCS)</w:t>
            </w:r>
          </w:p>
          <w:p w14:paraId="2B7AE1E3"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Based on go green gas report</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88115" w14:textId="77777777" w:rsidR="00412F13" w:rsidRPr="000034E7" w:rsidRDefault="00412F13" w:rsidP="0011498F">
            <w:pPr>
              <w:rPr>
                <w:rFonts w:ascii="Open Sans" w:hAnsi="Open Sans" w:cs="Open Sans"/>
                <w:lang w:val="en-GB"/>
              </w:rPr>
            </w:pPr>
          </w:p>
        </w:tc>
      </w:tr>
      <w:tr w:rsidR="00412F13" w:rsidRPr="000034E7" w14:paraId="3E59FB9C" w14:textId="77777777" w:rsidTr="00A0013B">
        <w:trPr>
          <w:trHeight w:val="74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C4D63"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SMR of renewable methane (from biogas)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18D27"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Biohydrogen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1083B" w14:textId="77777777" w:rsidR="00412F13" w:rsidRPr="000034E7" w:rsidRDefault="00ED3FF6">
            <w:pPr>
              <w:pStyle w:val="PlainText"/>
              <w:rPr>
                <w:rFonts w:ascii="Open Sans" w:hAnsi="Open Sans" w:cs="Open Sans"/>
                <w:sz w:val="20"/>
                <w:szCs w:val="20"/>
                <w:lang w:val="en-GB"/>
              </w:rPr>
            </w:pPr>
            <w:r w:rsidRPr="000034E7">
              <w:rPr>
                <w:rFonts w:ascii="Open Sans" w:hAnsi="Open Sans" w:cs="Open Sans"/>
                <w:sz w:val="20"/>
                <w:szCs w:val="20"/>
                <w:lang w:val="en-GB"/>
              </w:rPr>
              <w:t>111 (50%) (without CCS)</w:t>
            </w:r>
          </w:p>
          <w:p w14:paraId="59058B09" w14:textId="3538F47D"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 xml:space="preserve">-125 (157%) (with </w:t>
            </w:r>
            <w:proofErr w:type="gramStart"/>
            <w:r w:rsidRPr="000034E7">
              <w:rPr>
                <w:rFonts w:ascii="Open Sans" w:hAnsi="Open Sans" w:cs="Open Sans"/>
                <w:sz w:val="20"/>
                <w:szCs w:val="20"/>
                <w:lang w:val="en-GB"/>
              </w:rPr>
              <w:t>CCS)</w:t>
            </w:r>
            <w:r w:rsidR="009A02C3" w:rsidRPr="000034E7">
              <w:rPr>
                <w:rFonts w:ascii="Open Sans" w:hAnsi="Open Sans" w:cs="Open Sans"/>
                <w:sz w:val="20"/>
                <w:szCs w:val="20"/>
                <w:lang w:val="en-GB"/>
              </w:rPr>
              <w:t xml:space="preserve">  These</w:t>
            </w:r>
            <w:proofErr w:type="gramEnd"/>
            <w:r w:rsidR="009A02C3" w:rsidRPr="000034E7">
              <w:rPr>
                <w:rFonts w:ascii="Open Sans" w:hAnsi="Open Sans" w:cs="Open Sans"/>
                <w:sz w:val="20"/>
                <w:szCs w:val="20"/>
                <w:lang w:val="en-GB"/>
              </w:rPr>
              <w:t xml:space="preserve"> figures </w:t>
            </w:r>
            <w:r w:rsidR="002765F2" w:rsidRPr="000034E7">
              <w:rPr>
                <w:rFonts w:ascii="Open Sans" w:hAnsi="Open Sans" w:cs="Open Sans"/>
                <w:sz w:val="20"/>
                <w:szCs w:val="20"/>
                <w:lang w:val="en-GB"/>
              </w:rPr>
              <w:t>sho</w:t>
            </w:r>
            <w:r w:rsidR="009A02C3" w:rsidRPr="000034E7">
              <w:rPr>
                <w:rFonts w:ascii="Open Sans" w:hAnsi="Open Sans" w:cs="Open Sans"/>
                <w:sz w:val="20"/>
                <w:szCs w:val="20"/>
                <w:lang w:val="en-GB"/>
              </w:rPr>
              <w:t xml:space="preserve">uld </w:t>
            </w:r>
            <w:r w:rsidR="002765F2" w:rsidRPr="000034E7">
              <w:rPr>
                <w:rFonts w:ascii="Open Sans" w:hAnsi="Open Sans" w:cs="Open Sans"/>
                <w:sz w:val="20"/>
                <w:szCs w:val="20"/>
                <w:lang w:val="en-GB"/>
              </w:rPr>
              <w:t xml:space="preserve">be better for ATR of biogas, but we don’t have figures to support this  </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3BCAC" w14:textId="77777777" w:rsidR="00412F13" w:rsidRPr="000034E7" w:rsidRDefault="00412F13" w:rsidP="0011498F">
            <w:pPr>
              <w:rPr>
                <w:rFonts w:ascii="Open Sans" w:hAnsi="Open Sans" w:cs="Open Sans"/>
                <w:lang w:val="en-GB"/>
              </w:rPr>
            </w:pPr>
          </w:p>
        </w:tc>
      </w:tr>
      <w:tr w:rsidR="00412F13" w:rsidRPr="000034E7" w14:paraId="051002C3" w14:textId="77777777" w:rsidTr="00A0013B">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66372"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Electrolysis using renewable electricity</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1C2BC" w14:textId="77777777" w:rsidR="00412F13" w:rsidRPr="000034E7" w:rsidRDefault="00ED3FF6">
            <w:pPr>
              <w:pStyle w:val="PlainText"/>
              <w:rPr>
                <w:rFonts w:ascii="Open Sans" w:hAnsi="Open Sans" w:cs="Open Sans"/>
                <w:b/>
                <w:bCs/>
                <w:lang w:val="en-GB"/>
              </w:rPr>
            </w:pPr>
            <w:r w:rsidRPr="000034E7">
              <w:rPr>
                <w:rFonts w:ascii="Open Sans" w:hAnsi="Open Sans" w:cs="Open Sans"/>
                <w:b/>
                <w:bCs/>
                <w:sz w:val="20"/>
                <w:szCs w:val="20"/>
                <w:lang w:val="en-GB"/>
              </w:rPr>
              <w:t>Green hydrogen</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9A97" w14:textId="77777777" w:rsidR="00412F13" w:rsidRPr="000034E7" w:rsidRDefault="00ED3FF6">
            <w:pPr>
              <w:pStyle w:val="PlainText"/>
              <w:rPr>
                <w:rFonts w:ascii="Open Sans" w:hAnsi="Open Sans" w:cs="Open Sans"/>
                <w:lang w:val="en-GB"/>
              </w:rPr>
            </w:pPr>
            <w:r w:rsidRPr="000034E7">
              <w:rPr>
                <w:rFonts w:ascii="Open Sans" w:hAnsi="Open Sans" w:cs="Open Sans"/>
                <w:sz w:val="20"/>
                <w:szCs w:val="20"/>
                <w:lang w:val="en-GB"/>
              </w:rPr>
              <w:t>0 (100%)</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F42BB" w14:textId="77777777" w:rsidR="00412F13" w:rsidRPr="000034E7" w:rsidRDefault="00412F13" w:rsidP="0011498F">
            <w:pPr>
              <w:rPr>
                <w:rFonts w:ascii="Open Sans" w:hAnsi="Open Sans" w:cs="Open Sans"/>
                <w:lang w:val="en-GB"/>
              </w:rPr>
            </w:pPr>
          </w:p>
        </w:tc>
      </w:tr>
    </w:tbl>
    <w:p w14:paraId="5246AC02" w14:textId="77777777" w:rsidR="00412F13" w:rsidRPr="000034E7" w:rsidRDefault="00412F13">
      <w:pPr>
        <w:pStyle w:val="PlainText"/>
        <w:widowControl w:val="0"/>
        <w:rPr>
          <w:rFonts w:ascii="Open Sans" w:hAnsi="Open Sans" w:cs="Open Sans"/>
          <w:lang w:val="en-GB"/>
        </w:rPr>
      </w:pPr>
    </w:p>
    <w:p w14:paraId="7C41B944" w14:textId="77777777" w:rsidR="00412F13" w:rsidRPr="000034E7" w:rsidRDefault="00412F13">
      <w:pPr>
        <w:pStyle w:val="PlainText"/>
        <w:rPr>
          <w:rFonts w:ascii="Open Sans" w:hAnsi="Open Sans" w:cs="Open Sans"/>
          <w:lang w:val="en-GB"/>
        </w:rPr>
      </w:pPr>
    </w:p>
    <w:p w14:paraId="006D5F2B" w14:textId="61BD5B2D" w:rsidR="00412F13" w:rsidRPr="000034E7" w:rsidRDefault="008854E1">
      <w:pPr>
        <w:pStyle w:val="PlainText"/>
        <w:rPr>
          <w:rFonts w:ascii="Open Sans" w:hAnsi="Open Sans" w:cs="Open Sans"/>
          <w:lang w:val="en-GB"/>
        </w:rPr>
      </w:pPr>
      <w:r w:rsidRPr="000034E7">
        <w:rPr>
          <w:rFonts w:ascii="Open Sans" w:eastAsia="Arial Unicode MS" w:hAnsi="Open Sans" w:cs="Open Sans"/>
          <w:lang w:val="en-GB"/>
        </w:rPr>
        <w:t xml:space="preserve">Note: </w:t>
      </w:r>
      <w:r w:rsidR="00D34AF2" w:rsidRPr="000034E7">
        <w:rPr>
          <w:rFonts w:ascii="Open Sans" w:eastAsia="Arial Unicode MS" w:hAnsi="Open Sans" w:cs="Open Sans"/>
          <w:lang w:val="en-GB"/>
        </w:rPr>
        <w:t xml:space="preserve">  </w:t>
      </w:r>
      <w:proofErr w:type="gramStart"/>
      <w:r w:rsidR="00ED3FF6" w:rsidRPr="000034E7">
        <w:rPr>
          <w:rFonts w:ascii="Open Sans" w:eastAsia="Arial Unicode MS" w:hAnsi="Open Sans" w:cs="Open Sans"/>
          <w:lang w:val="en-GB"/>
        </w:rPr>
        <w:t xml:space="preserve">ATR </w:t>
      </w:r>
      <w:r w:rsidR="002765F2" w:rsidRPr="000034E7">
        <w:rPr>
          <w:rFonts w:ascii="Open Sans" w:eastAsia="Arial Unicode MS" w:hAnsi="Open Sans" w:cs="Open Sans"/>
          <w:lang w:val="en-GB"/>
        </w:rPr>
        <w:t xml:space="preserve"> =</w:t>
      </w:r>
      <w:proofErr w:type="gramEnd"/>
      <w:r w:rsidR="002765F2" w:rsidRPr="000034E7">
        <w:rPr>
          <w:rFonts w:ascii="Open Sans" w:eastAsia="Arial Unicode MS" w:hAnsi="Open Sans" w:cs="Open Sans"/>
          <w:lang w:val="en-GB"/>
        </w:rPr>
        <w:t xml:space="preserve"> Autothermal reforming.</w:t>
      </w:r>
      <w:r w:rsidR="00D34AF2" w:rsidRPr="000034E7">
        <w:rPr>
          <w:rFonts w:ascii="Open Sans" w:eastAsia="Arial Unicode MS" w:hAnsi="Open Sans" w:cs="Open Sans"/>
          <w:lang w:val="en-GB"/>
        </w:rPr>
        <w:t xml:space="preserve">  SMR = Steam Methane Reforming.  An explanation of the difference is reproduced at the end of this paper.</w:t>
      </w:r>
    </w:p>
    <w:p w14:paraId="7EE892AA" w14:textId="77777777" w:rsidR="00412F13" w:rsidRPr="000034E7" w:rsidRDefault="00412F13">
      <w:pPr>
        <w:pStyle w:val="PlainText"/>
        <w:rPr>
          <w:rFonts w:ascii="Open Sans" w:hAnsi="Open Sans" w:cs="Open Sans"/>
          <w:lang w:val="en-GB"/>
        </w:rPr>
      </w:pPr>
    </w:p>
    <w:p w14:paraId="7397BC4F" w14:textId="09D20FC4" w:rsidR="00412F13" w:rsidRPr="000034E7" w:rsidRDefault="00ED3FF6" w:rsidP="007301B2">
      <w:pPr>
        <w:pStyle w:val="Heading2"/>
        <w:rPr>
          <w:rFonts w:ascii="Open Sans" w:hAnsi="Open Sans" w:cs="Open Sans"/>
          <w:lang w:val="en-GB"/>
        </w:rPr>
      </w:pPr>
      <w:r w:rsidRPr="000034E7">
        <w:rPr>
          <w:rFonts w:ascii="Open Sans" w:hAnsi="Open Sans" w:cs="Open Sans"/>
          <w:lang w:val="en-GB"/>
        </w:rPr>
        <w:t xml:space="preserve">What </w:t>
      </w:r>
      <w:r w:rsidR="00FD185E" w:rsidRPr="000034E7">
        <w:rPr>
          <w:rFonts w:ascii="Open Sans" w:hAnsi="Open Sans" w:cs="Open Sans"/>
          <w:lang w:val="en-GB"/>
        </w:rPr>
        <w:t>is</w:t>
      </w:r>
      <w:r w:rsidRPr="000034E7">
        <w:rPr>
          <w:rFonts w:ascii="Open Sans" w:hAnsi="Open Sans" w:cs="Open Sans"/>
          <w:lang w:val="en-GB"/>
        </w:rPr>
        <w:t xml:space="preserve"> REA</w:t>
      </w:r>
      <w:r w:rsidR="00FD185E" w:rsidRPr="000034E7">
        <w:rPr>
          <w:rFonts w:ascii="Open Sans" w:hAnsi="Open Sans" w:cs="Open Sans"/>
          <w:lang w:val="en-GB"/>
        </w:rPr>
        <w:t>’s position</w:t>
      </w:r>
      <w:r w:rsidRPr="000034E7">
        <w:rPr>
          <w:rFonts w:ascii="Open Sans" w:hAnsi="Open Sans" w:cs="Open Sans"/>
          <w:lang w:val="en-GB"/>
        </w:rPr>
        <w:t xml:space="preserve"> on the</w:t>
      </w:r>
      <w:r w:rsidR="00FD185E" w:rsidRPr="000034E7">
        <w:rPr>
          <w:rFonts w:ascii="Open Sans" w:hAnsi="Open Sans" w:cs="Open Sans"/>
          <w:lang w:val="en-GB"/>
        </w:rPr>
        <w:t xml:space="preserve"> various</w:t>
      </w:r>
      <w:r w:rsidRPr="000034E7">
        <w:rPr>
          <w:rFonts w:ascii="Open Sans" w:hAnsi="Open Sans" w:cs="Open Sans"/>
          <w:lang w:val="en-GB"/>
        </w:rPr>
        <w:t xml:space="preserve"> forms of hydrogen</w:t>
      </w:r>
      <w:r w:rsidRPr="000034E7">
        <w:rPr>
          <w:rFonts w:ascii="Open Sans" w:hAnsi="Open Sans" w:cs="Open Sans"/>
          <w:u w:val="none"/>
          <w:lang w:val="en-GB"/>
        </w:rPr>
        <w:t>?</w:t>
      </w:r>
    </w:p>
    <w:p w14:paraId="7424F8D7" w14:textId="05BB12C6" w:rsidR="002B42B0" w:rsidRDefault="002B42B0" w:rsidP="002B42B0">
      <w:pPr>
        <w:pStyle w:val="PlainText"/>
        <w:rPr>
          <w:rFonts w:ascii="Open Sans" w:eastAsia="Arial Unicode MS" w:hAnsi="Open Sans" w:cs="Open Sans"/>
          <w:lang w:val="en-GB"/>
        </w:rPr>
      </w:pPr>
      <w:r w:rsidRPr="000034E7">
        <w:rPr>
          <w:rFonts w:ascii="Open Sans" w:eastAsia="Arial Unicode MS" w:hAnsi="Open Sans" w:cs="Open Sans"/>
          <w:lang w:val="en-GB"/>
        </w:rPr>
        <w:t>It is important that carbon emissions are reduced as swiftly as possible, and there is a balance to be struck between building scale by implementing measures which are not perfect, but which can be improved, or restricting deployment to only totally zero carbon measures, which may take longer to scale up.  The extent to which non-zero emission hydrogen production methods (e.g. electrolysis when the grid is not carbon free, or SMR when carried out on fossil fuel) can be viewed as acceptable to stimulate the transition, is debatable.</w:t>
      </w:r>
      <w:r>
        <w:rPr>
          <w:rFonts w:ascii="Open Sans" w:eastAsia="Arial Unicode MS" w:hAnsi="Open Sans" w:cs="Open Sans"/>
          <w:lang w:val="en-GB"/>
        </w:rPr>
        <w:t xml:space="preserve">  Integrating hydrogen into the energy system also has aspects of the </w:t>
      </w:r>
      <w:r w:rsidRPr="000034E7">
        <w:rPr>
          <w:rFonts w:ascii="Open Sans" w:eastAsia="Arial Unicode MS" w:hAnsi="Open Sans" w:cs="Open Sans"/>
          <w:lang w:val="en-GB"/>
        </w:rPr>
        <w:t>chicken and egg</w:t>
      </w:r>
      <w:r>
        <w:rPr>
          <w:rFonts w:ascii="Open Sans" w:eastAsia="Arial Unicode MS" w:hAnsi="Open Sans" w:cs="Open Sans"/>
          <w:lang w:val="en-GB"/>
        </w:rPr>
        <w:t xml:space="preserve"> question</w:t>
      </w:r>
      <w:r w:rsidRPr="000034E7">
        <w:rPr>
          <w:rFonts w:ascii="Open Sans" w:eastAsia="Arial Unicode MS" w:hAnsi="Open Sans" w:cs="Open Sans"/>
          <w:lang w:val="en-GB"/>
        </w:rPr>
        <w:t>.  Deployment is required in both hydrogen production and the infrastructure for hydrogen utilisation.</w:t>
      </w:r>
    </w:p>
    <w:p w14:paraId="3379550F" w14:textId="77777777" w:rsidR="002B42B0" w:rsidRDefault="002B42B0">
      <w:pPr>
        <w:pStyle w:val="PlainText"/>
        <w:rPr>
          <w:rFonts w:ascii="Open Sans" w:eastAsia="Arial Unicode MS" w:hAnsi="Open Sans" w:cs="Open Sans"/>
          <w:lang w:val="en-GB"/>
        </w:rPr>
      </w:pPr>
    </w:p>
    <w:p w14:paraId="1F201E2F" w14:textId="496B466B" w:rsidR="00412F13" w:rsidRPr="000034E7" w:rsidRDefault="00ED3FF6">
      <w:pPr>
        <w:pStyle w:val="PlainText"/>
        <w:rPr>
          <w:rFonts w:ascii="Open Sans" w:hAnsi="Open Sans" w:cs="Open Sans"/>
          <w:lang w:val="en-GB"/>
        </w:rPr>
      </w:pPr>
      <w:r w:rsidRPr="000034E7">
        <w:rPr>
          <w:rFonts w:ascii="Open Sans" w:eastAsia="Arial Unicode MS" w:hAnsi="Open Sans" w:cs="Open Sans"/>
          <w:lang w:val="en-GB"/>
        </w:rPr>
        <w:t xml:space="preserve">Clearly </w:t>
      </w:r>
      <w:r w:rsidRPr="00BD53EC">
        <w:rPr>
          <w:rFonts w:ascii="Open Sans" w:eastAsia="Arial Unicode MS" w:hAnsi="Open Sans" w:cs="Open Sans"/>
          <w:b/>
          <w:bCs/>
          <w:lang w:val="en-GB"/>
        </w:rPr>
        <w:t>grey hydrogen</w:t>
      </w:r>
      <w:r w:rsidRPr="000034E7">
        <w:rPr>
          <w:rFonts w:ascii="Open Sans" w:eastAsia="Arial Unicode MS" w:hAnsi="Open Sans" w:cs="Open Sans"/>
          <w:lang w:val="en-GB"/>
        </w:rPr>
        <w:t xml:space="preserve"> is significantly polluting in terms of GHG emissions</w:t>
      </w:r>
      <w:r w:rsidR="00D34AF2" w:rsidRPr="000034E7">
        <w:rPr>
          <w:rFonts w:ascii="Open Sans" w:eastAsia="Arial Unicode MS" w:hAnsi="Open Sans" w:cs="Open Sans"/>
          <w:lang w:val="en-GB"/>
        </w:rPr>
        <w:t xml:space="preserve">.  It is produced for </w:t>
      </w:r>
      <w:proofErr w:type="gramStart"/>
      <w:r w:rsidR="00D34AF2" w:rsidRPr="000034E7">
        <w:rPr>
          <w:rFonts w:ascii="Open Sans" w:eastAsia="Arial Unicode MS" w:hAnsi="Open Sans" w:cs="Open Sans"/>
          <w:lang w:val="en-GB"/>
        </w:rPr>
        <w:t>a number of</w:t>
      </w:r>
      <w:proofErr w:type="gramEnd"/>
      <w:r w:rsidR="00D34AF2" w:rsidRPr="000034E7">
        <w:rPr>
          <w:rFonts w:ascii="Open Sans" w:eastAsia="Arial Unicode MS" w:hAnsi="Open Sans" w:cs="Open Sans"/>
          <w:lang w:val="en-GB"/>
        </w:rPr>
        <w:t xml:space="preserve"> reasons </w:t>
      </w:r>
      <w:r w:rsidR="00397208" w:rsidRPr="000034E7">
        <w:rPr>
          <w:rFonts w:ascii="Open Sans" w:eastAsia="Arial Unicode MS" w:hAnsi="Open Sans" w:cs="Open Sans"/>
          <w:lang w:val="en-GB"/>
        </w:rPr>
        <w:t>un</w:t>
      </w:r>
      <w:r w:rsidR="00D34AF2" w:rsidRPr="000034E7">
        <w:rPr>
          <w:rFonts w:ascii="Open Sans" w:eastAsia="Arial Unicode MS" w:hAnsi="Open Sans" w:cs="Open Sans"/>
          <w:lang w:val="en-GB"/>
        </w:rPr>
        <w:t xml:space="preserve">related to addressing climate change, but it clearly has no role </w:t>
      </w:r>
      <w:r w:rsidR="008A7836" w:rsidRPr="000034E7">
        <w:rPr>
          <w:rFonts w:ascii="Open Sans" w:eastAsia="Arial Unicode MS" w:hAnsi="Open Sans" w:cs="Open Sans"/>
          <w:lang w:val="en-GB"/>
        </w:rPr>
        <w:t xml:space="preserve">whatsoever </w:t>
      </w:r>
      <w:r w:rsidR="00D34AF2" w:rsidRPr="000034E7">
        <w:rPr>
          <w:rFonts w:ascii="Open Sans" w:eastAsia="Arial Unicode MS" w:hAnsi="Open Sans" w:cs="Open Sans"/>
          <w:lang w:val="en-GB"/>
        </w:rPr>
        <w:t>in addressing global climate change</w:t>
      </w:r>
      <w:r w:rsidR="008A7836" w:rsidRPr="000034E7">
        <w:rPr>
          <w:rFonts w:ascii="Open Sans" w:eastAsia="Arial Unicode MS" w:hAnsi="Open Sans" w:cs="Open Sans"/>
          <w:lang w:val="en-GB"/>
        </w:rPr>
        <w:t>,</w:t>
      </w:r>
      <w:r w:rsidR="00D34AF2" w:rsidRPr="000034E7">
        <w:rPr>
          <w:rFonts w:ascii="Open Sans" w:eastAsia="Arial Unicode MS" w:hAnsi="Open Sans" w:cs="Open Sans"/>
          <w:lang w:val="en-GB"/>
        </w:rPr>
        <w:t xml:space="preserve"> as it makes the problem worse. </w:t>
      </w:r>
      <w:r w:rsidR="008A7836" w:rsidRPr="000034E7">
        <w:rPr>
          <w:rFonts w:ascii="Open Sans" w:eastAsia="Arial Unicode MS" w:hAnsi="Open Sans" w:cs="Open Sans"/>
          <w:lang w:val="en-GB"/>
        </w:rPr>
        <w:t xml:space="preserve">The REA advocates a move to </w:t>
      </w:r>
      <w:r w:rsidR="00D34AF2" w:rsidRPr="000034E7">
        <w:rPr>
          <w:rFonts w:ascii="Open Sans" w:eastAsia="Arial Unicode MS" w:hAnsi="Open Sans" w:cs="Open Sans"/>
          <w:lang w:val="en-GB"/>
        </w:rPr>
        <w:t>greener production methods</w:t>
      </w:r>
      <w:r w:rsidRPr="000034E7">
        <w:rPr>
          <w:rFonts w:ascii="Open Sans" w:eastAsia="Arial Unicode MS" w:hAnsi="Open Sans" w:cs="Open Sans"/>
          <w:lang w:val="en-GB"/>
        </w:rPr>
        <w:t xml:space="preserve">, </w:t>
      </w:r>
      <w:r w:rsidR="008A7836" w:rsidRPr="000034E7">
        <w:rPr>
          <w:rFonts w:ascii="Open Sans" w:eastAsia="Arial Unicode MS" w:hAnsi="Open Sans" w:cs="Open Sans"/>
          <w:lang w:val="en-GB"/>
        </w:rPr>
        <w:t>irrespective of the end use.</w:t>
      </w:r>
    </w:p>
    <w:p w14:paraId="2E32B1BD" w14:textId="77777777" w:rsidR="00412F13" w:rsidRPr="000034E7" w:rsidRDefault="00412F13">
      <w:pPr>
        <w:pStyle w:val="PlainText"/>
        <w:rPr>
          <w:rFonts w:ascii="Open Sans" w:hAnsi="Open Sans" w:cs="Open Sans"/>
          <w:lang w:val="en-GB"/>
        </w:rPr>
      </w:pPr>
    </w:p>
    <w:p w14:paraId="04502349" w14:textId="77777777" w:rsidR="006264CF" w:rsidRPr="000034E7" w:rsidRDefault="00ED3FF6" w:rsidP="006264CF">
      <w:pPr>
        <w:pStyle w:val="PlainText"/>
        <w:rPr>
          <w:rFonts w:ascii="Open Sans" w:eastAsia="Arial Unicode MS" w:hAnsi="Open Sans" w:cs="Open Sans"/>
          <w:lang w:val="en-GB"/>
        </w:rPr>
      </w:pPr>
      <w:r w:rsidRPr="00BD53EC">
        <w:rPr>
          <w:rFonts w:ascii="Open Sans" w:eastAsia="Arial Unicode MS" w:hAnsi="Open Sans" w:cs="Open Sans"/>
          <w:b/>
          <w:bCs/>
          <w:lang w:val="en-GB"/>
        </w:rPr>
        <w:t>Blue hydrogen</w:t>
      </w:r>
      <w:r w:rsidRPr="000034E7">
        <w:rPr>
          <w:rFonts w:ascii="Open Sans" w:eastAsia="Arial Unicode MS" w:hAnsi="Open Sans" w:cs="Open Sans"/>
          <w:lang w:val="en-GB"/>
        </w:rPr>
        <w:t xml:space="preserve">, where the CCS element is operational, </w:t>
      </w:r>
      <w:proofErr w:type="gramStart"/>
      <w:r w:rsidRPr="000034E7">
        <w:rPr>
          <w:rFonts w:ascii="Open Sans" w:eastAsia="Arial Unicode MS" w:hAnsi="Open Sans" w:cs="Open Sans"/>
          <w:lang w:val="en-GB"/>
        </w:rPr>
        <w:t>effective</w:t>
      </w:r>
      <w:proofErr w:type="gramEnd"/>
      <w:r w:rsidRPr="000034E7">
        <w:rPr>
          <w:rFonts w:ascii="Open Sans" w:eastAsia="Arial Unicode MS" w:hAnsi="Open Sans" w:cs="Open Sans"/>
          <w:lang w:val="en-GB"/>
        </w:rPr>
        <w:t xml:space="preserve"> and permanent</w:t>
      </w:r>
      <w:r w:rsidR="007301B2">
        <w:rPr>
          <w:rFonts w:ascii="Open Sans" w:eastAsia="Arial Unicode MS" w:hAnsi="Open Sans" w:cs="Open Sans"/>
          <w:lang w:val="en-GB"/>
        </w:rPr>
        <w:t>,</w:t>
      </w:r>
      <w:r w:rsidRPr="000034E7">
        <w:rPr>
          <w:rFonts w:ascii="Open Sans" w:eastAsia="Arial Unicode MS" w:hAnsi="Open Sans" w:cs="Open Sans"/>
          <w:lang w:val="en-GB"/>
        </w:rPr>
        <w:t xml:space="preserve"> is a</w:t>
      </w:r>
      <w:r w:rsidR="008A7836" w:rsidRPr="000034E7">
        <w:rPr>
          <w:rFonts w:ascii="Open Sans" w:eastAsia="Arial Unicode MS" w:hAnsi="Open Sans" w:cs="Open Sans"/>
          <w:lang w:val="en-GB"/>
        </w:rPr>
        <w:t>n option</w:t>
      </w:r>
      <w:r w:rsidRPr="000034E7">
        <w:rPr>
          <w:rFonts w:ascii="Open Sans" w:eastAsia="Arial Unicode MS" w:hAnsi="Open Sans" w:cs="Open Sans"/>
          <w:lang w:val="en-GB"/>
        </w:rPr>
        <w:t xml:space="preserve"> in the transition towards a net zero carbon economy.  </w:t>
      </w:r>
      <w:r w:rsidR="006264CF" w:rsidRPr="000034E7">
        <w:rPr>
          <w:rFonts w:ascii="Open Sans" w:eastAsia="Arial Unicode MS" w:hAnsi="Open Sans" w:cs="Open Sans"/>
          <w:lang w:val="en-GB"/>
        </w:rPr>
        <w:t>Overall carbon budgets are important</w:t>
      </w:r>
      <w:r w:rsidR="006264CF">
        <w:rPr>
          <w:rFonts w:ascii="Open Sans" w:eastAsia="Arial Unicode MS" w:hAnsi="Open Sans" w:cs="Open Sans"/>
          <w:lang w:val="en-GB"/>
        </w:rPr>
        <w:t xml:space="preserve"> </w:t>
      </w:r>
      <w:r w:rsidR="006264CF" w:rsidRPr="000034E7">
        <w:rPr>
          <w:rFonts w:ascii="Open Sans" w:eastAsia="Arial Unicode MS" w:hAnsi="Open Sans" w:cs="Open Sans"/>
          <w:lang w:val="en-GB"/>
        </w:rPr>
        <w:t>and the sooner that emissions are reduced the better.</w:t>
      </w:r>
      <w:r w:rsidR="006264CF">
        <w:rPr>
          <w:rFonts w:ascii="Open Sans" w:eastAsia="Arial Unicode MS" w:hAnsi="Open Sans" w:cs="Open Sans"/>
          <w:lang w:val="en-GB"/>
        </w:rPr>
        <w:t xml:space="preserve"> The REA will only support a transitional role for blue hydrogen where the carbon is captured and stored or utilised in a </w:t>
      </w:r>
      <w:proofErr w:type="gramStart"/>
      <w:r w:rsidR="006264CF">
        <w:rPr>
          <w:rFonts w:ascii="Open Sans" w:eastAsia="Arial Unicode MS" w:hAnsi="Open Sans" w:cs="Open Sans"/>
          <w:lang w:val="en-GB"/>
        </w:rPr>
        <w:t>long term</w:t>
      </w:r>
      <w:proofErr w:type="gramEnd"/>
      <w:r w:rsidR="006264CF">
        <w:rPr>
          <w:rFonts w:ascii="Open Sans" w:eastAsia="Arial Unicode MS" w:hAnsi="Open Sans" w:cs="Open Sans"/>
          <w:lang w:val="en-GB"/>
        </w:rPr>
        <w:t xml:space="preserve"> application</w:t>
      </w:r>
      <w:r w:rsidR="006264CF">
        <w:rPr>
          <w:rStyle w:val="FootnoteReference"/>
          <w:rFonts w:ascii="Open Sans" w:eastAsia="Arial Unicode MS" w:hAnsi="Open Sans" w:cs="Open Sans"/>
          <w:lang w:val="en-GB"/>
        </w:rPr>
        <w:footnoteReference w:id="5"/>
      </w:r>
      <w:r w:rsidR="006264CF">
        <w:rPr>
          <w:rFonts w:ascii="Open Sans" w:eastAsia="Arial Unicode MS" w:hAnsi="Open Sans" w:cs="Open Sans"/>
          <w:lang w:val="en-GB"/>
        </w:rPr>
        <w:t xml:space="preserve">.  </w:t>
      </w:r>
    </w:p>
    <w:p w14:paraId="1E5885B8" w14:textId="77777777" w:rsidR="00397208" w:rsidRPr="000034E7" w:rsidRDefault="00397208">
      <w:pPr>
        <w:pStyle w:val="PlainText"/>
        <w:rPr>
          <w:rFonts w:ascii="Open Sans" w:eastAsia="Arial Unicode MS" w:hAnsi="Open Sans" w:cs="Open Sans"/>
          <w:lang w:val="en-GB"/>
        </w:rPr>
      </w:pPr>
    </w:p>
    <w:p w14:paraId="55AFA556" w14:textId="5C1FDF9D" w:rsidR="00412F13" w:rsidRPr="000034E7" w:rsidRDefault="00397208">
      <w:pPr>
        <w:pStyle w:val="PlainText"/>
        <w:rPr>
          <w:rFonts w:ascii="Open Sans" w:hAnsi="Open Sans" w:cs="Open Sans"/>
          <w:lang w:val="en-GB"/>
        </w:rPr>
      </w:pPr>
      <w:r w:rsidRPr="00BD53EC">
        <w:rPr>
          <w:rFonts w:ascii="Open Sans" w:hAnsi="Open Sans" w:cs="Open Sans"/>
          <w:b/>
          <w:bCs/>
          <w:lang w:val="en-GB"/>
        </w:rPr>
        <w:t>G</w:t>
      </w:r>
      <w:r w:rsidR="00ED3FF6" w:rsidRPr="00BD53EC">
        <w:rPr>
          <w:rFonts w:ascii="Open Sans" w:hAnsi="Open Sans" w:cs="Open Sans"/>
          <w:b/>
          <w:bCs/>
          <w:lang w:val="en-GB"/>
        </w:rPr>
        <w:t>reen hydrogen</w:t>
      </w:r>
      <w:r w:rsidR="00ED3FF6" w:rsidRPr="000034E7">
        <w:rPr>
          <w:rFonts w:ascii="Open Sans" w:eastAsia="Arial Unicode MS" w:hAnsi="Open Sans" w:cs="Open Sans"/>
          <w:lang w:val="en-GB"/>
        </w:rPr>
        <w:t xml:space="preserve"> and </w:t>
      </w:r>
      <w:r w:rsidR="00ED3FF6" w:rsidRPr="00BD53EC">
        <w:rPr>
          <w:rFonts w:ascii="Open Sans" w:hAnsi="Open Sans" w:cs="Open Sans"/>
          <w:b/>
          <w:bCs/>
          <w:lang w:val="en-GB"/>
        </w:rPr>
        <w:t>biohydrogen</w:t>
      </w:r>
      <w:r w:rsidR="00ED3FF6" w:rsidRPr="000034E7">
        <w:rPr>
          <w:rFonts w:ascii="Open Sans" w:eastAsia="Arial Unicode MS" w:hAnsi="Open Sans" w:cs="Open Sans"/>
          <w:lang w:val="en-GB"/>
        </w:rPr>
        <w:t xml:space="preserve"> are </w:t>
      </w:r>
      <w:r w:rsidR="0016243B" w:rsidRPr="000034E7">
        <w:rPr>
          <w:rFonts w:ascii="Open Sans" w:eastAsia="Arial Unicode MS" w:hAnsi="Open Sans" w:cs="Open Sans"/>
          <w:lang w:val="en-GB"/>
        </w:rPr>
        <w:t>zero</w:t>
      </w:r>
      <w:r w:rsidR="008854E1" w:rsidRPr="000034E7">
        <w:rPr>
          <w:rFonts w:ascii="Open Sans" w:eastAsia="Arial Unicode MS" w:hAnsi="Open Sans" w:cs="Open Sans"/>
          <w:lang w:val="en-GB"/>
        </w:rPr>
        <w:t xml:space="preserve"> emission</w:t>
      </w:r>
      <w:r w:rsidR="0016243B" w:rsidRPr="000034E7">
        <w:rPr>
          <w:rFonts w:ascii="Open Sans" w:eastAsia="Arial Unicode MS" w:hAnsi="Open Sans" w:cs="Open Sans"/>
          <w:lang w:val="en-GB"/>
        </w:rPr>
        <w:t xml:space="preserve"> and the latter </w:t>
      </w:r>
      <w:proofErr w:type="gramStart"/>
      <w:r w:rsidR="0016243B" w:rsidRPr="000034E7">
        <w:rPr>
          <w:rFonts w:ascii="Open Sans" w:eastAsia="Arial Unicode MS" w:hAnsi="Open Sans" w:cs="Open Sans"/>
          <w:lang w:val="en-GB"/>
        </w:rPr>
        <w:t>is</w:t>
      </w:r>
      <w:proofErr w:type="gramEnd"/>
      <w:r w:rsidR="0016243B" w:rsidRPr="000034E7">
        <w:rPr>
          <w:rFonts w:ascii="Open Sans" w:eastAsia="Arial Unicode MS" w:hAnsi="Open Sans" w:cs="Open Sans"/>
          <w:lang w:val="en-GB"/>
        </w:rPr>
        <w:t xml:space="preserve"> potentially negative</w:t>
      </w:r>
      <w:r w:rsidR="00503DC6">
        <w:rPr>
          <w:rFonts w:ascii="Open Sans" w:eastAsia="Arial Unicode MS" w:hAnsi="Open Sans" w:cs="Open Sans"/>
          <w:lang w:val="en-GB"/>
        </w:rPr>
        <w:t xml:space="preserve"> emission</w:t>
      </w:r>
      <w:r w:rsidR="0016243B" w:rsidRPr="000034E7">
        <w:rPr>
          <w:rFonts w:ascii="Open Sans" w:eastAsia="Arial Unicode MS" w:hAnsi="Open Sans" w:cs="Open Sans"/>
          <w:lang w:val="en-GB"/>
        </w:rPr>
        <w:t xml:space="preserve">, </w:t>
      </w:r>
      <w:r w:rsidR="00B026A5">
        <w:rPr>
          <w:rFonts w:ascii="Open Sans" w:eastAsia="Arial Unicode MS" w:hAnsi="Open Sans" w:cs="Open Sans"/>
          <w:lang w:val="en-GB"/>
        </w:rPr>
        <w:t xml:space="preserve">if combined </w:t>
      </w:r>
      <w:r w:rsidR="0016243B" w:rsidRPr="000034E7">
        <w:rPr>
          <w:rFonts w:ascii="Open Sans" w:eastAsia="Arial Unicode MS" w:hAnsi="Open Sans" w:cs="Open Sans"/>
          <w:lang w:val="en-GB"/>
        </w:rPr>
        <w:t xml:space="preserve">with CCS.  </w:t>
      </w:r>
      <w:r w:rsidR="008854E1" w:rsidRPr="000034E7">
        <w:rPr>
          <w:rFonts w:ascii="Open Sans" w:hAnsi="Open Sans" w:cs="Open Sans"/>
          <w:lang w:val="en-GB"/>
        </w:rPr>
        <w:t xml:space="preserve">The REA strongly supports </w:t>
      </w:r>
      <w:r w:rsidR="002B42B0">
        <w:rPr>
          <w:rFonts w:ascii="Open Sans" w:hAnsi="Open Sans" w:cs="Open Sans"/>
          <w:lang w:val="en-GB"/>
        </w:rPr>
        <w:t>these</w:t>
      </w:r>
      <w:r w:rsidR="008854E1" w:rsidRPr="000034E7">
        <w:rPr>
          <w:rFonts w:ascii="Open Sans" w:hAnsi="Open Sans" w:cs="Open Sans"/>
          <w:lang w:val="en-GB"/>
        </w:rPr>
        <w:t xml:space="preserve"> production pathways as they represent the only truly zero or negative GHG emissions forms of </w:t>
      </w:r>
      <w:r w:rsidR="002B42B0">
        <w:rPr>
          <w:rFonts w:ascii="Open Sans" w:hAnsi="Open Sans" w:cs="Open Sans"/>
          <w:lang w:val="en-GB"/>
        </w:rPr>
        <w:t>h</w:t>
      </w:r>
      <w:r w:rsidR="008854E1" w:rsidRPr="000034E7">
        <w:rPr>
          <w:rFonts w:ascii="Open Sans" w:hAnsi="Open Sans" w:cs="Open Sans"/>
          <w:lang w:val="en-GB"/>
        </w:rPr>
        <w:t>ydrogen production.</w:t>
      </w:r>
    </w:p>
    <w:p w14:paraId="569571C1" w14:textId="01E80ADC" w:rsidR="00412F13" w:rsidRDefault="00412F13">
      <w:pPr>
        <w:pStyle w:val="PlainText"/>
        <w:rPr>
          <w:rFonts w:ascii="Open Sans" w:hAnsi="Open Sans" w:cs="Open Sans"/>
          <w:lang w:val="en-GB"/>
        </w:rPr>
      </w:pPr>
    </w:p>
    <w:p w14:paraId="3DF538CB" w14:textId="77777777" w:rsidR="002B42B0" w:rsidRPr="000034E7" w:rsidRDefault="002B42B0">
      <w:pPr>
        <w:pStyle w:val="PlainText"/>
        <w:rPr>
          <w:rFonts w:ascii="Open Sans" w:hAnsi="Open Sans" w:cs="Open Sans"/>
          <w:lang w:val="en-GB"/>
        </w:rPr>
      </w:pPr>
    </w:p>
    <w:p w14:paraId="3E39D713" w14:textId="77777777" w:rsidR="00412F13" w:rsidRPr="000034E7" w:rsidRDefault="00ED3FF6">
      <w:pPr>
        <w:pStyle w:val="Heading2"/>
        <w:rPr>
          <w:rFonts w:ascii="Open Sans" w:hAnsi="Open Sans" w:cs="Open Sans"/>
          <w:lang w:val="en-GB"/>
        </w:rPr>
      </w:pPr>
      <w:r w:rsidRPr="000034E7">
        <w:rPr>
          <w:rFonts w:ascii="Open Sans" w:hAnsi="Open Sans" w:cs="Open Sans"/>
          <w:lang w:val="en-GB"/>
        </w:rPr>
        <w:t xml:space="preserve">How does hydrogen fit in with other REA positions on decarbonising heat and transport? </w:t>
      </w:r>
    </w:p>
    <w:p w14:paraId="4BFCC533" w14:textId="77777777" w:rsidR="00412F13" w:rsidRPr="000034E7" w:rsidRDefault="00412F13">
      <w:pPr>
        <w:pStyle w:val="PlainText"/>
        <w:rPr>
          <w:rFonts w:ascii="Open Sans" w:hAnsi="Open Sans" w:cs="Open Sans"/>
          <w:lang w:val="en-GB"/>
        </w:rPr>
      </w:pPr>
    </w:p>
    <w:p w14:paraId="3B261270" w14:textId="77777777" w:rsidR="00412F13" w:rsidRPr="000034E7" w:rsidRDefault="00ED3FF6">
      <w:pPr>
        <w:pStyle w:val="Heading3"/>
        <w:rPr>
          <w:rFonts w:ascii="Open Sans" w:hAnsi="Open Sans" w:cs="Open Sans"/>
          <w:lang w:val="en-GB"/>
        </w:rPr>
      </w:pPr>
      <w:r w:rsidRPr="000034E7">
        <w:rPr>
          <w:rFonts w:ascii="Open Sans" w:hAnsi="Open Sans" w:cs="Open Sans"/>
          <w:lang w:val="en-GB"/>
        </w:rPr>
        <w:t>Heat</w:t>
      </w:r>
    </w:p>
    <w:p w14:paraId="3E9E3585" w14:textId="5E99BD7E" w:rsidR="00412F13" w:rsidRPr="000034E7" w:rsidRDefault="00ED3FF6">
      <w:pPr>
        <w:pStyle w:val="Body"/>
        <w:rPr>
          <w:rFonts w:ascii="Open Sans" w:hAnsi="Open Sans" w:cs="Open Sans"/>
          <w:lang w:val="en-GB"/>
        </w:rPr>
      </w:pPr>
      <w:r w:rsidRPr="000034E7">
        <w:rPr>
          <w:rFonts w:ascii="Open Sans" w:hAnsi="Open Sans" w:cs="Open Sans"/>
          <w:lang w:val="en-GB"/>
        </w:rPr>
        <w:t xml:space="preserve">There are various forms of renewable heat production (solar thermal, heat pumps, biomass).  The REA continues to support them, and </w:t>
      </w:r>
      <w:r w:rsidR="002D4BA6" w:rsidRPr="000034E7">
        <w:rPr>
          <w:rFonts w:ascii="Open Sans" w:hAnsi="Open Sans" w:cs="Open Sans"/>
          <w:lang w:val="en-GB"/>
        </w:rPr>
        <w:t xml:space="preserve">the use of renewable [or low carbon] </w:t>
      </w:r>
      <w:r w:rsidRPr="000034E7">
        <w:rPr>
          <w:rFonts w:ascii="Open Sans" w:hAnsi="Open Sans" w:cs="Open Sans"/>
          <w:lang w:val="en-GB"/>
        </w:rPr>
        <w:t xml:space="preserve">hydrogen </w:t>
      </w:r>
      <w:r w:rsidR="002D4BA6" w:rsidRPr="000034E7">
        <w:rPr>
          <w:rFonts w:ascii="Open Sans" w:hAnsi="Open Sans" w:cs="Open Sans"/>
          <w:lang w:val="en-GB"/>
        </w:rPr>
        <w:t xml:space="preserve">in heating through grid injection would </w:t>
      </w:r>
      <w:r w:rsidRPr="000034E7">
        <w:rPr>
          <w:rFonts w:ascii="Open Sans" w:hAnsi="Open Sans" w:cs="Open Sans"/>
          <w:lang w:val="en-GB"/>
        </w:rPr>
        <w:t xml:space="preserve">have </w:t>
      </w:r>
      <w:r w:rsidR="002D4BA6" w:rsidRPr="000034E7">
        <w:rPr>
          <w:rFonts w:ascii="Open Sans" w:hAnsi="Open Sans" w:cs="Open Sans"/>
          <w:lang w:val="en-GB"/>
        </w:rPr>
        <w:t xml:space="preserve">no </w:t>
      </w:r>
      <w:r w:rsidRPr="000034E7">
        <w:rPr>
          <w:rFonts w:ascii="Open Sans" w:hAnsi="Open Sans" w:cs="Open Sans"/>
          <w:lang w:val="en-GB"/>
        </w:rPr>
        <w:t>bearing on this</w:t>
      </w:r>
      <w:r w:rsidRPr="000034E7">
        <w:rPr>
          <w:rFonts w:ascii="Open Sans" w:eastAsia="Calibri" w:hAnsi="Open Sans" w:cs="Open Sans"/>
          <w:vertAlign w:val="superscript"/>
          <w:lang w:val="en-GB"/>
        </w:rPr>
        <w:footnoteReference w:id="6"/>
      </w:r>
      <w:r w:rsidRPr="000034E7">
        <w:rPr>
          <w:rFonts w:ascii="Open Sans" w:hAnsi="Open Sans" w:cs="Open Sans"/>
          <w:lang w:val="en-GB"/>
        </w:rPr>
        <w:t>.</w:t>
      </w:r>
    </w:p>
    <w:p w14:paraId="0FA2210B" w14:textId="1EC40DEB" w:rsidR="0016243B" w:rsidRPr="000034E7" w:rsidRDefault="00ED3FF6">
      <w:pPr>
        <w:pStyle w:val="Body"/>
        <w:rPr>
          <w:rFonts w:ascii="Open Sans" w:hAnsi="Open Sans" w:cs="Open Sans"/>
          <w:lang w:val="en-GB"/>
        </w:rPr>
      </w:pPr>
      <w:r w:rsidRPr="000034E7">
        <w:rPr>
          <w:rFonts w:ascii="Open Sans" w:hAnsi="Open Sans" w:cs="Open Sans"/>
          <w:lang w:val="en-GB"/>
        </w:rPr>
        <w:t xml:space="preserve">With respect to biomethane injection, there are several interfaces with hydrogen.  It is likely that blue hydrogen will be supported by the Green Gas market mechanism taking over from the Green Gas </w:t>
      </w:r>
      <w:r w:rsidRPr="000034E7">
        <w:rPr>
          <w:rFonts w:ascii="Open Sans" w:hAnsi="Open Sans" w:cs="Open Sans"/>
          <w:lang w:val="en-GB"/>
        </w:rPr>
        <w:lastRenderedPageBreak/>
        <w:t xml:space="preserve">Support Scheme in around 4 </w:t>
      </w:r>
      <w:r w:rsidR="00075664" w:rsidRPr="000034E7">
        <w:rPr>
          <w:rFonts w:ascii="Open Sans" w:hAnsi="Open Sans" w:cs="Open Sans"/>
          <w:lang w:val="en-GB"/>
        </w:rPr>
        <w:t>years’ time</w:t>
      </w:r>
      <w:r w:rsidRPr="000034E7">
        <w:rPr>
          <w:rFonts w:ascii="Open Sans" w:eastAsia="Calibri" w:hAnsi="Open Sans" w:cs="Open Sans"/>
          <w:vertAlign w:val="superscript"/>
          <w:lang w:val="en-GB"/>
        </w:rPr>
        <w:footnoteReference w:id="7"/>
      </w:r>
      <w:r w:rsidRPr="000034E7">
        <w:rPr>
          <w:rFonts w:ascii="Open Sans" w:hAnsi="Open Sans" w:cs="Open Sans"/>
          <w:lang w:val="en-GB"/>
        </w:rPr>
        <w:t xml:space="preserve">.  The injection of hydrogen in increasing proportions (up to around [20%] by volume) </w:t>
      </w:r>
      <w:proofErr w:type="gramStart"/>
      <w:r w:rsidR="0016243B" w:rsidRPr="000034E7">
        <w:rPr>
          <w:rFonts w:ascii="Open Sans" w:hAnsi="Open Sans" w:cs="Open Sans"/>
          <w:lang w:val="en-GB"/>
        </w:rPr>
        <w:t>can be seen as</w:t>
      </w:r>
      <w:proofErr w:type="gramEnd"/>
      <w:r w:rsidR="0016243B" w:rsidRPr="000034E7">
        <w:rPr>
          <w:rFonts w:ascii="Open Sans" w:hAnsi="Open Sans" w:cs="Open Sans"/>
          <w:lang w:val="en-GB"/>
        </w:rPr>
        <w:t xml:space="preserve"> justifying </w:t>
      </w:r>
      <w:r w:rsidRPr="000034E7">
        <w:rPr>
          <w:rFonts w:ascii="Open Sans" w:hAnsi="Open Sans" w:cs="Open Sans"/>
          <w:lang w:val="en-GB"/>
        </w:rPr>
        <w:t xml:space="preserve">the continued existence of the gas distribution network in a lower carbon future world.  </w:t>
      </w:r>
      <w:r w:rsidR="0016243B" w:rsidRPr="000034E7">
        <w:rPr>
          <w:rFonts w:ascii="Open Sans" w:hAnsi="Open Sans" w:cs="Open Sans"/>
          <w:lang w:val="en-GB"/>
        </w:rPr>
        <w:t xml:space="preserve">However, it also </w:t>
      </w:r>
      <w:r w:rsidRPr="000034E7">
        <w:rPr>
          <w:rFonts w:ascii="Open Sans" w:hAnsi="Open Sans" w:cs="Open Sans"/>
          <w:lang w:val="en-GB"/>
        </w:rPr>
        <w:t xml:space="preserve">benefits biomethane (and other renewable gases that may seek to use this infrastructure).  </w:t>
      </w:r>
      <w:r w:rsidR="002D4BA6" w:rsidRPr="000034E7">
        <w:rPr>
          <w:rFonts w:ascii="Open Sans" w:hAnsi="Open Sans" w:cs="Open Sans"/>
          <w:lang w:val="en-GB"/>
        </w:rPr>
        <w:t>R</w:t>
      </w:r>
      <w:r w:rsidRPr="000034E7">
        <w:rPr>
          <w:rFonts w:ascii="Open Sans" w:hAnsi="Open Sans" w:cs="Open Sans"/>
          <w:lang w:val="en-GB"/>
        </w:rPr>
        <w:t xml:space="preserve">enewable hydrogen </w:t>
      </w:r>
      <w:r w:rsidR="002D4BA6" w:rsidRPr="000034E7">
        <w:rPr>
          <w:rFonts w:ascii="Open Sans" w:hAnsi="Open Sans" w:cs="Open Sans"/>
          <w:lang w:val="en-GB"/>
        </w:rPr>
        <w:t xml:space="preserve">can also </w:t>
      </w:r>
      <w:r w:rsidRPr="000034E7">
        <w:rPr>
          <w:rFonts w:ascii="Open Sans" w:hAnsi="Open Sans" w:cs="Open Sans"/>
          <w:lang w:val="en-GB"/>
        </w:rPr>
        <w:t>be used to react with CO</w:t>
      </w:r>
      <w:r w:rsidRPr="000034E7">
        <w:rPr>
          <w:rFonts w:ascii="Open Sans" w:hAnsi="Open Sans" w:cs="Open Sans"/>
          <w:vertAlign w:val="subscript"/>
          <w:lang w:val="en-GB"/>
        </w:rPr>
        <w:t>2</w:t>
      </w:r>
      <w:r w:rsidRPr="000034E7">
        <w:rPr>
          <w:rFonts w:ascii="Open Sans" w:hAnsi="Open Sans" w:cs="Open Sans"/>
          <w:lang w:val="en-GB"/>
        </w:rPr>
        <w:t xml:space="preserve"> to produce renewable methane</w:t>
      </w:r>
      <w:r w:rsidR="002D4BA6" w:rsidRPr="000034E7">
        <w:rPr>
          <w:rFonts w:ascii="Open Sans" w:hAnsi="Open Sans" w:cs="Open Sans"/>
          <w:lang w:val="en-GB"/>
        </w:rPr>
        <w:t xml:space="preserve"> although given the thermodynamics and economics, this </w:t>
      </w:r>
      <w:r w:rsidRPr="000034E7">
        <w:rPr>
          <w:rFonts w:ascii="Open Sans" w:hAnsi="Open Sans" w:cs="Open Sans"/>
          <w:lang w:val="en-GB"/>
        </w:rPr>
        <w:t>may not be the best approach.</w:t>
      </w:r>
    </w:p>
    <w:p w14:paraId="5677F932" w14:textId="2F6A7BC9" w:rsidR="00412F13" w:rsidRPr="000034E7" w:rsidRDefault="0016243B">
      <w:pPr>
        <w:pStyle w:val="Body"/>
        <w:rPr>
          <w:rFonts w:ascii="Open Sans" w:hAnsi="Open Sans" w:cs="Open Sans"/>
          <w:lang w:val="en-GB"/>
        </w:rPr>
      </w:pPr>
      <w:r w:rsidRPr="000034E7">
        <w:rPr>
          <w:rFonts w:ascii="Open Sans" w:hAnsi="Open Sans" w:cs="Open Sans"/>
          <w:lang w:val="en-GB"/>
        </w:rPr>
        <w:t xml:space="preserve">Alternatively, the gas grid can be viewed as </w:t>
      </w:r>
      <w:proofErr w:type="gramStart"/>
      <w:r w:rsidRPr="000034E7">
        <w:rPr>
          <w:rFonts w:ascii="Open Sans" w:hAnsi="Open Sans" w:cs="Open Sans"/>
          <w:lang w:val="en-GB"/>
        </w:rPr>
        <w:t>a valuable asset</w:t>
      </w:r>
      <w:proofErr w:type="gramEnd"/>
      <w:r w:rsidRPr="000034E7">
        <w:rPr>
          <w:rFonts w:ascii="Open Sans" w:hAnsi="Open Sans" w:cs="Open Sans"/>
          <w:lang w:val="en-GB"/>
        </w:rPr>
        <w:t xml:space="preserve"> in the transition to a lower carbon</w:t>
      </w:r>
      <w:r w:rsidR="004A476E" w:rsidRPr="000034E7">
        <w:rPr>
          <w:rFonts w:ascii="Open Sans" w:hAnsi="Open Sans" w:cs="Open Sans"/>
          <w:lang w:val="en-GB"/>
        </w:rPr>
        <w:t xml:space="preserve"> energy system</w:t>
      </w:r>
      <w:r w:rsidRPr="000034E7">
        <w:rPr>
          <w:rFonts w:ascii="Open Sans" w:hAnsi="Open Sans" w:cs="Open Sans"/>
          <w:lang w:val="en-GB"/>
        </w:rPr>
        <w:t xml:space="preserve">, but only to the extent that it enables reaching net zero by 2050.  </w:t>
      </w:r>
    </w:p>
    <w:p w14:paraId="539FD0C0" w14:textId="231B8EAF" w:rsidR="00412F13" w:rsidRPr="000034E7" w:rsidRDefault="00ED3FF6">
      <w:pPr>
        <w:pStyle w:val="Body"/>
        <w:rPr>
          <w:rFonts w:ascii="Open Sans" w:hAnsi="Open Sans" w:cs="Open Sans"/>
          <w:lang w:val="en-GB"/>
        </w:rPr>
      </w:pPr>
      <w:r w:rsidRPr="000034E7">
        <w:rPr>
          <w:rFonts w:ascii="Open Sans" w:hAnsi="Open Sans" w:cs="Open Sans"/>
          <w:lang w:val="en-GB"/>
        </w:rPr>
        <w:t>The evolution should be as follows</w:t>
      </w:r>
      <w:r w:rsidR="004A476E" w:rsidRPr="000034E7">
        <w:rPr>
          <w:rFonts w:ascii="Open Sans" w:hAnsi="Open Sans" w:cs="Open Sans"/>
          <w:lang w:val="en-GB"/>
        </w:rPr>
        <w:t>:</w:t>
      </w:r>
    </w:p>
    <w:p w14:paraId="35182A92" w14:textId="6256B5D4" w:rsidR="00412F13" w:rsidRPr="000034E7" w:rsidRDefault="00ED3FF6" w:rsidP="00587E21">
      <w:pPr>
        <w:pStyle w:val="ListParagraph"/>
        <w:numPr>
          <w:ilvl w:val="0"/>
          <w:numId w:val="2"/>
        </w:numPr>
        <w:rPr>
          <w:rFonts w:ascii="Open Sans" w:hAnsi="Open Sans" w:cs="Open Sans"/>
          <w:lang w:val="en-GB"/>
        </w:rPr>
      </w:pPr>
      <w:r w:rsidRPr="000034E7">
        <w:rPr>
          <w:rFonts w:ascii="Open Sans" w:hAnsi="Open Sans" w:cs="Open Sans"/>
          <w:lang w:val="en-GB"/>
          <w14:textOutline w14:w="0" w14:cap="flat" w14:cmpd="sng" w14:algn="ctr">
            <w14:noFill/>
            <w14:prstDash w14:val="solid"/>
            <w14:bevel/>
          </w14:textOutline>
        </w:rPr>
        <w:t>Increasing amounts of biomethane replace fossil gas (and continu</w:t>
      </w:r>
      <w:r w:rsidR="0016243B" w:rsidRPr="000034E7">
        <w:rPr>
          <w:rFonts w:ascii="Open Sans" w:hAnsi="Open Sans" w:cs="Open Sans"/>
          <w:lang w:val="en-GB"/>
        </w:rPr>
        <w:t>ing</w:t>
      </w:r>
      <w:r w:rsidRPr="000034E7">
        <w:rPr>
          <w:rFonts w:ascii="Open Sans" w:hAnsi="Open Sans" w:cs="Open Sans"/>
          <w:lang w:val="en-GB"/>
          <w14:textOutline w14:w="0" w14:cap="flat" w14:cmpd="sng" w14:algn="ctr">
            <w14:noFill/>
            <w14:prstDash w14:val="solid"/>
            <w14:bevel/>
          </w14:textOutline>
        </w:rPr>
        <w:t xml:space="preserve"> to do so until </w:t>
      </w:r>
      <w:r w:rsidR="0016243B" w:rsidRPr="000034E7">
        <w:rPr>
          <w:rFonts w:ascii="Open Sans" w:hAnsi="Open Sans" w:cs="Open Sans"/>
          <w:lang w:val="en-GB"/>
        </w:rPr>
        <w:t>ultimately the only carbon containing molecules in the gas grid are biogenic</w:t>
      </w:r>
      <w:r w:rsidRPr="000034E7">
        <w:rPr>
          <w:rFonts w:ascii="Open Sans" w:hAnsi="Open Sans" w:cs="Open Sans"/>
          <w:lang w:val="en-GB"/>
          <w14:textOutline w14:w="0" w14:cap="flat" w14:cmpd="sng" w14:algn="ctr">
            <w14:noFill/>
            <w14:prstDash w14:val="solid"/>
            <w14:bevel/>
          </w14:textOutline>
        </w:rPr>
        <w:t xml:space="preserve">.  </w:t>
      </w:r>
      <w:r w:rsidR="0016243B" w:rsidRPr="000034E7">
        <w:rPr>
          <w:rFonts w:ascii="Open Sans" w:hAnsi="Open Sans" w:cs="Open Sans"/>
          <w:lang w:val="en-GB"/>
        </w:rPr>
        <w:t xml:space="preserve">This </w:t>
      </w:r>
      <w:r w:rsidR="004A476E" w:rsidRPr="000034E7">
        <w:rPr>
          <w:rFonts w:ascii="Open Sans" w:hAnsi="Open Sans" w:cs="Open Sans"/>
          <w:lang w:val="en-GB"/>
        </w:rPr>
        <w:t>c</w:t>
      </w:r>
      <w:r w:rsidR="0016243B" w:rsidRPr="000034E7">
        <w:rPr>
          <w:rFonts w:ascii="Open Sans" w:hAnsi="Open Sans" w:cs="Open Sans"/>
          <w:lang w:val="en-GB"/>
        </w:rPr>
        <w:t>ould ultimately entail a reduction in size of the gas grid</w:t>
      </w:r>
      <w:r w:rsidR="0016243B" w:rsidRPr="000034E7">
        <w:rPr>
          <w:rFonts w:ascii="Open Sans" w:hAnsi="Open Sans" w:cs="Open Sans"/>
          <w:lang w:val="en-GB"/>
          <w14:textOutline w14:w="0" w14:cap="flat" w14:cmpd="sng" w14:algn="ctr">
            <w14:noFill/>
            <w14:prstDash w14:val="solid"/>
            <w14:bevel/>
          </w14:textOutline>
        </w:rPr>
        <w:t xml:space="preserve"> if there is not enough zero-carbon gas to go around).</w:t>
      </w:r>
    </w:p>
    <w:p w14:paraId="7B25EE30" w14:textId="63DF0879" w:rsidR="00412F13" w:rsidRPr="000034E7" w:rsidRDefault="00ED3FF6">
      <w:pPr>
        <w:pStyle w:val="ListParagraph"/>
        <w:numPr>
          <w:ilvl w:val="0"/>
          <w:numId w:val="2"/>
        </w:numPr>
        <w:rPr>
          <w:rFonts w:ascii="Open Sans" w:hAnsi="Open Sans" w:cs="Open Sans"/>
          <w:lang w:val="en-GB"/>
        </w:rPr>
      </w:pPr>
      <w:r w:rsidRPr="000034E7">
        <w:rPr>
          <w:rFonts w:ascii="Open Sans" w:hAnsi="Open Sans" w:cs="Open Sans"/>
          <w:lang w:val="en-GB"/>
        </w:rPr>
        <w:t>In parallel, increasing amounts of hydrogen are injected until the 20% “blend wall” is reached</w:t>
      </w:r>
    </w:p>
    <w:p w14:paraId="792FAEC1" w14:textId="621880E3" w:rsidR="00412F13" w:rsidRPr="000034E7" w:rsidRDefault="00ED3FF6">
      <w:pPr>
        <w:pStyle w:val="ListParagraph"/>
        <w:numPr>
          <w:ilvl w:val="0"/>
          <w:numId w:val="2"/>
        </w:numPr>
        <w:rPr>
          <w:rFonts w:ascii="Open Sans" w:hAnsi="Open Sans" w:cs="Open Sans"/>
          <w:lang w:val="en-GB"/>
        </w:rPr>
      </w:pPr>
      <w:r w:rsidRPr="000034E7">
        <w:rPr>
          <w:rFonts w:ascii="Open Sans" w:hAnsi="Open Sans" w:cs="Open Sans"/>
          <w:lang w:val="en-GB"/>
        </w:rPr>
        <w:t>Once the blend wall is reached, parts of the network are converted to 100% hydrogen</w:t>
      </w:r>
      <w:r w:rsidR="002E6F87" w:rsidRPr="000034E7">
        <w:rPr>
          <w:rFonts w:ascii="Open Sans" w:hAnsi="Open Sans" w:cs="Open Sans"/>
          <w:lang w:val="en-GB"/>
        </w:rPr>
        <w:t xml:space="preserve">.  (The </w:t>
      </w:r>
      <w:r w:rsidRPr="000034E7">
        <w:rPr>
          <w:rFonts w:ascii="Open Sans" w:hAnsi="Open Sans" w:cs="Open Sans"/>
          <w:lang w:val="en-GB"/>
        </w:rPr>
        <w:t xml:space="preserve">remainder </w:t>
      </w:r>
      <w:r w:rsidR="002E6F87" w:rsidRPr="000034E7">
        <w:rPr>
          <w:rFonts w:ascii="Open Sans" w:hAnsi="Open Sans" w:cs="Open Sans"/>
          <w:lang w:val="en-GB"/>
        </w:rPr>
        <w:t xml:space="preserve">of the grid </w:t>
      </w:r>
      <w:r w:rsidRPr="000034E7">
        <w:rPr>
          <w:rFonts w:ascii="Open Sans" w:hAnsi="Open Sans" w:cs="Open Sans"/>
          <w:lang w:val="en-GB"/>
        </w:rPr>
        <w:t>become</w:t>
      </w:r>
      <w:r w:rsidR="002E6F87" w:rsidRPr="000034E7">
        <w:rPr>
          <w:rFonts w:ascii="Open Sans" w:hAnsi="Open Sans" w:cs="Open Sans"/>
          <w:lang w:val="en-GB"/>
        </w:rPr>
        <w:t>s</w:t>
      </w:r>
      <w:r w:rsidRPr="000034E7">
        <w:rPr>
          <w:rFonts w:ascii="Open Sans" w:hAnsi="Open Sans" w:cs="Open Sans"/>
          <w:lang w:val="en-GB"/>
        </w:rPr>
        <w:t xml:space="preserve"> more and more biomethane rich until </w:t>
      </w:r>
      <w:r w:rsidR="002E6F87" w:rsidRPr="000034E7">
        <w:rPr>
          <w:rFonts w:ascii="Open Sans" w:hAnsi="Open Sans" w:cs="Open Sans"/>
          <w:lang w:val="en-GB"/>
        </w:rPr>
        <w:t>fossil fuel is completely replaced).</w:t>
      </w:r>
    </w:p>
    <w:p w14:paraId="5E864C11" w14:textId="225026FA" w:rsidR="00412F13" w:rsidRPr="000034E7" w:rsidRDefault="00ED3FF6">
      <w:pPr>
        <w:pStyle w:val="Body"/>
        <w:rPr>
          <w:rFonts w:ascii="Open Sans" w:hAnsi="Open Sans" w:cs="Open Sans"/>
          <w:lang w:val="en-GB"/>
        </w:rPr>
      </w:pPr>
      <w:r w:rsidRPr="000034E7">
        <w:rPr>
          <w:rFonts w:ascii="Open Sans" w:hAnsi="Open Sans" w:cs="Open Sans"/>
          <w:lang w:val="en-GB"/>
        </w:rPr>
        <w:t xml:space="preserve">The REA supports a market-based obligation for greening the gas grid.  It proposed such a scheme as an alternative to its preferred option of extending the </w:t>
      </w:r>
      <w:proofErr w:type="gramStart"/>
      <w:r w:rsidRPr="000034E7">
        <w:rPr>
          <w:rFonts w:ascii="Open Sans" w:hAnsi="Open Sans" w:cs="Open Sans"/>
          <w:lang w:val="en-GB"/>
        </w:rPr>
        <w:t>RHI, or</w:t>
      </w:r>
      <w:proofErr w:type="gramEnd"/>
      <w:r w:rsidRPr="000034E7">
        <w:rPr>
          <w:rFonts w:ascii="Open Sans" w:hAnsi="Open Sans" w:cs="Open Sans"/>
          <w:lang w:val="en-GB"/>
        </w:rPr>
        <w:t xml:space="preserve"> keeping an equivalent </w:t>
      </w:r>
      <w:r w:rsidR="004A476E" w:rsidRPr="000034E7">
        <w:rPr>
          <w:rFonts w:ascii="Open Sans" w:hAnsi="Open Sans" w:cs="Open Sans"/>
          <w:lang w:val="en-GB"/>
        </w:rPr>
        <w:t>F</w:t>
      </w:r>
      <w:r w:rsidRPr="000034E7">
        <w:rPr>
          <w:rFonts w:ascii="Open Sans" w:hAnsi="Open Sans" w:cs="Open Sans"/>
          <w:lang w:val="en-GB"/>
        </w:rPr>
        <w:t xml:space="preserve">eed in </w:t>
      </w:r>
      <w:r w:rsidR="004A476E" w:rsidRPr="000034E7">
        <w:rPr>
          <w:rFonts w:ascii="Open Sans" w:hAnsi="Open Sans" w:cs="Open Sans"/>
          <w:lang w:val="en-GB"/>
        </w:rPr>
        <w:t>T</w:t>
      </w:r>
      <w:r w:rsidRPr="000034E7">
        <w:rPr>
          <w:rFonts w:ascii="Open Sans" w:hAnsi="Open Sans" w:cs="Open Sans"/>
          <w:lang w:val="en-GB"/>
        </w:rPr>
        <w:t xml:space="preserve">ariff.  </w:t>
      </w:r>
      <w:r w:rsidR="00F11D43">
        <w:rPr>
          <w:rFonts w:ascii="Open Sans" w:hAnsi="Open Sans" w:cs="Open Sans"/>
          <w:lang w:val="en-GB"/>
        </w:rPr>
        <w:t xml:space="preserve">A </w:t>
      </w:r>
      <w:hyperlink r:id="rId9" w:history="1">
        <w:r w:rsidRPr="00F11D43">
          <w:rPr>
            <w:rStyle w:val="Hyperlink"/>
            <w:rFonts w:ascii="Open Sans" w:hAnsi="Open Sans" w:cs="Open Sans"/>
            <w:lang w:val="en-GB"/>
          </w:rPr>
          <w:t xml:space="preserve">paper </w:t>
        </w:r>
        <w:r w:rsidR="00F11D43" w:rsidRPr="00F11D43">
          <w:rPr>
            <w:rStyle w:val="Hyperlink"/>
            <w:rFonts w:ascii="Open Sans" w:hAnsi="Open Sans" w:cs="Open Sans"/>
            <w:lang w:val="en-GB"/>
          </w:rPr>
          <w:t>on the REA website</w:t>
        </w:r>
      </w:hyperlink>
      <w:r w:rsidR="00F11D43">
        <w:rPr>
          <w:rStyle w:val="FootnoteReference"/>
          <w:rFonts w:ascii="Open Sans" w:hAnsi="Open Sans" w:cs="Open Sans"/>
          <w:lang w:val="en-GB"/>
        </w:rPr>
        <w:footnoteReference w:id="8"/>
      </w:r>
      <w:r w:rsidRPr="000034E7">
        <w:rPr>
          <w:rFonts w:ascii="Open Sans" w:hAnsi="Open Sans" w:cs="Open Sans"/>
          <w:lang w:val="en-GB"/>
        </w:rPr>
        <w:t xml:space="preserve"> describes an obligation whereby green and low-carbon gases would earn a certain number of GHG certificates or credits depending on their associated carbon intensity. Renewable hydrogen injection could be explicitly included in this.</w:t>
      </w:r>
      <w:r w:rsidR="008D2280" w:rsidRPr="000034E7">
        <w:rPr>
          <w:rFonts w:ascii="Open Sans" w:hAnsi="Open Sans" w:cs="Open Sans"/>
          <w:lang w:val="en-GB"/>
        </w:rPr>
        <w:t xml:space="preserve">  Robust carbon accounting is required, and if a source of hydrogen does not contribute to </w:t>
      </w:r>
      <w:r w:rsidR="004A476E" w:rsidRPr="000034E7">
        <w:rPr>
          <w:rFonts w:ascii="Open Sans" w:hAnsi="Open Sans" w:cs="Open Sans"/>
          <w:lang w:val="en-GB"/>
        </w:rPr>
        <w:t>reducing</w:t>
      </w:r>
      <w:r w:rsidR="008D2280" w:rsidRPr="000034E7">
        <w:rPr>
          <w:rFonts w:ascii="Open Sans" w:hAnsi="Open Sans" w:cs="Open Sans"/>
          <w:lang w:val="en-GB"/>
        </w:rPr>
        <w:t xml:space="preserve"> the carbon </w:t>
      </w:r>
      <w:r w:rsidR="004A476E" w:rsidRPr="000034E7">
        <w:rPr>
          <w:rFonts w:ascii="Open Sans" w:hAnsi="Open Sans" w:cs="Open Sans"/>
          <w:lang w:val="en-GB"/>
        </w:rPr>
        <w:t>intensity</w:t>
      </w:r>
      <w:r w:rsidR="008D2280" w:rsidRPr="000034E7">
        <w:rPr>
          <w:rFonts w:ascii="Open Sans" w:hAnsi="Open Sans" w:cs="Open Sans"/>
          <w:lang w:val="en-GB"/>
        </w:rPr>
        <w:t xml:space="preserve"> of the grid, it will not be </w:t>
      </w:r>
      <w:r w:rsidR="004A476E" w:rsidRPr="000034E7">
        <w:rPr>
          <w:rFonts w:ascii="Open Sans" w:hAnsi="Open Sans" w:cs="Open Sans"/>
          <w:lang w:val="en-GB"/>
        </w:rPr>
        <w:t>incentivised</w:t>
      </w:r>
      <w:r w:rsidR="008D2280" w:rsidRPr="000034E7">
        <w:rPr>
          <w:rFonts w:ascii="Open Sans" w:hAnsi="Open Sans" w:cs="Open Sans"/>
          <w:lang w:val="en-GB"/>
        </w:rPr>
        <w:t xml:space="preserve"> by a GHG-based obligation on the grid.</w:t>
      </w:r>
    </w:p>
    <w:p w14:paraId="612118B7" w14:textId="77777777" w:rsidR="00412F13" w:rsidRPr="000034E7" w:rsidRDefault="00ED3FF6">
      <w:pPr>
        <w:pStyle w:val="Heading2"/>
        <w:rPr>
          <w:rFonts w:ascii="Open Sans" w:hAnsi="Open Sans" w:cs="Open Sans"/>
          <w:lang w:val="en-GB"/>
        </w:rPr>
      </w:pPr>
      <w:r w:rsidRPr="000034E7">
        <w:rPr>
          <w:rFonts w:ascii="Open Sans" w:hAnsi="Open Sans" w:cs="Open Sans"/>
          <w:lang w:val="en-GB"/>
        </w:rPr>
        <w:t>Transport</w:t>
      </w:r>
    </w:p>
    <w:p w14:paraId="6C5FD5CF" w14:textId="43128C28" w:rsidR="002E6F87" w:rsidRPr="000034E7" w:rsidRDefault="00ED3FF6" w:rsidP="00FB1C93">
      <w:pPr>
        <w:rPr>
          <w:rFonts w:ascii="Open Sans" w:hAnsi="Open Sans" w:cs="Open Sans"/>
        </w:rPr>
      </w:pPr>
      <w:r w:rsidRPr="000034E7">
        <w:rPr>
          <w:rFonts w:ascii="Open Sans" w:hAnsi="Open Sans" w:cs="Open Sans"/>
          <w:lang w:val="en-GB"/>
        </w:rPr>
        <w:t>The REA expects hydrogen to be a key transport fuel for sectors which are hard to decarbonise by other means, for example maritime, heavy duty vehicles</w:t>
      </w:r>
      <w:r w:rsidR="008D2280" w:rsidRPr="000034E7">
        <w:rPr>
          <w:rFonts w:ascii="Open Sans" w:hAnsi="Open Sans" w:cs="Open Sans"/>
          <w:lang w:val="en-GB"/>
        </w:rPr>
        <w:t xml:space="preserve"> and </w:t>
      </w:r>
      <w:r w:rsidRPr="000034E7">
        <w:rPr>
          <w:rFonts w:ascii="Open Sans" w:hAnsi="Open Sans" w:cs="Open Sans"/>
          <w:lang w:val="en-GB"/>
        </w:rPr>
        <w:t xml:space="preserve">rail (where electrification is not possible).  </w:t>
      </w:r>
      <w:r w:rsidR="002E6F87" w:rsidRPr="000034E7">
        <w:rPr>
          <w:rFonts w:ascii="Open Sans" w:hAnsi="Open Sans" w:cs="Open Sans"/>
          <w:lang w:val="en-GB"/>
        </w:rPr>
        <w:t>Although the UK government policy and the CCC favours battery electric vehicles over hydrogen fuelled cars, the latter have the advantage of being long range and fast to refuel.  A technology</w:t>
      </w:r>
      <w:r w:rsidR="0011498F" w:rsidRPr="000034E7">
        <w:rPr>
          <w:rFonts w:ascii="Open Sans" w:hAnsi="Open Sans" w:cs="Open Sans"/>
          <w:lang w:val="en-GB"/>
        </w:rPr>
        <w:t>-</w:t>
      </w:r>
      <w:r w:rsidR="002E6F87" w:rsidRPr="000034E7">
        <w:rPr>
          <w:rFonts w:ascii="Open Sans" w:hAnsi="Open Sans" w:cs="Open Sans"/>
          <w:lang w:val="en-GB"/>
        </w:rPr>
        <w:t xml:space="preserve">neutral approach to zero carbon light vehicles includes battery electric vehicles, hydrogen fuel cell </w:t>
      </w:r>
      <w:r w:rsidR="0011498F" w:rsidRPr="000034E7">
        <w:rPr>
          <w:rFonts w:ascii="Open Sans" w:hAnsi="Open Sans" w:cs="Open Sans"/>
          <w:lang w:val="en-GB"/>
        </w:rPr>
        <w:t>electric vehicles and series hybrid range extended vehicles fuelled on 100% renewable fuel</w:t>
      </w:r>
      <w:r w:rsidR="002B42B0">
        <w:rPr>
          <w:rFonts w:ascii="Open Sans" w:hAnsi="Open Sans" w:cs="Open Sans"/>
          <w:lang w:val="en-GB"/>
        </w:rPr>
        <w:t>.</w:t>
      </w:r>
    </w:p>
    <w:p w14:paraId="2EF578C5" w14:textId="77777777" w:rsidR="00412F13" w:rsidRPr="000034E7" w:rsidRDefault="00412F13">
      <w:pPr>
        <w:pStyle w:val="Body"/>
        <w:rPr>
          <w:rFonts w:ascii="Open Sans" w:hAnsi="Open Sans" w:cs="Open Sans"/>
          <w:lang w:val="en-GB"/>
        </w:rPr>
      </w:pPr>
    </w:p>
    <w:p w14:paraId="1A26F35D" w14:textId="36DAD419" w:rsidR="00412F13" w:rsidRPr="000034E7" w:rsidRDefault="008D2280">
      <w:pPr>
        <w:pStyle w:val="Heading2"/>
        <w:rPr>
          <w:rFonts w:ascii="Open Sans" w:hAnsi="Open Sans" w:cs="Open Sans"/>
          <w:lang w:val="en-GB"/>
        </w:rPr>
      </w:pPr>
      <w:r w:rsidRPr="000034E7">
        <w:rPr>
          <w:rFonts w:ascii="Open Sans" w:hAnsi="Open Sans" w:cs="Open Sans"/>
          <w:lang w:val="en-GB"/>
        </w:rPr>
        <w:t>Energy s</w:t>
      </w:r>
      <w:r w:rsidR="00ED3FF6" w:rsidRPr="000034E7">
        <w:rPr>
          <w:rFonts w:ascii="Open Sans" w:hAnsi="Open Sans" w:cs="Open Sans"/>
          <w:lang w:val="en-GB"/>
        </w:rPr>
        <w:t>torage</w:t>
      </w:r>
    </w:p>
    <w:p w14:paraId="6352E96F" w14:textId="09FE2890" w:rsidR="00412F13" w:rsidRDefault="00ED3FF6">
      <w:pPr>
        <w:pStyle w:val="Body"/>
        <w:rPr>
          <w:rFonts w:ascii="Open Sans" w:hAnsi="Open Sans" w:cs="Open Sans"/>
          <w:lang w:val="en-GB"/>
        </w:rPr>
      </w:pPr>
      <w:r w:rsidRPr="000034E7">
        <w:rPr>
          <w:rFonts w:ascii="Open Sans" w:hAnsi="Open Sans" w:cs="Open Sans"/>
          <w:lang w:val="en-GB"/>
        </w:rPr>
        <w:t xml:space="preserve">Electricity can be converted into hydrogen by electrolysis, and later used to </w:t>
      </w:r>
      <w:r w:rsidR="008D2280" w:rsidRPr="000034E7">
        <w:rPr>
          <w:rFonts w:ascii="Open Sans" w:hAnsi="Open Sans" w:cs="Open Sans"/>
          <w:lang w:val="en-GB"/>
        </w:rPr>
        <w:t>generate electricity</w:t>
      </w:r>
      <w:r w:rsidRPr="000034E7">
        <w:rPr>
          <w:rFonts w:ascii="Open Sans" w:hAnsi="Open Sans" w:cs="Open Sans"/>
          <w:lang w:val="en-GB"/>
        </w:rPr>
        <w:t>.  The</w:t>
      </w:r>
      <w:r w:rsidR="00F11D43">
        <w:rPr>
          <w:rFonts w:ascii="Open Sans" w:hAnsi="Open Sans" w:cs="Open Sans"/>
          <w:lang w:val="en-GB"/>
        </w:rPr>
        <w:t xml:space="preserve"> </w:t>
      </w:r>
      <w:r w:rsidR="003741E7" w:rsidRPr="000034E7">
        <w:rPr>
          <w:rFonts w:ascii="Open Sans" w:hAnsi="Open Sans" w:cs="Open Sans"/>
          <w:lang w:val="en-GB"/>
        </w:rPr>
        <w:t>round-trip</w:t>
      </w:r>
      <w:r w:rsidRPr="000034E7">
        <w:rPr>
          <w:rFonts w:ascii="Open Sans" w:hAnsi="Open Sans" w:cs="Open Sans"/>
          <w:lang w:val="en-GB"/>
        </w:rPr>
        <w:t xml:space="preserve"> efficiency</w:t>
      </w:r>
      <w:r w:rsidR="00F11D43">
        <w:rPr>
          <w:rFonts w:ascii="Open Sans" w:hAnsi="Open Sans" w:cs="Open Sans"/>
          <w:lang w:val="en-GB"/>
        </w:rPr>
        <w:t xml:space="preserve"> </w:t>
      </w:r>
      <w:r w:rsidRPr="000034E7">
        <w:rPr>
          <w:rFonts w:ascii="Open Sans" w:hAnsi="Open Sans" w:cs="Open Sans"/>
          <w:lang w:val="en-GB"/>
        </w:rPr>
        <w:t xml:space="preserve">of this is lower than other storage technologies such as batteries, but the capacity is </w:t>
      </w:r>
      <w:r w:rsidRPr="000034E7">
        <w:rPr>
          <w:rFonts w:ascii="Open Sans" w:hAnsi="Open Sans" w:cs="Open Sans"/>
          <w:lang w:val="en-GB"/>
        </w:rPr>
        <w:lastRenderedPageBreak/>
        <w:t xml:space="preserve">very much greater, </w:t>
      </w:r>
      <w:proofErr w:type="gramStart"/>
      <w:r w:rsidRPr="000034E7">
        <w:rPr>
          <w:rFonts w:ascii="Open Sans" w:hAnsi="Open Sans" w:cs="Open Sans"/>
          <w:lang w:val="en-GB"/>
        </w:rPr>
        <w:t>opening up</w:t>
      </w:r>
      <w:proofErr w:type="gramEnd"/>
      <w:r w:rsidRPr="000034E7">
        <w:rPr>
          <w:rFonts w:ascii="Open Sans" w:hAnsi="Open Sans" w:cs="Open Sans"/>
          <w:lang w:val="en-GB"/>
        </w:rPr>
        <w:t xml:space="preserve"> the potential for inter-seasonal storage of renewable energy via geological storage.</w:t>
      </w:r>
      <w:r w:rsidR="003741E7" w:rsidRPr="000034E7">
        <w:rPr>
          <w:rFonts w:ascii="Open Sans" w:hAnsi="Open Sans" w:cs="Open Sans"/>
          <w:lang w:val="en-GB"/>
        </w:rPr>
        <w:t xml:space="preserve"> Such longer duration, large scale energy storage is necessary if we are to successfully transition our power system to a net zero world and so hydrogen could play a very valuable role in the mix in a future energy system.  </w:t>
      </w:r>
    </w:p>
    <w:p w14:paraId="22C1B4D5" w14:textId="2EC8BC9C" w:rsidR="00412F13" w:rsidRPr="000034E7" w:rsidRDefault="008D2280">
      <w:pPr>
        <w:pStyle w:val="Heading2"/>
        <w:rPr>
          <w:rFonts w:ascii="Open Sans" w:hAnsi="Open Sans" w:cs="Open Sans"/>
          <w:lang w:val="en-GB"/>
        </w:rPr>
      </w:pPr>
      <w:r w:rsidRPr="000034E7">
        <w:rPr>
          <w:rFonts w:ascii="Open Sans" w:hAnsi="Open Sans" w:cs="Open Sans"/>
          <w:lang w:val="en-GB"/>
        </w:rPr>
        <w:t xml:space="preserve">Carbon </w:t>
      </w:r>
      <w:r w:rsidR="008958B7" w:rsidRPr="000034E7">
        <w:rPr>
          <w:rFonts w:ascii="Open Sans" w:hAnsi="Open Sans" w:cs="Open Sans"/>
          <w:lang w:val="en-GB"/>
        </w:rPr>
        <w:t>storage</w:t>
      </w:r>
    </w:p>
    <w:p w14:paraId="5675F4FB" w14:textId="2C87856F" w:rsidR="008D2280" w:rsidRDefault="0011498F" w:rsidP="008D2280">
      <w:pPr>
        <w:rPr>
          <w:rFonts w:ascii="Open Sans" w:hAnsi="Open Sans" w:cs="Open Sans"/>
          <w:lang w:val="en-GB"/>
        </w:rPr>
      </w:pPr>
      <w:r w:rsidRPr="000034E7">
        <w:rPr>
          <w:rFonts w:ascii="Open Sans" w:hAnsi="Open Sans" w:cs="Open Sans"/>
          <w:lang w:val="en-GB"/>
        </w:rPr>
        <w:t xml:space="preserve">Future storage options (e.g. being </w:t>
      </w:r>
      <w:r w:rsidRPr="000034E7">
        <w:rPr>
          <w:rFonts w:ascii="Open Sans" w:hAnsi="Open Sans" w:cs="Open Sans"/>
          <w:rtl/>
          <w:lang w:val="en-GB"/>
        </w:rPr>
        <w:t>“</w:t>
      </w:r>
      <w:r w:rsidRPr="000034E7">
        <w:rPr>
          <w:rFonts w:ascii="Open Sans" w:hAnsi="Open Sans" w:cs="Open Sans"/>
          <w:lang w:val="en-GB"/>
        </w:rPr>
        <w:t>CCS-ready”) or offsetting the equivalent CO</w:t>
      </w:r>
      <w:r w:rsidRPr="000034E7">
        <w:rPr>
          <w:rFonts w:ascii="Open Sans" w:hAnsi="Open Sans" w:cs="Open Sans"/>
          <w:vertAlign w:val="subscript"/>
          <w:lang w:val="en-GB"/>
        </w:rPr>
        <w:t>2</w:t>
      </w:r>
      <w:r w:rsidRPr="000034E7">
        <w:rPr>
          <w:rFonts w:ascii="Open Sans" w:hAnsi="Open Sans" w:cs="Open Sans"/>
          <w:lang w:val="en-GB"/>
        </w:rPr>
        <w:t xml:space="preserve"> emissions</w:t>
      </w:r>
      <w:r w:rsidR="00E91AE4" w:rsidRPr="000034E7">
        <w:rPr>
          <w:rFonts w:ascii="Open Sans" w:hAnsi="Open Sans" w:cs="Open Sans"/>
          <w:lang w:val="en-GB"/>
        </w:rPr>
        <w:t>,</w:t>
      </w:r>
      <w:r w:rsidRPr="000034E7">
        <w:rPr>
          <w:rFonts w:ascii="Open Sans" w:hAnsi="Open Sans" w:cs="Open Sans"/>
          <w:lang w:val="en-GB"/>
        </w:rPr>
        <w:t xml:space="preserve"> do not meet the definition of blue hydrogen. </w:t>
      </w:r>
      <w:r w:rsidR="008D2280" w:rsidRPr="000034E7">
        <w:rPr>
          <w:rFonts w:ascii="Open Sans" w:hAnsi="Open Sans" w:cs="Open Sans"/>
          <w:lang w:val="en-GB"/>
        </w:rPr>
        <w:t xml:space="preserve">Blue hydrogen can never be zero carbon.  Carbon accounting must </w:t>
      </w:r>
      <w:proofErr w:type="gramStart"/>
      <w:r w:rsidR="008D2280" w:rsidRPr="000034E7">
        <w:rPr>
          <w:rFonts w:ascii="Open Sans" w:hAnsi="Open Sans" w:cs="Open Sans"/>
          <w:lang w:val="en-GB"/>
        </w:rPr>
        <w:t>take into account</w:t>
      </w:r>
      <w:proofErr w:type="gramEnd"/>
      <w:r w:rsidR="008D2280" w:rsidRPr="000034E7">
        <w:rPr>
          <w:rFonts w:ascii="Open Sans" w:hAnsi="Open Sans" w:cs="Open Sans"/>
          <w:lang w:val="en-GB"/>
        </w:rPr>
        <w:t xml:space="preserve"> the longevity of the storage </w:t>
      </w:r>
      <w:r w:rsidR="00ED3FF6" w:rsidRPr="000034E7">
        <w:rPr>
          <w:rFonts w:ascii="Open Sans" w:hAnsi="Open Sans" w:cs="Open Sans"/>
          <w:lang w:val="en-GB"/>
        </w:rPr>
        <w:t xml:space="preserve">and </w:t>
      </w:r>
      <w:r w:rsidR="008D2280" w:rsidRPr="000034E7">
        <w:rPr>
          <w:rFonts w:ascii="Open Sans" w:hAnsi="Open Sans" w:cs="Open Sans"/>
          <w:lang w:val="en-GB"/>
        </w:rPr>
        <w:t xml:space="preserve">any methane </w:t>
      </w:r>
      <w:r w:rsidR="00ED3FF6" w:rsidRPr="000034E7">
        <w:rPr>
          <w:rFonts w:ascii="Open Sans" w:hAnsi="Open Sans" w:cs="Open Sans"/>
          <w:lang w:val="en-GB"/>
        </w:rPr>
        <w:t>leaks upstream of reformers</w:t>
      </w:r>
      <w:r w:rsidR="008D2280" w:rsidRPr="000034E7">
        <w:rPr>
          <w:rFonts w:ascii="Open Sans" w:hAnsi="Open Sans" w:cs="Open Sans"/>
          <w:lang w:val="en-GB"/>
        </w:rPr>
        <w:t>, as well as the energy costs of compressing the CO</w:t>
      </w:r>
      <w:r w:rsidR="008D2280" w:rsidRPr="000034E7">
        <w:rPr>
          <w:rFonts w:ascii="Open Sans" w:hAnsi="Open Sans" w:cs="Open Sans"/>
          <w:vertAlign w:val="subscript"/>
          <w:lang w:val="en-GB"/>
        </w:rPr>
        <w:t>2</w:t>
      </w:r>
      <w:r w:rsidR="008D2280" w:rsidRPr="000034E7">
        <w:rPr>
          <w:rFonts w:ascii="Open Sans" w:hAnsi="Open Sans" w:cs="Open Sans"/>
          <w:lang w:val="en-GB"/>
        </w:rPr>
        <w:t xml:space="preserve"> for storage.</w:t>
      </w:r>
    </w:p>
    <w:p w14:paraId="6616CB4A" w14:textId="77777777" w:rsidR="00F11D43" w:rsidRPr="000034E7" w:rsidRDefault="00F11D43" w:rsidP="008D2280">
      <w:pPr>
        <w:rPr>
          <w:rFonts w:ascii="Open Sans" w:hAnsi="Open Sans" w:cs="Open Sans"/>
          <w:lang w:val="en-GB"/>
        </w:rPr>
      </w:pPr>
    </w:p>
    <w:p w14:paraId="06442537" w14:textId="1381B92A" w:rsidR="008D2280" w:rsidRDefault="008D2280" w:rsidP="00FB1C93">
      <w:pPr>
        <w:rPr>
          <w:rFonts w:ascii="Open Sans" w:hAnsi="Open Sans" w:cs="Open Sans"/>
          <w:lang w:val="en-GB"/>
        </w:rPr>
      </w:pPr>
      <w:r w:rsidRPr="000034E7">
        <w:rPr>
          <w:rFonts w:ascii="Open Sans" w:hAnsi="Open Sans" w:cs="Open Sans"/>
          <w:lang w:val="en-GB"/>
        </w:rPr>
        <w:t>Any economic analysis should cover the full costs of the sto</w:t>
      </w:r>
      <w:r w:rsidR="008958B7" w:rsidRPr="000034E7">
        <w:rPr>
          <w:rFonts w:ascii="Open Sans" w:hAnsi="Open Sans" w:cs="Open Sans"/>
          <w:lang w:val="en-GB"/>
        </w:rPr>
        <w:t xml:space="preserve">rage, including </w:t>
      </w:r>
      <w:r w:rsidRPr="000034E7">
        <w:rPr>
          <w:rFonts w:ascii="Open Sans" w:hAnsi="Open Sans" w:cs="Open Sans"/>
          <w:lang w:val="en-GB"/>
        </w:rPr>
        <w:t xml:space="preserve">insuring the </w:t>
      </w:r>
      <w:r w:rsidR="008958B7" w:rsidRPr="000034E7">
        <w:rPr>
          <w:rFonts w:ascii="Open Sans" w:hAnsi="Open Sans" w:cs="Open Sans"/>
          <w:lang w:val="en-GB"/>
        </w:rPr>
        <w:t>high-pressure</w:t>
      </w:r>
      <w:r w:rsidRPr="000034E7">
        <w:rPr>
          <w:rFonts w:ascii="Open Sans" w:hAnsi="Open Sans" w:cs="Open Sans"/>
          <w:lang w:val="en-GB"/>
        </w:rPr>
        <w:t xml:space="preserve"> CO</w:t>
      </w:r>
      <w:r w:rsidRPr="000034E7">
        <w:rPr>
          <w:rFonts w:ascii="Open Sans" w:hAnsi="Open Sans" w:cs="Open Sans"/>
          <w:vertAlign w:val="subscript"/>
          <w:lang w:val="en-GB"/>
        </w:rPr>
        <w:t>2</w:t>
      </w:r>
      <w:r w:rsidRPr="000034E7">
        <w:rPr>
          <w:rFonts w:ascii="Open Sans" w:hAnsi="Open Sans" w:cs="Open Sans"/>
          <w:lang w:val="en-GB"/>
        </w:rPr>
        <w:t xml:space="preserve"> pipeline infrastructure against future catastrophic leaks.</w:t>
      </w:r>
    </w:p>
    <w:p w14:paraId="72A94D95" w14:textId="77777777" w:rsidR="00F11D43" w:rsidRPr="000034E7" w:rsidRDefault="00F11D43" w:rsidP="00FB1C93">
      <w:pPr>
        <w:rPr>
          <w:rFonts w:ascii="Open Sans" w:hAnsi="Open Sans" w:cs="Open Sans"/>
          <w:lang w:val="en-GB"/>
        </w:rPr>
      </w:pPr>
    </w:p>
    <w:p w14:paraId="7C430313" w14:textId="5EC8C660" w:rsidR="00412F13" w:rsidRPr="000034E7" w:rsidRDefault="008D2280">
      <w:pPr>
        <w:pStyle w:val="Body"/>
        <w:rPr>
          <w:rFonts w:ascii="Open Sans" w:hAnsi="Open Sans" w:cs="Open Sans"/>
          <w:lang w:val="en-GB"/>
        </w:rPr>
      </w:pPr>
      <w:r w:rsidRPr="000034E7">
        <w:rPr>
          <w:rFonts w:ascii="Open Sans" w:hAnsi="Open Sans" w:cs="Open Sans"/>
          <w:lang w:val="en-GB"/>
        </w:rPr>
        <w:t xml:space="preserve">CCS is a technology applicable to storing </w:t>
      </w:r>
      <w:r w:rsidR="00F11D43" w:rsidRPr="000034E7">
        <w:rPr>
          <w:rFonts w:ascii="Open Sans" w:hAnsi="Open Sans" w:cs="Open Sans"/>
          <w:lang w:val="en-GB"/>
        </w:rPr>
        <w:t xml:space="preserve">biogenic carbon as well as </w:t>
      </w:r>
      <w:r w:rsidRPr="000034E7">
        <w:rPr>
          <w:rFonts w:ascii="Open Sans" w:hAnsi="Open Sans" w:cs="Open Sans"/>
          <w:lang w:val="en-GB"/>
        </w:rPr>
        <w:t>fossil carbon.</w:t>
      </w:r>
    </w:p>
    <w:p w14:paraId="5B24D54D" w14:textId="4B2B9D4A" w:rsidR="008958B7" w:rsidRPr="000034E7" w:rsidRDefault="008958B7" w:rsidP="008958B7">
      <w:pPr>
        <w:pStyle w:val="Heading2"/>
        <w:rPr>
          <w:rFonts w:ascii="Open Sans" w:hAnsi="Open Sans" w:cs="Open Sans"/>
          <w:lang w:val="en-GB"/>
        </w:rPr>
      </w:pPr>
      <w:r w:rsidRPr="000034E7">
        <w:rPr>
          <w:rFonts w:ascii="Open Sans" w:hAnsi="Open Sans" w:cs="Open Sans"/>
          <w:lang w:val="en-GB"/>
        </w:rPr>
        <w:t>Electrolysis and carbon intensity of electricity</w:t>
      </w:r>
    </w:p>
    <w:p w14:paraId="633DF047" w14:textId="6015221D" w:rsidR="008958B7" w:rsidRPr="000034E7" w:rsidRDefault="008958B7" w:rsidP="008958B7">
      <w:pPr>
        <w:rPr>
          <w:rFonts w:ascii="Open Sans" w:hAnsi="Open Sans" w:cs="Open Sans"/>
          <w:lang w:val="en-GB"/>
        </w:rPr>
      </w:pPr>
      <w:r w:rsidRPr="000034E7">
        <w:rPr>
          <w:rFonts w:ascii="Open Sans" w:hAnsi="Open Sans" w:cs="Open Sans"/>
          <w:lang w:val="en-GB"/>
        </w:rPr>
        <w:t xml:space="preserve">In the case of an electrolyser directly connected to a renewable energy generating station, </w:t>
      </w:r>
      <w:proofErr w:type="gramStart"/>
      <w:r w:rsidRPr="000034E7">
        <w:rPr>
          <w:rFonts w:ascii="Open Sans" w:hAnsi="Open Sans" w:cs="Open Sans"/>
          <w:lang w:val="en-GB"/>
        </w:rPr>
        <w:t>it is clear that the</w:t>
      </w:r>
      <w:proofErr w:type="gramEnd"/>
      <w:r w:rsidRPr="000034E7">
        <w:rPr>
          <w:rFonts w:ascii="Open Sans" w:hAnsi="Open Sans" w:cs="Open Sans"/>
          <w:lang w:val="en-GB"/>
        </w:rPr>
        <w:t xml:space="preserve"> power for electrolysis is renewable.  The only carbon emission that could be attributed to this would be in the embodied energy in the generator (e.g. wind turbines or PV and the electrolyser itself).</w:t>
      </w:r>
    </w:p>
    <w:p w14:paraId="43939213" w14:textId="25CA9691" w:rsidR="008958B7" w:rsidRPr="000034E7" w:rsidRDefault="008958B7" w:rsidP="008958B7">
      <w:pPr>
        <w:rPr>
          <w:rFonts w:ascii="Open Sans" w:hAnsi="Open Sans" w:cs="Open Sans"/>
          <w:lang w:val="en-GB"/>
        </w:rPr>
      </w:pPr>
    </w:p>
    <w:p w14:paraId="05D786AD" w14:textId="7FD7DFBA" w:rsidR="00412F13" w:rsidRPr="000034E7" w:rsidRDefault="008958B7" w:rsidP="00FB1C93">
      <w:pPr>
        <w:rPr>
          <w:rFonts w:ascii="Open Sans" w:hAnsi="Open Sans" w:cs="Open Sans"/>
          <w:lang w:val="en-GB"/>
        </w:rPr>
      </w:pPr>
      <w:r w:rsidRPr="000034E7">
        <w:rPr>
          <w:rFonts w:ascii="Open Sans" w:hAnsi="Open Sans" w:cs="Open Sans"/>
          <w:lang w:val="en-GB"/>
        </w:rPr>
        <w:t xml:space="preserve">When the electrolyser is taking electricity from the grid, the </w:t>
      </w:r>
      <w:r w:rsidR="00ED3FF6" w:rsidRPr="000034E7">
        <w:rPr>
          <w:rFonts w:ascii="Open Sans" w:hAnsi="Open Sans" w:cs="Open Sans"/>
          <w:lang w:val="en-GB"/>
        </w:rPr>
        <w:t xml:space="preserve">carbon intensity of the electricity </w:t>
      </w:r>
      <w:r w:rsidRPr="000034E7">
        <w:rPr>
          <w:rFonts w:ascii="Open Sans" w:hAnsi="Open Sans" w:cs="Open Sans"/>
          <w:lang w:val="en-GB"/>
        </w:rPr>
        <w:t xml:space="preserve">needs to be </w:t>
      </w:r>
      <w:proofErr w:type="gramStart"/>
      <w:r w:rsidRPr="000034E7">
        <w:rPr>
          <w:rFonts w:ascii="Open Sans" w:hAnsi="Open Sans" w:cs="Open Sans"/>
          <w:lang w:val="en-GB"/>
        </w:rPr>
        <w:t>taken into account</w:t>
      </w:r>
      <w:proofErr w:type="gramEnd"/>
      <w:r w:rsidRPr="000034E7">
        <w:rPr>
          <w:rFonts w:ascii="Open Sans" w:hAnsi="Open Sans" w:cs="Open Sans"/>
          <w:lang w:val="en-GB"/>
        </w:rPr>
        <w:t xml:space="preserve">.  This is not necessarily straight forward.  The degree to which it is </w:t>
      </w:r>
      <w:r w:rsidR="00ED3FF6" w:rsidRPr="000034E7">
        <w:rPr>
          <w:rFonts w:ascii="Open Sans" w:hAnsi="Open Sans" w:cs="Open Sans"/>
          <w:lang w:val="en-GB"/>
        </w:rPr>
        <w:t xml:space="preserve">temporally linked is </w:t>
      </w:r>
      <w:r w:rsidRPr="000034E7">
        <w:rPr>
          <w:rFonts w:ascii="Open Sans" w:hAnsi="Open Sans" w:cs="Open Sans"/>
          <w:lang w:val="en-GB"/>
        </w:rPr>
        <w:t>debated, along with how to deal with future expected c</w:t>
      </w:r>
      <w:r w:rsidR="00ED3FF6" w:rsidRPr="000034E7">
        <w:rPr>
          <w:rFonts w:ascii="Open Sans" w:hAnsi="Open Sans" w:cs="Open Sans"/>
          <w:lang w:val="en-GB"/>
        </w:rPr>
        <w:t xml:space="preserve">hanges in the carbon intensity </w:t>
      </w:r>
      <w:r w:rsidRPr="000034E7">
        <w:rPr>
          <w:rFonts w:ascii="Open Sans" w:hAnsi="Open Sans" w:cs="Open Sans"/>
          <w:lang w:val="en-GB"/>
        </w:rPr>
        <w:t xml:space="preserve">of the grid </w:t>
      </w:r>
      <w:r w:rsidR="00ED3FF6" w:rsidRPr="000034E7">
        <w:rPr>
          <w:rFonts w:ascii="Open Sans" w:hAnsi="Open Sans" w:cs="Open Sans"/>
          <w:lang w:val="en-GB"/>
        </w:rPr>
        <w:t>over the operating life of the plant.</w:t>
      </w:r>
      <w:r w:rsidRPr="000034E7">
        <w:rPr>
          <w:rFonts w:ascii="Open Sans" w:hAnsi="Open Sans" w:cs="Open Sans"/>
          <w:lang w:val="en-GB"/>
        </w:rPr>
        <w:t xml:space="preserve">  This is not discussed further here, but it is certainly challenging, and has been discussed internally in the context of the rules of the eligibility of grid electricity for the purposes of producing hydrogen for the Renewable Transport Fuel Obligation</w:t>
      </w:r>
      <w:r w:rsidR="00E91AE4" w:rsidRPr="000034E7">
        <w:rPr>
          <w:rFonts w:ascii="Open Sans" w:hAnsi="Open Sans" w:cs="Open Sans"/>
          <w:lang w:val="en-GB"/>
        </w:rPr>
        <w:t xml:space="preserve"> (RTFO)</w:t>
      </w:r>
      <w:r w:rsidRPr="000034E7">
        <w:rPr>
          <w:rFonts w:ascii="Open Sans" w:hAnsi="Open Sans" w:cs="Open Sans"/>
          <w:lang w:val="en-GB"/>
        </w:rPr>
        <w:t xml:space="preserve">.  The DfT is expected to </w:t>
      </w:r>
      <w:r w:rsidR="00587E21" w:rsidRPr="000034E7">
        <w:rPr>
          <w:rFonts w:ascii="Open Sans" w:hAnsi="Open Sans" w:cs="Open Sans"/>
          <w:lang w:val="en-GB"/>
        </w:rPr>
        <w:t xml:space="preserve">address this when it consults on the RTFO later </w:t>
      </w:r>
      <w:r w:rsidR="00E91AE4" w:rsidRPr="000034E7">
        <w:rPr>
          <w:rFonts w:ascii="Open Sans" w:hAnsi="Open Sans" w:cs="Open Sans"/>
          <w:lang w:val="en-GB"/>
        </w:rPr>
        <w:t>in 2020</w:t>
      </w:r>
      <w:r w:rsidR="00587E21" w:rsidRPr="000034E7">
        <w:rPr>
          <w:rFonts w:ascii="Open Sans" w:hAnsi="Open Sans" w:cs="Open Sans"/>
          <w:lang w:val="en-GB"/>
        </w:rPr>
        <w:t>.</w:t>
      </w:r>
    </w:p>
    <w:p w14:paraId="6366480B" w14:textId="77777777" w:rsidR="00412F13" w:rsidRPr="000034E7" w:rsidRDefault="00412F13">
      <w:pPr>
        <w:pStyle w:val="PlainText"/>
        <w:rPr>
          <w:rFonts w:ascii="Open Sans" w:hAnsi="Open Sans" w:cs="Open Sans"/>
          <w:lang w:val="en-GB"/>
        </w:rPr>
      </w:pPr>
    </w:p>
    <w:p w14:paraId="65E6C9B3" w14:textId="77777777" w:rsidR="00412F13" w:rsidRPr="000034E7" w:rsidRDefault="00ED3FF6">
      <w:pPr>
        <w:pStyle w:val="Heading2"/>
        <w:rPr>
          <w:rFonts w:ascii="Open Sans" w:hAnsi="Open Sans" w:cs="Open Sans"/>
          <w:lang w:val="en-GB"/>
        </w:rPr>
      </w:pPr>
      <w:r w:rsidRPr="000034E7">
        <w:rPr>
          <w:rFonts w:ascii="Open Sans" w:hAnsi="Open Sans" w:cs="Open Sans"/>
          <w:lang w:val="en-GB"/>
        </w:rPr>
        <w:t>Policies to develop hydrogen</w:t>
      </w:r>
    </w:p>
    <w:p w14:paraId="61D4D3F5" w14:textId="2C8C08AD" w:rsidR="00412F13" w:rsidRPr="000034E7" w:rsidRDefault="00ED3FF6">
      <w:pPr>
        <w:pStyle w:val="ListParagraph"/>
        <w:numPr>
          <w:ilvl w:val="0"/>
          <w:numId w:val="6"/>
        </w:numPr>
        <w:rPr>
          <w:rFonts w:ascii="Open Sans" w:hAnsi="Open Sans" w:cs="Open Sans"/>
          <w:lang w:val="en-GB"/>
        </w:rPr>
      </w:pPr>
      <w:r w:rsidRPr="000034E7">
        <w:rPr>
          <w:rFonts w:ascii="Open Sans" w:hAnsi="Open Sans" w:cs="Open Sans"/>
          <w:lang w:val="en-GB"/>
        </w:rPr>
        <w:t xml:space="preserve">Exempting electrolysers from environmental taxes </w:t>
      </w:r>
      <w:r w:rsidR="00E91AE4" w:rsidRPr="000034E7">
        <w:rPr>
          <w:rFonts w:ascii="Open Sans" w:hAnsi="Open Sans" w:cs="Open Sans"/>
          <w:lang w:val="en-GB"/>
        </w:rPr>
        <w:t xml:space="preserve"> - </w:t>
      </w:r>
      <w:r w:rsidRPr="000034E7">
        <w:rPr>
          <w:rFonts w:ascii="Open Sans" w:hAnsi="Open Sans" w:cs="Open Sans"/>
          <w:lang w:val="en-GB"/>
        </w:rPr>
        <w:t>i.e. electrolysis should be on the list as energy intensive use thereby qualifying it for exemption from the indirect costs of funding Contracts for Difference (CFDs), the Renewables Obligation (RO) and the small scale Feed in Tariff (FIT)</w:t>
      </w:r>
      <w:r w:rsidR="005006BC" w:rsidRPr="000034E7">
        <w:rPr>
          <w:rFonts w:ascii="Open Sans" w:hAnsi="Open Sans" w:cs="Open Sans"/>
          <w:lang w:val="en-GB"/>
        </w:rPr>
        <w:t>.</w:t>
      </w:r>
    </w:p>
    <w:p w14:paraId="3CD4487A" w14:textId="576F3E7E" w:rsidR="00412F13" w:rsidRPr="000034E7" w:rsidRDefault="00ED3FF6">
      <w:pPr>
        <w:pStyle w:val="ListParagraph"/>
        <w:numPr>
          <w:ilvl w:val="0"/>
          <w:numId w:val="6"/>
        </w:numPr>
        <w:rPr>
          <w:rFonts w:ascii="Open Sans" w:hAnsi="Open Sans" w:cs="Open Sans"/>
          <w:lang w:val="en-GB"/>
        </w:rPr>
      </w:pPr>
      <w:r w:rsidRPr="000034E7">
        <w:rPr>
          <w:rFonts w:ascii="Open Sans" w:hAnsi="Open Sans" w:cs="Open Sans"/>
          <w:lang w:val="en-GB"/>
        </w:rPr>
        <w:t>Exempting electrolysers that provide grid services from use of system fees</w:t>
      </w:r>
      <w:r w:rsidR="00ED3746" w:rsidRPr="000034E7">
        <w:rPr>
          <w:rFonts w:ascii="Open Sans" w:hAnsi="Open Sans" w:cs="Open Sans"/>
          <w:lang w:val="en-GB"/>
        </w:rPr>
        <w:t xml:space="preserve"> (on a time limited basis</w:t>
      </w:r>
      <w:proofErr w:type="gramStart"/>
      <w:r w:rsidR="00ED3746" w:rsidRPr="000034E7">
        <w:rPr>
          <w:rFonts w:ascii="Open Sans" w:hAnsi="Open Sans" w:cs="Open Sans"/>
          <w:lang w:val="en-GB"/>
        </w:rPr>
        <w:t>)</w:t>
      </w:r>
      <w:r w:rsidR="00E91AE4" w:rsidRPr="000034E7">
        <w:rPr>
          <w:rFonts w:ascii="Open Sans" w:hAnsi="Open Sans" w:cs="Open Sans"/>
          <w:lang w:val="en-GB"/>
        </w:rPr>
        <w:t>, or</w:t>
      </w:r>
      <w:proofErr w:type="gramEnd"/>
      <w:r w:rsidR="00E91AE4" w:rsidRPr="000034E7">
        <w:rPr>
          <w:rFonts w:ascii="Open Sans" w:hAnsi="Open Sans" w:cs="Open Sans"/>
          <w:lang w:val="en-GB"/>
        </w:rPr>
        <w:t xml:space="preserve"> adopting a system akin to the new rules for </w:t>
      </w:r>
      <w:r w:rsidR="00ED3746" w:rsidRPr="000034E7">
        <w:rPr>
          <w:rFonts w:ascii="Open Sans" w:hAnsi="Open Sans" w:cs="Open Sans"/>
          <w:lang w:val="en-GB"/>
        </w:rPr>
        <w:t xml:space="preserve">grid balancing charges borne by energy storage assets – </w:t>
      </w:r>
      <w:r w:rsidR="00F11D43" w:rsidRPr="000034E7">
        <w:rPr>
          <w:rFonts w:ascii="Open Sans" w:hAnsi="Open Sans" w:cs="Open Sans"/>
          <w:lang w:val="en-GB"/>
        </w:rPr>
        <w:t>i.e.</w:t>
      </w:r>
      <w:r w:rsidR="00ED3746" w:rsidRPr="000034E7">
        <w:rPr>
          <w:rFonts w:ascii="Open Sans" w:hAnsi="Open Sans" w:cs="Open Sans"/>
          <w:lang w:val="en-GB"/>
        </w:rPr>
        <w:t xml:space="preserve"> on a net usage basis</w:t>
      </w:r>
      <w:r w:rsidRPr="000034E7">
        <w:rPr>
          <w:rFonts w:ascii="Open Sans" w:hAnsi="Open Sans" w:cs="Open Sans"/>
          <w:lang w:val="en-GB"/>
        </w:rPr>
        <w:t>.</w:t>
      </w:r>
    </w:p>
    <w:p w14:paraId="061BD135" w14:textId="693416CD" w:rsidR="00676D15" w:rsidRPr="000034E7" w:rsidRDefault="00676D15">
      <w:pPr>
        <w:pStyle w:val="ListParagraph"/>
        <w:numPr>
          <w:ilvl w:val="0"/>
          <w:numId w:val="6"/>
        </w:numPr>
        <w:rPr>
          <w:rFonts w:ascii="Open Sans" w:hAnsi="Open Sans" w:cs="Open Sans"/>
          <w:lang w:val="en-GB"/>
        </w:rPr>
      </w:pPr>
      <w:r w:rsidRPr="000034E7">
        <w:rPr>
          <w:rFonts w:ascii="Open Sans" w:hAnsi="Open Sans" w:cs="Open Sans"/>
          <w:lang w:val="en-GB"/>
        </w:rPr>
        <w:t>Business Rates should also be reduced or removed for early adopters, to speed adoption.  Tax efficient restrictions (EIS, VCT ineligibility) should be removed from hydrogen production from renewables.  Positive tax treatment should become a priority as a lot of capital is required to decarbonise and small schemes should be encouraged where local people/communities should know the government supports their investment.</w:t>
      </w:r>
    </w:p>
    <w:p w14:paraId="19292986" w14:textId="1EAFD65E" w:rsidR="00F11D43" w:rsidRDefault="00F11D43" w:rsidP="00F11D43">
      <w:pPr>
        <w:pStyle w:val="Body"/>
        <w:numPr>
          <w:ilvl w:val="0"/>
          <w:numId w:val="9"/>
        </w:numPr>
        <w:rPr>
          <w:rFonts w:ascii="Open Sans" w:hAnsi="Open Sans" w:cs="Open Sans"/>
          <w:lang w:val="en-GB"/>
        </w:rPr>
      </w:pPr>
      <w:r>
        <w:rPr>
          <w:rFonts w:ascii="Open Sans" w:hAnsi="Open Sans" w:cs="Open Sans"/>
          <w:lang w:val="en-GB"/>
        </w:rPr>
        <w:lastRenderedPageBreak/>
        <w:t xml:space="preserve">Introduce a GHG based mechanism to follow on from the </w:t>
      </w:r>
      <w:r w:rsidR="00ED3FF6" w:rsidRPr="000034E7">
        <w:rPr>
          <w:rFonts w:ascii="Open Sans" w:hAnsi="Open Sans" w:cs="Open Sans"/>
          <w:lang w:val="en-GB"/>
        </w:rPr>
        <w:t>Green Gas Support Scheme</w:t>
      </w:r>
      <w:r>
        <w:rPr>
          <w:rFonts w:ascii="Open Sans" w:hAnsi="Open Sans" w:cs="Open Sans"/>
          <w:lang w:val="en-GB"/>
        </w:rPr>
        <w:t>, as described in the paper (referred to earlier) on the REA website</w:t>
      </w:r>
      <w:r>
        <w:rPr>
          <w:rStyle w:val="FootnoteReference"/>
          <w:rFonts w:ascii="Open Sans" w:hAnsi="Open Sans" w:cs="Open Sans"/>
          <w:lang w:val="en-GB"/>
        </w:rPr>
        <w:footnoteReference w:id="9"/>
      </w:r>
      <w:r>
        <w:rPr>
          <w:rFonts w:ascii="Open Sans" w:hAnsi="Open Sans" w:cs="Open Sans"/>
          <w:lang w:val="en-GB"/>
        </w:rPr>
        <w:t xml:space="preserve">.  This could be linked with </w:t>
      </w:r>
      <w:r w:rsidRPr="000034E7">
        <w:rPr>
          <w:rFonts w:ascii="Open Sans" w:hAnsi="Open Sans" w:cs="Open Sans"/>
          <w:lang w:val="en-GB"/>
        </w:rPr>
        <w:t xml:space="preserve">national quotas/targets for renewable hydrogen injection into the gas grid, 2025, 2030 and onwards. </w:t>
      </w:r>
    </w:p>
    <w:p w14:paraId="48E6B132" w14:textId="23FACB64" w:rsidR="00412F13" w:rsidRPr="000034E7" w:rsidRDefault="00ED3FF6" w:rsidP="00BD53EC">
      <w:pPr>
        <w:pStyle w:val="ListParagraph"/>
        <w:numPr>
          <w:ilvl w:val="0"/>
          <w:numId w:val="6"/>
        </w:numPr>
        <w:rPr>
          <w:rFonts w:ascii="Open Sans" w:hAnsi="Open Sans" w:cs="Open Sans"/>
          <w:lang w:val="en-GB"/>
        </w:rPr>
      </w:pPr>
      <w:r w:rsidRPr="000034E7">
        <w:rPr>
          <w:rFonts w:ascii="Open Sans" w:hAnsi="Open Sans" w:cs="Open Sans"/>
          <w:lang w:val="en-GB"/>
        </w:rPr>
        <w:t>Amend the Gas Safety (Management) Regulations 1996 (GSMR), or at least grant an exemption for H</w:t>
      </w:r>
      <w:r w:rsidRPr="00BD53EC">
        <w:rPr>
          <w:rFonts w:ascii="Open Sans" w:hAnsi="Open Sans" w:cs="Open Sans"/>
          <w:vertAlign w:val="subscript"/>
          <w:lang w:val="en-GB"/>
        </w:rPr>
        <w:t>2</w:t>
      </w:r>
      <w:r w:rsidRPr="000034E7">
        <w:rPr>
          <w:rFonts w:ascii="Open Sans" w:hAnsi="Open Sans" w:cs="Open Sans"/>
          <w:lang w:val="en-GB"/>
        </w:rPr>
        <w:t xml:space="preserve"> injection, to allow 10% to be added without the requirement to blend propane.</w:t>
      </w:r>
    </w:p>
    <w:p w14:paraId="55289FD5" w14:textId="77777777" w:rsidR="00412F13" w:rsidRPr="000034E7" w:rsidRDefault="00ED3FF6">
      <w:pPr>
        <w:pStyle w:val="ListParagraph"/>
        <w:numPr>
          <w:ilvl w:val="0"/>
          <w:numId w:val="8"/>
        </w:numPr>
        <w:rPr>
          <w:rFonts w:ascii="Open Sans" w:hAnsi="Open Sans" w:cs="Open Sans"/>
          <w:lang w:val="en-GB"/>
        </w:rPr>
      </w:pPr>
      <w:r w:rsidRPr="000034E7">
        <w:rPr>
          <w:rFonts w:ascii="Open Sans" w:hAnsi="Open Sans" w:cs="Open Sans"/>
          <w:lang w:val="en-GB"/>
        </w:rPr>
        <w:t xml:space="preserve">Enable more flexible rules for qualification of renewable electricity for making renewable hydrogen for transport support.  </w:t>
      </w:r>
    </w:p>
    <w:p w14:paraId="702C5F0D" w14:textId="3A14EADB" w:rsidR="00412F13" w:rsidRPr="000034E7" w:rsidRDefault="00ED3FF6" w:rsidP="00FB1C93">
      <w:pPr>
        <w:pStyle w:val="Body"/>
        <w:numPr>
          <w:ilvl w:val="0"/>
          <w:numId w:val="9"/>
        </w:numPr>
        <w:rPr>
          <w:rFonts w:ascii="Open Sans" w:hAnsi="Open Sans" w:cs="Open Sans"/>
          <w:lang w:val="en-GB"/>
        </w:rPr>
      </w:pPr>
      <w:r w:rsidRPr="000034E7">
        <w:rPr>
          <w:rFonts w:ascii="Open Sans" w:hAnsi="Open Sans" w:cs="Open Sans"/>
          <w:lang w:val="en-GB"/>
        </w:rPr>
        <w:t>Waive VAT on renewable hydrogen for transport applications until 2030</w:t>
      </w:r>
      <w:r w:rsidR="00ED3746" w:rsidRPr="000034E7">
        <w:rPr>
          <w:rFonts w:ascii="Open Sans" w:hAnsi="Open Sans" w:cs="Open Sans"/>
          <w:lang w:val="en-GB"/>
        </w:rPr>
        <w:t>, or charge at the lower rate of 5% (as applied to Energy Saving Materials)</w:t>
      </w:r>
      <w:r w:rsidR="00587E21" w:rsidRPr="000034E7">
        <w:rPr>
          <w:rFonts w:ascii="Open Sans" w:hAnsi="Open Sans" w:cs="Open Sans"/>
          <w:lang w:val="en-GB"/>
        </w:rPr>
        <w:t>.</w:t>
      </w:r>
    </w:p>
    <w:p w14:paraId="71476A62" w14:textId="765876D3" w:rsidR="00412F13" w:rsidRPr="000034E7" w:rsidRDefault="005006BC" w:rsidP="00FB1C93">
      <w:pPr>
        <w:pStyle w:val="Body"/>
        <w:numPr>
          <w:ilvl w:val="0"/>
          <w:numId w:val="9"/>
        </w:numPr>
        <w:rPr>
          <w:rFonts w:ascii="Open Sans" w:hAnsi="Open Sans" w:cs="Open Sans"/>
          <w:lang w:val="en-GB"/>
        </w:rPr>
      </w:pPr>
      <w:proofErr w:type="gramStart"/>
      <w:r w:rsidRPr="000034E7">
        <w:rPr>
          <w:rFonts w:ascii="Open Sans" w:hAnsi="Open Sans" w:cs="Open Sans"/>
          <w:lang w:val="en-GB"/>
        </w:rPr>
        <w:t>Take into account</w:t>
      </w:r>
      <w:proofErr w:type="gramEnd"/>
      <w:r w:rsidRPr="000034E7">
        <w:rPr>
          <w:rFonts w:ascii="Open Sans" w:hAnsi="Open Sans" w:cs="Open Sans"/>
          <w:lang w:val="en-GB"/>
        </w:rPr>
        <w:t xml:space="preserve"> the use of </w:t>
      </w:r>
      <w:r w:rsidR="00ED3FF6" w:rsidRPr="000034E7">
        <w:rPr>
          <w:rFonts w:ascii="Open Sans" w:hAnsi="Open Sans" w:cs="Open Sans"/>
          <w:lang w:val="en-GB"/>
        </w:rPr>
        <w:t xml:space="preserve">renewable hydrogen as an intermediate product </w:t>
      </w:r>
      <w:r w:rsidRPr="000034E7">
        <w:rPr>
          <w:rFonts w:ascii="Open Sans" w:hAnsi="Open Sans" w:cs="Open Sans"/>
          <w:lang w:val="en-GB"/>
        </w:rPr>
        <w:t xml:space="preserve">for the purpose of calculating renewable energy </w:t>
      </w:r>
      <w:r w:rsidR="00587E21" w:rsidRPr="000034E7">
        <w:rPr>
          <w:rFonts w:ascii="Open Sans" w:hAnsi="Open Sans" w:cs="Open Sans"/>
          <w:lang w:val="en-GB"/>
        </w:rPr>
        <w:t>targets</w:t>
      </w:r>
      <w:r w:rsidRPr="000034E7">
        <w:rPr>
          <w:rFonts w:ascii="Open Sans" w:hAnsi="Open Sans" w:cs="Open Sans"/>
          <w:lang w:val="en-GB"/>
        </w:rPr>
        <w:t xml:space="preserve"> </w:t>
      </w:r>
      <w:r w:rsidR="00ED3FF6" w:rsidRPr="000034E7">
        <w:rPr>
          <w:rFonts w:ascii="Open Sans" w:hAnsi="Open Sans" w:cs="Open Sans"/>
          <w:lang w:val="en-GB"/>
        </w:rPr>
        <w:t>(</w:t>
      </w:r>
      <w:r w:rsidRPr="000034E7">
        <w:rPr>
          <w:rFonts w:ascii="Open Sans" w:hAnsi="Open Sans" w:cs="Open Sans"/>
          <w:lang w:val="en-GB"/>
        </w:rPr>
        <w:t xml:space="preserve">as per </w:t>
      </w:r>
      <w:r w:rsidR="00ED3746" w:rsidRPr="000034E7">
        <w:rPr>
          <w:rFonts w:ascii="Open Sans" w:hAnsi="Open Sans" w:cs="Open Sans"/>
          <w:lang w:val="en-GB"/>
        </w:rPr>
        <w:t>Article</w:t>
      </w:r>
      <w:r w:rsidRPr="000034E7">
        <w:rPr>
          <w:rFonts w:ascii="Open Sans" w:hAnsi="Open Sans" w:cs="Open Sans"/>
          <w:lang w:val="en-GB"/>
        </w:rPr>
        <w:t xml:space="preserve"> 26 of the </w:t>
      </w:r>
      <w:r w:rsidR="00ED3746" w:rsidRPr="000034E7">
        <w:rPr>
          <w:rFonts w:ascii="Open Sans" w:hAnsi="Open Sans" w:cs="Open Sans"/>
          <w:lang w:val="en-GB"/>
        </w:rPr>
        <w:t xml:space="preserve">EU’s </w:t>
      </w:r>
      <w:r w:rsidR="00ED3FF6" w:rsidRPr="000034E7">
        <w:rPr>
          <w:rFonts w:ascii="Open Sans" w:hAnsi="Open Sans" w:cs="Open Sans"/>
          <w:lang w:val="en-GB"/>
        </w:rPr>
        <w:t>RED II</w:t>
      </w:r>
      <w:r w:rsidR="00ED3746" w:rsidRPr="000034E7">
        <w:rPr>
          <w:rFonts w:ascii="Open Sans" w:hAnsi="Open Sans" w:cs="Open Sans"/>
          <w:lang w:val="en-GB"/>
        </w:rPr>
        <w:t xml:space="preserve"> Provisions</w:t>
      </w:r>
      <w:r w:rsidR="00ED3FF6" w:rsidRPr="000034E7">
        <w:rPr>
          <w:rFonts w:ascii="Open Sans" w:hAnsi="Open Sans" w:cs="Open Sans"/>
          <w:lang w:val="en-GB"/>
        </w:rPr>
        <w:t>)</w:t>
      </w:r>
      <w:r w:rsidR="00587E21" w:rsidRPr="000034E7">
        <w:rPr>
          <w:rFonts w:ascii="Open Sans" w:hAnsi="Open Sans" w:cs="Open Sans"/>
          <w:lang w:val="en-GB"/>
        </w:rPr>
        <w:t>.</w:t>
      </w:r>
    </w:p>
    <w:p w14:paraId="4F7A49BD" w14:textId="66DD0ED2" w:rsidR="00412F13" w:rsidRPr="000034E7" w:rsidRDefault="00ED3746" w:rsidP="00FB1C93">
      <w:pPr>
        <w:pStyle w:val="Default"/>
        <w:numPr>
          <w:ilvl w:val="0"/>
          <w:numId w:val="9"/>
        </w:numPr>
        <w:spacing w:before="0"/>
        <w:rPr>
          <w:rFonts w:ascii="Open Sans" w:eastAsia="Calibri" w:hAnsi="Open Sans" w:cs="Open Sans"/>
          <w:sz w:val="22"/>
          <w:szCs w:val="22"/>
        </w:rPr>
      </w:pPr>
      <w:r w:rsidRPr="000034E7">
        <w:rPr>
          <w:rFonts w:ascii="Open Sans" w:eastAsia="Arial Unicode MS" w:hAnsi="Open Sans" w:cs="Open Sans"/>
          <w:sz w:val="22"/>
          <w:szCs w:val="22"/>
          <w:u w:color="000000"/>
        </w:rPr>
        <w:t>Consider d</w:t>
      </w:r>
      <w:r w:rsidR="00ED3FF6" w:rsidRPr="000034E7">
        <w:rPr>
          <w:rFonts w:ascii="Open Sans" w:eastAsia="Arial Unicode MS" w:hAnsi="Open Sans" w:cs="Open Sans"/>
          <w:sz w:val="22"/>
          <w:szCs w:val="22"/>
          <w:u w:color="000000"/>
        </w:rPr>
        <w:t>efin</w:t>
      </w:r>
      <w:r w:rsidRPr="000034E7">
        <w:rPr>
          <w:rFonts w:ascii="Open Sans" w:eastAsia="Arial Unicode MS" w:hAnsi="Open Sans" w:cs="Open Sans"/>
          <w:sz w:val="22"/>
          <w:szCs w:val="22"/>
          <w:u w:color="000000"/>
        </w:rPr>
        <w:t>ing</w:t>
      </w:r>
      <w:r w:rsidR="00ED3FF6" w:rsidRPr="000034E7">
        <w:rPr>
          <w:rFonts w:ascii="Open Sans" w:eastAsia="Arial Unicode MS" w:hAnsi="Open Sans" w:cs="Open Sans"/>
          <w:sz w:val="22"/>
          <w:szCs w:val="22"/>
          <w:u w:color="000000"/>
        </w:rPr>
        <w:t xml:space="preserve"> permissible ownership and operating models for</w:t>
      </w:r>
      <w:r w:rsidRPr="000034E7">
        <w:rPr>
          <w:rFonts w:ascii="Open Sans" w:eastAsia="Arial Unicode MS" w:hAnsi="Open Sans" w:cs="Open Sans"/>
          <w:sz w:val="22"/>
          <w:szCs w:val="22"/>
          <w:u w:color="000000"/>
        </w:rPr>
        <w:t xml:space="preserve"> Power to Gas (</w:t>
      </w:r>
      <w:r w:rsidR="00ED3FF6" w:rsidRPr="000034E7">
        <w:rPr>
          <w:rFonts w:ascii="Open Sans" w:eastAsia="Arial Unicode MS" w:hAnsi="Open Sans" w:cs="Open Sans"/>
          <w:sz w:val="22"/>
          <w:szCs w:val="22"/>
          <w:u w:color="000000"/>
        </w:rPr>
        <w:t>P2G</w:t>
      </w:r>
      <w:r w:rsidRPr="000034E7">
        <w:rPr>
          <w:rFonts w:ascii="Open Sans" w:eastAsia="Arial Unicode MS" w:hAnsi="Open Sans" w:cs="Open Sans"/>
          <w:sz w:val="22"/>
          <w:szCs w:val="22"/>
          <w:u w:color="000000"/>
        </w:rPr>
        <w:t>)</w:t>
      </w:r>
      <w:r w:rsidR="00ED3FF6" w:rsidRPr="000034E7">
        <w:rPr>
          <w:rFonts w:ascii="Open Sans" w:eastAsia="Arial Unicode MS" w:hAnsi="Open Sans" w:cs="Open Sans"/>
          <w:sz w:val="22"/>
          <w:szCs w:val="22"/>
          <w:u w:color="000000"/>
        </w:rPr>
        <w:t xml:space="preserve"> so that renewable hydrogen</w:t>
      </w:r>
      <w:r w:rsidR="00ED3FF6" w:rsidRPr="000034E7">
        <w:rPr>
          <w:rFonts w:ascii="Open Sans" w:hAnsi="Open Sans" w:cs="Open Sans"/>
          <w:sz w:val="22"/>
          <w:szCs w:val="22"/>
        </w:rPr>
        <w:t xml:space="preserve"> can be injected into gas networks (either legislation</w:t>
      </w:r>
      <w:r w:rsidRPr="000034E7">
        <w:rPr>
          <w:rFonts w:ascii="Open Sans" w:hAnsi="Open Sans" w:cs="Open Sans"/>
          <w:sz w:val="22"/>
          <w:szCs w:val="22"/>
        </w:rPr>
        <w:t xml:space="preserve"> is required</w:t>
      </w:r>
      <w:r w:rsidR="00ED3FF6" w:rsidRPr="000034E7">
        <w:rPr>
          <w:rFonts w:ascii="Open Sans" w:hAnsi="Open Sans" w:cs="Open Sans"/>
          <w:sz w:val="22"/>
          <w:szCs w:val="22"/>
        </w:rPr>
        <w:t xml:space="preserve"> to establish rules for third party P2G operators on a commercial basis, or legislation to make P2G part of the regulated asset base).</w:t>
      </w:r>
    </w:p>
    <w:p w14:paraId="216BBBC4" w14:textId="77777777" w:rsidR="00412F13" w:rsidRPr="000034E7" w:rsidRDefault="00412F13">
      <w:pPr>
        <w:pStyle w:val="Body"/>
        <w:rPr>
          <w:rFonts w:ascii="Open Sans" w:hAnsi="Open Sans" w:cs="Open Sans"/>
          <w:lang w:val="en-GB"/>
        </w:rPr>
      </w:pPr>
    </w:p>
    <w:p w14:paraId="657F337D" w14:textId="01FEAFF5" w:rsidR="00D34AF2" w:rsidRPr="000034E7" w:rsidRDefault="000034E7">
      <w:pPr>
        <w:pStyle w:val="Body"/>
        <w:widowControl w:val="0"/>
        <w:spacing w:line="240" w:lineRule="auto"/>
        <w:rPr>
          <w:rFonts w:ascii="Open Sans" w:hAnsi="Open Sans" w:cs="Open Sans"/>
          <w:b/>
          <w:bCs/>
          <w:sz w:val="32"/>
          <w:szCs w:val="28"/>
          <w:u w:val="single"/>
          <w:lang w:val="en-GB"/>
        </w:rPr>
      </w:pPr>
      <w:r w:rsidRPr="000034E7">
        <w:rPr>
          <w:rFonts w:ascii="Open Sans" w:hAnsi="Open Sans" w:cs="Open Sans"/>
          <w:b/>
          <w:bCs/>
          <w:sz w:val="32"/>
          <w:szCs w:val="28"/>
          <w:u w:val="single"/>
          <w:lang w:val="en-GB"/>
        </w:rPr>
        <w:t xml:space="preserve">Annex </w:t>
      </w:r>
    </w:p>
    <w:p w14:paraId="519476F9" w14:textId="52A3C036" w:rsidR="00D34AF2" w:rsidRPr="000034E7" w:rsidRDefault="00D34AF2" w:rsidP="00FB1C93">
      <w:pPr>
        <w:pStyle w:val="Heading2"/>
        <w:rPr>
          <w:rFonts w:ascii="Open Sans" w:hAnsi="Open Sans" w:cs="Open Sans"/>
          <w:lang w:val="en-GB"/>
        </w:rPr>
      </w:pPr>
      <w:r w:rsidRPr="000034E7">
        <w:rPr>
          <w:rFonts w:ascii="Open Sans" w:hAnsi="Open Sans" w:cs="Open Sans"/>
          <w:lang w:val="en-GB"/>
        </w:rPr>
        <w:t>The difference between SMR and ATR</w:t>
      </w:r>
      <w:r w:rsidR="00ED3746" w:rsidRPr="000034E7">
        <w:rPr>
          <w:rFonts w:ascii="Open Sans" w:hAnsi="Open Sans" w:cs="Open Sans"/>
          <w:lang w:val="en-GB"/>
        </w:rPr>
        <w:t xml:space="preserve"> Hydrogen Production</w:t>
      </w:r>
    </w:p>
    <w:p w14:paraId="1138E5DB" w14:textId="4E4E49B3" w:rsidR="00D34AF2" w:rsidRPr="000034E7" w:rsidRDefault="00ED3746">
      <w:pPr>
        <w:pStyle w:val="Body"/>
        <w:widowControl w:val="0"/>
        <w:spacing w:line="240" w:lineRule="auto"/>
        <w:rPr>
          <w:rFonts w:ascii="Open Sans" w:hAnsi="Open Sans" w:cs="Open Sans"/>
          <w:lang w:val="en-GB"/>
        </w:rPr>
      </w:pPr>
      <w:r w:rsidRPr="000034E7">
        <w:rPr>
          <w:rFonts w:ascii="Open Sans" w:hAnsi="Open Sans" w:cs="Open Sans"/>
          <w:lang w:val="en-GB"/>
        </w:rPr>
        <w:t xml:space="preserve">SMR (Steam Methane Reformation) and </w:t>
      </w:r>
      <w:r w:rsidR="00D34AF2" w:rsidRPr="000034E7">
        <w:rPr>
          <w:rFonts w:ascii="Open Sans" w:hAnsi="Open Sans" w:cs="Open Sans"/>
          <w:lang w:val="en-GB"/>
        </w:rPr>
        <w:t>ATR</w:t>
      </w:r>
      <w:r w:rsidRPr="000034E7">
        <w:rPr>
          <w:rFonts w:ascii="Open Sans" w:hAnsi="Open Sans" w:cs="Open Sans"/>
          <w:lang w:val="en-GB"/>
        </w:rPr>
        <w:t xml:space="preserve"> (Autothermal Reforming) are two alternative routes of hydrogen production. ATR</w:t>
      </w:r>
      <w:r w:rsidR="00D34AF2" w:rsidRPr="000034E7">
        <w:rPr>
          <w:rFonts w:ascii="Open Sans" w:hAnsi="Open Sans" w:cs="Open Sans"/>
          <w:lang w:val="en-GB"/>
        </w:rPr>
        <w:t xml:space="preserve"> is more suited to the removal (and subsequent storage</w:t>
      </w:r>
      <w:r w:rsidRPr="000034E7">
        <w:rPr>
          <w:rFonts w:ascii="Open Sans" w:hAnsi="Open Sans" w:cs="Open Sans"/>
          <w:lang w:val="en-GB"/>
        </w:rPr>
        <w:t>)</w:t>
      </w:r>
      <w:r w:rsidR="00D34AF2" w:rsidRPr="000034E7">
        <w:rPr>
          <w:rFonts w:ascii="Open Sans" w:hAnsi="Open Sans" w:cs="Open Sans"/>
          <w:lang w:val="en-GB"/>
        </w:rPr>
        <w:t xml:space="preserve"> of CO2. An explanation of the difference between the two process</w:t>
      </w:r>
      <w:r w:rsidRPr="000034E7">
        <w:rPr>
          <w:rFonts w:ascii="Open Sans" w:hAnsi="Open Sans" w:cs="Open Sans"/>
          <w:lang w:val="en-GB"/>
        </w:rPr>
        <w:t>es</w:t>
      </w:r>
      <w:r w:rsidR="00D34AF2" w:rsidRPr="000034E7">
        <w:rPr>
          <w:rFonts w:ascii="Open Sans" w:hAnsi="Open Sans" w:cs="Open Sans"/>
          <w:lang w:val="en-GB"/>
        </w:rPr>
        <w:t xml:space="preserve"> is given below </w:t>
      </w:r>
      <w:r w:rsidR="00D34AF2" w:rsidRPr="000034E7">
        <w:rPr>
          <w:rStyle w:val="FootnoteReference"/>
          <w:rFonts w:ascii="Open Sans" w:hAnsi="Open Sans" w:cs="Open Sans"/>
          <w:lang w:val="en-GB"/>
        </w:rPr>
        <w:footnoteReference w:id="10"/>
      </w:r>
      <w:r w:rsidR="00D34AF2" w:rsidRPr="000034E7">
        <w:rPr>
          <w:rFonts w:ascii="Open Sans" w:hAnsi="Open Sans" w:cs="Open Sans"/>
          <w:lang w:val="en-GB"/>
        </w:rPr>
        <w:t xml:space="preserve"> </w:t>
      </w:r>
    </w:p>
    <w:p w14:paraId="7FA4AE8A" w14:textId="77928CE7" w:rsidR="00D34AF2" w:rsidRPr="00FB1C93" w:rsidRDefault="00D34AF2">
      <w:pPr>
        <w:pStyle w:val="Body"/>
        <w:widowControl w:val="0"/>
        <w:spacing w:line="240" w:lineRule="auto"/>
        <w:rPr>
          <w:lang w:val="en-GB"/>
        </w:rPr>
      </w:pPr>
      <w:r w:rsidRPr="00FB1C93">
        <w:rPr>
          <w:noProof/>
          <w:lang w:val="en-GB"/>
        </w:rPr>
        <w:drawing>
          <wp:inline distT="0" distB="0" distL="0" distR="0" wp14:anchorId="78CEECF0" wp14:editId="11209CA7">
            <wp:extent cx="4758519" cy="2809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1624" cy="2811709"/>
                    </a:xfrm>
                    <a:prstGeom prst="rect">
                      <a:avLst/>
                    </a:prstGeom>
                  </pic:spPr>
                </pic:pic>
              </a:graphicData>
            </a:graphic>
          </wp:inline>
        </w:drawing>
      </w:r>
    </w:p>
    <w:sectPr w:rsidR="00D34AF2" w:rsidRPr="00FB1C93">
      <w:headerReference w:type="default" r:id="rId11"/>
      <w:footerReference w:type="default" r:id="rId12"/>
      <w:pgSz w:w="11920" w:h="16840"/>
      <w:pgMar w:top="1702" w:right="853" w:bottom="920" w:left="851"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D9535" w14:textId="77777777" w:rsidR="0006402A" w:rsidRDefault="0006402A">
      <w:r>
        <w:separator/>
      </w:r>
    </w:p>
  </w:endnote>
  <w:endnote w:type="continuationSeparator" w:id="0">
    <w:p w14:paraId="37281B03" w14:textId="77777777" w:rsidR="0006402A" w:rsidRDefault="0006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3D09" w14:textId="77777777" w:rsidR="00676D15" w:rsidRDefault="00676D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ED4EC" w14:textId="77777777" w:rsidR="0006402A" w:rsidRDefault="0006402A" w:rsidP="002765F2">
      <w:r>
        <w:separator/>
      </w:r>
    </w:p>
  </w:footnote>
  <w:footnote w:type="continuationSeparator" w:id="0">
    <w:p w14:paraId="3415E5AD" w14:textId="77777777" w:rsidR="0006402A" w:rsidRDefault="0006402A" w:rsidP="00FB1C93">
      <w:r>
        <w:continuationSeparator/>
      </w:r>
    </w:p>
  </w:footnote>
  <w:footnote w:type="continuationNotice" w:id="1">
    <w:p w14:paraId="20849369" w14:textId="77777777" w:rsidR="0006402A" w:rsidRDefault="0006402A"/>
  </w:footnote>
  <w:footnote w:id="2">
    <w:p w14:paraId="18060286" w14:textId="1F6118BF" w:rsidR="00676D15" w:rsidRPr="00FB1C93" w:rsidRDefault="00676D15">
      <w:pPr>
        <w:pStyle w:val="FootnoteText"/>
        <w:rPr>
          <w:lang w:val="en-GB"/>
        </w:rPr>
      </w:pPr>
      <w:r>
        <w:rPr>
          <w:rStyle w:val="FootnoteReference"/>
        </w:rPr>
        <w:footnoteRef/>
      </w:r>
      <w:r>
        <w:t xml:space="preserve"> </w:t>
      </w:r>
    </w:p>
  </w:footnote>
  <w:footnote w:id="3">
    <w:p w14:paraId="0125248E" w14:textId="37455522" w:rsidR="00AB22A8" w:rsidRPr="00DE5E6E" w:rsidRDefault="00AB22A8">
      <w:pPr>
        <w:pStyle w:val="FootnoteText"/>
        <w:rPr>
          <w:lang w:val="en-GB"/>
        </w:rPr>
      </w:pPr>
      <w:r>
        <w:rPr>
          <w:rStyle w:val="FootnoteReference"/>
        </w:rPr>
        <w:footnoteRef/>
      </w:r>
      <w:r>
        <w:t xml:space="preserve"> C</w:t>
      </w:r>
      <w:r w:rsidR="008854E1">
        <w:t xml:space="preserve">ommittee on </w:t>
      </w:r>
      <w:r>
        <w:t>C</w:t>
      </w:r>
      <w:r w:rsidR="008854E1">
        <w:t xml:space="preserve">limate </w:t>
      </w:r>
      <w:r>
        <w:t>C</w:t>
      </w:r>
      <w:r w:rsidR="008854E1">
        <w:t>hange,</w:t>
      </w:r>
      <w:r>
        <w:t xml:space="preserve"> (2019</w:t>
      </w:r>
      <w:proofErr w:type="gramStart"/>
      <w:r>
        <w:t>)</w:t>
      </w:r>
      <w:r w:rsidR="008854E1">
        <w:t>,</w:t>
      </w:r>
      <w:r>
        <w:t xml:space="preserve">  Net</w:t>
      </w:r>
      <w:proofErr w:type="gramEnd"/>
      <w:r>
        <w:t xml:space="preserve"> Zero</w:t>
      </w:r>
      <w:r w:rsidR="008854E1">
        <w:t>:</w:t>
      </w:r>
      <w:r>
        <w:t xml:space="preserve"> The UK's contribution to stopping global warming.  </w:t>
      </w:r>
      <w:hyperlink r:id="rId1" w:anchor="supporting-research,-charts-and-data" w:history="1">
        <w:r>
          <w:rPr>
            <w:rStyle w:val="Hyperlink"/>
          </w:rPr>
          <w:t>https://www.theccc.org.uk/publication/net-zero-the-uks-contribution-to-stopping-global-warming/#supporting-research,-charts-and-data</w:t>
        </w:r>
      </w:hyperlink>
      <w:r w:rsidR="00C048A7">
        <w:rPr>
          <w:rStyle w:val="Hyperlink"/>
        </w:rPr>
        <w:t xml:space="preserve"> (If members feel that other cost data should be included, please send in references for other sources of information).</w:t>
      </w:r>
    </w:p>
  </w:footnote>
  <w:footnote w:id="4">
    <w:p w14:paraId="7F9A94D0" w14:textId="65285D9A" w:rsidR="00676D15" w:rsidRPr="00FB1C93" w:rsidRDefault="00676D15">
      <w:pPr>
        <w:pStyle w:val="FootnoteText"/>
        <w:rPr>
          <w:lang w:val="en-GB"/>
        </w:rPr>
      </w:pPr>
      <w:r>
        <w:rPr>
          <w:rStyle w:val="FootnoteReference"/>
        </w:rPr>
        <w:footnoteRef/>
      </w:r>
      <w:r>
        <w:t xml:space="preserve"> </w:t>
      </w:r>
      <w:proofErr w:type="spellStart"/>
      <w:r w:rsidR="008854E1">
        <w:t>CertiHy</w:t>
      </w:r>
      <w:proofErr w:type="spellEnd"/>
      <w:r w:rsidR="008854E1">
        <w:t xml:space="preserve"> Project, </w:t>
      </w:r>
      <w:hyperlink r:id="rId2" w:history="1">
        <w:r w:rsidR="008854E1" w:rsidRPr="008854E1">
          <w:rPr>
            <w:rStyle w:val="Hyperlink"/>
          </w:rPr>
          <w:t>https://www.certifhy.eu/images/media/files/CertifHy_Presentation_19_10_2016_final_Definition_of_Premium_Hydrogen.pdf</w:t>
        </w:r>
      </w:hyperlink>
    </w:p>
  </w:footnote>
  <w:footnote w:id="5">
    <w:p w14:paraId="1F7B71C6" w14:textId="77777777" w:rsidR="006264CF" w:rsidRPr="00EE1EA6" w:rsidRDefault="006264CF" w:rsidP="006264CF">
      <w:pPr>
        <w:pStyle w:val="FootnoteText"/>
        <w:rPr>
          <w:lang w:val="en-GB"/>
        </w:rPr>
      </w:pPr>
      <w:r>
        <w:rPr>
          <w:rStyle w:val="FootnoteReference"/>
        </w:rPr>
        <w:footnoteRef/>
      </w:r>
      <w:r>
        <w:t xml:space="preserve"> </w:t>
      </w:r>
      <w:r>
        <w:rPr>
          <w:lang w:val="en-GB"/>
        </w:rPr>
        <w:t>We have not proposed any threshold for carbon saving levels or carbon intensity to delineate acceptable from non-acceptable blue hydrogen.  Members’ views are welcome.</w:t>
      </w:r>
    </w:p>
  </w:footnote>
  <w:footnote w:id="6">
    <w:p w14:paraId="22860878" w14:textId="189BD8EC" w:rsidR="00676D15" w:rsidRDefault="00676D15">
      <w:pPr>
        <w:pStyle w:val="FootnoteText"/>
      </w:pPr>
      <w:r>
        <w:rPr>
          <w:vertAlign w:val="superscript"/>
        </w:rPr>
        <w:footnoteRef/>
      </w:r>
      <w:r>
        <w:rPr>
          <w:rFonts w:eastAsia="Arial Unicode MS" w:cs="Arial Unicode MS"/>
        </w:rPr>
        <w:t xml:space="preserve"> </w:t>
      </w:r>
      <w:r w:rsidR="00075664">
        <w:rPr>
          <w:rFonts w:eastAsia="Arial Unicode MS" w:cs="Arial Unicode MS"/>
        </w:rPr>
        <w:t>O</w:t>
      </w:r>
      <w:r>
        <w:rPr>
          <w:rFonts w:eastAsia="Arial Unicode MS" w:cs="Arial Unicode MS"/>
        </w:rPr>
        <w:t xml:space="preserve">ther than its potential to grab the limelight (and policy makers’ attention) in comparison with less novel or more established technologies.  </w:t>
      </w:r>
    </w:p>
  </w:footnote>
  <w:footnote w:id="7">
    <w:p w14:paraId="0AFFA1CA" w14:textId="09EEB07B" w:rsidR="00676D15" w:rsidRDefault="00676D15">
      <w:pPr>
        <w:pStyle w:val="FootnoteText"/>
      </w:pPr>
      <w:r>
        <w:rPr>
          <w:vertAlign w:val="superscript"/>
        </w:rPr>
        <w:footnoteRef/>
      </w:r>
      <w:r>
        <w:rPr>
          <w:rFonts w:eastAsia="Arial Unicode MS" w:cs="Arial Unicode MS"/>
        </w:rPr>
        <w:t xml:space="preserve"> Realistically it is probably the major driver for introducing such a scheme, just as nuclear was </w:t>
      </w:r>
      <w:r w:rsidR="00075664">
        <w:rPr>
          <w:rFonts w:eastAsia="Arial Unicode MS" w:cs="Arial Unicode MS"/>
        </w:rPr>
        <w:t xml:space="preserve">arguably </w:t>
      </w:r>
      <w:r>
        <w:rPr>
          <w:rFonts w:eastAsia="Arial Unicode MS" w:cs="Arial Unicode MS"/>
        </w:rPr>
        <w:t xml:space="preserve">the major driver for the introduction of </w:t>
      </w:r>
      <w:proofErr w:type="spellStart"/>
      <w:r>
        <w:rPr>
          <w:rFonts w:eastAsia="Arial Unicode MS" w:cs="Arial Unicode MS"/>
        </w:rPr>
        <w:t>CfDs</w:t>
      </w:r>
      <w:proofErr w:type="spellEnd"/>
      <w:r>
        <w:rPr>
          <w:rFonts w:eastAsia="Arial Unicode MS" w:cs="Arial Unicode MS"/>
        </w:rPr>
        <w:t>.</w:t>
      </w:r>
    </w:p>
  </w:footnote>
  <w:footnote w:id="8">
    <w:p w14:paraId="144B58C1" w14:textId="295741CB" w:rsidR="00F11D43" w:rsidRPr="00BD53EC" w:rsidRDefault="00F11D43">
      <w:pPr>
        <w:pStyle w:val="FootnoteText"/>
        <w:rPr>
          <w:lang w:val="en-GB"/>
        </w:rPr>
      </w:pPr>
      <w:r>
        <w:rPr>
          <w:rStyle w:val="FootnoteReference"/>
        </w:rPr>
        <w:footnoteRef/>
      </w:r>
      <w:r>
        <w:t xml:space="preserve"> </w:t>
      </w:r>
      <w:hyperlink r:id="rId3" w:history="1">
        <w:r w:rsidRPr="000034E7">
          <w:rPr>
            <w:rStyle w:val="Hyperlink0"/>
            <w:rFonts w:ascii="Open Sans" w:hAnsi="Open Sans" w:cs="Open Sans"/>
            <w:lang w:val="en-GB"/>
          </w:rPr>
          <w:t>https://www.r-e-a.net/resources/reas-latest-position-on-a-future-green-gas-mechanism-submitted-to-beis/</w:t>
        </w:r>
      </w:hyperlink>
    </w:p>
  </w:footnote>
  <w:footnote w:id="9">
    <w:p w14:paraId="36945152" w14:textId="11714B00" w:rsidR="00F11D43" w:rsidRPr="00BD53EC" w:rsidRDefault="00F11D43">
      <w:pPr>
        <w:pStyle w:val="FootnoteText"/>
        <w:rPr>
          <w:lang w:val="en-GB"/>
        </w:rPr>
      </w:pPr>
      <w:r>
        <w:rPr>
          <w:rStyle w:val="FootnoteReference"/>
        </w:rPr>
        <w:footnoteRef/>
      </w:r>
      <w:r>
        <w:t xml:space="preserve"> </w:t>
      </w:r>
      <w:hyperlink r:id="rId4" w:history="1">
        <w:r w:rsidRPr="000034E7">
          <w:rPr>
            <w:rStyle w:val="Hyperlink0"/>
            <w:rFonts w:ascii="Open Sans" w:hAnsi="Open Sans" w:cs="Open Sans"/>
            <w:lang w:val="en-GB"/>
          </w:rPr>
          <w:t>https://www.r-e-a.net/resources/reas-latest-position-on-a-future-green-gas-mechanism-submitted-to-beis/</w:t>
        </w:r>
      </w:hyperlink>
    </w:p>
  </w:footnote>
  <w:footnote w:id="10">
    <w:p w14:paraId="503261AE" w14:textId="1BF180A2" w:rsidR="00676D15" w:rsidRPr="00FB1C93" w:rsidRDefault="00676D15">
      <w:pPr>
        <w:pStyle w:val="FootnoteText"/>
        <w:rPr>
          <w:lang w:val="en-GB"/>
        </w:rPr>
      </w:pPr>
      <w:r>
        <w:rPr>
          <w:rStyle w:val="FootnoteReference"/>
        </w:rPr>
        <w:footnoteRef/>
      </w:r>
      <w:r>
        <w:t xml:space="preserve"> </w:t>
      </w:r>
      <w:r w:rsidR="00ED3746">
        <w:t xml:space="preserve">CE Delft, Hydrogen Report, July 2018, </w:t>
      </w:r>
      <w:hyperlink r:id="rId5" w:history="1">
        <w:r w:rsidR="00ED3746" w:rsidRPr="00C47CB7">
          <w:rPr>
            <w:rStyle w:val="Hyperlink"/>
          </w:rPr>
          <w:t>https://www.cedelft.eu/en/publications/download/2585</w:t>
        </w:r>
      </w:hyperlink>
      <w:r w:rsidR="00ED374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DEAF" w14:textId="6F463353" w:rsidR="00676D15" w:rsidRPr="009B4F10" w:rsidRDefault="004A2F60">
    <w:pPr>
      <w:pStyle w:val="Header"/>
      <w:rPr>
        <w:rFonts w:ascii="Open Sans" w:hAnsi="Open Sans" w:cs="Open Sans"/>
        <w:sz w:val="20"/>
        <w:szCs w:val="20"/>
      </w:rPr>
    </w:pPr>
    <w:sdt>
      <w:sdtPr>
        <w:rPr>
          <w:rFonts w:ascii="Open Sans" w:hAnsi="Open Sans" w:cs="Open Sans"/>
        </w:rPr>
        <w:id w:val="375524638"/>
        <w:docPartObj>
          <w:docPartGallery w:val="Watermarks"/>
          <w:docPartUnique/>
        </w:docPartObj>
      </w:sdtPr>
      <w:sdtContent>
        <w:r w:rsidRPr="009B4F10">
          <w:rPr>
            <w:rFonts w:ascii="Open Sans" w:hAnsi="Open Sans" w:cs="Open Sans"/>
            <w:noProof/>
          </w:rPr>
          <w:pict w14:anchorId="36862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76D15" w:rsidRPr="009B4F10">
      <w:rPr>
        <w:rFonts w:ascii="Open Sans" w:hAnsi="Open Sans" w:cs="Open Sans"/>
        <w:noProof/>
        <w:sz w:val="20"/>
        <w:szCs w:val="20"/>
      </w:rPr>
      <mc:AlternateContent>
        <mc:Choice Requires="wps">
          <w:drawing>
            <wp:anchor distT="152400" distB="152400" distL="152400" distR="152400" simplePos="0" relativeHeight="251658240" behindDoc="1" locked="0" layoutInCell="1" allowOverlap="1" wp14:anchorId="3B49F958" wp14:editId="1FEF8687">
              <wp:simplePos x="0" y="0"/>
              <wp:positionH relativeFrom="page">
                <wp:posOffset>-4334072</wp:posOffset>
              </wp:positionH>
              <wp:positionV relativeFrom="page">
                <wp:posOffset>5600898</wp:posOffset>
              </wp:positionV>
              <wp:extent cx="1" cy="9047876"/>
              <wp:effectExtent l="0" t="0" r="0" b="0"/>
              <wp:wrapNone/>
              <wp:docPr id="1073741825" name="officeArt object" descr="Line 23"/>
              <wp:cNvGraphicFramePr/>
              <a:graphic xmlns:a="http://schemas.openxmlformats.org/drawingml/2006/main">
                <a:graphicData uri="http://schemas.microsoft.com/office/word/2010/wordprocessingShape">
                  <wps:wsp>
                    <wps:cNvCnPr/>
                    <wps:spPr>
                      <a:xfrm flipH="1">
                        <a:off x="0" y="0"/>
                        <a:ext cx="1" cy="9047876"/>
                      </a:xfrm>
                      <a:prstGeom prst="line">
                        <a:avLst/>
                      </a:prstGeom>
                      <a:noFill/>
                      <a:ln w="45085" cap="flat">
                        <a:solidFill>
                          <a:srgbClr val="06926B"/>
                        </a:solidFill>
                        <a:prstDash val="solid"/>
                        <a:round/>
                      </a:ln>
                      <a:effectLst/>
                    </wps:spPr>
                    <wps:bodyPr/>
                  </wps:wsp>
                </a:graphicData>
              </a:graphic>
            </wp:anchor>
          </w:drawing>
        </mc:Choice>
        <mc:Fallback>
          <w:pict>
            <v:line id="_x0000_s1026" style="visibility:visible;position:absolute;margin-left:-341.3pt;margin-top:441.0pt;width:0.0pt;height:712.4pt;z-index:-251658240;mso-position-horizontal:absolute;mso-position-horizontal-relative:page;mso-position-vertical:absolute;mso-position-vertical-relative:page;mso-wrap-distance-left:12.0pt;mso-wrap-distance-top:12.0pt;mso-wrap-distance-right:12.0pt;mso-wrap-distance-bottom:12.0pt;flip:x;">
              <v:fill on="f"/>
              <v:stroke filltype="solid" color="#06926B" opacity="100.0%" weight="3.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sidR="00676D15" w:rsidRPr="009B4F10">
      <w:rPr>
        <w:rFonts w:ascii="Open Sans" w:hAnsi="Open Sans" w:cs="Open Sans"/>
        <w:noProof/>
        <w:sz w:val="20"/>
        <w:szCs w:val="20"/>
      </w:rPr>
      <mc:AlternateContent>
        <mc:Choice Requires="wps">
          <w:drawing>
            <wp:anchor distT="152400" distB="152400" distL="152400" distR="152400" simplePos="0" relativeHeight="251659264" behindDoc="1" locked="0" layoutInCell="1" allowOverlap="1" wp14:anchorId="4308AF8D" wp14:editId="3F438B24">
              <wp:simplePos x="0" y="0"/>
              <wp:positionH relativeFrom="page">
                <wp:posOffset>528954</wp:posOffset>
              </wp:positionH>
              <wp:positionV relativeFrom="page">
                <wp:posOffset>198754</wp:posOffset>
              </wp:positionV>
              <wp:extent cx="7177406" cy="0"/>
              <wp:effectExtent l="0" t="0" r="0" b="0"/>
              <wp:wrapNone/>
              <wp:docPr id="1073741826" name="officeArt object" descr="Line 22"/>
              <wp:cNvGraphicFramePr/>
              <a:graphic xmlns:a="http://schemas.openxmlformats.org/drawingml/2006/main">
                <a:graphicData uri="http://schemas.microsoft.com/office/word/2010/wordprocessingShape">
                  <wps:wsp>
                    <wps:cNvCnPr/>
                    <wps:spPr>
                      <a:xfrm>
                        <a:off x="0" y="0"/>
                        <a:ext cx="7177406" cy="0"/>
                      </a:xfrm>
                      <a:prstGeom prst="line">
                        <a:avLst/>
                      </a:prstGeom>
                      <a:noFill/>
                      <a:ln w="45085" cap="flat">
                        <a:solidFill>
                          <a:srgbClr val="676764"/>
                        </a:solidFill>
                        <a:prstDash val="solid"/>
                        <a:round/>
                      </a:ln>
                      <a:effectLst/>
                    </wps:spPr>
                    <wps:bodyPr/>
                  </wps:wsp>
                </a:graphicData>
              </a:graphic>
            </wp:anchor>
          </w:drawing>
        </mc:Choice>
        <mc:Fallback>
          <w:pict>
            <v:line id="_x0000_s1027" style="visibility:visible;position:absolute;margin-left:41.6pt;margin-top:15.6pt;width:565.2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676764" opacity="100.0%" weight="3.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sidR="00676D15" w:rsidRPr="009B4F10">
      <w:rPr>
        <w:rFonts w:ascii="Open Sans" w:hAnsi="Open Sans" w:cs="Open Sans"/>
        <w:noProof/>
        <w:sz w:val="20"/>
        <w:szCs w:val="20"/>
      </w:rPr>
      <w:drawing>
        <wp:anchor distT="152400" distB="152400" distL="152400" distR="152400" simplePos="0" relativeHeight="251660288" behindDoc="1" locked="0" layoutInCell="1" allowOverlap="1" wp14:anchorId="1D3DB288" wp14:editId="62F6C5B3">
          <wp:simplePos x="0" y="0"/>
          <wp:positionH relativeFrom="page">
            <wp:posOffset>5041900</wp:posOffset>
          </wp:positionH>
          <wp:positionV relativeFrom="page">
            <wp:posOffset>506094</wp:posOffset>
          </wp:positionV>
          <wp:extent cx="2008503" cy="586682"/>
          <wp:effectExtent l="0" t="0" r="0" b="0"/>
          <wp:wrapNone/>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1"/>
                  <a:stretch>
                    <a:fillRect/>
                  </a:stretch>
                </pic:blipFill>
                <pic:spPr>
                  <a:xfrm>
                    <a:off x="0" y="0"/>
                    <a:ext cx="2008503" cy="586682"/>
                  </a:xfrm>
                  <a:prstGeom prst="rect">
                    <a:avLst/>
                  </a:prstGeom>
                  <a:ln w="12700" cap="flat">
                    <a:noFill/>
                    <a:miter lim="400000"/>
                  </a:ln>
                  <a:effectLst/>
                </pic:spPr>
              </pic:pic>
            </a:graphicData>
          </a:graphic>
        </wp:anchor>
      </w:drawing>
    </w:r>
    <w:r w:rsidR="00676D15" w:rsidRPr="009B4F10">
      <w:rPr>
        <w:rFonts w:ascii="Open Sans" w:hAnsi="Open Sans" w:cs="Open Sans"/>
        <w:noProof/>
        <w:sz w:val="20"/>
        <w:szCs w:val="20"/>
      </w:rPr>
      <mc:AlternateContent>
        <mc:Choice Requires="wps">
          <w:drawing>
            <wp:anchor distT="152400" distB="152400" distL="152400" distR="152400" simplePos="0" relativeHeight="251661312" behindDoc="1" locked="0" layoutInCell="1" allowOverlap="1" wp14:anchorId="300B4A02" wp14:editId="3C22EA5F">
              <wp:simplePos x="0" y="0"/>
              <wp:positionH relativeFrom="page">
                <wp:posOffset>529590</wp:posOffset>
              </wp:positionH>
              <wp:positionV relativeFrom="page">
                <wp:posOffset>220345</wp:posOffset>
              </wp:positionV>
              <wp:extent cx="2185670" cy="243839"/>
              <wp:effectExtent l="0" t="0" r="0" b="0"/>
              <wp:wrapNone/>
              <wp:docPr id="1073741828" name="officeArt object" descr="Text Box 21"/>
              <wp:cNvGraphicFramePr/>
              <a:graphic xmlns:a="http://schemas.openxmlformats.org/drawingml/2006/main">
                <a:graphicData uri="http://schemas.microsoft.com/office/word/2010/wordprocessingShape">
                  <wps:wsp>
                    <wps:cNvSpPr/>
                    <wps:spPr>
                      <a:xfrm>
                        <a:off x="0" y="0"/>
                        <a:ext cx="2185670" cy="243839"/>
                      </a:xfrm>
                      <a:prstGeom prst="rect">
                        <a:avLst/>
                      </a:prstGeom>
                      <a:solidFill>
                        <a:srgbClr val="676764"/>
                      </a:solidFill>
                      <a:ln w="12700" cap="flat">
                        <a:noFill/>
                        <a:miter lim="400000"/>
                      </a:ln>
                      <a:effectLst/>
                    </wps:spPr>
                    <wps:bodyPr/>
                  </wps:wsp>
                </a:graphicData>
              </a:graphic>
            </wp:anchor>
          </w:drawing>
        </mc:Choice>
        <mc:Fallback>
          <w:pict>
            <v:rect id="_x0000_s1028" style="visibility:visible;position:absolute;margin-left:41.7pt;margin-top:17.4pt;width:172.1pt;height:19.2pt;z-index:-251655168;mso-position-horizontal:absolute;mso-position-horizontal-relative:page;mso-position-vertical:absolute;mso-position-vertical-relative:page;mso-wrap-distance-left:12.0pt;mso-wrap-distance-top:12.0pt;mso-wrap-distance-right:12.0pt;mso-wrap-distance-bottom:12.0pt;">
              <v:fill color="#67676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00C720B3" w:rsidRPr="009B4F10">
      <w:rPr>
        <w:rFonts w:ascii="Open Sans" w:hAnsi="Open Sans" w:cs="Open Sans"/>
        <w:sz w:val="20"/>
        <w:szCs w:val="20"/>
      </w:rPr>
      <w:t>Draft v1, 05/07/2020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C1A5C"/>
    <w:multiLevelType w:val="hybridMultilevel"/>
    <w:tmpl w:val="BDD29584"/>
    <w:styleLink w:val="ImportedStyle2"/>
    <w:lvl w:ilvl="0" w:tplc="8D8CDD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601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29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000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368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4EB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844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413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A2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4C12B3"/>
    <w:multiLevelType w:val="hybridMultilevel"/>
    <w:tmpl w:val="1026F358"/>
    <w:numStyleLink w:val="ImportedStyle3"/>
  </w:abstractNum>
  <w:abstractNum w:abstractNumId="2" w15:restartNumberingAfterBreak="0">
    <w:nsid w:val="471E0A09"/>
    <w:multiLevelType w:val="hybridMultilevel"/>
    <w:tmpl w:val="7C38FAAE"/>
    <w:lvl w:ilvl="0" w:tplc="2C12F5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85F44"/>
    <w:multiLevelType w:val="hybridMultilevel"/>
    <w:tmpl w:val="1026F358"/>
    <w:styleLink w:val="ImportedStyle3"/>
    <w:lvl w:ilvl="0" w:tplc="0E88F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6E09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2A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8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4498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4630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C8F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FA5A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985E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011D98"/>
    <w:multiLevelType w:val="hybridMultilevel"/>
    <w:tmpl w:val="BDD29584"/>
    <w:numStyleLink w:val="ImportedStyle2"/>
  </w:abstractNum>
  <w:abstractNum w:abstractNumId="5" w15:restartNumberingAfterBreak="0">
    <w:nsid w:val="79312CDF"/>
    <w:multiLevelType w:val="hybridMultilevel"/>
    <w:tmpl w:val="354872D2"/>
    <w:styleLink w:val="ImportedStyle4"/>
    <w:lvl w:ilvl="0" w:tplc="54A46DC2">
      <w:start w:val="1"/>
      <w:numFmt w:val="bullet"/>
      <w:lvlText w:val="·"/>
      <w:lvlJc w:val="left"/>
      <w:pPr>
        <w:tabs>
          <w:tab w:val="left" w:pos="579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786ECC">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6F6AE">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63B44">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023C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5023C0">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89B6">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10512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DEE0BC">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CC7344D"/>
    <w:multiLevelType w:val="hybridMultilevel"/>
    <w:tmpl w:val="354872D2"/>
    <w:numStyleLink w:val="ImportedStyle4"/>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6"/>
    <w:lvlOverride w:ilvl="0">
      <w:lvl w:ilvl="0" w:tplc="E22C4C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801B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885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361D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7A65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0E8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5A5E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5831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E8DB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6"/>
    <w:lvlOverride w:ilvl="0">
      <w:lvl w:ilvl="0" w:tplc="E22C4C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801B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885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361D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7A65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0E8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5A5E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5831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E8DB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13"/>
    <w:rsid w:val="000034E7"/>
    <w:rsid w:val="00010BB3"/>
    <w:rsid w:val="0006402A"/>
    <w:rsid w:val="00075664"/>
    <w:rsid w:val="0011498F"/>
    <w:rsid w:val="0016243B"/>
    <w:rsid w:val="001B2A4D"/>
    <w:rsid w:val="00201ACF"/>
    <w:rsid w:val="002765F2"/>
    <w:rsid w:val="00295BB6"/>
    <w:rsid w:val="002B42B0"/>
    <w:rsid w:val="002D4BA6"/>
    <w:rsid w:val="002E6F87"/>
    <w:rsid w:val="00334729"/>
    <w:rsid w:val="00356753"/>
    <w:rsid w:val="003741E7"/>
    <w:rsid w:val="00397208"/>
    <w:rsid w:val="003A0007"/>
    <w:rsid w:val="003D03FE"/>
    <w:rsid w:val="00412F13"/>
    <w:rsid w:val="004A2F60"/>
    <w:rsid w:val="004A3F37"/>
    <w:rsid w:val="004A476E"/>
    <w:rsid w:val="005006BC"/>
    <w:rsid w:val="00503DC6"/>
    <w:rsid w:val="00587E21"/>
    <w:rsid w:val="005E2E09"/>
    <w:rsid w:val="006264CF"/>
    <w:rsid w:val="00676D15"/>
    <w:rsid w:val="006E216D"/>
    <w:rsid w:val="007301B2"/>
    <w:rsid w:val="008854E1"/>
    <w:rsid w:val="008958B7"/>
    <w:rsid w:val="008A7836"/>
    <w:rsid w:val="008D2280"/>
    <w:rsid w:val="0093731B"/>
    <w:rsid w:val="009A02C3"/>
    <w:rsid w:val="009A2596"/>
    <w:rsid w:val="009B4F10"/>
    <w:rsid w:val="009C0029"/>
    <w:rsid w:val="00A0013B"/>
    <w:rsid w:val="00AB22A8"/>
    <w:rsid w:val="00AB75D3"/>
    <w:rsid w:val="00B026A5"/>
    <w:rsid w:val="00BD53EC"/>
    <w:rsid w:val="00C048A7"/>
    <w:rsid w:val="00C20314"/>
    <w:rsid w:val="00C720B3"/>
    <w:rsid w:val="00CA08A7"/>
    <w:rsid w:val="00CC09AF"/>
    <w:rsid w:val="00D34AF2"/>
    <w:rsid w:val="00DD42AC"/>
    <w:rsid w:val="00DE5E6E"/>
    <w:rsid w:val="00E91AE4"/>
    <w:rsid w:val="00ED3746"/>
    <w:rsid w:val="00ED3FF6"/>
    <w:rsid w:val="00F11D43"/>
    <w:rsid w:val="00F6551B"/>
    <w:rsid w:val="00FB1C93"/>
    <w:rsid w:val="00FD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A80BF2"/>
  <w15:docId w15:val="{A5D4DC74-B99C-4D02-901B-74D17F2E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F2"/>
    <w:rPr>
      <w:rFonts w:ascii="Calibri" w:hAnsi="Calibri" w:cs="Calibri"/>
      <w:sz w:val="22"/>
      <w:szCs w:val="22"/>
      <w:lang w:val="en-US" w:eastAsia="en-US"/>
    </w:rPr>
  </w:style>
  <w:style w:type="paragraph" w:styleId="Heading2">
    <w:name w:val="heading 2"/>
    <w:uiPriority w:val="9"/>
    <w:unhideWhenUsed/>
    <w:qFormat/>
    <w:pPr>
      <w:spacing w:after="160" w:line="259" w:lineRule="auto"/>
      <w:outlineLvl w:val="1"/>
    </w:pPr>
    <w:rPr>
      <w:rFonts w:ascii="Century Gothic" w:hAnsi="Century Gothic" w:cs="Arial Unicode MS"/>
      <w:b/>
      <w:bCs/>
      <w:color w:val="000000"/>
      <w:sz w:val="28"/>
      <w:szCs w:val="28"/>
      <w:u w:val="single" w:color="000000"/>
      <w:lang w:val="en-US"/>
      <w14:textOutline w14:w="0" w14:cap="flat" w14:cmpd="sng" w14:algn="ctr">
        <w14:noFill/>
        <w14:prstDash w14:val="solid"/>
        <w14:bevel/>
      </w14:textOutline>
    </w:rPr>
  </w:style>
  <w:style w:type="paragraph" w:styleId="Heading3">
    <w:name w:val="heading 3"/>
    <w:next w:val="Body"/>
    <w:uiPriority w:val="9"/>
    <w:unhideWhenUsed/>
    <w:qFormat/>
    <w:pPr>
      <w:spacing w:after="160" w:line="259" w:lineRule="auto"/>
      <w:outlineLvl w:val="2"/>
    </w:pPr>
    <w:rPr>
      <w:rFonts w:ascii="Century Gothic" w:hAnsi="Century Gothic" w:cs="Arial Unicode MS"/>
      <w:b/>
      <w:bCs/>
      <w:color w:val="000000"/>
      <w:sz w:val="24"/>
      <w:szCs w:val="24"/>
      <w:u w:val="single"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pacing w:after="160" w:line="259" w:lineRule="auto"/>
    </w:pPr>
    <w:rPr>
      <w:rFonts w:ascii="Calibri" w:hAnsi="Calibri" w:cs="Arial Unicode MS"/>
      <w:color w:val="000000"/>
      <w:sz w:val="22"/>
      <w:szCs w:val="22"/>
      <w:u w:color="000000"/>
      <w:lang w:val="en-US"/>
    </w:rPr>
  </w:style>
  <w:style w:type="paragraph" w:styleId="Footer">
    <w:name w:val="footer"/>
    <w:pPr>
      <w:tabs>
        <w:tab w:val="center" w:pos="4513"/>
        <w:tab w:val="right" w:pos="9026"/>
      </w:tabs>
      <w:spacing w:after="160" w:line="259" w:lineRule="auto"/>
    </w:pPr>
    <w:rPr>
      <w:rFonts w:ascii="Calibri" w:hAnsi="Calibri" w:cs="Arial Unicode MS"/>
      <w:color w:val="000000"/>
      <w:sz w:val="22"/>
      <w:szCs w:val="22"/>
      <w:u w:color="000000"/>
      <w:lang w:val="en-US"/>
    </w:rPr>
  </w:style>
  <w:style w:type="paragraph" w:customStyle="1" w:styleId="Heading">
    <w:name w:val="Heading"/>
    <w:pPr>
      <w:spacing w:before="218" w:after="160" w:line="259" w:lineRule="auto"/>
      <w:outlineLvl w:val="0"/>
    </w:pPr>
    <w:rPr>
      <w:rFonts w:ascii="Century Gothic" w:eastAsia="Century Gothic" w:hAnsi="Century Gothic" w:cs="Century Gothic"/>
      <w:b/>
      <w:bCs/>
      <w:color w:val="06926B"/>
      <w:sz w:val="36"/>
      <w:szCs w:val="36"/>
      <w:u w:color="06926B"/>
      <w14:textOutline w14:w="0" w14:cap="flat" w14:cmpd="sng" w14:algn="ctr">
        <w14:noFill/>
        <w14:prstDash w14:val="solid"/>
        <w14:bevel/>
      </w14:textOutline>
    </w:rPr>
  </w:style>
  <w:style w:type="paragraph" w:styleId="PlainText">
    <w:name w:val="Plain Text"/>
    <w:rPr>
      <w:rFonts w:ascii="Calibri" w:eastAsia="Calibri" w:hAnsi="Calibri" w:cs="Calibri"/>
      <w:color w:val="000000"/>
      <w:sz w:val="22"/>
      <w:szCs w:val="22"/>
      <w:u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CommentText">
    <w:name w:val="annotation text"/>
    <w:link w:val="CommentTextChar"/>
    <w:pPr>
      <w:spacing w:after="160"/>
    </w:pPr>
    <w:rPr>
      <w:rFonts w:ascii="Calibri" w:hAnsi="Calibri" w:cs="Arial Unicode MS"/>
      <w:color w:val="000000"/>
      <w:u w:color="000000"/>
      <w:lang w:val="en-US"/>
    </w:rPr>
  </w:style>
  <w:style w:type="paragraph" w:styleId="FootnoteText">
    <w:name w:val="footnote text"/>
    <w:pPr>
      <w:spacing w:after="160" w:line="259" w:lineRule="auto"/>
    </w:pPr>
    <w:rPr>
      <w:rFonts w:ascii="Calibri" w:eastAsia="Calibri" w:hAnsi="Calibri" w:cs="Calibri"/>
      <w:color w:val="000000"/>
      <w:u w:color="000000"/>
      <w:lang w:val="en-US"/>
    </w:rPr>
  </w:style>
  <w:style w:type="paragraph" w:styleId="ListParagraph">
    <w:name w:val="List Paragraph"/>
    <w:pPr>
      <w:spacing w:after="160" w:line="259" w:lineRule="auto"/>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character" w:customStyle="1" w:styleId="Hyperlink1">
    <w:name w:val="Hyperlink.1"/>
    <w:basedOn w:val="Hyperlink0"/>
    <w:rPr>
      <w:rFonts w:ascii="Calibri" w:eastAsia="Calibri" w:hAnsi="Calibri" w:cs="Calibri"/>
      <w:outline w:val="0"/>
      <w:color w:val="0000FF"/>
      <w:u w:val="single" w:color="0000FF"/>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0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C20314"/>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rsid w:val="00C20314"/>
    <w:rPr>
      <w:rFonts w:ascii="Calibri" w:hAnsi="Calibri" w:cs="Arial Unicode MS"/>
      <w:color w:val="000000"/>
      <w:u w:color="000000"/>
      <w:lang w:val="en-US"/>
    </w:rPr>
  </w:style>
  <w:style w:type="character" w:customStyle="1" w:styleId="CommentSubjectChar">
    <w:name w:val="Comment Subject Char"/>
    <w:basedOn w:val="CommentTextChar"/>
    <w:link w:val="CommentSubject"/>
    <w:uiPriority w:val="99"/>
    <w:semiHidden/>
    <w:rsid w:val="00C20314"/>
    <w:rPr>
      <w:rFonts w:ascii="Calibri" w:hAnsi="Calibri" w:cs="Arial Unicode MS"/>
      <w:b/>
      <w:bCs/>
      <w:color w:val="000000"/>
      <w:u w:color="000000"/>
      <w:lang w:val="en-US" w:eastAsia="en-US"/>
    </w:rPr>
  </w:style>
  <w:style w:type="character" w:styleId="FootnoteReference">
    <w:name w:val="footnote reference"/>
    <w:basedOn w:val="DefaultParagraphFont"/>
    <w:uiPriority w:val="99"/>
    <w:semiHidden/>
    <w:unhideWhenUsed/>
    <w:rsid w:val="009A02C3"/>
    <w:rPr>
      <w:vertAlign w:val="superscript"/>
    </w:rPr>
  </w:style>
  <w:style w:type="paragraph" w:styleId="Revision">
    <w:name w:val="Revision"/>
    <w:hidden/>
    <w:uiPriority w:val="99"/>
    <w:semiHidden/>
    <w:rsid w:val="00587E2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Calibri"/>
      <w:sz w:val="22"/>
      <w:szCs w:val="22"/>
      <w:lang w:val="en-US" w:eastAsia="en-US"/>
    </w:rPr>
  </w:style>
  <w:style w:type="character" w:styleId="UnresolvedMention">
    <w:name w:val="Unresolved Mention"/>
    <w:basedOn w:val="DefaultParagraphFont"/>
    <w:uiPriority w:val="99"/>
    <w:semiHidden/>
    <w:unhideWhenUsed/>
    <w:rsid w:val="0088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hartnell@r-e-a.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e-a.net/resources/reas-latest-position-on-a-future-green-gas-mechanism-submitted-to-be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a.net/resources/reas-latest-position-on-a-future-green-gas-mechanism-submitted-to-beis/" TargetMode="External"/><Relationship Id="rId2" Type="http://schemas.openxmlformats.org/officeDocument/2006/relationships/hyperlink" Target="https://www.certifhy.eu/images/media/files/CertifHy_Presentation_19_10_2016_final_Definition_of_Premium_Hydrogen.pdf" TargetMode="External"/><Relationship Id="rId1" Type="http://schemas.openxmlformats.org/officeDocument/2006/relationships/hyperlink" Target="https://www.theccc.org.uk/publication/net-zero-the-uks-contribution-to-stopping-global-warming/" TargetMode="External"/><Relationship Id="rId5" Type="http://schemas.openxmlformats.org/officeDocument/2006/relationships/hyperlink" Target="https://www.cedelft.eu/en/publications/download/2585" TargetMode="External"/><Relationship Id="rId4" Type="http://schemas.openxmlformats.org/officeDocument/2006/relationships/hyperlink" Target="https://www.r-e-a.net/resources/reas-latest-position-on-a-future-green-gas-mechanism-submitted-to-b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D25A-9F7F-497D-A3FA-C550F18D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Hartnell</dc:creator>
  <cp:lastModifiedBy>Kiara Zennaro</cp:lastModifiedBy>
  <cp:revision>5</cp:revision>
  <cp:lastPrinted>2020-06-15T09:35:00Z</cp:lastPrinted>
  <dcterms:created xsi:type="dcterms:W3CDTF">2020-07-09T07:57:00Z</dcterms:created>
  <dcterms:modified xsi:type="dcterms:W3CDTF">2020-07-09T09:30:00Z</dcterms:modified>
</cp:coreProperties>
</file>