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72B75" w14:textId="77777777" w:rsidR="00EA2285" w:rsidRDefault="00EA2285" w:rsidP="00463340">
      <w:pPr>
        <w:jc w:val="center"/>
        <w:rPr>
          <w:rFonts w:ascii="Open Sans" w:hAnsi="Open Sans" w:cs="Open Sans"/>
          <w:b/>
          <w:bCs/>
          <w:i/>
          <w:iCs/>
          <w:color w:val="06926B"/>
          <w:sz w:val="32"/>
          <w:szCs w:val="32"/>
        </w:rPr>
      </w:pPr>
    </w:p>
    <w:p w14:paraId="481B03AA" w14:textId="6FA123B2" w:rsidR="00BD0B87" w:rsidRDefault="00273E54" w:rsidP="00463340">
      <w:pPr>
        <w:jc w:val="center"/>
        <w:rPr>
          <w:rFonts w:ascii="Open Sans" w:hAnsi="Open Sans" w:cs="Open Sans"/>
          <w:b/>
          <w:bCs/>
          <w:color w:val="06926B"/>
          <w:sz w:val="32"/>
          <w:szCs w:val="32"/>
        </w:rPr>
      </w:pPr>
      <w:r w:rsidRPr="00463340">
        <w:rPr>
          <w:rFonts w:ascii="Open Sans" w:hAnsi="Open Sans" w:cs="Open Sans"/>
          <w:b/>
          <w:bCs/>
          <w:i/>
          <w:iCs/>
          <w:color w:val="06926B"/>
          <w:sz w:val="32"/>
          <w:szCs w:val="32"/>
        </w:rPr>
        <w:t>‘</w:t>
      </w:r>
      <w:r w:rsidR="00780C7E">
        <w:rPr>
          <w:rFonts w:ascii="Open Sans" w:hAnsi="Open Sans" w:cs="Open Sans"/>
          <w:b/>
          <w:bCs/>
          <w:i/>
          <w:iCs/>
          <w:color w:val="06926B"/>
          <w:sz w:val="32"/>
          <w:szCs w:val="32"/>
        </w:rPr>
        <w:t>Environment Land Management: Policy Discussion</w:t>
      </w:r>
      <w:r w:rsidR="0082422C">
        <w:rPr>
          <w:rFonts w:ascii="Open Sans" w:hAnsi="Open Sans" w:cs="Open Sans"/>
          <w:b/>
          <w:bCs/>
          <w:i/>
          <w:iCs/>
          <w:color w:val="06926B"/>
          <w:sz w:val="32"/>
          <w:szCs w:val="32"/>
        </w:rPr>
        <w:t xml:space="preserve"> </w:t>
      </w:r>
      <w:r w:rsidRPr="00463340">
        <w:rPr>
          <w:rFonts w:ascii="Open Sans" w:hAnsi="Open Sans" w:cs="Open Sans"/>
          <w:b/>
          <w:bCs/>
          <w:color w:val="06926B"/>
          <w:sz w:val="32"/>
          <w:szCs w:val="32"/>
        </w:rPr>
        <w:t xml:space="preserve"> </w:t>
      </w:r>
    </w:p>
    <w:p w14:paraId="4F687AA2" w14:textId="31FD86E6" w:rsidR="00CD42E0" w:rsidRPr="00463340" w:rsidRDefault="00792488" w:rsidP="00463340">
      <w:pPr>
        <w:jc w:val="center"/>
        <w:rPr>
          <w:rFonts w:ascii="Open Sans" w:hAnsi="Open Sans" w:cs="Open Sans"/>
          <w:b/>
          <w:bCs/>
          <w:color w:val="06926B"/>
          <w:sz w:val="32"/>
          <w:szCs w:val="32"/>
          <w:u w:val="single"/>
        </w:rPr>
      </w:pPr>
      <w:r>
        <w:rPr>
          <w:rFonts w:ascii="Open Sans" w:hAnsi="Open Sans" w:cs="Open Sans"/>
          <w:b/>
          <w:bCs/>
          <w:color w:val="06926B"/>
          <w:sz w:val="32"/>
          <w:szCs w:val="32"/>
        </w:rPr>
        <w:t xml:space="preserve">REA </w:t>
      </w:r>
      <w:r w:rsidR="000D0D58">
        <w:rPr>
          <w:rFonts w:ascii="Open Sans" w:hAnsi="Open Sans" w:cs="Open Sans"/>
          <w:b/>
          <w:bCs/>
          <w:color w:val="06926B"/>
          <w:sz w:val="32"/>
          <w:szCs w:val="32"/>
        </w:rPr>
        <w:t>Consultation Response</w:t>
      </w:r>
      <w:r w:rsidR="00BD0B87">
        <w:rPr>
          <w:rFonts w:ascii="Open Sans" w:hAnsi="Open Sans" w:cs="Open Sans"/>
          <w:b/>
          <w:bCs/>
          <w:color w:val="06926B"/>
          <w:sz w:val="32"/>
          <w:szCs w:val="32"/>
        </w:rPr>
        <w:t xml:space="preserve"> </w:t>
      </w:r>
    </w:p>
    <w:p w14:paraId="76356593" w14:textId="77777777" w:rsidR="00CD42E0" w:rsidRPr="006E1CD9" w:rsidRDefault="00CD42E0" w:rsidP="00CD42E0">
      <w:pPr>
        <w:rPr>
          <w:rFonts w:ascii="Open Sans" w:hAnsi="Open Sans" w:cs="Open Sans"/>
          <w:b/>
          <w:bCs/>
        </w:rPr>
      </w:pPr>
    </w:p>
    <w:p w14:paraId="24FE08BC" w14:textId="652A8FA2" w:rsidR="000D0D58" w:rsidRPr="0076721D" w:rsidRDefault="000D0D58" w:rsidP="000D0D58">
      <w:pPr>
        <w:rPr>
          <w:rFonts w:ascii="Open Sans" w:hAnsi="Open Sans" w:cs="Open Sans"/>
          <w:szCs w:val="22"/>
        </w:rPr>
      </w:pPr>
      <w:r w:rsidRPr="0076721D">
        <w:rPr>
          <w:rFonts w:ascii="Open Sans" w:hAnsi="Open Sans" w:cs="Open Sans"/>
          <w:szCs w:val="22"/>
        </w:rPr>
        <w:t xml:space="preserve">The </w:t>
      </w:r>
      <w:r w:rsidR="00B761B4">
        <w:rPr>
          <w:rFonts w:ascii="Open Sans" w:hAnsi="Open Sans" w:cs="Open Sans"/>
          <w:szCs w:val="22"/>
        </w:rPr>
        <w:t>Association for Renewable Energy &amp; Clean Technolog</w:t>
      </w:r>
      <w:r w:rsidR="00AA3F43">
        <w:rPr>
          <w:rFonts w:ascii="Open Sans" w:hAnsi="Open Sans" w:cs="Open Sans"/>
          <w:szCs w:val="22"/>
        </w:rPr>
        <w:t>y</w:t>
      </w:r>
      <w:r w:rsidRPr="0076721D">
        <w:rPr>
          <w:rFonts w:ascii="Open Sans" w:hAnsi="Open Sans" w:cs="Open Sans"/>
          <w:szCs w:val="22"/>
        </w:rPr>
        <w:t xml:space="preserve">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w:t>
      </w:r>
      <w:r w:rsidR="00780C7E">
        <w:rPr>
          <w:rFonts w:ascii="Open Sans" w:hAnsi="Open Sans" w:cs="Open Sans"/>
          <w:szCs w:val="22"/>
        </w:rPr>
        <w:t>00</w:t>
      </w:r>
      <w:r w:rsidRPr="0076721D">
        <w:rPr>
          <w:rFonts w:ascii="Open Sans" w:hAnsi="Open Sans" w:cs="Open Sans"/>
          <w:szCs w:val="22"/>
        </w:rPr>
        <w:t xml:space="preserve"> corporate members of the REA, making it the largest renewable energy trade association in the UK. The Wood Heat Association is the members forum within the REA that advocates for the modern wood heating and related biomass heating industry including wood fuel suppliers, biomass boiler and stove installers and distributors, and anyone involved in the supply chain.</w:t>
      </w:r>
    </w:p>
    <w:p w14:paraId="2CF397D1" w14:textId="77777777" w:rsidR="00CD42E0" w:rsidRPr="0076721D" w:rsidRDefault="00CD42E0" w:rsidP="00094268">
      <w:pPr>
        <w:pBdr>
          <w:bottom w:val="single" w:sz="6" w:space="0" w:color="auto"/>
        </w:pBdr>
        <w:rPr>
          <w:rFonts w:ascii="Open Sans" w:hAnsi="Open Sans" w:cs="Open Sans"/>
          <w:szCs w:val="22"/>
        </w:rPr>
      </w:pPr>
    </w:p>
    <w:p w14:paraId="1813ED71" w14:textId="77777777" w:rsidR="00CD42E0" w:rsidRPr="0076721D" w:rsidRDefault="00CD42E0" w:rsidP="00CD42E0">
      <w:pPr>
        <w:rPr>
          <w:rFonts w:ascii="Open Sans" w:hAnsi="Open Sans" w:cs="Open Sans"/>
          <w:szCs w:val="22"/>
        </w:rPr>
      </w:pPr>
    </w:p>
    <w:p w14:paraId="7DB53D2D" w14:textId="12B2B998" w:rsidR="00971EF8" w:rsidRPr="0076721D" w:rsidRDefault="00971EF8" w:rsidP="00971EF8">
      <w:pPr>
        <w:rPr>
          <w:rFonts w:ascii="Open Sans" w:hAnsi="Open Sans" w:cs="Open Sans"/>
          <w:szCs w:val="22"/>
        </w:rPr>
      </w:pPr>
    </w:p>
    <w:p w14:paraId="54B3238C" w14:textId="0CA8299D" w:rsidR="002D43C7" w:rsidRDefault="00A010DE" w:rsidP="002D43C7">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002D43C7" w:rsidRPr="002D43C7">
        <w:rPr>
          <w:rFonts w:ascii="Open Sans" w:hAnsi="Open Sans" w:cs="Open Sans"/>
          <w:b/>
          <w:bCs/>
          <w:i/>
          <w:iCs/>
          <w:color w:val="2F5496"/>
          <w:szCs w:val="22"/>
        </w:rPr>
        <w:t>1</w:t>
      </w:r>
      <w:r>
        <w:rPr>
          <w:rFonts w:ascii="Open Sans" w:hAnsi="Open Sans" w:cs="Open Sans"/>
          <w:b/>
          <w:bCs/>
          <w:i/>
          <w:iCs/>
          <w:color w:val="2F5496"/>
          <w:szCs w:val="22"/>
        </w:rPr>
        <w:t>:</w:t>
      </w:r>
      <w:r w:rsidR="002D43C7" w:rsidRPr="002D43C7">
        <w:rPr>
          <w:rFonts w:ascii="Open Sans" w:hAnsi="Open Sans" w:cs="Open Sans"/>
          <w:b/>
          <w:bCs/>
          <w:i/>
          <w:iCs/>
          <w:color w:val="2F5496"/>
          <w:szCs w:val="22"/>
        </w:rPr>
        <w:t xml:space="preserve"> Do you want your responses to be confidential? If yes, please give your reason.</w:t>
      </w:r>
    </w:p>
    <w:p w14:paraId="2A511672" w14:textId="4E0EFF04" w:rsidR="00A010DE" w:rsidRDefault="00072ADB" w:rsidP="00072ADB">
      <w:pPr>
        <w:rPr>
          <w:rFonts w:ascii="Open Sans" w:hAnsi="Open Sans" w:cs="Open Sans"/>
          <w:szCs w:val="22"/>
        </w:rPr>
      </w:pPr>
      <w:r w:rsidRPr="00072ADB">
        <w:rPr>
          <w:rFonts w:ascii="Open Sans" w:hAnsi="Open Sans" w:cs="Open Sans"/>
          <w:szCs w:val="22"/>
        </w:rPr>
        <w:t>No.</w:t>
      </w:r>
    </w:p>
    <w:p w14:paraId="305A1C36" w14:textId="77777777" w:rsidR="00072ADB" w:rsidRPr="00072ADB" w:rsidRDefault="00072ADB" w:rsidP="00072ADB">
      <w:pPr>
        <w:rPr>
          <w:rFonts w:ascii="Open Sans" w:hAnsi="Open Sans" w:cs="Open Sans"/>
          <w:szCs w:val="22"/>
        </w:rPr>
      </w:pPr>
    </w:p>
    <w:p w14:paraId="77679164" w14:textId="0BF922B4" w:rsidR="002D43C7" w:rsidRDefault="00A010DE" w:rsidP="002D43C7">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002D43C7" w:rsidRPr="002D43C7">
        <w:rPr>
          <w:rFonts w:ascii="Open Sans" w:hAnsi="Open Sans" w:cs="Open Sans"/>
          <w:b/>
          <w:bCs/>
          <w:i/>
          <w:iCs/>
          <w:color w:val="2F5496"/>
          <w:szCs w:val="22"/>
        </w:rPr>
        <w:t>2</w:t>
      </w:r>
      <w:r>
        <w:rPr>
          <w:rFonts w:ascii="Open Sans" w:hAnsi="Open Sans" w:cs="Open Sans"/>
          <w:b/>
          <w:bCs/>
          <w:i/>
          <w:iCs/>
          <w:color w:val="2F5496"/>
          <w:szCs w:val="22"/>
        </w:rPr>
        <w:t xml:space="preserve">: </w:t>
      </w:r>
      <w:r w:rsidR="002D43C7" w:rsidRPr="002D43C7">
        <w:rPr>
          <w:rFonts w:ascii="Open Sans" w:hAnsi="Open Sans" w:cs="Open Sans"/>
          <w:b/>
          <w:bCs/>
          <w:i/>
          <w:iCs/>
          <w:color w:val="2F5496"/>
          <w:szCs w:val="22"/>
        </w:rPr>
        <w:t>What is your name?</w:t>
      </w:r>
    </w:p>
    <w:p w14:paraId="6FB51A1F" w14:textId="6EA89FE7" w:rsidR="00072ADB" w:rsidRDefault="00072ADB" w:rsidP="00072ADB">
      <w:pPr>
        <w:rPr>
          <w:rFonts w:ascii="Open Sans" w:hAnsi="Open Sans" w:cs="Open Sans"/>
          <w:szCs w:val="22"/>
        </w:rPr>
      </w:pPr>
      <w:r w:rsidRPr="00072ADB">
        <w:rPr>
          <w:rFonts w:ascii="Open Sans" w:hAnsi="Open Sans" w:cs="Open Sans"/>
          <w:szCs w:val="22"/>
        </w:rPr>
        <w:t xml:space="preserve">The Association for Renewable Energy &amp; Clean </w:t>
      </w:r>
      <w:r w:rsidR="0063663B" w:rsidRPr="00072ADB">
        <w:rPr>
          <w:rFonts w:ascii="Open Sans" w:hAnsi="Open Sans" w:cs="Open Sans"/>
          <w:szCs w:val="22"/>
        </w:rPr>
        <w:t>Technolog</w:t>
      </w:r>
      <w:r w:rsidR="0063663B">
        <w:rPr>
          <w:rFonts w:ascii="Open Sans" w:hAnsi="Open Sans" w:cs="Open Sans"/>
          <w:szCs w:val="22"/>
        </w:rPr>
        <w:t>y</w:t>
      </w:r>
      <w:r w:rsidR="0063663B" w:rsidRPr="00072ADB">
        <w:rPr>
          <w:rFonts w:ascii="Open Sans" w:hAnsi="Open Sans" w:cs="Open Sans"/>
          <w:szCs w:val="22"/>
        </w:rPr>
        <w:t xml:space="preserve"> </w:t>
      </w:r>
      <w:r w:rsidRPr="00072ADB">
        <w:rPr>
          <w:rFonts w:ascii="Open Sans" w:hAnsi="Open Sans" w:cs="Open Sans"/>
          <w:szCs w:val="22"/>
        </w:rPr>
        <w:t xml:space="preserve">(REA) </w:t>
      </w:r>
    </w:p>
    <w:p w14:paraId="1109BBCC" w14:textId="77777777" w:rsidR="00072ADB" w:rsidRPr="00072ADB" w:rsidRDefault="00072ADB" w:rsidP="00072ADB">
      <w:pPr>
        <w:rPr>
          <w:rFonts w:ascii="Open Sans" w:hAnsi="Open Sans" w:cs="Open Sans"/>
          <w:szCs w:val="22"/>
        </w:rPr>
      </w:pPr>
    </w:p>
    <w:p w14:paraId="7EB8D341" w14:textId="3D764645" w:rsidR="002D43C7" w:rsidRDefault="00A010DE" w:rsidP="002D43C7">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002D43C7" w:rsidRPr="002D43C7">
        <w:rPr>
          <w:rFonts w:ascii="Open Sans" w:hAnsi="Open Sans" w:cs="Open Sans"/>
          <w:b/>
          <w:bCs/>
          <w:i/>
          <w:iCs/>
          <w:color w:val="2F5496"/>
          <w:szCs w:val="22"/>
        </w:rPr>
        <w:t>3</w:t>
      </w:r>
      <w:r>
        <w:rPr>
          <w:rFonts w:ascii="Open Sans" w:hAnsi="Open Sans" w:cs="Open Sans"/>
          <w:b/>
          <w:bCs/>
          <w:i/>
          <w:iCs/>
          <w:color w:val="2F5496"/>
          <w:szCs w:val="22"/>
        </w:rPr>
        <w:t xml:space="preserve">: </w:t>
      </w:r>
      <w:r w:rsidR="002D43C7" w:rsidRPr="002D43C7">
        <w:rPr>
          <w:rFonts w:ascii="Open Sans" w:hAnsi="Open Sans" w:cs="Open Sans"/>
          <w:b/>
          <w:bCs/>
          <w:i/>
          <w:iCs/>
          <w:color w:val="2F5496"/>
          <w:szCs w:val="22"/>
        </w:rPr>
        <w:t>What is your email address?</w:t>
      </w:r>
    </w:p>
    <w:p w14:paraId="7D7291A4" w14:textId="7144AD94" w:rsidR="00072ADB" w:rsidRDefault="00D1426B" w:rsidP="00072ADB">
      <w:pPr>
        <w:rPr>
          <w:rFonts w:ascii="Open Sans" w:hAnsi="Open Sans" w:cs="Open Sans"/>
          <w:szCs w:val="22"/>
        </w:rPr>
      </w:pPr>
      <w:hyperlink r:id="rId8" w:history="1">
        <w:r w:rsidR="00072ADB" w:rsidRPr="008D6A02">
          <w:rPr>
            <w:rStyle w:val="Hyperlink"/>
            <w:rFonts w:ascii="Open Sans" w:hAnsi="Open Sans" w:cs="Open Sans"/>
            <w:szCs w:val="22"/>
          </w:rPr>
          <w:t>stickle@r-e-a.net</w:t>
        </w:r>
      </w:hyperlink>
    </w:p>
    <w:p w14:paraId="7768CCFF" w14:textId="77777777" w:rsidR="00072ADB" w:rsidRPr="00072ADB" w:rsidRDefault="00072ADB" w:rsidP="00072ADB">
      <w:pPr>
        <w:rPr>
          <w:rFonts w:ascii="Open Sans" w:hAnsi="Open Sans" w:cs="Open Sans"/>
          <w:szCs w:val="22"/>
        </w:rPr>
      </w:pPr>
    </w:p>
    <w:p w14:paraId="5E73FAC1" w14:textId="57EEE114" w:rsidR="002D43C7" w:rsidRDefault="00A010DE" w:rsidP="002D43C7">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002D43C7" w:rsidRPr="002D43C7">
        <w:rPr>
          <w:rFonts w:ascii="Open Sans" w:hAnsi="Open Sans" w:cs="Open Sans"/>
          <w:b/>
          <w:bCs/>
          <w:i/>
          <w:iCs/>
          <w:color w:val="2F5496"/>
          <w:szCs w:val="22"/>
        </w:rPr>
        <w:t>4</w:t>
      </w:r>
      <w:r>
        <w:rPr>
          <w:rFonts w:ascii="Open Sans" w:hAnsi="Open Sans" w:cs="Open Sans"/>
          <w:b/>
          <w:bCs/>
          <w:i/>
          <w:iCs/>
          <w:color w:val="2F5496"/>
          <w:szCs w:val="22"/>
        </w:rPr>
        <w:t xml:space="preserve">: </w:t>
      </w:r>
      <w:r w:rsidR="002D43C7" w:rsidRPr="002D43C7">
        <w:rPr>
          <w:rFonts w:ascii="Open Sans" w:hAnsi="Open Sans" w:cs="Open Sans"/>
          <w:b/>
          <w:bCs/>
          <w:i/>
          <w:iCs/>
          <w:color w:val="2F5496"/>
          <w:szCs w:val="22"/>
        </w:rPr>
        <w:t>Where are you located? North East/North West/Yorkshire and The Humber/East</w:t>
      </w:r>
      <w:r w:rsidR="0063663B">
        <w:rPr>
          <w:rFonts w:ascii="Open Sans" w:hAnsi="Open Sans" w:cs="Open Sans"/>
          <w:b/>
          <w:bCs/>
          <w:i/>
          <w:iCs/>
          <w:color w:val="2F5496"/>
          <w:szCs w:val="22"/>
        </w:rPr>
        <w:t xml:space="preserve"> </w:t>
      </w:r>
      <w:r w:rsidR="002D43C7" w:rsidRPr="002D43C7">
        <w:rPr>
          <w:rFonts w:ascii="Open Sans" w:hAnsi="Open Sans" w:cs="Open Sans"/>
          <w:b/>
          <w:bCs/>
          <w:i/>
          <w:iCs/>
          <w:color w:val="2F5496"/>
          <w:szCs w:val="22"/>
        </w:rPr>
        <w:t>Midlands/West Midlands/East of England/London/South East/South</w:t>
      </w:r>
      <w:r>
        <w:rPr>
          <w:rFonts w:ascii="Open Sans" w:hAnsi="Open Sans" w:cs="Open Sans"/>
          <w:b/>
          <w:bCs/>
          <w:i/>
          <w:iCs/>
          <w:color w:val="2F5496"/>
          <w:szCs w:val="22"/>
        </w:rPr>
        <w:t xml:space="preserve"> </w:t>
      </w:r>
      <w:r w:rsidR="002D43C7" w:rsidRPr="002D43C7">
        <w:rPr>
          <w:rFonts w:ascii="Open Sans" w:hAnsi="Open Sans" w:cs="Open Sans"/>
          <w:b/>
          <w:bCs/>
          <w:i/>
          <w:iCs/>
          <w:color w:val="2F5496"/>
          <w:szCs w:val="22"/>
        </w:rPr>
        <w:t>West/Remote</w:t>
      </w:r>
    </w:p>
    <w:p w14:paraId="39D700E6" w14:textId="00881B60" w:rsidR="00072ADB" w:rsidRDefault="00072ADB" w:rsidP="00072ADB">
      <w:pPr>
        <w:rPr>
          <w:rFonts w:ascii="Open Sans" w:hAnsi="Open Sans" w:cs="Open Sans"/>
          <w:szCs w:val="22"/>
        </w:rPr>
      </w:pPr>
      <w:r w:rsidRPr="00072ADB">
        <w:rPr>
          <w:rFonts w:ascii="Open Sans" w:hAnsi="Open Sans" w:cs="Open Sans"/>
          <w:szCs w:val="22"/>
        </w:rPr>
        <w:lastRenderedPageBreak/>
        <w:t>London, but representing businesses</w:t>
      </w:r>
      <w:r w:rsidR="00AA3F43">
        <w:rPr>
          <w:rFonts w:ascii="Open Sans" w:hAnsi="Open Sans" w:cs="Open Sans"/>
          <w:szCs w:val="22"/>
        </w:rPr>
        <w:t xml:space="preserve"> in</w:t>
      </w:r>
      <w:r w:rsidRPr="00072ADB">
        <w:rPr>
          <w:rFonts w:ascii="Open Sans" w:hAnsi="Open Sans" w:cs="Open Sans"/>
          <w:szCs w:val="22"/>
        </w:rPr>
        <w:t xml:space="preserve"> a</w:t>
      </w:r>
      <w:r w:rsidR="00AA3F43">
        <w:rPr>
          <w:rFonts w:ascii="Open Sans" w:hAnsi="Open Sans" w:cs="Open Sans"/>
          <w:szCs w:val="22"/>
        </w:rPr>
        <w:t xml:space="preserve">ll nations of the United Kingdom as well as members who operate in Europe too. </w:t>
      </w:r>
    </w:p>
    <w:p w14:paraId="742AE0F7" w14:textId="77777777" w:rsidR="00072ADB" w:rsidRPr="00072ADB" w:rsidRDefault="00072ADB" w:rsidP="00072ADB">
      <w:pPr>
        <w:rPr>
          <w:rFonts w:ascii="Open Sans" w:hAnsi="Open Sans" w:cs="Open Sans"/>
          <w:szCs w:val="22"/>
        </w:rPr>
      </w:pPr>
    </w:p>
    <w:p w14:paraId="19486ECD" w14:textId="179BC87C" w:rsidR="002D43C7" w:rsidRDefault="00A010DE" w:rsidP="002D43C7">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002D43C7" w:rsidRPr="002D43C7">
        <w:rPr>
          <w:rFonts w:ascii="Open Sans" w:hAnsi="Open Sans" w:cs="Open Sans"/>
          <w:b/>
          <w:bCs/>
          <w:i/>
          <w:iCs/>
          <w:color w:val="2F5496"/>
          <w:szCs w:val="22"/>
        </w:rPr>
        <w:t>5</w:t>
      </w:r>
      <w:r>
        <w:rPr>
          <w:rFonts w:ascii="Open Sans" w:hAnsi="Open Sans" w:cs="Open Sans"/>
          <w:b/>
          <w:bCs/>
          <w:i/>
          <w:iCs/>
          <w:color w:val="2F5496"/>
          <w:szCs w:val="22"/>
        </w:rPr>
        <w:t xml:space="preserve">: </w:t>
      </w:r>
      <w:r w:rsidR="002D43C7" w:rsidRPr="002D43C7">
        <w:rPr>
          <w:rFonts w:ascii="Open Sans" w:hAnsi="Open Sans" w:cs="Open Sans"/>
          <w:b/>
          <w:bCs/>
          <w:i/>
          <w:iCs/>
          <w:color w:val="2F5496"/>
          <w:szCs w:val="22"/>
        </w:rPr>
        <w:t>Who are you? Internal to Defra/Defra arms length body (ALB)/Lobby group/Other</w:t>
      </w:r>
      <w:r>
        <w:rPr>
          <w:rFonts w:ascii="Open Sans" w:hAnsi="Open Sans" w:cs="Open Sans"/>
          <w:b/>
          <w:bCs/>
          <w:i/>
          <w:iCs/>
          <w:color w:val="2F5496"/>
          <w:szCs w:val="22"/>
        </w:rPr>
        <w:t xml:space="preserve"> </w:t>
      </w:r>
      <w:r w:rsidR="002D43C7" w:rsidRPr="002D43C7">
        <w:rPr>
          <w:rFonts w:ascii="Open Sans" w:hAnsi="Open Sans" w:cs="Open Sans"/>
          <w:b/>
          <w:bCs/>
          <w:i/>
          <w:iCs/>
          <w:color w:val="2F5496"/>
          <w:szCs w:val="22"/>
        </w:rPr>
        <w:t>government department/Parliamentary group/Land manager/Other (please</w:t>
      </w:r>
      <w:r>
        <w:rPr>
          <w:rFonts w:ascii="Open Sans" w:hAnsi="Open Sans" w:cs="Open Sans"/>
          <w:b/>
          <w:bCs/>
          <w:i/>
          <w:iCs/>
          <w:color w:val="2F5496"/>
          <w:szCs w:val="22"/>
        </w:rPr>
        <w:t xml:space="preserve"> </w:t>
      </w:r>
      <w:r w:rsidR="002D43C7" w:rsidRPr="002D43C7">
        <w:rPr>
          <w:rFonts w:ascii="Open Sans" w:hAnsi="Open Sans" w:cs="Open Sans"/>
          <w:b/>
          <w:bCs/>
          <w:i/>
          <w:iCs/>
          <w:color w:val="2F5496"/>
          <w:szCs w:val="22"/>
        </w:rPr>
        <w:t>specify)</w:t>
      </w:r>
    </w:p>
    <w:p w14:paraId="433EF361" w14:textId="2C0554CC" w:rsidR="00072ADB" w:rsidRDefault="00072ADB" w:rsidP="00072ADB">
      <w:pPr>
        <w:rPr>
          <w:rFonts w:ascii="Open Sans" w:hAnsi="Open Sans" w:cs="Open Sans"/>
          <w:szCs w:val="22"/>
        </w:rPr>
      </w:pPr>
      <w:r w:rsidRPr="00072ADB">
        <w:rPr>
          <w:rFonts w:ascii="Open Sans" w:hAnsi="Open Sans" w:cs="Open Sans"/>
          <w:szCs w:val="22"/>
        </w:rPr>
        <w:t xml:space="preserve">Lobby Group </w:t>
      </w:r>
    </w:p>
    <w:p w14:paraId="6392F3B1" w14:textId="77777777" w:rsidR="00072ADB" w:rsidRPr="00072ADB" w:rsidRDefault="00072ADB" w:rsidP="00072ADB">
      <w:pPr>
        <w:rPr>
          <w:rFonts w:ascii="Open Sans" w:hAnsi="Open Sans" w:cs="Open Sans"/>
          <w:szCs w:val="22"/>
        </w:rPr>
      </w:pPr>
    </w:p>
    <w:p w14:paraId="533A813A" w14:textId="2600F6FE" w:rsidR="00780C7E" w:rsidRDefault="00780C7E" w:rsidP="00780C7E">
      <w:pPr>
        <w:spacing w:after="160" w:line="259" w:lineRule="auto"/>
        <w:jc w:val="left"/>
        <w:rPr>
          <w:rFonts w:ascii="Open Sans" w:hAnsi="Open Sans" w:cs="Open Sans"/>
          <w:b/>
          <w:bCs/>
          <w:i/>
          <w:iCs/>
          <w:color w:val="2F5496"/>
          <w:szCs w:val="22"/>
        </w:rPr>
      </w:pPr>
      <w:bookmarkStart w:id="0" w:name="_Hlk46393802"/>
      <w:r>
        <w:rPr>
          <w:rFonts w:ascii="Open Sans" w:hAnsi="Open Sans" w:cs="Open Sans"/>
          <w:b/>
          <w:bCs/>
          <w:i/>
          <w:iCs/>
          <w:color w:val="2F5496"/>
          <w:szCs w:val="22"/>
        </w:rPr>
        <w:t xml:space="preserve">Consultation Question 6: </w:t>
      </w:r>
      <w:r w:rsidRPr="00780C7E">
        <w:rPr>
          <w:rFonts w:ascii="Open Sans" w:hAnsi="Open Sans" w:cs="Open Sans"/>
          <w:b/>
          <w:bCs/>
          <w:i/>
          <w:iCs/>
          <w:color w:val="2F5496"/>
          <w:szCs w:val="22"/>
        </w:rPr>
        <w:t>Do you have any comments on the design principles on page 14? Are they the right ones? Are there any missing?</w:t>
      </w:r>
    </w:p>
    <w:p w14:paraId="0E102726" w14:textId="4304BF7B" w:rsidR="00744D09" w:rsidRPr="00AA3F43" w:rsidRDefault="00744D09" w:rsidP="00780C7E">
      <w:pPr>
        <w:spacing w:after="160" w:line="259" w:lineRule="auto"/>
        <w:jc w:val="left"/>
        <w:rPr>
          <w:rFonts w:ascii="Open Sans" w:hAnsi="Open Sans" w:cs="Open Sans"/>
          <w:b/>
          <w:bCs/>
          <w:color w:val="FF0000"/>
          <w:szCs w:val="22"/>
        </w:rPr>
      </w:pPr>
      <w:r w:rsidRPr="00AA3F43">
        <w:rPr>
          <w:rFonts w:ascii="Open Sans" w:hAnsi="Open Sans" w:cs="Open Sans"/>
          <w:b/>
          <w:bCs/>
          <w:color w:val="FF0000"/>
          <w:szCs w:val="22"/>
        </w:rPr>
        <w:t>Feedback from members welcome on this question</w:t>
      </w:r>
    </w:p>
    <w:p w14:paraId="067C8164" w14:textId="23F74C8B" w:rsidR="00780C7E" w:rsidRDefault="00780C7E" w:rsidP="00780C7E">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Consultation Question 7:</w:t>
      </w:r>
      <w:r w:rsidRPr="00780C7E">
        <w:rPr>
          <w:rFonts w:ascii="Open Sans" w:hAnsi="Open Sans" w:cs="Open Sans"/>
          <w:b/>
          <w:bCs/>
          <w:i/>
          <w:iCs/>
          <w:color w:val="2F5496"/>
          <w:szCs w:val="22"/>
        </w:rPr>
        <w:t xml:space="preserve"> Do you think the ELM scheme as currently proposed will deliver each of the objectives on page 8? </w:t>
      </w:r>
    </w:p>
    <w:p w14:paraId="639AF31F" w14:textId="33E90A68" w:rsidR="00B0002D" w:rsidRDefault="00B0002D" w:rsidP="00B0002D">
      <w:pPr>
        <w:rPr>
          <w:rFonts w:ascii="Open Sans" w:hAnsi="Open Sans" w:cs="Open Sans"/>
        </w:rPr>
      </w:pPr>
      <w:r>
        <w:rPr>
          <w:rFonts w:ascii="Open Sans" w:hAnsi="Open Sans" w:cs="Open Sans"/>
        </w:rPr>
        <w:t xml:space="preserve">ELMs proposes it will achieve the following objectives: </w:t>
      </w:r>
    </w:p>
    <w:p w14:paraId="63E8707C" w14:textId="008EEE1F" w:rsidR="00B0002D" w:rsidRPr="00B0002D" w:rsidRDefault="00B0002D" w:rsidP="00B0002D">
      <w:pPr>
        <w:pStyle w:val="ListParagraph"/>
        <w:numPr>
          <w:ilvl w:val="0"/>
          <w:numId w:val="33"/>
        </w:numPr>
        <w:rPr>
          <w:rFonts w:ascii="Open Sans" w:hAnsi="Open Sans" w:cs="Open Sans"/>
        </w:rPr>
      </w:pPr>
      <w:r w:rsidRPr="00B0002D">
        <w:rPr>
          <w:rFonts w:ascii="Open Sans" w:hAnsi="Open Sans" w:cs="Open Sans"/>
        </w:rPr>
        <w:t>secure a range of positive environmental benefits, prioritising between</w:t>
      </w:r>
      <w:r>
        <w:rPr>
          <w:rFonts w:ascii="Open Sans" w:hAnsi="Open Sans" w:cs="Open Sans"/>
        </w:rPr>
        <w:t xml:space="preserve"> </w:t>
      </w:r>
      <w:r w:rsidRPr="00B0002D">
        <w:rPr>
          <w:rFonts w:ascii="Open Sans" w:hAnsi="Open Sans" w:cs="Open Sans"/>
        </w:rPr>
        <w:t>environmental outcomes where necessary</w:t>
      </w:r>
    </w:p>
    <w:p w14:paraId="0E410077" w14:textId="0651D03E" w:rsidR="00B0002D" w:rsidRPr="00B0002D" w:rsidRDefault="00B0002D" w:rsidP="00B0002D">
      <w:pPr>
        <w:pStyle w:val="ListParagraph"/>
        <w:numPr>
          <w:ilvl w:val="0"/>
          <w:numId w:val="33"/>
        </w:numPr>
        <w:rPr>
          <w:rFonts w:ascii="Open Sans" w:hAnsi="Open Sans" w:cs="Open Sans"/>
        </w:rPr>
      </w:pPr>
      <w:r w:rsidRPr="00B0002D">
        <w:rPr>
          <w:rFonts w:ascii="Open Sans" w:hAnsi="Open Sans" w:cs="Open Sans"/>
        </w:rPr>
        <w:t>help tackle some of the environmental challenges associated with</w:t>
      </w:r>
      <w:r>
        <w:rPr>
          <w:rFonts w:ascii="Open Sans" w:hAnsi="Open Sans" w:cs="Open Sans"/>
        </w:rPr>
        <w:t xml:space="preserve"> </w:t>
      </w:r>
      <w:r w:rsidRPr="00B0002D">
        <w:rPr>
          <w:rFonts w:ascii="Open Sans" w:hAnsi="Open Sans" w:cs="Open Sans"/>
        </w:rPr>
        <w:t>agriculture, focusing on how to address these in the shorter term</w:t>
      </w:r>
    </w:p>
    <w:p w14:paraId="75C7C664" w14:textId="77777777" w:rsidR="00B0002D" w:rsidRDefault="00B0002D" w:rsidP="00B0002D">
      <w:pPr>
        <w:rPr>
          <w:rFonts w:ascii="Open Sans" w:hAnsi="Open Sans" w:cs="Open Sans"/>
        </w:rPr>
      </w:pPr>
    </w:p>
    <w:p w14:paraId="3188A0DF" w14:textId="0BAE8340" w:rsidR="00B0002D" w:rsidRDefault="00B0002D" w:rsidP="00B0002D">
      <w:pPr>
        <w:rPr>
          <w:rFonts w:ascii="Open Sans" w:hAnsi="Open Sans" w:cs="Open Sans"/>
        </w:rPr>
      </w:pPr>
      <w:r>
        <w:rPr>
          <w:rFonts w:ascii="Open Sans" w:hAnsi="Open Sans" w:cs="Open Sans"/>
        </w:rPr>
        <w:t xml:space="preserve">The ELMs scheme is an important step to reforming land use policy and moving towards a scheme that prioritises environmental good is a positive step. However, more breadth of solutions is needed, with a clearer effort by DEFRA required to advise farmers and landowners on different activities for their land. </w:t>
      </w:r>
    </w:p>
    <w:p w14:paraId="7B79D0DD" w14:textId="77777777" w:rsidR="00B0002D" w:rsidRDefault="00B0002D" w:rsidP="00B0002D">
      <w:pPr>
        <w:rPr>
          <w:rFonts w:ascii="Open Sans" w:hAnsi="Open Sans" w:cs="Open Sans"/>
        </w:rPr>
      </w:pPr>
    </w:p>
    <w:p w14:paraId="35F0EC25" w14:textId="73962212" w:rsidR="00B0002D" w:rsidRDefault="00B0002D" w:rsidP="00B0002D">
      <w:pPr>
        <w:rPr>
          <w:rFonts w:ascii="Open Sans" w:hAnsi="Open Sans" w:cs="Open Sans"/>
        </w:rPr>
      </w:pPr>
      <w:r>
        <w:rPr>
          <w:rFonts w:ascii="Open Sans" w:hAnsi="Open Sans" w:cs="Open Sans"/>
        </w:rPr>
        <w:t xml:space="preserve">We believe the following changes are required to </w:t>
      </w:r>
      <w:r w:rsidR="00744D09">
        <w:rPr>
          <w:rFonts w:ascii="Open Sans" w:hAnsi="Open Sans" w:cs="Open Sans"/>
        </w:rPr>
        <w:t xml:space="preserve">meet </w:t>
      </w:r>
      <w:r>
        <w:rPr>
          <w:rFonts w:ascii="Open Sans" w:hAnsi="Open Sans" w:cs="Open Sans"/>
        </w:rPr>
        <w:t xml:space="preserve">the objectives: </w:t>
      </w:r>
    </w:p>
    <w:p w14:paraId="547DB1FB" w14:textId="602FD93D" w:rsidR="00B0002D" w:rsidRPr="00B0002D" w:rsidRDefault="00B0002D" w:rsidP="00B0002D">
      <w:pPr>
        <w:pStyle w:val="ListParagraph"/>
        <w:numPr>
          <w:ilvl w:val="0"/>
          <w:numId w:val="34"/>
        </w:numPr>
        <w:rPr>
          <w:rFonts w:ascii="Open Sans" w:hAnsi="Open Sans" w:cs="Open Sans"/>
        </w:rPr>
      </w:pPr>
      <w:r>
        <w:rPr>
          <w:rFonts w:ascii="Open Sans" w:hAnsi="Open Sans" w:cs="Open Sans"/>
          <w:b/>
          <w:bCs/>
        </w:rPr>
        <w:t xml:space="preserve">ELMs should be an opportunity to promote broader solutions </w:t>
      </w:r>
    </w:p>
    <w:p w14:paraId="18788EB8" w14:textId="528ED7FC" w:rsidR="00B0002D" w:rsidRDefault="00B0002D" w:rsidP="00B0002D">
      <w:pPr>
        <w:pStyle w:val="ListParagraph"/>
        <w:numPr>
          <w:ilvl w:val="1"/>
          <w:numId w:val="34"/>
        </w:numPr>
        <w:rPr>
          <w:rFonts w:ascii="Open Sans" w:hAnsi="Open Sans" w:cs="Open Sans"/>
        </w:rPr>
      </w:pPr>
      <w:r>
        <w:rPr>
          <w:rFonts w:ascii="Open Sans" w:hAnsi="Open Sans" w:cs="Open Sans"/>
        </w:rPr>
        <w:t xml:space="preserve">The UK has a wealth of experience when it comes to land-use management, with specialists available on forest management, </w:t>
      </w:r>
      <w:r w:rsidR="00F317D4">
        <w:rPr>
          <w:rFonts w:ascii="Open Sans" w:hAnsi="Open Sans" w:cs="Open Sans"/>
        </w:rPr>
        <w:t xml:space="preserve">application of </w:t>
      </w:r>
      <w:r w:rsidR="007D6413" w:rsidRPr="00AA3F43">
        <w:rPr>
          <w:rFonts w:ascii="Open Sans" w:hAnsi="Open Sans" w:cs="Open Sans"/>
        </w:rPr>
        <w:t>renewably-sourced fertilisers</w:t>
      </w:r>
      <w:r w:rsidR="007D6413">
        <w:rPr>
          <w:rFonts w:ascii="Open Sans" w:hAnsi="Open Sans" w:cs="Open Sans"/>
        </w:rPr>
        <w:t xml:space="preserve"> and</w:t>
      </w:r>
      <w:r w:rsidR="007D6413" w:rsidRPr="00AA3F43">
        <w:rPr>
          <w:rFonts w:ascii="Open Sans" w:hAnsi="Open Sans" w:cs="Open Sans"/>
        </w:rPr>
        <w:t xml:space="preserve"> soil improvers</w:t>
      </w:r>
      <w:r w:rsidR="00F317D4">
        <w:rPr>
          <w:rFonts w:ascii="Open Sans" w:hAnsi="Open Sans" w:cs="Open Sans"/>
        </w:rPr>
        <w:t xml:space="preserve"> to agricultural land</w:t>
      </w:r>
      <w:r>
        <w:rPr>
          <w:rFonts w:ascii="Open Sans" w:hAnsi="Open Sans" w:cs="Open Sans"/>
        </w:rPr>
        <w:t>, and use of different crop solutions, for instance perennial energy crops</w:t>
      </w:r>
      <w:r w:rsidR="00F317D4">
        <w:rPr>
          <w:rFonts w:ascii="Open Sans" w:hAnsi="Open Sans" w:cs="Open Sans"/>
        </w:rPr>
        <w:t xml:space="preserve"> and break crops for bioenergy</w:t>
      </w:r>
      <w:r>
        <w:rPr>
          <w:rFonts w:ascii="Open Sans" w:hAnsi="Open Sans" w:cs="Open Sans"/>
        </w:rPr>
        <w:t xml:space="preserve">. </w:t>
      </w:r>
      <w:r w:rsidR="007A0DD0">
        <w:rPr>
          <w:rFonts w:ascii="Open Sans" w:hAnsi="Open Sans" w:cs="Open Sans"/>
        </w:rPr>
        <w:t>All of these will be required to deliver optimal environmental impacts for the UK, with different solution being appropriate to different localities</w:t>
      </w:r>
      <w:r w:rsidR="007A0DD0">
        <w:rPr>
          <w:rFonts w:ascii="Open Sans" w:hAnsi="Open Sans" w:cs="Open Sans"/>
        </w:rPr>
        <w:t xml:space="preserve">. A clear strategy from Government within the ELMs design is needed in order to see uptake rates across these solutions increase rapidly. </w:t>
      </w:r>
    </w:p>
    <w:p w14:paraId="43C80AFE" w14:textId="03CF0830" w:rsidR="00B0002D" w:rsidRDefault="00B0002D" w:rsidP="00B0002D">
      <w:pPr>
        <w:pStyle w:val="ListParagraph"/>
        <w:numPr>
          <w:ilvl w:val="1"/>
          <w:numId w:val="34"/>
        </w:numPr>
        <w:rPr>
          <w:rFonts w:ascii="Open Sans" w:hAnsi="Open Sans" w:cs="Open Sans"/>
        </w:rPr>
      </w:pPr>
      <w:r>
        <w:rPr>
          <w:rFonts w:ascii="Open Sans" w:hAnsi="Open Sans" w:cs="Open Sans"/>
        </w:rPr>
        <w:t xml:space="preserve">Through ELMs, farmers and land-owners should be compelled to consider different options, to hear about the breadth of what is available and discuss with an advisor what might </w:t>
      </w:r>
      <w:r w:rsidR="000E23BD">
        <w:rPr>
          <w:rFonts w:ascii="Open Sans" w:hAnsi="Open Sans" w:cs="Open Sans"/>
        </w:rPr>
        <w:t xml:space="preserve">be </w:t>
      </w:r>
      <w:r>
        <w:rPr>
          <w:rFonts w:ascii="Open Sans" w:hAnsi="Open Sans" w:cs="Open Sans"/>
        </w:rPr>
        <w:t xml:space="preserve">the most appropriate and cost-effective activity. </w:t>
      </w:r>
    </w:p>
    <w:p w14:paraId="35FE4D93" w14:textId="50576743" w:rsidR="007A0DD0" w:rsidRDefault="007A0DD0" w:rsidP="000E23BD">
      <w:pPr>
        <w:pStyle w:val="ListParagraph"/>
        <w:numPr>
          <w:ilvl w:val="1"/>
          <w:numId w:val="34"/>
        </w:numPr>
        <w:rPr>
          <w:rFonts w:ascii="Open Sans" w:hAnsi="Open Sans" w:cs="Open Sans"/>
        </w:rPr>
      </w:pPr>
      <w:r>
        <w:rPr>
          <w:rFonts w:ascii="Open Sans" w:hAnsi="Open Sans" w:cs="Open Sans"/>
        </w:rPr>
        <w:t>Only promoting a limited</w:t>
      </w:r>
      <w:r w:rsidR="00B0002D" w:rsidRPr="00C65EF4">
        <w:rPr>
          <w:rFonts w:ascii="Open Sans" w:hAnsi="Open Sans" w:cs="Open Sans"/>
        </w:rPr>
        <w:t>‘package’ of options</w:t>
      </w:r>
      <w:r>
        <w:rPr>
          <w:rFonts w:ascii="Open Sans" w:hAnsi="Open Sans" w:cs="Open Sans"/>
        </w:rPr>
        <w:t xml:space="preserve"> through ELMs specified by </w:t>
      </w:r>
      <w:r w:rsidR="00B0002D" w:rsidRPr="00C65EF4">
        <w:rPr>
          <w:rFonts w:ascii="Open Sans" w:hAnsi="Open Sans" w:cs="Open Sans"/>
        </w:rPr>
        <w:t xml:space="preserve"> farm or land ty</w:t>
      </w:r>
      <w:r w:rsidR="00B0002D" w:rsidRPr="00A13CBD">
        <w:rPr>
          <w:rFonts w:ascii="Open Sans" w:hAnsi="Open Sans" w:cs="Open Sans"/>
        </w:rPr>
        <w:t>pe</w:t>
      </w:r>
      <w:r w:rsidR="000E23BD" w:rsidRPr="009E1233">
        <w:rPr>
          <w:rFonts w:ascii="Open Sans" w:hAnsi="Open Sans" w:cs="Open Sans"/>
        </w:rPr>
        <w:t xml:space="preserve"> </w:t>
      </w:r>
      <w:r w:rsidR="00B0002D" w:rsidRPr="000E23BD">
        <w:rPr>
          <w:rFonts w:ascii="Open Sans" w:hAnsi="Open Sans" w:cs="Open Sans"/>
        </w:rPr>
        <w:t xml:space="preserve">will not create an environment for innovation. </w:t>
      </w:r>
    </w:p>
    <w:p w14:paraId="7FD5C889" w14:textId="216EE2C4" w:rsidR="00B0002D" w:rsidRPr="000E23BD" w:rsidRDefault="00B0002D" w:rsidP="000E23BD">
      <w:pPr>
        <w:pStyle w:val="ListParagraph"/>
        <w:numPr>
          <w:ilvl w:val="1"/>
          <w:numId w:val="34"/>
        </w:numPr>
        <w:rPr>
          <w:rFonts w:ascii="Open Sans" w:hAnsi="Open Sans" w:cs="Open Sans"/>
        </w:rPr>
      </w:pPr>
      <w:r w:rsidRPr="000E23BD">
        <w:rPr>
          <w:rFonts w:ascii="Open Sans" w:hAnsi="Open Sans" w:cs="Open Sans"/>
        </w:rPr>
        <w:t>Instead, an integrated vision</w:t>
      </w:r>
      <w:r w:rsidR="000E23BD">
        <w:rPr>
          <w:rFonts w:ascii="Open Sans" w:hAnsi="Open Sans" w:cs="Open Sans"/>
        </w:rPr>
        <w:t xml:space="preserve"> is needed</w:t>
      </w:r>
      <w:r w:rsidRPr="000E23BD">
        <w:rPr>
          <w:rFonts w:ascii="Open Sans" w:hAnsi="Open Sans" w:cs="Open Sans"/>
        </w:rPr>
        <w:t xml:space="preserve">, where ELMs gives farmers and landowners the financial cushion to explore different options and progress with their ambition throughout the scheme. </w:t>
      </w:r>
    </w:p>
    <w:p w14:paraId="18390C20" w14:textId="77777777" w:rsidR="00B0002D" w:rsidRDefault="00B0002D" w:rsidP="00B0002D">
      <w:pPr>
        <w:pStyle w:val="ListParagraph"/>
        <w:numPr>
          <w:ilvl w:val="1"/>
          <w:numId w:val="34"/>
        </w:numPr>
        <w:rPr>
          <w:rFonts w:ascii="Open Sans" w:hAnsi="Open Sans" w:cs="Open Sans"/>
        </w:rPr>
      </w:pPr>
      <w:r>
        <w:rPr>
          <w:rFonts w:ascii="Open Sans" w:hAnsi="Open Sans" w:cs="Open Sans"/>
        </w:rPr>
        <w:t>As highlighted in question 9, we believe the tier structure should reflect this need for innovation.</w:t>
      </w:r>
    </w:p>
    <w:p w14:paraId="550D3613" w14:textId="6BA60800" w:rsidR="00B0002D" w:rsidRPr="00B0002D" w:rsidRDefault="00B0002D" w:rsidP="00B0002D">
      <w:pPr>
        <w:pStyle w:val="ListParagraph"/>
        <w:numPr>
          <w:ilvl w:val="0"/>
          <w:numId w:val="34"/>
        </w:numPr>
        <w:rPr>
          <w:rFonts w:ascii="Open Sans" w:hAnsi="Open Sans" w:cs="Open Sans"/>
        </w:rPr>
      </w:pPr>
      <w:r>
        <w:rPr>
          <w:rFonts w:ascii="Open Sans" w:hAnsi="Open Sans" w:cs="Calibri"/>
          <w:b/>
          <w:bCs/>
          <w:lang w:eastAsia="en-GB"/>
        </w:rPr>
        <w:t>Greenhouse Gas mitigation and Net Zero should be at the centre of ELMs</w:t>
      </w:r>
    </w:p>
    <w:p w14:paraId="3E4A2DF8" w14:textId="433BD8C5" w:rsidR="00B0002D" w:rsidRDefault="00B0002D" w:rsidP="00B0002D">
      <w:pPr>
        <w:pStyle w:val="ListParagraph"/>
        <w:numPr>
          <w:ilvl w:val="1"/>
          <w:numId w:val="34"/>
        </w:numPr>
        <w:rPr>
          <w:rFonts w:ascii="Open Sans" w:hAnsi="Open Sans" w:cs="Open Sans"/>
        </w:rPr>
      </w:pPr>
      <w:r>
        <w:rPr>
          <w:rFonts w:ascii="Open Sans" w:hAnsi="Open Sans" w:cs="Open Sans"/>
        </w:rPr>
        <w:t xml:space="preserve">The current design is undeniably centred around local environmental benefit, with climate not even featuring in the strategic objectives. </w:t>
      </w:r>
      <w:r w:rsidRPr="00B0002D">
        <w:rPr>
          <w:rFonts w:ascii="Open Sans" w:hAnsi="Open Sans" w:cs="Open Sans"/>
        </w:rPr>
        <w:t>It is insufficient to achieve local environmental benefits if</w:t>
      </w:r>
      <w:r>
        <w:rPr>
          <w:rFonts w:ascii="Open Sans" w:hAnsi="Open Sans" w:cs="Open Sans"/>
        </w:rPr>
        <w:t xml:space="preserve"> the overall carbon benefit cannot be quantified. </w:t>
      </w:r>
    </w:p>
    <w:p w14:paraId="0A460A6B" w14:textId="77777777" w:rsidR="00B0002D" w:rsidRDefault="00B0002D" w:rsidP="00B0002D">
      <w:pPr>
        <w:pStyle w:val="ListParagraph"/>
        <w:numPr>
          <w:ilvl w:val="1"/>
          <w:numId w:val="34"/>
        </w:numPr>
        <w:rPr>
          <w:rFonts w:ascii="Open Sans" w:hAnsi="Open Sans" w:cs="Open Sans"/>
        </w:rPr>
      </w:pPr>
      <w:r>
        <w:rPr>
          <w:rFonts w:ascii="Open Sans" w:hAnsi="Open Sans" w:cs="Open Sans"/>
        </w:rPr>
        <w:t xml:space="preserve">Crucially, we believe this will be a missed opportunity to bring subsidy in line with the current trajectory of the agriculture and land use sectors, which is towards the carbon market being a crucial driver. </w:t>
      </w:r>
    </w:p>
    <w:p w14:paraId="1CE8F6EF" w14:textId="6CDEE546" w:rsidR="00B0002D" w:rsidRDefault="00B0002D" w:rsidP="00B0002D">
      <w:pPr>
        <w:pStyle w:val="ListParagraph"/>
        <w:numPr>
          <w:ilvl w:val="1"/>
          <w:numId w:val="34"/>
        </w:numPr>
        <w:rPr>
          <w:rFonts w:ascii="Open Sans" w:hAnsi="Open Sans" w:cs="Open Sans"/>
        </w:rPr>
      </w:pPr>
      <w:r>
        <w:rPr>
          <w:rFonts w:ascii="Open Sans" w:hAnsi="Open Sans" w:cs="Open Sans"/>
        </w:rPr>
        <w:t>Having GHG mitigation at the centre, as well as a method of quantifying the carbon benefit, will open up many opportunities for private investment in these projects, for offsetting purposes, as well as to set clearer price signals and markets for bioenergy feedstocks</w:t>
      </w:r>
      <w:r w:rsidR="00C65EF4">
        <w:rPr>
          <w:rFonts w:ascii="Open Sans" w:hAnsi="Open Sans" w:cs="Open Sans"/>
        </w:rPr>
        <w:t xml:space="preserve"> and </w:t>
      </w:r>
      <w:r w:rsidR="00C65EF4" w:rsidRPr="00160B94">
        <w:rPr>
          <w:rFonts w:ascii="Open Sans" w:hAnsi="Open Sans" w:cs="Open Sans"/>
        </w:rPr>
        <w:t>renewably-sourced fertilisers</w:t>
      </w:r>
      <w:r w:rsidR="00C65EF4">
        <w:rPr>
          <w:rFonts w:ascii="Open Sans" w:hAnsi="Open Sans" w:cs="Open Sans"/>
        </w:rPr>
        <w:t xml:space="preserve"> and</w:t>
      </w:r>
      <w:r w:rsidR="00C65EF4" w:rsidRPr="00160B94">
        <w:rPr>
          <w:rFonts w:ascii="Open Sans" w:hAnsi="Open Sans" w:cs="Open Sans"/>
        </w:rPr>
        <w:t xml:space="preserve"> soil improvers</w:t>
      </w:r>
      <w:r w:rsidR="00C65EF4">
        <w:rPr>
          <w:rFonts w:ascii="Open Sans" w:hAnsi="Open Sans" w:cs="Open Sans"/>
        </w:rPr>
        <w:t xml:space="preserve"> (e.g. digestates and composts)</w:t>
      </w:r>
      <w:r>
        <w:rPr>
          <w:rFonts w:ascii="Open Sans" w:hAnsi="Open Sans" w:cs="Open Sans"/>
        </w:rPr>
        <w:t xml:space="preserve">.  </w:t>
      </w:r>
    </w:p>
    <w:p w14:paraId="616EE0B7" w14:textId="48845E96" w:rsidR="00B0002D" w:rsidRDefault="00B0002D" w:rsidP="00B0002D">
      <w:pPr>
        <w:pStyle w:val="ListParagraph"/>
        <w:numPr>
          <w:ilvl w:val="1"/>
          <w:numId w:val="34"/>
        </w:numPr>
        <w:rPr>
          <w:rFonts w:ascii="Open Sans" w:hAnsi="Open Sans" w:cs="Open Sans"/>
        </w:rPr>
      </w:pPr>
      <w:r>
        <w:rPr>
          <w:rFonts w:ascii="Open Sans" w:hAnsi="Open Sans" w:cs="Open Sans"/>
        </w:rPr>
        <w:t>Failing to do this risks ELMs being out of step with other Government priorities, with BEIS and DfT being principally focused on carbon reduction as an indicator of success.</w:t>
      </w:r>
    </w:p>
    <w:p w14:paraId="39FC91F5" w14:textId="0804E9C8" w:rsidR="00B0002D" w:rsidRPr="00B0002D" w:rsidRDefault="00B0002D" w:rsidP="00B0002D">
      <w:pPr>
        <w:pStyle w:val="ListParagraph"/>
        <w:numPr>
          <w:ilvl w:val="1"/>
          <w:numId w:val="34"/>
        </w:numPr>
        <w:rPr>
          <w:rFonts w:ascii="Open Sans" w:hAnsi="Open Sans" w:cs="Open Sans"/>
        </w:rPr>
      </w:pPr>
      <w:r>
        <w:rPr>
          <w:rFonts w:ascii="Open Sans" w:hAnsi="Open Sans" w:cs="Open Sans"/>
        </w:rPr>
        <w:t xml:space="preserve">DEFRA should revisit how they quantify benefits and look at options for carbon accounting to truly open up these opportunities. </w:t>
      </w:r>
    </w:p>
    <w:p w14:paraId="1CAD070A" w14:textId="77777777" w:rsidR="00406E23" w:rsidRDefault="00406E23" w:rsidP="00780C7E">
      <w:pPr>
        <w:spacing w:after="160" w:line="259" w:lineRule="auto"/>
        <w:jc w:val="left"/>
        <w:rPr>
          <w:rFonts w:ascii="Open Sans" w:hAnsi="Open Sans" w:cs="Open Sans"/>
          <w:b/>
          <w:bCs/>
          <w:i/>
          <w:iCs/>
          <w:color w:val="2F5496"/>
          <w:szCs w:val="22"/>
        </w:rPr>
      </w:pPr>
    </w:p>
    <w:p w14:paraId="37328955" w14:textId="17420E83" w:rsidR="00A13CBD" w:rsidRDefault="00A13CBD" w:rsidP="00A13CBD">
      <w:pPr>
        <w:pStyle w:val="ListParagraph"/>
        <w:numPr>
          <w:ilvl w:val="0"/>
          <w:numId w:val="34"/>
        </w:numPr>
        <w:rPr>
          <w:rFonts w:ascii="Open Sans" w:hAnsi="Open Sans" w:cs="Calibri"/>
          <w:b/>
          <w:bCs/>
          <w:lang w:eastAsia="en-GB"/>
        </w:rPr>
      </w:pPr>
      <w:r w:rsidRPr="00AA3F43">
        <w:rPr>
          <w:rFonts w:ascii="Open Sans" w:hAnsi="Open Sans" w:cs="Calibri"/>
          <w:b/>
          <w:bCs/>
          <w:lang w:eastAsia="en-GB"/>
        </w:rPr>
        <w:t>Restor</w:t>
      </w:r>
      <w:r>
        <w:rPr>
          <w:rFonts w:ascii="Open Sans" w:hAnsi="Open Sans" w:cs="Calibri"/>
          <w:b/>
          <w:bCs/>
          <w:lang w:eastAsia="en-GB"/>
        </w:rPr>
        <w:t>ing</w:t>
      </w:r>
      <w:r w:rsidRPr="00AA3F43">
        <w:rPr>
          <w:rFonts w:ascii="Open Sans" w:hAnsi="Open Sans" w:cs="Calibri"/>
          <w:b/>
          <w:bCs/>
          <w:lang w:eastAsia="en-GB"/>
        </w:rPr>
        <w:t xml:space="preserve"> soil health </w:t>
      </w:r>
      <w:r>
        <w:rPr>
          <w:rFonts w:ascii="Open Sans" w:hAnsi="Open Sans" w:cs="Calibri"/>
          <w:b/>
          <w:bCs/>
          <w:lang w:eastAsia="en-GB"/>
        </w:rPr>
        <w:t>should also be at the centre of ELMs</w:t>
      </w:r>
    </w:p>
    <w:p w14:paraId="4483F4AC" w14:textId="77777777" w:rsidR="00D1426B" w:rsidRDefault="00D1426B" w:rsidP="00AA3F43">
      <w:pPr>
        <w:spacing w:after="200" w:line="276" w:lineRule="auto"/>
        <w:jc w:val="left"/>
        <w:rPr>
          <w:rFonts w:ascii="Open Sans" w:hAnsi="Open Sans" w:cs="Open Sans"/>
        </w:rPr>
      </w:pPr>
    </w:p>
    <w:p w14:paraId="1F417315" w14:textId="50ED8E96" w:rsidR="00A13CBD" w:rsidRPr="00AA3F43" w:rsidRDefault="00A13CBD" w:rsidP="00AA3F43">
      <w:pPr>
        <w:spacing w:after="200" w:line="276" w:lineRule="auto"/>
        <w:jc w:val="left"/>
        <w:rPr>
          <w:rFonts w:ascii="Open Sans" w:hAnsi="Open Sans" w:cs="Open Sans"/>
        </w:rPr>
      </w:pPr>
      <w:r w:rsidRPr="00AA3F43">
        <w:rPr>
          <w:rFonts w:ascii="Open Sans" w:hAnsi="Open Sans" w:cs="Open Sans"/>
        </w:rPr>
        <w:t>We</w:t>
      </w:r>
      <w:r w:rsidR="00014D60" w:rsidRPr="00AA3F43">
        <w:rPr>
          <w:rFonts w:ascii="Open Sans" w:hAnsi="Open Sans" w:cs="Open Sans"/>
        </w:rPr>
        <w:t xml:space="preserve"> would </w:t>
      </w:r>
      <w:r w:rsidRPr="00AA3F43">
        <w:rPr>
          <w:rFonts w:ascii="Open Sans" w:hAnsi="Open Sans" w:cs="Open Sans"/>
        </w:rPr>
        <w:t xml:space="preserve">like to see more emphasis placed on </w:t>
      </w:r>
      <w:r w:rsidR="0001263F">
        <w:rPr>
          <w:rFonts w:ascii="Open Sans" w:hAnsi="Open Sans" w:cs="Open Sans"/>
        </w:rPr>
        <w:t xml:space="preserve">the </w:t>
      </w:r>
      <w:r w:rsidRPr="00AA3F43">
        <w:rPr>
          <w:rFonts w:ascii="Open Sans" w:hAnsi="Open Sans" w:cs="Open Sans"/>
        </w:rPr>
        <w:t xml:space="preserve">health of the soil. Restoring soil health (including its organic matter content) is paramount to ensure that soils can withstand stresses exacerbated by climate change. </w:t>
      </w:r>
    </w:p>
    <w:p w14:paraId="781ECC11" w14:textId="5708C45E" w:rsidR="0001263F" w:rsidRPr="00AA3F43" w:rsidRDefault="009C50D8" w:rsidP="00AA3F43">
      <w:pPr>
        <w:rPr>
          <w:rFonts w:ascii="Open Sans" w:hAnsi="Open Sans" w:cs="Open Sans"/>
        </w:rPr>
      </w:pPr>
      <w:r>
        <w:rPr>
          <w:rFonts w:ascii="Open Sans" w:hAnsi="Open Sans" w:cs="Open Sans"/>
        </w:rPr>
        <w:t>R</w:t>
      </w:r>
      <w:r w:rsidR="00EE2120">
        <w:rPr>
          <w:rFonts w:ascii="Open Sans" w:hAnsi="Open Sans" w:cs="Open Sans"/>
        </w:rPr>
        <w:t>epeated use of o</w:t>
      </w:r>
      <w:r w:rsidR="0001263F">
        <w:rPr>
          <w:rFonts w:ascii="Open Sans" w:hAnsi="Open Sans" w:cs="Open Sans"/>
        </w:rPr>
        <w:t>rganic soil improvers</w:t>
      </w:r>
      <w:r w:rsidR="00EE2120">
        <w:rPr>
          <w:rFonts w:ascii="Open Sans" w:hAnsi="Open Sans" w:cs="Open Sans"/>
        </w:rPr>
        <w:t xml:space="preserve"> (e.g. composted biodegradable wastes and solid digestates (aka fibre digestates</w:t>
      </w:r>
      <w:r w:rsidR="006773A1">
        <w:rPr>
          <w:rFonts w:ascii="Open Sans" w:hAnsi="Open Sans" w:cs="Open Sans"/>
        </w:rPr>
        <w:t xml:space="preserve">, </w:t>
      </w:r>
      <w:r w:rsidR="00EE2120">
        <w:rPr>
          <w:rFonts w:ascii="Open Sans" w:hAnsi="Open Sans" w:cs="Open Sans"/>
        </w:rPr>
        <w:t>made from anaerobically digestated biodegradable wastes and non-wastes</w:t>
      </w:r>
      <w:r w:rsidR="006773A1">
        <w:rPr>
          <w:rFonts w:ascii="Open Sans" w:hAnsi="Open Sans" w:cs="Open Sans"/>
        </w:rPr>
        <w:t xml:space="preserve"> which have undergone a post-digestion separation step</w:t>
      </w:r>
      <w:r w:rsidR="00EE2120">
        <w:rPr>
          <w:rFonts w:ascii="Open Sans" w:hAnsi="Open Sans" w:cs="Open Sans"/>
        </w:rPr>
        <w:t>) as per guidance for their good practice use in agriculture</w:t>
      </w:r>
      <w:r w:rsidR="0001263F">
        <w:rPr>
          <w:rFonts w:ascii="Open Sans" w:hAnsi="Open Sans" w:cs="Open Sans"/>
        </w:rPr>
        <w:t xml:space="preserve"> ha</w:t>
      </w:r>
      <w:r w:rsidR="00EE2120">
        <w:rPr>
          <w:rFonts w:ascii="Open Sans" w:hAnsi="Open Sans" w:cs="Open Sans"/>
        </w:rPr>
        <w:t>s</w:t>
      </w:r>
      <w:r w:rsidR="0001263F">
        <w:rPr>
          <w:rFonts w:ascii="Open Sans" w:hAnsi="Open Sans" w:cs="Open Sans"/>
        </w:rPr>
        <w:t xml:space="preserve"> an important role to play </w:t>
      </w:r>
      <w:r w:rsidR="00EE2120">
        <w:rPr>
          <w:rFonts w:ascii="Open Sans" w:hAnsi="Open Sans" w:cs="Open Sans"/>
        </w:rPr>
        <w:t>in building up</w:t>
      </w:r>
      <w:r w:rsidR="0001263F" w:rsidRPr="00AA3F43">
        <w:rPr>
          <w:rFonts w:ascii="Open Sans" w:hAnsi="Open Sans" w:cs="Open Sans"/>
        </w:rPr>
        <w:t xml:space="preserve"> soil organic matter</w:t>
      </w:r>
      <w:r w:rsidR="00EE2120">
        <w:rPr>
          <w:rFonts w:ascii="Open Sans" w:hAnsi="Open Sans" w:cs="Open Sans"/>
        </w:rPr>
        <w:t xml:space="preserve">.  Such use also improves soil </w:t>
      </w:r>
      <w:r w:rsidR="0001263F" w:rsidRPr="00AA3F43">
        <w:rPr>
          <w:rFonts w:ascii="Open Sans" w:hAnsi="Open Sans" w:cs="Open Sans"/>
        </w:rPr>
        <w:t>moisture dynamics</w:t>
      </w:r>
      <w:r w:rsidR="00EE2120">
        <w:rPr>
          <w:rFonts w:ascii="Open Sans" w:hAnsi="Open Sans" w:cs="Open Sans"/>
        </w:rPr>
        <w:t xml:space="preserve">, </w:t>
      </w:r>
      <w:r w:rsidR="0001263F" w:rsidRPr="00AA3F43">
        <w:rPr>
          <w:rFonts w:ascii="Open Sans" w:hAnsi="Open Sans" w:cs="Open Sans"/>
        </w:rPr>
        <w:t>e.g. increas</w:t>
      </w:r>
      <w:r w:rsidR="00EE2120">
        <w:rPr>
          <w:rFonts w:ascii="Open Sans" w:hAnsi="Open Sans" w:cs="Open Sans"/>
        </w:rPr>
        <w:t>ing</w:t>
      </w:r>
      <w:r w:rsidR="0001263F" w:rsidRPr="00AA3F43">
        <w:rPr>
          <w:rFonts w:ascii="Open Sans" w:hAnsi="Open Sans" w:cs="Open Sans"/>
        </w:rPr>
        <w:t xml:space="preserve"> water holding capacity of sandier soils and improv</w:t>
      </w:r>
      <w:r w:rsidR="00EE2120">
        <w:rPr>
          <w:rFonts w:ascii="Open Sans" w:hAnsi="Open Sans" w:cs="Open Sans"/>
        </w:rPr>
        <w:t>ing</w:t>
      </w:r>
      <w:r w:rsidR="0001263F" w:rsidRPr="00AA3F43">
        <w:rPr>
          <w:rFonts w:ascii="Open Sans" w:hAnsi="Open Sans" w:cs="Open Sans"/>
        </w:rPr>
        <w:t xml:space="preserve"> permeability of clay and silty soils)</w:t>
      </w:r>
      <w:r w:rsidR="00EE2120">
        <w:rPr>
          <w:rFonts w:ascii="Open Sans" w:hAnsi="Open Sans" w:cs="Open Sans"/>
        </w:rPr>
        <w:t>,</w:t>
      </w:r>
      <w:r w:rsidR="0001263F" w:rsidRPr="00AA3F43">
        <w:rPr>
          <w:rFonts w:ascii="Open Sans" w:hAnsi="Open Sans" w:cs="Open Sans"/>
        </w:rPr>
        <w:t xml:space="preserve"> and improv</w:t>
      </w:r>
      <w:r w:rsidR="00EE2120">
        <w:rPr>
          <w:rFonts w:ascii="Open Sans" w:hAnsi="Open Sans" w:cs="Open Sans"/>
        </w:rPr>
        <w:t xml:space="preserve">ing </w:t>
      </w:r>
      <w:r w:rsidR="0001263F" w:rsidRPr="00AA3F43">
        <w:rPr>
          <w:rFonts w:ascii="Open Sans" w:hAnsi="Open Sans" w:cs="Open Sans"/>
        </w:rPr>
        <w:t>resilience to the erosive forces of rain or irrigation surface water run off</w:t>
      </w:r>
      <w:r w:rsidR="0001263F">
        <w:rPr>
          <w:rFonts w:ascii="Open Sans" w:hAnsi="Open Sans" w:cs="Open Sans"/>
        </w:rPr>
        <w:t xml:space="preserve">. </w:t>
      </w:r>
    </w:p>
    <w:p w14:paraId="4CC3A7A4" w14:textId="77777777" w:rsidR="0001263F" w:rsidRPr="00AA3F43" w:rsidRDefault="0001263F" w:rsidP="00AA3F43">
      <w:pPr>
        <w:pStyle w:val="ListParagraph"/>
        <w:ind w:left="1440"/>
        <w:rPr>
          <w:rFonts w:ascii="Open Sans" w:hAnsi="Open Sans" w:cs="Open Sans"/>
        </w:rPr>
      </w:pPr>
    </w:p>
    <w:p w14:paraId="717C7B58" w14:textId="3D05643A" w:rsidR="00780C7E" w:rsidRDefault="00780C7E" w:rsidP="00780C7E">
      <w:pPr>
        <w:spacing w:after="160" w:line="259" w:lineRule="auto"/>
        <w:jc w:val="left"/>
        <w:rPr>
          <w:rFonts w:ascii="Open Sans" w:hAnsi="Open Sans" w:cs="Open Sans"/>
          <w:b/>
          <w:bCs/>
          <w:i/>
          <w:iCs/>
          <w:color w:val="2F5496"/>
          <w:szCs w:val="22"/>
        </w:rPr>
      </w:pPr>
      <w:bookmarkStart w:id="1" w:name="_Hlk46393811"/>
      <w:bookmarkEnd w:id="0"/>
      <w:r>
        <w:rPr>
          <w:rFonts w:ascii="Open Sans" w:hAnsi="Open Sans" w:cs="Open Sans"/>
          <w:b/>
          <w:bCs/>
          <w:i/>
          <w:iCs/>
          <w:color w:val="2F5496"/>
          <w:szCs w:val="22"/>
        </w:rPr>
        <w:t>Consultation Question 8:</w:t>
      </w:r>
      <w:r w:rsidRPr="00780C7E">
        <w:rPr>
          <w:rFonts w:ascii="Open Sans" w:hAnsi="Open Sans" w:cs="Open Sans"/>
          <w:b/>
          <w:bCs/>
          <w:i/>
          <w:iCs/>
          <w:color w:val="2F5496"/>
          <w:szCs w:val="22"/>
        </w:rPr>
        <w:t xml:space="preserve"> What is the best way to encourage participation in ELM? What are the key barriers to participation, and how do we tackle them? </w:t>
      </w:r>
    </w:p>
    <w:bookmarkEnd w:id="1"/>
    <w:p w14:paraId="0189CFC4" w14:textId="4421594B" w:rsidR="00B0002D" w:rsidRDefault="00B0002D" w:rsidP="00B0002D">
      <w:pPr>
        <w:rPr>
          <w:rFonts w:ascii="Open Sans" w:hAnsi="Open Sans" w:cs="Open Sans"/>
        </w:rPr>
      </w:pPr>
      <w:r>
        <w:rPr>
          <w:rFonts w:ascii="Open Sans" w:hAnsi="Open Sans" w:cs="Open Sans"/>
        </w:rPr>
        <w:t xml:space="preserve">Large parts of the farming and landowners’ sectors are already doing the right thing, and through support under the Basic Payments Scheme (BPS) and other Government schemes are delivering environmental outcomes. Yet, ability to participate or accelerate activity is not </w:t>
      </w:r>
      <w:r w:rsidR="007A0DD0">
        <w:rPr>
          <w:rFonts w:ascii="Open Sans" w:hAnsi="Open Sans" w:cs="Open Sans"/>
        </w:rPr>
        <w:t>the same</w:t>
      </w:r>
      <w:r w:rsidR="007A0DD0">
        <w:rPr>
          <w:rFonts w:ascii="Open Sans" w:hAnsi="Open Sans" w:cs="Open Sans"/>
        </w:rPr>
        <w:t xml:space="preserve"> </w:t>
      </w:r>
      <w:r>
        <w:rPr>
          <w:rFonts w:ascii="Open Sans" w:hAnsi="Open Sans" w:cs="Open Sans"/>
        </w:rPr>
        <w:t>across the board, and considerations need to be made</w:t>
      </w:r>
      <w:r w:rsidR="007A0DD0">
        <w:rPr>
          <w:rFonts w:ascii="Open Sans" w:hAnsi="Open Sans" w:cs="Open Sans"/>
        </w:rPr>
        <w:t xml:space="preserve"> to account for</w:t>
      </w:r>
      <w:r>
        <w:rPr>
          <w:rFonts w:ascii="Open Sans" w:hAnsi="Open Sans" w:cs="Open Sans"/>
        </w:rPr>
        <w:t xml:space="preserve"> for varying up-front cost for different land types, size of farm or land holding, as well as the time taken for the change to become profitable.  In most cases, businesses are not unwilling to change, but rather need assistance</w:t>
      </w:r>
      <w:r w:rsidR="007A0DD0">
        <w:rPr>
          <w:rFonts w:ascii="Open Sans" w:hAnsi="Open Sans" w:cs="Open Sans"/>
        </w:rPr>
        <w:t xml:space="preserve"> in understanding the available options</w:t>
      </w:r>
      <w:r>
        <w:rPr>
          <w:rFonts w:ascii="Open Sans" w:hAnsi="Open Sans" w:cs="Open Sans"/>
        </w:rPr>
        <w:t xml:space="preserve"> and a statement of intent from Government to make the decision. </w:t>
      </w:r>
    </w:p>
    <w:p w14:paraId="1EF438F2" w14:textId="77777777" w:rsidR="00B0002D" w:rsidRDefault="00B0002D" w:rsidP="00B0002D">
      <w:pPr>
        <w:rPr>
          <w:rFonts w:ascii="Open Sans" w:hAnsi="Open Sans" w:cs="Open Sans"/>
        </w:rPr>
      </w:pPr>
    </w:p>
    <w:p w14:paraId="3692ABCE" w14:textId="0BE4853C" w:rsidR="00B0002D" w:rsidRDefault="00B0002D" w:rsidP="00B0002D">
      <w:pPr>
        <w:rPr>
          <w:rFonts w:ascii="Open Sans" w:hAnsi="Open Sans" w:cs="Open Sans"/>
        </w:rPr>
      </w:pPr>
      <w:r>
        <w:rPr>
          <w:rFonts w:ascii="Open Sans" w:hAnsi="Open Sans" w:cs="Open Sans"/>
        </w:rPr>
        <w:t xml:space="preserve">In this case, and if DEFRA wants to encourage participation, special consideration should be made to the trade-off between environmental outcome and profitability. For instance, in Tier 1, DEFRA may promote hedgerow management and the creation of belts of woody vegetation for the purpose of wildlife corridors. Perennial energy crops would be effective here, as well as delivering </w:t>
      </w:r>
      <w:r w:rsidR="007A0DD0">
        <w:rPr>
          <w:rFonts w:ascii="Open Sans" w:hAnsi="Open Sans" w:cs="Open Sans"/>
        </w:rPr>
        <w:t xml:space="preserve">a </w:t>
      </w:r>
      <w:r>
        <w:rPr>
          <w:rFonts w:ascii="Open Sans" w:hAnsi="Open Sans" w:cs="Open Sans"/>
        </w:rPr>
        <w:t>broader</w:t>
      </w:r>
      <w:r w:rsidR="007A0DD0">
        <w:rPr>
          <w:rFonts w:ascii="Open Sans" w:hAnsi="Open Sans" w:cs="Open Sans"/>
        </w:rPr>
        <w:t xml:space="preserve"> range of environmental</w:t>
      </w:r>
      <w:r>
        <w:rPr>
          <w:rFonts w:ascii="Open Sans" w:hAnsi="Open Sans" w:cs="Open Sans"/>
        </w:rPr>
        <w:t xml:space="preserve"> benefits. Yet, the eventual yield will be lower than widespread planting, with farmers and landowners </w:t>
      </w:r>
      <w:r w:rsidR="007A0DD0">
        <w:rPr>
          <w:rFonts w:ascii="Open Sans" w:hAnsi="Open Sans" w:cs="Open Sans"/>
        </w:rPr>
        <w:t xml:space="preserve">needing to be able to ensure any potential lost revenue is substituted. </w:t>
      </w:r>
      <w:r>
        <w:rPr>
          <w:rFonts w:ascii="Open Sans" w:hAnsi="Open Sans" w:cs="Open Sans"/>
        </w:rPr>
        <w:t xml:space="preserve"> Additionally, the planters will only see the benefit after 3-4 years, upon harvest, whilst the environmental benefits are apparent throughout that period. These barriers around up-front cost and the time taken to repay investment are key blockers to broader participation, and ELMs should aim to provide this certainty as a priority. </w:t>
      </w:r>
    </w:p>
    <w:p w14:paraId="7FC9020A" w14:textId="5D60309E" w:rsidR="00B0002D" w:rsidRDefault="00B0002D" w:rsidP="00B0002D">
      <w:pPr>
        <w:rPr>
          <w:rFonts w:ascii="Open Sans" w:hAnsi="Open Sans" w:cs="Open Sans"/>
        </w:rPr>
      </w:pPr>
    </w:p>
    <w:p w14:paraId="4E360852" w14:textId="1B6D1BCF" w:rsidR="00B0002D" w:rsidRDefault="00B0002D" w:rsidP="00B0002D">
      <w:pPr>
        <w:rPr>
          <w:rFonts w:ascii="Open Sans" w:hAnsi="Open Sans" w:cs="Open Sans"/>
        </w:rPr>
      </w:pPr>
      <w:r>
        <w:rPr>
          <w:rFonts w:ascii="Open Sans" w:hAnsi="Open Sans" w:cs="Open Sans"/>
        </w:rPr>
        <w:t xml:space="preserve">We strongly believe that to inspire confidence in the scheme, DEFRA must address the shortcomings in the administration of past schemes. These schemes are designed to provide security for farmers and land-owners to make decisions in the public good, yet if they have little confidence in the payment system and are fearful of delays in processing payments, many will choose not to participate at all. Gaining the trust of the sector is vital to encouraging new entrants to consider larger scale activities and progress through the tiering structure. We know that some will participate no matter what, but this scheme needs to target those that are hesitant if it is to achieve as wide participation as possible. </w:t>
      </w:r>
    </w:p>
    <w:p w14:paraId="23207295" w14:textId="77777777" w:rsidR="00B0002D" w:rsidRDefault="00B0002D" w:rsidP="00B0002D">
      <w:pPr>
        <w:rPr>
          <w:rFonts w:ascii="Open Sans" w:hAnsi="Open Sans" w:cs="Open Sans"/>
        </w:rPr>
      </w:pPr>
    </w:p>
    <w:p w14:paraId="7241B665" w14:textId="435ABF15" w:rsidR="00B0002D" w:rsidRPr="00B0002D" w:rsidRDefault="00B0002D" w:rsidP="00B0002D">
      <w:pPr>
        <w:rPr>
          <w:rFonts w:ascii="Open Sans" w:hAnsi="Open Sans" w:cs="Open Sans"/>
        </w:rPr>
      </w:pPr>
      <w:r>
        <w:rPr>
          <w:rFonts w:ascii="Open Sans" w:hAnsi="Open Sans" w:cs="Open Sans"/>
        </w:rPr>
        <w:t xml:space="preserve">Overcoming these barriers is vital to incentivising the vast majority and delivering the widespread environmental outcomes the scheme promises. </w:t>
      </w:r>
    </w:p>
    <w:p w14:paraId="1FFFB5D7" w14:textId="77777777" w:rsidR="00B0002D" w:rsidRPr="00B0002D" w:rsidRDefault="00B0002D" w:rsidP="00B0002D">
      <w:pPr>
        <w:rPr>
          <w:rFonts w:ascii="Open Sans" w:hAnsi="Open Sans" w:cs="Open Sans"/>
          <w:szCs w:val="22"/>
        </w:rPr>
      </w:pPr>
    </w:p>
    <w:p w14:paraId="4F94CAA4" w14:textId="26551462" w:rsidR="00780C7E" w:rsidRDefault="00780C7E" w:rsidP="00780C7E">
      <w:pPr>
        <w:spacing w:after="160" w:line="259" w:lineRule="auto"/>
        <w:jc w:val="left"/>
        <w:rPr>
          <w:rFonts w:ascii="Open Sans" w:hAnsi="Open Sans" w:cs="Open Sans"/>
          <w:b/>
          <w:bCs/>
          <w:i/>
          <w:iCs/>
          <w:color w:val="2F5496"/>
          <w:szCs w:val="22"/>
        </w:rPr>
      </w:pPr>
      <w:bookmarkStart w:id="2" w:name="_Hlk46393817"/>
      <w:r>
        <w:rPr>
          <w:rFonts w:ascii="Open Sans" w:hAnsi="Open Sans" w:cs="Open Sans"/>
          <w:b/>
          <w:bCs/>
          <w:i/>
          <w:iCs/>
          <w:color w:val="2F5496"/>
          <w:szCs w:val="22"/>
        </w:rPr>
        <w:t xml:space="preserve">Consultation Question </w:t>
      </w:r>
      <w:r w:rsidRPr="00780C7E">
        <w:rPr>
          <w:rFonts w:ascii="Open Sans" w:hAnsi="Open Sans" w:cs="Open Sans"/>
          <w:b/>
          <w:bCs/>
          <w:i/>
          <w:iCs/>
          <w:color w:val="2F5496"/>
          <w:szCs w:val="22"/>
        </w:rPr>
        <w:t>9</w:t>
      </w:r>
      <w:r>
        <w:rPr>
          <w:rFonts w:ascii="Open Sans" w:hAnsi="Open Sans" w:cs="Open Sans"/>
          <w:b/>
          <w:bCs/>
          <w:i/>
          <w:iCs/>
          <w:color w:val="2F5496"/>
          <w:szCs w:val="22"/>
        </w:rPr>
        <w:t>:</w:t>
      </w:r>
      <w:r w:rsidRPr="00780C7E">
        <w:rPr>
          <w:rFonts w:ascii="Open Sans" w:hAnsi="Open Sans" w:cs="Open Sans"/>
          <w:b/>
          <w:bCs/>
          <w:i/>
          <w:iCs/>
          <w:color w:val="2F5496"/>
          <w:szCs w:val="22"/>
        </w:rPr>
        <w:t xml:space="preserve"> For each tier we have given a broad indication of what types of activities could be paid for. Are we focussing on the right types of activity in each tier? </w:t>
      </w:r>
    </w:p>
    <w:p w14:paraId="4E66C98A" w14:textId="58D802DF" w:rsidR="00B0002D" w:rsidRDefault="00B0002D" w:rsidP="00B0002D">
      <w:pPr>
        <w:rPr>
          <w:rFonts w:ascii="Open Sans" w:hAnsi="Open Sans" w:cs="Open Sans"/>
        </w:rPr>
      </w:pPr>
      <w:r>
        <w:rPr>
          <w:rFonts w:ascii="Open Sans" w:hAnsi="Open Sans" w:cs="Open Sans"/>
        </w:rPr>
        <w:t xml:space="preserve">In the past, land use policy has favoured prescription for the sake of simplicity, but more dynamic solutions are needed if ELMs is to </w:t>
      </w:r>
      <w:r w:rsidR="00CF7ACE">
        <w:rPr>
          <w:rFonts w:ascii="Open Sans" w:hAnsi="Open Sans" w:cs="Open Sans"/>
        </w:rPr>
        <w:t>effectively</w:t>
      </w:r>
      <w:r w:rsidR="00CF7ACE">
        <w:rPr>
          <w:rFonts w:ascii="Open Sans" w:hAnsi="Open Sans" w:cs="Open Sans"/>
        </w:rPr>
        <w:t xml:space="preserve"> </w:t>
      </w:r>
      <w:r>
        <w:rPr>
          <w:rFonts w:ascii="Open Sans" w:hAnsi="Open Sans" w:cs="Open Sans"/>
        </w:rPr>
        <w:t xml:space="preserve">decarbonise the sector by 2050. We are calling for broad solutions that fully harness the range of land use solutions. These include:  </w:t>
      </w:r>
    </w:p>
    <w:p w14:paraId="584E815B" w14:textId="77777777" w:rsidR="00B0002D" w:rsidRPr="008E5C2B" w:rsidRDefault="00B0002D" w:rsidP="00B0002D">
      <w:pPr>
        <w:rPr>
          <w:rFonts w:ascii="Open Sans" w:hAnsi="Open Sans" w:cs="Open Sans"/>
        </w:rPr>
      </w:pPr>
      <w:bookmarkStart w:id="3" w:name="_Hlk46749037"/>
    </w:p>
    <w:p w14:paraId="34E8931F" w14:textId="0E6C1970" w:rsidR="00B0002D" w:rsidRPr="00B0002D" w:rsidRDefault="00B0002D" w:rsidP="00B0002D">
      <w:pPr>
        <w:pStyle w:val="ListParagraph"/>
        <w:numPr>
          <w:ilvl w:val="0"/>
          <w:numId w:val="29"/>
        </w:numPr>
        <w:rPr>
          <w:rFonts w:ascii="Open Sans" w:hAnsi="Open Sans" w:cs="Open Sans"/>
        </w:rPr>
      </w:pPr>
      <w:r>
        <w:rPr>
          <w:rFonts w:ascii="Open Sans" w:hAnsi="Open Sans" w:cs="Open Sans"/>
          <w:b/>
          <w:bCs/>
        </w:rPr>
        <w:t xml:space="preserve">The role of forestry under ELMs is a positive step towards an integrated land use policy, but more incentives are needed. </w:t>
      </w:r>
    </w:p>
    <w:p w14:paraId="0739BD38" w14:textId="77777777" w:rsidR="00B0002D" w:rsidRDefault="00B0002D" w:rsidP="00B0002D">
      <w:pPr>
        <w:rPr>
          <w:rFonts w:ascii="Open Sans" w:hAnsi="Open Sans" w:cs="Open Sans"/>
        </w:rPr>
      </w:pPr>
    </w:p>
    <w:p w14:paraId="3827717B" w14:textId="25674E76" w:rsidR="00B0002D" w:rsidRPr="00B0002D" w:rsidRDefault="00B0002D" w:rsidP="00B0002D">
      <w:pPr>
        <w:rPr>
          <w:rFonts w:ascii="Open Sans" w:hAnsi="Open Sans" w:cs="Open Sans"/>
        </w:rPr>
      </w:pPr>
      <w:r w:rsidRPr="00B0002D">
        <w:rPr>
          <w:rFonts w:ascii="Open Sans" w:hAnsi="Open Sans" w:cs="Open Sans"/>
        </w:rPr>
        <w:t>As is well noted, the Committee on Climate Change’s pathway to Net Zero requires an increase in tree planting to at least 30,000 hectares per year to 2050</w:t>
      </w:r>
      <w:r>
        <w:rPr>
          <w:rStyle w:val="FootnoteReference"/>
          <w:rFonts w:ascii="Open Sans" w:hAnsi="Open Sans" w:cs="Open Sans"/>
        </w:rPr>
        <w:footnoteReference w:id="2"/>
      </w:r>
      <w:r w:rsidRPr="00B0002D">
        <w:rPr>
          <w:rFonts w:ascii="Open Sans" w:hAnsi="Open Sans" w:cs="Open Sans"/>
        </w:rPr>
        <w:t xml:space="preserve">. The Government agrees with this, and most recently in its Tree Strategy for England confirms the Conservative manifesto commitment to reach this level by 2025. This position and aim is fully supported by the REA, and once achieved will set the groundwork for more ambitious targets. </w:t>
      </w:r>
    </w:p>
    <w:p w14:paraId="1673A88A" w14:textId="77777777" w:rsidR="00B0002D" w:rsidRDefault="00B0002D" w:rsidP="00B0002D">
      <w:pPr>
        <w:rPr>
          <w:rFonts w:ascii="Open Sans" w:hAnsi="Open Sans" w:cs="Open Sans"/>
        </w:rPr>
      </w:pPr>
    </w:p>
    <w:p w14:paraId="44899A20" w14:textId="77777777" w:rsidR="00B0002D" w:rsidRDefault="00B0002D" w:rsidP="00B0002D">
      <w:pPr>
        <w:rPr>
          <w:rFonts w:ascii="Open Sans" w:hAnsi="Open Sans" w:cs="Open Sans"/>
        </w:rPr>
      </w:pPr>
      <w:r w:rsidRPr="00B0002D">
        <w:rPr>
          <w:rFonts w:ascii="Open Sans" w:hAnsi="Open Sans" w:cs="Open Sans"/>
        </w:rPr>
        <w:t xml:space="preserve">Yet, we must acknowledge the scale of the challenge, especially as tree planting in England last year was 5,758 acres, increasing from 3,509 the year before. At this trajectory, 30,000 </w:t>
      </w:r>
      <w:r>
        <w:rPr>
          <w:rFonts w:ascii="Open Sans" w:hAnsi="Open Sans" w:cs="Open Sans"/>
        </w:rPr>
        <w:t>hectares</w:t>
      </w:r>
      <w:r w:rsidRPr="00B0002D">
        <w:rPr>
          <w:rFonts w:ascii="Open Sans" w:hAnsi="Open Sans" w:cs="Open Sans"/>
        </w:rPr>
        <w:t xml:space="preserve"> by 2025 will not be achievable without a marked shift.</w:t>
      </w:r>
      <w:r>
        <w:rPr>
          <w:rFonts w:ascii="Open Sans" w:hAnsi="Open Sans" w:cs="Open Sans"/>
        </w:rPr>
        <w:t xml:space="preserve"> </w:t>
      </w:r>
    </w:p>
    <w:p w14:paraId="5CF23431" w14:textId="77777777" w:rsidR="00B0002D" w:rsidRDefault="00B0002D" w:rsidP="00B0002D">
      <w:pPr>
        <w:rPr>
          <w:rFonts w:ascii="Open Sans" w:hAnsi="Open Sans" w:cs="Open Sans"/>
        </w:rPr>
      </w:pPr>
    </w:p>
    <w:p w14:paraId="5808DCD3" w14:textId="4A3BFFC7" w:rsidR="00B0002D" w:rsidRDefault="00B0002D" w:rsidP="00B0002D">
      <w:pPr>
        <w:rPr>
          <w:rFonts w:ascii="Open Sans" w:hAnsi="Open Sans" w:cs="Open Sans"/>
        </w:rPr>
      </w:pPr>
      <w:r w:rsidRPr="00B0002D">
        <w:rPr>
          <w:rFonts w:ascii="Open Sans" w:hAnsi="Open Sans" w:cs="Open Sans"/>
        </w:rPr>
        <w:t xml:space="preserve">If we look at the Royal Forestry Society’s recent survey of almost 700 members, it found that 23% of its members had created new woodland in the past two years, but 42% were planning to do so in the next five years. </w:t>
      </w:r>
      <w:r>
        <w:rPr>
          <w:rFonts w:ascii="Open Sans" w:hAnsi="Open Sans" w:cs="Open Sans"/>
        </w:rPr>
        <w:t>Of those surveyed that were not planning on woodland creation, many were</w:t>
      </w:r>
      <w:r w:rsidRPr="00B0002D">
        <w:rPr>
          <w:rFonts w:ascii="Open Sans" w:hAnsi="Open Sans" w:cs="Open Sans"/>
        </w:rPr>
        <w:t xml:space="preserve"> concerned about the complexity of receiving grants</w:t>
      </w:r>
      <w:r>
        <w:rPr>
          <w:rFonts w:ascii="Open Sans" w:hAnsi="Open Sans" w:cs="Open Sans"/>
        </w:rPr>
        <w:t>, and concerns about reduced value of land.</w:t>
      </w:r>
      <w:r w:rsidRPr="00B0002D">
        <w:rPr>
          <w:rFonts w:ascii="Open Sans" w:hAnsi="Open Sans" w:cs="Open Sans"/>
        </w:rPr>
        <w:t xml:space="preserve"> </w:t>
      </w:r>
      <w:r>
        <w:rPr>
          <w:rStyle w:val="FootnoteReference"/>
          <w:rFonts w:ascii="Open Sans" w:hAnsi="Open Sans" w:cs="Open Sans"/>
        </w:rPr>
        <w:footnoteReference w:id="3"/>
      </w:r>
      <w:r w:rsidRPr="00B0002D">
        <w:rPr>
          <w:rFonts w:ascii="Open Sans" w:hAnsi="Open Sans" w:cs="Open Sans"/>
        </w:rPr>
        <w:t xml:space="preserve"> </w:t>
      </w:r>
    </w:p>
    <w:p w14:paraId="331ED863" w14:textId="41600C4E" w:rsidR="00B0002D" w:rsidRDefault="00B0002D" w:rsidP="00B0002D">
      <w:pPr>
        <w:rPr>
          <w:rFonts w:ascii="Open Sans" w:hAnsi="Open Sans" w:cs="Open Sans"/>
        </w:rPr>
      </w:pPr>
    </w:p>
    <w:p w14:paraId="64FF994F" w14:textId="4C279C31" w:rsidR="00B0002D" w:rsidRDefault="00B0002D" w:rsidP="00B0002D">
      <w:pPr>
        <w:rPr>
          <w:rFonts w:ascii="Open Sans" w:hAnsi="Open Sans" w:cs="Open Sans"/>
        </w:rPr>
      </w:pPr>
      <w:r>
        <w:rPr>
          <w:rFonts w:ascii="Open Sans" w:hAnsi="Open Sans" w:cs="Open Sans"/>
        </w:rPr>
        <w:t xml:space="preserve">These concerns are compounded by a policy landscape where forestry has often been separate and handled in a siloed sense. To truly address these barriers, and encourage new businesses to consider forestry, as well as further incentivise those already involved – ELMs must incentivise farmers and landowners to think in a more integrated way. </w:t>
      </w:r>
    </w:p>
    <w:p w14:paraId="1196B7A9" w14:textId="5E108D1C" w:rsidR="00B0002D" w:rsidRDefault="00B0002D" w:rsidP="00B0002D">
      <w:pPr>
        <w:rPr>
          <w:rFonts w:ascii="Open Sans" w:hAnsi="Open Sans" w:cs="Open Sans"/>
        </w:rPr>
      </w:pPr>
    </w:p>
    <w:p w14:paraId="600DABDD" w14:textId="71F30810" w:rsidR="00B0002D" w:rsidRDefault="00B0002D" w:rsidP="00B0002D">
      <w:pPr>
        <w:rPr>
          <w:rFonts w:ascii="Open Sans" w:hAnsi="Open Sans" w:cs="Open Sans"/>
        </w:rPr>
      </w:pPr>
      <w:r>
        <w:rPr>
          <w:rFonts w:ascii="Open Sans" w:hAnsi="Open Sans" w:cs="Open Sans"/>
        </w:rPr>
        <w:t xml:space="preserve">Initially, we have found the barrier for new entrants is financial support, with farmers and landowners compelled to make the decision that makes the most sense from a profitability perspective. Forestry, there is no denying, is a long-term endeavour, and a journey that businesses need to be supported on. If ELMs is to boost woodland creation beyond current growth, it needs to reassure businesses that it is more profitable than their current land-use. If it does not do this, it is unrealistic to expect deployment will be greater than any past effort to promote woodland creation. </w:t>
      </w:r>
    </w:p>
    <w:p w14:paraId="7E325098" w14:textId="1F11E810" w:rsidR="00B0002D" w:rsidRDefault="00B0002D" w:rsidP="00B0002D">
      <w:pPr>
        <w:rPr>
          <w:rFonts w:ascii="Open Sans" w:hAnsi="Open Sans" w:cs="Open Sans"/>
        </w:rPr>
      </w:pPr>
    </w:p>
    <w:p w14:paraId="0D007F7D" w14:textId="7203F19D" w:rsidR="00B0002D" w:rsidRDefault="00B0002D" w:rsidP="00B0002D">
      <w:pPr>
        <w:rPr>
          <w:rFonts w:ascii="Open Sans" w:hAnsi="Open Sans" w:cs="Open Sans"/>
        </w:rPr>
      </w:pPr>
      <w:r>
        <w:rPr>
          <w:rFonts w:ascii="Open Sans" w:hAnsi="Open Sans" w:cs="Open Sans"/>
        </w:rPr>
        <w:t>Once this barrier has been overcome, the policy must ensure they are managed going forward. Only then will the maximum environmental and carbon benefit be realised. For instance, of the 1.3 million hectares of woodland (2018), approximately 59% of it is managed in a recognised way. The other 41% is mostly smaller woodlands situated on farms or by non-professional owners is probably in declining condition</w:t>
      </w:r>
      <w:r>
        <w:rPr>
          <w:rStyle w:val="FootnoteReference"/>
          <w:rFonts w:ascii="Open Sans" w:hAnsi="Open Sans" w:cs="Open Sans"/>
        </w:rPr>
        <w:footnoteReference w:id="4"/>
      </w:r>
      <w:r>
        <w:rPr>
          <w:rFonts w:ascii="Open Sans" w:hAnsi="Open Sans" w:cs="Open Sans"/>
        </w:rPr>
        <w:t xml:space="preserve">. The benefits for biodiversity, carbon sequestration and bioenergy will be lost if the woodland is not managed through cycles.  </w:t>
      </w:r>
    </w:p>
    <w:p w14:paraId="2C8876F9" w14:textId="77777777" w:rsidR="00B0002D" w:rsidRDefault="00B0002D" w:rsidP="00B0002D">
      <w:pPr>
        <w:rPr>
          <w:rFonts w:ascii="Open Sans" w:hAnsi="Open Sans" w:cs="Open Sans"/>
        </w:rPr>
      </w:pPr>
    </w:p>
    <w:p w14:paraId="6D8E0338" w14:textId="02A4B425" w:rsidR="00B0002D" w:rsidRDefault="00B0002D" w:rsidP="00B0002D">
      <w:pPr>
        <w:rPr>
          <w:rFonts w:ascii="Open Sans" w:hAnsi="Open Sans" w:cs="Open Sans"/>
        </w:rPr>
      </w:pPr>
      <w:r>
        <w:rPr>
          <w:rFonts w:ascii="Open Sans" w:hAnsi="Open Sans" w:cs="Open Sans"/>
        </w:rPr>
        <w:t xml:space="preserve">Many things are already in place, and the UK Forest Standard (UKFS) and other rules that regulate the sector ensure standards. Where ELMs can be of value is by providing the right system of payments and advice to drive woodland creation. We are calling for a framework that promotes education on the opportunities created by woodland, are well as a financial framework that overcomes the initial cost hurdle. This, will ensure that ELMs delivers both increased tree planting, and better forest management – rather than encouraging one without strong support to achieve the other. </w:t>
      </w:r>
    </w:p>
    <w:p w14:paraId="610AA68D" w14:textId="77777777" w:rsidR="00B0002D" w:rsidRPr="00B0002D" w:rsidRDefault="00B0002D" w:rsidP="00B0002D">
      <w:pPr>
        <w:rPr>
          <w:rFonts w:ascii="Open Sans" w:hAnsi="Open Sans" w:cs="Open Sans"/>
        </w:rPr>
      </w:pPr>
    </w:p>
    <w:bookmarkEnd w:id="3"/>
    <w:p w14:paraId="204EB7DF" w14:textId="291C51C7" w:rsidR="00B0002D" w:rsidRPr="00B0002D" w:rsidRDefault="00B0002D" w:rsidP="00B0002D">
      <w:pPr>
        <w:pStyle w:val="ListParagraph"/>
        <w:numPr>
          <w:ilvl w:val="0"/>
          <w:numId w:val="29"/>
        </w:numPr>
        <w:spacing w:before="120" w:after="120"/>
        <w:rPr>
          <w:rFonts w:ascii="Open Sans" w:hAnsi="Open Sans" w:cs="Open Sans"/>
          <w:b/>
          <w:bCs/>
          <w:szCs w:val="22"/>
          <w:lang w:eastAsia="en-GB"/>
        </w:rPr>
      </w:pPr>
      <w:r w:rsidRPr="00B0002D">
        <w:rPr>
          <w:rFonts w:ascii="Open Sans" w:hAnsi="Open Sans" w:cs="Open Sans"/>
          <w:b/>
          <w:bCs/>
          <w:lang w:eastAsia="en-GB"/>
        </w:rPr>
        <w:t>Crop rotations for anaerobic digestion and other bioenergy</w:t>
      </w:r>
      <w:r w:rsidR="00CF7ACE">
        <w:rPr>
          <w:rFonts w:ascii="Open Sans" w:hAnsi="Open Sans" w:cs="Open Sans"/>
          <w:b/>
          <w:bCs/>
          <w:lang w:eastAsia="en-GB"/>
        </w:rPr>
        <w:t xml:space="preserve"> feedstocks</w:t>
      </w:r>
      <w:r w:rsidRPr="00B0002D">
        <w:rPr>
          <w:rFonts w:ascii="Open Sans" w:hAnsi="Open Sans" w:cs="Open Sans"/>
          <w:b/>
          <w:bCs/>
          <w:lang w:eastAsia="en-GB"/>
        </w:rPr>
        <w:t xml:space="preserve"> can help deliver environmentally sustainable farming in line with Tier 1</w:t>
      </w:r>
    </w:p>
    <w:p w14:paraId="2574FEC0" w14:textId="77777777" w:rsidR="00B0002D" w:rsidRPr="00B0002D" w:rsidRDefault="00B0002D" w:rsidP="00B0002D">
      <w:pPr>
        <w:spacing w:before="120" w:after="120"/>
        <w:rPr>
          <w:rFonts w:ascii="Open Sans" w:hAnsi="Open Sans" w:cs="Open Sans"/>
          <w:szCs w:val="22"/>
          <w:lang w:eastAsia="en-GB"/>
        </w:rPr>
      </w:pPr>
      <w:r w:rsidRPr="00B0002D">
        <w:rPr>
          <w:rFonts w:ascii="Open Sans" w:hAnsi="Open Sans" w:cs="Open Sans"/>
          <w:lang w:eastAsia="en-GB"/>
        </w:rPr>
        <w:t xml:space="preserve">Anaerobic digestion on farms of manures, wastes and residues combined with crops grown as part of a rotation can deliver many of the environmentally sustainable farming practices described in Tier 1, including better nutrient management (and manure management), soil management (including soil organic matter content) and field cover (such as cover crops and crop rotations). </w:t>
      </w:r>
    </w:p>
    <w:p w14:paraId="55B3AC9A" w14:textId="0682116C" w:rsidR="00B0002D" w:rsidRPr="00B0002D" w:rsidRDefault="00B0002D" w:rsidP="00B0002D">
      <w:pPr>
        <w:spacing w:before="120" w:after="120"/>
        <w:jc w:val="left"/>
        <w:rPr>
          <w:rFonts w:ascii="Open Sans" w:hAnsi="Open Sans" w:cs="Open Sans"/>
          <w:szCs w:val="22"/>
          <w:lang w:eastAsia="en-GB"/>
        </w:rPr>
      </w:pPr>
      <w:r w:rsidRPr="00B0002D">
        <w:rPr>
          <w:rFonts w:ascii="Open Sans" w:hAnsi="Open Sans" w:cs="Open Sans"/>
          <w:lang w:eastAsia="en-GB"/>
        </w:rPr>
        <w:t>Within ELM</w:t>
      </w:r>
      <w:r>
        <w:rPr>
          <w:rFonts w:ascii="Open Sans" w:hAnsi="Open Sans" w:cs="Open Sans"/>
          <w:lang w:eastAsia="en-GB"/>
        </w:rPr>
        <w:t>s</w:t>
      </w:r>
      <w:r w:rsidRPr="00B0002D">
        <w:rPr>
          <w:rFonts w:ascii="Open Sans" w:hAnsi="Open Sans" w:cs="Open Sans"/>
          <w:lang w:eastAsia="en-GB"/>
        </w:rPr>
        <w:t xml:space="preserve"> the Government must recognise the benefits that are brought to farming businesses from the integration of rotational cropping for anaerobic digestion into arable rotations</w:t>
      </w:r>
      <w:r w:rsidRPr="00B0002D">
        <w:rPr>
          <w:rStyle w:val="FootnoteReference"/>
          <w:rFonts w:ascii="Open Sans" w:hAnsi="Open Sans" w:cs="Open Sans"/>
          <w:lang w:eastAsia="en-GB"/>
        </w:rPr>
        <w:footnoteReference w:customMarkFollows="1" w:id="5"/>
        <w:t>[3]</w:t>
      </w:r>
      <w:r w:rsidRPr="00B0002D">
        <w:rPr>
          <w:rFonts w:ascii="Open Sans" w:hAnsi="Open Sans" w:cs="Open Sans"/>
          <w:lang w:eastAsia="en-GB"/>
        </w:rPr>
        <w:t>. This practice provides robust rotational options, local markets and opportunity for improving soil health (e.g. in arable intensive areas of the UK where organic matter is less readily available), biodiversity and mitigate against pests and diseases.</w:t>
      </w:r>
      <w:r w:rsidRPr="00B0002D">
        <w:rPr>
          <w:rFonts w:ascii="Open Sans" w:hAnsi="Open Sans" w:cs="Open Sans"/>
        </w:rPr>
        <w:t xml:space="preserve"> </w:t>
      </w:r>
      <w:r w:rsidRPr="00B0002D">
        <w:rPr>
          <w:rFonts w:ascii="Open Sans" w:hAnsi="Open Sans" w:cs="Open Sans"/>
          <w:lang w:eastAsia="en-GB"/>
        </w:rPr>
        <w:t xml:space="preserve"> BEIS </w:t>
      </w:r>
      <w:hyperlink r:id="rId9" w:history="1">
        <w:r w:rsidRPr="00B0002D">
          <w:rPr>
            <w:rStyle w:val="Hyperlink"/>
            <w:rFonts w:ascii="Open Sans" w:hAnsi="Open Sans" w:cs="Open Sans"/>
            <w:lang w:eastAsia="en-GB"/>
          </w:rPr>
          <w:t>consultation</w:t>
        </w:r>
      </w:hyperlink>
      <w:r w:rsidRPr="00B0002D">
        <w:rPr>
          <w:rFonts w:ascii="Open Sans" w:hAnsi="Open Sans" w:cs="Open Sans"/>
          <w:lang w:eastAsia="en-GB"/>
        </w:rPr>
        <w:t xml:space="preserve"> on the future support for low carbon heat (including the Green Gas Support Scheme) recognises that ‘</w:t>
      </w:r>
      <w:r w:rsidRPr="00B0002D">
        <w:rPr>
          <w:rFonts w:ascii="Open Sans" w:hAnsi="Open Sans" w:cs="Open Sans"/>
          <w:i/>
          <w:iCs/>
          <w:lang w:eastAsia="en-GB"/>
        </w:rPr>
        <w:t>energy crops can be incorporated into arable locations as cover crops’,</w:t>
      </w:r>
      <w:r w:rsidRPr="00B0002D">
        <w:rPr>
          <w:rFonts w:ascii="Open Sans" w:hAnsi="Open Sans" w:cs="Open Sans"/>
          <w:lang w:eastAsia="en-GB"/>
        </w:rPr>
        <w:t xml:space="preserve"> and that ‘</w:t>
      </w:r>
      <w:r w:rsidRPr="00B0002D">
        <w:rPr>
          <w:rFonts w:ascii="Open Sans" w:hAnsi="Open Sans" w:cs="Open Sans"/>
          <w:i/>
          <w:iCs/>
          <w:lang w:eastAsia="en-GB"/>
        </w:rPr>
        <w:t>where appropriate, such approaches would integrate energy and food production and could bring additional benefits to agriculture and the rural economy’</w:t>
      </w:r>
      <w:r w:rsidRPr="00B0002D">
        <w:rPr>
          <w:rFonts w:ascii="Open Sans" w:hAnsi="Open Sans" w:cs="Open Sans"/>
          <w:lang w:eastAsia="en-GB"/>
        </w:rPr>
        <w:t>.</w:t>
      </w:r>
    </w:p>
    <w:p w14:paraId="68F17F70" w14:textId="77777777" w:rsidR="00B0002D" w:rsidRPr="00B0002D" w:rsidRDefault="00B0002D" w:rsidP="00B0002D">
      <w:pPr>
        <w:spacing w:before="120" w:after="120"/>
        <w:rPr>
          <w:rFonts w:ascii="Open Sans" w:hAnsi="Open Sans" w:cs="Open Sans"/>
          <w:lang w:eastAsia="en-GB"/>
        </w:rPr>
      </w:pPr>
      <w:r w:rsidRPr="00B0002D">
        <w:rPr>
          <w:rFonts w:ascii="Open Sans" w:hAnsi="Open Sans" w:cs="Open Sans"/>
          <w:lang w:eastAsia="en-GB"/>
        </w:rPr>
        <w:t>Regardless of the purpose for these crops are grown, best practise must be adopted in their production, harvest and storage. The</w:t>
      </w:r>
      <w:hyperlink r:id="rId10" w:history="1">
        <w:r w:rsidRPr="00B0002D">
          <w:rPr>
            <w:rStyle w:val="Hyperlink"/>
            <w:rFonts w:ascii="Open Sans" w:hAnsi="Open Sans" w:cs="Open Sans"/>
            <w:lang w:eastAsia="en-GB"/>
          </w:rPr>
          <w:t xml:space="preserve"> Code of practice</w:t>
        </w:r>
      </w:hyperlink>
      <w:r w:rsidRPr="00B0002D">
        <w:rPr>
          <w:rFonts w:ascii="Open Sans" w:hAnsi="Open Sans" w:cs="Open Sans"/>
          <w:lang w:eastAsia="en-GB"/>
        </w:rPr>
        <w:t xml:space="preserve"> for growing energy crops has been developed by the AD industry to minimise any environmental risks from growing crops and has been adhered to by this sector since the code introduction. Meeting best practice should be set as a minimum requirement in the ELMS. </w:t>
      </w:r>
    </w:p>
    <w:p w14:paraId="13B2D052" w14:textId="77777777" w:rsidR="00B0002D" w:rsidRPr="00B0002D" w:rsidRDefault="00B0002D" w:rsidP="00B0002D">
      <w:pPr>
        <w:spacing w:before="120" w:after="120"/>
        <w:rPr>
          <w:rFonts w:ascii="Open Sans" w:hAnsi="Open Sans" w:cs="Open Sans"/>
          <w:lang w:eastAsia="en-GB"/>
        </w:rPr>
      </w:pPr>
      <w:r w:rsidRPr="00B0002D">
        <w:rPr>
          <w:rFonts w:ascii="Open Sans" w:hAnsi="Open Sans" w:cs="Open Sans"/>
          <w:lang w:eastAsia="en-GB"/>
        </w:rPr>
        <w:t xml:space="preserve">These crops are often used to complement low biogas yielding feedstocks such as slurries and manures or other wastes/residues that would be difficult to treat on their own. Also, they can use to balance the nitrogen level of feedstocks with high nitrogen level that could inhibit the AD process. </w:t>
      </w:r>
    </w:p>
    <w:p w14:paraId="4DEE8B17" w14:textId="77777777" w:rsidR="00B0002D" w:rsidRPr="00B0002D" w:rsidRDefault="00B0002D" w:rsidP="00B0002D">
      <w:pPr>
        <w:shd w:val="clear" w:color="auto" w:fill="FFFFFF"/>
        <w:spacing w:before="120" w:after="120"/>
        <w:jc w:val="left"/>
        <w:rPr>
          <w:rFonts w:ascii="Open Sans" w:hAnsi="Open Sans" w:cs="Open Sans"/>
          <w:i/>
          <w:iCs/>
          <w:lang w:eastAsia="en-GB"/>
        </w:rPr>
      </w:pPr>
      <w:r w:rsidRPr="00B0002D">
        <w:rPr>
          <w:rFonts w:ascii="Open Sans" w:hAnsi="Open Sans" w:cs="Open Sans"/>
          <w:color w:val="000000"/>
          <w:lang w:eastAsia="en-GB"/>
        </w:rPr>
        <w:t>On-farm AD of agricultural residues and crops is not a stand-alone activity, but is normally seen as part of the agricultural system and is often associated with a shift of the whole farming business to one that is more environmentally sustainable. For example, anaerobic digestion on farm is often combined with other good agricultural practices that aim to increase biodiversity, improve soils, protect the environment and enhance ecosystem services. The combination of these has been recently referred to by the sector as ‘regenerative agriculture’, also known as ‘conservation agriculture’. Common principle of regenerative farming include:</w:t>
      </w:r>
    </w:p>
    <w:p w14:paraId="535ADF20" w14:textId="77777777" w:rsidR="00B0002D" w:rsidRDefault="00B0002D" w:rsidP="00B0002D">
      <w:pPr>
        <w:pStyle w:val="ListParagraph"/>
        <w:numPr>
          <w:ilvl w:val="1"/>
          <w:numId w:val="31"/>
        </w:numPr>
        <w:shd w:val="clear" w:color="auto" w:fill="FFFFFF"/>
        <w:spacing w:before="120" w:after="120"/>
        <w:jc w:val="left"/>
        <w:rPr>
          <w:rFonts w:ascii="Open Sans" w:hAnsi="Open Sans" w:cs="Open Sans"/>
          <w:lang w:eastAsia="en-GB"/>
        </w:rPr>
      </w:pPr>
      <w:r>
        <w:rPr>
          <w:rFonts w:ascii="Open Sans" w:hAnsi="Open Sans" w:cs="Open Sans"/>
          <w:color w:val="000000"/>
          <w:lang w:eastAsia="en-GB"/>
        </w:rPr>
        <w:t>Limiting soil disturbance (e.g. reducing tillage)</w:t>
      </w:r>
    </w:p>
    <w:p w14:paraId="602EAC6F" w14:textId="77777777" w:rsidR="00B0002D" w:rsidRDefault="00B0002D" w:rsidP="00B0002D">
      <w:pPr>
        <w:pStyle w:val="ListParagraph"/>
        <w:numPr>
          <w:ilvl w:val="1"/>
          <w:numId w:val="31"/>
        </w:numPr>
        <w:shd w:val="clear" w:color="auto" w:fill="FFFFFF"/>
        <w:spacing w:before="120" w:after="120"/>
        <w:jc w:val="left"/>
        <w:rPr>
          <w:rFonts w:ascii="Open Sans" w:hAnsi="Open Sans" w:cs="Open Sans"/>
          <w:lang w:eastAsia="en-GB"/>
        </w:rPr>
      </w:pPr>
      <w:r>
        <w:rPr>
          <w:rFonts w:ascii="Open Sans" w:hAnsi="Open Sans" w:cs="Open Sans"/>
          <w:color w:val="000000"/>
          <w:lang w:eastAsia="en-GB"/>
        </w:rPr>
        <w:t>Building diversity and control pests through rotation</w:t>
      </w:r>
    </w:p>
    <w:p w14:paraId="799A080B" w14:textId="77777777" w:rsidR="00B0002D" w:rsidRDefault="00B0002D" w:rsidP="00B0002D">
      <w:pPr>
        <w:pStyle w:val="ListParagraph"/>
        <w:numPr>
          <w:ilvl w:val="1"/>
          <w:numId w:val="31"/>
        </w:numPr>
        <w:shd w:val="clear" w:color="auto" w:fill="FFFFFF"/>
        <w:spacing w:before="120" w:after="120"/>
        <w:jc w:val="left"/>
        <w:rPr>
          <w:rFonts w:ascii="Open Sans" w:hAnsi="Open Sans" w:cs="Open Sans"/>
          <w:lang w:eastAsia="en-GB"/>
        </w:rPr>
      </w:pPr>
      <w:r>
        <w:rPr>
          <w:rFonts w:ascii="Open Sans" w:hAnsi="Open Sans" w:cs="Open Sans"/>
          <w:color w:val="000000"/>
          <w:lang w:eastAsia="en-GB"/>
        </w:rPr>
        <w:t>Keeping the soil covered</w:t>
      </w:r>
    </w:p>
    <w:p w14:paraId="25339984" w14:textId="77777777" w:rsidR="00B0002D" w:rsidRDefault="00B0002D" w:rsidP="00B0002D">
      <w:pPr>
        <w:pStyle w:val="ListParagraph"/>
        <w:numPr>
          <w:ilvl w:val="1"/>
          <w:numId w:val="31"/>
        </w:numPr>
        <w:shd w:val="clear" w:color="auto" w:fill="FFFFFF"/>
        <w:spacing w:before="120" w:after="120"/>
        <w:jc w:val="left"/>
        <w:rPr>
          <w:rFonts w:ascii="Open Sans" w:hAnsi="Open Sans" w:cs="Open Sans"/>
          <w:lang w:eastAsia="en-GB"/>
        </w:rPr>
      </w:pPr>
      <w:r>
        <w:rPr>
          <w:rFonts w:ascii="Open Sans" w:hAnsi="Open Sans" w:cs="Open Sans"/>
          <w:color w:val="000000"/>
          <w:lang w:eastAsia="en-GB"/>
        </w:rPr>
        <w:t xml:space="preserve">Maximising nutrient use efficiency </w:t>
      </w:r>
    </w:p>
    <w:p w14:paraId="479518D2" w14:textId="77777777" w:rsidR="00B0002D" w:rsidRDefault="00B0002D" w:rsidP="00B0002D">
      <w:pPr>
        <w:shd w:val="clear" w:color="auto" w:fill="FFFFFF"/>
        <w:spacing w:before="120" w:after="120"/>
        <w:rPr>
          <w:rFonts w:ascii="Open Sans" w:eastAsiaTheme="minorHAnsi" w:hAnsi="Open Sans" w:cs="Open Sans"/>
          <w:i/>
          <w:iCs/>
          <w:lang w:eastAsia="en-GB"/>
        </w:rPr>
      </w:pPr>
      <w:r>
        <w:rPr>
          <w:rFonts w:ascii="Open Sans" w:hAnsi="Open Sans" w:cs="Open Sans"/>
          <w:i/>
          <w:iCs/>
          <w:color w:val="000000"/>
          <w:lang w:eastAsia="en-GB"/>
        </w:rPr>
        <w:t xml:space="preserve">Example: the use of digestate on cover crops, which allows nutrients from digestate to be locked into cover crops over the winter period, which is then turned back into the soil in the sowing period thereby delivering nutrients to the soil. These practices have become more widely used on AD plants which rely on crops for digestion as they are more integrated with the cropping cycles. Good practices such as these can then be applied to the wider AD sector. They can also support jobs in rural areas. </w:t>
      </w:r>
    </w:p>
    <w:p w14:paraId="68311553" w14:textId="43D0880D" w:rsidR="00B0002D" w:rsidRPr="00B0002D" w:rsidRDefault="00B0002D" w:rsidP="00B0002D">
      <w:pPr>
        <w:shd w:val="clear" w:color="auto" w:fill="FFFFFF"/>
        <w:spacing w:before="120" w:after="120"/>
        <w:jc w:val="left"/>
        <w:rPr>
          <w:rFonts w:ascii="Open Sans" w:hAnsi="Open Sans" w:cs="Open Sans"/>
          <w:i/>
          <w:iCs/>
          <w:lang w:eastAsia="en-GB"/>
        </w:rPr>
      </w:pPr>
      <w:r w:rsidRPr="00B0002D">
        <w:rPr>
          <w:rFonts w:ascii="Open Sans" w:hAnsi="Open Sans" w:cs="Open Sans"/>
          <w:color w:val="000000"/>
          <w:lang w:eastAsia="en-GB"/>
        </w:rPr>
        <w:t xml:space="preserve">BEIS and Defra should also consider the merit and potential role of sequential crops (multiple crops in the same field) in the UK. There may be some parts of the UK where the climate makes it possible to grow these types of crops. This approach has been developed mostly in Southern Europe, pioneered by the Consorzio Italiano Biogas (CIB) to integrate anaerobic digestion with agro-ecology [2]. This highly sustainable model has proven to deliver significant reduction in GHG emissions from agriculture and carbon sequestration, as well as to restore soil health and organic matter. The EBA’s position on sequential cropping and the associated benefits can be found </w:t>
      </w:r>
      <w:hyperlink r:id="rId11" w:history="1">
        <w:r w:rsidRPr="00B0002D">
          <w:rPr>
            <w:rStyle w:val="Hyperlink"/>
            <w:rFonts w:ascii="Open Sans" w:hAnsi="Open Sans" w:cs="Open Sans"/>
            <w:color w:val="000000"/>
            <w:lang w:eastAsia="en-GB"/>
          </w:rPr>
          <w:t>here.</w:t>
        </w:r>
      </w:hyperlink>
      <w:r w:rsidRPr="00B0002D">
        <w:rPr>
          <w:rFonts w:ascii="Open Sans" w:hAnsi="Open Sans" w:cs="Open Sans"/>
          <w:color w:val="000000"/>
          <w:lang w:eastAsia="en-GB"/>
        </w:rPr>
        <w:t xml:space="preserve"> </w:t>
      </w:r>
      <w:r w:rsidRPr="00B0002D">
        <w:rPr>
          <w:rFonts w:ascii="Open Sans" w:hAnsi="Open Sans" w:cs="Open Sans"/>
          <w:i/>
          <w:iCs/>
          <w:color w:val="000000"/>
          <w:lang w:eastAsia="en-GB"/>
        </w:rPr>
        <w:t>‘EBA collected from the biogas sector shows that proper biogas production based on sequential cropping is a sustainable activity. On top of that, it is a powerful solution leading to decreased greenhouse gas (GHG) emissions, protection of biodiversity and restoration of soil quality through agro-ecological innovation and organic fertilization.’</w:t>
      </w:r>
    </w:p>
    <w:p w14:paraId="56EEA7BF" w14:textId="77777777" w:rsidR="00B0002D" w:rsidRPr="00B0002D" w:rsidRDefault="00B0002D" w:rsidP="00B0002D">
      <w:pPr>
        <w:rPr>
          <w:rFonts w:ascii="Open Sans" w:hAnsi="Open Sans" w:cs="Open Sans"/>
        </w:rPr>
      </w:pPr>
    </w:p>
    <w:p w14:paraId="1FDDD79E" w14:textId="039FA88A" w:rsidR="00B0002D" w:rsidRPr="00B0002D" w:rsidRDefault="00B0002D" w:rsidP="00B0002D">
      <w:pPr>
        <w:pStyle w:val="ListParagraph"/>
        <w:numPr>
          <w:ilvl w:val="0"/>
          <w:numId w:val="29"/>
        </w:numPr>
        <w:rPr>
          <w:rFonts w:ascii="Open Sans" w:hAnsi="Open Sans" w:cs="Open Sans"/>
        </w:rPr>
      </w:pPr>
      <w:r>
        <w:rPr>
          <w:rFonts w:ascii="Open Sans" w:hAnsi="Open Sans" w:cs="Open Sans"/>
          <w:b/>
          <w:bCs/>
        </w:rPr>
        <w:t>Energy crops must be included in all three tiers, and recognised as both an economic choice for businesses, and a vital part of adapting to the impacts of climate change.</w:t>
      </w:r>
    </w:p>
    <w:p w14:paraId="173CE9CE" w14:textId="77777777" w:rsidR="00B0002D" w:rsidRDefault="00B0002D" w:rsidP="00B0002D">
      <w:pPr>
        <w:ind w:left="360"/>
        <w:rPr>
          <w:rFonts w:ascii="Open Sans" w:hAnsi="Open Sans" w:cs="Open Sans"/>
        </w:rPr>
      </w:pPr>
    </w:p>
    <w:p w14:paraId="6FB9F453" w14:textId="138952F7" w:rsidR="00B0002D" w:rsidRPr="00B0002D" w:rsidRDefault="00B0002D" w:rsidP="00B0002D">
      <w:pPr>
        <w:rPr>
          <w:rFonts w:ascii="Open Sans" w:hAnsi="Open Sans" w:cs="Open Sans"/>
        </w:rPr>
      </w:pPr>
      <w:r w:rsidRPr="00B0002D">
        <w:rPr>
          <w:rFonts w:ascii="Open Sans" w:hAnsi="Open Sans" w:cs="Open Sans"/>
        </w:rPr>
        <w:t>The Committee on Climate Change in its January 2020 report into ‘</w:t>
      </w:r>
      <w:r w:rsidRPr="00B0002D">
        <w:rPr>
          <w:rFonts w:ascii="Open Sans" w:hAnsi="Open Sans" w:cs="Open Sans"/>
          <w:i/>
          <w:iCs/>
        </w:rPr>
        <w:t>Land use policies for a Net Zero UK’</w:t>
      </w:r>
      <w:r>
        <w:rPr>
          <w:rStyle w:val="FootnoteReference"/>
          <w:rFonts w:ascii="Open Sans" w:hAnsi="Open Sans" w:cs="Open Sans"/>
          <w:i/>
          <w:iCs/>
        </w:rPr>
        <w:footnoteReference w:id="6"/>
      </w:r>
      <w:r w:rsidRPr="00B0002D">
        <w:rPr>
          <w:rFonts w:ascii="Open Sans" w:hAnsi="Open Sans" w:cs="Open Sans"/>
          <w:i/>
          <w:iCs/>
        </w:rPr>
        <w:t xml:space="preserve"> </w:t>
      </w:r>
      <w:r w:rsidRPr="00B0002D">
        <w:rPr>
          <w:rFonts w:ascii="Open Sans" w:hAnsi="Open Sans" w:cs="Open Sans"/>
        </w:rPr>
        <w:t xml:space="preserve">calls for 23,000 hectares per year of planting for miscanthus, short rotation coppice and short rotation forestry by mid-2020s. </w:t>
      </w:r>
      <w:r w:rsidR="00CF7ACE">
        <w:rPr>
          <w:rFonts w:ascii="Open Sans" w:hAnsi="Open Sans" w:cs="Open Sans"/>
        </w:rPr>
        <w:t xml:space="preserve">As such their inclusion in ELMs will be essential for realising the following benefits: </w:t>
      </w:r>
    </w:p>
    <w:p w14:paraId="01CCCD27" w14:textId="77777777" w:rsidR="00B0002D" w:rsidRDefault="00B0002D" w:rsidP="00B0002D">
      <w:pPr>
        <w:rPr>
          <w:rFonts w:ascii="Open Sans" w:hAnsi="Open Sans" w:cs="Open Sans"/>
          <w:b/>
          <w:bCs/>
        </w:rPr>
      </w:pPr>
    </w:p>
    <w:p w14:paraId="4BDEF509" w14:textId="3456D241" w:rsidR="00B0002D" w:rsidRPr="00B0002D" w:rsidRDefault="00B0002D" w:rsidP="00B0002D">
      <w:pPr>
        <w:rPr>
          <w:rFonts w:ascii="Open Sans" w:hAnsi="Open Sans" w:cs="Open Sans"/>
        </w:rPr>
      </w:pPr>
      <w:r w:rsidRPr="00B0002D">
        <w:rPr>
          <w:rFonts w:ascii="Open Sans" w:hAnsi="Open Sans" w:cs="Open Sans"/>
          <w:b/>
          <w:bCs/>
        </w:rPr>
        <w:t>They give farmers a reliable income from economically marginal land</w:t>
      </w:r>
    </w:p>
    <w:p w14:paraId="436B2EDD" w14:textId="420DF8F4" w:rsidR="00B0002D" w:rsidRPr="00B0002D" w:rsidRDefault="00CF7ACE" w:rsidP="00B0002D">
      <w:pPr>
        <w:rPr>
          <w:rFonts w:ascii="Open Sans" w:hAnsi="Open Sans" w:cs="Open Sans"/>
        </w:rPr>
      </w:pPr>
      <w:r>
        <w:rPr>
          <w:rFonts w:ascii="Open Sans" w:hAnsi="Open Sans" w:cs="Open Sans"/>
        </w:rPr>
        <w:t>Bioenergy Crop c</w:t>
      </w:r>
      <w:r w:rsidR="00B0002D" w:rsidRPr="00B0002D">
        <w:rPr>
          <w:rFonts w:ascii="Open Sans" w:hAnsi="Open Sans" w:cs="Open Sans"/>
        </w:rPr>
        <w:t>ase studies outlined by the Energy Technologies Institute</w:t>
      </w:r>
      <w:r w:rsidR="00B0002D">
        <w:rPr>
          <w:rStyle w:val="FootnoteReference"/>
          <w:rFonts w:ascii="Open Sans" w:hAnsi="Open Sans" w:cs="Open Sans"/>
          <w:b/>
          <w:bCs/>
        </w:rPr>
        <w:footnoteReference w:id="7"/>
      </w:r>
      <w:r w:rsidR="00B0002D" w:rsidRPr="00B0002D">
        <w:rPr>
          <w:rFonts w:ascii="Open Sans" w:hAnsi="Open Sans" w:cs="Open Sans"/>
        </w:rPr>
        <w:t xml:space="preserve"> found that all experienced an increase in the profitability of the land over 23-year lifetime, with initial investment costs being recouped within the first six to seven years. One case study found the net margin of land will be £403/ha/yr higher than if the land had continued under an arable rotation. </w:t>
      </w:r>
    </w:p>
    <w:p w14:paraId="1C2D412C" w14:textId="77777777" w:rsidR="00B0002D" w:rsidRDefault="00B0002D" w:rsidP="00B0002D">
      <w:pPr>
        <w:rPr>
          <w:rFonts w:ascii="Open Sans" w:hAnsi="Open Sans" w:cs="Open Sans"/>
          <w:b/>
          <w:bCs/>
        </w:rPr>
      </w:pPr>
    </w:p>
    <w:p w14:paraId="01F1B0E7" w14:textId="50A31A1A" w:rsidR="00B0002D" w:rsidRPr="00B0002D" w:rsidRDefault="00B0002D" w:rsidP="00B0002D">
      <w:pPr>
        <w:rPr>
          <w:rFonts w:ascii="Open Sans" w:hAnsi="Open Sans" w:cs="Open Sans"/>
        </w:rPr>
      </w:pPr>
      <w:r w:rsidRPr="00B0002D">
        <w:rPr>
          <w:rFonts w:ascii="Open Sans" w:hAnsi="Open Sans" w:cs="Open Sans"/>
          <w:b/>
          <w:bCs/>
        </w:rPr>
        <w:t>They have benefits for biodiversity, as well as flood management</w:t>
      </w:r>
    </w:p>
    <w:p w14:paraId="35788112" w14:textId="2D147285" w:rsidR="00B0002D" w:rsidRDefault="00B0002D" w:rsidP="00B0002D">
      <w:pPr>
        <w:rPr>
          <w:rFonts w:ascii="Open Sans" w:hAnsi="Open Sans" w:cs="Open Sans"/>
        </w:rPr>
      </w:pPr>
      <w:r w:rsidRPr="00B0002D">
        <w:rPr>
          <w:rFonts w:ascii="Open Sans" w:hAnsi="Open Sans" w:cs="Open Sans"/>
        </w:rPr>
        <w:t>As well as helping mitigate future impacts of climate change, through reducing Greenhouse Gas Emissions, ELMs must aid the UK’s adaptation efforts. When placed in the right locations, perennial crops such as willow increase the roughness of vegetation, slowing runoff during floor events. They are also effective in trapping flood debris and sediment, reducing the risk of blockages downstream. Landowners are already implementing these solutions yet are not rewarded for this public benefit</w:t>
      </w:r>
      <w:r>
        <w:rPr>
          <w:rStyle w:val="FootnoteReference"/>
          <w:rFonts w:ascii="Open Sans" w:hAnsi="Open Sans" w:cs="Open Sans"/>
        </w:rPr>
        <w:footnoteReference w:id="8"/>
      </w:r>
      <w:r w:rsidRPr="00B0002D">
        <w:rPr>
          <w:rFonts w:ascii="Open Sans" w:hAnsi="Open Sans" w:cs="Open Sans"/>
        </w:rPr>
        <w:t>. As well as achieving a public benefit, energy crops are very resilient and harvesting is flexible, meaning harvesting can be left until the year after the flooding. They are also found to increase biodiversity, with the overwinter cover they provide found to increase variety of bird species in different seasons, and earthworm diversity and abundance is improved in arable soils</w:t>
      </w:r>
      <w:r>
        <w:rPr>
          <w:rStyle w:val="FootnoteReference"/>
          <w:rFonts w:ascii="Open Sans" w:hAnsi="Open Sans" w:cs="Open Sans"/>
        </w:rPr>
        <w:footnoteReference w:id="9"/>
      </w:r>
    </w:p>
    <w:p w14:paraId="6DBFFE4D" w14:textId="77777777" w:rsidR="00B0002D" w:rsidRDefault="00B0002D" w:rsidP="00B0002D">
      <w:pPr>
        <w:rPr>
          <w:rFonts w:ascii="Open Sans" w:hAnsi="Open Sans" w:cs="Open Sans"/>
        </w:rPr>
      </w:pPr>
    </w:p>
    <w:p w14:paraId="54F2509A" w14:textId="6AFC57C5" w:rsidR="00B0002D" w:rsidRPr="00B0002D" w:rsidRDefault="00B0002D" w:rsidP="00B0002D">
      <w:pPr>
        <w:rPr>
          <w:rFonts w:ascii="Open Sans" w:hAnsi="Open Sans" w:cs="Open Sans"/>
        </w:rPr>
      </w:pPr>
      <w:r w:rsidRPr="00B0002D">
        <w:rPr>
          <w:rFonts w:ascii="Open Sans" w:hAnsi="Open Sans" w:cs="Open Sans"/>
          <w:b/>
          <w:bCs/>
        </w:rPr>
        <w:t>When harvested, most are used for bioenergy, delivering further Greenhouse Gas reductions</w:t>
      </w:r>
    </w:p>
    <w:p w14:paraId="13A59A78" w14:textId="047A35E8" w:rsidR="00B0002D" w:rsidRPr="00B0002D" w:rsidRDefault="00B0002D" w:rsidP="00B0002D">
      <w:pPr>
        <w:rPr>
          <w:rFonts w:ascii="Open Sans" w:hAnsi="Open Sans" w:cs="Open Sans"/>
        </w:rPr>
      </w:pPr>
      <w:r w:rsidRPr="00B0002D">
        <w:rPr>
          <w:rFonts w:ascii="Open Sans" w:hAnsi="Open Sans" w:cs="Open Sans"/>
        </w:rPr>
        <w:t xml:space="preserve">If planting of energy crops </w:t>
      </w:r>
      <w:r w:rsidR="00CF7ACE">
        <w:rPr>
          <w:rFonts w:ascii="Open Sans" w:hAnsi="Open Sans" w:cs="Open Sans"/>
        </w:rPr>
        <w:t>were</w:t>
      </w:r>
      <w:r w:rsidR="00CF7ACE" w:rsidRPr="00B0002D">
        <w:rPr>
          <w:rFonts w:ascii="Open Sans" w:hAnsi="Open Sans" w:cs="Open Sans"/>
        </w:rPr>
        <w:t xml:space="preserve"> </w:t>
      </w:r>
      <w:r w:rsidRPr="00B0002D">
        <w:rPr>
          <w:rFonts w:ascii="Open Sans" w:hAnsi="Open Sans" w:cs="Open Sans"/>
        </w:rPr>
        <w:t xml:space="preserve">increased in line with CCC recommendations, the UK’s available feedstock market for bioenergy would be significantly bolstered. This would give biomass power </w:t>
      </w:r>
      <w:r w:rsidR="009E1233">
        <w:rPr>
          <w:rFonts w:ascii="Open Sans" w:hAnsi="Open Sans" w:cs="Open Sans"/>
        </w:rPr>
        <w:t xml:space="preserve">and green gas production </w:t>
      </w:r>
      <w:r w:rsidRPr="00B0002D">
        <w:rPr>
          <w:rFonts w:ascii="Open Sans" w:hAnsi="Open Sans" w:cs="Open Sans"/>
        </w:rPr>
        <w:t xml:space="preserve">plants access to more secure feedstock, and thereby strengthen UK’s energy security, but also secure supply for biomass heat wood chips and pellets. </w:t>
      </w:r>
      <w:r>
        <w:rPr>
          <w:rFonts w:ascii="Open Sans" w:hAnsi="Open Sans" w:cs="Open Sans"/>
        </w:rPr>
        <w:t xml:space="preserve"> </w:t>
      </w:r>
      <w:r w:rsidRPr="00B0002D">
        <w:rPr>
          <w:rFonts w:ascii="Open Sans" w:hAnsi="Open Sans" w:cs="Open Sans"/>
        </w:rPr>
        <w:t xml:space="preserve">This is a low carbon source of energy and is providing further benefits from the carbon sequestered while the crop is in the ground. Looking ahead there is also the potential for carbon negative emissions when Carbon Capture Usage and Storage (CCUS) is successfully deployed. </w:t>
      </w:r>
    </w:p>
    <w:p w14:paraId="15547F14" w14:textId="24E15A08" w:rsidR="00B0002D" w:rsidRDefault="00B0002D" w:rsidP="00780C7E">
      <w:pPr>
        <w:spacing w:after="160" w:line="259" w:lineRule="auto"/>
        <w:jc w:val="left"/>
      </w:pPr>
      <w:bookmarkStart w:id="4" w:name="_Hlk46393829"/>
      <w:bookmarkEnd w:id="2"/>
    </w:p>
    <w:p w14:paraId="7447A258" w14:textId="198C0180" w:rsidR="00CF7ACE" w:rsidRDefault="00CF7ACE" w:rsidP="00780C7E">
      <w:pPr>
        <w:spacing w:after="160" w:line="259" w:lineRule="auto"/>
        <w:jc w:val="left"/>
      </w:pPr>
      <w:r>
        <w:rPr>
          <w:rFonts w:ascii="Open Sans" w:hAnsi="Open Sans" w:cs="Open Sans"/>
        </w:rPr>
        <w:t>The REA recently published</w:t>
      </w:r>
      <w:r>
        <w:rPr>
          <w:rFonts w:ascii="Open Sans" w:hAnsi="Open Sans" w:cs="Open Sans"/>
        </w:rPr>
        <w:t xml:space="preserve"> a</w:t>
      </w:r>
      <w:r>
        <w:rPr>
          <w:rFonts w:ascii="Open Sans" w:hAnsi="Open Sans" w:cs="Open Sans"/>
        </w:rPr>
        <w:t xml:space="preserve"> Bioenergy Strategy for the UK, setting out what bioenergy could sustainably deliver across power, heat, and transport by 2030 and beyond to help the UK meet its Net Zero ambitions. This can be read here: https://www.bioenergy-strategy.com/publications.  The establishment of a strong bioeconomy, which delivers domestic bioenergy feedstocks is crucial to realising bioenergy potential in the UK, meeting our net zero carbon targets, and delivering large numbers of jobs and growth opportunities, especially for rural communities. The interaction between the bioenergy sector and the bioeconomy should be recognised within and strengthened by the design of ELMs.</w:t>
      </w:r>
    </w:p>
    <w:p w14:paraId="45F16CF2" w14:textId="77777777" w:rsidR="00406E23" w:rsidRDefault="00406E23" w:rsidP="00780C7E">
      <w:pPr>
        <w:spacing w:after="160" w:line="259" w:lineRule="auto"/>
        <w:jc w:val="left"/>
      </w:pPr>
    </w:p>
    <w:p w14:paraId="10F4CC41" w14:textId="5C5072E4" w:rsidR="00780C7E" w:rsidRDefault="00780C7E" w:rsidP="00780C7E">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Pr="00780C7E">
        <w:rPr>
          <w:rFonts w:ascii="Open Sans" w:hAnsi="Open Sans" w:cs="Open Sans"/>
          <w:b/>
          <w:bCs/>
          <w:i/>
          <w:iCs/>
          <w:color w:val="2F5496"/>
          <w:szCs w:val="22"/>
        </w:rPr>
        <w:t>11</w:t>
      </w:r>
      <w:r>
        <w:rPr>
          <w:rFonts w:ascii="Open Sans" w:hAnsi="Open Sans" w:cs="Open Sans"/>
          <w:b/>
          <w:bCs/>
          <w:i/>
          <w:iCs/>
          <w:color w:val="2F5496"/>
          <w:szCs w:val="22"/>
        </w:rPr>
        <w:t xml:space="preserve">: </w:t>
      </w:r>
      <w:r w:rsidRPr="00780C7E">
        <w:rPr>
          <w:rFonts w:ascii="Open Sans" w:hAnsi="Open Sans" w:cs="Open Sans"/>
          <w:b/>
          <w:bCs/>
          <w:i/>
          <w:iCs/>
          <w:color w:val="2F5496"/>
          <w:szCs w:val="22"/>
        </w:rPr>
        <w:t xml:space="preserve">While contributing to national environmental targets (such as climate change mitigation) is important, ELM should also help to deliver local environmental priorities, such as in relation to flooding or public access. How should local priorities be determined? </w:t>
      </w:r>
    </w:p>
    <w:p w14:paraId="7FE1D1F8" w14:textId="77777777" w:rsidR="00B0002D" w:rsidRDefault="00B0002D" w:rsidP="00B0002D">
      <w:pPr>
        <w:rPr>
          <w:rFonts w:ascii="Open Sans" w:hAnsi="Open Sans" w:cs="Open Sans"/>
        </w:rPr>
      </w:pPr>
      <w:r>
        <w:rPr>
          <w:rFonts w:ascii="Open Sans" w:hAnsi="Open Sans" w:cs="Open Sans"/>
        </w:rPr>
        <w:t>As outlined in the policy discussion document for this consultation, ELMs will pay for public goods that meet the following priorities:</w:t>
      </w:r>
    </w:p>
    <w:p w14:paraId="15411F51" w14:textId="77777777" w:rsidR="00B0002D" w:rsidRPr="009B7FD4" w:rsidRDefault="00B0002D" w:rsidP="00B0002D">
      <w:pPr>
        <w:pStyle w:val="ListParagraph"/>
        <w:numPr>
          <w:ilvl w:val="0"/>
          <w:numId w:val="30"/>
        </w:numPr>
        <w:rPr>
          <w:rFonts w:ascii="Open Sans" w:hAnsi="Open Sans" w:cs="Open Sans"/>
        </w:rPr>
      </w:pPr>
      <w:r w:rsidRPr="009B7FD4">
        <w:rPr>
          <w:rFonts w:ascii="Open Sans" w:hAnsi="Open Sans" w:cs="Open Sans"/>
        </w:rPr>
        <w:t xml:space="preserve">clean and plentiful water </w:t>
      </w:r>
    </w:p>
    <w:p w14:paraId="7E5B2297" w14:textId="77777777" w:rsidR="00B0002D" w:rsidRPr="009B7FD4" w:rsidRDefault="00B0002D" w:rsidP="00B0002D">
      <w:pPr>
        <w:pStyle w:val="ListParagraph"/>
        <w:numPr>
          <w:ilvl w:val="0"/>
          <w:numId w:val="30"/>
        </w:numPr>
        <w:rPr>
          <w:rFonts w:ascii="Open Sans" w:hAnsi="Open Sans" w:cs="Open Sans"/>
        </w:rPr>
      </w:pPr>
      <w:r w:rsidRPr="009B7FD4">
        <w:rPr>
          <w:rFonts w:ascii="Open Sans" w:hAnsi="Open Sans" w:cs="Open Sans"/>
        </w:rPr>
        <w:t xml:space="preserve">clean air </w:t>
      </w:r>
    </w:p>
    <w:p w14:paraId="094AF597" w14:textId="77777777" w:rsidR="00B0002D" w:rsidRPr="009B7FD4" w:rsidRDefault="00B0002D" w:rsidP="00B0002D">
      <w:pPr>
        <w:pStyle w:val="ListParagraph"/>
        <w:numPr>
          <w:ilvl w:val="0"/>
          <w:numId w:val="30"/>
        </w:numPr>
        <w:rPr>
          <w:rFonts w:ascii="Open Sans" w:hAnsi="Open Sans" w:cs="Open Sans"/>
        </w:rPr>
      </w:pPr>
      <w:r w:rsidRPr="009B7FD4">
        <w:rPr>
          <w:rFonts w:ascii="Open Sans" w:hAnsi="Open Sans" w:cs="Open Sans"/>
        </w:rPr>
        <w:t xml:space="preserve">protection from and mitigation of environmental hazards </w:t>
      </w:r>
    </w:p>
    <w:p w14:paraId="1BBC69B7" w14:textId="77777777" w:rsidR="00B0002D" w:rsidRPr="009B7FD4" w:rsidRDefault="00B0002D" w:rsidP="00B0002D">
      <w:pPr>
        <w:pStyle w:val="ListParagraph"/>
        <w:numPr>
          <w:ilvl w:val="0"/>
          <w:numId w:val="30"/>
        </w:numPr>
        <w:rPr>
          <w:rFonts w:ascii="Open Sans" w:hAnsi="Open Sans" w:cs="Open Sans"/>
        </w:rPr>
      </w:pPr>
      <w:r w:rsidRPr="009B7FD4">
        <w:rPr>
          <w:rFonts w:ascii="Open Sans" w:hAnsi="Open Sans" w:cs="Open Sans"/>
        </w:rPr>
        <w:t xml:space="preserve">mitigation of and adaptation to climate change </w:t>
      </w:r>
    </w:p>
    <w:p w14:paraId="26304C60" w14:textId="77777777" w:rsidR="00B0002D" w:rsidRPr="009B7FD4" w:rsidRDefault="00B0002D" w:rsidP="00B0002D">
      <w:pPr>
        <w:pStyle w:val="ListParagraph"/>
        <w:numPr>
          <w:ilvl w:val="0"/>
          <w:numId w:val="30"/>
        </w:numPr>
        <w:rPr>
          <w:rFonts w:ascii="Open Sans" w:hAnsi="Open Sans" w:cs="Open Sans"/>
        </w:rPr>
      </w:pPr>
      <w:r w:rsidRPr="009B7FD4">
        <w:rPr>
          <w:rFonts w:ascii="Open Sans" w:hAnsi="Open Sans" w:cs="Open Sans"/>
        </w:rPr>
        <w:t xml:space="preserve">thriving plants and wildlife </w:t>
      </w:r>
    </w:p>
    <w:p w14:paraId="25EECFE0" w14:textId="77777777" w:rsidR="00B0002D" w:rsidRDefault="00B0002D" w:rsidP="00B0002D">
      <w:pPr>
        <w:pStyle w:val="ListParagraph"/>
        <w:numPr>
          <w:ilvl w:val="0"/>
          <w:numId w:val="30"/>
        </w:numPr>
        <w:rPr>
          <w:rFonts w:ascii="Open Sans" w:hAnsi="Open Sans" w:cs="Open Sans"/>
        </w:rPr>
      </w:pPr>
      <w:r w:rsidRPr="009B7FD4">
        <w:rPr>
          <w:rFonts w:ascii="Open Sans" w:hAnsi="Open Sans" w:cs="Open Sans"/>
        </w:rPr>
        <w:t>beauty, heritage and engagement</w:t>
      </w:r>
    </w:p>
    <w:p w14:paraId="55A98569" w14:textId="77777777" w:rsidR="00B0002D" w:rsidRDefault="00B0002D" w:rsidP="00B0002D">
      <w:pPr>
        <w:rPr>
          <w:rFonts w:ascii="Open Sans" w:hAnsi="Open Sans" w:cs="Open Sans"/>
        </w:rPr>
      </w:pPr>
    </w:p>
    <w:p w14:paraId="63700075" w14:textId="77777777" w:rsidR="00B0002D" w:rsidRDefault="00B0002D" w:rsidP="00B0002D">
      <w:pPr>
        <w:rPr>
          <w:rFonts w:ascii="Open Sans" w:hAnsi="Open Sans" w:cs="Open Sans"/>
        </w:rPr>
      </w:pPr>
      <w:r>
        <w:rPr>
          <w:rFonts w:ascii="Open Sans" w:hAnsi="Open Sans" w:cs="Open Sans"/>
        </w:rPr>
        <w:t xml:space="preserve">Under the current Country Stewardship grants, priorities are outlined through National Character Areas (NCAs) and Natural England’s statements of priorities for each area. </w:t>
      </w:r>
    </w:p>
    <w:p w14:paraId="5ACE773F" w14:textId="77777777" w:rsidR="00B0002D" w:rsidRDefault="00B0002D" w:rsidP="00B0002D">
      <w:pPr>
        <w:rPr>
          <w:rFonts w:ascii="Open Sans" w:hAnsi="Open Sans" w:cs="Open Sans"/>
        </w:rPr>
      </w:pPr>
    </w:p>
    <w:p w14:paraId="1E556EBF" w14:textId="4B2CDE29" w:rsidR="00B0002D" w:rsidRDefault="00B0002D" w:rsidP="00B0002D">
      <w:pPr>
        <w:rPr>
          <w:rFonts w:ascii="Open Sans" w:hAnsi="Open Sans" w:cs="Open Sans"/>
        </w:rPr>
      </w:pPr>
      <w:r>
        <w:rPr>
          <w:rFonts w:ascii="Open Sans" w:hAnsi="Open Sans" w:cs="Open Sans"/>
        </w:rPr>
        <w:t xml:space="preserve">We are supportive of the proposal outlined in the policy document to integrate local participation and natural capital planning into the decision making for local priorities. We also urge DEFRA to update its satellite imagery or buy-in to a larger dataset and give farmers and landowners access. As time will be limited for farmers and landowners, providing them with the most up-to-date and detailed imagery will allow them to look at their land and make decisions on how they can best deliver the priorities outlined above. </w:t>
      </w:r>
    </w:p>
    <w:p w14:paraId="13539AFF" w14:textId="77777777" w:rsidR="00B0002D" w:rsidRPr="00B0002D" w:rsidRDefault="00B0002D" w:rsidP="00B0002D">
      <w:pPr>
        <w:rPr>
          <w:rFonts w:ascii="Open Sans" w:hAnsi="Open Sans" w:cs="Open Sans"/>
        </w:rPr>
      </w:pPr>
    </w:p>
    <w:p w14:paraId="237938FC" w14:textId="2891FB84" w:rsidR="00B0002D" w:rsidRDefault="00B0002D" w:rsidP="00B0002D">
      <w:pPr>
        <w:rPr>
          <w:rFonts w:ascii="Open Sans" w:hAnsi="Open Sans" w:cs="Open Sans"/>
        </w:rPr>
      </w:pPr>
      <w:r w:rsidRPr="00B0002D">
        <w:rPr>
          <w:rFonts w:ascii="Open Sans" w:hAnsi="Open Sans" w:cs="Open Sans"/>
        </w:rPr>
        <w:t>We ar</w:t>
      </w:r>
      <w:r>
        <w:rPr>
          <w:rFonts w:ascii="Open Sans" w:hAnsi="Open Sans" w:cs="Open Sans"/>
        </w:rPr>
        <w:t xml:space="preserve">e, however, concerned about how the scheme will determine whether they have achieved progress towards national environmental targets. </w:t>
      </w:r>
    </w:p>
    <w:p w14:paraId="1C9D1351" w14:textId="77777777" w:rsidR="00B0002D" w:rsidRPr="00B0002D" w:rsidRDefault="00B0002D" w:rsidP="00780C7E">
      <w:pPr>
        <w:spacing w:after="160" w:line="259" w:lineRule="auto"/>
        <w:jc w:val="left"/>
        <w:rPr>
          <w:rFonts w:ascii="Open Sans" w:hAnsi="Open Sans" w:cs="Open Sans"/>
          <w:b/>
          <w:bCs/>
          <w:i/>
          <w:iCs/>
          <w:color w:val="2F5496"/>
          <w:szCs w:val="22"/>
        </w:rPr>
      </w:pPr>
    </w:p>
    <w:p w14:paraId="1A4C89CB" w14:textId="096DE2C9" w:rsidR="00780C7E" w:rsidRDefault="00780C7E" w:rsidP="00780C7E">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Pr="00780C7E">
        <w:rPr>
          <w:rFonts w:ascii="Open Sans" w:hAnsi="Open Sans" w:cs="Open Sans"/>
          <w:b/>
          <w:bCs/>
          <w:i/>
          <w:iCs/>
          <w:color w:val="2F5496"/>
          <w:szCs w:val="22"/>
        </w:rPr>
        <w:t>12</w:t>
      </w:r>
      <w:r>
        <w:rPr>
          <w:rFonts w:ascii="Open Sans" w:hAnsi="Open Sans" w:cs="Open Sans"/>
          <w:b/>
          <w:bCs/>
          <w:i/>
          <w:iCs/>
          <w:color w:val="2F5496"/>
          <w:szCs w:val="22"/>
        </w:rPr>
        <w:t xml:space="preserve">: </w:t>
      </w:r>
      <w:r w:rsidRPr="00780C7E">
        <w:rPr>
          <w:rFonts w:ascii="Open Sans" w:hAnsi="Open Sans" w:cs="Open Sans"/>
          <w:b/>
          <w:bCs/>
          <w:i/>
          <w:iCs/>
          <w:color w:val="2F5496"/>
          <w:szCs w:val="22"/>
        </w:rPr>
        <w:t>What is the best method for calculating payments rates for each tier, taking into account the need to balance delivering value for money, providing a fair payment to land managers, and maximising environmental benefit?</w:t>
      </w:r>
    </w:p>
    <w:p w14:paraId="0007DC40" w14:textId="2DA4AF13" w:rsidR="00CF7ACE" w:rsidRDefault="00CF7ACE" w:rsidP="00B0002D">
      <w:pPr>
        <w:rPr>
          <w:rFonts w:ascii="Open Sans" w:hAnsi="Open Sans" w:cs="Open Sans"/>
          <w:b/>
          <w:bCs/>
        </w:rPr>
      </w:pPr>
      <w:r w:rsidRPr="00AA3F43">
        <w:rPr>
          <w:rFonts w:ascii="Open Sans" w:hAnsi="Open Sans" w:cs="Open Sans"/>
          <w:b/>
          <w:bCs/>
          <w:color w:val="FF0000"/>
          <w:szCs w:val="22"/>
        </w:rPr>
        <w:t>Feedback from members welcome on this question</w:t>
      </w:r>
    </w:p>
    <w:p w14:paraId="368529E3" w14:textId="77777777" w:rsidR="00CF7ACE" w:rsidRDefault="00CF7ACE" w:rsidP="00B0002D">
      <w:pPr>
        <w:rPr>
          <w:rFonts w:ascii="Open Sans" w:hAnsi="Open Sans" w:cs="Open Sans"/>
          <w:b/>
          <w:bCs/>
        </w:rPr>
      </w:pPr>
    </w:p>
    <w:p w14:paraId="71FC8C02" w14:textId="77777777" w:rsidR="00B0002D" w:rsidRPr="00B0002D" w:rsidRDefault="00B0002D" w:rsidP="00B0002D">
      <w:pPr>
        <w:rPr>
          <w:rFonts w:ascii="Open Sans" w:hAnsi="Open Sans" w:cs="Open Sans"/>
          <w:b/>
          <w:bCs/>
        </w:rPr>
      </w:pPr>
    </w:p>
    <w:bookmarkEnd w:id="4"/>
    <w:p w14:paraId="054F02B9" w14:textId="7950E03B" w:rsidR="00780C7E" w:rsidRDefault="00780C7E" w:rsidP="00780C7E">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Pr="00780C7E">
        <w:rPr>
          <w:rFonts w:ascii="Open Sans" w:hAnsi="Open Sans" w:cs="Open Sans"/>
          <w:b/>
          <w:bCs/>
          <w:i/>
          <w:iCs/>
          <w:color w:val="2F5496"/>
          <w:szCs w:val="22"/>
        </w:rPr>
        <w:t>13</w:t>
      </w:r>
      <w:r>
        <w:rPr>
          <w:rFonts w:ascii="Open Sans" w:hAnsi="Open Sans" w:cs="Open Sans"/>
          <w:b/>
          <w:bCs/>
          <w:i/>
          <w:iCs/>
          <w:color w:val="2F5496"/>
          <w:szCs w:val="22"/>
        </w:rPr>
        <w:t xml:space="preserve">: </w:t>
      </w:r>
      <w:r w:rsidRPr="00780C7E">
        <w:rPr>
          <w:rFonts w:ascii="Open Sans" w:hAnsi="Open Sans" w:cs="Open Sans"/>
          <w:b/>
          <w:bCs/>
          <w:i/>
          <w:iCs/>
          <w:color w:val="2F5496"/>
          <w:szCs w:val="22"/>
        </w:rPr>
        <w:t xml:space="preserve">To what extent might there be opportunities to blend public with private finance for each of the 3 tiers? </w:t>
      </w:r>
    </w:p>
    <w:p w14:paraId="0E482DE6" w14:textId="081A7595" w:rsidR="00B0002D" w:rsidRDefault="00B0002D" w:rsidP="00B0002D">
      <w:pPr>
        <w:rPr>
          <w:rFonts w:ascii="Open Sans" w:hAnsi="Open Sans" w:cs="Open Sans"/>
        </w:rPr>
      </w:pPr>
      <w:r>
        <w:rPr>
          <w:rFonts w:ascii="Open Sans" w:hAnsi="Open Sans" w:cs="Open Sans"/>
        </w:rPr>
        <w:t xml:space="preserve">We believe that creating an environment for public finance to blend with private finance would be valuable, particularly where it could be orientated to deliver further carbon savings. For this to be successful and deployable at scale, it will need to have a determined benefit for businesses to get involved, as well as a clear method to measure the carbon savings. </w:t>
      </w:r>
    </w:p>
    <w:p w14:paraId="11AFF377" w14:textId="77777777" w:rsidR="00B0002D" w:rsidRDefault="00B0002D" w:rsidP="00B0002D">
      <w:pPr>
        <w:rPr>
          <w:rFonts w:ascii="Open Sans" w:hAnsi="Open Sans" w:cs="Open Sans"/>
        </w:rPr>
      </w:pPr>
    </w:p>
    <w:p w14:paraId="2EB72C8C" w14:textId="7A1D90FE" w:rsidR="00B0002D" w:rsidRDefault="00B0002D" w:rsidP="00B0002D">
      <w:pPr>
        <w:rPr>
          <w:rFonts w:ascii="Open Sans" w:hAnsi="Open Sans" w:cs="Open Sans"/>
        </w:rPr>
      </w:pPr>
      <w:r>
        <w:rPr>
          <w:rFonts w:ascii="Open Sans" w:hAnsi="Open Sans" w:cs="Open Sans"/>
        </w:rPr>
        <w:t>We would draw your attention to initiatives such as the Severn Trent’s Environmental Protector Scheme (STEPS)</w:t>
      </w:r>
      <w:r>
        <w:rPr>
          <w:rStyle w:val="FootnoteReference"/>
          <w:rFonts w:ascii="Open Sans" w:hAnsi="Open Sans" w:cs="Open Sans"/>
        </w:rPr>
        <w:footnoteReference w:id="10"/>
      </w:r>
      <w:r>
        <w:rPr>
          <w:rFonts w:ascii="Open Sans" w:hAnsi="Open Sans" w:cs="Open Sans"/>
        </w:rPr>
        <w:t xml:space="preserve"> which match funds up to £5,000 per application for farmers delivering a range of biodiversity options including improving soil health, cover crops, herbal leys, wetland and pond management and improving and enhancing habitats. This is a good example of a private organisation achieving a ‘public good’, whilst also achieving a private good for themselves in terms of improved water quality. </w:t>
      </w:r>
    </w:p>
    <w:p w14:paraId="4F86DEFD" w14:textId="04256E53" w:rsidR="00B0002D" w:rsidRDefault="00B0002D" w:rsidP="00B0002D">
      <w:pPr>
        <w:rPr>
          <w:rFonts w:ascii="Open Sans" w:hAnsi="Open Sans" w:cs="Open Sans"/>
        </w:rPr>
      </w:pPr>
    </w:p>
    <w:p w14:paraId="3211BBE3" w14:textId="3F50CCA3" w:rsidR="00B0002D" w:rsidRDefault="00B0002D" w:rsidP="00B0002D">
      <w:pPr>
        <w:rPr>
          <w:rFonts w:ascii="Open Sans" w:hAnsi="Open Sans" w:cs="Open Sans"/>
        </w:rPr>
      </w:pPr>
      <w:r>
        <w:rPr>
          <w:rFonts w:ascii="Open Sans" w:hAnsi="Open Sans" w:cs="Open Sans"/>
        </w:rPr>
        <w:t xml:space="preserve">We are interested in future opportunities for this blending, for instance in a future Emissions Trading Scheme, with industry able to offset emissions by investing in land use projects. We believe this would give a real opportunity for deployment at scale, yet this would need to be co-ordinated and allow investors to have confidence through an accreditation scheme. As mentioned in previous answers, we are concerned about how carbon would be measured and determined under ELMs, which would be a necessary criterion from a carbon accounting perspective. </w:t>
      </w:r>
    </w:p>
    <w:p w14:paraId="2C4E1574" w14:textId="77777777" w:rsidR="00CF7ACE" w:rsidRDefault="00CF7ACE" w:rsidP="00CF7ACE">
      <w:pPr>
        <w:rPr>
          <w:rFonts w:ascii="Open Sans" w:hAnsi="Open Sans" w:cs="Open Sans"/>
        </w:rPr>
      </w:pPr>
    </w:p>
    <w:p w14:paraId="4A99D423" w14:textId="77777777" w:rsidR="00CF7ACE" w:rsidRDefault="00CF7ACE" w:rsidP="00CF7ACE">
      <w:pPr>
        <w:rPr>
          <w:rFonts w:ascii="Open Sans" w:hAnsi="Open Sans" w:cs="Open Sans"/>
        </w:rPr>
      </w:pPr>
      <w:r>
        <w:rPr>
          <w:rFonts w:ascii="Open Sans" w:hAnsi="Open Sans" w:cs="Open Sans"/>
        </w:rPr>
        <w:t xml:space="preserve">The REA would be happy to help facilitate further discussions between DEFRA and our Finance Forum to explore how private finance could be better integrated into the three triers. </w:t>
      </w:r>
    </w:p>
    <w:p w14:paraId="4F7B7B7A" w14:textId="77777777" w:rsidR="00CF7ACE" w:rsidRDefault="00CF7ACE" w:rsidP="00B0002D">
      <w:pPr>
        <w:rPr>
          <w:rFonts w:ascii="Open Sans" w:hAnsi="Open Sans" w:cs="Open Sans"/>
        </w:rPr>
      </w:pPr>
    </w:p>
    <w:p w14:paraId="303C1CC8" w14:textId="77777777" w:rsidR="00B0002D" w:rsidRPr="00B0002D" w:rsidRDefault="00B0002D" w:rsidP="00B0002D">
      <w:pPr>
        <w:rPr>
          <w:rFonts w:ascii="Open Sans" w:hAnsi="Open Sans" w:cs="Open Sans"/>
        </w:rPr>
      </w:pPr>
    </w:p>
    <w:p w14:paraId="43281BBE" w14:textId="022844F4" w:rsidR="00780C7E" w:rsidRDefault="00780C7E" w:rsidP="00780C7E">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Pr="00780C7E">
        <w:rPr>
          <w:rFonts w:ascii="Open Sans" w:hAnsi="Open Sans" w:cs="Open Sans"/>
          <w:b/>
          <w:bCs/>
          <w:i/>
          <w:iCs/>
          <w:color w:val="2F5496"/>
          <w:szCs w:val="22"/>
        </w:rPr>
        <w:t>14</w:t>
      </w:r>
      <w:r>
        <w:rPr>
          <w:rFonts w:ascii="Open Sans" w:hAnsi="Open Sans" w:cs="Open Sans"/>
          <w:b/>
          <w:bCs/>
          <w:i/>
          <w:iCs/>
          <w:color w:val="2F5496"/>
          <w:szCs w:val="22"/>
        </w:rPr>
        <w:t xml:space="preserve">: </w:t>
      </w:r>
      <w:r w:rsidRPr="00780C7E">
        <w:rPr>
          <w:rFonts w:ascii="Open Sans" w:hAnsi="Open Sans" w:cs="Open Sans"/>
          <w:b/>
          <w:bCs/>
          <w:i/>
          <w:iCs/>
          <w:color w:val="2F5496"/>
          <w:szCs w:val="22"/>
        </w:rPr>
        <w:t xml:space="preserve">As we talk to land managers, and look back on what has worked from previous schemes, it is clear that access to an adviser is highly important to successful environmental schemes. Is advice always needed? When is advice most likely to be needed by a scheme participant? </w:t>
      </w:r>
    </w:p>
    <w:p w14:paraId="5B95E6A8" w14:textId="77777777" w:rsidR="00B0002D" w:rsidRDefault="00B0002D" w:rsidP="00B0002D">
      <w:pPr>
        <w:rPr>
          <w:rFonts w:ascii="Open Sans" w:hAnsi="Open Sans" w:cs="Open Sans"/>
        </w:rPr>
      </w:pPr>
      <w:r>
        <w:rPr>
          <w:rFonts w:ascii="Open Sans" w:hAnsi="Open Sans" w:cs="Open Sans"/>
        </w:rPr>
        <w:t>We are supportive of the proposal around advisers and agree that they are vital in ensuring a well-executed and effective scheme. This support, however, should be paid for where necessary, to ensure that small scale farms do not lose out on access to an advisor.</w:t>
      </w:r>
    </w:p>
    <w:p w14:paraId="4B75F445" w14:textId="77777777" w:rsidR="00B0002D" w:rsidRDefault="00B0002D" w:rsidP="00B0002D">
      <w:pPr>
        <w:rPr>
          <w:rFonts w:ascii="Open Sans" w:hAnsi="Open Sans" w:cs="Open Sans"/>
        </w:rPr>
      </w:pPr>
    </w:p>
    <w:p w14:paraId="5DE9F531" w14:textId="3F9F2085" w:rsidR="00B0002D" w:rsidRDefault="00B0002D" w:rsidP="00B0002D">
      <w:pPr>
        <w:rPr>
          <w:rFonts w:ascii="Open Sans" w:hAnsi="Open Sans" w:cs="Open Sans"/>
        </w:rPr>
      </w:pPr>
      <w:r>
        <w:rPr>
          <w:rFonts w:ascii="Open Sans" w:hAnsi="Open Sans" w:cs="Open Sans"/>
        </w:rPr>
        <w:t>The emphasis should also be on experienced advisers, and the option for a farmer or land manager to discuss proposals with several different advisers throughout the process. For instance, speaking to a more general adviser in the first adviser, followed by more specific consultations following it to provide the business owner with the best available advi</w:t>
      </w:r>
      <w:r w:rsidR="00CF7ACE">
        <w:rPr>
          <w:rFonts w:ascii="Open Sans" w:hAnsi="Open Sans" w:cs="Open Sans"/>
        </w:rPr>
        <w:t>ce</w:t>
      </w:r>
      <w:r>
        <w:rPr>
          <w:rFonts w:ascii="Open Sans" w:hAnsi="Open Sans" w:cs="Open Sans"/>
        </w:rPr>
        <w:t xml:space="preserve">. </w:t>
      </w:r>
    </w:p>
    <w:p w14:paraId="06976F3A" w14:textId="7A92C627" w:rsidR="00CF7ACE" w:rsidRDefault="00CF7ACE" w:rsidP="00B0002D">
      <w:pPr>
        <w:rPr>
          <w:rFonts w:ascii="Open Sans" w:hAnsi="Open Sans" w:cs="Open Sans"/>
        </w:rPr>
      </w:pPr>
    </w:p>
    <w:p w14:paraId="5C954252" w14:textId="77777777" w:rsidR="00CF7ACE" w:rsidRDefault="00CF7ACE" w:rsidP="00CF7ACE">
      <w:pPr>
        <w:rPr>
          <w:rFonts w:ascii="Open Sans" w:hAnsi="Open Sans" w:cs="Open Sans"/>
        </w:rPr>
      </w:pPr>
      <w:r>
        <w:rPr>
          <w:rFonts w:ascii="Open Sans" w:hAnsi="Open Sans" w:cs="Open Sans"/>
        </w:rPr>
        <w:t xml:space="preserve">Central Advisors and training should also be prioritised for Local Authority workers to enable them to consider how best to promote appropriate land managements for their region and provide relevant advice to the land managers and farmers operating there. </w:t>
      </w:r>
    </w:p>
    <w:p w14:paraId="6BC8CE4F" w14:textId="77777777" w:rsidR="00CF7ACE" w:rsidRDefault="00CF7ACE" w:rsidP="00B0002D">
      <w:pPr>
        <w:rPr>
          <w:rFonts w:ascii="Open Sans" w:hAnsi="Open Sans" w:cs="Open Sans"/>
        </w:rPr>
      </w:pPr>
    </w:p>
    <w:p w14:paraId="30C27C00" w14:textId="77777777" w:rsidR="00B0002D" w:rsidRPr="00B0002D" w:rsidRDefault="00B0002D" w:rsidP="00B0002D">
      <w:pPr>
        <w:rPr>
          <w:rFonts w:ascii="Open Sans" w:hAnsi="Open Sans" w:cs="Open Sans"/>
        </w:rPr>
      </w:pPr>
    </w:p>
    <w:p w14:paraId="74BD2C20" w14:textId="301BDA60" w:rsidR="00780C7E" w:rsidRDefault="00780C7E" w:rsidP="00780C7E">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Pr="00780C7E">
        <w:rPr>
          <w:rFonts w:ascii="Open Sans" w:hAnsi="Open Sans" w:cs="Open Sans"/>
          <w:b/>
          <w:bCs/>
          <w:i/>
          <w:iCs/>
          <w:color w:val="2F5496"/>
          <w:szCs w:val="22"/>
        </w:rPr>
        <w:t>15</w:t>
      </w:r>
      <w:r>
        <w:rPr>
          <w:rFonts w:ascii="Open Sans" w:hAnsi="Open Sans" w:cs="Open Sans"/>
          <w:b/>
          <w:bCs/>
          <w:i/>
          <w:iCs/>
          <w:color w:val="2F5496"/>
          <w:szCs w:val="22"/>
        </w:rPr>
        <w:t xml:space="preserve">: </w:t>
      </w:r>
      <w:r w:rsidRPr="00780C7E">
        <w:rPr>
          <w:rFonts w:ascii="Open Sans" w:hAnsi="Open Sans" w:cs="Open Sans"/>
          <w:b/>
          <w:bCs/>
          <w:i/>
          <w:iCs/>
          <w:color w:val="2F5496"/>
          <w:szCs w:val="22"/>
        </w:rPr>
        <w:t>We do not want the monitoring of ELM agreements to feel burdensome to land managers, but we will need some information that shows what</w:t>
      </w:r>
      <w:r w:rsidRPr="00780C7E">
        <w:rPr>
          <w:rFonts w:ascii="Open Sans" w:hAnsi="Open Sans" w:cs="Open Sans" w:hint="eastAsia"/>
          <w:b/>
          <w:bCs/>
          <w:i/>
          <w:iCs/>
          <w:color w:val="2F5496"/>
          <w:szCs w:val="22"/>
        </w:rPr>
        <w:t>’</w:t>
      </w:r>
      <w:r w:rsidRPr="00780C7E">
        <w:rPr>
          <w:rFonts w:ascii="Open Sans" w:hAnsi="Open Sans" w:cs="Open Sans"/>
          <w:b/>
          <w:bCs/>
          <w:i/>
          <w:iCs/>
          <w:color w:val="2F5496"/>
          <w:szCs w:val="22"/>
        </w:rPr>
        <w:t>s being done in fulfilling the ELM agreement. This would build on any remote sensing, satellite 35 imagery and site visits we deploy. How might self-assessment work? What methods or tools, for example photographs, might be used to enable an agreement holder to be able to demonstrate that they</w:t>
      </w:r>
      <w:r w:rsidRPr="00780C7E">
        <w:rPr>
          <w:rFonts w:ascii="Open Sans" w:hAnsi="Open Sans" w:cs="Open Sans" w:hint="eastAsia"/>
          <w:b/>
          <w:bCs/>
          <w:i/>
          <w:iCs/>
          <w:color w:val="2F5496"/>
          <w:szCs w:val="22"/>
        </w:rPr>
        <w:t>’</w:t>
      </w:r>
      <w:r w:rsidRPr="00780C7E">
        <w:rPr>
          <w:rFonts w:ascii="Open Sans" w:hAnsi="Open Sans" w:cs="Open Sans"/>
          <w:b/>
          <w:bCs/>
          <w:i/>
          <w:iCs/>
          <w:color w:val="2F5496"/>
          <w:szCs w:val="22"/>
        </w:rPr>
        <w:t xml:space="preserve">re doing what they signed up to do? </w:t>
      </w:r>
    </w:p>
    <w:p w14:paraId="04019813" w14:textId="77777777" w:rsidR="00B0002D" w:rsidRDefault="00B0002D" w:rsidP="00B0002D">
      <w:pPr>
        <w:rPr>
          <w:rFonts w:ascii="Open Sans" w:hAnsi="Open Sans" w:cs="Open Sans"/>
        </w:rPr>
      </w:pPr>
      <w:r>
        <w:rPr>
          <w:rFonts w:ascii="Open Sans" w:hAnsi="Open Sans" w:cs="Open Sans"/>
        </w:rPr>
        <w:t xml:space="preserve">We understand DEFRA’s obligation to ensure the correct use of public funds, and therefore the focus should be on making it easier and less time consuming for businesses to provide the required information. </w:t>
      </w:r>
    </w:p>
    <w:p w14:paraId="58F682B7" w14:textId="77777777" w:rsidR="00B0002D" w:rsidRDefault="00B0002D" w:rsidP="00B0002D">
      <w:pPr>
        <w:rPr>
          <w:rFonts w:ascii="Open Sans" w:hAnsi="Open Sans" w:cs="Open Sans"/>
        </w:rPr>
      </w:pPr>
    </w:p>
    <w:p w14:paraId="1DE1C1C7" w14:textId="0812EC0E" w:rsidR="00B0002D" w:rsidRDefault="00B0002D" w:rsidP="00B0002D">
      <w:pPr>
        <w:rPr>
          <w:rFonts w:ascii="Open Sans" w:hAnsi="Open Sans" w:cs="Open Sans"/>
        </w:rPr>
      </w:pPr>
      <w:r w:rsidRPr="00B0002D">
        <w:rPr>
          <w:rFonts w:ascii="Open Sans" w:hAnsi="Open Sans" w:cs="Open Sans"/>
        </w:rPr>
        <w:t xml:space="preserve">As highlighted </w:t>
      </w:r>
      <w:r>
        <w:rPr>
          <w:rFonts w:ascii="Open Sans" w:hAnsi="Open Sans" w:cs="Open Sans"/>
        </w:rPr>
        <w:t xml:space="preserve">in our response to question 11, we believe that all efforts to support best use of technology will reduce the burden on ELMs participants. Giving all participants access to the most up-to-date and detailed satellite imagery would make the process of self-assessment and monitoring much more straight forward, with the scheme administrators having confidence in the data they provide. </w:t>
      </w:r>
    </w:p>
    <w:p w14:paraId="22BDB065" w14:textId="4C33D277" w:rsidR="00B0002D" w:rsidRDefault="00B0002D" w:rsidP="00B0002D">
      <w:pPr>
        <w:rPr>
          <w:rFonts w:ascii="Open Sans" w:hAnsi="Open Sans" w:cs="Open Sans"/>
        </w:rPr>
      </w:pPr>
    </w:p>
    <w:p w14:paraId="7B1DF698" w14:textId="1110E21D" w:rsidR="00B0002D" w:rsidRDefault="00B0002D" w:rsidP="00B0002D">
      <w:pPr>
        <w:rPr>
          <w:rFonts w:ascii="Open Sans" w:hAnsi="Open Sans" w:cs="Open Sans"/>
        </w:rPr>
      </w:pPr>
      <w:r>
        <w:rPr>
          <w:rFonts w:ascii="Open Sans" w:hAnsi="Open Sans" w:cs="Open Sans"/>
        </w:rPr>
        <w:t xml:space="preserve">Government should look at gaining access to this technology and integrate their use into the proposed monitoring structure. </w:t>
      </w:r>
    </w:p>
    <w:p w14:paraId="072F86E8" w14:textId="77777777" w:rsidR="00B0002D" w:rsidRPr="00B0002D" w:rsidRDefault="00B0002D" w:rsidP="00B0002D">
      <w:pPr>
        <w:rPr>
          <w:rFonts w:ascii="Open Sans" w:hAnsi="Open Sans" w:cs="Open Sans"/>
        </w:rPr>
      </w:pPr>
    </w:p>
    <w:p w14:paraId="003D237F" w14:textId="09A5AAE7" w:rsidR="00B515AF" w:rsidRDefault="00780C7E" w:rsidP="00B0002D">
      <w:pPr>
        <w:spacing w:after="160" w:line="259" w:lineRule="auto"/>
        <w:jc w:val="left"/>
        <w:rPr>
          <w:rFonts w:ascii="Open Sans" w:hAnsi="Open Sans" w:cs="Open Sans"/>
          <w:b/>
          <w:bCs/>
          <w:i/>
          <w:iCs/>
          <w:color w:val="2F5496"/>
          <w:szCs w:val="22"/>
        </w:rPr>
      </w:pPr>
      <w:r>
        <w:rPr>
          <w:rFonts w:ascii="Open Sans" w:hAnsi="Open Sans" w:cs="Open Sans"/>
          <w:b/>
          <w:bCs/>
          <w:i/>
          <w:iCs/>
          <w:color w:val="2F5496"/>
          <w:szCs w:val="22"/>
        </w:rPr>
        <w:t xml:space="preserve">Consultation Question </w:t>
      </w:r>
      <w:r w:rsidRPr="00780C7E">
        <w:rPr>
          <w:rFonts w:ascii="Open Sans" w:hAnsi="Open Sans" w:cs="Open Sans"/>
          <w:b/>
          <w:bCs/>
          <w:i/>
          <w:iCs/>
          <w:color w:val="2F5496"/>
          <w:szCs w:val="22"/>
        </w:rPr>
        <w:t>17</w:t>
      </w:r>
      <w:r>
        <w:rPr>
          <w:rFonts w:ascii="Open Sans" w:hAnsi="Open Sans" w:cs="Open Sans"/>
          <w:b/>
          <w:bCs/>
          <w:i/>
          <w:iCs/>
          <w:color w:val="2F5496"/>
          <w:szCs w:val="22"/>
        </w:rPr>
        <w:t xml:space="preserve">: </w:t>
      </w:r>
      <w:r w:rsidRPr="00780C7E">
        <w:rPr>
          <w:rFonts w:ascii="Open Sans" w:hAnsi="Open Sans" w:cs="Open Sans"/>
          <w:b/>
          <w:bCs/>
          <w:i/>
          <w:iCs/>
          <w:color w:val="2F5496"/>
          <w:szCs w:val="22"/>
        </w:rPr>
        <w:t>Do you have any other comments on the proposals set out in this document?</w:t>
      </w:r>
    </w:p>
    <w:p w14:paraId="11428E27" w14:textId="154E3EB5" w:rsidR="00AA3F43" w:rsidRPr="00D1426B" w:rsidRDefault="00AA3F43" w:rsidP="00B0002D">
      <w:pPr>
        <w:spacing w:after="160" w:line="259" w:lineRule="auto"/>
        <w:jc w:val="left"/>
        <w:rPr>
          <w:rFonts w:ascii="Open Sans" w:hAnsi="Open Sans" w:cs="Open Sans"/>
          <w:b/>
          <w:bCs/>
          <w:color w:val="FF0000"/>
          <w:szCs w:val="22"/>
        </w:rPr>
      </w:pPr>
      <w:r w:rsidRPr="00CF7ACE">
        <w:rPr>
          <w:rFonts w:ascii="Open Sans" w:hAnsi="Open Sans" w:cs="Open Sans"/>
          <w:b/>
          <w:bCs/>
          <w:color w:val="FF0000"/>
          <w:szCs w:val="22"/>
        </w:rPr>
        <w:t>Feedback from members welcome on this question</w:t>
      </w:r>
    </w:p>
    <w:p w14:paraId="717A15D6" w14:textId="77777777" w:rsidR="00B0002D" w:rsidRPr="0076721D" w:rsidRDefault="00B0002D" w:rsidP="00B515AF">
      <w:pPr>
        <w:pStyle w:val="Default"/>
        <w:rPr>
          <w:rFonts w:ascii="Open Sans" w:hAnsi="Open Sans" w:cs="Open Sans"/>
          <w:b/>
          <w:bCs/>
          <w:i/>
          <w:iCs/>
          <w:sz w:val="22"/>
          <w:szCs w:val="22"/>
        </w:rPr>
      </w:pPr>
    </w:p>
    <w:p w14:paraId="2E7F0882" w14:textId="764DEB25" w:rsidR="00273E54" w:rsidRPr="0076721D" w:rsidRDefault="00273E54" w:rsidP="00273E54">
      <w:pPr>
        <w:rPr>
          <w:rFonts w:ascii="Open Sans" w:hAnsi="Open Sans" w:cs="Open Sans"/>
          <w:b/>
          <w:bCs/>
          <w:szCs w:val="22"/>
        </w:rPr>
      </w:pPr>
      <w:r w:rsidRPr="0076721D">
        <w:rPr>
          <w:rFonts w:ascii="Open Sans" w:hAnsi="Open Sans" w:cs="Open Sans"/>
          <w:b/>
          <w:bCs/>
          <w:szCs w:val="22"/>
        </w:rPr>
        <w:t>Ju</w:t>
      </w:r>
      <w:r w:rsidR="00905C16">
        <w:rPr>
          <w:rFonts w:ascii="Open Sans" w:hAnsi="Open Sans" w:cs="Open Sans"/>
          <w:b/>
          <w:bCs/>
          <w:szCs w:val="22"/>
        </w:rPr>
        <w:t xml:space="preserve">ly </w:t>
      </w:r>
      <w:r w:rsidRPr="0076721D">
        <w:rPr>
          <w:rFonts w:ascii="Open Sans" w:hAnsi="Open Sans" w:cs="Open Sans"/>
          <w:b/>
          <w:bCs/>
          <w:szCs w:val="22"/>
        </w:rPr>
        <w:t>2020</w:t>
      </w:r>
    </w:p>
    <w:p w14:paraId="38FCD550" w14:textId="77777777" w:rsidR="00780C7E" w:rsidRDefault="00273E54">
      <w:pPr>
        <w:rPr>
          <w:rFonts w:ascii="Open Sans" w:hAnsi="Open Sans" w:cs="Open Sans"/>
          <w:i/>
          <w:iCs/>
          <w:szCs w:val="22"/>
        </w:rPr>
      </w:pPr>
      <w:r w:rsidRPr="0076721D">
        <w:rPr>
          <w:rFonts w:ascii="Open Sans" w:hAnsi="Open Sans" w:cs="Open Sans"/>
          <w:i/>
          <w:iCs/>
          <w:szCs w:val="22"/>
        </w:rPr>
        <w:t xml:space="preserve">If you have any questions relating to this consultation and the REA’s response please contact </w:t>
      </w:r>
      <w:r w:rsidR="00780C7E">
        <w:rPr>
          <w:rFonts w:ascii="Open Sans" w:hAnsi="Open Sans" w:cs="Open Sans"/>
          <w:i/>
          <w:iCs/>
          <w:szCs w:val="22"/>
        </w:rPr>
        <w:t xml:space="preserve">Sam Tickle at </w:t>
      </w:r>
      <w:hyperlink r:id="rId12" w:history="1">
        <w:r w:rsidR="00780C7E" w:rsidRPr="00047F4D">
          <w:rPr>
            <w:rStyle w:val="Hyperlink"/>
            <w:rFonts w:ascii="Open Sans" w:hAnsi="Open Sans" w:cs="Open Sans"/>
            <w:i/>
            <w:iCs/>
            <w:szCs w:val="22"/>
          </w:rPr>
          <w:t>stickle@r-e-a.net</w:t>
        </w:r>
      </w:hyperlink>
      <w:r w:rsidR="00780C7E">
        <w:rPr>
          <w:rFonts w:ascii="Open Sans" w:hAnsi="Open Sans" w:cs="Open Sans"/>
          <w:i/>
          <w:iCs/>
          <w:szCs w:val="22"/>
        </w:rPr>
        <w:t xml:space="preserve"> </w:t>
      </w:r>
    </w:p>
    <w:p w14:paraId="10ACAD6D" w14:textId="0360F0A6" w:rsidR="00273E54" w:rsidRPr="0076721D" w:rsidRDefault="00273E54">
      <w:pPr>
        <w:rPr>
          <w:rFonts w:ascii="Open Sans" w:hAnsi="Open Sans" w:cs="Open Sans"/>
          <w:i/>
          <w:iCs/>
          <w:szCs w:val="22"/>
        </w:rPr>
      </w:pPr>
      <w:r w:rsidRPr="0076721D">
        <w:rPr>
          <w:rFonts w:ascii="Open Sans" w:hAnsi="Open Sans" w:cs="Open Sans"/>
          <w:i/>
          <w:iCs/>
          <w:szCs w:val="22"/>
        </w:rPr>
        <w:t xml:space="preserve"> </w:t>
      </w:r>
    </w:p>
    <w:sectPr w:rsidR="00273E54" w:rsidRPr="0076721D" w:rsidSect="00517E85">
      <w:headerReference w:type="even" r:id="rId13"/>
      <w:headerReference w:type="default" r:id="rId14"/>
      <w:footerReference w:type="default" r:id="rId15"/>
      <w:headerReference w:type="first" r:id="rId16"/>
      <w:footerReference w:type="first" r:id="rId17"/>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66A10" w14:textId="77777777" w:rsidR="00DC45D0" w:rsidRDefault="00DC45D0">
      <w:r>
        <w:separator/>
      </w:r>
    </w:p>
  </w:endnote>
  <w:endnote w:type="continuationSeparator" w:id="0">
    <w:p w14:paraId="0F6EAED2" w14:textId="77777777" w:rsidR="00DC45D0" w:rsidRDefault="00DC45D0">
      <w:r>
        <w:continuationSeparator/>
      </w:r>
    </w:p>
  </w:endnote>
  <w:endnote w:type="continuationNotice" w:id="1">
    <w:p w14:paraId="2FD1C3EB" w14:textId="77777777" w:rsidR="00DC45D0" w:rsidRDefault="00DC4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ant garde">
    <w:altName w:val="Century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FuturaPT-Light">
    <w:altName w:val="Century Gothic"/>
    <w:charset w:val="00"/>
    <w:family w:val="swiss"/>
    <w:pitch w:val="variable"/>
  </w:font>
  <w:font w:name="FuturaPT-Book">
    <w:altName w:val="Century Gothic"/>
    <w:charset w:val="00"/>
    <w:family w:val="swiss"/>
    <w:pitch w:val="variable"/>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3300939"/>
      <w:docPartObj>
        <w:docPartGallery w:val="Page Numbers (Bottom of Page)"/>
        <w:docPartUnique/>
      </w:docPartObj>
    </w:sdtPr>
    <w:sdtEndPr>
      <w:rPr>
        <w:noProof/>
      </w:rPr>
    </w:sdtEndPr>
    <w:sdtContent>
      <w:p w14:paraId="7923FDFC" w14:textId="76E7BB75" w:rsidR="009E1233" w:rsidRDefault="009E12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09FC40" w14:textId="77777777" w:rsidR="00072ADB" w:rsidRDefault="00072A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DC8F3" w14:textId="77777777" w:rsidR="00EA2285" w:rsidRPr="00D3350C" w:rsidRDefault="00273E54" w:rsidP="00EA2285">
    <w:pPr>
      <w:widowControl w:val="0"/>
      <w:tabs>
        <w:tab w:val="left" w:pos="8364"/>
        <w:tab w:val="left" w:pos="8505"/>
      </w:tabs>
      <w:autoSpaceDE w:val="0"/>
      <w:autoSpaceDN w:val="0"/>
      <w:spacing w:before="84"/>
      <w:ind w:left="582"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1E1E1E"/>
        <w:sz w:val="16"/>
        <w:szCs w:val="16"/>
        <w:lang w:val="en-US"/>
      </w:rPr>
      <w:t>THE ASSOCIATION FOR RENEWABLE ENERGY AND CLEAN TECHNOLOGY</w:t>
    </w:r>
  </w:p>
  <w:p w14:paraId="2502D245" w14:textId="77777777" w:rsidR="00EA2285" w:rsidRPr="00D3350C" w:rsidRDefault="00273E54"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color w:val="06926B"/>
        <w:sz w:val="16"/>
        <w:szCs w:val="16"/>
        <w:lang w:val="en-US"/>
      </w:rPr>
    </w:pPr>
    <w:r w:rsidRPr="00D3350C">
      <w:rPr>
        <w:rFonts w:ascii="FuturaPT-Book" w:eastAsia="FuturaPT-Light" w:hAnsi="FuturaPT-Light" w:cs="FuturaPT-Light"/>
        <w:color w:val="06926B"/>
        <w:sz w:val="16"/>
        <w:szCs w:val="16"/>
        <w:lang w:val="en-US"/>
      </w:rPr>
      <w:t xml:space="preserve">Tel: </w:t>
    </w:r>
    <w:r w:rsidRPr="00D3350C">
      <w:rPr>
        <w:rFonts w:ascii="FuturaPT-Light" w:eastAsia="FuturaPT-Light" w:hAnsi="FuturaPT-Light" w:cs="FuturaPT-Light"/>
        <w:color w:val="06926B"/>
        <w:sz w:val="16"/>
        <w:szCs w:val="16"/>
        <w:lang w:val="en-US"/>
      </w:rPr>
      <w:t xml:space="preserve">+44 (0)20 7925 3570 </w:t>
    </w:r>
    <w:r w:rsidRPr="00D3350C">
      <w:rPr>
        <w:rFonts w:ascii="FuturaPT-Book" w:eastAsia="FuturaPT-Light" w:hAnsi="FuturaPT-Light" w:cs="FuturaPT-Light"/>
        <w:color w:val="06926B"/>
        <w:sz w:val="16"/>
        <w:szCs w:val="16"/>
        <w:lang w:val="en-US"/>
      </w:rPr>
      <w:t xml:space="preserve">Email: </w:t>
    </w:r>
    <w:hyperlink r:id="rId1" w:history="1">
      <w:r w:rsidRPr="00D3350C">
        <w:rPr>
          <w:rFonts w:ascii="FuturaPT-Light" w:eastAsia="FuturaPT-Light" w:hAnsi="FuturaPT-Light" w:cs="FuturaPT-Light"/>
          <w:color w:val="06926B"/>
          <w:sz w:val="16"/>
          <w:szCs w:val="16"/>
          <w:lang w:val="en-US"/>
        </w:rPr>
        <w:t>info@r-e-a.net</w:t>
      </w:r>
    </w:hyperlink>
    <w:r w:rsidRPr="00D3350C">
      <w:rPr>
        <w:rFonts w:ascii="FuturaPT-Light" w:eastAsia="FuturaPT-Light" w:hAnsi="FuturaPT-Light" w:cs="FuturaPT-Light"/>
        <w:color w:val="06926B"/>
        <w:sz w:val="16"/>
        <w:szCs w:val="16"/>
        <w:lang w:val="en-US"/>
      </w:rPr>
      <w:t xml:space="preserve"> </w:t>
    </w:r>
    <w:r w:rsidRPr="00D3350C">
      <w:rPr>
        <w:rFonts w:ascii="FuturaPT-Book" w:eastAsia="FuturaPT-Light" w:hAnsi="FuturaPT-Light" w:cs="FuturaPT-Light"/>
        <w:color w:val="06926B"/>
        <w:sz w:val="16"/>
        <w:szCs w:val="16"/>
        <w:lang w:val="en-US"/>
      </w:rPr>
      <w:t xml:space="preserve">Web: </w:t>
    </w:r>
    <w:hyperlink r:id="rId2" w:history="1">
      <w:r w:rsidRPr="00D3350C">
        <w:rPr>
          <w:rFonts w:ascii="FuturaPT-Light" w:eastAsia="FuturaPT-Light" w:hAnsi="FuturaPT-Light" w:cs="FuturaPT-Light"/>
          <w:color w:val="06926B"/>
          <w:sz w:val="16"/>
          <w:szCs w:val="16"/>
          <w:lang w:val="en-US"/>
        </w:rPr>
        <w:t>www.r-e-a.net</w:t>
      </w:r>
    </w:hyperlink>
  </w:p>
  <w:p w14:paraId="7849592F" w14:textId="77777777" w:rsidR="00EA2285" w:rsidRPr="00D3350C" w:rsidRDefault="00273E54" w:rsidP="00EA2285">
    <w:pPr>
      <w:widowControl w:val="0"/>
      <w:tabs>
        <w:tab w:val="left" w:pos="8364"/>
        <w:tab w:val="left" w:pos="8505"/>
      </w:tabs>
      <w:autoSpaceDE w:val="0"/>
      <w:autoSpaceDN w:val="0"/>
      <w:spacing w:before="64"/>
      <w:ind w:right="379" w:hanging="298"/>
      <w:jc w:val="center"/>
      <w:rPr>
        <w:rFonts w:ascii="FuturaPT-Light" w:eastAsia="FuturaPT-Light" w:hAnsi="FuturaPT-Light" w:cs="FuturaPT-Light"/>
        <w:sz w:val="16"/>
        <w:szCs w:val="16"/>
        <w:lang w:val="en-US"/>
      </w:rPr>
    </w:pPr>
    <w:r w:rsidRPr="00D3350C">
      <w:rPr>
        <w:rFonts w:ascii="FuturaPT-Light" w:eastAsia="FuturaPT-Light" w:hAnsi="FuturaPT-Light" w:cs="FuturaPT-Light"/>
        <w:color w:val="06926B"/>
        <w:sz w:val="16"/>
        <w:szCs w:val="16"/>
        <w:lang w:val="en-US"/>
      </w:rPr>
      <w:t>Company no: 04241430 Registered in England and Wales</w:t>
    </w:r>
  </w:p>
  <w:p w14:paraId="30EF6227" w14:textId="77777777" w:rsidR="00EA2285" w:rsidRDefault="00EA2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F561C" w14:textId="77777777" w:rsidR="00DC45D0" w:rsidRDefault="00DC45D0" w:rsidP="00926C15">
      <w:r>
        <w:separator/>
      </w:r>
    </w:p>
  </w:footnote>
  <w:footnote w:type="continuationSeparator" w:id="0">
    <w:p w14:paraId="30A095E6" w14:textId="77777777" w:rsidR="00DC45D0" w:rsidRDefault="00DC45D0" w:rsidP="00926C15">
      <w:r>
        <w:continuationSeparator/>
      </w:r>
    </w:p>
  </w:footnote>
  <w:footnote w:type="continuationNotice" w:id="1">
    <w:p w14:paraId="66549649" w14:textId="77777777" w:rsidR="00DC45D0" w:rsidRDefault="00DC45D0"/>
  </w:footnote>
  <w:footnote w:id="2">
    <w:p w14:paraId="5205B145" w14:textId="3C1211EB" w:rsidR="00B0002D" w:rsidRDefault="00B0002D">
      <w:pPr>
        <w:pStyle w:val="FootnoteText"/>
      </w:pPr>
      <w:r>
        <w:rPr>
          <w:rStyle w:val="FootnoteReference"/>
        </w:rPr>
        <w:footnoteRef/>
      </w:r>
      <w:r>
        <w:t xml:space="preserve"> </w:t>
      </w:r>
      <w:r w:rsidRPr="00C3115A">
        <w:t>https://www.theccc.org.uk/wp-content/uploads/2020/01/Land-use-Policies-for-a-Net-Zero-UK.pdf</w:t>
      </w:r>
    </w:p>
  </w:footnote>
  <w:footnote w:id="3">
    <w:p w14:paraId="02D6377F" w14:textId="73818A77" w:rsidR="00B0002D" w:rsidRDefault="00B0002D">
      <w:pPr>
        <w:pStyle w:val="FootnoteText"/>
      </w:pPr>
      <w:r>
        <w:rPr>
          <w:rStyle w:val="FootnoteReference"/>
        </w:rPr>
        <w:footnoteRef/>
      </w:r>
      <w:r>
        <w:t xml:space="preserve"> </w:t>
      </w:r>
      <w:hyperlink r:id="rId1" w:history="1">
        <w:r>
          <w:rPr>
            <w:rStyle w:val="Hyperlink"/>
          </w:rPr>
          <w:t>https://www.rfs.org.uk/media/710684/woodland-creation-opportunities-and-barriers-020620-embargo-3-june.pdf</w:t>
        </w:r>
      </w:hyperlink>
    </w:p>
  </w:footnote>
  <w:footnote w:id="4">
    <w:p w14:paraId="36FEEA3E" w14:textId="4DAA1C8A" w:rsidR="00B0002D" w:rsidRDefault="00B0002D">
      <w:pPr>
        <w:pStyle w:val="FootnoteText"/>
      </w:pPr>
      <w:r>
        <w:rPr>
          <w:rStyle w:val="FootnoteReference"/>
        </w:rPr>
        <w:footnoteRef/>
      </w:r>
      <w:r>
        <w:t xml:space="preserve"> </w:t>
      </w:r>
      <w:hyperlink r:id="rId2" w:history="1">
        <w:r>
          <w:rPr>
            <w:rStyle w:val="Hyperlink"/>
          </w:rPr>
          <w:t>https://www.rfs.org.uk/media/671068/forestry-elms-position-paper-july-2019.pdf</w:t>
        </w:r>
      </w:hyperlink>
    </w:p>
  </w:footnote>
  <w:footnote w:id="5">
    <w:p w14:paraId="3DDFFCFF" w14:textId="77777777" w:rsidR="00B0002D" w:rsidRDefault="00B0002D" w:rsidP="00B0002D">
      <w:pPr>
        <w:pStyle w:val="FootnoteText"/>
        <w:rPr>
          <w:rFonts w:cs="Calibri"/>
        </w:rPr>
      </w:pPr>
      <w:r>
        <w:rPr>
          <w:rStyle w:val="FootnoteReference"/>
        </w:rPr>
        <w:t>[3]</w:t>
      </w:r>
      <w:r>
        <w:t xml:space="preserve"> </w:t>
      </w:r>
      <w:r>
        <w:rPr>
          <w:rFonts w:ascii="Open Sans" w:hAnsi="Open Sans" w:cs="Open Sans"/>
          <w:lang w:eastAsia="en-GB"/>
        </w:rPr>
        <w:t>e.g. by increasing the number of crop cycles - three in a two-year period</w:t>
      </w:r>
    </w:p>
  </w:footnote>
  <w:footnote w:id="6">
    <w:p w14:paraId="5323B958" w14:textId="77777777" w:rsidR="00B0002D" w:rsidRDefault="00B0002D" w:rsidP="00B0002D">
      <w:pPr>
        <w:pStyle w:val="FootnoteText"/>
      </w:pPr>
      <w:r>
        <w:rPr>
          <w:rStyle w:val="FootnoteReference"/>
        </w:rPr>
        <w:footnoteRef/>
      </w:r>
      <w:r>
        <w:t xml:space="preserve"> </w:t>
      </w:r>
      <w:r w:rsidRPr="00C3115A">
        <w:t>https://www.theccc.org.uk/wp-content/uploads/2020/01/Land-use-Policies-for-a-Net-Zero-UK.pdf</w:t>
      </w:r>
    </w:p>
  </w:footnote>
  <w:footnote w:id="7">
    <w:p w14:paraId="1C8A5750" w14:textId="77777777" w:rsidR="00B0002D" w:rsidRDefault="00B0002D" w:rsidP="00B0002D">
      <w:pPr>
        <w:pStyle w:val="FootnoteText"/>
      </w:pPr>
      <w:r>
        <w:rPr>
          <w:rStyle w:val="FootnoteReference"/>
        </w:rPr>
        <w:footnoteRef/>
      </w:r>
      <w:r>
        <w:t xml:space="preserve"> </w:t>
      </w:r>
      <w:hyperlink r:id="rId3" w:history="1">
        <w:r w:rsidRPr="00676E06">
          <w:rPr>
            <w:rStyle w:val="Hyperlink"/>
          </w:rPr>
          <w:t>https://www.eti.co.uk/library/an-eti-perspective-bioenergy-crops-in-the-uk-case-studies-of-successful-whole-farm-integration</w:t>
        </w:r>
      </w:hyperlink>
    </w:p>
  </w:footnote>
  <w:footnote w:id="8">
    <w:p w14:paraId="02445296" w14:textId="77777777" w:rsidR="00B0002D" w:rsidRDefault="00B0002D" w:rsidP="00B0002D">
      <w:pPr>
        <w:pStyle w:val="FootnoteText"/>
      </w:pPr>
      <w:r>
        <w:rPr>
          <w:rStyle w:val="FootnoteReference"/>
        </w:rPr>
        <w:footnoteRef/>
      </w:r>
      <w:r>
        <w:t xml:space="preserve"> </w:t>
      </w:r>
      <w:hyperlink r:id="rId4" w:history="1">
        <w:r>
          <w:rPr>
            <w:rStyle w:val="Hyperlink"/>
          </w:rPr>
          <w:t>https://westcumbriariverstrust.org/assets/content/projects/downloads/11882_nfm_handbook_web.pdf</w:t>
        </w:r>
      </w:hyperlink>
    </w:p>
  </w:footnote>
  <w:footnote w:id="9">
    <w:p w14:paraId="1220F2A7" w14:textId="77777777" w:rsidR="00B0002D" w:rsidRDefault="00B0002D" w:rsidP="00B0002D">
      <w:pPr>
        <w:pStyle w:val="FootnoteText"/>
      </w:pPr>
      <w:r>
        <w:rPr>
          <w:rStyle w:val="FootnoteReference"/>
        </w:rPr>
        <w:footnoteRef/>
      </w:r>
      <w:r>
        <w:t xml:space="preserve"> </w:t>
      </w:r>
      <w:hyperlink r:id="rId5" w:history="1">
        <w:r>
          <w:rPr>
            <w:rStyle w:val="Hyperlink"/>
          </w:rPr>
          <w:t>https://pure.aber.ac.uk/portal/files/6593598/McCalmont_et_al_2015_GCB_Bioenergy.pdf</w:t>
        </w:r>
      </w:hyperlink>
    </w:p>
  </w:footnote>
  <w:footnote w:id="10">
    <w:p w14:paraId="5B50657F" w14:textId="685B9604" w:rsidR="00B0002D" w:rsidRDefault="00B0002D">
      <w:pPr>
        <w:pStyle w:val="FootnoteText"/>
      </w:pPr>
      <w:r>
        <w:rPr>
          <w:rStyle w:val="FootnoteReference"/>
        </w:rPr>
        <w:footnoteRef/>
      </w:r>
      <w:r>
        <w:t xml:space="preserve"> </w:t>
      </w:r>
      <w:hyperlink r:id="rId6" w:history="1">
        <w:r>
          <w:rPr>
            <w:rStyle w:val="Hyperlink"/>
          </w:rPr>
          <w:t>https://www.stwater.co.uk/about-us/environment/catchment-management/severn-trent-environmental-protection-scheme/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3657F" w14:textId="290572BB" w:rsidR="00B515AF" w:rsidRDefault="00D1426B">
    <w:pPr>
      <w:pStyle w:val="Header"/>
    </w:pPr>
    <w:r>
      <w:rPr>
        <w:noProof/>
      </w:rPr>
      <w:pict w14:anchorId="7CA03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26485" o:spid="_x0000_s2050" type="#_x0000_t136" style="position:absolute;left:0;text-align:left;margin-left:0;margin-top:0;width:454.5pt;height:181.8pt;rotation:315;z-index:-251651072;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D9CE1" w14:textId="462AB649" w:rsidR="005E2924" w:rsidRDefault="00D1426B" w:rsidP="005E2924">
    <w:pPr>
      <w:pStyle w:val="Header"/>
      <w:jc w:val="right"/>
    </w:pPr>
    <w:r>
      <w:rPr>
        <w:noProof/>
      </w:rPr>
      <w:pict w14:anchorId="497C7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26486" o:spid="_x0000_s2051" type="#_x0000_t136" style="position:absolute;left:0;text-align:left;margin-left:0;margin-top:0;width:454.5pt;height:181.8pt;rotation:315;z-index:-251649024;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r w:rsidR="00273E54">
      <w:rPr>
        <w:noProof/>
      </w:rPr>
      <w:drawing>
        <wp:anchor distT="0" distB="0" distL="114300" distR="114300" simplePos="0" relativeHeight="251659264" behindDoc="0" locked="0" layoutInCell="1" allowOverlap="1" wp14:anchorId="7EEDA343" wp14:editId="1EDE6F46">
          <wp:simplePos x="0" y="0"/>
          <wp:positionH relativeFrom="margin">
            <wp:align>right</wp:align>
          </wp:positionH>
          <wp:positionV relativeFrom="paragraph">
            <wp:posOffset>-151032</wp:posOffset>
          </wp:positionV>
          <wp:extent cx="1242060" cy="646430"/>
          <wp:effectExtent l="0" t="0" r="0" b="0"/>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EB39" w14:textId="722E0332" w:rsidR="00EA2285" w:rsidRDefault="00D1426B">
    <w:pPr>
      <w:pStyle w:val="Header"/>
    </w:pPr>
    <w:r>
      <w:rPr>
        <w:noProof/>
      </w:rPr>
      <w:pict w14:anchorId="7D3B9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326484" o:spid="_x0000_s2049" type="#_x0000_t136" style="position:absolute;left:0;text-align:left;margin-left:0;margin-top:0;width:454.5pt;height:181.8pt;rotation:315;z-index:-251653120;mso-position-horizontal:center;mso-position-horizontal-relative:margin;mso-position-vertical:center;mso-position-vertical-relative:margin" o:allowincell="f" fillcolor="silver" stroked="f">
          <v:fill opacity=".5"/>
          <v:textpath style="font-family:&quot;avant garde&quot;;font-size:1pt" string="DRAFT"/>
          <w10:wrap anchorx="margin" anchory="margin"/>
        </v:shape>
      </w:pict>
    </w:r>
    <w:r w:rsidR="00273E54" w:rsidRPr="00EA2285">
      <w:rPr>
        <w:noProof/>
      </w:rPr>
      <w:drawing>
        <wp:anchor distT="0" distB="0" distL="114300" distR="114300" simplePos="0" relativeHeight="251661312" behindDoc="0" locked="0" layoutInCell="1" allowOverlap="1" wp14:anchorId="169D2F97" wp14:editId="27376157">
          <wp:simplePos x="0" y="0"/>
          <wp:positionH relativeFrom="margin">
            <wp:posOffset>4489450</wp:posOffset>
          </wp:positionH>
          <wp:positionV relativeFrom="paragraph">
            <wp:posOffset>-18415</wp:posOffset>
          </wp:positionV>
          <wp:extent cx="1242060" cy="646430"/>
          <wp:effectExtent l="0" t="0" r="0" b="0"/>
          <wp:wrapSquare wrapText="bothSides"/>
          <wp:docPr id="9" name="Picture 9"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389499" name="REA_logo_rgb_HR_cropped sm.png"/>
                  <pic:cNvPicPr/>
                </pic:nvPicPr>
                <pic:blipFill>
                  <a:blip r:embed="rId1">
                    <a:extLst>
                      <a:ext uri="{28A0092B-C50C-407E-A947-70E740481C1C}">
                        <a14:useLocalDpi xmlns:a14="http://schemas.microsoft.com/office/drawing/2010/main" val="0"/>
                      </a:ext>
                    </a:extLst>
                  </a:blip>
                  <a:stretch>
                    <a:fillRect/>
                  </a:stretch>
                </pic:blipFill>
                <pic:spPr>
                  <a:xfrm>
                    <a:off x="0" y="0"/>
                    <a:ext cx="1242060" cy="6464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E590CC"/>
    <w:multiLevelType w:val="hybridMultilevel"/>
    <w:tmpl w:val="927B563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248C8"/>
    <w:multiLevelType w:val="hybridMultilevel"/>
    <w:tmpl w:val="63960292"/>
    <w:lvl w:ilvl="0" w:tplc="2644897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B4BDF"/>
    <w:multiLevelType w:val="hybridMultilevel"/>
    <w:tmpl w:val="C606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A2C1B"/>
    <w:multiLevelType w:val="hybridMultilevel"/>
    <w:tmpl w:val="92BA7B88"/>
    <w:lvl w:ilvl="0" w:tplc="91AE414C">
      <w:start w:val="1"/>
      <w:numFmt w:val="decimal"/>
      <w:lvlText w:val="%1)"/>
      <w:lvlJc w:val="left"/>
      <w:pPr>
        <w:ind w:left="720" w:hanging="360"/>
      </w:pPr>
      <w:rPr>
        <w:rFonts w:hint="default"/>
      </w:rPr>
    </w:lvl>
    <w:lvl w:ilvl="1" w:tplc="653AC54E" w:tentative="1">
      <w:start w:val="1"/>
      <w:numFmt w:val="lowerLetter"/>
      <w:lvlText w:val="%2."/>
      <w:lvlJc w:val="left"/>
      <w:pPr>
        <w:ind w:left="1440" w:hanging="360"/>
      </w:pPr>
    </w:lvl>
    <w:lvl w:ilvl="2" w:tplc="D8F835B2" w:tentative="1">
      <w:start w:val="1"/>
      <w:numFmt w:val="lowerRoman"/>
      <w:lvlText w:val="%3."/>
      <w:lvlJc w:val="right"/>
      <w:pPr>
        <w:ind w:left="2160" w:hanging="180"/>
      </w:pPr>
    </w:lvl>
    <w:lvl w:ilvl="3" w:tplc="7E96E862" w:tentative="1">
      <w:start w:val="1"/>
      <w:numFmt w:val="decimal"/>
      <w:lvlText w:val="%4."/>
      <w:lvlJc w:val="left"/>
      <w:pPr>
        <w:ind w:left="2880" w:hanging="360"/>
      </w:pPr>
    </w:lvl>
    <w:lvl w:ilvl="4" w:tplc="BC326C7A" w:tentative="1">
      <w:start w:val="1"/>
      <w:numFmt w:val="lowerLetter"/>
      <w:lvlText w:val="%5."/>
      <w:lvlJc w:val="left"/>
      <w:pPr>
        <w:ind w:left="3600" w:hanging="360"/>
      </w:pPr>
    </w:lvl>
    <w:lvl w:ilvl="5" w:tplc="072802CC" w:tentative="1">
      <w:start w:val="1"/>
      <w:numFmt w:val="lowerRoman"/>
      <w:lvlText w:val="%6."/>
      <w:lvlJc w:val="right"/>
      <w:pPr>
        <w:ind w:left="4320" w:hanging="180"/>
      </w:pPr>
    </w:lvl>
    <w:lvl w:ilvl="6" w:tplc="BBD0BEC4" w:tentative="1">
      <w:start w:val="1"/>
      <w:numFmt w:val="decimal"/>
      <w:lvlText w:val="%7."/>
      <w:lvlJc w:val="left"/>
      <w:pPr>
        <w:ind w:left="5040" w:hanging="360"/>
      </w:pPr>
    </w:lvl>
    <w:lvl w:ilvl="7" w:tplc="0E30C060" w:tentative="1">
      <w:start w:val="1"/>
      <w:numFmt w:val="lowerLetter"/>
      <w:lvlText w:val="%8."/>
      <w:lvlJc w:val="left"/>
      <w:pPr>
        <w:ind w:left="5760" w:hanging="360"/>
      </w:pPr>
    </w:lvl>
    <w:lvl w:ilvl="8" w:tplc="AD38CFB6" w:tentative="1">
      <w:start w:val="1"/>
      <w:numFmt w:val="lowerRoman"/>
      <w:lvlText w:val="%9."/>
      <w:lvlJc w:val="right"/>
      <w:pPr>
        <w:ind w:left="6480" w:hanging="180"/>
      </w:pPr>
    </w:lvl>
  </w:abstractNum>
  <w:abstractNum w:abstractNumId="4" w15:restartNumberingAfterBreak="0">
    <w:nsid w:val="0420705A"/>
    <w:multiLevelType w:val="hybridMultilevel"/>
    <w:tmpl w:val="CDBC5B04"/>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77646A"/>
    <w:multiLevelType w:val="hybridMultilevel"/>
    <w:tmpl w:val="B882C4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FA4531"/>
    <w:multiLevelType w:val="hybridMultilevel"/>
    <w:tmpl w:val="E2986B3C"/>
    <w:lvl w:ilvl="0" w:tplc="FE2ED188">
      <w:start w:val="1"/>
      <w:numFmt w:val="decimal"/>
      <w:lvlText w:val="%1."/>
      <w:lvlJc w:val="left"/>
      <w:pPr>
        <w:ind w:left="720" w:hanging="360"/>
      </w:pPr>
      <w:rPr>
        <w:rFonts w:hint="default"/>
      </w:rPr>
    </w:lvl>
    <w:lvl w:ilvl="1" w:tplc="FDF0A3EE" w:tentative="1">
      <w:start w:val="1"/>
      <w:numFmt w:val="lowerLetter"/>
      <w:lvlText w:val="%2."/>
      <w:lvlJc w:val="left"/>
      <w:pPr>
        <w:ind w:left="1440" w:hanging="360"/>
      </w:pPr>
    </w:lvl>
    <w:lvl w:ilvl="2" w:tplc="5380DF9A" w:tentative="1">
      <w:start w:val="1"/>
      <w:numFmt w:val="lowerRoman"/>
      <w:lvlText w:val="%3."/>
      <w:lvlJc w:val="right"/>
      <w:pPr>
        <w:ind w:left="2160" w:hanging="180"/>
      </w:pPr>
    </w:lvl>
    <w:lvl w:ilvl="3" w:tplc="911A0652" w:tentative="1">
      <w:start w:val="1"/>
      <w:numFmt w:val="decimal"/>
      <w:lvlText w:val="%4."/>
      <w:lvlJc w:val="left"/>
      <w:pPr>
        <w:ind w:left="2880" w:hanging="360"/>
      </w:pPr>
    </w:lvl>
    <w:lvl w:ilvl="4" w:tplc="ED6E16E6" w:tentative="1">
      <w:start w:val="1"/>
      <w:numFmt w:val="lowerLetter"/>
      <w:lvlText w:val="%5."/>
      <w:lvlJc w:val="left"/>
      <w:pPr>
        <w:ind w:left="3600" w:hanging="360"/>
      </w:pPr>
    </w:lvl>
    <w:lvl w:ilvl="5" w:tplc="BFC0ACA6" w:tentative="1">
      <w:start w:val="1"/>
      <w:numFmt w:val="lowerRoman"/>
      <w:lvlText w:val="%6."/>
      <w:lvlJc w:val="right"/>
      <w:pPr>
        <w:ind w:left="4320" w:hanging="180"/>
      </w:pPr>
    </w:lvl>
    <w:lvl w:ilvl="6" w:tplc="D3D2CCAC" w:tentative="1">
      <w:start w:val="1"/>
      <w:numFmt w:val="decimal"/>
      <w:lvlText w:val="%7."/>
      <w:lvlJc w:val="left"/>
      <w:pPr>
        <w:ind w:left="5040" w:hanging="360"/>
      </w:pPr>
    </w:lvl>
    <w:lvl w:ilvl="7" w:tplc="72662076" w:tentative="1">
      <w:start w:val="1"/>
      <w:numFmt w:val="lowerLetter"/>
      <w:lvlText w:val="%8."/>
      <w:lvlJc w:val="left"/>
      <w:pPr>
        <w:ind w:left="5760" w:hanging="360"/>
      </w:pPr>
    </w:lvl>
    <w:lvl w:ilvl="8" w:tplc="D78CD6C2" w:tentative="1">
      <w:start w:val="1"/>
      <w:numFmt w:val="lowerRoman"/>
      <w:lvlText w:val="%9."/>
      <w:lvlJc w:val="right"/>
      <w:pPr>
        <w:ind w:left="6480" w:hanging="180"/>
      </w:pPr>
    </w:lvl>
  </w:abstractNum>
  <w:abstractNum w:abstractNumId="7" w15:restartNumberingAfterBreak="0">
    <w:nsid w:val="0B462062"/>
    <w:multiLevelType w:val="hybridMultilevel"/>
    <w:tmpl w:val="17E61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C5A17E6"/>
    <w:multiLevelType w:val="hybridMultilevel"/>
    <w:tmpl w:val="16A4D632"/>
    <w:lvl w:ilvl="0" w:tplc="6A385C40">
      <w:start w:val="1"/>
      <w:numFmt w:val="bullet"/>
      <w:lvlText w:val=""/>
      <w:lvlJc w:val="left"/>
      <w:pPr>
        <w:ind w:left="780" w:hanging="360"/>
      </w:pPr>
      <w:rPr>
        <w:rFonts w:ascii="Symbol" w:hAnsi="Symbol" w:hint="default"/>
      </w:rPr>
    </w:lvl>
    <w:lvl w:ilvl="1" w:tplc="8280EC5A" w:tentative="1">
      <w:start w:val="1"/>
      <w:numFmt w:val="bullet"/>
      <w:lvlText w:val="o"/>
      <w:lvlJc w:val="left"/>
      <w:pPr>
        <w:ind w:left="1500" w:hanging="360"/>
      </w:pPr>
      <w:rPr>
        <w:rFonts w:ascii="Courier New" w:hAnsi="Courier New" w:cs="Courier New" w:hint="default"/>
      </w:rPr>
    </w:lvl>
    <w:lvl w:ilvl="2" w:tplc="CE46F1D4" w:tentative="1">
      <w:start w:val="1"/>
      <w:numFmt w:val="bullet"/>
      <w:lvlText w:val=""/>
      <w:lvlJc w:val="left"/>
      <w:pPr>
        <w:ind w:left="2220" w:hanging="360"/>
      </w:pPr>
      <w:rPr>
        <w:rFonts w:ascii="Wingdings" w:hAnsi="Wingdings" w:hint="default"/>
      </w:rPr>
    </w:lvl>
    <w:lvl w:ilvl="3" w:tplc="FB72EC20" w:tentative="1">
      <w:start w:val="1"/>
      <w:numFmt w:val="bullet"/>
      <w:lvlText w:val=""/>
      <w:lvlJc w:val="left"/>
      <w:pPr>
        <w:ind w:left="2940" w:hanging="360"/>
      </w:pPr>
      <w:rPr>
        <w:rFonts w:ascii="Symbol" w:hAnsi="Symbol" w:hint="default"/>
      </w:rPr>
    </w:lvl>
    <w:lvl w:ilvl="4" w:tplc="0D803BE2" w:tentative="1">
      <w:start w:val="1"/>
      <w:numFmt w:val="bullet"/>
      <w:lvlText w:val="o"/>
      <w:lvlJc w:val="left"/>
      <w:pPr>
        <w:ind w:left="3660" w:hanging="360"/>
      </w:pPr>
      <w:rPr>
        <w:rFonts w:ascii="Courier New" w:hAnsi="Courier New" w:cs="Courier New" w:hint="default"/>
      </w:rPr>
    </w:lvl>
    <w:lvl w:ilvl="5" w:tplc="99BC4F7A" w:tentative="1">
      <w:start w:val="1"/>
      <w:numFmt w:val="bullet"/>
      <w:lvlText w:val=""/>
      <w:lvlJc w:val="left"/>
      <w:pPr>
        <w:ind w:left="4380" w:hanging="360"/>
      </w:pPr>
      <w:rPr>
        <w:rFonts w:ascii="Wingdings" w:hAnsi="Wingdings" w:hint="default"/>
      </w:rPr>
    </w:lvl>
    <w:lvl w:ilvl="6" w:tplc="56B49F94" w:tentative="1">
      <w:start w:val="1"/>
      <w:numFmt w:val="bullet"/>
      <w:lvlText w:val=""/>
      <w:lvlJc w:val="left"/>
      <w:pPr>
        <w:ind w:left="5100" w:hanging="360"/>
      </w:pPr>
      <w:rPr>
        <w:rFonts w:ascii="Symbol" w:hAnsi="Symbol" w:hint="default"/>
      </w:rPr>
    </w:lvl>
    <w:lvl w:ilvl="7" w:tplc="93246788" w:tentative="1">
      <w:start w:val="1"/>
      <w:numFmt w:val="bullet"/>
      <w:lvlText w:val="o"/>
      <w:lvlJc w:val="left"/>
      <w:pPr>
        <w:ind w:left="5820" w:hanging="360"/>
      </w:pPr>
      <w:rPr>
        <w:rFonts w:ascii="Courier New" w:hAnsi="Courier New" w:cs="Courier New" w:hint="default"/>
      </w:rPr>
    </w:lvl>
    <w:lvl w:ilvl="8" w:tplc="46B05020" w:tentative="1">
      <w:start w:val="1"/>
      <w:numFmt w:val="bullet"/>
      <w:lvlText w:val=""/>
      <w:lvlJc w:val="left"/>
      <w:pPr>
        <w:ind w:left="6540" w:hanging="360"/>
      </w:pPr>
      <w:rPr>
        <w:rFonts w:ascii="Wingdings" w:hAnsi="Wingdings" w:hint="default"/>
      </w:rPr>
    </w:lvl>
  </w:abstractNum>
  <w:abstractNum w:abstractNumId="9" w15:restartNumberingAfterBreak="0">
    <w:nsid w:val="0D0A5A15"/>
    <w:multiLevelType w:val="hybridMultilevel"/>
    <w:tmpl w:val="57E2037A"/>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EB0FEB"/>
    <w:multiLevelType w:val="hybridMultilevel"/>
    <w:tmpl w:val="97AE6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22548"/>
    <w:multiLevelType w:val="hybridMultilevel"/>
    <w:tmpl w:val="E2986B3C"/>
    <w:lvl w:ilvl="0" w:tplc="20BAC53C">
      <w:start w:val="1"/>
      <w:numFmt w:val="decimal"/>
      <w:lvlText w:val="%1."/>
      <w:lvlJc w:val="left"/>
      <w:pPr>
        <w:ind w:left="720" w:hanging="360"/>
      </w:pPr>
      <w:rPr>
        <w:rFonts w:hint="default"/>
      </w:rPr>
    </w:lvl>
    <w:lvl w:ilvl="1" w:tplc="1E10C8D2" w:tentative="1">
      <w:start w:val="1"/>
      <w:numFmt w:val="lowerLetter"/>
      <w:lvlText w:val="%2."/>
      <w:lvlJc w:val="left"/>
      <w:pPr>
        <w:ind w:left="1440" w:hanging="360"/>
      </w:pPr>
    </w:lvl>
    <w:lvl w:ilvl="2" w:tplc="BE94D428" w:tentative="1">
      <w:start w:val="1"/>
      <w:numFmt w:val="lowerRoman"/>
      <w:lvlText w:val="%3."/>
      <w:lvlJc w:val="right"/>
      <w:pPr>
        <w:ind w:left="2160" w:hanging="180"/>
      </w:pPr>
    </w:lvl>
    <w:lvl w:ilvl="3" w:tplc="96781628" w:tentative="1">
      <w:start w:val="1"/>
      <w:numFmt w:val="decimal"/>
      <w:lvlText w:val="%4."/>
      <w:lvlJc w:val="left"/>
      <w:pPr>
        <w:ind w:left="2880" w:hanging="360"/>
      </w:pPr>
    </w:lvl>
    <w:lvl w:ilvl="4" w:tplc="7F962FE4" w:tentative="1">
      <w:start w:val="1"/>
      <w:numFmt w:val="lowerLetter"/>
      <w:lvlText w:val="%5."/>
      <w:lvlJc w:val="left"/>
      <w:pPr>
        <w:ind w:left="3600" w:hanging="360"/>
      </w:pPr>
    </w:lvl>
    <w:lvl w:ilvl="5" w:tplc="B5BA0E38" w:tentative="1">
      <w:start w:val="1"/>
      <w:numFmt w:val="lowerRoman"/>
      <w:lvlText w:val="%6."/>
      <w:lvlJc w:val="right"/>
      <w:pPr>
        <w:ind w:left="4320" w:hanging="180"/>
      </w:pPr>
    </w:lvl>
    <w:lvl w:ilvl="6" w:tplc="BC64B94C" w:tentative="1">
      <w:start w:val="1"/>
      <w:numFmt w:val="decimal"/>
      <w:lvlText w:val="%7."/>
      <w:lvlJc w:val="left"/>
      <w:pPr>
        <w:ind w:left="5040" w:hanging="360"/>
      </w:pPr>
    </w:lvl>
    <w:lvl w:ilvl="7" w:tplc="2462118E" w:tentative="1">
      <w:start w:val="1"/>
      <w:numFmt w:val="lowerLetter"/>
      <w:lvlText w:val="%8."/>
      <w:lvlJc w:val="left"/>
      <w:pPr>
        <w:ind w:left="5760" w:hanging="360"/>
      </w:pPr>
    </w:lvl>
    <w:lvl w:ilvl="8" w:tplc="CC2E8EB4" w:tentative="1">
      <w:start w:val="1"/>
      <w:numFmt w:val="lowerRoman"/>
      <w:lvlText w:val="%9."/>
      <w:lvlJc w:val="right"/>
      <w:pPr>
        <w:ind w:left="6480" w:hanging="180"/>
      </w:pPr>
    </w:lvl>
  </w:abstractNum>
  <w:abstractNum w:abstractNumId="12" w15:restartNumberingAfterBreak="0">
    <w:nsid w:val="1CED6CEF"/>
    <w:multiLevelType w:val="hybridMultilevel"/>
    <w:tmpl w:val="B186F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E6A6EF9"/>
    <w:multiLevelType w:val="hybridMultilevel"/>
    <w:tmpl w:val="4D8EC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C415A"/>
    <w:multiLevelType w:val="hybridMultilevel"/>
    <w:tmpl w:val="C8B08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E1309"/>
    <w:multiLevelType w:val="hybridMultilevel"/>
    <w:tmpl w:val="160FC3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AA24F0A"/>
    <w:multiLevelType w:val="hybridMultilevel"/>
    <w:tmpl w:val="E2986B3C"/>
    <w:lvl w:ilvl="0" w:tplc="E93AFEC2">
      <w:start w:val="1"/>
      <w:numFmt w:val="decimal"/>
      <w:lvlText w:val="%1."/>
      <w:lvlJc w:val="left"/>
      <w:pPr>
        <w:ind w:left="720" w:hanging="360"/>
      </w:pPr>
      <w:rPr>
        <w:rFonts w:hint="default"/>
      </w:rPr>
    </w:lvl>
    <w:lvl w:ilvl="1" w:tplc="DD50CC32" w:tentative="1">
      <w:start w:val="1"/>
      <w:numFmt w:val="lowerLetter"/>
      <w:lvlText w:val="%2."/>
      <w:lvlJc w:val="left"/>
      <w:pPr>
        <w:ind w:left="1440" w:hanging="360"/>
      </w:pPr>
    </w:lvl>
    <w:lvl w:ilvl="2" w:tplc="552257F8" w:tentative="1">
      <w:start w:val="1"/>
      <w:numFmt w:val="lowerRoman"/>
      <w:lvlText w:val="%3."/>
      <w:lvlJc w:val="right"/>
      <w:pPr>
        <w:ind w:left="2160" w:hanging="180"/>
      </w:pPr>
    </w:lvl>
    <w:lvl w:ilvl="3" w:tplc="572EE832" w:tentative="1">
      <w:start w:val="1"/>
      <w:numFmt w:val="decimal"/>
      <w:lvlText w:val="%4."/>
      <w:lvlJc w:val="left"/>
      <w:pPr>
        <w:ind w:left="2880" w:hanging="360"/>
      </w:pPr>
    </w:lvl>
    <w:lvl w:ilvl="4" w:tplc="8AFECEA8" w:tentative="1">
      <w:start w:val="1"/>
      <w:numFmt w:val="lowerLetter"/>
      <w:lvlText w:val="%5."/>
      <w:lvlJc w:val="left"/>
      <w:pPr>
        <w:ind w:left="3600" w:hanging="360"/>
      </w:pPr>
    </w:lvl>
    <w:lvl w:ilvl="5" w:tplc="8DCEBF46" w:tentative="1">
      <w:start w:val="1"/>
      <w:numFmt w:val="lowerRoman"/>
      <w:lvlText w:val="%6."/>
      <w:lvlJc w:val="right"/>
      <w:pPr>
        <w:ind w:left="4320" w:hanging="180"/>
      </w:pPr>
    </w:lvl>
    <w:lvl w:ilvl="6" w:tplc="57D2668C" w:tentative="1">
      <w:start w:val="1"/>
      <w:numFmt w:val="decimal"/>
      <w:lvlText w:val="%7."/>
      <w:lvlJc w:val="left"/>
      <w:pPr>
        <w:ind w:left="5040" w:hanging="360"/>
      </w:pPr>
    </w:lvl>
    <w:lvl w:ilvl="7" w:tplc="73D2C2CE" w:tentative="1">
      <w:start w:val="1"/>
      <w:numFmt w:val="lowerLetter"/>
      <w:lvlText w:val="%8."/>
      <w:lvlJc w:val="left"/>
      <w:pPr>
        <w:ind w:left="5760" w:hanging="360"/>
      </w:pPr>
    </w:lvl>
    <w:lvl w:ilvl="8" w:tplc="FB4298BE" w:tentative="1">
      <w:start w:val="1"/>
      <w:numFmt w:val="lowerRoman"/>
      <w:lvlText w:val="%9."/>
      <w:lvlJc w:val="right"/>
      <w:pPr>
        <w:ind w:left="6480" w:hanging="180"/>
      </w:pPr>
    </w:lvl>
  </w:abstractNum>
  <w:abstractNum w:abstractNumId="17" w15:restartNumberingAfterBreak="0">
    <w:nsid w:val="2CD23C8B"/>
    <w:multiLevelType w:val="hybridMultilevel"/>
    <w:tmpl w:val="2EB6876E"/>
    <w:lvl w:ilvl="0" w:tplc="11BEEAA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B55937"/>
    <w:multiLevelType w:val="hybridMultilevel"/>
    <w:tmpl w:val="AD60F204"/>
    <w:lvl w:ilvl="0" w:tplc="66A2DAC8">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C1E2B"/>
    <w:multiLevelType w:val="hybridMultilevel"/>
    <w:tmpl w:val="C0ACFF4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DDA0358"/>
    <w:multiLevelType w:val="hybridMultilevel"/>
    <w:tmpl w:val="7204699E"/>
    <w:lvl w:ilvl="0" w:tplc="778CB0FE">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9E29B6"/>
    <w:multiLevelType w:val="hybridMultilevel"/>
    <w:tmpl w:val="F3E2E3C0"/>
    <w:lvl w:ilvl="0" w:tplc="FABA5878">
      <w:start w:val="1"/>
      <w:numFmt w:val="decimal"/>
      <w:lvlText w:val="%1)"/>
      <w:lvlJc w:val="left"/>
      <w:pPr>
        <w:ind w:left="720" w:hanging="360"/>
      </w:pPr>
      <w:rPr>
        <w:rFonts w:hint="default"/>
      </w:rPr>
    </w:lvl>
    <w:lvl w:ilvl="1" w:tplc="4A7A79BC" w:tentative="1">
      <w:start w:val="1"/>
      <w:numFmt w:val="lowerLetter"/>
      <w:lvlText w:val="%2."/>
      <w:lvlJc w:val="left"/>
      <w:pPr>
        <w:ind w:left="1440" w:hanging="360"/>
      </w:pPr>
    </w:lvl>
    <w:lvl w:ilvl="2" w:tplc="B8983B16" w:tentative="1">
      <w:start w:val="1"/>
      <w:numFmt w:val="lowerRoman"/>
      <w:lvlText w:val="%3."/>
      <w:lvlJc w:val="right"/>
      <w:pPr>
        <w:ind w:left="2160" w:hanging="180"/>
      </w:pPr>
    </w:lvl>
    <w:lvl w:ilvl="3" w:tplc="14D481C6" w:tentative="1">
      <w:start w:val="1"/>
      <w:numFmt w:val="decimal"/>
      <w:lvlText w:val="%4."/>
      <w:lvlJc w:val="left"/>
      <w:pPr>
        <w:ind w:left="2880" w:hanging="360"/>
      </w:pPr>
    </w:lvl>
    <w:lvl w:ilvl="4" w:tplc="2B42E7F6" w:tentative="1">
      <w:start w:val="1"/>
      <w:numFmt w:val="lowerLetter"/>
      <w:lvlText w:val="%5."/>
      <w:lvlJc w:val="left"/>
      <w:pPr>
        <w:ind w:left="3600" w:hanging="360"/>
      </w:pPr>
    </w:lvl>
    <w:lvl w:ilvl="5" w:tplc="527A671E" w:tentative="1">
      <w:start w:val="1"/>
      <w:numFmt w:val="lowerRoman"/>
      <w:lvlText w:val="%6."/>
      <w:lvlJc w:val="right"/>
      <w:pPr>
        <w:ind w:left="4320" w:hanging="180"/>
      </w:pPr>
    </w:lvl>
    <w:lvl w:ilvl="6" w:tplc="5CFCA36E" w:tentative="1">
      <w:start w:val="1"/>
      <w:numFmt w:val="decimal"/>
      <w:lvlText w:val="%7."/>
      <w:lvlJc w:val="left"/>
      <w:pPr>
        <w:ind w:left="5040" w:hanging="360"/>
      </w:pPr>
    </w:lvl>
    <w:lvl w:ilvl="7" w:tplc="20F4AE6E" w:tentative="1">
      <w:start w:val="1"/>
      <w:numFmt w:val="lowerLetter"/>
      <w:lvlText w:val="%8."/>
      <w:lvlJc w:val="left"/>
      <w:pPr>
        <w:ind w:left="5760" w:hanging="360"/>
      </w:pPr>
    </w:lvl>
    <w:lvl w:ilvl="8" w:tplc="632AA732" w:tentative="1">
      <w:start w:val="1"/>
      <w:numFmt w:val="lowerRoman"/>
      <w:lvlText w:val="%9."/>
      <w:lvlJc w:val="right"/>
      <w:pPr>
        <w:ind w:left="6480" w:hanging="180"/>
      </w:pPr>
    </w:lvl>
  </w:abstractNum>
  <w:abstractNum w:abstractNumId="22" w15:restartNumberingAfterBreak="0">
    <w:nsid w:val="4AC523BC"/>
    <w:multiLevelType w:val="hybridMultilevel"/>
    <w:tmpl w:val="239C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D52881"/>
    <w:multiLevelType w:val="hybridMultilevel"/>
    <w:tmpl w:val="4F08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2356E5"/>
    <w:multiLevelType w:val="hybridMultilevel"/>
    <w:tmpl w:val="C9626AB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8D5B93"/>
    <w:multiLevelType w:val="hybridMultilevel"/>
    <w:tmpl w:val="FEF23502"/>
    <w:lvl w:ilvl="0" w:tplc="033C4D5E">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CE191F"/>
    <w:multiLevelType w:val="hybridMultilevel"/>
    <w:tmpl w:val="84AE950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5574FA"/>
    <w:multiLevelType w:val="hybridMultilevel"/>
    <w:tmpl w:val="821A8DB8"/>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443C81"/>
    <w:multiLevelType w:val="hybridMultilevel"/>
    <w:tmpl w:val="7528207C"/>
    <w:lvl w:ilvl="0" w:tplc="7C680AA4">
      <w:start w:val="14"/>
      <w:numFmt w:val="decimal"/>
      <w:lvlText w:val="%1."/>
      <w:lvlJc w:val="left"/>
      <w:pPr>
        <w:ind w:left="106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7937CF"/>
    <w:multiLevelType w:val="hybridMultilevel"/>
    <w:tmpl w:val="5468AF50"/>
    <w:lvl w:ilvl="0" w:tplc="F244AAAE">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EC3059"/>
    <w:multiLevelType w:val="multilevel"/>
    <w:tmpl w:val="25A8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721CDE"/>
    <w:multiLevelType w:val="hybridMultilevel"/>
    <w:tmpl w:val="09C89990"/>
    <w:lvl w:ilvl="0" w:tplc="0809000F">
      <w:start w:val="12"/>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510DBA"/>
    <w:multiLevelType w:val="hybridMultilevel"/>
    <w:tmpl w:val="55B6933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1"/>
  </w:num>
  <w:num w:numId="3">
    <w:abstractNumId w:val="11"/>
  </w:num>
  <w:num w:numId="4">
    <w:abstractNumId w:val="16"/>
  </w:num>
  <w:num w:numId="5">
    <w:abstractNumId w:val="6"/>
  </w:num>
  <w:num w:numId="6">
    <w:abstractNumId w:val="8"/>
  </w:num>
  <w:num w:numId="7">
    <w:abstractNumId w:val="0"/>
  </w:num>
  <w:num w:numId="8">
    <w:abstractNumId w:val="15"/>
  </w:num>
  <w:num w:numId="9">
    <w:abstractNumId w:val="2"/>
  </w:num>
  <w:num w:numId="10">
    <w:abstractNumId w:val="26"/>
  </w:num>
  <w:num w:numId="11">
    <w:abstractNumId w:val="4"/>
  </w:num>
  <w:num w:numId="12">
    <w:abstractNumId w:val="29"/>
  </w:num>
  <w:num w:numId="13">
    <w:abstractNumId w:val="17"/>
  </w:num>
  <w:num w:numId="14">
    <w:abstractNumId w:val="32"/>
  </w:num>
  <w:num w:numId="15">
    <w:abstractNumId w:val="31"/>
  </w:num>
  <w:num w:numId="16">
    <w:abstractNumId w:val="24"/>
  </w:num>
  <w:num w:numId="17">
    <w:abstractNumId w:val="20"/>
  </w:num>
  <w:num w:numId="18">
    <w:abstractNumId w:val="18"/>
  </w:num>
  <w:num w:numId="19">
    <w:abstractNumId w:val="1"/>
  </w:num>
  <w:num w:numId="20">
    <w:abstractNumId w:val="28"/>
  </w:num>
  <w:num w:numId="21">
    <w:abstractNumId w:val="9"/>
  </w:num>
  <w:num w:numId="22">
    <w:abstractNumId w:val="27"/>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0"/>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0"/>
  </w:num>
  <w:num w:numId="29">
    <w:abstractNumId w:val="25"/>
  </w:num>
  <w:num w:numId="30">
    <w:abstractNumId w:val="23"/>
  </w:num>
  <w:num w:numId="31">
    <w:abstractNumId w:val="12"/>
  </w:num>
  <w:num w:numId="32">
    <w:abstractNumId w:val="22"/>
  </w:num>
  <w:num w:numId="33">
    <w:abstractNumId w:val="14"/>
  </w:num>
  <w:num w:numId="34">
    <w:abstractNumId w:val="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isplayBackgroundShape/>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E0"/>
    <w:rsid w:val="0001263F"/>
    <w:rsid w:val="00014D60"/>
    <w:rsid w:val="0002468B"/>
    <w:rsid w:val="00050CBA"/>
    <w:rsid w:val="000621F7"/>
    <w:rsid w:val="00072ADB"/>
    <w:rsid w:val="00076C82"/>
    <w:rsid w:val="00094268"/>
    <w:rsid w:val="00095A34"/>
    <w:rsid w:val="000A4536"/>
    <w:rsid w:val="000A5A68"/>
    <w:rsid w:val="000D0D58"/>
    <w:rsid w:val="000E23BD"/>
    <w:rsid w:val="00100C93"/>
    <w:rsid w:val="00116A26"/>
    <w:rsid w:val="00133019"/>
    <w:rsid w:val="00136D65"/>
    <w:rsid w:val="00141D6D"/>
    <w:rsid w:val="001469D9"/>
    <w:rsid w:val="00156C0B"/>
    <w:rsid w:val="0016139F"/>
    <w:rsid w:val="00175311"/>
    <w:rsid w:val="00187044"/>
    <w:rsid w:val="00194510"/>
    <w:rsid w:val="001A1217"/>
    <w:rsid w:val="001E3232"/>
    <w:rsid w:val="001E4324"/>
    <w:rsid w:val="002035C1"/>
    <w:rsid w:val="002159C4"/>
    <w:rsid w:val="00221E35"/>
    <w:rsid w:val="00232517"/>
    <w:rsid w:val="00263A2E"/>
    <w:rsid w:val="00270123"/>
    <w:rsid w:val="00273E54"/>
    <w:rsid w:val="00273FDE"/>
    <w:rsid w:val="0029198B"/>
    <w:rsid w:val="00296A65"/>
    <w:rsid w:val="002D43C7"/>
    <w:rsid w:val="003264B0"/>
    <w:rsid w:val="00347020"/>
    <w:rsid w:val="00362180"/>
    <w:rsid w:val="00390034"/>
    <w:rsid w:val="003C7304"/>
    <w:rsid w:val="003D7C93"/>
    <w:rsid w:val="00406E23"/>
    <w:rsid w:val="00420126"/>
    <w:rsid w:val="004209F9"/>
    <w:rsid w:val="00423F04"/>
    <w:rsid w:val="00447F29"/>
    <w:rsid w:val="00463340"/>
    <w:rsid w:val="00470D25"/>
    <w:rsid w:val="00474CAB"/>
    <w:rsid w:val="00492FF9"/>
    <w:rsid w:val="00497E68"/>
    <w:rsid w:val="004A2476"/>
    <w:rsid w:val="004A6165"/>
    <w:rsid w:val="004E01AB"/>
    <w:rsid w:val="004E2CF6"/>
    <w:rsid w:val="004F1884"/>
    <w:rsid w:val="004F3552"/>
    <w:rsid w:val="00517E85"/>
    <w:rsid w:val="005443AB"/>
    <w:rsid w:val="00547E6F"/>
    <w:rsid w:val="00556297"/>
    <w:rsid w:val="00564711"/>
    <w:rsid w:val="005715F6"/>
    <w:rsid w:val="00592A3E"/>
    <w:rsid w:val="005A3F75"/>
    <w:rsid w:val="005A437F"/>
    <w:rsid w:val="005C3EAC"/>
    <w:rsid w:val="005C7025"/>
    <w:rsid w:val="005D7314"/>
    <w:rsid w:val="005E14B3"/>
    <w:rsid w:val="005E2924"/>
    <w:rsid w:val="00620CFE"/>
    <w:rsid w:val="0063663B"/>
    <w:rsid w:val="006413CE"/>
    <w:rsid w:val="00657F1B"/>
    <w:rsid w:val="006773A1"/>
    <w:rsid w:val="006852A9"/>
    <w:rsid w:val="006C1807"/>
    <w:rsid w:val="006D73F6"/>
    <w:rsid w:val="006E016F"/>
    <w:rsid w:val="006E1636"/>
    <w:rsid w:val="006E1CD9"/>
    <w:rsid w:val="007000E9"/>
    <w:rsid w:val="00710C29"/>
    <w:rsid w:val="00711F1A"/>
    <w:rsid w:val="007144F5"/>
    <w:rsid w:val="00723500"/>
    <w:rsid w:val="00744D09"/>
    <w:rsid w:val="007459B8"/>
    <w:rsid w:val="0076721D"/>
    <w:rsid w:val="00780C7E"/>
    <w:rsid w:val="0078232D"/>
    <w:rsid w:val="00792488"/>
    <w:rsid w:val="007A0DD0"/>
    <w:rsid w:val="007A0E77"/>
    <w:rsid w:val="007B267A"/>
    <w:rsid w:val="007C4648"/>
    <w:rsid w:val="007D117A"/>
    <w:rsid w:val="007D6413"/>
    <w:rsid w:val="007D6443"/>
    <w:rsid w:val="0082422C"/>
    <w:rsid w:val="00827464"/>
    <w:rsid w:val="008425D9"/>
    <w:rsid w:val="00845264"/>
    <w:rsid w:val="00846B6E"/>
    <w:rsid w:val="0086042A"/>
    <w:rsid w:val="008665AC"/>
    <w:rsid w:val="00881937"/>
    <w:rsid w:val="008B59CF"/>
    <w:rsid w:val="008C0649"/>
    <w:rsid w:val="008E4588"/>
    <w:rsid w:val="009016F2"/>
    <w:rsid w:val="00905C16"/>
    <w:rsid w:val="00920588"/>
    <w:rsid w:val="00926C15"/>
    <w:rsid w:val="00926D06"/>
    <w:rsid w:val="009303A7"/>
    <w:rsid w:val="00930ACE"/>
    <w:rsid w:val="00937CB7"/>
    <w:rsid w:val="0094084A"/>
    <w:rsid w:val="00971EF8"/>
    <w:rsid w:val="00994C98"/>
    <w:rsid w:val="009A051D"/>
    <w:rsid w:val="009B412E"/>
    <w:rsid w:val="009C50D8"/>
    <w:rsid w:val="009D3EA1"/>
    <w:rsid w:val="009D5E6B"/>
    <w:rsid w:val="009E0D3D"/>
    <w:rsid w:val="009E1233"/>
    <w:rsid w:val="009E5848"/>
    <w:rsid w:val="009F33BE"/>
    <w:rsid w:val="009F549A"/>
    <w:rsid w:val="00A010DE"/>
    <w:rsid w:val="00A022F0"/>
    <w:rsid w:val="00A06493"/>
    <w:rsid w:val="00A13CBD"/>
    <w:rsid w:val="00A23B53"/>
    <w:rsid w:val="00A34206"/>
    <w:rsid w:val="00A35319"/>
    <w:rsid w:val="00A56E4B"/>
    <w:rsid w:val="00A56F16"/>
    <w:rsid w:val="00A84B01"/>
    <w:rsid w:val="00A950F8"/>
    <w:rsid w:val="00AA3F43"/>
    <w:rsid w:val="00AF3CAC"/>
    <w:rsid w:val="00B0002D"/>
    <w:rsid w:val="00B03132"/>
    <w:rsid w:val="00B249F7"/>
    <w:rsid w:val="00B515AF"/>
    <w:rsid w:val="00B56FC4"/>
    <w:rsid w:val="00B761B4"/>
    <w:rsid w:val="00B810AC"/>
    <w:rsid w:val="00B969EC"/>
    <w:rsid w:val="00B96CE1"/>
    <w:rsid w:val="00B97817"/>
    <w:rsid w:val="00BA6F7A"/>
    <w:rsid w:val="00BD0B87"/>
    <w:rsid w:val="00BE791D"/>
    <w:rsid w:val="00BF666D"/>
    <w:rsid w:val="00C0314B"/>
    <w:rsid w:val="00C61353"/>
    <w:rsid w:val="00C65EF4"/>
    <w:rsid w:val="00CA0409"/>
    <w:rsid w:val="00CA279F"/>
    <w:rsid w:val="00CA5D76"/>
    <w:rsid w:val="00CC5A43"/>
    <w:rsid w:val="00CD42E0"/>
    <w:rsid w:val="00CF0546"/>
    <w:rsid w:val="00CF7ACE"/>
    <w:rsid w:val="00D042A0"/>
    <w:rsid w:val="00D1426B"/>
    <w:rsid w:val="00D27988"/>
    <w:rsid w:val="00D3331C"/>
    <w:rsid w:val="00D3350C"/>
    <w:rsid w:val="00D3560B"/>
    <w:rsid w:val="00D6355F"/>
    <w:rsid w:val="00D727B0"/>
    <w:rsid w:val="00D72AB7"/>
    <w:rsid w:val="00D75627"/>
    <w:rsid w:val="00DC45D0"/>
    <w:rsid w:val="00DC73F3"/>
    <w:rsid w:val="00E0171B"/>
    <w:rsid w:val="00E02919"/>
    <w:rsid w:val="00E03A20"/>
    <w:rsid w:val="00E04A36"/>
    <w:rsid w:val="00E05CDD"/>
    <w:rsid w:val="00E05E13"/>
    <w:rsid w:val="00E11739"/>
    <w:rsid w:val="00E158E6"/>
    <w:rsid w:val="00E17F89"/>
    <w:rsid w:val="00E46BF3"/>
    <w:rsid w:val="00E96A0F"/>
    <w:rsid w:val="00EA2285"/>
    <w:rsid w:val="00EB4D34"/>
    <w:rsid w:val="00EE2120"/>
    <w:rsid w:val="00EF64ED"/>
    <w:rsid w:val="00F10E5E"/>
    <w:rsid w:val="00F20B57"/>
    <w:rsid w:val="00F27967"/>
    <w:rsid w:val="00F30E27"/>
    <w:rsid w:val="00F317D4"/>
    <w:rsid w:val="00F41D5A"/>
    <w:rsid w:val="00F561F8"/>
    <w:rsid w:val="00F76968"/>
    <w:rsid w:val="00F87B54"/>
    <w:rsid w:val="00FA6B33"/>
    <w:rsid w:val="00FD20CA"/>
    <w:rsid w:val="00FE4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F6C8E4"/>
  <w15:chartTrackingRefBased/>
  <w15:docId w15:val="{DBCEC4C4-E9EE-4072-B676-A023511D8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2E0"/>
    <w:pPr>
      <w:spacing w:after="0" w:line="240" w:lineRule="auto"/>
      <w:jc w:val="both"/>
    </w:pPr>
    <w:rPr>
      <w:rFonts w:ascii="avant garde" w:eastAsia="Times New Roman" w:hAnsi="avant garde"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CD42E0"/>
    <w:pPr>
      <w:ind w:left="720"/>
      <w:contextualSpacing/>
    </w:pPr>
  </w:style>
  <w:style w:type="paragraph" w:styleId="BalloonText">
    <w:name w:val="Balloon Text"/>
    <w:basedOn w:val="Normal"/>
    <w:link w:val="BalloonTextChar"/>
    <w:uiPriority w:val="99"/>
    <w:semiHidden/>
    <w:unhideWhenUsed/>
    <w:rsid w:val="00CF05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546"/>
    <w:rPr>
      <w:rFonts w:ascii="Segoe UI" w:eastAsia="Times New Roman" w:hAnsi="Segoe UI" w:cs="Segoe UI"/>
      <w:sz w:val="18"/>
      <w:szCs w:val="18"/>
    </w:rPr>
  </w:style>
  <w:style w:type="paragraph" w:styleId="FootnoteText">
    <w:name w:val="footnote text"/>
    <w:basedOn w:val="Normal"/>
    <w:link w:val="FootnoteTextChar"/>
    <w:uiPriority w:val="99"/>
    <w:unhideWhenUsed/>
    <w:rsid w:val="00926C15"/>
    <w:rPr>
      <w:sz w:val="20"/>
      <w:szCs w:val="20"/>
    </w:rPr>
  </w:style>
  <w:style w:type="character" w:customStyle="1" w:styleId="FootnoteTextChar">
    <w:name w:val="Footnote Text Char"/>
    <w:basedOn w:val="DefaultParagraphFont"/>
    <w:link w:val="FootnoteText"/>
    <w:uiPriority w:val="99"/>
    <w:rsid w:val="00926C15"/>
    <w:rPr>
      <w:rFonts w:ascii="avant garde" w:eastAsia="Times New Roman" w:hAnsi="avant garde" w:cs="Times New Roman"/>
      <w:sz w:val="20"/>
      <w:szCs w:val="20"/>
    </w:rPr>
  </w:style>
  <w:style w:type="character" w:styleId="FootnoteReference">
    <w:name w:val="footnote reference"/>
    <w:basedOn w:val="DefaultParagraphFont"/>
    <w:uiPriority w:val="99"/>
    <w:unhideWhenUsed/>
    <w:rsid w:val="00926C15"/>
    <w:rPr>
      <w:vertAlign w:val="superscript"/>
    </w:rPr>
  </w:style>
  <w:style w:type="character" w:styleId="Hyperlink">
    <w:name w:val="Hyperlink"/>
    <w:basedOn w:val="DefaultParagraphFont"/>
    <w:uiPriority w:val="99"/>
    <w:unhideWhenUsed/>
    <w:rsid w:val="00926C15"/>
    <w:rPr>
      <w:color w:val="0000FF"/>
      <w:u w:val="single"/>
    </w:rPr>
  </w:style>
  <w:style w:type="paragraph" w:styleId="Header">
    <w:name w:val="header"/>
    <w:basedOn w:val="Normal"/>
    <w:link w:val="HeaderChar"/>
    <w:uiPriority w:val="99"/>
    <w:unhideWhenUsed/>
    <w:rsid w:val="005E2924"/>
    <w:pPr>
      <w:tabs>
        <w:tab w:val="center" w:pos="4513"/>
        <w:tab w:val="right" w:pos="9026"/>
      </w:tabs>
    </w:pPr>
  </w:style>
  <w:style w:type="character" w:customStyle="1" w:styleId="HeaderChar">
    <w:name w:val="Header Char"/>
    <w:basedOn w:val="DefaultParagraphFont"/>
    <w:link w:val="Header"/>
    <w:uiPriority w:val="99"/>
    <w:rsid w:val="005E2924"/>
    <w:rPr>
      <w:rFonts w:ascii="avant garde" w:eastAsia="Times New Roman" w:hAnsi="avant garde" w:cs="Times New Roman"/>
      <w:szCs w:val="24"/>
    </w:rPr>
  </w:style>
  <w:style w:type="paragraph" w:styleId="Footer">
    <w:name w:val="footer"/>
    <w:basedOn w:val="Normal"/>
    <w:link w:val="FooterChar"/>
    <w:uiPriority w:val="99"/>
    <w:unhideWhenUsed/>
    <w:rsid w:val="005E2924"/>
    <w:pPr>
      <w:tabs>
        <w:tab w:val="center" w:pos="4513"/>
        <w:tab w:val="right" w:pos="9026"/>
      </w:tabs>
    </w:pPr>
  </w:style>
  <w:style w:type="character" w:customStyle="1" w:styleId="FooterChar">
    <w:name w:val="Footer Char"/>
    <w:basedOn w:val="DefaultParagraphFont"/>
    <w:link w:val="Footer"/>
    <w:uiPriority w:val="99"/>
    <w:rsid w:val="005E2924"/>
    <w:rPr>
      <w:rFonts w:ascii="avant garde" w:eastAsia="Times New Roman" w:hAnsi="avant garde" w:cs="Times New Roman"/>
      <w:szCs w:val="24"/>
    </w:rPr>
  </w:style>
  <w:style w:type="character" w:customStyle="1" w:styleId="UnresolvedMention1">
    <w:name w:val="Unresolved Mention1"/>
    <w:basedOn w:val="DefaultParagraphFont"/>
    <w:uiPriority w:val="99"/>
    <w:semiHidden/>
    <w:unhideWhenUsed/>
    <w:rsid w:val="005E2924"/>
    <w:rPr>
      <w:color w:val="605E5C"/>
      <w:shd w:val="clear" w:color="auto" w:fill="E1DFDD"/>
    </w:rPr>
  </w:style>
  <w:style w:type="character" w:styleId="FollowedHyperlink">
    <w:name w:val="FollowedHyperlink"/>
    <w:basedOn w:val="DefaultParagraphFont"/>
    <w:uiPriority w:val="99"/>
    <w:semiHidden/>
    <w:unhideWhenUsed/>
    <w:rsid w:val="00463340"/>
    <w:rPr>
      <w:color w:val="954F72" w:themeColor="followedHyperlink"/>
      <w:u w:val="single"/>
    </w:rPr>
  </w:style>
  <w:style w:type="character" w:styleId="UnresolvedMention">
    <w:name w:val="Unresolved Mention"/>
    <w:basedOn w:val="DefaultParagraphFont"/>
    <w:uiPriority w:val="99"/>
    <w:rsid w:val="00273E54"/>
    <w:rPr>
      <w:color w:val="605E5C"/>
      <w:shd w:val="clear" w:color="auto" w:fill="E1DFDD"/>
    </w:rPr>
  </w:style>
  <w:style w:type="paragraph" w:styleId="Revision">
    <w:name w:val="Revision"/>
    <w:hidden/>
    <w:uiPriority w:val="99"/>
    <w:semiHidden/>
    <w:rsid w:val="00A23B53"/>
    <w:pPr>
      <w:spacing w:after="0" w:line="240" w:lineRule="auto"/>
    </w:pPr>
    <w:rPr>
      <w:rFonts w:ascii="avant garde" w:eastAsia="Times New Roman" w:hAnsi="avant garde" w:cs="Times New Roman"/>
      <w:szCs w:val="24"/>
    </w:rPr>
  </w:style>
  <w:style w:type="paragraph" w:customStyle="1" w:styleId="Default">
    <w:name w:val="Default"/>
    <w:rsid w:val="004209F9"/>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05CDD"/>
    <w:rPr>
      <w:sz w:val="16"/>
      <w:szCs w:val="16"/>
    </w:rPr>
  </w:style>
  <w:style w:type="paragraph" w:styleId="CommentText">
    <w:name w:val="annotation text"/>
    <w:basedOn w:val="Normal"/>
    <w:link w:val="CommentTextChar"/>
    <w:uiPriority w:val="99"/>
    <w:semiHidden/>
    <w:unhideWhenUsed/>
    <w:rsid w:val="00E05CDD"/>
    <w:rPr>
      <w:sz w:val="20"/>
      <w:szCs w:val="20"/>
    </w:rPr>
  </w:style>
  <w:style w:type="character" w:customStyle="1" w:styleId="CommentTextChar">
    <w:name w:val="Comment Text Char"/>
    <w:basedOn w:val="DefaultParagraphFont"/>
    <w:link w:val="CommentText"/>
    <w:uiPriority w:val="99"/>
    <w:semiHidden/>
    <w:rsid w:val="00E05CDD"/>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E05CDD"/>
    <w:rPr>
      <w:b/>
      <w:bCs/>
    </w:rPr>
  </w:style>
  <w:style w:type="character" w:customStyle="1" w:styleId="CommentSubjectChar">
    <w:name w:val="Comment Subject Char"/>
    <w:basedOn w:val="CommentTextChar"/>
    <w:link w:val="CommentSubject"/>
    <w:uiPriority w:val="99"/>
    <w:semiHidden/>
    <w:rsid w:val="00E05CDD"/>
    <w:rPr>
      <w:rFonts w:ascii="avant garde" w:eastAsia="Times New Roman" w:hAnsi="avant garde" w:cs="Times New Roman"/>
      <w:b/>
      <w:bCs/>
      <w:sz w:val="20"/>
      <w:szCs w:val="20"/>
    </w:rPr>
  </w:style>
  <w:style w:type="character" w:customStyle="1" w:styleId="ListParagraphChar">
    <w:name w:val="List Paragraph Char"/>
    <w:aliases w:val="Dot pt Char"/>
    <w:basedOn w:val="DefaultParagraphFont"/>
    <w:link w:val="ListParagraph"/>
    <w:uiPriority w:val="34"/>
    <w:locked/>
    <w:rsid w:val="006852A9"/>
    <w:rPr>
      <w:rFonts w:ascii="avant garde" w:eastAsia="Times New Roman" w:hAnsi="avant garde"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9999">
      <w:bodyDiv w:val="1"/>
      <w:marLeft w:val="0"/>
      <w:marRight w:val="0"/>
      <w:marTop w:val="0"/>
      <w:marBottom w:val="0"/>
      <w:divBdr>
        <w:top w:val="none" w:sz="0" w:space="0" w:color="auto"/>
        <w:left w:val="none" w:sz="0" w:space="0" w:color="auto"/>
        <w:bottom w:val="none" w:sz="0" w:space="0" w:color="auto"/>
        <w:right w:val="none" w:sz="0" w:space="0" w:color="auto"/>
      </w:divBdr>
    </w:div>
    <w:div w:id="25369816">
      <w:bodyDiv w:val="1"/>
      <w:marLeft w:val="0"/>
      <w:marRight w:val="0"/>
      <w:marTop w:val="0"/>
      <w:marBottom w:val="0"/>
      <w:divBdr>
        <w:top w:val="none" w:sz="0" w:space="0" w:color="auto"/>
        <w:left w:val="none" w:sz="0" w:space="0" w:color="auto"/>
        <w:bottom w:val="none" w:sz="0" w:space="0" w:color="auto"/>
        <w:right w:val="none" w:sz="0" w:space="0" w:color="auto"/>
      </w:divBdr>
    </w:div>
    <w:div w:id="55669389">
      <w:bodyDiv w:val="1"/>
      <w:marLeft w:val="0"/>
      <w:marRight w:val="0"/>
      <w:marTop w:val="0"/>
      <w:marBottom w:val="0"/>
      <w:divBdr>
        <w:top w:val="none" w:sz="0" w:space="0" w:color="auto"/>
        <w:left w:val="none" w:sz="0" w:space="0" w:color="auto"/>
        <w:bottom w:val="none" w:sz="0" w:space="0" w:color="auto"/>
        <w:right w:val="none" w:sz="0" w:space="0" w:color="auto"/>
      </w:divBdr>
    </w:div>
    <w:div w:id="58216679">
      <w:bodyDiv w:val="1"/>
      <w:marLeft w:val="0"/>
      <w:marRight w:val="0"/>
      <w:marTop w:val="0"/>
      <w:marBottom w:val="0"/>
      <w:divBdr>
        <w:top w:val="none" w:sz="0" w:space="0" w:color="auto"/>
        <w:left w:val="none" w:sz="0" w:space="0" w:color="auto"/>
        <w:bottom w:val="none" w:sz="0" w:space="0" w:color="auto"/>
        <w:right w:val="none" w:sz="0" w:space="0" w:color="auto"/>
      </w:divBdr>
    </w:div>
    <w:div w:id="123961193">
      <w:bodyDiv w:val="1"/>
      <w:marLeft w:val="0"/>
      <w:marRight w:val="0"/>
      <w:marTop w:val="0"/>
      <w:marBottom w:val="0"/>
      <w:divBdr>
        <w:top w:val="none" w:sz="0" w:space="0" w:color="auto"/>
        <w:left w:val="none" w:sz="0" w:space="0" w:color="auto"/>
        <w:bottom w:val="none" w:sz="0" w:space="0" w:color="auto"/>
        <w:right w:val="none" w:sz="0" w:space="0" w:color="auto"/>
      </w:divBdr>
    </w:div>
    <w:div w:id="170415703">
      <w:bodyDiv w:val="1"/>
      <w:marLeft w:val="0"/>
      <w:marRight w:val="0"/>
      <w:marTop w:val="0"/>
      <w:marBottom w:val="0"/>
      <w:divBdr>
        <w:top w:val="none" w:sz="0" w:space="0" w:color="auto"/>
        <w:left w:val="none" w:sz="0" w:space="0" w:color="auto"/>
        <w:bottom w:val="none" w:sz="0" w:space="0" w:color="auto"/>
        <w:right w:val="none" w:sz="0" w:space="0" w:color="auto"/>
      </w:divBdr>
    </w:div>
    <w:div w:id="205683354">
      <w:bodyDiv w:val="1"/>
      <w:marLeft w:val="0"/>
      <w:marRight w:val="0"/>
      <w:marTop w:val="0"/>
      <w:marBottom w:val="0"/>
      <w:divBdr>
        <w:top w:val="none" w:sz="0" w:space="0" w:color="auto"/>
        <w:left w:val="none" w:sz="0" w:space="0" w:color="auto"/>
        <w:bottom w:val="none" w:sz="0" w:space="0" w:color="auto"/>
        <w:right w:val="none" w:sz="0" w:space="0" w:color="auto"/>
      </w:divBdr>
    </w:div>
    <w:div w:id="249851878">
      <w:bodyDiv w:val="1"/>
      <w:marLeft w:val="0"/>
      <w:marRight w:val="0"/>
      <w:marTop w:val="0"/>
      <w:marBottom w:val="0"/>
      <w:divBdr>
        <w:top w:val="none" w:sz="0" w:space="0" w:color="auto"/>
        <w:left w:val="none" w:sz="0" w:space="0" w:color="auto"/>
        <w:bottom w:val="none" w:sz="0" w:space="0" w:color="auto"/>
        <w:right w:val="none" w:sz="0" w:space="0" w:color="auto"/>
      </w:divBdr>
    </w:div>
    <w:div w:id="252397011">
      <w:bodyDiv w:val="1"/>
      <w:marLeft w:val="0"/>
      <w:marRight w:val="0"/>
      <w:marTop w:val="0"/>
      <w:marBottom w:val="0"/>
      <w:divBdr>
        <w:top w:val="none" w:sz="0" w:space="0" w:color="auto"/>
        <w:left w:val="none" w:sz="0" w:space="0" w:color="auto"/>
        <w:bottom w:val="none" w:sz="0" w:space="0" w:color="auto"/>
        <w:right w:val="none" w:sz="0" w:space="0" w:color="auto"/>
      </w:divBdr>
    </w:div>
    <w:div w:id="270213558">
      <w:bodyDiv w:val="1"/>
      <w:marLeft w:val="0"/>
      <w:marRight w:val="0"/>
      <w:marTop w:val="0"/>
      <w:marBottom w:val="0"/>
      <w:divBdr>
        <w:top w:val="none" w:sz="0" w:space="0" w:color="auto"/>
        <w:left w:val="none" w:sz="0" w:space="0" w:color="auto"/>
        <w:bottom w:val="none" w:sz="0" w:space="0" w:color="auto"/>
        <w:right w:val="none" w:sz="0" w:space="0" w:color="auto"/>
      </w:divBdr>
    </w:div>
    <w:div w:id="494492781">
      <w:bodyDiv w:val="1"/>
      <w:marLeft w:val="0"/>
      <w:marRight w:val="0"/>
      <w:marTop w:val="0"/>
      <w:marBottom w:val="0"/>
      <w:divBdr>
        <w:top w:val="none" w:sz="0" w:space="0" w:color="auto"/>
        <w:left w:val="none" w:sz="0" w:space="0" w:color="auto"/>
        <w:bottom w:val="none" w:sz="0" w:space="0" w:color="auto"/>
        <w:right w:val="none" w:sz="0" w:space="0" w:color="auto"/>
      </w:divBdr>
    </w:div>
    <w:div w:id="557087135">
      <w:bodyDiv w:val="1"/>
      <w:marLeft w:val="0"/>
      <w:marRight w:val="0"/>
      <w:marTop w:val="0"/>
      <w:marBottom w:val="0"/>
      <w:divBdr>
        <w:top w:val="none" w:sz="0" w:space="0" w:color="auto"/>
        <w:left w:val="none" w:sz="0" w:space="0" w:color="auto"/>
        <w:bottom w:val="none" w:sz="0" w:space="0" w:color="auto"/>
        <w:right w:val="none" w:sz="0" w:space="0" w:color="auto"/>
      </w:divBdr>
    </w:div>
    <w:div w:id="784887206">
      <w:bodyDiv w:val="1"/>
      <w:marLeft w:val="0"/>
      <w:marRight w:val="0"/>
      <w:marTop w:val="0"/>
      <w:marBottom w:val="0"/>
      <w:divBdr>
        <w:top w:val="none" w:sz="0" w:space="0" w:color="auto"/>
        <w:left w:val="none" w:sz="0" w:space="0" w:color="auto"/>
        <w:bottom w:val="none" w:sz="0" w:space="0" w:color="auto"/>
        <w:right w:val="none" w:sz="0" w:space="0" w:color="auto"/>
      </w:divBdr>
    </w:div>
    <w:div w:id="825904687">
      <w:bodyDiv w:val="1"/>
      <w:marLeft w:val="0"/>
      <w:marRight w:val="0"/>
      <w:marTop w:val="0"/>
      <w:marBottom w:val="0"/>
      <w:divBdr>
        <w:top w:val="none" w:sz="0" w:space="0" w:color="auto"/>
        <w:left w:val="none" w:sz="0" w:space="0" w:color="auto"/>
        <w:bottom w:val="none" w:sz="0" w:space="0" w:color="auto"/>
        <w:right w:val="none" w:sz="0" w:space="0" w:color="auto"/>
      </w:divBdr>
    </w:div>
    <w:div w:id="968125432">
      <w:bodyDiv w:val="1"/>
      <w:marLeft w:val="0"/>
      <w:marRight w:val="0"/>
      <w:marTop w:val="0"/>
      <w:marBottom w:val="0"/>
      <w:divBdr>
        <w:top w:val="none" w:sz="0" w:space="0" w:color="auto"/>
        <w:left w:val="none" w:sz="0" w:space="0" w:color="auto"/>
        <w:bottom w:val="none" w:sz="0" w:space="0" w:color="auto"/>
        <w:right w:val="none" w:sz="0" w:space="0" w:color="auto"/>
      </w:divBdr>
    </w:div>
    <w:div w:id="1027605818">
      <w:bodyDiv w:val="1"/>
      <w:marLeft w:val="0"/>
      <w:marRight w:val="0"/>
      <w:marTop w:val="0"/>
      <w:marBottom w:val="0"/>
      <w:divBdr>
        <w:top w:val="none" w:sz="0" w:space="0" w:color="auto"/>
        <w:left w:val="none" w:sz="0" w:space="0" w:color="auto"/>
        <w:bottom w:val="none" w:sz="0" w:space="0" w:color="auto"/>
        <w:right w:val="none" w:sz="0" w:space="0" w:color="auto"/>
      </w:divBdr>
    </w:div>
    <w:div w:id="1066613138">
      <w:bodyDiv w:val="1"/>
      <w:marLeft w:val="0"/>
      <w:marRight w:val="0"/>
      <w:marTop w:val="0"/>
      <w:marBottom w:val="0"/>
      <w:divBdr>
        <w:top w:val="none" w:sz="0" w:space="0" w:color="auto"/>
        <w:left w:val="none" w:sz="0" w:space="0" w:color="auto"/>
        <w:bottom w:val="none" w:sz="0" w:space="0" w:color="auto"/>
        <w:right w:val="none" w:sz="0" w:space="0" w:color="auto"/>
      </w:divBdr>
    </w:div>
    <w:div w:id="1140227750">
      <w:bodyDiv w:val="1"/>
      <w:marLeft w:val="0"/>
      <w:marRight w:val="0"/>
      <w:marTop w:val="0"/>
      <w:marBottom w:val="0"/>
      <w:divBdr>
        <w:top w:val="none" w:sz="0" w:space="0" w:color="auto"/>
        <w:left w:val="none" w:sz="0" w:space="0" w:color="auto"/>
        <w:bottom w:val="none" w:sz="0" w:space="0" w:color="auto"/>
        <w:right w:val="none" w:sz="0" w:space="0" w:color="auto"/>
      </w:divBdr>
    </w:div>
    <w:div w:id="1279336271">
      <w:bodyDiv w:val="1"/>
      <w:marLeft w:val="0"/>
      <w:marRight w:val="0"/>
      <w:marTop w:val="0"/>
      <w:marBottom w:val="0"/>
      <w:divBdr>
        <w:top w:val="none" w:sz="0" w:space="0" w:color="auto"/>
        <w:left w:val="none" w:sz="0" w:space="0" w:color="auto"/>
        <w:bottom w:val="none" w:sz="0" w:space="0" w:color="auto"/>
        <w:right w:val="none" w:sz="0" w:space="0" w:color="auto"/>
      </w:divBdr>
    </w:div>
    <w:div w:id="1289437794">
      <w:bodyDiv w:val="1"/>
      <w:marLeft w:val="0"/>
      <w:marRight w:val="0"/>
      <w:marTop w:val="0"/>
      <w:marBottom w:val="0"/>
      <w:divBdr>
        <w:top w:val="none" w:sz="0" w:space="0" w:color="auto"/>
        <w:left w:val="none" w:sz="0" w:space="0" w:color="auto"/>
        <w:bottom w:val="none" w:sz="0" w:space="0" w:color="auto"/>
        <w:right w:val="none" w:sz="0" w:space="0" w:color="auto"/>
      </w:divBdr>
    </w:div>
    <w:div w:id="1301690000">
      <w:bodyDiv w:val="1"/>
      <w:marLeft w:val="0"/>
      <w:marRight w:val="0"/>
      <w:marTop w:val="0"/>
      <w:marBottom w:val="0"/>
      <w:divBdr>
        <w:top w:val="none" w:sz="0" w:space="0" w:color="auto"/>
        <w:left w:val="none" w:sz="0" w:space="0" w:color="auto"/>
        <w:bottom w:val="none" w:sz="0" w:space="0" w:color="auto"/>
        <w:right w:val="none" w:sz="0" w:space="0" w:color="auto"/>
      </w:divBdr>
    </w:div>
    <w:div w:id="1337340890">
      <w:bodyDiv w:val="1"/>
      <w:marLeft w:val="0"/>
      <w:marRight w:val="0"/>
      <w:marTop w:val="0"/>
      <w:marBottom w:val="0"/>
      <w:divBdr>
        <w:top w:val="none" w:sz="0" w:space="0" w:color="auto"/>
        <w:left w:val="none" w:sz="0" w:space="0" w:color="auto"/>
        <w:bottom w:val="none" w:sz="0" w:space="0" w:color="auto"/>
        <w:right w:val="none" w:sz="0" w:space="0" w:color="auto"/>
      </w:divBdr>
    </w:div>
    <w:div w:id="1349137880">
      <w:bodyDiv w:val="1"/>
      <w:marLeft w:val="0"/>
      <w:marRight w:val="0"/>
      <w:marTop w:val="0"/>
      <w:marBottom w:val="0"/>
      <w:divBdr>
        <w:top w:val="none" w:sz="0" w:space="0" w:color="auto"/>
        <w:left w:val="none" w:sz="0" w:space="0" w:color="auto"/>
        <w:bottom w:val="none" w:sz="0" w:space="0" w:color="auto"/>
        <w:right w:val="none" w:sz="0" w:space="0" w:color="auto"/>
      </w:divBdr>
    </w:div>
    <w:div w:id="1418789549">
      <w:bodyDiv w:val="1"/>
      <w:marLeft w:val="0"/>
      <w:marRight w:val="0"/>
      <w:marTop w:val="0"/>
      <w:marBottom w:val="0"/>
      <w:divBdr>
        <w:top w:val="none" w:sz="0" w:space="0" w:color="auto"/>
        <w:left w:val="none" w:sz="0" w:space="0" w:color="auto"/>
        <w:bottom w:val="none" w:sz="0" w:space="0" w:color="auto"/>
        <w:right w:val="none" w:sz="0" w:space="0" w:color="auto"/>
      </w:divBdr>
    </w:div>
    <w:div w:id="1427580539">
      <w:bodyDiv w:val="1"/>
      <w:marLeft w:val="0"/>
      <w:marRight w:val="0"/>
      <w:marTop w:val="0"/>
      <w:marBottom w:val="0"/>
      <w:divBdr>
        <w:top w:val="none" w:sz="0" w:space="0" w:color="auto"/>
        <w:left w:val="none" w:sz="0" w:space="0" w:color="auto"/>
        <w:bottom w:val="none" w:sz="0" w:space="0" w:color="auto"/>
        <w:right w:val="none" w:sz="0" w:space="0" w:color="auto"/>
      </w:divBdr>
    </w:div>
    <w:div w:id="1598951285">
      <w:bodyDiv w:val="1"/>
      <w:marLeft w:val="0"/>
      <w:marRight w:val="0"/>
      <w:marTop w:val="0"/>
      <w:marBottom w:val="0"/>
      <w:divBdr>
        <w:top w:val="none" w:sz="0" w:space="0" w:color="auto"/>
        <w:left w:val="none" w:sz="0" w:space="0" w:color="auto"/>
        <w:bottom w:val="none" w:sz="0" w:space="0" w:color="auto"/>
        <w:right w:val="none" w:sz="0" w:space="0" w:color="auto"/>
      </w:divBdr>
    </w:div>
    <w:div w:id="1710757187">
      <w:bodyDiv w:val="1"/>
      <w:marLeft w:val="0"/>
      <w:marRight w:val="0"/>
      <w:marTop w:val="0"/>
      <w:marBottom w:val="0"/>
      <w:divBdr>
        <w:top w:val="none" w:sz="0" w:space="0" w:color="auto"/>
        <w:left w:val="none" w:sz="0" w:space="0" w:color="auto"/>
        <w:bottom w:val="none" w:sz="0" w:space="0" w:color="auto"/>
        <w:right w:val="none" w:sz="0" w:space="0" w:color="auto"/>
      </w:divBdr>
    </w:div>
    <w:div w:id="1823740376">
      <w:bodyDiv w:val="1"/>
      <w:marLeft w:val="0"/>
      <w:marRight w:val="0"/>
      <w:marTop w:val="0"/>
      <w:marBottom w:val="0"/>
      <w:divBdr>
        <w:top w:val="none" w:sz="0" w:space="0" w:color="auto"/>
        <w:left w:val="none" w:sz="0" w:space="0" w:color="auto"/>
        <w:bottom w:val="none" w:sz="0" w:space="0" w:color="auto"/>
        <w:right w:val="none" w:sz="0" w:space="0" w:color="auto"/>
      </w:divBdr>
    </w:div>
    <w:div w:id="1904411781">
      <w:bodyDiv w:val="1"/>
      <w:marLeft w:val="0"/>
      <w:marRight w:val="0"/>
      <w:marTop w:val="0"/>
      <w:marBottom w:val="0"/>
      <w:divBdr>
        <w:top w:val="none" w:sz="0" w:space="0" w:color="auto"/>
        <w:left w:val="none" w:sz="0" w:space="0" w:color="auto"/>
        <w:bottom w:val="none" w:sz="0" w:space="0" w:color="auto"/>
        <w:right w:val="none" w:sz="0" w:space="0" w:color="auto"/>
      </w:divBdr>
    </w:div>
    <w:div w:id="19420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ckle@r-e-a.ne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ickle@r-e-a.n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eanbiogas.eu/evidence-collected-by-eba-shows-positive-impact-of-sequential-cropping-on-ghg-reductions-biodiversity-and-soil-qualit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dbioresources.org/wp-content/uploads/2014/09/cbp-a5_Web.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consultations/future-support-for-low-carbon-hea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a.net/" TargetMode="External"/><Relationship Id="rId1" Type="http://schemas.openxmlformats.org/officeDocument/2006/relationships/hyperlink" Target="mailto:info@r-e-a.ne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i.co.uk/library/an-eti-perspective-bioenergy-crops-in-the-uk-case-studies-of-successful-whole-farm-integration" TargetMode="External"/><Relationship Id="rId2" Type="http://schemas.openxmlformats.org/officeDocument/2006/relationships/hyperlink" Target="https://www.rfs.org.uk/media/671068/forestry-elms-position-paper-july-2019.pdf" TargetMode="External"/><Relationship Id="rId1" Type="http://schemas.openxmlformats.org/officeDocument/2006/relationships/hyperlink" Target="https://www.rfs.org.uk/media/710684/woodland-creation-opportunities-and-barriers-020620-embargo-3-june.pdf" TargetMode="External"/><Relationship Id="rId6" Type="http://schemas.openxmlformats.org/officeDocument/2006/relationships/hyperlink" Target="https://www.stwater.co.uk/about-us/environment/catchment-management/severn-trent-environmental-protection-scheme/" TargetMode="External"/><Relationship Id="rId5" Type="http://schemas.openxmlformats.org/officeDocument/2006/relationships/hyperlink" Target="https://pure.aber.ac.uk/portal/files/6593598/McCalmont_et_al_2015_GCB_Bioenergy.pdf" TargetMode="External"/><Relationship Id="rId4" Type="http://schemas.openxmlformats.org/officeDocument/2006/relationships/hyperlink" Target="https://westcumbriariverstrust.org/assets/content/projects/downloads/11882_nfm_handbook_web.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66660-11AD-4673-8D64-FD911D6C8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3976</Words>
  <Characters>22666</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Sommerfeld</dc:creator>
  <cp:lastModifiedBy>Sam Tickle</cp:lastModifiedBy>
  <cp:revision>2</cp:revision>
  <cp:lastPrinted>2020-06-11T14:34:00Z</cp:lastPrinted>
  <dcterms:created xsi:type="dcterms:W3CDTF">2020-07-28T15:51:00Z</dcterms:created>
  <dcterms:modified xsi:type="dcterms:W3CDTF">2020-07-28T15:51:00Z</dcterms:modified>
</cp:coreProperties>
</file>