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373EB" w14:textId="77584FF6" w:rsidR="00540D4E" w:rsidRDefault="00540D4E" w:rsidP="00540D4E">
      <w:pPr>
        <w:pStyle w:val="Checklist"/>
        <w:tabs>
          <w:tab w:val="left" w:pos="4111"/>
        </w:tabs>
      </w:pPr>
      <w:r w:rsidRPr="00540D4E">
        <w:t>CUSC Workgroup Consultation Response Proforma</w:t>
      </w:r>
    </w:p>
    <w:p w14:paraId="5820C1DC" w14:textId="77777777" w:rsidR="00EF6704" w:rsidRPr="00E51202" w:rsidRDefault="00EF6704" w:rsidP="0006725A">
      <w:pPr>
        <w:ind w:right="113"/>
        <w:rPr>
          <w:rFonts w:cs="Arial"/>
          <w:b/>
          <w:sz w:val="28"/>
          <w:szCs w:val="28"/>
        </w:rPr>
      </w:pPr>
    </w:p>
    <w:p w14:paraId="6BC172BD" w14:textId="4CA1D8FF" w:rsidR="003C60F9" w:rsidRPr="00E51202" w:rsidRDefault="003C60F9" w:rsidP="0049352D">
      <w:pPr>
        <w:rPr>
          <w:b/>
          <w:color w:val="F26522" w:themeColor="accent1"/>
          <w:sz w:val="28"/>
          <w:szCs w:val="28"/>
        </w:rPr>
      </w:pPr>
      <w:bookmarkStart w:id="0" w:name="_Hlk31877162"/>
      <w:r w:rsidRPr="00E51202">
        <w:rPr>
          <w:b/>
          <w:color w:val="F26522" w:themeColor="accent1"/>
          <w:sz w:val="28"/>
          <w:szCs w:val="28"/>
        </w:rPr>
        <w:t>CMP3</w:t>
      </w:r>
      <w:r w:rsidR="008643FE" w:rsidRPr="00E51202">
        <w:rPr>
          <w:b/>
          <w:color w:val="F26522" w:themeColor="accent1"/>
          <w:sz w:val="28"/>
          <w:szCs w:val="28"/>
        </w:rPr>
        <w:t>50</w:t>
      </w:r>
      <w:r w:rsidRPr="00E51202">
        <w:rPr>
          <w:b/>
          <w:color w:val="F26522" w:themeColor="accent1"/>
          <w:sz w:val="28"/>
          <w:szCs w:val="28"/>
        </w:rPr>
        <w:t>:</w:t>
      </w:r>
      <w:r w:rsidR="00C20914" w:rsidRPr="00E51202">
        <w:rPr>
          <w:b/>
          <w:color w:val="F26522" w:themeColor="accent1"/>
          <w:sz w:val="28"/>
          <w:szCs w:val="28"/>
        </w:rPr>
        <w:t xml:space="preserve"> </w:t>
      </w:r>
      <w:r w:rsidR="00C20914" w:rsidRPr="00E51202">
        <w:rPr>
          <w:bCs/>
          <w:color w:val="F26522" w:themeColor="accent1"/>
          <w:sz w:val="28"/>
          <w:szCs w:val="28"/>
        </w:rPr>
        <w:t>‘</w:t>
      </w:r>
      <w:r w:rsidR="008643FE" w:rsidRPr="00E51202">
        <w:rPr>
          <w:b/>
          <w:color w:val="F26522" w:themeColor="accent1"/>
          <w:sz w:val="28"/>
          <w:szCs w:val="28"/>
        </w:rPr>
        <w:t>Changes to the BSUoS Covid Support Scheme’</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1CEA5568"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49352D">
        <w:rPr>
          <w:rFonts w:cs="Arial"/>
          <w:b/>
          <w:spacing w:val="-3"/>
          <w:sz w:val="24"/>
        </w:rPr>
        <w:t>5p</w:t>
      </w:r>
      <w:r w:rsidRPr="00CF795B">
        <w:rPr>
          <w:rFonts w:cs="Arial"/>
          <w:b/>
          <w:spacing w:val="-3"/>
          <w:sz w:val="24"/>
        </w:rPr>
        <w:t>m</w:t>
      </w:r>
      <w:r w:rsidRPr="00CF795B">
        <w:rPr>
          <w:rFonts w:cs="Arial"/>
          <w:spacing w:val="-3"/>
          <w:sz w:val="24"/>
        </w:rPr>
        <w:t xml:space="preserve"> on </w:t>
      </w:r>
      <w:r w:rsidR="00E51202">
        <w:rPr>
          <w:rFonts w:cs="Arial"/>
          <w:b/>
          <w:spacing w:val="-3"/>
          <w:sz w:val="24"/>
        </w:rPr>
        <w:t>27 July</w:t>
      </w:r>
      <w:r w:rsidR="0049352D">
        <w:rPr>
          <w:rFonts w:cs="Arial"/>
          <w:b/>
          <w:spacing w:val="-3"/>
          <w:sz w:val="24"/>
        </w:rPr>
        <w:t xml:space="preserve"> </w:t>
      </w:r>
      <w:r w:rsidR="001A6294">
        <w:rPr>
          <w:rFonts w:cs="Arial"/>
          <w:b/>
          <w:spacing w:val="-3"/>
          <w:sz w:val="24"/>
        </w:rPr>
        <w:t>202</w:t>
      </w:r>
      <w:r w:rsidR="00C204B9" w:rsidRPr="00CF795B">
        <w:rPr>
          <w:rFonts w:cs="Arial"/>
          <w:b/>
          <w:spacing w:val="-3"/>
          <w:sz w:val="24"/>
        </w:rPr>
        <w:t>0</w:t>
      </w:r>
      <w:r w:rsidRPr="00CF795B">
        <w:rPr>
          <w:rFonts w:cs="Arial"/>
          <w:spacing w:val="-3"/>
          <w:sz w:val="24"/>
        </w:rPr>
        <w:t>.  Please note that any responses received after the deadline or sent to a different email address may not receive due consideration by the Workgroup.</w:t>
      </w:r>
    </w:p>
    <w:p w14:paraId="0E3C4DDD" w14:textId="43504E2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49352D">
        <w:rPr>
          <w:rFonts w:cs="Arial"/>
          <w:sz w:val="24"/>
        </w:rPr>
        <w:t xml:space="preserve">Paul Mullen </w:t>
      </w:r>
      <w:r w:rsidR="0006725A" w:rsidRPr="00CF795B">
        <w:rPr>
          <w:rFonts w:cs="Arial"/>
          <w:sz w:val="24"/>
        </w:rPr>
        <w:t xml:space="preserve">at </w:t>
      </w:r>
      <w:hyperlink r:id="rId11" w:history="1">
        <w:r w:rsidR="0049352D" w:rsidRPr="009B78FB">
          <w:rPr>
            <w:rStyle w:val="Hyperlink"/>
            <w:sz w:val="24"/>
          </w:rPr>
          <w:t>paul.j.mullen@nationalgrideso.com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dtPr>
          <w:sdtEndPr/>
          <w:sdtContent>
            <w:tc>
              <w:tcPr>
                <w:tcW w:w="5841" w:type="dxa"/>
              </w:tcPr>
              <w:p w14:paraId="41909238" w14:textId="032A2932" w:rsidR="00760AB5" w:rsidRPr="00CF795B" w:rsidRDefault="00EF2E0D" w:rsidP="00760AB5">
                <w:pPr>
                  <w:rPr>
                    <w:sz w:val="24"/>
                  </w:rPr>
                </w:pPr>
                <w:r>
                  <w:rPr>
                    <w:sz w:val="24"/>
                  </w:rPr>
                  <w:t>Isobel Morris and Frank Gordon</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dtPr>
          <w:sdtEndPr/>
          <w:sdtContent>
            <w:tc>
              <w:tcPr>
                <w:tcW w:w="5841" w:type="dxa"/>
              </w:tcPr>
              <w:p w14:paraId="4E643815" w14:textId="19F53EC1" w:rsidR="00760AB5" w:rsidRDefault="00EF2E0D" w:rsidP="00760AB5">
                <w:pPr>
                  <w:rPr>
                    <w:sz w:val="24"/>
                  </w:rPr>
                </w:pPr>
                <w:r>
                  <w:rPr>
                    <w:sz w:val="24"/>
                  </w:rPr>
                  <w:t>REA</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dtPr>
          <w:sdtEndPr/>
          <w:sdtContent>
            <w:tc>
              <w:tcPr>
                <w:tcW w:w="5841" w:type="dxa"/>
              </w:tcPr>
              <w:p w14:paraId="4474C2F4" w14:textId="7899DE33" w:rsidR="00760AB5" w:rsidRDefault="00EF2E0D" w:rsidP="00760AB5">
                <w:pPr>
                  <w:rPr>
                    <w:sz w:val="24"/>
                  </w:rPr>
                </w:pPr>
                <w:r>
                  <w:rPr>
                    <w:sz w:val="24"/>
                  </w:rPr>
                  <w:t>power@r-e-a.net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dtPr>
          <w:sdtEndPr/>
          <w:sdtContent>
            <w:tc>
              <w:tcPr>
                <w:tcW w:w="5841" w:type="dxa"/>
              </w:tcPr>
              <w:p w14:paraId="66212A56" w14:textId="77770AE3" w:rsidR="00760AB5" w:rsidRDefault="00EF2E0D" w:rsidP="00760AB5">
                <w:pPr>
                  <w:rPr>
                    <w:sz w:val="24"/>
                  </w:rPr>
                </w:pPr>
                <w:r>
                  <w:rPr>
                    <w:sz w:val="24"/>
                  </w:rPr>
                  <w:t>07539317101</w:t>
                </w:r>
              </w:p>
            </w:tc>
          </w:sdtContent>
        </w:sdt>
      </w:tr>
    </w:tbl>
    <w:p w14:paraId="13EA8BBD" w14:textId="68485720" w:rsidR="00760AB5" w:rsidRDefault="00760AB5" w:rsidP="00677103">
      <w:pPr>
        <w:pStyle w:val="BodyText"/>
        <w:rPr>
          <w:rFonts w:cs="Arial"/>
          <w:b/>
          <w:sz w:val="24"/>
        </w:rPr>
      </w:pPr>
    </w:p>
    <w:p w14:paraId="3A4359B7" w14:textId="70924EAF" w:rsidR="00C20914" w:rsidRPr="00C20914" w:rsidRDefault="00C20914" w:rsidP="00677103">
      <w:pPr>
        <w:pStyle w:val="BodyText"/>
        <w:rPr>
          <w:rFonts w:cs="Arial"/>
          <w:b/>
          <w:color w:val="F26522" w:themeColor="accent1"/>
          <w:sz w:val="24"/>
        </w:rPr>
      </w:pPr>
      <w:r w:rsidRPr="00C20914">
        <w:rPr>
          <w:rFonts w:cs="Arial"/>
          <w:b/>
          <w:color w:val="F26522" w:themeColor="accent1"/>
          <w:sz w:val="24"/>
        </w:rPr>
        <w:t>CMP3</w:t>
      </w:r>
      <w:r w:rsidR="00E51202">
        <w:rPr>
          <w:rFonts w:cs="Arial"/>
          <w:b/>
          <w:color w:val="F26522" w:themeColor="accent1"/>
          <w:sz w:val="24"/>
        </w:rPr>
        <w:t>50</w:t>
      </w:r>
    </w:p>
    <w:p w14:paraId="0FD4606F" w14:textId="3DDD643D" w:rsidR="00D73CC5" w:rsidRDefault="00101C71" w:rsidP="00101C71">
      <w:pPr>
        <w:pStyle w:val="BodyText"/>
        <w:rPr>
          <w:b/>
          <w:color w:val="F26522" w:themeColor="accent1"/>
          <w:sz w:val="24"/>
        </w:rPr>
      </w:pPr>
      <w:r w:rsidRPr="00760AB5">
        <w:rPr>
          <w:b/>
          <w:color w:val="F26522" w:themeColor="accent1"/>
          <w:sz w:val="24"/>
        </w:rPr>
        <w:t xml:space="preserve">For reference the applicable CUSC </w:t>
      </w:r>
      <w:r w:rsidR="00C20914">
        <w:rPr>
          <w:b/>
          <w:color w:val="F26522" w:themeColor="accent1"/>
          <w:sz w:val="24"/>
        </w:rPr>
        <w:t xml:space="preserve">Charging </w:t>
      </w:r>
      <w:r w:rsidRPr="00760AB5">
        <w:rPr>
          <w:b/>
          <w:color w:val="F26522" w:themeColor="accent1"/>
          <w:sz w:val="24"/>
        </w:rPr>
        <w:t>objectives are:</w:t>
      </w:r>
    </w:p>
    <w:tbl>
      <w:tblPr>
        <w:tblpPr w:leftFromText="180" w:rightFromText="180" w:vertAnchor="text" w:horzAnchor="margin" w:tblpY="49"/>
        <w:tblOverlap w:val="never"/>
        <w:tblW w:w="9493"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9493"/>
      </w:tblGrid>
      <w:tr w:rsidR="00C20914" w:rsidRPr="00C73CBB" w14:paraId="7D3BE2CA" w14:textId="77777777" w:rsidTr="00C20914">
        <w:trPr>
          <w:trHeight w:val="397"/>
        </w:trPr>
        <w:tc>
          <w:tcPr>
            <w:tcW w:w="9493" w:type="dxa"/>
          </w:tcPr>
          <w:p w14:paraId="555C4EA8" w14:textId="77777777" w:rsidR="00C20914" w:rsidRPr="006A726B" w:rsidRDefault="00C20914" w:rsidP="00FC2AA5">
            <w:pPr>
              <w:ind w:left="113" w:right="113"/>
              <w:rPr>
                <w:rFonts w:cs="Arial"/>
                <w:b/>
                <w:sz w:val="24"/>
                <w:szCs w:val="20"/>
              </w:rPr>
            </w:pPr>
            <w:r w:rsidRPr="006A726B">
              <w:rPr>
                <w:b/>
                <w:sz w:val="24"/>
                <w:szCs w:val="20"/>
              </w:rPr>
              <w:t>Relevant Objective</w:t>
            </w:r>
          </w:p>
        </w:tc>
      </w:tr>
      <w:tr w:rsidR="00C20914" w:rsidRPr="00C73CBB" w14:paraId="345C18B1" w14:textId="77777777" w:rsidTr="00C20914">
        <w:trPr>
          <w:trHeight w:val="397"/>
        </w:trPr>
        <w:tc>
          <w:tcPr>
            <w:tcW w:w="9493" w:type="dxa"/>
          </w:tcPr>
          <w:p w14:paraId="7D784CED"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r>
      <w:tr w:rsidR="00C20914" w:rsidRPr="00C73CBB" w14:paraId="1F09861C" w14:textId="77777777" w:rsidTr="00C20914">
        <w:trPr>
          <w:trHeight w:val="397"/>
        </w:trPr>
        <w:tc>
          <w:tcPr>
            <w:tcW w:w="9493" w:type="dxa"/>
          </w:tcPr>
          <w:p w14:paraId="4C2BFAB1"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r>
      <w:tr w:rsidR="00C20914" w:rsidRPr="00C73CBB" w14:paraId="2B64081A" w14:textId="77777777" w:rsidTr="00C20914">
        <w:trPr>
          <w:trHeight w:val="397"/>
        </w:trPr>
        <w:tc>
          <w:tcPr>
            <w:tcW w:w="9493" w:type="dxa"/>
          </w:tcPr>
          <w:p w14:paraId="4B6AB49E"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r>
      <w:tr w:rsidR="00C20914" w:rsidRPr="00C73CBB" w14:paraId="640B8C84" w14:textId="77777777" w:rsidTr="00C20914">
        <w:trPr>
          <w:trHeight w:val="397"/>
        </w:trPr>
        <w:tc>
          <w:tcPr>
            <w:tcW w:w="9493" w:type="dxa"/>
          </w:tcPr>
          <w:p w14:paraId="3797A70F"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 These are defined within the National Grid Electricity Transmission plc Licence under Standard Condition C10, paragraph 1 *; and</w:t>
            </w:r>
          </w:p>
        </w:tc>
      </w:tr>
      <w:tr w:rsidR="00C20914" w:rsidRPr="00C73CBB" w14:paraId="1706A6DF" w14:textId="77777777" w:rsidTr="00C20914">
        <w:trPr>
          <w:trHeight w:val="397"/>
        </w:trPr>
        <w:tc>
          <w:tcPr>
            <w:tcW w:w="9493" w:type="dxa"/>
          </w:tcPr>
          <w:p w14:paraId="2A1A976B" w14:textId="77777777" w:rsidR="00C20914" w:rsidRPr="006A726B" w:rsidRDefault="00C20914" w:rsidP="00FC2AA5">
            <w:pPr>
              <w:pStyle w:val="Tablebodycopy"/>
              <w:ind w:left="453" w:right="238" w:hanging="340"/>
              <w:rPr>
                <w:rFonts w:cs="Arial"/>
                <w:sz w:val="24"/>
                <w:szCs w:val="20"/>
              </w:rPr>
            </w:pPr>
            <w:r w:rsidRPr="006A726B">
              <w:rPr>
                <w:rFonts w:cs="Arial"/>
                <w:color w:val="auto"/>
                <w:sz w:val="24"/>
                <w:szCs w:val="20"/>
              </w:rPr>
              <w:t xml:space="preserve">(e) To promote efficiency in the implementation and administration of the </w:t>
            </w:r>
            <w:r>
              <w:rPr>
                <w:rFonts w:cs="Arial"/>
                <w:color w:val="auto"/>
                <w:sz w:val="24"/>
                <w:szCs w:val="20"/>
              </w:rPr>
              <w:t>CUSC</w:t>
            </w:r>
            <w:r w:rsidRPr="006A726B">
              <w:rPr>
                <w:rFonts w:cs="Arial"/>
                <w:color w:val="auto"/>
                <w:sz w:val="24"/>
                <w:szCs w:val="20"/>
              </w:rPr>
              <w:t xml:space="preserve"> arrangements</w:t>
            </w:r>
          </w:p>
        </w:tc>
      </w:tr>
    </w:tbl>
    <w:p w14:paraId="625863FC" w14:textId="77777777" w:rsidR="00C20914" w:rsidRDefault="00C20914" w:rsidP="00C20914">
      <w:pPr>
        <w:pStyle w:val="BodyText"/>
        <w:rPr>
          <w:b/>
          <w:color w:val="F26522" w:themeColor="accent1"/>
          <w:sz w:val="24"/>
        </w:rPr>
      </w:pP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10774" w:type="dxa"/>
        <w:tblInd w:w="-85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851"/>
        <w:gridCol w:w="3686"/>
        <w:gridCol w:w="6237"/>
      </w:tblGrid>
      <w:tr w:rsidR="00760AB5" w:rsidRPr="00CF795B" w14:paraId="5F95766F" w14:textId="77777777" w:rsidTr="00FC0F7B">
        <w:trPr>
          <w:trHeight w:val="259"/>
        </w:trPr>
        <w:tc>
          <w:tcPr>
            <w:tcW w:w="10774" w:type="dxa"/>
            <w:gridSpan w:val="3"/>
            <w:shd w:val="clear" w:color="auto" w:fill="F26522" w:themeFill="accent1"/>
          </w:tcPr>
          <w:p w14:paraId="5F9B3036" w14:textId="067229AF" w:rsidR="00760AB5" w:rsidRPr="00CF795B" w:rsidRDefault="00C20914" w:rsidP="00B34474">
            <w:pPr>
              <w:ind w:left="-79"/>
              <w:rPr>
                <w:rFonts w:cs="Arial"/>
                <w:b/>
                <w:color w:val="FFFFFF" w:themeColor="background1"/>
                <w:sz w:val="24"/>
              </w:rPr>
            </w:pPr>
            <w:r>
              <w:rPr>
                <w:rFonts w:cs="Arial"/>
                <w:b/>
                <w:color w:val="FFFFFF" w:themeColor="background1"/>
                <w:sz w:val="24"/>
              </w:rPr>
              <w:t>CMP3</w:t>
            </w:r>
            <w:r w:rsidR="00466075">
              <w:rPr>
                <w:rFonts w:cs="Arial"/>
                <w:b/>
                <w:color w:val="FFFFFF" w:themeColor="background1"/>
                <w:sz w:val="24"/>
              </w:rPr>
              <w:t>5</w:t>
            </w:r>
            <w:r w:rsidR="00E51202">
              <w:rPr>
                <w:rFonts w:cs="Arial"/>
                <w:b/>
                <w:color w:val="FFFFFF" w:themeColor="background1"/>
                <w:sz w:val="24"/>
              </w:rPr>
              <w:t>0</w:t>
            </w:r>
            <w:r>
              <w:rPr>
                <w:rFonts w:cs="Arial"/>
                <w:b/>
                <w:color w:val="FFFFFF" w:themeColor="background1"/>
                <w:sz w:val="24"/>
              </w:rPr>
              <w:t xml:space="preserve"> - </w:t>
            </w:r>
            <w:r w:rsidR="00760AB5" w:rsidRPr="00760AB5">
              <w:rPr>
                <w:rFonts w:cs="Arial"/>
                <w:b/>
                <w:color w:val="FFFFFF" w:themeColor="background1"/>
                <w:sz w:val="24"/>
              </w:rPr>
              <w:t>Standard Workgroup Consultation questions</w:t>
            </w:r>
          </w:p>
        </w:tc>
      </w:tr>
      <w:tr w:rsidR="00D14DB8" w:rsidRPr="00CF795B" w14:paraId="1D71E926" w14:textId="77777777" w:rsidTr="00FC0F7B">
        <w:trPr>
          <w:trHeight w:val="259"/>
        </w:trPr>
        <w:tc>
          <w:tcPr>
            <w:tcW w:w="851" w:type="dxa"/>
          </w:tcPr>
          <w:p w14:paraId="03ED72F8" w14:textId="77777777" w:rsidR="0006725A" w:rsidRPr="00CF795B" w:rsidRDefault="0006725A" w:rsidP="00B34474">
            <w:pPr>
              <w:rPr>
                <w:rFonts w:cs="Arial"/>
                <w:sz w:val="24"/>
              </w:rPr>
            </w:pPr>
            <w:bookmarkStart w:id="1" w:name="_Hlk41813020"/>
            <w:bookmarkStart w:id="2" w:name="_Hlk38547775"/>
            <w:r w:rsidRPr="00CF795B">
              <w:rPr>
                <w:rFonts w:cs="Arial"/>
                <w:sz w:val="24"/>
              </w:rPr>
              <w:t>1</w:t>
            </w:r>
          </w:p>
        </w:tc>
        <w:tc>
          <w:tcPr>
            <w:tcW w:w="3686" w:type="dxa"/>
          </w:tcPr>
          <w:p w14:paraId="4760441F" w14:textId="61C04959" w:rsidR="0006725A" w:rsidRPr="00CF795B" w:rsidRDefault="0006725A" w:rsidP="0078655F">
            <w:pPr>
              <w:jc w:val="both"/>
              <w:rPr>
                <w:rFonts w:cs="Arial"/>
                <w:bCs/>
                <w:sz w:val="24"/>
              </w:rPr>
            </w:pPr>
            <w:r w:rsidRPr="00CF795B">
              <w:rPr>
                <w:sz w:val="24"/>
              </w:rPr>
              <w:t>Do you believe that</w:t>
            </w:r>
            <w:r w:rsidR="00713E51" w:rsidRPr="00CF795B">
              <w:rPr>
                <w:sz w:val="24"/>
              </w:rPr>
              <w:t xml:space="preserve"> the</w:t>
            </w:r>
            <w:r w:rsidRPr="00CF795B">
              <w:rPr>
                <w:sz w:val="24"/>
              </w:rPr>
              <w:t xml:space="preserve"> CMP3</w:t>
            </w:r>
            <w:r w:rsidR="00466075">
              <w:rPr>
                <w:sz w:val="24"/>
              </w:rPr>
              <w:t>5</w:t>
            </w:r>
            <w:r w:rsidR="00E51202">
              <w:rPr>
                <w:sz w:val="24"/>
              </w:rPr>
              <w:t>0</w:t>
            </w:r>
            <w:r w:rsidRPr="00CF795B">
              <w:rPr>
                <w:sz w:val="24"/>
              </w:rPr>
              <w:t xml:space="preserve"> Original Proposal better facilitates the Applicable CUSC </w:t>
            </w:r>
            <w:r w:rsidR="00C20914">
              <w:rPr>
                <w:sz w:val="24"/>
              </w:rPr>
              <w:t xml:space="preserve">Charging </w:t>
            </w:r>
            <w:r w:rsidRPr="00CF795B">
              <w:rPr>
                <w:sz w:val="24"/>
              </w:rPr>
              <w:t>Objectives?</w:t>
            </w:r>
          </w:p>
        </w:tc>
        <w:sdt>
          <w:sdtPr>
            <w:rPr>
              <w:sz w:val="24"/>
            </w:rPr>
            <w:id w:val="-1563557985"/>
            <w:placeholder>
              <w:docPart w:val="DefaultPlaceholder_-1854013440"/>
            </w:placeholder>
          </w:sdtPr>
          <w:sdtEndPr/>
          <w:sdtContent>
            <w:tc>
              <w:tcPr>
                <w:tcW w:w="6237" w:type="dxa"/>
              </w:tcPr>
              <w:p w14:paraId="714E177D" w14:textId="79679960" w:rsidR="00323B9A" w:rsidRDefault="00F03486" w:rsidP="00101C71">
                <w:pPr>
                  <w:pStyle w:val="BodyText"/>
                  <w:rPr>
                    <w:sz w:val="24"/>
                  </w:rPr>
                </w:pPr>
                <w:r>
                  <w:rPr>
                    <w:sz w:val="24"/>
                  </w:rPr>
                  <w:t xml:space="preserve"> No</w:t>
                </w:r>
                <w:r w:rsidR="00FB456F">
                  <w:rPr>
                    <w:sz w:val="24"/>
                  </w:rPr>
                  <w:t>.</w:t>
                </w:r>
                <w:r w:rsidR="00B7360D">
                  <w:rPr>
                    <w:sz w:val="24"/>
                  </w:rPr>
                  <w:t xml:space="preserve"> CMP350 Original Proposal does not better facilitate the Charging Objective</w:t>
                </w:r>
                <w:r w:rsidR="00FB456F">
                  <w:rPr>
                    <w:sz w:val="24"/>
                  </w:rPr>
                  <w:t xml:space="preserve"> </w:t>
                </w:r>
                <w:r w:rsidR="00323B9A">
                  <w:rPr>
                    <w:sz w:val="24"/>
                  </w:rPr>
                  <w:t xml:space="preserve">(e), as this </w:t>
                </w:r>
                <w:r w:rsidR="00FD4D12">
                  <w:rPr>
                    <w:sz w:val="24"/>
                  </w:rPr>
                  <w:t>modification will be a heavier administrative burden than CMP345, should the £100 million limit proposed be reached.</w:t>
                </w:r>
                <w:r w:rsidR="00665735">
                  <w:rPr>
                    <w:sz w:val="24"/>
                  </w:rPr>
                  <w:t xml:space="preserve"> As noted in the workgroup consultation,</w:t>
                </w:r>
                <w:r w:rsidR="00B61430">
                  <w:rPr>
                    <w:sz w:val="24"/>
                  </w:rPr>
                  <w:t xml:space="preserve"> in order to</w:t>
                </w:r>
                <w:r w:rsidR="00462F61">
                  <w:rPr>
                    <w:sz w:val="24"/>
                  </w:rPr>
                  <w:t xml:space="preserve"> reduce the ESO’s financial exposure additional monitoring and reporting would be required </w:t>
                </w:r>
                <w:r w:rsidR="00643078">
                  <w:rPr>
                    <w:sz w:val="24"/>
                  </w:rPr>
                  <w:t>throughout the period</w:t>
                </w:r>
                <w:r w:rsidR="0046118B">
                  <w:rPr>
                    <w:sz w:val="24"/>
                  </w:rPr>
                  <w:t xml:space="preserve"> – and in addition to ensure that stakeholders had sufficient warning of when the £100 million cap would be reached and the Covid Support Scheme would end.</w:t>
                </w:r>
              </w:p>
              <w:p w14:paraId="01C32718" w14:textId="652633E3" w:rsidR="00A46442" w:rsidRDefault="000B753C" w:rsidP="00101C71">
                <w:pPr>
                  <w:pStyle w:val="BodyText"/>
                  <w:rPr>
                    <w:sz w:val="24"/>
                  </w:rPr>
                </w:pPr>
                <w:r>
                  <w:rPr>
                    <w:sz w:val="24"/>
                  </w:rPr>
                  <w:t xml:space="preserve">We understand the need for regulatory flexibility to support electricity suppliers at this time and we </w:t>
                </w:r>
                <w:r w:rsidR="00A46442">
                  <w:rPr>
                    <w:sz w:val="24"/>
                  </w:rPr>
                  <w:t>are conscious of the financial pressures that have been placed on electricity suppliers. However, the format of a CUSC modification means that the consultation looks at this issue in isolation. A wider examination of Covid-19 related costs, with the scope to take a market-wide perspective could be useful to identify how costs and impacts can be spread fairly.</w:t>
                </w:r>
              </w:p>
              <w:p w14:paraId="2EF144A6" w14:textId="77777777" w:rsidR="00A46442" w:rsidRDefault="00A46442" w:rsidP="00101C71">
                <w:pPr>
                  <w:pStyle w:val="BodyText"/>
                  <w:rPr>
                    <w:sz w:val="24"/>
                  </w:rPr>
                </w:pPr>
              </w:p>
              <w:p w14:paraId="5D78A23C" w14:textId="1673F36F" w:rsidR="00A27A11" w:rsidRDefault="00B7360D" w:rsidP="00101C71">
                <w:pPr>
                  <w:pStyle w:val="BodyText"/>
                  <w:rPr>
                    <w:sz w:val="24"/>
                  </w:rPr>
                </w:pPr>
                <w:r>
                  <w:rPr>
                    <w:sz w:val="24"/>
                  </w:rPr>
                  <w:t>CMP350 does not better the facilitate CUSC Charging Objectives to promote competition in the generation and sale of electricity.</w:t>
                </w:r>
                <w:r w:rsidR="00FD4D12">
                  <w:rPr>
                    <w:sz w:val="24"/>
                  </w:rPr>
                  <w:t xml:space="preserve"> </w:t>
                </w:r>
                <w:r w:rsidR="00E04C30">
                  <w:rPr>
                    <w:sz w:val="24"/>
                  </w:rPr>
                  <w:t>The return of h</w:t>
                </w:r>
                <w:r w:rsidR="00FD4D12">
                  <w:rPr>
                    <w:sz w:val="24"/>
                  </w:rPr>
                  <w:t>igh and volatile BSUoS charges caused by the £100 million limit being reached would create additional instability in the market at a time when there is already a great deal of uncertainty. It could also see certain generators penalised</w:t>
                </w:r>
                <w:r w:rsidR="0046118B">
                  <w:rPr>
                    <w:sz w:val="24"/>
                  </w:rPr>
                  <w:t xml:space="preserve"> – for instance, smaller generators</w:t>
                </w:r>
                <w:r w:rsidR="00811C7A">
                  <w:rPr>
                    <w:sz w:val="24"/>
                  </w:rPr>
                  <w:t xml:space="preserve"> and suppliers</w:t>
                </w:r>
                <w:r w:rsidR="0046118B">
                  <w:rPr>
                    <w:sz w:val="24"/>
                  </w:rPr>
                  <w:t xml:space="preserve"> may not have the resources to </w:t>
                </w:r>
                <w:r w:rsidR="00454223">
                  <w:rPr>
                    <w:sz w:val="24"/>
                  </w:rPr>
                  <w:t>keep informed and up-to-date every day on the rate at which the £100 million cap is being reached, and therefore would be at risk of</w:t>
                </w:r>
                <w:r w:rsidR="00811C7A">
                  <w:rPr>
                    <w:sz w:val="24"/>
                  </w:rPr>
                  <w:t xml:space="preserve"> being caught unawares when the Covid Support Scheme ended upon the limit being reached.</w:t>
                </w:r>
                <w:r w:rsidR="005B4940">
                  <w:rPr>
                    <w:sz w:val="24"/>
                  </w:rPr>
                  <w:t xml:space="preserve"> </w:t>
                </w:r>
                <w:r w:rsidR="00A27A11">
                  <w:rPr>
                    <w:sz w:val="24"/>
                  </w:rPr>
                  <w:t xml:space="preserve">In particular, since smaller electricity suppliers and generators are more likely to be renewable energy-based businesses, there would be a risk of causing a market imbalance broadly in favour of larger, non-renewable participants. The arrangements proposed </w:t>
                </w:r>
                <w:r w:rsidR="00811C7A">
                  <w:rPr>
                    <w:sz w:val="24"/>
                  </w:rPr>
                  <w:t>would advantage larger suppliers and gen</w:t>
                </w:r>
                <w:r w:rsidR="00A27A11">
                  <w:rPr>
                    <w:sz w:val="24"/>
                  </w:rPr>
                  <w:t>e</w:t>
                </w:r>
                <w:r w:rsidR="00811C7A">
                  <w:rPr>
                    <w:sz w:val="24"/>
                  </w:rPr>
                  <w:t>rators.</w:t>
                </w:r>
              </w:p>
              <w:p w14:paraId="02F05923" w14:textId="77777777" w:rsidR="00A27A11" w:rsidRDefault="00A27A11" w:rsidP="00101C71">
                <w:pPr>
                  <w:pStyle w:val="BodyText"/>
                  <w:rPr>
                    <w:sz w:val="24"/>
                  </w:rPr>
                </w:pPr>
              </w:p>
              <w:p w14:paraId="1D955D8B" w14:textId="77777777" w:rsidR="00A46442" w:rsidRDefault="00A46442" w:rsidP="00101C71">
                <w:pPr>
                  <w:pStyle w:val="BodyText"/>
                  <w:rPr>
                    <w:sz w:val="24"/>
                  </w:rPr>
                </w:pPr>
              </w:p>
              <w:p w14:paraId="1F51C8E9" w14:textId="72AA0A59" w:rsidR="000B753C" w:rsidRDefault="00A27A11" w:rsidP="00101C71">
                <w:pPr>
                  <w:pStyle w:val="BodyText"/>
                  <w:rPr>
                    <w:sz w:val="24"/>
                  </w:rPr>
                </w:pPr>
                <w:r>
                  <w:rPr>
                    <w:sz w:val="24"/>
                  </w:rPr>
                  <w:lastRenderedPageBreak/>
                  <w:t>The modification also risks undermining fair competition in the generation of electricity by reducing the BSUoS payments to embedded generation – though we</w:t>
                </w:r>
                <w:r w:rsidR="00A46442">
                  <w:rPr>
                    <w:sz w:val="24"/>
                  </w:rPr>
                  <w:t xml:space="preserve"> </w:t>
                </w:r>
                <w:r>
                  <w:rPr>
                    <w:sz w:val="24"/>
                  </w:rPr>
                  <w:t xml:space="preserve"> recognise that higher BSUoS costs benefit embedded generation under the current arrangements, this is a very short timescale to make a significant policy change that would have financial impacts on embedded generators, the vast majority of which are small businesses. </w:t>
                </w:r>
                <w:r w:rsidR="00E04C30">
                  <w:rPr>
                    <w:sz w:val="24"/>
                  </w:rPr>
                  <w:t xml:space="preserve"> Although BSUoS may outturn higher than forecast at the start of 2020, the impact of lower outturn demand will dramatically reduce the value of the ROC Recycle payment for those businesses still supported by ROC income. </w:t>
                </w:r>
                <w:r w:rsidR="000B753C">
                  <w:rPr>
                    <w:sz w:val="24"/>
                  </w:rPr>
                  <w:t xml:space="preserve"> </w:t>
                </w:r>
                <w:r w:rsidR="00E04C30">
                  <w:rPr>
                    <w:sz w:val="24"/>
                  </w:rPr>
                  <w:t xml:space="preserve"> </w:t>
                </w:r>
                <w:r>
                  <w:rPr>
                    <w:sz w:val="24"/>
                  </w:rPr>
                  <w:t xml:space="preserve">Most embedded generators will not had sufficient time to become aware of this proposal, nor the resources to respond in a short time-frame. </w:t>
                </w:r>
              </w:p>
              <w:p w14:paraId="109ACB32" w14:textId="1F955F00" w:rsidR="0006725A" w:rsidRPr="00867B72" w:rsidRDefault="0006725A" w:rsidP="00101C71">
                <w:pPr>
                  <w:pStyle w:val="BodyText"/>
                  <w:rPr>
                    <w:sz w:val="24"/>
                  </w:rPr>
                </w:pPr>
              </w:p>
            </w:tc>
          </w:sdtContent>
        </w:sdt>
      </w:tr>
      <w:bookmarkEnd w:id="1"/>
      <w:tr w:rsidR="00D14DB8" w:rsidRPr="00CF795B" w14:paraId="1677B7C9" w14:textId="77777777" w:rsidTr="00FC0F7B">
        <w:trPr>
          <w:trHeight w:val="259"/>
        </w:trPr>
        <w:tc>
          <w:tcPr>
            <w:tcW w:w="851" w:type="dxa"/>
          </w:tcPr>
          <w:p w14:paraId="38160A31" w14:textId="26272A18" w:rsidR="0006725A" w:rsidRPr="00CF795B" w:rsidRDefault="0078655F" w:rsidP="00B34474">
            <w:pPr>
              <w:rPr>
                <w:rFonts w:cs="Arial"/>
                <w:sz w:val="24"/>
              </w:rPr>
            </w:pPr>
            <w:r>
              <w:rPr>
                <w:rFonts w:cs="Arial"/>
                <w:sz w:val="24"/>
              </w:rPr>
              <w:lastRenderedPageBreak/>
              <w:t>2</w:t>
            </w:r>
          </w:p>
        </w:tc>
        <w:tc>
          <w:tcPr>
            <w:tcW w:w="3686" w:type="dxa"/>
          </w:tcPr>
          <w:p w14:paraId="4091B8D1" w14:textId="2BF5092B" w:rsidR="0006725A" w:rsidRPr="00CF795B" w:rsidRDefault="0006725A" w:rsidP="0078655F">
            <w:pPr>
              <w:jc w:val="both"/>
              <w:rPr>
                <w:bCs/>
                <w:sz w:val="24"/>
              </w:rPr>
            </w:pPr>
            <w:r w:rsidRPr="00CF795B">
              <w:rPr>
                <w:sz w:val="24"/>
              </w:rPr>
              <w:t>Do you support the proposed implementation approach</w:t>
            </w:r>
            <w:r w:rsidR="00A0441B">
              <w:rPr>
                <w:sz w:val="24"/>
              </w:rPr>
              <w:t xml:space="preserve"> for CMP3</w:t>
            </w:r>
            <w:r w:rsidR="00466075">
              <w:rPr>
                <w:sz w:val="24"/>
              </w:rPr>
              <w:t>5</w:t>
            </w:r>
            <w:r w:rsidR="00E51202">
              <w:rPr>
                <w:sz w:val="24"/>
              </w:rPr>
              <w:t>0</w:t>
            </w:r>
            <w:r w:rsidRPr="00CF795B">
              <w:rPr>
                <w:sz w:val="24"/>
              </w:rPr>
              <w:t>?</w:t>
            </w:r>
          </w:p>
        </w:tc>
        <w:sdt>
          <w:sdtPr>
            <w:rPr>
              <w:rFonts w:cs="Arial"/>
              <w:sz w:val="24"/>
            </w:rPr>
            <w:id w:val="1527363539"/>
            <w:placeholder>
              <w:docPart w:val="DefaultPlaceholder_-1854013440"/>
            </w:placeholder>
          </w:sdtPr>
          <w:sdtEndPr/>
          <w:sdtContent>
            <w:tc>
              <w:tcPr>
                <w:tcW w:w="6237" w:type="dxa"/>
              </w:tcPr>
              <w:p w14:paraId="316BFA8D" w14:textId="6B3513B8" w:rsidR="0006725A" w:rsidRPr="00CF795B" w:rsidRDefault="0046118B" w:rsidP="00386948">
                <w:pPr>
                  <w:rPr>
                    <w:rFonts w:cs="Arial"/>
                    <w:sz w:val="24"/>
                  </w:rPr>
                </w:pPr>
                <w:r>
                  <w:rPr>
                    <w:rFonts w:cs="Arial"/>
                    <w:sz w:val="24"/>
                  </w:rPr>
                  <w:t>No – see above comments regarding the additional administrative burden</w:t>
                </w:r>
                <w:r w:rsidR="00A27A11">
                  <w:rPr>
                    <w:rFonts w:cs="Arial"/>
                    <w:sz w:val="24"/>
                  </w:rPr>
                  <w:t xml:space="preserve">; risk of skewing the market in favour of larger participants; and unsuitability of </w:t>
                </w:r>
                <w:r w:rsidR="00BD1737">
                  <w:rPr>
                    <w:rFonts w:cs="Arial"/>
                    <w:sz w:val="24"/>
                  </w:rPr>
                  <w:t>an urgent</w:t>
                </w:r>
                <w:r w:rsidR="00A27A11">
                  <w:rPr>
                    <w:rFonts w:cs="Arial"/>
                    <w:sz w:val="24"/>
                  </w:rPr>
                  <w:t xml:space="preserve"> CUSC modification for making a policy change that affects smaller market participants as well as larger </w:t>
                </w:r>
                <w:r w:rsidR="00BD1737">
                  <w:rPr>
                    <w:rFonts w:cs="Arial"/>
                    <w:sz w:val="24"/>
                  </w:rPr>
                  <w:t>stakeholders.</w:t>
                </w:r>
              </w:p>
            </w:tc>
          </w:sdtContent>
        </w:sdt>
      </w:tr>
      <w:tr w:rsidR="00D14DB8" w:rsidRPr="00CF795B" w14:paraId="444A5377" w14:textId="77777777" w:rsidTr="00B72C9B">
        <w:trPr>
          <w:trHeight w:val="2877"/>
        </w:trPr>
        <w:tc>
          <w:tcPr>
            <w:tcW w:w="851" w:type="dxa"/>
          </w:tcPr>
          <w:p w14:paraId="09D25537" w14:textId="15B86466" w:rsidR="0006725A" w:rsidRPr="00CF795B" w:rsidRDefault="0078655F" w:rsidP="00B34474">
            <w:pPr>
              <w:rPr>
                <w:rFonts w:cs="Arial"/>
                <w:sz w:val="24"/>
              </w:rPr>
            </w:pPr>
            <w:r>
              <w:rPr>
                <w:rFonts w:cs="Arial"/>
                <w:sz w:val="24"/>
              </w:rPr>
              <w:t>3</w:t>
            </w:r>
          </w:p>
        </w:tc>
        <w:tc>
          <w:tcPr>
            <w:tcW w:w="3686" w:type="dxa"/>
          </w:tcPr>
          <w:p w14:paraId="7A3FC353" w14:textId="3438B1DA" w:rsidR="0006725A" w:rsidRPr="00CF795B" w:rsidRDefault="0006725A" w:rsidP="0078655F">
            <w:pPr>
              <w:jc w:val="both"/>
              <w:rPr>
                <w:bCs/>
                <w:sz w:val="24"/>
              </w:rPr>
            </w:pPr>
            <w:r w:rsidRPr="00CF795B">
              <w:rPr>
                <w:bCs/>
                <w:sz w:val="24"/>
              </w:rPr>
              <w:t>Do you have any other comments?</w:t>
            </w:r>
          </w:p>
        </w:tc>
        <w:sdt>
          <w:sdtPr>
            <w:rPr>
              <w:rFonts w:cs="Arial"/>
              <w:sz w:val="24"/>
            </w:rPr>
            <w:id w:val="1307668979"/>
            <w:placeholder>
              <w:docPart w:val="DefaultPlaceholder_-1854013440"/>
            </w:placeholder>
          </w:sdtPr>
          <w:sdtEndPr/>
          <w:sdtContent>
            <w:tc>
              <w:tcPr>
                <w:tcW w:w="6237" w:type="dxa"/>
              </w:tcPr>
              <w:p w14:paraId="6BEB6CC0" w14:textId="77777777" w:rsidR="002A6B17" w:rsidRDefault="00B72C9B" w:rsidP="00386948">
                <w:pPr>
                  <w:rPr>
                    <w:rFonts w:cs="Arial"/>
                    <w:sz w:val="24"/>
                  </w:rPr>
                </w:pPr>
                <w:r>
                  <w:rPr>
                    <w:rFonts w:cs="Arial"/>
                    <w:sz w:val="24"/>
                  </w:rPr>
                  <w:t xml:space="preserve">Should </w:t>
                </w:r>
                <w:r w:rsidR="00E04C30">
                  <w:rPr>
                    <w:rFonts w:cs="Arial"/>
                    <w:sz w:val="24"/>
                  </w:rPr>
                  <w:t xml:space="preserve">there be </w:t>
                </w:r>
                <w:r>
                  <w:rPr>
                    <w:rFonts w:cs="Arial"/>
                    <w:sz w:val="24"/>
                  </w:rPr>
                  <w:t>savings from a revised BSUoS Covid Support Scheme introduced under CMP350 then there could be some savings passed on to consumers this year</w:t>
                </w:r>
                <w:r w:rsidR="002A6B17">
                  <w:rPr>
                    <w:rFonts w:cs="Arial"/>
                    <w:sz w:val="24"/>
                  </w:rPr>
                  <w:t>,</w:t>
                </w:r>
                <w:r>
                  <w:rPr>
                    <w:rFonts w:cs="Arial"/>
                    <w:sz w:val="24"/>
                  </w:rPr>
                  <w:t xml:space="preserve"> if suppliers chose to pass on the savings. </w:t>
                </w:r>
              </w:p>
              <w:p w14:paraId="46E5B0CA" w14:textId="77777777" w:rsidR="002A6B17" w:rsidRDefault="002A6B17" w:rsidP="00386948">
                <w:pPr>
                  <w:rPr>
                    <w:rFonts w:cs="Arial"/>
                    <w:sz w:val="24"/>
                  </w:rPr>
                </w:pPr>
              </w:p>
              <w:p w14:paraId="6ECEA1CC" w14:textId="641526BC" w:rsidR="002A6B17" w:rsidRDefault="00B72C9B" w:rsidP="00386948">
                <w:pPr>
                  <w:rPr>
                    <w:rFonts w:cs="Arial"/>
                    <w:sz w:val="24"/>
                  </w:rPr>
                </w:pPr>
                <w:r>
                  <w:rPr>
                    <w:rFonts w:cs="Arial"/>
                    <w:sz w:val="24"/>
                  </w:rPr>
                  <w:t xml:space="preserve">However, </w:t>
                </w:r>
                <w:r w:rsidR="00E04C30">
                  <w:rPr>
                    <w:rFonts w:cs="Arial"/>
                    <w:sz w:val="24"/>
                  </w:rPr>
                  <w:t xml:space="preserve">it is </w:t>
                </w:r>
                <w:r w:rsidR="002A6B17">
                  <w:rPr>
                    <w:rFonts w:cs="Arial"/>
                    <w:sz w:val="24"/>
                  </w:rPr>
                  <w:t xml:space="preserve">unlikely that supply companies would have time to pass this cost reduction through their tariffs, so it is fairly likely that </w:t>
                </w:r>
                <w:r w:rsidR="00E04C30">
                  <w:rPr>
                    <w:rFonts w:cs="Arial"/>
                    <w:sz w:val="24"/>
                  </w:rPr>
                  <w:t xml:space="preserve">this would head to the bottom line of supply </w:t>
                </w:r>
                <w:r w:rsidR="002A6B17">
                  <w:rPr>
                    <w:rFonts w:cs="Arial"/>
                    <w:sz w:val="24"/>
                  </w:rPr>
                  <w:t>companies.</w:t>
                </w:r>
              </w:p>
              <w:p w14:paraId="1C08D4F4" w14:textId="77777777" w:rsidR="002A6B17" w:rsidRDefault="002A6B17" w:rsidP="00386948">
                <w:pPr>
                  <w:rPr>
                    <w:rFonts w:cs="Arial"/>
                    <w:sz w:val="24"/>
                  </w:rPr>
                </w:pPr>
              </w:p>
              <w:p w14:paraId="46CAE93F" w14:textId="1A7BEE23" w:rsidR="002A6B17" w:rsidRDefault="00E04C30" w:rsidP="00386948">
                <w:pPr>
                  <w:rPr>
                    <w:rFonts w:cs="Arial"/>
                    <w:sz w:val="24"/>
                  </w:rPr>
                </w:pPr>
                <w:r>
                  <w:rPr>
                    <w:rFonts w:cs="Arial"/>
                    <w:sz w:val="24"/>
                  </w:rPr>
                  <w:t xml:space="preserve"> In this case </w:t>
                </w:r>
                <w:r w:rsidR="00B72C9B">
                  <w:rPr>
                    <w:rFonts w:cs="Arial"/>
                    <w:sz w:val="24"/>
                  </w:rPr>
                  <w:t>this would lead to higher costs for customers next year when the debt would need to be rep</w:t>
                </w:r>
                <w:r>
                  <w:rPr>
                    <w:rFonts w:cs="Arial"/>
                    <w:sz w:val="24"/>
                  </w:rPr>
                  <w:t>ai</w:t>
                </w:r>
                <w:r w:rsidR="00B72C9B">
                  <w:rPr>
                    <w:rFonts w:cs="Arial"/>
                    <w:sz w:val="24"/>
                  </w:rPr>
                  <w:t xml:space="preserve">d. Given the economic uncertainty the country is facing, and the ongoing nature of the pandemic, it is not clear that customers will be in a better financial position to pay higher bills next year than they are now. </w:t>
                </w:r>
              </w:p>
              <w:p w14:paraId="7E00684E" w14:textId="77777777" w:rsidR="002A6B17" w:rsidRDefault="002A6B17" w:rsidP="00386948">
                <w:pPr>
                  <w:rPr>
                    <w:rFonts w:cs="Arial"/>
                    <w:sz w:val="24"/>
                  </w:rPr>
                </w:pPr>
              </w:p>
              <w:p w14:paraId="3D3EFB7A" w14:textId="0D9D6EA6" w:rsidR="002A6B17" w:rsidRDefault="00E04C30" w:rsidP="00386948">
                <w:pPr>
                  <w:rPr>
                    <w:rFonts w:cs="Arial"/>
                    <w:sz w:val="24"/>
                  </w:rPr>
                </w:pPr>
                <w:r>
                  <w:rPr>
                    <w:rFonts w:cs="Arial"/>
                    <w:sz w:val="24"/>
                  </w:rPr>
                  <w:t xml:space="preserve">It is therefore </w:t>
                </w:r>
                <w:r w:rsidR="002A6B17">
                  <w:rPr>
                    <w:rFonts w:cs="Arial"/>
                    <w:sz w:val="24"/>
                  </w:rPr>
                  <w:t>un</w:t>
                </w:r>
                <w:r>
                  <w:rPr>
                    <w:rFonts w:cs="Arial"/>
                    <w:sz w:val="24"/>
                  </w:rPr>
                  <w:t xml:space="preserve">clear to us why this in consumer interests.  </w:t>
                </w:r>
                <w:r w:rsidR="00B72C9B">
                  <w:rPr>
                    <w:rFonts w:cs="Arial"/>
                    <w:sz w:val="24"/>
                  </w:rPr>
                  <w:t>Should the economic situation worsen or demand suppression continue for the long-term, then th</w:t>
                </w:r>
                <w:r w:rsidR="00141576">
                  <w:rPr>
                    <w:rFonts w:cs="Arial"/>
                    <w:sz w:val="24"/>
                  </w:rPr>
                  <w:t>e tens of millions that would be expected to be deferred into 2021-22 could add to the financial burden on consumers</w:t>
                </w:r>
                <w:r>
                  <w:rPr>
                    <w:rFonts w:cs="Arial"/>
                    <w:sz w:val="24"/>
                  </w:rPr>
                  <w:t xml:space="preserve"> next year</w:t>
                </w:r>
                <w:r w:rsidR="00141576">
                  <w:rPr>
                    <w:rFonts w:cs="Arial"/>
                    <w:sz w:val="24"/>
                  </w:rPr>
                  <w:t>.</w:t>
                </w:r>
              </w:p>
              <w:p w14:paraId="47955467" w14:textId="77777777" w:rsidR="002A6B17" w:rsidRDefault="002A6B17" w:rsidP="00386948">
                <w:pPr>
                  <w:rPr>
                    <w:rFonts w:cs="Arial"/>
                    <w:sz w:val="24"/>
                  </w:rPr>
                </w:pPr>
              </w:p>
              <w:p w14:paraId="7B353BF6" w14:textId="1804D600" w:rsidR="0006725A" w:rsidRPr="00CF795B" w:rsidRDefault="00E04C30" w:rsidP="00386948">
                <w:pPr>
                  <w:rPr>
                    <w:rFonts w:cs="Arial"/>
                    <w:sz w:val="24"/>
                  </w:rPr>
                </w:pPr>
                <w:r>
                  <w:rPr>
                    <w:rFonts w:cs="Arial"/>
                    <w:sz w:val="24"/>
                  </w:rPr>
                  <w:t xml:space="preserve"> Furthermore this proposed change</w:t>
                </w:r>
                <w:r w:rsidR="002A6B17">
                  <w:rPr>
                    <w:rFonts w:cs="Arial"/>
                    <w:sz w:val="24"/>
                  </w:rPr>
                  <w:t xml:space="preserve"> being brought in</w:t>
                </w:r>
                <w:r>
                  <w:rPr>
                    <w:rFonts w:cs="Arial"/>
                    <w:sz w:val="24"/>
                  </w:rPr>
                  <w:t xml:space="preserve"> so swiftly after CMP345</w:t>
                </w:r>
                <w:r w:rsidR="002A6B17">
                  <w:rPr>
                    <w:rFonts w:cs="Arial"/>
                    <w:sz w:val="24"/>
                  </w:rPr>
                  <w:t xml:space="preserve"> appears</w:t>
                </w:r>
                <w:r w:rsidR="00C90748">
                  <w:rPr>
                    <w:rFonts w:cs="Arial"/>
                    <w:sz w:val="24"/>
                  </w:rPr>
                  <w:t xml:space="preserve"> to </w:t>
                </w:r>
                <w:r>
                  <w:rPr>
                    <w:rFonts w:cs="Arial"/>
                    <w:sz w:val="24"/>
                  </w:rPr>
                  <w:t>undermine i</w:t>
                </w:r>
                <w:r w:rsidR="00141576">
                  <w:rPr>
                    <w:rFonts w:cs="Arial"/>
                    <w:sz w:val="24"/>
                  </w:rPr>
                  <w:t>nvestor confidence i</w:t>
                </w:r>
                <w:r>
                  <w:rPr>
                    <w:rFonts w:cs="Arial"/>
                    <w:sz w:val="24"/>
                  </w:rPr>
                  <w:t>n a stable</w:t>
                </w:r>
                <w:r w:rsidR="002A6B17">
                  <w:rPr>
                    <w:rFonts w:cs="Arial"/>
                    <w:sz w:val="24"/>
                  </w:rPr>
                  <w:t>,</w:t>
                </w:r>
                <w:r>
                  <w:rPr>
                    <w:rFonts w:cs="Arial"/>
                    <w:sz w:val="24"/>
                  </w:rPr>
                  <w:t xml:space="preserve"> predictable</w:t>
                </w:r>
                <w:r w:rsidR="002A6B17">
                  <w:rPr>
                    <w:rFonts w:cs="Arial"/>
                    <w:sz w:val="24"/>
                  </w:rPr>
                  <w:t xml:space="preserve"> </w:t>
                </w:r>
                <w:r>
                  <w:rPr>
                    <w:rFonts w:cs="Arial"/>
                    <w:sz w:val="24"/>
                  </w:rPr>
                  <w:t>regulatory regime</w:t>
                </w:r>
                <w:r w:rsidR="00141576">
                  <w:rPr>
                    <w:rFonts w:cs="Arial"/>
                    <w:sz w:val="24"/>
                  </w:rPr>
                  <w:t>.</w:t>
                </w:r>
              </w:p>
            </w:tc>
          </w:sdtContent>
        </w:sdt>
      </w:tr>
      <w:tr w:rsidR="00D14DB8" w:rsidRPr="00CF795B" w14:paraId="2B8CA695" w14:textId="77777777" w:rsidTr="00FC0F7B">
        <w:trPr>
          <w:trHeight w:val="259"/>
        </w:trPr>
        <w:tc>
          <w:tcPr>
            <w:tcW w:w="851" w:type="dxa"/>
          </w:tcPr>
          <w:p w14:paraId="7270C2E3" w14:textId="6AF1992D" w:rsidR="0006725A" w:rsidRPr="00CF795B" w:rsidRDefault="0078655F" w:rsidP="00B34474">
            <w:pPr>
              <w:rPr>
                <w:rFonts w:cs="Arial"/>
                <w:sz w:val="24"/>
              </w:rPr>
            </w:pPr>
            <w:r>
              <w:rPr>
                <w:rFonts w:cs="Arial"/>
                <w:sz w:val="24"/>
              </w:rPr>
              <w:t>4</w:t>
            </w:r>
          </w:p>
        </w:tc>
        <w:tc>
          <w:tcPr>
            <w:tcW w:w="3686" w:type="dxa"/>
          </w:tcPr>
          <w:p w14:paraId="497C0726" w14:textId="5B36873F" w:rsidR="0006725A" w:rsidRPr="00A10CD1" w:rsidRDefault="0006725A" w:rsidP="0078655F">
            <w:pPr>
              <w:pStyle w:val="BodyText"/>
              <w:jc w:val="both"/>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dtPr>
          <w:sdtEndPr/>
          <w:sdtContent>
            <w:tc>
              <w:tcPr>
                <w:tcW w:w="6237" w:type="dxa"/>
              </w:tcPr>
              <w:p w14:paraId="362B05DC" w14:textId="16B37C3D" w:rsidR="0006725A" w:rsidRPr="00CF795B" w:rsidRDefault="00F03486" w:rsidP="00386948">
                <w:pPr>
                  <w:rPr>
                    <w:rFonts w:cs="Arial"/>
                    <w:sz w:val="24"/>
                  </w:rPr>
                </w:pPr>
                <w:r>
                  <w:rPr>
                    <w:rFonts w:cs="Arial"/>
                    <w:sz w:val="24"/>
                  </w:rPr>
                  <w:t>No.</w:t>
                </w:r>
              </w:p>
            </w:tc>
          </w:sdtContent>
        </w:sdt>
      </w:tr>
      <w:bookmarkEnd w:id="2"/>
      <w:tr w:rsidR="003B51E4" w:rsidRPr="00CF795B" w14:paraId="0CA13CD4" w14:textId="77777777" w:rsidTr="00FC0F7B">
        <w:trPr>
          <w:trHeight w:val="259"/>
        </w:trPr>
        <w:tc>
          <w:tcPr>
            <w:tcW w:w="10774" w:type="dxa"/>
            <w:gridSpan w:val="3"/>
            <w:shd w:val="clear" w:color="auto" w:fill="F26522" w:themeFill="accent1"/>
          </w:tcPr>
          <w:p w14:paraId="7B55260A" w14:textId="45D16E92" w:rsidR="003B51E4" w:rsidRPr="00CB6146" w:rsidRDefault="008D0236" w:rsidP="00386948">
            <w:pPr>
              <w:rPr>
                <w:rFonts w:cs="Arial"/>
                <w:b/>
                <w:sz w:val="24"/>
              </w:rPr>
            </w:pPr>
            <w:r w:rsidRPr="008D0236">
              <w:rPr>
                <w:rFonts w:cs="Arial"/>
                <w:b/>
                <w:color w:val="FFFFFF" w:themeColor="background1"/>
                <w:sz w:val="24"/>
              </w:rPr>
              <w:t>Specific Workgroup Consultation Questions</w:t>
            </w:r>
          </w:p>
        </w:tc>
      </w:tr>
      <w:tr w:rsidR="0078655F" w:rsidRPr="00867B72" w14:paraId="781294E6" w14:textId="77777777" w:rsidTr="00FC0F7B">
        <w:trPr>
          <w:trHeight w:val="259"/>
        </w:trPr>
        <w:tc>
          <w:tcPr>
            <w:tcW w:w="851" w:type="dxa"/>
          </w:tcPr>
          <w:p w14:paraId="49FB52E3" w14:textId="7BE72281" w:rsidR="0078655F" w:rsidRDefault="0078655F" w:rsidP="0058784D">
            <w:pPr>
              <w:rPr>
                <w:rFonts w:cs="Arial"/>
                <w:sz w:val="24"/>
              </w:rPr>
            </w:pPr>
            <w:r>
              <w:rPr>
                <w:rFonts w:cs="Arial"/>
                <w:sz w:val="24"/>
              </w:rPr>
              <w:t>5</w:t>
            </w:r>
          </w:p>
        </w:tc>
        <w:tc>
          <w:tcPr>
            <w:tcW w:w="3686" w:type="dxa"/>
          </w:tcPr>
          <w:p w14:paraId="49A7AD40" w14:textId="719D301F" w:rsidR="0078655F" w:rsidRDefault="0078655F" w:rsidP="0078655F">
            <w:pPr>
              <w:jc w:val="both"/>
              <w:rPr>
                <w:rFonts w:cs="Arial"/>
                <w:sz w:val="24"/>
              </w:rPr>
            </w:pPr>
            <w:r>
              <w:rPr>
                <w:sz w:val="24"/>
              </w:rPr>
              <w:t>C</w:t>
            </w:r>
            <w:r w:rsidRPr="0078655F">
              <w:rPr>
                <w:sz w:val="24"/>
              </w:rPr>
              <w:t>MP350 Original proposes introducing a formal limit of £100m to the amount of Covid BSUoS Support Scheme costs which can be deferred. Do you agree that a fo</w:t>
            </w:r>
            <w:r>
              <w:rPr>
                <w:sz w:val="24"/>
              </w:rPr>
              <w:t>r</w:t>
            </w:r>
            <w:r w:rsidRPr="0078655F">
              <w:rPr>
                <w:sz w:val="24"/>
              </w:rPr>
              <w:t>mal limit of £100m should be introdu</w:t>
            </w:r>
            <w:r>
              <w:rPr>
                <w:sz w:val="24"/>
              </w:rPr>
              <w:t>ced?</w:t>
            </w:r>
          </w:p>
        </w:tc>
        <w:sdt>
          <w:sdtPr>
            <w:rPr>
              <w:sz w:val="24"/>
            </w:rPr>
            <w:id w:val="1336881969"/>
            <w:placeholder>
              <w:docPart w:val="41193D527E2D4BB6AD6D1C7DD03E152C"/>
            </w:placeholder>
          </w:sdtPr>
          <w:sdtEndPr/>
          <w:sdtContent>
            <w:tc>
              <w:tcPr>
                <w:tcW w:w="6237" w:type="dxa"/>
              </w:tcPr>
              <w:p w14:paraId="40AE4179" w14:textId="772CDD6E" w:rsidR="0078655F" w:rsidRDefault="00F03486" w:rsidP="0058784D">
                <w:pPr>
                  <w:pStyle w:val="BodyText"/>
                  <w:rPr>
                    <w:sz w:val="24"/>
                  </w:rPr>
                </w:pPr>
                <w:r>
                  <w:rPr>
                    <w:sz w:val="24"/>
                  </w:rPr>
                  <w:t>W</w:t>
                </w:r>
                <w:r w:rsidR="002A6B17">
                  <w:rPr>
                    <w:sz w:val="24"/>
                  </w:rPr>
                  <w:t>hile we</w:t>
                </w:r>
                <w:r>
                  <w:rPr>
                    <w:sz w:val="24"/>
                  </w:rPr>
                  <w:t xml:space="preserve"> don’t support the modification CMP350</w:t>
                </w:r>
                <w:r w:rsidR="002A6B17">
                  <w:rPr>
                    <w:sz w:val="24"/>
                  </w:rPr>
                  <w:t>,</w:t>
                </w:r>
                <w:r>
                  <w:rPr>
                    <w:sz w:val="24"/>
                  </w:rPr>
                  <w:t xml:space="preserve"> we do believe that should the modification be passed a formal limit would be necessary</w:t>
                </w:r>
                <w:r w:rsidR="00FB456F">
                  <w:rPr>
                    <w:sz w:val="24"/>
                  </w:rPr>
                  <w:t xml:space="preserve"> to prevent the </w:t>
                </w:r>
                <w:r>
                  <w:rPr>
                    <w:sz w:val="24"/>
                  </w:rPr>
                  <w:t>ES</w:t>
                </w:r>
                <w:r w:rsidR="00FB456F">
                  <w:rPr>
                    <w:sz w:val="24"/>
                  </w:rPr>
                  <w:t>O from having to finance a higher amount of debt.</w:t>
                </w:r>
              </w:p>
            </w:tc>
          </w:sdtContent>
        </w:sdt>
      </w:tr>
      <w:tr w:rsidR="00230EF9" w:rsidRPr="00867B72" w14:paraId="2F972B52" w14:textId="77777777" w:rsidTr="00FC0F7B">
        <w:trPr>
          <w:trHeight w:val="259"/>
        </w:trPr>
        <w:tc>
          <w:tcPr>
            <w:tcW w:w="851" w:type="dxa"/>
          </w:tcPr>
          <w:p w14:paraId="6FDDD722" w14:textId="786926E8" w:rsidR="00230EF9" w:rsidRPr="00B255F2" w:rsidRDefault="0078655F" w:rsidP="0058784D">
            <w:pPr>
              <w:rPr>
                <w:rFonts w:cs="Arial"/>
                <w:sz w:val="24"/>
              </w:rPr>
            </w:pPr>
            <w:r>
              <w:rPr>
                <w:rFonts w:cs="Arial"/>
                <w:sz w:val="24"/>
              </w:rPr>
              <w:t>6</w:t>
            </w:r>
          </w:p>
        </w:tc>
        <w:tc>
          <w:tcPr>
            <w:tcW w:w="3686" w:type="dxa"/>
          </w:tcPr>
          <w:p w14:paraId="2C933654" w14:textId="31F10F44" w:rsidR="00230EF9" w:rsidRPr="0001243B" w:rsidRDefault="0078655F" w:rsidP="0078655F">
            <w:pPr>
              <w:jc w:val="both"/>
              <w:rPr>
                <w:rFonts w:cs="Arial"/>
                <w:iCs/>
                <w:sz w:val="24"/>
                <w:highlight w:val="yellow"/>
              </w:rPr>
            </w:pPr>
            <w:r>
              <w:rPr>
                <w:rFonts w:cs="Arial"/>
                <w:sz w:val="24"/>
              </w:rPr>
              <w:t xml:space="preserve">The </w:t>
            </w:r>
            <w:r w:rsidRPr="00A02587">
              <w:rPr>
                <w:rFonts w:cs="Arial"/>
                <w:sz w:val="24"/>
              </w:rPr>
              <w:t>ESO ha</w:t>
            </w:r>
            <w:r>
              <w:rPr>
                <w:rFonts w:cs="Arial"/>
                <w:sz w:val="24"/>
              </w:rPr>
              <w:t>s</w:t>
            </w:r>
            <w:r w:rsidRPr="00A02587">
              <w:rPr>
                <w:rFonts w:cs="Arial"/>
                <w:sz w:val="24"/>
              </w:rPr>
              <w:t xml:space="preserve"> included some initial thoughts on how the process would work when the £100m Cap is being approached and when it is reached. Do you agree with this approach? Please provide the rationale for your response</w:t>
            </w:r>
          </w:p>
        </w:tc>
        <w:sdt>
          <w:sdtPr>
            <w:rPr>
              <w:sz w:val="24"/>
            </w:rPr>
            <w:id w:val="-640886681"/>
            <w:placeholder>
              <w:docPart w:val="C23025DAFC254A54BDEC0B52C402EE23"/>
            </w:placeholder>
          </w:sdtPr>
          <w:sdtEndPr/>
          <w:sdtContent>
            <w:sdt>
              <w:sdtPr>
                <w:rPr>
                  <w:sz w:val="24"/>
                </w:rPr>
                <w:id w:val="-856429864"/>
                <w:placeholder>
                  <w:docPart w:val="B21ADD9BA2B644C88A22A2F3F4779FD5"/>
                </w:placeholder>
                <w:showingPlcHdr/>
              </w:sdtPr>
              <w:sdtEndPr/>
              <w:sdtContent>
                <w:tc>
                  <w:tcPr>
                    <w:tcW w:w="6237" w:type="dxa"/>
                  </w:tcPr>
                  <w:p w14:paraId="2697FB79" w14:textId="662C3BC1" w:rsidR="00230EF9" w:rsidRDefault="00D079FC" w:rsidP="0058784D">
                    <w:pPr>
                      <w:pStyle w:val="BodyText"/>
                      <w:rPr>
                        <w:sz w:val="24"/>
                      </w:rPr>
                    </w:pPr>
                    <w:r w:rsidRPr="004C39B5">
                      <w:rPr>
                        <w:rStyle w:val="PlaceholderText"/>
                      </w:rPr>
                      <w:t>Click or tap here to enter text.</w:t>
                    </w:r>
                  </w:p>
                </w:tc>
              </w:sdtContent>
            </w:sdt>
          </w:sdtContent>
        </w:sdt>
      </w:tr>
      <w:tr w:rsidR="00FF1133" w:rsidRPr="00867B72" w14:paraId="5756A08C" w14:textId="77777777" w:rsidTr="00FC0F7B">
        <w:trPr>
          <w:trHeight w:val="259"/>
        </w:trPr>
        <w:tc>
          <w:tcPr>
            <w:tcW w:w="851" w:type="dxa"/>
          </w:tcPr>
          <w:p w14:paraId="58AEEAF6" w14:textId="3562CB83" w:rsidR="00FF1133" w:rsidRDefault="0078655F" w:rsidP="0058784D">
            <w:pPr>
              <w:rPr>
                <w:rFonts w:cs="Arial"/>
                <w:sz w:val="24"/>
              </w:rPr>
            </w:pPr>
            <w:r>
              <w:rPr>
                <w:rFonts w:cs="Arial"/>
                <w:sz w:val="24"/>
              </w:rPr>
              <w:t>7</w:t>
            </w:r>
          </w:p>
        </w:tc>
        <w:tc>
          <w:tcPr>
            <w:tcW w:w="3686" w:type="dxa"/>
          </w:tcPr>
          <w:p w14:paraId="4978D335" w14:textId="29B2E133" w:rsidR="009C04FF" w:rsidRPr="0001243B" w:rsidRDefault="0078655F" w:rsidP="009C04FF">
            <w:pPr>
              <w:jc w:val="both"/>
              <w:rPr>
                <w:rFonts w:cs="Arial"/>
                <w:sz w:val="24"/>
                <w:highlight w:val="yellow"/>
              </w:rPr>
            </w:pPr>
            <w:r w:rsidRPr="009B5FAA">
              <w:rPr>
                <w:sz w:val="24"/>
              </w:rPr>
              <w:t xml:space="preserve">CMP345 introduced a £15/MWh cap for BSUoS.  </w:t>
            </w:r>
            <w:r w:rsidRPr="009B5FAA">
              <w:rPr>
                <w:rFonts w:cs="Arial"/>
                <w:sz w:val="24"/>
              </w:rPr>
              <w:t>The CMP350 Original proposes to revise this cap to £5/MWh due to the increased frequency of BSUoS costs above £5/MWh. Do you think it is appropriate to revise the cap for BSUoS to below £15/MWh and if so to what value? Please provide the rationale for your response including any supporting analysis</w:t>
            </w:r>
          </w:p>
        </w:tc>
        <w:sdt>
          <w:sdtPr>
            <w:rPr>
              <w:sz w:val="24"/>
            </w:rPr>
            <w:id w:val="-1673945154"/>
            <w:placeholder>
              <w:docPart w:val="0B1382091037436D93831BB120DB9F41"/>
            </w:placeholder>
          </w:sdtPr>
          <w:sdtEndPr/>
          <w:sdtContent>
            <w:tc>
              <w:tcPr>
                <w:tcW w:w="6237" w:type="dxa"/>
              </w:tcPr>
              <w:p w14:paraId="29AAEDB6" w14:textId="68829A37" w:rsidR="000A3880" w:rsidRDefault="00DA5F3D" w:rsidP="0058784D">
                <w:pPr>
                  <w:pStyle w:val="BodyText"/>
                  <w:rPr>
                    <w:sz w:val="24"/>
                  </w:rPr>
                </w:pPr>
                <w:r>
                  <w:rPr>
                    <w:sz w:val="24"/>
                  </w:rPr>
                  <w:t>No</w:t>
                </w:r>
                <w:r w:rsidR="002A6B17">
                  <w:rPr>
                    <w:sz w:val="24"/>
                  </w:rPr>
                  <w:t>, although w</w:t>
                </w:r>
                <w:r w:rsidR="00BD1737">
                  <w:rPr>
                    <w:sz w:val="24"/>
                  </w:rPr>
                  <w:t xml:space="preserve">e recognise </w:t>
                </w:r>
                <w:r>
                  <w:rPr>
                    <w:sz w:val="24"/>
                  </w:rPr>
                  <w:t xml:space="preserve">this </w:t>
                </w:r>
                <w:r w:rsidR="00E04C30">
                  <w:rPr>
                    <w:sz w:val="24"/>
                  </w:rPr>
                  <w:t xml:space="preserve">is an </w:t>
                </w:r>
                <w:r>
                  <w:rPr>
                    <w:sz w:val="24"/>
                  </w:rPr>
                  <w:t>extremely difficult time for all participants in the market.</w:t>
                </w:r>
                <w:r w:rsidR="002A6B17">
                  <w:rPr>
                    <w:sz w:val="24"/>
                  </w:rPr>
                  <w:t xml:space="preserve"> We appreciate that the scale of the challenges faced by electricity suppliers are enormous and varied, and that pressures have been intense due to customers being unable to pay their bills, and the lower electricity price.</w:t>
                </w:r>
              </w:p>
              <w:p w14:paraId="240294ED" w14:textId="77777777" w:rsidR="000A3880" w:rsidRDefault="000A3880" w:rsidP="0058784D">
                <w:pPr>
                  <w:pStyle w:val="BodyText"/>
                  <w:rPr>
                    <w:sz w:val="24"/>
                  </w:rPr>
                </w:pPr>
              </w:p>
              <w:p w14:paraId="256D7D37" w14:textId="77777777" w:rsidR="002A6B17" w:rsidRDefault="00DD2A6E" w:rsidP="0058784D">
                <w:pPr>
                  <w:pStyle w:val="BodyText"/>
                  <w:rPr>
                    <w:sz w:val="24"/>
                  </w:rPr>
                </w:pPr>
                <w:r>
                  <w:rPr>
                    <w:sz w:val="24"/>
                  </w:rPr>
                  <w:t xml:space="preserve">However, demand levels are returning to near-normal for this time of year. </w:t>
                </w:r>
                <w:r w:rsidR="000A3880">
                  <w:rPr>
                    <w:sz w:val="24"/>
                  </w:rPr>
                  <w:t>As noted by some workgroup members, the proposed £5/MWh cap is a very low estimate of what might be seen in a summer period</w:t>
                </w:r>
                <w:r w:rsidR="00260B97">
                  <w:rPr>
                    <w:sz w:val="24"/>
                  </w:rPr>
                  <w:t xml:space="preserve"> and BSUoS may have been expected to breach this cap frequently this summer even without the Covid effect</w:t>
                </w:r>
                <w:r w:rsidR="000A3880">
                  <w:rPr>
                    <w:sz w:val="24"/>
                  </w:rPr>
                  <w:t>.</w:t>
                </w:r>
              </w:p>
              <w:p w14:paraId="3B4B6B0D" w14:textId="7563113C" w:rsidR="00FF1133" w:rsidRDefault="000A3880" w:rsidP="0058784D">
                <w:pPr>
                  <w:pStyle w:val="BodyText"/>
                  <w:rPr>
                    <w:sz w:val="24"/>
                  </w:rPr>
                </w:pPr>
                <w:r>
                  <w:rPr>
                    <w:sz w:val="24"/>
                  </w:rPr>
                  <w:t xml:space="preserve"> Volatility in BSUoS costs is a structural issue</w:t>
                </w:r>
                <w:r w:rsidR="002A6B17">
                  <w:rPr>
                    <w:sz w:val="24"/>
                  </w:rPr>
                  <w:t xml:space="preserve"> (which deserves attention)</w:t>
                </w:r>
                <w:r>
                  <w:rPr>
                    <w:sz w:val="24"/>
                  </w:rPr>
                  <w:t xml:space="preserve"> and this </w:t>
                </w:r>
                <w:r w:rsidR="002A6B17">
                  <w:rPr>
                    <w:sz w:val="24"/>
                  </w:rPr>
                  <w:t xml:space="preserve">could be </w:t>
                </w:r>
                <w:r>
                  <w:rPr>
                    <w:sz w:val="24"/>
                  </w:rPr>
                  <w:t>more appropriately dealt with in a longer and more wide-ranging consultation, in which all stakeholders would have reasonable opportunity to respond.</w:t>
                </w:r>
              </w:p>
            </w:tc>
          </w:sdtContent>
        </w:sdt>
      </w:tr>
      <w:tr w:rsidR="00D079FC" w:rsidRPr="00867B72" w14:paraId="67730DD6" w14:textId="77777777" w:rsidTr="00FC0F7B">
        <w:trPr>
          <w:trHeight w:val="259"/>
        </w:trPr>
        <w:tc>
          <w:tcPr>
            <w:tcW w:w="851" w:type="dxa"/>
          </w:tcPr>
          <w:p w14:paraId="6CE7BCF4" w14:textId="145F804E" w:rsidR="00D079FC" w:rsidRPr="00576F0E" w:rsidRDefault="0078655F" w:rsidP="0058784D">
            <w:pPr>
              <w:rPr>
                <w:rFonts w:cs="Arial"/>
                <w:sz w:val="24"/>
                <w:highlight w:val="yellow"/>
              </w:rPr>
            </w:pPr>
            <w:r w:rsidRPr="0078655F">
              <w:rPr>
                <w:rFonts w:cs="Arial"/>
                <w:sz w:val="24"/>
              </w:rPr>
              <w:t>8</w:t>
            </w:r>
          </w:p>
        </w:tc>
        <w:tc>
          <w:tcPr>
            <w:tcW w:w="3686" w:type="dxa"/>
          </w:tcPr>
          <w:p w14:paraId="1148DA73" w14:textId="54DD37CB" w:rsidR="00D079FC" w:rsidRPr="00576F0E" w:rsidRDefault="0078655F" w:rsidP="00576F0E">
            <w:pPr>
              <w:jc w:val="both"/>
              <w:rPr>
                <w:rFonts w:cs="Arial"/>
                <w:sz w:val="24"/>
                <w:highlight w:val="yellow"/>
              </w:rPr>
            </w:pPr>
            <w:r w:rsidRPr="00154CB9">
              <w:rPr>
                <w:rFonts w:cs="Arial"/>
                <w:sz w:val="24"/>
              </w:rPr>
              <w:t>The Covid BSUoS support scheme introduced by CMP345 expires on 31 August 2020. The CMP350 Original proposes extending the expiry date to 30 September 2020 and a Workgroup Member has proposed extending this further to 25 October 2020. Do you think it is appropriate to extend the Covid BSUoS support scheme introduced by CMP345 and if so, to what date? Please provide the rationale for your response</w:t>
            </w:r>
          </w:p>
        </w:tc>
        <w:sdt>
          <w:sdtPr>
            <w:rPr>
              <w:sz w:val="24"/>
            </w:rPr>
            <w:id w:val="1199277935"/>
            <w:placeholder>
              <w:docPart w:val="35057E2C7C0E41DC82FA987AC6CA89DE"/>
            </w:placeholder>
          </w:sdtPr>
          <w:sdtEndPr/>
          <w:sdtContent>
            <w:tc>
              <w:tcPr>
                <w:tcW w:w="6237" w:type="dxa"/>
              </w:tcPr>
              <w:p w14:paraId="32F1205B" w14:textId="74992228" w:rsidR="00D079FC" w:rsidRDefault="00260B97" w:rsidP="0058784D">
                <w:pPr>
                  <w:pStyle w:val="BodyText"/>
                  <w:rPr>
                    <w:sz w:val="24"/>
                  </w:rPr>
                </w:pPr>
                <w:r>
                  <w:rPr>
                    <w:sz w:val="24"/>
                  </w:rPr>
                  <w:t xml:space="preserve">Extending the scheme further prolongs the uncertainty over whether the cap may be reached during October if it has not been reached during September, and the most likely outlook is for life and business to be progressing along a pathway back to normality, leading to less Covid effect within electricity demand. </w:t>
                </w:r>
              </w:p>
            </w:tc>
          </w:sdtContent>
        </w:sdt>
      </w:tr>
    </w:tbl>
    <w:p w14:paraId="0FEB3064" w14:textId="0A8251F0"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B3D49" w14:textId="77777777" w:rsidR="00A44F3A" w:rsidRDefault="00A44F3A" w:rsidP="0006725A">
      <w:pPr>
        <w:spacing w:line="240" w:lineRule="auto"/>
      </w:pPr>
      <w:r>
        <w:separator/>
      </w:r>
    </w:p>
  </w:endnote>
  <w:endnote w:type="continuationSeparator" w:id="0">
    <w:p w14:paraId="01ECD19A" w14:textId="77777777" w:rsidR="00A44F3A" w:rsidRDefault="00A44F3A" w:rsidP="0006725A">
      <w:pPr>
        <w:spacing w:line="240" w:lineRule="auto"/>
      </w:pPr>
      <w:r>
        <w:continuationSeparator/>
      </w:r>
    </w:p>
  </w:endnote>
  <w:endnote w:type="continuationNotice" w:id="1">
    <w:p w14:paraId="0D315871" w14:textId="77777777" w:rsidR="00A44F3A" w:rsidRDefault="00A44F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A4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28CB2" w14:textId="77777777" w:rsidR="00A44F3A" w:rsidRDefault="00A44F3A" w:rsidP="0006725A">
      <w:pPr>
        <w:spacing w:line="240" w:lineRule="auto"/>
      </w:pPr>
      <w:r>
        <w:separator/>
      </w:r>
    </w:p>
  </w:footnote>
  <w:footnote w:type="continuationSeparator" w:id="0">
    <w:p w14:paraId="567EC183" w14:textId="77777777" w:rsidR="00A44F3A" w:rsidRDefault="00A44F3A" w:rsidP="0006725A">
      <w:pPr>
        <w:spacing w:line="240" w:lineRule="auto"/>
      </w:pPr>
      <w:r>
        <w:continuationSeparator/>
      </w:r>
    </w:p>
  </w:footnote>
  <w:footnote w:type="continuationNotice" w:id="1">
    <w:p w14:paraId="475F0C6A" w14:textId="77777777" w:rsidR="00A44F3A" w:rsidRDefault="00A44F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27DD0" w14:textId="3BD0CA6E" w:rsidR="00343F15" w:rsidRDefault="0006725A" w:rsidP="00343F15">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Workgroup Consultation CMP3</w:t>
    </w:r>
    <w:r w:rsidR="00016968">
      <w:t>5</w:t>
    </w:r>
    <w:r w:rsidR="001C42A1">
      <w:t>0</w:t>
    </w:r>
    <w:r w:rsidR="00DF10F2">
      <w:tab/>
    </w:r>
    <w:r w:rsidR="00343F15">
      <w:t xml:space="preserve">Published </w:t>
    </w:r>
    <w:r w:rsidR="005B29B4" w:rsidRPr="0078655F">
      <w:t>o</w:t>
    </w:r>
    <w:r w:rsidR="005B29B4">
      <w:t xml:space="preserve">n </w:t>
    </w:r>
    <w:r w:rsidR="001C42A1">
      <w:t>24 July</w:t>
    </w:r>
    <w:r w:rsidR="00343F15">
      <w:t xml:space="preserve"> 2020 - respond by </w:t>
    </w:r>
    <w:r w:rsidR="00016968">
      <w:t>5p</w:t>
    </w:r>
    <w:r w:rsidR="00343F15">
      <w:t xml:space="preserve">m on </w:t>
    </w:r>
    <w:r w:rsidR="001C42A1">
      <w:t>27 July 2020</w:t>
    </w:r>
  </w:p>
  <w:p w14:paraId="19D5341F" w14:textId="2DBC2E8C" w:rsidR="004B76AD" w:rsidRDefault="00A44F3A" w:rsidP="00343F15">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14D06"/>
    <w:multiLevelType w:val="hybridMultilevel"/>
    <w:tmpl w:val="0396DC8C"/>
    <w:lvl w:ilvl="0" w:tplc="8FEE444E">
      <w:start w:val="1"/>
      <w:numFmt w:val="lowerLetter"/>
      <w:lvlText w:val="%1)"/>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04FE1"/>
    <w:multiLevelType w:val="hybridMultilevel"/>
    <w:tmpl w:val="0396DC8C"/>
    <w:lvl w:ilvl="0" w:tplc="8FEE444E">
      <w:start w:val="1"/>
      <w:numFmt w:val="lowerLetter"/>
      <w:lvlText w:val="%1)"/>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0"/>
  </w:num>
  <w:num w:numId="6">
    <w:abstractNumId w:val="5"/>
  </w:num>
  <w:num w:numId="7">
    <w:abstractNumId w:val="8"/>
  </w:num>
  <w:num w:numId="8">
    <w:abstractNumId w:val="11"/>
  </w:num>
  <w:num w:numId="9">
    <w:abstractNumId w:val="4"/>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1243B"/>
    <w:rsid w:val="00016968"/>
    <w:rsid w:val="00056499"/>
    <w:rsid w:val="0006198F"/>
    <w:rsid w:val="0006725A"/>
    <w:rsid w:val="000A3880"/>
    <w:rsid w:val="000B753C"/>
    <w:rsid w:val="000D146E"/>
    <w:rsid w:val="000E273C"/>
    <w:rsid w:val="000E6D18"/>
    <w:rsid w:val="000F181E"/>
    <w:rsid w:val="000F2C4C"/>
    <w:rsid w:val="00101C71"/>
    <w:rsid w:val="00120E3B"/>
    <w:rsid w:val="00132DB3"/>
    <w:rsid w:val="00141576"/>
    <w:rsid w:val="00141B5B"/>
    <w:rsid w:val="0014345A"/>
    <w:rsid w:val="001A6294"/>
    <w:rsid w:val="001C42A1"/>
    <w:rsid w:val="001F7E62"/>
    <w:rsid w:val="00217075"/>
    <w:rsid w:val="002175AB"/>
    <w:rsid w:val="00230EF9"/>
    <w:rsid w:val="0025290E"/>
    <w:rsid w:val="00260B97"/>
    <w:rsid w:val="00263787"/>
    <w:rsid w:val="00264DC4"/>
    <w:rsid w:val="00265F2C"/>
    <w:rsid w:val="002A6B17"/>
    <w:rsid w:val="002D2F08"/>
    <w:rsid w:val="002D7074"/>
    <w:rsid w:val="002E610D"/>
    <w:rsid w:val="00323B9A"/>
    <w:rsid w:val="00330039"/>
    <w:rsid w:val="00343F15"/>
    <w:rsid w:val="00386948"/>
    <w:rsid w:val="003B51E4"/>
    <w:rsid w:val="003B60E2"/>
    <w:rsid w:val="003C0D9E"/>
    <w:rsid w:val="003C2723"/>
    <w:rsid w:val="003C60F9"/>
    <w:rsid w:val="003C6C26"/>
    <w:rsid w:val="00441BF4"/>
    <w:rsid w:val="00445C4A"/>
    <w:rsid w:val="0045377E"/>
    <w:rsid w:val="00454223"/>
    <w:rsid w:val="0046118B"/>
    <w:rsid w:val="00462F61"/>
    <w:rsid w:val="00466075"/>
    <w:rsid w:val="0049352D"/>
    <w:rsid w:val="004E7E59"/>
    <w:rsid w:val="00540D4E"/>
    <w:rsid w:val="00555D61"/>
    <w:rsid w:val="00576F0E"/>
    <w:rsid w:val="005A04A6"/>
    <w:rsid w:val="005B29B4"/>
    <w:rsid w:val="005B4940"/>
    <w:rsid w:val="00606607"/>
    <w:rsid w:val="006103A5"/>
    <w:rsid w:val="00621863"/>
    <w:rsid w:val="006329D3"/>
    <w:rsid w:val="00643078"/>
    <w:rsid w:val="00665735"/>
    <w:rsid w:val="00677103"/>
    <w:rsid w:val="00686D08"/>
    <w:rsid w:val="006B49E4"/>
    <w:rsid w:val="006D525B"/>
    <w:rsid w:val="006D6ECC"/>
    <w:rsid w:val="007075C5"/>
    <w:rsid w:val="00713E51"/>
    <w:rsid w:val="00760AB5"/>
    <w:rsid w:val="0078655F"/>
    <w:rsid w:val="00790E02"/>
    <w:rsid w:val="00794A5E"/>
    <w:rsid w:val="007D0BAB"/>
    <w:rsid w:val="007D1950"/>
    <w:rsid w:val="007F5BCB"/>
    <w:rsid w:val="00811809"/>
    <w:rsid w:val="00811C7A"/>
    <w:rsid w:val="008126F2"/>
    <w:rsid w:val="00830C0B"/>
    <w:rsid w:val="00836CFF"/>
    <w:rsid w:val="008643FE"/>
    <w:rsid w:val="00867B72"/>
    <w:rsid w:val="00891517"/>
    <w:rsid w:val="008A5FF3"/>
    <w:rsid w:val="008A6124"/>
    <w:rsid w:val="008D0236"/>
    <w:rsid w:val="008D796E"/>
    <w:rsid w:val="00971186"/>
    <w:rsid w:val="00980B6F"/>
    <w:rsid w:val="00991C37"/>
    <w:rsid w:val="00991FB7"/>
    <w:rsid w:val="009C04FF"/>
    <w:rsid w:val="009F2E67"/>
    <w:rsid w:val="009F4E4E"/>
    <w:rsid w:val="00A0441B"/>
    <w:rsid w:val="00A10CD1"/>
    <w:rsid w:val="00A209DF"/>
    <w:rsid w:val="00A27A11"/>
    <w:rsid w:val="00A44F3A"/>
    <w:rsid w:val="00A46442"/>
    <w:rsid w:val="00A67F32"/>
    <w:rsid w:val="00AB3859"/>
    <w:rsid w:val="00AC4CF2"/>
    <w:rsid w:val="00AE0C1F"/>
    <w:rsid w:val="00AE5DF9"/>
    <w:rsid w:val="00AF501E"/>
    <w:rsid w:val="00B255F2"/>
    <w:rsid w:val="00B374A1"/>
    <w:rsid w:val="00B53F42"/>
    <w:rsid w:val="00B61430"/>
    <w:rsid w:val="00B657DD"/>
    <w:rsid w:val="00B72C9B"/>
    <w:rsid w:val="00B7360D"/>
    <w:rsid w:val="00B75DF3"/>
    <w:rsid w:val="00B97BDE"/>
    <w:rsid w:val="00BB0A2B"/>
    <w:rsid w:val="00BC396D"/>
    <w:rsid w:val="00BC3EE1"/>
    <w:rsid w:val="00BD020A"/>
    <w:rsid w:val="00BD1737"/>
    <w:rsid w:val="00BE2538"/>
    <w:rsid w:val="00C204B9"/>
    <w:rsid w:val="00C20914"/>
    <w:rsid w:val="00C6737A"/>
    <w:rsid w:val="00C90748"/>
    <w:rsid w:val="00CB6146"/>
    <w:rsid w:val="00CC6E43"/>
    <w:rsid w:val="00CF795B"/>
    <w:rsid w:val="00D064F7"/>
    <w:rsid w:val="00D079FC"/>
    <w:rsid w:val="00D14DB8"/>
    <w:rsid w:val="00D179EE"/>
    <w:rsid w:val="00D25F0C"/>
    <w:rsid w:val="00D33D6D"/>
    <w:rsid w:val="00D472C3"/>
    <w:rsid w:val="00D511DD"/>
    <w:rsid w:val="00D559A9"/>
    <w:rsid w:val="00D73CC5"/>
    <w:rsid w:val="00D80123"/>
    <w:rsid w:val="00D93401"/>
    <w:rsid w:val="00DA5F3D"/>
    <w:rsid w:val="00DD2A6E"/>
    <w:rsid w:val="00DE3617"/>
    <w:rsid w:val="00DF10F2"/>
    <w:rsid w:val="00DF1B46"/>
    <w:rsid w:val="00E04C30"/>
    <w:rsid w:val="00E41F07"/>
    <w:rsid w:val="00E42B5C"/>
    <w:rsid w:val="00E51202"/>
    <w:rsid w:val="00E61D12"/>
    <w:rsid w:val="00E83EF4"/>
    <w:rsid w:val="00E93390"/>
    <w:rsid w:val="00EA3010"/>
    <w:rsid w:val="00EB1523"/>
    <w:rsid w:val="00EF2E0D"/>
    <w:rsid w:val="00EF6704"/>
    <w:rsid w:val="00F03486"/>
    <w:rsid w:val="00F20303"/>
    <w:rsid w:val="00F25470"/>
    <w:rsid w:val="00F51984"/>
    <w:rsid w:val="00F711FA"/>
    <w:rsid w:val="00F72ED7"/>
    <w:rsid w:val="00FB456F"/>
    <w:rsid w:val="00FB6E46"/>
    <w:rsid w:val="00FC0F7B"/>
    <w:rsid w:val="00FD4D12"/>
    <w:rsid w:val="00FD5F9D"/>
    <w:rsid w:val="00FF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paragraph" w:styleId="FootnoteText">
    <w:name w:val="footnote text"/>
    <w:basedOn w:val="Normal"/>
    <w:link w:val="FootnoteTextChar"/>
    <w:rsid w:val="00A0441B"/>
    <w:pPr>
      <w:spacing w:before="120" w:after="120"/>
    </w:pPr>
    <w:rPr>
      <w:sz w:val="20"/>
      <w:szCs w:val="20"/>
    </w:rPr>
  </w:style>
  <w:style w:type="character" w:customStyle="1" w:styleId="FootnoteTextChar">
    <w:name w:val="Footnote Text Char"/>
    <w:basedOn w:val="DefaultParagraphFont"/>
    <w:link w:val="FootnoteText"/>
    <w:rsid w:val="00A0441B"/>
    <w:rPr>
      <w:rFonts w:ascii="Arial" w:eastAsia="Times New Roman" w:hAnsi="Arial" w:cs="Times New Roman"/>
      <w:sz w:val="20"/>
      <w:szCs w:val="20"/>
      <w:lang w:eastAsia="en-GB"/>
    </w:rPr>
  </w:style>
  <w:style w:type="paragraph" w:customStyle="1" w:styleId="Style6">
    <w:name w:val="Style6"/>
    <w:basedOn w:val="Checklist"/>
    <w:link w:val="Style6Char"/>
    <w:qFormat/>
    <w:rsid w:val="00A0441B"/>
    <w:pPr>
      <w:shd w:val="clear" w:color="auto" w:fill="727274" w:themeFill="text2"/>
      <w:tabs>
        <w:tab w:val="left" w:pos="9214"/>
      </w:tabs>
    </w:pPr>
  </w:style>
  <w:style w:type="character" w:styleId="FootnoteReference">
    <w:name w:val="footnote reference"/>
    <w:basedOn w:val="DefaultParagraphFont"/>
    <w:rsid w:val="00A0441B"/>
    <w:rPr>
      <w:vertAlign w:val="superscript"/>
    </w:rPr>
  </w:style>
  <w:style w:type="character" w:customStyle="1" w:styleId="Style6Char">
    <w:name w:val="Style6 Char"/>
    <w:basedOn w:val="ChecklistChar"/>
    <w:link w:val="Style6"/>
    <w:rsid w:val="00A0441B"/>
    <w:rPr>
      <w:rFonts w:ascii="Arial" w:eastAsia="Times New Roman" w:hAnsi="Arial" w:cs="Arial"/>
      <w:b/>
      <w:bCs/>
      <w:color w:val="FFFFFF" w:themeColor="background1"/>
      <w:kern w:val="32"/>
      <w:sz w:val="28"/>
      <w:szCs w:val="32"/>
      <w:shd w:val="clear" w:color="auto" w:fill="727274" w:themeFill="text2"/>
      <w:lang w:eastAsia="en-GB"/>
    </w:rPr>
  </w:style>
  <w:style w:type="paragraph" w:customStyle="1" w:styleId="TableHeading">
    <w:name w:val="Table Heading"/>
    <w:basedOn w:val="Normal"/>
    <w:rsid w:val="00D73CC5"/>
    <w:pPr>
      <w:spacing w:before="120" w:after="120" w:line="240" w:lineRule="auto"/>
      <w:ind w:left="113"/>
    </w:pPr>
    <w:rPr>
      <w:color w:val="008576"/>
      <w:sz w:val="20"/>
    </w:rPr>
  </w:style>
  <w:style w:type="paragraph" w:customStyle="1" w:styleId="Tablebodycopy">
    <w:name w:val="Table body copy"/>
    <w:basedOn w:val="Normal"/>
    <w:rsid w:val="00D73CC5"/>
    <w:pPr>
      <w:spacing w:before="40" w:after="120"/>
      <w:ind w:left="113"/>
    </w:pPr>
    <w:rPr>
      <w:color w:val="008576"/>
      <w:sz w:val="20"/>
    </w:rPr>
  </w:style>
  <w:style w:type="character" w:styleId="UnresolvedMention">
    <w:name w:val="Unresolved Mention"/>
    <w:basedOn w:val="DefaultParagraphFont"/>
    <w:uiPriority w:val="99"/>
    <w:semiHidden/>
    <w:unhideWhenUsed/>
    <w:rsid w:val="00C20914"/>
    <w:rPr>
      <w:color w:val="605E5C"/>
      <w:shd w:val="clear" w:color="auto" w:fill="E1DFDD"/>
    </w:rPr>
  </w:style>
  <w:style w:type="character" w:styleId="CommentReference">
    <w:name w:val="annotation reference"/>
    <w:basedOn w:val="DefaultParagraphFont"/>
    <w:uiPriority w:val="99"/>
    <w:semiHidden/>
    <w:unhideWhenUsed/>
    <w:rsid w:val="00AB3859"/>
    <w:rPr>
      <w:sz w:val="16"/>
      <w:szCs w:val="16"/>
    </w:rPr>
  </w:style>
  <w:style w:type="paragraph" w:styleId="CommentText">
    <w:name w:val="annotation text"/>
    <w:basedOn w:val="Normal"/>
    <w:link w:val="CommentTextChar"/>
    <w:uiPriority w:val="99"/>
    <w:semiHidden/>
    <w:unhideWhenUsed/>
    <w:rsid w:val="00AB3859"/>
    <w:pPr>
      <w:spacing w:line="240" w:lineRule="auto"/>
    </w:pPr>
    <w:rPr>
      <w:sz w:val="20"/>
      <w:szCs w:val="20"/>
    </w:rPr>
  </w:style>
  <w:style w:type="character" w:customStyle="1" w:styleId="CommentTextChar">
    <w:name w:val="Comment Text Char"/>
    <w:basedOn w:val="DefaultParagraphFont"/>
    <w:link w:val="CommentText"/>
    <w:uiPriority w:val="99"/>
    <w:semiHidden/>
    <w:rsid w:val="00AB385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B3859"/>
    <w:rPr>
      <w:b/>
      <w:bCs/>
    </w:rPr>
  </w:style>
  <w:style w:type="character" w:customStyle="1" w:styleId="CommentSubjectChar">
    <w:name w:val="Comment Subject Char"/>
    <w:basedOn w:val="CommentTextChar"/>
    <w:link w:val="CommentSubject"/>
    <w:uiPriority w:val="99"/>
    <w:semiHidden/>
    <w:rsid w:val="00AB3859"/>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AB38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5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4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C23025DAFC254A54BDEC0B52C402EE23"/>
        <w:category>
          <w:name w:val="General"/>
          <w:gallery w:val="placeholder"/>
        </w:category>
        <w:types>
          <w:type w:val="bbPlcHdr"/>
        </w:types>
        <w:behaviors>
          <w:behavior w:val="content"/>
        </w:behaviors>
        <w:guid w:val="{A6196A69-EAF8-435F-B976-C26366DADAF4}"/>
      </w:docPartPr>
      <w:docPartBody>
        <w:p w:rsidR="00FB4C19" w:rsidRDefault="001D3A4A" w:rsidP="001D3A4A">
          <w:pPr>
            <w:pStyle w:val="C23025DAFC254A54BDEC0B52C402EE23"/>
          </w:pPr>
          <w:r w:rsidRPr="004C39B5">
            <w:rPr>
              <w:rStyle w:val="PlaceholderText"/>
            </w:rPr>
            <w:t>Click or tap here to enter text.</w:t>
          </w:r>
        </w:p>
      </w:docPartBody>
    </w:docPart>
    <w:docPart>
      <w:docPartPr>
        <w:name w:val="B21ADD9BA2B644C88A22A2F3F4779FD5"/>
        <w:category>
          <w:name w:val="General"/>
          <w:gallery w:val="placeholder"/>
        </w:category>
        <w:types>
          <w:type w:val="bbPlcHdr"/>
        </w:types>
        <w:behaviors>
          <w:behavior w:val="content"/>
        </w:behaviors>
        <w:guid w:val="{EE9D276E-E291-4576-9746-164F1129CA13}"/>
      </w:docPartPr>
      <w:docPartBody>
        <w:p w:rsidR="00FB4C19" w:rsidRDefault="001D3A4A" w:rsidP="001D3A4A">
          <w:pPr>
            <w:pStyle w:val="B21ADD9BA2B644C88A22A2F3F4779FD5"/>
          </w:pPr>
          <w:r w:rsidRPr="004C39B5">
            <w:rPr>
              <w:rStyle w:val="PlaceholderText"/>
            </w:rPr>
            <w:t>Click or tap here to enter text.</w:t>
          </w:r>
        </w:p>
      </w:docPartBody>
    </w:docPart>
    <w:docPart>
      <w:docPartPr>
        <w:name w:val="0B1382091037436D93831BB120DB9F41"/>
        <w:category>
          <w:name w:val="General"/>
          <w:gallery w:val="placeholder"/>
        </w:category>
        <w:types>
          <w:type w:val="bbPlcHdr"/>
        </w:types>
        <w:behaviors>
          <w:behavior w:val="content"/>
        </w:behaviors>
        <w:guid w:val="{70A0E300-3AA7-494A-A971-49924B2FDA42}"/>
      </w:docPartPr>
      <w:docPartBody>
        <w:p w:rsidR="00FB4C19" w:rsidRDefault="001D3A4A" w:rsidP="001D3A4A">
          <w:pPr>
            <w:pStyle w:val="0B1382091037436D93831BB120DB9F41"/>
          </w:pPr>
          <w:r w:rsidRPr="004C39B5">
            <w:rPr>
              <w:rStyle w:val="PlaceholderText"/>
            </w:rPr>
            <w:t>Click or tap here to enter text.</w:t>
          </w:r>
        </w:p>
      </w:docPartBody>
    </w:docPart>
    <w:docPart>
      <w:docPartPr>
        <w:name w:val="35057E2C7C0E41DC82FA987AC6CA89DE"/>
        <w:category>
          <w:name w:val="General"/>
          <w:gallery w:val="placeholder"/>
        </w:category>
        <w:types>
          <w:type w:val="bbPlcHdr"/>
        </w:types>
        <w:behaviors>
          <w:behavior w:val="content"/>
        </w:behaviors>
        <w:guid w:val="{918338E3-4246-4CB7-961C-49A64E66A58D}"/>
      </w:docPartPr>
      <w:docPartBody>
        <w:p w:rsidR="001038A9" w:rsidRDefault="00DF1076" w:rsidP="00DF1076">
          <w:pPr>
            <w:pStyle w:val="35057E2C7C0E41DC82FA987AC6CA89DE"/>
          </w:pPr>
          <w:r w:rsidRPr="004C39B5">
            <w:rPr>
              <w:rStyle w:val="PlaceholderText"/>
            </w:rPr>
            <w:t>Click or tap here to enter text.</w:t>
          </w:r>
        </w:p>
      </w:docPartBody>
    </w:docPart>
    <w:docPart>
      <w:docPartPr>
        <w:name w:val="41193D527E2D4BB6AD6D1C7DD03E152C"/>
        <w:category>
          <w:name w:val="General"/>
          <w:gallery w:val="placeholder"/>
        </w:category>
        <w:types>
          <w:type w:val="bbPlcHdr"/>
        </w:types>
        <w:behaviors>
          <w:behavior w:val="content"/>
        </w:behaviors>
        <w:guid w:val="{AA0CAE4B-3FCB-4BA5-8BF5-99259F3DBF01}"/>
      </w:docPartPr>
      <w:docPartBody>
        <w:p w:rsidR="0040749E" w:rsidRDefault="001038A9" w:rsidP="001038A9">
          <w:pPr>
            <w:pStyle w:val="41193D527E2D4BB6AD6D1C7DD03E152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101581"/>
    <w:rsid w:val="001038A9"/>
    <w:rsid w:val="001A4B8C"/>
    <w:rsid w:val="001D3A4A"/>
    <w:rsid w:val="002F2066"/>
    <w:rsid w:val="0040749E"/>
    <w:rsid w:val="00434FA4"/>
    <w:rsid w:val="0058473D"/>
    <w:rsid w:val="005F0F57"/>
    <w:rsid w:val="00684F56"/>
    <w:rsid w:val="007C286E"/>
    <w:rsid w:val="0091604E"/>
    <w:rsid w:val="0093229B"/>
    <w:rsid w:val="00B277BE"/>
    <w:rsid w:val="00C23C8D"/>
    <w:rsid w:val="00C27DD3"/>
    <w:rsid w:val="00CA00DD"/>
    <w:rsid w:val="00D36F7F"/>
    <w:rsid w:val="00DF1076"/>
    <w:rsid w:val="00FB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8A9"/>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8733F2D484EE40259CE213B62275A4E2">
    <w:name w:val="8733F2D484EE40259CE213B62275A4E2"/>
    <w:rsid w:val="00B277BE"/>
  </w:style>
  <w:style w:type="paragraph" w:customStyle="1" w:styleId="F9CF677F7B63492D83E9147450B6F77D">
    <w:name w:val="F9CF677F7B63492D83E9147450B6F77D"/>
    <w:rsid w:val="0058473D"/>
  </w:style>
  <w:style w:type="paragraph" w:customStyle="1" w:styleId="9EFF8AFCF60C40589A2D34AA8A43F60E">
    <w:name w:val="9EFF8AFCF60C40589A2D34AA8A43F60E"/>
    <w:rsid w:val="0058473D"/>
  </w:style>
  <w:style w:type="paragraph" w:customStyle="1" w:styleId="61D67D914A864205BC792061238D918A">
    <w:name w:val="61D67D914A864205BC792061238D918A"/>
    <w:rsid w:val="0058473D"/>
  </w:style>
  <w:style w:type="paragraph" w:customStyle="1" w:styleId="29253FCD767F4C32832552C01D175646">
    <w:name w:val="29253FCD767F4C32832552C01D175646"/>
    <w:rsid w:val="0058473D"/>
  </w:style>
  <w:style w:type="paragraph" w:customStyle="1" w:styleId="F2D32E341BAB4966A8D43255159ABFFC">
    <w:name w:val="F2D32E341BAB4966A8D43255159ABFFC"/>
    <w:rsid w:val="001D3A4A"/>
  </w:style>
  <w:style w:type="paragraph" w:customStyle="1" w:styleId="C23025DAFC254A54BDEC0B52C402EE23">
    <w:name w:val="C23025DAFC254A54BDEC0B52C402EE23"/>
    <w:rsid w:val="001D3A4A"/>
  </w:style>
  <w:style w:type="paragraph" w:customStyle="1" w:styleId="B21ADD9BA2B644C88A22A2F3F4779FD5">
    <w:name w:val="B21ADD9BA2B644C88A22A2F3F4779FD5"/>
    <w:rsid w:val="001D3A4A"/>
  </w:style>
  <w:style w:type="paragraph" w:customStyle="1" w:styleId="0B1382091037436D93831BB120DB9F41">
    <w:name w:val="0B1382091037436D93831BB120DB9F41"/>
    <w:rsid w:val="001D3A4A"/>
  </w:style>
  <w:style w:type="paragraph" w:customStyle="1" w:styleId="A00720A58FB24E418FB18EA22B2AEE0D">
    <w:name w:val="A00720A58FB24E418FB18EA22B2AEE0D"/>
    <w:rsid w:val="001D3A4A"/>
  </w:style>
  <w:style w:type="paragraph" w:customStyle="1" w:styleId="70A3A002348040799261F63C15A0C889">
    <w:name w:val="70A3A002348040799261F63C15A0C889"/>
    <w:rsid w:val="001D3A4A"/>
  </w:style>
  <w:style w:type="paragraph" w:customStyle="1" w:styleId="5DF3801C877441B499A3B4904F6FE719">
    <w:name w:val="5DF3801C877441B499A3B4904F6FE719"/>
    <w:rsid w:val="001D3A4A"/>
  </w:style>
  <w:style w:type="paragraph" w:customStyle="1" w:styleId="5B0A26D32A0949FFAC7AB65E212CF374">
    <w:name w:val="5B0A26D32A0949FFAC7AB65E212CF374"/>
    <w:rsid w:val="001D3A4A"/>
  </w:style>
  <w:style w:type="paragraph" w:customStyle="1" w:styleId="EB6A931D3CFB48ACB3C3E6B42A703D6B">
    <w:name w:val="EB6A931D3CFB48ACB3C3E6B42A703D6B"/>
    <w:rsid w:val="001D3A4A"/>
  </w:style>
  <w:style w:type="paragraph" w:customStyle="1" w:styleId="141CF2758E2743B8B7837F93C3545E30">
    <w:name w:val="141CF2758E2743B8B7837F93C3545E30"/>
    <w:rsid w:val="001D3A4A"/>
  </w:style>
  <w:style w:type="paragraph" w:customStyle="1" w:styleId="2D535A55FA6E44E3BF47FFD4188486A7">
    <w:name w:val="2D535A55FA6E44E3BF47FFD4188486A7"/>
    <w:rsid w:val="001D3A4A"/>
  </w:style>
  <w:style w:type="paragraph" w:customStyle="1" w:styleId="C65E811E04104191BC0A09D173B4F4DE">
    <w:name w:val="C65E811E04104191BC0A09D173B4F4DE"/>
    <w:rsid w:val="001D3A4A"/>
  </w:style>
  <w:style w:type="paragraph" w:customStyle="1" w:styleId="1AA255FD1E4E4CD79C46F5220C9995A8">
    <w:name w:val="1AA255FD1E4E4CD79C46F5220C9995A8"/>
    <w:rsid w:val="001D3A4A"/>
  </w:style>
  <w:style w:type="paragraph" w:customStyle="1" w:styleId="C94516904E0E46BB98F40C1EE45FA877">
    <w:name w:val="C94516904E0E46BB98F40C1EE45FA877"/>
    <w:rsid w:val="001D3A4A"/>
  </w:style>
  <w:style w:type="paragraph" w:customStyle="1" w:styleId="25842FAFC9194AA791936FE49856F8DA">
    <w:name w:val="25842FAFC9194AA791936FE49856F8DA"/>
    <w:rsid w:val="001D3A4A"/>
  </w:style>
  <w:style w:type="paragraph" w:customStyle="1" w:styleId="5B1225785A844E2CAF9F5D21AD3F62E7">
    <w:name w:val="5B1225785A844E2CAF9F5D21AD3F62E7"/>
    <w:rsid w:val="001D3A4A"/>
  </w:style>
  <w:style w:type="paragraph" w:customStyle="1" w:styleId="D505738724944BD0A069E594179ABA5E">
    <w:name w:val="D505738724944BD0A069E594179ABA5E"/>
    <w:rsid w:val="001D3A4A"/>
  </w:style>
  <w:style w:type="paragraph" w:customStyle="1" w:styleId="181929B9F6C4497BA3BCF8439AFDABE2">
    <w:name w:val="181929B9F6C4497BA3BCF8439AFDABE2"/>
    <w:rsid w:val="001D3A4A"/>
  </w:style>
  <w:style w:type="paragraph" w:customStyle="1" w:styleId="671C7D7E29244FCAB3B39FEBCFD04305">
    <w:name w:val="671C7D7E29244FCAB3B39FEBCFD04305"/>
    <w:rsid w:val="00101581"/>
  </w:style>
  <w:style w:type="paragraph" w:customStyle="1" w:styleId="35057E2C7C0E41DC82FA987AC6CA89DE">
    <w:name w:val="35057E2C7C0E41DC82FA987AC6CA89DE"/>
    <w:rsid w:val="00DF1076"/>
  </w:style>
  <w:style w:type="paragraph" w:customStyle="1" w:styleId="41193D527E2D4BB6AD6D1C7DD03E152C">
    <w:name w:val="41193D527E2D4BB6AD6D1C7DD03E152C"/>
    <w:rsid w:val="00103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6E93C23635549979AC8493EB63315" ma:contentTypeVersion="10" ma:contentTypeDescription="Create a new document." ma:contentTypeScope="" ma:versionID="9589bd13e113140f2e7c79e852be5655">
  <xsd:schema xmlns:xsd="http://www.w3.org/2001/XMLSchema" xmlns:xs="http://www.w3.org/2001/XMLSchema" xmlns:p="http://schemas.microsoft.com/office/2006/metadata/properties" xmlns:ns3="c0cdbb77-d2cf-40fb-835f-b4ca9c486e45" targetNamespace="http://schemas.microsoft.com/office/2006/metadata/properties" ma:root="true" ma:fieldsID="4a5cfc18af262bed10b5586dcc071165" ns3:_="">
    <xsd:import namespace="c0cdbb77-d2cf-40fb-835f-b4ca9c486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bb77-d2cf-40fb-835f-b4ca9c486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E87E0A5A-4626-4000-A3C3-97DF23E3B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bb77-d2cf-40fb-835f-b4ca9c486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Isobel Morris</cp:lastModifiedBy>
  <cp:revision>2</cp:revision>
  <dcterms:created xsi:type="dcterms:W3CDTF">2020-08-14T10:07:00Z</dcterms:created>
  <dcterms:modified xsi:type="dcterms:W3CDTF">2020-08-14T10:07:00Z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0x01010060F6E93C23635549979AC8493EB63315</vt:lpwstr>
  </property>
</Properties>
</file>