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64ED4" w14:textId="7BFE6176" w:rsidR="00522481" w:rsidRDefault="00FC12C7" w:rsidP="00FC12C7">
      <w:pPr>
        <w:jc w:val="center"/>
        <w:rPr>
          <w:rFonts w:cs="Open Sans"/>
          <w:b/>
          <w:bCs/>
          <w:color w:val="06926B"/>
          <w:sz w:val="28"/>
          <w:szCs w:val="28"/>
        </w:rPr>
      </w:pPr>
      <w:r>
        <w:rPr>
          <w:rFonts w:cs="Open Sans"/>
          <w:b/>
          <w:bCs/>
          <w:color w:val="06926B"/>
          <w:sz w:val="28"/>
          <w:szCs w:val="28"/>
        </w:rPr>
        <w:t xml:space="preserve">REA </w:t>
      </w:r>
      <w:r w:rsidR="00435AEC">
        <w:rPr>
          <w:rFonts w:cs="Open Sans"/>
          <w:b/>
          <w:bCs/>
          <w:color w:val="06926B"/>
          <w:sz w:val="28"/>
          <w:szCs w:val="28"/>
        </w:rPr>
        <w:t>Energy Storage</w:t>
      </w:r>
      <w:r>
        <w:rPr>
          <w:rFonts w:cs="Open Sans"/>
          <w:b/>
          <w:bCs/>
          <w:color w:val="06926B"/>
          <w:sz w:val="28"/>
          <w:szCs w:val="28"/>
        </w:rPr>
        <w:t xml:space="preserve"> Forum –</w:t>
      </w:r>
      <w:r w:rsidR="00CD045A">
        <w:rPr>
          <w:rFonts w:cs="Open Sans"/>
          <w:b/>
          <w:bCs/>
          <w:color w:val="06926B"/>
          <w:sz w:val="28"/>
          <w:szCs w:val="28"/>
        </w:rPr>
        <w:t xml:space="preserve"> </w:t>
      </w:r>
      <w:r w:rsidR="00F007C0">
        <w:rPr>
          <w:rFonts w:cs="Open Sans"/>
          <w:b/>
          <w:bCs/>
          <w:color w:val="06926B"/>
          <w:sz w:val="28"/>
          <w:szCs w:val="28"/>
        </w:rPr>
        <w:t>Longer-Duration</w:t>
      </w:r>
      <w:r>
        <w:rPr>
          <w:rFonts w:cs="Open Sans"/>
          <w:b/>
          <w:bCs/>
          <w:color w:val="06926B"/>
          <w:sz w:val="28"/>
          <w:szCs w:val="28"/>
        </w:rPr>
        <w:t xml:space="preserve"> </w:t>
      </w:r>
      <w:r w:rsidR="00AC0185">
        <w:rPr>
          <w:rFonts w:cs="Open Sans"/>
          <w:b/>
          <w:bCs/>
          <w:color w:val="06926B"/>
          <w:sz w:val="28"/>
          <w:szCs w:val="28"/>
        </w:rPr>
        <w:t xml:space="preserve">Electricity Storage </w:t>
      </w:r>
      <w:r>
        <w:rPr>
          <w:rFonts w:cs="Open Sans"/>
          <w:b/>
          <w:bCs/>
          <w:color w:val="06926B"/>
          <w:sz w:val="28"/>
          <w:szCs w:val="28"/>
        </w:rPr>
        <w:t xml:space="preserve">Work Group </w:t>
      </w:r>
      <w:r w:rsidR="00F33703">
        <w:rPr>
          <w:rFonts w:cs="Open Sans"/>
          <w:b/>
          <w:bCs/>
          <w:color w:val="06926B"/>
          <w:sz w:val="28"/>
          <w:szCs w:val="28"/>
        </w:rPr>
        <w:t>– Meeting Minutes</w:t>
      </w:r>
    </w:p>
    <w:p w14:paraId="730A571D" w14:textId="6DCB03B0" w:rsidR="00FC12C7" w:rsidRPr="00C66AEF" w:rsidRDefault="00522481" w:rsidP="00FC12C7">
      <w:pPr>
        <w:jc w:val="center"/>
        <w:rPr>
          <w:rFonts w:cs="Open Sans"/>
          <w:b/>
          <w:bCs/>
          <w:color w:val="06926B"/>
          <w:sz w:val="22"/>
        </w:rPr>
      </w:pPr>
      <w:r w:rsidRPr="00C66AEF">
        <w:rPr>
          <w:rFonts w:cs="Open Sans"/>
          <w:b/>
          <w:bCs/>
          <w:color w:val="06926B"/>
          <w:sz w:val="22"/>
        </w:rPr>
        <w:t>2</w:t>
      </w:r>
      <w:r w:rsidR="00F33703" w:rsidRPr="00C66AEF">
        <w:rPr>
          <w:rFonts w:cs="Open Sans"/>
          <w:b/>
          <w:bCs/>
          <w:color w:val="06926B"/>
          <w:sz w:val="22"/>
        </w:rPr>
        <w:t>6 August 2020</w:t>
      </w:r>
      <w:r w:rsidR="00334EBB" w:rsidRPr="00C66AEF">
        <w:rPr>
          <w:rFonts w:cs="Open Sans"/>
          <w:b/>
          <w:bCs/>
          <w:color w:val="06926B"/>
          <w:sz w:val="22"/>
        </w:rPr>
        <w:t>, 10am-12pm</w:t>
      </w:r>
    </w:p>
    <w:p w14:paraId="65E358A1" w14:textId="1DDFDCC5" w:rsidR="00F33703" w:rsidRDefault="004F6408" w:rsidP="003A4C6C">
      <w:pPr>
        <w:pStyle w:val="NoSpacing"/>
        <w:rPr>
          <w:rFonts w:ascii="Open Sans" w:hAnsi="Open Sans" w:cs="Open Sans"/>
          <w:b/>
          <w:bCs/>
          <w:color w:val="06926B"/>
        </w:rPr>
      </w:pPr>
      <w:r>
        <w:rPr>
          <w:rFonts w:ascii="Open Sans" w:hAnsi="Open Sans" w:cs="Open Sans"/>
          <w:b/>
          <w:bCs/>
          <w:color w:val="06926B"/>
        </w:rPr>
        <w:t>Attendees</w:t>
      </w:r>
    </w:p>
    <w:p w14:paraId="74D16A09" w14:textId="77777777" w:rsidR="00F33703" w:rsidRDefault="00F33703" w:rsidP="003A4C6C">
      <w:pPr>
        <w:pStyle w:val="NoSpacing"/>
        <w:rPr>
          <w:rFonts w:ascii="Open Sans" w:hAnsi="Open Sans" w:cs="Open Sans"/>
          <w:b/>
          <w:bCs/>
          <w:color w:val="06926B"/>
        </w:rPr>
      </w:pPr>
    </w:p>
    <w:p w14:paraId="7B7E5403" w14:textId="55B85757" w:rsidR="00F33703" w:rsidRDefault="00F33703" w:rsidP="003A4C6C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Work Group Chair: Marcelo Torres (Drax)</w:t>
      </w:r>
    </w:p>
    <w:p w14:paraId="1BFB7D40" w14:textId="5C1CBE0B" w:rsidR="00F33703" w:rsidRDefault="00F33703" w:rsidP="003A4C6C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Energy Storage Forum Chair: Vijay Shinde</w:t>
      </w:r>
      <w:r w:rsidR="009A0419">
        <w:rPr>
          <w:rFonts w:ascii="Open Sans" w:hAnsi="Open Sans" w:cs="Open Sans"/>
        </w:rPr>
        <w:t xml:space="preserve"> (Harmony Energy)</w:t>
      </w:r>
    </w:p>
    <w:p w14:paraId="55B39079" w14:textId="130F4709" w:rsidR="004F6408" w:rsidRDefault="004F6408" w:rsidP="003A4C6C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REA: Daniel Brown, Frank Gordon, Isobel Morris.</w:t>
      </w:r>
    </w:p>
    <w:p w14:paraId="541D654E" w14:textId="06C445BE" w:rsidR="00F33703" w:rsidRDefault="00F33703" w:rsidP="003A4C6C">
      <w:pPr>
        <w:pStyle w:val="NoSpacing"/>
        <w:rPr>
          <w:rFonts w:ascii="Open Sans" w:hAnsi="Open Sans" w:cs="Open Sans"/>
        </w:rPr>
      </w:pPr>
    </w:p>
    <w:p w14:paraId="2EF41CC0" w14:textId="65FFCC43" w:rsidR="00332F37" w:rsidRDefault="00F33703" w:rsidP="003A4C6C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Registrations</w:t>
      </w:r>
      <w:r w:rsidR="009A0419">
        <w:rPr>
          <w:rFonts w:ascii="Open Sans" w:hAnsi="Open Sans" w:cs="Open Sans"/>
        </w:rPr>
        <w:t xml:space="preserve"> &amp; attendees:</w:t>
      </w:r>
      <w:r w:rsidR="00597D47">
        <w:rPr>
          <w:rFonts w:ascii="Open Sans" w:hAnsi="Open Sans" w:cs="Open Sans"/>
        </w:rPr>
        <w:t xml:space="preserve"> Bioenergy Infrastructure,</w:t>
      </w:r>
      <w:r w:rsidR="009A0419">
        <w:rPr>
          <w:rFonts w:ascii="Open Sans" w:hAnsi="Open Sans" w:cs="Open Sans"/>
        </w:rPr>
        <w:t xml:space="preserve"> Carter Jonas,</w:t>
      </w:r>
      <w:r w:rsidR="00597D47">
        <w:rPr>
          <w:rFonts w:ascii="Open Sans" w:hAnsi="Open Sans" w:cs="Open Sans"/>
        </w:rPr>
        <w:t xml:space="preserve"> </w:t>
      </w:r>
      <w:r w:rsidR="009A0419">
        <w:rPr>
          <w:rFonts w:ascii="Open Sans" w:hAnsi="Open Sans" w:cs="Open Sans"/>
        </w:rPr>
        <w:t>Clarke Energy</w:t>
      </w:r>
      <w:r w:rsidR="00FF2EEF">
        <w:rPr>
          <w:rFonts w:ascii="Open Sans" w:hAnsi="Open Sans" w:cs="Open Sans"/>
        </w:rPr>
        <w:t>,</w:t>
      </w:r>
      <w:r w:rsidR="009A0419">
        <w:rPr>
          <w:rFonts w:ascii="Open Sans" w:hAnsi="Open Sans" w:cs="Open Sans"/>
        </w:rPr>
        <w:t xml:space="preserve"> Green Gas,</w:t>
      </w:r>
      <w:r w:rsidR="00597D47">
        <w:rPr>
          <w:rFonts w:ascii="Open Sans" w:hAnsi="Open Sans" w:cs="Open Sans"/>
        </w:rPr>
        <w:t xml:space="preserve"> </w:t>
      </w:r>
      <w:r w:rsidR="009A0419">
        <w:rPr>
          <w:rFonts w:ascii="Open Sans" w:hAnsi="Open Sans" w:cs="Open Sans"/>
        </w:rPr>
        <w:t>Highview Power,</w:t>
      </w:r>
      <w:r w:rsidR="00597D47">
        <w:rPr>
          <w:rFonts w:ascii="Open Sans" w:hAnsi="Open Sans" w:cs="Open Sans"/>
        </w:rPr>
        <w:t xml:space="preserve"> </w:t>
      </w:r>
      <w:proofErr w:type="spellStart"/>
      <w:r w:rsidR="00597D47">
        <w:rPr>
          <w:rFonts w:ascii="Open Sans" w:hAnsi="Open Sans" w:cs="Open Sans"/>
        </w:rPr>
        <w:t>Lutra</w:t>
      </w:r>
      <w:proofErr w:type="spellEnd"/>
      <w:r w:rsidR="00597D47">
        <w:rPr>
          <w:rFonts w:ascii="Open Sans" w:hAnsi="Open Sans" w:cs="Open Sans"/>
        </w:rPr>
        <w:t xml:space="preserve">, </w:t>
      </w:r>
      <w:proofErr w:type="spellStart"/>
      <w:r w:rsidR="00597D47">
        <w:rPr>
          <w:rFonts w:ascii="Open Sans" w:hAnsi="Open Sans" w:cs="Open Sans"/>
        </w:rPr>
        <w:t>Reliagen</w:t>
      </w:r>
      <w:proofErr w:type="spellEnd"/>
      <w:r w:rsidR="00597D47">
        <w:rPr>
          <w:rFonts w:ascii="Open Sans" w:hAnsi="Open Sans" w:cs="Open Sans"/>
        </w:rPr>
        <w:t xml:space="preserve">, </w:t>
      </w:r>
      <w:proofErr w:type="spellStart"/>
      <w:r w:rsidR="00597D47">
        <w:rPr>
          <w:rFonts w:ascii="Open Sans" w:hAnsi="Open Sans" w:cs="Open Sans"/>
        </w:rPr>
        <w:t>Storelectric</w:t>
      </w:r>
      <w:proofErr w:type="spellEnd"/>
      <w:r w:rsidR="00597D47">
        <w:rPr>
          <w:rFonts w:ascii="Open Sans" w:hAnsi="Open Sans" w:cs="Open Sans"/>
        </w:rPr>
        <w:t xml:space="preserve">, </w:t>
      </w:r>
      <w:proofErr w:type="spellStart"/>
      <w:r w:rsidR="00597D47">
        <w:rPr>
          <w:rFonts w:ascii="Open Sans" w:hAnsi="Open Sans" w:cs="Open Sans"/>
        </w:rPr>
        <w:t>Storengy</w:t>
      </w:r>
      <w:proofErr w:type="spellEnd"/>
      <w:r w:rsidR="00597D47">
        <w:rPr>
          <w:rFonts w:ascii="Open Sans" w:hAnsi="Open Sans" w:cs="Open Sans"/>
        </w:rPr>
        <w:t xml:space="preserve">, </w:t>
      </w:r>
      <w:proofErr w:type="spellStart"/>
      <w:r w:rsidR="009A0419">
        <w:rPr>
          <w:rFonts w:ascii="Open Sans" w:hAnsi="Open Sans" w:cs="Open Sans"/>
        </w:rPr>
        <w:t>Swanbarton</w:t>
      </w:r>
      <w:proofErr w:type="spellEnd"/>
      <w:r w:rsidR="00FF2EEF">
        <w:rPr>
          <w:rFonts w:ascii="Open Sans" w:hAnsi="Open Sans" w:cs="Open Sans"/>
        </w:rPr>
        <w:t>,</w:t>
      </w:r>
      <w:r w:rsidR="00597D47">
        <w:rPr>
          <w:rFonts w:ascii="Open Sans" w:hAnsi="Open Sans" w:cs="Open Sans"/>
        </w:rPr>
        <w:t xml:space="preserve"> University of Nottingham, </w:t>
      </w:r>
      <w:proofErr w:type="spellStart"/>
      <w:r w:rsidR="009A0419">
        <w:rPr>
          <w:rFonts w:ascii="Open Sans" w:hAnsi="Open Sans" w:cs="Open Sans"/>
        </w:rPr>
        <w:t>Zenobe</w:t>
      </w:r>
      <w:proofErr w:type="spellEnd"/>
      <w:r w:rsidR="00597D47">
        <w:rPr>
          <w:rFonts w:ascii="Open Sans" w:hAnsi="Open Sans" w:cs="Open Sans"/>
        </w:rPr>
        <w:t>.</w:t>
      </w:r>
    </w:p>
    <w:p w14:paraId="053EF45E" w14:textId="77777777" w:rsidR="00F33703" w:rsidRPr="00F33703" w:rsidRDefault="00F33703" w:rsidP="003A4C6C">
      <w:pPr>
        <w:pStyle w:val="NoSpacing"/>
        <w:rPr>
          <w:rFonts w:ascii="Open Sans" w:hAnsi="Open Sans" w:cs="Open Sans"/>
        </w:rPr>
      </w:pPr>
    </w:p>
    <w:p w14:paraId="031BA168" w14:textId="77777777" w:rsidR="004F6408" w:rsidRDefault="004F6408" w:rsidP="004F6408">
      <w:pPr>
        <w:spacing w:after="160" w:line="259" w:lineRule="auto"/>
        <w:rPr>
          <w:rFonts w:cs="Open Sans"/>
          <w:b/>
          <w:bCs/>
          <w:color w:val="06926B"/>
          <w:sz w:val="22"/>
        </w:rPr>
      </w:pPr>
      <w:bookmarkStart w:id="0" w:name="_Hlk49958364"/>
      <w:r>
        <w:rPr>
          <w:rFonts w:cs="Open Sans"/>
          <w:b/>
          <w:bCs/>
          <w:color w:val="06926B"/>
          <w:sz w:val="22"/>
        </w:rPr>
        <w:t>Summary</w:t>
      </w:r>
    </w:p>
    <w:p w14:paraId="61AC7289" w14:textId="0395A594" w:rsidR="00F73424" w:rsidRDefault="00F73424" w:rsidP="004F6408">
      <w:pPr>
        <w:pStyle w:val="ListParagraph"/>
        <w:numPr>
          <w:ilvl w:val="0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Discussion of different support mechanisms – Cap &amp; floor</w:t>
      </w:r>
      <w:r w:rsidR="00CC25D7">
        <w:rPr>
          <w:rFonts w:cs="Open Sans"/>
          <w:sz w:val="22"/>
        </w:rPr>
        <w:t>,</w:t>
      </w:r>
      <w:r>
        <w:rPr>
          <w:rFonts w:cs="Open Sans"/>
          <w:sz w:val="22"/>
        </w:rPr>
        <w:t xml:space="preserve"> RAB</w:t>
      </w:r>
      <w:r w:rsidR="00CC25D7">
        <w:rPr>
          <w:rFonts w:cs="Open Sans"/>
          <w:sz w:val="22"/>
        </w:rPr>
        <w:t xml:space="preserve">, </w:t>
      </w:r>
      <w:r w:rsidR="009F506A">
        <w:rPr>
          <w:rFonts w:cs="Open Sans"/>
          <w:sz w:val="22"/>
        </w:rPr>
        <w:t>L</w:t>
      </w:r>
      <w:r w:rsidR="00CC25D7">
        <w:rPr>
          <w:rFonts w:cs="Open Sans"/>
          <w:sz w:val="22"/>
        </w:rPr>
        <w:t>ong-</w:t>
      </w:r>
      <w:r w:rsidR="009F506A">
        <w:rPr>
          <w:rFonts w:cs="Open Sans"/>
          <w:sz w:val="22"/>
        </w:rPr>
        <w:t>t</w:t>
      </w:r>
      <w:r w:rsidR="00CC25D7">
        <w:rPr>
          <w:rFonts w:cs="Open Sans"/>
          <w:sz w:val="22"/>
        </w:rPr>
        <w:t>erm ESO contracts</w:t>
      </w:r>
      <w:r>
        <w:rPr>
          <w:rFonts w:cs="Open Sans"/>
          <w:sz w:val="22"/>
        </w:rPr>
        <w:t>.</w:t>
      </w:r>
    </w:p>
    <w:p w14:paraId="33F2E8E6" w14:textId="3350D9A9" w:rsidR="00F73424" w:rsidRDefault="00F73424" w:rsidP="004F6408">
      <w:pPr>
        <w:pStyle w:val="ListParagraph"/>
        <w:numPr>
          <w:ilvl w:val="0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Discussion of scope – electricity storage in various forms, range of technologies, may include hydrogen but possibly not </w:t>
      </w:r>
      <w:proofErr w:type="spellStart"/>
      <w:r>
        <w:rPr>
          <w:rFonts w:cs="Open Sans"/>
          <w:sz w:val="22"/>
        </w:rPr>
        <w:t>biomethanation</w:t>
      </w:r>
      <w:proofErr w:type="spellEnd"/>
      <w:r>
        <w:rPr>
          <w:rFonts w:cs="Open Sans"/>
          <w:sz w:val="22"/>
        </w:rPr>
        <w:t>.</w:t>
      </w:r>
    </w:p>
    <w:p w14:paraId="3FBB077B" w14:textId="33E03F09" w:rsidR="00F73424" w:rsidRDefault="00F73424" w:rsidP="004F6408">
      <w:pPr>
        <w:pStyle w:val="ListParagraph"/>
        <w:numPr>
          <w:ilvl w:val="0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Discussion of barriers – how </w:t>
      </w:r>
      <w:proofErr w:type="spellStart"/>
      <w:r>
        <w:rPr>
          <w:rFonts w:cs="Open Sans"/>
          <w:sz w:val="22"/>
        </w:rPr>
        <w:t>TNUoS</w:t>
      </w:r>
      <w:proofErr w:type="spellEnd"/>
      <w:r>
        <w:rPr>
          <w:rFonts w:cs="Open Sans"/>
          <w:sz w:val="22"/>
        </w:rPr>
        <w:t xml:space="preserve"> is charged</w:t>
      </w:r>
      <w:r w:rsidR="00AC0185">
        <w:rPr>
          <w:rFonts w:cs="Open Sans"/>
          <w:sz w:val="22"/>
        </w:rPr>
        <w:t>;</w:t>
      </w:r>
      <w:r>
        <w:rPr>
          <w:rFonts w:cs="Open Sans"/>
          <w:sz w:val="22"/>
        </w:rPr>
        <w:t xml:space="preserve"> contract durations</w:t>
      </w:r>
      <w:r w:rsidR="00AC0185">
        <w:rPr>
          <w:rFonts w:cs="Open Sans"/>
          <w:sz w:val="22"/>
        </w:rPr>
        <w:t>; structure of ancillary services;</w:t>
      </w:r>
      <w:r w:rsidR="00CC25D7">
        <w:rPr>
          <w:rFonts w:cs="Open Sans"/>
          <w:sz w:val="22"/>
        </w:rPr>
        <w:t xml:space="preserve"> competition between TOs and merchants in the ESO’s Pathfinders (e.g. constraint management)</w:t>
      </w:r>
      <w:r w:rsidR="009F506A">
        <w:rPr>
          <w:rFonts w:cs="Open Sans"/>
          <w:sz w:val="22"/>
        </w:rPr>
        <w:t>.</w:t>
      </w:r>
      <w:r w:rsidR="00CC25D7">
        <w:rPr>
          <w:rFonts w:cs="Open Sans"/>
          <w:sz w:val="22"/>
        </w:rPr>
        <w:t xml:space="preserve"> </w:t>
      </w:r>
    </w:p>
    <w:p w14:paraId="1AFE57F5" w14:textId="11EC0371" w:rsidR="004F6408" w:rsidRDefault="00F73424" w:rsidP="004F6408">
      <w:pPr>
        <w:pStyle w:val="ListParagraph"/>
        <w:numPr>
          <w:ilvl w:val="0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Proposal - </w:t>
      </w:r>
      <w:r w:rsidR="004F6408" w:rsidRPr="004F6408">
        <w:rPr>
          <w:rFonts w:cs="Open Sans"/>
          <w:sz w:val="22"/>
        </w:rPr>
        <w:t>4</w:t>
      </w:r>
      <w:r w:rsidR="004F6408">
        <w:rPr>
          <w:rFonts w:cs="Open Sans"/>
          <w:sz w:val="22"/>
        </w:rPr>
        <w:t xml:space="preserve"> brackets of duration in technologies agreed ranging from up to 4 hours (short duration), </w:t>
      </w:r>
      <w:r>
        <w:rPr>
          <w:rFonts w:cs="Open Sans"/>
          <w:sz w:val="22"/>
        </w:rPr>
        <w:t xml:space="preserve">4-12 or up to 24 hours (medium duration), days or weeks (long duration), and </w:t>
      </w:r>
      <w:r w:rsidR="004F6408">
        <w:rPr>
          <w:rFonts w:cs="Open Sans"/>
          <w:sz w:val="22"/>
        </w:rPr>
        <w:t>seasonal</w:t>
      </w:r>
      <w:r>
        <w:rPr>
          <w:rFonts w:cs="Open Sans"/>
          <w:sz w:val="22"/>
        </w:rPr>
        <w:t>.</w:t>
      </w:r>
    </w:p>
    <w:p w14:paraId="3275C4B5" w14:textId="60E5F922" w:rsidR="000D6C39" w:rsidRPr="009B7670" w:rsidRDefault="000D6C39">
      <w:pPr>
        <w:pStyle w:val="ListParagraph"/>
        <w:numPr>
          <w:ilvl w:val="0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Position </w:t>
      </w:r>
      <w:r w:rsidR="00AC0185">
        <w:rPr>
          <w:rFonts w:cs="Open Sans"/>
          <w:sz w:val="22"/>
        </w:rPr>
        <w:t xml:space="preserve">Paper </w:t>
      </w:r>
      <w:r w:rsidR="009F506A">
        <w:rPr>
          <w:rFonts w:cs="Open Sans"/>
          <w:sz w:val="22"/>
        </w:rPr>
        <w:t>structure</w:t>
      </w:r>
      <w:r w:rsidR="009F506A" w:rsidRPr="009B7670">
        <w:rPr>
          <w:rFonts w:cs="Open Sans"/>
          <w:sz w:val="22"/>
        </w:rPr>
        <w:t>:</w:t>
      </w:r>
    </w:p>
    <w:p w14:paraId="0F55B9D2" w14:textId="6DA31498" w:rsidR="000D6C39" w:rsidRDefault="000D6C39" w:rsidP="000D6C39">
      <w:pPr>
        <w:pStyle w:val="ListParagraph"/>
        <w:numPr>
          <w:ilvl w:val="1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Section 1: </w:t>
      </w:r>
      <w:r w:rsidR="00AC0185" w:rsidRPr="009B7670">
        <w:rPr>
          <w:rFonts w:cs="Open Sans"/>
          <w:sz w:val="22"/>
        </w:rPr>
        <w:t xml:space="preserve">define the storage provision length </w:t>
      </w:r>
      <w:r w:rsidRPr="009B7670">
        <w:rPr>
          <w:rFonts w:cs="Open Sans"/>
          <w:sz w:val="22"/>
        </w:rPr>
        <w:t>(</w:t>
      </w:r>
      <w:r w:rsidR="00AC0185" w:rsidRPr="009B7670">
        <w:rPr>
          <w:rFonts w:cs="Open Sans"/>
          <w:sz w:val="22"/>
        </w:rPr>
        <w:t xml:space="preserve">identify </w:t>
      </w:r>
      <w:r w:rsidRPr="009B7670">
        <w:rPr>
          <w:rFonts w:cs="Open Sans"/>
          <w:sz w:val="22"/>
        </w:rPr>
        <w:t xml:space="preserve">possible </w:t>
      </w:r>
      <w:r w:rsidR="00AC0185" w:rsidRPr="009B7670">
        <w:rPr>
          <w:rFonts w:cs="Open Sans"/>
          <w:sz w:val="22"/>
        </w:rPr>
        <w:t xml:space="preserve">technologies in </w:t>
      </w:r>
      <w:r w:rsidRPr="009B7670">
        <w:rPr>
          <w:rFonts w:cs="Open Sans"/>
          <w:sz w:val="22"/>
        </w:rPr>
        <w:t xml:space="preserve">each </w:t>
      </w:r>
      <w:r w:rsidR="00AC0185" w:rsidRPr="009B7670">
        <w:rPr>
          <w:rFonts w:cs="Open Sans"/>
          <w:sz w:val="22"/>
        </w:rPr>
        <w:t>bracket</w:t>
      </w:r>
      <w:r w:rsidRPr="009B7670">
        <w:rPr>
          <w:rFonts w:cs="Open Sans"/>
          <w:sz w:val="22"/>
        </w:rPr>
        <w:t>)</w:t>
      </w:r>
      <w:r>
        <w:rPr>
          <w:rFonts w:cs="Open Sans"/>
          <w:sz w:val="22"/>
        </w:rPr>
        <w:t xml:space="preserve"> and </w:t>
      </w:r>
      <w:r w:rsidRPr="000D6C39">
        <w:rPr>
          <w:rFonts w:cs="Open Sans"/>
          <w:sz w:val="22"/>
        </w:rPr>
        <w:t xml:space="preserve">define need for long-duration storage </w:t>
      </w:r>
    </w:p>
    <w:p w14:paraId="2301F6E0" w14:textId="280EF114" w:rsidR="00AC0185" w:rsidRDefault="000D6C39" w:rsidP="000D6C39">
      <w:pPr>
        <w:pStyle w:val="ListParagraph"/>
        <w:numPr>
          <w:ilvl w:val="1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Section 2: present</w:t>
      </w:r>
      <w:r w:rsidR="00AC0185" w:rsidRPr="000D6C39">
        <w:rPr>
          <w:rFonts w:cs="Open Sans"/>
          <w:sz w:val="22"/>
        </w:rPr>
        <w:t xml:space="preserve"> barriers</w:t>
      </w:r>
      <w:r>
        <w:rPr>
          <w:rFonts w:cs="Open Sans"/>
          <w:sz w:val="22"/>
        </w:rPr>
        <w:t xml:space="preserve"> to development of new long-duration storage </w:t>
      </w:r>
    </w:p>
    <w:p w14:paraId="3FFDD0B3" w14:textId="34F3AF37" w:rsidR="000D6C39" w:rsidRDefault="000D6C39" w:rsidP="000D6C39">
      <w:pPr>
        <w:pStyle w:val="ListParagraph"/>
        <w:numPr>
          <w:ilvl w:val="1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Section 3: poss</w:t>
      </w:r>
      <w:r w:rsidR="009B7670">
        <w:rPr>
          <w:rFonts w:cs="Open Sans"/>
          <w:sz w:val="22"/>
        </w:rPr>
        <w:t>i</w:t>
      </w:r>
      <w:r>
        <w:rPr>
          <w:rFonts w:cs="Open Sans"/>
          <w:sz w:val="22"/>
        </w:rPr>
        <w:t>b</w:t>
      </w:r>
      <w:r w:rsidR="009B7670">
        <w:rPr>
          <w:rFonts w:cs="Open Sans"/>
          <w:sz w:val="22"/>
        </w:rPr>
        <w:t>l</w:t>
      </w:r>
      <w:r>
        <w:rPr>
          <w:rFonts w:cs="Open Sans"/>
          <w:sz w:val="22"/>
        </w:rPr>
        <w:t>e solutions/ Recommendations</w:t>
      </w:r>
    </w:p>
    <w:p w14:paraId="3CA2109C" w14:textId="6878F5BA" w:rsidR="000D6C39" w:rsidRDefault="000D6C39" w:rsidP="000D6C39">
      <w:pPr>
        <w:pStyle w:val="ListParagraph"/>
        <w:numPr>
          <w:ilvl w:val="1"/>
          <w:numId w:val="29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Annex: Best Practice: international examples.</w:t>
      </w:r>
    </w:p>
    <w:p w14:paraId="6667F98C" w14:textId="77777777" w:rsidR="000D6C39" w:rsidRPr="000D6C39" w:rsidRDefault="000D6C39" w:rsidP="000D6C39">
      <w:pPr>
        <w:pStyle w:val="ListParagraph"/>
        <w:spacing w:after="160" w:line="259" w:lineRule="auto"/>
        <w:ind w:left="1440"/>
        <w:rPr>
          <w:rFonts w:cs="Open Sans"/>
          <w:sz w:val="22"/>
        </w:rPr>
      </w:pPr>
    </w:p>
    <w:p w14:paraId="636A71AE" w14:textId="560BBA7E" w:rsidR="004F6408" w:rsidRPr="00112A50" w:rsidRDefault="004F6408" w:rsidP="004F6408">
      <w:pPr>
        <w:spacing w:after="160" w:line="259" w:lineRule="auto"/>
        <w:rPr>
          <w:rFonts w:cs="Open Sans"/>
          <w:b/>
          <w:bCs/>
          <w:color w:val="06926B"/>
          <w:sz w:val="22"/>
        </w:rPr>
      </w:pPr>
      <w:r>
        <w:rPr>
          <w:rFonts w:cs="Open Sans"/>
          <w:b/>
          <w:bCs/>
          <w:color w:val="06926B"/>
          <w:sz w:val="22"/>
        </w:rPr>
        <w:t xml:space="preserve">Actions </w:t>
      </w:r>
    </w:p>
    <w:p w14:paraId="0597FC74" w14:textId="77777777" w:rsidR="004F6408" w:rsidRPr="00332F37" w:rsidRDefault="004F6408" w:rsidP="004F6408">
      <w:pPr>
        <w:pStyle w:val="ListParagraph"/>
        <w:numPr>
          <w:ilvl w:val="0"/>
          <w:numId w:val="28"/>
        </w:numPr>
        <w:spacing w:after="160" w:line="259" w:lineRule="auto"/>
        <w:rPr>
          <w:rFonts w:cs="Open Sans"/>
          <w:sz w:val="22"/>
        </w:rPr>
      </w:pPr>
      <w:r w:rsidRPr="00332F37">
        <w:rPr>
          <w:rFonts w:cs="Open Sans"/>
          <w:sz w:val="22"/>
        </w:rPr>
        <w:t>Isobel</w:t>
      </w:r>
      <w:r>
        <w:rPr>
          <w:rFonts w:cs="Open Sans"/>
          <w:sz w:val="22"/>
        </w:rPr>
        <w:t xml:space="preserve"> </w:t>
      </w:r>
      <w:r w:rsidRPr="00332F37">
        <w:rPr>
          <w:rFonts w:cs="Open Sans"/>
          <w:sz w:val="22"/>
        </w:rPr>
        <w:t xml:space="preserve">to distribute minutes, presentation, Jacob’s Paper and </w:t>
      </w:r>
      <w:proofErr w:type="spellStart"/>
      <w:r w:rsidRPr="00332F37">
        <w:rPr>
          <w:rFonts w:cs="Open Sans"/>
          <w:sz w:val="22"/>
        </w:rPr>
        <w:t>Storelectric’s</w:t>
      </w:r>
      <w:proofErr w:type="spellEnd"/>
      <w:r w:rsidRPr="00332F37">
        <w:rPr>
          <w:rFonts w:cs="Open Sans"/>
          <w:sz w:val="22"/>
        </w:rPr>
        <w:t xml:space="preserve"> analysis.</w:t>
      </w:r>
    </w:p>
    <w:p w14:paraId="32BC9242" w14:textId="732DE5FC" w:rsidR="004F6408" w:rsidRPr="00332F37" w:rsidRDefault="004F6408" w:rsidP="004F6408">
      <w:pPr>
        <w:pStyle w:val="ListParagraph"/>
        <w:numPr>
          <w:ilvl w:val="0"/>
          <w:numId w:val="28"/>
        </w:numPr>
        <w:spacing w:after="160" w:line="259" w:lineRule="auto"/>
        <w:rPr>
          <w:rFonts w:cs="Open Sans"/>
          <w:sz w:val="22"/>
        </w:rPr>
      </w:pPr>
      <w:r w:rsidRPr="00332F37">
        <w:rPr>
          <w:rFonts w:cs="Open Sans"/>
          <w:sz w:val="22"/>
        </w:rPr>
        <w:t xml:space="preserve">Members – to provide </w:t>
      </w:r>
      <w:r w:rsidR="00CC25D7">
        <w:rPr>
          <w:rFonts w:cs="Open Sans"/>
          <w:sz w:val="22"/>
        </w:rPr>
        <w:t xml:space="preserve">quantitative </w:t>
      </w:r>
      <w:r w:rsidRPr="00332F37">
        <w:rPr>
          <w:rFonts w:cs="Open Sans"/>
          <w:sz w:val="22"/>
        </w:rPr>
        <w:t>analysis on the need for long-duration storage.</w:t>
      </w:r>
    </w:p>
    <w:p w14:paraId="0743B696" w14:textId="77777777" w:rsidR="004F6408" w:rsidRPr="00332F37" w:rsidRDefault="004F6408" w:rsidP="004F6408">
      <w:pPr>
        <w:pStyle w:val="ListParagraph"/>
        <w:numPr>
          <w:ilvl w:val="0"/>
          <w:numId w:val="28"/>
        </w:numPr>
        <w:spacing w:after="160" w:line="259" w:lineRule="auto"/>
        <w:rPr>
          <w:rFonts w:cs="Open Sans"/>
          <w:sz w:val="22"/>
        </w:rPr>
      </w:pPr>
      <w:r w:rsidRPr="00332F37">
        <w:rPr>
          <w:rFonts w:cs="Open Sans"/>
          <w:sz w:val="22"/>
        </w:rPr>
        <w:t>REA and Marcelo (Drax) - to draft initial terms of the WG Position Paper.</w:t>
      </w:r>
    </w:p>
    <w:p w14:paraId="4BC04C58" w14:textId="77777777" w:rsidR="004F6408" w:rsidRDefault="004F6408" w:rsidP="004F6408">
      <w:pPr>
        <w:pStyle w:val="ListParagraph"/>
        <w:numPr>
          <w:ilvl w:val="0"/>
          <w:numId w:val="28"/>
        </w:numPr>
        <w:spacing w:after="160" w:line="259" w:lineRule="auto"/>
        <w:rPr>
          <w:rFonts w:cs="Open Sans"/>
          <w:sz w:val="22"/>
        </w:rPr>
      </w:pPr>
      <w:r w:rsidRPr="00332F37">
        <w:rPr>
          <w:rFonts w:cs="Open Sans"/>
          <w:sz w:val="22"/>
        </w:rPr>
        <w:t>Members – to think about preferred policy mechanism and input to Daniel and Isobel – discussion on policy mechanisms to continue in the next meeting.</w:t>
      </w:r>
    </w:p>
    <w:p w14:paraId="2B3D9A1F" w14:textId="77777777" w:rsidR="004F6408" w:rsidRDefault="004F6408" w:rsidP="004F6408">
      <w:pPr>
        <w:pStyle w:val="ListParagraph"/>
        <w:numPr>
          <w:ilvl w:val="0"/>
          <w:numId w:val="28"/>
        </w:numPr>
        <w:spacing w:after="160" w:line="259" w:lineRule="auto"/>
        <w:rPr>
          <w:rFonts w:cs="Open Sans"/>
          <w:sz w:val="22"/>
        </w:rPr>
      </w:pPr>
      <w:r w:rsidRPr="00332F37">
        <w:rPr>
          <w:rFonts w:cs="Open Sans"/>
          <w:sz w:val="22"/>
        </w:rPr>
        <w:t>Isobel to set up meeting to review draft paper.</w:t>
      </w:r>
    </w:p>
    <w:p w14:paraId="754E5C0B" w14:textId="77777777" w:rsidR="004F6408" w:rsidRPr="004F6408" w:rsidRDefault="004F6408" w:rsidP="004F6408">
      <w:pPr>
        <w:spacing w:after="160" w:line="259" w:lineRule="auto"/>
        <w:rPr>
          <w:rFonts w:cs="Open Sans"/>
          <w:sz w:val="22"/>
        </w:rPr>
      </w:pPr>
      <w:r w:rsidRPr="004F6408">
        <w:rPr>
          <w:rFonts w:cs="Open Sans"/>
          <w:sz w:val="22"/>
        </w:rPr>
        <w:t>Call for evidence from members and others not currently involved. Members to get in touch with Daniel Brown to voice thoughts one-to-one.</w:t>
      </w:r>
    </w:p>
    <w:p w14:paraId="09E03D78" w14:textId="1B23E095" w:rsidR="003A4C6C" w:rsidRPr="00F73424" w:rsidRDefault="00F33703" w:rsidP="00F73424">
      <w:pPr>
        <w:pStyle w:val="NoSpacing"/>
        <w:jc w:val="center"/>
        <w:rPr>
          <w:rFonts w:ascii="Open Sans" w:hAnsi="Open Sans" w:cs="Open Sans"/>
          <w:b/>
          <w:bCs/>
          <w:color w:val="06926B"/>
          <w:sz w:val="24"/>
          <w:szCs w:val="24"/>
        </w:rPr>
      </w:pPr>
      <w:r w:rsidRPr="00F73424">
        <w:rPr>
          <w:rFonts w:ascii="Open Sans" w:hAnsi="Open Sans" w:cs="Open Sans"/>
          <w:b/>
          <w:bCs/>
          <w:color w:val="06926B"/>
          <w:sz w:val="24"/>
          <w:szCs w:val="24"/>
        </w:rPr>
        <w:t>Introduction</w:t>
      </w:r>
      <w:r w:rsidR="004F6408" w:rsidRPr="00F73424">
        <w:rPr>
          <w:rFonts w:ascii="Open Sans" w:hAnsi="Open Sans" w:cs="Open Sans"/>
          <w:b/>
          <w:bCs/>
          <w:color w:val="06926B"/>
          <w:sz w:val="24"/>
          <w:szCs w:val="24"/>
        </w:rPr>
        <w:t xml:space="preserve"> and presentation</w:t>
      </w:r>
    </w:p>
    <w:bookmarkEnd w:id="0"/>
    <w:p w14:paraId="441C12F7" w14:textId="16781724" w:rsidR="00F00532" w:rsidRDefault="00F00532" w:rsidP="00F00532">
      <w:pPr>
        <w:pStyle w:val="Footer"/>
        <w:rPr>
          <w:sz w:val="22"/>
        </w:rPr>
      </w:pPr>
    </w:p>
    <w:p w14:paraId="03E6314C" w14:textId="0B2239A7" w:rsidR="00E04379" w:rsidRPr="00E04379" w:rsidRDefault="00E04379" w:rsidP="00E04379">
      <w:pPr>
        <w:spacing w:after="160" w:line="259" w:lineRule="auto"/>
        <w:rPr>
          <w:rFonts w:cs="Open Sans"/>
          <w:sz w:val="22"/>
        </w:rPr>
      </w:pPr>
      <w:r w:rsidRPr="00E04379">
        <w:rPr>
          <w:rFonts w:cs="Open Sans"/>
          <w:sz w:val="22"/>
        </w:rPr>
        <w:t>REA’s Energy Storage Forum has focused on Smart System and Flexibility Plan, which is key for overall flexibility and good for batteries</w:t>
      </w:r>
      <w:r w:rsidR="004F6408">
        <w:rPr>
          <w:rFonts w:cs="Open Sans"/>
          <w:sz w:val="22"/>
        </w:rPr>
        <w:t xml:space="preserve">. </w:t>
      </w:r>
      <w:proofErr w:type="gramStart"/>
      <w:r w:rsidR="004F6408">
        <w:rPr>
          <w:rFonts w:cs="Open Sans"/>
          <w:sz w:val="22"/>
        </w:rPr>
        <w:t>However</w:t>
      </w:r>
      <w:proofErr w:type="gramEnd"/>
      <w:r w:rsidR="004F6408">
        <w:rPr>
          <w:rFonts w:cs="Open Sans"/>
          <w:sz w:val="22"/>
        </w:rPr>
        <w:t xml:space="preserve"> w</w:t>
      </w:r>
      <w:r w:rsidRPr="00E04379">
        <w:rPr>
          <w:rFonts w:cs="Open Sans"/>
          <w:sz w:val="22"/>
        </w:rPr>
        <w:t xml:space="preserve">e acknowledge need for longer duration storage and that it may require </w:t>
      </w:r>
      <w:proofErr w:type="spellStart"/>
      <w:r w:rsidRPr="00E04379">
        <w:rPr>
          <w:rFonts w:cs="Open Sans"/>
          <w:sz w:val="22"/>
        </w:rPr>
        <w:t>it’s</w:t>
      </w:r>
      <w:proofErr w:type="spellEnd"/>
      <w:r w:rsidRPr="00E04379">
        <w:rPr>
          <w:rFonts w:cs="Open Sans"/>
          <w:sz w:val="22"/>
        </w:rPr>
        <w:t xml:space="preserve"> own policy framework. Longer duration is part </w:t>
      </w:r>
      <w:r w:rsidR="004F6408">
        <w:rPr>
          <w:rFonts w:cs="Open Sans"/>
          <w:sz w:val="22"/>
        </w:rPr>
        <w:t xml:space="preserve">of a </w:t>
      </w:r>
      <w:r w:rsidRPr="00E04379">
        <w:rPr>
          <w:rFonts w:cs="Open Sans"/>
          <w:sz w:val="22"/>
        </w:rPr>
        <w:t>wider flexibility push.</w:t>
      </w:r>
    </w:p>
    <w:p w14:paraId="73DAE31E" w14:textId="5BBE2924" w:rsidR="00E04379" w:rsidRPr="00E04379" w:rsidRDefault="00E04379" w:rsidP="00E04379">
      <w:pPr>
        <w:spacing w:after="160" w:line="259" w:lineRule="auto"/>
        <w:rPr>
          <w:rFonts w:cs="Open Sans"/>
          <w:sz w:val="22"/>
        </w:rPr>
      </w:pPr>
      <w:r w:rsidRPr="00E04379">
        <w:rPr>
          <w:rFonts w:cs="Open Sans"/>
          <w:sz w:val="22"/>
        </w:rPr>
        <w:t xml:space="preserve">Introduction </w:t>
      </w:r>
      <w:r w:rsidR="00C07E54">
        <w:rPr>
          <w:rFonts w:cs="Open Sans"/>
          <w:sz w:val="22"/>
        </w:rPr>
        <w:t xml:space="preserve">and presentation (see slides) </w:t>
      </w:r>
      <w:r w:rsidRPr="00E04379">
        <w:rPr>
          <w:rFonts w:cs="Open Sans"/>
          <w:sz w:val="22"/>
        </w:rPr>
        <w:t>from Marcelo at Drax</w:t>
      </w:r>
      <w:r w:rsidR="00C07E54">
        <w:rPr>
          <w:rFonts w:cs="Open Sans"/>
          <w:sz w:val="22"/>
        </w:rPr>
        <w:t>.</w:t>
      </w:r>
    </w:p>
    <w:p w14:paraId="2AD7CB72" w14:textId="51FF766E" w:rsidR="005F72DB" w:rsidRDefault="005F72DB" w:rsidP="005F72DB">
      <w:pPr>
        <w:spacing w:after="160" w:line="259" w:lineRule="auto"/>
        <w:rPr>
          <w:rFonts w:cs="Open Sans"/>
          <w:sz w:val="22"/>
        </w:rPr>
      </w:pPr>
      <w:r w:rsidRPr="00112A50">
        <w:rPr>
          <w:rFonts w:cs="Open Sans"/>
          <w:sz w:val="22"/>
        </w:rPr>
        <w:t>Discussion of storage requirements being u</w:t>
      </w:r>
      <w:r w:rsidR="00112A50">
        <w:rPr>
          <w:rFonts w:cs="Open Sans"/>
          <w:sz w:val="22"/>
        </w:rPr>
        <w:t>p to</w:t>
      </w:r>
      <w:r w:rsidRPr="00112A50">
        <w:rPr>
          <w:rFonts w:cs="Open Sans"/>
          <w:sz w:val="22"/>
        </w:rPr>
        <w:t xml:space="preserve"> </w:t>
      </w:r>
      <w:r w:rsidR="00112A50">
        <w:rPr>
          <w:rFonts w:cs="Open Sans"/>
          <w:sz w:val="22"/>
        </w:rPr>
        <w:t>10%-</w:t>
      </w:r>
      <w:r w:rsidRPr="00112A50">
        <w:rPr>
          <w:rFonts w:cs="Open Sans"/>
          <w:sz w:val="22"/>
        </w:rPr>
        <w:t>15% more than peak demand, not just required as a function of % variable renewables integration.</w:t>
      </w:r>
      <w:r w:rsidR="00AC0185">
        <w:rPr>
          <w:rFonts w:cs="Open Sans"/>
          <w:sz w:val="22"/>
        </w:rPr>
        <w:t xml:space="preserve"> </w:t>
      </w:r>
      <w:r w:rsidRPr="00112A50">
        <w:rPr>
          <w:rFonts w:cs="Open Sans"/>
          <w:sz w:val="22"/>
        </w:rPr>
        <w:t xml:space="preserve">National Grid ESO beginning to talk about need for longer duration energy storage. </w:t>
      </w:r>
    </w:p>
    <w:p w14:paraId="67B77411" w14:textId="7C34F29A" w:rsidR="007A0E3D" w:rsidRDefault="007A0E3D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Comment</w:t>
      </w:r>
      <w:r w:rsidR="00112A50">
        <w:rPr>
          <w:rFonts w:cs="Open Sans"/>
          <w:sz w:val="22"/>
        </w:rPr>
        <w:t xml:space="preserve"> –</w:t>
      </w:r>
      <w:r w:rsidR="00AC0185">
        <w:rPr>
          <w:rFonts w:cs="Open Sans"/>
          <w:sz w:val="22"/>
        </w:rPr>
        <w:t xml:space="preserve"> in </w:t>
      </w:r>
      <w:r w:rsidR="00112A50">
        <w:rPr>
          <w:rFonts w:cs="Open Sans"/>
          <w:sz w:val="22"/>
        </w:rPr>
        <w:t xml:space="preserve">Future Energy Scenarios over the years, the National Grid’s energy storage requirement for 2050 increases. </w:t>
      </w:r>
      <w:proofErr w:type="spellStart"/>
      <w:r w:rsidR="00112A50">
        <w:rPr>
          <w:rFonts w:cs="Open Sans"/>
          <w:sz w:val="22"/>
        </w:rPr>
        <w:t>Storelectric’s</w:t>
      </w:r>
      <w:proofErr w:type="spellEnd"/>
      <w:r w:rsidR="00112A50">
        <w:rPr>
          <w:rFonts w:cs="Open Sans"/>
          <w:sz w:val="22"/>
        </w:rPr>
        <w:t xml:space="preserve"> analysis suggests they need much more. </w:t>
      </w:r>
    </w:p>
    <w:p w14:paraId="4D622071" w14:textId="0C84258D" w:rsidR="005F72DB" w:rsidRPr="00112A50" w:rsidRDefault="007A0E3D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Presentation </w:t>
      </w:r>
      <w:r w:rsidR="007037FD">
        <w:rPr>
          <w:rFonts w:cs="Open Sans"/>
          <w:sz w:val="22"/>
        </w:rPr>
        <w:t xml:space="preserve">- </w:t>
      </w:r>
      <w:r w:rsidR="005F72DB" w:rsidRPr="00112A50">
        <w:rPr>
          <w:rFonts w:cs="Open Sans"/>
          <w:sz w:val="22"/>
        </w:rPr>
        <w:t xml:space="preserve">Discussion of problem statement – key issues include volatility of revenues and no clear route to market for this type of technologies. </w:t>
      </w:r>
      <w:r w:rsidR="007037FD">
        <w:rPr>
          <w:rFonts w:cs="Open Sans"/>
          <w:sz w:val="22"/>
        </w:rPr>
        <w:t xml:space="preserve">Trend of rising </w:t>
      </w:r>
      <w:proofErr w:type="spellStart"/>
      <w:r w:rsidR="007037FD">
        <w:rPr>
          <w:rFonts w:cs="Open Sans"/>
          <w:sz w:val="22"/>
        </w:rPr>
        <w:t>BSUoS</w:t>
      </w:r>
      <w:proofErr w:type="spellEnd"/>
      <w:r w:rsidR="007037FD">
        <w:rPr>
          <w:rFonts w:cs="Open Sans"/>
          <w:sz w:val="22"/>
        </w:rPr>
        <w:t xml:space="preserve"> will carry on. No clear routes to market for </w:t>
      </w:r>
      <w:r w:rsidR="000777A0">
        <w:rPr>
          <w:rFonts w:cs="Open Sans"/>
          <w:sz w:val="22"/>
        </w:rPr>
        <w:t xml:space="preserve">long-duration storage (e.g. the lead time of the capacity market is four years which is too short for large-scale </w:t>
      </w:r>
      <w:proofErr w:type="spellStart"/>
      <w:r w:rsidR="000777A0">
        <w:rPr>
          <w:rFonts w:cs="Open Sans"/>
          <w:sz w:val="22"/>
        </w:rPr>
        <w:t>infrastucture</w:t>
      </w:r>
      <w:proofErr w:type="spellEnd"/>
      <w:r w:rsidR="000777A0">
        <w:rPr>
          <w:rFonts w:cs="Open Sans"/>
          <w:sz w:val="22"/>
        </w:rPr>
        <w:t xml:space="preserve"> projects</w:t>
      </w:r>
      <w:r w:rsidR="004F6408">
        <w:rPr>
          <w:rFonts w:cs="Open Sans"/>
          <w:sz w:val="22"/>
        </w:rPr>
        <w:t>.</w:t>
      </w:r>
      <w:r w:rsidR="007037FD">
        <w:rPr>
          <w:rFonts w:cs="Open Sans"/>
          <w:sz w:val="22"/>
        </w:rPr>
        <w:t xml:space="preserve"> </w:t>
      </w:r>
      <w:r w:rsidR="004F6408">
        <w:rPr>
          <w:rFonts w:cs="Open Sans"/>
          <w:sz w:val="22"/>
        </w:rPr>
        <w:t>Th</w:t>
      </w:r>
      <w:r w:rsidR="007037FD">
        <w:rPr>
          <w:rFonts w:cs="Open Sans"/>
          <w:sz w:val="22"/>
        </w:rPr>
        <w:t xml:space="preserve">e market is also not designed to value flexibility. </w:t>
      </w:r>
      <w:proofErr w:type="spellStart"/>
      <w:r w:rsidR="004F6408">
        <w:rPr>
          <w:rFonts w:cs="Open Sans"/>
          <w:sz w:val="22"/>
        </w:rPr>
        <w:t>Eg.</w:t>
      </w:r>
      <w:proofErr w:type="spellEnd"/>
      <w:r w:rsidR="004F6408">
        <w:rPr>
          <w:rFonts w:cs="Open Sans"/>
          <w:sz w:val="22"/>
        </w:rPr>
        <w:t xml:space="preserve"> </w:t>
      </w:r>
      <w:proofErr w:type="spellStart"/>
      <w:r w:rsidR="004F6408">
        <w:rPr>
          <w:rFonts w:cs="Open Sans"/>
          <w:sz w:val="22"/>
        </w:rPr>
        <w:t>CfD’s</w:t>
      </w:r>
      <w:proofErr w:type="spellEnd"/>
      <w:r w:rsidR="004F6408">
        <w:rPr>
          <w:rFonts w:cs="Open Sans"/>
          <w:sz w:val="22"/>
        </w:rPr>
        <w:t xml:space="preserve"> </w:t>
      </w:r>
      <w:r w:rsidR="007037FD">
        <w:rPr>
          <w:rFonts w:cs="Open Sans"/>
          <w:sz w:val="22"/>
        </w:rPr>
        <w:t>incentivise</w:t>
      </w:r>
      <w:r w:rsidR="000777A0">
        <w:rPr>
          <w:rFonts w:cs="Open Sans"/>
          <w:sz w:val="22"/>
        </w:rPr>
        <w:t xml:space="preserve"> </w:t>
      </w:r>
      <w:r w:rsidR="007037FD">
        <w:rPr>
          <w:rFonts w:cs="Open Sans"/>
          <w:sz w:val="22"/>
        </w:rPr>
        <w:t xml:space="preserve">maximum </w:t>
      </w:r>
      <w:proofErr w:type="spellStart"/>
      <w:proofErr w:type="gramStart"/>
      <w:r w:rsidR="007037FD">
        <w:rPr>
          <w:rFonts w:cs="Open Sans"/>
          <w:sz w:val="22"/>
        </w:rPr>
        <w:t>output</w:t>
      </w:r>
      <w:r w:rsidR="000777A0">
        <w:rPr>
          <w:rFonts w:cs="Open Sans"/>
          <w:sz w:val="22"/>
        </w:rPr>
        <w:t>.</w:t>
      </w:r>
      <w:r w:rsidR="007037FD">
        <w:rPr>
          <w:rFonts w:cs="Open Sans"/>
          <w:sz w:val="22"/>
        </w:rPr>
        <w:t>Need</w:t>
      </w:r>
      <w:proofErr w:type="spellEnd"/>
      <w:proofErr w:type="gramEnd"/>
      <w:r w:rsidR="007037FD">
        <w:rPr>
          <w:rFonts w:cs="Open Sans"/>
          <w:sz w:val="22"/>
        </w:rPr>
        <w:t xml:space="preserve"> for more certainty.</w:t>
      </w:r>
      <w:r w:rsidR="004F6408">
        <w:rPr>
          <w:rFonts w:cs="Open Sans"/>
          <w:sz w:val="22"/>
        </w:rPr>
        <w:t xml:space="preserve"> </w:t>
      </w:r>
      <w:r w:rsidR="005F72DB" w:rsidRPr="00112A50">
        <w:rPr>
          <w:rFonts w:cs="Open Sans"/>
          <w:sz w:val="22"/>
        </w:rPr>
        <w:t xml:space="preserve">DNVGL – less than 5% of global pumped hydro has been built under liberalised energy markets </w:t>
      </w:r>
    </w:p>
    <w:p w14:paraId="48837DDF" w14:textId="0FA8CBF2" w:rsidR="005F72DB" w:rsidRPr="00112A50" w:rsidRDefault="007A0E3D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Comment </w:t>
      </w:r>
      <w:r w:rsidR="005F72DB" w:rsidRPr="00112A50">
        <w:rPr>
          <w:rFonts w:cs="Open Sans"/>
          <w:sz w:val="22"/>
        </w:rPr>
        <w:t xml:space="preserve">– large scale storage needs own revenue stack. All remunerative bits are currently </w:t>
      </w:r>
      <w:r w:rsidR="004F6408">
        <w:rPr>
          <w:rFonts w:cs="Open Sans"/>
          <w:sz w:val="22"/>
        </w:rPr>
        <w:t xml:space="preserve">in </w:t>
      </w:r>
      <w:r w:rsidR="005F72DB" w:rsidRPr="00112A50">
        <w:rPr>
          <w:rFonts w:cs="Open Sans"/>
          <w:sz w:val="22"/>
        </w:rPr>
        <w:t xml:space="preserve">short-duration market. This reduces revenue for longer duration. Contracts should be let </w:t>
      </w:r>
      <w:r w:rsidR="004F6408">
        <w:rPr>
          <w:rFonts w:cs="Open Sans"/>
          <w:sz w:val="22"/>
        </w:rPr>
        <w:t>differently</w:t>
      </w:r>
      <w:r w:rsidR="005F72DB" w:rsidRPr="00112A50">
        <w:rPr>
          <w:rFonts w:cs="Open Sans"/>
          <w:sz w:val="22"/>
        </w:rPr>
        <w:t xml:space="preserve">. Contracts need to stack to support longer duration storage. </w:t>
      </w:r>
    </w:p>
    <w:p w14:paraId="3E52651A" w14:textId="528B3D7E" w:rsidR="00782D7A" w:rsidRDefault="007A0E3D" w:rsidP="00782D7A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Presentation</w:t>
      </w:r>
      <w:r w:rsidR="00B24E0A">
        <w:rPr>
          <w:rFonts w:cs="Open Sans"/>
          <w:sz w:val="22"/>
        </w:rPr>
        <w:t xml:space="preserve"> </w:t>
      </w:r>
      <w:r>
        <w:rPr>
          <w:rFonts w:cs="Open Sans"/>
          <w:sz w:val="22"/>
        </w:rPr>
        <w:t xml:space="preserve">- </w:t>
      </w:r>
      <w:r w:rsidR="000777A0">
        <w:rPr>
          <w:rFonts w:cs="Open Sans"/>
          <w:sz w:val="22"/>
        </w:rPr>
        <w:t>Potential support m</w:t>
      </w:r>
      <w:r w:rsidR="00B24E0A">
        <w:rPr>
          <w:rFonts w:cs="Open Sans"/>
          <w:sz w:val="22"/>
        </w:rPr>
        <w:t xml:space="preserve">echanisms – </w:t>
      </w:r>
      <w:proofErr w:type="spellStart"/>
      <w:r w:rsidR="00782D7A">
        <w:rPr>
          <w:rFonts w:cs="Open Sans"/>
          <w:sz w:val="22"/>
        </w:rPr>
        <w:t>i</w:t>
      </w:r>
      <w:proofErr w:type="spellEnd"/>
      <w:r w:rsidR="00782D7A">
        <w:rPr>
          <w:rFonts w:cs="Open Sans"/>
          <w:sz w:val="22"/>
        </w:rPr>
        <w:t xml:space="preserve">) </w:t>
      </w:r>
      <w:r w:rsidR="00CC25D7">
        <w:rPr>
          <w:rFonts w:cs="Open Sans"/>
          <w:sz w:val="22"/>
        </w:rPr>
        <w:t>C</w:t>
      </w:r>
      <w:r w:rsidR="00B24E0A">
        <w:rPr>
          <w:rFonts w:cs="Open Sans"/>
          <w:sz w:val="22"/>
        </w:rPr>
        <w:t xml:space="preserve">ap &amp; </w:t>
      </w:r>
      <w:proofErr w:type="gramStart"/>
      <w:r w:rsidR="00CC25D7">
        <w:rPr>
          <w:rFonts w:cs="Open Sans"/>
          <w:sz w:val="22"/>
        </w:rPr>
        <w:t>F</w:t>
      </w:r>
      <w:r w:rsidR="00B24E0A">
        <w:rPr>
          <w:rFonts w:cs="Open Sans"/>
          <w:sz w:val="22"/>
        </w:rPr>
        <w:t>loor</w:t>
      </w:r>
      <w:r w:rsidR="00782D7A">
        <w:rPr>
          <w:rFonts w:cs="Open Sans"/>
          <w:sz w:val="22"/>
        </w:rPr>
        <w:t>;</w:t>
      </w:r>
      <w:r w:rsidR="00B24E0A">
        <w:rPr>
          <w:rFonts w:cs="Open Sans"/>
          <w:sz w:val="22"/>
        </w:rPr>
        <w:t xml:space="preserve">  </w:t>
      </w:r>
      <w:r w:rsidR="00782D7A">
        <w:rPr>
          <w:rFonts w:cs="Open Sans"/>
          <w:sz w:val="22"/>
        </w:rPr>
        <w:t>ii</w:t>
      </w:r>
      <w:proofErr w:type="gramEnd"/>
      <w:r w:rsidR="00782D7A">
        <w:rPr>
          <w:rFonts w:cs="Open Sans"/>
          <w:sz w:val="22"/>
        </w:rPr>
        <w:t xml:space="preserve">) </w:t>
      </w:r>
      <w:r w:rsidR="00B24E0A">
        <w:rPr>
          <w:rFonts w:cs="Open Sans"/>
          <w:sz w:val="22"/>
        </w:rPr>
        <w:t>RAB model</w:t>
      </w:r>
      <w:r w:rsidR="00782D7A">
        <w:rPr>
          <w:rFonts w:cs="Open Sans"/>
          <w:sz w:val="22"/>
        </w:rPr>
        <w:t>;</w:t>
      </w:r>
      <w:r w:rsidR="00B24E0A">
        <w:rPr>
          <w:rFonts w:cs="Open Sans"/>
          <w:sz w:val="22"/>
        </w:rPr>
        <w:t xml:space="preserve"> </w:t>
      </w:r>
      <w:r w:rsidR="00782D7A">
        <w:rPr>
          <w:rFonts w:cs="Open Sans"/>
          <w:sz w:val="22"/>
        </w:rPr>
        <w:t xml:space="preserve">iii) </w:t>
      </w:r>
      <w:r w:rsidR="00B24E0A">
        <w:rPr>
          <w:rFonts w:cs="Open Sans"/>
          <w:sz w:val="22"/>
        </w:rPr>
        <w:t>tweaked CM that values flexibility</w:t>
      </w:r>
      <w:r w:rsidR="00CC25D7">
        <w:rPr>
          <w:rFonts w:cs="Open Sans"/>
          <w:sz w:val="22"/>
        </w:rPr>
        <w:t xml:space="preserve"> and ancillary services</w:t>
      </w:r>
      <w:r w:rsidR="00782D7A">
        <w:rPr>
          <w:rFonts w:cs="Open Sans"/>
          <w:sz w:val="22"/>
        </w:rPr>
        <w:t xml:space="preserve">; iv) </w:t>
      </w:r>
      <w:proofErr w:type="spellStart"/>
      <w:r w:rsidR="000D6C39">
        <w:rPr>
          <w:rFonts w:cs="Open Sans"/>
          <w:sz w:val="22"/>
        </w:rPr>
        <w:t>CfD</w:t>
      </w:r>
      <w:proofErr w:type="spellEnd"/>
    </w:p>
    <w:p w14:paraId="5C8F4384" w14:textId="11441F3D" w:rsidR="00782D7A" w:rsidRDefault="00782D7A" w:rsidP="00782D7A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According to Drax analysis, </w:t>
      </w:r>
      <w:r w:rsidR="007E7032">
        <w:rPr>
          <w:rFonts w:cs="Open Sans"/>
          <w:sz w:val="22"/>
        </w:rPr>
        <w:t>RAB</w:t>
      </w:r>
      <w:r>
        <w:rPr>
          <w:rFonts w:cs="Open Sans"/>
          <w:sz w:val="22"/>
        </w:rPr>
        <w:t xml:space="preserve"> and </w:t>
      </w:r>
      <w:r w:rsidR="00CC25D7">
        <w:rPr>
          <w:rFonts w:cs="Open Sans"/>
          <w:sz w:val="22"/>
        </w:rPr>
        <w:t>C</w:t>
      </w:r>
      <w:r w:rsidR="007E7032">
        <w:rPr>
          <w:rFonts w:cs="Open Sans"/>
          <w:sz w:val="22"/>
        </w:rPr>
        <w:t xml:space="preserve">ap &amp; </w:t>
      </w:r>
      <w:r w:rsidR="00CC25D7">
        <w:rPr>
          <w:rFonts w:cs="Open Sans"/>
          <w:sz w:val="22"/>
        </w:rPr>
        <w:t>F</w:t>
      </w:r>
      <w:r w:rsidR="007E7032">
        <w:rPr>
          <w:rFonts w:cs="Open Sans"/>
          <w:sz w:val="22"/>
        </w:rPr>
        <w:t xml:space="preserve">loor </w:t>
      </w:r>
      <w:r w:rsidR="00EB4BB1">
        <w:rPr>
          <w:rFonts w:cs="Open Sans"/>
          <w:sz w:val="22"/>
        </w:rPr>
        <w:t>score</w:t>
      </w:r>
      <w:r>
        <w:rPr>
          <w:rFonts w:cs="Open Sans"/>
          <w:sz w:val="22"/>
        </w:rPr>
        <w:t xml:space="preserve"> highest on </w:t>
      </w:r>
      <w:r w:rsidR="00B07212">
        <w:rPr>
          <w:rFonts w:cs="Open Sans"/>
          <w:sz w:val="22"/>
        </w:rPr>
        <w:t>‘</w:t>
      </w:r>
      <w:r>
        <w:rPr>
          <w:rFonts w:cs="Open Sans"/>
          <w:sz w:val="22"/>
        </w:rPr>
        <w:t>technical suitability</w:t>
      </w:r>
      <w:r w:rsidR="00B07212">
        <w:rPr>
          <w:rFonts w:cs="Open Sans"/>
          <w:sz w:val="22"/>
        </w:rPr>
        <w:t>’</w:t>
      </w:r>
      <w:r>
        <w:rPr>
          <w:rFonts w:cs="Open Sans"/>
          <w:sz w:val="22"/>
        </w:rPr>
        <w:t xml:space="preserve"> and </w:t>
      </w:r>
      <w:r w:rsidR="00B07212">
        <w:rPr>
          <w:rFonts w:cs="Open Sans"/>
          <w:sz w:val="22"/>
        </w:rPr>
        <w:t>‘</w:t>
      </w:r>
      <w:r>
        <w:rPr>
          <w:rFonts w:cs="Open Sans"/>
          <w:sz w:val="22"/>
        </w:rPr>
        <w:t>investor attractiveness</w:t>
      </w:r>
      <w:r w:rsidR="00B07212">
        <w:rPr>
          <w:rFonts w:cs="Open Sans"/>
          <w:sz w:val="22"/>
        </w:rPr>
        <w:t>’</w:t>
      </w:r>
      <w:r>
        <w:rPr>
          <w:rFonts w:cs="Open Sans"/>
          <w:sz w:val="22"/>
        </w:rPr>
        <w:t xml:space="preserve"> criteria, but Cap &amp; Floor achieves the highest overall score due higher </w:t>
      </w:r>
      <w:r w:rsidR="00B07212">
        <w:rPr>
          <w:rFonts w:cs="Open Sans"/>
          <w:sz w:val="22"/>
        </w:rPr>
        <w:t xml:space="preserve">score </w:t>
      </w:r>
      <w:r w:rsidR="00CC25D7">
        <w:rPr>
          <w:rFonts w:cs="Open Sans"/>
          <w:sz w:val="22"/>
        </w:rPr>
        <w:t xml:space="preserve">on </w:t>
      </w:r>
      <w:r w:rsidR="00B07212">
        <w:rPr>
          <w:rFonts w:cs="Open Sans"/>
          <w:sz w:val="22"/>
        </w:rPr>
        <w:t>‘</w:t>
      </w:r>
      <w:r w:rsidR="00CC25D7">
        <w:rPr>
          <w:rFonts w:cs="Open Sans"/>
          <w:sz w:val="22"/>
        </w:rPr>
        <w:t>political acceptability</w:t>
      </w:r>
      <w:r w:rsidR="00B07212">
        <w:rPr>
          <w:rFonts w:cs="Open Sans"/>
          <w:sz w:val="22"/>
        </w:rPr>
        <w:t>’</w:t>
      </w:r>
      <w:r>
        <w:rPr>
          <w:rFonts w:cs="Open Sans"/>
          <w:sz w:val="22"/>
        </w:rPr>
        <w:t xml:space="preserve"> compared to RAB</w:t>
      </w:r>
      <w:r w:rsidR="00CC25D7">
        <w:rPr>
          <w:rFonts w:cs="Open Sans"/>
          <w:sz w:val="22"/>
        </w:rPr>
        <w:t xml:space="preserve"> (e.g. enables greater competitive tension, is less market distortive)</w:t>
      </w:r>
      <w:r w:rsidR="00EB4BB1">
        <w:rPr>
          <w:rFonts w:cs="Open Sans"/>
          <w:sz w:val="22"/>
        </w:rPr>
        <w:t>.</w:t>
      </w:r>
      <w:r w:rsidR="007E7032">
        <w:rPr>
          <w:rFonts w:cs="Open Sans"/>
          <w:sz w:val="22"/>
        </w:rPr>
        <w:t xml:space="preserve"> </w:t>
      </w:r>
    </w:p>
    <w:p w14:paraId="10DABC66" w14:textId="3E92B4D8" w:rsidR="00782D7A" w:rsidRDefault="00CC25D7" w:rsidP="00782D7A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Cap &amp; Floor ensures r</w:t>
      </w:r>
      <w:r w:rsidR="007E7032">
        <w:rPr>
          <w:rFonts w:cs="Open Sans"/>
          <w:sz w:val="22"/>
        </w:rPr>
        <w:t xml:space="preserve">eturns are above </w:t>
      </w:r>
      <w:r>
        <w:rPr>
          <w:rFonts w:cs="Open Sans"/>
          <w:sz w:val="22"/>
        </w:rPr>
        <w:t xml:space="preserve">agreed </w:t>
      </w:r>
      <w:r w:rsidR="007E7032">
        <w:rPr>
          <w:rFonts w:cs="Open Sans"/>
          <w:sz w:val="22"/>
        </w:rPr>
        <w:t xml:space="preserve">floor. </w:t>
      </w:r>
      <w:r w:rsidR="000777A0">
        <w:rPr>
          <w:rFonts w:cs="Open Sans"/>
          <w:sz w:val="22"/>
        </w:rPr>
        <w:t>(i.e. t</w:t>
      </w:r>
      <w:r w:rsidR="007E7032">
        <w:rPr>
          <w:rFonts w:cs="Open Sans"/>
          <w:sz w:val="22"/>
        </w:rPr>
        <w:t xml:space="preserve">ops you up </w:t>
      </w:r>
      <w:r w:rsidR="000777A0">
        <w:rPr>
          <w:rFonts w:cs="Open Sans"/>
          <w:sz w:val="22"/>
        </w:rPr>
        <w:t xml:space="preserve">through </w:t>
      </w:r>
      <w:proofErr w:type="spellStart"/>
      <w:r w:rsidR="000777A0">
        <w:rPr>
          <w:rFonts w:cs="Open Sans"/>
          <w:sz w:val="22"/>
        </w:rPr>
        <w:t>TNUoS</w:t>
      </w:r>
      <w:proofErr w:type="spellEnd"/>
      <w:r w:rsidR="000777A0">
        <w:rPr>
          <w:rFonts w:cs="Open Sans"/>
          <w:sz w:val="22"/>
        </w:rPr>
        <w:t xml:space="preserve"> charges </w:t>
      </w:r>
      <w:r w:rsidR="007E7032">
        <w:rPr>
          <w:rFonts w:cs="Open Sans"/>
          <w:sz w:val="22"/>
        </w:rPr>
        <w:t xml:space="preserve">if revenue is </w:t>
      </w:r>
      <w:r w:rsidR="002C7288">
        <w:rPr>
          <w:rFonts w:cs="Open Sans"/>
          <w:sz w:val="22"/>
        </w:rPr>
        <w:t>below the floor</w:t>
      </w:r>
      <w:r w:rsidR="000777A0">
        <w:rPr>
          <w:rFonts w:cs="Open Sans"/>
          <w:sz w:val="22"/>
        </w:rPr>
        <w:t>)</w:t>
      </w:r>
      <w:r w:rsidR="002C7288">
        <w:rPr>
          <w:rFonts w:cs="Open Sans"/>
          <w:sz w:val="22"/>
        </w:rPr>
        <w:t xml:space="preserve">. Anything above </w:t>
      </w:r>
      <w:r w:rsidR="004F6408">
        <w:rPr>
          <w:rFonts w:cs="Open Sans"/>
          <w:sz w:val="22"/>
        </w:rPr>
        <w:t>c</w:t>
      </w:r>
      <w:r w:rsidR="002C7288">
        <w:rPr>
          <w:rFonts w:cs="Open Sans"/>
          <w:sz w:val="22"/>
        </w:rPr>
        <w:t>ap returned to customers in exchange for the security of the floor</w:t>
      </w:r>
      <w:r w:rsidR="00B07212">
        <w:rPr>
          <w:rFonts w:cs="Open Sans"/>
          <w:sz w:val="22"/>
        </w:rPr>
        <w:t>.</w:t>
      </w:r>
      <w:r>
        <w:rPr>
          <w:rFonts w:cs="Open Sans"/>
          <w:sz w:val="22"/>
        </w:rPr>
        <w:t xml:space="preserve"> All revenues, including those from ancillary services and the Capacity Market, are </w:t>
      </w:r>
      <w:proofErr w:type="gramStart"/>
      <w:r>
        <w:rPr>
          <w:rFonts w:cs="Open Sans"/>
          <w:sz w:val="22"/>
        </w:rPr>
        <w:t>taken into account</w:t>
      </w:r>
      <w:proofErr w:type="gramEnd"/>
      <w:r>
        <w:rPr>
          <w:rFonts w:cs="Open Sans"/>
          <w:sz w:val="22"/>
        </w:rPr>
        <w:t xml:space="preserve"> in setting Cap and Floor levels</w:t>
      </w:r>
      <w:r w:rsidR="002C7288">
        <w:rPr>
          <w:rFonts w:cs="Open Sans"/>
          <w:sz w:val="22"/>
        </w:rPr>
        <w:t>. This already works for interconnectors</w:t>
      </w:r>
      <w:r w:rsidR="00B07212">
        <w:rPr>
          <w:rFonts w:cs="Open Sans"/>
          <w:sz w:val="22"/>
        </w:rPr>
        <w:t xml:space="preserve"> (25-yr contract)</w:t>
      </w:r>
      <w:r>
        <w:rPr>
          <w:rFonts w:cs="Open Sans"/>
          <w:sz w:val="22"/>
        </w:rPr>
        <w:t>, but some</w:t>
      </w:r>
      <w:r w:rsidR="00782D7A">
        <w:rPr>
          <w:rFonts w:cs="Open Sans"/>
          <w:sz w:val="22"/>
        </w:rPr>
        <w:t xml:space="preserve"> technical</w:t>
      </w:r>
      <w:r>
        <w:rPr>
          <w:rFonts w:cs="Open Sans"/>
          <w:sz w:val="22"/>
        </w:rPr>
        <w:t xml:space="preserve"> alterations may be required </w:t>
      </w:r>
      <w:r w:rsidR="00782D7A">
        <w:rPr>
          <w:rFonts w:cs="Open Sans"/>
          <w:sz w:val="22"/>
        </w:rPr>
        <w:t>for</w:t>
      </w:r>
      <w:r w:rsidR="00B24E0A" w:rsidRPr="00112A50">
        <w:rPr>
          <w:rFonts w:cs="Open Sans"/>
          <w:sz w:val="22"/>
        </w:rPr>
        <w:t xml:space="preserve"> </w:t>
      </w:r>
      <w:r w:rsidR="00782D7A">
        <w:rPr>
          <w:rFonts w:cs="Open Sans"/>
          <w:sz w:val="22"/>
        </w:rPr>
        <w:t>it to apply to</w:t>
      </w:r>
      <w:r w:rsidR="00B24E0A" w:rsidRPr="00112A50">
        <w:rPr>
          <w:rFonts w:cs="Open Sans"/>
          <w:sz w:val="22"/>
        </w:rPr>
        <w:t xml:space="preserve"> longer-duration storage. </w:t>
      </w:r>
    </w:p>
    <w:p w14:paraId="2A1420E8" w14:textId="1B6E12F6" w:rsidR="005F72DB" w:rsidRPr="00112A50" w:rsidRDefault="00332F37" w:rsidP="000D6C39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Discussion of ESO contracts </w:t>
      </w:r>
      <w:r w:rsidR="00EB4BB1">
        <w:rPr>
          <w:rFonts w:cs="Open Sans"/>
          <w:sz w:val="22"/>
        </w:rPr>
        <w:t xml:space="preserve">– </w:t>
      </w:r>
      <w:proofErr w:type="gramStart"/>
      <w:r w:rsidR="00EB4BB1">
        <w:rPr>
          <w:rFonts w:cs="Open Sans"/>
          <w:sz w:val="22"/>
        </w:rPr>
        <w:t>market based</w:t>
      </w:r>
      <w:proofErr w:type="gramEnd"/>
      <w:r w:rsidR="00EB4BB1">
        <w:rPr>
          <w:rFonts w:cs="Open Sans"/>
          <w:sz w:val="22"/>
        </w:rPr>
        <w:t xml:space="preserve"> funding</w:t>
      </w:r>
      <w:r w:rsidR="002C7288">
        <w:rPr>
          <w:rFonts w:cs="Open Sans"/>
          <w:sz w:val="22"/>
        </w:rPr>
        <w:t xml:space="preserve">. </w:t>
      </w:r>
      <w:r w:rsidR="004F6408">
        <w:rPr>
          <w:rFonts w:cs="Open Sans"/>
          <w:sz w:val="22"/>
        </w:rPr>
        <w:t>C</w:t>
      </w:r>
      <w:r w:rsidR="002C7288">
        <w:rPr>
          <w:rFonts w:cs="Open Sans"/>
          <w:sz w:val="22"/>
        </w:rPr>
        <w:t>ontract</w:t>
      </w:r>
      <w:r w:rsidR="004F6408">
        <w:rPr>
          <w:rFonts w:cs="Open Sans"/>
          <w:sz w:val="22"/>
        </w:rPr>
        <w:t xml:space="preserve"> duration</w:t>
      </w:r>
      <w:r w:rsidR="002C7288">
        <w:rPr>
          <w:rFonts w:cs="Open Sans"/>
          <w:sz w:val="22"/>
        </w:rPr>
        <w:t xml:space="preserve"> </w:t>
      </w:r>
      <w:r w:rsidR="004F6408">
        <w:rPr>
          <w:rFonts w:cs="Open Sans"/>
          <w:sz w:val="22"/>
        </w:rPr>
        <w:t>needs</w:t>
      </w:r>
      <w:r w:rsidR="002C7288">
        <w:rPr>
          <w:rFonts w:cs="Open Sans"/>
          <w:sz w:val="22"/>
        </w:rPr>
        <w:t xml:space="preserve"> to be long.</w:t>
      </w:r>
      <w:r>
        <w:rPr>
          <w:rFonts w:cs="Open Sans"/>
          <w:sz w:val="22"/>
        </w:rPr>
        <w:t xml:space="preserve"> </w:t>
      </w:r>
      <w:r w:rsidR="005F72DB" w:rsidRPr="00112A50">
        <w:rPr>
          <w:rFonts w:cs="Open Sans"/>
          <w:sz w:val="22"/>
        </w:rPr>
        <w:t xml:space="preserve">Option – let contracts in the market in sequence. Issues include </w:t>
      </w:r>
      <w:r w:rsidR="004F6408">
        <w:rPr>
          <w:rFonts w:cs="Open Sans"/>
          <w:sz w:val="22"/>
        </w:rPr>
        <w:t>contract duration</w:t>
      </w:r>
      <w:r w:rsidR="005F72DB" w:rsidRPr="00112A50">
        <w:rPr>
          <w:rFonts w:cs="Open Sans"/>
          <w:sz w:val="22"/>
        </w:rPr>
        <w:t xml:space="preserve"> and notice period before </w:t>
      </w:r>
      <w:r w:rsidR="004F6408">
        <w:rPr>
          <w:rFonts w:cs="Open Sans"/>
          <w:sz w:val="22"/>
        </w:rPr>
        <w:t>start of</w:t>
      </w:r>
      <w:r w:rsidR="005F72DB" w:rsidRPr="00112A50">
        <w:rPr>
          <w:rFonts w:cs="Open Sans"/>
          <w:sz w:val="22"/>
        </w:rPr>
        <w:t xml:space="preserve"> contract.</w:t>
      </w:r>
    </w:p>
    <w:p w14:paraId="01ADD5D8" w14:textId="299FD435" w:rsidR="002C7288" w:rsidRDefault="007A0E3D" w:rsidP="00EB4BB1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Comment</w:t>
      </w:r>
      <w:r w:rsidR="00EB4BB1">
        <w:rPr>
          <w:rFonts w:cs="Open Sans"/>
          <w:sz w:val="22"/>
        </w:rPr>
        <w:t xml:space="preserve">s </w:t>
      </w:r>
      <w:r w:rsidR="005F72DB" w:rsidRPr="00112A50">
        <w:rPr>
          <w:rFonts w:cs="Open Sans"/>
          <w:sz w:val="22"/>
        </w:rPr>
        <w:t xml:space="preserve">– longer duration is more akin to infrastructure. RAB </w:t>
      </w:r>
      <w:r w:rsidR="00782D7A">
        <w:rPr>
          <w:rFonts w:cs="Open Sans"/>
          <w:sz w:val="22"/>
        </w:rPr>
        <w:t xml:space="preserve">could be a credible </w:t>
      </w:r>
      <w:r w:rsidR="005F72DB" w:rsidRPr="00112A50">
        <w:rPr>
          <w:rFonts w:cs="Open Sans"/>
          <w:sz w:val="22"/>
        </w:rPr>
        <w:t>option.</w:t>
      </w:r>
    </w:p>
    <w:p w14:paraId="299D84E8" w14:textId="6147CBDE" w:rsidR="002C7288" w:rsidRDefault="002C7288" w:rsidP="002C7288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Government rationale is to decarbonise and deal with issues </w:t>
      </w:r>
      <w:proofErr w:type="gramStart"/>
      <w:r>
        <w:rPr>
          <w:rFonts w:cs="Open Sans"/>
          <w:sz w:val="22"/>
        </w:rPr>
        <w:t>later</w:t>
      </w:r>
      <w:proofErr w:type="gramEnd"/>
      <w:r w:rsidR="00EB4BB1">
        <w:rPr>
          <w:rFonts w:cs="Open Sans"/>
          <w:sz w:val="22"/>
        </w:rPr>
        <w:t xml:space="preserve"> but issues need to be dealt with now or </w:t>
      </w:r>
      <w:r w:rsidR="00B07212">
        <w:rPr>
          <w:rFonts w:cs="Open Sans"/>
          <w:sz w:val="22"/>
        </w:rPr>
        <w:t>it we will miss Net Zero Targets</w:t>
      </w:r>
      <w:r>
        <w:rPr>
          <w:rFonts w:cs="Open Sans"/>
          <w:sz w:val="22"/>
        </w:rPr>
        <w:t xml:space="preserve"> </w:t>
      </w:r>
    </w:p>
    <w:p w14:paraId="4309D16B" w14:textId="35242955" w:rsidR="002C7288" w:rsidRPr="00112A50" w:rsidRDefault="007A0E3D" w:rsidP="00C84B28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lastRenderedPageBreak/>
        <w:t>Comment</w:t>
      </w:r>
      <w:r w:rsidR="00EB4BB1">
        <w:rPr>
          <w:rFonts w:cs="Open Sans"/>
          <w:sz w:val="22"/>
        </w:rPr>
        <w:t xml:space="preserve">s on Clean Energy Package. </w:t>
      </w:r>
      <w:r w:rsidR="00782D7A">
        <w:rPr>
          <w:rFonts w:cs="Open Sans"/>
          <w:sz w:val="22"/>
        </w:rPr>
        <w:t>Require</w:t>
      </w:r>
      <w:r w:rsidR="009F506A">
        <w:rPr>
          <w:rFonts w:cs="Open Sans"/>
          <w:sz w:val="22"/>
        </w:rPr>
        <w:t>s</w:t>
      </w:r>
      <w:r w:rsidR="00782D7A">
        <w:rPr>
          <w:rFonts w:cs="Open Sans"/>
          <w:sz w:val="22"/>
        </w:rPr>
        <w:t xml:space="preserve"> transition to short-term procurement of balancing energy and balancing capacity</w:t>
      </w:r>
      <w:r w:rsidR="009F506A">
        <w:rPr>
          <w:rFonts w:cs="Open Sans"/>
          <w:sz w:val="22"/>
        </w:rPr>
        <w:t>.</w:t>
      </w:r>
      <w:r w:rsidR="00B07212">
        <w:rPr>
          <w:rFonts w:cs="Open Sans"/>
          <w:sz w:val="22"/>
        </w:rPr>
        <w:t xml:space="preserve"> However, members believe that longer-term contracts (e.g.</w:t>
      </w:r>
      <w:r w:rsidR="009F506A">
        <w:rPr>
          <w:rFonts w:cs="Open Sans"/>
          <w:sz w:val="22"/>
        </w:rPr>
        <w:t xml:space="preserve"> </w:t>
      </w:r>
      <w:r w:rsidR="00C84B28">
        <w:rPr>
          <w:rFonts w:cs="Open Sans"/>
          <w:sz w:val="22"/>
        </w:rPr>
        <w:t>15</w:t>
      </w:r>
      <w:r w:rsidR="009F506A">
        <w:rPr>
          <w:rFonts w:cs="Open Sans"/>
          <w:sz w:val="22"/>
        </w:rPr>
        <w:t>-</w:t>
      </w:r>
      <w:r w:rsidR="00C84B28">
        <w:rPr>
          <w:rFonts w:cs="Open Sans"/>
          <w:sz w:val="22"/>
        </w:rPr>
        <w:t>year contract</w:t>
      </w:r>
      <w:r w:rsidR="00B07212">
        <w:rPr>
          <w:rFonts w:cs="Open Sans"/>
          <w:sz w:val="22"/>
        </w:rPr>
        <w:t>s)</w:t>
      </w:r>
      <w:r w:rsidR="009F506A">
        <w:rPr>
          <w:rFonts w:cs="Open Sans"/>
          <w:sz w:val="22"/>
        </w:rPr>
        <w:t xml:space="preserve"> would reduce risk and lower cost of capital. </w:t>
      </w:r>
    </w:p>
    <w:p w14:paraId="470BC441" w14:textId="14BB1C25" w:rsidR="00B07212" w:rsidRDefault="00332F37" w:rsidP="00332F37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Discussion of timescales and technologies.</w:t>
      </w:r>
      <w:r w:rsidR="004F6408">
        <w:rPr>
          <w:rFonts w:cs="Open Sans"/>
          <w:sz w:val="22"/>
        </w:rPr>
        <w:t xml:space="preserve"> </w:t>
      </w:r>
      <w:r w:rsidR="009F506A">
        <w:rPr>
          <w:rFonts w:cs="Open Sans"/>
          <w:sz w:val="22"/>
        </w:rPr>
        <w:t>Rename Work Group</w:t>
      </w:r>
      <w:r w:rsidR="00B07212">
        <w:rPr>
          <w:rFonts w:cs="Open Sans"/>
          <w:sz w:val="22"/>
        </w:rPr>
        <w:t xml:space="preserve"> </w:t>
      </w:r>
      <w:proofErr w:type="gramStart"/>
      <w:r w:rsidR="00B07212">
        <w:rPr>
          <w:rFonts w:cs="Open Sans"/>
          <w:sz w:val="22"/>
        </w:rPr>
        <w:t>“ Long</w:t>
      </w:r>
      <w:r w:rsidR="00A90793">
        <w:rPr>
          <w:rFonts w:cs="Open Sans"/>
          <w:sz w:val="22"/>
        </w:rPr>
        <w:t>er</w:t>
      </w:r>
      <w:proofErr w:type="gramEnd"/>
      <w:r w:rsidR="00A90793">
        <w:rPr>
          <w:rFonts w:cs="Open Sans"/>
          <w:sz w:val="22"/>
        </w:rPr>
        <w:t>-</w:t>
      </w:r>
      <w:r w:rsidR="00B07212">
        <w:rPr>
          <w:rFonts w:cs="Open Sans"/>
          <w:sz w:val="22"/>
        </w:rPr>
        <w:t xml:space="preserve"> Duration Electricity Storage WG”</w:t>
      </w:r>
      <w:r w:rsidR="009F506A">
        <w:rPr>
          <w:rFonts w:cs="Open Sans"/>
          <w:sz w:val="22"/>
        </w:rPr>
        <w:t xml:space="preserve"> to clarify that it covers </w:t>
      </w:r>
      <w:r w:rsidR="00B07212">
        <w:rPr>
          <w:rFonts w:cs="Open Sans"/>
          <w:sz w:val="22"/>
        </w:rPr>
        <w:t>e</w:t>
      </w:r>
      <w:r w:rsidR="00AC0185">
        <w:rPr>
          <w:rFonts w:cs="Open Sans"/>
          <w:sz w:val="22"/>
        </w:rPr>
        <w:t xml:space="preserve">lectricity storage only. </w:t>
      </w:r>
    </w:p>
    <w:p w14:paraId="565401F6" w14:textId="64D47EA7" w:rsidR="005F72DB" w:rsidRPr="00112A50" w:rsidRDefault="00EB4BB1" w:rsidP="00332F37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N</w:t>
      </w:r>
      <w:r w:rsidR="005F72DB" w:rsidRPr="00112A50">
        <w:rPr>
          <w:rFonts w:cs="Open Sans"/>
          <w:sz w:val="22"/>
        </w:rPr>
        <w:t>eed to distinguish things that are applicable over months and years</w:t>
      </w:r>
      <w:r>
        <w:rPr>
          <w:rFonts w:cs="Open Sans"/>
          <w:sz w:val="22"/>
        </w:rPr>
        <w:t>,</w:t>
      </w:r>
      <w:r w:rsidR="005F72DB" w:rsidRPr="00112A50">
        <w:rPr>
          <w:rFonts w:cs="Open Sans"/>
          <w:sz w:val="22"/>
        </w:rPr>
        <w:t xml:space="preserve"> vs that which discharg</w:t>
      </w:r>
      <w:r w:rsidR="004F6408">
        <w:rPr>
          <w:rFonts w:cs="Open Sans"/>
          <w:sz w:val="22"/>
        </w:rPr>
        <w:t>e</w:t>
      </w:r>
      <w:r w:rsidR="005F72DB" w:rsidRPr="00112A50">
        <w:rPr>
          <w:rFonts w:cs="Open Sans"/>
          <w:sz w:val="22"/>
        </w:rPr>
        <w:t xml:space="preserve"> over a few days. Hydrogen and ammonia may do this less-used use case.</w:t>
      </w:r>
      <w:r w:rsidR="00C84B28">
        <w:rPr>
          <w:rFonts w:cs="Open Sans"/>
          <w:sz w:val="22"/>
        </w:rPr>
        <w:t xml:space="preserve"> </w:t>
      </w:r>
      <w:r w:rsidR="00332F37">
        <w:rPr>
          <w:rFonts w:cs="Open Sans"/>
          <w:sz w:val="22"/>
        </w:rPr>
        <w:t>Some feel h</w:t>
      </w:r>
      <w:r w:rsidR="00C84B28">
        <w:rPr>
          <w:rFonts w:cs="Open Sans"/>
          <w:sz w:val="22"/>
        </w:rPr>
        <w:t xml:space="preserve">ydrogen </w:t>
      </w:r>
      <w:r w:rsidR="00332F37">
        <w:rPr>
          <w:rFonts w:cs="Open Sans"/>
          <w:sz w:val="22"/>
        </w:rPr>
        <w:t>is not appropriate for electricity grid.</w:t>
      </w:r>
    </w:p>
    <w:p w14:paraId="6FDC1DF2" w14:textId="7368D8C0" w:rsidR="005F72DB" w:rsidRPr="00112A50" w:rsidRDefault="00EB4BB1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Action –</w:t>
      </w:r>
      <w:r w:rsidR="00B07212">
        <w:rPr>
          <w:rFonts w:cs="Open Sans"/>
          <w:sz w:val="22"/>
        </w:rPr>
        <w:t xml:space="preserve"> </w:t>
      </w:r>
      <w:r w:rsidR="005F72DB" w:rsidRPr="00112A50">
        <w:rPr>
          <w:rFonts w:cs="Open Sans"/>
          <w:sz w:val="22"/>
        </w:rPr>
        <w:t xml:space="preserve">paper </w:t>
      </w:r>
      <w:r w:rsidR="00B07212">
        <w:rPr>
          <w:rFonts w:cs="Open Sans"/>
          <w:sz w:val="22"/>
        </w:rPr>
        <w:t xml:space="preserve">should identify </w:t>
      </w:r>
      <w:r>
        <w:rPr>
          <w:rFonts w:cs="Open Sans"/>
          <w:sz w:val="22"/>
        </w:rPr>
        <w:t>to identify</w:t>
      </w:r>
      <w:r w:rsidR="005F72DB" w:rsidRPr="00112A50">
        <w:rPr>
          <w:rFonts w:cs="Open Sans"/>
          <w:sz w:val="22"/>
        </w:rPr>
        <w:t xml:space="preserve"> what is the need</w:t>
      </w:r>
      <w:r w:rsidR="00B07212">
        <w:rPr>
          <w:rFonts w:cs="Open Sans"/>
          <w:sz w:val="22"/>
        </w:rPr>
        <w:t xml:space="preserve"> for long</w:t>
      </w:r>
      <w:r w:rsidR="00A90793">
        <w:rPr>
          <w:rFonts w:cs="Open Sans"/>
          <w:sz w:val="22"/>
        </w:rPr>
        <w:t>er</w:t>
      </w:r>
      <w:r w:rsidR="00B07212">
        <w:rPr>
          <w:rFonts w:cs="Open Sans"/>
          <w:sz w:val="22"/>
        </w:rPr>
        <w:t>-duration storage.</w:t>
      </w:r>
    </w:p>
    <w:p w14:paraId="1C9A3E3C" w14:textId="418F650F" w:rsidR="005F72DB" w:rsidRPr="00112A50" w:rsidRDefault="005F72DB" w:rsidP="005F72DB">
      <w:pPr>
        <w:spacing w:after="160" w:line="259" w:lineRule="auto"/>
        <w:rPr>
          <w:rFonts w:cs="Open Sans"/>
          <w:b/>
          <w:bCs/>
          <w:color w:val="06926B"/>
          <w:sz w:val="22"/>
        </w:rPr>
      </w:pPr>
      <w:r w:rsidRPr="00112A50">
        <w:rPr>
          <w:rFonts w:cs="Open Sans"/>
          <w:b/>
          <w:bCs/>
          <w:color w:val="06926B"/>
          <w:sz w:val="22"/>
        </w:rPr>
        <w:t>Discussion</w:t>
      </w:r>
    </w:p>
    <w:p w14:paraId="2C182798" w14:textId="577EA2CE" w:rsidR="00EB4BB1" w:rsidRDefault="005F72DB" w:rsidP="005F72DB">
      <w:pPr>
        <w:spacing w:after="160" w:line="259" w:lineRule="auto"/>
        <w:rPr>
          <w:rFonts w:cs="Open Sans"/>
          <w:sz w:val="22"/>
        </w:rPr>
      </w:pPr>
      <w:r w:rsidRPr="00112A50">
        <w:rPr>
          <w:rFonts w:cs="Open Sans"/>
          <w:sz w:val="22"/>
        </w:rPr>
        <w:t>4 b</w:t>
      </w:r>
      <w:r w:rsidR="00332F37">
        <w:rPr>
          <w:rFonts w:cs="Open Sans"/>
          <w:sz w:val="22"/>
        </w:rPr>
        <w:t>rac</w:t>
      </w:r>
      <w:r w:rsidRPr="00112A50">
        <w:rPr>
          <w:rFonts w:cs="Open Sans"/>
          <w:sz w:val="22"/>
        </w:rPr>
        <w:t xml:space="preserve">kets proposed. Up to 4 hours (short duration). 4-12 or 24 hours is medium duration. Longer is 24 to 2 weeks. Above that is seasonal duration. </w:t>
      </w:r>
    </w:p>
    <w:p w14:paraId="45B2C2FF" w14:textId="0DB81A39" w:rsidR="005F72DB" w:rsidRPr="00112A50" w:rsidRDefault="00EB4BB1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Discussion on </w:t>
      </w:r>
      <w:proofErr w:type="spellStart"/>
      <w:r>
        <w:rPr>
          <w:rFonts w:cs="Open Sans"/>
          <w:sz w:val="22"/>
        </w:rPr>
        <w:t>biomethanation</w:t>
      </w:r>
      <w:proofErr w:type="spellEnd"/>
      <w:r w:rsidR="00332F37">
        <w:rPr>
          <w:rFonts w:cs="Open Sans"/>
          <w:sz w:val="22"/>
        </w:rPr>
        <w:t xml:space="preserve"> and potential to store electricity through gas grid, another view that </w:t>
      </w:r>
      <w:proofErr w:type="gramStart"/>
      <w:r w:rsidR="00332F37">
        <w:rPr>
          <w:rFonts w:cs="Open Sans"/>
          <w:sz w:val="22"/>
        </w:rPr>
        <w:t>it’s</w:t>
      </w:r>
      <w:proofErr w:type="gramEnd"/>
      <w:r w:rsidR="00332F37">
        <w:rPr>
          <w:rFonts w:cs="Open Sans"/>
          <w:sz w:val="22"/>
        </w:rPr>
        <w:t xml:space="preserve"> out of scope.</w:t>
      </w:r>
      <w:r w:rsidR="00120F03">
        <w:rPr>
          <w:rFonts w:cs="Open Sans"/>
          <w:sz w:val="22"/>
        </w:rPr>
        <w:t xml:space="preserve"> </w:t>
      </w:r>
    </w:p>
    <w:p w14:paraId="75EF7EEF" w14:textId="093C6C36" w:rsidR="005F72DB" w:rsidRDefault="007A0E3D" w:rsidP="005F72DB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Comment</w:t>
      </w:r>
      <w:r w:rsidR="005F72DB" w:rsidRPr="00112A50">
        <w:rPr>
          <w:rFonts w:cs="Open Sans"/>
          <w:sz w:val="22"/>
        </w:rPr>
        <w:t xml:space="preserve"> – discussion of LAES and electrochemical storage. In support of a larger clear mechanism like RAB. LAE</w:t>
      </w:r>
      <w:r w:rsidR="00B07212">
        <w:rPr>
          <w:rFonts w:cs="Open Sans"/>
          <w:sz w:val="22"/>
        </w:rPr>
        <w:t>S</w:t>
      </w:r>
      <w:r w:rsidR="005F72DB" w:rsidRPr="00112A50">
        <w:rPr>
          <w:rFonts w:cs="Open Sans"/>
          <w:sz w:val="22"/>
        </w:rPr>
        <w:t xml:space="preserve"> can do voltage, inertia, etc.</w:t>
      </w:r>
    </w:p>
    <w:p w14:paraId="43E20AC3" w14:textId="00CB6784" w:rsidR="009F506A" w:rsidRPr="00112A50" w:rsidRDefault="009F506A" w:rsidP="009F506A">
      <w:p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Discussion - </w:t>
      </w:r>
      <w:r w:rsidRPr="00112A50">
        <w:rPr>
          <w:rFonts w:cs="Open Sans"/>
          <w:sz w:val="22"/>
        </w:rPr>
        <w:t xml:space="preserve">Weaknesses of RAB – limited competitive pressure which increases risk of legal challenges. May necessitate wider changes to market arrangements. Why would they (BEIS/ESO) want to lock in one solution given pace of technology change? </w:t>
      </w:r>
      <w:r>
        <w:rPr>
          <w:rFonts w:cs="Open Sans"/>
          <w:sz w:val="22"/>
        </w:rPr>
        <w:t>I</w:t>
      </w:r>
      <w:r w:rsidRPr="00112A50">
        <w:rPr>
          <w:rFonts w:cs="Open Sans"/>
          <w:sz w:val="22"/>
        </w:rPr>
        <w:t xml:space="preserve">nformation asymmetry from regulators perspective. </w:t>
      </w:r>
      <w:r w:rsidR="00B07212">
        <w:rPr>
          <w:rFonts w:cs="Open Sans"/>
          <w:sz w:val="22"/>
        </w:rPr>
        <w:t>Government n</w:t>
      </w:r>
      <w:r w:rsidRPr="00112A50">
        <w:rPr>
          <w:rFonts w:cs="Open Sans"/>
          <w:sz w:val="22"/>
        </w:rPr>
        <w:t xml:space="preserve">ervous to underwrite a contract without experience or visibility of a particular technology or new power system intervention. </w:t>
      </w:r>
    </w:p>
    <w:p w14:paraId="037DA231" w14:textId="77777777" w:rsidR="009F506A" w:rsidRDefault="00EB4BB1" w:rsidP="005F72DB">
      <w:pPr>
        <w:spacing w:after="160" w:line="259" w:lineRule="auto"/>
        <w:rPr>
          <w:rFonts w:cs="Open Sans"/>
          <w:sz w:val="22"/>
        </w:rPr>
      </w:pPr>
      <w:r w:rsidRPr="00112A50">
        <w:rPr>
          <w:rFonts w:cs="Open Sans"/>
          <w:sz w:val="22"/>
        </w:rPr>
        <w:t>Discussion of individual views on barriers</w:t>
      </w:r>
      <w:r>
        <w:rPr>
          <w:rFonts w:cs="Open Sans"/>
          <w:sz w:val="22"/>
        </w:rPr>
        <w:t>.</w:t>
      </w:r>
      <w:r w:rsidR="00120F03">
        <w:rPr>
          <w:rFonts w:cs="Open Sans"/>
          <w:sz w:val="22"/>
        </w:rPr>
        <w:t xml:space="preserve"> </w:t>
      </w:r>
    </w:p>
    <w:p w14:paraId="43547717" w14:textId="28D6FF07" w:rsidR="009F506A" w:rsidRPr="00A90793" w:rsidRDefault="009F506A" w:rsidP="000D6C39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>Ancillary Services market does not create the right investment signals (reforms are slow, d</w:t>
      </w:r>
      <w:r w:rsidRPr="00A63E5E">
        <w:rPr>
          <w:rFonts w:cs="Open Sans"/>
          <w:sz w:val="22"/>
        </w:rPr>
        <w:t>uration of contracts is very short</w:t>
      </w:r>
      <w:r>
        <w:rPr>
          <w:rFonts w:cs="Open Sans"/>
          <w:sz w:val="22"/>
        </w:rPr>
        <w:t>, lead time is not sufficient to incentivise new builds)</w:t>
      </w:r>
      <w:r w:rsidR="00A90793">
        <w:rPr>
          <w:rFonts w:cs="Open Sans"/>
          <w:sz w:val="22"/>
        </w:rPr>
        <w:t>.</w:t>
      </w:r>
    </w:p>
    <w:p w14:paraId="6091E6E3" w14:textId="2E7B1800" w:rsidR="009F506A" w:rsidRDefault="00332F37" w:rsidP="009F506A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 w:rsidRPr="00A90793">
        <w:rPr>
          <w:rFonts w:cs="Open Sans"/>
          <w:sz w:val="22"/>
        </w:rPr>
        <w:t xml:space="preserve">At </w:t>
      </w:r>
      <w:r w:rsidR="00120F03" w:rsidRPr="00A90793">
        <w:rPr>
          <w:rFonts w:cs="Open Sans"/>
          <w:sz w:val="22"/>
        </w:rPr>
        <w:t xml:space="preserve">the transmission level – problems include how </w:t>
      </w:r>
      <w:proofErr w:type="spellStart"/>
      <w:r w:rsidR="00120F03" w:rsidRPr="00A90793">
        <w:rPr>
          <w:rFonts w:cs="Open Sans"/>
          <w:sz w:val="22"/>
        </w:rPr>
        <w:t>TNUoS</w:t>
      </w:r>
      <w:proofErr w:type="spellEnd"/>
      <w:r w:rsidRPr="00A90793">
        <w:rPr>
          <w:rFonts w:cs="Open Sans"/>
          <w:sz w:val="22"/>
        </w:rPr>
        <w:t xml:space="preserve"> is charged.</w:t>
      </w:r>
      <w:r w:rsidR="00120F03" w:rsidRPr="00A90793">
        <w:rPr>
          <w:rFonts w:cs="Open Sans"/>
          <w:sz w:val="22"/>
        </w:rPr>
        <w:t xml:space="preserve"> </w:t>
      </w:r>
    </w:p>
    <w:p w14:paraId="1859C55E" w14:textId="157E80C2" w:rsidR="009F506A" w:rsidRDefault="00332F37" w:rsidP="009F506A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 w:rsidRPr="000D6C39">
        <w:rPr>
          <w:rFonts w:cs="Open Sans"/>
          <w:sz w:val="22"/>
        </w:rPr>
        <w:t>Co</w:t>
      </w:r>
      <w:r w:rsidR="00120F03" w:rsidRPr="000D6C39">
        <w:rPr>
          <w:rFonts w:cs="Open Sans"/>
          <w:sz w:val="22"/>
        </w:rPr>
        <w:t>mpeti</w:t>
      </w:r>
      <w:r w:rsidRPr="000D6C39">
        <w:rPr>
          <w:rFonts w:cs="Open Sans"/>
          <w:sz w:val="22"/>
        </w:rPr>
        <w:t>tion</w:t>
      </w:r>
      <w:r w:rsidR="00120F03" w:rsidRPr="000D6C39">
        <w:rPr>
          <w:rFonts w:cs="Open Sans"/>
          <w:sz w:val="22"/>
        </w:rPr>
        <w:t xml:space="preserve"> with TO – which has better access to land and different </w:t>
      </w:r>
      <w:r w:rsidR="00B07212">
        <w:rPr>
          <w:rFonts w:cs="Open Sans"/>
          <w:sz w:val="22"/>
        </w:rPr>
        <w:t>funding arrangements</w:t>
      </w:r>
      <w:r w:rsidR="00120F03" w:rsidRPr="000D6C39">
        <w:rPr>
          <w:rFonts w:cs="Open Sans"/>
          <w:sz w:val="22"/>
        </w:rPr>
        <w:t>. Consensus on this</w:t>
      </w:r>
      <w:r w:rsidRPr="000D6C39">
        <w:rPr>
          <w:rFonts w:cs="Open Sans"/>
          <w:sz w:val="22"/>
        </w:rPr>
        <w:t xml:space="preserve">. </w:t>
      </w:r>
    </w:p>
    <w:p w14:paraId="4D4681EF" w14:textId="755F65EB" w:rsidR="009F506A" w:rsidRDefault="00B07212" w:rsidP="009F506A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>
        <w:rPr>
          <w:rFonts w:cs="Open Sans"/>
          <w:sz w:val="22"/>
        </w:rPr>
        <w:t xml:space="preserve">ESO </w:t>
      </w:r>
      <w:r w:rsidR="00120F03" w:rsidRPr="000D6C39">
        <w:rPr>
          <w:rFonts w:cs="Open Sans"/>
          <w:sz w:val="22"/>
        </w:rPr>
        <w:t xml:space="preserve">Pathfinder </w:t>
      </w:r>
      <w:r>
        <w:rPr>
          <w:rFonts w:cs="Open Sans"/>
          <w:sz w:val="22"/>
        </w:rPr>
        <w:t>project delivery is</w:t>
      </w:r>
      <w:r w:rsidRPr="000D6C39">
        <w:rPr>
          <w:rFonts w:cs="Open Sans"/>
          <w:sz w:val="22"/>
        </w:rPr>
        <w:t xml:space="preserve"> </w:t>
      </w:r>
      <w:r w:rsidR="00120F03" w:rsidRPr="000D6C39">
        <w:rPr>
          <w:rFonts w:cs="Open Sans"/>
          <w:sz w:val="22"/>
        </w:rPr>
        <w:t xml:space="preserve">slow. </w:t>
      </w:r>
    </w:p>
    <w:p w14:paraId="301AFA3D" w14:textId="224DB5EB" w:rsidR="009F506A" w:rsidRDefault="00120F03" w:rsidP="009F506A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 w:rsidRPr="000D6C39">
        <w:rPr>
          <w:rFonts w:cs="Open Sans"/>
          <w:sz w:val="22"/>
        </w:rPr>
        <w:t xml:space="preserve">Early Competition Solutions – possible </w:t>
      </w:r>
      <w:r w:rsidR="004F6408" w:rsidRPr="000D6C39">
        <w:rPr>
          <w:rFonts w:cs="Open Sans"/>
          <w:sz w:val="22"/>
        </w:rPr>
        <w:t>contract anchor</w:t>
      </w:r>
      <w:r w:rsidRPr="000D6C39">
        <w:rPr>
          <w:rFonts w:cs="Open Sans"/>
          <w:sz w:val="22"/>
        </w:rPr>
        <w:t xml:space="preserve">. </w:t>
      </w:r>
      <w:r w:rsidR="004F6408" w:rsidRPr="000D6C39">
        <w:rPr>
          <w:rFonts w:cs="Open Sans"/>
          <w:sz w:val="22"/>
        </w:rPr>
        <w:t>C</w:t>
      </w:r>
      <w:r w:rsidRPr="000D6C39">
        <w:rPr>
          <w:rFonts w:cs="Open Sans"/>
          <w:sz w:val="22"/>
        </w:rPr>
        <w:t xml:space="preserve">omplex. Creating a silos market. </w:t>
      </w:r>
      <w:r w:rsidR="00332F37" w:rsidRPr="000D6C39">
        <w:rPr>
          <w:rFonts w:cs="Open Sans"/>
          <w:sz w:val="22"/>
        </w:rPr>
        <w:t>Revenue</w:t>
      </w:r>
      <w:r w:rsidR="0005161E" w:rsidRPr="000D6C39">
        <w:rPr>
          <w:rFonts w:cs="Open Sans"/>
          <w:sz w:val="22"/>
        </w:rPr>
        <w:t xml:space="preserve"> unclear.</w:t>
      </w:r>
    </w:p>
    <w:p w14:paraId="7FE58FE8" w14:textId="2483A758" w:rsidR="005F72DB" w:rsidRPr="000D6C39" w:rsidRDefault="005F72DB" w:rsidP="000D6C39">
      <w:pPr>
        <w:pStyle w:val="ListParagraph"/>
        <w:numPr>
          <w:ilvl w:val="0"/>
          <w:numId w:val="30"/>
        </w:numPr>
        <w:spacing w:after="160" w:line="259" w:lineRule="auto"/>
        <w:rPr>
          <w:rFonts w:cs="Open Sans"/>
          <w:sz w:val="22"/>
        </w:rPr>
      </w:pPr>
      <w:r w:rsidRPr="000D6C39">
        <w:rPr>
          <w:rFonts w:cs="Open Sans"/>
          <w:sz w:val="22"/>
        </w:rPr>
        <w:t xml:space="preserve">Inertia is a big question – do </w:t>
      </w:r>
      <w:r w:rsidR="009F506A">
        <w:rPr>
          <w:rFonts w:cs="Open Sans"/>
          <w:sz w:val="22"/>
        </w:rPr>
        <w:t>synchronous generators</w:t>
      </w:r>
      <w:r w:rsidR="009F506A" w:rsidRPr="000D6C39">
        <w:rPr>
          <w:rFonts w:cs="Open Sans"/>
          <w:sz w:val="22"/>
        </w:rPr>
        <w:t xml:space="preserve"> </w:t>
      </w:r>
      <w:r w:rsidRPr="000D6C39">
        <w:rPr>
          <w:rFonts w:cs="Open Sans"/>
          <w:sz w:val="22"/>
        </w:rPr>
        <w:t xml:space="preserve">get penalised for putting on uncontracted inertia, or do they provide this service to NG for free? </w:t>
      </w:r>
    </w:p>
    <w:p w14:paraId="6EF03C3F" w14:textId="16CBCDF6" w:rsidR="00CF064E" w:rsidRPr="00112A50" w:rsidRDefault="00CF064E">
      <w:pPr>
        <w:spacing w:after="160" w:line="259" w:lineRule="auto"/>
        <w:rPr>
          <w:rFonts w:cs="Open Sans"/>
          <w:sz w:val="22"/>
        </w:rPr>
      </w:pPr>
    </w:p>
    <w:p w14:paraId="3301FAE7" w14:textId="77777777" w:rsidR="004F6408" w:rsidRPr="00332F37" w:rsidRDefault="004F6408" w:rsidP="004F6408">
      <w:pPr>
        <w:pStyle w:val="ListParagraph"/>
        <w:spacing w:after="160" w:line="259" w:lineRule="auto"/>
        <w:rPr>
          <w:rFonts w:cs="Open Sans"/>
          <w:sz w:val="22"/>
        </w:rPr>
      </w:pPr>
    </w:p>
    <w:sectPr w:rsidR="004F6408" w:rsidRPr="00332F37" w:rsidSect="007D6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93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5044" w14:textId="77777777" w:rsidR="00387956" w:rsidRDefault="00387956" w:rsidP="003A4C6C">
      <w:pPr>
        <w:spacing w:after="0" w:line="240" w:lineRule="auto"/>
      </w:pPr>
      <w:r>
        <w:separator/>
      </w:r>
    </w:p>
  </w:endnote>
  <w:endnote w:type="continuationSeparator" w:id="0">
    <w:p w14:paraId="20DC6A04" w14:textId="77777777" w:rsidR="00387956" w:rsidRDefault="00387956" w:rsidP="003A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8BA28" w14:textId="77777777" w:rsidR="005F72DB" w:rsidRDefault="005F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0DF82" w14:textId="6E6FC5D7" w:rsidR="00435AEC" w:rsidRDefault="00802C00" w:rsidP="005F72DB">
    <w:pPr>
      <w:pStyle w:val="Footer"/>
      <w:jc w:val="right"/>
    </w:pPr>
    <w:r>
      <w:t>Confidential for REA member review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30865" w14:textId="77777777" w:rsidR="005F72DB" w:rsidRDefault="005F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E0C8" w14:textId="77777777" w:rsidR="00387956" w:rsidRDefault="00387956" w:rsidP="003A4C6C">
      <w:pPr>
        <w:spacing w:after="0" w:line="240" w:lineRule="auto"/>
      </w:pPr>
      <w:r>
        <w:separator/>
      </w:r>
    </w:p>
  </w:footnote>
  <w:footnote w:type="continuationSeparator" w:id="0">
    <w:p w14:paraId="0651EF1F" w14:textId="77777777" w:rsidR="00387956" w:rsidRDefault="00387956" w:rsidP="003A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937E0" w14:textId="77777777" w:rsidR="005F72DB" w:rsidRDefault="005F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7000" w14:textId="1E61CE3C" w:rsidR="003A4C6C" w:rsidRDefault="00435AEC">
    <w:pPr>
      <w:pStyle w:val="Header"/>
    </w:pPr>
    <w:r>
      <w:rPr>
        <w:rFonts w:cs="Open Sans"/>
        <w:i/>
        <w:iCs/>
        <w:noProof/>
      </w:rPr>
      <w:drawing>
        <wp:anchor distT="0" distB="0" distL="114300" distR="114300" simplePos="0" relativeHeight="251658240" behindDoc="1" locked="0" layoutInCell="1" allowOverlap="1" wp14:anchorId="27E23DC3" wp14:editId="26447FEE">
          <wp:simplePos x="0" y="0"/>
          <wp:positionH relativeFrom="column">
            <wp:posOffset>4356708</wp:posOffset>
          </wp:positionH>
          <wp:positionV relativeFrom="paragraph">
            <wp:posOffset>-195607</wp:posOffset>
          </wp:positionV>
          <wp:extent cx="1788795" cy="532765"/>
          <wp:effectExtent l="0" t="0" r="1905" b="635"/>
          <wp:wrapTight wrapText="bothSides">
            <wp:wrapPolygon edited="0">
              <wp:start x="0" y="0"/>
              <wp:lineTo x="0" y="20853"/>
              <wp:lineTo x="21393" y="20853"/>
              <wp:lineTo x="21393" y="0"/>
              <wp:lineTo x="0" y="0"/>
            </wp:wrapPolygon>
          </wp:wrapTight>
          <wp:docPr id="2" name="Picture 2" descr="A picture containing tent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 STOR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703">
      <w:t xml:space="preserve">August </w:t>
    </w:r>
    <w:r w:rsidR="003A4C6C"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0A826" w14:textId="77777777" w:rsidR="005F72DB" w:rsidRDefault="005F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1B0"/>
    <w:multiLevelType w:val="hybridMultilevel"/>
    <w:tmpl w:val="F7C27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7AF8"/>
    <w:multiLevelType w:val="hybridMultilevel"/>
    <w:tmpl w:val="A6E2B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471F"/>
    <w:multiLevelType w:val="hybridMultilevel"/>
    <w:tmpl w:val="65B6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7E7A"/>
    <w:multiLevelType w:val="hybridMultilevel"/>
    <w:tmpl w:val="C07A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446C"/>
    <w:multiLevelType w:val="hybridMultilevel"/>
    <w:tmpl w:val="A8D45790"/>
    <w:lvl w:ilvl="0" w:tplc="4490CF2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64177"/>
    <w:multiLevelType w:val="hybridMultilevel"/>
    <w:tmpl w:val="7C72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159"/>
    <w:multiLevelType w:val="hybridMultilevel"/>
    <w:tmpl w:val="D04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29F"/>
    <w:multiLevelType w:val="hybridMultilevel"/>
    <w:tmpl w:val="A79C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56C2"/>
    <w:multiLevelType w:val="hybridMultilevel"/>
    <w:tmpl w:val="13E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4E98"/>
    <w:multiLevelType w:val="hybridMultilevel"/>
    <w:tmpl w:val="1F6A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B503A"/>
    <w:multiLevelType w:val="hybridMultilevel"/>
    <w:tmpl w:val="EAB8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74B"/>
    <w:multiLevelType w:val="hybridMultilevel"/>
    <w:tmpl w:val="799CE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9D7"/>
    <w:multiLevelType w:val="hybridMultilevel"/>
    <w:tmpl w:val="26D2AF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803556"/>
    <w:multiLevelType w:val="hybridMultilevel"/>
    <w:tmpl w:val="C782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5A0B"/>
    <w:multiLevelType w:val="hybridMultilevel"/>
    <w:tmpl w:val="7A684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23E86"/>
    <w:multiLevelType w:val="hybridMultilevel"/>
    <w:tmpl w:val="C338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3068C"/>
    <w:multiLevelType w:val="hybridMultilevel"/>
    <w:tmpl w:val="C07E4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9573BE"/>
    <w:multiLevelType w:val="hybridMultilevel"/>
    <w:tmpl w:val="0D8AD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09C2"/>
    <w:multiLevelType w:val="hybridMultilevel"/>
    <w:tmpl w:val="215E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7439EC"/>
    <w:multiLevelType w:val="hybridMultilevel"/>
    <w:tmpl w:val="869CB896"/>
    <w:lvl w:ilvl="0" w:tplc="06DEED3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DD6859"/>
    <w:multiLevelType w:val="hybridMultilevel"/>
    <w:tmpl w:val="C8923356"/>
    <w:lvl w:ilvl="0" w:tplc="06DEED3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D33DB"/>
    <w:multiLevelType w:val="hybridMultilevel"/>
    <w:tmpl w:val="2F6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5AF1"/>
    <w:multiLevelType w:val="hybridMultilevel"/>
    <w:tmpl w:val="34A8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F551C"/>
    <w:multiLevelType w:val="hybridMultilevel"/>
    <w:tmpl w:val="93CE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905D9"/>
    <w:multiLevelType w:val="hybridMultilevel"/>
    <w:tmpl w:val="AC4207C8"/>
    <w:lvl w:ilvl="0" w:tplc="DCEC0C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A1197D"/>
    <w:multiLevelType w:val="hybridMultilevel"/>
    <w:tmpl w:val="2A660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244E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F339A"/>
    <w:multiLevelType w:val="hybridMultilevel"/>
    <w:tmpl w:val="B4AC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B7E42"/>
    <w:multiLevelType w:val="hybridMultilevel"/>
    <w:tmpl w:val="9292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17BC5"/>
    <w:multiLevelType w:val="hybridMultilevel"/>
    <w:tmpl w:val="232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27"/>
  </w:num>
  <w:num w:numId="5">
    <w:abstractNumId w:val="27"/>
  </w:num>
  <w:num w:numId="6">
    <w:abstractNumId w:val="22"/>
  </w:num>
  <w:num w:numId="7">
    <w:abstractNumId w:val="11"/>
  </w:num>
  <w:num w:numId="8">
    <w:abstractNumId w:val="10"/>
  </w:num>
  <w:num w:numId="9">
    <w:abstractNumId w:val="7"/>
  </w:num>
  <w:num w:numId="10">
    <w:abstractNumId w:val="15"/>
  </w:num>
  <w:num w:numId="11">
    <w:abstractNumId w:val="5"/>
  </w:num>
  <w:num w:numId="12">
    <w:abstractNumId w:val="6"/>
  </w:num>
  <w:num w:numId="13">
    <w:abstractNumId w:val="28"/>
  </w:num>
  <w:num w:numId="14">
    <w:abstractNumId w:val="26"/>
  </w:num>
  <w:num w:numId="15">
    <w:abstractNumId w:val="8"/>
  </w:num>
  <w:num w:numId="16">
    <w:abstractNumId w:val="26"/>
  </w:num>
  <w:num w:numId="17">
    <w:abstractNumId w:val="20"/>
  </w:num>
  <w:num w:numId="18">
    <w:abstractNumId w:val="19"/>
  </w:num>
  <w:num w:numId="19">
    <w:abstractNumId w:val="18"/>
  </w:num>
  <w:num w:numId="20">
    <w:abstractNumId w:val="0"/>
  </w:num>
  <w:num w:numId="21">
    <w:abstractNumId w:val="14"/>
  </w:num>
  <w:num w:numId="22">
    <w:abstractNumId w:val="12"/>
  </w:num>
  <w:num w:numId="23">
    <w:abstractNumId w:val="16"/>
  </w:num>
  <w:num w:numId="24">
    <w:abstractNumId w:val="4"/>
  </w:num>
  <w:num w:numId="25">
    <w:abstractNumId w:val="1"/>
  </w:num>
  <w:num w:numId="26">
    <w:abstractNumId w:val="3"/>
  </w:num>
  <w:num w:numId="27">
    <w:abstractNumId w:val="24"/>
  </w:num>
  <w:num w:numId="28">
    <w:abstractNumId w:val="23"/>
  </w:num>
  <w:num w:numId="29">
    <w:abstractNumId w:val="13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27"/>
    <w:rsid w:val="0005161E"/>
    <w:rsid w:val="000550D1"/>
    <w:rsid w:val="000777A0"/>
    <w:rsid w:val="000C5E5D"/>
    <w:rsid w:val="000D6C39"/>
    <w:rsid w:val="000F1A10"/>
    <w:rsid w:val="00112A50"/>
    <w:rsid w:val="00113A1F"/>
    <w:rsid w:val="00120F03"/>
    <w:rsid w:val="001252F2"/>
    <w:rsid w:val="0016312F"/>
    <w:rsid w:val="0017785D"/>
    <w:rsid w:val="00190D92"/>
    <w:rsid w:val="00196ACC"/>
    <w:rsid w:val="001C780D"/>
    <w:rsid w:val="00215A0C"/>
    <w:rsid w:val="00234022"/>
    <w:rsid w:val="002C7288"/>
    <w:rsid w:val="002D44E9"/>
    <w:rsid w:val="002D6772"/>
    <w:rsid w:val="002E2A19"/>
    <w:rsid w:val="0031085B"/>
    <w:rsid w:val="00311075"/>
    <w:rsid w:val="00332F37"/>
    <w:rsid w:val="00334EBB"/>
    <w:rsid w:val="0035429B"/>
    <w:rsid w:val="00355547"/>
    <w:rsid w:val="00370E66"/>
    <w:rsid w:val="003720EE"/>
    <w:rsid w:val="00381B56"/>
    <w:rsid w:val="00387956"/>
    <w:rsid w:val="003A194B"/>
    <w:rsid w:val="003A4C6C"/>
    <w:rsid w:val="003B3F32"/>
    <w:rsid w:val="00422608"/>
    <w:rsid w:val="00435AEC"/>
    <w:rsid w:val="004B6D23"/>
    <w:rsid w:val="004E3DAD"/>
    <w:rsid w:val="004F4FFE"/>
    <w:rsid w:val="004F6408"/>
    <w:rsid w:val="00522481"/>
    <w:rsid w:val="005424D0"/>
    <w:rsid w:val="00546F28"/>
    <w:rsid w:val="00551767"/>
    <w:rsid w:val="00597D47"/>
    <w:rsid w:val="005B6683"/>
    <w:rsid w:val="005B7A28"/>
    <w:rsid w:val="005C0065"/>
    <w:rsid w:val="005F72DB"/>
    <w:rsid w:val="00605248"/>
    <w:rsid w:val="00614319"/>
    <w:rsid w:val="006A280D"/>
    <w:rsid w:val="007037FD"/>
    <w:rsid w:val="007128EC"/>
    <w:rsid w:val="007201EF"/>
    <w:rsid w:val="00724D20"/>
    <w:rsid w:val="007403C1"/>
    <w:rsid w:val="00746174"/>
    <w:rsid w:val="00760D90"/>
    <w:rsid w:val="00775B29"/>
    <w:rsid w:val="00782D7A"/>
    <w:rsid w:val="00783425"/>
    <w:rsid w:val="007A0E3D"/>
    <w:rsid w:val="007C6134"/>
    <w:rsid w:val="007D6996"/>
    <w:rsid w:val="007E7032"/>
    <w:rsid w:val="00802C00"/>
    <w:rsid w:val="008101E3"/>
    <w:rsid w:val="0082122B"/>
    <w:rsid w:val="0082222C"/>
    <w:rsid w:val="00827F56"/>
    <w:rsid w:val="00846613"/>
    <w:rsid w:val="00870E27"/>
    <w:rsid w:val="00876FC6"/>
    <w:rsid w:val="00882833"/>
    <w:rsid w:val="008D41CD"/>
    <w:rsid w:val="008E41E5"/>
    <w:rsid w:val="0091659F"/>
    <w:rsid w:val="00925A00"/>
    <w:rsid w:val="00926E30"/>
    <w:rsid w:val="009326AD"/>
    <w:rsid w:val="0093428A"/>
    <w:rsid w:val="009504DF"/>
    <w:rsid w:val="00974D6B"/>
    <w:rsid w:val="009834E3"/>
    <w:rsid w:val="009A0419"/>
    <w:rsid w:val="009A090C"/>
    <w:rsid w:val="009B7670"/>
    <w:rsid w:val="009F506A"/>
    <w:rsid w:val="00A016F9"/>
    <w:rsid w:val="00A054D2"/>
    <w:rsid w:val="00A06B09"/>
    <w:rsid w:val="00A56065"/>
    <w:rsid w:val="00A63E5E"/>
    <w:rsid w:val="00A8491A"/>
    <w:rsid w:val="00A90793"/>
    <w:rsid w:val="00AA7A95"/>
    <w:rsid w:val="00AC0185"/>
    <w:rsid w:val="00AC7159"/>
    <w:rsid w:val="00AE12A0"/>
    <w:rsid w:val="00B07212"/>
    <w:rsid w:val="00B20AA8"/>
    <w:rsid w:val="00B24E0A"/>
    <w:rsid w:val="00B26DF2"/>
    <w:rsid w:val="00B55D6E"/>
    <w:rsid w:val="00B97899"/>
    <w:rsid w:val="00BD2399"/>
    <w:rsid w:val="00C07E54"/>
    <w:rsid w:val="00C36192"/>
    <w:rsid w:val="00C56665"/>
    <w:rsid w:val="00C66AEF"/>
    <w:rsid w:val="00C80316"/>
    <w:rsid w:val="00C8296A"/>
    <w:rsid w:val="00C84B28"/>
    <w:rsid w:val="00CC25D7"/>
    <w:rsid w:val="00CD045A"/>
    <w:rsid w:val="00CD5B2C"/>
    <w:rsid w:val="00CE2832"/>
    <w:rsid w:val="00CF064E"/>
    <w:rsid w:val="00D0550A"/>
    <w:rsid w:val="00D16CC9"/>
    <w:rsid w:val="00D3521C"/>
    <w:rsid w:val="00D9230E"/>
    <w:rsid w:val="00D9544D"/>
    <w:rsid w:val="00DA68DF"/>
    <w:rsid w:val="00DA6F2C"/>
    <w:rsid w:val="00DE4E9A"/>
    <w:rsid w:val="00DF1DA1"/>
    <w:rsid w:val="00E04379"/>
    <w:rsid w:val="00E46EDB"/>
    <w:rsid w:val="00E63A5D"/>
    <w:rsid w:val="00EB4BB1"/>
    <w:rsid w:val="00EC64A7"/>
    <w:rsid w:val="00ED03E2"/>
    <w:rsid w:val="00EE3B79"/>
    <w:rsid w:val="00F00532"/>
    <w:rsid w:val="00F007C0"/>
    <w:rsid w:val="00F04515"/>
    <w:rsid w:val="00F060B7"/>
    <w:rsid w:val="00F33703"/>
    <w:rsid w:val="00F5426D"/>
    <w:rsid w:val="00F72653"/>
    <w:rsid w:val="00F728FE"/>
    <w:rsid w:val="00F73424"/>
    <w:rsid w:val="00F96F11"/>
    <w:rsid w:val="00FC12C7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2838"/>
  <w15:chartTrackingRefBased/>
  <w15:docId w15:val="{2BF69455-CC46-44A1-823D-CFC3F276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6C"/>
    <w:pPr>
      <w:spacing w:after="200" w:line="276" w:lineRule="auto"/>
    </w:pPr>
    <w:rPr>
      <w:rFonts w:ascii="Open Sans" w:hAnsi="Open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E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4C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C6C"/>
    <w:rPr>
      <w:rFonts w:ascii="Open Sans" w:hAnsi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3A4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6C"/>
    <w:rPr>
      <w:rFonts w:ascii="Open Sans" w:hAnsi="Open Sans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6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3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4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425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425"/>
    <w:rPr>
      <w:rFonts w:ascii="Open Sans" w:hAnsi="Open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6174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BE04E4361DF4CBC59676CA157A6AD" ma:contentTypeVersion="10" ma:contentTypeDescription="Create a new document." ma:contentTypeScope="" ma:versionID="12e20f36d5a3f4a62db0d5cc4f10b27c">
  <xsd:schema xmlns:xsd="http://www.w3.org/2001/XMLSchema" xmlns:xs="http://www.w3.org/2001/XMLSchema" xmlns:p="http://schemas.microsoft.com/office/2006/metadata/properties" xmlns:ns3="d23297a4-45ec-4a79-bacf-c99cdcce0cd8" targetNamespace="http://schemas.microsoft.com/office/2006/metadata/properties" ma:root="true" ma:fieldsID="462c9d47ddfddcc0628be0c01f512624" ns3:_="">
    <xsd:import namespace="d23297a4-45ec-4a79-bacf-c99cdcce0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97a4-45ec-4a79-bacf-c99cdcce0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8143-A0DC-454F-885A-C39D71BC5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D313D-A3A4-4E76-B62E-68B5AB00DC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39624-6DAD-440A-9F0D-C9F10950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297a4-45ec-4a79-bacf-c99cdcce0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2A542-5BE0-4964-96B1-56A9676EA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Brown</dc:creator>
  <cp:keywords/>
  <dc:description/>
  <cp:lastModifiedBy>Isobel Morris</cp:lastModifiedBy>
  <cp:revision>4</cp:revision>
  <dcterms:created xsi:type="dcterms:W3CDTF">2020-09-17T16:33:00Z</dcterms:created>
  <dcterms:modified xsi:type="dcterms:W3CDTF">2020-09-17T16:41:00Z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0x010100080BE04E4361DF4CBC59676CA157A6AD</vt:lpwstr>
  </property>
</Properties>
</file>