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1A15A" w14:textId="77777777" w:rsidR="00315682" w:rsidRDefault="00315682" w:rsidP="00315682">
      <w:pPr>
        <w:jc w:val="center"/>
        <w:rPr>
          <w:rFonts w:ascii="Open Sans" w:hAnsi="Open Sans" w:cs="Open Sans"/>
          <w:b/>
          <w:bCs/>
          <w:color w:val="06926B"/>
          <w:sz w:val="32"/>
          <w:szCs w:val="32"/>
        </w:rPr>
      </w:pPr>
      <w:r>
        <w:rPr>
          <w:rFonts w:ascii="Open Sans" w:hAnsi="Open Sans" w:cs="Open Sans"/>
          <w:b/>
          <w:bCs/>
          <w:color w:val="06926B"/>
          <w:sz w:val="32"/>
          <w:szCs w:val="32"/>
        </w:rPr>
        <w:t xml:space="preserve">REA draft high-level response to ENA Flexibility consultation </w:t>
      </w:r>
    </w:p>
    <w:p w14:paraId="0EC5E497" w14:textId="06E9A62F"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Draft for member review – </w:t>
      </w:r>
      <w:r w:rsidRPr="00772B13">
        <w:rPr>
          <w:rFonts w:ascii="Open Sans" w:eastAsia="Times New Roman" w:hAnsi="Open Sans" w:cs="Helvetica"/>
          <w:color w:val="FF0000"/>
          <w:kern w:val="24"/>
          <w:sz w:val="24"/>
          <w:szCs w:val="24"/>
          <w:lang w:eastAsia="en-GB"/>
        </w:rPr>
        <w:t xml:space="preserve">comments by </w:t>
      </w:r>
      <w:r w:rsidR="00013B92">
        <w:rPr>
          <w:rFonts w:ascii="Open Sans" w:eastAsia="Times New Roman" w:hAnsi="Open Sans" w:cs="Helvetica"/>
          <w:color w:val="FF0000"/>
          <w:kern w:val="24"/>
          <w:sz w:val="24"/>
          <w:szCs w:val="24"/>
          <w:lang w:eastAsia="en-GB"/>
        </w:rPr>
        <w:t>3</w:t>
      </w:r>
      <w:r w:rsidR="00AA11AD">
        <w:rPr>
          <w:rFonts w:ascii="Open Sans" w:eastAsia="Times New Roman" w:hAnsi="Open Sans" w:cs="Helvetica"/>
          <w:color w:val="FF0000"/>
          <w:kern w:val="24"/>
          <w:sz w:val="24"/>
          <w:szCs w:val="24"/>
          <w:lang w:eastAsia="en-GB"/>
        </w:rPr>
        <w:t>pm</w:t>
      </w:r>
      <w:r w:rsidRPr="00772B13">
        <w:rPr>
          <w:rFonts w:ascii="Open Sans" w:eastAsia="Times New Roman" w:hAnsi="Open Sans" w:cs="Helvetica"/>
          <w:color w:val="FF0000"/>
          <w:kern w:val="24"/>
          <w:sz w:val="24"/>
          <w:szCs w:val="24"/>
          <w:lang w:eastAsia="en-GB"/>
        </w:rPr>
        <w:t xml:space="preserve"> on </w:t>
      </w:r>
      <w:r w:rsidR="00772B13" w:rsidRPr="00772B13">
        <w:rPr>
          <w:rFonts w:ascii="Open Sans" w:eastAsia="Times New Roman" w:hAnsi="Open Sans" w:cs="Helvetica"/>
          <w:color w:val="FF0000"/>
          <w:kern w:val="24"/>
          <w:sz w:val="24"/>
          <w:szCs w:val="24"/>
          <w:lang w:eastAsia="en-GB"/>
        </w:rPr>
        <w:t>Monday, 28</w:t>
      </w:r>
      <w:r w:rsidR="00772B13" w:rsidRPr="00772B13">
        <w:rPr>
          <w:rFonts w:ascii="Open Sans" w:eastAsia="Times New Roman" w:hAnsi="Open Sans" w:cs="Helvetica"/>
          <w:color w:val="FF0000"/>
          <w:kern w:val="24"/>
          <w:sz w:val="24"/>
          <w:szCs w:val="24"/>
          <w:vertAlign w:val="superscript"/>
          <w:lang w:eastAsia="en-GB"/>
        </w:rPr>
        <w:t>th</w:t>
      </w:r>
      <w:r w:rsidRPr="00772B13">
        <w:rPr>
          <w:rFonts w:ascii="Open Sans" w:eastAsia="Times New Roman" w:hAnsi="Open Sans" w:cs="Helvetica"/>
          <w:color w:val="FF0000"/>
          <w:kern w:val="24"/>
          <w:sz w:val="24"/>
          <w:szCs w:val="24"/>
          <w:lang w:eastAsia="en-GB"/>
        </w:rPr>
        <w:t xml:space="preserve"> September 2020</w:t>
      </w:r>
    </w:p>
    <w:p w14:paraId="28CB4258" w14:textId="0D201126" w:rsidR="00315682" w:rsidRDefault="00315682" w:rsidP="00315682">
      <w:pPr>
        <w:jc w:val="center"/>
        <w:rPr>
          <w:rFonts w:ascii="Open Sans" w:eastAsia="Times New Roman" w:hAnsi="Open Sans" w:cs="Helvetica"/>
          <w:color w:val="000000" w:themeColor="text1"/>
          <w:kern w:val="24"/>
          <w:sz w:val="24"/>
          <w:szCs w:val="24"/>
          <w:lang w:eastAsia="en-GB"/>
        </w:rPr>
      </w:pPr>
      <w:r>
        <w:rPr>
          <w:rFonts w:ascii="Open Sans" w:eastAsia="Times New Roman" w:hAnsi="Open Sans" w:cs="Helvetica"/>
          <w:color w:val="000000" w:themeColor="text1"/>
          <w:kern w:val="24"/>
          <w:sz w:val="24"/>
          <w:szCs w:val="24"/>
          <w:lang w:eastAsia="en-GB"/>
        </w:rPr>
        <w:t xml:space="preserve">Comments to </w:t>
      </w:r>
      <w:hyperlink r:id="rId8" w:history="1">
        <w:r w:rsidRPr="00FA4083">
          <w:rPr>
            <w:rStyle w:val="Hyperlink"/>
            <w:rFonts w:ascii="Open Sans" w:eastAsia="Times New Roman" w:hAnsi="Open Sans" w:cs="Helvetica"/>
            <w:kern w:val="24"/>
            <w:sz w:val="24"/>
            <w:szCs w:val="24"/>
            <w:lang w:eastAsia="en-GB"/>
          </w:rPr>
          <w:t>imorris@r-e-a.net</w:t>
        </w:r>
      </w:hyperlink>
      <w:r>
        <w:rPr>
          <w:rFonts w:ascii="Open Sans" w:eastAsia="Times New Roman" w:hAnsi="Open Sans" w:cs="Helvetica"/>
          <w:color w:val="000000" w:themeColor="text1"/>
          <w:kern w:val="24"/>
          <w:sz w:val="24"/>
          <w:szCs w:val="24"/>
          <w:lang w:eastAsia="en-GB"/>
        </w:rPr>
        <w:t xml:space="preserve"> </w:t>
      </w:r>
    </w:p>
    <w:p w14:paraId="0BD19449" w14:textId="57450B0D" w:rsidR="00315682" w:rsidRPr="00315682" w:rsidRDefault="00315682" w:rsidP="00315682">
      <w:pPr>
        <w:rPr>
          <w:rFonts w:ascii="Open Sans" w:eastAsia="Times New Roman" w:hAnsi="Open Sans" w:cs="Helvetica"/>
          <w:b/>
          <w:bCs/>
          <w:color w:val="000000" w:themeColor="text1"/>
          <w:kern w:val="24"/>
          <w:sz w:val="24"/>
          <w:szCs w:val="24"/>
          <w:lang w:eastAsia="en-GB"/>
        </w:rPr>
      </w:pPr>
      <w:r w:rsidRPr="00315682">
        <w:rPr>
          <w:rFonts w:ascii="Open Sans" w:eastAsia="Times New Roman" w:hAnsi="Open Sans" w:cs="Helvetica"/>
          <w:b/>
          <w:bCs/>
          <w:color w:val="000000" w:themeColor="text1"/>
          <w:kern w:val="24"/>
          <w:sz w:val="24"/>
          <w:szCs w:val="24"/>
          <w:lang w:eastAsia="en-GB"/>
        </w:rPr>
        <w:t>Background for members</w:t>
      </w:r>
    </w:p>
    <w:p w14:paraId="1010A6F4" w14:textId="50CB1709"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w:t>
      </w:r>
      <w:r w:rsidR="00315682" w:rsidRPr="006A6D5C">
        <w:rPr>
          <w:rFonts w:ascii="Open Sans" w:eastAsia="Times New Roman" w:hAnsi="Open Sans" w:cs="Helvetica"/>
          <w:kern w:val="24"/>
          <w:sz w:val="24"/>
          <w:szCs w:val="24"/>
          <w:lang w:eastAsia="en-GB"/>
        </w:rPr>
        <w:t>Energy Networks Association</w:t>
      </w:r>
      <w:r w:rsidRPr="006A6D5C">
        <w:rPr>
          <w:rFonts w:ascii="Open Sans" w:eastAsia="Times New Roman" w:hAnsi="Open Sans" w:cs="Helvetica"/>
          <w:kern w:val="24"/>
          <w:sz w:val="24"/>
          <w:szCs w:val="24"/>
          <w:lang w:eastAsia="en-GB"/>
        </w:rPr>
        <w:t xml:space="preserve"> has launched a major new consultation stemming from their Open Networks Project. It is proposing </w:t>
      </w:r>
      <w:proofErr w:type="gramStart"/>
      <w:r w:rsidRPr="006A6D5C">
        <w:rPr>
          <w:rFonts w:ascii="Open Sans" w:eastAsia="Times New Roman" w:hAnsi="Open Sans" w:cs="Helvetica"/>
          <w:kern w:val="24"/>
          <w:sz w:val="24"/>
          <w:szCs w:val="24"/>
          <w:lang w:eastAsia="en-GB"/>
        </w:rPr>
        <w:t>a number of</w:t>
      </w:r>
      <w:proofErr w:type="gramEnd"/>
      <w:r w:rsidRPr="006A6D5C">
        <w:rPr>
          <w:rFonts w:ascii="Open Sans" w:eastAsia="Times New Roman" w:hAnsi="Open Sans" w:cs="Helvetica"/>
          <w:kern w:val="24"/>
          <w:sz w:val="24"/>
          <w:szCs w:val="24"/>
          <w:lang w:eastAsia="en-GB"/>
        </w:rPr>
        <w:t xml:space="preserve"> new products and standardising flexibility services between network providers.</w:t>
      </w:r>
    </w:p>
    <w:p w14:paraId="1A3F9C80" w14:textId="1D1949F9"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This is a crucial consultation as it is laying the foundations of what the market will look like in the 2020’s.</w:t>
      </w:r>
    </w:p>
    <w:p w14:paraId="3C829FF0" w14:textId="77777777" w:rsidR="00772B13" w:rsidRPr="006A6D5C" w:rsidRDefault="00772B13" w:rsidP="00772B13">
      <w:pPr>
        <w:pStyle w:val="ListParagraph"/>
        <w:numPr>
          <w:ilvl w:val="0"/>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In particular, the products include:</w:t>
      </w:r>
    </w:p>
    <w:p w14:paraId="7E9F6665" w14:textId="77777777"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 a model to compare the value of network reinforcement vs going to market, </w:t>
      </w:r>
    </w:p>
    <w:p w14:paraId="56612212" w14:textId="77777777"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plans around interactions between active management and flexibility services including for greater coordination between ESO and DSOs, and </w:t>
      </w:r>
    </w:p>
    <w:p w14:paraId="6E379DD6" w14:textId="44283AB6" w:rsidR="00772B13" w:rsidRPr="006A6D5C" w:rsidRDefault="00772B13" w:rsidP="00772B13">
      <w:pPr>
        <w:pStyle w:val="ListParagraph"/>
        <w:numPr>
          <w:ilvl w:val="1"/>
          <w:numId w:val="26"/>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a proposal to release tenders in tranches twice a year.</w:t>
      </w:r>
    </w:p>
    <w:p w14:paraId="0C78E88A" w14:textId="7D995E52"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hosted a workshop with the ENA on this topic on the 22</w:t>
      </w:r>
      <w:r w:rsidRPr="006A6D5C">
        <w:rPr>
          <w:rFonts w:ascii="Open Sans" w:eastAsia="Times New Roman" w:hAnsi="Open Sans" w:cs="Helvetica"/>
          <w:kern w:val="24"/>
          <w:sz w:val="24"/>
          <w:szCs w:val="24"/>
          <w:vertAlign w:val="superscript"/>
          <w:lang w:eastAsia="en-GB"/>
        </w:rPr>
        <w:t>nd</w:t>
      </w:r>
      <w:r w:rsidRPr="006A6D5C">
        <w:rPr>
          <w:rFonts w:ascii="Open Sans" w:eastAsia="Times New Roman" w:hAnsi="Open Sans" w:cs="Helvetica"/>
          <w:kern w:val="24"/>
          <w:sz w:val="24"/>
          <w:szCs w:val="24"/>
          <w:lang w:eastAsia="en-GB"/>
        </w:rPr>
        <w:t xml:space="preserve"> September 2020.</w:t>
      </w:r>
    </w:p>
    <w:p w14:paraId="7FC4656C" w14:textId="4AC33FE8"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will not be formally replying to the consultation but, following ENA requests, will submit high-level comments on key questions that they would like input on from ourselves.</w:t>
      </w:r>
    </w:p>
    <w:p w14:paraId="098DF358" w14:textId="6753EF17"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consultation is closing on the 24</w:t>
      </w:r>
      <w:r w:rsidRPr="006A6D5C">
        <w:rPr>
          <w:rFonts w:ascii="Open Sans" w:eastAsia="Times New Roman" w:hAnsi="Open Sans" w:cs="Helvetica"/>
          <w:kern w:val="24"/>
          <w:sz w:val="24"/>
          <w:szCs w:val="24"/>
          <w:vertAlign w:val="superscript"/>
          <w:lang w:eastAsia="en-GB"/>
        </w:rPr>
        <w:t>th</w:t>
      </w:r>
      <w:r w:rsidRPr="006A6D5C">
        <w:rPr>
          <w:rFonts w:ascii="Open Sans" w:eastAsia="Times New Roman" w:hAnsi="Open Sans" w:cs="Helvetica"/>
          <w:kern w:val="24"/>
          <w:sz w:val="24"/>
          <w:szCs w:val="24"/>
          <w:lang w:eastAsia="en-GB"/>
        </w:rPr>
        <w:t xml:space="preserve"> </w:t>
      </w:r>
      <w:proofErr w:type="gramStart"/>
      <w:r w:rsidRPr="006A6D5C">
        <w:rPr>
          <w:rFonts w:ascii="Open Sans" w:eastAsia="Times New Roman" w:hAnsi="Open Sans" w:cs="Helvetica"/>
          <w:kern w:val="24"/>
          <w:sz w:val="24"/>
          <w:szCs w:val="24"/>
          <w:lang w:eastAsia="en-GB"/>
        </w:rPr>
        <w:t>September</w:t>
      </w:r>
      <w:proofErr w:type="gramEnd"/>
      <w:r w:rsidRPr="006A6D5C">
        <w:rPr>
          <w:rFonts w:ascii="Open Sans" w:eastAsia="Times New Roman" w:hAnsi="Open Sans" w:cs="Helvetica"/>
          <w:kern w:val="24"/>
          <w:sz w:val="24"/>
          <w:szCs w:val="24"/>
          <w:lang w:eastAsia="en-GB"/>
        </w:rPr>
        <w:t xml:space="preserve"> but we have secured a short exception.</w:t>
      </w:r>
    </w:p>
    <w:p w14:paraId="1A082E68" w14:textId="36FBD40F" w:rsidR="00772B13" w:rsidRPr="006A6D5C" w:rsidRDefault="00772B13"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Members have been asked to think about the following questions. Our response to the consultation (draft below) includes responses to many of these questions.</w:t>
      </w:r>
    </w:p>
    <w:p w14:paraId="4449D111"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What are barriers I am experiencing to participation in local flexibility markets?</w:t>
      </w:r>
    </w:p>
    <w:p w14:paraId="5EE6594F"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How could processes be more standardised between DNOs and National Grid?</w:t>
      </w:r>
    </w:p>
    <w:p w14:paraId="45FD0743"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What data is not being provided that would otherwise be helpful in encouraging me to participate in flexibility markets?</w:t>
      </w:r>
    </w:p>
    <w:p w14:paraId="170C6DD5"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How might the ENA more explicitly signpost where networks requirements might be?</w:t>
      </w:r>
    </w:p>
    <w:p w14:paraId="52DE4BB6"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What do I think about ENA's </w:t>
      </w:r>
      <w:hyperlink r:id="rId9" w:tgtFrame="_blank" w:history="1">
        <w:r w:rsidRPr="006A6D5C">
          <w:rPr>
            <w:rStyle w:val="Hyperlink"/>
            <w:rFonts w:ascii="Open Sans" w:eastAsia="Times New Roman" w:hAnsi="Open Sans" w:cs="Helvetica"/>
            <w:color w:val="00B0F0"/>
            <w:kern w:val="24"/>
            <w:sz w:val="24"/>
            <w:szCs w:val="24"/>
            <w:lang w:eastAsia="en-GB"/>
          </w:rPr>
          <w:t>draft methodology</w:t>
        </w:r>
      </w:hyperlink>
      <w:r w:rsidRPr="006A6D5C">
        <w:rPr>
          <w:rFonts w:ascii="Open Sans" w:eastAsia="Times New Roman" w:hAnsi="Open Sans" w:cs="Helvetica"/>
          <w:kern w:val="24"/>
          <w:sz w:val="24"/>
          <w:szCs w:val="24"/>
          <w:lang w:eastAsia="en-GB"/>
        </w:rPr>
        <w:t> for procuring flexibility vs traditional reinforcement?</w:t>
      </w:r>
    </w:p>
    <w:p w14:paraId="350B5BF6"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How many flexibility </w:t>
      </w:r>
      <w:proofErr w:type="gramStart"/>
      <w:r w:rsidRPr="006A6D5C">
        <w:rPr>
          <w:rFonts w:ascii="Open Sans" w:eastAsia="Times New Roman" w:hAnsi="Open Sans" w:cs="Helvetica"/>
          <w:kern w:val="24"/>
          <w:sz w:val="24"/>
          <w:szCs w:val="24"/>
          <w:lang w:eastAsia="en-GB"/>
        </w:rPr>
        <w:t>procurement</w:t>
      </w:r>
      <w:proofErr w:type="gramEnd"/>
      <w:r w:rsidRPr="006A6D5C">
        <w:rPr>
          <w:rFonts w:ascii="Open Sans" w:eastAsia="Times New Roman" w:hAnsi="Open Sans" w:cs="Helvetica"/>
          <w:kern w:val="24"/>
          <w:sz w:val="24"/>
          <w:szCs w:val="24"/>
          <w:lang w:eastAsia="en-GB"/>
        </w:rPr>
        <w:t xml:space="preserve"> cycles would I want per year?</w:t>
      </w:r>
    </w:p>
    <w:p w14:paraId="0FD3B3DA" w14:textId="77777777" w:rsidR="00772B13" w:rsidRPr="006A6D5C" w:rsidRDefault="00772B13" w:rsidP="00772B13">
      <w:pPr>
        <w:numPr>
          <w:ilvl w:val="0"/>
          <w:numId w:val="27"/>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Do I think Active Network Management (flexible connections) might be harming the market for flexibility procurement? How should this be balanced? </w:t>
      </w:r>
    </w:p>
    <w:p w14:paraId="7760ECEF" w14:textId="77777777" w:rsidR="00772B13" w:rsidRPr="006A6D5C" w:rsidRDefault="00772B13" w:rsidP="00315682">
      <w:pPr>
        <w:rPr>
          <w:rFonts w:ascii="Open Sans" w:eastAsia="Times New Roman" w:hAnsi="Open Sans" w:cs="Helvetica"/>
          <w:kern w:val="24"/>
          <w:sz w:val="24"/>
          <w:szCs w:val="24"/>
          <w:lang w:eastAsia="en-GB"/>
        </w:rPr>
      </w:pPr>
    </w:p>
    <w:p w14:paraId="2189CFBB" w14:textId="6E0B9573" w:rsidR="00315682" w:rsidRPr="006A6D5C" w:rsidRDefault="00772B13" w:rsidP="00315682">
      <w:pPr>
        <w:rPr>
          <w:rFonts w:ascii="Open Sans" w:hAnsi="Open Sans" w:cs="Open Sans"/>
          <w:b/>
          <w:bCs/>
          <w:sz w:val="32"/>
          <w:szCs w:val="32"/>
        </w:rPr>
      </w:pPr>
      <w:r w:rsidRPr="006A6D5C">
        <w:rPr>
          <w:rFonts w:ascii="Open Sans" w:hAnsi="Open Sans" w:cs="Open Sans"/>
          <w:b/>
          <w:bCs/>
          <w:color w:val="06926B"/>
          <w:sz w:val="32"/>
          <w:szCs w:val="32"/>
        </w:rPr>
        <w:t>REA draft consultation response</w:t>
      </w:r>
    </w:p>
    <w:p w14:paraId="25E90ADD" w14:textId="5CC60CBA" w:rsidR="00772B13" w:rsidRPr="006A6D5C" w:rsidRDefault="00721665" w:rsidP="008933DD">
      <w:pPr>
        <w:rPr>
          <w:rFonts w:ascii="Open Sans" w:hAnsi="Open Sans" w:cs="Open Sans"/>
          <w:b/>
          <w:bCs/>
          <w:sz w:val="24"/>
          <w:szCs w:val="24"/>
        </w:rPr>
      </w:pPr>
      <w:r w:rsidRPr="006A6D5C">
        <w:rPr>
          <w:rFonts w:ascii="Open Sans" w:hAnsi="Open Sans" w:cs="Open Sans"/>
          <w:b/>
          <w:bCs/>
          <w:sz w:val="24"/>
          <w:szCs w:val="24"/>
        </w:rPr>
        <w:t xml:space="preserve">Are there barriers preventing customers with assets with Flexible Connections (ANM) providing flexibility services to the ESO or DSO today? </w:t>
      </w:r>
    </w:p>
    <w:p w14:paraId="716D1F44" w14:textId="7D5D9D34" w:rsidR="00DE65F7" w:rsidRPr="006A6D5C" w:rsidRDefault="00B831D8"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REA welcomes the ENA’s leadership in developing these products and launching this consultation. Overall, we see it as a positive step towards our ambition of a smart, flexible, and affordable power system with high degrees of renewable power integration.  </w:t>
      </w:r>
    </w:p>
    <w:p w14:paraId="21CA393A" w14:textId="4C5BE5B4"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REA members are concerned that there is not a route to market for longer duration electricity storage. </w:t>
      </w:r>
      <w:r w:rsidR="00B831D8" w:rsidRPr="006A6D5C">
        <w:rPr>
          <w:rFonts w:ascii="Open Sans" w:eastAsia="Times New Roman" w:hAnsi="Open Sans" w:cs="Helvetica"/>
          <w:kern w:val="24"/>
          <w:sz w:val="24"/>
          <w:szCs w:val="24"/>
          <w:lang w:eastAsia="en-GB"/>
        </w:rPr>
        <w:t>Flexibility</w:t>
      </w:r>
      <w:r w:rsidRPr="006A6D5C">
        <w:rPr>
          <w:rFonts w:ascii="Open Sans" w:eastAsia="Times New Roman" w:hAnsi="Open Sans" w:cs="Helvetica"/>
          <w:kern w:val="24"/>
          <w:sz w:val="24"/>
          <w:szCs w:val="24"/>
          <w:lang w:eastAsia="en-GB"/>
        </w:rPr>
        <w:t xml:space="preserve"> markets and system design are helpful for batteries and other forms of shorter-duration storage</w:t>
      </w:r>
      <w:r w:rsidR="00B831D8" w:rsidRPr="006A6D5C">
        <w:rPr>
          <w:rFonts w:ascii="Open Sans" w:eastAsia="Times New Roman" w:hAnsi="Open Sans" w:cs="Helvetica"/>
          <w:kern w:val="24"/>
          <w:sz w:val="24"/>
          <w:szCs w:val="24"/>
          <w:lang w:eastAsia="en-GB"/>
        </w:rPr>
        <w:t xml:space="preserve">, </w:t>
      </w:r>
      <w:r w:rsidRPr="006A6D5C">
        <w:rPr>
          <w:rFonts w:ascii="Open Sans" w:eastAsia="Times New Roman" w:hAnsi="Open Sans" w:cs="Helvetica"/>
          <w:kern w:val="24"/>
          <w:sz w:val="24"/>
          <w:szCs w:val="24"/>
          <w:lang w:eastAsia="en-GB"/>
        </w:rPr>
        <w:t xml:space="preserve">but some tenders should be set up to reflect the value that longer-duration storage brings to the electricity system. </w:t>
      </w:r>
      <w:r w:rsidR="000E7558" w:rsidRPr="006A6D5C">
        <w:rPr>
          <w:rFonts w:ascii="Open Sans" w:eastAsia="Times New Roman" w:hAnsi="Open Sans" w:cs="Helvetica"/>
          <w:kern w:val="24"/>
          <w:sz w:val="24"/>
          <w:szCs w:val="24"/>
          <w:lang w:eastAsia="en-GB"/>
        </w:rPr>
        <w:t>Under the current market system, there is a lack of monetisation of the value storage creates by avoiding renewables curtailment. There is also a need to integrate an understanding of the different technology characteristics into modelling to properly assess parameters for the viability of delivery.</w:t>
      </w:r>
    </w:p>
    <w:p w14:paraId="6A35C0EA" w14:textId="4A94563D"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One example if this barrier is for notice periods - if DNOs are only bidding one year ahead then they are only allowing projects that can get planning permission and build in a year.</w:t>
      </w:r>
    </w:p>
    <w:p w14:paraId="273EDF3E" w14:textId="595AFAD1" w:rsidR="00772B13" w:rsidRPr="006A6D5C" w:rsidRDefault="00772B13"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Standard flexibility tenders could be set up in three tranches, with some being run more often than others. These include:</w:t>
      </w:r>
    </w:p>
    <w:p w14:paraId="1254FEBE" w14:textId="000A5AE5"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Shorter-term tenders particularly targeting behind the meter flexibility (e.g. from domestic batteries and smart EV charging)</w:t>
      </w:r>
      <w:r w:rsidR="00BC1D2A" w:rsidRPr="006A6D5C">
        <w:rPr>
          <w:rFonts w:ascii="Open Sans" w:eastAsia="Times New Roman" w:hAnsi="Open Sans" w:cs="Helvetica"/>
          <w:kern w:val="24"/>
          <w:sz w:val="24"/>
          <w:szCs w:val="24"/>
          <w:lang w:eastAsia="en-GB"/>
        </w:rPr>
        <w:t xml:space="preserve">. This could be as short as day-ahead flexibility procurement. </w:t>
      </w:r>
    </w:p>
    <w:p w14:paraId="274D9359" w14:textId="5D9F3ACF"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Medium-term tenders for technologies such as grid-connected battery storage</w:t>
      </w:r>
    </w:p>
    <w:p w14:paraId="10E8F637" w14:textId="4477CE30" w:rsidR="00772B13" w:rsidRPr="006A6D5C" w:rsidRDefault="00772B13" w:rsidP="00772B13">
      <w:pPr>
        <w:pStyle w:val="ListParagraph"/>
        <w:numPr>
          <w:ilvl w:val="0"/>
          <w:numId w:val="28"/>
        </w:num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Longer-term tenders for longer-duration storage,</w:t>
      </w:r>
      <w:r w:rsidR="00EE0E58" w:rsidRPr="006A6D5C">
        <w:rPr>
          <w:rFonts w:ascii="Open Sans" w:eastAsia="Times New Roman" w:hAnsi="Open Sans" w:cs="Helvetica"/>
          <w:kern w:val="24"/>
          <w:sz w:val="24"/>
          <w:szCs w:val="24"/>
          <w:lang w:eastAsia="en-GB"/>
        </w:rPr>
        <w:t xml:space="preserve"> which take more time to be deployed</w:t>
      </w:r>
      <w:r w:rsidR="00DE65F7" w:rsidRPr="006A6D5C">
        <w:rPr>
          <w:rFonts w:ascii="Open Sans" w:eastAsia="Times New Roman" w:hAnsi="Open Sans" w:cs="Helvetica"/>
          <w:kern w:val="24"/>
          <w:sz w:val="24"/>
          <w:szCs w:val="24"/>
          <w:lang w:eastAsia="en-GB"/>
        </w:rPr>
        <w:t xml:space="preserve"> and is capital intensive</w:t>
      </w:r>
      <w:r w:rsidR="00EE0E58" w:rsidRPr="006A6D5C">
        <w:rPr>
          <w:rFonts w:ascii="Open Sans" w:eastAsia="Times New Roman" w:hAnsi="Open Sans" w:cs="Helvetica"/>
          <w:kern w:val="24"/>
          <w:sz w:val="24"/>
          <w:szCs w:val="24"/>
          <w:lang w:eastAsia="en-GB"/>
        </w:rPr>
        <w:t>,</w:t>
      </w:r>
      <w:r w:rsidRPr="006A6D5C">
        <w:rPr>
          <w:rFonts w:ascii="Open Sans" w:eastAsia="Times New Roman" w:hAnsi="Open Sans" w:cs="Helvetica"/>
          <w:kern w:val="24"/>
          <w:sz w:val="24"/>
          <w:szCs w:val="24"/>
          <w:lang w:eastAsia="en-GB"/>
        </w:rPr>
        <w:t xml:space="preserve"> for example compressed air energy storage</w:t>
      </w:r>
    </w:p>
    <w:p w14:paraId="482652A4" w14:textId="2774C1DC" w:rsidR="00BC1D2A" w:rsidRPr="006A6D5C" w:rsidRDefault="00BC1D2A" w:rsidP="00315682">
      <w:pPr>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 xml:space="preserve">Organising contracts in such a manner would assist with managing the balance between tenders being used to provide revenue streams for existing assets vs supporting the construction of new assets. </w:t>
      </w:r>
    </w:p>
    <w:p w14:paraId="453DEB3D" w14:textId="77777777" w:rsidR="00B831D8" w:rsidRPr="006A6D5C" w:rsidRDefault="00B831D8" w:rsidP="00315682">
      <w:pPr>
        <w:rPr>
          <w:rFonts w:ascii="Open Sans" w:eastAsia="Times New Roman" w:hAnsi="Open Sans" w:cs="Helvetica"/>
          <w:kern w:val="24"/>
          <w:sz w:val="24"/>
          <w:szCs w:val="24"/>
          <w:lang w:eastAsia="en-GB"/>
        </w:rPr>
      </w:pPr>
    </w:p>
    <w:p w14:paraId="2AA8C5A5" w14:textId="30B1EEA3" w:rsidR="00EE0E58" w:rsidRPr="006A6D5C" w:rsidRDefault="00EE0E58"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How could processes be more standardised between DNOs and National Grid?</w:t>
      </w:r>
    </w:p>
    <w:p w14:paraId="066EE2CA" w14:textId="258F09E3" w:rsidR="00EE0E58" w:rsidRPr="006A6D5C" w:rsidRDefault="00EE0E58"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 REA notes that the barrier to entry in these markets is still high in that only individuals with direct experience of bidding for flexibility markets previously </w:t>
      </w:r>
      <w:proofErr w:type="gramStart"/>
      <w:r w:rsidRPr="006A6D5C">
        <w:rPr>
          <w:rFonts w:ascii="Open Sans" w:eastAsia="Times New Roman" w:hAnsi="Open Sans" w:cs="Helvetica"/>
          <w:kern w:val="24"/>
          <w:sz w:val="24"/>
          <w:szCs w:val="24"/>
          <w:lang w:eastAsia="en-GB"/>
        </w:rPr>
        <w:t>are able to</w:t>
      </w:r>
      <w:proofErr w:type="gramEnd"/>
      <w:r w:rsidRPr="006A6D5C">
        <w:rPr>
          <w:rFonts w:ascii="Open Sans" w:eastAsia="Times New Roman" w:hAnsi="Open Sans" w:cs="Helvetica"/>
          <w:kern w:val="24"/>
          <w:sz w:val="24"/>
          <w:szCs w:val="24"/>
          <w:lang w:eastAsia="en-GB"/>
        </w:rPr>
        <w:t xml:space="preserve"> engage with many of the products. Standardisation can reduce this barrier, particular as there are individual processes in place for different flexibility tenders. </w:t>
      </w:r>
      <w:r w:rsidR="00B831D8" w:rsidRPr="006A6D5C">
        <w:rPr>
          <w:rFonts w:ascii="Open Sans" w:eastAsia="Times New Roman" w:hAnsi="Open Sans" w:cs="Helvetica"/>
          <w:kern w:val="24"/>
          <w:sz w:val="24"/>
          <w:szCs w:val="24"/>
          <w:lang w:eastAsia="en-GB"/>
        </w:rPr>
        <w:t>We would also welcome training for professionals in this space</w:t>
      </w:r>
      <w:r w:rsidR="000E7558" w:rsidRPr="006A6D5C">
        <w:rPr>
          <w:rFonts w:ascii="Open Sans" w:eastAsia="Times New Roman" w:hAnsi="Open Sans" w:cs="Helvetica"/>
          <w:kern w:val="24"/>
          <w:sz w:val="24"/>
          <w:szCs w:val="24"/>
          <w:lang w:eastAsia="en-GB"/>
        </w:rPr>
        <w:t xml:space="preserve"> and a greater focus on proactive notification for the wider industry of reform workstreams and proposals to maximise dialogue between different parts of the market</w:t>
      </w:r>
      <w:r w:rsidR="00EC6D69" w:rsidRPr="006A6D5C">
        <w:rPr>
          <w:rFonts w:eastAsia="Times New Roman"/>
        </w:rPr>
        <w:t xml:space="preserve"> </w:t>
      </w:r>
      <w:r w:rsidR="00EC6D69" w:rsidRPr="006A6D5C">
        <w:rPr>
          <w:rFonts w:ascii="Open Sans" w:eastAsia="Times New Roman" w:hAnsi="Open Sans" w:cs="Open Sans"/>
          <w:sz w:val="24"/>
          <w:szCs w:val="24"/>
        </w:rPr>
        <w:t xml:space="preserve">For relatively new technologies such as  storage, there is </w:t>
      </w:r>
      <w:r w:rsidR="00EC6D69" w:rsidRPr="006A6D5C">
        <w:rPr>
          <w:rFonts w:ascii="Open Sans" w:eastAsia="Times New Roman" w:hAnsi="Open Sans" w:cs="Open Sans"/>
          <w:sz w:val="24"/>
          <w:szCs w:val="24"/>
        </w:rPr>
        <w:t>a need for storage representation in relevant committees e.g. CUSC, STC</w:t>
      </w:r>
      <w:r w:rsidR="00EC6D69" w:rsidRPr="006A6D5C">
        <w:rPr>
          <w:rFonts w:ascii="Open Sans" w:eastAsia="Times New Roman" w:hAnsi="Open Sans" w:cs="Open Sans"/>
          <w:sz w:val="24"/>
          <w:szCs w:val="24"/>
        </w:rPr>
        <w:t>.</w:t>
      </w:r>
    </w:p>
    <w:p w14:paraId="627370F2" w14:textId="01C0D254"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7F4B989F" w14:textId="16350E9D"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What data is not being provided that would otherwise be helpful in encouraging </w:t>
      </w:r>
      <w:r w:rsidR="00B831D8" w:rsidRPr="006A6D5C">
        <w:rPr>
          <w:rFonts w:ascii="Open Sans" w:eastAsia="Times New Roman" w:hAnsi="Open Sans" w:cs="Helvetica"/>
          <w:b/>
          <w:bCs/>
          <w:kern w:val="24"/>
          <w:sz w:val="24"/>
          <w:szCs w:val="24"/>
          <w:lang w:eastAsia="en-GB"/>
        </w:rPr>
        <w:t>organisations</w:t>
      </w:r>
      <w:r w:rsidRPr="006A6D5C">
        <w:rPr>
          <w:rFonts w:ascii="Open Sans" w:eastAsia="Times New Roman" w:hAnsi="Open Sans" w:cs="Helvetica"/>
          <w:b/>
          <w:bCs/>
          <w:kern w:val="24"/>
          <w:sz w:val="24"/>
          <w:szCs w:val="24"/>
          <w:lang w:eastAsia="en-GB"/>
        </w:rPr>
        <w:t xml:space="preserve"> to participate in flexibility markets?</w:t>
      </w:r>
    </w:p>
    <w:p w14:paraId="122B1A21" w14:textId="1D75DE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4DE43E0E" w14:textId="08FB602F"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REA members would like to see greater use of guide prices, which can inform their decisions around whether their projects or assets would qualify.</w:t>
      </w:r>
    </w:p>
    <w:p w14:paraId="171E3449" w14:textId="67D54E0D" w:rsidR="00BC1D2A" w:rsidRPr="006A6D5C" w:rsidRDefault="00BC1D2A" w:rsidP="00043D05">
      <w:pPr>
        <w:tabs>
          <w:tab w:val="left" w:pos="720"/>
        </w:tabs>
        <w:spacing w:after="0" w:line="300" w:lineRule="auto"/>
        <w:rPr>
          <w:rFonts w:ascii="Open Sans" w:eastAsia="Times New Roman" w:hAnsi="Open Sans" w:cs="Helvetica"/>
          <w:b/>
          <w:bCs/>
          <w:kern w:val="24"/>
          <w:sz w:val="24"/>
          <w:szCs w:val="24"/>
          <w:lang w:eastAsia="en-GB"/>
        </w:rPr>
      </w:pPr>
    </w:p>
    <w:p w14:paraId="4586AA2B" w14:textId="6D7915D2" w:rsidR="000E7558" w:rsidRPr="006A6D5C" w:rsidRDefault="000E7558" w:rsidP="006A6D5C">
      <w:pPr>
        <w:spacing w:after="0" w:line="240" w:lineRule="auto"/>
        <w:rPr>
          <w:rFonts w:ascii="Open Sans" w:hAnsi="Open Sans" w:cs="Open Sans"/>
          <w:sz w:val="24"/>
          <w:szCs w:val="24"/>
        </w:rPr>
      </w:pPr>
      <w:r w:rsidRPr="006A6D5C">
        <w:rPr>
          <w:rFonts w:ascii="Open Sans" w:hAnsi="Open Sans" w:cs="Open Sans"/>
          <w:sz w:val="24"/>
          <w:szCs w:val="24"/>
        </w:rPr>
        <w:t>For instance, En</w:t>
      </w:r>
      <w:r w:rsidRPr="006A6D5C">
        <w:rPr>
          <w:rFonts w:ascii="Open Sans" w:hAnsi="Open Sans" w:cs="Open Sans"/>
          <w:sz w:val="24"/>
          <w:szCs w:val="24"/>
        </w:rPr>
        <w:t>ergy Storage projects can solve multiple issues, for example:</w:t>
      </w:r>
    </w:p>
    <w:p w14:paraId="5A3B1121"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Provide peak capacity and defer reinforcement</w:t>
      </w:r>
    </w:p>
    <w:p w14:paraId="270D1334"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Accommodate more renewables by avoiding curtailment </w:t>
      </w:r>
    </w:p>
    <w:p w14:paraId="3BA6812A"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Reduce overall CO2 emissions by serving peak demand using low carbon energy</w:t>
      </w:r>
    </w:p>
    <w:p w14:paraId="7DB608D6"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Avoid constraint payments by avoiding renewable curtailment</w:t>
      </w:r>
    </w:p>
    <w:p w14:paraId="4B7DFF1D"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Solve voltage issues </w:t>
      </w:r>
    </w:p>
    <w:p w14:paraId="3BB0E1AA"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Provide security of supply</w:t>
      </w:r>
    </w:p>
    <w:p w14:paraId="0BCE0057"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Network charges of systems providing flexibility services</w:t>
      </w:r>
    </w:p>
    <w:p w14:paraId="78EFCB50" w14:textId="391E1B28"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Business rates for systems providing flexibility services to level the playing field with DNOs</w:t>
      </w:r>
    </w:p>
    <w:p w14:paraId="2257C7BB" w14:textId="77777777" w:rsidR="000E7558" w:rsidRPr="006A6D5C" w:rsidRDefault="000E7558" w:rsidP="006A6D5C">
      <w:pPr>
        <w:pStyle w:val="ListParagraph"/>
        <w:numPr>
          <w:ilvl w:val="1"/>
          <w:numId w:val="33"/>
        </w:numPr>
        <w:spacing w:after="0" w:line="240" w:lineRule="auto"/>
        <w:ind w:left="1080"/>
        <w:contextualSpacing w:val="0"/>
        <w:rPr>
          <w:rFonts w:ascii="Open Sans" w:hAnsi="Open Sans" w:cs="Open Sans"/>
          <w:sz w:val="24"/>
          <w:szCs w:val="24"/>
        </w:rPr>
      </w:pPr>
      <w:r w:rsidRPr="006A6D5C">
        <w:rPr>
          <w:rFonts w:ascii="Open Sans" w:hAnsi="Open Sans" w:cs="Open Sans"/>
          <w:sz w:val="24"/>
          <w:szCs w:val="24"/>
        </w:rPr>
        <w:t xml:space="preserve">Rates at which curtailed energy will be charged (if applicable) to a storage provider. </w:t>
      </w:r>
    </w:p>
    <w:p w14:paraId="1C961A97" w14:textId="77777777" w:rsidR="000E7558" w:rsidRPr="006A6D5C" w:rsidRDefault="000E7558" w:rsidP="006A6D5C">
      <w:pPr>
        <w:pStyle w:val="ListParagraph"/>
        <w:ind w:left="1080"/>
        <w:rPr>
          <w:rFonts w:ascii="Open Sans" w:hAnsi="Open Sans" w:cs="Open Sans"/>
          <w:sz w:val="24"/>
          <w:szCs w:val="24"/>
        </w:rPr>
      </w:pPr>
    </w:p>
    <w:p w14:paraId="61A0F7F3" w14:textId="6A5326D1" w:rsidR="000E7558" w:rsidRPr="006A6D5C" w:rsidRDefault="000E7558" w:rsidP="000E7558">
      <w:pPr>
        <w:rPr>
          <w:rFonts w:ascii="Open Sans" w:hAnsi="Open Sans" w:cs="Open Sans"/>
          <w:sz w:val="24"/>
          <w:szCs w:val="24"/>
        </w:rPr>
      </w:pPr>
      <w:r w:rsidRPr="006A6D5C">
        <w:rPr>
          <w:rFonts w:ascii="Open Sans" w:hAnsi="Open Sans" w:cs="Open Sans"/>
          <w:sz w:val="24"/>
          <w:szCs w:val="24"/>
        </w:rPr>
        <w:t xml:space="preserve">Currently there is a lack of information related to all points except for that related to point 1, hindering the business case of storage. </w:t>
      </w:r>
    </w:p>
    <w:p w14:paraId="775515AB" w14:textId="77777777" w:rsidR="000E7558" w:rsidRPr="006A6D5C" w:rsidRDefault="000E7558" w:rsidP="000E7558">
      <w:pPr>
        <w:rPr>
          <w:rFonts w:ascii="Open Sans" w:hAnsi="Open Sans" w:cs="Open Sans"/>
          <w:sz w:val="24"/>
          <w:szCs w:val="24"/>
        </w:rPr>
      </w:pPr>
      <w:r w:rsidRPr="006A6D5C">
        <w:rPr>
          <w:rFonts w:ascii="Open Sans" w:hAnsi="Open Sans" w:cs="Open Sans"/>
          <w:sz w:val="24"/>
          <w:szCs w:val="24"/>
        </w:rPr>
        <w:lastRenderedPageBreak/>
        <w:t xml:space="preserve">For a storage project to be attractive and having to rely on short term contracts there is a need to monetise </w:t>
      </w:r>
      <w:r w:rsidRPr="006A6D5C">
        <w:rPr>
          <w:rFonts w:ascii="Open Sans" w:hAnsi="Open Sans" w:cs="Open Sans"/>
          <w:sz w:val="24"/>
          <w:szCs w:val="24"/>
          <w:u w:val="single"/>
        </w:rPr>
        <w:t>all</w:t>
      </w:r>
      <w:r w:rsidRPr="006A6D5C">
        <w:rPr>
          <w:rFonts w:ascii="Open Sans" w:hAnsi="Open Sans" w:cs="Open Sans"/>
          <w:sz w:val="24"/>
          <w:szCs w:val="24"/>
        </w:rPr>
        <w:t xml:space="preserve"> value created and to have a clear view of costs to be faced. </w:t>
      </w:r>
    </w:p>
    <w:p w14:paraId="7D203EE2" w14:textId="77777777" w:rsidR="000E7558" w:rsidRPr="006A6D5C" w:rsidRDefault="000E7558" w:rsidP="00043D05">
      <w:pPr>
        <w:tabs>
          <w:tab w:val="left" w:pos="720"/>
        </w:tabs>
        <w:spacing w:after="0" w:line="300" w:lineRule="auto"/>
        <w:rPr>
          <w:rFonts w:ascii="Open Sans" w:eastAsia="Times New Roman" w:hAnsi="Open Sans" w:cs="Helvetica"/>
          <w:b/>
          <w:bCs/>
          <w:kern w:val="24"/>
          <w:sz w:val="24"/>
          <w:szCs w:val="24"/>
          <w:lang w:eastAsia="en-GB"/>
        </w:rPr>
      </w:pPr>
    </w:p>
    <w:p w14:paraId="3963C67C" w14:textId="7B7B21F4" w:rsidR="00043D05" w:rsidRPr="006A6D5C" w:rsidRDefault="00043D05" w:rsidP="00043D05">
      <w:pPr>
        <w:tabs>
          <w:tab w:val="left" w:pos="720"/>
        </w:tabs>
        <w:spacing w:after="0" w:line="300" w:lineRule="auto"/>
        <w:rPr>
          <w:rFonts w:ascii="Open Sans" w:eastAsia="Times New Roman" w:hAnsi="Open Sans" w:cs="Helvetica"/>
          <w:i/>
          <w:iCs/>
          <w:kern w:val="24"/>
          <w:sz w:val="24"/>
          <w:szCs w:val="24"/>
          <w:lang w:eastAsia="en-GB"/>
        </w:rPr>
      </w:pPr>
      <w:r w:rsidRPr="006A6D5C">
        <w:rPr>
          <w:rFonts w:ascii="Open Sans" w:eastAsia="Times New Roman" w:hAnsi="Open Sans" w:cs="Helvetica"/>
          <w:i/>
          <w:iCs/>
          <w:kern w:val="24"/>
          <w:sz w:val="24"/>
          <w:szCs w:val="24"/>
          <w:lang w:eastAsia="en-GB"/>
        </w:rPr>
        <w:t xml:space="preserve">Member input </w:t>
      </w:r>
      <w:r w:rsidR="000E7558" w:rsidRPr="006A6D5C">
        <w:rPr>
          <w:rFonts w:ascii="Open Sans" w:eastAsia="Times New Roman" w:hAnsi="Open Sans" w:cs="Helvetica"/>
          <w:i/>
          <w:iCs/>
          <w:kern w:val="24"/>
          <w:sz w:val="24"/>
          <w:szCs w:val="24"/>
          <w:lang w:eastAsia="en-GB"/>
        </w:rPr>
        <w:t xml:space="preserve">(including from other technology perspectives) </w:t>
      </w:r>
      <w:r w:rsidRPr="006A6D5C">
        <w:rPr>
          <w:rFonts w:ascii="Open Sans" w:eastAsia="Times New Roman" w:hAnsi="Open Sans" w:cs="Helvetica"/>
          <w:i/>
          <w:iCs/>
          <w:kern w:val="24"/>
          <w:sz w:val="24"/>
          <w:szCs w:val="24"/>
          <w:lang w:eastAsia="en-GB"/>
        </w:rPr>
        <w:t>welcome in this section</w:t>
      </w:r>
      <w:r w:rsidR="000E7558" w:rsidRPr="006A6D5C">
        <w:rPr>
          <w:rFonts w:ascii="Open Sans" w:eastAsia="Times New Roman" w:hAnsi="Open Sans" w:cs="Helvetica"/>
          <w:i/>
          <w:iCs/>
          <w:kern w:val="24"/>
          <w:sz w:val="24"/>
          <w:szCs w:val="24"/>
          <w:lang w:eastAsia="en-GB"/>
        </w:rPr>
        <w:t>.</w:t>
      </w:r>
    </w:p>
    <w:p w14:paraId="5B7AE72B"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1A961BF6"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How might the ENA more explicitly signpost where networks requirements might be?</w:t>
      </w:r>
    </w:p>
    <w:p w14:paraId="0BBB7A25" w14:textId="06E3EC84"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1A39944E" w14:textId="7A324F10" w:rsidR="000E7558" w:rsidRPr="006A6D5C" w:rsidRDefault="000E7558" w:rsidP="000E7558">
      <w:pPr>
        <w:spacing w:after="0" w:line="240" w:lineRule="auto"/>
        <w:rPr>
          <w:rFonts w:ascii="Open Sans" w:hAnsi="Open Sans" w:cs="Open Sans"/>
          <w:sz w:val="24"/>
          <w:szCs w:val="24"/>
        </w:rPr>
      </w:pPr>
      <w:r w:rsidRPr="006A6D5C">
        <w:rPr>
          <w:rFonts w:ascii="Open Sans" w:hAnsi="Open Sans" w:cs="Open Sans"/>
          <w:sz w:val="24"/>
          <w:szCs w:val="24"/>
        </w:rPr>
        <w:t xml:space="preserve">There is a </w:t>
      </w:r>
      <w:r w:rsidRPr="006A6D5C">
        <w:rPr>
          <w:rFonts w:ascii="Open Sans" w:hAnsi="Open Sans" w:cs="Open Sans"/>
          <w:sz w:val="24"/>
          <w:szCs w:val="24"/>
        </w:rPr>
        <w:t xml:space="preserve">desire and </w:t>
      </w:r>
      <w:r w:rsidRPr="006A6D5C">
        <w:rPr>
          <w:rFonts w:ascii="Open Sans" w:hAnsi="Open Sans" w:cs="Open Sans"/>
          <w:sz w:val="24"/>
          <w:szCs w:val="24"/>
        </w:rPr>
        <w:t>need for a</w:t>
      </w:r>
      <w:r w:rsidRPr="006A6D5C">
        <w:rPr>
          <w:rFonts w:ascii="Open Sans" w:hAnsi="Open Sans" w:cs="Open Sans"/>
          <w:sz w:val="24"/>
          <w:szCs w:val="24"/>
        </w:rPr>
        <w:t>n</w:t>
      </w:r>
      <w:r w:rsidRPr="006A6D5C">
        <w:rPr>
          <w:rFonts w:ascii="Open Sans" w:hAnsi="Open Sans" w:cs="Open Sans"/>
          <w:sz w:val="24"/>
          <w:szCs w:val="24"/>
        </w:rPr>
        <w:t xml:space="preserve"> NOA approach looking at the system as a whole and integrating transmission and distribution networks. </w:t>
      </w:r>
      <w:r w:rsidRPr="006A6D5C">
        <w:rPr>
          <w:rFonts w:ascii="Open Sans" w:hAnsi="Open Sans" w:cs="Open Sans"/>
          <w:sz w:val="24"/>
          <w:szCs w:val="24"/>
        </w:rPr>
        <w:t>Like</w:t>
      </w:r>
      <w:r w:rsidRPr="006A6D5C">
        <w:rPr>
          <w:rFonts w:ascii="Open Sans" w:hAnsi="Open Sans" w:cs="Open Sans"/>
          <w:sz w:val="24"/>
          <w:szCs w:val="24"/>
        </w:rPr>
        <w:t xml:space="preserve"> pathfinder projects</w:t>
      </w:r>
      <w:r w:rsidRPr="006A6D5C">
        <w:rPr>
          <w:rFonts w:ascii="Open Sans" w:hAnsi="Open Sans" w:cs="Open Sans"/>
          <w:sz w:val="24"/>
          <w:szCs w:val="24"/>
        </w:rPr>
        <w:t>,</w:t>
      </w:r>
      <w:r w:rsidRPr="006A6D5C">
        <w:rPr>
          <w:rFonts w:ascii="Open Sans" w:hAnsi="Open Sans" w:cs="Open Sans"/>
          <w:sz w:val="24"/>
          <w:szCs w:val="24"/>
        </w:rPr>
        <w:t xml:space="preserve"> there is a need for a map at substation level identifying places where capacity, curtailment, voltage issues will emerge. </w:t>
      </w:r>
      <w:r w:rsidRPr="006A6D5C">
        <w:rPr>
          <w:rFonts w:ascii="Open Sans" w:hAnsi="Open Sans" w:cs="Open Sans"/>
          <w:sz w:val="24"/>
          <w:szCs w:val="24"/>
        </w:rPr>
        <w:t>It is also important</w:t>
      </w:r>
      <w:r w:rsidRPr="006A6D5C">
        <w:rPr>
          <w:rFonts w:ascii="Open Sans" w:hAnsi="Open Sans" w:cs="Open Sans"/>
          <w:sz w:val="24"/>
          <w:szCs w:val="24"/>
        </w:rPr>
        <w:t xml:space="preserve"> to accelerate the Blackstar programme and integrate this into a holistic needs map. </w:t>
      </w:r>
    </w:p>
    <w:p w14:paraId="583BA846" w14:textId="77777777" w:rsidR="000E7558" w:rsidRPr="006A6D5C" w:rsidRDefault="000E7558" w:rsidP="006A6D5C">
      <w:pPr>
        <w:spacing w:after="0" w:line="240" w:lineRule="auto"/>
      </w:pPr>
    </w:p>
    <w:p w14:paraId="70F545BD" w14:textId="158292E9" w:rsidR="00043D05" w:rsidRPr="006A6D5C" w:rsidRDefault="00043D05" w:rsidP="00043D05">
      <w:pPr>
        <w:tabs>
          <w:tab w:val="left" w:pos="720"/>
        </w:tabs>
        <w:spacing w:after="0" w:line="300" w:lineRule="auto"/>
        <w:rPr>
          <w:rFonts w:ascii="Open Sans" w:eastAsia="Times New Roman" w:hAnsi="Open Sans" w:cs="Helvetica"/>
          <w:i/>
          <w:iCs/>
          <w:kern w:val="24"/>
          <w:sz w:val="24"/>
          <w:szCs w:val="24"/>
          <w:lang w:eastAsia="en-GB"/>
        </w:rPr>
      </w:pPr>
      <w:r w:rsidRPr="006A6D5C">
        <w:rPr>
          <w:rFonts w:ascii="Open Sans" w:eastAsia="Times New Roman" w:hAnsi="Open Sans" w:cs="Helvetica"/>
          <w:i/>
          <w:iCs/>
          <w:kern w:val="24"/>
          <w:sz w:val="24"/>
          <w:szCs w:val="24"/>
          <w:lang w:eastAsia="en-GB"/>
        </w:rPr>
        <w:t>Member input welcome in this section.</w:t>
      </w:r>
    </w:p>
    <w:p w14:paraId="6BE1F758"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p>
    <w:p w14:paraId="5D518EE5" w14:textId="663CB6C3" w:rsidR="00043D05" w:rsidRPr="006A6D5C" w:rsidRDefault="00B831D8"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What does the market think about the</w:t>
      </w:r>
      <w:r w:rsidR="00043D05" w:rsidRPr="006A6D5C">
        <w:rPr>
          <w:rFonts w:ascii="Open Sans" w:eastAsia="Times New Roman" w:hAnsi="Open Sans" w:cs="Helvetica"/>
          <w:b/>
          <w:bCs/>
          <w:kern w:val="24"/>
          <w:sz w:val="24"/>
          <w:szCs w:val="24"/>
          <w:lang w:eastAsia="en-GB"/>
        </w:rPr>
        <w:t xml:space="preserve"> ENA's draft methodology for procuring flexibility vs traditional reinforcement?</w:t>
      </w:r>
    </w:p>
    <w:p w14:paraId="51ADA1FA" w14:textId="77777777" w:rsidR="00043D05" w:rsidRPr="006A6D5C" w:rsidRDefault="00043D05" w:rsidP="00B831D8">
      <w:pPr>
        <w:tabs>
          <w:tab w:val="left" w:pos="720"/>
        </w:tabs>
        <w:spacing w:after="0" w:line="300" w:lineRule="auto"/>
        <w:rPr>
          <w:rFonts w:ascii="Open Sans" w:eastAsia="Times New Roman" w:hAnsi="Open Sans" w:cs="Helvetica"/>
          <w:kern w:val="24"/>
          <w:sz w:val="24"/>
          <w:szCs w:val="24"/>
          <w:lang w:eastAsia="en-GB"/>
        </w:rPr>
      </w:pPr>
    </w:p>
    <w:p w14:paraId="13BDED7D"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notes that the draft methodology does not properly consider the option value of procuring flexibility. Networks who opt for flexibility to start with can still pursue traditional reinforcement at a later stage. This is a direct value to the networks not presently being fully reflected.</w:t>
      </w:r>
    </w:p>
    <w:p w14:paraId="657CA161" w14:textId="1E961380" w:rsidR="00043D05" w:rsidRPr="006A6D5C" w:rsidRDefault="00043D05" w:rsidP="00043D05">
      <w:pPr>
        <w:tabs>
          <w:tab w:val="left" w:pos="720"/>
        </w:tabs>
        <w:spacing w:after="0" w:line="300" w:lineRule="auto"/>
        <w:rPr>
          <w:rFonts w:ascii="Open Sans" w:eastAsia="Times New Roman" w:hAnsi="Open Sans" w:cs="Open Sans"/>
          <w:kern w:val="24"/>
          <w:sz w:val="24"/>
          <w:szCs w:val="24"/>
          <w:lang w:eastAsia="en-GB"/>
        </w:rPr>
      </w:pPr>
    </w:p>
    <w:p w14:paraId="0FA525A0" w14:textId="6BA5D9CD" w:rsidR="006D3A03" w:rsidRDefault="00EF2077" w:rsidP="006D3A03">
      <w:pPr>
        <w:spacing w:after="0" w:line="240" w:lineRule="auto"/>
        <w:rPr>
          <w:rFonts w:ascii="Open Sans" w:hAnsi="Open Sans" w:cs="Open Sans"/>
          <w:sz w:val="24"/>
          <w:szCs w:val="24"/>
        </w:rPr>
      </w:pPr>
      <w:r w:rsidRPr="006A6D5C">
        <w:rPr>
          <w:rFonts w:ascii="Open Sans" w:hAnsi="Open Sans" w:cs="Open Sans"/>
          <w:sz w:val="24"/>
          <w:szCs w:val="24"/>
        </w:rPr>
        <w:t>The methodology</w:t>
      </w:r>
      <w:r w:rsidRPr="006A6D5C">
        <w:rPr>
          <w:rFonts w:ascii="Open Sans" w:hAnsi="Open Sans" w:cs="Open Sans"/>
          <w:sz w:val="24"/>
          <w:szCs w:val="24"/>
        </w:rPr>
        <w:t xml:space="preserve"> </w:t>
      </w:r>
      <w:r w:rsidRPr="006A6D5C">
        <w:rPr>
          <w:rFonts w:ascii="Open Sans" w:hAnsi="Open Sans" w:cs="Open Sans"/>
          <w:sz w:val="24"/>
          <w:szCs w:val="24"/>
        </w:rPr>
        <w:t xml:space="preserve">integrates all aspects related to conventional network </w:t>
      </w:r>
      <w:proofErr w:type="gramStart"/>
      <w:r w:rsidRPr="006A6D5C">
        <w:rPr>
          <w:rFonts w:ascii="Open Sans" w:hAnsi="Open Sans" w:cs="Open Sans"/>
          <w:sz w:val="24"/>
          <w:szCs w:val="24"/>
        </w:rPr>
        <w:t>reinforceme</w:t>
      </w:r>
      <w:r w:rsidR="006D3A03" w:rsidRPr="006A6D5C">
        <w:rPr>
          <w:rFonts w:ascii="Open Sans" w:hAnsi="Open Sans" w:cs="Open Sans"/>
          <w:sz w:val="24"/>
          <w:szCs w:val="24"/>
        </w:rPr>
        <w:t>nt,</w:t>
      </w:r>
      <w:proofErr w:type="gramEnd"/>
      <w:r w:rsidR="006D3A03" w:rsidRPr="006A6D5C">
        <w:rPr>
          <w:rFonts w:ascii="Open Sans" w:hAnsi="Open Sans" w:cs="Open Sans"/>
          <w:sz w:val="24"/>
          <w:szCs w:val="24"/>
        </w:rPr>
        <w:t xml:space="preserve"> h</w:t>
      </w:r>
      <w:r w:rsidRPr="006A6D5C">
        <w:rPr>
          <w:rFonts w:ascii="Open Sans" w:hAnsi="Open Sans" w:cs="Open Sans"/>
          <w:sz w:val="24"/>
          <w:szCs w:val="24"/>
        </w:rPr>
        <w:t xml:space="preserve">owever </w:t>
      </w:r>
      <w:r w:rsidR="006D3A03" w:rsidRPr="006A6D5C">
        <w:rPr>
          <w:rFonts w:ascii="Open Sans" w:hAnsi="Open Sans" w:cs="Open Sans"/>
          <w:sz w:val="24"/>
          <w:szCs w:val="24"/>
        </w:rPr>
        <w:t xml:space="preserve">it does not fully </w:t>
      </w:r>
      <w:r w:rsidRPr="006A6D5C">
        <w:rPr>
          <w:rFonts w:ascii="Open Sans" w:hAnsi="Open Sans" w:cs="Open Sans"/>
          <w:sz w:val="24"/>
          <w:szCs w:val="24"/>
        </w:rPr>
        <w:t xml:space="preserve">recognise the value that storage can generate as a network infrastructure asset. </w:t>
      </w:r>
    </w:p>
    <w:p w14:paraId="54A18941" w14:textId="77777777" w:rsidR="006A6D5C" w:rsidRPr="006A6D5C" w:rsidRDefault="006A6D5C" w:rsidP="006D3A03">
      <w:pPr>
        <w:spacing w:after="0" w:line="240" w:lineRule="auto"/>
        <w:rPr>
          <w:rFonts w:ascii="Open Sans" w:hAnsi="Open Sans" w:cs="Open Sans"/>
          <w:sz w:val="24"/>
          <w:szCs w:val="24"/>
        </w:rPr>
      </w:pPr>
    </w:p>
    <w:p w14:paraId="7EC9E5F3" w14:textId="77777777" w:rsidR="006D3A03" w:rsidRPr="006A6D5C" w:rsidRDefault="006D3A03" w:rsidP="006D3A03">
      <w:pPr>
        <w:pStyle w:val="ListParagraph"/>
        <w:numPr>
          <w:ilvl w:val="0"/>
          <w:numId w:val="36"/>
        </w:numPr>
        <w:spacing w:after="0" w:line="240" w:lineRule="auto"/>
        <w:rPr>
          <w:rFonts w:ascii="Open Sans" w:hAnsi="Open Sans" w:cs="Open Sans"/>
          <w:sz w:val="24"/>
          <w:szCs w:val="24"/>
        </w:rPr>
      </w:pPr>
      <w:r w:rsidRPr="006A6D5C">
        <w:rPr>
          <w:rFonts w:ascii="Open Sans" w:hAnsi="Open Sans" w:cs="Open Sans"/>
          <w:sz w:val="24"/>
          <w:szCs w:val="24"/>
        </w:rPr>
        <w:t>T</w:t>
      </w:r>
      <w:r w:rsidR="00EF2077" w:rsidRPr="006A6D5C">
        <w:rPr>
          <w:rFonts w:ascii="Open Sans" w:hAnsi="Open Sans" w:cs="Open Sans"/>
          <w:sz w:val="24"/>
          <w:szCs w:val="24"/>
        </w:rPr>
        <w:t>here is need for further clarity around modelling granularity (hourly resolution)</w:t>
      </w:r>
      <w:r w:rsidRPr="006A6D5C">
        <w:rPr>
          <w:rFonts w:ascii="Open Sans" w:hAnsi="Open Sans" w:cs="Open Sans"/>
          <w:sz w:val="24"/>
          <w:szCs w:val="24"/>
        </w:rPr>
        <w:t xml:space="preserve">. </w:t>
      </w:r>
    </w:p>
    <w:p w14:paraId="29C3265A" w14:textId="529A26A8" w:rsidR="00EF2077" w:rsidRPr="006A6D5C" w:rsidRDefault="00EF2077" w:rsidP="006A6D5C">
      <w:pPr>
        <w:pStyle w:val="ListParagraph"/>
        <w:numPr>
          <w:ilvl w:val="0"/>
          <w:numId w:val="36"/>
        </w:numPr>
        <w:spacing w:after="0" w:line="240" w:lineRule="auto"/>
        <w:rPr>
          <w:rFonts w:ascii="Open Sans" w:hAnsi="Open Sans" w:cs="Open Sans"/>
          <w:sz w:val="24"/>
          <w:szCs w:val="24"/>
        </w:rPr>
      </w:pPr>
      <w:r w:rsidRPr="006A6D5C">
        <w:rPr>
          <w:rFonts w:ascii="Open Sans" w:hAnsi="Open Sans" w:cs="Open Sans"/>
          <w:sz w:val="24"/>
          <w:szCs w:val="24"/>
        </w:rPr>
        <w:t>Optional aspects such as reduction in curtailment need to be carefully considered</w:t>
      </w:r>
      <w:r w:rsidR="006D3A03" w:rsidRPr="006A6D5C">
        <w:rPr>
          <w:rFonts w:ascii="Open Sans" w:hAnsi="Open Sans" w:cs="Open Sans"/>
          <w:sz w:val="24"/>
          <w:szCs w:val="24"/>
        </w:rPr>
        <w:t>, es</w:t>
      </w:r>
      <w:r w:rsidRPr="006A6D5C">
        <w:rPr>
          <w:rFonts w:ascii="Open Sans" w:hAnsi="Open Sans" w:cs="Open Sans"/>
          <w:sz w:val="24"/>
          <w:szCs w:val="24"/>
        </w:rPr>
        <w:t xml:space="preserve">pecially </w:t>
      </w:r>
      <w:proofErr w:type="gramStart"/>
      <w:r w:rsidRPr="006A6D5C">
        <w:rPr>
          <w:rFonts w:ascii="Open Sans" w:hAnsi="Open Sans" w:cs="Open Sans"/>
          <w:sz w:val="24"/>
          <w:szCs w:val="24"/>
        </w:rPr>
        <w:t>in light of</w:t>
      </w:r>
      <w:proofErr w:type="gramEnd"/>
      <w:r w:rsidRPr="006A6D5C">
        <w:rPr>
          <w:rFonts w:ascii="Open Sans" w:hAnsi="Open Sans" w:cs="Open Sans"/>
          <w:sz w:val="24"/>
          <w:szCs w:val="24"/>
        </w:rPr>
        <w:t xml:space="preserve"> the implementation of article 13 of EU 2019/943. Redispatch cost should be </w:t>
      </w:r>
      <w:proofErr w:type="spellStart"/>
      <w:r w:rsidRPr="006A6D5C">
        <w:rPr>
          <w:rFonts w:ascii="Open Sans" w:hAnsi="Open Sans" w:cs="Open Sans"/>
          <w:sz w:val="24"/>
          <w:szCs w:val="24"/>
        </w:rPr>
        <w:t>assessed</w:t>
      </w:r>
      <w:proofErr w:type="spellEnd"/>
      <w:r w:rsidRPr="006A6D5C">
        <w:rPr>
          <w:rFonts w:ascii="Open Sans" w:hAnsi="Open Sans" w:cs="Open Sans"/>
          <w:sz w:val="24"/>
          <w:szCs w:val="24"/>
        </w:rPr>
        <w:t xml:space="preserve"> and communicated. </w:t>
      </w:r>
    </w:p>
    <w:p w14:paraId="3EA3037E" w14:textId="77777777" w:rsidR="00EF2077" w:rsidRPr="006A6D5C" w:rsidRDefault="00EF2077" w:rsidP="006A6D5C">
      <w:pPr>
        <w:pStyle w:val="ListParagraph"/>
        <w:numPr>
          <w:ilvl w:val="0"/>
          <w:numId w:val="35"/>
        </w:numPr>
        <w:spacing w:after="0" w:line="240" w:lineRule="auto"/>
        <w:rPr>
          <w:rFonts w:ascii="Open Sans" w:hAnsi="Open Sans" w:cs="Open Sans"/>
          <w:sz w:val="24"/>
          <w:szCs w:val="24"/>
        </w:rPr>
      </w:pPr>
      <w:r w:rsidRPr="006A6D5C">
        <w:rPr>
          <w:rFonts w:ascii="Open Sans" w:hAnsi="Open Sans" w:cs="Open Sans"/>
          <w:sz w:val="24"/>
          <w:szCs w:val="24"/>
        </w:rPr>
        <w:t xml:space="preserve">The value of ancillary services related to active power, voltage control, inertia should be included and quantified. </w:t>
      </w:r>
    </w:p>
    <w:p w14:paraId="6DCFF7A8" w14:textId="1A71FCFB" w:rsidR="00EF2077" w:rsidRPr="006A6D5C" w:rsidRDefault="00EF2077" w:rsidP="006D3A03">
      <w:pPr>
        <w:pStyle w:val="ListParagraph"/>
        <w:numPr>
          <w:ilvl w:val="0"/>
          <w:numId w:val="35"/>
        </w:numPr>
        <w:spacing w:after="0" w:line="240" w:lineRule="auto"/>
        <w:rPr>
          <w:rFonts w:ascii="Open Sans" w:hAnsi="Open Sans" w:cs="Open Sans"/>
          <w:sz w:val="24"/>
          <w:szCs w:val="24"/>
        </w:rPr>
      </w:pPr>
      <w:r w:rsidRPr="006A6D5C">
        <w:rPr>
          <w:rFonts w:ascii="Open Sans" w:hAnsi="Open Sans" w:cs="Open Sans"/>
          <w:sz w:val="24"/>
          <w:szCs w:val="24"/>
        </w:rPr>
        <w:t xml:space="preserve">An adequate methodology to assess the contribution to security of supply by alternatives to conventional network reinforcement such as the one developed by Imperial College should be adopted. </w:t>
      </w:r>
    </w:p>
    <w:p w14:paraId="2202F6E4" w14:textId="77777777" w:rsidR="006D3A03" w:rsidRPr="006A6D5C" w:rsidRDefault="006D3A03" w:rsidP="006A6D5C">
      <w:pPr>
        <w:pStyle w:val="ListParagraph"/>
        <w:spacing w:after="0" w:line="240" w:lineRule="auto"/>
        <w:rPr>
          <w:rFonts w:ascii="Open Sans" w:hAnsi="Open Sans" w:cs="Open Sans"/>
          <w:sz w:val="24"/>
          <w:szCs w:val="24"/>
        </w:rPr>
      </w:pPr>
    </w:p>
    <w:p w14:paraId="5E5CD0DB" w14:textId="66C63ACE" w:rsidR="00EF2077" w:rsidRPr="006A6D5C" w:rsidRDefault="00EF2077" w:rsidP="006A6D5C">
      <w:pPr>
        <w:rPr>
          <w:rFonts w:ascii="Open Sans" w:hAnsi="Open Sans" w:cs="Open Sans"/>
          <w:sz w:val="24"/>
          <w:szCs w:val="24"/>
        </w:rPr>
      </w:pPr>
      <w:r w:rsidRPr="006A6D5C">
        <w:rPr>
          <w:rFonts w:ascii="Open Sans" w:hAnsi="Open Sans" w:cs="Open Sans"/>
          <w:sz w:val="24"/>
          <w:szCs w:val="24"/>
        </w:rPr>
        <w:lastRenderedPageBreak/>
        <w:t xml:space="preserve">It would be beneficial to reference the CBA methodology developed by ENTSO-E to assess projects of common interest. </w:t>
      </w:r>
    </w:p>
    <w:p w14:paraId="7E76E2F9" w14:textId="77777777" w:rsidR="00EF2077" w:rsidRPr="006A6D5C" w:rsidRDefault="00EF2077" w:rsidP="00043D05">
      <w:pPr>
        <w:tabs>
          <w:tab w:val="left" w:pos="720"/>
        </w:tabs>
        <w:spacing w:after="0" w:line="300" w:lineRule="auto"/>
        <w:rPr>
          <w:rFonts w:ascii="Open Sans" w:eastAsia="Times New Roman" w:hAnsi="Open Sans" w:cs="Helvetica"/>
          <w:kern w:val="24"/>
          <w:sz w:val="24"/>
          <w:szCs w:val="24"/>
          <w:lang w:eastAsia="en-GB"/>
        </w:rPr>
      </w:pPr>
    </w:p>
    <w:p w14:paraId="7947EC5D" w14:textId="42C8528D"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How many procurement cycles </w:t>
      </w:r>
      <w:r w:rsidR="00B831D8" w:rsidRPr="006A6D5C">
        <w:rPr>
          <w:rFonts w:ascii="Open Sans" w:eastAsia="Times New Roman" w:hAnsi="Open Sans" w:cs="Helvetica"/>
          <w:b/>
          <w:bCs/>
          <w:kern w:val="24"/>
          <w:sz w:val="24"/>
          <w:szCs w:val="24"/>
          <w:lang w:eastAsia="en-GB"/>
        </w:rPr>
        <w:t xml:space="preserve">for flexibility should be conducted </w:t>
      </w:r>
      <w:r w:rsidRPr="006A6D5C">
        <w:rPr>
          <w:rFonts w:ascii="Open Sans" w:eastAsia="Times New Roman" w:hAnsi="Open Sans" w:cs="Helvetica"/>
          <w:b/>
          <w:bCs/>
          <w:kern w:val="24"/>
          <w:sz w:val="24"/>
          <w:szCs w:val="24"/>
          <w:lang w:eastAsia="en-GB"/>
        </w:rPr>
        <w:t>per year?</w:t>
      </w:r>
    </w:p>
    <w:p w14:paraId="5E997428" w14:textId="77777777"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p>
    <w:p w14:paraId="21CB8198" w14:textId="66280226" w:rsidR="00043D05"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As outlined above, the REA would prefer multiple procurement cycles per year at different tranches to reflect the value of different types of flexibility at difference scales / durations. A one-size-fits-all approach is likely not the best way forward.</w:t>
      </w:r>
      <w:r w:rsidR="004109AE" w:rsidRPr="006A6D5C">
        <w:rPr>
          <w:rFonts w:ascii="Open Sans" w:eastAsia="Times New Roman" w:hAnsi="Open Sans" w:cs="Helvetica"/>
          <w:kern w:val="24"/>
          <w:sz w:val="24"/>
          <w:szCs w:val="24"/>
          <w:lang w:eastAsia="en-GB"/>
        </w:rPr>
        <w:t xml:space="preserve"> Suggestions include cycles to deal with bulk need, occurring once every few years, however additional cycles would also be beneficial twice per year.</w:t>
      </w:r>
    </w:p>
    <w:p w14:paraId="4413A092"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4003D0FD" w14:textId="77777777" w:rsidR="00043D05" w:rsidRPr="006A6D5C" w:rsidRDefault="00043D05" w:rsidP="00043D05">
      <w:pPr>
        <w:tabs>
          <w:tab w:val="left" w:pos="720"/>
        </w:tabs>
        <w:spacing w:after="0" w:line="300" w:lineRule="auto"/>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xml:space="preserve">Do I think Active Network Management (flexible connections) might be harming the market for flexibility procurement? How should this be balanced? </w:t>
      </w:r>
    </w:p>
    <w:p w14:paraId="4803EAF7" w14:textId="77777777" w:rsidR="00043D05" w:rsidRPr="006A6D5C" w:rsidRDefault="00043D05" w:rsidP="00043D05">
      <w:pPr>
        <w:tabs>
          <w:tab w:val="left" w:pos="720"/>
        </w:tabs>
        <w:spacing w:after="0" w:line="300" w:lineRule="auto"/>
        <w:rPr>
          <w:rFonts w:ascii="Open Sans" w:eastAsia="Times New Roman" w:hAnsi="Open Sans" w:cs="Helvetica"/>
          <w:kern w:val="24"/>
          <w:sz w:val="24"/>
          <w:szCs w:val="24"/>
          <w:lang w:eastAsia="en-GB"/>
        </w:rPr>
      </w:pPr>
    </w:p>
    <w:p w14:paraId="3C8AA0BE" w14:textId="4E23EB0A" w:rsidR="00043D05"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The REA is concerned that the</w:t>
      </w:r>
      <w:r w:rsidR="00043D05" w:rsidRPr="006A6D5C">
        <w:rPr>
          <w:rFonts w:ascii="Open Sans" w:eastAsia="Times New Roman" w:hAnsi="Open Sans" w:cs="Helvetica"/>
          <w:kern w:val="24"/>
          <w:sz w:val="24"/>
          <w:szCs w:val="24"/>
          <w:lang w:eastAsia="en-GB"/>
        </w:rPr>
        <w:t xml:space="preserve"> ANM role has not been sufficiently valued</w:t>
      </w:r>
      <w:r w:rsidRPr="006A6D5C">
        <w:rPr>
          <w:rFonts w:ascii="Open Sans" w:eastAsia="Times New Roman" w:hAnsi="Open Sans" w:cs="Helvetica"/>
          <w:kern w:val="24"/>
          <w:sz w:val="24"/>
          <w:szCs w:val="24"/>
          <w:lang w:eastAsia="en-GB"/>
        </w:rPr>
        <w:t>. The REA would like to see the development of deeper flexibility markets so that project developers have options to choose from (otherwise we expect many will progress the cheapest cost option for them, which is likely to be ANM at present).</w:t>
      </w:r>
    </w:p>
    <w:p w14:paraId="52FCCA74" w14:textId="4F5152B0" w:rsidR="00BC1D2A" w:rsidRPr="006A6D5C" w:rsidRDefault="00BC1D2A" w:rsidP="00043D05">
      <w:pPr>
        <w:tabs>
          <w:tab w:val="left" w:pos="720"/>
        </w:tabs>
        <w:spacing w:after="0" w:line="300" w:lineRule="auto"/>
        <w:rPr>
          <w:rFonts w:ascii="Open Sans" w:eastAsia="Times New Roman" w:hAnsi="Open Sans" w:cs="Helvetica"/>
          <w:kern w:val="24"/>
          <w:sz w:val="24"/>
          <w:szCs w:val="24"/>
          <w:lang w:eastAsia="en-GB"/>
        </w:rPr>
      </w:pPr>
    </w:p>
    <w:p w14:paraId="2D951C8A" w14:textId="698C6F03" w:rsidR="00EC6D69" w:rsidRPr="006A6D5C" w:rsidRDefault="00EC6D69" w:rsidP="00EC6D69">
      <w:pPr>
        <w:spacing w:after="0" w:line="240" w:lineRule="auto"/>
        <w:rPr>
          <w:rFonts w:ascii="Open Sans" w:hAnsi="Open Sans" w:cs="Open Sans"/>
          <w:sz w:val="24"/>
          <w:szCs w:val="24"/>
        </w:rPr>
      </w:pPr>
      <w:r w:rsidRPr="006A6D5C">
        <w:rPr>
          <w:rFonts w:ascii="Open Sans" w:hAnsi="Open Sans" w:cs="Open Sans"/>
          <w:sz w:val="24"/>
          <w:szCs w:val="24"/>
        </w:rPr>
        <w:t>Curtailed energy through ANM schemes should be accounted for as network losses and energy not served</w:t>
      </w:r>
      <w:r w:rsidRPr="006A6D5C">
        <w:rPr>
          <w:rFonts w:ascii="Open Sans" w:hAnsi="Open Sans" w:cs="Open Sans"/>
          <w:sz w:val="24"/>
          <w:szCs w:val="24"/>
        </w:rPr>
        <w:t>. This demonstrates</w:t>
      </w:r>
      <w:r w:rsidRPr="006A6D5C">
        <w:rPr>
          <w:rFonts w:ascii="Open Sans" w:hAnsi="Open Sans" w:cs="Open Sans"/>
          <w:sz w:val="24"/>
          <w:szCs w:val="24"/>
        </w:rPr>
        <w:t xml:space="preserve"> the value that participants in Flexibility markets could </w:t>
      </w:r>
      <w:r w:rsidRPr="006A6D5C">
        <w:rPr>
          <w:rFonts w:ascii="Open Sans" w:hAnsi="Open Sans" w:cs="Open Sans"/>
          <w:sz w:val="24"/>
          <w:szCs w:val="24"/>
        </w:rPr>
        <w:t>provide</w:t>
      </w:r>
      <w:r w:rsidRPr="006A6D5C">
        <w:rPr>
          <w:rFonts w:ascii="Open Sans" w:hAnsi="Open Sans" w:cs="Open Sans"/>
          <w:sz w:val="24"/>
          <w:szCs w:val="24"/>
        </w:rPr>
        <w:t xml:space="preserve"> in the market. Failure to do so can hide the value that participants in flexibility markets could capture. In line with the CBA used by the NY Public Service commission energy not delivered should be attributed </w:t>
      </w:r>
      <w:r w:rsidRPr="006A6D5C">
        <w:rPr>
          <w:rFonts w:ascii="Open Sans" w:hAnsi="Open Sans" w:cs="Open Sans"/>
          <w:sz w:val="24"/>
          <w:szCs w:val="24"/>
        </w:rPr>
        <w:t>to a</w:t>
      </w:r>
      <w:r w:rsidRPr="006A6D5C">
        <w:rPr>
          <w:rFonts w:ascii="Open Sans" w:hAnsi="Open Sans" w:cs="Open Sans"/>
          <w:sz w:val="24"/>
          <w:szCs w:val="24"/>
        </w:rPr>
        <w:t xml:space="preserve"> value in line with the </w:t>
      </w:r>
      <w:r w:rsidRPr="006A6D5C">
        <w:rPr>
          <w:rFonts w:ascii="Open Sans" w:hAnsi="Open Sans" w:cs="Open Sans"/>
          <w:sz w:val="24"/>
          <w:szCs w:val="24"/>
        </w:rPr>
        <w:t>cost to economic opportunity.</w:t>
      </w:r>
    </w:p>
    <w:p w14:paraId="15826552" w14:textId="77777777" w:rsidR="00EC6D69" w:rsidRPr="006A6D5C" w:rsidRDefault="00EC6D69" w:rsidP="006A6D5C">
      <w:pPr>
        <w:spacing w:after="0" w:line="240" w:lineRule="auto"/>
        <w:rPr>
          <w:rFonts w:ascii="Open Sans" w:hAnsi="Open Sans" w:cs="Open Sans"/>
          <w:sz w:val="24"/>
          <w:szCs w:val="24"/>
        </w:rPr>
      </w:pPr>
    </w:p>
    <w:p w14:paraId="4C7496E6" w14:textId="77777777" w:rsidR="00EC6D69" w:rsidRPr="006A6D5C" w:rsidRDefault="00EC6D69" w:rsidP="006A6D5C">
      <w:pPr>
        <w:spacing w:after="0" w:line="240" w:lineRule="auto"/>
        <w:rPr>
          <w:rFonts w:ascii="Open Sans" w:hAnsi="Open Sans" w:cs="Open Sans"/>
          <w:sz w:val="24"/>
          <w:szCs w:val="24"/>
        </w:rPr>
      </w:pPr>
      <w:r w:rsidRPr="006A6D5C">
        <w:rPr>
          <w:rFonts w:ascii="Open Sans" w:hAnsi="Open Sans" w:cs="Open Sans"/>
          <w:sz w:val="24"/>
          <w:szCs w:val="24"/>
        </w:rPr>
        <w:t xml:space="preserve">If ANM schemes are </w:t>
      </w:r>
      <w:proofErr w:type="spellStart"/>
      <w:r w:rsidRPr="006A6D5C">
        <w:rPr>
          <w:rFonts w:ascii="Open Sans" w:hAnsi="Open Sans" w:cs="Open Sans"/>
          <w:sz w:val="24"/>
          <w:szCs w:val="24"/>
        </w:rPr>
        <w:t>overprocured</w:t>
      </w:r>
      <w:proofErr w:type="spellEnd"/>
      <w:r w:rsidRPr="006A6D5C">
        <w:rPr>
          <w:rFonts w:ascii="Open Sans" w:hAnsi="Open Sans" w:cs="Open Sans"/>
          <w:sz w:val="24"/>
          <w:szCs w:val="24"/>
        </w:rPr>
        <w:t xml:space="preserve"> the prices in Flexibility markets can become volatile reducing project bankability. </w:t>
      </w:r>
    </w:p>
    <w:p w14:paraId="7DDDF8DF" w14:textId="77777777" w:rsidR="00EC6D69" w:rsidRPr="006A6D5C" w:rsidRDefault="00EC6D69" w:rsidP="00043D05">
      <w:pPr>
        <w:tabs>
          <w:tab w:val="left" w:pos="720"/>
        </w:tabs>
        <w:spacing w:after="0" w:line="300" w:lineRule="auto"/>
        <w:rPr>
          <w:rFonts w:ascii="Open Sans" w:eastAsia="Times New Roman" w:hAnsi="Open Sans" w:cs="Helvetica"/>
          <w:kern w:val="24"/>
          <w:sz w:val="24"/>
          <w:szCs w:val="24"/>
          <w:lang w:eastAsia="en-GB"/>
        </w:rPr>
      </w:pPr>
    </w:p>
    <w:p w14:paraId="3D2E797C" w14:textId="2E487C74" w:rsidR="00043D05"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This issue needs to be considered as part of the wider review of access reforms from Ofgem. </w:t>
      </w:r>
    </w:p>
    <w:p w14:paraId="2DDB2DD5" w14:textId="4C7A06FD" w:rsidR="00BC1D2A"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p>
    <w:p w14:paraId="70F35398" w14:textId="1A732B50" w:rsidR="00EC6D69" w:rsidRPr="006A6D5C" w:rsidRDefault="00BC1D2A" w:rsidP="00BC1D2A">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t xml:space="preserve">There are questions about whether assets connected to the grid with a flexible connection </w:t>
      </w:r>
      <w:proofErr w:type="gramStart"/>
      <w:r w:rsidRPr="006A6D5C">
        <w:rPr>
          <w:rFonts w:ascii="Open Sans" w:eastAsia="Times New Roman" w:hAnsi="Open Sans" w:cs="Helvetica"/>
          <w:kern w:val="24"/>
          <w:sz w:val="24"/>
          <w:szCs w:val="24"/>
          <w:lang w:eastAsia="en-GB"/>
        </w:rPr>
        <w:t>are able to</w:t>
      </w:r>
      <w:proofErr w:type="gramEnd"/>
      <w:r w:rsidRPr="006A6D5C">
        <w:rPr>
          <w:rFonts w:ascii="Open Sans" w:eastAsia="Times New Roman" w:hAnsi="Open Sans" w:cs="Helvetica"/>
          <w:kern w:val="24"/>
          <w:sz w:val="24"/>
          <w:szCs w:val="24"/>
          <w:lang w:eastAsia="en-GB"/>
        </w:rPr>
        <w:t xml:space="preserve"> bid for flexibility services. </w:t>
      </w:r>
    </w:p>
    <w:p w14:paraId="3A224981" w14:textId="220B770C" w:rsidR="00B831D8" w:rsidRPr="006A6D5C" w:rsidRDefault="00B831D8" w:rsidP="00043D05">
      <w:pPr>
        <w:tabs>
          <w:tab w:val="left" w:pos="720"/>
        </w:tabs>
        <w:spacing w:after="0" w:line="300" w:lineRule="auto"/>
        <w:rPr>
          <w:rFonts w:ascii="Open Sans" w:eastAsia="Times New Roman" w:hAnsi="Open Sans" w:cs="Helvetica"/>
          <w:kern w:val="24"/>
          <w:sz w:val="24"/>
          <w:szCs w:val="24"/>
          <w:lang w:eastAsia="en-GB"/>
        </w:rPr>
      </w:pPr>
    </w:p>
    <w:p w14:paraId="6AF23BBD" w14:textId="6D964075" w:rsidR="00043D05" w:rsidRPr="006A6D5C" w:rsidRDefault="00B831D8" w:rsidP="00B831D8">
      <w:pPr>
        <w:tabs>
          <w:tab w:val="left" w:pos="720"/>
        </w:tabs>
        <w:spacing w:after="0" w:line="300" w:lineRule="auto"/>
        <w:rPr>
          <w:rFonts w:ascii="Open Sans" w:eastAsia="Times New Roman" w:hAnsi="Open Sans" w:cs="Helvetica"/>
          <w:kern w:val="24"/>
          <w:sz w:val="24"/>
          <w:szCs w:val="24"/>
          <w:lang w:eastAsia="en-GB"/>
        </w:rPr>
      </w:pPr>
      <w:r w:rsidRPr="006A6D5C">
        <w:rPr>
          <w:rFonts w:ascii="Open Sans" w:eastAsia="Times New Roman" w:hAnsi="Open Sans" w:cs="Helvetica"/>
          <w:kern w:val="24"/>
          <w:sz w:val="24"/>
          <w:szCs w:val="24"/>
          <w:lang w:eastAsia="en-GB"/>
        </w:rPr>
        <w:lastRenderedPageBreak/>
        <w:t xml:space="preserve">This issue also relates to the wider question about strategic investment in the electricity networks. Flexibility market deployment should not be a means of overlooking the requirement for wider strategic network investment. The REA would like to see more clear, public tests for strategic investment be published. </w:t>
      </w:r>
    </w:p>
    <w:p w14:paraId="6CF11A7B" w14:textId="77777777" w:rsidR="00043D05" w:rsidRPr="006A6D5C" w:rsidRDefault="00043D05" w:rsidP="00315682">
      <w:pPr>
        <w:rPr>
          <w:rFonts w:ascii="Open Sans" w:eastAsia="Times New Roman" w:hAnsi="Open Sans" w:cs="Helvetica"/>
          <w:b/>
          <w:bCs/>
          <w:kern w:val="24"/>
          <w:sz w:val="24"/>
          <w:szCs w:val="24"/>
          <w:lang w:eastAsia="en-GB"/>
        </w:rPr>
      </w:pPr>
    </w:p>
    <w:p w14:paraId="0BA481DF" w14:textId="1BF641B5" w:rsidR="00043D05" w:rsidRPr="006A6D5C" w:rsidRDefault="00B831D8" w:rsidP="00315682">
      <w:pPr>
        <w:rPr>
          <w:rFonts w:ascii="Open Sans" w:eastAsia="Times New Roman" w:hAnsi="Open Sans" w:cs="Helvetica"/>
          <w:b/>
          <w:bCs/>
          <w:kern w:val="24"/>
          <w:sz w:val="24"/>
          <w:szCs w:val="24"/>
          <w:lang w:eastAsia="en-GB"/>
        </w:rPr>
      </w:pPr>
      <w:r w:rsidRPr="006A6D5C">
        <w:rPr>
          <w:rFonts w:ascii="Open Sans" w:eastAsia="Times New Roman" w:hAnsi="Open Sans" w:cs="Helvetica"/>
          <w:b/>
          <w:bCs/>
          <w:kern w:val="24"/>
          <w:sz w:val="24"/>
          <w:szCs w:val="24"/>
          <w:lang w:eastAsia="en-GB"/>
        </w:rPr>
        <w:t>* ENDS</w:t>
      </w:r>
    </w:p>
    <w:p w14:paraId="2CEB175B" w14:textId="77777777" w:rsidR="00043D05" w:rsidRDefault="00043D05" w:rsidP="00315682">
      <w:pPr>
        <w:rPr>
          <w:rFonts w:ascii="Open Sans" w:eastAsia="Times New Roman" w:hAnsi="Open Sans" w:cs="Helvetica"/>
          <w:color w:val="000000" w:themeColor="text1"/>
          <w:kern w:val="24"/>
          <w:sz w:val="24"/>
          <w:szCs w:val="24"/>
          <w:lang w:eastAsia="en-GB"/>
        </w:rPr>
      </w:pPr>
    </w:p>
    <w:p w14:paraId="5CC9C6A0" w14:textId="77777777" w:rsidR="00043D05" w:rsidRDefault="00043D05" w:rsidP="00315682">
      <w:pPr>
        <w:rPr>
          <w:rFonts w:ascii="Open Sans" w:eastAsia="Times New Roman" w:hAnsi="Open Sans" w:cs="Helvetica"/>
          <w:color w:val="000000" w:themeColor="text1"/>
          <w:kern w:val="24"/>
          <w:sz w:val="24"/>
          <w:szCs w:val="24"/>
          <w:lang w:eastAsia="en-GB"/>
        </w:rPr>
      </w:pPr>
    </w:p>
    <w:p w14:paraId="18546A4C" w14:textId="5DA78EFC" w:rsidR="00F82EE5" w:rsidRPr="00043D05" w:rsidRDefault="00F82EE5" w:rsidP="00043D05">
      <w:pPr>
        <w:tabs>
          <w:tab w:val="left" w:pos="720"/>
        </w:tabs>
        <w:rPr>
          <w:rFonts w:ascii="Open Sans" w:hAnsi="Open Sans" w:cs="Open Sans"/>
          <w:sz w:val="24"/>
          <w:szCs w:val="24"/>
        </w:rPr>
      </w:pPr>
    </w:p>
    <w:sectPr w:rsidR="00F82EE5" w:rsidRPr="00043D0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D73C3" w14:textId="77777777" w:rsidR="00AC38FB" w:rsidRDefault="00AC38FB" w:rsidP="00824F90">
      <w:pPr>
        <w:spacing w:after="0" w:line="240" w:lineRule="auto"/>
      </w:pPr>
      <w:r>
        <w:separator/>
      </w:r>
    </w:p>
  </w:endnote>
  <w:endnote w:type="continuationSeparator" w:id="0">
    <w:p w14:paraId="7D0C9DC7" w14:textId="77777777" w:rsidR="00AC38FB" w:rsidRDefault="00AC38FB"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F426" w14:textId="77777777" w:rsidR="00AC38FB" w:rsidRDefault="00AC38FB" w:rsidP="00824F90">
      <w:pPr>
        <w:spacing w:after="0" w:line="240" w:lineRule="auto"/>
      </w:pPr>
      <w:r>
        <w:separator/>
      </w:r>
    </w:p>
  </w:footnote>
  <w:footnote w:type="continuationSeparator" w:id="0">
    <w:p w14:paraId="7949F067" w14:textId="77777777" w:rsidR="00AC38FB" w:rsidRDefault="00AC38FB" w:rsidP="0082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3701E1" w:rsidRDefault="003701E1">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A617E"/>
    <w:multiLevelType w:val="hybridMultilevel"/>
    <w:tmpl w:val="BA82C5C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C95CAE"/>
    <w:multiLevelType w:val="hybridMultilevel"/>
    <w:tmpl w:val="B3A0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F7729"/>
    <w:multiLevelType w:val="hybridMultilevel"/>
    <w:tmpl w:val="857C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10A5A"/>
    <w:multiLevelType w:val="hybridMultilevel"/>
    <w:tmpl w:val="4C7C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CF3F63"/>
    <w:multiLevelType w:val="hybridMultilevel"/>
    <w:tmpl w:val="1046998E"/>
    <w:lvl w:ilvl="0" w:tplc="88965C16">
      <w:start w:val="1"/>
      <w:numFmt w:val="bullet"/>
      <w:lvlText w:val=""/>
      <w:lvlJc w:val="left"/>
      <w:pPr>
        <w:tabs>
          <w:tab w:val="num" w:pos="720"/>
        </w:tabs>
        <w:ind w:left="720" w:hanging="360"/>
      </w:pPr>
      <w:rPr>
        <w:rFonts w:ascii="Symbol" w:hAnsi="Symbol" w:hint="default"/>
      </w:rPr>
    </w:lvl>
    <w:lvl w:ilvl="1" w:tplc="4C026214" w:tentative="1">
      <w:start w:val="1"/>
      <w:numFmt w:val="bullet"/>
      <w:lvlText w:val=""/>
      <w:lvlJc w:val="left"/>
      <w:pPr>
        <w:tabs>
          <w:tab w:val="num" w:pos="1440"/>
        </w:tabs>
        <w:ind w:left="1440" w:hanging="360"/>
      </w:pPr>
      <w:rPr>
        <w:rFonts w:ascii="Symbol" w:hAnsi="Symbol" w:hint="default"/>
      </w:rPr>
    </w:lvl>
    <w:lvl w:ilvl="2" w:tplc="0B9CDA0A" w:tentative="1">
      <w:start w:val="1"/>
      <w:numFmt w:val="bullet"/>
      <w:lvlText w:val=""/>
      <w:lvlJc w:val="left"/>
      <w:pPr>
        <w:tabs>
          <w:tab w:val="num" w:pos="2160"/>
        </w:tabs>
        <w:ind w:left="2160" w:hanging="360"/>
      </w:pPr>
      <w:rPr>
        <w:rFonts w:ascii="Symbol" w:hAnsi="Symbol" w:hint="default"/>
      </w:rPr>
    </w:lvl>
    <w:lvl w:ilvl="3" w:tplc="5ED0CF8A" w:tentative="1">
      <w:start w:val="1"/>
      <w:numFmt w:val="bullet"/>
      <w:lvlText w:val=""/>
      <w:lvlJc w:val="left"/>
      <w:pPr>
        <w:tabs>
          <w:tab w:val="num" w:pos="2880"/>
        </w:tabs>
        <w:ind w:left="2880" w:hanging="360"/>
      </w:pPr>
      <w:rPr>
        <w:rFonts w:ascii="Symbol" w:hAnsi="Symbol" w:hint="default"/>
      </w:rPr>
    </w:lvl>
    <w:lvl w:ilvl="4" w:tplc="9D820216" w:tentative="1">
      <w:start w:val="1"/>
      <w:numFmt w:val="bullet"/>
      <w:lvlText w:val=""/>
      <w:lvlJc w:val="left"/>
      <w:pPr>
        <w:tabs>
          <w:tab w:val="num" w:pos="3600"/>
        </w:tabs>
        <w:ind w:left="3600" w:hanging="360"/>
      </w:pPr>
      <w:rPr>
        <w:rFonts w:ascii="Symbol" w:hAnsi="Symbol" w:hint="default"/>
      </w:rPr>
    </w:lvl>
    <w:lvl w:ilvl="5" w:tplc="5E02E8B8" w:tentative="1">
      <w:start w:val="1"/>
      <w:numFmt w:val="bullet"/>
      <w:lvlText w:val=""/>
      <w:lvlJc w:val="left"/>
      <w:pPr>
        <w:tabs>
          <w:tab w:val="num" w:pos="4320"/>
        </w:tabs>
        <w:ind w:left="4320" w:hanging="360"/>
      </w:pPr>
      <w:rPr>
        <w:rFonts w:ascii="Symbol" w:hAnsi="Symbol" w:hint="default"/>
      </w:rPr>
    </w:lvl>
    <w:lvl w:ilvl="6" w:tplc="84646940" w:tentative="1">
      <w:start w:val="1"/>
      <w:numFmt w:val="bullet"/>
      <w:lvlText w:val=""/>
      <w:lvlJc w:val="left"/>
      <w:pPr>
        <w:tabs>
          <w:tab w:val="num" w:pos="5040"/>
        </w:tabs>
        <w:ind w:left="5040" w:hanging="360"/>
      </w:pPr>
      <w:rPr>
        <w:rFonts w:ascii="Symbol" w:hAnsi="Symbol" w:hint="default"/>
      </w:rPr>
    </w:lvl>
    <w:lvl w:ilvl="7" w:tplc="402E8E86" w:tentative="1">
      <w:start w:val="1"/>
      <w:numFmt w:val="bullet"/>
      <w:lvlText w:val=""/>
      <w:lvlJc w:val="left"/>
      <w:pPr>
        <w:tabs>
          <w:tab w:val="num" w:pos="5760"/>
        </w:tabs>
        <w:ind w:left="5760" w:hanging="360"/>
      </w:pPr>
      <w:rPr>
        <w:rFonts w:ascii="Symbol" w:hAnsi="Symbol" w:hint="default"/>
      </w:rPr>
    </w:lvl>
    <w:lvl w:ilvl="8" w:tplc="2A5EBBD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90047"/>
    <w:multiLevelType w:val="hybridMultilevel"/>
    <w:tmpl w:val="A9325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85997"/>
    <w:multiLevelType w:val="hybridMultilevel"/>
    <w:tmpl w:val="959ABFD6"/>
    <w:lvl w:ilvl="0" w:tplc="0809000B">
      <w:start w:val="1"/>
      <w:numFmt w:val="bullet"/>
      <w:lvlText w:val=""/>
      <w:lvlJc w:val="left"/>
      <w:pPr>
        <w:ind w:left="1440" w:hanging="360"/>
      </w:pPr>
      <w:rPr>
        <w:rFonts w:ascii="Wingdings" w:hAnsi="Wingdings" w:hint="default"/>
      </w:rPr>
    </w:lvl>
    <w:lvl w:ilvl="1" w:tplc="0809000F">
      <w:start w:val="1"/>
      <w:numFmt w:val="decimal"/>
      <w:lvlText w:val="%2."/>
      <w:lvlJc w:val="left"/>
      <w:pPr>
        <w:ind w:left="2160" w:hanging="360"/>
      </w:p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F6E3C48"/>
    <w:multiLevelType w:val="hybridMultilevel"/>
    <w:tmpl w:val="D1509DD2"/>
    <w:lvl w:ilvl="0" w:tplc="FD02FCAA">
      <w:start w:val="1"/>
      <w:numFmt w:val="bullet"/>
      <w:lvlText w:val=""/>
      <w:lvlJc w:val="left"/>
      <w:pPr>
        <w:tabs>
          <w:tab w:val="num" w:pos="720"/>
        </w:tabs>
        <w:ind w:left="720" w:hanging="360"/>
      </w:pPr>
      <w:rPr>
        <w:rFonts w:ascii="Symbol" w:hAnsi="Symbol" w:hint="default"/>
      </w:rPr>
    </w:lvl>
    <w:lvl w:ilvl="1" w:tplc="A6220F2A" w:tentative="1">
      <w:start w:val="1"/>
      <w:numFmt w:val="bullet"/>
      <w:lvlText w:val=""/>
      <w:lvlJc w:val="left"/>
      <w:pPr>
        <w:tabs>
          <w:tab w:val="num" w:pos="1440"/>
        </w:tabs>
        <w:ind w:left="1440" w:hanging="360"/>
      </w:pPr>
      <w:rPr>
        <w:rFonts w:ascii="Symbol" w:hAnsi="Symbol" w:hint="default"/>
      </w:rPr>
    </w:lvl>
    <w:lvl w:ilvl="2" w:tplc="0CC8C626" w:tentative="1">
      <w:start w:val="1"/>
      <w:numFmt w:val="bullet"/>
      <w:lvlText w:val=""/>
      <w:lvlJc w:val="left"/>
      <w:pPr>
        <w:tabs>
          <w:tab w:val="num" w:pos="2160"/>
        </w:tabs>
        <w:ind w:left="2160" w:hanging="360"/>
      </w:pPr>
      <w:rPr>
        <w:rFonts w:ascii="Symbol" w:hAnsi="Symbol" w:hint="default"/>
      </w:rPr>
    </w:lvl>
    <w:lvl w:ilvl="3" w:tplc="1E0E4654" w:tentative="1">
      <w:start w:val="1"/>
      <w:numFmt w:val="bullet"/>
      <w:lvlText w:val=""/>
      <w:lvlJc w:val="left"/>
      <w:pPr>
        <w:tabs>
          <w:tab w:val="num" w:pos="2880"/>
        </w:tabs>
        <w:ind w:left="2880" w:hanging="360"/>
      </w:pPr>
      <w:rPr>
        <w:rFonts w:ascii="Symbol" w:hAnsi="Symbol" w:hint="default"/>
      </w:rPr>
    </w:lvl>
    <w:lvl w:ilvl="4" w:tplc="63B21B5C" w:tentative="1">
      <w:start w:val="1"/>
      <w:numFmt w:val="bullet"/>
      <w:lvlText w:val=""/>
      <w:lvlJc w:val="left"/>
      <w:pPr>
        <w:tabs>
          <w:tab w:val="num" w:pos="3600"/>
        </w:tabs>
        <w:ind w:left="3600" w:hanging="360"/>
      </w:pPr>
      <w:rPr>
        <w:rFonts w:ascii="Symbol" w:hAnsi="Symbol" w:hint="default"/>
      </w:rPr>
    </w:lvl>
    <w:lvl w:ilvl="5" w:tplc="F342B3E8" w:tentative="1">
      <w:start w:val="1"/>
      <w:numFmt w:val="bullet"/>
      <w:lvlText w:val=""/>
      <w:lvlJc w:val="left"/>
      <w:pPr>
        <w:tabs>
          <w:tab w:val="num" w:pos="4320"/>
        </w:tabs>
        <w:ind w:left="4320" w:hanging="360"/>
      </w:pPr>
      <w:rPr>
        <w:rFonts w:ascii="Symbol" w:hAnsi="Symbol" w:hint="default"/>
      </w:rPr>
    </w:lvl>
    <w:lvl w:ilvl="6" w:tplc="740A0282" w:tentative="1">
      <w:start w:val="1"/>
      <w:numFmt w:val="bullet"/>
      <w:lvlText w:val=""/>
      <w:lvlJc w:val="left"/>
      <w:pPr>
        <w:tabs>
          <w:tab w:val="num" w:pos="5040"/>
        </w:tabs>
        <w:ind w:left="5040" w:hanging="360"/>
      </w:pPr>
      <w:rPr>
        <w:rFonts w:ascii="Symbol" w:hAnsi="Symbol" w:hint="default"/>
      </w:rPr>
    </w:lvl>
    <w:lvl w:ilvl="7" w:tplc="B7248E12" w:tentative="1">
      <w:start w:val="1"/>
      <w:numFmt w:val="bullet"/>
      <w:lvlText w:val=""/>
      <w:lvlJc w:val="left"/>
      <w:pPr>
        <w:tabs>
          <w:tab w:val="num" w:pos="5760"/>
        </w:tabs>
        <w:ind w:left="5760" w:hanging="360"/>
      </w:pPr>
      <w:rPr>
        <w:rFonts w:ascii="Symbol" w:hAnsi="Symbol" w:hint="default"/>
      </w:rPr>
    </w:lvl>
    <w:lvl w:ilvl="8" w:tplc="AD3A023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017DC0"/>
    <w:multiLevelType w:val="hybridMultilevel"/>
    <w:tmpl w:val="2390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290A"/>
    <w:multiLevelType w:val="multilevel"/>
    <w:tmpl w:val="4EF4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55311"/>
    <w:multiLevelType w:val="hybridMultilevel"/>
    <w:tmpl w:val="D804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D50D0"/>
    <w:multiLevelType w:val="hybridMultilevel"/>
    <w:tmpl w:val="1A1C1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92CEC"/>
    <w:multiLevelType w:val="hybridMultilevel"/>
    <w:tmpl w:val="4FC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95823"/>
    <w:multiLevelType w:val="hybridMultilevel"/>
    <w:tmpl w:val="EA9C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038C3"/>
    <w:multiLevelType w:val="hybridMultilevel"/>
    <w:tmpl w:val="960A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F76EF"/>
    <w:multiLevelType w:val="hybridMultilevel"/>
    <w:tmpl w:val="F612B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33699"/>
    <w:multiLevelType w:val="hybridMultilevel"/>
    <w:tmpl w:val="791C9098"/>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4" w15:restartNumberingAfterBreak="0">
    <w:nsid w:val="604D2A30"/>
    <w:multiLevelType w:val="hybridMultilevel"/>
    <w:tmpl w:val="5B0A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C3CB8"/>
    <w:multiLevelType w:val="hybridMultilevel"/>
    <w:tmpl w:val="3706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9359E"/>
    <w:multiLevelType w:val="hybridMultilevel"/>
    <w:tmpl w:val="AA0E4F68"/>
    <w:lvl w:ilvl="0" w:tplc="278EE6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6E16F0"/>
    <w:multiLevelType w:val="hybridMultilevel"/>
    <w:tmpl w:val="6EC2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A75D6"/>
    <w:multiLevelType w:val="hybridMultilevel"/>
    <w:tmpl w:val="E350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F7C9C"/>
    <w:multiLevelType w:val="hybridMultilevel"/>
    <w:tmpl w:val="675A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9"/>
  </w:num>
  <w:num w:numId="3">
    <w:abstractNumId w:val="10"/>
  </w:num>
  <w:num w:numId="4">
    <w:abstractNumId w:val="2"/>
  </w:num>
  <w:num w:numId="5">
    <w:abstractNumId w:val="34"/>
  </w:num>
  <w:num w:numId="6">
    <w:abstractNumId w:val="27"/>
  </w:num>
  <w:num w:numId="7">
    <w:abstractNumId w:val="0"/>
  </w:num>
  <w:num w:numId="8">
    <w:abstractNumId w:val="31"/>
  </w:num>
  <w:num w:numId="9">
    <w:abstractNumId w:val="8"/>
  </w:num>
  <w:num w:numId="10">
    <w:abstractNumId w:val="5"/>
  </w:num>
  <w:num w:numId="11">
    <w:abstractNumId w:val="3"/>
  </w:num>
  <w:num w:numId="12">
    <w:abstractNumId w:val="28"/>
  </w:num>
  <w:num w:numId="13">
    <w:abstractNumId w:val="12"/>
  </w:num>
  <w:num w:numId="14">
    <w:abstractNumId w:val="32"/>
  </w:num>
  <w:num w:numId="15">
    <w:abstractNumId w:val="4"/>
  </w:num>
  <w:num w:numId="16">
    <w:abstractNumId w:val="6"/>
  </w:num>
  <w:num w:numId="17">
    <w:abstractNumId w:val="17"/>
  </w:num>
  <w:num w:numId="18">
    <w:abstractNumId w:val="9"/>
  </w:num>
  <w:num w:numId="19">
    <w:abstractNumId w:val="14"/>
  </w:num>
  <w:num w:numId="20">
    <w:abstractNumId w:val="1"/>
  </w:num>
  <w:num w:numId="21">
    <w:abstractNumId w:val="19"/>
  </w:num>
  <w:num w:numId="22">
    <w:abstractNumId w:val="24"/>
  </w:num>
  <w:num w:numId="23">
    <w:abstractNumId w:val="15"/>
  </w:num>
  <w:num w:numId="24">
    <w:abstractNumId w:val="7"/>
  </w:num>
  <w:num w:numId="25">
    <w:abstractNumId w:val="33"/>
  </w:num>
  <w:num w:numId="26">
    <w:abstractNumId w:val="22"/>
  </w:num>
  <w:num w:numId="27">
    <w:abstractNumId w:val="16"/>
  </w:num>
  <w:num w:numId="28">
    <w:abstractNumId w:val="25"/>
  </w:num>
  <w:num w:numId="29">
    <w:abstractNumId w:val="30"/>
  </w:num>
  <w:num w:numId="30">
    <w:abstractNumId w:val="26"/>
  </w:num>
  <w:num w:numId="31">
    <w:abstractNumId w:val="18"/>
  </w:num>
  <w:num w:numId="32">
    <w:abstractNumId w:val="23"/>
    <w:lvlOverride w:ilvl="0"/>
    <w:lvlOverride w:ilvl="1"/>
    <w:lvlOverride w:ilvl="2"/>
    <w:lvlOverride w:ilvl="3"/>
    <w:lvlOverride w:ilvl="4"/>
    <w:lvlOverride w:ilvl="5"/>
    <w:lvlOverride w:ilvl="6"/>
    <w:lvlOverride w:ilvl="7"/>
    <w:lvlOverride w:ilvl="8"/>
  </w:num>
  <w:num w:numId="33">
    <w:abstractNumId w:val="13"/>
    <w:lvlOverride w:ilvl="0"/>
    <w:lvlOverride w:ilvl="1">
      <w:startOverride w:val="1"/>
    </w:lvlOverride>
    <w:lvlOverride w:ilvl="2"/>
    <w:lvlOverride w:ilvl="3"/>
    <w:lvlOverride w:ilvl="4"/>
    <w:lvlOverride w:ilvl="5"/>
    <w:lvlOverride w:ilvl="6"/>
    <w:lvlOverride w:ilvl="7"/>
    <w:lvlOverride w:ilvl="8"/>
  </w:num>
  <w:num w:numId="34">
    <w:abstractNumId w:val="13"/>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13B92"/>
    <w:rsid w:val="000174DB"/>
    <w:rsid w:val="000267F1"/>
    <w:rsid w:val="0003523A"/>
    <w:rsid w:val="00043D05"/>
    <w:rsid w:val="000807F5"/>
    <w:rsid w:val="00087FCE"/>
    <w:rsid w:val="000E7558"/>
    <w:rsid w:val="00135AFD"/>
    <w:rsid w:val="0015249E"/>
    <w:rsid w:val="001A2878"/>
    <w:rsid w:val="001D15E7"/>
    <w:rsid w:val="002308AB"/>
    <w:rsid w:val="00242151"/>
    <w:rsid w:val="002447C8"/>
    <w:rsid w:val="002C0701"/>
    <w:rsid w:val="002C1022"/>
    <w:rsid w:val="002C5C06"/>
    <w:rsid w:val="002E3FAE"/>
    <w:rsid w:val="002F6F2F"/>
    <w:rsid w:val="003026F6"/>
    <w:rsid w:val="00303763"/>
    <w:rsid w:val="00305897"/>
    <w:rsid w:val="003104F8"/>
    <w:rsid w:val="00315682"/>
    <w:rsid w:val="0033670C"/>
    <w:rsid w:val="003701E1"/>
    <w:rsid w:val="003F47D4"/>
    <w:rsid w:val="0040660B"/>
    <w:rsid w:val="004109AE"/>
    <w:rsid w:val="00490DD8"/>
    <w:rsid w:val="004C4CCB"/>
    <w:rsid w:val="004E5AEB"/>
    <w:rsid w:val="0050690E"/>
    <w:rsid w:val="00534DE9"/>
    <w:rsid w:val="00536B9E"/>
    <w:rsid w:val="00583E48"/>
    <w:rsid w:val="005A5F3D"/>
    <w:rsid w:val="005C202E"/>
    <w:rsid w:val="005C698A"/>
    <w:rsid w:val="005D26D1"/>
    <w:rsid w:val="005E189B"/>
    <w:rsid w:val="005F2D90"/>
    <w:rsid w:val="00626AB6"/>
    <w:rsid w:val="0064016E"/>
    <w:rsid w:val="00661909"/>
    <w:rsid w:val="00664C9C"/>
    <w:rsid w:val="00686894"/>
    <w:rsid w:val="006A1A71"/>
    <w:rsid w:val="006A6D5C"/>
    <w:rsid w:val="006B0A4D"/>
    <w:rsid w:val="006D3A03"/>
    <w:rsid w:val="006D4BD6"/>
    <w:rsid w:val="00721665"/>
    <w:rsid w:val="00745A1A"/>
    <w:rsid w:val="00772B13"/>
    <w:rsid w:val="007B0B50"/>
    <w:rsid w:val="007C44EC"/>
    <w:rsid w:val="007D2C03"/>
    <w:rsid w:val="007D5832"/>
    <w:rsid w:val="007E3D1D"/>
    <w:rsid w:val="007F0449"/>
    <w:rsid w:val="00824F90"/>
    <w:rsid w:val="008452B8"/>
    <w:rsid w:val="008570ED"/>
    <w:rsid w:val="00872C05"/>
    <w:rsid w:val="008933DD"/>
    <w:rsid w:val="008F6A48"/>
    <w:rsid w:val="00982C42"/>
    <w:rsid w:val="00990139"/>
    <w:rsid w:val="009F1627"/>
    <w:rsid w:val="00A10F4C"/>
    <w:rsid w:val="00A10FCD"/>
    <w:rsid w:val="00A35CF9"/>
    <w:rsid w:val="00A5372E"/>
    <w:rsid w:val="00A8022A"/>
    <w:rsid w:val="00AA11AD"/>
    <w:rsid w:val="00AC38FB"/>
    <w:rsid w:val="00AF1CAF"/>
    <w:rsid w:val="00AF6B4F"/>
    <w:rsid w:val="00B01B48"/>
    <w:rsid w:val="00B0510B"/>
    <w:rsid w:val="00B218D1"/>
    <w:rsid w:val="00B44599"/>
    <w:rsid w:val="00B831D8"/>
    <w:rsid w:val="00B87220"/>
    <w:rsid w:val="00B87F3E"/>
    <w:rsid w:val="00BA2E86"/>
    <w:rsid w:val="00BC1D2A"/>
    <w:rsid w:val="00BE62B3"/>
    <w:rsid w:val="00BF0D52"/>
    <w:rsid w:val="00C150D7"/>
    <w:rsid w:val="00C35CD1"/>
    <w:rsid w:val="00CF1571"/>
    <w:rsid w:val="00D0339D"/>
    <w:rsid w:val="00D05B34"/>
    <w:rsid w:val="00D32605"/>
    <w:rsid w:val="00D70F90"/>
    <w:rsid w:val="00DE65F7"/>
    <w:rsid w:val="00E0509C"/>
    <w:rsid w:val="00E104D3"/>
    <w:rsid w:val="00E21013"/>
    <w:rsid w:val="00E22CE3"/>
    <w:rsid w:val="00E54ED0"/>
    <w:rsid w:val="00EC6D69"/>
    <w:rsid w:val="00ED0BC3"/>
    <w:rsid w:val="00EE0E58"/>
    <w:rsid w:val="00EF2077"/>
    <w:rsid w:val="00F066ED"/>
    <w:rsid w:val="00F77C95"/>
    <w:rsid w:val="00F82EE5"/>
    <w:rsid w:val="00F9120A"/>
    <w:rsid w:val="00FC0E69"/>
    <w:rsid w:val="00FC4F98"/>
    <w:rsid w:val="00FD0795"/>
    <w:rsid w:val="00FE01FA"/>
    <w:rsid w:val="00FE54E7"/>
    <w:rsid w:val="00FF1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8753">
      <w:bodyDiv w:val="1"/>
      <w:marLeft w:val="0"/>
      <w:marRight w:val="0"/>
      <w:marTop w:val="0"/>
      <w:marBottom w:val="0"/>
      <w:divBdr>
        <w:top w:val="none" w:sz="0" w:space="0" w:color="auto"/>
        <w:left w:val="none" w:sz="0" w:space="0" w:color="auto"/>
        <w:bottom w:val="none" w:sz="0" w:space="0" w:color="auto"/>
        <w:right w:val="none" w:sz="0" w:space="0" w:color="auto"/>
      </w:divBdr>
    </w:div>
    <w:div w:id="124395911">
      <w:bodyDiv w:val="1"/>
      <w:marLeft w:val="0"/>
      <w:marRight w:val="0"/>
      <w:marTop w:val="0"/>
      <w:marBottom w:val="0"/>
      <w:divBdr>
        <w:top w:val="none" w:sz="0" w:space="0" w:color="auto"/>
        <w:left w:val="none" w:sz="0" w:space="0" w:color="auto"/>
        <w:bottom w:val="none" w:sz="0" w:space="0" w:color="auto"/>
        <w:right w:val="none" w:sz="0" w:space="0" w:color="auto"/>
      </w:divBdr>
    </w:div>
    <w:div w:id="403992850">
      <w:bodyDiv w:val="1"/>
      <w:marLeft w:val="0"/>
      <w:marRight w:val="0"/>
      <w:marTop w:val="0"/>
      <w:marBottom w:val="0"/>
      <w:divBdr>
        <w:top w:val="none" w:sz="0" w:space="0" w:color="auto"/>
        <w:left w:val="none" w:sz="0" w:space="0" w:color="auto"/>
        <w:bottom w:val="none" w:sz="0" w:space="0" w:color="auto"/>
        <w:right w:val="none" w:sz="0" w:space="0" w:color="auto"/>
      </w:divBdr>
      <w:divsChild>
        <w:div w:id="1275207858">
          <w:marLeft w:val="547"/>
          <w:marRight w:val="0"/>
          <w:marTop w:val="86"/>
          <w:marBottom w:val="0"/>
          <w:divBdr>
            <w:top w:val="none" w:sz="0" w:space="0" w:color="auto"/>
            <w:left w:val="none" w:sz="0" w:space="0" w:color="auto"/>
            <w:bottom w:val="none" w:sz="0" w:space="0" w:color="auto"/>
            <w:right w:val="none" w:sz="0" w:space="0" w:color="auto"/>
          </w:divBdr>
        </w:div>
        <w:div w:id="764615892">
          <w:marLeft w:val="547"/>
          <w:marRight w:val="0"/>
          <w:marTop w:val="86"/>
          <w:marBottom w:val="0"/>
          <w:divBdr>
            <w:top w:val="none" w:sz="0" w:space="0" w:color="auto"/>
            <w:left w:val="none" w:sz="0" w:space="0" w:color="auto"/>
            <w:bottom w:val="none" w:sz="0" w:space="0" w:color="auto"/>
            <w:right w:val="none" w:sz="0" w:space="0" w:color="auto"/>
          </w:divBdr>
        </w:div>
        <w:div w:id="1121874068">
          <w:marLeft w:val="547"/>
          <w:marRight w:val="0"/>
          <w:marTop w:val="86"/>
          <w:marBottom w:val="0"/>
          <w:divBdr>
            <w:top w:val="none" w:sz="0" w:space="0" w:color="auto"/>
            <w:left w:val="none" w:sz="0" w:space="0" w:color="auto"/>
            <w:bottom w:val="none" w:sz="0" w:space="0" w:color="auto"/>
            <w:right w:val="none" w:sz="0" w:space="0" w:color="auto"/>
          </w:divBdr>
        </w:div>
      </w:divsChild>
    </w:div>
    <w:div w:id="704912038">
      <w:bodyDiv w:val="1"/>
      <w:marLeft w:val="0"/>
      <w:marRight w:val="0"/>
      <w:marTop w:val="0"/>
      <w:marBottom w:val="0"/>
      <w:divBdr>
        <w:top w:val="none" w:sz="0" w:space="0" w:color="auto"/>
        <w:left w:val="none" w:sz="0" w:space="0" w:color="auto"/>
        <w:bottom w:val="none" w:sz="0" w:space="0" w:color="auto"/>
        <w:right w:val="none" w:sz="0" w:space="0" w:color="auto"/>
      </w:divBdr>
      <w:divsChild>
        <w:div w:id="508103572">
          <w:marLeft w:val="547"/>
          <w:marRight w:val="0"/>
          <w:marTop w:val="86"/>
          <w:marBottom w:val="0"/>
          <w:divBdr>
            <w:top w:val="none" w:sz="0" w:space="0" w:color="auto"/>
            <w:left w:val="none" w:sz="0" w:space="0" w:color="auto"/>
            <w:bottom w:val="none" w:sz="0" w:space="0" w:color="auto"/>
            <w:right w:val="none" w:sz="0" w:space="0" w:color="auto"/>
          </w:divBdr>
        </w:div>
        <w:div w:id="347485388">
          <w:marLeft w:val="547"/>
          <w:marRight w:val="0"/>
          <w:marTop w:val="86"/>
          <w:marBottom w:val="0"/>
          <w:divBdr>
            <w:top w:val="none" w:sz="0" w:space="0" w:color="auto"/>
            <w:left w:val="none" w:sz="0" w:space="0" w:color="auto"/>
            <w:bottom w:val="none" w:sz="0" w:space="0" w:color="auto"/>
            <w:right w:val="none" w:sz="0" w:space="0" w:color="auto"/>
          </w:divBdr>
        </w:div>
        <w:div w:id="1667318399">
          <w:marLeft w:val="547"/>
          <w:marRight w:val="0"/>
          <w:marTop w:val="86"/>
          <w:marBottom w:val="0"/>
          <w:divBdr>
            <w:top w:val="none" w:sz="0" w:space="0" w:color="auto"/>
            <w:left w:val="none" w:sz="0" w:space="0" w:color="auto"/>
            <w:bottom w:val="none" w:sz="0" w:space="0" w:color="auto"/>
            <w:right w:val="none" w:sz="0" w:space="0" w:color="auto"/>
          </w:divBdr>
        </w:div>
        <w:div w:id="1594246460">
          <w:marLeft w:val="547"/>
          <w:marRight w:val="0"/>
          <w:marTop w:val="86"/>
          <w:marBottom w:val="0"/>
          <w:divBdr>
            <w:top w:val="none" w:sz="0" w:space="0" w:color="auto"/>
            <w:left w:val="none" w:sz="0" w:space="0" w:color="auto"/>
            <w:bottom w:val="none" w:sz="0" w:space="0" w:color="auto"/>
            <w:right w:val="none" w:sz="0" w:space="0" w:color="auto"/>
          </w:divBdr>
        </w:div>
      </w:divsChild>
    </w:div>
    <w:div w:id="876160524">
      <w:bodyDiv w:val="1"/>
      <w:marLeft w:val="0"/>
      <w:marRight w:val="0"/>
      <w:marTop w:val="0"/>
      <w:marBottom w:val="0"/>
      <w:divBdr>
        <w:top w:val="none" w:sz="0" w:space="0" w:color="auto"/>
        <w:left w:val="none" w:sz="0" w:space="0" w:color="auto"/>
        <w:bottom w:val="none" w:sz="0" w:space="0" w:color="auto"/>
        <w:right w:val="none" w:sz="0" w:space="0" w:color="auto"/>
      </w:divBdr>
    </w:div>
    <w:div w:id="985399369">
      <w:bodyDiv w:val="1"/>
      <w:marLeft w:val="0"/>
      <w:marRight w:val="0"/>
      <w:marTop w:val="0"/>
      <w:marBottom w:val="0"/>
      <w:divBdr>
        <w:top w:val="none" w:sz="0" w:space="0" w:color="auto"/>
        <w:left w:val="none" w:sz="0" w:space="0" w:color="auto"/>
        <w:bottom w:val="none" w:sz="0" w:space="0" w:color="auto"/>
        <w:right w:val="none" w:sz="0" w:space="0" w:color="auto"/>
      </w:divBdr>
    </w:div>
    <w:div w:id="1227836780">
      <w:bodyDiv w:val="1"/>
      <w:marLeft w:val="0"/>
      <w:marRight w:val="0"/>
      <w:marTop w:val="0"/>
      <w:marBottom w:val="0"/>
      <w:divBdr>
        <w:top w:val="none" w:sz="0" w:space="0" w:color="auto"/>
        <w:left w:val="none" w:sz="0" w:space="0" w:color="auto"/>
        <w:bottom w:val="none" w:sz="0" w:space="0" w:color="auto"/>
        <w:right w:val="none" w:sz="0" w:space="0" w:color="auto"/>
      </w:divBdr>
    </w:div>
    <w:div w:id="1290933265">
      <w:bodyDiv w:val="1"/>
      <w:marLeft w:val="0"/>
      <w:marRight w:val="0"/>
      <w:marTop w:val="0"/>
      <w:marBottom w:val="0"/>
      <w:divBdr>
        <w:top w:val="none" w:sz="0" w:space="0" w:color="auto"/>
        <w:left w:val="none" w:sz="0" w:space="0" w:color="auto"/>
        <w:bottom w:val="none" w:sz="0" w:space="0" w:color="auto"/>
        <w:right w:val="none" w:sz="0" w:space="0" w:color="auto"/>
      </w:divBdr>
    </w:div>
    <w:div w:id="1322931751">
      <w:bodyDiv w:val="1"/>
      <w:marLeft w:val="0"/>
      <w:marRight w:val="0"/>
      <w:marTop w:val="0"/>
      <w:marBottom w:val="0"/>
      <w:divBdr>
        <w:top w:val="none" w:sz="0" w:space="0" w:color="auto"/>
        <w:left w:val="none" w:sz="0" w:space="0" w:color="auto"/>
        <w:bottom w:val="none" w:sz="0" w:space="0" w:color="auto"/>
        <w:right w:val="none" w:sz="0" w:space="0" w:color="auto"/>
      </w:divBdr>
    </w:div>
    <w:div w:id="1433629542">
      <w:bodyDiv w:val="1"/>
      <w:marLeft w:val="0"/>
      <w:marRight w:val="0"/>
      <w:marTop w:val="0"/>
      <w:marBottom w:val="0"/>
      <w:divBdr>
        <w:top w:val="none" w:sz="0" w:space="0" w:color="auto"/>
        <w:left w:val="none" w:sz="0" w:space="0" w:color="auto"/>
        <w:bottom w:val="none" w:sz="0" w:space="0" w:color="auto"/>
        <w:right w:val="none" w:sz="0" w:space="0" w:color="auto"/>
      </w:divBdr>
    </w:div>
    <w:div w:id="1638954415">
      <w:bodyDiv w:val="1"/>
      <w:marLeft w:val="0"/>
      <w:marRight w:val="0"/>
      <w:marTop w:val="0"/>
      <w:marBottom w:val="0"/>
      <w:divBdr>
        <w:top w:val="none" w:sz="0" w:space="0" w:color="auto"/>
        <w:left w:val="none" w:sz="0" w:space="0" w:color="auto"/>
        <w:bottom w:val="none" w:sz="0" w:space="0" w:color="auto"/>
        <w:right w:val="none" w:sz="0" w:space="0" w:color="auto"/>
      </w:divBdr>
    </w:div>
    <w:div w:id="201529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rris@r-e-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ergynetworks.org/assets/files/ENA%20Common%20Evaluation%20Methodology-publishedpd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Isobel Morris</cp:lastModifiedBy>
  <cp:revision>6</cp:revision>
  <dcterms:created xsi:type="dcterms:W3CDTF">2020-09-25T14:35:00Z</dcterms:created>
  <dcterms:modified xsi:type="dcterms:W3CDTF">2020-09-25T16:14:00Z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