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0E845" w14:textId="04A572CC" w:rsidR="00EB234D" w:rsidRPr="00EB234D" w:rsidRDefault="00EB234D" w:rsidP="00EB234D">
      <w:pPr>
        <w:jc w:val="center"/>
        <w:rPr>
          <w:rFonts w:ascii="Open Sans" w:hAnsi="Open Sans" w:cs="Open Sans"/>
          <w:b/>
          <w:bCs/>
          <w:color w:val="06926B"/>
          <w:sz w:val="28"/>
          <w:szCs w:val="28"/>
        </w:rPr>
      </w:pPr>
      <w:bookmarkStart w:id="0" w:name="Transport_decarbonisation_plan:_call_for"/>
      <w:bookmarkEnd w:id="0"/>
      <w:r w:rsidRPr="00EB234D">
        <w:rPr>
          <w:rFonts w:ascii="Open Sans" w:hAnsi="Open Sans" w:cs="Open Sans"/>
          <w:b/>
          <w:bCs/>
          <w:color w:val="06926B"/>
          <w:sz w:val="28"/>
          <w:szCs w:val="28"/>
        </w:rPr>
        <w:t xml:space="preserve">REA Draft Response – Transport Decarbonisation Plan </w:t>
      </w:r>
    </w:p>
    <w:p w14:paraId="7B1B8B2F" w14:textId="6EBAE2EE" w:rsidR="00EB234D" w:rsidRPr="00EB234D" w:rsidRDefault="003F5607" w:rsidP="00EB234D">
      <w:pPr>
        <w:pStyle w:val="NoSpacing"/>
        <w:jc w:val="center"/>
        <w:rPr>
          <w:rFonts w:ascii="Open Sans" w:hAnsi="Open Sans" w:cs="Open Sans"/>
        </w:rPr>
      </w:pPr>
      <w:r>
        <w:rPr>
          <w:rFonts w:ascii="Open Sans" w:hAnsi="Open Sans" w:cs="Open Sans"/>
        </w:rPr>
        <w:t>September</w:t>
      </w:r>
      <w:r w:rsidR="00EB234D" w:rsidRPr="00EB234D">
        <w:rPr>
          <w:rFonts w:ascii="Open Sans" w:hAnsi="Open Sans" w:cs="Open Sans"/>
        </w:rPr>
        <w:t xml:space="preserve"> 2020  </w:t>
      </w:r>
    </w:p>
    <w:p w14:paraId="6AB78E65" w14:textId="019C23E5" w:rsidR="00EB234D" w:rsidRPr="00EB234D" w:rsidRDefault="00EB234D" w:rsidP="00EB234D">
      <w:pPr>
        <w:pStyle w:val="NoSpacing"/>
        <w:jc w:val="center"/>
        <w:rPr>
          <w:rFonts w:ascii="Open Sans" w:hAnsi="Open Sans" w:cs="Open Sans"/>
        </w:rPr>
      </w:pPr>
      <w:r w:rsidRPr="00CF050F">
        <w:rPr>
          <w:rFonts w:ascii="Open Sans" w:hAnsi="Open Sans" w:cs="Open Sans"/>
          <w:highlight w:val="yellow"/>
        </w:rPr>
        <w:t>Confidential – for REA</w:t>
      </w:r>
      <w:r w:rsidR="00CF050F" w:rsidRPr="00CF050F">
        <w:rPr>
          <w:rFonts w:ascii="Open Sans" w:hAnsi="Open Sans" w:cs="Open Sans"/>
          <w:highlight w:val="yellow"/>
        </w:rPr>
        <w:t xml:space="preserve"> Members </w:t>
      </w:r>
      <w:r w:rsidRPr="00CF050F">
        <w:rPr>
          <w:rFonts w:ascii="Open Sans" w:hAnsi="Open Sans" w:cs="Open Sans"/>
          <w:highlight w:val="yellow"/>
        </w:rPr>
        <w:t>review</w:t>
      </w:r>
    </w:p>
    <w:p w14:paraId="1EDEB081" w14:textId="77777777" w:rsidR="00EB234D" w:rsidRPr="00EB234D" w:rsidRDefault="00EB234D" w:rsidP="00EB234D">
      <w:pPr>
        <w:pStyle w:val="NoSpacing"/>
        <w:rPr>
          <w:rFonts w:ascii="Open Sans" w:hAnsi="Open Sans" w:cs="Open Sans"/>
          <w:b/>
          <w:bCs/>
        </w:rPr>
      </w:pPr>
    </w:p>
    <w:p w14:paraId="60260959" w14:textId="0E2D79D2" w:rsidR="00EB234D" w:rsidRPr="00EB234D" w:rsidRDefault="00EB234D" w:rsidP="00EB234D">
      <w:pPr>
        <w:pStyle w:val="NoSpacing"/>
        <w:jc w:val="center"/>
        <w:rPr>
          <w:rStyle w:val="Hyperlink"/>
          <w:rFonts w:ascii="Open Sans" w:hAnsi="Open Sans" w:cs="Open Sans"/>
        </w:rPr>
      </w:pPr>
      <w:r w:rsidRPr="00EB234D">
        <w:rPr>
          <w:rFonts w:ascii="Open Sans" w:hAnsi="Open Sans" w:cs="Open Sans"/>
          <w:b/>
          <w:bCs/>
        </w:rPr>
        <w:t>Key contacts</w:t>
      </w:r>
      <w:r w:rsidRPr="00EB234D">
        <w:rPr>
          <w:rFonts w:ascii="Open Sans" w:hAnsi="Open Sans" w:cs="Open Sans"/>
        </w:rPr>
        <w:t xml:space="preserve">: Daniel Brown, REA EV Lead – </w:t>
      </w:r>
      <w:hyperlink r:id="rId8" w:history="1">
        <w:r w:rsidRPr="00EB234D">
          <w:rPr>
            <w:rStyle w:val="Hyperlink"/>
            <w:rFonts w:ascii="Open Sans" w:hAnsi="Open Sans" w:cs="Open Sans"/>
          </w:rPr>
          <w:t>dbrown@r-e-a.net</w:t>
        </w:r>
      </w:hyperlink>
    </w:p>
    <w:p w14:paraId="01A71A53" w14:textId="7F3771EB" w:rsidR="00EB234D" w:rsidRPr="00EB234D" w:rsidRDefault="00EB234D" w:rsidP="00EB234D">
      <w:pPr>
        <w:pStyle w:val="NoSpacing"/>
        <w:jc w:val="center"/>
        <w:rPr>
          <w:rFonts w:ascii="Open Sans" w:hAnsi="Open Sans" w:cs="Open Sans"/>
        </w:rPr>
      </w:pPr>
      <w:r w:rsidRPr="00EB234D">
        <w:rPr>
          <w:rStyle w:val="Hyperlink"/>
          <w:rFonts w:ascii="Open Sans" w:hAnsi="Open Sans" w:cs="Open Sans"/>
          <w:color w:val="auto"/>
          <w:u w:val="none"/>
        </w:rPr>
        <w:t xml:space="preserve">Gaynor Hartnell, REA Head of Renewable Transport Fuels – </w:t>
      </w:r>
      <w:hyperlink r:id="rId9" w:history="1">
        <w:r w:rsidRPr="00EB234D">
          <w:rPr>
            <w:rStyle w:val="Hyperlink"/>
            <w:rFonts w:ascii="Open Sans" w:hAnsi="Open Sans" w:cs="Open Sans"/>
          </w:rPr>
          <w:t>ghartnell@r-e-a.net</w:t>
        </w:r>
      </w:hyperlink>
      <w:r w:rsidRPr="00EB234D">
        <w:rPr>
          <w:rStyle w:val="Hyperlink"/>
          <w:rFonts w:ascii="Open Sans" w:hAnsi="Open Sans" w:cs="Open Sans"/>
          <w:color w:val="auto"/>
          <w:u w:val="none"/>
        </w:rPr>
        <w:t xml:space="preserve"> </w:t>
      </w:r>
    </w:p>
    <w:p w14:paraId="2E4175EC" w14:textId="77777777" w:rsidR="00EB234D" w:rsidRPr="00EB234D" w:rsidRDefault="00EB234D" w:rsidP="00EB234D">
      <w:pPr>
        <w:pStyle w:val="NoSpacing"/>
        <w:rPr>
          <w:rFonts w:ascii="Open Sans" w:hAnsi="Open Sans" w:cs="Open Sans"/>
        </w:rPr>
      </w:pPr>
    </w:p>
    <w:p w14:paraId="150A5600" w14:textId="77777777" w:rsidR="00772D5B" w:rsidRPr="00EB234D" w:rsidRDefault="00772D5B" w:rsidP="00772D5B">
      <w:pPr>
        <w:pStyle w:val="NoSpacing"/>
        <w:rPr>
          <w:rFonts w:ascii="Open Sans" w:hAnsi="Open Sans" w:cs="Open Sans"/>
          <w:b/>
          <w:bCs/>
          <w:u w:val="single"/>
        </w:rPr>
      </w:pPr>
      <w:r w:rsidRPr="00EB234D">
        <w:rPr>
          <w:rFonts w:ascii="Open Sans" w:hAnsi="Open Sans" w:cs="Open Sans"/>
          <w:b/>
          <w:bCs/>
          <w:u w:val="single"/>
        </w:rPr>
        <w:t>Background for members</w:t>
      </w:r>
    </w:p>
    <w:p w14:paraId="4891F107" w14:textId="77777777" w:rsidR="00772D5B" w:rsidRPr="00EB234D" w:rsidRDefault="00772D5B" w:rsidP="00772D5B">
      <w:pPr>
        <w:pStyle w:val="NoSpacing"/>
        <w:rPr>
          <w:rFonts w:ascii="Open Sans" w:hAnsi="Open Sans" w:cs="Open Sans"/>
          <w:b/>
          <w:bCs/>
        </w:rPr>
      </w:pPr>
    </w:p>
    <w:p w14:paraId="21D867C5" w14:textId="77777777" w:rsidR="00772D5B" w:rsidRPr="00EB234D" w:rsidRDefault="00772D5B" w:rsidP="00772D5B">
      <w:pPr>
        <w:pStyle w:val="NoSpacing"/>
        <w:numPr>
          <w:ilvl w:val="0"/>
          <w:numId w:val="14"/>
        </w:numPr>
        <w:rPr>
          <w:rFonts w:ascii="Open Sans" w:hAnsi="Open Sans" w:cs="Open Sans"/>
        </w:rPr>
      </w:pPr>
      <w:r w:rsidRPr="00EB234D">
        <w:rPr>
          <w:rFonts w:ascii="Open Sans" w:hAnsi="Open Sans" w:cs="Open Sans"/>
        </w:rPr>
        <w:t>The Department for Transport is running a consultation calling for ideas to inform the forthcoming Transport Decarbonisation Plan (TDP)</w:t>
      </w:r>
    </w:p>
    <w:p w14:paraId="0611BC53" w14:textId="77777777" w:rsidR="00772D5B" w:rsidRPr="00EB234D" w:rsidRDefault="00772D5B" w:rsidP="00772D5B">
      <w:pPr>
        <w:pStyle w:val="NoSpacing"/>
        <w:numPr>
          <w:ilvl w:val="0"/>
          <w:numId w:val="14"/>
        </w:numPr>
        <w:rPr>
          <w:rFonts w:ascii="Open Sans" w:hAnsi="Open Sans" w:cs="Open Sans"/>
        </w:rPr>
      </w:pPr>
      <w:r w:rsidRPr="00EB234D">
        <w:rPr>
          <w:rFonts w:ascii="Open Sans" w:hAnsi="Open Sans" w:cs="Open Sans"/>
        </w:rPr>
        <w:t>The TDP will build on the Road to Zero Strategy (2018) which laid out Government positioning on cars and light vans</w:t>
      </w:r>
    </w:p>
    <w:p w14:paraId="717261C3" w14:textId="0A6BDB13" w:rsidR="00772D5B" w:rsidRPr="00EB234D" w:rsidRDefault="00772D5B" w:rsidP="00772D5B">
      <w:pPr>
        <w:pStyle w:val="NoSpacing"/>
        <w:numPr>
          <w:ilvl w:val="0"/>
          <w:numId w:val="14"/>
        </w:numPr>
        <w:rPr>
          <w:rFonts w:ascii="Open Sans" w:hAnsi="Open Sans" w:cs="Open Sans"/>
        </w:rPr>
      </w:pPr>
      <w:r w:rsidRPr="00EB234D">
        <w:rPr>
          <w:rFonts w:ascii="Open Sans" w:hAnsi="Open Sans" w:cs="Open Sans"/>
        </w:rPr>
        <w:t xml:space="preserve">TDP expected to provide a </w:t>
      </w:r>
      <w:r w:rsidR="0049343F" w:rsidRPr="00EB234D">
        <w:rPr>
          <w:rFonts w:ascii="Open Sans" w:hAnsi="Open Sans" w:cs="Open Sans"/>
        </w:rPr>
        <w:t>clearer</w:t>
      </w:r>
      <w:r w:rsidRPr="00EB234D">
        <w:rPr>
          <w:rFonts w:ascii="Open Sans" w:hAnsi="Open Sans" w:cs="Open Sans"/>
        </w:rPr>
        <w:t xml:space="preserve"> policy direction in areas such as aviation, marine, rail, micro-</w:t>
      </w:r>
      <w:proofErr w:type="gramStart"/>
      <w:r w:rsidRPr="00EB234D">
        <w:rPr>
          <w:rFonts w:ascii="Open Sans" w:hAnsi="Open Sans" w:cs="Open Sans"/>
        </w:rPr>
        <w:t>mobility</w:t>
      </w:r>
      <w:proofErr w:type="gramEnd"/>
      <w:r w:rsidRPr="00EB234D">
        <w:rPr>
          <w:rFonts w:ascii="Open Sans" w:hAnsi="Open Sans" w:cs="Open Sans"/>
        </w:rPr>
        <w:t xml:space="preserve"> and heavier road vehicles</w:t>
      </w:r>
    </w:p>
    <w:p w14:paraId="78911EC4" w14:textId="786B093D" w:rsidR="00EB234D" w:rsidRDefault="00EB234D" w:rsidP="00F750B7">
      <w:pPr>
        <w:rPr>
          <w:rFonts w:ascii="Open Sans" w:hAnsi="Open Sans" w:cs="Open Sans"/>
          <w:b/>
          <w:bCs/>
          <w:spacing w:val="-3"/>
          <w:u w:val="single"/>
        </w:rPr>
      </w:pPr>
      <w:r w:rsidRPr="00EB234D">
        <w:rPr>
          <w:rFonts w:ascii="Open Sans" w:hAnsi="Open Sans" w:cs="Open Sans"/>
          <w:b/>
          <w:bCs/>
          <w:spacing w:val="-3"/>
          <w:u w:val="single"/>
        </w:rPr>
        <w:t>Consultation questions</w:t>
      </w:r>
    </w:p>
    <w:p w14:paraId="3D4E60F9" w14:textId="0AE2C185" w:rsidR="00EB234D" w:rsidRPr="008965DA" w:rsidRDefault="00EB234D" w:rsidP="00F750B7">
      <w:pPr>
        <w:rPr>
          <w:rFonts w:ascii="Open Sans" w:hAnsi="Open Sans" w:cs="Open Sans"/>
          <w:b/>
          <w:bCs/>
          <w:spacing w:val="-3"/>
        </w:rPr>
      </w:pPr>
      <w:r w:rsidRPr="008965DA">
        <w:rPr>
          <w:rFonts w:ascii="Open Sans" w:hAnsi="Open Sans" w:cs="Open Sans"/>
          <w:b/>
          <w:bCs/>
          <w:spacing w:val="-3"/>
        </w:rPr>
        <w:t>What is the approximate total number of employees in your organisation?</w:t>
      </w:r>
    </w:p>
    <w:p w14:paraId="0AC67C03" w14:textId="1BFA0291" w:rsidR="00EB234D" w:rsidRPr="008965DA" w:rsidRDefault="00EB234D" w:rsidP="00EB234D">
      <w:pPr>
        <w:pStyle w:val="ListParagraph"/>
        <w:numPr>
          <w:ilvl w:val="0"/>
          <w:numId w:val="15"/>
        </w:numPr>
        <w:rPr>
          <w:rFonts w:ascii="Open Sans" w:hAnsi="Open Sans" w:cs="Open Sans"/>
          <w:spacing w:val="-3"/>
        </w:rPr>
      </w:pPr>
      <w:r w:rsidRPr="008965DA">
        <w:rPr>
          <w:rFonts w:ascii="Open Sans" w:hAnsi="Open Sans" w:cs="Open Sans"/>
          <w:spacing w:val="-3"/>
        </w:rPr>
        <w:t>Response: 45</w:t>
      </w:r>
    </w:p>
    <w:p w14:paraId="68CAEC7E" w14:textId="6ABB2E5F" w:rsidR="00EB234D" w:rsidRPr="008965DA" w:rsidRDefault="00EB234D" w:rsidP="00F750B7">
      <w:pPr>
        <w:rPr>
          <w:rFonts w:ascii="Open Sans" w:hAnsi="Open Sans" w:cs="Open Sans"/>
          <w:b/>
          <w:bCs/>
          <w:spacing w:val="-3"/>
        </w:rPr>
      </w:pPr>
      <w:r w:rsidRPr="008965DA">
        <w:rPr>
          <w:rFonts w:ascii="Open Sans" w:hAnsi="Open Sans" w:cs="Open Sans"/>
          <w:b/>
          <w:bCs/>
          <w:spacing w:val="-3"/>
        </w:rPr>
        <w:t>What best describes your organisation?</w:t>
      </w:r>
    </w:p>
    <w:p w14:paraId="0BD97BEB" w14:textId="29EED665" w:rsidR="007C5089" w:rsidRPr="008965DA" w:rsidRDefault="007C5089" w:rsidP="00EB234D">
      <w:pPr>
        <w:pStyle w:val="BodyText"/>
        <w:ind w:left="0"/>
        <w:rPr>
          <w:rFonts w:ascii="Open Sans" w:hAnsi="Open Sans" w:cs="Open Sans"/>
          <w:sz w:val="22"/>
          <w:szCs w:val="22"/>
        </w:rPr>
      </w:pPr>
      <w:bookmarkStart w:id="1" w:name="What_is_the_approximate_total_number_of_"/>
      <w:bookmarkEnd w:id="1"/>
    </w:p>
    <w:p w14:paraId="453CB78B" w14:textId="71D33653" w:rsidR="00772D5B" w:rsidRPr="008965DA" w:rsidRDefault="00772D5B" w:rsidP="00772D5B">
      <w:pPr>
        <w:pStyle w:val="BodyText"/>
        <w:numPr>
          <w:ilvl w:val="0"/>
          <w:numId w:val="15"/>
        </w:numPr>
        <w:rPr>
          <w:rFonts w:ascii="Open Sans" w:hAnsi="Open Sans" w:cs="Open Sans"/>
          <w:sz w:val="22"/>
          <w:szCs w:val="22"/>
        </w:rPr>
      </w:pPr>
      <w:r w:rsidRPr="008965DA">
        <w:rPr>
          <w:rFonts w:ascii="Open Sans" w:hAnsi="Open Sans" w:cs="Open Sans"/>
          <w:sz w:val="22"/>
          <w:szCs w:val="22"/>
        </w:rPr>
        <w:t xml:space="preserve">Response: The Association for Renewable Energy and Clean Technology (known as REA) is the UK’s largest trade association for the renewable energy and clean technology industry, representing around 550 members operating across the decarbonisation of heat, power, </w:t>
      </w:r>
      <w:proofErr w:type="gramStart"/>
      <w:r w:rsidRPr="008965DA">
        <w:rPr>
          <w:rFonts w:ascii="Open Sans" w:hAnsi="Open Sans" w:cs="Open Sans"/>
          <w:sz w:val="22"/>
          <w:szCs w:val="22"/>
        </w:rPr>
        <w:t>transport</w:t>
      </w:r>
      <w:proofErr w:type="gramEnd"/>
      <w:r w:rsidRPr="008965DA">
        <w:rPr>
          <w:rFonts w:ascii="Open Sans" w:hAnsi="Open Sans" w:cs="Open Sans"/>
          <w:sz w:val="22"/>
          <w:szCs w:val="22"/>
        </w:rPr>
        <w:t xml:space="preserve"> and natural capital. The REA represents fourteen technolog</w:t>
      </w:r>
      <w:r w:rsidR="0049343F" w:rsidRPr="008965DA">
        <w:rPr>
          <w:rFonts w:ascii="Open Sans" w:hAnsi="Open Sans" w:cs="Open Sans"/>
          <w:sz w:val="22"/>
          <w:szCs w:val="22"/>
        </w:rPr>
        <w:t>y</w:t>
      </w:r>
      <w:r w:rsidRPr="008965DA">
        <w:rPr>
          <w:rFonts w:ascii="Open Sans" w:hAnsi="Open Sans" w:cs="Open Sans"/>
          <w:sz w:val="22"/>
          <w:szCs w:val="22"/>
        </w:rPr>
        <w:t xml:space="preserve"> groups, including (particularly for the purpose of this consultation) renewable transport fuels and electric vehicle charging infrastructure. </w:t>
      </w:r>
    </w:p>
    <w:p w14:paraId="48BBF2C2" w14:textId="25CD2797" w:rsidR="00EB234D" w:rsidRPr="008965DA" w:rsidRDefault="00EB234D" w:rsidP="00C233F0">
      <w:pPr>
        <w:pStyle w:val="BodyText"/>
        <w:ind w:left="0"/>
        <w:rPr>
          <w:rFonts w:ascii="Open Sans" w:hAnsi="Open Sans" w:cs="Open Sans"/>
          <w:sz w:val="22"/>
          <w:szCs w:val="22"/>
        </w:rPr>
      </w:pPr>
    </w:p>
    <w:p w14:paraId="4A74A039" w14:textId="1EEFD198" w:rsidR="00C233F0" w:rsidRPr="008965DA" w:rsidRDefault="00C233F0" w:rsidP="00C233F0">
      <w:pPr>
        <w:pStyle w:val="BodyText"/>
        <w:ind w:left="0"/>
        <w:rPr>
          <w:rFonts w:ascii="Open Sans" w:hAnsi="Open Sans" w:cs="Open Sans"/>
          <w:b/>
          <w:bCs/>
          <w:sz w:val="22"/>
          <w:szCs w:val="22"/>
        </w:rPr>
      </w:pPr>
      <w:r w:rsidRPr="008965DA">
        <w:rPr>
          <w:rFonts w:ascii="Open Sans" w:hAnsi="Open Sans" w:cs="Open Sans"/>
          <w:b/>
          <w:bCs/>
          <w:sz w:val="22"/>
          <w:szCs w:val="22"/>
        </w:rPr>
        <w:t>Introductory comments – REA overall</w:t>
      </w:r>
    </w:p>
    <w:p w14:paraId="1A954AD9" w14:textId="766DADDE" w:rsidR="00D33C85" w:rsidRPr="008965DA" w:rsidRDefault="00C233F0" w:rsidP="00C233F0">
      <w:pPr>
        <w:shd w:val="clear" w:color="auto" w:fill="DDD9C3" w:themeFill="background2" w:themeFillShade="E6"/>
        <w:rPr>
          <w:rFonts w:ascii="Open Sans" w:hAnsi="Open Sans" w:cs="Open Sans"/>
        </w:rPr>
      </w:pPr>
      <w:r w:rsidRPr="008965DA">
        <w:rPr>
          <w:rFonts w:ascii="Open Sans" w:hAnsi="Open Sans" w:cs="Open Sans"/>
        </w:rPr>
        <w:t xml:space="preserve">The decarbonisation of transport is a significant challenge. It has become the highest carbon emitting sector of the economy.  It encompasses some of the most difficult activities to decarbonise, such as aviation, heavy road freight and maritime.  The technical and investment challenges in getting from here to net zero carbon emissions require disruptive thinking and a coordinated response from government, society, </w:t>
      </w:r>
      <w:proofErr w:type="gramStart"/>
      <w:r w:rsidRPr="008965DA">
        <w:rPr>
          <w:rFonts w:ascii="Open Sans" w:hAnsi="Open Sans" w:cs="Open Sans"/>
        </w:rPr>
        <w:t>industry</w:t>
      </w:r>
      <w:proofErr w:type="gramEnd"/>
      <w:r w:rsidRPr="008965DA">
        <w:rPr>
          <w:rFonts w:ascii="Open Sans" w:hAnsi="Open Sans" w:cs="Open Sans"/>
        </w:rPr>
        <w:t xml:space="preserve"> and the investment community. </w:t>
      </w:r>
    </w:p>
    <w:p w14:paraId="68B4135C" w14:textId="3E70E637" w:rsidR="00D33C85" w:rsidRPr="008965DA" w:rsidRDefault="00D33C85" w:rsidP="00C233F0">
      <w:pPr>
        <w:shd w:val="clear" w:color="auto" w:fill="DDD9C3" w:themeFill="background2" w:themeFillShade="E6"/>
        <w:rPr>
          <w:rFonts w:ascii="Open Sans" w:hAnsi="Open Sans" w:cs="Open Sans"/>
        </w:rPr>
      </w:pPr>
      <w:r w:rsidRPr="008965DA">
        <w:rPr>
          <w:rFonts w:ascii="Open Sans" w:hAnsi="Open Sans" w:cs="Open Sans"/>
        </w:rPr>
        <w:t xml:space="preserve">The REA, as the voice representing the renewable power, electric vehicle charging infrastructure, and renewable transport fuels industries believes that this endeavour is a major economic opportunity for the UK. In proceeding, a multi-technology approach will be critical. </w:t>
      </w:r>
    </w:p>
    <w:p w14:paraId="1BBF73F5" w14:textId="4DA6791A" w:rsidR="00D33C85" w:rsidRPr="008965DA" w:rsidRDefault="00D33C85" w:rsidP="00C233F0">
      <w:pPr>
        <w:shd w:val="clear" w:color="auto" w:fill="DDD9C3" w:themeFill="background2" w:themeFillShade="E6"/>
        <w:rPr>
          <w:rFonts w:ascii="Open Sans" w:hAnsi="Open Sans" w:cs="Open Sans"/>
        </w:rPr>
      </w:pPr>
      <w:r w:rsidRPr="008965DA">
        <w:rPr>
          <w:rFonts w:ascii="Open Sans" w:hAnsi="Open Sans" w:cs="Open Sans"/>
        </w:rPr>
        <w:t>As outlined in the Road to Zero Strategy (2018) and in subsequent statements, the REA is supportive of the Government’s thrust for the electrification of light vehicles, particularly cars and vans. We believe that by 2032 the government should phase out the sale of all new petrol and diesel cars and vans, excluding REEVs</w:t>
      </w:r>
      <w:proofErr w:type="gramStart"/>
      <w:r w:rsidRPr="008965DA">
        <w:rPr>
          <w:rFonts w:ascii="Open Sans" w:hAnsi="Open Sans" w:cs="Open Sans"/>
        </w:rPr>
        <w:t xml:space="preserve">. </w:t>
      </w:r>
      <w:r w:rsidR="004063BD" w:rsidRPr="008965DA">
        <w:rPr>
          <w:rFonts w:ascii="Open Sans" w:hAnsi="Open Sans" w:cs="Open Sans"/>
        </w:rPr>
        <w:t>.</w:t>
      </w:r>
      <w:proofErr w:type="gramEnd"/>
      <w:r w:rsidR="004063BD" w:rsidRPr="008965DA">
        <w:rPr>
          <w:rFonts w:ascii="Open Sans" w:hAnsi="Open Sans" w:cs="Open Sans"/>
        </w:rPr>
        <w:t xml:space="preserve"> Sustainable renewable fuels such as biomethane, biodiesel, bioethanol and </w:t>
      </w:r>
      <w:proofErr w:type="spellStart"/>
      <w:r w:rsidR="004063BD" w:rsidRPr="008965DA">
        <w:rPr>
          <w:rFonts w:ascii="Open Sans" w:hAnsi="Open Sans" w:cs="Open Sans"/>
        </w:rPr>
        <w:t>biopropane</w:t>
      </w:r>
      <w:proofErr w:type="spellEnd"/>
      <w:r w:rsidR="004063BD" w:rsidRPr="008965DA">
        <w:rPr>
          <w:rFonts w:ascii="Open Sans" w:hAnsi="Open Sans" w:cs="Open Sans"/>
        </w:rPr>
        <w:t xml:space="preserve"> are available today and there is a huge opportunity to unlock further potential in their production and in innovation in this sector and w</w:t>
      </w:r>
      <w:r w:rsidRPr="008965DA">
        <w:rPr>
          <w:rFonts w:ascii="Open Sans" w:hAnsi="Open Sans" w:cs="Open Sans"/>
        </w:rPr>
        <w:t>e also believe that electrification will have a key role either as the primary means of decarbonisation or as a supporting instrument in sectors including rail, busses and coaches, and heavy goods vehicles.</w:t>
      </w:r>
    </w:p>
    <w:p w14:paraId="2922D63F" w14:textId="77777777" w:rsidR="00D33C85" w:rsidRPr="008965DA" w:rsidRDefault="00D33C85" w:rsidP="00D33C85">
      <w:pPr>
        <w:shd w:val="clear" w:color="auto" w:fill="DDD9C3" w:themeFill="background2" w:themeFillShade="E6"/>
        <w:rPr>
          <w:rFonts w:ascii="Open Sans" w:hAnsi="Open Sans" w:cs="Open Sans"/>
        </w:rPr>
      </w:pPr>
      <w:r w:rsidRPr="008965DA">
        <w:rPr>
          <w:rFonts w:ascii="Open Sans" w:hAnsi="Open Sans" w:cs="Open Sans"/>
        </w:rPr>
        <w:t xml:space="preserve">The REA passionately believes that the decarbonisation of transport cannot be seen in isolation. The decarbonisation of the power sector has been a major success story and has shown the UK’s leadership and commitment to the climate change agenda internationally. The current Government focus on transport decarbonisation is </w:t>
      </w:r>
      <w:proofErr w:type="gramStart"/>
      <w:r w:rsidRPr="008965DA">
        <w:rPr>
          <w:rFonts w:ascii="Open Sans" w:hAnsi="Open Sans" w:cs="Open Sans"/>
        </w:rPr>
        <w:t>welcomed, but</w:t>
      </w:r>
      <w:proofErr w:type="gramEnd"/>
      <w:r w:rsidRPr="008965DA">
        <w:rPr>
          <w:rFonts w:ascii="Open Sans" w:hAnsi="Open Sans" w:cs="Open Sans"/>
        </w:rPr>
        <w:t xml:space="preserve"> cannot undermine momentum now in place in the power sector. Electrified cars and vans need a decarbonised power sector and a smart, flexible power system make a major impact in the UK’s overall greenhouse gas emissions. </w:t>
      </w:r>
    </w:p>
    <w:p w14:paraId="04A487F9" w14:textId="0E4952B7" w:rsidR="00C233F0" w:rsidRPr="008965DA" w:rsidRDefault="00C233F0" w:rsidP="00C233F0">
      <w:pPr>
        <w:shd w:val="clear" w:color="auto" w:fill="DDD9C3" w:themeFill="background2" w:themeFillShade="E6"/>
        <w:rPr>
          <w:rFonts w:ascii="Open Sans" w:hAnsi="Open Sans" w:cs="Open Sans"/>
        </w:rPr>
      </w:pPr>
      <w:r w:rsidRPr="008965DA">
        <w:rPr>
          <w:rFonts w:ascii="Open Sans" w:hAnsi="Open Sans" w:cs="Open Sans"/>
        </w:rPr>
        <w:t xml:space="preserve">Today’s sustainable renewable liquid fuels are likely to have an enduring role to play as they progressively deliver lifecycle </w:t>
      </w:r>
      <w:r w:rsidR="00D33C85" w:rsidRPr="008965DA">
        <w:rPr>
          <w:rFonts w:ascii="Open Sans" w:hAnsi="Open Sans" w:cs="Open Sans"/>
        </w:rPr>
        <w:t xml:space="preserve">GHG </w:t>
      </w:r>
      <w:r w:rsidRPr="008965DA">
        <w:rPr>
          <w:rFonts w:ascii="Open Sans" w:hAnsi="Open Sans" w:cs="Open Sans"/>
        </w:rPr>
        <w:t>reductions in road through to aviation.</w:t>
      </w:r>
      <w:r w:rsidR="00D33C85" w:rsidRPr="008965DA">
        <w:rPr>
          <w:rFonts w:ascii="Open Sans" w:hAnsi="Open Sans" w:cs="Open Sans"/>
        </w:rPr>
        <w:t xml:space="preserve"> To that end, we </w:t>
      </w:r>
      <w:r w:rsidRPr="008965DA">
        <w:rPr>
          <w:rFonts w:ascii="Open Sans" w:hAnsi="Open Sans" w:cs="Open Sans"/>
        </w:rPr>
        <w:t xml:space="preserve">think the CCC’s view on the availability of biomass should be revisited. There are a range of academic studies that indicate availability may be much higher than that modelled by CCC. In any event, concern over availability should not be a reason to constrain the role that biomass based liquid </w:t>
      </w:r>
      <w:r w:rsidR="00B602E2" w:rsidRPr="008965DA">
        <w:rPr>
          <w:rFonts w:ascii="Open Sans" w:hAnsi="Open Sans" w:cs="Open Sans"/>
        </w:rPr>
        <w:t xml:space="preserve">and gaseous </w:t>
      </w:r>
      <w:r w:rsidRPr="008965DA">
        <w:rPr>
          <w:rFonts w:ascii="Open Sans" w:hAnsi="Open Sans" w:cs="Open Sans"/>
        </w:rPr>
        <w:t xml:space="preserve">fuels can play, as renewable fuels of non-biological origin can step in and fill the gap (albeit at a higher cost).  </w:t>
      </w:r>
    </w:p>
    <w:p w14:paraId="3701196C" w14:textId="2DF6E370" w:rsidR="00C233F0" w:rsidRPr="008965DA" w:rsidRDefault="00D33C85" w:rsidP="00C233F0">
      <w:pPr>
        <w:shd w:val="clear" w:color="auto" w:fill="DDD9C3" w:themeFill="background2" w:themeFillShade="E6"/>
        <w:rPr>
          <w:rFonts w:ascii="Open Sans" w:hAnsi="Open Sans" w:cs="Open Sans"/>
        </w:rPr>
      </w:pPr>
      <w:r w:rsidRPr="008965DA">
        <w:rPr>
          <w:rFonts w:ascii="Open Sans" w:hAnsi="Open Sans" w:cs="Open Sans"/>
        </w:rPr>
        <w:t>In addition to electrification of different market segments (or aspects of), we believe that key options that the UK Government should consider include:</w:t>
      </w:r>
    </w:p>
    <w:p w14:paraId="40392664" w14:textId="77777777" w:rsidR="00C233F0" w:rsidRPr="008965DA" w:rsidRDefault="00C233F0" w:rsidP="00C233F0">
      <w:pPr>
        <w:pStyle w:val="ListParagraph"/>
        <w:numPr>
          <w:ilvl w:val="0"/>
          <w:numId w:val="8"/>
        </w:numPr>
        <w:shd w:val="clear" w:color="auto" w:fill="DDD9C3" w:themeFill="background2" w:themeFillShade="E6"/>
        <w:rPr>
          <w:rFonts w:ascii="Open Sans" w:hAnsi="Open Sans" w:cs="Open Sans"/>
        </w:rPr>
      </w:pPr>
      <w:r w:rsidRPr="008965DA">
        <w:rPr>
          <w:rFonts w:ascii="Open Sans" w:hAnsi="Open Sans" w:cs="Open Sans"/>
        </w:rPr>
        <w:t xml:space="preserve">biomethane and </w:t>
      </w:r>
      <w:proofErr w:type="spellStart"/>
      <w:r w:rsidRPr="008965DA">
        <w:rPr>
          <w:rFonts w:ascii="Open Sans" w:hAnsi="Open Sans" w:cs="Open Sans"/>
        </w:rPr>
        <w:t>biopropane</w:t>
      </w:r>
      <w:proofErr w:type="spellEnd"/>
      <w:r w:rsidRPr="008965DA">
        <w:rPr>
          <w:rFonts w:ascii="Open Sans" w:hAnsi="Open Sans" w:cs="Open Sans"/>
        </w:rPr>
        <w:t xml:space="preserve"> for heavy duty vehicles, either spark ignition engines, compression engines or in generators to charge the batteries of range extended electric vehicles.</w:t>
      </w:r>
    </w:p>
    <w:p w14:paraId="6B82A237" w14:textId="77777777" w:rsidR="00C233F0" w:rsidRPr="008965DA" w:rsidRDefault="00C233F0" w:rsidP="00C233F0">
      <w:pPr>
        <w:pStyle w:val="ListParagraph"/>
        <w:numPr>
          <w:ilvl w:val="0"/>
          <w:numId w:val="8"/>
        </w:numPr>
        <w:shd w:val="clear" w:color="auto" w:fill="DDD9C3" w:themeFill="background2" w:themeFillShade="E6"/>
        <w:rPr>
          <w:rFonts w:ascii="Open Sans" w:hAnsi="Open Sans" w:cs="Open Sans"/>
        </w:rPr>
      </w:pPr>
      <w:r w:rsidRPr="008965DA">
        <w:rPr>
          <w:rFonts w:ascii="Open Sans" w:hAnsi="Open Sans" w:cs="Open Sans"/>
        </w:rPr>
        <w:t>renewable liquid fuels for shipping</w:t>
      </w:r>
    </w:p>
    <w:p w14:paraId="0D961AA9" w14:textId="77777777" w:rsidR="00C233F0" w:rsidRPr="008965DA" w:rsidRDefault="00C233F0" w:rsidP="00C233F0">
      <w:pPr>
        <w:pStyle w:val="ListParagraph"/>
        <w:numPr>
          <w:ilvl w:val="0"/>
          <w:numId w:val="8"/>
        </w:numPr>
        <w:shd w:val="clear" w:color="auto" w:fill="DDD9C3" w:themeFill="background2" w:themeFillShade="E6"/>
        <w:rPr>
          <w:rFonts w:ascii="Open Sans" w:hAnsi="Open Sans" w:cs="Open Sans"/>
        </w:rPr>
      </w:pPr>
      <w:r w:rsidRPr="008965DA">
        <w:rPr>
          <w:rFonts w:ascii="Open Sans" w:hAnsi="Open Sans" w:cs="Open Sans"/>
        </w:rPr>
        <w:t>increased use of renewable diesel in rail</w:t>
      </w:r>
    </w:p>
    <w:p w14:paraId="353A699A" w14:textId="738018ED" w:rsidR="00D33C85" w:rsidRPr="008965DA" w:rsidRDefault="00C233F0" w:rsidP="00C233F0">
      <w:pPr>
        <w:shd w:val="clear" w:color="auto" w:fill="DDD9C3" w:themeFill="background2" w:themeFillShade="E6"/>
        <w:rPr>
          <w:rFonts w:ascii="Open Sans" w:hAnsi="Open Sans" w:cs="Open Sans"/>
        </w:rPr>
      </w:pPr>
      <w:r w:rsidRPr="008965DA">
        <w:rPr>
          <w:rFonts w:ascii="Open Sans" w:hAnsi="Open Sans" w:cs="Open Sans"/>
        </w:rPr>
        <w:t xml:space="preserve">There are many actions, such as those set out in the IMechE Transport Hierarchy that should also be pursued as a priority, but actions on fuels must be taken </w:t>
      </w:r>
      <w:r w:rsidRPr="008965DA">
        <w:rPr>
          <w:rFonts w:ascii="Open Sans" w:hAnsi="Open Sans" w:cs="Open Sans"/>
          <w:i/>
          <w:iCs/>
        </w:rPr>
        <w:t>in parallel</w:t>
      </w:r>
      <w:r w:rsidRPr="008965DA">
        <w:rPr>
          <w:rFonts w:ascii="Open Sans" w:hAnsi="Open Sans" w:cs="Open Sans"/>
        </w:rPr>
        <w:t xml:space="preserve">.  Their importance goes beyond the near-term carbon savings that they can bring. </w:t>
      </w:r>
    </w:p>
    <w:p w14:paraId="7DACE32A" w14:textId="6F87715A" w:rsidR="00C233F0" w:rsidRPr="008965DA" w:rsidRDefault="00C233F0" w:rsidP="00C233F0">
      <w:pPr>
        <w:shd w:val="clear" w:color="auto" w:fill="DDD9C3" w:themeFill="background2" w:themeFillShade="E6"/>
        <w:rPr>
          <w:rFonts w:ascii="Open Sans" w:hAnsi="Open Sans" w:cs="Open Sans"/>
        </w:rPr>
      </w:pPr>
      <w:r w:rsidRPr="008965DA">
        <w:rPr>
          <w:rFonts w:ascii="Open Sans" w:hAnsi="Open Sans" w:cs="Open Sans"/>
        </w:rPr>
        <w:t>Government</w:t>
      </w:r>
      <w:r w:rsidR="003A5A9E" w:rsidRPr="008965DA">
        <w:rPr>
          <w:rFonts w:ascii="Open Sans" w:hAnsi="Open Sans" w:cs="Open Sans"/>
        </w:rPr>
        <w:t>’</w:t>
      </w:r>
      <w:r w:rsidRPr="008965DA">
        <w:rPr>
          <w:rFonts w:ascii="Open Sans" w:hAnsi="Open Sans" w:cs="Open Sans"/>
        </w:rPr>
        <w:t>s role is to work with investors and the existing</w:t>
      </w:r>
      <w:r w:rsidR="003A5A9E" w:rsidRPr="008965DA">
        <w:rPr>
          <w:rFonts w:ascii="Open Sans" w:hAnsi="Open Sans" w:cs="Open Sans"/>
        </w:rPr>
        <w:t xml:space="preserve"> and emerging</w:t>
      </w:r>
      <w:r w:rsidRPr="008965DA">
        <w:rPr>
          <w:rFonts w:ascii="Open Sans" w:hAnsi="Open Sans" w:cs="Open Sans"/>
        </w:rPr>
        <w:t xml:space="preserve"> industry to deliver truly sustainable transport energy solutions.</w:t>
      </w:r>
    </w:p>
    <w:p w14:paraId="1178DD9E" w14:textId="77777777" w:rsidR="00C233F0" w:rsidRPr="008965DA" w:rsidRDefault="00C233F0" w:rsidP="001441DA">
      <w:pPr>
        <w:pStyle w:val="BodyText"/>
        <w:ind w:left="0"/>
        <w:rPr>
          <w:rFonts w:ascii="Open Sans" w:hAnsi="Open Sans" w:cs="Open Sans"/>
          <w:sz w:val="22"/>
          <w:szCs w:val="22"/>
        </w:rPr>
      </w:pPr>
    </w:p>
    <w:p w14:paraId="5A5055C9" w14:textId="30A2324C" w:rsidR="007C5089" w:rsidRPr="008965DA" w:rsidRDefault="00EB234D" w:rsidP="00EB234D">
      <w:pPr>
        <w:pStyle w:val="BodyText"/>
        <w:ind w:left="0"/>
        <w:rPr>
          <w:rFonts w:ascii="Open Sans" w:hAnsi="Open Sans" w:cs="Open Sans"/>
          <w:b/>
          <w:bCs/>
          <w:sz w:val="22"/>
          <w:szCs w:val="22"/>
        </w:rPr>
      </w:pPr>
      <w:r w:rsidRPr="008965DA">
        <w:rPr>
          <w:rFonts w:ascii="Open Sans" w:hAnsi="Open Sans" w:cs="Open Sans"/>
          <w:b/>
          <w:bCs/>
          <w:sz w:val="22"/>
          <w:szCs w:val="22"/>
        </w:rPr>
        <w:t xml:space="preserve">What do you think government should be doing to reduce the greenhouse gases that are produced </w:t>
      </w:r>
      <w:proofErr w:type="gramStart"/>
      <w:r w:rsidRPr="008965DA">
        <w:rPr>
          <w:rFonts w:ascii="Open Sans" w:hAnsi="Open Sans" w:cs="Open Sans"/>
          <w:b/>
          <w:bCs/>
          <w:sz w:val="22"/>
          <w:szCs w:val="22"/>
        </w:rPr>
        <w:t>from:</w:t>
      </w:r>
      <w:proofErr w:type="gramEnd"/>
    </w:p>
    <w:p w14:paraId="00AC5939" w14:textId="462A996C" w:rsidR="007C5089" w:rsidRPr="008965DA" w:rsidRDefault="00EB234D" w:rsidP="00EB234D">
      <w:pPr>
        <w:pStyle w:val="BodyText"/>
        <w:ind w:left="0"/>
        <w:rPr>
          <w:rFonts w:ascii="Open Sans" w:hAnsi="Open Sans" w:cs="Open Sans"/>
          <w:b/>
          <w:bCs/>
          <w:sz w:val="22"/>
          <w:szCs w:val="22"/>
        </w:rPr>
      </w:pPr>
      <w:bookmarkStart w:id="2" w:name="What_best_describes_your_organisation?"/>
      <w:bookmarkEnd w:id="2"/>
      <w:r w:rsidRPr="008965DA">
        <w:rPr>
          <w:rFonts w:ascii="Open Sans" w:hAnsi="Open Sans" w:cs="Open Sans"/>
          <w:b/>
          <w:bCs/>
          <w:sz w:val="22"/>
          <w:szCs w:val="22"/>
        </w:rPr>
        <w:t>Cars:</w:t>
      </w:r>
    </w:p>
    <w:p w14:paraId="0ED880EB" w14:textId="6057704D" w:rsidR="00467BE0" w:rsidRPr="008965DA" w:rsidRDefault="009E5A4F" w:rsidP="00F750B7">
      <w:pPr>
        <w:rPr>
          <w:rFonts w:ascii="Open Sans" w:hAnsi="Open Sans" w:cs="Open Sans"/>
        </w:rPr>
      </w:pPr>
      <w:bookmarkStart w:id="3" w:name="What_do_you_think_government_should_be_d"/>
      <w:bookmarkEnd w:id="3"/>
      <w:r w:rsidRPr="008965DA">
        <w:rPr>
          <w:rFonts w:ascii="Open Sans" w:hAnsi="Open Sans" w:cs="Open Sans"/>
        </w:rPr>
        <w:t xml:space="preserve">There are 32.6 million cars on the UK roads, of which </w:t>
      </w:r>
      <w:r w:rsidR="00467BE0" w:rsidRPr="008965DA">
        <w:rPr>
          <w:rFonts w:ascii="Open Sans" w:hAnsi="Open Sans" w:cs="Open Sans"/>
        </w:rPr>
        <w:t>&gt;1% (</w:t>
      </w:r>
      <w:r w:rsidRPr="008965DA">
        <w:rPr>
          <w:rFonts w:ascii="Open Sans" w:hAnsi="Open Sans" w:cs="Open Sans"/>
        </w:rPr>
        <w:t>27</w:t>
      </w:r>
      <w:r w:rsidR="00467BE0" w:rsidRPr="008965DA">
        <w:rPr>
          <w:rFonts w:ascii="Open Sans" w:hAnsi="Open Sans" w:cs="Open Sans"/>
        </w:rPr>
        <w:t>9,000) are electric vehicles.</w:t>
      </w:r>
      <w:r w:rsidR="00EB234D" w:rsidRPr="008965DA">
        <w:rPr>
          <w:rFonts w:ascii="Open Sans" w:hAnsi="Open Sans" w:cs="Open Sans"/>
        </w:rPr>
        <w:t xml:space="preserve"> Whilst EV deployment is increasing rapidly</w:t>
      </w:r>
      <w:r w:rsidR="00772D5B" w:rsidRPr="008965DA">
        <w:rPr>
          <w:rFonts w:ascii="Open Sans" w:hAnsi="Open Sans" w:cs="Open Sans"/>
        </w:rPr>
        <w:t xml:space="preserve"> </w:t>
      </w:r>
      <w:r w:rsidR="00EB234D" w:rsidRPr="008965DA">
        <w:rPr>
          <w:rFonts w:ascii="Open Sans" w:hAnsi="Open Sans" w:cs="Open Sans"/>
        </w:rPr>
        <w:t>with 9.5% of new car sales being battery electric or plug-in hybrid in the month of June 2020, a significant number of petrol and diesel cars will remain in the UK vehicle parc for decades to come.</w:t>
      </w:r>
    </w:p>
    <w:p w14:paraId="02AF5F2F" w14:textId="6DC1C101" w:rsidR="00546A7F" w:rsidRPr="008965DA" w:rsidRDefault="00DF4AAD" w:rsidP="00F750B7">
      <w:pPr>
        <w:rPr>
          <w:rFonts w:ascii="Open Sans" w:hAnsi="Open Sans" w:cs="Open Sans"/>
        </w:rPr>
      </w:pPr>
      <w:r w:rsidRPr="008965DA">
        <w:rPr>
          <w:rFonts w:ascii="Open Sans" w:hAnsi="Open Sans" w:cs="Open Sans"/>
        </w:rPr>
        <w:t>Alongside increasing the proportion of biofuels in road transport fuels, t</w:t>
      </w:r>
      <w:r w:rsidR="00546A7F" w:rsidRPr="008965DA">
        <w:rPr>
          <w:rFonts w:ascii="Open Sans" w:hAnsi="Open Sans" w:cs="Open Sans"/>
        </w:rPr>
        <w:t xml:space="preserve">he REA strongly supports the Government’s funding and tax support to develop the market for electric vehicles and charging infrastructure to date. The UK Government has an opportunity to accelerate this shift through policies like bringing forward the ban on the sale of new petrol and diesel cars and vans. Doing so would put the UK in a stronger position as a future global leader in these technologies. </w:t>
      </w:r>
    </w:p>
    <w:p w14:paraId="6F1B3419" w14:textId="1708E76F" w:rsidR="00747BED" w:rsidRPr="008965DA" w:rsidRDefault="00DF4AAD" w:rsidP="00F750B7">
      <w:pPr>
        <w:rPr>
          <w:rFonts w:ascii="Open Sans" w:hAnsi="Open Sans" w:cs="Open Sans"/>
        </w:rPr>
      </w:pPr>
      <w:r w:rsidRPr="008965DA">
        <w:rPr>
          <w:rFonts w:ascii="Open Sans" w:hAnsi="Open Sans" w:cs="Open Sans"/>
        </w:rPr>
        <w:t>T</w:t>
      </w:r>
      <w:r w:rsidR="00546A7F" w:rsidRPr="008965DA">
        <w:rPr>
          <w:rFonts w:ascii="Open Sans" w:hAnsi="Open Sans" w:cs="Open Sans"/>
        </w:rPr>
        <w:t xml:space="preserve">here </w:t>
      </w:r>
      <w:r w:rsidR="00747BED" w:rsidRPr="008965DA">
        <w:rPr>
          <w:rFonts w:ascii="Open Sans" w:hAnsi="Open Sans" w:cs="Open Sans"/>
        </w:rPr>
        <w:t xml:space="preserve">are </w:t>
      </w:r>
      <w:proofErr w:type="gramStart"/>
      <w:r w:rsidR="00747BED" w:rsidRPr="008965DA">
        <w:rPr>
          <w:rFonts w:ascii="Open Sans" w:hAnsi="Open Sans" w:cs="Open Sans"/>
        </w:rPr>
        <w:t>a number of</w:t>
      </w:r>
      <w:proofErr w:type="gramEnd"/>
      <w:r w:rsidR="00747BED" w:rsidRPr="008965DA">
        <w:rPr>
          <w:rFonts w:ascii="Open Sans" w:hAnsi="Open Sans" w:cs="Open Sans"/>
        </w:rPr>
        <w:t xml:space="preserve"> actions that can and should be implemented immediately, to bring down emissions from the current car parc.  The</w:t>
      </w:r>
      <w:r w:rsidR="00772D5B" w:rsidRPr="008965DA">
        <w:rPr>
          <w:rFonts w:ascii="Open Sans" w:hAnsi="Open Sans" w:cs="Open Sans"/>
        </w:rPr>
        <w:t xml:space="preserve"> Government’s</w:t>
      </w:r>
      <w:r w:rsidR="00747BED" w:rsidRPr="008965DA">
        <w:rPr>
          <w:rFonts w:ascii="Open Sans" w:hAnsi="Open Sans" w:cs="Open Sans"/>
        </w:rPr>
        <w:t xml:space="preserve"> focus on electrification</w:t>
      </w:r>
      <w:r w:rsidR="00772D5B" w:rsidRPr="008965DA">
        <w:rPr>
          <w:rFonts w:ascii="Open Sans" w:hAnsi="Open Sans" w:cs="Open Sans"/>
        </w:rPr>
        <w:t xml:space="preserve"> of this market segment is welcome, but</w:t>
      </w:r>
      <w:r w:rsidR="00747BED" w:rsidRPr="008965DA">
        <w:rPr>
          <w:rFonts w:ascii="Open Sans" w:hAnsi="Open Sans" w:cs="Open Sans"/>
        </w:rPr>
        <w:t xml:space="preserve"> must not </w:t>
      </w:r>
      <w:r w:rsidR="003E07DE" w:rsidRPr="008965DA">
        <w:rPr>
          <w:rFonts w:ascii="Open Sans" w:hAnsi="Open Sans" w:cs="Open Sans"/>
        </w:rPr>
        <w:t>side-track</w:t>
      </w:r>
      <w:r w:rsidR="00747BED" w:rsidRPr="008965DA">
        <w:rPr>
          <w:rFonts w:ascii="Open Sans" w:hAnsi="Open Sans" w:cs="Open Sans"/>
        </w:rPr>
        <w:t xml:space="preserve"> Government from acting on the following</w:t>
      </w:r>
      <w:r w:rsidR="00731DCA" w:rsidRPr="008965DA">
        <w:rPr>
          <w:rFonts w:ascii="Open Sans" w:hAnsi="Open Sans" w:cs="Open Sans"/>
        </w:rPr>
        <w:t>:</w:t>
      </w:r>
    </w:p>
    <w:p w14:paraId="7C489EBE" w14:textId="50BD6CDC" w:rsidR="003B0188" w:rsidRPr="008965DA" w:rsidRDefault="00747BED" w:rsidP="00F750B7">
      <w:pPr>
        <w:pStyle w:val="ListParagraph"/>
        <w:numPr>
          <w:ilvl w:val="0"/>
          <w:numId w:val="6"/>
        </w:numPr>
        <w:rPr>
          <w:rFonts w:ascii="Open Sans" w:hAnsi="Open Sans" w:cs="Open Sans"/>
        </w:rPr>
      </w:pPr>
      <w:r w:rsidRPr="008965DA">
        <w:rPr>
          <w:rFonts w:ascii="Open Sans" w:hAnsi="Open Sans" w:cs="Open Sans"/>
        </w:rPr>
        <w:t xml:space="preserve">Introduce E10 in April 2021, or failing that, in September 2021.  Given the length of time its implementation has already been delayed, any later would be </w:t>
      </w:r>
      <w:r w:rsidR="00DF4AAD" w:rsidRPr="008965DA">
        <w:rPr>
          <w:rFonts w:ascii="Open Sans" w:hAnsi="Open Sans" w:cs="Open Sans"/>
        </w:rPr>
        <w:t xml:space="preserve">totally </w:t>
      </w:r>
      <w:proofErr w:type="gramStart"/>
      <w:r w:rsidR="00DF4AAD" w:rsidRPr="008965DA">
        <w:rPr>
          <w:rFonts w:ascii="Open Sans" w:hAnsi="Open Sans" w:cs="Open Sans"/>
        </w:rPr>
        <w:t xml:space="preserve">unacceptable </w:t>
      </w:r>
      <w:r w:rsidRPr="008965DA">
        <w:rPr>
          <w:rFonts w:ascii="Open Sans" w:hAnsi="Open Sans" w:cs="Open Sans"/>
        </w:rPr>
        <w:t>.</w:t>
      </w:r>
      <w:proofErr w:type="gramEnd"/>
      <w:r w:rsidR="003B0188" w:rsidRPr="008965DA">
        <w:rPr>
          <w:rFonts w:ascii="Open Sans" w:hAnsi="Open Sans" w:cs="Open Sans"/>
        </w:rPr>
        <w:t xml:space="preserve">  </w:t>
      </w:r>
      <w:r w:rsidR="00886FAA" w:rsidRPr="008965DA">
        <w:rPr>
          <w:rFonts w:ascii="Open Sans" w:hAnsi="Open Sans" w:cs="Open Sans"/>
        </w:rPr>
        <w:t xml:space="preserve">Higher blends of bioethanol will have a role to play, beyond this.  Once the compatibility of the car parc permits it, E85 could </w:t>
      </w:r>
      <w:r w:rsidR="00B71ED1" w:rsidRPr="008965DA">
        <w:rPr>
          <w:rFonts w:ascii="Open Sans" w:hAnsi="Open Sans" w:cs="Open Sans"/>
        </w:rPr>
        <w:t>replace the</w:t>
      </w:r>
      <w:r w:rsidR="00886FAA" w:rsidRPr="008965DA">
        <w:rPr>
          <w:rFonts w:ascii="Open Sans" w:hAnsi="Open Sans" w:cs="Open Sans"/>
        </w:rPr>
        <w:t xml:space="preserve"> 98RON E5 protection grade.</w:t>
      </w:r>
    </w:p>
    <w:p w14:paraId="69B76DCF" w14:textId="70BFE0ED" w:rsidR="00453D4A" w:rsidRPr="008965DA" w:rsidRDefault="00453D4A" w:rsidP="00F750B7">
      <w:pPr>
        <w:pStyle w:val="ListParagraph"/>
        <w:numPr>
          <w:ilvl w:val="0"/>
          <w:numId w:val="6"/>
        </w:numPr>
        <w:rPr>
          <w:rFonts w:ascii="Open Sans" w:hAnsi="Open Sans" w:cs="Open Sans"/>
        </w:rPr>
      </w:pPr>
      <w:bookmarkStart w:id="4" w:name="_Hlk49423465"/>
      <w:r w:rsidRPr="008965DA">
        <w:rPr>
          <w:rFonts w:ascii="Open Sans" w:hAnsi="Open Sans" w:cs="Open Sans"/>
        </w:rPr>
        <w:t>Increase the basic target of the RTFO in 2021 to a level which will absorb the additional bioethanol from the introduction of E10 plus the anticipated growth in biomethane and other renewable fuels.  Thereafter the basic target should be increased each year, in order to provide a market pull for the various measures set out in under the headings below (i.e. driving up the renewable fuel content of standard petrol and diesel grades, growth in renewable gaseous fuels, greater adoption of B20, B30 and B100 in dedicated fleet, the introduction of biodiesel in trains and the replacement of fossil diesel and petrol with drop in fuels).</w:t>
      </w:r>
    </w:p>
    <w:p w14:paraId="37F622B2" w14:textId="0C24E98C" w:rsidR="00711DDD" w:rsidRPr="008965DA" w:rsidRDefault="003B0188" w:rsidP="00FE2320">
      <w:pPr>
        <w:pStyle w:val="ListParagraph"/>
        <w:numPr>
          <w:ilvl w:val="0"/>
          <w:numId w:val="6"/>
        </w:numPr>
        <w:rPr>
          <w:rFonts w:ascii="Open Sans" w:hAnsi="Open Sans" w:cs="Open Sans"/>
        </w:rPr>
      </w:pPr>
      <w:bookmarkStart w:id="5" w:name="_Hlk49417393"/>
      <w:bookmarkEnd w:id="4"/>
      <w:r w:rsidRPr="008965DA">
        <w:rPr>
          <w:rFonts w:ascii="Open Sans" w:hAnsi="Open Sans" w:cs="Open Sans"/>
        </w:rPr>
        <w:t>For those renewable fuels that are blended into petrol and diesel, t</w:t>
      </w:r>
      <w:r w:rsidR="00711DDD" w:rsidRPr="008965DA">
        <w:rPr>
          <w:rFonts w:ascii="Open Sans" w:hAnsi="Open Sans" w:cs="Open Sans"/>
        </w:rPr>
        <w:t xml:space="preserve">he highest blends possible should be mandated for the existing vehicle parc, </w:t>
      </w:r>
      <w:r w:rsidRPr="008965DA">
        <w:rPr>
          <w:rFonts w:ascii="Open Sans" w:hAnsi="Open Sans" w:cs="Open Sans"/>
        </w:rPr>
        <w:t xml:space="preserve">and </w:t>
      </w:r>
      <w:r w:rsidR="00711DDD" w:rsidRPr="008965DA">
        <w:rPr>
          <w:rFonts w:ascii="Open Sans" w:hAnsi="Open Sans" w:cs="Open Sans"/>
        </w:rPr>
        <w:t xml:space="preserve">the ultimate </w:t>
      </w:r>
      <w:r w:rsidRPr="008965DA">
        <w:rPr>
          <w:rFonts w:ascii="Open Sans" w:hAnsi="Open Sans" w:cs="Open Sans"/>
        </w:rPr>
        <w:t xml:space="preserve">long term </w:t>
      </w:r>
      <w:r w:rsidR="00711DDD" w:rsidRPr="008965DA">
        <w:rPr>
          <w:rFonts w:ascii="Open Sans" w:hAnsi="Open Sans" w:cs="Open Sans"/>
        </w:rPr>
        <w:t xml:space="preserve">aim </w:t>
      </w:r>
      <w:r w:rsidR="00091860" w:rsidRPr="008965DA">
        <w:rPr>
          <w:rFonts w:ascii="Open Sans" w:hAnsi="Open Sans" w:cs="Open Sans"/>
        </w:rPr>
        <w:t xml:space="preserve">net zero aim </w:t>
      </w:r>
      <w:r w:rsidRPr="008965DA">
        <w:rPr>
          <w:rFonts w:ascii="Open Sans" w:hAnsi="Open Sans" w:cs="Open Sans"/>
        </w:rPr>
        <w:t xml:space="preserve">should be that all </w:t>
      </w:r>
      <w:r w:rsidR="00711DDD" w:rsidRPr="008965DA">
        <w:rPr>
          <w:rFonts w:ascii="Open Sans" w:hAnsi="Open Sans" w:cs="Open Sans"/>
        </w:rPr>
        <w:t xml:space="preserve">ICEs </w:t>
      </w:r>
      <w:r w:rsidR="00091860" w:rsidRPr="008965DA">
        <w:rPr>
          <w:rFonts w:ascii="Open Sans" w:hAnsi="Open Sans" w:cs="Open Sans"/>
        </w:rPr>
        <w:t>eventually</w:t>
      </w:r>
      <w:r w:rsidRPr="008965DA">
        <w:rPr>
          <w:rFonts w:ascii="Open Sans" w:hAnsi="Open Sans" w:cs="Open Sans"/>
        </w:rPr>
        <w:t xml:space="preserve"> run </w:t>
      </w:r>
      <w:r w:rsidR="00711DDD" w:rsidRPr="008965DA">
        <w:rPr>
          <w:rFonts w:ascii="Open Sans" w:hAnsi="Open Sans" w:cs="Open Sans"/>
        </w:rPr>
        <w:t xml:space="preserve">on 100% renewable fuel. </w:t>
      </w:r>
      <w:proofErr w:type="spellStart"/>
      <w:r w:rsidRPr="008965DA">
        <w:rPr>
          <w:rFonts w:ascii="Open Sans" w:hAnsi="Open Sans" w:cs="Open Sans"/>
        </w:rPr>
        <w:t>DfT</w:t>
      </w:r>
      <w:proofErr w:type="spellEnd"/>
      <w:r w:rsidRPr="008965DA">
        <w:rPr>
          <w:rFonts w:ascii="Open Sans" w:hAnsi="Open Sans" w:cs="Open Sans"/>
        </w:rPr>
        <w:t xml:space="preserve"> should work </w:t>
      </w:r>
      <w:r w:rsidR="00711DDD" w:rsidRPr="008965DA">
        <w:rPr>
          <w:rFonts w:ascii="Open Sans" w:hAnsi="Open Sans" w:cs="Open Sans"/>
        </w:rPr>
        <w:t xml:space="preserve">with </w:t>
      </w:r>
      <w:r w:rsidR="003E07DE" w:rsidRPr="008965DA">
        <w:rPr>
          <w:rFonts w:ascii="Open Sans" w:hAnsi="Open Sans" w:cs="Open Sans"/>
        </w:rPr>
        <w:t xml:space="preserve">OEMs </w:t>
      </w:r>
      <w:r w:rsidR="00711DDD" w:rsidRPr="008965DA">
        <w:rPr>
          <w:rFonts w:ascii="Open Sans" w:hAnsi="Open Sans" w:cs="Open Sans"/>
        </w:rPr>
        <w:t xml:space="preserve">to determine </w:t>
      </w:r>
      <w:r w:rsidR="003E07DE" w:rsidRPr="008965DA">
        <w:rPr>
          <w:rFonts w:ascii="Open Sans" w:hAnsi="Open Sans" w:cs="Open Sans"/>
        </w:rPr>
        <w:t xml:space="preserve">the extent that biofuels could be included in </w:t>
      </w:r>
      <w:r w:rsidR="00711DDD" w:rsidRPr="008965DA">
        <w:rPr>
          <w:rFonts w:ascii="Open Sans" w:hAnsi="Open Sans" w:cs="Open Sans"/>
        </w:rPr>
        <w:t>standard grade fuels</w:t>
      </w:r>
      <w:r w:rsidRPr="008965DA">
        <w:rPr>
          <w:rFonts w:ascii="Open Sans" w:hAnsi="Open Sans" w:cs="Open Sans"/>
        </w:rPr>
        <w:t xml:space="preserve">, </w:t>
      </w:r>
      <w:proofErr w:type="gramStart"/>
      <w:r w:rsidRPr="008965DA">
        <w:rPr>
          <w:rFonts w:ascii="Open Sans" w:hAnsi="Open Sans" w:cs="Open Sans"/>
        </w:rPr>
        <w:t>in order to</w:t>
      </w:r>
      <w:proofErr w:type="gramEnd"/>
      <w:r w:rsidRPr="008965DA">
        <w:rPr>
          <w:rFonts w:ascii="Open Sans" w:hAnsi="Open Sans" w:cs="Open Sans"/>
        </w:rPr>
        <w:t xml:space="preserve"> keep the momentum moving forward.</w:t>
      </w:r>
      <w:r w:rsidR="00091860" w:rsidRPr="008965DA">
        <w:rPr>
          <w:rFonts w:ascii="Open Sans" w:hAnsi="Open Sans" w:cs="Open Sans"/>
        </w:rPr>
        <w:t xml:space="preserve">  The next step after E10 would be to wo</w:t>
      </w:r>
      <w:r w:rsidR="003171F3" w:rsidRPr="008965DA">
        <w:rPr>
          <w:rFonts w:ascii="Open Sans" w:hAnsi="Open Sans" w:cs="Open Sans"/>
        </w:rPr>
        <w:t xml:space="preserve">rk towards making B10 the standard diesel offered in UK filling stations.  </w:t>
      </w:r>
      <w:r w:rsidR="00091860" w:rsidRPr="008965DA">
        <w:rPr>
          <w:rFonts w:ascii="Open Sans" w:hAnsi="Open Sans" w:cs="Open Sans"/>
        </w:rPr>
        <w:t>The Fuel Quality Directive does permit member states to offer higher biodiesel contents than B7, if they ensure appropriate information is provided to consumers</w:t>
      </w:r>
      <w:r w:rsidR="003171F3" w:rsidRPr="008965DA">
        <w:rPr>
          <w:rFonts w:ascii="Open Sans" w:hAnsi="Open Sans" w:cs="Open Sans"/>
        </w:rPr>
        <w:t>. ACEA publishes a list of vehicles that are compatible with B10</w:t>
      </w:r>
      <w:r w:rsidR="003171F3" w:rsidRPr="008965DA">
        <w:rPr>
          <w:rStyle w:val="FootnoteReference"/>
          <w:rFonts w:ascii="Open Sans" w:hAnsi="Open Sans" w:cs="Open Sans"/>
        </w:rPr>
        <w:footnoteReference w:id="1"/>
      </w:r>
      <w:r w:rsidR="003171F3" w:rsidRPr="008965DA">
        <w:rPr>
          <w:rFonts w:ascii="Open Sans" w:hAnsi="Open Sans" w:cs="Open Sans"/>
        </w:rPr>
        <w:t>.</w:t>
      </w:r>
      <w:r w:rsidR="00091860" w:rsidRPr="008965DA">
        <w:rPr>
          <w:rFonts w:ascii="Open Sans" w:hAnsi="Open Sans" w:cs="Open Sans"/>
        </w:rPr>
        <w:t xml:space="preserve">  Given the characteristics of FAME, we do not recommend that further boosting the renewable content of standard diesel is done by the incorporation of more biodiesel. Instead the proportion of renewable </w:t>
      </w:r>
      <w:proofErr w:type="gramStart"/>
      <w:r w:rsidR="00091860" w:rsidRPr="008965DA">
        <w:rPr>
          <w:rFonts w:ascii="Open Sans" w:hAnsi="Open Sans" w:cs="Open Sans"/>
        </w:rPr>
        <w:t>drop in</w:t>
      </w:r>
      <w:proofErr w:type="gramEnd"/>
      <w:r w:rsidR="00091860" w:rsidRPr="008965DA">
        <w:rPr>
          <w:rFonts w:ascii="Open Sans" w:hAnsi="Open Sans" w:cs="Open Sans"/>
        </w:rPr>
        <w:t xml:space="preserve"> fuels meeting the EN590 specification should be increased.  </w:t>
      </w:r>
    </w:p>
    <w:bookmarkEnd w:id="5"/>
    <w:p w14:paraId="2A70AB26" w14:textId="31C7C147" w:rsidR="00711DDD" w:rsidRPr="008965DA" w:rsidRDefault="00711DDD" w:rsidP="006B3BE8">
      <w:pPr>
        <w:pStyle w:val="ListParagraph"/>
        <w:numPr>
          <w:ilvl w:val="0"/>
          <w:numId w:val="6"/>
        </w:numPr>
        <w:rPr>
          <w:rFonts w:ascii="Open Sans" w:hAnsi="Open Sans" w:cs="Open Sans"/>
        </w:rPr>
      </w:pPr>
      <w:r w:rsidRPr="008965DA">
        <w:rPr>
          <w:rFonts w:ascii="Open Sans" w:hAnsi="Open Sans" w:cs="Open Sans"/>
        </w:rPr>
        <w:t>Do not include range extended electric vehicles (REEVs - also referred to as series hybrids) in the ban of sale of new ICE vehicles.  Instead recogni</w:t>
      </w:r>
      <w:r w:rsidR="00DF4AAD" w:rsidRPr="008965DA">
        <w:rPr>
          <w:rFonts w:ascii="Open Sans" w:hAnsi="Open Sans" w:cs="Open Sans"/>
        </w:rPr>
        <w:t>s</w:t>
      </w:r>
      <w:r w:rsidRPr="008965DA">
        <w:rPr>
          <w:rFonts w:ascii="Open Sans" w:hAnsi="Open Sans" w:cs="Open Sans"/>
        </w:rPr>
        <w:t>e that these vehicles when run entirely on sustainable renewable fuel, have a future in a net zero world.</w:t>
      </w:r>
      <w:r w:rsidR="00171547" w:rsidRPr="008965DA">
        <w:rPr>
          <w:rFonts w:ascii="Open Sans" w:hAnsi="Open Sans" w:cs="Open Sans"/>
        </w:rPr>
        <w:t xml:space="preserve">  At present there may be few of these on the </w:t>
      </w:r>
      <w:proofErr w:type="gramStart"/>
      <w:r w:rsidR="00171547" w:rsidRPr="008965DA">
        <w:rPr>
          <w:rFonts w:ascii="Open Sans" w:hAnsi="Open Sans" w:cs="Open Sans"/>
        </w:rPr>
        <w:t>market, but</w:t>
      </w:r>
      <w:proofErr w:type="gramEnd"/>
      <w:r w:rsidR="00171547" w:rsidRPr="008965DA">
        <w:rPr>
          <w:rFonts w:ascii="Open Sans" w:hAnsi="Open Sans" w:cs="Open Sans"/>
        </w:rPr>
        <w:t xml:space="preserve"> banning them would send a message to OEMs that would discourage any further innovation in this sector of vehicles.  </w:t>
      </w:r>
      <w:r w:rsidRPr="008965DA">
        <w:rPr>
          <w:rFonts w:ascii="Open Sans" w:hAnsi="Open Sans" w:cs="Open Sans"/>
        </w:rPr>
        <w:t>This combination (REEV) with high blend biofuel would deliver extremely low CO</w:t>
      </w:r>
      <w:r w:rsidRPr="008965DA">
        <w:rPr>
          <w:rFonts w:ascii="Open Sans" w:hAnsi="Open Sans" w:cs="Open Sans"/>
          <w:vertAlign w:val="subscript"/>
        </w:rPr>
        <w:t>2</w:t>
      </w:r>
      <w:r w:rsidRPr="008965DA">
        <w:rPr>
          <w:rFonts w:ascii="Open Sans" w:hAnsi="Open Sans" w:cs="Open Sans"/>
        </w:rPr>
        <w:t xml:space="preserve"> emissions.   </w:t>
      </w:r>
    </w:p>
    <w:p w14:paraId="57ED7776" w14:textId="574EA053" w:rsidR="00034A2A" w:rsidRPr="008965DA" w:rsidRDefault="00546A7F" w:rsidP="00BF1978">
      <w:pPr>
        <w:pStyle w:val="ListParagraph"/>
        <w:numPr>
          <w:ilvl w:val="0"/>
          <w:numId w:val="6"/>
        </w:numPr>
        <w:rPr>
          <w:rFonts w:ascii="Open Sans" w:hAnsi="Open Sans" w:cs="Open Sans"/>
        </w:rPr>
      </w:pPr>
      <w:r w:rsidRPr="008965DA">
        <w:rPr>
          <w:rFonts w:ascii="Open Sans" w:hAnsi="Open Sans" w:cs="Open Sans"/>
        </w:rPr>
        <w:t>The Government should continue to support the work of the Faraday Institution (and other organisations</w:t>
      </w:r>
      <w:proofErr w:type="gramStart"/>
      <w:r w:rsidRPr="008965DA">
        <w:rPr>
          <w:rFonts w:ascii="Open Sans" w:hAnsi="Open Sans" w:cs="Open Sans"/>
        </w:rPr>
        <w:t>), and</w:t>
      </w:r>
      <w:proofErr w:type="gramEnd"/>
      <w:r w:rsidRPr="008965DA">
        <w:rPr>
          <w:rFonts w:ascii="Open Sans" w:hAnsi="Open Sans" w:cs="Open Sans"/>
        </w:rPr>
        <w:t xml:space="preserve"> keep aligned with the work by the EU Battery Alliance, on the topic of well-to-wheel electric vehicle sustainability. The REA welcomes the development of BSI PAS standards 7060 and 7062</w:t>
      </w:r>
      <w:r w:rsidRPr="008965DA">
        <w:rPr>
          <w:rStyle w:val="FootnoteReference"/>
          <w:rFonts w:ascii="Open Sans" w:hAnsi="Open Sans" w:cs="Open Sans"/>
        </w:rPr>
        <w:footnoteReference w:id="2"/>
      </w:r>
      <w:r w:rsidRPr="008965DA">
        <w:rPr>
          <w:rFonts w:ascii="Open Sans" w:hAnsi="Open Sans" w:cs="Open Sans"/>
        </w:rPr>
        <w:t xml:space="preserve"> to provide further support to the automotive sector to ensure the sustainable production, use, and recycling of batteries. </w:t>
      </w:r>
      <w:r w:rsidR="00034A2A" w:rsidRPr="008965DA">
        <w:rPr>
          <w:rFonts w:ascii="Open Sans" w:hAnsi="Open Sans" w:cs="Open Sans"/>
        </w:rPr>
        <w:t xml:space="preserve">Managing a sustainable supply chain in electric vehicles is critical to maintaining public confidence in the technology. </w:t>
      </w:r>
    </w:p>
    <w:p w14:paraId="6B82C02A" w14:textId="6113E2A9" w:rsidR="00034A2A" w:rsidRPr="008965DA" w:rsidRDefault="00034A2A" w:rsidP="00BF1978">
      <w:pPr>
        <w:pStyle w:val="ListParagraph"/>
        <w:numPr>
          <w:ilvl w:val="0"/>
          <w:numId w:val="6"/>
        </w:numPr>
        <w:rPr>
          <w:rFonts w:ascii="Open Sans" w:hAnsi="Open Sans" w:cs="Open Sans"/>
        </w:rPr>
      </w:pPr>
      <w:r w:rsidRPr="008965DA">
        <w:rPr>
          <w:rFonts w:ascii="Open Sans" w:hAnsi="Open Sans" w:cs="Open Sans"/>
        </w:rPr>
        <w:t>Ensure that all power supplied to public charge points is renewable.</w:t>
      </w:r>
    </w:p>
    <w:p w14:paraId="57D438A7" w14:textId="57630838" w:rsidR="00171547" w:rsidRPr="008965DA" w:rsidRDefault="00440B22" w:rsidP="00BF1978">
      <w:pPr>
        <w:pStyle w:val="ListParagraph"/>
        <w:numPr>
          <w:ilvl w:val="0"/>
          <w:numId w:val="6"/>
        </w:numPr>
        <w:rPr>
          <w:rFonts w:ascii="Open Sans" w:hAnsi="Open Sans" w:cs="Open Sans"/>
        </w:rPr>
      </w:pPr>
      <w:r w:rsidRPr="008965DA">
        <w:rPr>
          <w:rFonts w:ascii="Open Sans" w:hAnsi="Open Sans" w:cs="Open Sans"/>
        </w:rPr>
        <w:t>For</w:t>
      </w:r>
      <w:r w:rsidR="00171547" w:rsidRPr="008965DA">
        <w:rPr>
          <w:rFonts w:ascii="Open Sans" w:hAnsi="Open Sans" w:cs="Open Sans"/>
        </w:rPr>
        <w:t xml:space="preserve"> EVs to </w:t>
      </w:r>
      <w:r w:rsidRPr="008965DA">
        <w:rPr>
          <w:rFonts w:ascii="Open Sans" w:hAnsi="Open Sans" w:cs="Open Sans"/>
        </w:rPr>
        <w:t>become widespread</w:t>
      </w:r>
      <w:r w:rsidR="00171547" w:rsidRPr="008965DA">
        <w:rPr>
          <w:rFonts w:ascii="Open Sans" w:hAnsi="Open Sans" w:cs="Open Sans"/>
        </w:rPr>
        <w:t>, then there must be a</w:t>
      </w:r>
      <w:r w:rsidR="003E21ED" w:rsidRPr="008965DA">
        <w:rPr>
          <w:rFonts w:ascii="Open Sans" w:hAnsi="Open Sans" w:cs="Open Sans"/>
        </w:rPr>
        <w:t>n</w:t>
      </w:r>
      <w:r w:rsidR="00171547" w:rsidRPr="008965DA">
        <w:rPr>
          <w:rFonts w:ascii="Open Sans" w:hAnsi="Open Sans" w:cs="Open Sans"/>
        </w:rPr>
        <w:t xml:space="preserve"> increase in renewable generating capacity to ensure that the carbon intensity (CI) of grid electricity does not start to increase.  It is worth noting that there are very tight specifications for ensuring that hydrogen produced for transport (and rewarded via the RTFO) does not result in increasing the CI of the grid. In short</w:t>
      </w:r>
      <w:r w:rsidR="003E21ED" w:rsidRPr="008965DA">
        <w:rPr>
          <w:rFonts w:ascii="Open Sans" w:hAnsi="Open Sans" w:cs="Open Sans"/>
        </w:rPr>
        <w:t>,</w:t>
      </w:r>
      <w:r w:rsidR="00171547" w:rsidRPr="008965DA">
        <w:rPr>
          <w:rFonts w:ascii="Open Sans" w:hAnsi="Open Sans" w:cs="Open Sans"/>
        </w:rPr>
        <w:t xml:space="preserve"> the only practical way of producing qualifying hydrogen for the RTFO is to have it directly connected to a newly built wind (or solar) farm.  This is to ensure that even on a minute to minute marginal timeframe, there is no reduction in renewable </w:t>
      </w:r>
      <w:r w:rsidR="003E21ED" w:rsidRPr="008965DA">
        <w:rPr>
          <w:rFonts w:ascii="Open Sans" w:hAnsi="Open Sans" w:cs="Open Sans"/>
        </w:rPr>
        <w:t xml:space="preserve">electricity feeding into the grid.  </w:t>
      </w:r>
      <w:r w:rsidRPr="008965DA">
        <w:rPr>
          <w:rFonts w:ascii="Open Sans" w:hAnsi="Open Sans" w:cs="Open Sans"/>
        </w:rPr>
        <w:t>A more joined up approach like this for EVs would assuage concerns over well to tank emissions</w:t>
      </w:r>
      <w:r w:rsidR="003E21ED" w:rsidRPr="008965DA">
        <w:rPr>
          <w:rFonts w:ascii="Open Sans" w:hAnsi="Open Sans" w:cs="Open Sans"/>
        </w:rPr>
        <w:t>.</w:t>
      </w:r>
    </w:p>
    <w:p w14:paraId="4A2FF814" w14:textId="75ABEAAB" w:rsidR="00747BED" w:rsidRPr="008965DA" w:rsidRDefault="00747BED" w:rsidP="00F750B7">
      <w:pPr>
        <w:pStyle w:val="ListParagraph"/>
        <w:numPr>
          <w:ilvl w:val="0"/>
          <w:numId w:val="6"/>
        </w:numPr>
        <w:rPr>
          <w:rFonts w:ascii="Open Sans" w:hAnsi="Open Sans" w:cs="Open Sans"/>
        </w:rPr>
      </w:pPr>
      <w:r w:rsidRPr="008965DA">
        <w:rPr>
          <w:rFonts w:ascii="Open Sans" w:hAnsi="Open Sans" w:cs="Open Sans"/>
        </w:rPr>
        <w:t>Introduce measures to incentivi</w:t>
      </w:r>
      <w:r w:rsidR="00440B22" w:rsidRPr="008965DA">
        <w:rPr>
          <w:rFonts w:ascii="Open Sans" w:hAnsi="Open Sans" w:cs="Open Sans"/>
        </w:rPr>
        <w:t>s</w:t>
      </w:r>
      <w:r w:rsidRPr="008965DA">
        <w:rPr>
          <w:rFonts w:ascii="Open Sans" w:hAnsi="Open Sans" w:cs="Open Sans"/>
        </w:rPr>
        <w:t xml:space="preserve">e </w:t>
      </w:r>
      <w:r w:rsidR="00645076" w:rsidRPr="008965DA">
        <w:rPr>
          <w:rFonts w:ascii="Open Sans" w:hAnsi="Open Sans" w:cs="Open Sans"/>
        </w:rPr>
        <w:t xml:space="preserve">all forms of </w:t>
      </w:r>
      <w:r w:rsidRPr="008965DA">
        <w:rPr>
          <w:rFonts w:ascii="Open Sans" w:hAnsi="Open Sans" w:cs="Open Sans"/>
        </w:rPr>
        <w:t xml:space="preserve">hybrids to be driven in electric </w:t>
      </w:r>
      <w:proofErr w:type="gramStart"/>
      <w:r w:rsidRPr="008965DA">
        <w:rPr>
          <w:rFonts w:ascii="Open Sans" w:hAnsi="Open Sans" w:cs="Open Sans"/>
        </w:rPr>
        <w:t>mode, and</w:t>
      </w:r>
      <w:proofErr w:type="gramEnd"/>
      <w:r w:rsidRPr="008965DA">
        <w:rPr>
          <w:rFonts w:ascii="Open Sans" w:hAnsi="Open Sans" w:cs="Open Sans"/>
        </w:rPr>
        <w:t xml:space="preserve"> penalize the use of the ICE (particularly in urban areas).  </w:t>
      </w:r>
    </w:p>
    <w:p w14:paraId="0DF709C6" w14:textId="15E3C6D7" w:rsidR="00034A2A" w:rsidRPr="008965DA" w:rsidRDefault="00645076" w:rsidP="00034A2A">
      <w:pPr>
        <w:pStyle w:val="ListParagraph"/>
        <w:numPr>
          <w:ilvl w:val="0"/>
          <w:numId w:val="12"/>
        </w:numPr>
        <w:rPr>
          <w:rFonts w:ascii="Open Sans" w:hAnsi="Open Sans" w:cs="Open Sans"/>
        </w:rPr>
      </w:pPr>
      <w:r w:rsidRPr="008965DA">
        <w:rPr>
          <w:rFonts w:ascii="Open Sans" w:hAnsi="Open Sans" w:cs="Open Sans"/>
        </w:rPr>
        <w:t xml:space="preserve">Treasury should </w:t>
      </w:r>
      <w:r w:rsidR="00034A2A" w:rsidRPr="008965DA">
        <w:rPr>
          <w:rFonts w:ascii="Open Sans" w:hAnsi="Open Sans" w:cs="Open Sans"/>
        </w:rPr>
        <w:t xml:space="preserve">continue to develop its thinking </w:t>
      </w:r>
      <w:r w:rsidRPr="008965DA">
        <w:rPr>
          <w:rFonts w:ascii="Open Sans" w:hAnsi="Open Sans" w:cs="Open Sans"/>
        </w:rPr>
        <w:t xml:space="preserve">about how it will replace lost income from fuel duty in the transition to electrification. </w:t>
      </w:r>
    </w:p>
    <w:p w14:paraId="3700B27D" w14:textId="3879DA56" w:rsidR="00034A2A" w:rsidRPr="008965DA" w:rsidRDefault="00034A2A" w:rsidP="001441DA">
      <w:pPr>
        <w:pStyle w:val="ListParagraph"/>
        <w:numPr>
          <w:ilvl w:val="0"/>
          <w:numId w:val="12"/>
        </w:numPr>
        <w:rPr>
          <w:rFonts w:ascii="Open Sans" w:hAnsi="Open Sans" w:cs="Open Sans"/>
        </w:rPr>
      </w:pPr>
      <w:r w:rsidRPr="008965DA">
        <w:rPr>
          <w:rFonts w:ascii="Open Sans" w:hAnsi="Open Sans" w:cs="Open Sans"/>
        </w:rPr>
        <w:t xml:space="preserve">The Government should also harmonise its approach in regard the application of VAT to low-carbon fuels. VAT levied on the sale of renewable petrol and diesel is currently at </w:t>
      </w:r>
      <w:proofErr w:type="gramStart"/>
      <w:r w:rsidRPr="008965DA">
        <w:rPr>
          <w:rFonts w:ascii="Open Sans" w:hAnsi="Open Sans" w:cs="Open Sans"/>
        </w:rPr>
        <w:t>20%, and</w:t>
      </w:r>
      <w:proofErr w:type="gramEnd"/>
      <w:r w:rsidRPr="008965DA">
        <w:rPr>
          <w:rFonts w:ascii="Open Sans" w:hAnsi="Open Sans" w:cs="Open Sans"/>
        </w:rPr>
        <w:t xml:space="preserve"> should be reduced to 5% to support greater market-led deployment. Electricity sold at public charge points has VAT applied at 20% and should be reduced to 5% to align with the rate charged for those who charge at home. Smart home energy technologies such as solar and battery storage, particularly when their deployment is supporting the decarbonisation of transport in homes and businesses, should also have VAT applied at 5%. </w:t>
      </w:r>
    </w:p>
    <w:p w14:paraId="242E0B07" w14:textId="322ABEBF" w:rsidR="00731DCA" w:rsidRPr="008965DA" w:rsidRDefault="00FD3FA8" w:rsidP="00034A2A">
      <w:pPr>
        <w:pStyle w:val="ListParagraph"/>
        <w:numPr>
          <w:ilvl w:val="0"/>
          <w:numId w:val="12"/>
        </w:numPr>
        <w:rPr>
          <w:rFonts w:ascii="Open Sans" w:hAnsi="Open Sans" w:cs="Open Sans"/>
        </w:rPr>
      </w:pPr>
      <w:r w:rsidRPr="008965DA">
        <w:rPr>
          <w:rFonts w:ascii="Open Sans" w:hAnsi="Open Sans" w:cs="Open Sans"/>
        </w:rPr>
        <w:t xml:space="preserve">There are significant sustainability requirements in place for renewable fuels. </w:t>
      </w:r>
      <w:r w:rsidR="00440B22" w:rsidRPr="008965DA">
        <w:rPr>
          <w:rFonts w:ascii="Open Sans" w:hAnsi="Open Sans" w:cs="Open Sans"/>
        </w:rPr>
        <w:t>While t</w:t>
      </w:r>
      <w:r w:rsidRPr="008965DA">
        <w:rPr>
          <w:rFonts w:ascii="Open Sans" w:hAnsi="Open Sans" w:cs="Open Sans"/>
        </w:rPr>
        <w:t>he issues are different, in that their environmental impact is front-loaded relative to the ICE cars, the embodied energy requirements and environmental impacts of sourcing the components for batteries need to be considered</w:t>
      </w:r>
      <w:r w:rsidR="00440B22" w:rsidRPr="008965DA">
        <w:rPr>
          <w:rFonts w:ascii="Open Sans" w:hAnsi="Open Sans" w:cs="Open Sans"/>
        </w:rPr>
        <w:t xml:space="preserve"> for Electric Vehicles</w:t>
      </w:r>
      <w:r w:rsidR="003B0188" w:rsidRPr="008965DA">
        <w:rPr>
          <w:rFonts w:ascii="Open Sans" w:hAnsi="Open Sans" w:cs="Open Sans"/>
        </w:rPr>
        <w:t>.</w:t>
      </w:r>
      <w:r w:rsidRPr="008965DA">
        <w:rPr>
          <w:rFonts w:ascii="Open Sans" w:hAnsi="Open Sans" w:cs="Open Sans"/>
        </w:rPr>
        <w:t xml:space="preserve">  </w:t>
      </w:r>
    </w:p>
    <w:p w14:paraId="6E60271F" w14:textId="463AE1CF" w:rsidR="00FD3FA8" w:rsidRPr="008965DA" w:rsidRDefault="00FD3FA8" w:rsidP="00B71ED1">
      <w:pPr>
        <w:pStyle w:val="ListParagraph"/>
        <w:numPr>
          <w:ilvl w:val="0"/>
          <w:numId w:val="12"/>
        </w:numPr>
        <w:rPr>
          <w:rFonts w:ascii="Open Sans" w:hAnsi="Open Sans" w:cs="Open Sans"/>
        </w:rPr>
      </w:pPr>
      <w:r w:rsidRPr="008965DA">
        <w:rPr>
          <w:rFonts w:ascii="Open Sans" w:hAnsi="Open Sans" w:cs="Open Sans"/>
        </w:rPr>
        <w:t xml:space="preserve">Although not within the remit of the Association, the Government should </w:t>
      </w:r>
      <w:r w:rsidR="00C77225" w:rsidRPr="008965DA">
        <w:rPr>
          <w:rFonts w:ascii="Open Sans" w:hAnsi="Open Sans" w:cs="Open Sans"/>
        </w:rPr>
        <w:t xml:space="preserve">in parallel consider </w:t>
      </w:r>
      <w:r w:rsidRPr="008965DA">
        <w:rPr>
          <w:rFonts w:ascii="Open Sans" w:hAnsi="Open Sans" w:cs="Open Sans"/>
        </w:rPr>
        <w:t xml:space="preserve">non-fuel </w:t>
      </w:r>
      <w:r w:rsidR="00C77225" w:rsidRPr="008965DA">
        <w:rPr>
          <w:rFonts w:ascii="Open Sans" w:hAnsi="Open Sans" w:cs="Open Sans"/>
        </w:rPr>
        <w:t xml:space="preserve">or electrification means of reducing carbon emissions from transport, such as demand reduction through </w:t>
      </w:r>
      <w:r w:rsidRPr="008965DA">
        <w:rPr>
          <w:rFonts w:ascii="Open Sans" w:hAnsi="Open Sans" w:cs="Open Sans"/>
        </w:rPr>
        <w:t>modal shift.</w:t>
      </w:r>
    </w:p>
    <w:p w14:paraId="22E8E4CC" w14:textId="77777777" w:rsidR="00034A2A" w:rsidRPr="008965DA" w:rsidRDefault="00034A2A" w:rsidP="00FE2320">
      <w:pPr>
        <w:pStyle w:val="ListParagraph"/>
        <w:ind w:left="720" w:firstLine="0"/>
        <w:rPr>
          <w:rFonts w:ascii="Open Sans" w:hAnsi="Open Sans" w:cs="Open Sans"/>
        </w:rPr>
      </w:pPr>
    </w:p>
    <w:p w14:paraId="3920704E" w14:textId="72FBA532" w:rsidR="003B0188" w:rsidRPr="008965DA" w:rsidRDefault="00034A2A" w:rsidP="001441DA">
      <w:pPr>
        <w:pStyle w:val="BodyText"/>
        <w:ind w:left="0"/>
        <w:rPr>
          <w:rFonts w:ascii="Open Sans" w:hAnsi="Open Sans" w:cs="Open Sans"/>
          <w:sz w:val="22"/>
          <w:szCs w:val="22"/>
        </w:rPr>
      </w:pPr>
      <w:r w:rsidRPr="008965DA">
        <w:rPr>
          <w:rFonts w:ascii="Open Sans" w:hAnsi="Open Sans" w:cs="Open Sans"/>
          <w:sz w:val="22"/>
          <w:szCs w:val="22"/>
        </w:rPr>
        <w:t>Regarding the deployment of</w:t>
      </w:r>
      <w:r w:rsidR="00AF492A" w:rsidRPr="008965DA">
        <w:rPr>
          <w:rFonts w:ascii="Open Sans" w:hAnsi="Open Sans" w:cs="Open Sans"/>
          <w:sz w:val="22"/>
          <w:szCs w:val="22"/>
        </w:rPr>
        <w:t xml:space="preserve"> EV charging infrastructure, the REA believes the following should be actioned by Government: </w:t>
      </w:r>
    </w:p>
    <w:p w14:paraId="16B84AF0" w14:textId="77777777" w:rsidR="00C233F0" w:rsidRPr="008965DA" w:rsidRDefault="00C233F0" w:rsidP="00AF492A">
      <w:pPr>
        <w:pStyle w:val="BodyText"/>
        <w:ind w:left="0"/>
        <w:rPr>
          <w:rFonts w:ascii="Open Sans" w:hAnsi="Open Sans" w:cs="Open Sans"/>
          <w:sz w:val="22"/>
          <w:szCs w:val="22"/>
        </w:rPr>
      </w:pPr>
      <w:r w:rsidRPr="008965DA">
        <w:rPr>
          <w:rFonts w:ascii="Open Sans" w:hAnsi="Open Sans" w:cs="Open Sans"/>
          <w:b/>
          <w:bCs/>
          <w:sz w:val="22"/>
          <w:szCs w:val="22"/>
        </w:rPr>
        <w:t>Home Charging</w:t>
      </w:r>
      <w:r w:rsidRPr="008965DA">
        <w:rPr>
          <w:rFonts w:ascii="Open Sans" w:hAnsi="Open Sans" w:cs="Open Sans"/>
          <w:sz w:val="22"/>
          <w:szCs w:val="22"/>
        </w:rPr>
        <w:t xml:space="preserve"> </w:t>
      </w:r>
    </w:p>
    <w:p w14:paraId="2F9C20E4"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Lack of clarity around the definition of ‘smart charging,’ which is incentivising the deployment of low-cost, low-quality and ‘NON-SMART’ infrastructure. </w:t>
      </w:r>
    </w:p>
    <w:p w14:paraId="78A418AB"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Lack of development of transparent and deep flexibility markets behind the meter. </w:t>
      </w:r>
    </w:p>
    <w:p w14:paraId="6B20205C"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Slow uptake of domestic battery storage, and a significantly reduced uptake of solar PV (and other forms of microgeneration) following the introduction of the Smart Export Guarantee. </w:t>
      </w:r>
    </w:p>
    <w:p w14:paraId="7D17B546"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Lack of clarity around future Government plans around building regulations. </w:t>
      </w:r>
    </w:p>
    <w:p w14:paraId="5D79210F"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Lack of enforcement of </w:t>
      </w:r>
      <w:proofErr w:type="gramStart"/>
      <w:r w:rsidRPr="008965DA">
        <w:rPr>
          <w:rFonts w:ascii="Open Sans" w:hAnsi="Open Sans" w:cs="Open Sans"/>
          <w:sz w:val="22"/>
          <w:szCs w:val="22"/>
        </w:rPr>
        <w:t>poor quality</w:t>
      </w:r>
      <w:proofErr w:type="gramEnd"/>
      <w:r w:rsidRPr="008965DA">
        <w:rPr>
          <w:rFonts w:ascii="Open Sans" w:hAnsi="Open Sans" w:cs="Open Sans"/>
          <w:sz w:val="22"/>
          <w:szCs w:val="22"/>
        </w:rPr>
        <w:t xml:space="preserve"> installation practices. </w:t>
      </w:r>
    </w:p>
    <w:p w14:paraId="6AA60F4D"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Constrained existing and new local electricity distribution networks. </w:t>
      </w:r>
    </w:p>
    <w:p w14:paraId="584CE6BB"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Slow processes and a lack of harmonisation between DNOs around securing Maximum Demand Assessments on properties and associated approvals. </w:t>
      </w:r>
    </w:p>
    <w:p w14:paraId="5281D1AF"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A lack of visibility of where (and speeds of) chargers are being deployed. </w:t>
      </w:r>
    </w:p>
    <w:p w14:paraId="3DD53F2A"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 A skills shortage of qualified electricians. On-Street Charging &amp; local authorities </w:t>
      </w:r>
    </w:p>
    <w:p w14:paraId="1F326A78" w14:textId="191C219B"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Slow progress in normalising the ‘Milton Keynes Promise’ (aka the Right to Plug), in which a Local Authority commits to providing residents who want an </w:t>
      </w:r>
      <w:proofErr w:type="spellStart"/>
      <w:r w:rsidRPr="008965DA">
        <w:rPr>
          <w:rFonts w:ascii="Open Sans" w:hAnsi="Open Sans" w:cs="Open Sans"/>
          <w:sz w:val="22"/>
          <w:szCs w:val="22"/>
        </w:rPr>
        <w:t>onstreet</w:t>
      </w:r>
      <w:proofErr w:type="spellEnd"/>
      <w:r w:rsidRPr="008965DA">
        <w:rPr>
          <w:rFonts w:ascii="Open Sans" w:hAnsi="Open Sans" w:cs="Open Sans"/>
          <w:sz w:val="22"/>
          <w:szCs w:val="22"/>
        </w:rPr>
        <w:t xml:space="preserve"> charge point with one in their area (details of which can be found in the REA’s local authority report here). </w:t>
      </w:r>
    </w:p>
    <w:p w14:paraId="00B3D516" w14:textId="4FEA42E2" w:rsidR="00034A2A"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Overall, fiscally constrained local authorities with a lack of clarity of who in the organisation ‘owns’ charge point delivery and maintenance. Slow progress on the normalisation of tenders / </w:t>
      </w:r>
      <w:r w:rsidR="00034A2A" w:rsidRPr="008965DA">
        <w:rPr>
          <w:rFonts w:ascii="Open Sans" w:hAnsi="Open Sans" w:cs="Open Sans"/>
          <w:sz w:val="22"/>
          <w:szCs w:val="22"/>
        </w:rPr>
        <w:t>concessions</w:t>
      </w:r>
      <w:r w:rsidRPr="008965DA">
        <w:rPr>
          <w:rFonts w:ascii="Open Sans" w:hAnsi="Open Sans" w:cs="Open Sans"/>
          <w:sz w:val="22"/>
          <w:szCs w:val="22"/>
        </w:rPr>
        <w:t xml:space="preserve"> for deployment of infrastructure on local authority land. </w:t>
      </w:r>
    </w:p>
    <w:p w14:paraId="1AC23EC8" w14:textId="4A32249F" w:rsidR="00C233F0" w:rsidRPr="008965DA" w:rsidRDefault="00C233F0" w:rsidP="001441DA">
      <w:pPr>
        <w:pStyle w:val="BodyText"/>
        <w:rPr>
          <w:rFonts w:ascii="Open Sans" w:hAnsi="Open Sans" w:cs="Open Sans"/>
          <w:b/>
          <w:bCs/>
          <w:sz w:val="22"/>
          <w:szCs w:val="22"/>
        </w:rPr>
      </w:pPr>
      <w:r w:rsidRPr="008965DA">
        <w:rPr>
          <w:rFonts w:ascii="Open Sans" w:hAnsi="Open Sans" w:cs="Open Sans"/>
          <w:b/>
          <w:bCs/>
          <w:sz w:val="22"/>
          <w:szCs w:val="22"/>
        </w:rPr>
        <w:t xml:space="preserve">Workplace Charging </w:t>
      </w:r>
    </w:p>
    <w:p w14:paraId="3E99DB7F"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The workplace charging scheme grant, although welcome and a streamlined process, is only available to companies with the capex to purchase chargers outright and pay for the installation and make-ready costs up front. WCS is not available to companies who want or </w:t>
      </w:r>
      <w:proofErr w:type="gramStart"/>
      <w:r w:rsidRPr="008965DA">
        <w:rPr>
          <w:rFonts w:ascii="Open Sans" w:hAnsi="Open Sans" w:cs="Open Sans"/>
          <w:sz w:val="22"/>
          <w:szCs w:val="22"/>
        </w:rPr>
        <w:t>have to</w:t>
      </w:r>
      <w:proofErr w:type="gramEnd"/>
      <w:r w:rsidRPr="008965DA">
        <w:rPr>
          <w:rFonts w:ascii="Open Sans" w:hAnsi="Open Sans" w:cs="Open Sans"/>
          <w:sz w:val="22"/>
          <w:szCs w:val="22"/>
        </w:rPr>
        <w:t xml:space="preserve"> minimise capex exposure by leasing charging infrastructure bundled with infrastructure costs. </w:t>
      </w:r>
    </w:p>
    <w:p w14:paraId="29855359" w14:textId="77777777" w:rsidR="00034A2A"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Local-authority controlled planning regimes vary across the country, meaning that in some commercial premises there are no barriers to installing charging infrastructure and in others such as Edinburgh, a rapid charger must be installed at locations with more than 10 parking spaces, creating uncertainty for developers. </w:t>
      </w:r>
    </w:p>
    <w:p w14:paraId="03FAEF6B" w14:textId="3F11D0D5" w:rsidR="00C233F0" w:rsidRPr="008965DA" w:rsidRDefault="00C233F0" w:rsidP="001441DA">
      <w:pPr>
        <w:pStyle w:val="BodyText"/>
        <w:rPr>
          <w:rFonts w:ascii="Open Sans" w:hAnsi="Open Sans" w:cs="Open Sans"/>
          <w:b/>
          <w:bCs/>
          <w:sz w:val="22"/>
          <w:szCs w:val="22"/>
        </w:rPr>
      </w:pPr>
      <w:r w:rsidRPr="008965DA">
        <w:rPr>
          <w:rFonts w:ascii="Open Sans" w:hAnsi="Open Sans" w:cs="Open Sans"/>
          <w:b/>
          <w:bCs/>
          <w:sz w:val="22"/>
          <w:szCs w:val="22"/>
        </w:rPr>
        <w:t xml:space="preserve">Depot Charging </w:t>
      </w:r>
    </w:p>
    <w:p w14:paraId="4F032099"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Significant grid upgrade costs facing operators and often high grid access and usage chargers. </w:t>
      </w:r>
    </w:p>
    <w:p w14:paraId="004FC0CC" w14:textId="77777777" w:rsidR="00034A2A"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The value of co-located ‘flexibility’ assets not fully recognised by local grid operators. </w:t>
      </w:r>
    </w:p>
    <w:p w14:paraId="583D8E13" w14:textId="0A7331F2" w:rsidR="00C233F0" w:rsidRPr="008965DA" w:rsidRDefault="00C233F0" w:rsidP="001441DA">
      <w:pPr>
        <w:pStyle w:val="BodyText"/>
        <w:rPr>
          <w:rFonts w:ascii="Open Sans" w:hAnsi="Open Sans" w:cs="Open Sans"/>
          <w:b/>
          <w:bCs/>
          <w:sz w:val="22"/>
          <w:szCs w:val="22"/>
        </w:rPr>
      </w:pPr>
      <w:r w:rsidRPr="008965DA">
        <w:rPr>
          <w:rFonts w:ascii="Open Sans" w:hAnsi="Open Sans" w:cs="Open Sans"/>
          <w:b/>
          <w:bCs/>
          <w:sz w:val="22"/>
          <w:szCs w:val="22"/>
        </w:rPr>
        <w:t xml:space="preserve">Public charging &amp; rapid charging </w:t>
      </w:r>
    </w:p>
    <w:p w14:paraId="44953544" w14:textId="6914A606"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Prohibitive costs for </w:t>
      </w:r>
      <w:r w:rsidR="00034A2A" w:rsidRPr="008965DA">
        <w:rPr>
          <w:rFonts w:ascii="Open Sans" w:hAnsi="Open Sans" w:cs="Open Sans"/>
          <w:sz w:val="22"/>
          <w:szCs w:val="22"/>
        </w:rPr>
        <w:t>electricity</w:t>
      </w:r>
      <w:r w:rsidRPr="008965DA">
        <w:rPr>
          <w:rFonts w:ascii="Open Sans" w:hAnsi="Open Sans" w:cs="Open Sans"/>
          <w:sz w:val="22"/>
          <w:szCs w:val="22"/>
        </w:rPr>
        <w:t xml:space="preserve"> network upgrades particularly when developing rapid charging hubs. </w:t>
      </w:r>
    </w:p>
    <w:p w14:paraId="6B75A8D5"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Slow processes and a lack of harmonisation across DNO’s connections processes. </w:t>
      </w:r>
    </w:p>
    <w:p w14:paraId="6A80DF5B"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Land rights are an increasingly significant problem, with issues such as </w:t>
      </w:r>
      <w:proofErr w:type="gramStart"/>
      <w:r w:rsidRPr="008965DA">
        <w:rPr>
          <w:rFonts w:ascii="Open Sans" w:hAnsi="Open Sans" w:cs="Open Sans"/>
          <w:sz w:val="22"/>
          <w:szCs w:val="22"/>
        </w:rPr>
        <w:t>99 year</w:t>
      </w:r>
      <w:proofErr w:type="gramEnd"/>
      <w:r w:rsidRPr="008965DA">
        <w:rPr>
          <w:rFonts w:ascii="Open Sans" w:hAnsi="Open Sans" w:cs="Open Sans"/>
          <w:sz w:val="22"/>
          <w:szCs w:val="22"/>
        </w:rPr>
        <w:t xml:space="preserve"> substation leases and securing wayleaves becoming barriers to developers. </w:t>
      </w:r>
    </w:p>
    <w:p w14:paraId="0FA6E8D8" w14:textId="18866B7C"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A lack of interoperability and </w:t>
      </w:r>
      <w:r w:rsidR="00034A2A" w:rsidRPr="008965DA">
        <w:rPr>
          <w:rFonts w:ascii="Open Sans" w:hAnsi="Open Sans" w:cs="Open Sans"/>
          <w:sz w:val="22"/>
          <w:szCs w:val="22"/>
        </w:rPr>
        <w:t>roaming</w:t>
      </w:r>
      <w:r w:rsidRPr="008965DA">
        <w:rPr>
          <w:rFonts w:ascii="Open Sans" w:hAnsi="Open Sans" w:cs="Open Sans"/>
          <w:sz w:val="22"/>
          <w:szCs w:val="22"/>
        </w:rPr>
        <w:t xml:space="preserve">, making for </w:t>
      </w:r>
      <w:r w:rsidR="00034A2A" w:rsidRPr="008965DA">
        <w:rPr>
          <w:rFonts w:ascii="Open Sans" w:hAnsi="Open Sans" w:cs="Open Sans"/>
          <w:sz w:val="22"/>
          <w:szCs w:val="22"/>
        </w:rPr>
        <w:t>infrastructure</w:t>
      </w:r>
      <w:r w:rsidRPr="008965DA">
        <w:rPr>
          <w:rFonts w:ascii="Open Sans" w:hAnsi="Open Sans" w:cs="Open Sans"/>
          <w:sz w:val="22"/>
          <w:szCs w:val="22"/>
        </w:rPr>
        <w:t xml:space="preserve"> that is not able to be upgraded and a confusing experience for consumers who are functionally required to hold multiple payment accounts to move around. </w:t>
      </w:r>
    </w:p>
    <w:p w14:paraId="145AA01E" w14:textId="73C2B501"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Significant volume of legacy infrastructure which is not well maintained which impacts the overall reputation of the public charging sector. </w:t>
      </w:r>
    </w:p>
    <w:p w14:paraId="5A2F4BC2" w14:textId="77D62D10" w:rsidR="00AF492A"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 Functional </w:t>
      </w:r>
      <w:r w:rsidR="00034A2A" w:rsidRPr="008965DA">
        <w:rPr>
          <w:rFonts w:ascii="Open Sans" w:hAnsi="Open Sans" w:cs="Open Sans"/>
          <w:sz w:val="22"/>
          <w:szCs w:val="22"/>
        </w:rPr>
        <w:t>monopoly</w:t>
      </w:r>
      <w:r w:rsidRPr="008965DA">
        <w:rPr>
          <w:rFonts w:ascii="Open Sans" w:hAnsi="Open Sans" w:cs="Open Sans"/>
          <w:sz w:val="22"/>
          <w:szCs w:val="22"/>
        </w:rPr>
        <w:t xml:space="preserve"> for provision of rapid charging services across English motorways.</w:t>
      </w:r>
    </w:p>
    <w:p w14:paraId="78A09DA8" w14:textId="77777777" w:rsidR="00AA7455" w:rsidRPr="008965DA" w:rsidRDefault="00AA7455" w:rsidP="00AF492A">
      <w:pPr>
        <w:pStyle w:val="BodyText"/>
        <w:ind w:left="0"/>
        <w:rPr>
          <w:rFonts w:ascii="Open Sans" w:hAnsi="Open Sans" w:cs="Open Sans"/>
          <w:b/>
          <w:bCs/>
          <w:sz w:val="22"/>
          <w:szCs w:val="22"/>
          <w:u w:val="single"/>
        </w:rPr>
      </w:pPr>
    </w:p>
    <w:p w14:paraId="624C838B" w14:textId="44CD36C2" w:rsidR="00AF492A" w:rsidRPr="008965DA" w:rsidRDefault="00AF492A" w:rsidP="00AF492A">
      <w:pPr>
        <w:pStyle w:val="BodyText"/>
        <w:ind w:left="0"/>
        <w:rPr>
          <w:rFonts w:ascii="Open Sans" w:hAnsi="Open Sans" w:cs="Open Sans"/>
          <w:b/>
          <w:bCs/>
          <w:sz w:val="22"/>
          <w:szCs w:val="22"/>
        </w:rPr>
      </w:pPr>
      <w:r w:rsidRPr="008965DA">
        <w:rPr>
          <w:rFonts w:ascii="Open Sans" w:hAnsi="Open Sans" w:cs="Open Sans"/>
          <w:b/>
          <w:bCs/>
          <w:sz w:val="22"/>
          <w:szCs w:val="22"/>
          <w:u w:val="single"/>
        </w:rPr>
        <w:t>Buses and Coaches</w:t>
      </w:r>
      <w:r w:rsidRPr="008965DA">
        <w:rPr>
          <w:rFonts w:ascii="Open Sans" w:hAnsi="Open Sans" w:cs="Open Sans"/>
          <w:b/>
          <w:bCs/>
          <w:sz w:val="22"/>
          <w:szCs w:val="22"/>
        </w:rPr>
        <w:t>:</w:t>
      </w:r>
    </w:p>
    <w:p w14:paraId="2D2F3F08" w14:textId="6E8BC7C7" w:rsidR="00453D4A" w:rsidRPr="008965DA" w:rsidRDefault="00034A2A" w:rsidP="00BF1978">
      <w:pPr>
        <w:rPr>
          <w:rFonts w:ascii="Open Sans" w:hAnsi="Open Sans" w:cs="Open Sans"/>
        </w:rPr>
      </w:pPr>
      <w:r w:rsidRPr="008965DA">
        <w:rPr>
          <w:rFonts w:ascii="Open Sans" w:hAnsi="Open Sans" w:cs="Open Sans"/>
        </w:rPr>
        <w:t xml:space="preserve">For the existing petrol and diesel bus parc, </w:t>
      </w:r>
      <w:r w:rsidR="00453D4A" w:rsidRPr="008965DA">
        <w:rPr>
          <w:rFonts w:ascii="Open Sans" w:hAnsi="Open Sans" w:cs="Open Sans"/>
        </w:rPr>
        <w:t xml:space="preserve">Government should </w:t>
      </w:r>
      <w:r w:rsidR="00BF1978" w:rsidRPr="008965DA">
        <w:rPr>
          <w:rFonts w:ascii="Open Sans" w:hAnsi="Open Sans" w:cs="Open Sans"/>
        </w:rPr>
        <w:t xml:space="preserve">increase the basic RTFO target level, as described earlier, </w:t>
      </w:r>
      <w:proofErr w:type="gramStart"/>
      <w:r w:rsidR="00BF1978" w:rsidRPr="008965DA">
        <w:rPr>
          <w:rFonts w:ascii="Open Sans" w:hAnsi="Open Sans" w:cs="Open Sans"/>
        </w:rPr>
        <w:t>in order to</w:t>
      </w:r>
      <w:proofErr w:type="gramEnd"/>
      <w:r w:rsidR="00BF1978" w:rsidRPr="008965DA">
        <w:rPr>
          <w:rFonts w:ascii="Open Sans" w:hAnsi="Open Sans" w:cs="Open Sans"/>
        </w:rPr>
        <w:t xml:space="preserve"> encourage</w:t>
      </w:r>
      <w:r w:rsidR="00861A42" w:rsidRPr="008965DA">
        <w:rPr>
          <w:rFonts w:ascii="Open Sans" w:hAnsi="Open Sans" w:cs="Open Sans"/>
        </w:rPr>
        <w:t>:</w:t>
      </w:r>
      <w:r w:rsidR="00453D4A" w:rsidRPr="008965DA">
        <w:rPr>
          <w:rFonts w:ascii="Open Sans" w:hAnsi="Open Sans" w:cs="Open Sans"/>
        </w:rPr>
        <w:t xml:space="preserve"> </w:t>
      </w:r>
    </w:p>
    <w:p w14:paraId="0891F226" w14:textId="29C6D53A" w:rsidR="00453D4A" w:rsidRPr="008965DA" w:rsidRDefault="00BF1978" w:rsidP="00FE2320">
      <w:pPr>
        <w:pStyle w:val="ListParagraph"/>
        <w:numPr>
          <w:ilvl w:val="0"/>
          <w:numId w:val="13"/>
        </w:numPr>
        <w:rPr>
          <w:rFonts w:ascii="Open Sans" w:hAnsi="Open Sans" w:cs="Open Sans"/>
        </w:rPr>
      </w:pPr>
      <w:r w:rsidRPr="008965DA">
        <w:rPr>
          <w:rFonts w:ascii="Open Sans" w:hAnsi="Open Sans" w:cs="Open Sans"/>
        </w:rPr>
        <w:t xml:space="preserve">the uptake of </w:t>
      </w:r>
      <w:r w:rsidR="00453D4A" w:rsidRPr="008965DA">
        <w:rPr>
          <w:rFonts w:ascii="Open Sans" w:hAnsi="Open Sans" w:cs="Open Sans"/>
        </w:rPr>
        <w:t>higher biofuel blends of diesel to be used in the existing fleet of diesel busses</w:t>
      </w:r>
    </w:p>
    <w:p w14:paraId="62033FEB" w14:textId="26C0881F" w:rsidR="00453D4A" w:rsidRPr="008965DA" w:rsidRDefault="00453D4A" w:rsidP="00FE2320">
      <w:pPr>
        <w:pStyle w:val="ListParagraph"/>
        <w:numPr>
          <w:ilvl w:val="0"/>
          <w:numId w:val="13"/>
        </w:numPr>
        <w:rPr>
          <w:rFonts w:ascii="Open Sans" w:hAnsi="Open Sans" w:cs="Open Sans"/>
        </w:rPr>
      </w:pPr>
      <w:r w:rsidRPr="008965DA">
        <w:rPr>
          <w:rFonts w:ascii="Open Sans" w:hAnsi="Open Sans" w:cs="Open Sans"/>
        </w:rPr>
        <w:t xml:space="preserve">the </w:t>
      </w:r>
      <w:r w:rsidR="00BF1978" w:rsidRPr="008965DA">
        <w:rPr>
          <w:rFonts w:ascii="Open Sans" w:hAnsi="Open Sans" w:cs="Open Sans"/>
        </w:rPr>
        <w:t xml:space="preserve">blending of drop in fuel to replace fossil diesel where fleet operators are not able to accommodate more biodiesel. </w:t>
      </w:r>
      <w:r w:rsidRPr="008965DA">
        <w:rPr>
          <w:rFonts w:ascii="Open Sans" w:hAnsi="Open Sans" w:cs="Open Sans"/>
        </w:rPr>
        <w:t>(</w:t>
      </w:r>
      <w:r w:rsidR="00BF1978" w:rsidRPr="008965DA">
        <w:rPr>
          <w:rFonts w:ascii="Open Sans" w:hAnsi="Open Sans" w:cs="Open Sans"/>
        </w:rPr>
        <w:t xml:space="preserve">Such drop ins would be expected to comprise </w:t>
      </w:r>
      <w:r w:rsidRPr="008965DA">
        <w:rPr>
          <w:rFonts w:ascii="Open Sans" w:hAnsi="Open Sans" w:cs="Open Sans"/>
        </w:rPr>
        <w:t>HVO, renewable paraffinic diesel or e-fuels</w:t>
      </w:r>
      <w:r w:rsidR="00BF1978" w:rsidRPr="008965DA">
        <w:rPr>
          <w:rFonts w:ascii="Open Sans" w:hAnsi="Open Sans" w:cs="Open Sans"/>
        </w:rPr>
        <w:t>)</w:t>
      </w:r>
    </w:p>
    <w:p w14:paraId="20B134BB" w14:textId="4E529E46" w:rsidR="00453D4A" w:rsidRPr="008965DA" w:rsidRDefault="00BF1978" w:rsidP="001441DA">
      <w:pPr>
        <w:pStyle w:val="ListParagraph"/>
        <w:numPr>
          <w:ilvl w:val="0"/>
          <w:numId w:val="13"/>
        </w:numPr>
        <w:rPr>
          <w:rFonts w:ascii="Open Sans" w:hAnsi="Open Sans" w:cs="Open Sans"/>
          <w:b/>
          <w:bCs/>
          <w:i/>
          <w:iCs/>
        </w:rPr>
      </w:pPr>
      <w:r w:rsidRPr="008965DA">
        <w:rPr>
          <w:rFonts w:ascii="Open Sans" w:hAnsi="Open Sans" w:cs="Open Sans"/>
        </w:rPr>
        <w:t xml:space="preserve">the uptake of biomethane-fuelled buses, (and in the longer run busses run on </w:t>
      </w:r>
      <w:r w:rsidR="00453D4A" w:rsidRPr="008965DA">
        <w:rPr>
          <w:rFonts w:ascii="Open Sans" w:hAnsi="Open Sans" w:cs="Open Sans"/>
        </w:rPr>
        <w:t>renewable hydrogen</w:t>
      </w:r>
      <w:r w:rsidRPr="008965DA">
        <w:rPr>
          <w:rFonts w:ascii="Open Sans" w:hAnsi="Open Sans" w:cs="Open Sans"/>
        </w:rPr>
        <w:t>.)</w:t>
      </w:r>
    </w:p>
    <w:p w14:paraId="5A3ACAD9" w14:textId="6CF1B9AA" w:rsidR="00861A42" w:rsidRPr="008965DA" w:rsidRDefault="00861A42" w:rsidP="00861A42">
      <w:pPr>
        <w:rPr>
          <w:rFonts w:ascii="Open Sans" w:hAnsi="Open Sans" w:cs="Open Sans"/>
        </w:rPr>
      </w:pPr>
      <w:r w:rsidRPr="008965DA">
        <w:rPr>
          <w:rFonts w:ascii="Open Sans" w:hAnsi="Open Sans" w:cs="Open Sans"/>
        </w:rPr>
        <w:t xml:space="preserve">There is a key role for electrification to play in the bus market segment. Electric busses have the greatest uptake in UK local authority areas where pollution or ultra-low emissions zones have been introduced, with the BYD and Alexander Dennis models being particularly popular. Prices for these urban and suburban busses are expected to fall particularly with the entrance of new market players such as Arrival, who are manufacturing their products in the UK. </w:t>
      </w:r>
    </w:p>
    <w:p w14:paraId="3FC81F73" w14:textId="2FFA7929" w:rsidR="007C57C9" w:rsidRPr="008965DA" w:rsidRDefault="00861A42" w:rsidP="007C57C9">
      <w:pPr>
        <w:rPr>
          <w:rFonts w:ascii="Open Sans" w:hAnsi="Open Sans" w:cs="Open Sans"/>
        </w:rPr>
      </w:pPr>
      <w:r w:rsidRPr="008965DA">
        <w:rPr>
          <w:rFonts w:ascii="Open Sans" w:hAnsi="Open Sans" w:cs="Open Sans"/>
        </w:rPr>
        <w:t xml:space="preserve">The REA notes discussions with Local Authorities who are also considering hydrogen and biomethane-powered busses, particularly in hilly cities such as Glasgow. All these technologies will have a key role to play, and it is too soon to be able to estimate the % market penetration of either by 2030 or 2040. </w:t>
      </w:r>
    </w:p>
    <w:p w14:paraId="617C52E5" w14:textId="77777777" w:rsidR="003B0188" w:rsidRPr="008965DA" w:rsidRDefault="00870CF8" w:rsidP="00F750B7">
      <w:pPr>
        <w:pStyle w:val="Heading3"/>
        <w:rPr>
          <w:rFonts w:ascii="Open Sans" w:hAnsi="Open Sans" w:cs="Open Sans"/>
        </w:rPr>
      </w:pPr>
      <w:r w:rsidRPr="008965DA">
        <w:rPr>
          <w:rFonts w:ascii="Open Sans" w:hAnsi="Open Sans" w:cs="Open Sans"/>
        </w:rPr>
        <w:t>Coaches</w:t>
      </w:r>
    </w:p>
    <w:p w14:paraId="45DE13B2" w14:textId="115379E7" w:rsidR="007C57C9" w:rsidRPr="008965DA" w:rsidRDefault="003B0188" w:rsidP="00F750B7">
      <w:pPr>
        <w:rPr>
          <w:rFonts w:ascii="Open Sans" w:hAnsi="Open Sans" w:cs="Open Sans"/>
        </w:rPr>
      </w:pPr>
      <w:r w:rsidRPr="008965DA">
        <w:rPr>
          <w:rFonts w:ascii="Open Sans" w:hAnsi="Open Sans" w:cs="Open Sans"/>
        </w:rPr>
        <w:t>T</w:t>
      </w:r>
      <w:r w:rsidR="00870CF8" w:rsidRPr="008965DA">
        <w:rPr>
          <w:rFonts w:ascii="Open Sans" w:hAnsi="Open Sans" w:cs="Open Sans"/>
        </w:rPr>
        <w:t xml:space="preserve">he coach market </w:t>
      </w:r>
      <w:r w:rsidR="007C57C9" w:rsidRPr="008965DA">
        <w:rPr>
          <w:rFonts w:ascii="Open Sans" w:hAnsi="Open Sans" w:cs="Open Sans"/>
        </w:rPr>
        <w:t>poses particularly challenges for decarbonisation, particularly relating to the range and international journeys that coaches endure. Electrification of this segment has seen less progress in comparison to cars - w</w:t>
      </w:r>
      <w:r w:rsidR="001A0DB7" w:rsidRPr="008965DA">
        <w:rPr>
          <w:rFonts w:ascii="Open Sans" w:hAnsi="Open Sans" w:cs="Open Sans"/>
        </w:rPr>
        <w:t xml:space="preserve">hereas around 8% of new bus sales are of EVs, there is only one demonstration electric coach. </w:t>
      </w:r>
    </w:p>
    <w:p w14:paraId="70F69BE0" w14:textId="4A783BD4" w:rsidR="00870CF8" w:rsidRPr="008965DA" w:rsidRDefault="001A0DB7" w:rsidP="00F750B7">
      <w:pPr>
        <w:rPr>
          <w:rFonts w:ascii="Open Sans" w:hAnsi="Open Sans" w:cs="Open Sans"/>
        </w:rPr>
      </w:pPr>
      <w:r w:rsidRPr="008965DA">
        <w:rPr>
          <w:rFonts w:ascii="Open Sans" w:hAnsi="Open Sans" w:cs="Open Sans"/>
        </w:rPr>
        <w:t>Coaches</w:t>
      </w:r>
      <w:r w:rsidR="00870CF8" w:rsidRPr="008965DA">
        <w:rPr>
          <w:rFonts w:ascii="Open Sans" w:hAnsi="Open Sans" w:cs="Open Sans"/>
        </w:rPr>
        <w:t xml:space="preserve"> are split between </w:t>
      </w:r>
      <w:r w:rsidRPr="008965DA">
        <w:rPr>
          <w:rFonts w:ascii="Open Sans" w:hAnsi="Open Sans" w:cs="Open Sans"/>
        </w:rPr>
        <w:t xml:space="preserve">those </w:t>
      </w:r>
      <w:r w:rsidR="00870CF8" w:rsidRPr="008965DA">
        <w:rPr>
          <w:rFonts w:ascii="Open Sans" w:hAnsi="Open Sans" w:cs="Open Sans"/>
        </w:rPr>
        <w:t>used for city centre express services</w:t>
      </w:r>
      <w:r w:rsidRPr="008965DA">
        <w:rPr>
          <w:rFonts w:ascii="Open Sans" w:hAnsi="Open Sans" w:cs="Open Sans"/>
        </w:rPr>
        <w:t xml:space="preserve">, those for </w:t>
      </w:r>
      <w:r w:rsidR="00870CF8" w:rsidRPr="008965DA">
        <w:rPr>
          <w:rFonts w:ascii="Open Sans" w:hAnsi="Open Sans" w:cs="Open Sans"/>
        </w:rPr>
        <w:t xml:space="preserve">specialist holiday use and older </w:t>
      </w:r>
      <w:r w:rsidRPr="008965DA">
        <w:rPr>
          <w:rFonts w:ascii="Open Sans" w:hAnsi="Open Sans" w:cs="Open Sans"/>
        </w:rPr>
        <w:t xml:space="preserve">vehicles </w:t>
      </w:r>
      <w:r w:rsidR="00870CF8" w:rsidRPr="008965DA">
        <w:rPr>
          <w:rFonts w:ascii="Open Sans" w:hAnsi="Open Sans" w:cs="Open Sans"/>
        </w:rPr>
        <w:t xml:space="preserve">that are used for school runs and lesser </w:t>
      </w:r>
      <w:r w:rsidRPr="008965DA">
        <w:rPr>
          <w:rFonts w:ascii="Open Sans" w:hAnsi="Open Sans" w:cs="Open Sans"/>
        </w:rPr>
        <w:t>t</w:t>
      </w:r>
      <w:r w:rsidR="00870CF8" w:rsidRPr="008965DA">
        <w:rPr>
          <w:rFonts w:ascii="Open Sans" w:hAnsi="Open Sans" w:cs="Open Sans"/>
        </w:rPr>
        <w:t>ourist applications. In terms of technology transfer in to the coach sector, it is generally the higher weight rigid truck technology that finds its way into the coach market and this should be borne in mind as DFT supports transition technologies in the rigid truck market.</w:t>
      </w:r>
    </w:p>
    <w:p w14:paraId="3FD9016F" w14:textId="2161D698" w:rsidR="00AF492A" w:rsidRPr="008965DA" w:rsidRDefault="00D0621A" w:rsidP="00D0621A">
      <w:pPr>
        <w:rPr>
          <w:rFonts w:ascii="Open Sans" w:hAnsi="Open Sans" w:cs="Open Sans"/>
        </w:rPr>
      </w:pPr>
      <w:r w:rsidRPr="008965DA">
        <w:rPr>
          <w:rFonts w:ascii="Open Sans" w:hAnsi="Open Sans" w:cs="Open Sans"/>
        </w:rPr>
        <w:t xml:space="preserve">There will likely be a </w:t>
      </w:r>
      <w:r w:rsidR="00861A42" w:rsidRPr="008965DA">
        <w:rPr>
          <w:rFonts w:ascii="Open Sans" w:hAnsi="Open Sans" w:cs="Open Sans"/>
        </w:rPr>
        <w:t>clearer</w:t>
      </w:r>
      <w:r w:rsidRPr="008965DA">
        <w:rPr>
          <w:rFonts w:ascii="Open Sans" w:hAnsi="Open Sans" w:cs="Open Sans"/>
        </w:rPr>
        <w:t xml:space="preserve"> role for hydrogen in the coach market than in the bus market due to the longer ranges of the vehicles. However, there will be an electric element and numerous groups, including fuel forecourts and the Government’s Project Rapid (investigating requirements for rapid EV charging along the English A roads and strategic road network) are modelling electric coach and HGVs into their thinking</w:t>
      </w:r>
      <w:r w:rsidR="007C57C9" w:rsidRPr="008965DA">
        <w:rPr>
          <w:rFonts w:ascii="Open Sans" w:hAnsi="Open Sans" w:cs="Open Sans"/>
        </w:rPr>
        <w:t xml:space="preserve"> as they plan future refuelling and electricity network upgrades</w:t>
      </w:r>
      <w:r w:rsidRPr="008965DA">
        <w:rPr>
          <w:rFonts w:ascii="Open Sans" w:hAnsi="Open Sans" w:cs="Open Sans"/>
        </w:rPr>
        <w:t xml:space="preserve">. A key barrier will be </w:t>
      </w:r>
      <w:r w:rsidR="007C57C9" w:rsidRPr="008965DA">
        <w:rPr>
          <w:rFonts w:ascii="Open Sans" w:hAnsi="Open Sans" w:cs="Open Sans"/>
        </w:rPr>
        <w:t xml:space="preserve">whether </w:t>
      </w:r>
      <w:r w:rsidRPr="008965DA">
        <w:rPr>
          <w:rFonts w:ascii="Open Sans" w:hAnsi="Open Sans" w:cs="Open Sans"/>
        </w:rPr>
        <w:t>ultra-rapid charging infrastructure bespoke for this</w:t>
      </w:r>
      <w:r w:rsidR="007C57C9" w:rsidRPr="008965DA">
        <w:rPr>
          <w:rFonts w:ascii="Open Sans" w:hAnsi="Open Sans" w:cs="Open Sans"/>
        </w:rPr>
        <w:t xml:space="preserve"> and the heavy goods vehicle</w:t>
      </w:r>
      <w:r w:rsidRPr="008965DA">
        <w:rPr>
          <w:rFonts w:ascii="Open Sans" w:hAnsi="Open Sans" w:cs="Open Sans"/>
        </w:rPr>
        <w:t xml:space="preserve"> segment</w:t>
      </w:r>
      <w:r w:rsidR="007C57C9" w:rsidRPr="008965DA">
        <w:rPr>
          <w:rFonts w:ascii="Open Sans" w:hAnsi="Open Sans" w:cs="Open Sans"/>
        </w:rPr>
        <w:t>s</w:t>
      </w:r>
      <w:r w:rsidRPr="008965DA">
        <w:rPr>
          <w:rFonts w:ascii="Open Sans" w:hAnsi="Open Sans" w:cs="Open Sans"/>
        </w:rPr>
        <w:t xml:space="preserve"> can be deployed in time for expected </w:t>
      </w:r>
      <w:r w:rsidR="007C57C9" w:rsidRPr="008965DA">
        <w:rPr>
          <w:rFonts w:ascii="Open Sans" w:hAnsi="Open Sans" w:cs="Open Sans"/>
        </w:rPr>
        <w:t>uptake</w:t>
      </w:r>
      <w:r w:rsidRPr="008965DA">
        <w:rPr>
          <w:rFonts w:ascii="Open Sans" w:hAnsi="Open Sans" w:cs="Open Sans"/>
        </w:rPr>
        <w:t xml:space="preserve">, the provision of which is a more significant barrier for electric coach deployment than for electric cars or vans. </w:t>
      </w:r>
    </w:p>
    <w:p w14:paraId="790F4C01" w14:textId="54CB096E" w:rsidR="007C57C9" w:rsidRPr="008965DA" w:rsidRDefault="007C57C9" w:rsidP="007C57C9">
      <w:pPr>
        <w:pStyle w:val="BodyText"/>
        <w:ind w:left="0"/>
        <w:rPr>
          <w:rFonts w:ascii="Open Sans" w:hAnsi="Open Sans" w:cs="Open Sans"/>
          <w:b/>
          <w:bCs/>
          <w:color w:val="auto"/>
          <w:sz w:val="22"/>
          <w:szCs w:val="22"/>
        </w:rPr>
      </w:pPr>
    </w:p>
    <w:p w14:paraId="0C35A2D2" w14:textId="17D7F99D" w:rsidR="007C57C9" w:rsidRPr="008965DA" w:rsidRDefault="007C57C9" w:rsidP="001441DA">
      <w:pPr>
        <w:pStyle w:val="BodyText"/>
        <w:ind w:left="0"/>
        <w:rPr>
          <w:rFonts w:ascii="Open Sans" w:hAnsi="Open Sans" w:cs="Open Sans"/>
          <w:b/>
          <w:bCs/>
          <w:sz w:val="22"/>
          <w:szCs w:val="22"/>
          <w:u w:val="single"/>
        </w:rPr>
      </w:pPr>
      <w:r w:rsidRPr="008965DA">
        <w:rPr>
          <w:rFonts w:ascii="Open Sans" w:hAnsi="Open Sans" w:cs="Open Sans"/>
          <w:b/>
          <w:bCs/>
          <w:color w:val="auto"/>
          <w:sz w:val="22"/>
          <w:szCs w:val="22"/>
          <w:u w:val="single"/>
        </w:rPr>
        <w:t>Vans and Lorries</w:t>
      </w:r>
    </w:p>
    <w:p w14:paraId="2BA77A41" w14:textId="0FBA8CB7" w:rsidR="007C57C9" w:rsidRPr="008965DA" w:rsidRDefault="001A0DB7" w:rsidP="00F750B7">
      <w:pPr>
        <w:rPr>
          <w:rFonts w:ascii="Open Sans" w:hAnsi="Open Sans" w:cs="Open Sans"/>
        </w:rPr>
      </w:pPr>
      <w:r w:rsidRPr="008965DA">
        <w:rPr>
          <w:rFonts w:ascii="Open Sans" w:hAnsi="Open Sans" w:cs="Open Sans"/>
        </w:rPr>
        <w:t xml:space="preserve">For vans </w:t>
      </w:r>
      <w:r w:rsidR="003E07DE" w:rsidRPr="008965DA">
        <w:rPr>
          <w:rFonts w:ascii="Open Sans" w:hAnsi="Open Sans" w:cs="Open Sans"/>
        </w:rPr>
        <w:t>up to 3.5 tonnes GVW</w:t>
      </w:r>
      <w:r w:rsidRPr="008965DA">
        <w:rPr>
          <w:rFonts w:ascii="Open Sans" w:hAnsi="Open Sans" w:cs="Open Sans"/>
        </w:rPr>
        <w:t xml:space="preserve">, please see </w:t>
      </w:r>
      <w:r w:rsidR="003E07DE" w:rsidRPr="008965DA">
        <w:rPr>
          <w:rFonts w:ascii="Open Sans" w:hAnsi="Open Sans" w:cs="Open Sans"/>
        </w:rPr>
        <w:t xml:space="preserve">the answer for cars. </w:t>
      </w:r>
      <w:r w:rsidR="007C57C9" w:rsidRPr="008965DA">
        <w:rPr>
          <w:rFonts w:ascii="Open Sans" w:hAnsi="Open Sans" w:cs="Open Sans"/>
        </w:rPr>
        <w:t>The REA acknowledges that the deployment of electric vans is behind that of cars but believes that electrification will have a significant role to play in this segment. Electric van manufacturers, including LDV, LEVC, and Arrival have recently released new models and further editions are expected by Daimler, Volvo, and Mercedes in the coming years.</w:t>
      </w:r>
    </w:p>
    <w:p w14:paraId="70B8F5A4" w14:textId="056FA669" w:rsidR="003E07DE" w:rsidRPr="008965DA" w:rsidRDefault="003E07DE" w:rsidP="00F750B7">
      <w:pPr>
        <w:rPr>
          <w:rFonts w:ascii="Open Sans" w:hAnsi="Open Sans" w:cs="Open Sans"/>
        </w:rPr>
      </w:pPr>
      <w:r w:rsidRPr="008965DA">
        <w:rPr>
          <w:rFonts w:ascii="Open Sans" w:hAnsi="Open Sans" w:cs="Open Sans"/>
        </w:rPr>
        <w:t xml:space="preserve">In </w:t>
      </w:r>
      <w:r w:rsidR="001402ED" w:rsidRPr="008965DA">
        <w:rPr>
          <w:rFonts w:ascii="Open Sans" w:hAnsi="Open Sans" w:cs="Open Sans"/>
        </w:rPr>
        <w:t>reference to the suggestions on</w:t>
      </w:r>
      <w:r w:rsidRPr="008965DA">
        <w:rPr>
          <w:rFonts w:ascii="Open Sans" w:hAnsi="Open Sans" w:cs="Open Sans"/>
        </w:rPr>
        <w:t xml:space="preserve"> incentivi</w:t>
      </w:r>
      <w:r w:rsidR="00205B87" w:rsidRPr="008965DA">
        <w:rPr>
          <w:rFonts w:ascii="Open Sans" w:hAnsi="Open Sans" w:cs="Open Sans"/>
        </w:rPr>
        <w:t>s</w:t>
      </w:r>
      <w:r w:rsidRPr="008965DA">
        <w:rPr>
          <w:rFonts w:ascii="Open Sans" w:hAnsi="Open Sans" w:cs="Open Sans"/>
        </w:rPr>
        <w:t xml:space="preserve">ing the electric mile, </w:t>
      </w:r>
      <w:r w:rsidR="001402ED" w:rsidRPr="008965DA">
        <w:rPr>
          <w:rFonts w:ascii="Open Sans" w:hAnsi="Open Sans" w:cs="Open Sans"/>
        </w:rPr>
        <w:t xml:space="preserve">this </w:t>
      </w:r>
      <w:r w:rsidRPr="008965DA">
        <w:rPr>
          <w:rFonts w:ascii="Open Sans" w:hAnsi="Open Sans" w:cs="Open Sans"/>
        </w:rPr>
        <w:t>could be applied to commercial vehicles</w:t>
      </w:r>
      <w:r w:rsidR="001402ED" w:rsidRPr="008965DA">
        <w:rPr>
          <w:rFonts w:ascii="Open Sans" w:hAnsi="Open Sans" w:cs="Open Sans"/>
        </w:rPr>
        <w:t xml:space="preserve"> in the first instance</w:t>
      </w:r>
      <w:r w:rsidR="00205B87" w:rsidRPr="008965DA">
        <w:rPr>
          <w:rFonts w:ascii="Open Sans" w:hAnsi="Open Sans" w:cs="Open Sans"/>
        </w:rPr>
        <w:t xml:space="preserve"> provided an adequate system was introduced</w:t>
      </w:r>
      <w:r w:rsidRPr="008965DA">
        <w:rPr>
          <w:rFonts w:ascii="Open Sans" w:hAnsi="Open Sans" w:cs="Open Sans"/>
        </w:rPr>
        <w:t>.</w:t>
      </w:r>
    </w:p>
    <w:p w14:paraId="5FA1BA44" w14:textId="3938ADCA" w:rsidR="003E07DE" w:rsidRPr="008965DA" w:rsidRDefault="001A0DB7" w:rsidP="00F750B7">
      <w:pPr>
        <w:rPr>
          <w:rFonts w:ascii="Open Sans" w:hAnsi="Open Sans" w:cs="Open Sans"/>
        </w:rPr>
      </w:pPr>
      <w:r w:rsidRPr="008965DA">
        <w:rPr>
          <w:rFonts w:ascii="Open Sans" w:hAnsi="Open Sans" w:cs="Open Sans"/>
        </w:rPr>
        <w:t>For larger vans and t</w:t>
      </w:r>
      <w:r w:rsidR="003E07DE" w:rsidRPr="008965DA">
        <w:rPr>
          <w:rFonts w:ascii="Open Sans" w:hAnsi="Open Sans" w:cs="Open Sans"/>
        </w:rPr>
        <w:t>ruck</w:t>
      </w:r>
      <w:r w:rsidR="00205B87" w:rsidRPr="008965DA">
        <w:rPr>
          <w:rFonts w:ascii="Open Sans" w:hAnsi="Open Sans" w:cs="Open Sans"/>
        </w:rPr>
        <w:t>s</w:t>
      </w:r>
      <w:r w:rsidR="003E07DE" w:rsidRPr="008965DA">
        <w:rPr>
          <w:rFonts w:ascii="Open Sans" w:hAnsi="Open Sans" w:cs="Open Sans"/>
        </w:rPr>
        <w:t xml:space="preserve"> up to 7.5 tons (including specialist vehicles such as ambulances)</w:t>
      </w:r>
      <w:r w:rsidRPr="008965DA">
        <w:rPr>
          <w:rFonts w:ascii="Open Sans" w:hAnsi="Open Sans" w:cs="Open Sans"/>
        </w:rPr>
        <w:t>, many of the suggestions made in the bus section are applicable.</w:t>
      </w:r>
      <w:r w:rsidR="00B71ED1" w:rsidRPr="008965DA">
        <w:rPr>
          <w:rFonts w:ascii="Open Sans" w:hAnsi="Open Sans" w:cs="Open Sans"/>
        </w:rPr>
        <w:t xml:space="preserve">  I.e. f</w:t>
      </w:r>
      <w:r w:rsidR="003664E9" w:rsidRPr="008965DA">
        <w:rPr>
          <w:rFonts w:ascii="Open Sans" w:hAnsi="Open Sans" w:cs="Open Sans"/>
        </w:rPr>
        <w:t xml:space="preserve">leet operators should be encouraged to transition to higher blend biofuels.  </w:t>
      </w:r>
      <w:proofErr w:type="spellStart"/>
      <w:r w:rsidR="003664E9" w:rsidRPr="008965DA">
        <w:rPr>
          <w:rFonts w:ascii="Open Sans" w:hAnsi="Open Sans" w:cs="Open Sans"/>
        </w:rPr>
        <w:t>DfT</w:t>
      </w:r>
      <w:proofErr w:type="spellEnd"/>
      <w:r w:rsidR="003664E9" w:rsidRPr="008965DA">
        <w:rPr>
          <w:rFonts w:ascii="Open Sans" w:hAnsi="Open Sans" w:cs="Open Sans"/>
        </w:rPr>
        <w:t xml:space="preserve"> should encourage OEMs </w:t>
      </w:r>
      <w:r w:rsidR="001402ED" w:rsidRPr="008965DA">
        <w:rPr>
          <w:rFonts w:ascii="Open Sans" w:hAnsi="Open Sans" w:cs="Open Sans"/>
        </w:rPr>
        <w:t xml:space="preserve">to </w:t>
      </w:r>
      <w:r w:rsidR="003664E9" w:rsidRPr="008965DA">
        <w:rPr>
          <w:rFonts w:ascii="Open Sans" w:hAnsi="Open Sans" w:cs="Open Sans"/>
        </w:rPr>
        <w:t xml:space="preserve">warranty for high blend biofuel use and encourage fleet operators to use this fuel, through education initiatives to this effect. For new vehicles </w:t>
      </w:r>
      <w:r w:rsidR="003E07DE" w:rsidRPr="008965DA">
        <w:rPr>
          <w:rFonts w:ascii="Open Sans" w:hAnsi="Open Sans" w:cs="Open Sans"/>
        </w:rPr>
        <w:t xml:space="preserve">both REEV and electric only platforms </w:t>
      </w:r>
      <w:r w:rsidR="003664E9" w:rsidRPr="008965DA">
        <w:rPr>
          <w:rFonts w:ascii="Open Sans" w:hAnsi="Open Sans" w:cs="Open Sans"/>
        </w:rPr>
        <w:t>are options</w:t>
      </w:r>
      <w:r w:rsidR="003E07DE" w:rsidRPr="008965DA">
        <w:rPr>
          <w:rFonts w:ascii="Open Sans" w:hAnsi="Open Sans" w:cs="Open Sans"/>
        </w:rPr>
        <w:t>. Given that Internet shopping has resulted in a large growth of this category</w:t>
      </w:r>
      <w:r w:rsidR="003664E9" w:rsidRPr="008965DA">
        <w:rPr>
          <w:rFonts w:ascii="Open Sans" w:hAnsi="Open Sans" w:cs="Open Sans"/>
        </w:rPr>
        <w:t>,</w:t>
      </w:r>
      <w:r w:rsidR="003E07DE" w:rsidRPr="008965DA">
        <w:rPr>
          <w:rFonts w:ascii="Open Sans" w:hAnsi="Open Sans" w:cs="Open Sans"/>
        </w:rPr>
        <w:t xml:space="preserve"> th</w:t>
      </w:r>
      <w:r w:rsidR="003664E9" w:rsidRPr="008965DA">
        <w:rPr>
          <w:rFonts w:ascii="Open Sans" w:hAnsi="Open Sans" w:cs="Open Sans"/>
        </w:rPr>
        <w:t>e</w:t>
      </w:r>
      <w:r w:rsidR="003E07DE" w:rsidRPr="008965DA">
        <w:rPr>
          <w:rFonts w:ascii="Open Sans" w:hAnsi="Open Sans" w:cs="Open Sans"/>
        </w:rPr>
        <w:t xml:space="preserve">n </w:t>
      </w:r>
      <w:r w:rsidR="003664E9" w:rsidRPr="008965DA">
        <w:rPr>
          <w:rFonts w:ascii="Open Sans" w:hAnsi="Open Sans" w:cs="Open Sans"/>
        </w:rPr>
        <w:t xml:space="preserve">transition to </w:t>
      </w:r>
      <w:r w:rsidR="003E07DE" w:rsidRPr="008965DA">
        <w:rPr>
          <w:rFonts w:ascii="Open Sans" w:hAnsi="Open Sans" w:cs="Open Sans"/>
        </w:rPr>
        <w:t xml:space="preserve">these options should be encouraged </w:t>
      </w:r>
      <w:proofErr w:type="gramStart"/>
      <w:r w:rsidR="003E07DE" w:rsidRPr="008965DA">
        <w:rPr>
          <w:rFonts w:ascii="Open Sans" w:hAnsi="Open Sans" w:cs="Open Sans"/>
        </w:rPr>
        <w:t>in order to</w:t>
      </w:r>
      <w:proofErr w:type="gramEnd"/>
      <w:r w:rsidR="003E07DE" w:rsidRPr="008965DA">
        <w:rPr>
          <w:rFonts w:ascii="Open Sans" w:hAnsi="Open Sans" w:cs="Open Sans"/>
        </w:rPr>
        <w:t xml:space="preserve"> mitigate the vehicle mileage growth of this category. </w:t>
      </w:r>
    </w:p>
    <w:p w14:paraId="32DF26F4" w14:textId="4E6FE32B" w:rsidR="007C57C9" w:rsidRPr="008965DA" w:rsidRDefault="007C57C9" w:rsidP="00F750B7">
      <w:pPr>
        <w:rPr>
          <w:rFonts w:ascii="Open Sans" w:hAnsi="Open Sans" w:cs="Open Sans"/>
          <w:u w:val="single"/>
        </w:rPr>
      </w:pPr>
      <w:r w:rsidRPr="008965DA">
        <w:rPr>
          <w:rFonts w:ascii="Open Sans" w:hAnsi="Open Sans" w:cs="Open Sans"/>
          <w:b/>
          <w:bCs/>
          <w:u w:val="single"/>
        </w:rPr>
        <w:t>Rigid Trucks from 7.5te to 16te GVW</w:t>
      </w:r>
    </w:p>
    <w:p w14:paraId="33A56C4B" w14:textId="49307705" w:rsidR="007C57C9" w:rsidRPr="008965DA" w:rsidRDefault="003E07DE" w:rsidP="007C57C9">
      <w:pPr>
        <w:rPr>
          <w:rFonts w:ascii="Open Sans" w:hAnsi="Open Sans" w:cs="Open Sans"/>
        </w:rPr>
      </w:pPr>
      <w:r w:rsidRPr="008965DA">
        <w:rPr>
          <w:rFonts w:ascii="Open Sans" w:hAnsi="Open Sans" w:cs="Open Sans"/>
        </w:rPr>
        <w:t>There are electric version</w:t>
      </w:r>
      <w:r w:rsidR="00B71ED1" w:rsidRPr="008965DA">
        <w:rPr>
          <w:rFonts w:ascii="Open Sans" w:hAnsi="Open Sans" w:cs="Open Sans"/>
        </w:rPr>
        <w:t>s</w:t>
      </w:r>
      <w:r w:rsidRPr="008965DA">
        <w:rPr>
          <w:rFonts w:ascii="Open Sans" w:hAnsi="Open Sans" w:cs="Open Sans"/>
        </w:rPr>
        <w:t xml:space="preserve"> of </w:t>
      </w:r>
      <w:r w:rsidR="00B71ED1" w:rsidRPr="008965DA">
        <w:rPr>
          <w:rFonts w:ascii="Open Sans" w:hAnsi="Open Sans" w:cs="Open Sans"/>
        </w:rPr>
        <w:t>t</w:t>
      </w:r>
      <w:r w:rsidRPr="008965DA">
        <w:rPr>
          <w:rFonts w:ascii="Open Sans" w:hAnsi="Open Sans" w:cs="Open Sans"/>
        </w:rPr>
        <w:t xml:space="preserve">rucks in this vehicle category that are starting to appear on the market. Payloads range from 2Te (7.5te GVW) to 9 </w:t>
      </w:r>
      <w:proofErr w:type="spellStart"/>
      <w:r w:rsidRPr="008965DA">
        <w:rPr>
          <w:rFonts w:ascii="Open Sans" w:hAnsi="Open Sans" w:cs="Open Sans"/>
        </w:rPr>
        <w:t>te</w:t>
      </w:r>
      <w:proofErr w:type="spellEnd"/>
      <w:r w:rsidRPr="008965DA">
        <w:rPr>
          <w:rFonts w:ascii="Open Sans" w:hAnsi="Open Sans" w:cs="Open Sans"/>
        </w:rPr>
        <w:t xml:space="preserve"> (16te GVW) but adding additional batteries could reduce payloads by 1 to 2 tonnes. </w:t>
      </w:r>
      <w:r w:rsidR="00467BE0" w:rsidRPr="008965DA">
        <w:rPr>
          <w:rFonts w:ascii="Open Sans" w:hAnsi="Open Sans" w:cs="Open Sans"/>
        </w:rPr>
        <w:t>Therefore</w:t>
      </w:r>
      <w:r w:rsidRPr="008965DA">
        <w:rPr>
          <w:rFonts w:ascii="Open Sans" w:hAnsi="Open Sans" w:cs="Open Sans"/>
        </w:rPr>
        <w:t xml:space="preserve">, in addition </w:t>
      </w:r>
      <w:r w:rsidR="001402ED" w:rsidRPr="008965DA">
        <w:rPr>
          <w:rFonts w:ascii="Open Sans" w:hAnsi="Open Sans" w:cs="Open Sans"/>
        </w:rPr>
        <w:t>REEV</w:t>
      </w:r>
      <w:r w:rsidRPr="008965DA">
        <w:rPr>
          <w:rFonts w:ascii="Open Sans" w:hAnsi="Open Sans" w:cs="Open Sans"/>
        </w:rPr>
        <w:t xml:space="preserve"> technologies should be encouraged in this category where the on-board generator would use high blend biofuels to minimise the carbon footprint during any use of the on-board generator. These vehicles </w:t>
      </w:r>
      <w:r w:rsidR="00205B87" w:rsidRPr="008965DA">
        <w:rPr>
          <w:rFonts w:ascii="Open Sans" w:hAnsi="Open Sans" w:cs="Open Sans"/>
        </w:rPr>
        <w:t xml:space="preserve">could </w:t>
      </w:r>
      <w:r w:rsidRPr="008965DA">
        <w:rPr>
          <w:rFonts w:ascii="Open Sans" w:hAnsi="Open Sans" w:cs="Open Sans"/>
        </w:rPr>
        <w:t>utilise GPS ring fencing to enable electric only mode in towns and cities. If OEM manufacturers could be persuaded to warrant high blend biofuel usage this could also provide an interim lower carbon solution for the next 10 years. It should be noted that there are around 170,000 trucks on the UK roads in this category.</w:t>
      </w:r>
    </w:p>
    <w:p w14:paraId="05631E72" w14:textId="71C2B72D" w:rsidR="007C57C9" w:rsidRPr="008965DA" w:rsidRDefault="007C57C9" w:rsidP="001441DA">
      <w:pPr>
        <w:rPr>
          <w:rFonts w:ascii="Open Sans" w:hAnsi="Open Sans" w:cs="Open Sans"/>
          <w:b/>
          <w:bCs/>
          <w:i/>
          <w:iCs/>
          <w:u w:val="single"/>
        </w:rPr>
      </w:pPr>
      <w:r w:rsidRPr="008965DA">
        <w:rPr>
          <w:rFonts w:ascii="Open Sans" w:hAnsi="Open Sans" w:cs="Open Sans"/>
          <w:b/>
          <w:bCs/>
          <w:u w:val="single"/>
        </w:rPr>
        <w:t>Heavier Goods Vehicles</w:t>
      </w:r>
    </w:p>
    <w:p w14:paraId="1E18B1BA" w14:textId="1682680B" w:rsidR="009C02BB" w:rsidRPr="008965DA" w:rsidRDefault="009C02BB" w:rsidP="009C02BB">
      <w:pPr>
        <w:rPr>
          <w:rFonts w:ascii="Open Sans" w:hAnsi="Open Sans" w:cs="Open Sans"/>
        </w:rPr>
      </w:pPr>
      <w:r w:rsidRPr="008965DA">
        <w:rPr>
          <w:rFonts w:ascii="Open Sans" w:hAnsi="Open Sans" w:cs="Open Sans"/>
        </w:rPr>
        <w:t xml:space="preserve">There are around 500,000 trucks on the roads, of which &lt;1% new truck sales are EVs.  There are &lt;50 BEV/REEV trucks on the road, and </w:t>
      </w:r>
      <w:proofErr w:type="gramStart"/>
      <w:r w:rsidRPr="008965DA">
        <w:rPr>
          <w:rFonts w:ascii="Open Sans" w:hAnsi="Open Sans" w:cs="Open Sans"/>
        </w:rPr>
        <w:t>as yet</w:t>
      </w:r>
      <w:proofErr w:type="gramEnd"/>
      <w:r w:rsidRPr="008965DA">
        <w:rPr>
          <w:rFonts w:ascii="Open Sans" w:hAnsi="Open Sans" w:cs="Open Sans"/>
        </w:rPr>
        <w:t xml:space="preserve"> no hydrogen fuel cell trucks.  The heavier duty the vehicle, </w:t>
      </w:r>
      <w:r w:rsidR="007C57C9" w:rsidRPr="008965DA">
        <w:rPr>
          <w:rFonts w:ascii="Open Sans" w:hAnsi="Open Sans" w:cs="Open Sans"/>
        </w:rPr>
        <w:t>the more there will be a trade off with haulage size and the weight and size of batteries. That said, there have been some high-profile electric heavy goods vehicles come to market over the past two years. For this segment, the REA believes that renewable transport fuels will have a crucial role to play, supported</w:t>
      </w:r>
      <w:r w:rsidR="00205B87" w:rsidRPr="008965DA">
        <w:rPr>
          <w:rFonts w:ascii="Open Sans" w:hAnsi="Open Sans" w:cs="Open Sans"/>
        </w:rPr>
        <w:t xml:space="preserve"> in the longer term</w:t>
      </w:r>
      <w:r w:rsidR="007C57C9" w:rsidRPr="008965DA">
        <w:rPr>
          <w:rFonts w:ascii="Open Sans" w:hAnsi="Open Sans" w:cs="Open Sans"/>
        </w:rPr>
        <w:t xml:space="preserve"> by electrification. </w:t>
      </w:r>
    </w:p>
    <w:p w14:paraId="5BB11E8C" w14:textId="23DE345B" w:rsidR="009C02BB" w:rsidRPr="008965DA" w:rsidRDefault="009C02BB" w:rsidP="009C02BB">
      <w:pPr>
        <w:rPr>
          <w:rFonts w:ascii="Open Sans" w:hAnsi="Open Sans" w:cs="Open Sans"/>
        </w:rPr>
      </w:pPr>
      <w:r w:rsidRPr="008965DA">
        <w:rPr>
          <w:rFonts w:ascii="Open Sans" w:hAnsi="Open Sans" w:cs="Open Sans"/>
        </w:rPr>
        <w:t>The following are all options</w:t>
      </w:r>
    </w:p>
    <w:p w14:paraId="4B3B6352" w14:textId="195793E5" w:rsidR="009C02BB" w:rsidRPr="008965DA" w:rsidRDefault="009C02BB" w:rsidP="009C02BB">
      <w:pPr>
        <w:pStyle w:val="ListParagraph"/>
        <w:numPr>
          <w:ilvl w:val="0"/>
          <w:numId w:val="13"/>
        </w:numPr>
        <w:rPr>
          <w:rFonts w:ascii="Open Sans" w:hAnsi="Open Sans" w:cs="Open Sans"/>
        </w:rPr>
      </w:pPr>
      <w:r w:rsidRPr="008965DA">
        <w:rPr>
          <w:rFonts w:ascii="Open Sans" w:hAnsi="Open Sans" w:cs="Open Sans"/>
        </w:rPr>
        <w:t>higher biofuel blends of diesel should be promoted for existing fleets B20, B30 and B100</w:t>
      </w:r>
    </w:p>
    <w:p w14:paraId="38212787" w14:textId="77777777" w:rsidR="009C02BB" w:rsidRPr="008965DA" w:rsidRDefault="009C02BB" w:rsidP="006B3BE8">
      <w:pPr>
        <w:pStyle w:val="ListParagraph"/>
        <w:numPr>
          <w:ilvl w:val="0"/>
          <w:numId w:val="13"/>
        </w:numPr>
        <w:rPr>
          <w:rFonts w:ascii="Open Sans" w:hAnsi="Open Sans" w:cs="Open Sans"/>
        </w:rPr>
      </w:pPr>
      <w:r w:rsidRPr="008965DA">
        <w:rPr>
          <w:rFonts w:ascii="Open Sans" w:hAnsi="Open Sans" w:cs="Open Sans"/>
        </w:rPr>
        <w:t>where fleets cannot increase the biodiesel content, drop in renewable fuels can further boost the renewable content and help decarbonise the fuel further.</w:t>
      </w:r>
    </w:p>
    <w:p w14:paraId="76A0539A" w14:textId="1E8B500B" w:rsidR="009C02BB" w:rsidRPr="008965DA" w:rsidRDefault="009C02BB" w:rsidP="009C02BB">
      <w:pPr>
        <w:pStyle w:val="ListParagraph"/>
        <w:numPr>
          <w:ilvl w:val="0"/>
          <w:numId w:val="13"/>
        </w:numPr>
        <w:rPr>
          <w:rFonts w:ascii="Open Sans" w:hAnsi="Open Sans" w:cs="Open Sans"/>
        </w:rPr>
      </w:pPr>
      <w:r w:rsidRPr="008965DA">
        <w:rPr>
          <w:rFonts w:ascii="Open Sans" w:hAnsi="Open Sans" w:cs="Open Sans"/>
        </w:rPr>
        <w:t>The introduction of biomethane-fuelled trucks, (and in the longer run trucks run on renewable hydrogen</w:t>
      </w:r>
      <w:r w:rsidR="00D67199" w:rsidRPr="008965DA">
        <w:rPr>
          <w:rFonts w:ascii="Open Sans" w:hAnsi="Open Sans" w:cs="Open Sans"/>
        </w:rPr>
        <w:t xml:space="preserve">). Biomethane can achieve large GHG savings, and in some </w:t>
      </w:r>
      <w:proofErr w:type="gramStart"/>
      <w:r w:rsidR="00D67199" w:rsidRPr="008965DA">
        <w:rPr>
          <w:rFonts w:ascii="Open Sans" w:hAnsi="Open Sans" w:cs="Open Sans"/>
        </w:rPr>
        <w:t>cases</w:t>
      </w:r>
      <w:proofErr w:type="gramEnd"/>
      <w:r w:rsidR="00D67199" w:rsidRPr="008965DA">
        <w:rPr>
          <w:rFonts w:ascii="Open Sans" w:hAnsi="Open Sans" w:cs="Open Sans"/>
        </w:rPr>
        <w:t xml:space="preserve"> it can deliver a negative carbon footprint, for example when utilising waste feedstocks (e.g. manures and biowastes) and when coupled with technologies such as Bio-CCUS.</w:t>
      </w:r>
    </w:p>
    <w:p w14:paraId="4C44AA5D" w14:textId="1381CF94" w:rsidR="009C02BB" w:rsidRPr="008965DA" w:rsidRDefault="009C02BB" w:rsidP="00FE2320">
      <w:pPr>
        <w:rPr>
          <w:rFonts w:ascii="Open Sans" w:hAnsi="Open Sans" w:cs="Open Sans"/>
        </w:rPr>
      </w:pPr>
      <w:r w:rsidRPr="008965DA">
        <w:rPr>
          <w:rFonts w:ascii="Open Sans" w:hAnsi="Open Sans" w:cs="Open Sans"/>
        </w:rPr>
        <w:t xml:space="preserve">The Government should increase the basic RTFO target level, as described earlier, </w:t>
      </w:r>
      <w:proofErr w:type="gramStart"/>
      <w:r w:rsidRPr="008965DA">
        <w:rPr>
          <w:rFonts w:ascii="Open Sans" w:hAnsi="Open Sans" w:cs="Open Sans"/>
        </w:rPr>
        <w:t>in order to</w:t>
      </w:r>
      <w:proofErr w:type="gramEnd"/>
      <w:r w:rsidRPr="008965DA">
        <w:rPr>
          <w:rFonts w:ascii="Open Sans" w:hAnsi="Open Sans" w:cs="Open Sans"/>
        </w:rPr>
        <w:t xml:space="preserve"> encourage greater uptake of renewable fuels, and the fuel duty differential for gas should remain in place until 2032.</w:t>
      </w:r>
    </w:p>
    <w:p w14:paraId="5AF77D69" w14:textId="77777777" w:rsidR="004647A8" w:rsidRPr="008965DA" w:rsidRDefault="004647A8" w:rsidP="00FE2320">
      <w:pPr>
        <w:rPr>
          <w:rFonts w:ascii="Open Sans" w:hAnsi="Open Sans" w:cs="Open Sans"/>
        </w:rPr>
      </w:pPr>
      <w:r w:rsidRPr="008965DA">
        <w:rPr>
          <w:rFonts w:ascii="Open Sans" w:hAnsi="Open Sans" w:cs="Open Sans"/>
        </w:rPr>
        <w:t xml:space="preserve">To support electrification of aspects of this segment, the Government should ensure that </w:t>
      </w:r>
      <w:proofErr w:type="gramStart"/>
      <w:r w:rsidRPr="008965DA">
        <w:rPr>
          <w:rFonts w:ascii="Open Sans" w:hAnsi="Open Sans" w:cs="Open Sans"/>
        </w:rPr>
        <w:t>it’s</w:t>
      </w:r>
      <w:proofErr w:type="gramEnd"/>
      <w:r w:rsidRPr="008965DA">
        <w:rPr>
          <w:rFonts w:ascii="Open Sans" w:hAnsi="Open Sans" w:cs="Open Sans"/>
        </w:rPr>
        <w:t xml:space="preserve"> Project Rapid modelling work incorporates coach and heavy goods vehicle deployment. Network planning should envision some electrification of this segment and distribution electricity networks should be reinforced in anticipation. </w:t>
      </w:r>
    </w:p>
    <w:p w14:paraId="760523D3" w14:textId="64E5B256" w:rsidR="004647A8" w:rsidRPr="008965DA" w:rsidRDefault="004647A8" w:rsidP="00FE2320">
      <w:pPr>
        <w:rPr>
          <w:rFonts w:ascii="Open Sans" w:hAnsi="Open Sans" w:cs="Open Sans"/>
        </w:rPr>
      </w:pPr>
      <w:r w:rsidRPr="008965DA">
        <w:rPr>
          <w:rFonts w:ascii="Open Sans" w:hAnsi="Open Sans" w:cs="Open Sans"/>
        </w:rPr>
        <w:t xml:space="preserve">Multi-modal transport hubs, which incorporate distribution services alongside hydrogen and biomethane fuelling stations with high-power charging infrastructure should be deployed strategically, with the identification of sites led by Government. </w:t>
      </w:r>
    </w:p>
    <w:p w14:paraId="04A6E146" w14:textId="618A6653" w:rsidR="003664E9" w:rsidRPr="008965DA" w:rsidRDefault="003E07DE" w:rsidP="00F750B7">
      <w:pPr>
        <w:pStyle w:val="Heading3"/>
        <w:rPr>
          <w:rFonts w:ascii="Open Sans" w:hAnsi="Open Sans" w:cs="Open Sans"/>
          <w:u w:val="single"/>
        </w:rPr>
      </w:pPr>
      <w:r w:rsidRPr="008965DA">
        <w:rPr>
          <w:rFonts w:ascii="Open Sans" w:hAnsi="Open Sans" w:cs="Open Sans"/>
          <w:u w:val="single"/>
        </w:rPr>
        <w:t xml:space="preserve">Rigid Trucks from 16te </w:t>
      </w:r>
    </w:p>
    <w:p w14:paraId="202E6AAA" w14:textId="12195279" w:rsidR="004647A8" w:rsidRPr="008965DA" w:rsidRDefault="003E07DE" w:rsidP="00F750B7">
      <w:pPr>
        <w:rPr>
          <w:rFonts w:ascii="Open Sans" w:hAnsi="Open Sans" w:cs="Open Sans"/>
        </w:rPr>
      </w:pPr>
      <w:r w:rsidRPr="008965DA">
        <w:rPr>
          <w:rFonts w:ascii="Open Sans" w:hAnsi="Open Sans" w:cs="Open Sans"/>
        </w:rPr>
        <w:t>These vehicles predominantly are used for regional distribution covering up to 350 miles per day</w:t>
      </w:r>
      <w:r w:rsidR="004647A8" w:rsidRPr="008965DA">
        <w:rPr>
          <w:rFonts w:ascii="Open Sans" w:hAnsi="Open Sans" w:cs="Open Sans"/>
        </w:rPr>
        <w:t>. Ra</w:t>
      </w:r>
      <w:r w:rsidRPr="008965DA">
        <w:rPr>
          <w:rFonts w:ascii="Open Sans" w:hAnsi="Open Sans" w:cs="Open Sans"/>
        </w:rPr>
        <w:t>nge restrictions and payload impacts</w:t>
      </w:r>
      <w:r w:rsidR="003664E9" w:rsidRPr="008965DA">
        <w:rPr>
          <w:rFonts w:ascii="Open Sans" w:hAnsi="Open Sans" w:cs="Open Sans"/>
        </w:rPr>
        <w:t xml:space="preserve"> make full electrification </w:t>
      </w:r>
      <w:r w:rsidR="004647A8" w:rsidRPr="008965DA">
        <w:rPr>
          <w:rFonts w:ascii="Open Sans" w:hAnsi="Open Sans" w:cs="Open Sans"/>
        </w:rPr>
        <w:t>challenging, and a multi-technology approach should be progressed</w:t>
      </w:r>
      <w:r w:rsidRPr="008965DA">
        <w:rPr>
          <w:rFonts w:ascii="Open Sans" w:hAnsi="Open Sans" w:cs="Open Sans"/>
        </w:rPr>
        <w:t>.</w:t>
      </w:r>
    </w:p>
    <w:p w14:paraId="181B338B" w14:textId="2E81FE72" w:rsidR="004647A8" w:rsidRPr="008965DA" w:rsidRDefault="003E07DE" w:rsidP="004647A8">
      <w:pPr>
        <w:rPr>
          <w:rFonts w:ascii="Open Sans" w:hAnsi="Open Sans" w:cs="Open Sans"/>
        </w:rPr>
      </w:pPr>
      <w:proofErr w:type="spellStart"/>
      <w:r w:rsidRPr="008965DA">
        <w:rPr>
          <w:rFonts w:ascii="Open Sans" w:hAnsi="Open Sans" w:cs="Open Sans"/>
        </w:rPr>
        <w:t>DfT</w:t>
      </w:r>
      <w:proofErr w:type="spellEnd"/>
      <w:r w:rsidRPr="008965DA">
        <w:rPr>
          <w:rFonts w:ascii="Open Sans" w:hAnsi="Open Sans" w:cs="Open Sans"/>
        </w:rPr>
        <w:t xml:space="preserve"> could develop a LEFT 2 programme to encourage the development and testing of </w:t>
      </w:r>
      <w:r w:rsidR="00CD33EC" w:rsidRPr="008965DA">
        <w:rPr>
          <w:rFonts w:ascii="Open Sans" w:hAnsi="Open Sans" w:cs="Open Sans"/>
        </w:rPr>
        <w:t xml:space="preserve">REEV </w:t>
      </w:r>
      <w:r w:rsidRPr="008965DA">
        <w:rPr>
          <w:rFonts w:ascii="Open Sans" w:hAnsi="Open Sans" w:cs="Open Sans"/>
        </w:rPr>
        <w:t xml:space="preserve">technologies where the on-board generator would use high blend </w:t>
      </w:r>
      <w:r w:rsidR="00CD33EC" w:rsidRPr="008965DA">
        <w:rPr>
          <w:rFonts w:ascii="Open Sans" w:hAnsi="Open Sans" w:cs="Open Sans"/>
        </w:rPr>
        <w:t xml:space="preserve">/ drop in </w:t>
      </w:r>
      <w:r w:rsidRPr="008965DA">
        <w:rPr>
          <w:rFonts w:ascii="Open Sans" w:hAnsi="Open Sans" w:cs="Open Sans"/>
        </w:rPr>
        <w:t xml:space="preserve">biofuels to minimise the carbon </w:t>
      </w:r>
      <w:r w:rsidR="00CD33EC" w:rsidRPr="008965DA">
        <w:rPr>
          <w:rFonts w:ascii="Open Sans" w:hAnsi="Open Sans" w:cs="Open Sans"/>
        </w:rPr>
        <w:t xml:space="preserve">emissions from </w:t>
      </w:r>
      <w:r w:rsidRPr="008965DA">
        <w:rPr>
          <w:rFonts w:ascii="Open Sans" w:hAnsi="Open Sans" w:cs="Open Sans"/>
        </w:rPr>
        <w:t xml:space="preserve">the on-board generator. These vehicles should utilise GPS ring fencing to enable electric only mode in towns and cities. </w:t>
      </w:r>
    </w:p>
    <w:p w14:paraId="2684EDB0" w14:textId="15B5F208" w:rsidR="004647A8" w:rsidRPr="008965DA" w:rsidRDefault="004647A8" w:rsidP="001441DA">
      <w:pPr>
        <w:rPr>
          <w:rFonts w:ascii="Open Sans" w:hAnsi="Open Sans" w:cs="Open Sans"/>
          <w:b/>
          <w:bCs/>
          <w:u w:val="single"/>
        </w:rPr>
      </w:pPr>
      <w:r w:rsidRPr="008965DA">
        <w:rPr>
          <w:rFonts w:ascii="Open Sans" w:hAnsi="Open Sans" w:cs="Open Sans"/>
          <w:b/>
          <w:bCs/>
          <w:u w:val="single"/>
        </w:rPr>
        <w:t>Articulated Trucks up to 44te GVW</w:t>
      </w:r>
    </w:p>
    <w:p w14:paraId="0BA29228" w14:textId="386A2CAF" w:rsidR="004647A8" w:rsidRPr="008965DA" w:rsidRDefault="008D4337" w:rsidP="008D4337">
      <w:pPr>
        <w:rPr>
          <w:rFonts w:ascii="Open Sans" w:hAnsi="Open Sans" w:cs="Open Sans"/>
        </w:rPr>
      </w:pPr>
      <w:r w:rsidRPr="008965DA">
        <w:rPr>
          <w:rFonts w:ascii="Open Sans" w:hAnsi="Open Sans" w:cs="Open Sans"/>
        </w:rPr>
        <w:t xml:space="preserve">Full electrification </w:t>
      </w:r>
      <w:r w:rsidR="004647A8" w:rsidRPr="008965DA">
        <w:rPr>
          <w:rFonts w:ascii="Open Sans" w:hAnsi="Open Sans" w:cs="Open Sans"/>
        </w:rPr>
        <w:t xml:space="preserve">of this segment will be challenging for the same reasons presented to Rigid Trucks above 16te. </w:t>
      </w:r>
      <w:r w:rsidRPr="008965DA">
        <w:rPr>
          <w:rFonts w:ascii="Open Sans" w:hAnsi="Open Sans" w:cs="Open Sans"/>
        </w:rPr>
        <w:t>Hydrogen fuel cell</w:t>
      </w:r>
      <w:r w:rsidR="004647A8" w:rsidRPr="008965DA">
        <w:rPr>
          <w:rFonts w:ascii="Open Sans" w:hAnsi="Open Sans" w:cs="Open Sans"/>
        </w:rPr>
        <w:t xml:space="preserve">, battery electric, range extended electric, and renewable gas-fuelled vehicles should all be advanced so that end customers are able to have multiple options available depending on the driving patterns and use cases required. </w:t>
      </w:r>
    </w:p>
    <w:p w14:paraId="1FE7A777" w14:textId="46C58083" w:rsidR="003E07DE" w:rsidRPr="008965DA" w:rsidRDefault="004647A8" w:rsidP="004647A8">
      <w:pPr>
        <w:rPr>
          <w:rFonts w:ascii="Open Sans" w:hAnsi="Open Sans" w:cs="Open Sans"/>
        </w:rPr>
      </w:pPr>
      <w:r w:rsidRPr="008965DA">
        <w:rPr>
          <w:rFonts w:ascii="Open Sans" w:hAnsi="Open Sans" w:cs="Open Sans"/>
        </w:rPr>
        <w:t>Akin for other vehicle segments, biofuels should be used to decarbonise the existing vehicle parc. T</w:t>
      </w:r>
      <w:r w:rsidR="00CD33EC" w:rsidRPr="008965DA">
        <w:rPr>
          <w:rFonts w:ascii="Open Sans" w:hAnsi="Open Sans" w:cs="Open Sans"/>
        </w:rPr>
        <w:t xml:space="preserve">he most environmentally friendly solution for articulated lorries is </w:t>
      </w:r>
      <w:r w:rsidR="00870CF8" w:rsidRPr="008965DA">
        <w:rPr>
          <w:rFonts w:ascii="Open Sans" w:hAnsi="Open Sans" w:cs="Open Sans"/>
        </w:rPr>
        <w:t xml:space="preserve">drop in or </w:t>
      </w:r>
      <w:r w:rsidR="00CD33EC" w:rsidRPr="008965DA">
        <w:rPr>
          <w:rFonts w:ascii="Open Sans" w:hAnsi="Open Sans" w:cs="Open Sans"/>
        </w:rPr>
        <w:t xml:space="preserve">high </w:t>
      </w:r>
      <w:r w:rsidR="003E07DE" w:rsidRPr="008965DA">
        <w:rPr>
          <w:rFonts w:ascii="Open Sans" w:hAnsi="Open Sans" w:cs="Open Sans"/>
        </w:rPr>
        <w:t xml:space="preserve">blend </w:t>
      </w:r>
      <w:r w:rsidR="00870CF8" w:rsidRPr="008965DA">
        <w:rPr>
          <w:rFonts w:ascii="Open Sans" w:hAnsi="Open Sans" w:cs="Open Sans"/>
        </w:rPr>
        <w:t>renewable fuels (</w:t>
      </w:r>
      <w:r w:rsidR="00467BE0" w:rsidRPr="008965DA">
        <w:rPr>
          <w:rFonts w:ascii="Open Sans" w:hAnsi="Open Sans" w:cs="Open Sans"/>
        </w:rPr>
        <w:t>e.g.</w:t>
      </w:r>
      <w:r w:rsidR="00870CF8" w:rsidRPr="008965DA">
        <w:rPr>
          <w:rFonts w:ascii="Open Sans" w:hAnsi="Open Sans" w:cs="Open Sans"/>
        </w:rPr>
        <w:t xml:space="preserve"> </w:t>
      </w:r>
      <w:r w:rsidR="003E07DE" w:rsidRPr="008965DA">
        <w:rPr>
          <w:rFonts w:ascii="Open Sans" w:hAnsi="Open Sans" w:cs="Open Sans"/>
        </w:rPr>
        <w:t xml:space="preserve">biodiesel, HVO, </w:t>
      </w:r>
      <w:r w:rsidR="00870CF8" w:rsidRPr="008965DA">
        <w:rPr>
          <w:rFonts w:ascii="Open Sans" w:hAnsi="Open Sans" w:cs="Open Sans"/>
        </w:rPr>
        <w:t>b</w:t>
      </w:r>
      <w:r w:rsidR="003E07DE" w:rsidRPr="008965DA">
        <w:rPr>
          <w:rFonts w:ascii="Open Sans" w:hAnsi="Open Sans" w:cs="Open Sans"/>
        </w:rPr>
        <w:t>iomethane</w:t>
      </w:r>
      <w:r w:rsidR="00870CF8" w:rsidRPr="008965DA">
        <w:rPr>
          <w:rFonts w:ascii="Open Sans" w:hAnsi="Open Sans" w:cs="Open Sans"/>
        </w:rPr>
        <w:t>) and uptake of high blend biofuels and gaseous fuels</w:t>
      </w:r>
      <w:r w:rsidR="003E07DE" w:rsidRPr="008965DA">
        <w:rPr>
          <w:rFonts w:ascii="Open Sans" w:hAnsi="Open Sans" w:cs="Open Sans"/>
        </w:rPr>
        <w:t xml:space="preserve"> should be encouraged </w:t>
      </w:r>
      <w:proofErr w:type="gramStart"/>
      <w:r w:rsidR="00870CF8" w:rsidRPr="008965DA">
        <w:rPr>
          <w:rFonts w:ascii="Open Sans" w:hAnsi="Open Sans" w:cs="Open Sans"/>
        </w:rPr>
        <w:t>in order to</w:t>
      </w:r>
      <w:proofErr w:type="gramEnd"/>
      <w:r w:rsidR="00870CF8" w:rsidRPr="008965DA">
        <w:rPr>
          <w:rFonts w:ascii="Open Sans" w:hAnsi="Open Sans" w:cs="Open Sans"/>
        </w:rPr>
        <w:t xml:space="preserve"> give </w:t>
      </w:r>
      <w:r w:rsidR="003E07DE" w:rsidRPr="008965DA">
        <w:rPr>
          <w:rFonts w:ascii="Open Sans" w:hAnsi="Open Sans" w:cs="Open Sans"/>
        </w:rPr>
        <w:t xml:space="preserve">steady decarbonisation of </w:t>
      </w:r>
      <w:r w:rsidR="008D4337" w:rsidRPr="008965DA">
        <w:rPr>
          <w:rFonts w:ascii="Open Sans" w:hAnsi="Open Sans" w:cs="Open Sans"/>
        </w:rPr>
        <w:t>HGVs</w:t>
      </w:r>
      <w:r w:rsidR="003E07DE" w:rsidRPr="008965DA">
        <w:rPr>
          <w:rFonts w:ascii="Open Sans" w:hAnsi="Open Sans" w:cs="Open Sans"/>
        </w:rPr>
        <w:t xml:space="preserve">. </w:t>
      </w:r>
      <w:r w:rsidR="00870CF8" w:rsidRPr="008965DA">
        <w:rPr>
          <w:rFonts w:ascii="Open Sans" w:hAnsi="Open Sans" w:cs="Open Sans"/>
        </w:rPr>
        <w:t xml:space="preserve">When run on totally renewable fuel, these vehicles will deliver the necessary carbon emissions reductions.  </w:t>
      </w:r>
    </w:p>
    <w:p w14:paraId="77A52FF8" w14:textId="77777777" w:rsidR="00AA7455" w:rsidRPr="008965DA" w:rsidRDefault="00AA7455" w:rsidP="00FE2320">
      <w:pPr>
        <w:rPr>
          <w:rFonts w:ascii="Open Sans" w:hAnsi="Open Sans" w:cs="Open Sans"/>
          <w:b/>
          <w:bCs/>
        </w:rPr>
      </w:pPr>
    </w:p>
    <w:p w14:paraId="41BDAF31" w14:textId="02B512F7" w:rsidR="004647A8" w:rsidRPr="008965DA" w:rsidRDefault="004647A8" w:rsidP="00FE2320">
      <w:pPr>
        <w:rPr>
          <w:rFonts w:ascii="Open Sans" w:hAnsi="Open Sans" w:cs="Open Sans"/>
          <w:b/>
          <w:bCs/>
          <w:u w:val="single"/>
        </w:rPr>
      </w:pPr>
      <w:r w:rsidRPr="008965DA">
        <w:rPr>
          <w:rFonts w:ascii="Open Sans" w:hAnsi="Open Sans" w:cs="Open Sans"/>
          <w:b/>
          <w:bCs/>
          <w:u w:val="single"/>
        </w:rPr>
        <w:t>Passenger Rail</w:t>
      </w:r>
    </w:p>
    <w:p w14:paraId="447BF523" w14:textId="4485744A" w:rsidR="004647A8" w:rsidRPr="008965DA" w:rsidRDefault="00AA7455" w:rsidP="00FE2320">
      <w:pPr>
        <w:rPr>
          <w:rFonts w:ascii="Open Sans" w:hAnsi="Open Sans" w:cs="Open Sans"/>
        </w:rPr>
      </w:pPr>
      <w:r w:rsidRPr="008965DA">
        <w:rPr>
          <w:rFonts w:ascii="Open Sans" w:hAnsi="Open Sans" w:cs="Open Sans"/>
          <w:bCs/>
        </w:rPr>
        <w:t>In the near term, Government should promote biodiesel and drop in renewable fuel equivalents while t</w:t>
      </w:r>
      <w:r w:rsidR="004647A8" w:rsidRPr="008965DA">
        <w:rPr>
          <w:rFonts w:ascii="Open Sans" w:hAnsi="Open Sans" w:cs="Open Sans"/>
        </w:rPr>
        <w:t>he REA is</w:t>
      </w:r>
      <w:r w:rsidRPr="008965DA">
        <w:rPr>
          <w:rFonts w:ascii="Open Sans" w:hAnsi="Open Sans" w:cs="Open Sans"/>
        </w:rPr>
        <w:t xml:space="preserve"> also</w:t>
      </w:r>
      <w:r w:rsidR="004647A8" w:rsidRPr="008965DA">
        <w:rPr>
          <w:rFonts w:ascii="Open Sans" w:hAnsi="Open Sans" w:cs="Open Sans"/>
        </w:rPr>
        <w:t xml:space="preserve"> supportive of the </w:t>
      </w:r>
      <w:r w:rsidR="004647A8" w:rsidRPr="008965DA">
        <w:rPr>
          <w:rFonts w:ascii="Open Sans" w:hAnsi="Open Sans" w:cs="Open Sans"/>
          <w:bCs/>
        </w:rPr>
        <w:t>p</w:t>
      </w:r>
      <w:r w:rsidR="00D13FD5" w:rsidRPr="008965DA">
        <w:rPr>
          <w:rFonts w:ascii="Open Sans" w:hAnsi="Open Sans" w:cs="Open Sans"/>
          <w:bCs/>
        </w:rPr>
        <w:t>romot</w:t>
      </w:r>
      <w:r w:rsidR="004647A8" w:rsidRPr="008965DA">
        <w:rPr>
          <w:rFonts w:ascii="Open Sans" w:hAnsi="Open Sans" w:cs="Open Sans"/>
          <w:bCs/>
        </w:rPr>
        <w:t>ion of</w:t>
      </w:r>
      <w:r w:rsidR="00D13FD5" w:rsidRPr="008965DA">
        <w:rPr>
          <w:rFonts w:ascii="Open Sans" w:hAnsi="Open Sans" w:cs="Open Sans"/>
          <w:bCs/>
        </w:rPr>
        <w:t xml:space="preserve"> electrification</w:t>
      </w:r>
      <w:r w:rsidR="004647A8" w:rsidRPr="008965DA">
        <w:rPr>
          <w:rFonts w:ascii="Open Sans" w:hAnsi="Open Sans" w:cs="Open Sans"/>
          <w:bCs/>
        </w:rPr>
        <w:t xml:space="preserve"> of the rail network</w:t>
      </w:r>
      <w:r w:rsidR="00D13FD5" w:rsidRPr="008965DA">
        <w:rPr>
          <w:rFonts w:ascii="Open Sans" w:hAnsi="Open Sans" w:cs="Open Sans"/>
          <w:bCs/>
        </w:rPr>
        <w:t xml:space="preserve"> wherever possible</w:t>
      </w:r>
      <w:r w:rsidR="004647A8" w:rsidRPr="008965DA">
        <w:rPr>
          <w:rFonts w:ascii="Open Sans" w:hAnsi="Open Sans" w:cs="Open Sans"/>
          <w:bCs/>
        </w:rPr>
        <w:t>. Onsite renewable generation, including from solar integrated into train tracks, should be considered. Government should i</w:t>
      </w:r>
      <w:r w:rsidR="00D13FD5" w:rsidRPr="008965DA">
        <w:rPr>
          <w:rFonts w:ascii="Open Sans" w:hAnsi="Open Sans" w:cs="Open Sans"/>
          <w:bCs/>
        </w:rPr>
        <w:t xml:space="preserve">ncentivise </w:t>
      </w:r>
      <w:r w:rsidR="004647A8" w:rsidRPr="008965DA">
        <w:rPr>
          <w:rFonts w:ascii="Open Sans" w:hAnsi="Open Sans" w:cs="Open Sans"/>
          <w:bCs/>
        </w:rPr>
        <w:t xml:space="preserve">the application of </w:t>
      </w:r>
      <w:r w:rsidR="00D13FD5" w:rsidRPr="008965DA">
        <w:rPr>
          <w:rFonts w:ascii="Open Sans" w:hAnsi="Open Sans" w:cs="Open Sans"/>
          <w:bCs/>
        </w:rPr>
        <w:t xml:space="preserve">hydrogen where electrification is not possible.  </w:t>
      </w:r>
    </w:p>
    <w:p w14:paraId="421B45D9" w14:textId="51C9E09A" w:rsidR="004647A8" w:rsidRPr="008965DA" w:rsidRDefault="004647A8" w:rsidP="00FE2320">
      <w:pPr>
        <w:rPr>
          <w:rFonts w:ascii="Open Sans" w:hAnsi="Open Sans" w:cs="Open Sans"/>
        </w:rPr>
      </w:pPr>
    </w:p>
    <w:p w14:paraId="48BA665C" w14:textId="304A3A46" w:rsidR="004647A8" w:rsidRPr="008965DA" w:rsidRDefault="004647A8" w:rsidP="00FE2320">
      <w:pPr>
        <w:rPr>
          <w:rFonts w:ascii="Open Sans" w:hAnsi="Open Sans" w:cs="Open Sans"/>
          <w:b/>
          <w:bCs/>
          <w:u w:val="single"/>
        </w:rPr>
      </w:pPr>
      <w:r w:rsidRPr="008965DA">
        <w:rPr>
          <w:rFonts w:ascii="Open Sans" w:hAnsi="Open Sans" w:cs="Open Sans"/>
          <w:b/>
          <w:bCs/>
          <w:u w:val="single"/>
        </w:rPr>
        <w:t>Aviation</w:t>
      </w:r>
    </w:p>
    <w:p w14:paraId="2781ECA0" w14:textId="77777777" w:rsidR="004647A8" w:rsidRPr="008965DA" w:rsidRDefault="004647A8" w:rsidP="00D0621A">
      <w:pPr>
        <w:spacing w:before="0"/>
        <w:rPr>
          <w:rFonts w:ascii="Open Sans" w:hAnsi="Open Sans" w:cs="Open Sans"/>
        </w:rPr>
      </w:pPr>
    </w:p>
    <w:p w14:paraId="45EB2E35" w14:textId="3AF5CD63" w:rsidR="00A65575" w:rsidRPr="008965DA" w:rsidRDefault="00D0621A" w:rsidP="00D0621A">
      <w:pPr>
        <w:spacing w:before="0"/>
        <w:rPr>
          <w:rFonts w:ascii="Open Sans" w:hAnsi="Open Sans" w:cs="Open Sans"/>
        </w:rPr>
      </w:pPr>
      <w:r w:rsidRPr="008965DA">
        <w:rPr>
          <w:rFonts w:ascii="Open Sans" w:hAnsi="Open Sans" w:cs="Open Sans"/>
        </w:rPr>
        <w:t xml:space="preserve">Aviation is one of the most challenging transport sectors to decarbonise because the energy density and performance of battery and fuel cell technologies cannot come close to matching liquid hydrocarbon fuel when it comes to getting commercial aircraft up into the air, particularly when travelling longer distances. Sustainable Aviation Fuel (SAF) will therefore play an integral role if we are to continue flying and cut emissions. Sustainable Aviation’s </w:t>
      </w:r>
      <w:hyperlink r:id="rId10" w:history="1">
        <w:r w:rsidRPr="008965DA">
          <w:rPr>
            <w:rStyle w:val="Hyperlink"/>
            <w:rFonts w:ascii="Open Sans" w:hAnsi="Open Sans" w:cs="Open Sans"/>
          </w:rPr>
          <w:t>SAF Road-Map</w:t>
        </w:r>
      </w:hyperlink>
      <w:r w:rsidRPr="008965DA">
        <w:rPr>
          <w:rStyle w:val="FootnoteReference"/>
          <w:rFonts w:ascii="Open Sans" w:hAnsi="Open Sans" w:cs="Open Sans"/>
          <w:color w:val="0000FF" w:themeColor="hyperlink"/>
          <w:u w:val="single"/>
        </w:rPr>
        <w:footnoteReference w:id="3"/>
      </w:r>
      <w:r w:rsidRPr="008965DA">
        <w:rPr>
          <w:rFonts w:ascii="Open Sans" w:hAnsi="Open Sans" w:cs="Open Sans"/>
        </w:rPr>
        <w:t xml:space="preserve"> published earlier this year shows how these fuels could meet over 30% of aviation fuel demand by 2050, which would cut aviation emissions by 32%.</w:t>
      </w:r>
    </w:p>
    <w:p w14:paraId="21C6D4A4" w14:textId="77777777" w:rsidR="00D0621A" w:rsidRPr="008965DA" w:rsidRDefault="00D0621A" w:rsidP="00D0621A">
      <w:pPr>
        <w:spacing w:before="0"/>
        <w:rPr>
          <w:rFonts w:ascii="Open Sans" w:hAnsi="Open Sans" w:cs="Open Sans"/>
        </w:rPr>
      </w:pPr>
    </w:p>
    <w:p w14:paraId="63D8540C" w14:textId="77777777" w:rsidR="00D0621A" w:rsidRPr="008965DA" w:rsidRDefault="00D0621A" w:rsidP="00D0621A">
      <w:pPr>
        <w:spacing w:before="0"/>
        <w:rPr>
          <w:rFonts w:ascii="Open Sans" w:hAnsi="Open Sans" w:cs="Open Sans"/>
        </w:rPr>
      </w:pPr>
      <w:r w:rsidRPr="008965DA">
        <w:rPr>
          <w:rFonts w:ascii="Open Sans" w:hAnsi="Open Sans" w:cs="Open Sans"/>
        </w:rPr>
        <w:t xml:space="preserve">The first commercial-scale SAF facility in the UK is currently under development, having recently received planning permission. The facility is expected to be producing commercial volumes of fuel from 2025. </w:t>
      </w:r>
    </w:p>
    <w:p w14:paraId="7D1D313D" w14:textId="77777777" w:rsidR="00D0621A" w:rsidRPr="008965DA" w:rsidRDefault="00D0621A" w:rsidP="00D0621A">
      <w:pPr>
        <w:spacing w:before="0"/>
        <w:rPr>
          <w:rFonts w:ascii="Open Sans" w:hAnsi="Open Sans" w:cs="Open Sans"/>
        </w:rPr>
      </w:pPr>
    </w:p>
    <w:p w14:paraId="63F6EC0A" w14:textId="77777777" w:rsidR="00D0621A" w:rsidRPr="008965DA" w:rsidRDefault="00D0621A" w:rsidP="00D0621A">
      <w:pPr>
        <w:spacing w:before="0"/>
        <w:rPr>
          <w:rFonts w:ascii="Open Sans" w:hAnsi="Open Sans" w:cs="Open Sans"/>
        </w:rPr>
      </w:pPr>
      <w:r w:rsidRPr="008965DA">
        <w:rPr>
          <w:rFonts w:ascii="Open Sans" w:hAnsi="Open Sans" w:cs="Open Sans"/>
        </w:rPr>
        <w:t xml:space="preserve">Despite this progress, financing first-of-a-kind projects like this is </w:t>
      </w:r>
      <w:proofErr w:type="gramStart"/>
      <w:r w:rsidRPr="008965DA">
        <w:rPr>
          <w:rFonts w:ascii="Open Sans" w:hAnsi="Open Sans" w:cs="Open Sans"/>
        </w:rPr>
        <w:t>challenging, and</w:t>
      </w:r>
      <w:proofErr w:type="gramEnd"/>
      <w:r w:rsidRPr="008965DA">
        <w:rPr>
          <w:rFonts w:ascii="Open Sans" w:hAnsi="Open Sans" w:cs="Open Sans"/>
        </w:rPr>
        <w:t xml:space="preserve"> requires additional financial support and long-term policy stability in order to attract the required levels of investment. </w:t>
      </w:r>
    </w:p>
    <w:p w14:paraId="12CA37A4" w14:textId="77777777" w:rsidR="00D0621A" w:rsidRPr="008965DA" w:rsidRDefault="00D0621A" w:rsidP="00D0621A">
      <w:pPr>
        <w:spacing w:before="0"/>
        <w:rPr>
          <w:rFonts w:ascii="Open Sans" w:hAnsi="Open Sans" w:cs="Open Sans"/>
        </w:rPr>
      </w:pPr>
    </w:p>
    <w:p w14:paraId="72C559A7" w14:textId="77777777" w:rsidR="00D0621A" w:rsidRPr="008965DA" w:rsidRDefault="00D0621A" w:rsidP="00D0621A">
      <w:pPr>
        <w:pStyle w:val="ListParagraph"/>
        <w:numPr>
          <w:ilvl w:val="0"/>
          <w:numId w:val="10"/>
        </w:numPr>
        <w:spacing w:before="0"/>
        <w:rPr>
          <w:rFonts w:ascii="Open Sans" w:hAnsi="Open Sans" w:cs="Open Sans"/>
        </w:rPr>
      </w:pPr>
      <w:r w:rsidRPr="008965DA">
        <w:rPr>
          <w:rFonts w:ascii="Open Sans" w:hAnsi="Open Sans" w:cs="Open Sans"/>
        </w:rPr>
        <w:t>The Government should invest £500m over five years, matched by industry, to support early stage SAF facilities. This could be done wholly or partly through providing Government-backed loan guarantees, potentially through reviewing and amending the existing eligibility criteria for the UK Guarantees Scheme.</w:t>
      </w:r>
    </w:p>
    <w:p w14:paraId="180D5C06" w14:textId="77777777" w:rsidR="00D0621A" w:rsidRPr="008965DA" w:rsidRDefault="00D0621A" w:rsidP="00D0621A">
      <w:pPr>
        <w:pStyle w:val="ListParagraph"/>
        <w:spacing w:before="0"/>
        <w:ind w:left="720" w:firstLine="0"/>
        <w:rPr>
          <w:rFonts w:ascii="Open Sans" w:hAnsi="Open Sans" w:cs="Open Sans"/>
        </w:rPr>
      </w:pPr>
    </w:p>
    <w:p w14:paraId="53900B80" w14:textId="77777777" w:rsidR="00D0621A" w:rsidRPr="008965DA" w:rsidRDefault="00D0621A" w:rsidP="00D0621A">
      <w:pPr>
        <w:pStyle w:val="ListParagraph"/>
        <w:widowControl/>
        <w:numPr>
          <w:ilvl w:val="0"/>
          <w:numId w:val="11"/>
        </w:numPr>
        <w:autoSpaceDE/>
        <w:autoSpaceDN/>
        <w:spacing w:before="0"/>
        <w:contextualSpacing/>
        <w:jc w:val="both"/>
        <w:rPr>
          <w:rFonts w:ascii="Open Sans" w:hAnsi="Open Sans" w:cs="Open Sans"/>
        </w:rPr>
      </w:pPr>
      <w:r w:rsidRPr="008965DA">
        <w:rPr>
          <w:rFonts w:ascii="Open Sans" w:hAnsi="Open Sans" w:cs="Open Sans"/>
        </w:rPr>
        <w:t>It currently costs more to produce SAF than conventional fuels (in the absence of a carbon price that reflects the full cost of climate change). The RTFO provides the mechanism to bridge the gap, by providing a traded market for Renewable Transport Fuel Certificates (RTFCs) and a category of them targeted at Development Fuels including aviation fuel (</w:t>
      </w:r>
      <w:proofErr w:type="spellStart"/>
      <w:r w:rsidRPr="008965DA">
        <w:rPr>
          <w:rFonts w:ascii="Open Sans" w:hAnsi="Open Sans" w:cs="Open Sans"/>
        </w:rPr>
        <w:t>dRTFCs</w:t>
      </w:r>
      <w:proofErr w:type="spellEnd"/>
      <w:r w:rsidRPr="008965DA">
        <w:rPr>
          <w:rFonts w:ascii="Open Sans" w:hAnsi="Open Sans" w:cs="Open Sans"/>
        </w:rPr>
        <w:t xml:space="preserve">). For potential investors in SAF facilities, one of the biggest risks is the uncertainty of the value of these </w:t>
      </w:r>
      <w:proofErr w:type="spellStart"/>
      <w:r w:rsidRPr="008965DA">
        <w:rPr>
          <w:rFonts w:ascii="Open Sans" w:hAnsi="Open Sans" w:cs="Open Sans"/>
        </w:rPr>
        <w:t>dRTFCs</w:t>
      </w:r>
      <w:proofErr w:type="spellEnd"/>
      <w:r w:rsidRPr="008965DA">
        <w:rPr>
          <w:rFonts w:ascii="Open Sans" w:hAnsi="Open Sans" w:cs="Open Sans"/>
        </w:rPr>
        <w:t xml:space="preserve">. An investor has no protection against a fall in the </w:t>
      </w:r>
      <w:proofErr w:type="spellStart"/>
      <w:r w:rsidRPr="008965DA">
        <w:rPr>
          <w:rFonts w:ascii="Open Sans" w:hAnsi="Open Sans" w:cs="Open Sans"/>
        </w:rPr>
        <w:t>dRTFC</w:t>
      </w:r>
      <w:proofErr w:type="spellEnd"/>
      <w:r w:rsidRPr="008965DA">
        <w:rPr>
          <w:rFonts w:ascii="Open Sans" w:hAnsi="Open Sans" w:cs="Open Sans"/>
        </w:rPr>
        <w:t xml:space="preserve"> price and therefore (in the absence of a trading history) will discount their price heavily to reflect that uncertainty. This makes such projects uneconomic and unfinanceable. A floor price, or its equivalent, is needed to protect investors from losing their money </w:t>
      </w:r>
      <w:proofErr w:type="gramStart"/>
      <w:r w:rsidRPr="008965DA">
        <w:rPr>
          <w:rFonts w:ascii="Open Sans" w:hAnsi="Open Sans" w:cs="Open Sans"/>
        </w:rPr>
        <w:t>as a result of</w:t>
      </w:r>
      <w:proofErr w:type="gramEnd"/>
      <w:r w:rsidRPr="008965DA">
        <w:rPr>
          <w:rFonts w:ascii="Open Sans" w:hAnsi="Open Sans" w:cs="Open Sans"/>
        </w:rPr>
        <w:t xml:space="preserve"> short-term supply/demand changes – in the long term the demand for sustainable fuels is undoubted. </w:t>
      </w:r>
    </w:p>
    <w:p w14:paraId="5816059D" w14:textId="77777777" w:rsidR="00D0621A" w:rsidRPr="008965DA" w:rsidRDefault="00D0621A" w:rsidP="00D0621A">
      <w:pPr>
        <w:spacing w:before="0"/>
        <w:rPr>
          <w:rFonts w:ascii="Open Sans" w:hAnsi="Open Sans" w:cs="Open Sans"/>
        </w:rPr>
      </w:pPr>
    </w:p>
    <w:p w14:paraId="5FE24940" w14:textId="77777777" w:rsidR="00D0621A" w:rsidRPr="008965DA" w:rsidRDefault="00D0621A" w:rsidP="00D0621A">
      <w:pPr>
        <w:pStyle w:val="ListParagraph"/>
        <w:widowControl/>
        <w:numPr>
          <w:ilvl w:val="0"/>
          <w:numId w:val="11"/>
        </w:numPr>
        <w:autoSpaceDE/>
        <w:autoSpaceDN/>
        <w:spacing w:before="0"/>
        <w:contextualSpacing/>
        <w:jc w:val="both"/>
        <w:rPr>
          <w:rFonts w:ascii="Open Sans" w:hAnsi="Open Sans" w:cs="Open Sans"/>
        </w:rPr>
      </w:pPr>
      <w:r w:rsidRPr="008965DA">
        <w:rPr>
          <w:rFonts w:ascii="Open Sans" w:hAnsi="Open Sans" w:cs="Open Sans"/>
        </w:rPr>
        <w:t xml:space="preserve">At present </w:t>
      </w:r>
      <w:proofErr w:type="spellStart"/>
      <w:r w:rsidRPr="008965DA">
        <w:rPr>
          <w:rFonts w:ascii="Open Sans" w:hAnsi="Open Sans" w:cs="Open Sans"/>
        </w:rPr>
        <w:t>dRTFCs</w:t>
      </w:r>
      <w:proofErr w:type="spellEnd"/>
      <w:r w:rsidRPr="008965DA">
        <w:rPr>
          <w:rFonts w:ascii="Open Sans" w:hAnsi="Open Sans" w:cs="Open Sans"/>
        </w:rPr>
        <w:t xml:space="preserve"> are only awarded in relation to the biogenic proportion of the waste, whereas municipal and commercial waste contains a mixture of biogenic and non-biogenic components, often bound together in the same item. This means there is no incentive to process the non-biogenic fraction – yet separating it out would be practically very difficult, consume energy and result in a waste stream which would either be burnt, landfilled or released into the environment. The RTFO should support strategically important fuels from all residual waste that cannot economically be separated or recycled, especially where facilities offer multiple opportunities for recycling and recovery of </w:t>
      </w:r>
      <w:proofErr w:type="spellStart"/>
      <w:r w:rsidRPr="008965DA">
        <w:rPr>
          <w:rFonts w:ascii="Open Sans" w:hAnsi="Open Sans" w:cs="Open Sans"/>
        </w:rPr>
        <w:t>hydrocabrons</w:t>
      </w:r>
      <w:proofErr w:type="spellEnd"/>
      <w:r w:rsidRPr="008965DA">
        <w:rPr>
          <w:rFonts w:ascii="Open Sans" w:hAnsi="Open Sans" w:cs="Open Sans"/>
        </w:rPr>
        <w:t xml:space="preserve"> using a common platform. </w:t>
      </w:r>
    </w:p>
    <w:p w14:paraId="072107B3" w14:textId="77777777" w:rsidR="00D0621A" w:rsidRPr="008965DA" w:rsidRDefault="00D0621A" w:rsidP="00D0621A">
      <w:pPr>
        <w:pStyle w:val="ListParagraph"/>
        <w:widowControl/>
        <w:autoSpaceDE/>
        <w:autoSpaceDN/>
        <w:spacing w:before="0"/>
        <w:ind w:left="720" w:firstLine="0"/>
        <w:contextualSpacing/>
        <w:jc w:val="both"/>
        <w:rPr>
          <w:rFonts w:ascii="Open Sans" w:hAnsi="Open Sans" w:cs="Open Sans"/>
        </w:rPr>
      </w:pPr>
    </w:p>
    <w:p w14:paraId="193123A3" w14:textId="77777777" w:rsidR="00D0621A" w:rsidRPr="008965DA" w:rsidRDefault="00D0621A" w:rsidP="00D0621A">
      <w:pPr>
        <w:pStyle w:val="ListParagraph"/>
        <w:widowControl/>
        <w:numPr>
          <w:ilvl w:val="0"/>
          <w:numId w:val="11"/>
        </w:numPr>
        <w:autoSpaceDE/>
        <w:autoSpaceDN/>
        <w:spacing w:before="0"/>
        <w:contextualSpacing/>
        <w:jc w:val="both"/>
        <w:rPr>
          <w:rFonts w:ascii="Open Sans" w:hAnsi="Open Sans" w:cs="Open Sans"/>
        </w:rPr>
      </w:pPr>
      <w:r w:rsidRPr="008965DA">
        <w:rPr>
          <w:rFonts w:ascii="Open Sans" w:hAnsi="Open Sans" w:cs="Open Sans"/>
        </w:rPr>
        <w:t>SAF currently receive the same policy incentives as those provided to road fuels. As road fuels are less tightly specified, and require slightly less processing to produce, unless aviation fuels are prioritised in policy frameworks, producers are highly likely to continue to focus on road transport. Applying at least a multiplier of 1.2x for SAF would provide a signal to fuel producers to invest in aviation fuel production instead of using the same feedstock to produce road fuels, which currently provide more return for investors. This is in line with the Renewable Energy Directive II (RED II), which will be supporting fuels providers in the EU, and the UK outside of the EU needs to remain competitive.</w:t>
      </w:r>
    </w:p>
    <w:p w14:paraId="0D30F43E" w14:textId="77777777" w:rsidR="00D0621A" w:rsidRPr="008965DA" w:rsidRDefault="00D0621A" w:rsidP="00D0621A">
      <w:pPr>
        <w:rPr>
          <w:rFonts w:ascii="Open Sans" w:hAnsi="Open Sans" w:cs="Open Sans"/>
        </w:rPr>
      </w:pPr>
      <w:r w:rsidRPr="008965DA">
        <w:rPr>
          <w:rFonts w:ascii="Open Sans" w:hAnsi="Open Sans" w:cs="Open Sans"/>
        </w:rPr>
        <w:t xml:space="preserve">The development fuels sub target of the RTFO, as well as failing to deliver price certainty, is unsuitable in the long term as the cost of supporting low carbon aviation (and marine fuels for that matter) should fall on the relevant users (i.e. those flying or sailing rather than motorists via the RTFO).  However, we are not proposing that </w:t>
      </w:r>
      <w:proofErr w:type="spellStart"/>
      <w:r w:rsidRPr="008965DA">
        <w:rPr>
          <w:rFonts w:ascii="Open Sans" w:hAnsi="Open Sans" w:cs="Open Sans"/>
        </w:rPr>
        <w:t>DfT</w:t>
      </w:r>
      <w:proofErr w:type="spellEnd"/>
      <w:r w:rsidRPr="008965DA">
        <w:rPr>
          <w:rFonts w:ascii="Open Sans" w:hAnsi="Open Sans" w:cs="Open Sans"/>
        </w:rPr>
        <w:t xml:space="preserve"> abandons the development fuel sub target.  That should not be considered until an alternative mechanism is up and running and effective.  A Contract for Difference approach might be suitable for the medium term, but in the </w:t>
      </w:r>
      <w:proofErr w:type="gramStart"/>
      <w:r w:rsidRPr="008965DA">
        <w:rPr>
          <w:rFonts w:ascii="Open Sans" w:hAnsi="Open Sans" w:cs="Open Sans"/>
        </w:rPr>
        <w:t>future</w:t>
      </w:r>
      <w:proofErr w:type="gramEnd"/>
      <w:r w:rsidRPr="008965DA">
        <w:rPr>
          <w:rFonts w:ascii="Open Sans" w:hAnsi="Open Sans" w:cs="Open Sans"/>
        </w:rPr>
        <w:t xml:space="preserve"> there needs to be some form of market-based obligation or mandate for aviation (and marine).  This would have to be compatible with the fact that the fuelling of planes and ships will take place in and outside the UK and any measures introduced by the UK should fit with international initiatives such as </w:t>
      </w:r>
      <w:proofErr w:type="spellStart"/>
      <w:r w:rsidRPr="008965DA">
        <w:rPr>
          <w:rFonts w:ascii="Open Sans" w:hAnsi="Open Sans" w:cs="Open Sans"/>
        </w:rPr>
        <w:t>Corsia</w:t>
      </w:r>
      <w:proofErr w:type="spellEnd"/>
      <w:r w:rsidRPr="008965DA">
        <w:rPr>
          <w:rFonts w:ascii="Open Sans" w:hAnsi="Open Sans" w:cs="Open Sans"/>
        </w:rPr>
        <w:t xml:space="preserve"> and the International Civil Aviation Organization.</w:t>
      </w:r>
    </w:p>
    <w:p w14:paraId="6B2E1439" w14:textId="77777777" w:rsidR="004647A8" w:rsidRPr="008965DA" w:rsidRDefault="004647A8" w:rsidP="004647A8">
      <w:pPr>
        <w:rPr>
          <w:rFonts w:ascii="Open Sans" w:hAnsi="Open Sans" w:cs="Open Sans"/>
        </w:rPr>
      </w:pPr>
      <w:r w:rsidRPr="008965DA">
        <w:rPr>
          <w:rFonts w:ascii="Open Sans" w:hAnsi="Open Sans" w:cs="Open Sans"/>
        </w:rPr>
        <w:t xml:space="preserve">The development fuels sub target of the RTFO, as well as failing to deliver price certainty, is unsuitable in the long term as the cost of supporting low carbon aviation (and marine fuels for that matter) should fall on the relevant users (i.e. those flying or sailing rather than motorists via the RTFO).  However, we are not proposing that </w:t>
      </w:r>
      <w:proofErr w:type="spellStart"/>
      <w:r w:rsidRPr="008965DA">
        <w:rPr>
          <w:rFonts w:ascii="Open Sans" w:hAnsi="Open Sans" w:cs="Open Sans"/>
        </w:rPr>
        <w:t>DfT</w:t>
      </w:r>
      <w:proofErr w:type="spellEnd"/>
      <w:r w:rsidRPr="008965DA">
        <w:rPr>
          <w:rFonts w:ascii="Open Sans" w:hAnsi="Open Sans" w:cs="Open Sans"/>
        </w:rPr>
        <w:t xml:space="preserve"> abandons the development fuel sub target.  That should not be considered until an alternative mechanism is up and running and effective.  A Contract for Difference approach might be suitable for the medium term, but in the </w:t>
      </w:r>
      <w:proofErr w:type="gramStart"/>
      <w:r w:rsidRPr="008965DA">
        <w:rPr>
          <w:rFonts w:ascii="Open Sans" w:hAnsi="Open Sans" w:cs="Open Sans"/>
        </w:rPr>
        <w:t>future</w:t>
      </w:r>
      <w:proofErr w:type="gramEnd"/>
      <w:r w:rsidRPr="008965DA">
        <w:rPr>
          <w:rFonts w:ascii="Open Sans" w:hAnsi="Open Sans" w:cs="Open Sans"/>
        </w:rPr>
        <w:t xml:space="preserve"> there needs to be some form of market-based obligation or mandate for aviation (and marine).  This would have to be compatible with the fact that the fuelling of planes and ships will take place in and outside the UK and any measures introduced by the UK should fit with international initiatives such as </w:t>
      </w:r>
      <w:proofErr w:type="spellStart"/>
      <w:r w:rsidRPr="008965DA">
        <w:rPr>
          <w:rFonts w:ascii="Open Sans" w:hAnsi="Open Sans" w:cs="Open Sans"/>
        </w:rPr>
        <w:t>Corsia</w:t>
      </w:r>
      <w:proofErr w:type="spellEnd"/>
      <w:r w:rsidRPr="008965DA">
        <w:rPr>
          <w:rFonts w:ascii="Open Sans" w:hAnsi="Open Sans" w:cs="Open Sans"/>
        </w:rPr>
        <w:t xml:space="preserve"> and the International Civil Aviation Organization.</w:t>
      </w:r>
    </w:p>
    <w:p w14:paraId="61CACD8F" w14:textId="3A05BFD8" w:rsidR="004647A8" w:rsidRPr="008965DA" w:rsidRDefault="00A65575" w:rsidP="004647A8">
      <w:pPr>
        <w:rPr>
          <w:rFonts w:ascii="Open Sans" w:hAnsi="Open Sans" w:cs="Open Sans"/>
        </w:rPr>
      </w:pPr>
      <w:r w:rsidRPr="008965DA">
        <w:rPr>
          <w:rFonts w:ascii="Open Sans" w:hAnsi="Open Sans" w:cs="Open Sans"/>
        </w:rPr>
        <w:t xml:space="preserve">The REA views electrification as a viable option for the light elements of aviation, including up to 8-seater aircraft between now and 2035. The REA also sees batteries to be likely deployed in commercial aircraft from 2025, not as a primary means of propulsion but </w:t>
      </w:r>
      <w:proofErr w:type="gramStart"/>
      <w:r w:rsidRPr="008965DA">
        <w:rPr>
          <w:rFonts w:ascii="Open Sans" w:hAnsi="Open Sans" w:cs="Open Sans"/>
        </w:rPr>
        <w:t>in order to</w:t>
      </w:r>
      <w:proofErr w:type="gramEnd"/>
      <w:r w:rsidRPr="008965DA">
        <w:rPr>
          <w:rFonts w:ascii="Open Sans" w:hAnsi="Open Sans" w:cs="Open Sans"/>
        </w:rPr>
        <w:t xml:space="preserve"> improve airline fuel efficiency at cruising altitude. </w:t>
      </w:r>
    </w:p>
    <w:p w14:paraId="516AA52E" w14:textId="2C5DCE99" w:rsidR="00D0621A" w:rsidRPr="008965DA" w:rsidRDefault="00A65575" w:rsidP="00F750B7">
      <w:pPr>
        <w:rPr>
          <w:rFonts w:ascii="Open Sans" w:hAnsi="Open Sans" w:cs="Open Sans"/>
          <w:b/>
          <w:bCs/>
          <w:u w:val="single"/>
        </w:rPr>
      </w:pPr>
      <w:r w:rsidRPr="008965DA">
        <w:rPr>
          <w:rFonts w:ascii="Open Sans" w:hAnsi="Open Sans" w:cs="Open Sans"/>
          <w:b/>
          <w:bCs/>
          <w:u w:val="single"/>
        </w:rPr>
        <w:t xml:space="preserve">Freight </w:t>
      </w:r>
    </w:p>
    <w:p w14:paraId="0598372E" w14:textId="115BAC15" w:rsidR="00E17823" w:rsidRPr="008965DA" w:rsidRDefault="00B95B7B" w:rsidP="00F750B7">
      <w:pPr>
        <w:rPr>
          <w:rFonts w:ascii="Open Sans" w:hAnsi="Open Sans" w:cs="Open Sans"/>
        </w:rPr>
      </w:pPr>
      <w:r w:rsidRPr="008965DA">
        <w:rPr>
          <w:rFonts w:ascii="Open Sans" w:hAnsi="Open Sans" w:cs="Open Sans"/>
        </w:rPr>
        <w:t>The RTFO is the appropriate policy mechanism to drive an increase in the renewable content of road freight</w:t>
      </w:r>
      <w:r w:rsidR="00E17823" w:rsidRPr="008965DA">
        <w:rPr>
          <w:rFonts w:ascii="Open Sans" w:hAnsi="Open Sans" w:cs="Open Sans"/>
        </w:rPr>
        <w:t xml:space="preserve"> fuels</w:t>
      </w:r>
      <w:r w:rsidRPr="008965DA">
        <w:rPr>
          <w:rFonts w:ascii="Open Sans" w:hAnsi="Open Sans" w:cs="Open Sans"/>
        </w:rPr>
        <w:t xml:space="preserve">, but the target levels must be </w:t>
      </w:r>
      <w:r w:rsidR="00E17823" w:rsidRPr="008965DA">
        <w:rPr>
          <w:rFonts w:ascii="Open Sans" w:hAnsi="Open Sans" w:cs="Open Sans"/>
        </w:rPr>
        <w:t>dramatically increased</w:t>
      </w:r>
      <w:r w:rsidRPr="008965DA">
        <w:rPr>
          <w:rFonts w:ascii="Open Sans" w:hAnsi="Open Sans" w:cs="Open Sans"/>
        </w:rPr>
        <w:t xml:space="preserve">.  </w:t>
      </w:r>
    </w:p>
    <w:p w14:paraId="5D7CCAAF" w14:textId="77777777" w:rsidR="00AA7455" w:rsidRPr="008965DA" w:rsidRDefault="00A65575" w:rsidP="00A65575">
      <w:pPr>
        <w:rPr>
          <w:rFonts w:ascii="Open Sans" w:hAnsi="Open Sans" w:cs="Open Sans"/>
          <w:b/>
          <w:bCs/>
          <w:u w:val="single"/>
        </w:rPr>
      </w:pPr>
      <w:r w:rsidRPr="008965DA">
        <w:rPr>
          <w:rFonts w:ascii="Open Sans" w:hAnsi="Open Sans" w:cs="Open Sans"/>
          <w:b/>
          <w:bCs/>
          <w:u w:val="single"/>
        </w:rPr>
        <w:t>Maritime</w:t>
      </w:r>
    </w:p>
    <w:p w14:paraId="3744C86E" w14:textId="4ECB049D" w:rsidR="00A65575" w:rsidRPr="008965DA" w:rsidRDefault="00A65575" w:rsidP="00A65575">
      <w:pPr>
        <w:rPr>
          <w:rFonts w:ascii="Open Sans" w:hAnsi="Open Sans" w:cs="Open Sans"/>
        </w:rPr>
      </w:pPr>
      <w:r w:rsidRPr="008965DA">
        <w:rPr>
          <w:rFonts w:ascii="Open Sans" w:hAnsi="Open Sans" w:cs="Open Sans"/>
        </w:rPr>
        <w:t>Ammonia or another vector for hydrogen may be promising as a means of decarbonising the heavy maritime sector. However, the maritime fleet has a long lifespan and therefore we still anticipate that liquid renewable fuels will have an enduring role in maritime transport within the legacy fleets and until clear international policy consistency and governance fixes on low carbon solutions that allow the UK to compete on an even platform for the ships bunker fuel market.</w:t>
      </w:r>
    </w:p>
    <w:p w14:paraId="5A9BCC6B" w14:textId="77777777" w:rsidR="00113F28" w:rsidRPr="00EB234D" w:rsidRDefault="00113F28" w:rsidP="00F750B7">
      <w:pPr>
        <w:rPr>
          <w:rFonts w:ascii="Open Sans" w:hAnsi="Open Sans" w:cs="Open Sans"/>
        </w:rPr>
      </w:pPr>
    </w:p>
    <w:p w14:paraId="083767F9" w14:textId="3CBDDB88" w:rsidR="007C5089" w:rsidRPr="00EB234D" w:rsidRDefault="00F540B5" w:rsidP="00F750B7">
      <w:pPr>
        <w:pStyle w:val="Heading1"/>
        <w:rPr>
          <w:rFonts w:ascii="Open Sans" w:hAnsi="Open Sans" w:cs="Open Sans"/>
        </w:rPr>
      </w:pPr>
      <w:r w:rsidRPr="00EB234D">
        <w:rPr>
          <w:rFonts w:ascii="Open Sans" w:hAnsi="Open Sans" w:cs="Open Sans"/>
        </w:rPr>
        <w:t>Final comments</w:t>
      </w:r>
    </w:p>
    <w:p w14:paraId="509C76BA" w14:textId="77777777" w:rsidR="007C5089" w:rsidRPr="00EB234D" w:rsidRDefault="007C5089" w:rsidP="00F750B7">
      <w:pPr>
        <w:pStyle w:val="BodyText"/>
        <w:rPr>
          <w:rFonts w:ascii="Open Sans" w:hAnsi="Open Sans" w:cs="Open Sans"/>
        </w:rPr>
      </w:pPr>
    </w:p>
    <w:p w14:paraId="1D838B0C" w14:textId="227B1A3C" w:rsidR="007C5089" w:rsidRDefault="00F540B5" w:rsidP="00F750B7">
      <w:pPr>
        <w:pStyle w:val="Heading2"/>
        <w:rPr>
          <w:rFonts w:ascii="Open Sans" w:hAnsi="Open Sans" w:cs="Open Sans"/>
        </w:rPr>
      </w:pPr>
      <w:bookmarkStart w:id="6" w:name="What_other_views_do_you_have_on_how_to_d"/>
      <w:bookmarkEnd w:id="6"/>
      <w:r w:rsidRPr="00EB234D">
        <w:rPr>
          <w:rFonts w:ascii="Open Sans" w:hAnsi="Open Sans" w:cs="Open Sans"/>
        </w:rPr>
        <w:t>What other views do you have on how to decarbonise the UK transport network? Any other comments?</w:t>
      </w:r>
    </w:p>
    <w:p w14:paraId="67AA38DA" w14:textId="0853E0DC" w:rsidR="003F5607" w:rsidRDefault="003F5607" w:rsidP="00F750B7">
      <w:pPr>
        <w:pStyle w:val="Heading2"/>
        <w:rPr>
          <w:rFonts w:ascii="Open Sans" w:hAnsi="Open Sans" w:cs="Open Sans"/>
        </w:rPr>
      </w:pPr>
    </w:p>
    <w:p w14:paraId="14E60D59" w14:textId="3FFA9044" w:rsidR="003F5607" w:rsidRDefault="003F5607" w:rsidP="00F750B7">
      <w:pPr>
        <w:pStyle w:val="Heading2"/>
        <w:rPr>
          <w:rFonts w:ascii="Open Sans" w:hAnsi="Open Sans" w:cs="Open Sans"/>
        </w:rPr>
      </w:pPr>
      <w:r>
        <w:rPr>
          <w:rFonts w:ascii="Open Sans" w:hAnsi="Open Sans" w:cs="Open Sans"/>
        </w:rPr>
        <w:t>An important point to make but not covered in any specific question is the following:</w:t>
      </w:r>
    </w:p>
    <w:p w14:paraId="0A7D584C" w14:textId="05B11C0D" w:rsidR="003F5607" w:rsidRDefault="003F5607" w:rsidP="00F750B7">
      <w:pPr>
        <w:pStyle w:val="Heading2"/>
        <w:rPr>
          <w:rFonts w:ascii="Open Sans" w:hAnsi="Open Sans" w:cs="Open Sans"/>
        </w:rPr>
      </w:pPr>
    </w:p>
    <w:p w14:paraId="364EAE4C" w14:textId="77777777" w:rsidR="003F5607" w:rsidRDefault="003F5607" w:rsidP="003F5607">
      <w:pPr>
        <w:spacing w:before="120" w:after="120"/>
        <w:ind w:left="851"/>
        <w:rPr>
          <w:rFonts w:ascii="Open Sans" w:eastAsiaTheme="minorHAnsi" w:hAnsi="Open Sans" w:cs="Open Sans"/>
          <w:b/>
          <w:bCs/>
          <w:lang w:bidi="ar-SA"/>
        </w:rPr>
      </w:pPr>
      <w:r>
        <w:rPr>
          <w:rFonts w:ascii="Open Sans" w:hAnsi="Open Sans" w:cs="Open Sans"/>
          <w:b/>
          <w:bCs/>
        </w:rPr>
        <w:t xml:space="preserve">Dual participation under the NDRHI / GGSS and RTFO </w:t>
      </w:r>
    </w:p>
    <w:p w14:paraId="03815CAD" w14:textId="77777777" w:rsidR="003F5607" w:rsidRDefault="003F5607" w:rsidP="003F5607">
      <w:pPr>
        <w:spacing w:before="120" w:after="120"/>
        <w:ind w:left="851"/>
        <w:rPr>
          <w:rFonts w:ascii="Open Sans" w:hAnsi="Open Sans" w:cs="Open Sans"/>
        </w:rPr>
      </w:pPr>
      <w:r>
        <w:rPr>
          <w:rFonts w:ascii="Open Sans" w:hAnsi="Open Sans" w:cs="Open Sans"/>
        </w:rPr>
        <w:t xml:space="preserve">In their recent consultation on the closure and future proof of the non-domestic Renewable Heat Incentive (NDRHI), the Government has included NDRHI payment calculations for biomethane to allow producers registered under the RHI to flexibly access the Renewable Transport Fuel Obligation. We anticipate that similar flexibility will be allowed under the new Green Gas Support Scheme, as set out in BEIS recent consultation on the future support for low carbon heat. </w:t>
      </w:r>
    </w:p>
    <w:p w14:paraId="14CCFBC4" w14:textId="77777777" w:rsidR="003F5607" w:rsidRDefault="003F5607" w:rsidP="003F5607">
      <w:pPr>
        <w:spacing w:before="120" w:after="120"/>
        <w:ind w:left="851"/>
        <w:rPr>
          <w:rFonts w:ascii="Open Sans" w:hAnsi="Open Sans" w:cs="Open Sans"/>
        </w:rPr>
      </w:pPr>
      <w:r>
        <w:rPr>
          <w:rFonts w:ascii="Open Sans" w:hAnsi="Open Sans" w:cs="Open Sans"/>
        </w:rPr>
        <w:t xml:space="preserve">The REA very much welcomed </w:t>
      </w:r>
      <w:bookmarkStart w:id="7" w:name="_Hlk43720863"/>
      <w:r>
        <w:rPr>
          <w:rFonts w:ascii="Open Sans" w:hAnsi="Open Sans" w:cs="Open Sans"/>
        </w:rPr>
        <w:t>this proposal, as this is something we have been advocating for a long time. We agree with the consultation document’s analysis that the current situation restricts the potential for producers to benefit from diversified revenue streams and can disincentivise production from some plant.  We anticipate this change will result in significant additional biomethane injection from existing biomethane injection facilities as well as enabling any new projects joining the scheme to optimise their output.</w:t>
      </w:r>
    </w:p>
    <w:bookmarkEnd w:id="7"/>
    <w:p w14:paraId="16E35A68" w14:textId="77777777" w:rsidR="003F5607" w:rsidRDefault="003F5607" w:rsidP="003F5607">
      <w:pPr>
        <w:spacing w:before="120" w:after="120"/>
        <w:ind w:left="851"/>
        <w:rPr>
          <w:rFonts w:ascii="Open Sans" w:hAnsi="Open Sans" w:cs="Open Sans"/>
          <w:lang w:eastAsia="en-GB"/>
        </w:rPr>
      </w:pPr>
      <w:r>
        <w:rPr>
          <w:rFonts w:ascii="Open Sans" w:hAnsi="Open Sans" w:cs="Open Sans"/>
          <w:lang w:eastAsia="en-GB"/>
        </w:rPr>
        <w:t xml:space="preserve">It will also make more biomethane available to the transport sector than has been supplied to date. </w:t>
      </w:r>
    </w:p>
    <w:p w14:paraId="2B101735" w14:textId="77777777" w:rsidR="003F5607" w:rsidRDefault="003F5607" w:rsidP="003F5607">
      <w:pPr>
        <w:spacing w:before="120" w:after="120"/>
        <w:ind w:left="851"/>
        <w:rPr>
          <w:rFonts w:ascii="Open Sans" w:hAnsi="Open Sans" w:cs="Open Sans"/>
          <w:b/>
          <w:bCs/>
        </w:rPr>
      </w:pPr>
      <w:r>
        <w:rPr>
          <w:rFonts w:ascii="Open Sans" w:hAnsi="Open Sans" w:cs="Open Sans"/>
          <w:lang w:eastAsia="en-GB"/>
        </w:rPr>
        <w:t xml:space="preserve">As highlighted in our response to the above BEIS consultations, </w:t>
      </w:r>
      <w:r w:rsidRPr="003F5607">
        <w:rPr>
          <w:rFonts w:ascii="Open Sans" w:hAnsi="Open Sans" w:cs="Open Sans"/>
          <w:b/>
          <w:bCs/>
          <w:lang w:eastAsia="en-GB"/>
        </w:rPr>
        <w:t>we recommend that Government explores</w:t>
      </w:r>
      <w:r>
        <w:rPr>
          <w:rFonts w:ascii="Open Sans" w:hAnsi="Open Sans" w:cs="Open Sans"/>
          <w:lang w:eastAsia="en-GB"/>
        </w:rPr>
        <w:t xml:space="preserve"> </w:t>
      </w:r>
      <w:r w:rsidRPr="003F5607">
        <w:rPr>
          <w:rFonts w:ascii="Open Sans" w:hAnsi="Open Sans" w:cs="Open Sans"/>
          <w:b/>
          <w:bCs/>
          <w:lang w:eastAsia="en-GB"/>
        </w:rPr>
        <w:t xml:space="preserve">the possibility of setting up central registry of green/low carbon gas injection data, based on secure and independent data provided by the existing GEMINI system. Green/Low Carbon gas producers could then access this registry, provide verification of GHG </w:t>
      </w:r>
      <w:proofErr w:type="gramStart"/>
      <w:r w:rsidRPr="003F5607">
        <w:rPr>
          <w:rFonts w:ascii="Open Sans" w:hAnsi="Open Sans" w:cs="Open Sans"/>
          <w:b/>
          <w:bCs/>
          <w:lang w:eastAsia="en-GB"/>
        </w:rPr>
        <w:t>values</w:t>
      </w:r>
      <w:proofErr w:type="gramEnd"/>
      <w:r w:rsidRPr="003F5607">
        <w:rPr>
          <w:rFonts w:ascii="Open Sans" w:hAnsi="Open Sans" w:cs="Open Sans"/>
          <w:b/>
          <w:bCs/>
          <w:lang w:eastAsia="en-GB"/>
        </w:rPr>
        <w:t xml:space="preserve"> and allocate volumes of gas to different support schemes. Administrators of the RTFO, RHI, Renewable Gas Obligation Certificates and Guarantees of Origin could all receive information from this registry which would eliminate the risk of double counting. Relevant bodies should discuss who is best placed to operate such a registry and work together with the aim of minimising administration costs across all support schemes as well as the compliance cost to the gas pr</w:t>
      </w:r>
      <w:r w:rsidRPr="003F5607">
        <w:rPr>
          <w:rFonts w:ascii="Open Sans" w:hAnsi="Open Sans" w:cs="Open Sans"/>
          <w:b/>
          <w:bCs/>
        </w:rPr>
        <w:t xml:space="preserve">oducers. Clear rules will be needed on the interaction of the obligation and any disclosure to customer of GHG levels of gas supplied (which should/must be done via a </w:t>
      </w:r>
      <w:proofErr w:type="spellStart"/>
      <w:r w:rsidRPr="003F5607">
        <w:rPr>
          <w:rFonts w:ascii="Open Sans" w:hAnsi="Open Sans" w:cs="Open Sans"/>
          <w:b/>
          <w:bCs/>
        </w:rPr>
        <w:t>GoO</w:t>
      </w:r>
      <w:proofErr w:type="spellEnd"/>
      <w:r w:rsidRPr="003F5607">
        <w:rPr>
          <w:rFonts w:ascii="Open Sans" w:hAnsi="Open Sans" w:cs="Open Sans"/>
          <w:b/>
          <w:bCs/>
        </w:rPr>
        <w:t xml:space="preserve"> system).</w:t>
      </w:r>
    </w:p>
    <w:p w14:paraId="768DDA4A" w14:textId="77777777" w:rsidR="003F5607" w:rsidRPr="00EB234D" w:rsidRDefault="003F5607" w:rsidP="00F750B7">
      <w:pPr>
        <w:pStyle w:val="Heading2"/>
        <w:rPr>
          <w:rFonts w:ascii="Open Sans" w:hAnsi="Open Sans" w:cs="Open Sans"/>
        </w:rPr>
      </w:pPr>
    </w:p>
    <w:sectPr w:rsidR="003F5607" w:rsidRPr="00EB234D" w:rsidSect="00C233F0">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1AC5A" w14:textId="77777777" w:rsidR="0035217A" w:rsidRDefault="0035217A" w:rsidP="005717F9">
      <w:pPr>
        <w:spacing w:before="0"/>
      </w:pPr>
      <w:r>
        <w:separator/>
      </w:r>
    </w:p>
  </w:endnote>
  <w:endnote w:type="continuationSeparator" w:id="0">
    <w:p w14:paraId="2E217F2D" w14:textId="77777777" w:rsidR="0035217A" w:rsidRDefault="0035217A" w:rsidP="005717F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A3C99" w14:textId="77777777" w:rsidR="0035217A" w:rsidRDefault="0035217A" w:rsidP="005717F9">
      <w:pPr>
        <w:spacing w:before="0"/>
      </w:pPr>
      <w:r>
        <w:separator/>
      </w:r>
    </w:p>
  </w:footnote>
  <w:footnote w:type="continuationSeparator" w:id="0">
    <w:p w14:paraId="39D83B7E" w14:textId="77777777" w:rsidR="0035217A" w:rsidRDefault="0035217A" w:rsidP="005717F9">
      <w:pPr>
        <w:spacing w:before="0"/>
      </w:pPr>
      <w:r>
        <w:continuationSeparator/>
      </w:r>
    </w:p>
  </w:footnote>
  <w:footnote w:id="1">
    <w:p w14:paraId="3956A70D" w14:textId="77777777" w:rsidR="00034A2A" w:rsidRDefault="00034A2A" w:rsidP="003171F3">
      <w:pPr>
        <w:pStyle w:val="FootnoteText"/>
      </w:pPr>
      <w:r>
        <w:rPr>
          <w:rStyle w:val="FootnoteReference"/>
        </w:rPr>
        <w:footnoteRef/>
      </w:r>
      <w:r>
        <w:t xml:space="preserve"> </w:t>
      </w:r>
      <w:r w:rsidRPr="003171F3">
        <w:t>https://www.acea.be/uploads/publications/ACEA_B10_compatibility.pdf</w:t>
      </w:r>
    </w:p>
  </w:footnote>
  <w:footnote w:id="2">
    <w:p w14:paraId="08028D11" w14:textId="2DB37245" w:rsidR="00034A2A" w:rsidRDefault="00034A2A">
      <w:pPr>
        <w:pStyle w:val="FootnoteText"/>
      </w:pPr>
      <w:r>
        <w:rPr>
          <w:rStyle w:val="FootnoteReference"/>
        </w:rPr>
        <w:footnoteRef/>
      </w:r>
      <w:r>
        <w:t xml:space="preserve"> </w:t>
      </w:r>
      <w:hyperlink r:id="rId1" w:history="1">
        <w:r w:rsidRPr="00972E22">
          <w:rPr>
            <w:rStyle w:val="Hyperlink"/>
          </w:rPr>
          <w:t>https://www.bsigroup.com/en-GB/about-bsi/media-centre/press-releases/2020/july/public-consultation-open-for-the-faraday-battery-challenge-standards/</w:t>
        </w:r>
      </w:hyperlink>
      <w:r>
        <w:t xml:space="preserve"> </w:t>
      </w:r>
    </w:p>
  </w:footnote>
  <w:footnote w:id="3">
    <w:p w14:paraId="2A16A1B3" w14:textId="77777777" w:rsidR="00034A2A" w:rsidRDefault="00034A2A" w:rsidP="00D0621A">
      <w:pPr>
        <w:pStyle w:val="FootnoteText"/>
      </w:pPr>
      <w:r>
        <w:rPr>
          <w:rStyle w:val="FootnoteReference"/>
        </w:rPr>
        <w:footnoteRef/>
      </w:r>
      <w:r>
        <w:t xml:space="preserve"> </w:t>
      </w:r>
      <w:r w:rsidRPr="005717F9">
        <w:t>https://www.sustainableaviation.co.uk/wp-content/uploads/2020/02/SustainableAviation_FuelReport_20200231.pdf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85535"/>
    <w:multiLevelType w:val="hybridMultilevel"/>
    <w:tmpl w:val="33A4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91472"/>
    <w:multiLevelType w:val="hybridMultilevel"/>
    <w:tmpl w:val="26E0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973AB"/>
    <w:multiLevelType w:val="hybridMultilevel"/>
    <w:tmpl w:val="500E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80354"/>
    <w:multiLevelType w:val="hybridMultilevel"/>
    <w:tmpl w:val="9D94A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642A8"/>
    <w:multiLevelType w:val="hybridMultilevel"/>
    <w:tmpl w:val="0264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224AF"/>
    <w:multiLevelType w:val="hybridMultilevel"/>
    <w:tmpl w:val="003685C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3E31802"/>
    <w:multiLevelType w:val="hybridMultilevel"/>
    <w:tmpl w:val="9740DE86"/>
    <w:lvl w:ilvl="0" w:tplc="61B0FB08">
      <w:numFmt w:val="bullet"/>
      <w:lvlText w:val="-"/>
      <w:lvlJc w:val="left"/>
      <w:pPr>
        <w:ind w:left="287" w:hanging="188"/>
      </w:pPr>
      <w:rPr>
        <w:rFonts w:ascii="Arial" w:eastAsia="Arial" w:hAnsi="Arial" w:cs="Arial" w:hint="default"/>
        <w:color w:val="333333"/>
        <w:spacing w:val="-2"/>
        <w:w w:val="100"/>
        <w:sz w:val="21"/>
        <w:szCs w:val="21"/>
        <w:lang w:val="en-US" w:eastAsia="en-US" w:bidi="en-US"/>
      </w:rPr>
    </w:lvl>
    <w:lvl w:ilvl="1" w:tplc="1E9A408C">
      <w:numFmt w:val="bullet"/>
      <w:lvlText w:val="•"/>
      <w:lvlJc w:val="left"/>
      <w:pPr>
        <w:ind w:left="1166" w:hanging="188"/>
      </w:pPr>
      <w:rPr>
        <w:rFonts w:hint="default"/>
        <w:lang w:val="en-US" w:eastAsia="en-US" w:bidi="en-US"/>
      </w:rPr>
    </w:lvl>
    <w:lvl w:ilvl="2" w:tplc="912CCE66">
      <w:numFmt w:val="bullet"/>
      <w:lvlText w:val="•"/>
      <w:lvlJc w:val="left"/>
      <w:pPr>
        <w:ind w:left="2053" w:hanging="188"/>
      </w:pPr>
      <w:rPr>
        <w:rFonts w:hint="default"/>
        <w:lang w:val="en-US" w:eastAsia="en-US" w:bidi="en-US"/>
      </w:rPr>
    </w:lvl>
    <w:lvl w:ilvl="3" w:tplc="CEBEDA8E">
      <w:numFmt w:val="bullet"/>
      <w:lvlText w:val="•"/>
      <w:lvlJc w:val="left"/>
      <w:pPr>
        <w:ind w:left="2939" w:hanging="188"/>
      </w:pPr>
      <w:rPr>
        <w:rFonts w:hint="default"/>
        <w:lang w:val="en-US" w:eastAsia="en-US" w:bidi="en-US"/>
      </w:rPr>
    </w:lvl>
    <w:lvl w:ilvl="4" w:tplc="F4CCCFE4">
      <w:numFmt w:val="bullet"/>
      <w:lvlText w:val="•"/>
      <w:lvlJc w:val="left"/>
      <w:pPr>
        <w:ind w:left="3826" w:hanging="188"/>
      </w:pPr>
      <w:rPr>
        <w:rFonts w:hint="default"/>
        <w:lang w:val="en-US" w:eastAsia="en-US" w:bidi="en-US"/>
      </w:rPr>
    </w:lvl>
    <w:lvl w:ilvl="5" w:tplc="D47A03D4">
      <w:numFmt w:val="bullet"/>
      <w:lvlText w:val="•"/>
      <w:lvlJc w:val="left"/>
      <w:pPr>
        <w:ind w:left="4713" w:hanging="188"/>
      </w:pPr>
      <w:rPr>
        <w:rFonts w:hint="default"/>
        <w:lang w:val="en-US" w:eastAsia="en-US" w:bidi="en-US"/>
      </w:rPr>
    </w:lvl>
    <w:lvl w:ilvl="6" w:tplc="3AA8BD32">
      <w:numFmt w:val="bullet"/>
      <w:lvlText w:val="•"/>
      <w:lvlJc w:val="left"/>
      <w:pPr>
        <w:ind w:left="5599" w:hanging="188"/>
      </w:pPr>
      <w:rPr>
        <w:rFonts w:hint="default"/>
        <w:lang w:val="en-US" w:eastAsia="en-US" w:bidi="en-US"/>
      </w:rPr>
    </w:lvl>
    <w:lvl w:ilvl="7" w:tplc="D4520F6A">
      <w:numFmt w:val="bullet"/>
      <w:lvlText w:val="•"/>
      <w:lvlJc w:val="left"/>
      <w:pPr>
        <w:ind w:left="6486" w:hanging="188"/>
      </w:pPr>
      <w:rPr>
        <w:rFonts w:hint="default"/>
        <w:lang w:val="en-US" w:eastAsia="en-US" w:bidi="en-US"/>
      </w:rPr>
    </w:lvl>
    <w:lvl w:ilvl="8" w:tplc="979E0E76">
      <w:numFmt w:val="bullet"/>
      <w:lvlText w:val="•"/>
      <w:lvlJc w:val="left"/>
      <w:pPr>
        <w:ind w:left="7373" w:hanging="188"/>
      </w:pPr>
      <w:rPr>
        <w:rFonts w:hint="default"/>
        <w:lang w:val="en-US" w:eastAsia="en-US" w:bidi="en-US"/>
      </w:rPr>
    </w:lvl>
  </w:abstractNum>
  <w:abstractNum w:abstractNumId="7" w15:restartNumberingAfterBreak="0">
    <w:nsid w:val="4A816C22"/>
    <w:multiLevelType w:val="hybridMultilevel"/>
    <w:tmpl w:val="485423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4C4359EB"/>
    <w:multiLevelType w:val="hybridMultilevel"/>
    <w:tmpl w:val="BD7C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80F84"/>
    <w:multiLevelType w:val="hybridMultilevel"/>
    <w:tmpl w:val="CEB0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639AB"/>
    <w:multiLevelType w:val="hybridMultilevel"/>
    <w:tmpl w:val="38B85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1660A"/>
    <w:multiLevelType w:val="hybridMultilevel"/>
    <w:tmpl w:val="B95C8894"/>
    <w:lvl w:ilvl="0" w:tplc="115C3B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986CA7"/>
    <w:multiLevelType w:val="hybridMultilevel"/>
    <w:tmpl w:val="36FE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5950BB"/>
    <w:multiLevelType w:val="hybridMultilevel"/>
    <w:tmpl w:val="7EEE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273BA"/>
    <w:multiLevelType w:val="hybridMultilevel"/>
    <w:tmpl w:val="F7E4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54059"/>
    <w:multiLevelType w:val="hybridMultilevel"/>
    <w:tmpl w:val="CDDE7CB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7"/>
  </w:num>
  <w:num w:numId="3">
    <w:abstractNumId w:val="15"/>
  </w:num>
  <w:num w:numId="4">
    <w:abstractNumId w:val="11"/>
  </w:num>
  <w:num w:numId="5">
    <w:abstractNumId w:val="7"/>
  </w:num>
  <w:num w:numId="6">
    <w:abstractNumId w:val="3"/>
  </w:num>
  <w:num w:numId="7">
    <w:abstractNumId w:val="5"/>
  </w:num>
  <w:num w:numId="8">
    <w:abstractNumId w:val="13"/>
  </w:num>
  <w:num w:numId="9">
    <w:abstractNumId w:val="10"/>
  </w:num>
  <w:num w:numId="10">
    <w:abstractNumId w:val="8"/>
  </w:num>
  <w:num w:numId="11">
    <w:abstractNumId w:val="2"/>
  </w:num>
  <w:num w:numId="12">
    <w:abstractNumId w:val="12"/>
  </w:num>
  <w:num w:numId="13">
    <w:abstractNumId w:val="14"/>
  </w:num>
  <w:num w:numId="14">
    <w:abstractNumId w:val="9"/>
  </w:num>
  <w:num w:numId="15">
    <w:abstractNumId w:val="4"/>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89"/>
    <w:rsid w:val="00034A2A"/>
    <w:rsid w:val="00036C41"/>
    <w:rsid w:val="00056D35"/>
    <w:rsid w:val="00091860"/>
    <w:rsid w:val="0009472E"/>
    <w:rsid w:val="000E22E5"/>
    <w:rsid w:val="000E5132"/>
    <w:rsid w:val="00113F28"/>
    <w:rsid w:val="001402ED"/>
    <w:rsid w:val="001441DA"/>
    <w:rsid w:val="00171547"/>
    <w:rsid w:val="00192796"/>
    <w:rsid w:val="001936FB"/>
    <w:rsid w:val="001A0DB7"/>
    <w:rsid w:val="001A5729"/>
    <w:rsid w:val="00205B87"/>
    <w:rsid w:val="002A324E"/>
    <w:rsid w:val="002A370B"/>
    <w:rsid w:val="003171F3"/>
    <w:rsid w:val="00342021"/>
    <w:rsid w:val="0035217A"/>
    <w:rsid w:val="003664E9"/>
    <w:rsid w:val="003A5A9E"/>
    <w:rsid w:val="003B0188"/>
    <w:rsid w:val="003E07DE"/>
    <w:rsid w:val="003E21ED"/>
    <w:rsid w:val="003F5607"/>
    <w:rsid w:val="00404BA5"/>
    <w:rsid w:val="004063BD"/>
    <w:rsid w:val="004377DC"/>
    <w:rsid w:val="00440B22"/>
    <w:rsid w:val="00453D4A"/>
    <w:rsid w:val="004574E3"/>
    <w:rsid w:val="004647A8"/>
    <w:rsid w:val="00467BE0"/>
    <w:rsid w:val="0049343F"/>
    <w:rsid w:val="004C09CE"/>
    <w:rsid w:val="00512AD1"/>
    <w:rsid w:val="00546A7F"/>
    <w:rsid w:val="005717F9"/>
    <w:rsid w:val="005856E4"/>
    <w:rsid w:val="00615DF0"/>
    <w:rsid w:val="006431E5"/>
    <w:rsid w:val="00645076"/>
    <w:rsid w:val="00645B8E"/>
    <w:rsid w:val="0067348B"/>
    <w:rsid w:val="00693442"/>
    <w:rsid w:val="006B3BE8"/>
    <w:rsid w:val="00711DDD"/>
    <w:rsid w:val="00731DCA"/>
    <w:rsid w:val="00747BED"/>
    <w:rsid w:val="0075181C"/>
    <w:rsid w:val="00772D5B"/>
    <w:rsid w:val="007C5089"/>
    <w:rsid w:val="007C57C9"/>
    <w:rsid w:val="00861A42"/>
    <w:rsid w:val="00870CF8"/>
    <w:rsid w:val="008754E1"/>
    <w:rsid w:val="00877FF6"/>
    <w:rsid w:val="00882A73"/>
    <w:rsid w:val="00886FAA"/>
    <w:rsid w:val="008965DA"/>
    <w:rsid w:val="008D3AC7"/>
    <w:rsid w:val="008D4337"/>
    <w:rsid w:val="008F2203"/>
    <w:rsid w:val="009266C9"/>
    <w:rsid w:val="00980F1B"/>
    <w:rsid w:val="009C02BB"/>
    <w:rsid w:val="009E5A4F"/>
    <w:rsid w:val="00A01064"/>
    <w:rsid w:val="00A511B0"/>
    <w:rsid w:val="00A65575"/>
    <w:rsid w:val="00AA50B3"/>
    <w:rsid w:val="00AA7455"/>
    <w:rsid w:val="00AE24B9"/>
    <w:rsid w:val="00AF492A"/>
    <w:rsid w:val="00B0136B"/>
    <w:rsid w:val="00B602E2"/>
    <w:rsid w:val="00B71ED1"/>
    <w:rsid w:val="00B95B7B"/>
    <w:rsid w:val="00BF1978"/>
    <w:rsid w:val="00C233F0"/>
    <w:rsid w:val="00C77225"/>
    <w:rsid w:val="00CD33EC"/>
    <w:rsid w:val="00CF050F"/>
    <w:rsid w:val="00D04074"/>
    <w:rsid w:val="00D0621A"/>
    <w:rsid w:val="00D13FD5"/>
    <w:rsid w:val="00D33C85"/>
    <w:rsid w:val="00D67199"/>
    <w:rsid w:val="00D81F31"/>
    <w:rsid w:val="00DF3569"/>
    <w:rsid w:val="00DF4AAD"/>
    <w:rsid w:val="00E17823"/>
    <w:rsid w:val="00E37264"/>
    <w:rsid w:val="00E815E8"/>
    <w:rsid w:val="00EA43FD"/>
    <w:rsid w:val="00EB234D"/>
    <w:rsid w:val="00F540B5"/>
    <w:rsid w:val="00F750B7"/>
    <w:rsid w:val="00FD3FA8"/>
    <w:rsid w:val="00FE2320"/>
    <w:rsid w:val="00FE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B35C"/>
  <w15:docId w15:val="{F00AB22F-73FA-4065-A147-A4BF942B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0B7"/>
    <w:pPr>
      <w:spacing w:before="240"/>
    </w:pPr>
    <w:rPr>
      <w:rFonts w:ascii="Arial" w:eastAsia="Arial" w:hAnsi="Arial" w:cs="Arial"/>
      <w:lang w:val="en-GB" w:bidi="en-US"/>
    </w:rPr>
  </w:style>
  <w:style w:type="paragraph" w:styleId="Heading1">
    <w:name w:val="heading 1"/>
    <w:basedOn w:val="Normal"/>
    <w:uiPriority w:val="9"/>
    <w:qFormat/>
    <w:pPr>
      <w:ind w:left="100"/>
      <w:outlineLvl w:val="0"/>
    </w:pPr>
    <w:rPr>
      <w:b/>
      <w:bCs/>
      <w:sz w:val="36"/>
      <w:szCs w:val="36"/>
    </w:rPr>
  </w:style>
  <w:style w:type="paragraph" w:styleId="Heading2">
    <w:name w:val="heading 2"/>
    <w:basedOn w:val="Normal"/>
    <w:uiPriority w:val="9"/>
    <w:unhideWhenUsed/>
    <w:qFormat/>
    <w:pPr>
      <w:ind w:left="100"/>
      <w:outlineLvl w:val="1"/>
    </w:pPr>
    <w:rPr>
      <w:b/>
      <w:bCs/>
      <w:sz w:val="21"/>
      <w:szCs w:val="21"/>
    </w:rPr>
  </w:style>
  <w:style w:type="paragraph" w:styleId="Heading3">
    <w:name w:val="heading 3"/>
    <w:basedOn w:val="ListParagraph"/>
    <w:next w:val="Normal"/>
    <w:link w:val="Heading3Char"/>
    <w:uiPriority w:val="9"/>
    <w:unhideWhenUsed/>
    <w:qFormat/>
    <w:rsid w:val="00870CF8"/>
    <w:pPr>
      <w:widowControl/>
      <w:autoSpaceDE/>
      <w:autoSpaceDN/>
      <w:ind w:left="0" w:firstLine="0"/>
      <w:contextualSpacing/>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A5729"/>
    <w:pPr>
      <w:spacing w:before="74" w:line="314" w:lineRule="auto"/>
      <w:ind w:left="100" w:right="78"/>
    </w:pPr>
    <w:rPr>
      <w:color w:val="333333"/>
      <w:sz w:val="21"/>
      <w:szCs w:val="21"/>
    </w:rPr>
  </w:style>
  <w:style w:type="paragraph" w:styleId="ListParagraph">
    <w:name w:val="List Paragraph"/>
    <w:basedOn w:val="Normal"/>
    <w:uiPriority w:val="34"/>
    <w:qFormat/>
    <w:pPr>
      <w:ind w:left="287" w:hanging="1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A57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729"/>
    <w:rPr>
      <w:rFonts w:ascii="Segoe UI" w:eastAsia="Arial" w:hAnsi="Segoe UI" w:cs="Segoe UI"/>
      <w:sz w:val="18"/>
      <w:szCs w:val="18"/>
      <w:lang w:bidi="en-US"/>
    </w:rPr>
  </w:style>
  <w:style w:type="character" w:customStyle="1" w:styleId="Heading3Char">
    <w:name w:val="Heading 3 Char"/>
    <w:basedOn w:val="DefaultParagraphFont"/>
    <w:link w:val="Heading3"/>
    <w:uiPriority w:val="9"/>
    <w:rsid w:val="00870CF8"/>
    <w:rPr>
      <w:rFonts w:ascii="Arial" w:eastAsia="Arial" w:hAnsi="Arial" w:cs="Arial"/>
      <w:b/>
      <w:bCs/>
      <w:lang w:bidi="en-US"/>
    </w:rPr>
  </w:style>
  <w:style w:type="character" w:styleId="Hyperlink">
    <w:name w:val="Hyperlink"/>
    <w:basedOn w:val="DefaultParagraphFont"/>
    <w:uiPriority w:val="99"/>
    <w:unhideWhenUsed/>
    <w:rsid w:val="005717F9"/>
    <w:rPr>
      <w:color w:val="0000FF" w:themeColor="hyperlink"/>
      <w:u w:val="single"/>
    </w:rPr>
  </w:style>
  <w:style w:type="paragraph" w:styleId="FootnoteText">
    <w:name w:val="footnote text"/>
    <w:basedOn w:val="Normal"/>
    <w:link w:val="FootnoteTextChar"/>
    <w:uiPriority w:val="99"/>
    <w:semiHidden/>
    <w:unhideWhenUsed/>
    <w:rsid w:val="005717F9"/>
    <w:pPr>
      <w:spacing w:before="0"/>
    </w:pPr>
    <w:rPr>
      <w:sz w:val="20"/>
      <w:szCs w:val="20"/>
    </w:rPr>
  </w:style>
  <w:style w:type="character" w:customStyle="1" w:styleId="FootnoteTextChar">
    <w:name w:val="Footnote Text Char"/>
    <w:basedOn w:val="DefaultParagraphFont"/>
    <w:link w:val="FootnoteText"/>
    <w:uiPriority w:val="99"/>
    <w:semiHidden/>
    <w:rsid w:val="005717F9"/>
    <w:rPr>
      <w:rFonts w:ascii="Arial" w:eastAsia="Arial" w:hAnsi="Arial" w:cs="Arial"/>
      <w:sz w:val="20"/>
      <w:szCs w:val="20"/>
      <w:lang w:val="en-GB" w:bidi="en-US"/>
    </w:rPr>
  </w:style>
  <w:style w:type="character" w:styleId="FootnoteReference">
    <w:name w:val="footnote reference"/>
    <w:basedOn w:val="DefaultParagraphFont"/>
    <w:uiPriority w:val="99"/>
    <w:semiHidden/>
    <w:unhideWhenUsed/>
    <w:rsid w:val="005717F9"/>
    <w:rPr>
      <w:vertAlign w:val="superscript"/>
    </w:rPr>
  </w:style>
  <w:style w:type="character" w:styleId="CommentReference">
    <w:name w:val="annotation reference"/>
    <w:basedOn w:val="DefaultParagraphFont"/>
    <w:uiPriority w:val="99"/>
    <w:semiHidden/>
    <w:unhideWhenUsed/>
    <w:rsid w:val="00BF1978"/>
    <w:rPr>
      <w:sz w:val="16"/>
      <w:szCs w:val="16"/>
    </w:rPr>
  </w:style>
  <w:style w:type="paragraph" w:styleId="CommentText">
    <w:name w:val="annotation text"/>
    <w:basedOn w:val="Normal"/>
    <w:link w:val="CommentTextChar"/>
    <w:uiPriority w:val="99"/>
    <w:semiHidden/>
    <w:unhideWhenUsed/>
    <w:rsid w:val="00BF1978"/>
    <w:rPr>
      <w:sz w:val="20"/>
      <w:szCs w:val="20"/>
    </w:rPr>
  </w:style>
  <w:style w:type="character" w:customStyle="1" w:styleId="CommentTextChar">
    <w:name w:val="Comment Text Char"/>
    <w:basedOn w:val="DefaultParagraphFont"/>
    <w:link w:val="CommentText"/>
    <w:uiPriority w:val="99"/>
    <w:semiHidden/>
    <w:rsid w:val="00BF1978"/>
    <w:rPr>
      <w:rFonts w:ascii="Arial" w:eastAsia="Arial" w:hAnsi="Arial" w:cs="Arial"/>
      <w:sz w:val="20"/>
      <w:szCs w:val="20"/>
      <w:lang w:val="en-GB" w:bidi="en-US"/>
    </w:rPr>
  </w:style>
  <w:style w:type="paragraph" w:styleId="CommentSubject">
    <w:name w:val="annotation subject"/>
    <w:basedOn w:val="CommentText"/>
    <w:next w:val="CommentText"/>
    <w:link w:val="CommentSubjectChar"/>
    <w:uiPriority w:val="99"/>
    <w:semiHidden/>
    <w:unhideWhenUsed/>
    <w:rsid w:val="00BF1978"/>
    <w:rPr>
      <w:b/>
      <w:bCs/>
    </w:rPr>
  </w:style>
  <w:style w:type="character" w:customStyle="1" w:styleId="CommentSubjectChar">
    <w:name w:val="Comment Subject Char"/>
    <w:basedOn w:val="CommentTextChar"/>
    <w:link w:val="CommentSubject"/>
    <w:uiPriority w:val="99"/>
    <w:semiHidden/>
    <w:rsid w:val="00BF1978"/>
    <w:rPr>
      <w:rFonts w:ascii="Arial" w:eastAsia="Arial" w:hAnsi="Arial" w:cs="Arial"/>
      <w:b/>
      <w:bCs/>
      <w:sz w:val="20"/>
      <w:szCs w:val="20"/>
      <w:lang w:val="en-GB" w:bidi="en-US"/>
    </w:rPr>
  </w:style>
  <w:style w:type="paragraph" w:styleId="Revision">
    <w:name w:val="Revision"/>
    <w:hidden/>
    <w:uiPriority w:val="99"/>
    <w:semiHidden/>
    <w:rsid w:val="00BF1978"/>
    <w:pPr>
      <w:widowControl/>
      <w:autoSpaceDE/>
      <w:autoSpaceDN/>
    </w:pPr>
    <w:rPr>
      <w:rFonts w:ascii="Arial" w:eastAsia="Arial" w:hAnsi="Arial" w:cs="Arial"/>
      <w:lang w:val="en-GB" w:bidi="en-US"/>
    </w:rPr>
  </w:style>
  <w:style w:type="paragraph" w:styleId="NoSpacing">
    <w:name w:val="No Spacing"/>
    <w:uiPriority w:val="1"/>
    <w:qFormat/>
    <w:rsid w:val="00EB234D"/>
    <w:pPr>
      <w:widowControl/>
      <w:autoSpaceDE/>
      <w:autoSpaceDN/>
    </w:pPr>
    <w:rPr>
      <w:lang w:val="en-GB"/>
    </w:rPr>
  </w:style>
  <w:style w:type="character" w:styleId="UnresolvedMention">
    <w:name w:val="Unresolved Mention"/>
    <w:basedOn w:val="DefaultParagraphFont"/>
    <w:uiPriority w:val="99"/>
    <w:semiHidden/>
    <w:unhideWhenUsed/>
    <w:rsid w:val="00EB2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41509">
      <w:bodyDiv w:val="1"/>
      <w:marLeft w:val="0"/>
      <w:marRight w:val="0"/>
      <w:marTop w:val="0"/>
      <w:marBottom w:val="0"/>
      <w:divBdr>
        <w:top w:val="none" w:sz="0" w:space="0" w:color="auto"/>
        <w:left w:val="none" w:sz="0" w:space="0" w:color="auto"/>
        <w:bottom w:val="none" w:sz="0" w:space="0" w:color="auto"/>
        <w:right w:val="none" w:sz="0" w:space="0" w:color="auto"/>
      </w:divBdr>
    </w:div>
    <w:div w:id="678504840">
      <w:bodyDiv w:val="1"/>
      <w:marLeft w:val="0"/>
      <w:marRight w:val="0"/>
      <w:marTop w:val="0"/>
      <w:marBottom w:val="0"/>
      <w:divBdr>
        <w:top w:val="none" w:sz="0" w:space="0" w:color="auto"/>
        <w:left w:val="none" w:sz="0" w:space="0" w:color="auto"/>
        <w:bottom w:val="none" w:sz="0" w:space="0" w:color="auto"/>
        <w:right w:val="none" w:sz="0" w:space="0" w:color="auto"/>
      </w:divBdr>
    </w:div>
    <w:div w:id="999582171">
      <w:bodyDiv w:val="1"/>
      <w:marLeft w:val="0"/>
      <w:marRight w:val="0"/>
      <w:marTop w:val="0"/>
      <w:marBottom w:val="0"/>
      <w:divBdr>
        <w:top w:val="none" w:sz="0" w:space="0" w:color="auto"/>
        <w:left w:val="none" w:sz="0" w:space="0" w:color="auto"/>
        <w:bottom w:val="none" w:sz="0" w:space="0" w:color="auto"/>
        <w:right w:val="none" w:sz="0" w:space="0" w:color="auto"/>
      </w:divBdr>
    </w:div>
    <w:div w:id="1026252457">
      <w:bodyDiv w:val="1"/>
      <w:marLeft w:val="0"/>
      <w:marRight w:val="0"/>
      <w:marTop w:val="0"/>
      <w:marBottom w:val="0"/>
      <w:divBdr>
        <w:top w:val="none" w:sz="0" w:space="0" w:color="auto"/>
        <w:left w:val="none" w:sz="0" w:space="0" w:color="auto"/>
        <w:bottom w:val="none" w:sz="0" w:space="0" w:color="auto"/>
        <w:right w:val="none" w:sz="0" w:space="0" w:color="auto"/>
      </w:divBdr>
    </w:div>
    <w:div w:id="1107626716">
      <w:bodyDiv w:val="1"/>
      <w:marLeft w:val="0"/>
      <w:marRight w:val="0"/>
      <w:marTop w:val="0"/>
      <w:marBottom w:val="0"/>
      <w:divBdr>
        <w:top w:val="none" w:sz="0" w:space="0" w:color="auto"/>
        <w:left w:val="none" w:sz="0" w:space="0" w:color="auto"/>
        <w:bottom w:val="none" w:sz="0" w:space="0" w:color="auto"/>
        <w:right w:val="none" w:sz="0" w:space="0" w:color="auto"/>
      </w:divBdr>
    </w:div>
    <w:div w:id="1155754831">
      <w:bodyDiv w:val="1"/>
      <w:marLeft w:val="0"/>
      <w:marRight w:val="0"/>
      <w:marTop w:val="0"/>
      <w:marBottom w:val="0"/>
      <w:divBdr>
        <w:top w:val="none" w:sz="0" w:space="0" w:color="auto"/>
        <w:left w:val="none" w:sz="0" w:space="0" w:color="auto"/>
        <w:bottom w:val="none" w:sz="0" w:space="0" w:color="auto"/>
        <w:right w:val="none" w:sz="0" w:space="0" w:color="auto"/>
      </w:divBdr>
    </w:div>
    <w:div w:id="1385135291">
      <w:bodyDiv w:val="1"/>
      <w:marLeft w:val="0"/>
      <w:marRight w:val="0"/>
      <w:marTop w:val="0"/>
      <w:marBottom w:val="0"/>
      <w:divBdr>
        <w:top w:val="none" w:sz="0" w:space="0" w:color="auto"/>
        <w:left w:val="none" w:sz="0" w:space="0" w:color="auto"/>
        <w:bottom w:val="none" w:sz="0" w:space="0" w:color="auto"/>
        <w:right w:val="none" w:sz="0" w:space="0" w:color="auto"/>
      </w:divBdr>
    </w:div>
    <w:div w:id="2050762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brown@r-e-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ustainableaviation.co.uk/wp-content/uploads/2020/02/SustainableAviation_FuelReport_20200231.pdf" TargetMode="External"/><Relationship Id="rId4" Type="http://schemas.openxmlformats.org/officeDocument/2006/relationships/settings" Target="settings.xml"/><Relationship Id="rId9" Type="http://schemas.openxmlformats.org/officeDocument/2006/relationships/hyperlink" Target="mailto:ghartnell@r-e-a.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sigroup.com/en-GB/about-bsi/media-centre/press-releases/2020/july/public-consultation-open-for-the-faraday-battery-challeng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A42B0-B5B6-4857-AD1C-5B003BD0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4874</Words>
  <Characters>27785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Transport decarbonisation plan: call for ideas questions</vt:lpstr>
    </vt:vector>
  </TitlesOfParts>
  <Company/>
  <LinksUpToDate>false</LinksUpToDate>
  <CharactersWithSpaces>32594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decarbonisation plan: call for ideas questions</dc:title>
  <dc:subject>Transport decarbonisation plan: call for ideas</dc:subject>
  <dc:creator>Department for Transport</dc:creator>
  <cp:keywords>tcp, transport decarbonisation plan, call for ideas, questions</cp:keywords>
  <cp:lastModifiedBy>Frank Gordon</cp:lastModifiedBy>
  <cp:revision>3</cp:revision>
  <dcterms:created xsi:type="dcterms:W3CDTF">2020-09-02T10:11:00Z</dcterms:created>
  <dcterms:modified xsi:type="dcterms:W3CDTF">2020-09-02T10:13:00Z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2020-07-07T00:00:00Z</vt:filetime>
  </property>
  <property fmtid="{D5CDD505-2E9C-101B-9397-08002B2CF9AE}" pid="3" name="Creator">
    <vt:lpwstr>Acrobat PDFMaker 20 for Word</vt:lpwstr>
  </property>
  <property fmtid="{D5CDD505-2E9C-101B-9397-08002B2CF9AE}" pid="4" name="LastSaved">
    <vt:filetime>2020-07-27T00:00:00Z</vt:filetime>
  </property>
</Properties>
</file>