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81EBE" w14:textId="77777777" w:rsidR="00D47638" w:rsidRDefault="00D47638">
      <w:pPr>
        <w:rPr>
          <w:rFonts w:ascii="Open Sans" w:hAnsi="Open Sans" w:cs="Open Sans"/>
          <w:b/>
          <w:bCs/>
          <w:color w:val="06926B"/>
        </w:rPr>
      </w:pPr>
    </w:p>
    <w:p w14:paraId="49A71F7E" w14:textId="77777777" w:rsidR="00D47638" w:rsidRDefault="00D47638">
      <w:pPr>
        <w:rPr>
          <w:rFonts w:ascii="Open Sans" w:hAnsi="Open Sans" w:cs="Open Sans"/>
          <w:b/>
          <w:bCs/>
          <w:color w:val="06926B"/>
        </w:rPr>
      </w:pPr>
    </w:p>
    <w:p w14:paraId="05A0FB04" w14:textId="6C56B1AB" w:rsidR="00D47638" w:rsidRDefault="00D47638">
      <w:pPr>
        <w:rPr>
          <w:rFonts w:ascii="Open Sans" w:hAnsi="Open Sans" w:cs="Open Sans"/>
          <w:b/>
          <w:bCs/>
          <w:color w:val="06926B"/>
        </w:rPr>
      </w:pPr>
    </w:p>
    <w:p w14:paraId="54EACEAD" w14:textId="4F07AFDE" w:rsidR="00D47638" w:rsidRDefault="00D47638">
      <w:pPr>
        <w:rPr>
          <w:rFonts w:ascii="Open Sans" w:hAnsi="Open Sans" w:cs="Open Sans"/>
          <w:b/>
          <w:bCs/>
          <w:color w:val="06926B"/>
        </w:rPr>
      </w:pPr>
    </w:p>
    <w:p w14:paraId="74F2BC80" w14:textId="77777777" w:rsidR="00D47638" w:rsidRDefault="00D47638">
      <w:pPr>
        <w:rPr>
          <w:rFonts w:ascii="Open Sans" w:hAnsi="Open Sans" w:cs="Open Sans"/>
          <w:b/>
          <w:bCs/>
          <w:color w:val="06926B"/>
        </w:rPr>
      </w:pPr>
    </w:p>
    <w:p w14:paraId="73F554A1" w14:textId="77777777" w:rsidR="00D47638" w:rsidRDefault="00D47638">
      <w:pPr>
        <w:rPr>
          <w:rFonts w:ascii="Open Sans" w:hAnsi="Open Sans" w:cs="Open Sans"/>
          <w:b/>
          <w:bCs/>
          <w:color w:val="06926B"/>
        </w:rPr>
      </w:pPr>
    </w:p>
    <w:p w14:paraId="1278DBB4" w14:textId="37833DD9" w:rsidR="00D47638" w:rsidRPr="00A212B1" w:rsidRDefault="00262FF1" w:rsidP="00D47638">
      <w:pPr>
        <w:jc w:val="center"/>
        <w:rPr>
          <w:rFonts w:ascii="Open Sans" w:hAnsi="Open Sans" w:cs="Open Sans"/>
          <w:b/>
          <w:bCs/>
          <w:color w:val="06926B"/>
          <w:sz w:val="32"/>
          <w:szCs w:val="32"/>
        </w:rPr>
      </w:pPr>
      <w:r>
        <w:rPr>
          <w:rFonts w:ascii="Open Sans" w:hAnsi="Open Sans" w:cs="Open Sans"/>
          <w:b/>
          <w:bCs/>
          <w:color w:val="06926B"/>
          <w:sz w:val="32"/>
          <w:szCs w:val="32"/>
        </w:rPr>
        <w:t xml:space="preserve">REA position: </w:t>
      </w:r>
      <w:r w:rsidR="00D47638" w:rsidRPr="00A212B1">
        <w:rPr>
          <w:rFonts w:ascii="Open Sans" w:hAnsi="Open Sans" w:cs="Open Sans"/>
          <w:b/>
          <w:bCs/>
          <w:color w:val="06926B"/>
          <w:sz w:val="32"/>
          <w:szCs w:val="32"/>
        </w:rPr>
        <w:t xml:space="preserve">private </w:t>
      </w:r>
      <w:r w:rsidR="00F035DB">
        <w:rPr>
          <w:rFonts w:ascii="Open Sans" w:hAnsi="Open Sans" w:cs="Open Sans"/>
          <w:b/>
          <w:bCs/>
          <w:color w:val="06926B"/>
          <w:sz w:val="32"/>
          <w:szCs w:val="32"/>
        </w:rPr>
        <w:t xml:space="preserve">&amp; local authority </w:t>
      </w:r>
      <w:r w:rsidR="00D47638" w:rsidRPr="00A212B1">
        <w:rPr>
          <w:rFonts w:ascii="Open Sans" w:hAnsi="Open Sans" w:cs="Open Sans"/>
          <w:b/>
          <w:bCs/>
          <w:color w:val="06926B"/>
          <w:sz w:val="32"/>
          <w:szCs w:val="32"/>
        </w:rPr>
        <w:t xml:space="preserve">EV infrastructure grants </w:t>
      </w:r>
      <w:r>
        <w:rPr>
          <w:rFonts w:ascii="Open Sans" w:hAnsi="Open Sans" w:cs="Open Sans"/>
          <w:b/>
          <w:bCs/>
          <w:color w:val="06926B"/>
          <w:sz w:val="32"/>
          <w:szCs w:val="32"/>
        </w:rPr>
        <w:t xml:space="preserve">and funding </w:t>
      </w:r>
      <w:r w:rsidR="00D47638" w:rsidRPr="00A212B1">
        <w:rPr>
          <w:rFonts w:ascii="Open Sans" w:hAnsi="Open Sans" w:cs="Open Sans"/>
          <w:b/>
          <w:bCs/>
          <w:color w:val="06926B"/>
          <w:sz w:val="32"/>
          <w:szCs w:val="32"/>
        </w:rPr>
        <w:t>in the UK</w:t>
      </w:r>
    </w:p>
    <w:p w14:paraId="7F37D8DA" w14:textId="2BC440AB" w:rsidR="006D3A4C" w:rsidRPr="00435A0A" w:rsidRDefault="00262FF1" w:rsidP="00D47638">
      <w:pPr>
        <w:jc w:val="center"/>
      </w:pPr>
      <w:r>
        <w:t>REA draft position paper for submission to HM Treasury and the Comprehensive Spending Review</w:t>
      </w:r>
    </w:p>
    <w:p w14:paraId="78E34829" w14:textId="4EA3E363" w:rsidR="002D6105" w:rsidRDefault="00262FF1" w:rsidP="00D47638">
      <w:pPr>
        <w:jc w:val="center"/>
      </w:pPr>
      <w:r>
        <w:t>V</w:t>
      </w:r>
      <w:r w:rsidR="00112E97">
        <w:t>3</w:t>
      </w:r>
      <w:r>
        <w:t xml:space="preserve"> as of </w:t>
      </w:r>
      <w:r w:rsidR="00133E62">
        <w:t>21</w:t>
      </w:r>
      <w:r w:rsidRPr="00262FF1">
        <w:rPr>
          <w:vertAlign w:val="superscript"/>
        </w:rPr>
        <w:t>th</w:t>
      </w:r>
      <w:r>
        <w:t xml:space="preserve"> September 2020</w:t>
      </w:r>
    </w:p>
    <w:p w14:paraId="42544B60" w14:textId="3BAC4AE6" w:rsidR="002D6105" w:rsidRDefault="002D6105" w:rsidP="002D6105">
      <w:pPr>
        <w:jc w:val="center"/>
      </w:pPr>
      <w:r>
        <w:t>With comments, please contact Daniel Brown (</w:t>
      </w:r>
      <w:hyperlink r:id="rId8" w:history="1">
        <w:r w:rsidRPr="001C0393">
          <w:rPr>
            <w:rStyle w:val="Hyperlink"/>
          </w:rPr>
          <w:t>dbrown@r-e-a.net</w:t>
        </w:r>
      </w:hyperlink>
      <w:r>
        <w:t xml:space="preserve">) </w:t>
      </w:r>
    </w:p>
    <w:p w14:paraId="014E66F4" w14:textId="59A3E770" w:rsidR="00F035DB" w:rsidRDefault="002D6105" w:rsidP="002D6105">
      <w:pPr>
        <w:jc w:val="center"/>
        <w:rPr>
          <w:i/>
          <w:iCs/>
        </w:rPr>
      </w:pPr>
      <w:r>
        <w:rPr>
          <w:i/>
          <w:iCs/>
        </w:rPr>
        <w:t xml:space="preserve">With thanks to Stan Fielding, REA Transport Policy Intern, for his thorough </w:t>
      </w:r>
      <w:r w:rsidR="00262FF1">
        <w:rPr>
          <w:i/>
          <w:iCs/>
        </w:rPr>
        <w:t>research which has informed this paper</w:t>
      </w:r>
      <w:r>
        <w:rPr>
          <w:i/>
          <w:iCs/>
        </w:rPr>
        <w:t xml:space="preserve">. You can view his </w:t>
      </w:r>
      <w:hyperlink r:id="rId9" w:history="1">
        <w:r w:rsidRPr="00607688">
          <w:rPr>
            <w:rStyle w:val="Hyperlink"/>
            <w:i/>
            <w:iCs/>
          </w:rPr>
          <w:t>LinkedIn here</w:t>
        </w:r>
      </w:hyperlink>
      <w:r>
        <w:rPr>
          <w:i/>
          <w:iCs/>
        </w:rPr>
        <w:t>.</w:t>
      </w:r>
    </w:p>
    <w:p w14:paraId="1F16B200" w14:textId="77777777" w:rsidR="00F035DB" w:rsidRDefault="00F035DB" w:rsidP="002D6105">
      <w:pPr>
        <w:jc w:val="center"/>
      </w:pPr>
    </w:p>
    <w:p w14:paraId="4A5319F0" w14:textId="77777777" w:rsidR="00F035DB" w:rsidRDefault="00F035DB" w:rsidP="002D6105">
      <w:pPr>
        <w:jc w:val="center"/>
      </w:pPr>
    </w:p>
    <w:p w14:paraId="3DB4AE76" w14:textId="27AA10A3" w:rsidR="00D47638" w:rsidRPr="00F035DB" w:rsidRDefault="00F035DB" w:rsidP="002D6105">
      <w:pPr>
        <w:jc w:val="center"/>
        <w:rPr>
          <w:color w:val="06926B"/>
        </w:rPr>
      </w:pPr>
      <w:r w:rsidRPr="00F035DB">
        <w:rPr>
          <w:b/>
          <w:bCs/>
        </w:rPr>
        <w:t>Key grants covered</w:t>
      </w:r>
      <w:r>
        <w:rPr>
          <w:b/>
          <w:bCs/>
        </w:rPr>
        <w:t xml:space="preserve"> in this briefing</w:t>
      </w:r>
      <w:r w:rsidRPr="00F035DB">
        <w:t>: Workplace Charging Scheme</w:t>
      </w:r>
      <w:r>
        <w:t xml:space="preserve"> (WCS)</w:t>
      </w:r>
      <w:r w:rsidRPr="00F035DB">
        <w:t>, EV Homecharge Scheme</w:t>
      </w:r>
      <w:r>
        <w:t xml:space="preserve"> (EVHS)</w:t>
      </w:r>
      <w:r w:rsidRPr="00F035DB">
        <w:t>, Onstreet Residential Chargepoint Scheme</w:t>
      </w:r>
      <w:r>
        <w:t xml:space="preserve"> (ORCS)</w:t>
      </w:r>
      <w:r w:rsidRPr="00F035DB">
        <w:t>.</w:t>
      </w:r>
      <w:r w:rsidR="00D47638" w:rsidRPr="00F035DB">
        <w:rPr>
          <w:color w:val="06926B"/>
        </w:rPr>
        <w:br w:type="page"/>
      </w:r>
    </w:p>
    <w:p w14:paraId="091B81C4" w14:textId="77777777" w:rsidR="00133E62" w:rsidRDefault="00133E62" w:rsidP="00D47638">
      <w:pPr>
        <w:rPr>
          <w:rFonts w:ascii="Open Sans" w:hAnsi="Open Sans" w:cs="Open Sans"/>
          <w:b/>
          <w:bCs/>
          <w:color w:val="06926B"/>
          <w:sz w:val="28"/>
          <w:szCs w:val="28"/>
        </w:rPr>
      </w:pPr>
    </w:p>
    <w:p w14:paraId="78466F28" w14:textId="6111F61C" w:rsidR="009E341E" w:rsidRPr="00B01437" w:rsidRDefault="009E341E" w:rsidP="00D47638">
      <w:pPr>
        <w:rPr>
          <w:rFonts w:ascii="Open Sans" w:hAnsi="Open Sans" w:cs="Open Sans"/>
          <w:b/>
          <w:bCs/>
          <w:color w:val="06926B"/>
          <w:sz w:val="28"/>
          <w:szCs w:val="28"/>
        </w:rPr>
      </w:pPr>
      <w:r w:rsidRPr="00B01437">
        <w:rPr>
          <w:rFonts w:ascii="Open Sans" w:hAnsi="Open Sans" w:cs="Open Sans"/>
          <w:b/>
          <w:bCs/>
          <w:color w:val="06926B"/>
          <w:sz w:val="28"/>
          <w:szCs w:val="28"/>
        </w:rPr>
        <w:t>Background</w:t>
      </w:r>
    </w:p>
    <w:p w14:paraId="3D6AF395" w14:textId="65CE92E6" w:rsidR="00AF6497" w:rsidRPr="003569DE" w:rsidRDefault="003569DE" w:rsidP="00AF6497">
      <w:pPr>
        <w:pStyle w:val="TNR"/>
        <w:numPr>
          <w:ilvl w:val="0"/>
          <w:numId w:val="9"/>
        </w:numPr>
        <w:spacing w:line="240" w:lineRule="auto"/>
        <w:rPr>
          <w:rFonts w:ascii="Open Sans" w:hAnsi="Open Sans" w:cs="Open Sans"/>
          <w:b/>
          <w:bCs/>
          <w:color w:val="06926B"/>
          <w:sz w:val="22"/>
        </w:rPr>
      </w:pPr>
      <w:r w:rsidRPr="003569DE">
        <w:rPr>
          <w:rFonts w:ascii="Open Sans" w:hAnsi="Open Sans" w:cs="Open Sans"/>
          <w:b/>
          <w:bCs/>
          <w:sz w:val="22"/>
        </w:rPr>
        <w:t xml:space="preserve">A </w:t>
      </w:r>
      <w:r w:rsidR="00AF6497" w:rsidRPr="003569DE">
        <w:rPr>
          <w:rFonts w:ascii="Open Sans" w:hAnsi="Open Sans" w:cs="Open Sans"/>
          <w:b/>
          <w:bCs/>
          <w:sz w:val="22"/>
        </w:rPr>
        <w:t xml:space="preserve">Comprehensive Spending Review (CSR) </w:t>
      </w:r>
      <w:r w:rsidR="002D6105" w:rsidRPr="003569DE">
        <w:rPr>
          <w:rFonts w:ascii="Open Sans" w:hAnsi="Open Sans" w:cs="Open Sans"/>
          <w:b/>
          <w:bCs/>
          <w:sz w:val="22"/>
        </w:rPr>
        <w:t>is ongoing in Government, the outcome of which will have a significant impact on</w:t>
      </w:r>
      <w:r w:rsidR="00AF6497" w:rsidRPr="003569DE">
        <w:rPr>
          <w:rFonts w:ascii="Open Sans" w:hAnsi="Open Sans" w:cs="Open Sans"/>
          <w:b/>
          <w:bCs/>
          <w:sz w:val="22"/>
        </w:rPr>
        <w:t xml:space="preserve"> departmental capital budgets</w:t>
      </w:r>
      <w:r w:rsidRPr="003569DE">
        <w:rPr>
          <w:rFonts w:ascii="Open Sans" w:hAnsi="Open Sans" w:cs="Open Sans"/>
          <w:b/>
          <w:bCs/>
          <w:sz w:val="22"/>
        </w:rPr>
        <w:t xml:space="preserve">. </w:t>
      </w:r>
    </w:p>
    <w:p w14:paraId="1EFAF787" w14:textId="31EF4C2B" w:rsidR="002D6105" w:rsidRPr="003569DE" w:rsidRDefault="00262FF1" w:rsidP="00AF6497">
      <w:pPr>
        <w:pStyle w:val="TNR"/>
        <w:numPr>
          <w:ilvl w:val="0"/>
          <w:numId w:val="9"/>
        </w:numPr>
        <w:spacing w:line="240" w:lineRule="auto"/>
        <w:rPr>
          <w:rFonts w:ascii="Open Sans" w:hAnsi="Open Sans" w:cs="Open Sans"/>
          <w:b/>
          <w:bCs/>
          <w:color w:val="06926B"/>
          <w:sz w:val="22"/>
        </w:rPr>
      </w:pPr>
      <w:r>
        <w:rPr>
          <w:rFonts w:ascii="Open Sans" w:hAnsi="Open Sans" w:cs="Open Sans"/>
          <w:b/>
          <w:bCs/>
          <w:sz w:val="22"/>
        </w:rPr>
        <w:t xml:space="preserve">REA has prepared this paper for submission to </w:t>
      </w:r>
      <w:r w:rsidR="002D6105" w:rsidRPr="003569DE">
        <w:rPr>
          <w:rFonts w:ascii="Open Sans" w:hAnsi="Open Sans" w:cs="Open Sans"/>
          <w:b/>
          <w:bCs/>
          <w:sz w:val="22"/>
        </w:rPr>
        <w:t>OLEV</w:t>
      </w:r>
      <w:r>
        <w:rPr>
          <w:rFonts w:ascii="Open Sans" w:hAnsi="Open Sans" w:cs="Open Sans"/>
          <w:b/>
          <w:bCs/>
          <w:sz w:val="22"/>
        </w:rPr>
        <w:t xml:space="preserve"> and HM Treasury. </w:t>
      </w:r>
    </w:p>
    <w:p w14:paraId="623E0DEA" w14:textId="1F48F1F6" w:rsidR="002D6105" w:rsidRPr="00133E62" w:rsidRDefault="00262FF1" w:rsidP="00AF6497">
      <w:pPr>
        <w:pStyle w:val="TNR"/>
        <w:numPr>
          <w:ilvl w:val="0"/>
          <w:numId w:val="9"/>
        </w:numPr>
        <w:spacing w:line="240" w:lineRule="auto"/>
        <w:rPr>
          <w:rFonts w:ascii="Open Sans" w:hAnsi="Open Sans" w:cs="Open Sans"/>
          <w:b/>
          <w:bCs/>
          <w:color w:val="06926B"/>
          <w:sz w:val="22"/>
        </w:rPr>
      </w:pPr>
      <w:r>
        <w:rPr>
          <w:rFonts w:ascii="Open Sans" w:hAnsi="Open Sans" w:cs="Open Sans"/>
          <w:b/>
          <w:bCs/>
          <w:sz w:val="22"/>
        </w:rPr>
        <w:t>Previous to this paper REA produced a briefing document (</w:t>
      </w:r>
      <w:hyperlink r:id="rId10" w:history="1">
        <w:r w:rsidRPr="00980B8E">
          <w:rPr>
            <w:rStyle w:val="Hyperlink"/>
            <w:rFonts w:ascii="Open Sans" w:hAnsi="Open Sans" w:cs="Open Sans"/>
            <w:b/>
            <w:bCs/>
            <w:sz w:val="22"/>
          </w:rPr>
          <w:t>here</w:t>
        </w:r>
      </w:hyperlink>
      <w:r>
        <w:rPr>
          <w:rFonts w:ascii="Open Sans" w:hAnsi="Open Sans" w:cs="Open Sans"/>
          <w:b/>
          <w:bCs/>
          <w:sz w:val="22"/>
        </w:rPr>
        <w:t>) containing background and analysis of the existing schemes, which was discussed at a member meeting on 10</w:t>
      </w:r>
      <w:r w:rsidRPr="00262FF1">
        <w:rPr>
          <w:rFonts w:ascii="Open Sans" w:hAnsi="Open Sans" w:cs="Open Sans"/>
          <w:b/>
          <w:bCs/>
          <w:sz w:val="22"/>
          <w:vertAlign w:val="superscript"/>
        </w:rPr>
        <w:t>th</w:t>
      </w:r>
      <w:r>
        <w:rPr>
          <w:rFonts w:ascii="Open Sans" w:hAnsi="Open Sans" w:cs="Open Sans"/>
          <w:b/>
          <w:bCs/>
          <w:sz w:val="22"/>
        </w:rPr>
        <w:t xml:space="preserve"> September 2020. </w:t>
      </w:r>
    </w:p>
    <w:p w14:paraId="4C771DC4" w14:textId="549CA91A" w:rsidR="00133E62" w:rsidRPr="003569DE" w:rsidRDefault="00133E62" w:rsidP="00AF6497">
      <w:pPr>
        <w:pStyle w:val="TNR"/>
        <w:numPr>
          <w:ilvl w:val="0"/>
          <w:numId w:val="9"/>
        </w:numPr>
        <w:spacing w:line="240" w:lineRule="auto"/>
        <w:rPr>
          <w:rFonts w:ascii="Open Sans" w:hAnsi="Open Sans" w:cs="Open Sans"/>
          <w:b/>
          <w:bCs/>
          <w:color w:val="06926B"/>
          <w:sz w:val="22"/>
        </w:rPr>
      </w:pPr>
      <w:r>
        <w:rPr>
          <w:rFonts w:ascii="Open Sans" w:hAnsi="Open Sans" w:cs="Open Sans"/>
          <w:b/>
          <w:bCs/>
          <w:sz w:val="22"/>
        </w:rPr>
        <w:t>Further analysis on these grants can be found in the Annex below.</w:t>
      </w:r>
    </w:p>
    <w:p w14:paraId="6AFED413" w14:textId="77777777" w:rsidR="00AC3480" w:rsidRDefault="00AC3480" w:rsidP="005E30EE">
      <w:pPr>
        <w:pStyle w:val="TNR"/>
        <w:spacing w:line="240" w:lineRule="auto"/>
        <w:rPr>
          <w:rFonts w:ascii="Open Sans" w:hAnsi="Open Sans" w:cs="Open Sans"/>
          <w:b/>
          <w:bCs/>
          <w:color w:val="06926B"/>
          <w:sz w:val="22"/>
        </w:rPr>
      </w:pPr>
    </w:p>
    <w:p w14:paraId="00238C28" w14:textId="53EA9FBC" w:rsidR="009E341E" w:rsidRPr="00B01437" w:rsidRDefault="009E341E" w:rsidP="005E30EE">
      <w:pPr>
        <w:pStyle w:val="TNR"/>
        <w:spacing w:line="240" w:lineRule="auto"/>
        <w:rPr>
          <w:rFonts w:ascii="Open Sans" w:hAnsi="Open Sans" w:cs="Open Sans"/>
          <w:b/>
          <w:bCs/>
          <w:color w:val="06926B"/>
          <w:sz w:val="28"/>
          <w:szCs w:val="28"/>
        </w:rPr>
      </w:pPr>
      <w:r w:rsidRPr="00B01437">
        <w:rPr>
          <w:rFonts w:ascii="Open Sans" w:hAnsi="Open Sans" w:cs="Open Sans"/>
          <w:b/>
          <w:bCs/>
          <w:color w:val="06926B"/>
          <w:sz w:val="28"/>
          <w:szCs w:val="28"/>
        </w:rPr>
        <w:t>Actions</w:t>
      </w:r>
    </w:p>
    <w:p w14:paraId="03A2EA43" w14:textId="5DD0DDAD" w:rsidR="009E341E" w:rsidRDefault="00262FF1" w:rsidP="005E30EE">
      <w:pPr>
        <w:pStyle w:val="TNR"/>
        <w:numPr>
          <w:ilvl w:val="0"/>
          <w:numId w:val="6"/>
        </w:numPr>
        <w:spacing w:line="240" w:lineRule="auto"/>
        <w:rPr>
          <w:rFonts w:ascii="Open Sans" w:hAnsi="Open Sans" w:cs="Open Sans"/>
          <w:sz w:val="22"/>
        </w:rPr>
      </w:pPr>
      <w:r>
        <w:rPr>
          <w:rFonts w:ascii="Open Sans" w:hAnsi="Open Sans" w:cs="Open Sans"/>
          <w:sz w:val="22"/>
        </w:rPr>
        <w:t>REA members invited to comment by</w:t>
      </w:r>
      <w:r w:rsidR="00133E62">
        <w:rPr>
          <w:rFonts w:ascii="Open Sans" w:hAnsi="Open Sans" w:cs="Open Sans"/>
          <w:sz w:val="22"/>
        </w:rPr>
        <w:t xml:space="preserve"> </w:t>
      </w:r>
      <w:r w:rsidR="00133E62" w:rsidRPr="00133E62">
        <w:rPr>
          <w:rFonts w:ascii="Open Sans" w:hAnsi="Open Sans" w:cs="Open Sans"/>
          <w:b/>
          <w:bCs/>
          <w:color w:val="FF0000"/>
          <w:sz w:val="22"/>
        </w:rPr>
        <w:t>COP on Wednesday, 23</w:t>
      </w:r>
      <w:r w:rsidR="00133E62" w:rsidRPr="00133E62">
        <w:rPr>
          <w:rFonts w:ascii="Open Sans" w:hAnsi="Open Sans" w:cs="Open Sans"/>
          <w:b/>
          <w:bCs/>
          <w:color w:val="FF0000"/>
          <w:sz w:val="22"/>
          <w:vertAlign w:val="superscript"/>
        </w:rPr>
        <w:t>rd</w:t>
      </w:r>
      <w:r w:rsidR="00133E62" w:rsidRPr="00133E62">
        <w:rPr>
          <w:rFonts w:ascii="Open Sans" w:hAnsi="Open Sans" w:cs="Open Sans"/>
          <w:color w:val="FF0000"/>
          <w:sz w:val="22"/>
        </w:rPr>
        <w:t xml:space="preserve"> </w:t>
      </w:r>
      <w:r w:rsidRPr="00133E62">
        <w:rPr>
          <w:rFonts w:ascii="Open Sans" w:hAnsi="Open Sans" w:cs="Open Sans"/>
          <w:b/>
          <w:bCs/>
          <w:color w:val="FF0000"/>
          <w:sz w:val="22"/>
        </w:rPr>
        <w:t>September 2020.</w:t>
      </w:r>
      <w:r w:rsidRPr="00133E62">
        <w:rPr>
          <w:rFonts w:ascii="Open Sans" w:hAnsi="Open Sans" w:cs="Open Sans"/>
          <w:color w:val="FF0000"/>
          <w:sz w:val="22"/>
        </w:rPr>
        <w:t xml:space="preserve"> </w:t>
      </w:r>
      <w:r>
        <w:rPr>
          <w:rFonts w:ascii="Open Sans" w:hAnsi="Open Sans" w:cs="Open Sans"/>
          <w:sz w:val="22"/>
        </w:rPr>
        <w:t xml:space="preserve">Please use track changes and submit to Daniel Brown – </w:t>
      </w:r>
      <w:hyperlink r:id="rId11" w:history="1">
        <w:r w:rsidRPr="00FE37EE">
          <w:rPr>
            <w:rStyle w:val="Hyperlink"/>
            <w:rFonts w:ascii="Open Sans" w:hAnsi="Open Sans" w:cs="Open Sans"/>
            <w:sz w:val="22"/>
          </w:rPr>
          <w:t>dbrown@r-e-a.net</w:t>
        </w:r>
      </w:hyperlink>
      <w:r>
        <w:rPr>
          <w:rFonts w:ascii="Open Sans" w:hAnsi="Open Sans" w:cs="Open Sans"/>
          <w:sz w:val="22"/>
        </w:rPr>
        <w:t xml:space="preserve"> </w:t>
      </w:r>
    </w:p>
    <w:p w14:paraId="14211335" w14:textId="77777777" w:rsidR="00AC3480" w:rsidRPr="00A212B1" w:rsidRDefault="00AC3480" w:rsidP="00AC3480">
      <w:pPr>
        <w:pStyle w:val="TNR"/>
        <w:spacing w:line="240" w:lineRule="auto"/>
        <w:ind w:left="720"/>
        <w:rPr>
          <w:rFonts w:ascii="Open Sans" w:hAnsi="Open Sans" w:cs="Open Sans"/>
          <w:sz w:val="22"/>
        </w:rPr>
      </w:pPr>
    </w:p>
    <w:p w14:paraId="166CCD99" w14:textId="0FD29C23" w:rsidR="002E3BBD" w:rsidRPr="00B01437" w:rsidRDefault="009E341E" w:rsidP="005E30EE">
      <w:pPr>
        <w:pStyle w:val="TNR"/>
        <w:spacing w:line="240" w:lineRule="auto"/>
        <w:rPr>
          <w:rFonts w:ascii="Open Sans" w:hAnsi="Open Sans" w:cs="Open Sans"/>
          <w:b/>
          <w:bCs/>
          <w:color w:val="06926B"/>
          <w:sz w:val="28"/>
          <w:szCs w:val="28"/>
        </w:rPr>
      </w:pPr>
      <w:r w:rsidRPr="00B01437">
        <w:rPr>
          <w:rFonts w:ascii="Open Sans" w:hAnsi="Open Sans" w:cs="Open Sans"/>
          <w:b/>
          <w:bCs/>
          <w:color w:val="06926B"/>
          <w:sz w:val="28"/>
          <w:szCs w:val="28"/>
        </w:rPr>
        <w:t>Introduction</w:t>
      </w:r>
    </w:p>
    <w:p w14:paraId="2EB843C3" w14:textId="77777777" w:rsidR="003569DE" w:rsidRDefault="002E3BBD" w:rsidP="003569DE">
      <w:pPr>
        <w:pStyle w:val="TNR"/>
        <w:spacing w:line="240" w:lineRule="auto"/>
        <w:rPr>
          <w:rFonts w:ascii="Open Sans" w:hAnsi="Open Sans" w:cs="Open Sans"/>
          <w:sz w:val="22"/>
        </w:rPr>
      </w:pPr>
      <w:r w:rsidRPr="00A212B1">
        <w:rPr>
          <w:rFonts w:ascii="Open Sans" w:hAnsi="Open Sans" w:cs="Open Sans"/>
          <w:sz w:val="22"/>
        </w:rPr>
        <w:t xml:space="preserve">In response to </w:t>
      </w:r>
      <w:bookmarkStart w:id="0" w:name="_Hlk49439822"/>
      <w:r w:rsidRPr="00A212B1">
        <w:rPr>
          <w:rFonts w:ascii="Open Sans" w:hAnsi="Open Sans" w:cs="Open Sans"/>
          <w:sz w:val="22"/>
        </w:rPr>
        <w:t>the Covid</w:t>
      </w:r>
      <w:bookmarkEnd w:id="0"/>
      <w:r w:rsidRPr="00A212B1">
        <w:rPr>
          <w:rFonts w:ascii="Open Sans" w:hAnsi="Open Sans" w:cs="Open Sans"/>
          <w:sz w:val="22"/>
        </w:rPr>
        <w:t xml:space="preserve">-19 pandemic and the ensuing economic downturn the UK government has </w:t>
      </w:r>
      <w:r w:rsidR="006E6858" w:rsidRPr="00A212B1">
        <w:rPr>
          <w:rFonts w:ascii="Open Sans" w:hAnsi="Open Sans" w:cs="Open Sans"/>
          <w:sz w:val="22"/>
        </w:rPr>
        <w:t>promised to</w:t>
      </w:r>
      <w:r w:rsidRPr="00A212B1">
        <w:rPr>
          <w:rFonts w:ascii="Open Sans" w:hAnsi="Open Sans" w:cs="Open Sans"/>
          <w:sz w:val="22"/>
        </w:rPr>
        <w:t xml:space="preserve"> pursue a resilient and “green” economic recovery, </w:t>
      </w:r>
      <w:r w:rsidR="006E6858" w:rsidRPr="00A212B1">
        <w:rPr>
          <w:rFonts w:ascii="Open Sans" w:hAnsi="Open Sans" w:cs="Open Sans"/>
          <w:sz w:val="22"/>
        </w:rPr>
        <w:t>in the wake of the legally binding commitment to reach Net Zero by 2050</w:t>
      </w:r>
      <w:r w:rsidRPr="00A212B1">
        <w:rPr>
          <w:rFonts w:ascii="Open Sans" w:hAnsi="Open Sans" w:cs="Open Sans"/>
          <w:sz w:val="22"/>
        </w:rPr>
        <w:t xml:space="preserve">. </w:t>
      </w:r>
    </w:p>
    <w:p w14:paraId="6B7BBE2F" w14:textId="77777777" w:rsidR="003569DE" w:rsidRDefault="006E6858" w:rsidP="003569DE">
      <w:pPr>
        <w:pStyle w:val="TNR"/>
        <w:spacing w:line="240" w:lineRule="auto"/>
        <w:rPr>
          <w:rFonts w:ascii="Open Sans" w:hAnsi="Open Sans" w:cs="Open Sans"/>
          <w:sz w:val="22"/>
        </w:rPr>
      </w:pPr>
      <w:r w:rsidRPr="00A212B1">
        <w:rPr>
          <w:rFonts w:ascii="Open Sans" w:hAnsi="Open Sans" w:cs="Open Sans"/>
          <w:sz w:val="22"/>
        </w:rPr>
        <w:t xml:space="preserve">Key moments that will expose how serious the Government is about pursuing a Green Recovery include </w:t>
      </w:r>
      <w:r w:rsidR="002E3BBD" w:rsidRPr="00A212B1">
        <w:rPr>
          <w:rFonts w:ascii="Open Sans" w:hAnsi="Open Sans" w:cs="Open Sans"/>
          <w:sz w:val="22"/>
        </w:rPr>
        <w:t>HM Treasury</w:t>
      </w:r>
      <w:r w:rsidRPr="00A212B1">
        <w:rPr>
          <w:rFonts w:ascii="Open Sans" w:hAnsi="Open Sans" w:cs="Open Sans"/>
          <w:sz w:val="22"/>
        </w:rPr>
        <w:t>’s C</w:t>
      </w:r>
      <w:r w:rsidR="002E3BBD" w:rsidRPr="00A212B1">
        <w:rPr>
          <w:rFonts w:ascii="Open Sans" w:hAnsi="Open Sans" w:cs="Open Sans"/>
          <w:sz w:val="22"/>
        </w:rPr>
        <w:t xml:space="preserve">omprehensive Spending Review (CSR) </w:t>
      </w:r>
      <w:r w:rsidR="002D6105">
        <w:rPr>
          <w:rFonts w:ascii="Open Sans" w:hAnsi="Open Sans" w:cs="Open Sans"/>
          <w:sz w:val="22"/>
        </w:rPr>
        <w:t xml:space="preserve">(ongoing) which will </w:t>
      </w:r>
      <w:r w:rsidRPr="00A212B1">
        <w:rPr>
          <w:rFonts w:ascii="Open Sans" w:hAnsi="Open Sans" w:cs="Open Sans"/>
          <w:sz w:val="22"/>
        </w:rPr>
        <w:t>set departmental spending budgets for</w:t>
      </w:r>
      <w:r w:rsidR="002E3BBD" w:rsidRPr="00A212B1">
        <w:rPr>
          <w:rFonts w:ascii="Open Sans" w:hAnsi="Open Sans" w:cs="Open Sans"/>
          <w:sz w:val="22"/>
        </w:rPr>
        <w:t xml:space="preserve"> 2021/22 to 2023/24 and capital budgets for the period 2021/22 to 2024/25. </w:t>
      </w:r>
    </w:p>
    <w:p w14:paraId="3FFC3943" w14:textId="533A814B" w:rsidR="003569DE" w:rsidRDefault="002E3BBD" w:rsidP="003569DE">
      <w:pPr>
        <w:pStyle w:val="TNR"/>
        <w:spacing w:line="240" w:lineRule="auto"/>
        <w:rPr>
          <w:rFonts w:ascii="Open Sans" w:hAnsi="Open Sans" w:cs="Open Sans"/>
          <w:sz w:val="22"/>
        </w:rPr>
      </w:pPr>
      <w:r w:rsidRPr="00A212B1">
        <w:rPr>
          <w:rFonts w:ascii="Open Sans" w:hAnsi="Open Sans" w:cs="Open Sans"/>
          <w:sz w:val="22"/>
        </w:rPr>
        <w:t xml:space="preserve">In announcing the CSR, the Chancellor has </w:t>
      </w:r>
      <w:r w:rsidR="006E6858" w:rsidRPr="00A212B1">
        <w:rPr>
          <w:rFonts w:ascii="Open Sans" w:hAnsi="Open Sans" w:cs="Open Sans"/>
          <w:sz w:val="22"/>
        </w:rPr>
        <w:t xml:space="preserve">promised to </w:t>
      </w:r>
      <w:r w:rsidRPr="00A212B1">
        <w:rPr>
          <w:rFonts w:ascii="Open Sans" w:hAnsi="Open Sans" w:cs="Open Sans"/>
          <w:sz w:val="22"/>
        </w:rPr>
        <w:t xml:space="preserve">prioritise “the development of technologies that will support the government’s ambition to reach net zero carbon emissions by 2050”. The CSR will follow an interim report of the Net Zero Review in </w:t>
      </w:r>
      <w:r w:rsidR="003569DE">
        <w:rPr>
          <w:rFonts w:ascii="Open Sans" w:hAnsi="Open Sans" w:cs="Open Sans"/>
          <w:sz w:val="22"/>
        </w:rPr>
        <w:t>A</w:t>
      </w:r>
      <w:r w:rsidRPr="00A212B1">
        <w:rPr>
          <w:rFonts w:ascii="Open Sans" w:hAnsi="Open Sans" w:cs="Open Sans"/>
          <w:sz w:val="22"/>
        </w:rPr>
        <w:t xml:space="preserve">utumn. </w:t>
      </w:r>
    </w:p>
    <w:p w14:paraId="671824FF" w14:textId="72643F7C" w:rsidR="002E3BBD" w:rsidRDefault="002E3BBD" w:rsidP="003569DE">
      <w:pPr>
        <w:pStyle w:val="TNR"/>
        <w:spacing w:line="240" w:lineRule="auto"/>
        <w:rPr>
          <w:rFonts w:ascii="Open Sans" w:hAnsi="Open Sans" w:cs="Open Sans"/>
          <w:sz w:val="22"/>
        </w:rPr>
      </w:pPr>
      <w:r w:rsidRPr="00A212B1">
        <w:rPr>
          <w:rFonts w:ascii="Open Sans" w:hAnsi="Open Sans" w:cs="Open Sans"/>
          <w:sz w:val="22"/>
        </w:rPr>
        <w:t>Th</w:t>
      </w:r>
      <w:r w:rsidR="00D606E7" w:rsidRPr="00A212B1">
        <w:rPr>
          <w:rFonts w:ascii="Open Sans" w:hAnsi="Open Sans" w:cs="Open Sans"/>
          <w:sz w:val="22"/>
        </w:rPr>
        <w:t>e</w:t>
      </w:r>
      <w:r w:rsidR="003569DE">
        <w:rPr>
          <w:rFonts w:ascii="Open Sans" w:hAnsi="Open Sans" w:cs="Open Sans"/>
          <w:sz w:val="22"/>
        </w:rPr>
        <w:t xml:space="preserve"> likely</w:t>
      </w:r>
      <w:r w:rsidR="00D606E7" w:rsidRPr="00A212B1">
        <w:rPr>
          <w:rFonts w:ascii="Open Sans" w:hAnsi="Open Sans" w:cs="Open Sans"/>
          <w:sz w:val="22"/>
        </w:rPr>
        <w:t xml:space="preserve"> net </w:t>
      </w:r>
      <w:r w:rsidRPr="00A212B1">
        <w:rPr>
          <w:rFonts w:ascii="Open Sans" w:hAnsi="Open Sans" w:cs="Open Sans"/>
          <w:sz w:val="22"/>
        </w:rPr>
        <w:t xml:space="preserve"> increase in capital budgets for government departments </w:t>
      </w:r>
      <w:r w:rsidR="00D606E7" w:rsidRPr="00A212B1">
        <w:rPr>
          <w:rFonts w:ascii="Open Sans" w:hAnsi="Open Sans" w:cs="Open Sans"/>
          <w:sz w:val="22"/>
        </w:rPr>
        <w:t xml:space="preserve">in the CSR </w:t>
      </w:r>
      <w:r w:rsidRPr="00A212B1">
        <w:rPr>
          <w:rFonts w:ascii="Open Sans" w:hAnsi="Open Sans" w:cs="Open Sans"/>
          <w:sz w:val="22"/>
        </w:rPr>
        <w:t xml:space="preserve">and the renewed government attention on sustainable technology development presents a unique opportunity to review current spending schemes in place and, under the request for representations to the CSR, to propose recommendations for </w:t>
      </w:r>
      <w:r w:rsidRPr="00133E62">
        <w:rPr>
          <w:rFonts w:ascii="Open Sans" w:hAnsi="Open Sans" w:cs="Open Sans"/>
          <w:sz w:val="22"/>
        </w:rPr>
        <w:t>spending over the next five years.</w:t>
      </w:r>
      <w:r w:rsidRPr="00A212B1">
        <w:rPr>
          <w:rFonts w:ascii="Open Sans" w:hAnsi="Open Sans" w:cs="Open Sans"/>
          <w:sz w:val="22"/>
        </w:rPr>
        <w:t xml:space="preserve"> </w:t>
      </w:r>
    </w:p>
    <w:p w14:paraId="0AE465F8" w14:textId="30649F88" w:rsidR="00133E62" w:rsidRPr="00A212B1" w:rsidRDefault="00133E62" w:rsidP="003569DE">
      <w:pPr>
        <w:pStyle w:val="TNR"/>
        <w:spacing w:line="240" w:lineRule="auto"/>
        <w:rPr>
          <w:rFonts w:ascii="Open Sans" w:hAnsi="Open Sans" w:cs="Open Sans"/>
          <w:sz w:val="22"/>
        </w:rPr>
      </w:pPr>
      <w:r>
        <w:rPr>
          <w:rFonts w:ascii="Open Sans" w:hAnsi="Open Sans" w:cs="Open Sans"/>
          <w:sz w:val="22"/>
        </w:rPr>
        <w:t>The EV Homecahrge Scheme (EVHS), Workplace Charging Scheme (WCS), and Onstreet Residential Chargepoint Scheme (ORCS) are all considered capital spending and will be covered in this Spending Review.</w:t>
      </w:r>
    </w:p>
    <w:p w14:paraId="6E0D1F91" w14:textId="77777777" w:rsidR="00133E62" w:rsidRDefault="00133E62" w:rsidP="005E30EE">
      <w:pPr>
        <w:pStyle w:val="TNR"/>
        <w:spacing w:line="240" w:lineRule="auto"/>
        <w:rPr>
          <w:rFonts w:ascii="Open Sans" w:hAnsi="Open Sans" w:cs="Open Sans"/>
          <w:b/>
          <w:bCs/>
          <w:color w:val="06926B"/>
          <w:sz w:val="28"/>
          <w:szCs w:val="28"/>
        </w:rPr>
      </w:pPr>
    </w:p>
    <w:p w14:paraId="443BE368" w14:textId="77777777" w:rsidR="00133E62" w:rsidRDefault="00133E62" w:rsidP="005E30EE">
      <w:pPr>
        <w:pStyle w:val="TNR"/>
        <w:spacing w:line="240" w:lineRule="auto"/>
        <w:rPr>
          <w:rFonts w:ascii="Open Sans" w:hAnsi="Open Sans" w:cs="Open Sans"/>
          <w:b/>
          <w:bCs/>
          <w:color w:val="06926B"/>
          <w:sz w:val="28"/>
          <w:szCs w:val="28"/>
        </w:rPr>
      </w:pPr>
    </w:p>
    <w:p w14:paraId="493074BC" w14:textId="0E5DEC38" w:rsidR="006E6858" w:rsidRPr="00B01437" w:rsidRDefault="00262FF1" w:rsidP="005E30EE">
      <w:pPr>
        <w:pStyle w:val="TNR"/>
        <w:spacing w:line="240" w:lineRule="auto"/>
        <w:rPr>
          <w:rFonts w:ascii="Open Sans" w:hAnsi="Open Sans" w:cs="Open Sans"/>
          <w:b/>
          <w:bCs/>
          <w:color w:val="06926B"/>
          <w:sz w:val="28"/>
          <w:szCs w:val="28"/>
        </w:rPr>
      </w:pPr>
      <w:r>
        <w:rPr>
          <w:rFonts w:ascii="Open Sans" w:hAnsi="Open Sans" w:cs="Open Sans"/>
          <w:b/>
          <w:bCs/>
          <w:color w:val="06926B"/>
          <w:sz w:val="28"/>
          <w:szCs w:val="28"/>
        </w:rPr>
        <w:lastRenderedPageBreak/>
        <w:t xml:space="preserve">EV Homecharge Scheme </w:t>
      </w:r>
    </w:p>
    <w:p w14:paraId="42A1ABC2" w14:textId="05A24CC1" w:rsidR="00262FF1" w:rsidRPr="00262FF1" w:rsidRDefault="006D72FC" w:rsidP="00AC3480">
      <w:pPr>
        <w:pStyle w:val="TNR"/>
        <w:spacing w:line="240" w:lineRule="auto"/>
        <w:rPr>
          <w:rFonts w:ascii="Open Sans" w:hAnsi="Open Sans" w:cs="Open Sans"/>
          <w:b/>
          <w:bCs/>
          <w:sz w:val="22"/>
        </w:rPr>
      </w:pPr>
      <w:r>
        <w:rPr>
          <w:rFonts w:ascii="Open Sans" w:hAnsi="Open Sans" w:cs="Open Sans"/>
          <w:b/>
          <w:bCs/>
          <w:sz w:val="22"/>
        </w:rPr>
        <w:t>Background and issues</w:t>
      </w:r>
    </w:p>
    <w:p w14:paraId="49DC83E2" w14:textId="761EBD07" w:rsidR="00262FF1" w:rsidRDefault="00262FF1" w:rsidP="00AC3480">
      <w:pPr>
        <w:pStyle w:val="TNR"/>
        <w:spacing w:line="240" w:lineRule="auto"/>
        <w:rPr>
          <w:rFonts w:ascii="Open Sans" w:hAnsi="Open Sans" w:cs="Open Sans"/>
          <w:sz w:val="22"/>
        </w:rPr>
      </w:pPr>
      <w:r>
        <w:rPr>
          <w:rFonts w:ascii="Open Sans" w:hAnsi="Open Sans" w:cs="Open Sans"/>
          <w:sz w:val="22"/>
        </w:rPr>
        <w:t>The REA is concerned about the recent reduction in the EV Homecharge Scheme (EVHS) to £350. The scheme is important as it ensures that only OLEV approved installers and products are in the market</w:t>
      </w:r>
      <w:r w:rsidR="006D72FC">
        <w:rPr>
          <w:rFonts w:ascii="Open Sans" w:hAnsi="Open Sans" w:cs="Open Sans"/>
          <w:sz w:val="22"/>
        </w:rPr>
        <w:t xml:space="preserve"> (which addresses concerns around installation and product quality and safety)</w:t>
      </w:r>
      <w:r>
        <w:rPr>
          <w:rFonts w:ascii="Open Sans" w:hAnsi="Open Sans" w:cs="Open Sans"/>
          <w:sz w:val="22"/>
        </w:rPr>
        <w:t>. It also ensures that, in lieu of legislation, chargers being installed are ‘smart’</w:t>
      </w:r>
      <w:r w:rsidR="006D72FC">
        <w:rPr>
          <w:rFonts w:ascii="Open Sans" w:hAnsi="Open Sans" w:cs="Open Sans"/>
          <w:sz w:val="22"/>
        </w:rPr>
        <w:t xml:space="preserve"> – a key element of a smart electricity system able to integrate high levels of renewable power and electric vehicle deployment. </w:t>
      </w:r>
    </w:p>
    <w:p w14:paraId="10B7D40C" w14:textId="03E57191" w:rsidR="002E3BBD" w:rsidRDefault="00262FF1" w:rsidP="00AC3480">
      <w:pPr>
        <w:pStyle w:val="TNR"/>
        <w:spacing w:line="240" w:lineRule="auto"/>
        <w:rPr>
          <w:rFonts w:ascii="Open Sans" w:hAnsi="Open Sans" w:cs="Open Sans"/>
          <w:sz w:val="22"/>
        </w:rPr>
      </w:pPr>
      <w:r>
        <w:rPr>
          <w:rFonts w:ascii="Open Sans" w:hAnsi="Open Sans" w:cs="Open Sans"/>
          <w:sz w:val="22"/>
        </w:rPr>
        <w:t>However, we are hearing reports from the market that since the reduction in the grant from £500 some installers / operators are opting to forgo the bureaucracy of the grant and install</w:t>
      </w:r>
      <w:r w:rsidR="00980B8E">
        <w:rPr>
          <w:rFonts w:ascii="Open Sans" w:hAnsi="Open Sans" w:cs="Open Sans"/>
          <w:sz w:val="22"/>
        </w:rPr>
        <w:t xml:space="preserve"> </w:t>
      </w:r>
      <w:r>
        <w:rPr>
          <w:rFonts w:ascii="Open Sans" w:hAnsi="Open Sans" w:cs="Open Sans"/>
          <w:sz w:val="22"/>
        </w:rPr>
        <w:t xml:space="preserve">lower-cost ‘non smart’ chargers for similar margins. </w:t>
      </w:r>
      <w:r w:rsidR="00945FA7">
        <w:rPr>
          <w:rFonts w:ascii="Open Sans" w:hAnsi="Open Sans" w:cs="Open Sans"/>
          <w:sz w:val="22"/>
        </w:rPr>
        <w:t xml:space="preserve">For a more detailed UK market analysis see Annex 1. </w:t>
      </w:r>
    </w:p>
    <w:p w14:paraId="6D2410B0" w14:textId="44870D77" w:rsidR="00262FF1" w:rsidRDefault="00262FF1" w:rsidP="00AC3480">
      <w:pPr>
        <w:pStyle w:val="TNR"/>
        <w:spacing w:line="240" w:lineRule="auto"/>
        <w:rPr>
          <w:rFonts w:ascii="Open Sans" w:hAnsi="Open Sans" w:cs="Open Sans"/>
          <w:sz w:val="22"/>
        </w:rPr>
      </w:pPr>
      <w:r>
        <w:rPr>
          <w:rFonts w:ascii="Open Sans" w:hAnsi="Open Sans" w:cs="Open Sans"/>
          <w:sz w:val="22"/>
        </w:rPr>
        <w:t>The REA welcomes changes made to the application for the grant in September 2020. This will significantly reduce the burden on installers and others in the market seeking to claim the grant, and will result in a more streamlined market.</w:t>
      </w:r>
    </w:p>
    <w:p w14:paraId="0C1C6766" w14:textId="796921F0" w:rsidR="00262FF1" w:rsidRDefault="00262FF1" w:rsidP="00AC3480">
      <w:pPr>
        <w:pStyle w:val="TNR"/>
        <w:spacing w:line="240" w:lineRule="auto"/>
        <w:rPr>
          <w:rFonts w:ascii="Open Sans" w:hAnsi="Open Sans" w:cs="Open Sans"/>
          <w:sz w:val="22"/>
        </w:rPr>
      </w:pPr>
      <w:r>
        <w:rPr>
          <w:rFonts w:ascii="Open Sans" w:hAnsi="Open Sans" w:cs="Open Sans"/>
          <w:sz w:val="22"/>
        </w:rPr>
        <w:t xml:space="preserve">The grant, however, is claimed up-front and remains fairly inflexible. It does not accommodate for charge points leased to customers by third-parties, such as banks, energy suppliers, and / or automotive manufacturers. This is an issue as it makes the grant less accessible to those of more limited financial means who might not have the upfront capital to pay for their home charger. </w:t>
      </w:r>
    </w:p>
    <w:p w14:paraId="5498960D" w14:textId="74F9D1B0" w:rsidR="006D72FC" w:rsidRDefault="00945FA7" w:rsidP="00AC3480">
      <w:pPr>
        <w:pStyle w:val="TNR"/>
        <w:spacing w:line="240" w:lineRule="auto"/>
        <w:rPr>
          <w:rFonts w:ascii="Open Sans" w:hAnsi="Open Sans" w:cs="Open Sans"/>
          <w:sz w:val="22"/>
        </w:rPr>
      </w:pPr>
      <w:r>
        <w:rPr>
          <w:rFonts w:ascii="Open Sans" w:hAnsi="Open Sans" w:cs="Open Sans"/>
          <w:sz w:val="22"/>
        </w:rPr>
        <w:t>Cashflow is another major issue facing charge point installers</w:t>
      </w:r>
      <w:r w:rsidR="006D72FC">
        <w:rPr>
          <w:rFonts w:ascii="Open Sans" w:hAnsi="Open Sans" w:cs="Open Sans"/>
          <w:sz w:val="22"/>
        </w:rPr>
        <w:t xml:space="preserve">, who are often commissioned for a job by a charge point manufacturer or developer. However, it is the installer who is required to claim the grant and they often must wait weeks or months before payment. This is a disincentive for installers and other parties to use the EVHS which, as mentioned above, delivers benefits to the sector. </w:t>
      </w:r>
    </w:p>
    <w:p w14:paraId="2EEE3564" w14:textId="14428917" w:rsidR="006D72FC" w:rsidRDefault="006D72FC" w:rsidP="00AC3480">
      <w:pPr>
        <w:pStyle w:val="TNR"/>
        <w:spacing w:line="240" w:lineRule="auto"/>
        <w:rPr>
          <w:rFonts w:ascii="Open Sans" w:hAnsi="Open Sans" w:cs="Open Sans"/>
          <w:sz w:val="22"/>
        </w:rPr>
      </w:pPr>
      <w:r>
        <w:rPr>
          <w:rFonts w:ascii="Open Sans" w:hAnsi="Open Sans" w:cs="Open Sans"/>
          <w:sz w:val="22"/>
        </w:rPr>
        <w:t>Finally, the grant is considered valid only following the completion of a</w:t>
      </w:r>
      <w:r w:rsidR="00980B8E">
        <w:rPr>
          <w:rFonts w:ascii="Open Sans" w:hAnsi="Open Sans" w:cs="Open Sans"/>
          <w:sz w:val="22"/>
        </w:rPr>
        <w:t>n</w:t>
      </w:r>
      <w:r>
        <w:rPr>
          <w:rFonts w:ascii="Open Sans" w:hAnsi="Open Sans" w:cs="Open Sans"/>
          <w:sz w:val="22"/>
        </w:rPr>
        <w:t xml:space="preserve"> installation. This leaves installers and others in the supply chain vulnerable to sudden changes in grant administration or funding levels. This was a particular issue in the Spring of 2020 when the grant was suddenly reduced from £500 to £350, leaving many in the sector out of pocket as jobs had been contracted but not completed and in turn required retrospective scheme changes to address the problem.  </w:t>
      </w:r>
    </w:p>
    <w:p w14:paraId="583A2E9E" w14:textId="1DFEB728" w:rsidR="00980B8E" w:rsidRDefault="006D72FC" w:rsidP="00AC3480">
      <w:pPr>
        <w:pStyle w:val="TNR"/>
        <w:spacing w:line="240" w:lineRule="auto"/>
        <w:rPr>
          <w:rFonts w:ascii="Open Sans" w:hAnsi="Open Sans" w:cs="Open Sans"/>
          <w:sz w:val="22"/>
        </w:rPr>
      </w:pPr>
      <w:r>
        <w:rPr>
          <w:rFonts w:ascii="Open Sans" w:hAnsi="Open Sans" w:cs="Open Sans"/>
          <w:sz w:val="22"/>
        </w:rPr>
        <w:t xml:space="preserve">The REA understands that </w:t>
      </w:r>
      <w:r w:rsidR="00980B8E">
        <w:rPr>
          <w:rFonts w:ascii="Open Sans" w:hAnsi="Open Sans" w:cs="Open Sans"/>
          <w:sz w:val="22"/>
        </w:rPr>
        <w:t>many EVHS</w:t>
      </w:r>
      <w:r>
        <w:rPr>
          <w:rFonts w:ascii="Open Sans" w:hAnsi="Open Sans" w:cs="Open Sans"/>
          <w:sz w:val="22"/>
        </w:rPr>
        <w:t xml:space="preserve"> procedure</w:t>
      </w:r>
      <w:r w:rsidR="00980B8E">
        <w:rPr>
          <w:rFonts w:ascii="Open Sans" w:hAnsi="Open Sans" w:cs="Open Sans"/>
          <w:sz w:val="22"/>
        </w:rPr>
        <w:t>s</w:t>
      </w:r>
      <w:r>
        <w:rPr>
          <w:rFonts w:ascii="Open Sans" w:hAnsi="Open Sans" w:cs="Open Sans"/>
          <w:sz w:val="22"/>
        </w:rPr>
        <w:t xml:space="preserve"> were developed in the early days of the grant when concerns about mis-use of public funds by an emerging sector were prevalent. The REA argues that following nearly a decade of growth and refinement in the domestic EV charging installation sector, such concerns are now less warranted and the scheme should be changed to reflect maturation in the market. </w:t>
      </w:r>
    </w:p>
    <w:p w14:paraId="4FC534F3" w14:textId="5B8D29B0" w:rsidR="00133E62" w:rsidRDefault="00133E62" w:rsidP="00AC3480">
      <w:pPr>
        <w:pStyle w:val="TNR"/>
        <w:spacing w:line="240" w:lineRule="auto"/>
        <w:rPr>
          <w:rFonts w:ascii="Open Sans" w:hAnsi="Open Sans" w:cs="Open Sans"/>
          <w:sz w:val="22"/>
        </w:rPr>
      </w:pPr>
    </w:p>
    <w:p w14:paraId="518535DB" w14:textId="7E6FE221" w:rsidR="00133E62" w:rsidRDefault="00133E62" w:rsidP="00AC3480">
      <w:pPr>
        <w:pStyle w:val="TNR"/>
        <w:spacing w:line="240" w:lineRule="auto"/>
        <w:rPr>
          <w:rFonts w:ascii="Open Sans" w:hAnsi="Open Sans" w:cs="Open Sans"/>
          <w:sz w:val="22"/>
        </w:rPr>
      </w:pPr>
    </w:p>
    <w:p w14:paraId="25430872" w14:textId="17A7CC04" w:rsidR="00133E62" w:rsidRDefault="00133E62" w:rsidP="00AC3480">
      <w:pPr>
        <w:pStyle w:val="TNR"/>
        <w:spacing w:line="240" w:lineRule="auto"/>
        <w:rPr>
          <w:rFonts w:ascii="Open Sans" w:hAnsi="Open Sans" w:cs="Open Sans"/>
          <w:sz w:val="22"/>
        </w:rPr>
      </w:pPr>
    </w:p>
    <w:p w14:paraId="1B4A7DB0" w14:textId="77777777" w:rsidR="00133E62" w:rsidRPr="00133E62" w:rsidRDefault="00133E62" w:rsidP="00AC3480">
      <w:pPr>
        <w:pStyle w:val="TNR"/>
        <w:spacing w:line="240" w:lineRule="auto"/>
        <w:rPr>
          <w:rFonts w:ascii="Open Sans" w:hAnsi="Open Sans" w:cs="Open Sans"/>
          <w:sz w:val="22"/>
        </w:rPr>
      </w:pPr>
    </w:p>
    <w:p w14:paraId="728CCD65" w14:textId="57EA7292" w:rsidR="00262FF1" w:rsidRDefault="00262FF1" w:rsidP="00AC3480">
      <w:pPr>
        <w:pStyle w:val="TNR"/>
        <w:spacing w:line="240" w:lineRule="auto"/>
        <w:rPr>
          <w:rFonts w:ascii="Open Sans" w:hAnsi="Open Sans" w:cs="Open Sans"/>
          <w:b/>
          <w:bCs/>
          <w:sz w:val="22"/>
        </w:rPr>
      </w:pPr>
      <w:r>
        <w:rPr>
          <w:rFonts w:ascii="Open Sans" w:hAnsi="Open Sans" w:cs="Open Sans"/>
          <w:b/>
          <w:bCs/>
          <w:sz w:val="22"/>
        </w:rPr>
        <w:lastRenderedPageBreak/>
        <w:t>Requests</w:t>
      </w:r>
    </w:p>
    <w:p w14:paraId="6C406CF2" w14:textId="42127487" w:rsidR="005B6E70" w:rsidRDefault="005B6E70" w:rsidP="00AC3480">
      <w:pPr>
        <w:pStyle w:val="TNR"/>
        <w:spacing w:line="240" w:lineRule="auto"/>
        <w:rPr>
          <w:rFonts w:ascii="Open Sans" w:hAnsi="Open Sans" w:cs="Open Sans"/>
          <w:sz w:val="22"/>
        </w:rPr>
      </w:pPr>
      <w:r w:rsidRPr="005B6E70">
        <w:rPr>
          <w:rFonts w:ascii="Open Sans" w:hAnsi="Open Sans" w:cs="Open Sans"/>
          <w:sz w:val="22"/>
        </w:rPr>
        <w:t xml:space="preserve">The REA </w:t>
      </w:r>
      <w:r>
        <w:rPr>
          <w:rFonts w:ascii="Open Sans" w:hAnsi="Open Sans" w:cs="Open Sans"/>
          <w:sz w:val="22"/>
        </w:rPr>
        <w:t>requests the continuation of the EV Homecharge Scheme to 2025 at current rates but with an amended procedure.</w:t>
      </w:r>
      <w:r w:rsidR="00945FA7">
        <w:rPr>
          <w:rFonts w:ascii="Open Sans" w:hAnsi="Open Sans" w:cs="Open Sans"/>
          <w:sz w:val="22"/>
        </w:rPr>
        <w:t xml:space="preserve"> The amended procedure should accommodate the following:</w:t>
      </w:r>
    </w:p>
    <w:p w14:paraId="590D3CC7" w14:textId="1AB9FC87" w:rsidR="00945FA7" w:rsidRDefault="00945FA7" w:rsidP="00945FA7">
      <w:pPr>
        <w:pStyle w:val="TNR"/>
        <w:numPr>
          <w:ilvl w:val="0"/>
          <w:numId w:val="16"/>
        </w:numPr>
        <w:spacing w:line="240" w:lineRule="auto"/>
        <w:rPr>
          <w:rFonts w:ascii="Open Sans" w:hAnsi="Open Sans" w:cs="Open Sans"/>
          <w:sz w:val="22"/>
        </w:rPr>
      </w:pPr>
      <w:r>
        <w:rPr>
          <w:rFonts w:ascii="Open Sans" w:hAnsi="Open Sans" w:cs="Open Sans"/>
          <w:sz w:val="22"/>
        </w:rPr>
        <w:t>The leasing of charge points installed under the EV Homecharge Scheme. Banks, energy suppliers, automotive manufacturers and automotive leasing companies</w:t>
      </w:r>
      <w:r w:rsidR="00980B8E">
        <w:rPr>
          <w:rFonts w:ascii="Open Sans" w:hAnsi="Open Sans" w:cs="Open Sans"/>
          <w:sz w:val="22"/>
        </w:rPr>
        <w:t>,</w:t>
      </w:r>
      <w:r>
        <w:rPr>
          <w:rFonts w:ascii="Open Sans" w:hAnsi="Open Sans" w:cs="Open Sans"/>
          <w:sz w:val="22"/>
        </w:rPr>
        <w:t xml:space="preserve"> in particular</w:t>
      </w:r>
      <w:r w:rsidR="00980B8E">
        <w:rPr>
          <w:rFonts w:ascii="Open Sans" w:hAnsi="Open Sans" w:cs="Open Sans"/>
          <w:sz w:val="22"/>
        </w:rPr>
        <w:t>,</w:t>
      </w:r>
      <w:r>
        <w:rPr>
          <w:rFonts w:ascii="Open Sans" w:hAnsi="Open Sans" w:cs="Open Sans"/>
          <w:sz w:val="22"/>
        </w:rPr>
        <w:t xml:space="preserve"> should be able to bundle a leased charge point into the overall lease of a vehicle or package of smart home energy technologies (e.g. solar PV or thermal, electricity or heat storage, and heat pumps). </w:t>
      </w:r>
    </w:p>
    <w:p w14:paraId="6C19871B" w14:textId="776C4635" w:rsidR="00133E62" w:rsidRPr="00133E62" w:rsidRDefault="00133E62" w:rsidP="00133E62">
      <w:pPr>
        <w:pStyle w:val="ListParagraph"/>
        <w:numPr>
          <w:ilvl w:val="0"/>
          <w:numId w:val="16"/>
        </w:numPr>
        <w:spacing w:line="240" w:lineRule="auto"/>
        <w:rPr>
          <w:rFonts w:ascii="Open Sans" w:eastAsiaTheme="minorEastAsia" w:hAnsi="Open Sans" w:cs="Open Sans"/>
          <w:lang w:eastAsia="ja-JP"/>
        </w:rPr>
      </w:pPr>
      <w:r w:rsidRPr="00A212B1">
        <w:rPr>
          <w:rFonts w:ascii="Open Sans" w:eastAsiaTheme="minorEastAsia" w:hAnsi="Open Sans" w:cs="Open Sans"/>
          <w:lang w:eastAsia="ja-JP"/>
        </w:rPr>
        <w:t>To encourage the growth of the service-based mark</w:t>
      </w:r>
      <w:r w:rsidRPr="00133E62">
        <w:rPr>
          <w:rFonts w:ascii="Open Sans" w:eastAsiaTheme="minorEastAsia" w:hAnsi="Open Sans" w:cs="Open Sans"/>
          <w:lang w:eastAsia="ja-JP"/>
        </w:rPr>
        <w:t xml:space="preserve">ets, decrease the minimum period that an EV must be leased to gain access to the EVHS grant scheme from 6 months to 2 months. This will raise awareness of the benefits of having an EV, develop private EV infrastructure, and encourage the market for the leasing of EVs. </w:t>
      </w:r>
    </w:p>
    <w:p w14:paraId="48526B8B" w14:textId="6A411D39" w:rsidR="00945FA7" w:rsidRDefault="00945FA7" w:rsidP="00945FA7">
      <w:pPr>
        <w:pStyle w:val="TNR"/>
        <w:numPr>
          <w:ilvl w:val="0"/>
          <w:numId w:val="16"/>
        </w:numPr>
        <w:spacing w:line="240" w:lineRule="auto"/>
        <w:rPr>
          <w:rFonts w:ascii="Open Sans" w:hAnsi="Open Sans" w:cs="Open Sans"/>
          <w:sz w:val="22"/>
        </w:rPr>
      </w:pPr>
      <w:r>
        <w:rPr>
          <w:rFonts w:ascii="Open Sans" w:hAnsi="Open Sans" w:cs="Open Sans"/>
          <w:sz w:val="22"/>
        </w:rPr>
        <w:t xml:space="preserve">The amended EVHS should address the issue </w:t>
      </w:r>
      <w:r w:rsidR="006D72FC">
        <w:rPr>
          <w:rFonts w:ascii="Open Sans" w:hAnsi="Open Sans" w:cs="Open Sans"/>
          <w:sz w:val="22"/>
        </w:rPr>
        <w:t xml:space="preserve">of payments being required only following an installation. We request that the scheme is transitioned to being voucher-based, akin to the Workplace Charging Scheme. </w:t>
      </w:r>
    </w:p>
    <w:p w14:paraId="26624919" w14:textId="657D1D3F" w:rsidR="006D72FC" w:rsidRPr="00945FA7" w:rsidRDefault="006D72FC" w:rsidP="006D72FC">
      <w:pPr>
        <w:pStyle w:val="TNR"/>
        <w:spacing w:line="240" w:lineRule="auto"/>
        <w:rPr>
          <w:rFonts w:ascii="Open Sans" w:hAnsi="Open Sans" w:cs="Open Sans"/>
          <w:sz w:val="22"/>
        </w:rPr>
      </w:pPr>
      <w:r>
        <w:rPr>
          <w:rFonts w:ascii="Open Sans" w:hAnsi="Open Sans" w:cs="Open Sans"/>
          <w:sz w:val="22"/>
        </w:rPr>
        <w:t>Finally, the REA requests greater funding to the team administering the scheme so that applications can be processed at greater speed.</w:t>
      </w:r>
    </w:p>
    <w:p w14:paraId="79F30852" w14:textId="3464B817" w:rsidR="00262FF1" w:rsidRDefault="005B6E70" w:rsidP="00AC3480">
      <w:pPr>
        <w:pStyle w:val="TNR"/>
        <w:spacing w:line="240" w:lineRule="auto"/>
        <w:rPr>
          <w:rFonts w:ascii="Open Sans" w:hAnsi="Open Sans" w:cs="Open Sans"/>
          <w:sz w:val="22"/>
        </w:rPr>
      </w:pPr>
      <w:r>
        <w:rPr>
          <w:rFonts w:ascii="Open Sans" w:hAnsi="Open Sans" w:cs="Open Sans"/>
          <w:sz w:val="22"/>
        </w:rPr>
        <w:t xml:space="preserve">If an alternative to the grant is being considered by Government, we would request that they investigate tax rebate schemes akin to those used in Belgium, Italy, and France. </w:t>
      </w:r>
      <w:r w:rsidR="006D72FC">
        <w:rPr>
          <w:rFonts w:ascii="Open Sans" w:hAnsi="Open Sans" w:cs="Open Sans"/>
          <w:sz w:val="22"/>
        </w:rPr>
        <w:t xml:space="preserve">This is our preferred alternative option. </w:t>
      </w:r>
      <w:r w:rsidR="00945FA7">
        <w:rPr>
          <w:rFonts w:ascii="Open Sans" w:hAnsi="Open Sans" w:cs="Open Sans"/>
          <w:sz w:val="22"/>
        </w:rPr>
        <w:t xml:space="preserve">International market research on how other European countries approach supporting the installation of charging infrastructure can be found in Annex 2. </w:t>
      </w:r>
    </w:p>
    <w:p w14:paraId="59F1836F" w14:textId="7614AF4A" w:rsidR="00262FF1" w:rsidRDefault="004A4510" w:rsidP="00AC3480">
      <w:pPr>
        <w:pStyle w:val="TNR"/>
        <w:spacing w:line="240" w:lineRule="auto"/>
        <w:rPr>
          <w:rFonts w:ascii="Open Sans" w:hAnsi="Open Sans" w:cs="Open Sans"/>
          <w:b/>
          <w:bCs/>
          <w:sz w:val="22"/>
        </w:rPr>
      </w:pPr>
      <w:r w:rsidRPr="004A4510">
        <w:rPr>
          <w:rFonts w:ascii="Open Sans" w:hAnsi="Open Sans" w:cs="Open Sans"/>
          <w:b/>
          <w:bCs/>
          <w:sz w:val="22"/>
        </w:rPr>
        <w:t>Note on apartment blocks</w:t>
      </w:r>
    </w:p>
    <w:p w14:paraId="1295AA63" w14:textId="2A93F8F4" w:rsidR="004A4510" w:rsidRDefault="004A4510" w:rsidP="00AC3480">
      <w:pPr>
        <w:pStyle w:val="TNR"/>
        <w:spacing w:line="240" w:lineRule="auto"/>
        <w:rPr>
          <w:rFonts w:ascii="Open Sans" w:hAnsi="Open Sans" w:cs="Open Sans"/>
          <w:sz w:val="22"/>
        </w:rPr>
      </w:pPr>
      <w:r>
        <w:rPr>
          <w:rFonts w:ascii="Open Sans" w:hAnsi="Open Sans" w:cs="Open Sans"/>
          <w:sz w:val="22"/>
        </w:rPr>
        <w:t>The REA would like to note that there is currently no targeted support for EV drivers living in apartment blocks. This is a major issue as the existing EVHS focuses on those with private off-street parking is likely supporting those who are able to afford to live in such properties. Lower-income individuals with communal parking cannot benefit from the EVHS under its current form.</w:t>
      </w:r>
    </w:p>
    <w:p w14:paraId="191723A4" w14:textId="17FE1509" w:rsidR="004A4510" w:rsidRPr="004A4510" w:rsidRDefault="004A4510" w:rsidP="00AC3480">
      <w:pPr>
        <w:pStyle w:val="TNR"/>
        <w:spacing w:line="240" w:lineRule="auto"/>
        <w:rPr>
          <w:rFonts w:ascii="Open Sans" w:hAnsi="Open Sans" w:cs="Open Sans"/>
          <w:sz w:val="22"/>
        </w:rPr>
      </w:pPr>
      <w:r>
        <w:rPr>
          <w:rFonts w:ascii="Open Sans" w:hAnsi="Open Sans" w:cs="Open Sans"/>
          <w:sz w:val="22"/>
        </w:rPr>
        <w:t xml:space="preserve">The REA requests a targeted scheme (either a grant or tax break) that supports prospective drivers living in such accommodation. </w:t>
      </w:r>
    </w:p>
    <w:p w14:paraId="1E3BC581" w14:textId="13C48050" w:rsidR="004A4510" w:rsidRDefault="004A4510" w:rsidP="006D72FC">
      <w:pPr>
        <w:pStyle w:val="TNR"/>
        <w:spacing w:line="240" w:lineRule="auto"/>
        <w:rPr>
          <w:rFonts w:ascii="Open Sans" w:hAnsi="Open Sans" w:cs="Open Sans"/>
          <w:b/>
          <w:bCs/>
          <w:color w:val="06926B"/>
          <w:sz w:val="28"/>
          <w:szCs w:val="28"/>
        </w:rPr>
      </w:pPr>
    </w:p>
    <w:p w14:paraId="747B3974" w14:textId="3658006A" w:rsidR="00133E62" w:rsidRDefault="00133E62" w:rsidP="006D72FC">
      <w:pPr>
        <w:pStyle w:val="TNR"/>
        <w:spacing w:line="240" w:lineRule="auto"/>
        <w:rPr>
          <w:rFonts w:ascii="Open Sans" w:hAnsi="Open Sans" w:cs="Open Sans"/>
          <w:b/>
          <w:bCs/>
          <w:color w:val="06926B"/>
          <w:sz w:val="28"/>
          <w:szCs w:val="28"/>
        </w:rPr>
      </w:pPr>
    </w:p>
    <w:p w14:paraId="6914C449" w14:textId="5CBB264B" w:rsidR="00133E62" w:rsidRDefault="00133E62" w:rsidP="006D72FC">
      <w:pPr>
        <w:pStyle w:val="TNR"/>
        <w:spacing w:line="240" w:lineRule="auto"/>
        <w:rPr>
          <w:rFonts w:ascii="Open Sans" w:hAnsi="Open Sans" w:cs="Open Sans"/>
          <w:b/>
          <w:bCs/>
          <w:color w:val="06926B"/>
          <w:sz w:val="28"/>
          <w:szCs w:val="28"/>
        </w:rPr>
      </w:pPr>
    </w:p>
    <w:p w14:paraId="12B8FC2B" w14:textId="5DAEA6D5" w:rsidR="00133E62" w:rsidRDefault="00133E62" w:rsidP="006D72FC">
      <w:pPr>
        <w:pStyle w:val="TNR"/>
        <w:spacing w:line="240" w:lineRule="auto"/>
        <w:rPr>
          <w:rFonts w:ascii="Open Sans" w:hAnsi="Open Sans" w:cs="Open Sans"/>
          <w:b/>
          <w:bCs/>
          <w:color w:val="06926B"/>
          <w:sz w:val="28"/>
          <w:szCs w:val="28"/>
        </w:rPr>
      </w:pPr>
    </w:p>
    <w:p w14:paraId="10430F7A" w14:textId="77B5637B" w:rsidR="00133E62" w:rsidRDefault="00133E62" w:rsidP="006D72FC">
      <w:pPr>
        <w:pStyle w:val="TNR"/>
        <w:spacing w:line="240" w:lineRule="auto"/>
        <w:rPr>
          <w:rFonts w:ascii="Open Sans" w:hAnsi="Open Sans" w:cs="Open Sans"/>
          <w:b/>
          <w:bCs/>
          <w:color w:val="06926B"/>
          <w:sz w:val="28"/>
          <w:szCs w:val="28"/>
        </w:rPr>
      </w:pPr>
    </w:p>
    <w:p w14:paraId="3D2A7BA9" w14:textId="77777777" w:rsidR="00133E62" w:rsidRDefault="00133E62" w:rsidP="006D72FC">
      <w:pPr>
        <w:pStyle w:val="TNR"/>
        <w:spacing w:line="240" w:lineRule="auto"/>
        <w:rPr>
          <w:rFonts w:ascii="Open Sans" w:hAnsi="Open Sans" w:cs="Open Sans"/>
          <w:b/>
          <w:bCs/>
          <w:color w:val="06926B"/>
          <w:sz w:val="28"/>
          <w:szCs w:val="28"/>
        </w:rPr>
      </w:pPr>
    </w:p>
    <w:p w14:paraId="0DF358A6" w14:textId="34E64825" w:rsidR="006D72FC" w:rsidRPr="00B01437" w:rsidRDefault="004A4510" w:rsidP="006D72FC">
      <w:pPr>
        <w:pStyle w:val="TNR"/>
        <w:spacing w:line="240" w:lineRule="auto"/>
        <w:rPr>
          <w:rFonts w:ascii="Open Sans" w:hAnsi="Open Sans" w:cs="Open Sans"/>
          <w:b/>
          <w:bCs/>
          <w:color w:val="06926B"/>
          <w:sz w:val="28"/>
          <w:szCs w:val="28"/>
        </w:rPr>
      </w:pPr>
      <w:r>
        <w:rPr>
          <w:rFonts w:ascii="Open Sans" w:hAnsi="Open Sans" w:cs="Open Sans"/>
          <w:b/>
          <w:bCs/>
          <w:color w:val="06926B"/>
          <w:sz w:val="28"/>
          <w:szCs w:val="28"/>
        </w:rPr>
        <w:lastRenderedPageBreak/>
        <w:t xml:space="preserve">Workplace Charging Scheme </w:t>
      </w:r>
      <w:r w:rsidR="006D72FC">
        <w:rPr>
          <w:rFonts w:ascii="Open Sans" w:hAnsi="Open Sans" w:cs="Open Sans"/>
          <w:b/>
          <w:bCs/>
          <w:color w:val="06926B"/>
          <w:sz w:val="28"/>
          <w:szCs w:val="28"/>
        </w:rPr>
        <w:t xml:space="preserve"> </w:t>
      </w:r>
    </w:p>
    <w:p w14:paraId="08CD5A4A" w14:textId="77777777" w:rsidR="004A4510" w:rsidRPr="00262FF1" w:rsidRDefault="004A4510" w:rsidP="004A4510">
      <w:pPr>
        <w:pStyle w:val="TNR"/>
        <w:spacing w:line="240" w:lineRule="auto"/>
        <w:rPr>
          <w:rFonts w:ascii="Open Sans" w:hAnsi="Open Sans" w:cs="Open Sans"/>
          <w:b/>
          <w:bCs/>
          <w:sz w:val="22"/>
        </w:rPr>
      </w:pPr>
      <w:r>
        <w:rPr>
          <w:rFonts w:ascii="Open Sans" w:hAnsi="Open Sans" w:cs="Open Sans"/>
          <w:b/>
          <w:bCs/>
          <w:sz w:val="22"/>
        </w:rPr>
        <w:t>Background and issues</w:t>
      </w:r>
    </w:p>
    <w:p w14:paraId="24CDDD98" w14:textId="0D227D31" w:rsidR="00DA67F2" w:rsidRDefault="00DA67F2" w:rsidP="00AC3480">
      <w:pPr>
        <w:pStyle w:val="TNR"/>
        <w:spacing w:line="240" w:lineRule="auto"/>
        <w:rPr>
          <w:rFonts w:ascii="Open Sans" w:hAnsi="Open Sans" w:cs="Open Sans"/>
          <w:sz w:val="22"/>
        </w:rPr>
      </w:pPr>
      <w:r>
        <w:rPr>
          <w:rFonts w:ascii="Open Sans" w:hAnsi="Open Sans" w:cs="Open Sans"/>
          <w:sz w:val="22"/>
        </w:rPr>
        <w:t>The REA is supportive of the Workplace Charging Scheme and sees the role of employers encouraging their staff to go electric as essential. The WCS dovetails with other Government policy to support employers going electric, including the significant reduction in Benefit in Kind rate for electric cars. Overall, members report higher satisfaction with the processes and administration of the WCS compared to the EVHS.</w:t>
      </w:r>
    </w:p>
    <w:p w14:paraId="27850EC8" w14:textId="17FED0A0" w:rsidR="004A4510" w:rsidRDefault="00DA67F2" w:rsidP="00AC3480">
      <w:pPr>
        <w:pStyle w:val="TNR"/>
        <w:spacing w:line="240" w:lineRule="auto"/>
        <w:rPr>
          <w:rFonts w:ascii="Open Sans" w:hAnsi="Open Sans" w:cs="Open Sans"/>
          <w:sz w:val="22"/>
        </w:rPr>
      </w:pPr>
      <w:r>
        <w:rPr>
          <w:rFonts w:ascii="Open Sans" w:hAnsi="Open Sans" w:cs="Open Sans"/>
          <w:sz w:val="22"/>
        </w:rPr>
        <w:t xml:space="preserve">The scheme, however, limits the use of chargers supported under the WCS to the staff of an employer. The REA sees this as limiting and counterproductive. The REA understands that this limitation is linked to concerns around state aid and EU rules. </w:t>
      </w:r>
    </w:p>
    <w:p w14:paraId="08776F85" w14:textId="07D84DEF" w:rsidR="004A4510" w:rsidRPr="004A4510" w:rsidRDefault="004A4510" w:rsidP="00AC3480">
      <w:pPr>
        <w:pStyle w:val="TNR"/>
        <w:spacing w:line="240" w:lineRule="auto"/>
        <w:rPr>
          <w:rFonts w:ascii="Open Sans" w:hAnsi="Open Sans" w:cs="Open Sans"/>
          <w:b/>
          <w:bCs/>
          <w:sz w:val="22"/>
        </w:rPr>
      </w:pPr>
      <w:r w:rsidRPr="004A4510">
        <w:rPr>
          <w:rFonts w:ascii="Open Sans" w:hAnsi="Open Sans" w:cs="Open Sans"/>
          <w:b/>
          <w:bCs/>
          <w:sz w:val="22"/>
        </w:rPr>
        <w:t>Request</w:t>
      </w:r>
    </w:p>
    <w:p w14:paraId="1B3B9B9A" w14:textId="5C817822" w:rsidR="004A4510" w:rsidRDefault="00DA67F2" w:rsidP="00AC3480">
      <w:pPr>
        <w:pStyle w:val="TNR"/>
        <w:spacing w:line="240" w:lineRule="auto"/>
        <w:rPr>
          <w:rFonts w:ascii="Open Sans" w:hAnsi="Open Sans" w:cs="Open Sans"/>
          <w:sz w:val="22"/>
        </w:rPr>
      </w:pPr>
      <w:r>
        <w:rPr>
          <w:rFonts w:ascii="Open Sans" w:hAnsi="Open Sans" w:cs="Open Sans"/>
          <w:sz w:val="22"/>
        </w:rPr>
        <w:t>The REA requests the continuation of the WCS at current levels to 2025, following which a transition to a tax-based incentive scheme.</w:t>
      </w:r>
    </w:p>
    <w:p w14:paraId="4BB2BCAC" w14:textId="0DB6031F" w:rsidR="00DA67F2" w:rsidRDefault="00D16FF3" w:rsidP="00AC3480">
      <w:pPr>
        <w:pStyle w:val="TNR"/>
        <w:spacing w:line="240" w:lineRule="auto"/>
        <w:rPr>
          <w:rFonts w:ascii="Open Sans" w:hAnsi="Open Sans" w:cs="Open Sans"/>
          <w:sz w:val="22"/>
        </w:rPr>
      </w:pPr>
      <w:r>
        <w:rPr>
          <w:rFonts w:ascii="Open Sans" w:hAnsi="Open Sans" w:cs="Open Sans"/>
          <w:sz w:val="22"/>
        </w:rPr>
        <w:t>Particularly f</w:t>
      </w:r>
      <w:r w:rsidR="00DA67F2">
        <w:rPr>
          <w:rFonts w:ascii="Open Sans" w:hAnsi="Open Sans" w:cs="Open Sans"/>
          <w:sz w:val="22"/>
        </w:rPr>
        <w:t>ollowing the UK’s departure from the EU, the REA requests that the terms and conditions of the WCS be amended to allow:</w:t>
      </w:r>
    </w:p>
    <w:p w14:paraId="29CFF9CE" w14:textId="06FA0218" w:rsidR="00DA67F2" w:rsidRDefault="00DA67F2" w:rsidP="00DA67F2">
      <w:pPr>
        <w:pStyle w:val="TNR"/>
        <w:numPr>
          <w:ilvl w:val="0"/>
          <w:numId w:val="17"/>
        </w:numPr>
        <w:spacing w:line="240" w:lineRule="auto"/>
        <w:rPr>
          <w:rFonts w:ascii="Open Sans" w:hAnsi="Open Sans" w:cs="Open Sans"/>
          <w:sz w:val="22"/>
        </w:rPr>
      </w:pPr>
      <w:r>
        <w:rPr>
          <w:rFonts w:ascii="Open Sans" w:hAnsi="Open Sans" w:cs="Open Sans"/>
          <w:sz w:val="22"/>
        </w:rPr>
        <w:t xml:space="preserve">For the leasing of </w:t>
      </w:r>
      <w:r w:rsidR="00D16FF3">
        <w:rPr>
          <w:rFonts w:ascii="Open Sans" w:hAnsi="Open Sans" w:cs="Open Sans"/>
          <w:sz w:val="22"/>
        </w:rPr>
        <w:t>chargers supported by the WCS, which would particularly support smaller businesses</w:t>
      </w:r>
    </w:p>
    <w:p w14:paraId="402EFEC7" w14:textId="5CDDC512" w:rsidR="00D16FF3" w:rsidRDefault="00D16FF3" w:rsidP="00DA67F2">
      <w:pPr>
        <w:pStyle w:val="TNR"/>
        <w:numPr>
          <w:ilvl w:val="0"/>
          <w:numId w:val="17"/>
        </w:numPr>
        <w:spacing w:line="240" w:lineRule="auto"/>
        <w:rPr>
          <w:rFonts w:ascii="Open Sans" w:hAnsi="Open Sans" w:cs="Open Sans"/>
          <w:sz w:val="22"/>
        </w:rPr>
      </w:pPr>
      <w:r>
        <w:rPr>
          <w:rFonts w:ascii="Open Sans" w:hAnsi="Open Sans" w:cs="Open Sans"/>
          <w:sz w:val="22"/>
        </w:rPr>
        <w:t xml:space="preserve">For the WCS to allow for greater flexibility in the use of chargers, particularly by non-staff of the organisation participating in the scheme. </w:t>
      </w:r>
    </w:p>
    <w:p w14:paraId="18CC4D52" w14:textId="4C4826D1" w:rsidR="00DA67F2" w:rsidRDefault="00DA67F2" w:rsidP="00AC3480">
      <w:pPr>
        <w:pStyle w:val="TNR"/>
        <w:spacing w:line="240" w:lineRule="auto"/>
        <w:rPr>
          <w:rFonts w:ascii="Open Sans" w:hAnsi="Open Sans" w:cs="Open Sans"/>
          <w:sz w:val="22"/>
        </w:rPr>
      </w:pPr>
    </w:p>
    <w:p w14:paraId="0705F6FF" w14:textId="0AE14AAA" w:rsidR="00133E62" w:rsidRDefault="00133E62" w:rsidP="00AC3480">
      <w:pPr>
        <w:pStyle w:val="TNR"/>
        <w:spacing w:line="240" w:lineRule="auto"/>
        <w:rPr>
          <w:rFonts w:ascii="Open Sans" w:hAnsi="Open Sans" w:cs="Open Sans"/>
          <w:sz w:val="22"/>
        </w:rPr>
      </w:pPr>
    </w:p>
    <w:p w14:paraId="7FFA0DCE" w14:textId="36F0A4ED" w:rsidR="00133E62" w:rsidRDefault="00133E62" w:rsidP="00AC3480">
      <w:pPr>
        <w:pStyle w:val="TNR"/>
        <w:spacing w:line="240" w:lineRule="auto"/>
        <w:rPr>
          <w:rFonts w:ascii="Open Sans" w:hAnsi="Open Sans" w:cs="Open Sans"/>
          <w:sz w:val="22"/>
        </w:rPr>
      </w:pPr>
    </w:p>
    <w:p w14:paraId="48F3F323" w14:textId="51C353CA" w:rsidR="00133E62" w:rsidRDefault="00133E62" w:rsidP="00AC3480">
      <w:pPr>
        <w:pStyle w:val="TNR"/>
        <w:spacing w:line="240" w:lineRule="auto"/>
        <w:rPr>
          <w:rFonts w:ascii="Open Sans" w:hAnsi="Open Sans" w:cs="Open Sans"/>
          <w:sz w:val="22"/>
        </w:rPr>
      </w:pPr>
    </w:p>
    <w:p w14:paraId="4D725090" w14:textId="35897888" w:rsidR="00133E62" w:rsidRDefault="00133E62" w:rsidP="00AC3480">
      <w:pPr>
        <w:pStyle w:val="TNR"/>
        <w:spacing w:line="240" w:lineRule="auto"/>
        <w:rPr>
          <w:rFonts w:ascii="Open Sans" w:hAnsi="Open Sans" w:cs="Open Sans"/>
          <w:sz w:val="22"/>
        </w:rPr>
      </w:pPr>
    </w:p>
    <w:p w14:paraId="75E1D989" w14:textId="74635EB1" w:rsidR="00133E62" w:rsidRDefault="00133E62" w:rsidP="00AC3480">
      <w:pPr>
        <w:pStyle w:val="TNR"/>
        <w:spacing w:line="240" w:lineRule="auto"/>
        <w:rPr>
          <w:rFonts w:ascii="Open Sans" w:hAnsi="Open Sans" w:cs="Open Sans"/>
          <w:sz w:val="22"/>
        </w:rPr>
      </w:pPr>
    </w:p>
    <w:p w14:paraId="2334AB4E" w14:textId="369CA4AE" w:rsidR="00133E62" w:rsidRDefault="00133E62" w:rsidP="00AC3480">
      <w:pPr>
        <w:pStyle w:val="TNR"/>
        <w:spacing w:line="240" w:lineRule="auto"/>
        <w:rPr>
          <w:rFonts w:ascii="Open Sans" w:hAnsi="Open Sans" w:cs="Open Sans"/>
          <w:sz w:val="22"/>
        </w:rPr>
      </w:pPr>
    </w:p>
    <w:p w14:paraId="32667CC8" w14:textId="20CDC8C5" w:rsidR="00133E62" w:rsidRDefault="00133E62" w:rsidP="00AC3480">
      <w:pPr>
        <w:pStyle w:val="TNR"/>
        <w:spacing w:line="240" w:lineRule="auto"/>
        <w:rPr>
          <w:rFonts w:ascii="Open Sans" w:hAnsi="Open Sans" w:cs="Open Sans"/>
          <w:sz w:val="22"/>
        </w:rPr>
      </w:pPr>
    </w:p>
    <w:p w14:paraId="119BE551" w14:textId="24B90D4C" w:rsidR="00133E62" w:rsidRDefault="00133E62" w:rsidP="00AC3480">
      <w:pPr>
        <w:pStyle w:val="TNR"/>
        <w:spacing w:line="240" w:lineRule="auto"/>
        <w:rPr>
          <w:rFonts w:ascii="Open Sans" w:hAnsi="Open Sans" w:cs="Open Sans"/>
          <w:sz w:val="22"/>
        </w:rPr>
      </w:pPr>
    </w:p>
    <w:p w14:paraId="6A3FF147" w14:textId="32181460" w:rsidR="00133E62" w:rsidRDefault="00133E62" w:rsidP="00AC3480">
      <w:pPr>
        <w:pStyle w:val="TNR"/>
        <w:spacing w:line="240" w:lineRule="auto"/>
        <w:rPr>
          <w:rFonts w:ascii="Open Sans" w:hAnsi="Open Sans" w:cs="Open Sans"/>
          <w:sz w:val="22"/>
        </w:rPr>
      </w:pPr>
    </w:p>
    <w:p w14:paraId="60D269B6" w14:textId="032E45DC" w:rsidR="00133E62" w:rsidRDefault="00133E62" w:rsidP="00AC3480">
      <w:pPr>
        <w:pStyle w:val="TNR"/>
        <w:spacing w:line="240" w:lineRule="auto"/>
        <w:rPr>
          <w:rFonts w:ascii="Open Sans" w:hAnsi="Open Sans" w:cs="Open Sans"/>
          <w:sz w:val="22"/>
        </w:rPr>
      </w:pPr>
    </w:p>
    <w:p w14:paraId="213ABB20" w14:textId="652988ED" w:rsidR="00133E62" w:rsidRDefault="00133E62" w:rsidP="00AC3480">
      <w:pPr>
        <w:pStyle w:val="TNR"/>
        <w:spacing w:line="240" w:lineRule="auto"/>
        <w:rPr>
          <w:rFonts w:ascii="Open Sans" w:hAnsi="Open Sans" w:cs="Open Sans"/>
          <w:sz w:val="22"/>
        </w:rPr>
      </w:pPr>
    </w:p>
    <w:p w14:paraId="0576D5D3" w14:textId="3AF5BE71" w:rsidR="00133E62" w:rsidRDefault="00133E62" w:rsidP="00AC3480">
      <w:pPr>
        <w:pStyle w:val="TNR"/>
        <w:spacing w:line="240" w:lineRule="auto"/>
        <w:rPr>
          <w:rFonts w:ascii="Open Sans" w:hAnsi="Open Sans" w:cs="Open Sans"/>
          <w:sz w:val="22"/>
        </w:rPr>
      </w:pPr>
    </w:p>
    <w:p w14:paraId="0097D723" w14:textId="5C250446" w:rsidR="00133E62" w:rsidRDefault="00133E62" w:rsidP="00AC3480">
      <w:pPr>
        <w:pStyle w:val="TNR"/>
        <w:spacing w:line="240" w:lineRule="auto"/>
        <w:rPr>
          <w:rFonts w:ascii="Open Sans" w:hAnsi="Open Sans" w:cs="Open Sans"/>
          <w:sz w:val="22"/>
        </w:rPr>
      </w:pPr>
    </w:p>
    <w:p w14:paraId="39D649A4" w14:textId="77777777" w:rsidR="00133E62" w:rsidRDefault="00133E62" w:rsidP="00AC3480">
      <w:pPr>
        <w:pStyle w:val="TNR"/>
        <w:spacing w:line="240" w:lineRule="auto"/>
        <w:rPr>
          <w:rFonts w:ascii="Open Sans" w:hAnsi="Open Sans" w:cs="Open Sans"/>
          <w:sz w:val="22"/>
        </w:rPr>
      </w:pPr>
    </w:p>
    <w:p w14:paraId="6DA74C08" w14:textId="5605501A" w:rsidR="00945FA7" w:rsidRDefault="004A4510" w:rsidP="00AC3480">
      <w:pPr>
        <w:pStyle w:val="TNR"/>
        <w:spacing w:line="240" w:lineRule="auto"/>
        <w:rPr>
          <w:rFonts w:ascii="Open Sans" w:hAnsi="Open Sans" w:cs="Open Sans"/>
          <w:b/>
          <w:bCs/>
          <w:color w:val="06926B"/>
          <w:sz w:val="28"/>
          <w:szCs w:val="28"/>
        </w:rPr>
      </w:pPr>
      <w:r>
        <w:rPr>
          <w:rFonts w:ascii="Open Sans" w:hAnsi="Open Sans" w:cs="Open Sans"/>
          <w:b/>
          <w:bCs/>
          <w:color w:val="06926B"/>
          <w:sz w:val="28"/>
          <w:szCs w:val="28"/>
        </w:rPr>
        <w:lastRenderedPageBreak/>
        <w:t>Local Authority Funding and the Onstreet Residential Chargepoint Scheme</w:t>
      </w:r>
    </w:p>
    <w:p w14:paraId="53977736" w14:textId="3C1948F9" w:rsidR="004A4510" w:rsidRDefault="00980B8E" w:rsidP="00AC3480">
      <w:pPr>
        <w:pStyle w:val="TNR"/>
        <w:spacing w:line="240" w:lineRule="auto"/>
        <w:rPr>
          <w:rFonts w:ascii="Open Sans" w:hAnsi="Open Sans" w:cs="Open Sans"/>
          <w:sz w:val="22"/>
        </w:rPr>
      </w:pPr>
      <w:r>
        <w:rPr>
          <w:rFonts w:ascii="Open Sans" w:hAnsi="Open Sans" w:cs="Open Sans"/>
          <w:sz w:val="22"/>
        </w:rPr>
        <w:t>Following significant work and consultation with REA members, local authorities, and associations such as the British Parking Association, the REA believes there should be an expanded role and support for local government to roll out charging infrastructure.</w:t>
      </w:r>
    </w:p>
    <w:p w14:paraId="31114D80" w14:textId="65781220" w:rsidR="00980B8E" w:rsidRDefault="00980B8E" w:rsidP="00AC3480">
      <w:pPr>
        <w:pStyle w:val="TNR"/>
        <w:spacing w:line="240" w:lineRule="auto"/>
        <w:rPr>
          <w:rFonts w:ascii="Open Sans" w:hAnsi="Open Sans" w:cs="Open Sans"/>
          <w:sz w:val="22"/>
        </w:rPr>
      </w:pPr>
      <w:r>
        <w:rPr>
          <w:rFonts w:ascii="Open Sans" w:hAnsi="Open Sans" w:cs="Open Sans"/>
          <w:sz w:val="22"/>
        </w:rPr>
        <w:t>The REA welcomes the recent administration amendments to the Onstreet Residential Charging Fund. Allowing for more upfront capital to Local Authorities claiming the grant should expand its uptake. However, the REA notes low uptake to date and uneven distribution of the application of the grant. In our view, this is because many local authorities still do not know which department should be responsible for EV installation and operation, what kind of maintenance is required, and overall are not fully aware of what their role in the decarbonisation of transport is (considering that the provision of petrol and diesel refuelling infrastructure is not presently in their remit). Local authorities are also particularly cash poor at the moment and are generally operating at reduced capacity.</w:t>
      </w:r>
    </w:p>
    <w:p w14:paraId="4A5C3E26" w14:textId="4DCDE5C9" w:rsidR="00980B8E" w:rsidRDefault="00980B8E" w:rsidP="00AC3480">
      <w:pPr>
        <w:pStyle w:val="TNR"/>
        <w:spacing w:line="240" w:lineRule="auto"/>
        <w:rPr>
          <w:rFonts w:ascii="Open Sans" w:hAnsi="Open Sans" w:cs="Open Sans"/>
          <w:sz w:val="22"/>
        </w:rPr>
      </w:pPr>
      <w:r>
        <w:rPr>
          <w:rFonts w:ascii="Open Sans" w:hAnsi="Open Sans" w:cs="Open Sans"/>
          <w:sz w:val="22"/>
        </w:rPr>
        <w:t xml:space="preserve">Overall, the REA would like to see an expanded role for local government in the transport transition. Local authorities are well placed to make decisions about traffic patterns and resident’s needs. We note a few successful tenders by local government in the UK so far, including in Nottingham. We would like to see an expanded use of local authority tenders </w:t>
      </w:r>
      <w:r w:rsidR="00133E62">
        <w:rPr>
          <w:rFonts w:ascii="Open Sans" w:hAnsi="Open Sans" w:cs="Open Sans"/>
          <w:sz w:val="22"/>
        </w:rPr>
        <w:t>and the development of wider transport decarbonisation strategies.</w:t>
      </w:r>
    </w:p>
    <w:p w14:paraId="574A4469" w14:textId="15B34D9F" w:rsidR="00980B8E" w:rsidRDefault="00980B8E" w:rsidP="00AC3480">
      <w:pPr>
        <w:pStyle w:val="TNR"/>
        <w:spacing w:line="240" w:lineRule="auto"/>
        <w:rPr>
          <w:rFonts w:ascii="Open Sans" w:hAnsi="Open Sans" w:cs="Open Sans"/>
          <w:sz w:val="22"/>
        </w:rPr>
      </w:pPr>
      <w:r>
        <w:rPr>
          <w:rFonts w:ascii="Open Sans" w:hAnsi="Open Sans" w:cs="Open Sans"/>
          <w:sz w:val="22"/>
        </w:rPr>
        <w:t>To address this, the REA requests:</w:t>
      </w:r>
    </w:p>
    <w:p w14:paraId="1AB58C14" w14:textId="3861DBFD" w:rsidR="00980B8E" w:rsidRDefault="00980B8E" w:rsidP="00980B8E">
      <w:pPr>
        <w:pStyle w:val="TNR"/>
        <w:numPr>
          <w:ilvl w:val="0"/>
          <w:numId w:val="6"/>
        </w:numPr>
        <w:spacing w:line="240" w:lineRule="auto"/>
        <w:rPr>
          <w:rFonts w:ascii="Open Sans" w:hAnsi="Open Sans" w:cs="Open Sans"/>
          <w:sz w:val="22"/>
        </w:rPr>
      </w:pPr>
      <w:r>
        <w:rPr>
          <w:rFonts w:ascii="Open Sans" w:hAnsi="Open Sans" w:cs="Open Sans"/>
          <w:sz w:val="22"/>
        </w:rPr>
        <w:t>The continuation of the Onstreet Residential Chargepoint Scheme to 2025</w:t>
      </w:r>
    </w:p>
    <w:p w14:paraId="3B44C78F" w14:textId="77777777" w:rsidR="00133E62" w:rsidRDefault="00133E62" w:rsidP="00133E62">
      <w:pPr>
        <w:pStyle w:val="TNR"/>
        <w:numPr>
          <w:ilvl w:val="0"/>
          <w:numId w:val="6"/>
        </w:numPr>
        <w:spacing w:line="240" w:lineRule="auto"/>
        <w:rPr>
          <w:rFonts w:ascii="Open Sans" w:hAnsi="Open Sans" w:cs="Open Sans"/>
          <w:sz w:val="22"/>
        </w:rPr>
      </w:pPr>
      <w:r>
        <w:rPr>
          <w:rFonts w:ascii="Open Sans" w:hAnsi="Open Sans" w:cs="Open Sans"/>
          <w:sz w:val="22"/>
        </w:rPr>
        <w:t xml:space="preserve">A clear direction to be set by central Government on the role of Local Authorities in enabling the decarbonisation of transport. This could be set out in the forthcoming EV Infrastructure Strategy from OLEV. </w:t>
      </w:r>
    </w:p>
    <w:p w14:paraId="1D415899" w14:textId="6A9C6B24" w:rsidR="00980B8E" w:rsidRDefault="00980B8E" w:rsidP="00980B8E">
      <w:pPr>
        <w:pStyle w:val="TNR"/>
        <w:numPr>
          <w:ilvl w:val="0"/>
          <w:numId w:val="6"/>
        </w:numPr>
        <w:spacing w:line="240" w:lineRule="auto"/>
        <w:rPr>
          <w:rFonts w:ascii="Open Sans" w:hAnsi="Open Sans" w:cs="Open Sans"/>
          <w:sz w:val="22"/>
        </w:rPr>
      </w:pPr>
      <w:r>
        <w:rPr>
          <w:rFonts w:ascii="Open Sans" w:hAnsi="Open Sans" w:cs="Open Sans"/>
          <w:sz w:val="22"/>
        </w:rPr>
        <w:t>New funding to be made available to loca</w:t>
      </w:r>
      <w:r w:rsidR="00133E62">
        <w:rPr>
          <w:rFonts w:ascii="Open Sans" w:hAnsi="Open Sans" w:cs="Open Sans"/>
          <w:sz w:val="22"/>
        </w:rPr>
        <w:t>l government for them to upskill staff and develop low-carbon transport strategies that cover charging infrastructure (as well as other potentially required energy infrastructure, such as hydrogen refuelling or enabling battery storage).</w:t>
      </w:r>
    </w:p>
    <w:p w14:paraId="534B4120" w14:textId="2320D0FC" w:rsidR="00133E62" w:rsidRDefault="00133E62" w:rsidP="00980B8E">
      <w:pPr>
        <w:pStyle w:val="TNR"/>
        <w:numPr>
          <w:ilvl w:val="0"/>
          <w:numId w:val="6"/>
        </w:numPr>
        <w:spacing w:line="240" w:lineRule="auto"/>
        <w:rPr>
          <w:rFonts w:ascii="Open Sans" w:hAnsi="Open Sans" w:cs="Open Sans"/>
          <w:sz w:val="22"/>
        </w:rPr>
      </w:pPr>
      <w:r>
        <w:rPr>
          <w:rFonts w:ascii="Open Sans" w:hAnsi="Open Sans" w:cs="Open Sans"/>
          <w:sz w:val="22"/>
        </w:rPr>
        <w:t>An expanded role for the Crown Commercial Service and emphasis on local authority tenders for the provision of charging infrastructure, potentially accompanied by central government funding for LA’s wishing to roll out a tender.</w:t>
      </w:r>
    </w:p>
    <w:p w14:paraId="6871DD99" w14:textId="77777777" w:rsidR="00980B8E" w:rsidRDefault="00980B8E" w:rsidP="00AC3480">
      <w:pPr>
        <w:pStyle w:val="TNR"/>
        <w:spacing w:line="240" w:lineRule="auto"/>
        <w:rPr>
          <w:rFonts w:ascii="Open Sans" w:hAnsi="Open Sans" w:cs="Open Sans"/>
          <w:sz w:val="22"/>
        </w:rPr>
      </w:pPr>
    </w:p>
    <w:p w14:paraId="270F4E3F" w14:textId="113982FB" w:rsidR="004A4510" w:rsidRDefault="004A4510" w:rsidP="00AC3480">
      <w:pPr>
        <w:pStyle w:val="TNR"/>
        <w:spacing w:line="240" w:lineRule="auto"/>
        <w:rPr>
          <w:rFonts w:ascii="Open Sans" w:hAnsi="Open Sans" w:cs="Open Sans"/>
          <w:sz w:val="22"/>
        </w:rPr>
      </w:pPr>
    </w:p>
    <w:p w14:paraId="6662A495" w14:textId="0DC7269D" w:rsidR="004A4510" w:rsidRDefault="004A4510" w:rsidP="00AC3480">
      <w:pPr>
        <w:pStyle w:val="TNR"/>
        <w:spacing w:line="240" w:lineRule="auto"/>
        <w:rPr>
          <w:rFonts w:ascii="Open Sans" w:hAnsi="Open Sans" w:cs="Open Sans"/>
          <w:sz w:val="22"/>
        </w:rPr>
      </w:pPr>
    </w:p>
    <w:p w14:paraId="68BA4078" w14:textId="77777777" w:rsidR="00133E62" w:rsidRDefault="00133E62" w:rsidP="00AC3480">
      <w:pPr>
        <w:pStyle w:val="TNR"/>
        <w:spacing w:line="240" w:lineRule="auto"/>
        <w:rPr>
          <w:rFonts w:ascii="Open Sans" w:hAnsi="Open Sans" w:cs="Open Sans"/>
          <w:sz w:val="22"/>
        </w:rPr>
      </w:pPr>
    </w:p>
    <w:p w14:paraId="55B5C0B6" w14:textId="38AEDF5C" w:rsidR="00133E62" w:rsidRDefault="00133E62" w:rsidP="00AC3480">
      <w:pPr>
        <w:pStyle w:val="TNR"/>
        <w:spacing w:line="240" w:lineRule="auto"/>
        <w:rPr>
          <w:rFonts w:ascii="Open Sans" w:hAnsi="Open Sans" w:cs="Open Sans"/>
          <w:sz w:val="22"/>
        </w:rPr>
      </w:pPr>
    </w:p>
    <w:p w14:paraId="27BB8CB6" w14:textId="77777777" w:rsidR="00133E62" w:rsidRDefault="00133E62" w:rsidP="00AC3480">
      <w:pPr>
        <w:pStyle w:val="TNR"/>
        <w:spacing w:line="240" w:lineRule="auto"/>
        <w:rPr>
          <w:rFonts w:ascii="Open Sans" w:hAnsi="Open Sans" w:cs="Open Sans"/>
          <w:sz w:val="22"/>
        </w:rPr>
      </w:pPr>
    </w:p>
    <w:p w14:paraId="45D44EBC" w14:textId="77777777" w:rsidR="004A4510" w:rsidRPr="004A4510" w:rsidRDefault="004A4510" w:rsidP="00AC3480">
      <w:pPr>
        <w:pStyle w:val="TNR"/>
        <w:spacing w:line="240" w:lineRule="auto"/>
        <w:rPr>
          <w:rFonts w:ascii="Open Sans" w:hAnsi="Open Sans" w:cs="Open Sans"/>
          <w:sz w:val="22"/>
        </w:rPr>
      </w:pPr>
    </w:p>
    <w:p w14:paraId="6B7EE6D6" w14:textId="580CB317" w:rsidR="00B83683" w:rsidRPr="00B01437" w:rsidRDefault="00945FA7" w:rsidP="005E30EE">
      <w:pPr>
        <w:pStyle w:val="TNR"/>
        <w:spacing w:line="240" w:lineRule="auto"/>
        <w:rPr>
          <w:rFonts w:ascii="Open Sans" w:hAnsi="Open Sans" w:cs="Open Sans"/>
          <w:b/>
          <w:bCs/>
          <w:color w:val="06926B"/>
          <w:sz w:val="28"/>
          <w:szCs w:val="28"/>
        </w:rPr>
      </w:pPr>
      <w:r>
        <w:rPr>
          <w:rFonts w:ascii="Open Sans" w:hAnsi="Open Sans" w:cs="Open Sans"/>
          <w:b/>
          <w:bCs/>
          <w:color w:val="06926B"/>
          <w:sz w:val="28"/>
          <w:szCs w:val="28"/>
        </w:rPr>
        <w:lastRenderedPageBreak/>
        <w:t xml:space="preserve">Annex 1 - </w:t>
      </w:r>
      <w:r w:rsidR="00BD5785" w:rsidRPr="00B01437">
        <w:rPr>
          <w:rFonts w:ascii="Open Sans" w:hAnsi="Open Sans" w:cs="Open Sans"/>
          <w:b/>
          <w:bCs/>
          <w:color w:val="06926B"/>
          <w:sz w:val="28"/>
          <w:szCs w:val="28"/>
        </w:rPr>
        <w:t>UK Market Overview</w:t>
      </w:r>
    </w:p>
    <w:p w14:paraId="1849DEAA" w14:textId="4E8F5363" w:rsidR="0092277B" w:rsidRPr="00A212B1" w:rsidRDefault="005E30EE" w:rsidP="005E30EE">
      <w:pPr>
        <w:pStyle w:val="TNR"/>
        <w:spacing w:line="240" w:lineRule="auto"/>
        <w:rPr>
          <w:rFonts w:ascii="Open Sans" w:hAnsi="Open Sans" w:cs="Open Sans"/>
          <w:b/>
          <w:bCs/>
          <w:color w:val="06926B"/>
          <w:sz w:val="22"/>
        </w:rPr>
      </w:pPr>
      <w:r w:rsidRPr="00A212B1">
        <w:rPr>
          <w:rFonts w:ascii="Open Sans" w:hAnsi="Open Sans" w:cs="Open Sans"/>
          <w:b/>
          <w:bCs/>
          <w:sz w:val="22"/>
          <w:u w:val="single"/>
        </w:rPr>
        <w:t>Introduction to the EVHS and WCS</w:t>
      </w:r>
    </w:p>
    <w:p w14:paraId="7BBFACF7" w14:textId="1F3A69ED" w:rsidR="00244BB1" w:rsidRPr="00A212B1" w:rsidRDefault="0092277B" w:rsidP="00AC3480">
      <w:pPr>
        <w:pStyle w:val="TNR"/>
        <w:spacing w:line="240" w:lineRule="auto"/>
        <w:rPr>
          <w:rFonts w:ascii="Open Sans" w:hAnsi="Open Sans" w:cs="Open Sans"/>
          <w:sz w:val="22"/>
        </w:rPr>
      </w:pPr>
      <w:r w:rsidRPr="00A212B1">
        <w:rPr>
          <w:rFonts w:ascii="Open Sans" w:hAnsi="Open Sans" w:cs="Open Sans"/>
          <w:sz w:val="22"/>
        </w:rPr>
        <w:t>The Department for Transport reports that as of 1</w:t>
      </w:r>
      <w:r w:rsidRPr="00A212B1">
        <w:rPr>
          <w:rFonts w:ascii="Open Sans" w:hAnsi="Open Sans" w:cs="Open Sans"/>
          <w:sz w:val="22"/>
          <w:vertAlign w:val="superscript"/>
        </w:rPr>
        <w:t>st</w:t>
      </w:r>
      <w:r w:rsidRPr="00A212B1">
        <w:rPr>
          <w:rFonts w:ascii="Open Sans" w:hAnsi="Open Sans" w:cs="Open Sans"/>
          <w:sz w:val="22"/>
        </w:rPr>
        <w:t xml:space="preserve"> of April 2020, there were 1</w:t>
      </w:r>
      <w:r w:rsidR="009C53FC" w:rsidRPr="00A212B1">
        <w:rPr>
          <w:rFonts w:ascii="Open Sans" w:hAnsi="Open Sans" w:cs="Open Sans"/>
          <w:sz w:val="22"/>
        </w:rPr>
        <w:t>7</w:t>
      </w:r>
      <w:r w:rsidRPr="00A212B1">
        <w:rPr>
          <w:rFonts w:ascii="Open Sans" w:hAnsi="Open Sans" w:cs="Open Sans"/>
          <w:sz w:val="22"/>
        </w:rPr>
        <w:t xml:space="preserve">,947 public EV charge-points available in the UK. The number of public charge-points has grown by 402% between 2015 and 2019, and by 9% in the first quarter of 2020. While this </w:t>
      </w:r>
      <w:r w:rsidR="00C15084" w:rsidRPr="00A212B1">
        <w:rPr>
          <w:rFonts w:ascii="Open Sans" w:hAnsi="Open Sans" w:cs="Open Sans"/>
          <w:sz w:val="22"/>
        </w:rPr>
        <w:t xml:space="preserve">public infrastructure is important in promoting travel distance and energy security for a driver, the vast majority (80%) of charging occurs at home. </w:t>
      </w:r>
      <w:r w:rsidR="005E30EE" w:rsidRPr="00A212B1">
        <w:rPr>
          <w:rFonts w:ascii="Open Sans" w:hAnsi="Open Sans" w:cs="Open Sans"/>
          <w:sz w:val="22"/>
        </w:rPr>
        <w:t>The Electric Vehicle Homecharge Scheme (EVHS) and Workplace Charging Scheme (WCS) are the two grant schemes in the UK</w:t>
      </w:r>
      <w:r w:rsidR="00C15084" w:rsidRPr="00A212B1">
        <w:rPr>
          <w:rFonts w:ascii="Open Sans" w:hAnsi="Open Sans" w:cs="Open Sans"/>
          <w:sz w:val="22"/>
        </w:rPr>
        <w:t xml:space="preserve"> which </w:t>
      </w:r>
      <w:r w:rsidR="005E30EE" w:rsidRPr="00A212B1">
        <w:rPr>
          <w:rFonts w:ascii="Open Sans" w:hAnsi="Open Sans" w:cs="Open Sans"/>
          <w:sz w:val="22"/>
        </w:rPr>
        <w:t>support EV</w:t>
      </w:r>
      <w:r w:rsidR="009C53FC" w:rsidRPr="00A212B1">
        <w:rPr>
          <w:rFonts w:ascii="Open Sans" w:hAnsi="Open Sans" w:cs="Open Sans"/>
          <w:sz w:val="22"/>
        </w:rPr>
        <w:t xml:space="preserve"> private </w:t>
      </w:r>
      <w:r w:rsidR="005E30EE" w:rsidRPr="00A212B1">
        <w:rPr>
          <w:rFonts w:ascii="Open Sans" w:hAnsi="Open Sans" w:cs="Open Sans"/>
          <w:sz w:val="22"/>
        </w:rPr>
        <w:t>charging infrastructure for homes and companies, put in place by the Office for Low Emission Vehicles (OLEV).</w:t>
      </w:r>
      <w:r w:rsidR="00C15084" w:rsidRPr="00A212B1">
        <w:rPr>
          <w:rFonts w:ascii="Open Sans" w:hAnsi="Open Sans" w:cs="Open Sans"/>
          <w:sz w:val="22"/>
        </w:rPr>
        <w:t xml:space="preserve"> 75,254 private charge-points have been installed under the EVHS between September 2014 and June 2019, and for the same period 1,391 vouchers were received </w:t>
      </w:r>
      <w:r w:rsidR="00D606E7" w:rsidRPr="00A212B1">
        <w:rPr>
          <w:rFonts w:ascii="Open Sans" w:hAnsi="Open Sans" w:cs="Open Sans"/>
          <w:sz w:val="22"/>
        </w:rPr>
        <w:t>by companies under</w:t>
      </w:r>
      <w:r w:rsidR="00C15084" w:rsidRPr="00A212B1">
        <w:rPr>
          <w:rFonts w:ascii="Open Sans" w:hAnsi="Open Sans" w:cs="Open Sans"/>
          <w:sz w:val="22"/>
        </w:rPr>
        <w:t xml:space="preserve"> the WCS.</w:t>
      </w:r>
      <w:r w:rsidR="00244BB1" w:rsidRPr="00A212B1">
        <w:rPr>
          <w:rFonts w:ascii="Open Sans" w:hAnsi="Open Sans" w:cs="Open Sans"/>
          <w:sz w:val="22"/>
        </w:rPr>
        <w:t xml:space="preserve"> </w:t>
      </w:r>
    </w:p>
    <w:p w14:paraId="58AE81D8" w14:textId="628B75B4" w:rsidR="00BD5785" w:rsidRPr="00A212B1" w:rsidRDefault="00244BB1" w:rsidP="00AC3480">
      <w:pPr>
        <w:pStyle w:val="TNR"/>
        <w:spacing w:line="240" w:lineRule="auto"/>
        <w:rPr>
          <w:rFonts w:ascii="Open Sans" w:hAnsi="Open Sans" w:cs="Open Sans"/>
          <w:sz w:val="22"/>
        </w:rPr>
      </w:pPr>
      <w:r w:rsidRPr="00A212B1">
        <w:rPr>
          <w:rFonts w:ascii="Open Sans" w:hAnsi="Open Sans" w:cs="Open Sans"/>
          <w:sz w:val="22"/>
        </w:rPr>
        <w:t>As of the 1</w:t>
      </w:r>
      <w:r w:rsidRPr="00A212B1">
        <w:rPr>
          <w:rFonts w:ascii="Open Sans" w:hAnsi="Open Sans" w:cs="Open Sans"/>
          <w:sz w:val="22"/>
          <w:vertAlign w:val="superscript"/>
        </w:rPr>
        <w:t>st</w:t>
      </w:r>
      <w:r w:rsidRPr="00A212B1">
        <w:rPr>
          <w:rFonts w:ascii="Open Sans" w:hAnsi="Open Sans" w:cs="Open Sans"/>
          <w:sz w:val="22"/>
        </w:rPr>
        <w:t xml:space="preserve"> of April 2020, the EVHS is a grant for 75% of the cost of the purchase and installation of one charge</w:t>
      </w:r>
      <w:r w:rsidR="00823C7F" w:rsidRPr="00A212B1">
        <w:rPr>
          <w:rFonts w:ascii="Open Sans" w:hAnsi="Open Sans" w:cs="Open Sans"/>
          <w:sz w:val="22"/>
        </w:rPr>
        <w:t>-</w:t>
      </w:r>
      <w:r w:rsidRPr="00A212B1">
        <w:rPr>
          <w:rFonts w:ascii="Open Sans" w:hAnsi="Open Sans" w:cs="Open Sans"/>
          <w:sz w:val="22"/>
        </w:rPr>
        <w:t xml:space="preserve">point </w:t>
      </w:r>
      <w:r w:rsidR="00823C7F" w:rsidRPr="00A212B1">
        <w:rPr>
          <w:rFonts w:ascii="Open Sans" w:hAnsi="Open Sans" w:cs="Open Sans"/>
          <w:sz w:val="22"/>
        </w:rPr>
        <w:t xml:space="preserve">per EV </w:t>
      </w:r>
      <w:r w:rsidRPr="00A212B1">
        <w:rPr>
          <w:rFonts w:ascii="Open Sans" w:hAnsi="Open Sans" w:cs="Open Sans"/>
          <w:sz w:val="22"/>
        </w:rPr>
        <w:t>up to £350</w:t>
      </w:r>
      <w:r w:rsidR="00823C7F" w:rsidRPr="00A212B1">
        <w:rPr>
          <w:rFonts w:ascii="Open Sans" w:hAnsi="Open Sans" w:cs="Open Sans"/>
          <w:sz w:val="22"/>
        </w:rPr>
        <w:t xml:space="preserve"> available to households which have or will have an eligible EV</w:t>
      </w:r>
      <w:r w:rsidRPr="00A212B1">
        <w:rPr>
          <w:rFonts w:ascii="Open Sans" w:hAnsi="Open Sans" w:cs="Open Sans"/>
          <w:sz w:val="22"/>
        </w:rPr>
        <w:t>.</w:t>
      </w:r>
      <w:r w:rsidR="00823C7F" w:rsidRPr="00A212B1">
        <w:rPr>
          <w:rFonts w:ascii="Open Sans" w:hAnsi="Open Sans" w:cs="Open Sans"/>
          <w:sz w:val="22"/>
        </w:rPr>
        <w:t xml:space="preserve"> </w:t>
      </w:r>
      <w:r w:rsidR="00D606E7" w:rsidRPr="00A212B1">
        <w:rPr>
          <w:rFonts w:ascii="Open Sans" w:hAnsi="Open Sans" w:cs="Open Sans"/>
          <w:sz w:val="22"/>
        </w:rPr>
        <w:t>OLEV</w:t>
      </w:r>
      <w:r w:rsidR="00823C7F" w:rsidRPr="00A212B1">
        <w:rPr>
          <w:rFonts w:ascii="Open Sans" w:hAnsi="Open Sans" w:cs="Open Sans"/>
          <w:sz w:val="22"/>
        </w:rPr>
        <w:t xml:space="preserve"> decreased the maximum grant from £500 to £350 in April 2020, stating that by decreasing the amount of the grant, the number of households able to benefit will increase from 30,000 to 57,000. In addition, the EVHS is only available for the installation of certain charge-points which must first satisfy minimum technical specifications and receive approval from OLEV. Since the 1</w:t>
      </w:r>
      <w:r w:rsidR="00823C7F" w:rsidRPr="00A212B1">
        <w:rPr>
          <w:rFonts w:ascii="Open Sans" w:hAnsi="Open Sans" w:cs="Open Sans"/>
          <w:sz w:val="22"/>
          <w:vertAlign w:val="superscript"/>
        </w:rPr>
        <w:t>st</w:t>
      </w:r>
      <w:r w:rsidR="00823C7F" w:rsidRPr="00A212B1">
        <w:rPr>
          <w:rFonts w:ascii="Open Sans" w:hAnsi="Open Sans" w:cs="Open Sans"/>
          <w:sz w:val="22"/>
        </w:rPr>
        <w:t xml:space="preserve"> </w:t>
      </w:r>
      <w:r w:rsidR="00A6207E" w:rsidRPr="00A212B1">
        <w:rPr>
          <w:rFonts w:ascii="Open Sans" w:hAnsi="Open Sans" w:cs="Open Sans"/>
          <w:sz w:val="22"/>
        </w:rPr>
        <w:t xml:space="preserve">of </w:t>
      </w:r>
      <w:r w:rsidR="00823C7F" w:rsidRPr="00A212B1">
        <w:rPr>
          <w:rFonts w:ascii="Open Sans" w:hAnsi="Open Sans" w:cs="Open Sans"/>
          <w:sz w:val="22"/>
        </w:rPr>
        <w:t xml:space="preserve">July 2019, part of the technical specifications </w:t>
      </w:r>
      <w:r w:rsidR="00D606E7" w:rsidRPr="00A212B1">
        <w:rPr>
          <w:rFonts w:ascii="Open Sans" w:hAnsi="Open Sans" w:cs="Open Sans"/>
          <w:sz w:val="22"/>
        </w:rPr>
        <w:t>include</w:t>
      </w:r>
      <w:r w:rsidR="00823C7F" w:rsidRPr="00A212B1">
        <w:rPr>
          <w:rFonts w:ascii="Open Sans" w:hAnsi="Open Sans" w:cs="Open Sans"/>
          <w:sz w:val="22"/>
        </w:rPr>
        <w:t xml:space="preserve"> being a “smart” charger, which includes the ability to receive, process, and react to information, adjust and record energy consumption, be accessed remotely through the Open Charge Point Protocol (OCPP)</w:t>
      </w:r>
      <w:r w:rsidR="003569DE">
        <w:rPr>
          <w:rFonts w:ascii="Open Sans" w:hAnsi="Open Sans" w:cs="Open Sans"/>
          <w:sz w:val="22"/>
        </w:rPr>
        <w:t xml:space="preserve"> (or equivalent)</w:t>
      </w:r>
      <w:r w:rsidR="00823C7F" w:rsidRPr="00A212B1">
        <w:rPr>
          <w:rFonts w:ascii="Open Sans" w:hAnsi="Open Sans" w:cs="Open Sans"/>
          <w:sz w:val="22"/>
        </w:rPr>
        <w:t>, and have appropriate cyber security measures.</w:t>
      </w:r>
    </w:p>
    <w:p w14:paraId="04AF1516" w14:textId="1B2F5787" w:rsidR="00DE5168" w:rsidRPr="00A212B1" w:rsidRDefault="00A6207E" w:rsidP="00AC3480">
      <w:pPr>
        <w:pStyle w:val="TNR"/>
        <w:spacing w:line="240" w:lineRule="auto"/>
        <w:rPr>
          <w:rFonts w:ascii="Open Sans" w:hAnsi="Open Sans" w:cs="Open Sans"/>
          <w:sz w:val="22"/>
        </w:rPr>
      </w:pPr>
      <w:r w:rsidRPr="00A212B1">
        <w:rPr>
          <w:rFonts w:ascii="Open Sans" w:hAnsi="Open Sans" w:cs="Open Sans"/>
          <w:sz w:val="22"/>
        </w:rPr>
        <w:t xml:space="preserve">The WCS </w:t>
      </w:r>
      <w:r w:rsidR="009E5281" w:rsidRPr="00A212B1">
        <w:rPr>
          <w:rFonts w:ascii="Open Sans" w:hAnsi="Open Sans" w:cs="Open Sans"/>
          <w:sz w:val="22"/>
        </w:rPr>
        <w:t>covers</w:t>
      </w:r>
      <w:r w:rsidRPr="00A212B1">
        <w:rPr>
          <w:rFonts w:ascii="Open Sans" w:hAnsi="Open Sans" w:cs="Open Sans"/>
          <w:sz w:val="22"/>
        </w:rPr>
        <w:t xml:space="preserve"> 75% of the cost of the purchase and installation of a charge-point up to £350. It takes the form of a voucher which is applied for by the company receiving charge-points and passed on to the WCS-approved installer, who can then redeem the voucher with OLEV. Each voucher, from April 2020, covers up to 40 charge-points per premise. Like the EVHS, chargers must be approved and satisfy minimum technical specifications, but unlike the EVHS these do not include any smart capabilities beyond remote data collection. </w:t>
      </w:r>
    </w:p>
    <w:p w14:paraId="68F22216" w14:textId="2C128AB3" w:rsidR="00DE5168" w:rsidRPr="00A212B1" w:rsidRDefault="00DE5168" w:rsidP="00DE5168">
      <w:pPr>
        <w:pStyle w:val="TNR"/>
        <w:spacing w:line="240" w:lineRule="auto"/>
        <w:rPr>
          <w:rFonts w:ascii="Open Sans" w:hAnsi="Open Sans" w:cs="Open Sans"/>
          <w:sz w:val="22"/>
        </w:rPr>
      </w:pPr>
    </w:p>
    <w:p w14:paraId="2D580588" w14:textId="7264DC6C" w:rsidR="00C56530" w:rsidRPr="003569DE" w:rsidRDefault="00DE5168" w:rsidP="00C56530">
      <w:pPr>
        <w:pStyle w:val="TNR"/>
        <w:spacing w:line="240" w:lineRule="auto"/>
        <w:rPr>
          <w:rFonts w:ascii="Open Sans" w:hAnsi="Open Sans" w:cs="Open Sans"/>
          <w:b/>
          <w:bCs/>
          <w:sz w:val="22"/>
          <w:u w:val="single"/>
        </w:rPr>
      </w:pPr>
      <w:r w:rsidRPr="00A212B1">
        <w:rPr>
          <w:rFonts w:ascii="Open Sans" w:hAnsi="Open Sans" w:cs="Open Sans"/>
          <w:b/>
          <w:bCs/>
          <w:sz w:val="22"/>
          <w:u w:val="single"/>
        </w:rPr>
        <w:t>Analysis of Strengths &amp; Weaknesses</w:t>
      </w:r>
      <w:r w:rsidR="003569DE">
        <w:rPr>
          <w:rStyle w:val="EndnoteReference"/>
          <w:rFonts w:ascii="Open Sans" w:hAnsi="Open Sans" w:cs="Open Sans"/>
          <w:b/>
          <w:bCs/>
          <w:sz w:val="22"/>
          <w:u w:val="single"/>
        </w:rPr>
        <w:endnoteReference w:id="1"/>
      </w:r>
      <w:r w:rsidR="003569DE">
        <w:rPr>
          <w:rFonts w:ascii="Open Sans" w:hAnsi="Open Sans" w:cs="Open Sans"/>
          <w:b/>
          <w:bCs/>
          <w:sz w:val="22"/>
          <w:u w:val="single"/>
        </w:rPr>
        <w:t xml:space="preserve"> - EVHS and WCS</w:t>
      </w:r>
      <w:r w:rsidRPr="00A212B1">
        <w:rPr>
          <w:rFonts w:ascii="Open Sans" w:hAnsi="Open Sans" w:cs="Open Sans"/>
          <w:b/>
          <w:bCs/>
          <w:sz w:val="22"/>
          <w:u w:val="single"/>
        </w:rPr>
        <w:t>:</w:t>
      </w:r>
    </w:p>
    <w:p w14:paraId="7E103890" w14:textId="6C735E2F" w:rsidR="00AC3480" w:rsidRDefault="00AC3480" w:rsidP="00C56530">
      <w:pPr>
        <w:pStyle w:val="TNR"/>
        <w:spacing w:line="240" w:lineRule="auto"/>
        <w:rPr>
          <w:rFonts w:ascii="Open Sans" w:hAnsi="Open Sans" w:cs="Open Sans"/>
          <w:i/>
          <w:iCs/>
          <w:sz w:val="22"/>
        </w:rPr>
      </w:pPr>
      <w:r w:rsidRPr="00AC3480">
        <w:rPr>
          <w:rFonts w:ascii="Open Sans" w:hAnsi="Open Sans" w:cs="Open Sans"/>
          <w:i/>
          <w:iCs/>
          <w:sz w:val="22"/>
        </w:rPr>
        <w:t xml:space="preserve">The REA notes that it launched the </w:t>
      </w:r>
      <w:hyperlink r:id="rId12" w:history="1">
        <w:r w:rsidRPr="00AC3480">
          <w:rPr>
            <w:rStyle w:val="Hyperlink"/>
            <w:rFonts w:ascii="Open Sans" w:hAnsi="Open Sans" w:cs="Open Sans"/>
            <w:i/>
            <w:iCs/>
            <w:sz w:val="22"/>
          </w:rPr>
          <w:t>EV Consumer Code</w:t>
        </w:r>
      </w:hyperlink>
      <w:r w:rsidRPr="00AC3480">
        <w:rPr>
          <w:rFonts w:ascii="Open Sans" w:hAnsi="Open Sans" w:cs="Open Sans"/>
          <w:i/>
          <w:iCs/>
          <w:sz w:val="22"/>
        </w:rPr>
        <w:t xml:space="preserve"> for domestic charge point installers in Spring 2020 in order to address many of the concerns outlined below.</w:t>
      </w:r>
    </w:p>
    <w:p w14:paraId="20F1315B" w14:textId="4A85403A" w:rsidR="00B01437" w:rsidRPr="00AC3480" w:rsidRDefault="00B01437" w:rsidP="00C56530">
      <w:pPr>
        <w:pStyle w:val="TNR"/>
        <w:spacing w:line="240" w:lineRule="auto"/>
        <w:rPr>
          <w:rFonts w:ascii="Open Sans" w:hAnsi="Open Sans" w:cs="Open Sans"/>
          <w:i/>
          <w:iCs/>
          <w:sz w:val="22"/>
        </w:rPr>
      </w:pPr>
      <w:r>
        <w:rPr>
          <w:rFonts w:ascii="Open Sans" w:hAnsi="Open Sans" w:cs="Open Sans"/>
          <w:i/>
          <w:iCs/>
          <w:sz w:val="22"/>
        </w:rPr>
        <w:t>This section is derived from online research and in-person interviews conducted with industry stakeholders over the past 3 months.</w:t>
      </w:r>
    </w:p>
    <w:p w14:paraId="265C257A" w14:textId="348187FF" w:rsidR="00AC3480" w:rsidRDefault="00C56E8A" w:rsidP="00C56530">
      <w:pPr>
        <w:pStyle w:val="TNR"/>
        <w:spacing w:line="240" w:lineRule="auto"/>
        <w:rPr>
          <w:rFonts w:ascii="Open Sans" w:hAnsi="Open Sans" w:cs="Open Sans"/>
          <w:sz w:val="22"/>
        </w:rPr>
      </w:pPr>
      <w:r w:rsidRPr="00A212B1">
        <w:rPr>
          <w:rFonts w:ascii="Open Sans" w:hAnsi="Open Sans" w:cs="Open Sans"/>
          <w:sz w:val="22"/>
        </w:rPr>
        <w:t xml:space="preserve">It has been noted that consumers in the UK have a low responsiveness to price changes in </w:t>
      </w:r>
      <w:r w:rsidR="003463E5" w:rsidRPr="00A212B1">
        <w:rPr>
          <w:rFonts w:ascii="Open Sans" w:hAnsi="Open Sans" w:cs="Open Sans"/>
          <w:sz w:val="22"/>
        </w:rPr>
        <w:t>EVs but</w:t>
      </w:r>
      <w:r w:rsidRPr="00A212B1">
        <w:rPr>
          <w:rFonts w:ascii="Open Sans" w:hAnsi="Open Sans" w:cs="Open Sans"/>
          <w:sz w:val="22"/>
        </w:rPr>
        <w:t xml:space="preserve"> are </w:t>
      </w:r>
      <w:r w:rsidRPr="00AC3480">
        <w:rPr>
          <w:rFonts w:ascii="Open Sans" w:hAnsi="Open Sans" w:cs="Open Sans"/>
          <w:sz w:val="22"/>
        </w:rPr>
        <w:t xml:space="preserve">highly sensitive to the price of EV charge-points. While this would mean that a grant of any level should be successful, EV charge-points under these schemes are complicated </w:t>
      </w:r>
      <w:r w:rsidR="00AC3480" w:rsidRPr="00AC3480">
        <w:rPr>
          <w:rFonts w:ascii="Open Sans" w:hAnsi="Open Sans" w:cs="Open Sans"/>
          <w:sz w:val="22"/>
        </w:rPr>
        <w:t>as they face new competition from installers opting to forgo the EVHS (in particular) and associated paperwork to instead install</w:t>
      </w:r>
      <w:r w:rsidRPr="00AC3480">
        <w:rPr>
          <w:rFonts w:ascii="Open Sans" w:hAnsi="Open Sans" w:cs="Open Sans"/>
          <w:sz w:val="22"/>
        </w:rPr>
        <w:t xml:space="preserve"> </w:t>
      </w:r>
      <w:r w:rsidR="00AC3480" w:rsidRPr="00AC3480">
        <w:rPr>
          <w:rFonts w:ascii="Open Sans" w:hAnsi="Open Sans" w:cs="Open Sans"/>
          <w:sz w:val="22"/>
        </w:rPr>
        <w:t>lower-cost non smart chargers. In some cases this can result in a stronger return for them then navigating the EVHS</w:t>
      </w:r>
      <w:r w:rsidR="00AC3480">
        <w:rPr>
          <w:rFonts w:ascii="Open Sans" w:hAnsi="Open Sans" w:cs="Open Sans"/>
          <w:sz w:val="22"/>
        </w:rPr>
        <w:t>.</w:t>
      </w:r>
    </w:p>
    <w:p w14:paraId="2D11D80D" w14:textId="1F756E09" w:rsidR="0051011F" w:rsidRDefault="00A57121" w:rsidP="00C56530">
      <w:pPr>
        <w:pStyle w:val="TNR"/>
        <w:spacing w:line="240" w:lineRule="auto"/>
        <w:rPr>
          <w:rFonts w:ascii="Open Sans" w:hAnsi="Open Sans" w:cs="Open Sans"/>
          <w:sz w:val="22"/>
        </w:rPr>
      </w:pPr>
      <w:r w:rsidRPr="00B01437">
        <w:rPr>
          <w:rFonts w:ascii="Open Sans" w:hAnsi="Open Sans" w:cs="Open Sans"/>
          <w:sz w:val="22"/>
          <w:u w:val="single"/>
        </w:rPr>
        <w:lastRenderedPageBreak/>
        <w:t xml:space="preserve">This means that, </w:t>
      </w:r>
      <w:r w:rsidR="00AC3480" w:rsidRPr="00B01437">
        <w:rPr>
          <w:rFonts w:ascii="Open Sans" w:hAnsi="Open Sans" w:cs="Open Sans"/>
          <w:sz w:val="22"/>
          <w:u w:val="single"/>
        </w:rPr>
        <w:t>in some instances</w:t>
      </w:r>
      <w:r w:rsidRPr="00B01437">
        <w:rPr>
          <w:rFonts w:ascii="Open Sans" w:hAnsi="Open Sans" w:cs="Open Sans"/>
          <w:sz w:val="22"/>
          <w:u w:val="single"/>
        </w:rPr>
        <w:t xml:space="preserve">, the grants are failing to adequately incentivise the purchase of </w:t>
      </w:r>
      <w:r w:rsidR="00AC3480" w:rsidRPr="00B01437">
        <w:rPr>
          <w:rFonts w:ascii="Open Sans" w:hAnsi="Open Sans" w:cs="Open Sans"/>
          <w:sz w:val="22"/>
          <w:u w:val="single"/>
        </w:rPr>
        <w:t xml:space="preserve">eligible </w:t>
      </w:r>
      <w:r w:rsidRPr="00B01437">
        <w:rPr>
          <w:rFonts w:ascii="Open Sans" w:hAnsi="Open Sans" w:cs="Open Sans"/>
          <w:sz w:val="22"/>
          <w:u w:val="single"/>
        </w:rPr>
        <w:t>charge-points</w:t>
      </w:r>
      <w:r w:rsidR="00AC3480" w:rsidRPr="00B01437">
        <w:rPr>
          <w:rFonts w:ascii="Open Sans" w:hAnsi="Open Sans" w:cs="Open Sans"/>
          <w:sz w:val="22"/>
          <w:u w:val="single"/>
        </w:rPr>
        <w:t xml:space="preserve"> and use of approved installers, in favour of cheaper non-smart units</w:t>
      </w:r>
      <w:r w:rsidRPr="00B01437">
        <w:rPr>
          <w:rFonts w:ascii="Open Sans" w:hAnsi="Open Sans" w:cs="Open Sans"/>
          <w:sz w:val="22"/>
          <w:u w:val="single"/>
        </w:rPr>
        <w:t>.</w:t>
      </w:r>
      <w:r w:rsidR="0051011F">
        <w:rPr>
          <w:rFonts w:ascii="Open Sans" w:hAnsi="Open Sans" w:cs="Open Sans"/>
          <w:sz w:val="22"/>
        </w:rPr>
        <w:t xml:space="preserve"> This gives both industry and Government less control over quality and standards in the charging market.</w:t>
      </w:r>
    </w:p>
    <w:p w14:paraId="3558C2D4" w14:textId="2F146ADB" w:rsidR="00C56530" w:rsidRDefault="009B375B" w:rsidP="00C56530">
      <w:pPr>
        <w:pStyle w:val="TNR"/>
        <w:spacing w:line="240" w:lineRule="auto"/>
        <w:rPr>
          <w:rFonts w:ascii="Open Sans" w:hAnsi="Open Sans" w:cs="Open Sans"/>
          <w:sz w:val="22"/>
        </w:rPr>
      </w:pPr>
      <w:r w:rsidRPr="00A212B1">
        <w:rPr>
          <w:rFonts w:ascii="Open Sans" w:hAnsi="Open Sans" w:cs="Open Sans"/>
          <w:sz w:val="22"/>
        </w:rPr>
        <w:t xml:space="preserve">The three sections below focus on strengths and weaknesses of the schemes which do not entail adjustments with a </w:t>
      </w:r>
      <w:r w:rsidR="009E5281" w:rsidRPr="00A212B1">
        <w:rPr>
          <w:rFonts w:ascii="Open Sans" w:hAnsi="Open Sans" w:cs="Open Sans"/>
          <w:sz w:val="22"/>
        </w:rPr>
        <w:t>direct</w:t>
      </w:r>
      <w:r w:rsidRPr="00A212B1">
        <w:rPr>
          <w:rFonts w:ascii="Open Sans" w:hAnsi="Open Sans" w:cs="Open Sans"/>
          <w:sz w:val="22"/>
        </w:rPr>
        <w:t xml:space="preserve"> increase in expenditure. </w:t>
      </w:r>
    </w:p>
    <w:p w14:paraId="3238D90A" w14:textId="56F9BD80" w:rsidR="009B375B" w:rsidRDefault="004C3DA7" w:rsidP="00C56530">
      <w:pPr>
        <w:pStyle w:val="TNR"/>
        <w:spacing w:line="240" w:lineRule="auto"/>
        <w:rPr>
          <w:rFonts w:ascii="Open Sans" w:hAnsi="Open Sans" w:cs="Open Sans"/>
          <w:sz w:val="22"/>
        </w:rPr>
      </w:pPr>
      <w:r>
        <w:rPr>
          <w:rFonts w:ascii="Open Sans" w:hAnsi="Open Sans" w:cs="Open Sans"/>
          <w:sz w:val="22"/>
        </w:rPr>
        <w:t>The EVHS’s application process was amended in September 2020, which should make it easier for installers to progress applications but still does not address all industry concerns. Read about the scheme changes</w:t>
      </w:r>
      <w:hyperlink r:id="rId13" w:history="1">
        <w:r w:rsidRPr="004C3DA7">
          <w:rPr>
            <w:rStyle w:val="Hyperlink"/>
            <w:rFonts w:ascii="Open Sans" w:hAnsi="Open Sans" w:cs="Open Sans"/>
            <w:sz w:val="22"/>
          </w:rPr>
          <w:t xml:space="preserve"> here</w:t>
        </w:r>
      </w:hyperlink>
      <w:r>
        <w:rPr>
          <w:rFonts w:ascii="Open Sans" w:hAnsi="Open Sans" w:cs="Open Sans"/>
          <w:sz w:val="22"/>
        </w:rPr>
        <w:t xml:space="preserve">. </w:t>
      </w:r>
    </w:p>
    <w:p w14:paraId="45E7C040" w14:textId="77777777" w:rsidR="004C3DA7" w:rsidRPr="00A212B1" w:rsidRDefault="004C3DA7" w:rsidP="00C56530">
      <w:pPr>
        <w:pStyle w:val="TNR"/>
        <w:spacing w:line="240" w:lineRule="auto"/>
        <w:rPr>
          <w:rFonts w:ascii="Open Sans" w:hAnsi="Open Sans" w:cs="Open Sans"/>
          <w:sz w:val="22"/>
        </w:rPr>
      </w:pPr>
    </w:p>
    <w:p w14:paraId="5D5FF544" w14:textId="309C04DD" w:rsidR="009B375B" w:rsidRPr="00A212B1" w:rsidRDefault="009B375B" w:rsidP="00C56530">
      <w:pPr>
        <w:pStyle w:val="TNR"/>
        <w:spacing w:line="240" w:lineRule="auto"/>
        <w:rPr>
          <w:rFonts w:ascii="Open Sans" w:hAnsi="Open Sans" w:cs="Open Sans"/>
          <w:sz w:val="22"/>
        </w:rPr>
      </w:pPr>
      <w:r w:rsidRPr="00A212B1">
        <w:rPr>
          <w:rFonts w:ascii="Open Sans" w:hAnsi="Open Sans" w:cs="Open Sans"/>
          <w:b/>
          <w:bCs/>
          <w:sz w:val="22"/>
        </w:rPr>
        <w:t>Quality assurance:</w:t>
      </w:r>
      <w:r w:rsidRPr="00A212B1">
        <w:rPr>
          <w:rFonts w:ascii="Open Sans" w:hAnsi="Open Sans" w:cs="Open Sans"/>
          <w:sz w:val="22"/>
        </w:rPr>
        <w:t xml:space="preserve"> currently, both schemes in their minimum technical specifications require eligible charge-points to be accompanied by a three-year warranty and mandate a three-year operational life. While this is a strong clause to </w:t>
      </w:r>
      <w:r w:rsidR="00AD69C3" w:rsidRPr="00A212B1">
        <w:rPr>
          <w:rFonts w:ascii="Open Sans" w:hAnsi="Open Sans" w:cs="Open Sans"/>
          <w:sz w:val="22"/>
        </w:rPr>
        <w:t>encourage</w:t>
      </w:r>
      <w:r w:rsidRPr="00A212B1">
        <w:rPr>
          <w:rFonts w:ascii="Open Sans" w:hAnsi="Open Sans" w:cs="Open Sans"/>
          <w:sz w:val="22"/>
        </w:rPr>
        <w:t xml:space="preserve"> accountability by the provider to the customer</w:t>
      </w:r>
      <w:r w:rsidR="00AC3480">
        <w:rPr>
          <w:rFonts w:ascii="Open Sans" w:hAnsi="Open Sans" w:cs="Open Sans"/>
          <w:sz w:val="22"/>
        </w:rPr>
        <w:t>, concerns have been raised by the actual servicing of warrantees by installers.</w:t>
      </w:r>
      <w:r w:rsidR="00AD69C3" w:rsidRPr="00A212B1">
        <w:rPr>
          <w:rFonts w:ascii="Open Sans" w:hAnsi="Open Sans" w:cs="Open Sans"/>
          <w:sz w:val="22"/>
        </w:rPr>
        <w:t xml:space="preserve"> </w:t>
      </w:r>
      <w:r w:rsidR="00AC3480">
        <w:rPr>
          <w:rFonts w:ascii="Open Sans" w:hAnsi="Open Sans" w:cs="Open Sans"/>
          <w:sz w:val="22"/>
        </w:rPr>
        <w:t>There is concern that the current scheme</w:t>
      </w:r>
      <w:r w:rsidR="00AD69C3" w:rsidRPr="00A212B1">
        <w:rPr>
          <w:rFonts w:ascii="Open Sans" w:hAnsi="Open Sans" w:cs="Open Sans"/>
          <w:sz w:val="22"/>
        </w:rPr>
        <w:t xml:space="preserve"> transfers</w:t>
      </w:r>
      <w:r w:rsidR="00B01437">
        <w:rPr>
          <w:rFonts w:ascii="Open Sans" w:hAnsi="Open Sans" w:cs="Open Sans"/>
          <w:sz w:val="22"/>
        </w:rPr>
        <w:t xml:space="preserve"> much responsibility for</w:t>
      </w:r>
      <w:r w:rsidR="00AD69C3" w:rsidRPr="00A212B1">
        <w:rPr>
          <w:rFonts w:ascii="Open Sans" w:hAnsi="Open Sans" w:cs="Open Sans"/>
          <w:sz w:val="22"/>
        </w:rPr>
        <w:t xml:space="preserve"> the failure of the EV charge-point producer onto the installer</w:t>
      </w:r>
      <w:r w:rsidR="00B01437">
        <w:rPr>
          <w:rFonts w:ascii="Open Sans" w:hAnsi="Open Sans" w:cs="Open Sans"/>
          <w:sz w:val="22"/>
        </w:rPr>
        <w:t xml:space="preserve"> rather than the manufacturer.</w:t>
      </w:r>
    </w:p>
    <w:p w14:paraId="2A3E4DC8" w14:textId="5EB71BF8" w:rsidR="009B375B" w:rsidRPr="00A212B1" w:rsidRDefault="009B375B" w:rsidP="00C56530">
      <w:pPr>
        <w:pStyle w:val="TNR"/>
        <w:spacing w:line="240" w:lineRule="auto"/>
        <w:rPr>
          <w:rFonts w:ascii="Open Sans" w:hAnsi="Open Sans" w:cs="Open Sans"/>
          <w:sz w:val="22"/>
        </w:rPr>
      </w:pPr>
    </w:p>
    <w:p w14:paraId="31F03C36" w14:textId="77777777" w:rsidR="0051011F" w:rsidRDefault="00AD69C3" w:rsidP="00C56530">
      <w:pPr>
        <w:pStyle w:val="TNR"/>
        <w:spacing w:line="240" w:lineRule="auto"/>
        <w:rPr>
          <w:rFonts w:ascii="Open Sans" w:hAnsi="Open Sans" w:cs="Open Sans"/>
          <w:sz w:val="22"/>
        </w:rPr>
      </w:pPr>
      <w:r w:rsidRPr="00A212B1">
        <w:rPr>
          <w:rFonts w:ascii="Open Sans" w:hAnsi="Open Sans" w:cs="Open Sans"/>
          <w:b/>
          <w:bCs/>
          <w:sz w:val="22"/>
        </w:rPr>
        <w:t xml:space="preserve">Smart Charging capabilities: </w:t>
      </w:r>
      <w:r w:rsidRPr="00A212B1">
        <w:rPr>
          <w:rFonts w:ascii="Open Sans" w:hAnsi="Open Sans" w:cs="Open Sans"/>
          <w:sz w:val="22"/>
        </w:rPr>
        <w:t xml:space="preserve">The inclusion of the “smart” capability, described above for the EVHS, encourages an EV infrastructure which is prepared for future grid flexibility. The specifications also allow for variation and an uncapped level of “smart” capabilities in the charge-points. While it is a current limitation of the WCS that it does not include this minimum technical specification, there is legislation expected in 2021 to mandate that all private chargers have a “smart” capability. </w:t>
      </w:r>
      <w:r w:rsidR="00E474CB">
        <w:rPr>
          <w:rFonts w:ascii="Open Sans" w:hAnsi="Open Sans" w:cs="Open Sans"/>
          <w:sz w:val="22"/>
        </w:rPr>
        <w:t xml:space="preserve">This will be linked to the draft BSI PAS 1878 standard (see REA comments on the draft standard </w:t>
      </w:r>
      <w:hyperlink r:id="rId14" w:history="1">
        <w:r w:rsidR="00E474CB" w:rsidRPr="00E474CB">
          <w:rPr>
            <w:rStyle w:val="Hyperlink"/>
            <w:rFonts w:ascii="Open Sans" w:hAnsi="Open Sans" w:cs="Open Sans"/>
            <w:sz w:val="22"/>
          </w:rPr>
          <w:t>here</w:t>
        </w:r>
      </w:hyperlink>
      <w:r w:rsidR="00E474CB">
        <w:rPr>
          <w:rFonts w:ascii="Open Sans" w:hAnsi="Open Sans" w:cs="Open Sans"/>
          <w:sz w:val="22"/>
        </w:rPr>
        <w:t xml:space="preserve">). </w:t>
      </w:r>
    </w:p>
    <w:p w14:paraId="31B8DC60" w14:textId="764081AD" w:rsidR="00AD69C3" w:rsidRPr="00A212B1" w:rsidRDefault="00A124E9" w:rsidP="00C56530">
      <w:pPr>
        <w:pStyle w:val="TNR"/>
        <w:spacing w:line="240" w:lineRule="auto"/>
        <w:rPr>
          <w:rFonts w:ascii="Open Sans" w:hAnsi="Open Sans" w:cs="Open Sans"/>
          <w:sz w:val="22"/>
        </w:rPr>
      </w:pPr>
      <w:r w:rsidRPr="00A212B1">
        <w:rPr>
          <w:rFonts w:ascii="Open Sans" w:hAnsi="Open Sans" w:cs="Open Sans"/>
          <w:sz w:val="22"/>
        </w:rPr>
        <w:t>By setting this standard for the entire market, this</w:t>
      </w:r>
      <w:r w:rsidR="00AD69C3" w:rsidRPr="00A212B1">
        <w:rPr>
          <w:rFonts w:ascii="Open Sans" w:hAnsi="Open Sans" w:cs="Open Sans"/>
          <w:sz w:val="22"/>
        </w:rPr>
        <w:t xml:space="preserve"> could also help support the second weakness of both schemes: that by having a grant level which is too low</w:t>
      </w:r>
      <w:r w:rsidRPr="00A212B1">
        <w:rPr>
          <w:rFonts w:ascii="Open Sans" w:hAnsi="Open Sans" w:cs="Open Sans"/>
          <w:sz w:val="22"/>
        </w:rPr>
        <w:t xml:space="preserve">, </w:t>
      </w:r>
      <w:r w:rsidR="009E5281" w:rsidRPr="00A212B1">
        <w:rPr>
          <w:rFonts w:ascii="Open Sans" w:hAnsi="Open Sans" w:cs="Open Sans"/>
          <w:sz w:val="22"/>
        </w:rPr>
        <w:t>they</w:t>
      </w:r>
      <w:r w:rsidRPr="00A212B1">
        <w:rPr>
          <w:rFonts w:ascii="Open Sans" w:hAnsi="Open Sans" w:cs="Open Sans"/>
          <w:sz w:val="22"/>
        </w:rPr>
        <w:t xml:space="preserve"> </w:t>
      </w:r>
      <w:r w:rsidR="009E5281" w:rsidRPr="00A212B1">
        <w:rPr>
          <w:rFonts w:ascii="Open Sans" w:hAnsi="Open Sans" w:cs="Open Sans"/>
          <w:sz w:val="22"/>
        </w:rPr>
        <w:t>are</w:t>
      </w:r>
      <w:r w:rsidRPr="00A212B1">
        <w:rPr>
          <w:rFonts w:ascii="Open Sans" w:hAnsi="Open Sans" w:cs="Open Sans"/>
          <w:sz w:val="22"/>
        </w:rPr>
        <w:t xml:space="preserve"> failing to incentivise</w:t>
      </w:r>
      <w:r w:rsidR="00AD69C3" w:rsidRPr="00A212B1">
        <w:rPr>
          <w:rFonts w:ascii="Open Sans" w:hAnsi="Open Sans" w:cs="Open Sans"/>
          <w:sz w:val="22"/>
        </w:rPr>
        <w:t xml:space="preserve"> the purchase of “smart” charge-points</w:t>
      </w:r>
      <w:r w:rsidRPr="00A212B1">
        <w:rPr>
          <w:rFonts w:ascii="Open Sans" w:hAnsi="Open Sans" w:cs="Open Sans"/>
          <w:sz w:val="22"/>
        </w:rPr>
        <w:t xml:space="preserve"> over cheaper “</w:t>
      </w:r>
      <w:r w:rsidR="00B01437">
        <w:rPr>
          <w:rFonts w:ascii="Open Sans" w:hAnsi="Open Sans" w:cs="Open Sans"/>
          <w:sz w:val="22"/>
        </w:rPr>
        <w:t>non-smart</w:t>
      </w:r>
      <w:r w:rsidRPr="00A212B1">
        <w:rPr>
          <w:rFonts w:ascii="Open Sans" w:hAnsi="Open Sans" w:cs="Open Sans"/>
          <w:sz w:val="22"/>
        </w:rPr>
        <w:t xml:space="preserve">” charge-points. </w:t>
      </w:r>
      <w:r w:rsidR="00AD69C3" w:rsidRPr="00A212B1">
        <w:rPr>
          <w:rFonts w:ascii="Open Sans" w:hAnsi="Open Sans" w:cs="Open Sans"/>
          <w:sz w:val="22"/>
        </w:rPr>
        <w:t xml:space="preserve"> </w:t>
      </w:r>
    </w:p>
    <w:p w14:paraId="06D6AAAA" w14:textId="745DFB12" w:rsidR="00AD69C3" w:rsidRPr="00A212B1" w:rsidRDefault="00AD69C3" w:rsidP="00C56530">
      <w:pPr>
        <w:pStyle w:val="TNR"/>
        <w:spacing w:line="240" w:lineRule="auto"/>
        <w:rPr>
          <w:rFonts w:ascii="Open Sans" w:hAnsi="Open Sans" w:cs="Open Sans"/>
          <w:sz w:val="22"/>
        </w:rPr>
      </w:pPr>
    </w:p>
    <w:p w14:paraId="64246AD5" w14:textId="77777777" w:rsidR="0051011F" w:rsidRDefault="00AD69C3" w:rsidP="00C56530">
      <w:pPr>
        <w:pStyle w:val="TNR"/>
        <w:spacing w:line="240" w:lineRule="auto"/>
        <w:rPr>
          <w:rFonts w:ascii="Open Sans" w:hAnsi="Open Sans" w:cs="Open Sans"/>
          <w:sz w:val="22"/>
        </w:rPr>
      </w:pPr>
      <w:r w:rsidRPr="00A212B1">
        <w:rPr>
          <w:rFonts w:ascii="Open Sans" w:hAnsi="Open Sans" w:cs="Open Sans"/>
          <w:b/>
          <w:bCs/>
          <w:sz w:val="22"/>
        </w:rPr>
        <w:t xml:space="preserve">Grant </w:t>
      </w:r>
      <w:r w:rsidR="000F6B7C" w:rsidRPr="00A212B1">
        <w:rPr>
          <w:rFonts w:ascii="Open Sans" w:hAnsi="Open Sans" w:cs="Open Sans"/>
          <w:b/>
          <w:bCs/>
          <w:sz w:val="22"/>
        </w:rPr>
        <w:t>administration</w:t>
      </w:r>
      <w:r w:rsidR="009E5281" w:rsidRPr="00A212B1">
        <w:rPr>
          <w:rFonts w:ascii="Open Sans" w:hAnsi="Open Sans" w:cs="Open Sans"/>
          <w:b/>
          <w:bCs/>
          <w:sz w:val="22"/>
        </w:rPr>
        <w:t xml:space="preserve">: </w:t>
      </w:r>
      <w:r w:rsidR="009E5281" w:rsidRPr="00A212B1">
        <w:rPr>
          <w:rFonts w:ascii="Open Sans" w:hAnsi="Open Sans" w:cs="Open Sans"/>
          <w:sz w:val="22"/>
        </w:rPr>
        <w:t>T</w:t>
      </w:r>
      <w:r w:rsidR="007D748D" w:rsidRPr="00A212B1">
        <w:rPr>
          <w:rFonts w:ascii="Open Sans" w:hAnsi="Open Sans" w:cs="Open Sans"/>
          <w:sz w:val="22"/>
        </w:rPr>
        <w:t xml:space="preserve">he administrative process of the EVHS has been discouraging the use of the scheme for installers. </w:t>
      </w:r>
      <w:r w:rsidR="003463E5" w:rsidRPr="00A212B1">
        <w:rPr>
          <w:rFonts w:ascii="Open Sans" w:hAnsi="Open Sans" w:cs="Open Sans"/>
          <w:sz w:val="22"/>
        </w:rPr>
        <w:t xml:space="preserve">Installers face long payment delays because of delays between installers providing proof of instalment and response </w:t>
      </w:r>
      <w:r w:rsidR="007D748D" w:rsidRPr="00A212B1">
        <w:rPr>
          <w:rFonts w:ascii="Open Sans" w:hAnsi="Open Sans" w:cs="Open Sans"/>
          <w:sz w:val="22"/>
        </w:rPr>
        <w:t xml:space="preserve">and complicated forms which encourage mistakes. Particularly for small-scale installers, they are unable to continue to provide installation services without the ability to weather the risk of long waiting times and having their </w:t>
      </w:r>
      <w:r w:rsidR="00DF5CF4" w:rsidRPr="00A212B1">
        <w:rPr>
          <w:rFonts w:ascii="Open Sans" w:hAnsi="Open Sans" w:cs="Open Sans"/>
          <w:sz w:val="22"/>
        </w:rPr>
        <w:t>file</w:t>
      </w:r>
      <w:r w:rsidR="007D748D" w:rsidRPr="00A212B1">
        <w:rPr>
          <w:rFonts w:ascii="Open Sans" w:hAnsi="Open Sans" w:cs="Open Sans"/>
          <w:sz w:val="22"/>
        </w:rPr>
        <w:t xml:space="preserve"> denied. </w:t>
      </w:r>
    </w:p>
    <w:p w14:paraId="3BA8FBE6" w14:textId="77777777" w:rsidR="0051011F" w:rsidRDefault="007D748D" w:rsidP="00C56530">
      <w:pPr>
        <w:pStyle w:val="TNR"/>
        <w:spacing w:line="240" w:lineRule="auto"/>
        <w:rPr>
          <w:rFonts w:ascii="Open Sans" w:hAnsi="Open Sans" w:cs="Open Sans"/>
          <w:sz w:val="22"/>
        </w:rPr>
      </w:pPr>
      <w:r w:rsidRPr="00A212B1">
        <w:rPr>
          <w:rFonts w:ascii="Open Sans" w:hAnsi="Open Sans" w:cs="Open Sans"/>
          <w:sz w:val="22"/>
        </w:rPr>
        <w:t xml:space="preserve">This is not an issue for the WCS, where a voucher-based system means that the recipients of the charge-points have to go through the administrative process for bundles of charge-points, rather than individual ones, and the installers only provide the service once </w:t>
      </w:r>
      <w:r w:rsidR="00DF5CF4" w:rsidRPr="00A212B1">
        <w:rPr>
          <w:rFonts w:ascii="Open Sans" w:hAnsi="Open Sans" w:cs="Open Sans"/>
          <w:sz w:val="22"/>
        </w:rPr>
        <w:t>the installers</w:t>
      </w:r>
      <w:r w:rsidRPr="00A212B1">
        <w:rPr>
          <w:rFonts w:ascii="Open Sans" w:hAnsi="Open Sans" w:cs="Open Sans"/>
          <w:sz w:val="22"/>
        </w:rPr>
        <w:t xml:space="preserve"> have received the grant from the government. </w:t>
      </w:r>
    </w:p>
    <w:p w14:paraId="603749E3" w14:textId="77777777" w:rsidR="0051011F" w:rsidRDefault="007D748D" w:rsidP="00C56530">
      <w:pPr>
        <w:pStyle w:val="TNR"/>
        <w:spacing w:line="240" w:lineRule="auto"/>
        <w:rPr>
          <w:rFonts w:ascii="Open Sans" w:hAnsi="Open Sans" w:cs="Open Sans"/>
          <w:sz w:val="22"/>
        </w:rPr>
      </w:pPr>
      <w:r w:rsidRPr="00A212B1">
        <w:rPr>
          <w:rFonts w:ascii="Open Sans" w:hAnsi="Open Sans" w:cs="Open Sans"/>
          <w:sz w:val="22"/>
        </w:rPr>
        <w:t>However, both grants are seen as relatively immobile as they only apply to products which are fully purchased upfront</w:t>
      </w:r>
      <w:r w:rsidR="00925887" w:rsidRPr="00A212B1">
        <w:rPr>
          <w:rFonts w:ascii="Open Sans" w:hAnsi="Open Sans" w:cs="Open Sans"/>
          <w:sz w:val="22"/>
        </w:rPr>
        <w:t xml:space="preserve"> </w:t>
      </w:r>
      <w:r w:rsidRPr="00A212B1">
        <w:rPr>
          <w:rFonts w:ascii="Open Sans" w:hAnsi="Open Sans" w:cs="Open Sans"/>
          <w:sz w:val="22"/>
        </w:rPr>
        <w:t>or are leased for a period of at least 6 months</w:t>
      </w:r>
      <w:r w:rsidR="00925887" w:rsidRPr="00A212B1">
        <w:rPr>
          <w:rFonts w:ascii="Open Sans" w:hAnsi="Open Sans" w:cs="Open Sans"/>
          <w:sz w:val="22"/>
        </w:rPr>
        <w:t xml:space="preserve">. The market now is </w:t>
      </w:r>
      <w:r w:rsidR="00925887" w:rsidRPr="00A212B1">
        <w:rPr>
          <w:rFonts w:ascii="Open Sans" w:hAnsi="Open Sans" w:cs="Open Sans"/>
          <w:sz w:val="22"/>
        </w:rPr>
        <w:lastRenderedPageBreak/>
        <w:t xml:space="preserve">shifting towards bundled products and leasing of cars, and these grant schemes are not supporting this direction of growth and accessible use of low-emission vehicles. </w:t>
      </w:r>
    </w:p>
    <w:p w14:paraId="790A0E37" w14:textId="23BBBAEB" w:rsidR="00B3059B" w:rsidRPr="00A212B1" w:rsidRDefault="00925887" w:rsidP="00B3059B">
      <w:pPr>
        <w:pStyle w:val="TNR"/>
        <w:spacing w:line="240" w:lineRule="auto"/>
        <w:rPr>
          <w:rFonts w:ascii="Open Sans" w:hAnsi="Open Sans" w:cs="Open Sans"/>
          <w:sz w:val="22"/>
        </w:rPr>
      </w:pPr>
      <w:r w:rsidRPr="00A212B1">
        <w:rPr>
          <w:rFonts w:ascii="Open Sans" w:hAnsi="Open Sans" w:cs="Open Sans"/>
          <w:sz w:val="22"/>
        </w:rPr>
        <w:t>In addition, the WCS only permits the use of EV</w:t>
      </w:r>
      <w:r w:rsidR="00DF5CF4" w:rsidRPr="00A212B1">
        <w:rPr>
          <w:rFonts w:ascii="Open Sans" w:hAnsi="Open Sans" w:cs="Open Sans"/>
          <w:sz w:val="22"/>
        </w:rPr>
        <w:t xml:space="preserve"> charg</w:t>
      </w:r>
      <w:r w:rsidR="0018059C" w:rsidRPr="00A212B1">
        <w:rPr>
          <w:rFonts w:ascii="Open Sans" w:hAnsi="Open Sans" w:cs="Open Sans"/>
          <w:sz w:val="22"/>
        </w:rPr>
        <w:t>e</w:t>
      </w:r>
      <w:r w:rsidR="00DF5CF4" w:rsidRPr="00A212B1">
        <w:rPr>
          <w:rFonts w:ascii="Open Sans" w:hAnsi="Open Sans" w:cs="Open Sans"/>
          <w:sz w:val="22"/>
        </w:rPr>
        <w:t>-points</w:t>
      </w:r>
      <w:r w:rsidRPr="00A212B1">
        <w:rPr>
          <w:rFonts w:ascii="Open Sans" w:hAnsi="Open Sans" w:cs="Open Sans"/>
          <w:sz w:val="22"/>
        </w:rPr>
        <w:t xml:space="preserve"> by employees of the business which receives the grant, limiting the potential of these charge-points to support public EV infrastructure outside of work hours, which could be of interest both to the government, to private individuals, and to the businesses who own the charge-points. </w:t>
      </w:r>
    </w:p>
    <w:p w14:paraId="01F77280" w14:textId="441A6E52" w:rsidR="00B3059B" w:rsidRPr="00A212B1" w:rsidRDefault="00B3059B">
      <w:pPr>
        <w:rPr>
          <w:rFonts w:ascii="Open Sans" w:eastAsiaTheme="minorEastAsia" w:hAnsi="Open Sans" w:cs="Open Sans"/>
          <w:b/>
          <w:bCs/>
          <w:color w:val="06926B"/>
          <w:lang w:eastAsia="ja-JP"/>
        </w:rPr>
      </w:pPr>
    </w:p>
    <w:p w14:paraId="4C1397AA" w14:textId="365E6AAD" w:rsidR="002E3BBD" w:rsidRPr="00B01437" w:rsidRDefault="00945FA7" w:rsidP="005E30EE">
      <w:pPr>
        <w:pStyle w:val="TNR"/>
        <w:spacing w:line="240" w:lineRule="auto"/>
        <w:rPr>
          <w:rFonts w:ascii="Open Sans" w:hAnsi="Open Sans" w:cs="Open Sans"/>
          <w:b/>
          <w:bCs/>
          <w:color w:val="06926B"/>
          <w:sz w:val="28"/>
          <w:szCs w:val="28"/>
        </w:rPr>
      </w:pPr>
      <w:r>
        <w:rPr>
          <w:rFonts w:ascii="Open Sans" w:hAnsi="Open Sans" w:cs="Open Sans"/>
          <w:b/>
          <w:bCs/>
          <w:color w:val="06926B"/>
          <w:sz w:val="28"/>
          <w:szCs w:val="28"/>
        </w:rPr>
        <w:t xml:space="preserve">Annex 2: </w:t>
      </w:r>
      <w:r w:rsidR="002E3BBD" w:rsidRPr="00B01437">
        <w:rPr>
          <w:rFonts w:ascii="Open Sans" w:hAnsi="Open Sans" w:cs="Open Sans"/>
          <w:b/>
          <w:bCs/>
          <w:color w:val="06926B"/>
          <w:sz w:val="28"/>
          <w:szCs w:val="28"/>
        </w:rPr>
        <w:t xml:space="preserve">International Market </w:t>
      </w:r>
      <w:r w:rsidR="00A124E9" w:rsidRPr="00B01437">
        <w:rPr>
          <w:rFonts w:ascii="Open Sans" w:hAnsi="Open Sans" w:cs="Open Sans"/>
          <w:b/>
          <w:bCs/>
          <w:color w:val="06926B"/>
          <w:sz w:val="28"/>
          <w:szCs w:val="28"/>
        </w:rPr>
        <w:t>Analysis</w:t>
      </w:r>
    </w:p>
    <w:p w14:paraId="397DE90B" w14:textId="77777777" w:rsidR="0051011F" w:rsidRDefault="00BD5785" w:rsidP="0051011F">
      <w:pPr>
        <w:pStyle w:val="TNR"/>
        <w:spacing w:line="240" w:lineRule="auto"/>
        <w:rPr>
          <w:rFonts w:ascii="Open Sans" w:hAnsi="Open Sans" w:cs="Open Sans"/>
          <w:sz w:val="22"/>
        </w:rPr>
      </w:pPr>
      <w:r w:rsidRPr="00A212B1">
        <w:rPr>
          <w:rFonts w:ascii="Open Sans" w:hAnsi="Open Sans" w:cs="Open Sans"/>
          <w:sz w:val="22"/>
        </w:rPr>
        <w:t xml:space="preserve">This section outlines the current state of national EV infrastructure markets and corresponding government policies in a number of European </w:t>
      </w:r>
      <w:r w:rsidR="00DF5CF4" w:rsidRPr="00A212B1">
        <w:rPr>
          <w:rFonts w:ascii="Open Sans" w:hAnsi="Open Sans" w:cs="Open Sans"/>
          <w:sz w:val="22"/>
        </w:rPr>
        <w:t>countries</w:t>
      </w:r>
      <w:r w:rsidRPr="00A212B1">
        <w:rPr>
          <w:rFonts w:ascii="Open Sans" w:hAnsi="Open Sans" w:cs="Open Sans"/>
          <w:sz w:val="22"/>
        </w:rPr>
        <w:t xml:space="preserve">. </w:t>
      </w:r>
    </w:p>
    <w:p w14:paraId="00D1B1B4" w14:textId="450705FF" w:rsidR="00BD5785" w:rsidRPr="00A212B1" w:rsidRDefault="00BD5785" w:rsidP="0051011F">
      <w:pPr>
        <w:pStyle w:val="TNR"/>
        <w:spacing w:line="240" w:lineRule="auto"/>
        <w:rPr>
          <w:rFonts w:ascii="Open Sans" w:hAnsi="Open Sans" w:cs="Open Sans"/>
          <w:sz w:val="22"/>
        </w:rPr>
      </w:pPr>
      <w:r w:rsidRPr="00A212B1">
        <w:rPr>
          <w:rFonts w:ascii="Open Sans" w:hAnsi="Open Sans" w:cs="Open Sans"/>
          <w:sz w:val="22"/>
        </w:rPr>
        <w:t xml:space="preserve">This information, along with brief considerations of the respective strengths and weaknesses of each approach, aims to inform recommendations for the UK market in the </w:t>
      </w:r>
      <w:r w:rsidR="00DF5CF4" w:rsidRPr="00A212B1">
        <w:rPr>
          <w:rFonts w:ascii="Open Sans" w:hAnsi="Open Sans" w:cs="Open Sans"/>
          <w:sz w:val="22"/>
        </w:rPr>
        <w:t>subsequent</w:t>
      </w:r>
      <w:r w:rsidRPr="00A212B1">
        <w:rPr>
          <w:rFonts w:ascii="Open Sans" w:hAnsi="Open Sans" w:cs="Open Sans"/>
          <w:sz w:val="22"/>
        </w:rPr>
        <w:t xml:space="preserve"> section.   </w:t>
      </w:r>
    </w:p>
    <w:p w14:paraId="60819F09" w14:textId="77777777" w:rsidR="00BD5785" w:rsidRPr="00A212B1" w:rsidRDefault="00BD5785" w:rsidP="005E30EE">
      <w:pPr>
        <w:pStyle w:val="TNR"/>
        <w:spacing w:line="240" w:lineRule="auto"/>
        <w:rPr>
          <w:rFonts w:ascii="Open Sans" w:hAnsi="Open Sans" w:cs="Open Sans"/>
          <w:sz w:val="22"/>
        </w:rPr>
      </w:pPr>
    </w:p>
    <w:p w14:paraId="18AE7937" w14:textId="6E94587D" w:rsidR="008077FD" w:rsidRPr="00A212B1" w:rsidRDefault="00010CEC" w:rsidP="005E30EE">
      <w:pPr>
        <w:pStyle w:val="TNR"/>
        <w:spacing w:line="240" w:lineRule="auto"/>
        <w:rPr>
          <w:rFonts w:ascii="Open Sans" w:hAnsi="Open Sans" w:cs="Open Sans"/>
          <w:b/>
          <w:bCs/>
          <w:sz w:val="22"/>
          <w:u w:val="single"/>
        </w:rPr>
      </w:pPr>
      <w:r w:rsidRPr="00A212B1">
        <w:rPr>
          <w:rFonts w:ascii="Open Sans" w:hAnsi="Open Sans" w:cs="Open Sans"/>
          <w:b/>
          <w:bCs/>
          <w:sz w:val="22"/>
          <w:u w:val="single"/>
        </w:rPr>
        <w:t>The Netherlands:</w:t>
      </w:r>
    </w:p>
    <w:p w14:paraId="06EF6EA0" w14:textId="3CE7285D" w:rsidR="0051011F" w:rsidRDefault="00010CEC" w:rsidP="005E30EE">
      <w:pPr>
        <w:pStyle w:val="TNR"/>
        <w:spacing w:line="240" w:lineRule="auto"/>
        <w:rPr>
          <w:rFonts w:ascii="Open Sans" w:hAnsi="Open Sans" w:cs="Open Sans"/>
          <w:sz w:val="22"/>
        </w:rPr>
      </w:pPr>
      <w:r w:rsidRPr="00A212B1">
        <w:rPr>
          <w:rFonts w:ascii="Open Sans" w:hAnsi="Open Sans" w:cs="Open Sans"/>
          <w:sz w:val="22"/>
        </w:rPr>
        <w:t>The Netherlands is widely seen as a model for successful incentive policies in EV uptake and in EV infrastructure development, with the highest charger density worldwide and the highest ratio of slow EV charge points to cars worldwide. Generous public EV charge-point installation program</w:t>
      </w:r>
      <w:r w:rsidR="00113FFA" w:rsidRPr="00A212B1">
        <w:rPr>
          <w:rFonts w:ascii="Open Sans" w:hAnsi="Open Sans" w:cs="Open Sans"/>
          <w:sz w:val="22"/>
        </w:rPr>
        <w:t>me</w:t>
      </w:r>
      <w:r w:rsidRPr="00A212B1">
        <w:rPr>
          <w:rFonts w:ascii="Open Sans" w:hAnsi="Open Sans" w:cs="Open Sans"/>
          <w:sz w:val="22"/>
        </w:rPr>
        <w:t>s are available; any member of the public can request free</w:t>
      </w:r>
      <w:r w:rsidR="00DF5CF4" w:rsidRPr="00A212B1">
        <w:rPr>
          <w:rFonts w:ascii="Open Sans" w:hAnsi="Open Sans" w:cs="Open Sans"/>
          <w:sz w:val="22"/>
        </w:rPr>
        <w:t xml:space="preserve"> of charge</w:t>
      </w:r>
      <w:r w:rsidRPr="00A212B1">
        <w:rPr>
          <w:rFonts w:ascii="Open Sans" w:hAnsi="Open Sans" w:cs="Open Sans"/>
          <w:sz w:val="22"/>
        </w:rPr>
        <w:t xml:space="preserve"> the installation of a charge-point near their home throughout the country. </w:t>
      </w:r>
    </w:p>
    <w:p w14:paraId="2F867192" w14:textId="77777777" w:rsidR="0051011F" w:rsidRDefault="00010CEC" w:rsidP="005E30EE">
      <w:pPr>
        <w:pStyle w:val="TNR"/>
        <w:spacing w:line="240" w:lineRule="auto"/>
        <w:rPr>
          <w:rFonts w:ascii="Open Sans" w:hAnsi="Open Sans" w:cs="Open Sans"/>
          <w:sz w:val="22"/>
        </w:rPr>
      </w:pPr>
      <w:r w:rsidRPr="00A212B1">
        <w:rPr>
          <w:rFonts w:ascii="Open Sans" w:hAnsi="Open Sans" w:cs="Open Sans"/>
          <w:sz w:val="22"/>
        </w:rPr>
        <w:t xml:space="preserve">While there are no direct </w:t>
      </w:r>
      <w:r w:rsidR="00DF5CF4" w:rsidRPr="00A212B1">
        <w:rPr>
          <w:rFonts w:ascii="Open Sans" w:hAnsi="Open Sans" w:cs="Open Sans"/>
          <w:sz w:val="22"/>
        </w:rPr>
        <w:t xml:space="preserve">private </w:t>
      </w:r>
      <w:r w:rsidRPr="00A212B1">
        <w:rPr>
          <w:rFonts w:ascii="Open Sans" w:hAnsi="Open Sans" w:cs="Open Sans"/>
          <w:sz w:val="22"/>
        </w:rPr>
        <w:t xml:space="preserve">EV charge-point incentive schemes, the Environmental Investment Allowance (MIA) and the Random Depreciation of Environmental Investments (VAMIL) </w:t>
      </w:r>
      <w:r w:rsidR="00DF5CF4" w:rsidRPr="00A212B1">
        <w:rPr>
          <w:rFonts w:ascii="Open Sans" w:hAnsi="Open Sans" w:cs="Open Sans"/>
          <w:sz w:val="22"/>
        </w:rPr>
        <w:t>provide</w:t>
      </w:r>
      <w:r w:rsidRPr="00A212B1">
        <w:rPr>
          <w:rFonts w:ascii="Open Sans" w:hAnsi="Open Sans" w:cs="Open Sans"/>
          <w:sz w:val="22"/>
        </w:rPr>
        <w:t xml:space="preserve"> the opportunity for </w:t>
      </w:r>
      <w:r w:rsidR="00DF5CF4" w:rsidRPr="00A212B1">
        <w:rPr>
          <w:rFonts w:ascii="Open Sans" w:hAnsi="Open Sans" w:cs="Open Sans"/>
          <w:sz w:val="22"/>
        </w:rPr>
        <w:t>businesses</w:t>
      </w:r>
      <w:r w:rsidRPr="00A212B1">
        <w:rPr>
          <w:rFonts w:ascii="Open Sans" w:hAnsi="Open Sans" w:cs="Open Sans"/>
          <w:sz w:val="22"/>
        </w:rPr>
        <w:t xml:space="preserve"> to receive investment </w:t>
      </w:r>
      <w:r w:rsidR="00AF6497" w:rsidRPr="00A212B1">
        <w:rPr>
          <w:rFonts w:ascii="Open Sans" w:hAnsi="Open Sans" w:cs="Open Sans"/>
          <w:sz w:val="22"/>
        </w:rPr>
        <w:t>deductions</w:t>
      </w:r>
      <w:r w:rsidRPr="00A212B1">
        <w:rPr>
          <w:rFonts w:ascii="Open Sans" w:hAnsi="Open Sans" w:cs="Open Sans"/>
          <w:sz w:val="22"/>
        </w:rPr>
        <w:t xml:space="preserve"> on, among other technologies, EV charge-points. </w:t>
      </w:r>
    </w:p>
    <w:p w14:paraId="0A2D363D" w14:textId="2A739777" w:rsidR="00010CEC" w:rsidRPr="00A212B1" w:rsidRDefault="00010CEC" w:rsidP="005E30EE">
      <w:pPr>
        <w:pStyle w:val="TNR"/>
        <w:spacing w:line="240" w:lineRule="auto"/>
        <w:rPr>
          <w:rFonts w:ascii="Open Sans" w:hAnsi="Open Sans" w:cs="Open Sans"/>
          <w:sz w:val="22"/>
        </w:rPr>
      </w:pPr>
      <w:r w:rsidRPr="00A212B1">
        <w:rPr>
          <w:rFonts w:ascii="Open Sans" w:hAnsi="Open Sans" w:cs="Open Sans"/>
          <w:sz w:val="22"/>
        </w:rPr>
        <w:t>With low access to in-house parking and therefore charge-points in the Netherlands, coupled with their evenly distributed high population density, the focus on public charge-point program</w:t>
      </w:r>
      <w:r w:rsidR="00113FFA" w:rsidRPr="00A212B1">
        <w:rPr>
          <w:rFonts w:ascii="Open Sans" w:hAnsi="Open Sans" w:cs="Open Sans"/>
          <w:sz w:val="22"/>
        </w:rPr>
        <w:t>me</w:t>
      </w:r>
      <w:r w:rsidRPr="00A212B1">
        <w:rPr>
          <w:rFonts w:ascii="Open Sans" w:hAnsi="Open Sans" w:cs="Open Sans"/>
          <w:sz w:val="22"/>
        </w:rPr>
        <w:t xml:space="preserve">s has worked well in supporting EV uptake. </w:t>
      </w:r>
    </w:p>
    <w:p w14:paraId="720DFFF4" w14:textId="47F0860C" w:rsidR="00010CEC" w:rsidRPr="00A212B1" w:rsidRDefault="00010CEC" w:rsidP="005E30EE">
      <w:pPr>
        <w:pStyle w:val="TNR"/>
        <w:spacing w:line="240" w:lineRule="auto"/>
        <w:rPr>
          <w:rFonts w:ascii="Open Sans" w:hAnsi="Open Sans" w:cs="Open Sans"/>
          <w:sz w:val="22"/>
        </w:rPr>
      </w:pPr>
    </w:p>
    <w:p w14:paraId="71535253" w14:textId="0F3B0FB6" w:rsidR="00010CEC" w:rsidRPr="00A212B1" w:rsidRDefault="00010CEC" w:rsidP="005E30EE">
      <w:pPr>
        <w:pStyle w:val="TNR"/>
        <w:spacing w:line="240" w:lineRule="auto"/>
        <w:rPr>
          <w:rFonts w:ascii="Open Sans" w:hAnsi="Open Sans" w:cs="Open Sans"/>
          <w:b/>
          <w:bCs/>
          <w:sz w:val="22"/>
          <w:u w:val="single"/>
        </w:rPr>
      </w:pPr>
      <w:r w:rsidRPr="00A212B1">
        <w:rPr>
          <w:rFonts w:ascii="Open Sans" w:hAnsi="Open Sans" w:cs="Open Sans"/>
          <w:b/>
          <w:bCs/>
          <w:sz w:val="22"/>
          <w:u w:val="single"/>
        </w:rPr>
        <w:t>Norway:</w:t>
      </w:r>
    </w:p>
    <w:p w14:paraId="4E078BA6" w14:textId="77777777" w:rsidR="0051011F" w:rsidRDefault="00010CEC" w:rsidP="005E30EE">
      <w:pPr>
        <w:pStyle w:val="TNR"/>
        <w:spacing w:line="240" w:lineRule="auto"/>
        <w:rPr>
          <w:rFonts w:ascii="Open Sans" w:hAnsi="Open Sans" w:cs="Open Sans"/>
          <w:sz w:val="22"/>
        </w:rPr>
      </w:pPr>
      <w:r w:rsidRPr="00A212B1">
        <w:rPr>
          <w:rFonts w:ascii="Open Sans" w:hAnsi="Open Sans" w:cs="Open Sans"/>
          <w:sz w:val="22"/>
        </w:rPr>
        <w:t xml:space="preserve">Norway has a similar experience to the Netherlands as an EV success story with heavy public investment and no current private EV charging incentives, either in grants or in tax cuts. </w:t>
      </w:r>
    </w:p>
    <w:p w14:paraId="19EE6923" w14:textId="77777777" w:rsidR="0051011F" w:rsidRDefault="00010CEC" w:rsidP="005E30EE">
      <w:pPr>
        <w:pStyle w:val="TNR"/>
        <w:spacing w:line="240" w:lineRule="auto"/>
        <w:rPr>
          <w:rFonts w:ascii="Open Sans" w:hAnsi="Open Sans" w:cs="Open Sans"/>
          <w:sz w:val="22"/>
        </w:rPr>
      </w:pPr>
      <w:r w:rsidRPr="00A212B1">
        <w:rPr>
          <w:rFonts w:ascii="Open Sans" w:hAnsi="Open Sans" w:cs="Open Sans"/>
          <w:sz w:val="22"/>
        </w:rPr>
        <w:t>While there is</w:t>
      </w:r>
      <w:r w:rsidR="00DF5CF4" w:rsidRPr="00A212B1">
        <w:rPr>
          <w:rFonts w:ascii="Open Sans" w:hAnsi="Open Sans" w:cs="Open Sans"/>
          <w:sz w:val="22"/>
        </w:rPr>
        <w:t xml:space="preserve"> a</w:t>
      </w:r>
      <w:r w:rsidRPr="00A212B1">
        <w:rPr>
          <w:rFonts w:ascii="Open Sans" w:hAnsi="Open Sans" w:cs="Open Sans"/>
          <w:sz w:val="22"/>
        </w:rPr>
        <w:t xml:space="preserve"> €2.1mill </w:t>
      </w:r>
      <w:r w:rsidR="00DF5CF4" w:rsidRPr="00A212B1">
        <w:rPr>
          <w:rFonts w:ascii="Open Sans" w:hAnsi="Open Sans" w:cs="Open Sans"/>
          <w:sz w:val="22"/>
        </w:rPr>
        <w:t>scheme helping</w:t>
      </w:r>
      <w:r w:rsidRPr="00A212B1">
        <w:rPr>
          <w:rFonts w:ascii="Open Sans" w:hAnsi="Open Sans" w:cs="Open Sans"/>
          <w:sz w:val="22"/>
        </w:rPr>
        <w:t xml:space="preserve"> housing associations</w:t>
      </w:r>
      <w:r w:rsidR="00DF5CF4" w:rsidRPr="00A212B1">
        <w:rPr>
          <w:rFonts w:ascii="Open Sans" w:hAnsi="Open Sans" w:cs="Open Sans"/>
          <w:sz w:val="22"/>
        </w:rPr>
        <w:t xml:space="preserve"> </w:t>
      </w:r>
      <w:r w:rsidRPr="00A212B1">
        <w:rPr>
          <w:rFonts w:ascii="Open Sans" w:hAnsi="Open Sans" w:cs="Open Sans"/>
          <w:sz w:val="22"/>
        </w:rPr>
        <w:t>install</w:t>
      </w:r>
      <w:r w:rsidR="00DF5CF4" w:rsidRPr="00A212B1">
        <w:rPr>
          <w:rFonts w:ascii="Open Sans" w:hAnsi="Open Sans" w:cs="Open Sans"/>
          <w:sz w:val="22"/>
        </w:rPr>
        <w:t>ing</w:t>
      </w:r>
      <w:r w:rsidRPr="00A212B1">
        <w:rPr>
          <w:rFonts w:ascii="Open Sans" w:hAnsi="Open Sans" w:cs="Open Sans"/>
          <w:sz w:val="22"/>
        </w:rPr>
        <w:t xml:space="preserve"> charge-points, the key area for incentive program</w:t>
      </w:r>
      <w:r w:rsidR="00113FFA" w:rsidRPr="00A212B1">
        <w:rPr>
          <w:rFonts w:ascii="Open Sans" w:hAnsi="Open Sans" w:cs="Open Sans"/>
          <w:sz w:val="22"/>
        </w:rPr>
        <w:t>me</w:t>
      </w:r>
      <w:r w:rsidRPr="00A212B1">
        <w:rPr>
          <w:rFonts w:ascii="Open Sans" w:hAnsi="Open Sans" w:cs="Open Sans"/>
          <w:sz w:val="22"/>
        </w:rPr>
        <w:t xml:space="preserve">s in Norway has been in benefits associated with EV ownership and use, such as large purchase tax cuts, VAT exemption, and half-price fees on toll roads and public parking. </w:t>
      </w:r>
    </w:p>
    <w:p w14:paraId="67D66E9D" w14:textId="12852BCF" w:rsidR="00010CEC" w:rsidRPr="00A212B1" w:rsidRDefault="00010CEC" w:rsidP="005E30EE">
      <w:pPr>
        <w:pStyle w:val="TNR"/>
        <w:spacing w:line="240" w:lineRule="auto"/>
        <w:rPr>
          <w:rFonts w:ascii="Open Sans" w:hAnsi="Open Sans" w:cs="Open Sans"/>
          <w:strike/>
          <w:sz w:val="22"/>
        </w:rPr>
      </w:pPr>
      <w:r w:rsidRPr="00A212B1">
        <w:rPr>
          <w:rFonts w:ascii="Open Sans" w:hAnsi="Open Sans" w:cs="Open Sans"/>
          <w:sz w:val="22"/>
        </w:rPr>
        <w:t xml:space="preserve">Norway has seen </w:t>
      </w:r>
      <w:r w:rsidR="00DF5CF4" w:rsidRPr="00A212B1">
        <w:rPr>
          <w:rFonts w:ascii="Open Sans" w:hAnsi="Open Sans" w:cs="Open Sans"/>
          <w:sz w:val="22"/>
        </w:rPr>
        <w:t>significant</w:t>
      </w:r>
      <w:r w:rsidRPr="00A212B1">
        <w:rPr>
          <w:rFonts w:ascii="Open Sans" w:hAnsi="Open Sans" w:cs="Open Sans"/>
          <w:sz w:val="22"/>
        </w:rPr>
        <w:t xml:space="preserve"> uptake of EVs in recent years</w:t>
      </w:r>
      <w:r w:rsidR="002248E0" w:rsidRPr="00A212B1">
        <w:rPr>
          <w:rFonts w:ascii="Open Sans" w:hAnsi="Open Sans" w:cs="Open Sans"/>
          <w:sz w:val="22"/>
        </w:rPr>
        <w:t xml:space="preserve"> with battery-electric vehicles claiming a 42% market share in 2019.</w:t>
      </w:r>
    </w:p>
    <w:p w14:paraId="2472FED1" w14:textId="77777777" w:rsidR="00BB0449" w:rsidRPr="00A212B1" w:rsidRDefault="00BB0449" w:rsidP="005E30EE">
      <w:pPr>
        <w:pStyle w:val="TNR"/>
        <w:spacing w:line="240" w:lineRule="auto"/>
        <w:rPr>
          <w:rFonts w:ascii="Open Sans" w:hAnsi="Open Sans" w:cs="Open Sans"/>
          <w:strike/>
          <w:sz w:val="22"/>
        </w:rPr>
      </w:pPr>
    </w:p>
    <w:p w14:paraId="6E07ADC3" w14:textId="18CB667D" w:rsidR="002248E0" w:rsidRPr="00A212B1" w:rsidRDefault="002248E0" w:rsidP="005E30EE">
      <w:pPr>
        <w:pStyle w:val="TNR"/>
        <w:spacing w:line="240" w:lineRule="auto"/>
        <w:rPr>
          <w:rFonts w:ascii="Open Sans" w:hAnsi="Open Sans" w:cs="Open Sans"/>
          <w:b/>
          <w:bCs/>
          <w:sz w:val="22"/>
          <w:u w:val="single"/>
        </w:rPr>
      </w:pPr>
      <w:r w:rsidRPr="00A212B1">
        <w:rPr>
          <w:rFonts w:ascii="Open Sans" w:hAnsi="Open Sans" w:cs="Open Sans"/>
          <w:b/>
          <w:bCs/>
          <w:sz w:val="22"/>
          <w:u w:val="single"/>
        </w:rPr>
        <w:lastRenderedPageBreak/>
        <w:t>France:</w:t>
      </w:r>
    </w:p>
    <w:p w14:paraId="6C601939" w14:textId="068050AF" w:rsidR="0051011F" w:rsidRDefault="002248E0" w:rsidP="005E30EE">
      <w:pPr>
        <w:pStyle w:val="TNR"/>
        <w:spacing w:line="240" w:lineRule="auto"/>
        <w:rPr>
          <w:rFonts w:ascii="Open Sans" w:hAnsi="Open Sans" w:cs="Open Sans"/>
          <w:sz w:val="22"/>
        </w:rPr>
      </w:pPr>
      <w:r w:rsidRPr="00A212B1">
        <w:rPr>
          <w:rFonts w:ascii="Open Sans" w:hAnsi="Open Sans" w:cs="Open Sans"/>
          <w:sz w:val="22"/>
        </w:rPr>
        <w:t xml:space="preserve">France has seen a more recent commitment to transport electrification and EV infrastructure development. France has not based its strategy </w:t>
      </w:r>
      <w:r w:rsidR="00DF5CF4" w:rsidRPr="00A212B1">
        <w:rPr>
          <w:rFonts w:ascii="Open Sans" w:hAnsi="Open Sans" w:cs="Open Sans"/>
          <w:sz w:val="22"/>
        </w:rPr>
        <w:t xml:space="preserve">solely </w:t>
      </w:r>
      <w:r w:rsidRPr="00A212B1">
        <w:rPr>
          <w:rFonts w:ascii="Open Sans" w:hAnsi="Open Sans" w:cs="Open Sans"/>
          <w:sz w:val="22"/>
        </w:rPr>
        <w:t>on large-scale infrastructure projects</w:t>
      </w:r>
      <w:r w:rsidR="00DF5CF4" w:rsidRPr="00A212B1">
        <w:rPr>
          <w:rFonts w:ascii="Open Sans" w:hAnsi="Open Sans" w:cs="Open Sans"/>
          <w:sz w:val="22"/>
        </w:rPr>
        <w:t xml:space="preserve"> though it does have</w:t>
      </w:r>
      <w:r w:rsidRPr="00A212B1">
        <w:rPr>
          <w:rFonts w:ascii="Open Sans" w:hAnsi="Open Sans" w:cs="Open Sans"/>
          <w:sz w:val="22"/>
        </w:rPr>
        <w:t xml:space="preserve">, like in the Netherlands, </w:t>
      </w:r>
      <w:r w:rsidR="00DF5CF4" w:rsidRPr="00A212B1">
        <w:rPr>
          <w:rFonts w:ascii="Open Sans" w:hAnsi="Open Sans" w:cs="Open Sans"/>
          <w:sz w:val="22"/>
        </w:rPr>
        <w:t xml:space="preserve">an </w:t>
      </w:r>
      <w:r w:rsidRPr="00A212B1">
        <w:rPr>
          <w:rFonts w:ascii="Open Sans" w:hAnsi="Open Sans" w:cs="Open Sans"/>
          <w:sz w:val="22"/>
        </w:rPr>
        <w:t xml:space="preserve">“on-request” public charge-points </w:t>
      </w:r>
      <w:r w:rsidR="00DF5CF4" w:rsidRPr="00A212B1">
        <w:rPr>
          <w:rFonts w:ascii="Open Sans" w:hAnsi="Open Sans" w:cs="Open Sans"/>
          <w:sz w:val="22"/>
        </w:rPr>
        <w:t xml:space="preserve">provision scheme </w:t>
      </w:r>
      <w:r w:rsidRPr="00A212B1">
        <w:rPr>
          <w:rFonts w:ascii="Open Sans" w:hAnsi="Open Sans" w:cs="Open Sans"/>
          <w:sz w:val="22"/>
        </w:rPr>
        <w:t>for private individuals near to their residence</w:t>
      </w:r>
      <w:r w:rsidR="0051011F">
        <w:rPr>
          <w:rFonts w:ascii="Open Sans" w:hAnsi="Open Sans" w:cs="Open Sans"/>
          <w:sz w:val="22"/>
        </w:rPr>
        <w:t xml:space="preserve"> (known to REA as the ‘Milton Keynes Promise’ – REA report on this from 2018 </w:t>
      </w:r>
      <w:hyperlink r:id="rId15" w:history="1">
        <w:r w:rsidR="0051011F" w:rsidRPr="0051011F">
          <w:rPr>
            <w:rStyle w:val="Hyperlink"/>
            <w:rFonts w:ascii="Open Sans" w:hAnsi="Open Sans" w:cs="Open Sans"/>
            <w:sz w:val="22"/>
          </w:rPr>
          <w:t>here</w:t>
        </w:r>
      </w:hyperlink>
      <w:r w:rsidR="0051011F">
        <w:rPr>
          <w:rFonts w:ascii="Open Sans" w:hAnsi="Open Sans" w:cs="Open Sans"/>
          <w:sz w:val="22"/>
        </w:rPr>
        <w:t>)</w:t>
      </w:r>
      <w:r w:rsidRPr="00A212B1">
        <w:rPr>
          <w:rFonts w:ascii="Open Sans" w:hAnsi="Open Sans" w:cs="Open Sans"/>
          <w:sz w:val="22"/>
        </w:rPr>
        <w:t xml:space="preserve">. </w:t>
      </w:r>
    </w:p>
    <w:p w14:paraId="4E27861A" w14:textId="51DB7D3B" w:rsidR="002248E0" w:rsidRPr="00A212B1" w:rsidRDefault="002248E0" w:rsidP="005E30EE">
      <w:pPr>
        <w:pStyle w:val="TNR"/>
        <w:spacing w:line="240" w:lineRule="auto"/>
        <w:rPr>
          <w:rFonts w:ascii="Open Sans" w:hAnsi="Open Sans" w:cs="Open Sans"/>
          <w:sz w:val="22"/>
        </w:rPr>
      </w:pPr>
      <w:r w:rsidRPr="00A212B1">
        <w:rPr>
          <w:rFonts w:ascii="Open Sans" w:hAnsi="Open Sans" w:cs="Open Sans"/>
          <w:sz w:val="22"/>
        </w:rPr>
        <w:t>Run as part of the ADVENIR program</w:t>
      </w:r>
      <w:r w:rsidR="00113FFA" w:rsidRPr="00A212B1">
        <w:rPr>
          <w:rFonts w:ascii="Open Sans" w:hAnsi="Open Sans" w:cs="Open Sans"/>
          <w:sz w:val="22"/>
        </w:rPr>
        <w:t>me</w:t>
      </w:r>
      <w:r w:rsidRPr="00A212B1">
        <w:rPr>
          <w:rFonts w:ascii="Open Sans" w:hAnsi="Open Sans" w:cs="Open Sans"/>
          <w:sz w:val="22"/>
        </w:rPr>
        <w:t>, this is operated by municipalities wh</w:t>
      </w:r>
      <w:r w:rsidR="007420CD" w:rsidRPr="00A212B1">
        <w:rPr>
          <w:rFonts w:ascii="Open Sans" w:hAnsi="Open Sans" w:cs="Open Sans"/>
          <w:sz w:val="22"/>
        </w:rPr>
        <w:t xml:space="preserve">ich </w:t>
      </w:r>
      <w:r w:rsidRPr="00A212B1">
        <w:rPr>
          <w:rFonts w:ascii="Open Sans" w:hAnsi="Open Sans" w:cs="Open Sans"/>
          <w:sz w:val="22"/>
        </w:rPr>
        <w:t xml:space="preserve">are given up to €2160 </w:t>
      </w:r>
      <w:r w:rsidR="007420CD" w:rsidRPr="00A212B1">
        <w:rPr>
          <w:rFonts w:ascii="Open Sans" w:hAnsi="Open Sans" w:cs="Open Sans"/>
          <w:sz w:val="22"/>
        </w:rPr>
        <w:t xml:space="preserve">by the federal government </w:t>
      </w:r>
      <w:r w:rsidRPr="00A212B1">
        <w:rPr>
          <w:rFonts w:ascii="Open Sans" w:hAnsi="Open Sans" w:cs="Open Sans"/>
          <w:sz w:val="22"/>
        </w:rPr>
        <w:t>per charge-point installed</w:t>
      </w:r>
      <w:r w:rsidR="007420CD" w:rsidRPr="00A212B1">
        <w:rPr>
          <w:rFonts w:ascii="Open Sans" w:hAnsi="Open Sans" w:cs="Open Sans"/>
          <w:sz w:val="22"/>
        </w:rPr>
        <w:t xml:space="preserve">. </w:t>
      </w:r>
      <w:r w:rsidRPr="00A212B1">
        <w:rPr>
          <w:rFonts w:ascii="Open Sans" w:hAnsi="Open Sans" w:cs="Open Sans"/>
          <w:sz w:val="22"/>
        </w:rPr>
        <w:t>In addition, the program</w:t>
      </w:r>
      <w:r w:rsidR="00113FFA" w:rsidRPr="00A212B1">
        <w:rPr>
          <w:rFonts w:ascii="Open Sans" w:hAnsi="Open Sans" w:cs="Open Sans"/>
          <w:sz w:val="22"/>
        </w:rPr>
        <w:t>me</w:t>
      </w:r>
      <w:r w:rsidRPr="00A212B1">
        <w:rPr>
          <w:rFonts w:ascii="Open Sans" w:hAnsi="Open Sans" w:cs="Open Sans"/>
          <w:sz w:val="22"/>
        </w:rPr>
        <w:t xml:space="preserve"> offers more simple grant schemes to incentivise the purchase and installation of EV charge-points for </w:t>
      </w:r>
      <w:r w:rsidR="007420CD" w:rsidRPr="00A212B1">
        <w:rPr>
          <w:rFonts w:ascii="Open Sans" w:hAnsi="Open Sans" w:cs="Open Sans"/>
          <w:sz w:val="22"/>
        </w:rPr>
        <w:t>apartment blocks</w:t>
      </w:r>
      <w:r w:rsidRPr="00A212B1">
        <w:rPr>
          <w:rFonts w:ascii="Open Sans" w:hAnsi="Open Sans" w:cs="Open Sans"/>
          <w:sz w:val="22"/>
        </w:rPr>
        <w:t>, and for the electrical pre-equipment of car</w:t>
      </w:r>
      <w:r w:rsidR="006B0EF2" w:rsidRPr="00A212B1">
        <w:rPr>
          <w:rFonts w:ascii="Open Sans" w:hAnsi="Open Sans" w:cs="Open Sans"/>
          <w:sz w:val="22"/>
        </w:rPr>
        <w:t xml:space="preserve"> </w:t>
      </w:r>
      <w:r w:rsidRPr="00A212B1">
        <w:rPr>
          <w:rFonts w:ascii="Open Sans" w:hAnsi="Open Sans" w:cs="Open Sans"/>
          <w:sz w:val="22"/>
        </w:rPr>
        <w:t xml:space="preserve">parks (including those of companies). Finally, for the year 2020 there is a €300 tax </w:t>
      </w:r>
      <w:r w:rsidR="007420CD" w:rsidRPr="00A212B1">
        <w:rPr>
          <w:rFonts w:ascii="Open Sans" w:hAnsi="Open Sans" w:cs="Open Sans"/>
          <w:sz w:val="22"/>
        </w:rPr>
        <w:t xml:space="preserve">deduction </w:t>
      </w:r>
      <w:r w:rsidRPr="00A212B1">
        <w:rPr>
          <w:rFonts w:ascii="Open Sans" w:hAnsi="Open Sans" w:cs="Open Sans"/>
          <w:sz w:val="22"/>
        </w:rPr>
        <w:t>incentive for the purchase and installation of EV charge-points at the main residence of private individuals.</w:t>
      </w:r>
    </w:p>
    <w:p w14:paraId="7661B24E" w14:textId="1D025632" w:rsidR="006B0EF2" w:rsidRPr="00A212B1" w:rsidRDefault="006B0EF2" w:rsidP="005E30EE">
      <w:pPr>
        <w:pStyle w:val="TNR"/>
        <w:spacing w:line="240" w:lineRule="auto"/>
        <w:rPr>
          <w:rFonts w:ascii="Open Sans" w:hAnsi="Open Sans" w:cs="Open Sans"/>
          <w:sz w:val="22"/>
        </w:rPr>
      </w:pPr>
    </w:p>
    <w:p w14:paraId="7DB17961" w14:textId="1EE7C1DD" w:rsidR="006B0EF2" w:rsidRPr="00A212B1" w:rsidRDefault="006B0EF2" w:rsidP="005E30EE">
      <w:pPr>
        <w:pStyle w:val="TNR"/>
        <w:spacing w:line="240" w:lineRule="auto"/>
        <w:rPr>
          <w:rFonts w:ascii="Open Sans" w:hAnsi="Open Sans" w:cs="Open Sans"/>
          <w:b/>
          <w:bCs/>
          <w:sz w:val="22"/>
          <w:u w:val="single"/>
        </w:rPr>
      </w:pPr>
      <w:r w:rsidRPr="00A212B1">
        <w:rPr>
          <w:rFonts w:ascii="Open Sans" w:hAnsi="Open Sans" w:cs="Open Sans"/>
          <w:b/>
          <w:bCs/>
          <w:sz w:val="22"/>
          <w:u w:val="single"/>
        </w:rPr>
        <w:t>Italy:</w:t>
      </w:r>
    </w:p>
    <w:p w14:paraId="6A90188D" w14:textId="77777777" w:rsidR="0051011F" w:rsidRDefault="006B0EF2" w:rsidP="005E30EE">
      <w:pPr>
        <w:pStyle w:val="TNR"/>
        <w:spacing w:line="240" w:lineRule="auto"/>
        <w:rPr>
          <w:rFonts w:ascii="Open Sans" w:hAnsi="Open Sans" w:cs="Open Sans"/>
          <w:sz w:val="22"/>
        </w:rPr>
      </w:pPr>
      <w:r w:rsidRPr="00A212B1">
        <w:rPr>
          <w:rFonts w:ascii="Open Sans" w:hAnsi="Open Sans" w:cs="Open Sans"/>
          <w:sz w:val="22"/>
        </w:rPr>
        <w:t xml:space="preserve">Italy’s EV infrastructure development has in the past lagged behind the uptake and technological development of EVs, acting as an obstacle to their increased uptake throughout the country. </w:t>
      </w:r>
    </w:p>
    <w:p w14:paraId="3C050C49" w14:textId="460FE34F" w:rsidR="006B0EF2" w:rsidRPr="00A212B1" w:rsidRDefault="006B0EF2" w:rsidP="005E30EE">
      <w:pPr>
        <w:pStyle w:val="TNR"/>
        <w:spacing w:line="240" w:lineRule="auto"/>
        <w:rPr>
          <w:rFonts w:ascii="Open Sans" w:hAnsi="Open Sans" w:cs="Open Sans"/>
          <w:sz w:val="22"/>
        </w:rPr>
      </w:pPr>
      <w:r w:rsidRPr="00A212B1">
        <w:rPr>
          <w:rFonts w:ascii="Open Sans" w:hAnsi="Open Sans" w:cs="Open Sans"/>
          <w:sz w:val="22"/>
        </w:rPr>
        <w:t>The National Infrastructure Plan for the Recharging of Vehicles powered by Electricity (PNIRE) and the more recent Eco-Bonus program</w:t>
      </w:r>
      <w:r w:rsidR="00113FFA" w:rsidRPr="00A212B1">
        <w:rPr>
          <w:rFonts w:ascii="Open Sans" w:hAnsi="Open Sans" w:cs="Open Sans"/>
          <w:sz w:val="22"/>
        </w:rPr>
        <w:t>me</w:t>
      </w:r>
      <w:r w:rsidRPr="00A212B1">
        <w:rPr>
          <w:rFonts w:ascii="Open Sans" w:hAnsi="Open Sans" w:cs="Open Sans"/>
          <w:sz w:val="22"/>
        </w:rPr>
        <w:t xml:space="preserve"> have</w:t>
      </w:r>
      <w:r w:rsidR="00B26A02" w:rsidRPr="00A212B1">
        <w:rPr>
          <w:rFonts w:ascii="Open Sans" w:hAnsi="Open Sans" w:cs="Open Sans"/>
          <w:sz w:val="22"/>
        </w:rPr>
        <w:t xml:space="preserve"> </w:t>
      </w:r>
      <w:r w:rsidRPr="00A212B1">
        <w:rPr>
          <w:rFonts w:ascii="Open Sans" w:hAnsi="Open Sans" w:cs="Open Sans"/>
          <w:sz w:val="22"/>
        </w:rPr>
        <w:t>strengthened Italy’s progress in infrastructure development.</w:t>
      </w:r>
      <w:r w:rsidR="002E3BBD" w:rsidRPr="00A212B1">
        <w:rPr>
          <w:rFonts w:ascii="Open Sans" w:hAnsi="Open Sans" w:cs="Open Sans"/>
          <w:sz w:val="22"/>
        </w:rPr>
        <w:t xml:space="preserve"> Like France, Italy offers incentive schemes in the form of tax deductions but has made them </w:t>
      </w:r>
      <w:r w:rsidR="00F575AF" w:rsidRPr="00A212B1">
        <w:rPr>
          <w:rFonts w:ascii="Open Sans" w:hAnsi="Open Sans" w:cs="Open Sans"/>
          <w:sz w:val="22"/>
        </w:rPr>
        <w:t xml:space="preserve">simpler </w:t>
      </w:r>
      <w:r w:rsidR="002E3BBD" w:rsidRPr="00A212B1">
        <w:rPr>
          <w:rFonts w:ascii="Open Sans" w:hAnsi="Open Sans" w:cs="Open Sans"/>
          <w:sz w:val="22"/>
        </w:rPr>
        <w:t xml:space="preserve">and more generous. </w:t>
      </w:r>
      <w:r w:rsidR="00B26A02" w:rsidRPr="00A212B1">
        <w:rPr>
          <w:rFonts w:ascii="Open Sans" w:hAnsi="Open Sans" w:cs="Open Sans"/>
          <w:sz w:val="22"/>
        </w:rPr>
        <w:t xml:space="preserve">Private households and companies </w:t>
      </w:r>
      <w:r w:rsidR="002E3BBD" w:rsidRPr="00A212B1">
        <w:rPr>
          <w:rFonts w:ascii="Open Sans" w:hAnsi="Open Sans" w:cs="Open Sans"/>
          <w:sz w:val="22"/>
        </w:rPr>
        <w:t xml:space="preserve">can claim a tax-deduction of 50% for the purchase and installation of EV charge-points, up to a total of €3000 from March 2019 to December 2021. </w:t>
      </w:r>
    </w:p>
    <w:p w14:paraId="49562ACD" w14:textId="09B4CC26" w:rsidR="002E3BBD" w:rsidRPr="00A212B1" w:rsidRDefault="002E3BBD" w:rsidP="005E30EE">
      <w:pPr>
        <w:pStyle w:val="TNR"/>
        <w:spacing w:line="240" w:lineRule="auto"/>
        <w:rPr>
          <w:rFonts w:ascii="Open Sans" w:hAnsi="Open Sans" w:cs="Open Sans"/>
          <w:sz w:val="22"/>
        </w:rPr>
      </w:pPr>
    </w:p>
    <w:p w14:paraId="78088C4B" w14:textId="1D6731A1" w:rsidR="002E3BBD" w:rsidRPr="00A212B1" w:rsidRDefault="002E3BBD" w:rsidP="005E30EE">
      <w:pPr>
        <w:pStyle w:val="TNR"/>
        <w:spacing w:line="240" w:lineRule="auto"/>
        <w:rPr>
          <w:rFonts w:ascii="Open Sans" w:hAnsi="Open Sans" w:cs="Open Sans"/>
          <w:b/>
          <w:bCs/>
          <w:sz w:val="22"/>
          <w:u w:val="single"/>
        </w:rPr>
      </w:pPr>
      <w:r w:rsidRPr="00A212B1">
        <w:rPr>
          <w:rFonts w:ascii="Open Sans" w:hAnsi="Open Sans" w:cs="Open Sans"/>
          <w:b/>
          <w:bCs/>
          <w:sz w:val="22"/>
          <w:u w:val="single"/>
        </w:rPr>
        <w:t>Germany:</w:t>
      </w:r>
    </w:p>
    <w:p w14:paraId="050128BF" w14:textId="77777777" w:rsidR="0051011F" w:rsidRDefault="00113FFA" w:rsidP="005E30EE">
      <w:pPr>
        <w:pStyle w:val="TNR"/>
        <w:spacing w:line="240" w:lineRule="auto"/>
        <w:rPr>
          <w:rFonts w:ascii="Open Sans" w:hAnsi="Open Sans" w:cs="Open Sans"/>
          <w:sz w:val="22"/>
        </w:rPr>
      </w:pPr>
      <w:r w:rsidRPr="00A212B1">
        <w:rPr>
          <w:rFonts w:ascii="Open Sans" w:hAnsi="Open Sans" w:cs="Open Sans"/>
          <w:sz w:val="22"/>
        </w:rPr>
        <w:t xml:space="preserve">Germany has made significant commitments to developing its EV charge-point infrastructure. In the Climate Action Programme 2030 it </w:t>
      </w:r>
      <w:r w:rsidR="00B26A02" w:rsidRPr="00A212B1">
        <w:rPr>
          <w:rFonts w:ascii="Open Sans" w:hAnsi="Open Sans" w:cs="Open Sans"/>
          <w:sz w:val="22"/>
        </w:rPr>
        <w:t>sets a target of</w:t>
      </w:r>
      <w:r w:rsidRPr="00A212B1">
        <w:rPr>
          <w:rFonts w:ascii="Open Sans" w:hAnsi="Open Sans" w:cs="Open Sans"/>
          <w:sz w:val="22"/>
        </w:rPr>
        <w:t xml:space="preserve"> one million charging points to be made available, mandates charging stations in all petrol stations, and has announced a “buyer’s premium” for private and commercial charge-points (the details have yet to be announced). </w:t>
      </w:r>
    </w:p>
    <w:p w14:paraId="3BC1A27A" w14:textId="77777777" w:rsidR="0051011F" w:rsidRDefault="00113FFA" w:rsidP="005E30EE">
      <w:pPr>
        <w:pStyle w:val="TNR"/>
        <w:spacing w:line="240" w:lineRule="auto"/>
        <w:rPr>
          <w:rFonts w:ascii="Open Sans" w:hAnsi="Open Sans" w:cs="Open Sans"/>
          <w:sz w:val="22"/>
        </w:rPr>
      </w:pPr>
      <w:r w:rsidRPr="00A212B1">
        <w:rPr>
          <w:rFonts w:ascii="Open Sans" w:hAnsi="Open Sans" w:cs="Open Sans"/>
          <w:sz w:val="22"/>
        </w:rPr>
        <w:t xml:space="preserve">Finally, Germany </w:t>
      </w:r>
      <w:r w:rsidR="00B26A02" w:rsidRPr="00A212B1">
        <w:rPr>
          <w:rFonts w:ascii="Open Sans" w:hAnsi="Open Sans" w:cs="Open Sans"/>
          <w:sz w:val="22"/>
        </w:rPr>
        <w:t>intends to</w:t>
      </w:r>
      <w:r w:rsidRPr="00A212B1">
        <w:rPr>
          <w:rFonts w:ascii="Open Sans" w:hAnsi="Open Sans" w:cs="Open Sans"/>
          <w:sz w:val="22"/>
        </w:rPr>
        <w:t xml:space="preserve"> simplif</w:t>
      </w:r>
      <w:r w:rsidR="00B26A02" w:rsidRPr="00A212B1">
        <w:rPr>
          <w:rFonts w:ascii="Open Sans" w:hAnsi="Open Sans" w:cs="Open Sans"/>
          <w:sz w:val="22"/>
        </w:rPr>
        <w:t>y</w:t>
      </w:r>
      <w:r w:rsidRPr="00A212B1">
        <w:rPr>
          <w:rFonts w:ascii="Open Sans" w:hAnsi="Open Sans" w:cs="Open Sans"/>
          <w:sz w:val="22"/>
        </w:rPr>
        <w:t xml:space="preserve"> legislation around the installation of EV charge-points. Ongoing incentive programmes are run primarily at the </w:t>
      </w:r>
      <w:r w:rsidR="000F7843" w:rsidRPr="00A212B1">
        <w:rPr>
          <w:rFonts w:ascii="Open Sans" w:hAnsi="Open Sans" w:cs="Open Sans"/>
          <w:sz w:val="22"/>
        </w:rPr>
        <w:t>municipal</w:t>
      </w:r>
      <w:r w:rsidRPr="00A212B1">
        <w:rPr>
          <w:rFonts w:ascii="Open Sans" w:hAnsi="Open Sans" w:cs="Open Sans"/>
          <w:sz w:val="22"/>
        </w:rPr>
        <w:t xml:space="preserve"> level. The exception is a 10-30% subsidy for the purchase and installation of a wall box charge-point from the state-owned development bank KfW-Bank. </w:t>
      </w:r>
    </w:p>
    <w:p w14:paraId="3D831267" w14:textId="0BE63AB8" w:rsidR="00B01437" w:rsidRPr="00A212B1" w:rsidRDefault="00B26A02" w:rsidP="005E30EE">
      <w:pPr>
        <w:pStyle w:val="TNR"/>
        <w:spacing w:line="240" w:lineRule="auto"/>
        <w:rPr>
          <w:rFonts w:ascii="Open Sans" w:hAnsi="Open Sans" w:cs="Open Sans"/>
          <w:sz w:val="22"/>
        </w:rPr>
      </w:pPr>
      <w:r w:rsidRPr="00A212B1">
        <w:rPr>
          <w:rFonts w:ascii="Open Sans" w:hAnsi="Open Sans" w:cs="Open Sans"/>
          <w:sz w:val="22"/>
        </w:rPr>
        <w:t>Municipal incentive schemes provided by the government and municipal utility companies</w:t>
      </w:r>
      <w:r w:rsidR="00113FFA" w:rsidRPr="00A212B1">
        <w:rPr>
          <w:rFonts w:ascii="Open Sans" w:hAnsi="Open Sans" w:cs="Open Sans"/>
          <w:sz w:val="22"/>
        </w:rPr>
        <w:t xml:space="preserve"> vary significantly between</w:t>
      </w:r>
      <w:r w:rsidRPr="00A212B1">
        <w:rPr>
          <w:rFonts w:ascii="Open Sans" w:hAnsi="Open Sans" w:cs="Open Sans"/>
          <w:sz w:val="22"/>
        </w:rPr>
        <w:t xml:space="preserve"> Lander</w:t>
      </w:r>
      <w:r w:rsidR="00113FFA" w:rsidRPr="00A212B1">
        <w:rPr>
          <w:rFonts w:ascii="Open Sans" w:hAnsi="Open Sans" w:cs="Open Sans"/>
          <w:sz w:val="22"/>
        </w:rPr>
        <w:t xml:space="preserve">, and increase in complexity by being influenced (for example in Nordrhein-Westfalen) by charge-point power, </w:t>
      </w:r>
      <w:r w:rsidR="00CA2A49" w:rsidRPr="00A212B1">
        <w:rPr>
          <w:rFonts w:ascii="Open Sans" w:hAnsi="Open Sans" w:cs="Open Sans"/>
          <w:sz w:val="22"/>
        </w:rPr>
        <w:t>accompanying energy production plants, and source of electricity for the charge-point. As in Italy and France, there are short-term ongoing incentive</w:t>
      </w:r>
      <w:r w:rsidR="00AF6497" w:rsidRPr="00A212B1">
        <w:rPr>
          <w:rFonts w:ascii="Open Sans" w:hAnsi="Open Sans" w:cs="Open Sans"/>
          <w:sz w:val="22"/>
        </w:rPr>
        <w:t>s</w:t>
      </w:r>
      <w:r w:rsidR="00CA2A49" w:rsidRPr="00A212B1">
        <w:rPr>
          <w:rFonts w:ascii="Open Sans" w:hAnsi="Open Sans" w:cs="Open Sans"/>
          <w:sz w:val="22"/>
        </w:rPr>
        <w:t xml:space="preserve"> on top of long-term ones, ending in November 2020 in Nordrhein-Westfalen. </w:t>
      </w:r>
    </w:p>
    <w:p w14:paraId="728E107F" w14:textId="5EEB2B4C" w:rsidR="00CA2A49" w:rsidRPr="00A212B1" w:rsidRDefault="00CA2A49" w:rsidP="005E30EE">
      <w:pPr>
        <w:pStyle w:val="TNR"/>
        <w:spacing w:line="240" w:lineRule="auto"/>
        <w:rPr>
          <w:rFonts w:ascii="Open Sans" w:hAnsi="Open Sans" w:cs="Open Sans"/>
          <w:b/>
          <w:bCs/>
          <w:sz w:val="22"/>
          <w:u w:val="single"/>
        </w:rPr>
      </w:pPr>
      <w:r w:rsidRPr="00A212B1">
        <w:rPr>
          <w:rFonts w:ascii="Open Sans" w:hAnsi="Open Sans" w:cs="Open Sans"/>
          <w:b/>
          <w:bCs/>
          <w:sz w:val="22"/>
          <w:u w:val="single"/>
        </w:rPr>
        <w:lastRenderedPageBreak/>
        <w:t>Belgium:</w:t>
      </w:r>
    </w:p>
    <w:p w14:paraId="00768AA7" w14:textId="77777777" w:rsidR="0051011F" w:rsidRDefault="00CA2A49" w:rsidP="005E30EE">
      <w:pPr>
        <w:pStyle w:val="TNR"/>
        <w:spacing w:line="240" w:lineRule="auto"/>
        <w:rPr>
          <w:rFonts w:ascii="Open Sans" w:hAnsi="Open Sans" w:cs="Open Sans"/>
          <w:sz w:val="22"/>
        </w:rPr>
      </w:pPr>
      <w:r w:rsidRPr="00A212B1">
        <w:rPr>
          <w:rFonts w:ascii="Open Sans" w:hAnsi="Open Sans" w:cs="Open Sans"/>
          <w:sz w:val="22"/>
        </w:rPr>
        <w:t>Belgium has seen a slow growth in EV infrastructure, particularly compared to its neighbours Germany, France, and the Netherlands. Incentives are predominantly tax-exemption</w:t>
      </w:r>
      <w:r w:rsidR="00B26A02" w:rsidRPr="00A212B1">
        <w:rPr>
          <w:rFonts w:ascii="Open Sans" w:hAnsi="Open Sans" w:cs="Open Sans"/>
          <w:sz w:val="22"/>
        </w:rPr>
        <w:t>s</w:t>
      </w:r>
      <w:r w:rsidRPr="00A212B1">
        <w:rPr>
          <w:rFonts w:ascii="Open Sans" w:hAnsi="Open Sans" w:cs="Open Sans"/>
          <w:sz w:val="22"/>
        </w:rPr>
        <w:t xml:space="preserve"> </w:t>
      </w:r>
      <w:r w:rsidR="00B26A02" w:rsidRPr="00A212B1">
        <w:rPr>
          <w:rFonts w:ascii="Open Sans" w:hAnsi="Open Sans" w:cs="Open Sans"/>
          <w:sz w:val="22"/>
        </w:rPr>
        <w:t>to promote</w:t>
      </w:r>
      <w:r w:rsidRPr="00A212B1">
        <w:rPr>
          <w:rFonts w:ascii="Open Sans" w:hAnsi="Open Sans" w:cs="Open Sans"/>
          <w:sz w:val="22"/>
        </w:rPr>
        <w:t xml:space="preserve"> EV ownership, </w:t>
      </w:r>
      <w:r w:rsidR="000F7843" w:rsidRPr="00A212B1">
        <w:rPr>
          <w:rFonts w:ascii="Open Sans" w:hAnsi="Open Sans" w:cs="Open Sans"/>
          <w:sz w:val="22"/>
        </w:rPr>
        <w:t xml:space="preserve">along with 75% of the cost of charging being deductible from individual income tax. </w:t>
      </w:r>
    </w:p>
    <w:p w14:paraId="671DF735" w14:textId="77777777" w:rsidR="0051011F" w:rsidRDefault="000F7843" w:rsidP="005E30EE">
      <w:pPr>
        <w:pStyle w:val="TNR"/>
        <w:spacing w:line="240" w:lineRule="auto"/>
        <w:rPr>
          <w:rFonts w:ascii="Open Sans" w:hAnsi="Open Sans" w:cs="Open Sans"/>
          <w:sz w:val="22"/>
        </w:rPr>
      </w:pPr>
      <w:r w:rsidRPr="00A212B1">
        <w:rPr>
          <w:rFonts w:ascii="Open Sans" w:hAnsi="Open Sans" w:cs="Open Sans"/>
          <w:sz w:val="22"/>
        </w:rPr>
        <w:t>The only incentive for the purchase and installation of charge-points is for companies which work under the corporate tax system which can benefit from a 13.5% deduction on investments</w:t>
      </w:r>
      <w:r w:rsidR="00B26A02" w:rsidRPr="00A212B1">
        <w:rPr>
          <w:rFonts w:ascii="Open Sans" w:hAnsi="Open Sans" w:cs="Open Sans"/>
          <w:sz w:val="22"/>
        </w:rPr>
        <w:t xml:space="preserve"> for the purchase and installation of charge-points</w:t>
      </w:r>
      <w:r w:rsidRPr="00A212B1">
        <w:rPr>
          <w:rFonts w:ascii="Open Sans" w:hAnsi="Open Sans" w:cs="Open Sans"/>
          <w:sz w:val="22"/>
        </w:rPr>
        <w:t xml:space="preserve">, up to €14,375. </w:t>
      </w:r>
    </w:p>
    <w:p w14:paraId="6C5C166F" w14:textId="77777777" w:rsidR="0051011F" w:rsidRDefault="000F7843" w:rsidP="005E30EE">
      <w:pPr>
        <w:pStyle w:val="TNR"/>
        <w:spacing w:line="240" w:lineRule="auto"/>
        <w:rPr>
          <w:rFonts w:ascii="Open Sans" w:hAnsi="Open Sans" w:cs="Open Sans"/>
          <w:sz w:val="22"/>
        </w:rPr>
      </w:pPr>
      <w:r w:rsidRPr="00A212B1">
        <w:rPr>
          <w:rFonts w:ascii="Open Sans" w:hAnsi="Open Sans" w:cs="Open Sans"/>
          <w:sz w:val="22"/>
        </w:rPr>
        <w:t xml:space="preserve">This lack of drive to develop the EV infrastructure in Belgium comes from a number of areas. Firstly, the political situation with three </w:t>
      </w:r>
      <w:r w:rsidR="008D2D4F" w:rsidRPr="00A212B1">
        <w:rPr>
          <w:rFonts w:ascii="Open Sans" w:hAnsi="Open Sans" w:cs="Open Sans"/>
          <w:sz w:val="22"/>
        </w:rPr>
        <w:t>regional</w:t>
      </w:r>
      <w:r w:rsidRPr="00A212B1">
        <w:rPr>
          <w:rFonts w:ascii="Open Sans" w:hAnsi="Open Sans" w:cs="Open Sans"/>
          <w:sz w:val="22"/>
        </w:rPr>
        <w:t xml:space="preserve"> governments and a divided </w:t>
      </w:r>
      <w:r w:rsidR="008D2D4F" w:rsidRPr="00A212B1">
        <w:rPr>
          <w:rFonts w:ascii="Open Sans" w:hAnsi="Open Sans" w:cs="Open Sans"/>
          <w:sz w:val="22"/>
        </w:rPr>
        <w:t xml:space="preserve">federal </w:t>
      </w:r>
      <w:r w:rsidRPr="00A212B1">
        <w:rPr>
          <w:rFonts w:ascii="Open Sans" w:hAnsi="Open Sans" w:cs="Open Sans"/>
          <w:sz w:val="22"/>
        </w:rPr>
        <w:t>government halts the implementation of legislation. Secondly, the majority of traffic in the capital, Brussels, comes from the regions of Flanders and Wallonia</w:t>
      </w:r>
      <w:r w:rsidR="00B26A02" w:rsidRPr="00A212B1">
        <w:rPr>
          <w:rFonts w:ascii="Open Sans" w:hAnsi="Open Sans" w:cs="Open Sans"/>
          <w:sz w:val="22"/>
        </w:rPr>
        <w:t>, and while</w:t>
      </w:r>
      <w:r w:rsidRPr="00A212B1">
        <w:rPr>
          <w:rFonts w:ascii="Open Sans" w:hAnsi="Open Sans" w:cs="Open Sans"/>
          <w:sz w:val="22"/>
        </w:rPr>
        <w:t xml:space="preserve"> there is incoming legislation for only low-emission vehicles to be allowed into the Brussels region</w:t>
      </w:r>
      <w:r w:rsidR="00B26A02" w:rsidRPr="00A212B1">
        <w:rPr>
          <w:rFonts w:ascii="Open Sans" w:hAnsi="Open Sans" w:cs="Open Sans"/>
          <w:sz w:val="22"/>
        </w:rPr>
        <w:t>,</w:t>
      </w:r>
      <w:r w:rsidRPr="00A212B1">
        <w:rPr>
          <w:rFonts w:ascii="Open Sans" w:hAnsi="Open Sans" w:cs="Open Sans"/>
          <w:sz w:val="22"/>
        </w:rPr>
        <w:t xml:space="preserve"> investment has </w:t>
      </w:r>
      <w:r w:rsidR="00B26A02" w:rsidRPr="00A212B1">
        <w:rPr>
          <w:rFonts w:ascii="Open Sans" w:hAnsi="Open Sans" w:cs="Open Sans"/>
          <w:sz w:val="22"/>
        </w:rPr>
        <w:t xml:space="preserve">however </w:t>
      </w:r>
      <w:r w:rsidRPr="00A212B1">
        <w:rPr>
          <w:rFonts w:ascii="Open Sans" w:hAnsi="Open Sans" w:cs="Open Sans"/>
          <w:sz w:val="22"/>
        </w:rPr>
        <w:t xml:space="preserve">been </w:t>
      </w:r>
      <w:r w:rsidR="00B26A02" w:rsidRPr="00A212B1">
        <w:rPr>
          <w:rFonts w:ascii="Open Sans" w:hAnsi="Open Sans" w:cs="Open Sans"/>
          <w:sz w:val="22"/>
        </w:rPr>
        <w:t xml:space="preserve">focused </w:t>
      </w:r>
      <w:r w:rsidRPr="00A212B1">
        <w:rPr>
          <w:rFonts w:ascii="Open Sans" w:hAnsi="Open Sans" w:cs="Open Sans"/>
          <w:sz w:val="22"/>
        </w:rPr>
        <w:t xml:space="preserve">on promoting public transport, bikes, and carsharing schemes as a response to this legislation. </w:t>
      </w:r>
    </w:p>
    <w:p w14:paraId="68B30DDE" w14:textId="03A1AC4F" w:rsidR="000F7843" w:rsidRPr="00A212B1" w:rsidRDefault="000F7843" w:rsidP="005E30EE">
      <w:pPr>
        <w:pStyle w:val="TNR"/>
        <w:spacing w:line="240" w:lineRule="auto"/>
        <w:rPr>
          <w:rFonts w:ascii="Open Sans" w:hAnsi="Open Sans" w:cs="Open Sans"/>
          <w:sz w:val="22"/>
        </w:rPr>
      </w:pPr>
      <w:r w:rsidRPr="00A212B1">
        <w:rPr>
          <w:rFonts w:ascii="Open Sans" w:hAnsi="Open Sans" w:cs="Open Sans"/>
          <w:sz w:val="22"/>
        </w:rPr>
        <w:t>Finally, while there is also a commitment to at least one charge-point per square kilometre in the city centre, this is a public infrastructure commitment rather than an incentive scheme.</w:t>
      </w:r>
    </w:p>
    <w:p w14:paraId="2836764D" w14:textId="77777777" w:rsidR="000F7843" w:rsidRPr="00A212B1" w:rsidRDefault="000F7843" w:rsidP="005E30EE">
      <w:pPr>
        <w:pStyle w:val="TNR"/>
        <w:spacing w:line="240" w:lineRule="auto"/>
        <w:rPr>
          <w:rFonts w:ascii="Open Sans" w:hAnsi="Open Sans" w:cs="Open Sans"/>
          <w:sz w:val="22"/>
        </w:rPr>
      </w:pPr>
    </w:p>
    <w:p w14:paraId="4EF56F3B" w14:textId="3C30E4E8" w:rsidR="000F7843" w:rsidRPr="00A212B1" w:rsidRDefault="000F7843" w:rsidP="005E30EE">
      <w:pPr>
        <w:pStyle w:val="TNR"/>
        <w:spacing w:line="240" w:lineRule="auto"/>
        <w:rPr>
          <w:rFonts w:ascii="Open Sans" w:hAnsi="Open Sans" w:cs="Open Sans"/>
          <w:b/>
          <w:bCs/>
          <w:sz w:val="22"/>
          <w:u w:val="single"/>
        </w:rPr>
      </w:pPr>
      <w:r w:rsidRPr="00A212B1">
        <w:rPr>
          <w:rFonts w:ascii="Open Sans" w:hAnsi="Open Sans" w:cs="Open Sans"/>
          <w:b/>
          <w:bCs/>
          <w:sz w:val="22"/>
          <w:u w:val="single"/>
        </w:rPr>
        <w:t>Sweden:</w:t>
      </w:r>
    </w:p>
    <w:p w14:paraId="57965E59" w14:textId="77777777" w:rsidR="0051011F" w:rsidRDefault="00827B2E" w:rsidP="005E30EE">
      <w:pPr>
        <w:pStyle w:val="TNR"/>
        <w:spacing w:line="240" w:lineRule="auto"/>
        <w:rPr>
          <w:rFonts w:ascii="Open Sans" w:hAnsi="Open Sans" w:cs="Open Sans"/>
          <w:sz w:val="22"/>
        </w:rPr>
      </w:pPr>
      <w:r w:rsidRPr="00A212B1">
        <w:rPr>
          <w:rFonts w:ascii="Open Sans" w:hAnsi="Open Sans" w:cs="Open Sans"/>
          <w:sz w:val="22"/>
        </w:rPr>
        <w:t>Sweden has notably lagged behind its exemplary neighbour, Norway, regarding EV uptake and EV infrastructure</w:t>
      </w:r>
      <w:r w:rsidR="00B26A02" w:rsidRPr="00A212B1">
        <w:rPr>
          <w:rFonts w:ascii="Open Sans" w:hAnsi="Open Sans" w:cs="Open Sans"/>
          <w:sz w:val="22"/>
        </w:rPr>
        <w:t xml:space="preserve"> development</w:t>
      </w:r>
      <w:r w:rsidRPr="00A212B1">
        <w:rPr>
          <w:rFonts w:ascii="Open Sans" w:hAnsi="Open Sans" w:cs="Open Sans"/>
          <w:sz w:val="22"/>
        </w:rPr>
        <w:t xml:space="preserve">. Under the Klimatklivet initiative agreed upon by the Swedish parliament in 2017 for the period 2018 – 2020, the purchase and installation of EV charge-point stations have been subsidised up to 50% or SEK 10,000 (€960). </w:t>
      </w:r>
    </w:p>
    <w:p w14:paraId="3ACA6F33" w14:textId="50E7618E" w:rsidR="000F7843" w:rsidRPr="00A212B1" w:rsidRDefault="00827B2E" w:rsidP="005E30EE">
      <w:pPr>
        <w:pStyle w:val="TNR"/>
        <w:spacing w:line="240" w:lineRule="auto"/>
        <w:rPr>
          <w:rFonts w:ascii="Open Sans" w:hAnsi="Open Sans" w:cs="Open Sans"/>
          <w:sz w:val="22"/>
        </w:rPr>
      </w:pPr>
      <w:r w:rsidRPr="00A212B1">
        <w:rPr>
          <w:rFonts w:ascii="Open Sans" w:hAnsi="Open Sans" w:cs="Open Sans"/>
          <w:sz w:val="22"/>
        </w:rPr>
        <w:t xml:space="preserve">This is accessible </w:t>
      </w:r>
      <w:r w:rsidR="00B26A02" w:rsidRPr="00A212B1">
        <w:rPr>
          <w:rFonts w:ascii="Open Sans" w:hAnsi="Open Sans" w:cs="Open Sans"/>
          <w:sz w:val="22"/>
        </w:rPr>
        <w:t>b</w:t>
      </w:r>
      <w:r w:rsidRPr="00A212B1">
        <w:rPr>
          <w:rFonts w:ascii="Open Sans" w:hAnsi="Open Sans" w:cs="Open Sans"/>
          <w:sz w:val="22"/>
        </w:rPr>
        <w:t xml:space="preserve">y municipalities, companies, and housing associations. In addition, Sweden’s “Charge at Home” extends this same subsidy to charge-points for private individuals at home. </w:t>
      </w:r>
    </w:p>
    <w:p w14:paraId="166D3D6F" w14:textId="77DA8F35" w:rsidR="00D810F1" w:rsidRPr="00A212B1" w:rsidRDefault="00D810F1" w:rsidP="005E30EE">
      <w:pPr>
        <w:pStyle w:val="TNR"/>
        <w:spacing w:line="240" w:lineRule="auto"/>
        <w:rPr>
          <w:rFonts w:ascii="Open Sans" w:hAnsi="Open Sans" w:cs="Open Sans"/>
          <w:b/>
          <w:bCs/>
          <w:sz w:val="22"/>
          <w:u w:val="single"/>
        </w:rPr>
      </w:pPr>
    </w:p>
    <w:p w14:paraId="16B4D3D3" w14:textId="607456E4" w:rsidR="00D810F1" w:rsidRPr="00A212B1" w:rsidRDefault="00D810F1" w:rsidP="005E30EE">
      <w:pPr>
        <w:pStyle w:val="TNR"/>
        <w:spacing w:line="240" w:lineRule="auto"/>
        <w:rPr>
          <w:rFonts w:ascii="Open Sans" w:hAnsi="Open Sans" w:cs="Open Sans"/>
          <w:b/>
          <w:bCs/>
          <w:sz w:val="22"/>
          <w:u w:val="single"/>
        </w:rPr>
      </w:pPr>
      <w:r w:rsidRPr="00A212B1">
        <w:rPr>
          <w:rFonts w:ascii="Open Sans" w:hAnsi="Open Sans" w:cs="Open Sans"/>
          <w:b/>
          <w:bCs/>
          <w:sz w:val="22"/>
          <w:u w:val="single"/>
        </w:rPr>
        <w:t>Ireland:</w:t>
      </w:r>
    </w:p>
    <w:p w14:paraId="726CEB86" w14:textId="77777777" w:rsidR="0051011F" w:rsidRDefault="00D810F1" w:rsidP="008E0F02">
      <w:pPr>
        <w:pStyle w:val="TNR"/>
        <w:spacing w:line="240" w:lineRule="auto"/>
        <w:rPr>
          <w:rFonts w:ascii="Open Sans" w:hAnsi="Open Sans" w:cs="Open Sans"/>
          <w:sz w:val="22"/>
        </w:rPr>
      </w:pPr>
      <w:r w:rsidRPr="00A212B1">
        <w:rPr>
          <w:rFonts w:ascii="Open Sans" w:hAnsi="Open Sans" w:cs="Open Sans"/>
          <w:sz w:val="22"/>
        </w:rPr>
        <w:t xml:space="preserve">Ireland is an interesting case in EV infrastructure development because while it appears to be advancing well on paper, it is frequently considered to be falling behind other countries. </w:t>
      </w:r>
    </w:p>
    <w:p w14:paraId="73992928" w14:textId="77777777" w:rsidR="0051011F" w:rsidRDefault="00D810F1" w:rsidP="008E0F02">
      <w:pPr>
        <w:pStyle w:val="TNR"/>
        <w:spacing w:line="240" w:lineRule="auto"/>
        <w:rPr>
          <w:rFonts w:ascii="Open Sans" w:hAnsi="Open Sans" w:cs="Open Sans"/>
          <w:sz w:val="22"/>
        </w:rPr>
      </w:pPr>
      <w:r w:rsidRPr="00A212B1">
        <w:rPr>
          <w:rFonts w:ascii="Open Sans" w:hAnsi="Open Sans" w:cs="Open Sans"/>
          <w:sz w:val="22"/>
        </w:rPr>
        <w:t xml:space="preserve">Since 2011, Ireland has had a </w:t>
      </w:r>
      <w:r w:rsidR="00840FCF" w:rsidRPr="00A212B1">
        <w:rPr>
          <w:rFonts w:ascii="Open Sans" w:hAnsi="Open Sans" w:cs="Open Sans"/>
          <w:sz w:val="22"/>
        </w:rPr>
        <w:t>grant</w:t>
      </w:r>
      <w:r w:rsidRPr="00A212B1">
        <w:rPr>
          <w:rFonts w:ascii="Open Sans" w:hAnsi="Open Sans" w:cs="Open Sans"/>
          <w:sz w:val="22"/>
        </w:rPr>
        <w:t xml:space="preserve"> of up to </w:t>
      </w:r>
      <w:r w:rsidRPr="00A212B1">
        <w:rPr>
          <w:rFonts w:ascii="Segoe UI" w:hAnsi="Segoe UI" w:cs="Segoe UI"/>
          <w:sz w:val="22"/>
        </w:rPr>
        <w:t>€</w:t>
      </w:r>
      <w:r w:rsidRPr="00A212B1">
        <w:rPr>
          <w:rFonts w:ascii="Open Sans" w:hAnsi="Open Sans" w:cs="Open Sans"/>
          <w:sz w:val="22"/>
        </w:rPr>
        <w:t xml:space="preserve">5000 on </w:t>
      </w:r>
      <w:r w:rsidR="00840FCF" w:rsidRPr="00A212B1">
        <w:rPr>
          <w:rFonts w:ascii="Open Sans" w:hAnsi="Open Sans" w:cs="Open Sans"/>
          <w:sz w:val="22"/>
        </w:rPr>
        <w:t xml:space="preserve">privately purchased </w:t>
      </w:r>
      <w:r w:rsidRPr="00A212B1">
        <w:rPr>
          <w:rFonts w:ascii="Open Sans" w:hAnsi="Open Sans" w:cs="Open Sans"/>
          <w:sz w:val="22"/>
        </w:rPr>
        <w:t xml:space="preserve">EVs, and a subsidy of </w:t>
      </w:r>
      <w:r w:rsidRPr="00A212B1">
        <w:rPr>
          <w:rFonts w:ascii="Segoe UI" w:hAnsi="Segoe UI" w:cs="Segoe UI"/>
          <w:sz w:val="22"/>
        </w:rPr>
        <w:t>€</w:t>
      </w:r>
      <w:r w:rsidRPr="00A212B1">
        <w:rPr>
          <w:rFonts w:ascii="Open Sans" w:hAnsi="Open Sans" w:cs="Open Sans"/>
          <w:sz w:val="22"/>
        </w:rPr>
        <w:t>600 for EV home chargers since 2018</w:t>
      </w:r>
      <w:r w:rsidR="00840FCF" w:rsidRPr="00A212B1">
        <w:rPr>
          <w:rFonts w:ascii="Open Sans" w:hAnsi="Open Sans" w:cs="Open Sans"/>
          <w:sz w:val="22"/>
        </w:rPr>
        <w:t>.</w:t>
      </w:r>
      <w:r w:rsidRPr="00A212B1">
        <w:rPr>
          <w:rFonts w:ascii="Open Sans" w:hAnsi="Open Sans" w:cs="Open Sans"/>
          <w:sz w:val="22"/>
        </w:rPr>
        <w:t xml:space="preserve"> </w:t>
      </w:r>
      <w:r w:rsidR="00840FCF" w:rsidRPr="00A212B1">
        <w:rPr>
          <w:rFonts w:ascii="Open Sans" w:hAnsi="Open Sans" w:cs="Open Sans"/>
          <w:sz w:val="22"/>
        </w:rPr>
        <w:t xml:space="preserve">Both subsidies are supported by other forms of tax reliefs. </w:t>
      </w:r>
      <w:r w:rsidRPr="00A212B1">
        <w:rPr>
          <w:rFonts w:ascii="Open Sans" w:hAnsi="Open Sans" w:cs="Open Sans"/>
          <w:sz w:val="22"/>
        </w:rPr>
        <w:t xml:space="preserve">Through the Electricity Supply Board (ESB), Ireland’s state-owned electricity company, there has equally been heavy investment in a public infrastructure in addition to the incentives for private infrastructure. </w:t>
      </w:r>
    </w:p>
    <w:p w14:paraId="79354682" w14:textId="57946951" w:rsidR="00D47638" w:rsidRPr="00A212B1" w:rsidRDefault="00D810F1" w:rsidP="008E0F02">
      <w:pPr>
        <w:pStyle w:val="TNR"/>
        <w:spacing w:line="240" w:lineRule="auto"/>
        <w:rPr>
          <w:rFonts w:ascii="Open Sans" w:hAnsi="Open Sans" w:cs="Open Sans"/>
          <w:sz w:val="22"/>
        </w:rPr>
      </w:pPr>
      <w:r w:rsidRPr="00A212B1">
        <w:rPr>
          <w:rFonts w:ascii="Open Sans" w:hAnsi="Open Sans" w:cs="Open Sans"/>
          <w:sz w:val="22"/>
        </w:rPr>
        <w:t xml:space="preserve">The 2020 Budget pledged to double the number of home chargers installed. As of 2018, Ireland’s share of the global EV market was approximately equal to its share of overall vehicles, and in addition has a ratio of one public charge point for every five EVs, which is far higher than the average </w:t>
      </w:r>
      <w:r w:rsidR="00840FCF" w:rsidRPr="00A212B1">
        <w:rPr>
          <w:rFonts w:ascii="Open Sans" w:hAnsi="Open Sans" w:cs="Open Sans"/>
          <w:sz w:val="22"/>
        </w:rPr>
        <w:t xml:space="preserve">ratio </w:t>
      </w:r>
      <w:r w:rsidRPr="00A212B1">
        <w:rPr>
          <w:rFonts w:ascii="Open Sans" w:hAnsi="Open Sans" w:cs="Open Sans"/>
          <w:sz w:val="22"/>
        </w:rPr>
        <w:t>in Europe.</w:t>
      </w:r>
      <w:r w:rsidR="00840FCF" w:rsidRPr="00A212B1">
        <w:rPr>
          <w:rFonts w:ascii="Open Sans" w:hAnsi="Open Sans" w:cs="Open Sans"/>
          <w:sz w:val="22"/>
        </w:rPr>
        <w:t xml:space="preserve"> Ireland offers generous subsidies on both EVs and </w:t>
      </w:r>
      <w:r w:rsidR="00840FCF" w:rsidRPr="00A212B1">
        <w:rPr>
          <w:rFonts w:ascii="Open Sans" w:hAnsi="Open Sans" w:cs="Open Sans"/>
          <w:sz w:val="22"/>
        </w:rPr>
        <w:lastRenderedPageBreak/>
        <w:t>EV charging infrastructure, has invested heavily and successfully in creating a widespread public charging network, and is holding its own in EV uptake.</w:t>
      </w:r>
    </w:p>
    <w:p w14:paraId="20651CA1" w14:textId="2FABB5B5" w:rsidR="00F035DB" w:rsidRDefault="00F035DB">
      <w:pPr>
        <w:rPr>
          <w:rFonts w:ascii="Open Sans" w:eastAsiaTheme="minorEastAsia" w:hAnsi="Open Sans" w:cs="Open Sans"/>
          <w:lang w:eastAsia="ja-JP"/>
        </w:rPr>
      </w:pPr>
    </w:p>
    <w:p w14:paraId="6966B772" w14:textId="77777777" w:rsidR="00133E62" w:rsidRPr="00A212B1" w:rsidRDefault="00133E62">
      <w:pPr>
        <w:rPr>
          <w:rFonts w:ascii="Open Sans" w:eastAsiaTheme="minorEastAsia" w:hAnsi="Open Sans" w:cs="Open Sans"/>
          <w:lang w:eastAsia="ja-JP"/>
        </w:rPr>
      </w:pPr>
    </w:p>
    <w:p w14:paraId="0849E94E" w14:textId="7341E3B1" w:rsidR="00D47638" w:rsidRPr="00F035DB" w:rsidRDefault="00D47638" w:rsidP="00D47638">
      <w:pPr>
        <w:spacing w:line="240" w:lineRule="auto"/>
        <w:rPr>
          <w:rFonts w:ascii="Open Sans" w:hAnsi="Open Sans" w:cs="Open Sans"/>
          <w:b/>
          <w:bCs/>
          <w:color w:val="06926B"/>
          <w:sz w:val="28"/>
          <w:szCs w:val="28"/>
        </w:rPr>
      </w:pPr>
      <w:r w:rsidRPr="00F035DB">
        <w:rPr>
          <w:rFonts w:ascii="Open Sans" w:hAnsi="Open Sans" w:cs="Open Sans"/>
          <w:b/>
          <w:bCs/>
          <w:color w:val="06926B"/>
          <w:sz w:val="28"/>
          <w:szCs w:val="28"/>
        </w:rPr>
        <w:t>References</w:t>
      </w:r>
    </w:p>
    <w:p w14:paraId="30A0CBBF" w14:textId="3ADFF935" w:rsidR="00D47638" w:rsidRPr="00A212B1" w:rsidRDefault="00112E97" w:rsidP="004E41EA">
      <w:pPr>
        <w:pStyle w:val="ListParagraph"/>
        <w:numPr>
          <w:ilvl w:val="0"/>
          <w:numId w:val="12"/>
        </w:numPr>
        <w:spacing w:line="240" w:lineRule="auto"/>
        <w:rPr>
          <w:rStyle w:val="Hyperlink"/>
          <w:rFonts w:ascii="Open Sans" w:eastAsiaTheme="minorEastAsia" w:hAnsi="Open Sans" w:cs="Open Sans"/>
          <w:b/>
          <w:bCs/>
          <w:color w:val="auto"/>
          <w:u w:val="none"/>
          <w:lang w:eastAsia="ja-JP"/>
        </w:rPr>
      </w:pPr>
      <w:hyperlink r:id="rId16" w:history="1">
        <w:r w:rsidR="00CD3B1F" w:rsidRPr="00A212B1">
          <w:rPr>
            <w:rStyle w:val="Hyperlink"/>
            <w:rFonts w:ascii="Open Sans" w:hAnsi="Open Sans" w:cs="Open Sans"/>
          </w:rPr>
          <w:t>https://www.gov.uk/government/speeches/building-back-a-green-and-resilient-recovery</w:t>
        </w:r>
      </w:hyperlink>
    </w:p>
    <w:p w14:paraId="3D68341B" w14:textId="78F7B3DD" w:rsidR="00CD3B1F" w:rsidRPr="00A212B1" w:rsidRDefault="00112E97" w:rsidP="004E41EA">
      <w:pPr>
        <w:pStyle w:val="ListParagraph"/>
        <w:numPr>
          <w:ilvl w:val="0"/>
          <w:numId w:val="12"/>
        </w:numPr>
        <w:spacing w:line="240" w:lineRule="auto"/>
        <w:rPr>
          <w:rStyle w:val="Hyperlink"/>
          <w:rFonts w:ascii="Open Sans" w:eastAsiaTheme="minorEastAsia" w:hAnsi="Open Sans" w:cs="Open Sans"/>
          <w:b/>
          <w:bCs/>
          <w:color w:val="auto"/>
          <w:u w:val="none"/>
          <w:lang w:eastAsia="ja-JP"/>
        </w:rPr>
      </w:pPr>
      <w:hyperlink r:id="rId17" w:history="1">
        <w:r w:rsidR="00CD3B1F" w:rsidRPr="00A212B1">
          <w:rPr>
            <w:rStyle w:val="Hyperlink"/>
            <w:rFonts w:ascii="Open Sans" w:hAnsi="Open Sans" w:cs="Open Sans"/>
          </w:rPr>
          <w:t>https://www.gov.uk/government/news/chancellor-launches-comprehensive-spending-review</w:t>
        </w:r>
      </w:hyperlink>
    </w:p>
    <w:p w14:paraId="51BC1454" w14:textId="35D04AE4" w:rsidR="00CD3B1F" w:rsidRPr="00A212B1" w:rsidRDefault="00112E97" w:rsidP="004E41EA">
      <w:pPr>
        <w:pStyle w:val="ListParagraph"/>
        <w:numPr>
          <w:ilvl w:val="0"/>
          <w:numId w:val="12"/>
        </w:numPr>
        <w:spacing w:line="240" w:lineRule="auto"/>
        <w:rPr>
          <w:rStyle w:val="Hyperlink"/>
          <w:rFonts w:ascii="Open Sans" w:eastAsiaTheme="minorEastAsia" w:hAnsi="Open Sans" w:cs="Open Sans"/>
          <w:b/>
          <w:bCs/>
          <w:color w:val="auto"/>
          <w:u w:val="none"/>
          <w:lang w:eastAsia="ja-JP"/>
        </w:rPr>
      </w:pPr>
      <w:hyperlink r:id="rId18" w:history="1">
        <w:r w:rsidR="00CD3B1F" w:rsidRPr="00A212B1">
          <w:rPr>
            <w:rStyle w:val="Hyperlink"/>
            <w:rFonts w:ascii="Open Sans" w:hAnsi="Open Sans" w:cs="Open Sans"/>
          </w:rPr>
          <w:t>https://theicct.org/sites/default/files/publications/EV-charging-best-practices_ICCT-white-paper_04102017_vF.pdf</w:t>
        </w:r>
      </w:hyperlink>
    </w:p>
    <w:p w14:paraId="12D5E3E6" w14:textId="3C9B9F52" w:rsidR="00CD3B1F" w:rsidRPr="00A212B1" w:rsidRDefault="00112E97" w:rsidP="004E41EA">
      <w:pPr>
        <w:pStyle w:val="ListParagraph"/>
        <w:numPr>
          <w:ilvl w:val="0"/>
          <w:numId w:val="12"/>
        </w:numPr>
        <w:spacing w:line="240" w:lineRule="auto"/>
        <w:rPr>
          <w:rStyle w:val="Hyperlink"/>
          <w:rFonts w:ascii="Open Sans" w:eastAsiaTheme="minorEastAsia" w:hAnsi="Open Sans" w:cs="Open Sans"/>
          <w:b/>
          <w:bCs/>
          <w:color w:val="auto"/>
          <w:u w:val="none"/>
          <w:lang w:eastAsia="ja-JP"/>
        </w:rPr>
      </w:pPr>
      <w:hyperlink r:id="rId19" w:history="1">
        <w:r w:rsidR="00CD3B1F" w:rsidRPr="00A212B1">
          <w:rPr>
            <w:rStyle w:val="Hyperlink"/>
            <w:rFonts w:ascii="Open Sans" w:hAnsi="Open Sans" w:cs="Open Sans"/>
          </w:rPr>
          <w:t>https://www.energy.gov/eere/electricvehicles/charging-home</w:t>
        </w:r>
      </w:hyperlink>
    </w:p>
    <w:p w14:paraId="619010D7" w14:textId="77777777" w:rsidR="00CD3B1F" w:rsidRPr="00A212B1" w:rsidRDefault="00CD3B1F" w:rsidP="004E41EA">
      <w:pPr>
        <w:pStyle w:val="ListParagraph"/>
        <w:numPr>
          <w:ilvl w:val="0"/>
          <w:numId w:val="12"/>
        </w:numPr>
        <w:spacing w:line="240" w:lineRule="auto"/>
        <w:rPr>
          <w:rFonts w:ascii="Open Sans" w:eastAsiaTheme="minorEastAsia" w:hAnsi="Open Sans" w:cs="Open Sans"/>
          <w:b/>
          <w:bCs/>
          <w:lang w:eastAsia="ja-JP"/>
        </w:rPr>
      </w:pPr>
      <w:r w:rsidRPr="00A212B1">
        <w:rPr>
          <w:rFonts w:ascii="Open Sans" w:hAnsi="Open Sans" w:cs="Open Sans"/>
        </w:rPr>
        <w:t>IEA Global EV Outlook 2013</w:t>
      </w:r>
    </w:p>
    <w:p w14:paraId="393BE08F" w14:textId="5049E07C" w:rsidR="00CD3B1F" w:rsidRPr="00A212B1" w:rsidRDefault="00112E97" w:rsidP="004E41EA">
      <w:pPr>
        <w:pStyle w:val="ListParagraph"/>
        <w:numPr>
          <w:ilvl w:val="0"/>
          <w:numId w:val="12"/>
        </w:numPr>
        <w:spacing w:line="240" w:lineRule="auto"/>
        <w:rPr>
          <w:rFonts w:ascii="Open Sans" w:eastAsiaTheme="minorEastAsia" w:hAnsi="Open Sans" w:cs="Open Sans"/>
          <w:b/>
          <w:bCs/>
          <w:lang w:eastAsia="ja-JP"/>
        </w:rPr>
      </w:pPr>
      <w:hyperlink r:id="rId20" w:anchor="190777de238b" w:history="1">
        <w:r w:rsidR="00CD3B1F" w:rsidRPr="00A212B1">
          <w:rPr>
            <w:rStyle w:val="Hyperlink"/>
            <w:rFonts w:ascii="Open Sans" w:hAnsi="Open Sans" w:cs="Open Sans"/>
          </w:rPr>
          <w:t>https://www.forbes.com/sites/niallmccarthy/2018/10/08/netherlands-top-for-electric-vehicle-charger-density-infographic/#190777de238b</w:t>
        </w:r>
      </w:hyperlink>
    </w:p>
    <w:p w14:paraId="54E70548" w14:textId="77777777" w:rsidR="00CD3B1F" w:rsidRPr="00A212B1" w:rsidRDefault="00112E97" w:rsidP="004E41EA">
      <w:pPr>
        <w:pStyle w:val="FootnoteText"/>
        <w:numPr>
          <w:ilvl w:val="0"/>
          <w:numId w:val="12"/>
        </w:numPr>
        <w:rPr>
          <w:rFonts w:ascii="Open Sans" w:hAnsi="Open Sans" w:cs="Open Sans"/>
          <w:sz w:val="22"/>
          <w:szCs w:val="22"/>
        </w:rPr>
      </w:pPr>
      <w:hyperlink r:id="rId21" w:anchor="index_1" w:history="1">
        <w:r w:rsidR="00CD3B1F" w:rsidRPr="00A212B1">
          <w:rPr>
            <w:rStyle w:val="Hyperlink"/>
            <w:rFonts w:ascii="Open Sans" w:hAnsi="Open Sans" w:cs="Open Sans"/>
            <w:sz w:val="22"/>
            <w:szCs w:val="22"/>
          </w:rPr>
          <w:t>https://blog.wallbox.com/en/France-ev-incentives/#index_1</w:t>
        </w:r>
      </w:hyperlink>
    </w:p>
    <w:p w14:paraId="3D35D2DC" w14:textId="6B95C00B" w:rsidR="00CD3B1F" w:rsidRPr="00A212B1" w:rsidRDefault="00112E97" w:rsidP="004E41EA">
      <w:pPr>
        <w:pStyle w:val="ListParagraph"/>
        <w:numPr>
          <w:ilvl w:val="0"/>
          <w:numId w:val="12"/>
        </w:numPr>
        <w:spacing w:line="240" w:lineRule="auto"/>
        <w:rPr>
          <w:rStyle w:val="Hyperlink"/>
          <w:rFonts w:ascii="Open Sans" w:eastAsiaTheme="minorEastAsia" w:hAnsi="Open Sans" w:cs="Open Sans"/>
          <w:b/>
          <w:bCs/>
          <w:color w:val="auto"/>
          <w:u w:val="none"/>
          <w:lang w:eastAsia="ja-JP"/>
        </w:rPr>
      </w:pPr>
      <w:hyperlink r:id="rId22" w:anchor=":~:text=By%20putting%20a%20price%20on,cent%20of%20the%201990%20level." w:history="1">
        <w:r w:rsidR="00CD3B1F" w:rsidRPr="00A212B1">
          <w:rPr>
            <w:rStyle w:val="Hyperlink"/>
            <w:rFonts w:ascii="Open Sans" w:hAnsi="Open Sans" w:cs="Open Sans"/>
          </w:rPr>
          <w:t>https://www.bundesregierung.de/breg-en/issues/climate-action/klimaschutzprogramm-2030-1674080#:~:text=By%20putting%20a%20price%20on,cent%20of%20the%201990%20level.</w:t>
        </w:r>
      </w:hyperlink>
    </w:p>
    <w:p w14:paraId="6AF55856" w14:textId="3B8C396A" w:rsidR="00CD3B1F" w:rsidRPr="00A212B1" w:rsidRDefault="00112E97" w:rsidP="004E41EA">
      <w:pPr>
        <w:pStyle w:val="ListParagraph"/>
        <w:numPr>
          <w:ilvl w:val="0"/>
          <w:numId w:val="12"/>
        </w:numPr>
        <w:spacing w:line="240" w:lineRule="auto"/>
        <w:rPr>
          <w:rStyle w:val="Hyperlink"/>
          <w:rFonts w:ascii="Open Sans" w:eastAsiaTheme="minorEastAsia" w:hAnsi="Open Sans" w:cs="Open Sans"/>
          <w:b/>
          <w:bCs/>
          <w:color w:val="auto"/>
          <w:u w:val="none"/>
          <w:lang w:eastAsia="ja-JP"/>
        </w:rPr>
      </w:pPr>
      <w:hyperlink r:id="rId23" w:anchor="EVChargingIncentives" w:history="1">
        <w:r w:rsidR="004E41EA" w:rsidRPr="00A212B1">
          <w:rPr>
            <w:rStyle w:val="Hyperlink"/>
            <w:rFonts w:ascii="Open Sans" w:hAnsi="Open Sans" w:cs="Open Sans"/>
          </w:rPr>
          <w:t>https://wallbox.com/en_catalog/ev-incentives-in-germany#EVChargingIncentives</w:t>
        </w:r>
      </w:hyperlink>
    </w:p>
    <w:p w14:paraId="0D8373D3" w14:textId="5FF5F750" w:rsidR="004E41EA" w:rsidRPr="00A212B1" w:rsidRDefault="00112E97" w:rsidP="004E41EA">
      <w:pPr>
        <w:pStyle w:val="ListParagraph"/>
        <w:numPr>
          <w:ilvl w:val="0"/>
          <w:numId w:val="12"/>
        </w:numPr>
        <w:spacing w:line="240" w:lineRule="auto"/>
        <w:rPr>
          <w:rStyle w:val="Hyperlink"/>
          <w:rFonts w:ascii="Open Sans" w:eastAsiaTheme="minorEastAsia" w:hAnsi="Open Sans" w:cs="Open Sans"/>
          <w:b/>
          <w:bCs/>
          <w:color w:val="auto"/>
          <w:u w:val="none"/>
          <w:lang w:eastAsia="ja-JP"/>
        </w:rPr>
      </w:pPr>
      <w:hyperlink r:id="rId24" w:history="1">
        <w:r w:rsidR="004E41EA" w:rsidRPr="00A212B1">
          <w:rPr>
            <w:rStyle w:val="Hyperlink"/>
            <w:rFonts w:ascii="Open Sans" w:hAnsi="Open Sans" w:cs="Open Sans"/>
          </w:rPr>
          <w:t>https://www.eafo.eu/countries/germany/1734/incentives</w:t>
        </w:r>
      </w:hyperlink>
    </w:p>
    <w:p w14:paraId="7A1DA754" w14:textId="56226B1A" w:rsidR="004E41EA" w:rsidRPr="00A212B1" w:rsidRDefault="00112E97" w:rsidP="004E41EA">
      <w:pPr>
        <w:pStyle w:val="ListParagraph"/>
        <w:numPr>
          <w:ilvl w:val="0"/>
          <w:numId w:val="12"/>
        </w:numPr>
        <w:spacing w:line="240" w:lineRule="auto"/>
        <w:rPr>
          <w:rStyle w:val="Hyperlink"/>
          <w:rFonts w:ascii="Open Sans" w:eastAsiaTheme="minorEastAsia" w:hAnsi="Open Sans" w:cs="Open Sans"/>
          <w:b/>
          <w:bCs/>
          <w:color w:val="auto"/>
          <w:u w:val="none"/>
          <w:lang w:eastAsia="ja-JP"/>
        </w:rPr>
      </w:pPr>
      <w:hyperlink r:id="rId25" w:history="1">
        <w:r w:rsidR="004E41EA" w:rsidRPr="00A212B1">
          <w:rPr>
            <w:rStyle w:val="Hyperlink"/>
            <w:rFonts w:ascii="Open Sans" w:hAnsi="Open Sans" w:cs="Open Sans"/>
          </w:rPr>
          <w:t>https://www.eafo.eu/countries/belgium/1724/incentives</w:t>
        </w:r>
      </w:hyperlink>
    </w:p>
    <w:p w14:paraId="0173A3FC" w14:textId="22B240C0" w:rsidR="004E41EA" w:rsidRPr="00A212B1" w:rsidRDefault="00112E97" w:rsidP="004E41EA">
      <w:pPr>
        <w:pStyle w:val="ListParagraph"/>
        <w:numPr>
          <w:ilvl w:val="0"/>
          <w:numId w:val="12"/>
        </w:numPr>
        <w:spacing w:line="240" w:lineRule="auto"/>
        <w:rPr>
          <w:rStyle w:val="Hyperlink"/>
          <w:rFonts w:ascii="Open Sans" w:eastAsiaTheme="minorEastAsia" w:hAnsi="Open Sans" w:cs="Open Sans"/>
          <w:b/>
          <w:bCs/>
          <w:color w:val="auto"/>
          <w:u w:val="none"/>
          <w:lang w:eastAsia="ja-JP"/>
        </w:rPr>
      </w:pPr>
      <w:hyperlink r:id="rId26" w:anchor="Belgium" w:history="1">
        <w:r w:rsidR="004E41EA" w:rsidRPr="00A212B1">
          <w:rPr>
            <w:rStyle w:val="Hyperlink"/>
            <w:rFonts w:ascii="Open Sans" w:hAnsi="Open Sans" w:cs="Open Sans"/>
          </w:rPr>
          <w:t>https://wallbox.com/en_nl/guide-to-ev-incentives-europe#Belgium</w:t>
        </w:r>
      </w:hyperlink>
    </w:p>
    <w:p w14:paraId="2B6AC823" w14:textId="561A0A15" w:rsidR="004E41EA" w:rsidRPr="00A212B1" w:rsidRDefault="00112E97" w:rsidP="004E41EA">
      <w:pPr>
        <w:pStyle w:val="ListParagraph"/>
        <w:numPr>
          <w:ilvl w:val="0"/>
          <w:numId w:val="12"/>
        </w:numPr>
        <w:spacing w:line="240" w:lineRule="auto"/>
        <w:rPr>
          <w:rStyle w:val="Hyperlink"/>
          <w:rFonts w:ascii="Open Sans" w:eastAsiaTheme="minorEastAsia" w:hAnsi="Open Sans" w:cs="Open Sans"/>
          <w:b/>
          <w:bCs/>
          <w:color w:val="auto"/>
          <w:u w:val="none"/>
          <w:lang w:eastAsia="ja-JP"/>
        </w:rPr>
      </w:pPr>
      <w:hyperlink r:id="rId27" w:history="1">
        <w:r w:rsidR="004E41EA" w:rsidRPr="00A212B1">
          <w:rPr>
            <w:rStyle w:val="Hyperlink"/>
            <w:rFonts w:ascii="Open Sans" w:hAnsi="Open Sans" w:cs="Open Sans"/>
          </w:rPr>
          <w:t>https://www.thebulletin.be/ev-riders-move-towards-electric-vehicles-brussels</w:t>
        </w:r>
      </w:hyperlink>
    </w:p>
    <w:p w14:paraId="4001B4A6" w14:textId="6F457925" w:rsidR="004E41EA" w:rsidRPr="00A212B1" w:rsidRDefault="00112E97" w:rsidP="004E41EA">
      <w:pPr>
        <w:pStyle w:val="ListParagraph"/>
        <w:numPr>
          <w:ilvl w:val="0"/>
          <w:numId w:val="12"/>
        </w:numPr>
        <w:spacing w:line="240" w:lineRule="auto"/>
        <w:rPr>
          <w:rStyle w:val="Hyperlink"/>
          <w:rFonts w:ascii="Open Sans" w:eastAsiaTheme="minorEastAsia" w:hAnsi="Open Sans" w:cs="Open Sans"/>
          <w:b/>
          <w:bCs/>
          <w:color w:val="auto"/>
          <w:u w:val="none"/>
          <w:lang w:eastAsia="ja-JP"/>
        </w:rPr>
      </w:pPr>
      <w:hyperlink r:id="rId28" w:history="1">
        <w:r w:rsidR="004E41EA" w:rsidRPr="00A212B1">
          <w:rPr>
            <w:rStyle w:val="Hyperlink"/>
            <w:rFonts w:ascii="Open Sans" w:hAnsi="Open Sans" w:cs="Open Sans"/>
          </w:rPr>
          <w:t>https://wibax.com/en/klimatklivet-ett-stod-till-lokala-och-regionala-klimatsatsningar/</w:t>
        </w:r>
      </w:hyperlink>
    </w:p>
    <w:p w14:paraId="57457481" w14:textId="3E3DBA6F" w:rsidR="004E41EA" w:rsidRPr="00A212B1" w:rsidRDefault="00112E97" w:rsidP="004E41EA">
      <w:pPr>
        <w:pStyle w:val="ListParagraph"/>
        <w:numPr>
          <w:ilvl w:val="0"/>
          <w:numId w:val="12"/>
        </w:numPr>
        <w:spacing w:line="240" w:lineRule="auto"/>
        <w:rPr>
          <w:rStyle w:val="Hyperlink"/>
          <w:rFonts w:ascii="Open Sans" w:eastAsiaTheme="minorEastAsia" w:hAnsi="Open Sans" w:cs="Open Sans"/>
          <w:b/>
          <w:bCs/>
          <w:color w:val="auto"/>
          <w:u w:val="none"/>
          <w:lang w:eastAsia="ja-JP"/>
        </w:rPr>
      </w:pPr>
      <w:hyperlink r:id="rId29" w:history="1">
        <w:r w:rsidR="004E41EA" w:rsidRPr="00A212B1">
          <w:rPr>
            <w:rStyle w:val="Hyperlink"/>
            <w:rFonts w:ascii="Open Sans" w:hAnsi="Open Sans" w:cs="Open Sans"/>
          </w:rPr>
          <w:t>https://www.eafo.eu/countries/sweden/1755/incentives</w:t>
        </w:r>
      </w:hyperlink>
    </w:p>
    <w:p w14:paraId="612611FC" w14:textId="76E93E1D" w:rsidR="004E41EA" w:rsidRPr="00A212B1" w:rsidRDefault="00112E97" w:rsidP="004E41EA">
      <w:pPr>
        <w:pStyle w:val="ListParagraph"/>
        <w:numPr>
          <w:ilvl w:val="0"/>
          <w:numId w:val="12"/>
        </w:numPr>
        <w:spacing w:line="240" w:lineRule="auto"/>
        <w:rPr>
          <w:rStyle w:val="Hyperlink"/>
          <w:rFonts w:ascii="Open Sans" w:eastAsiaTheme="minorEastAsia" w:hAnsi="Open Sans" w:cs="Open Sans"/>
          <w:b/>
          <w:bCs/>
          <w:color w:val="auto"/>
          <w:u w:val="none"/>
          <w:lang w:eastAsia="ja-JP"/>
        </w:rPr>
      </w:pPr>
      <w:hyperlink r:id="rId30" w:history="1">
        <w:r w:rsidR="004E41EA" w:rsidRPr="00A212B1">
          <w:rPr>
            <w:rStyle w:val="Hyperlink"/>
            <w:rFonts w:ascii="Open Sans" w:hAnsi="Open Sans" w:cs="Open Sans"/>
          </w:rPr>
          <w:t>https://incharge.vattenfall.se/en/charge-at-home/</w:t>
        </w:r>
      </w:hyperlink>
    </w:p>
    <w:p w14:paraId="6D00D239" w14:textId="14C9AE85" w:rsidR="004E41EA" w:rsidRPr="00A212B1" w:rsidRDefault="00112E97" w:rsidP="004E41EA">
      <w:pPr>
        <w:pStyle w:val="ListParagraph"/>
        <w:numPr>
          <w:ilvl w:val="0"/>
          <w:numId w:val="12"/>
        </w:numPr>
        <w:spacing w:line="240" w:lineRule="auto"/>
        <w:rPr>
          <w:rStyle w:val="Hyperlink"/>
          <w:rFonts w:ascii="Open Sans" w:eastAsiaTheme="minorEastAsia" w:hAnsi="Open Sans" w:cs="Open Sans"/>
          <w:b/>
          <w:bCs/>
          <w:color w:val="auto"/>
          <w:u w:val="none"/>
          <w:lang w:eastAsia="ja-JP"/>
        </w:rPr>
      </w:pPr>
      <w:hyperlink r:id="rId31" w:history="1">
        <w:r w:rsidR="004E41EA" w:rsidRPr="00A212B1">
          <w:rPr>
            <w:rStyle w:val="Hyperlink"/>
            <w:rFonts w:ascii="Open Sans" w:hAnsi="Open Sans" w:cs="Open Sans"/>
          </w:rPr>
          <w:t>https://www.eafo.eu/countries/ireland/1738/incentives</w:t>
        </w:r>
      </w:hyperlink>
    </w:p>
    <w:p w14:paraId="1838DE9D" w14:textId="3E16869F" w:rsidR="004E41EA" w:rsidRPr="00A212B1" w:rsidRDefault="00112E97" w:rsidP="004E41EA">
      <w:pPr>
        <w:pStyle w:val="ListParagraph"/>
        <w:numPr>
          <w:ilvl w:val="0"/>
          <w:numId w:val="12"/>
        </w:numPr>
        <w:spacing w:line="240" w:lineRule="auto"/>
        <w:rPr>
          <w:rStyle w:val="Hyperlink"/>
          <w:rFonts w:ascii="Open Sans" w:eastAsiaTheme="minorEastAsia" w:hAnsi="Open Sans" w:cs="Open Sans"/>
          <w:b/>
          <w:bCs/>
          <w:color w:val="auto"/>
          <w:u w:val="none"/>
          <w:lang w:eastAsia="ja-JP"/>
        </w:rPr>
      </w:pPr>
      <w:hyperlink r:id="rId32" w:history="1">
        <w:r w:rsidR="004E41EA" w:rsidRPr="00A212B1">
          <w:rPr>
            <w:rStyle w:val="Hyperlink"/>
            <w:rFonts w:ascii="Open Sans" w:hAnsi="Open Sans" w:cs="Open Sans"/>
          </w:rPr>
          <w:t>https://www.dccae.gov.ie/en-ie/energy/topics/Renewable-Energy/transport/electric-vehicles/Pages/Vehicle-Recharging.aspx</w:t>
        </w:r>
      </w:hyperlink>
    </w:p>
    <w:p w14:paraId="01374F2B" w14:textId="41E4CA16" w:rsidR="004E41EA" w:rsidRPr="00A212B1" w:rsidRDefault="004E41EA" w:rsidP="004E41EA">
      <w:pPr>
        <w:pStyle w:val="ListParagraph"/>
        <w:numPr>
          <w:ilvl w:val="0"/>
          <w:numId w:val="12"/>
        </w:numPr>
        <w:spacing w:line="240" w:lineRule="auto"/>
        <w:rPr>
          <w:rFonts w:ascii="Open Sans" w:eastAsiaTheme="minorEastAsia" w:hAnsi="Open Sans" w:cs="Open Sans"/>
          <w:b/>
          <w:bCs/>
          <w:lang w:eastAsia="ja-JP"/>
        </w:rPr>
      </w:pPr>
      <w:r w:rsidRPr="00A212B1">
        <w:rPr>
          <w:rFonts w:ascii="Open Sans" w:hAnsi="Open Sans" w:cs="Open Sans"/>
        </w:rPr>
        <w:t>Monaca &amp; Ryan, 2018 (UCD Energy Institute)</w:t>
      </w:r>
    </w:p>
    <w:sectPr w:rsidR="004E41EA" w:rsidRPr="00A212B1" w:rsidSect="00D47638">
      <w:headerReference w:type="default" r:id="rId33"/>
      <w:footerReference w:type="defaul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EE05C" w14:textId="77777777" w:rsidR="007F53A2" w:rsidRDefault="007F53A2" w:rsidP="00010CEC">
      <w:pPr>
        <w:spacing w:after="0" w:line="240" w:lineRule="auto"/>
      </w:pPr>
      <w:r>
        <w:separator/>
      </w:r>
    </w:p>
  </w:endnote>
  <w:endnote w:type="continuationSeparator" w:id="0">
    <w:p w14:paraId="368D4F65" w14:textId="77777777" w:rsidR="007F53A2" w:rsidRDefault="007F53A2" w:rsidP="00010CEC">
      <w:pPr>
        <w:spacing w:after="0" w:line="240" w:lineRule="auto"/>
      </w:pPr>
      <w:r>
        <w:continuationSeparator/>
      </w:r>
    </w:p>
  </w:endnote>
  <w:endnote w:id="1">
    <w:p w14:paraId="063D4AFF" w14:textId="77777777" w:rsidR="003569DE" w:rsidRPr="00A212B1" w:rsidRDefault="003569DE" w:rsidP="003569DE">
      <w:pPr>
        <w:pStyle w:val="TNR"/>
        <w:spacing w:line="240" w:lineRule="auto"/>
        <w:rPr>
          <w:rFonts w:ascii="Open Sans" w:hAnsi="Open Sans" w:cs="Open Sans"/>
          <w:sz w:val="22"/>
        </w:rPr>
      </w:pPr>
      <w:r>
        <w:rPr>
          <w:rStyle w:val="EndnoteReference"/>
        </w:rPr>
        <w:endnoteRef/>
      </w:r>
      <w:r>
        <w:t xml:space="preserve"> </w:t>
      </w:r>
      <w:r w:rsidRPr="00A212B1">
        <w:rPr>
          <w:rFonts w:ascii="Open Sans" w:hAnsi="Open Sans" w:cs="Open Sans"/>
          <w:sz w:val="22"/>
        </w:rPr>
        <w:t xml:space="preserve">This section must be preceded with a notice on the data available around private chargers. To the best of this author’s knowledge, there is no public data available on the number of private chargers sold in the UK. While there is data on the usage of the two schemes, this is not enough to prove whether the schemes have had a positive causal effect on private EV infrastructure development in the UK. In addition, details on the failure rates and smart capabilities of individual or collective EV charge-points are equally scarce. This section on the effectiveness of these schemes, their strengths, and their weaknesses therefore relies in part on available inputs, particularly interviews with various leading industry experts with experience in policy, manufacturing, provision, and consultation. </w:t>
      </w:r>
    </w:p>
    <w:p w14:paraId="7A283BCE" w14:textId="7872BE8C" w:rsidR="003569DE" w:rsidRDefault="003569D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5834263"/>
      <w:docPartObj>
        <w:docPartGallery w:val="Page Numbers (Bottom of Page)"/>
        <w:docPartUnique/>
      </w:docPartObj>
    </w:sdtPr>
    <w:sdtEndPr>
      <w:rPr>
        <w:noProof/>
      </w:rPr>
    </w:sdtEndPr>
    <w:sdtContent>
      <w:p w14:paraId="6DE92B4D" w14:textId="1B826996" w:rsidR="00CD3B1F" w:rsidRDefault="00CD3B1F">
        <w:pPr>
          <w:pStyle w:val="Footer"/>
        </w:pPr>
        <w:r>
          <w:fldChar w:fldCharType="begin"/>
        </w:r>
        <w:r>
          <w:instrText xml:space="preserve"> PAGE   \* MERGEFORMAT </w:instrText>
        </w:r>
        <w:r>
          <w:fldChar w:fldCharType="separate"/>
        </w:r>
        <w:r>
          <w:rPr>
            <w:noProof/>
          </w:rPr>
          <w:t>2</w:t>
        </w:r>
        <w:r>
          <w:rPr>
            <w:noProof/>
          </w:rPr>
          <w:fldChar w:fldCharType="end"/>
        </w:r>
      </w:p>
    </w:sdtContent>
  </w:sdt>
  <w:p w14:paraId="1AC1D18B" w14:textId="77777777" w:rsidR="00CD3B1F" w:rsidRDefault="00CD3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9586504"/>
      <w:docPartObj>
        <w:docPartGallery w:val="Page Numbers (Bottom of Page)"/>
        <w:docPartUnique/>
      </w:docPartObj>
    </w:sdtPr>
    <w:sdtEndPr>
      <w:rPr>
        <w:noProof/>
      </w:rPr>
    </w:sdtEndPr>
    <w:sdtContent>
      <w:p w14:paraId="6F7EFAA6" w14:textId="620029AB" w:rsidR="00CD3B1F" w:rsidRDefault="00CD3B1F">
        <w:pPr>
          <w:pStyle w:val="Footer"/>
        </w:pPr>
        <w:r>
          <w:fldChar w:fldCharType="begin"/>
        </w:r>
        <w:r>
          <w:instrText xml:space="preserve"> PAGE   \* MERGEFORMAT </w:instrText>
        </w:r>
        <w:r>
          <w:fldChar w:fldCharType="separate"/>
        </w:r>
        <w:r>
          <w:rPr>
            <w:noProof/>
          </w:rPr>
          <w:t>2</w:t>
        </w:r>
        <w:r>
          <w:rPr>
            <w:noProof/>
          </w:rPr>
          <w:fldChar w:fldCharType="end"/>
        </w:r>
      </w:p>
    </w:sdtContent>
  </w:sdt>
  <w:p w14:paraId="78ABBD02" w14:textId="77777777" w:rsidR="00CD3B1F" w:rsidRDefault="00CD3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0554B" w14:textId="77777777" w:rsidR="007F53A2" w:rsidRDefault="007F53A2" w:rsidP="00010CEC">
      <w:pPr>
        <w:spacing w:after="0" w:line="240" w:lineRule="auto"/>
      </w:pPr>
      <w:r>
        <w:separator/>
      </w:r>
    </w:p>
  </w:footnote>
  <w:footnote w:type="continuationSeparator" w:id="0">
    <w:p w14:paraId="79C76235" w14:textId="77777777" w:rsidR="007F53A2" w:rsidRDefault="007F53A2" w:rsidP="00010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0F511" w14:textId="6A54FC62" w:rsidR="00CD3B1F" w:rsidRDefault="00CD3B1F" w:rsidP="00BD5785">
    <w:pPr>
      <w:pStyle w:val="Header"/>
    </w:pPr>
    <w:r>
      <w:rPr>
        <w:noProof/>
      </w:rPr>
      <w:drawing>
        <wp:anchor distT="0" distB="0" distL="114300" distR="114300" simplePos="0" relativeHeight="251659264" behindDoc="1" locked="0" layoutInCell="1" allowOverlap="1" wp14:anchorId="10586E63" wp14:editId="2B8F7494">
          <wp:simplePos x="0" y="0"/>
          <wp:positionH relativeFrom="column">
            <wp:posOffset>4529455</wp:posOffset>
          </wp:positionH>
          <wp:positionV relativeFrom="paragraph">
            <wp:posOffset>-91440</wp:posOffset>
          </wp:positionV>
          <wp:extent cx="1645920" cy="490220"/>
          <wp:effectExtent l="0" t="0" r="0" b="5080"/>
          <wp:wrapTight wrapText="bothSides">
            <wp:wrapPolygon edited="0">
              <wp:start x="0" y="0"/>
              <wp:lineTo x="0" y="20984"/>
              <wp:lineTo x="21250" y="20984"/>
              <wp:lineTo x="21250" y="0"/>
              <wp:lineTo x="0" y="0"/>
            </wp:wrapPolygon>
          </wp:wrapTight>
          <wp:docPr id="1" name="Picture 1" descr="A picture containing ten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s.jpg"/>
                  <pic:cNvPicPr/>
                </pic:nvPicPr>
                <pic:blipFill>
                  <a:blip r:embed="rId1">
                    <a:extLst>
                      <a:ext uri="{28A0092B-C50C-407E-A947-70E740481C1C}">
                        <a14:useLocalDpi xmlns:a14="http://schemas.microsoft.com/office/drawing/2010/main" val="0"/>
                      </a:ext>
                    </a:extLst>
                  </a:blip>
                  <a:stretch>
                    <a:fillRect/>
                  </a:stretch>
                </pic:blipFill>
                <pic:spPr>
                  <a:xfrm>
                    <a:off x="0" y="0"/>
                    <a:ext cx="1645920" cy="490220"/>
                  </a:xfrm>
                  <a:prstGeom prst="rect">
                    <a:avLst/>
                  </a:prstGeom>
                </pic:spPr>
              </pic:pic>
            </a:graphicData>
          </a:graphic>
          <wp14:sizeRelH relativeFrom="margin">
            <wp14:pctWidth>0</wp14:pctWidth>
          </wp14:sizeRelH>
          <wp14:sizeRelV relativeFrom="margin">
            <wp14:pctHeight>0</wp14:pctHeight>
          </wp14:sizeRelV>
        </wp:anchor>
      </w:drawing>
    </w:r>
    <w:r w:rsidR="00262FF1">
      <w:t xml:space="preserve">Position Paper </w:t>
    </w:r>
    <w:r w:rsidR="00112E97">
      <w:t>–</w:t>
    </w:r>
    <w:r w:rsidR="00262FF1">
      <w:t xml:space="preserve"> V</w:t>
    </w:r>
    <w:r w:rsidR="00112E97">
      <w:t xml:space="preserve">3 </w:t>
    </w:r>
    <w:r>
      <w:t xml:space="preserve">as of </w:t>
    </w:r>
    <w:r w:rsidR="00133E62">
      <w:t>21</w:t>
    </w:r>
    <w:r w:rsidR="00262FF1" w:rsidRPr="00262FF1">
      <w:rPr>
        <w:vertAlign w:val="superscript"/>
      </w:rPr>
      <w:t>th</w:t>
    </w:r>
    <w:r>
      <w:t xml:space="preserve"> September 2020</w:t>
    </w:r>
  </w:p>
  <w:p w14:paraId="68746AE7" w14:textId="7F8027DB" w:rsidR="00CD3B1F" w:rsidRDefault="00CD3B1F">
    <w:pPr>
      <w:pStyle w:val="Header"/>
    </w:pPr>
  </w:p>
  <w:p w14:paraId="4C68FB7D" w14:textId="77777777" w:rsidR="00CD3B1F" w:rsidRDefault="00CD3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6B18"/>
    <w:multiLevelType w:val="hybridMultilevel"/>
    <w:tmpl w:val="57CCC4E0"/>
    <w:lvl w:ilvl="0" w:tplc="0FA6AAC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3A2038"/>
    <w:multiLevelType w:val="hybridMultilevel"/>
    <w:tmpl w:val="66F8AD9C"/>
    <w:lvl w:ilvl="0" w:tplc="0FA6AA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80B51"/>
    <w:multiLevelType w:val="hybridMultilevel"/>
    <w:tmpl w:val="257C5AD2"/>
    <w:lvl w:ilvl="0" w:tplc="CBBA3BB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06404"/>
    <w:multiLevelType w:val="hybridMultilevel"/>
    <w:tmpl w:val="5CE89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2A62ED"/>
    <w:multiLevelType w:val="hybridMultilevel"/>
    <w:tmpl w:val="487880F6"/>
    <w:lvl w:ilvl="0" w:tplc="CC34916C">
      <w:start w:val="1"/>
      <w:numFmt w:val="decimal"/>
      <w:lvlText w:val="%1."/>
      <w:lvlJc w:val="left"/>
      <w:pPr>
        <w:ind w:left="720" w:hanging="360"/>
      </w:pPr>
      <w:rPr>
        <w:rFont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A01D64"/>
    <w:multiLevelType w:val="hybridMultilevel"/>
    <w:tmpl w:val="5B846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813375"/>
    <w:multiLevelType w:val="hybridMultilevel"/>
    <w:tmpl w:val="00C27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244B0"/>
    <w:multiLevelType w:val="hybridMultilevel"/>
    <w:tmpl w:val="200E2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B87703"/>
    <w:multiLevelType w:val="hybridMultilevel"/>
    <w:tmpl w:val="83967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E288E"/>
    <w:multiLevelType w:val="hybridMultilevel"/>
    <w:tmpl w:val="EBD29CFC"/>
    <w:lvl w:ilvl="0" w:tplc="0FA6AA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92174C"/>
    <w:multiLevelType w:val="hybridMultilevel"/>
    <w:tmpl w:val="27DC959A"/>
    <w:lvl w:ilvl="0" w:tplc="954878CC">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D62D8F"/>
    <w:multiLevelType w:val="hybridMultilevel"/>
    <w:tmpl w:val="70C23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E04520"/>
    <w:multiLevelType w:val="hybridMultilevel"/>
    <w:tmpl w:val="1B4C7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BE6CDC"/>
    <w:multiLevelType w:val="hybridMultilevel"/>
    <w:tmpl w:val="E6F4B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A233C3"/>
    <w:multiLevelType w:val="hybridMultilevel"/>
    <w:tmpl w:val="1B06305E"/>
    <w:lvl w:ilvl="0" w:tplc="CBBA3BB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9F5FA9"/>
    <w:multiLevelType w:val="hybridMultilevel"/>
    <w:tmpl w:val="5444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245549"/>
    <w:multiLevelType w:val="hybridMultilevel"/>
    <w:tmpl w:val="727209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
  </w:num>
  <w:num w:numId="3">
    <w:abstractNumId w:val="7"/>
  </w:num>
  <w:num w:numId="4">
    <w:abstractNumId w:val="4"/>
  </w:num>
  <w:num w:numId="5">
    <w:abstractNumId w:val="14"/>
  </w:num>
  <w:num w:numId="6">
    <w:abstractNumId w:val="8"/>
  </w:num>
  <w:num w:numId="7">
    <w:abstractNumId w:val="3"/>
  </w:num>
  <w:num w:numId="8">
    <w:abstractNumId w:val="11"/>
  </w:num>
  <w:num w:numId="9">
    <w:abstractNumId w:val="9"/>
  </w:num>
  <w:num w:numId="10">
    <w:abstractNumId w:val="16"/>
  </w:num>
  <w:num w:numId="11">
    <w:abstractNumId w:val="0"/>
  </w:num>
  <w:num w:numId="12">
    <w:abstractNumId w:val="1"/>
  </w:num>
  <w:num w:numId="13">
    <w:abstractNumId w:val="15"/>
  </w:num>
  <w:num w:numId="14">
    <w:abstractNumId w:val="6"/>
  </w:num>
  <w:num w:numId="15">
    <w:abstractNumId w:val="5"/>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2D"/>
    <w:rsid w:val="00010CEC"/>
    <w:rsid w:val="000F6B7C"/>
    <w:rsid w:val="000F7843"/>
    <w:rsid w:val="00112E97"/>
    <w:rsid w:val="00113FFA"/>
    <w:rsid w:val="00122D47"/>
    <w:rsid w:val="00133E62"/>
    <w:rsid w:val="00151016"/>
    <w:rsid w:val="0018059C"/>
    <w:rsid w:val="001A2E4E"/>
    <w:rsid w:val="001B66A6"/>
    <w:rsid w:val="001D59EE"/>
    <w:rsid w:val="001D73B8"/>
    <w:rsid w:val="002248E0"/>
    <w:rsid w:val="00244BB1"/>
    <w:rsid w:val="00262FF1"/>
    <w:rsid w:val="002C1744"/>
    <w:rsid w:val="002D6105"/>
    <w:rsid w:val="002E3BBD"/>
    <w:rsid w:val="003463E5"/>
    <w:rsid w:val="003569DE"/>
    <w:rsid w:val="00435A0A"/>
    <w:rsid w:val="004A4510"/>
    <w:rsid w:val="004B5D6F"/>
    <w:rsid w:val="004C3DA7"/>
    <w:rsid w:val="004E41EA"/>
    <w:rsid w:val="004E6808"/>
    <w:rsid w:val="004F340D"/>
    <w:rsid w:val="0051011F"/>
    <w:rsid w:val="00515D32"/>
    <w:rsid w:val="00524071"/>
    <w:rsid w:val="005246FD"/>
    <w:rsid w:val="00564458"/>
    <w:rsid w:val="005B6E70"/>
    <w:rsid w:val="005E30EE"/>
    <w:rsid w:val="005E4809"/>
    <w:rsid w:val="00604356"/>
    <w:rsid w:val="00610D31"/>
    <w:rsid w:val="00674AE0"/>
    <w:rsid w:val="006B0EF2"/>
    <w:rsid w:val="006C082D"/>
    <w:rsid w:val="006C388C"/>
    <w:rsid w:val="006D3A4C"/>
    <w:rsid w:val="006D72FC"/>
    <w:rsid w:val="006E6858"/>
    <w:rsid w:val="0072139E"/>
    <w:rsid w:val="007420CD"/>
    <w:rsid w:val="007D748D"/>
    <w:rsid w:val="007F53A2"/>
    <w:rsid w:val="008077FD"/>
    <w:rsid w:val="00823C7F"/>
    <w:rsid w:val="00827B2E"/>
    <w:rsid w:val="00840FCF"/>
    <w:rsid w:val="00843458"/>
    <w:rsid w:val="008B4B92"/>
    <w:rsid w:val="008C389A"/>
    <w:rsid w:val="008D2B97"/>
    <w:rsid w:val="008D2D4F"/>
    <w:rsid w:val="008E0F02"/>
    <w:rsid w:val="00912B05"/>
    <w:rsid w:val="009149A5"/>
    <w:rsid w:val="0092277B"/>
    <w:rsid w:val="00925887"/>
    <w:rsid w:val="00945FA7"/>
    <w:rsid w:val="00980B8E"/>
    <w:rsid w:val="009B375B"/>
    <w:rsid w:val="009B4F67"/>
    <w:rsid w:val="009C53FC"/>
    <w:rsid w:val="009E341E"/>
    <w:rsid w:val="009E5281"/>
    <w:rsid w:val="00A017DB"/>
    <w:rsid w:val="00A124E9"/>
    <w:rsid w:val="00A212B1"/>
    <w:rsid w:val="00A30ACA"/>
    <w:rsid w:val="00A47681"/>
    <w:rsid w:val="00A57121"/>
    <w:rsid w:val="00A6207E"/>
    <w:rsid w:val="00AB5021"/>
    <w:rsid w:val="00AC1F54"/>
    <w:rsid w:val="00AC3480"/>
    <w:rsid w:val="00AD69C3"/>
    <w:rsid w:val="00AE5194"/>
    <w:rsid w:val="00AF6497"/>
    <w:rsid w:val="00B01437"/>
    <w:rsid w:val="00B26A02"/>
    <w:rsid w:val="00B3059B"/>
    <w:rsid w:val="00B71A01"/>
    <w:rsid w:val="00B83683"/>
    <w:rsid w:val="00BB0449"/>
    <w:rsid w:val="00BD5785"/>
    <w:rsid w:val="00C15084"/>
    <w:rsid w:val="00C56530"/>
    <w:rsid w:val="00C56E8A"/>
    <w:rsid w:val="00CA2A49"/>
    <w:rsid w:val="00CD3B1F"/>
    <w:rsid w:val="00D16FF3"/>
    <w:rsid w:val="00D47638"/>
    <w:rsid w:val="00D606E7"/>
    <w:rsid w:val="00D810F1"/>
    <w:rsid w:val="00D85BEA"/>
    <w:rsid w:val="00DA67F2"/>
    <w:rsid w:val="00DE5168"/>
    <w:rsid w:val="00DF5CF4"/>
    <w:rsid w:val="00E474CB"/>
    <w:rsid w:val="00E6720C"/>
    <w:rsid w:val="00EF44D0"/>
    <w:rsid w:val="00F035DB"/>
    <w:rsid w:val="00F13475"/>
    <w:rsid w:val="00F204E7"/>
    <w:rsid w:val="00F26069"/>
    <w:rsid w:val="00F575AF"/>
    <w:rsid w:val="00FB47AC"/>
    <w:rsid w:val="00FE2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678B84"/>
  <w15:chartTrackingRefBased/>
  <w15:docId w15:val="{17B1EAFE-A417-48F6-8259-64B53D0F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NR">
    <w:name w:val="TNR"/>
    <w:basedOn w:val="Normal"/>
    <w:link w:val="TNRChar"/>
    <w:qFormat/>
    <w:rsid w:val="00A47681"/>
    <w:pPr>
      <w:spacing w:line="360" w:lineRule="auto"/>
    </w:pPr>
    <w:rPr>
      <w:rFonts w:ascii="Times New Roman" w:eastAsiaTheme="minorEastAsia" w:hAnsi="Times New Roman"/>
      <w:sz w:val="24"/>
      <w:lang w:eastAsia="ja-JP"/>
    </w:rPr>
  </w:style>
  <w:style w:type="character" w:customStyle="1" w:styleId="TNRChar">
    <w:name w:val="TNR Char"/>
    <w:basedOn w:val="DefaultParagraphFont"/>
    <w:link w:val="TNR"/>
    <w:rsid w:val="00A47681"/>
    <w:rPr>
      <w:rFonts w:ascii="Times New Roman" w:eastAsiaTheme="minorEastAsia" w:hAnsi="Times New Roman"/>
      <w:sz w:val="24"/>
      <w:lang w:eastAsia="ja-JP"/>
    </w:rPr>
  </w:style>
  <w:style w:type="paragraph" w:styleId="FootnoteText">
    <w:name w:val="footnote text"/>
    <w:basedOn w:val="Normal"/>
    <w:link w:val="FootnoteTextChar"/>
    <w:uiPriority w:val="99"/>
    <w:semiHidden/>
    <w:unhideWhenUsed/>
    <w:rsid w:val="00010C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0CEC"/>
    <w:rPr>
      <w:sz w:val="20"/>
      <w:szCs w:val="20"/>
    </w:rPr>
  </w:style>
  <w:style w:type="character" w:styleId="FootnoteReference">
    <w:name w:val="footnote reference"/>
    <w:basedOn w:val="DefaultParagraphFont"/>
    <w:uiPriority w:val="99"/>
    <w:semiHidden/>
    <w:unhideWhenUsed/>
    <w:rsid w:val="00010CEC"/>
    <w:rPr>
      <w:vertAlign w:val="superscript"/>
    </w:rPr>
  </w:style>
  <w:style w:type="character" w:styleId="Hyperlink">
    <w:name w:val="Hyperlink"/>
    <w:basedOn w:val="DefaultParagraphFont"/>
    <w:uiPriority w:val="99"/>
    <w:unhideWhenUsed/>
    <w:rsid w:val="00010CEC"/>
    <w:rPr>
      <w:color w:val="0000FF"/>
      <w:u w:val="single"/>
    </w:rPr>
  </w:style>
  <w:style w:type="paragraph" w:styleId="BalloonText">
    <w:name w:val="Balloon Text"/>
    <w:basedOn w:val="Normal"/>
    <w:link w:val="BalloonTextChar"/>
    <w:uiPriority w:val="99"/>
    <w:semiHidden/>
    <w:unhideWhenUsed/>
    <w:rsid w:val="006E6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858"/>
    <w:rPr>
      <w:rFonts w:ascii="Segoe UI" w:hAnsi="Segoe UI" w:cs="Segoe UI"/>
      <w:sz w:val="18"/>
      <w:szCs w:val="18"/>
    </w:rPr>
  </w:style>
  <w:style w:type="paragraph" w:styleId="ListParagraph">
    <w:name w:val="List Paragraph"/>
    <w:basedOn w:val="Normal"/>
    <w:uiPriority w:val="34"/>
    <w:qFormat/>
    <w:rsid w:val="001A2E4E"/>
    <w:pPr>
      <w:ind w:left="720"/>
      <w:contextualSpacing/>
    </w:pPr>
  </w:style>
  <w:style w:type="character" w:styleId="CommentReference">
    <w:name w:val="annotation reference"/>
    <w:basedOn w:val="DefaultParagraphFont"/>
    <w:uiPriority w:val="99"/>
    <w:semiHidden/>
    <w:unhideWhenUsed/>
    <w:rsid w:val="009E341E"/>
    <w:rPr>
      <w:sz w:val="16"/>
      <w:szCs w:val="16"/>
    </w:rPr>
  </w:style>
  <w:style w:type="paragraph" w:styleId="CommentText">
    <w:name w:val="annotation text"/>
    <w:basedOn w:val="Normal"/>
    <w:link w:val="CommentTextChar"/>
    <w:uiPriority w:val="99"/>
    <w:semiHidden/>
    <w:unhideWhenUsed/>
    <w:rsid w:val="009E341E"/>
    <w:pPr>
      <w:spacing w:line="240" w:lineRule="auto"/>
    </w:pPr>
    <w:rPr>
      <w:sz w:val="20"/>
      <w:szCs w:val="20"/>
    </w:rPr>
  </w:style>
  <w:style w:type="character" w:customStyle="1" w:styleId="CommentTextChar">
    <w:name w:val="Comment Text Char"/>
    <w:basedOn w:val="DefaultParagraphFont"/>
    <w:link w:val="CommentText"/>
    <w:uiPriority w:val="99"/>
    <w:semiHidden/>
    <w:rsid w:val="009E341E"/>
    <w:rPr>
      <w:sz w:val="20"/>
      <w:szCs w:val="20"/>
    </w:rPr>
  </w:style>
  <w:style w:type="paragraph" w:styleId="CommentSubject">
    <w:name w:val="annotation subject"/>
    <w:basedOn w:val="CommentText"/>
    <w:next w:val="CommentText"/>
    <w:link w:val="CommentSubjectChar"/>
    <w:uiPriority w:val="99"/>
    <w:semiHidden/>
    <w:unhideWhenUsed/>
    <w:rsid w:val="009E341E"/>
    <w:rPr>
      <w:b/>
      <w:bCs/>
    </w:rPr>
  </w:style>
  <w:style w:type="character" w:customStyle="1" w:styleId="CommentSubjectChar">
    <w:name w:val="Comment Subject Char"/>
    <w:basedOn w:val="CommentTextChar"/>
    <w:link w:val="CommentSubject"/>
    <w:uiPriority w:val="99"/>
    <w:semiHidden/>
    <w:rsid w:val="009E341E"/>
    <w:rPr>
      <w:b/>
      <w:bCs/>
      <w:sz w:val="20"/>
      <w:szCs w:val="20"/>
    </w:rPr>
  </w:style>
  <w:style w:type="paragraph" w:styleId="Header">
    <w:name w:val="header"/>
    <w:basedOn w:val="Normal"/>
    <w:link w:val="HeaderChar"/>
    <w:uiPriority w:val="99"/>
    <w:unhideWhenUsed/>
    <w:rsid w:val="00BD5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785"/>
  </w:style>
  <w:style w:type="paragraph" w:styleId="Footer">
    <w:name w:val="footer"/>
    <w:basedOn w:val="Normal"/>
    <w:link w:val="FooterChar"/>
    <w:uiPriority w:val="99"/>
    <w:unhideWhenUsed/>
    <w:rsid w:val="00BD5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785"/>
  </w:style>
  <w:style w:type="character" w:styleId="PlaceholderText">
    <w:name w:val="Placeholder Text"/>
    <w:basedOn w:val="DefaultParagraphFont"/>
    <w:uiPriority w:val="99"/>
    <w:semiHidden/>
    <w:rsid w:val="00D810F1"/>
    <w:rPr>
      <w:color w:val="808080"/>
    </w:rPr>
  </w:style>
  <w:style w:type="character" w:styleId="UnresolvedMention">
    <w:name w:val="Unresolved Mention"/>
    <w:basedOn w:val="DefaultParagraphFont"/>
    <w:uiPriority w:val="99"/>
    <w:semiHidden/>
    <w:unhideWhenUsed/>
    <w:rsid w:val="00D810F1"/>
    <w:rPr>
      <w:color w:val="605E5C"/>
      <w:shd w:val="clear" w:color="auto" w:fill="E1DFDD"/>
    </w:rPr>
  </w:style>
  <w:style w:type="paragraph" w:styleId="EndnoteText">
    <w:name w:val="endnote text"/>
    <w:basedOn w:val="Normal"/>
    <w:link w:val="EndnoteTextChar"/>
    <w:uiPriority w:val="99"/>
    <w:semiHidden/>
    <w:unhideWhenUsed/>
    <w:rsid w:val="003569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69DE"/>
    <w:rPr>
      <w:sz w:val="20"/>
      <w:szCs w:val="20"/>
    </w:rPr>
  </w:style>
  <w:style w:type="character" w:styleId="EndnoteReference">
    <w:name w:val="endnote reference"/>
    <w:basedOn w:val="DefaultParagraphFont"/>
    <w:uiPriority w:val="99"/>
    <w:semiHidden/>
    <w:unhideWhenUsed/>
    <w:rsid w:val="003569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41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a.net/resources/olev-evhs-sept-2020/" TargetMode="External"/><Relationship Id="rId18" Type="http://schemas.openxmlformats.org/officeDocument/2006/relationships/hyperlink" Target="https://theicct.org/sites/default/files/publications/EV-charging-best-practices_ICCT-white-paper_04102017_vF.pdf" TargetMode="External"/><Relationship Id="rId26" Type="http://schemas.openxmlformats.org/officeDocument/2006/relationships/hyperlink" Target="https://wallbox.com/en_nl/guide-to-ev-incentives-europe" TargetMode="External"/><Relationship Id="rId21" Type="http://schemas.openxmlformats.org/officeDocument/2006/relationships/hyperlink" Target="https://blog.wallbox.com/en/France-ev-incentive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lectric-vehicle.org.uk/" TargetMode="External"/><Relationship Id="rId17" Type="http://schemas.openxmlformats.org/officeDocument/2006/relationships/hyperlink" Target="https://www.gov.uk/government/news/chancellor-launches-comprehensive-spending-review" TargetMode="External"/><Relationship Id="rId25" Type="http://schemas.openxmlformats.org/officeDocument/2006/relationships/hyperlink" Target="https://www.eafo.eu/countries/belgium/1724/incentive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speeches/building-back-a-green-and-resilient-recovery" TargetMode="External"/><Relationship Id="rId20" Type="http://schemas.openxmlformats.org/officeDocument/2006/relationships/hyperlink" Target="https://www.forbes.com/sites/niallmccarthy/2018/10/08/netherlands-top-for-electric-vehicle-charger-density-infographic/" TargetMode="External"/><Relationship Id="rId29" Type="http://schemas.openxmlformats.org/officeDocument/2006/relationships/hyperlink" Target="https://www.eafo.eu/countries/sweden/1755/incentiv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brown@r-e-a.net" TargetMode="External"/><Relationship Id="rId24" Type="http://schemas.openxmlformats.org/officeDocument/2006/relationships/hyperlink" Target="https://www.eafo.eu/countries/germany/1734/incentives" TargetMode="External"/><Relationship Id="rId32" Type="http://schemas.openxmlformats.org/officeDocument/2006/relationships/hyperlink" Target="https://www.dccae.gov.ie/en-ie/energy/topics/Renewable-Energy/transport/electric-vehicles/Pages/Vehicle-Recharging.asp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a.net/resources/taking-charge-how-local-authorities-can-champion-electric-vehicles/" TargetMode="External"/><Relationship Id="rId23" Type="http://schemas.openxmlformats.org/officeDocument/2006/relationships/hyperlink" Target="https://wallbox.com/en_catalog/ev-incentives-in-germany" TargetMode="External"/><Relationship Id="rId28" Type="http://schemas.openxmlformats.org/officeDocument/2006/relationships/hyperlink" Target="https://wibax.com/en/klimatklivet-ett-stod-till-lokala-och-regionala-klimatsatsningar/" TargetMode="External"/><Relationship Id="rId36" Type="http://schemas.openxmlformats.org/officeDocument/2006/relationships/fontTable" Target="fontTable.xml"/><Relationship Id="rId10" Type="http://schemas.openxmlformats.org/officeDocument/2006/relationships/hyperlink" Target="https://www.r-e-a.net/resources/ev-forum-grants-csr-briefing-sept2020/" TargetMode="External"/><Relationship Id="rId19" Type="http://schemas.openxmlformats.org/officeDocument/2006/relationships/hyperlink" Target="https://www.energy.gov/eere/electricvehicles/charging-home" TargetMode="External"/><Relationship Id="rId31" Type="http://schemas.openxmlformats.org/officeDocument/2006/relationships/hyperlink" Target="https://www.eafo.eu/countries/ireland/1738/incentives" TargetMode="External"/><Relationship Id="rId4" Type="http://schemas.openxmlformats.org/officeDocument/2006/relationships/settings" Target="settings.xml"/><Relationship Id="rId9" Type="http://schemas.openxmlformats.org/officeDocument/2006/relationships/hyperlink" Target="https://www.linkedin.com/in/stan-f-952367107/" TargetMode="External"/><Relationship Id="rId14" Type="http://schemas.openxmlformats.org/officeDocument/2006/relationships/hyperlink" Target="https://www.r-e-a.net/resources/draft-pas1878-rea-response/" TargetMode="External"/><Relationship Id="rId22" Type="http://schemas.openxmlformats.org/officeDocument/2006/relationships/hyperlink" Target="https://www.bundesregierung.de/breg-en/issues/climate-action/klimaschutzprogramm-2030-1674080" TargetMode="External"/><Relationship Id="rId27" Type="http://schemas.openxmlformats.org/officeDocument/2006/relationships/hyperlink" Target="https://www.thebulletin.be/ev-riders-move-towards-electric-vehicles-brussels" TargetMode="External"/><Relationship Id="rId30" Type="http://schemas.openxmlformats.org/officeDocument/2006/relationships/hyperlink" Target="https://incharge.vattenfall.se/en/charge-at-home/" TargetMode="External"/><Relationship Id="rId35" Type="http://schemas.openxmlformats.org/officeDocument/2006/relationships/footer" Target="footer2.xml"/><Relationship Id="rId8" Type="http://schemas.openxmlformats.org/officeDocument/2006/relationships/hyperlink" Target="mailto:dbrown@r-e-a.net"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F1F5F-B7BA-4368-991C-E4239968B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4378</Words>
  <Characters>24958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FIELDING, STAN (UG)</dc:creator>
  <cp:keywords/>
  <dc:description/>
  <cp:lastModifiedBy>Daniel Brown</cp:lastModifiedBy>
  <cp:revision>3</cp:revision>
  <cp:lastPrinted>2020-09-08T10:15:00Z</cp:lastPrinted>
  <dcterms:created xsi:type="dcterms:W3CDTF">2020-09-21T12:04:00Z</dcterms:created>
  <dcterms:modified xsi:type="dcterms:W3CDTF">2020-09-21T12:04:00Z</dcterms:modified>
</cp:coreProperties>
</file>