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1EAAD" w14:textId="360B6337" w:rsidR="00695A24" w:rsidRPr="00695A24" w:rsidRDefault="00695A24" w:rsidP="00695A24">
      <w:pPr>
        <w:shd w:val="clear" w:color="auto" w:fill="FFFFFF"/>
        <w:spacing w:after="0" w:line="240" w:lineRule="auto"/>
        <w:rPr>
          <w:rFonts w:ascii="Calibri" w:eastAsia="Times New Roman" w:hAnsi="Calibri" w:cs="Calibri"/>
          <w:b/>
          <w:bCs/>
          <w:color w:val="000000"/>
          <w:sz w:val="24"/>
          <w:szCs w:val="24"/>
          <w:u w:val="single"/>
          <w:lang w:eastAsia="en-GB"/>
        </w:rPr>
      </w:pPr>
      <w:r w:rsidRPr="00695A24">
        <w:rPr>
          <w:rFonts w:ascii="Calibri" w:eastAsia="Times New Roman" w:hAnsi="Calibri" w:cs="Calibri"/>
          <w:b/>
          <w:bCs/>
          <w:color w:val="000000"/>
          <w:sz w:val="24"/>
          <w:szCs w:val="24"/>
          <w:u w:val="single"/>
          <w:lang w:eastAsia="en-GB"/>
        </w:rPr>
        <w:t>REA Renewable Transport Fuels Forum meeting notes and actions</w:t>
      </w:r>
      <w:r w:rsidRPr="00695A24">
        <w:rPr>
          <w:rFonts w:ascii="Calibri" w:eastAsia="Times New Roman" w:hAnsi="Calibri" w:cs="Calibri"/>
          <w:b/>
          <w:bCs/>
          <w:color w:val="000000"/>
          <w:sz w:val="24"/>
          <w:szCs w:val="24"/>
          <w:u w:val="single"/>
          <w:lang w:eastAsia="en-GB"/>
        </w:rPr>
        <w:br/>
      </w:r>
    </w:p>
    <w:p w14:paraId="4CDC68AB" w14:textId="20A7BB6F"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Date: Wednesday 7 October, 2020</w:t>
      </w:r>
    </w:p>
    <w:p w14:paraId="5DCE5C8D" w14:textId="6C40BB32"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Location: online</w:t>
      </w:r>
    </w:p>
    <w:p w14:paraId="0A5A54B8" w14:textId="77777777" w:rsidR="00DF1632" w:rsidRDefault="00DF1632" w:rsidP="00695A24">
      <w:pPr>
        <w:shd w:val="clear" w:color="auto" w:fill="FFFFFF"/>
        <w:spacing w:after="0" w:line="240" w:lineRule="auto"/>
        <w:rPr>
          <w:rFonts w:ascii="Calibri" w:eastAsia="Times New Roman" w:hAnsi="Calibri" w:cs="Calibri"/>
          <w:color w:val="000000"/>
          <w:sz w:val="24"/>
          <w:szCs w:val="24"/>
          <w:lang w:eastAsia="en-GB"/>
        </w:rPr>
      </w:pPr>
    </w:p>
    <w:p w14:paraId="2B1CE340" w14:textId="77777777"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Present: </w:t>
      </w:r>
    </w:p>
    <w:p w14:paraId="18952BBE" w14:textId="22C999C5"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Richard Barker (Peel), Daniel Brown (REA), Joe Hardy (Foresight), Matthew Hicks (Foresight), William Mezzullo (Foresight), Marcus Newborough (ITM Power), Dominic Scholfield (Mint Green Sustainability), Paul Thompson (REA), Ian Waller (In Perpetuum – Chair), Kiara Zennaro (REA)</w:t>
      </w:r>
    </w:p>
    <w:p w14:paraId="4C9C8191" w14:textId="77777777"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p>
    <w:p w14:paraId="18514749" w14:textId="5FA460BA"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Apologies:</w:t>
      </w:r>
    </w:p>
    <w:p w14:paraId="401FA267" w14:textId="2E040BAD"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Adam Baisley</w:t>
      </w:r>
      <w:r w:rsidR="00DF1632">
        <w:rPr>
          <w:rFonts w:ascii="Calibri" w:eastAsia="Times New Roman" w:hAnsi="Calibri" w:cs="Calibri"/>
          <w:color w:val="000000"/>
          <w:sz w:val="24"/>
          <w:szCs w:val="24"/>
          <w:lang w:eastAsia="en-GB"/>
        </w:rPr>
        <w:t xml:space="preserve"> (Olleco), </w:t>
      </w:r>
      <w:r>
        <w:rPr>
          <w:rFonts w:ascii="Calibri" w:eastAsia="Times New Roman" w:hAnsi="Calibri" w:cs="Calibri"/>
          <w:color w:val="000000"/>
          <w:sz w:val="24"/>
          <w:szCs w:val="24"/>
          <w:lang w:eastAsia="en-GB"/>
        </w:rPr>
        <w:t>Mark Christensen (Reliagen), Neville Hargreaves (Velocys), Graeme Kennett (360 Environmental), Neil Kermode (EMEC), Dickon Posnett (Argent), Hilary Stone (Imperial College)</w:t>
      </w:r>
    </w:p>
    <w:p w14:paraId="06E3A210" w14:textId="4670CB85" w:rsidR="00695A24" w:rsidRDefault="00695A24" w:rsidP="00695A24">
      <w:pPr>
        <w:shd w:val="clear" w:color="auto" w:fill="FFFFFF"/>
        <w:spacing w:after="0" w:line="240" w:lineRule="auto"/>
        <w:rPr>
          <w:rFonts w:ascii="Calibri" w:eastAsia="Times New Roman" w:hAnsi="Calibri" w:cs="Calibri"/>
          <w:color w:val="000000"/>
          <w:sz w:val="24"/>
          <w:szCs w:val="24"/>
          <w:lang w:eastAsia="en-GB"/>
        </w:rPr>
      </w:pPr>
    </w:p>
    <w:p w14:paraId="703C7B64" w14:textId="68AA75E6" w:rsidR="00DF1632" w:rsidRDefault="00DF1632" w:rsidP="00695A24">
      <w:pPr>
        <w:shd w:val="clear" w:color="auto" w:fill="FFFFFF"/>
        <w:spacing w:after="0" w:line="240" w:lineRule="auto"/>
        <w:rPr>
          <w:rFonts w:ascii="Calibri" w:eastAsia="Times New Roman" w:hAnsi="Calibri" w:cs="Calibri"/>
          <w:b/>
          <w:bCs/>
          <w:color w:val="000000"/>
          <w:sz w:val="24"/>
          <w:szCs w:val="24"/>
          <w:lang w:eastAsia="en-GB"/>
        </w:rPr>
      </w:pPr>
      <w:r w:rsidRPr="00DF1632">
        <w:rPr>
          <w:rFonts w:ascii="Calibri" w:eastAsia="Times New Roman" w:hAnsi="Calibri" w:cs="Calibri"/>
          <w:b/>
          <w:bCs/>
          <w:color w:val="000000"/>
          <w:sz w:val="24"/>
          <w:szCs w:val="24"/>
          <w:lang w:eastAsia="en-GB"/>
        </w:rPr>
        <w:t>Policy updates</w:t>
      </w:r>
    </w:p>
    <w:p w14:paraId="6E79D46A" w14:textId="52D6DADF" w:rsidR="00A233D7" w:rsidRDefault="00A233D7" w:rsidP="00695A24">
      <w:pPr>
        <w:shd w:val="clear" w:color="auto" w:fill="FFFFFF"/>
        <w:spacing w:after="0" w:line="240" w:lineRule="auto"/>
        <w:rPr>
          <w:rFonts w:ascii="Calibri" w:eastAsia="Times New Roman" w:hAnsi="Calibri" w:cs="Calibri"/>
          <w:b/>
          <w:bCs/>
          <w:color w:val="000000"/>
          <w:sz w:val="24"/>
          <w:szCs w:val="24"/>
          <w:lang w:eastAsia="en-GB"/>
        </w:rPr>
      </w:pPr>
    </w:p>
    <w:p w14:paraId="17977A4D" w14:textId="72E4E89C" w:rsidR="00A233D7" w:rsidRPr="00A233D7" w:rsidRDefault="00A233D7" w:rsidP="00695A24">
      <w:pPr>
        <w:shd w:val="clear" w:color="auto" w:fill="FFFFFF"/>
        <w:spacing w:after="0" w:line="240" w:lineRule="auto"/>
        <w:rPr>
          <w:rFonts w:ascii="Calibri" w:eastAsia="Times New Roman" w:hAnsi="Calibri" w:cs="Calibri"/>
          <w:color w:val="000000"/>
          <w:sz w:val="24"/>
          <w:szCs w:val="24"/>
          <w:u w:val="single"/>
          <w:lang w:eastAsia="en-GB"/>
        </w:rPr>
      </w:pPr>
      <w:r w:rsidRPr="00A233D7">
        <w:rPr>
          <w:rFonts w:ascii="Calibri" w:eastAsia="Times New Roman" w:hAnsi="Calibri" w:cs="Calibri"/>
          <w:color w:val="000000"/>
          <w:sz w:val="24"/>
          <w:szCs w:val="24"/>
          <w:u w:val="single"/>
          <w:lang w:eastAsia="en-GB"/>
        </w:rPr>
        <w:t>Consultations</w:t>
      </w:r>
    </w:p>
    <w:p w14:paraId="22CC4286" w14:textId="1882D55B" w:rsidR="00DF1632" w:rsidRPr="00A233D7" w:rsidRDefault="00DF1632"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lang w:eastAsia="en-GB"/>
        </w:rPr>
        <w:t xml:space="preserve">DfT published the outcome of the </w:t>
      </w:r>
      <w:hyperlink r:id="rId5" w:history="1">
        <w:r w:rsidRPr="00A233D7">
          <w:rPr>
            <w:rStyle w:val="Hyperlink"/>
            <w:rFonts w:ascii="Calibri" w:eastAsia="Times New Roman" w:hAnsi="Calibri" w:cs="Calibri"/>
            <w:sz w:val="24"/>
            <w:szCs w:val="24"/>
            <w:lang w:eastAsia="en-GB"/>
          </w:rPr>
          <w:t>RTFO buyout price consultation</w:t>
        </w:r>
      </w:hyperlink>
      <w:r w:rsidRPr="00A233D7">
        <w:rPr>
          <w:rFonts w:ascii="Calibri" w:eastAsia="Times New Roman" w:hAnsi="Calibri" w:cs="Calibri"/>
          <w:color w:val="000000"/>
          <w:sz w:val="24"/>
          <w:szCs w:val="24"/>
          <w:lang w:eastAsia="en-GB"/>
        </w:rPr>
        <w:t xml:space="preserve"> on 25 September. The buyout price </w:t>
      </w:r>
      <w:r w:rsidR="00A233D7">
        <w:rPr>
          <w:rFonts w:ascii="Calibri" w:eastAsia="Times New Roman" w:hAnsi="Calibri" w:cs="Calibri"/>
          <w:color w:val="000000"/>
          <w:sz w:val="24"/>
          <w:szCs w:val="24"/>
          <w:lang w:eastAsia="en-GB"/>
        </w:rPr>
        <w:t xml:space="preserve">will increase </w:t>
      </w:r>
      <w:r w:rsidRPr="00A233D7">
        <w:rPr>
          <w:rFonts w:ascii="Calibri" w:eastAsia="Times New Roman" w:hAnsi="Calibri" w:cs="Calibri"/>
          <w:color w:val="000000"/>
          <w:sz w:val="24"/>
          <w:szCs w:val="24"/>
          <w:lang w:eastAsia="en-GB"/>
        </w:rPr>
        <w:t>from 30p to 50ppl. They hope to do this by 1 January 2021. If that deadline is missed then likely will be delayed until January 2022</w:t>
      </w:r>
    </w:p>
    <w:p w14:paraId="2E2E39DD" w14:textId="08B373AA" w:rsidR="00B62982" w:rsidRPr="00A233D7" w:rsidRDefault="00A233D7"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 c</w:t>
      </w:r>
      <w:r w:rsidR="00B62982" w:rsidRPr="00A233D7">
        <w:rPr>
          <w:rFonts w:ascii="Calibri" w:eastAsia="Times New Roman" w:hAnsi="Calibri" w:cs="Calibri"/>
          <w:color w:val="000000"/>
          <w:sz w:val="24"/>
          <w:szCs w:val="24"/>
          <w:lang w:eastAsia="en-GB"/>
        </w:rPr>
        <w:t xml:space="preserve">onsultation on changes to the RTFO </w:t>
      </w:r>
      <w:r>
        <w:rPr>
          <w:rFonts w:ascii="Calibri" w:eastAsia="Times New Roman" w:hAnsi="Calibri" w:cs="Calibri"/>
          <w:color w:val="000000"/>
          <w:sz w:val="24"/>
          <w:szCs w:val="24"/>
          <w:lang w:eastAsia="en-GB"/>
        </w:rPr>
        <w:t>is</w:t>
      </w:r>
      <w:r w:rsidR="00B62982" w:rsidRPr="00A233D7">
        <w:rPr>
          <w:rFonts w:ascii="Calibri" w:eastAsia="Times New Roman" w:hAnsi="Calibri" w:cs="Calibri"/>
          <w:color w:val="000000"/>
          <w:sz w:val="24"/>
          <w:szCs w:val="24"/>
          <w:lang w:eastAsia="en-GB"/>
        </w:rPr>
        <w:t xml:space="preserve"> expected in the coming months. This is likely to include changes to the use of hydrogen from electrolysis</w:t>
      </w:r>
      <w:r>
        <w:rPr>
          <w:rFonts w:ascii="Calibri" w:eastAsia="Times New Roman" w:hAnsi="Calibri" w:cs="Calibri"/>
          <w:color w:val="000000"/>
          <w:sz w:val="24"/>
          <w:szCs w:val="24"/>
          <w:lang w:eastAsia="en-GB"/>
        </w:rPr>
        <w:t xml:space="preserve"> but is likely to be more wide-ranging</w:t>
      </w:r>
    </w:p>
    <w:p w14:paraId="2CFF20A1" w14:textId="123BBC47" w:rsidR="00DF1632" w:rsidRPr="00A233D7" w:rsidRDefault="00DF1632"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lang w:eastAsia="en-GB"/>
        </w:rPr>
        <w:t>DfT consultation on amendments to RTFO process guidance relating to biomethane. This adjusts the rules for biomethane claiming RTFCs that injected into a gas network outside mainland GB. It also clarifies rules on accounting for losses of gas in the network</w:t>
      </w:r>
      <w:r w:rsidR="006C6E23" w:rsidRPr="00A233D7">
        <w:rPr>
          <w:rFonts w:ascii="Calibri" w:eastAsia="Times New Roman" w:hAnsi="Calibri" w:cs="Calibri"/>
          <w:color w:val="000000"/>
          <w:sz w:val="24"/>
          <w:szCs w:val="24"/>
          <w:lang w:eastAsia="en-GB"/>
        </w:rPr>
        <w:t>. A copy of the</w:t>
      </w:r>
      <w:commentRangeStart w:id="0"/>
      <w:r w:rsidR="006C6E23" w:rsidRPr="00A233D7">
        <w:rPr>
          <w:rFonts w:ascii="Calibri" w:eastAsia="Times New Roman" w:hAnsi="Calibri" w:cs="Calibri"/>
          <w:color w:val="000000"/>
          <w:sz w:val="24"/>
          <w:szCs w:val="24"/>
          <w:lang w:eastAsia="en-GB"/>
        </w:rPr>
        <w:t xml:space="preserve"> consultation is attached to these notes.</w:t>
      </w:r>
      <w:commentRangeEnd w:id="0"/>
      <w:r w:rsidR="006C6E23">
        <w:rPr>
          <w:rStyle w:val="CommentReference"/>
        </w:rPr>
        <w:commentReference w:id="0"/>
      </w:r>
      <w:r w:rsidR="006C6E23" w:rsidRPr="00A233D7">
        <w:rPr>
          <w:rFonts w:ascii="Calibri" w:eastAsia="Times New Roman" w:hAnsi="Calibri" w:cs="Calibri"/>
          <w:color w:val="000000"/>
          <w:sz w:val="24"/>
          <w:szCs w:val="24"/>
          <w:lang w:eastAsia="en-GB"/>
        </w:rPr>
        <w:t xml:space="preserve"> </w:t>
      </w:r>
      <w:r w:rsidR="009E2F78" w:rsidRPr="00A233D7">
        <w:rPr>
          <w:rFonts w:ascii="Calibri" w:eastAsia="Times New Roman" w:hAnsi="Calibri" w:cs="Calibri"/>
          <w:color w:val="000000"/>
          <w:sz w:val="24"/>
          <w:szCs w:val="24"/>
          <w:lang w:eastAsia="en-GB"/>
        </w:rPr>
        <w:t xml:space="preserve">William Mezzullo asked about whether gas claiming RTFCs in those circumstances had received subsidies elsewhere, and how robust the system is. </w:t>
      </w:r>
      <w:r w:rsidR="009E2F78" w:rsidRPr="00A233D7">
        <w:rPr>
          <w:rFonts w:ascii="Calibri" w:eastAsia="Times New Roman" w:hAnsi="Calibri" w:cs="Calibri"/>
          <w:b/>
          <w:bCs/>
          <w:color w:val="000000"/>
          <w:sz w:val="24"/>
          <w:szCs w:val="24"/>
          <w:lang w:eastAsia="en-GB"/>
        </w:rPr>
        <w:t>PT to raise with colleagues at Green Gas Certification Scheme and report back.</w:t>
      </w:r>
      <w:r w:rsidR="009E2F78" w:rsidRPr="00A233D7">
        <w:rPr>
          <w:rFonts w:ascii="Calibri" w:eastAsia="Times New Roman" w:hAnsi="Calibri" w:cs="Calibri"/>
          <w:color w:val="000000"/>
          <w:sz w:val="24"/>
          <w:szCs w:val="24"/>
          <w:lang w:eastAsia="en-GB"/>
        </w:rPr>
        <w:t xml:space="preserve"> T</w:t>
      </w:r>
      <w:r w:rsidR="006C6E23" w:rsidRPr="00A233D7">
        <w:rPr>
          <w:rFonts w:ascii="Calibri" w:eastAsia="Times New Roman" w:hAnsi="Calibri" w:cs="Calibri"/>
          <w:color w:val="000000"/>
          <w:sz w:val="24"/>
          <w:szCs w:val="24"/>
          <w:lang w:eastAsia="en-GB"/>
        </w:rPr>
        <w:t>he consultation closed Friday 9 October. A draft response was sent to attendees and some other members who had expressed an interest. The response was submitted</w:t>
      </w:r>
      <w:r w:rsidR="00A233D7">
        <w:rPr>
          <w:rFonts w:ascii="Calibri" w:eastAsia="Times New Roman" w:hAnsi="Calibri" w:cs="Calibri"/>
          <w:color w:val="000000"/>
          <w:sz w:val="24"/>
          <w:szCs w:val="24"/>
          <w:lang w:eastAsia="en-GB"/>
        </w:rPr>
        <w:t xml:space="preserve"> within the deadline</w:t>
      </w:r>
      <w:r w:rsidR="006C6E23" w:rsidRPr="00A233D7">
        <w:rPr>
          <w:rFonts w:ascii="Calibri" w:eastAsia="Times New Roman" w:hAnsi="Calibri" w:cs="Calibri"/>
          <w:color w:val="000000"/>
          <w:sz w:val="24"/>
          <w:szCs w:val="24"/>
          <w:lang w:eastAsia="en-GB"/>
        </w:rPr>
        <w:t>, please contact Paul if you would like more details</w:t>
      </w:r>
    </w:p>
    <w:p w14:paraId="4AAB5D41" w14:textId="1DF13D39" w:rsidR="006C6E23" w:rsidRDefault="006C6E23"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lang w:eastAsia="en-GB"/>
        </w:rPr>
        <w:t xml:space="preserve">HMT consultation on </w:t>
      </w:r>
      <w:hyperlink r:id="rId10" w:history="1">
        <w:r w:rsidRPr="00A233D7">
          <w:rPr>
            <w:rStyle w:val="Hyperlink"/>
            <w:rFonts w:ascii="Calibri" w:eastAsia="Times New Roman" w:hAnsi="Calibri" w:cs="Calibri"/>
            <w:sz w:val="24"/>
            <w:szCs w:val="24"/>
            <w:lang w:eastAsia="en-GB"/>
          </w:rPr>
          <w:t>restriction on use of red diesel</w:t>
        </w:r>
      </w:hyperlink>
      <w:r w:rsidRPr="00A233D7">
        <w:rPr>
          <w:rFonts w:ascii="Calibri" w:eastAsia="Times New Roman" w:hAnsi="Calibri" w:cs="Calibri"/>
          <w:color w:val="000000"/>
          <w:sz w:val="24"/>
          <w:szCs w:val="24"/>
          <w:lang w:eastAsia="en-GB"/>
        </w:rPr>
        <w:t>. The REA responded on behalf of its organics members, requesting that red diesel remain available for the waste management sector</w:t>
      </w:r>
    </w:p>
    <w:p w14:paraId="4AC685E7" w14:textId="5BB00B2A" w:rsidR="00A233D7" w:rsidRDefault="00A233D7" w:rsidP="00A233D7">
      <w:pPr>
        <w:shd w:val="clear" w:color="auto" w:fill="FFFFFF"/>
        <w:spacing w:after="0" w:line="240" w:lineRule="auto"/>
        <w:rPr>
          <w:rFonts w:ascii="Calibri" w:eastAsia="Times New Roman" w:hAnsi="Calibri" w:cs="Calibri"/>
          <w:color w:val="000000"/>
          <w:sz w:val="24"/>
          <w:szCs w:val="24"/>
          <w:lang w:eastAsia="en-GB"/>
        </w:rPr>
      </w:pPr>
    </w:p>
    <w:p w14:paraId="0BA92EBD" w14:textId="7472D263" w:rsidR="00A233D7" w:rsidRPr="00A233D7" w:rsidRDefault="00A233D7" w:rsidP="00A233D7">
      <w:p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u w:val="single"/>
          <w:lang w:eastAsia="en-GB"/>
        </w:rPr>
        <w:t>Government/politics</w:t>
      </w:r>
    </w:p>
    <w:p w14:paraId="522ECE7C" w14:textId="5291428D" w:rsidR="00B45063" w:rsidRPr="00A233D7" w:rsidRDefault="00A82C0E" w:rsidP="00A233D7">
      <w:pPr>
        <w:pStyle w:val="ListParagraph"/>
        <w:numPr>
          <w:ilvl w:val="0"/>
          <w:numId w:val="3"/>
        </w:numPr>
        <w:shd w:val="clear" w:color="auto" w:fill="FFFFFF"/>
        <w:spacing w:after="0" w:line="240" w:lineRule="auto"/>
        <w:rPr>
          <w:rFonts w:ascii="Calibri" w:eastAsia="Times New Roman" w:hAnsi="Calibri" w:cs="Calibri"/>
          <w:b/>
          <w:bCs/>
          <w:color w:val="000000"/>
          <w:sz w:val="24"/>
          <w:szCs w:val="24"/>
          <w:lang w:eastAsia="en-GB"/>
        </w:rPr>
      </w:pPr>
      <w:r w:rsidRPr="00A233D7">
        <w:rPr>
          <w:rFonts w:ascii="Calibri" w:eastAsia="Times New Roman" w:hAnsi="Calibri" w:cs="Calibri"/>
          <w:color w:val="000000"/>
          <w:sz w:val="24"/>
          <w:szCs w:val="24"/>
          <w:lang w:eastAsia="en-GB"/>
        </w:rPr>
        <w:t xml:space="preserve">Paul attended </w:t>
      </w:r>
      <w:r w:rsidR="006C6E23" w:rsidRPr="00A233D7">
        <w:rPr>
          <w:rFonts w:ascii="Calibri" w:eastAsia="Times New Roman" w:hAnsi="Calibri" w:cs="Calibri"/>
          <w:color w:val="000000"/>
          <w:sz w:val="24"/>
          <w:szCs w:val="24"/>
          <w:lang w:eastAsia="en-GB"/>
        </w:rPr>
        <w:t xml:space="preserve">RTFO account users meeting, Thurs 1 October. The operating system is being redesigned from scratch. DfT is looking for user input, including from suppliers. </w:t>
      </w:r>
      <w:r w:rsidR="006C6E23" w:rsidRPr="00A233D7">
        <w:rPr>
          <w:rFonts w:ascii="Calibri" w:eastAsia="Times New Roman" w:hAnsi="Calibri" w:cs="Calibri"/>
          <w:b/>
          <w:bCs/>
          <w:color w:val="000000"/>
          <w:sz w:val="24"/>
          <w:szCs w:val="24"/>
          <w:lang w:eastAsia="en-GB"/>
        </w:rPr>
        <w:t>Paul to contact DfT and ask to be involved</w:t>
      </w:r>
    </w:p>
    <w:p w14:paraId="29B2FDAE" w14:textId="4124FF63" w:rsidR="00A82C0E" w:rsidRPr="00A233D7" w:rsidRDefault="00A82C0E" w:rsidP="00A233D7">
      <w:pPr>
        <w:pStyle w:val="ListParagraph"/>
        <w:numPr>
          <w:ilvl w:val="0"/>
          <w:numId w:val="3"/>
        </w:numPr>
        <w:shd w:val="clear" w:color="auto" w:fill="FFFFFF"/>
        <w:spacing w:after="0" w:line="240" w:lineRule="auto"/>
        <w:rPr>
          <w:rFonts w:ascii="Calibri" w:eastAsia="Times New Roman" w:hAnsi="Calibri" w:cs="Calibri"/>
          <w:b/>
          <w:bCs/>
          <w:color w:val="000000"/>
          <w:sz w:val="24"/>
          <w:szCs w:val="24"/>
          <w:lang w:eastAsia="en-GB"/>
        </w:rPr>
      </w:pPr>
      <w:r w:rsidRPr="00A233D7">
        <w:rPr>
          <w:rFonts w:ascii="Calibri" w:eastAsia="Times New Roman" w:hAnsi="Calibri" w:cs="Calibri"/>
          <w:color w:val="000000"/>
          <w:sz w:val="24"/>
          <w:szCs w:val="24"/>
          <w:lang w:eastAsia="en-GB"/>
        </w:rPr>
        <w:t>Fuels made from material that is</w:t>
      </w:r>
      <w:r w:rsidR="00966226">
        <w:rPr>
          <w:rFonts w:ascii="Calibri" w:eastAsia="Times New Roman" w:hAnsi="Calibri" w:cs="Calibri"/>
          <w:color w:val="000000"/>
          <w:sz w:val="24"/>
          <w:szCs w:val="24"/>
          <w:lang w:eastAsia="en-GB"/>
        </w:rPr>
        <w:t xml:space="preserve"> </w:t>
      </w:r>
      <w:r w:rsidRPr="00A233D7">
        <w:rPr>
          <w:rFonts w:ascii="Calibri" w:eastAsia="Times New Roman" w:hAnsi="Calibri" w:cs="Calibri"/>
          <w:color w:val="000000"/>
          <w:sz w:val="24"/>
          <w:szCs w:val="24"/>
          <w:lang w:eastAsia="en-GB"/>
        </w:rPr>
        <w:t>n</w:t>
      </w:r>
      <w:r w:rsidR="00966226">
        <w:rPr>
          <w:rFonts w:ascii="Calibri" w:eastAsia="Times New Roman" w:hAnsi="Calibri" w:cs="Calibri"/>
          <w:color w:val="000000"/>
          <w:sz w:val="24"/>
          <w:szCs w:val="24"/>
          <w:lang w:eastAsia="en-GB"/>
        </w:rPr>
        <w:t>o</w:t>
      </w:r>
      <w:r w:rsidRPr="00A233D7">
        <w:rPr>
          <w:rFonts w:ascii="Calibri" w:eastAsia="Times New Roman" w:hAnsi="Calibri" w:cs="Calibri"/>
          <w:color w:val="000000"/>
          <w:sz w:val="24"/>
          <w:szCs w:val="24"/>
          <w:lang w:eastAsia="en-GB"/>
        </w:rPr>
        <w:t>t biogenic. Ian Waller reported that DfT are interested in looking at this, subject to constraints on what c</w:t>
      </w:r>
      <w:r w:rsidR="00966226">
        <w:rPr>
          <w:rFonts w:ascii="Calibri" w:eastAsia="Times New Roman" w:hAnsi="Calibri" w:cs="Calibri"/>
          <w:color w:val="000000"/>
          <w:sz w:val="24"/>
          <w:szCs w:val="24"/>
          <w:lang w:eastAsia="en-GB"/>
        </w:rPr>
        <w:t>an be included within</w:t>
      </w:r>
      <w:r w:rsidRPr="00A233D7">
        <w:rPr>
          <w:rFonts w:ascii="Calibri" w:eastAsia="Times New Roman" w:hAnsi="Calibri" w:cs="Calibri"/>
          <w:color w:val="000000"/>
          <w:sz w:val="24"/>
          <w:szCs w:val="24"/>
          <w:lang w:eastAsia="en-GB"/>
        </w:rPr>
        <w:t xml:space="preserve"> the RTFO. </w:t>
      </w:r>
      <w:r w:rsidRPr="00A233D7">
        <w:rPr>
          <w:rFonts w:ascii="Calibri" w:eastAsia="Times New Roman" w:hAnsi="Calibri" w:cs="Calibri"/>
          <w:b/>
          <w:bCs/>
          <w:color w:val="000000"/>
          <w:sz w:val="24"/>
          <w:szCs w:val="24"/>
          <w:lang w:eastAsia="en-GB"/>
        </w:rPr>
        <w:t>PT to pick up in discussions with DfT</w:t>
      </w:r>
    </w:p>
    <w:p w14:paraId="26D0E4F1" w14:textId="6ABD5A34" w:rsidR="00A82C0E" w:rsidRPr="00A233D7" w:rsidRDefault="00966226"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G</w:t>
      </w:r>
      <w:r w:rsidR="00A82C0E" w:rsidRPr="00A233D7">
        <w:rPr>
          <w:rFonts w:ascii="Calibri" w:eastAsia="Times New Roman" w:hAnsi="Calibri" w:cs="Calibri"/>
          <w:color w:val="000000"/>
          <w:sz w:val="24"/>
          <w:szCs w:val="24"/>
          <w:lang w:eastAsia="en-GB"/>
        </w:rPr>
        <w:t xml:space="preserve">overnment green energy speech on 6 October. The Prime Minister highlighted plans to ‘Build Back Greener’ with an REA quote included in the </w:t>
      </w:r>
      <w:hyperlink r:id="rId11" w:history="1">
        <w:r w:rsidR="00A82C0E" w:rsidRPr="00A233D7">
          <w:rPr>
            <w:rStyle w:val="Hyperlink"/>
            <w:rFonts w:ascii="Calibri" w:eastAsia="Times New Roman" w:hAnsi="Calibri" w:cs="Calibri"/>
            <w:sz w:val="24"/>
            <w:szCs w:val="24"/>
            <w:lang w:eastAsia="en-GB"/>
          </w:rPr>
          <w:t>launch press release</w:t>
        </w:r>
      </w:hyperlink>
      <w:r w:rsidR="00A82C0E" w:rsidRPr="00A233D7">
        <w:rPr>
          <w:rFonts w:ascii="Calibri" w:eastAsia="Times New Roman" w:hAnsi="Calibri" w:cs="Calibri"/>
          <w:color w:val="000000"/>
          <w:sz w:val="24"/>
          <w:szCs w:val="24"/>
          <w:lang w:eastAsia="en-GB"/>
        </w:rPr>
        <w:t>. Further details are to come, but these are likely to include significant references to hydrogen</w:t>
      </w:r>
    </w:p>
    <w:p w14:paraId="7D884686" w14:textId="77777777" w:rsidR="00352239" w:rsidRDefault="00A82C0E"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lang w:eastAsia="en-GB"/>
        </w:rPr>
        <w:t>The REA has a meeting with the energy minister, Kwasi Kwarteng on Monday 12 October. Several REA forum chairs will attend (including RTFF), with the opportunity to present co-ordinated, high level messages across the power, heat and transport sectors</w:t>
      </w:r>
      <w:r w:rsidR="00352239">
        <w:rPr>
          <w:rFonts w:ascii="Calibri" w:eastAsia="Times New Roman" w:hAnsi="Calibri" w:cs="Calibri"/>
          <w:color w:val="000000"/>
          <w:sz w:val="24"/>
          <w:szCs w:val="24"/>
          <w:lang w:eastAsia="en-GB"/>
        </w:rPr>
        <w:t>. Key messages on the fuel side include:</w:t>
      </w:r>
    </w:p>
    <w:p w14:paraId="7E3F80D9" w14:textId="77777777" w:rsidR="00352239" w:rsidRDefault="00352239" w:rsidP="00352239">
      <w:pPr>
        <w:pStyle w:val="ListParagraph"/>
        <w:numPr>
          <w:ilvl w:val="1"/>
          <w:numId w:val="3"/>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need for higher renewables blends in HGVs etc where electric vehicles will not have an impact for many years</w:t>
      </w:r>
    </w:p>
    <w:p w14:paraId="0597EABC" w14:textId="34785DD1" w:rsidR="00352239" w:rsidRDefault="00352239" w:rsidP="00352239">
      <w:pPr>
        <w:pStyle w:val="ListParagraph"/>
        <w:numPr>
          <w:ilvl w:val="1"/>
          <w:numId w:val="3"/>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potential for hydrogen (and need for clarity on rules on use of electricity)</w:t>
      </w:r>
    </w:p>
    <w:p w14:paraId="795A76C1" w14:textId="083C9D39" w:rsidR="00A82C0E" w:rsidRPr="00352239" w:rsidRDefault="00352239" w:rsidP="00352239">
      <w:pPr>
        <w:pStyle w:val="ListParagraph"/>
        <w:numPr>
          <w:ilvl w:val="1"/>
          <w:numId w:val="3"/>
        </w:num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fixing interactions between RHI and RTFO to maximise availability of biomethane for transport</w:t>
      </w:r>
    </w:p>
    <w:p w14:paraId="680AEB43" w14:textId="477BA2C4" w:rsidR="009E2F78" w:rsidRPr="00A233D7" w:rsidRDefault="009E2F78" w:rsidP="00A233D7">
      <w:pPr>
        <w:pStyle w:val="ListParagraph"/>
        <w:numPr>
          <w:ilvl w:val="0"/>
          <w:numId w:val="3"/>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lang w:eastAsia="en-GB"/>
        </w:rPr>
        <w:t xml:space="preserve">There was a Westminster Hall debate on 6 October, secured by the chair of the </w:t>
      </w:r>
      <w:r w:rsidR="00773216">
        <w:rPr>
          <w:rFonts w:ascii="Calibri" w:eastAsia="Times New Roman" w:hAnsi="Calibri" w:cs="Calibri"/>
          <w:color w:val="000000"/>
          <w:sz w:val="24"/>
          <w:szCs w:val="24"/>
          <w:lang w:eastAsia="en-GB"/>
        </w:rPr>
        <w:t xml:space="preserve">All Party </w:t>
      </w:r>
      <w:r w:rsidRPr="00A233D7">
        <w:rPr>
          <w:rFonts w:ascii="Calibri" w:eastAsia="Times New Roman" w:hAnsi="Calibri" w:cs="Calibri"/>
          <w:color w:val="000000"/>
          <w:sz w:val="24"/>
          <w:szCs w:val="24"/>
          <w:lang w:eastAsia="en-GB"/>
        </w:rPr>
        <w:t xml:space="preserve">Parliamentary </w:t>
      </w:r>
      <w:r w:rsidR="00773216">
        <w:rPr>
          <w:rFonts w:ascii="Calibri" w:eastAsia="Times New Roman" w:hAnsi="Calibri" w:cs="Calibri"/>
          <w:color w:val="000000"/>
          <w:sz w:val="24"/>
          <w:szCs w:val="24"/>
          <w:lang w:eastAsia="en-GB"/>
        </w:rPr>
        <w:t>Group on E</w:t>
      </w:r>
      <w:r w:rsidRPr="00A233D7">
        <w:rPr>
          <w:rFonts w:ascii="Calibri" w:eastAsia="Times New Roman" w:hAnsi="Calibri" w:cs="Calibri"/>
          <w:color w:val="000000"/>
          <w:sz w:val="24"/>
          <w:szCs w:val="24"/>
          <w:lang w:eastAsia="en-GB"/>
        </w:rPr>
        <w:t xml:space="preserve">lectric </w:t>
      </w:r>
      <w:r w:rsidR="00773216">
        <w:rPr>
          <w:rFonts w:ascii="Calibri" w:eastAsia="Times New Roman" w:hAnsi="Calibri" w:cs="Calibri"/>
          <w:color w:val="000000"/>
          <w:sz w:val="24"/>
          <w:szCs w:val="24"/>
          <w:lang w:eastAsia="en-GB"/>
        </w:rPr>
        <w:t>V</w:t>
      </w:r>
      <w:r w:rsidRPr="00A233D7">
        <w:rPr>
          <w:rFonts w:ascii="Calibri" w:eastAsia="Times New Roman" w:hAnsi="Calibri" w:cs="Calibri"/>
          <w:color w:val="000000"/>
          <w:sz w:val="24"/>
          <w:szCs w:val="24"/>
          <w:lang w:eastAsia="en-GB"/>
        </w:rPr>
        <w:t xml:space="preserve">ehicles. Much of the </w:t>
      </w:r>
      <w:hyperlink r:id="rId12" w:history="1">
        <w:r w:rsidRPr="00A233D7">
          <w:rPr>
            <w:rStyle w:val="Hyperlink"/>
            <w:rFonts w:ascii="Calibri" w:eastAsia="Times New Roman" w:hAnsi="Calibri" w:cs="Calibri"/>
            <w:sz w:val="24"/>
            <w:szCs w:val="24"/>
            <w:lang w:eastAsia="en-GB"/>
          </w:rPr>
          <w:t>debate</w:t>
        </w:r>
      </w:hyperlink>
      <w:r w:rsidRPr="00A233D7">
        <w:rPr>
          <w:rFonts w:ascii="Calibri" w:eastAsia="Times New Roman" w:hAnsi="Calibri" w:cs="Calibri"/>
          <w:color w:val="000000"/>
          <w:sz w:val="24"/>
          <w:szCs w:val="24"/>
          <w:lang w:eastAsia="en-GB"/>
        </w:rPr>
        <w:t xml:space="preserve"> was about electrification, but topics covered included conventional diesel, biofuels, hydrogen, biogas and sustainable aviation fuel</w:t>
      </w:r>
    </w:p>
    <w:p w14:paraId="27B92CF4" w14:textId="77777777" w:rsidR="00A233D7" w:rsidRDefault="00A233D7" w:rsidP="00A82C0E">
      <w:pPr>
        <w:shd w:val="clear" w:color="auto" w:fill="FFFFFF"/>
        <w:spacing w:after="0" w:line="240" w:lineRule="auto"/>
        <w:rPr>
          <w:rFonts w:ascii="Calibri" w:eastAsia="Times New Roman" w:hAnsi="Calibri" w:cs="Calibri"/>
          <w:color w:val="000000"/>
          <w:sz w:val="24"/>
          <w:szCs w:val="24"/>
          <w:lang w:eastAsia="en-GB"/>
        </w:rPr>
      </w:pPr>
    </w:p>
    <w:p w14:paraId="5A47E350" w14:textId="6D2BDB7E" w:rsidR="009E2F78" w:rsidRPr="00B62982" w:rsidRDefault="00B62982" w:rsidP="00A82C0E">
      <w:pPr>
        <w:shd w:val="clear" w:color="auto" w:fill="FFFFFF"/>
        <w:spacing w:after="0" w:line="240" w:lineRule="auto"/>
        <w:rPr>
          <w:rFonts w:ascii="Calibri" w:eastAsia="Times New Roman" w:hAnsi="Calibri" w:cs="Calibri"/>
          <w:b/>
          <w:bCs/>
          <w:color w:val="000000"/>
          <w:sz w:val="24"/>
          <w:szCs w:val="24"/>
          <w:lang w:eastAsia="en-GB"/>
        </w:rPr>
      </w:pPr>
      <w:r w:rsidRPr="00B62982">
        <w:rPr>
          <w:rFonts w:ascii="Calibri" w:eastAsia="Times New Roman" w:hAnsi="Calibri" w:cs="Calibri"/>
          <w:b/>
          <w:bCs/>
          <w:color w:val="000000"/>
          <w:sz w:val="24"/>
          <w:szCs w:val="24"/>
          <w:lang w:eastAsia="en-GB"/>
        </w:rPr>
        <w:t>Work streams</w:t>
      </w:r>
    </w:p>
    <w:p w14:paraId="1EF0900D" w14:textId="73785C9D" w:rsidR="00DF1632" w:rsidRDefault="00B62982"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It was agreed to set up sub-groups in the following areas. Please contact Paul if you would like further details:</w:t>
      </w:r>
    </w:p>
    <w:p w14:paraId="54E679B5" w14:textId="750B2601" w:rsidR="00B62982" w:rsidRPr="00A233D7" w:rsidRDefault="00B62982" w:rsidP="00A233D7">
      <w:pPr>
        <w:pStyle w:val="ListParagraph"/>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u w:val="single"/>
          <w:lang w:eastAsia="en-GB"/>
        </w:rPr>
        <w:t>Availability of feedstock</w:t>
      </w:r>
      <w:r w:rsidRPr="00A233D7">
        <w:rPr>
          <w:rFonts w:ascii="Calibri" w:eastAsia="Times New Roman" w:hAnsi="Calibri" w:cs="Calibri"/>
          <w:color w:val="000000"/>
          <w:sz w:val="24"/>
          <w:szCs w:val="24"/>
          <w:lang w:eastAsia="en-GB"/>
        </w:rPr>
        <w:t xml:space="preserve"> (esp for gas production)</w:t>
      </w:r>
      <w:r w:rsidR="00A233D7" w:rsidRPr="00A233D7">
        <w:rPr>
          <w:rFonts w:ascii="Calibri" w:eastAsia="Times New Roman" w:hAnsi="Calibri" w:cs="Calibri"/>
          <w:color w:val="000000"/>
          <w:sz w:val="24"/>
          <w:szCs w:val="24"/>
          <w:lang w:eastAsia="en-GB"/>
        </w:rPr>
        <w:t>. William Mezzullo, Dominic Scholfield, Ian Waller, Kiara Zennaro</w:t>
      </w:r>
    </w:p>
    <w:p w14:paraId="15E36DB4" w14:textId="550CD290" w:rsidR="00A233D7" w:rsidRPr="00A233D7" w:rsidRDefault="00A233D7" w:rsidP="00A233D7">
      <w:pPr>
        <w:pStyle w:val="ListParagraph"/>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u w:val="single"/>
          <w:lang w:eastAsia="en-GB"/>
        </w:rPr>
        <w:t>Biomethane in transport and interactions between RHI and RTFO</w:t>
      </w:r>
      <w:r w:rsidRPr="00A233D7">
        <w:rPr>
          <w:rFonts w:ascii="Calibri" w:eastAsia="Times New Roman" w:hAnsi="Calibri" w:cs="Calibri"/>
          <w:color w:val="000000"/>
          <w:sz w:val="24"/>
          <w:szCs w:val="24"/>
          <w:lang w:eastAsia="en-GB"/>
        </w:rPr>
        <w:t xml:space="preserve">. William Mezzullo, Dominic Scholfield, </w:t>
      </w:r>
      <w:r w:rsidR="00352239">
        <w:rPr>
          <w:rFonts w:ascii="Calibri" w:eastAsia="Times New Roman" w:hAnsi="Calibri" w:cs="Calibri"/>
          <w:color w:val="000000"/>
          <w:sz w:val="24"/>
          <w:szCs w:val="24"/>
          <w:lang w:eastAsia="en-GB"/>
        </w:rPr>
        <w:t xml:space="preserve">Ian Waller, </w:t>
      </w:r>
      <w:r w:rsidRPr="00A233D7">
        <w:rPr>
          <w:rFonts w:ascii="Calibri" w:eastAsia="Times New Roman" w:hAnsi="Calibri" w:cs="Calibri"/>
          <w:color w:val="000000"/>
          <w:sz w:val="24"/>
          <w:szCs w:val="24"/>
          <w:lang w:eastAsia="en-GB"/>
        </w:rPr>
        <w:t>Kiara Zennaro</w:t>
      </w:r>
    </w:p>
    <w:p w14:paraId="7D59BB86" w14:textId="6AD68FD2" w:rsidR="00A233D7" w:rsidRPr="00A233D7" w:rsidRDefault="00A233D7" w:rsidP="00A233D7">
      <w:pPr>
        <w:pStyle w:val="ListParagraph"/>
        <w:numPr>
          <w:ilvl w:val="0"/>
          <w:numId w:val="4"/>
        </w:numPr>
        <w:shd w:val="clear" w:color="auto" w:fill="FFFFFF"/>
        <w:spacing w:after="0" w:line="240" w:lineRule="auto"/>
        <w:rPr>
          <w:rFonts w:ascii="Calibri" w:eastAsia="Times New Roman" w:hAnsi="Calibri" w:cs="Calibri"/>
          <w:color w:val="000000"/>
          <w:sz w:val="24"/>
          <w:szCs w:val="24"/>
          <w:lang w:eastAsia="en-GB"/>
        </w:rPr>
      </w:pPr>
      <w:r w:rsidRPr="00A233D7">
        <w:rPr>
          <w:rFonts w:ascii="Calibri" w:eastAsia="Times New Roman" w:hAnsi="Calibri" w:cs="Calibri"/>
          <w:color w:val="000000"/>
          <w:sz w:val="24"/>
          <w:szCs w:val="24"/>
          <w:u w:val="single"/>
          <w:lang w:eastAsia="en-GB"/>
        </w:rPr>
        <w:t xml:space="preserve">Hydrogen </w:t>
      </w:r>
      <w:r w:rsidRPr="00A233D7">
        <w:rPr>
          <w:rFonts w:ascii="Calibri" w:eastAsia="Times New Roman" w:hAnsi="Calibri" w:cs="Calibri"/>
          <w:color w:val="000000"/>
          <w:sz w:val="24"/>
          <w:szCs w:val="24"/>
          <w:lang w:eastAsia="en-GB"/>
        </w:rPr>
        <w:t>– and particularly interactions with grid electricity and RTFO. Richard Barker, Matthew Hicks, Marcus Newborough</w:t>
      </w:r>
      <w:r w:rsidR="00352239">
        <w:rPr>
          <w:rFonts w:ascii="Calibri" w:eastAsia="Times New Roman" w:hAnsi="Calibri" w:cs="Calibri"/>
          <w:color w:val="000000"/>
          <w:sz w:val="24"/>
          <w:szCs w:val="24"/>
          <w:lang w:eastAsia="en-GB"/>
        </w:rPr>
        <w:t>, Ian Waller</w:t>
      </w:r>
    </w:p>
    <w:p w14:paraId="720ACAE3" w14:textId="23164A0C" w:rsidR="00DF1632" w:rsidRDefault="00DF1632" w:rsidP="00695A24">
      <w:pPr>
        <w:shd w:val="clear" w:color="auto" w:fill="FFFFFF"/>
        <w:spacing w:after="0" w:line="240" w:lineRule="auto"/>
        <w:rPr>
          <w:rFonts w:ascii="Calibri" w:eastAsia="Times New Roman" w:hAnsi="Calibri" w:cs="Calibri"/>
          <w:color w:val="000000"/>
          <w:sz w:val="24"/>
          <w:szCs w:val="24"/>
          <w:lang w:eastAsia="en-GB"/>
        </w:rPr>
      </w:pPr>
    </w:p>
    <w:p w14:paraId="29237146" w14:textId="7C034C1E" w:rsidR="00DF1632" w:rsidRPr="00A233D7" w:rsidRDefault="00A233D7" w:rsidP="00695A24">
      <w:pPr>
        <w:shd w:val="clear" w:color="auto" w:fill="FFFFFF"/>
        <w:spacing w:after="0" w:line="240" w:lineRule="auto"/>
        <w:rPr>
          <w:rFonts w:ascii="Calibri" w:eastAsia="Times New Roman" w:hAnsi="Calibri" w:cs="Calibri"/>
          <w:b/>
          <w:bCs/>
          <w:color w:val="000000"/>
          <w:sz w:val="24"/>
          <w:szCs w:val="24"/>
          <w:lang w:eastAsia="en-GB"/>
        </w:rPr>
      </w:pPr>
      <w:r w:rsidRPr="00A233D7">
        <w:rPr>
          <w:rFonts w:ascii="Calibri" w:eastAsia="Times New Roman" w:hAnsi="Calibri" w:cs="Calibri"/>
          <w:b/>
          <w:bCs/>
          <w:color w:val="000000"/>
          <w:sz w:val="24"/>
          <w:szCs w:val="24"/>
          <w:lang w:eastAsia="en-GB"/>
        </w:rPr>
        <w:t>Date of next meeting</w:t>
      </w:r>
    </w:p>
    <w:p w14:paraId="29A9EA11" w14:textId="4A3D07AD" w:rsidR="006C6E23" w:rsidRDefault="00A233D7" w:rsidP="00695A24">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Wednesday 16 December, 2pm. Online</w:t>
      </w:r>
    </w:p>
    <w:p w14:paraId="1F347705" w14:textId="77777777" w:rsidR="00A233D7" w:rsidRDefault="00A233D7" w:rsidP="00695A24">
      <w:pPr>
        <w:shd w:val="clear" w:color="auto" w:fill="FFFFFF"/>
        <w:spacing w:after="0" w:line="240" w:lineRule="auto"/>
        <w:rPr>
          <w:rFonts w:ascii="Calibri" w:eastAsia="Times New Roman" w:hAnsi="Calibri" w:cs="Calibri"/>
          <w:color w:val="000000"/>
          <w:sz w:val="24"/>
          <w:szCs w:val="24"/>
          <w:lang w:eastAsia="en-GB"/>
        </w:rPr>
      </w:pPr>
    </w:p>
    <w:p w14:paraId="751428B8" w14:textId="0BF9A9C4" w:rsidR="006C6E23" w:rsidRPr="006C6E23" w:rsidRDefault="006C6E23" w:rsidP="00695A24">
      <w:pPr>
        <w:shd w:val="clear" w:color="auto" w:fill="FFFFFF"/>
        <w:spacing w:after="0" w:line="240" w:lineRule="auto"/>
        <w:rPr>
          <w:rFonts w:ascii="Calibri" w:eastAsia="Times New Roman" w:hAnsi="Calibri" w:cs="Calibri"/>
          <w:b/>
          <w:bCs/>
          <w:color w:val="000000"/>
          <w:sz w:val="24"/>
          <w:szCs w:val="24"/>
          <w:lang w:eastAsia="en-GB"/>
        </w:rPr>
      </w:pPr>
      <w:r w:rsidRPr="006C6E23">
        <w:rPr>
          <w:rFonts w:ascii="Calibri" w:eastAsia="Times New Roman" w:hAnsi="Calibri" w:cs="Calibri"/>
          <w:b/>
          <w:bCs/>
          <w:color w:val="000000"/>
          <w:sz w:val="24"/>
          <w:szCs w:val="24"/>
          <w:lang w:eastAsia="en-GB"/>
        </w:rPr>
        <w:t>Actions</w:t>
      </w:r>
    </w:p>
    <w:tbl>
      <w:tblPr>
        <w:tblStyle w:val="TableGrid"/>
        <w:tblW w:w="0" w:type="auto"/>
        <w:tblLook w:val="04A0" w:firstRow="1" w:lastRow="0" w:firstColumn="1" w:lastColumn="0" w:noHBand="0" w:noVBand="1"/>
      </w:tblPr>
      <w:tblGrid>
        <w:gridCol w:w="6941"/>
        <w:gridCol w:w="2075"/>
      </w:tblGrid>
      <w:tr w:rsidR="00B45063" w14:paraId="6FA9D09F" w14:textId="77777777" w:rsidTr="00A82C0E">
        <w:tc>
          <w:tcPr>
            <w:tcW w:w="6941" w:type="dxa"/>
          </w:tcPr>
          <w:p w14:paraId="40D05020" w14:textId="4D0B6576" w:rsidR="00B45063" w:rsidRDefault="009E2F78"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Follow up with Green Gas Certification Scheme on chain of custody for biomethane injected outside of UK and claiming RTFCs</w:t>
            </w:r>
          </w:p>
        </w:tc>
        <w:tc>
          <w:tcPr>
            <w:tcW w:w="2075" w:type="dxa"/>
          </w:tcPr>
          <w:p w14:paraId="129EC2F4" w14:textId="3DF01D93" w:rsidR="00B45063" w:rsidRDefault="009E2F78" w:rsidP="00695A24">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PT</w:t>
            </w:r>
          </w:p>
        </w:tc>
      </w:tr>
      <w:tr w:rsidR="009E2F78" w14:paraId="6A63A423" w14:textId="77777777" w:rsidTr="00A82C0E">
        <w:tc>
          <w:tcPr>
            <w:tcW w:w="6941" w:type="dxa"/>
          </w:tcPr>
          <w:p w14:paraId="60B556A0" w14:textId="0D95A67F" w:rsidR="009E2F78" w:rsidRDefault="009E2F78"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Contact DfT and get involved in RTFO IT system upgrade</w:t>
            </w:r>
          </w:p>
        </w:tc>
        <w:tc>
          <w:tcPr>
            <w:tcW w:w="2075" w:type="dxa"/>
          </w:tcPr>
          <w:p w14:paraId="27C92380" w14:textId="4121093E" w:rsidR="009E2F78" w:rsidRDefault="009E2F78"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PT</w:t>
            </w:r>
          </w:p>
        </w:tc>
      </w:tr>
      <w:tr w:rsidR="009E2F78" w14:paraId="731B36B1" w14:textId="77777777" w:rsidTr="00A82C0E">
        <w:tc>
          <w:tcPr>
            <w:tcW w:w="6941" w:type="dxa"/>
          </w:tcPr>
          <w:p w14:paraId="0B9CCD3A" w14:textId="2B6C555C" w:rsidR="009E2F78" w:rsidRDefault="009E2F78"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Set up meeting with DfT, including covering their approach to fuels made from non-biogenic material</w:t>
            </w:r>
          </w:p>
        </w:tc>
        <w:tc>
          <w:tcPr>
            <w:tcW w:w="2075" w:type="dxa"/>
          </w:tcPr>
          <w:p w14:paraId="1979DCE0" w14:textId="761368FC" w:rsidR="009E2F78" w:rsidRDefault="009E2F78"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PT. Meeting scheduled for Friday 16 October</w:t>
            </w:r>
          </w:p>
        </w:tc>
      </w:tr>
      <w:tr w:rsidR="009E2F78" w14:paraId="50CDEFBF" w14:textId="77777777" w:rsidTr="00A82C0E">
        <w:tc>
          <w:tcPr>
            <w:tcW w:w="6941" w:type="dxa"/>
          </w:tcPr>
          <w:p w14:paraId="760E22C7" w14:textId="7B5EC049" w:rsidR="009E2F78" w:rsidRDefault="00A233D7"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Set up working groups as identified and invite participation from across the group</w:t>
            </w:r>
          </w:p>
        </w:tc>
        <w:tc>
          <w:tcPr>
            <w:tcW w:w="2075" w:type="dxa"/>
          </w:tcPr>
          <w:p w14:paraId="17591D83" w14:textId="1CF166D5" w:rsidR="009E2F78" w:rsidRDefault="00A233D7" w:rsidP="009E2F7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PT</w:t>
            </w:r>
          </w:p>
        </w:tc>
      </w:tr>
    </w:tbl>
    <w:p w14:paraId="0C328799" w14:textId="77777777" w:rsidR="00AD1FB3" w:rsidRDefault="00AD1FB3"/>
    <w:sectPr w:rsidR="00AD1FB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aul Thompson" w:date="2020-10-12T14:44:00Z" w:initials="PT">
    <w:p w14:paraId="1DC27FBF" w14:textId="7D552C99" w:rsidR="006C6E23" w:rsidRDefault="006C6E23">
      <w:pPr>
        <w:pStyle w:val="CommentText"/>
      </w:pPr>
      <w:r>
        <w:rPr>
          <w:rStyle w:val="CommentReference"/>
        </w:rPr>
        <w:annotationRef/>
      </w:r>
      <w:r>
        <w:t>Or alternative wording depending on how the REA mailout system works.</w:t>
      </w:r>
      <w:r w:rsidR="00352239">
        <w:t xml:space="preserve"> </w:t>
      </w:r>
      <w:r>
        <w:t>I haven’t been able to find a copy of this consultation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C27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EA5A" w16cex:dateUtc="2020-10-12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27FBF" w16cid:durableId="232EEA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F4DDF"/>
    <w:multiLevelType w:val="multilevel"/>
    <w:tmpl w:val="548C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9610F7"/>
    <w:multiLevelType w:val="hybridMultilevel"/>
    <w:tmpl w:val="20D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46D95"/>
    <w:multiLevelType w:val="hybridMultilevel"/>
    <w:tmpl w:val="63566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F250D"/>
    <w:multiLevelType w:val="hybridMultilevel"/>
    <w:tmpl w:val="78CEF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 Thompson">
    <w15:presenceInfo w15:providerId="None" w15:userId="Paul Thomp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B5"/>
    <w:rsid w:val="00352239"/>
    <w:rsid w:val="00677EB5"/>
    <w:rsid w:val="00695A24"/>
    <w:rsid w:val="006C6E23"/>
    <w:rsid w:val="00773216"/>
    <w:rsid w:val="00966226"/>
    <w:rsid w:val="009E2F78"/>
    <w:rsid w:val="00A233D7"/>
    <w:rsid w:val="00A82C0E"/>
    <w:rsid w:val="00AD1FB3"/>
    <w:rsid w:val="00B45063"/>
    <w:rsid w:val="00B62982"/>
    <w:rsid w:val="00DD1803"/>
    <w:rsid w:val="00DF1632"/>
    <w:rsid w:val="00E4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9039"/>
  <w15:chartTrackingRefBased/>
  <w15:docId w15:val="{989C7150-35C4-4725-A403-3BC4000A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5A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A2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95A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5A24"/>
    <w:rPr>
      <w:color w:val="0000FF"/>
      <w:u w:val="single"/>
    </w:rPr>
  </w:style>
  <w:style w:type="paragraph" w:customStyle="1" w:styleId="xmsolistparagraph">
    <w:name w:val="x_msolistparagraph"/>
    <w:basedOn w:val="Normal"/>
    <w:rsid w:val="00695A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5A24"/>
    <w:rPr>
      <w:sz w:val="16"/>
      <w:szCs w:val="16"/>
    </w:rPr>
  </w:style>
  <w:style w:type="paragraph" w:styleId="CommentText">
    <w:name w:val="annotation text"/>
    <w:basedOn w:val="Normal"/>
    <w:link w:val="CommentTextChar"/>
    <w:uiPriority w:val="99"/>
    <w:semiHidden/>
    <w:unhideWhenUsed/>
    <w:rsid w:val="00695A24"/>
    <w:pPr>
      <w:spacing w:line="240" w:lineRule="auto"/>
    </w:pPr>
    <w:rPr>
      <w:sz w:val="20"/>
      <w:szCs w:val="20"/>
    </w:rPr>
  </w:style>
  <w:style w:type="character" w:customStyle="1" w:styleId="CommentTextChar">
    <w:name w:val="Comment Text Char"/>
    <w:basedOn w:val="DefaultParagraphFont"/>
    <w:link w:val="CommentText"/>
    <w:uiPriority w:val="99"/>
    <w:semiHidden/>
    <w:rsid w:val="00695A24"/>
    <w:rPr>
      <w:sz w:val="20"/>
      <w:szCs w:val="20"/>
    </w:rPr>
  </w:style>
  <w:style w:type="paragraph" w:styleId="CommentSubject">
    <w:name w:val="annotation subject"/>
    <w:basedOn w:val="CommentText"/>
    <w:next w:val="CommentText"/>
    <w:link w:val="CommentSubjectChar"/>
    <w:uiPriority w:val="99"/>
    <w:semiHidden/>
    <w:unhideWhenUsed/>
    <w:rsid w:val="00695A24"/>
    <w:rPr>
      <w:b/>
      <w:bCs/>
    </w:rPr>
  </w:style>
  <w:style w:type="character" w:customStyle="1" w:styleId="CommentSubjectChar">
    <w:name w:val="Comment Subject Char"/>
    <w:basedOn w:val="CommentTextChar"/>
    <w:link w:val="CommentSubject"/>
    <w:uiPriority w:val="99"/>
    <w:semiHidden/>
    <w:rsid w:val="00695A24"/>
    <w:rPr>
      <w:b/>
      <w:bCs/>
      <w:sz w:val="20"/>
      <w:szCs w:val="20"/>
    </w:rPr>
  </w:style>
  <w:style w:type="paragraph" w:styleId="BalloonText">
    <w:name w:val="Balloon Text"/>
    <w:basedOn w:val="Normal"/>
    <w:link w:val="BalloonTextChar"/>
    <w:uiPriority w:val="99"/>
    <w:semiHidden/>
    <w:unhideWhenUsed/>
    <w:rsid w:val="00695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A24"/>
    <w:rPr>
      <w:rFonts w:ascii="Segoe UI" w:hAnsi="Segoe UI" w:cs="Segoe UI"/>
      <w:sz w:val="18"/>
      <w:szCs w:val="18"/>
    </w:rPr>
  </w:style>
  <w:style w:type="character" w:styleId="UnresolvedMention">
    <w:name w:val="Unresolved Mention"/>
    <w:basedOn w:val="DefaultParagraphFont"/>
    <w:uiPriority w:val="99"/>
    <w:semiHidden/>
    <w:unhideWhenUsed/>
    <w:rsid w:val="00DF1632"/>
    <w:rPr>
      <w:color w:val="605E5C"/>
      <w:shd w:val="clear" w:color="auto" w:fill="E1DFDD"/>
    </w:rPr>
  </w:style>
  <w:style w:type="paragraph" w:styleId="ListParagraph">
    <w:name w:val="List Paragraph"/>
    <w:basedOn w:val="Normal"/>
    <w:uiPriority w:val="34"/>
    <w:qFormat/>
    <w:rsid w:val="006C6E23"/>
    <w:pPr>
      <w:ind w:left="720"/>
      <w:contextualSpacing/>
    </w:pPr>
  </w:style>
  <w:style w:type="table" w:styleId="TableGrid">
    <w:name w:val="Table Grid"/>
    <w:basedOn w:val="TableNormal"/>
    <w:uiPriority w:val="39"/>
    <w:rsid w:val="00B4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2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37826">
      <w:bodyDiv w:val="1"/>
      <w:marLeft w:val="0"/>
      <w:marRight w:val="0"/>
      <w:marTop w:val="0"/>
      <w:marBottom w:val="0"/>
      <w:divBdr>
        <w:top w:val="none" w:sz="0" w:space="0" w:color="auto"/>
        <w:left w:val="none" w:sz="0" w:space="0" w:color="auto"/>
        <w:bottom w:val="none" w:sz="0" w:space="0" w:color="auto"/>
        <w:right w:val="none" w:sz="0" w:space="0" w:color="auto"/>
      </w:divBdr>
      <w:divsChild>
        <w:div w:id="1247422610">
          <w:marLeft w:val="0"/>
          <w:marRight w:val="0"/>
          <w:marTop w:val="0"/>
          <w:marBottom w:val="0"/>
          <w:divBdr>
            <w:top w:val="none" w:sz="0" w:space="0" w:color="auto"/>
            <w:left w:val="none" w:sz="0" w:space="0" w:color="auto"/>
            <w:bottom w:val="none" w:sz="0" w:space="0" w:color="auto"/>
            <w:right w:val="none" w:sz="0" w:space="0" w:color="auto"/>
          </w:divBdr>
          <w:divsChild>
            <w:div w:id="1689987640">
              <w:marLeft w:val="0"/>
              <w:marRight w:val="0"/>
              <w:marTop w:val="0"/>
              <w:marBottom w:val="0"/>
              <w:divBdr>
                <w:top w:val="none" w:sz="0" w:space="0" w:color="auto"/>
                <w:left w:val="none" w:sz="0" w:space="0" w:color="auto"/>
                <w:bottom w:val="none" w:sz="0" w:space="0" w:color="auto"/>
                <w:right w:val="none" w:sz="0" w:space="0" w:color="auto"/>
              </w:divBdr>
            </w:div>
          </w:divsChild>
        </w:div>
        <w:div w:id="1920554542">
          <w:marLeft w:val="0"/>
          <w:marRight w:val="0"/>
          <w:marTop w:val="0"/>
          <w:marBottom w:val="0"/>
          <w:divBdr>
            <w:top w:val="none" w:sz="0" w:space="0" w:color="auto"/>
            <w:left w:val="none" w:sz="0" w:space="0" w:color="auto"/>
            <w:bottom w:val="none" w:sz="0" w:space="0" w:color="auto"/>
            <w:right w:val="none" w:sz="0" w:space="0" w:color="auto"/>
          </w:divBdr>
          <w:divsChild>
            <w:div w:id="1385325299">
              <w:marLeft w:val="0"/>
              <w:marRight w:val="0"/>
              <w:marTop w:val="0"/>
              <w:marBottom w:val="0"/>
              <w:divBdr>
                <w:top w:val="none" w:sz="0" w:space="0" w:color="auto"/>
                <w:left w:val="none" w:sz="0" w:space="0" w:color="auto"/>
                <w:bottom w:val="none" w:sz="0" w:space="0" w:color="auto"/>
                <w:right w:val="none" w:sz="0" w:space="0" w:color="auto"/>
              </w:divBdr>
              <w:divsChild>
                <w:div w:id="2086679377">
                  <w:marLeft w:val="0"/>
                  <w:marRight w:val="0"/>
                  <w:marTop w:val="0"/>
                  <w:marBottom w:val="0"/>
                  <w:divBdr>
                    <w:top w:val="none" w:sz="0" w:space="0" w:color="auto"/>
                    <w:left w:val="none" w:sz="0" w:space="0" w:color="auto"/>
                    <w:bottom w:val="none" w:sz="0" w:space="0" w:color="auto"/>
                    <w:right w:val="none" w:sz="0" w:space="0" w:color="auto"/>
                  </w:divBdr>
                </w:div>
              </w:divsChild>
            </w:div>
            <w:div w:id="1034185618">
              <w:marLeft w:val="0"/>
              <w:marRight w:val="0"/>
              <w:marTop w:val="0"/>
              <w:marBottom w:val="0"/>
              <w:divBdr>
                <w:top w:val="none" w:sz="0" w:space="0" w:color="auto"/>
                <w:left w:val="none" w:sz="0" w:space="0" w:color="auto"/>
                <w:bottom w:val="none" w:sz="0" w:space="0" w:color="auto"/>
                <w:right w:val="none" w:sz="0" w:space="0" w:color="auto"/>
              </w:divBdr>
              <w:divsChild>
                <w:div w:id="1945843364">
                  <w:marLeft w:val="0"/>
                  <w:marRight w:val="0"/>
                  <w:marTop w:val="0"/>
                  <w:marBottom w:val="0"/>
                  <w:divBdr>
                    <w:top w:val="none" w:sz="0" w:space="0" w:color="auto"/>
                    <w:left w:val="none" w:sz="0" w:space="0" w:color="auto"/>
                    <w:bottom w:val="none" w:sz="0" w:space="0" w:color="auto"/>
                    <w:right w:val="none" w:sz="0" w:space="0" w:color="auto"/>
                  </w:divBdr>
                  <w:divsChild>
                    <w:div w:id="1767118408">
                      <w:marLeft w:val="0"/>
                      <w:marRight w:val="0"/>
                      <w:marTop w:val="0"/>
                      <w:marBottom w:val="0"/>
                      <w:divBdr>
                        <w:top w:val="none" w:sz="0" w:space="0" w:color="auto"/>
                        <w:left w:val="none" w:sz="0" w:space="0" w:color="auto"/>
                        <w:bottom w:val="none" w:sz="0" w:space="0" w:color="auto"/>
                        <w:right w:val="none" w:sz="0" w:space="0" w:color="auto"/>
                      </w:divBdr>
                    </w:div>
                    <w:div w:id="1497115467">
                      <w:marLeft w:val="0"/>
                      <w:marRight w:val="0"/>
                      <w:marTop w:val="0"/>
                      <w:marBottom w:val="0"/>
                      <w:divBdr>
                        <w:top w:val="none" w:sz="0" w:space="0" w:color="auto"/>
                        <w:left w:val="none" w:sz="0" w:space="0" w:color="auto"/>
                        <w:bottom w:val="none" w:sz="0" w:space="0" w:color="auto"/>
                        <w:right w:val="none" w:sz="0" w:space="0" w:color="auto"/>
                      </w:divBdr>
                    </w:div>
                    <w:div w:id="2123301870">
                      <w:marLeft w:val="0"/>
                      <w:marRight w:val="0"/>
                      <w:marTop w:val="0"/>
                      <w:marBottom w:val="0"/>
                      <w:divBdr>
                        <w:top w:val="none" w:sz="0" w:space="0" w:color="auto"/>
                        <w:left w:val="none" w:sz="0" w:space="0" w:color="auto"/>
                        <w:bottom w:val="none" w:sz="0" w:space="0" w:color="auto"/>
                        <w:right w:val="none" w:sz="0" w:space="0" w:color="auto"/>
                      </w:divBdr>
                    </w:div>
                    <w:div w:id="1057322398">
                      <w:marLeft w:val="0"/>
                      <w:marRight w:val="0"/>
                      <w:marTop w:val="0"/>
                      <w:marBottom w:val="0"/>
                      <w:divBdr>
                        <w:top w:val="none" w:sz="0" w:space="0" w:color="auto"/>
                        <w:left w:val="none" w:sz="0" w:space="0" w:color="auto"/>
                        <w:bottom w:val="none" w:sz="0" w:space="0" w:color="auto"/>
                        <w:right w:val="none" w:sz="0" w:space="0" w:color="auto"/>
                      </w:divBdr>
                    </w:div>
                    <w:div w:id="1630741371">
                      <w:marLeft w:val="0"/>
                      <w:marRight w:val="0"/>
                      <w:marTop w:val="0"/>
                      <w:marBottom w:val="0"/>
                      <w:divBdr>
                        <w:top w:val="none" w:sz="0" w:space="0" w:color="auto"/>
                        <w:left w:val="none" w:sz="0" w:space="0" w:color="auto"/>
                        <w:bottom w:val="none" w:sz="0" w:space="0" w:color="auto"/>
                        <w:right w:val="none" w:sz="0" w:space="0" w:color="auto"/>
                      </w:divBdr>
                    </w:div>
                    <w:div w:id="964626478">
                      <w:marLeft w:val="0"/>
                      <w:marRight w:val="0"/>
                      <w:marTop w:val="0"/>
                      <w:marBottom w:val="0"/>
                      <w:divBdr>
                        <w:top w:val="none" w:sz="0" w:space="0" w:color="auto"/>
                        <w:left w:val="none" w:sz="0" w:space="0" w:color="auto"/>
                        <w:bottom w:val="none" w:sz="0" w:space="0" w:color="auto"/>
                        <w:right w:val="none" w:sz="0" w:space="0" w:color="auto"/>
                      </w:divBdr>
                    </w:div>
                    <w:div w:id="1642927997">
                      <w:marLeft w:val="0"/>
                      <w:marRight w:val="0"/>
                      <w:marTop w:val="0"/>
                      <w:marBottom w:val="0"/>
                      <w:divBdr>
                        <w:top w:val="none" w:sz="0" w:space="0" w:color="auto"/>
                        <w:left w:val="none" w:sz="0" w:space="0" w:color="auto"/>
                        <w:bottom w:val="none" w:sz="0" w:space="0" w:color="auto"/>
                        <w:right w:val="none" w:sz="0" w:space="0" w:color="auto"/>
                      </w:divBdr>
                    </w:div>
                    <w:div w:id="479156675">
                      <w:marLeft w:val="0"/>
                      <w:marRight w:val="0"/>
                      <w:marTop w:val="0"/>
                      <w:marBottom w:val="0"/>
                      <w:divBdr>
                        <w:top w:val="none" w:sz="0" w:space="0" w:color="auto"/>
                        <w:left w:val="none" w:sz="0" w:space="0" w:color="auto"/>
                        <w:bottom w:val="none" w:sz="0" w:space="0" w:color="auto"/>
                        <w:right w:val="none" w:sz="0" w:space="0" w:color="auto"/>
                      </w:divBdr>
                    </w:div>
                    <w:div w:id="933636712">
                      <w:marLeft w:val="0"/>
                      <w:marRight w:val="0"/>
                      <w:marTop w:val="0"/>
                      <w:marBottom w:val="0"/>
                      <w:divBdr>
                        <w:top w:val="none" w:sz="0" w:space="0" w:color="auto"/>
                        <w:left w:val="none" w:sz="0" w:space="0" w:color="auto"/>
                        <w:bottom w:val="none" w:sz="0" w:space="0" w:color="auto"/>
                        <w:right w:val="none" w:sz="0" w:space="0" w:color="auto"/>
                      </w:divBdr>
                    </w:div>
                    <w:div w:id="1820806137">
                      <w:marLeft w:val="0"/>
                      <w:marRight w:val="0"/>
                      <w:marTop w:val="0"/>
                      <w:marBottom w:val="0"/>
                      <w:divBdr>
                        <w:top w:val="none" w:sz="0" w:space="0" w:color="auto"/>
                        <w:left w:val="none" w:sz="0" w:space="0" w:color="auto"/>
                        <w:bottom w:val="none" w:sz="0" w:space="0" w:color="auto"/>
                        <w:right w:val="none" w:sz="0" w:space="0" w:color="auto"/>
                      </w:divBdr>
                    </w:div>
                    <w:div w:id="642544192">
                      <w:marLeft w:val="0"/>
                      <w:marRight w:val="0"/>
                      <w:marTop w:val="0"/>
                      <w:marBottom w:val="0"/>
                      <w:divBdr>
                        <w:top w:val="none" w:sz="0" w:space="0" w:color="auto"/>
                        <w:left w:val="none" w:sz="0" w:space="0" w:color="auto"/>
                        <w:bottom w:val="none" w:sz="0" w:space="0" w:color="auto"/>
                        <w:right w:val="none" w:sz="0" w:space="0" w:color="auto"/>
                      </w:divBdr>
                    </w:div>
                    <w:div w:id="664363695">
                      <w:marLeft w:val="0"/>
                      <w:marRight w:val="0"/>
                      <w:marTop w:val="0"/>
                      <w:marBottom w:val="0"/>
                      <w:divBdr>
                        <w:top w:val="none" w:sz="0" w:space="0" w:color="auto"/>
                        <w:left w:val="none" w:sz="0" w:space="0" w:color="auto"/>
                        <w:bottom w:val="none" w:sz="0" w:space="0" w:color="auto"/>
                        <w:right w:val="none" w:sz="0" w:space="0" w:color="auto"/>
                      </w:divBdr>
                    </w:div>
                    <w:div w:id="2124837476">
                      <w:marLeft w:val="0"/>
                      <w:marRight w:val="0"/>
                      <w:marTop w:val="0"/>
                      <w:marBottom w:val="0"/>
                      <w:divBdr>
                        <w:top w:val="none" w:sz="0" w:space="0" w:color="auto"/>
                        <w:left w:val="none" w:sz="0" w:space="0" w:color="auto"/>
                        <w:bottom w:val="none" w:sz="0" w:space="0" w:color="auto"/>
                        <w:right w:val="none" w:sz="0" w:space="0" w:color="auto"/>
                      </w:divBdr>
                    </w:div>
                    <w:div w:id="22445971">
                      <w:marLeft w:val="0"/>
                      <w:marRight w:val="0"/>
                      <w:marTop w:val="0"/>
                      <w:marBottom w:val="0"/>
                      <w:divBdr>
                        <w:top w:val="none" w:sz="0" w:space="0" w:color="auto"/>
                        <w:left w:val="none" w:sz="0" w:space="0" w:color="auto"/>
                        <w:bottom w:val="none" w:sz="0" w:space="0" w:color="auto"/>
                        <w:right w:val="none" w:sz="0" w:space="0" w:color="auto"/>
                      </w:divBdr>
                    </w:div>
                    <w:div w:id="1304696699">
                      <w:marLeft w:val="0"/>
                      <w:marRight w:val="0"/>
                      <w:marTop w:val="0"/>
                      <w:marBottom w:val="0"/>
                      <w:divBdr>
                        <w:top w:val="none" w:sz="0" w:space="0" w:color="auto"/>
                        <w:left w:val="none" w:sz="0" w:space="0" w:color="auto"/>
                        <w:bottom w:val="none" w:sz="0" w:space="0" w:color="auto"/>
                        <w:right w:val="none" w:sz="0" w:space="0" w:color="auto"/>
                      </w:divBdr>
                    </w:div>
                    <w:div w:id="1358653861">
                      <w:marLeft w:val="0"/>
                      <w:marRight w:val="0"/>
                      <w:marTop w:val="0"/>
                      <w:marBottom w:val="0"/>
                      <w:divBdr>
                        <w:top w:val="none" w:sz="0" w:space="0" w:color="auto"/>
                        <w:left w:val="none" w:sz="0" w:space="0" w:color="auto"/>
                        <w:bottom w:val="none" w:sz="0" w:space="0" w:color="auto"/>
                        <w:right w:val="none" w:sz="0" w:space="0" w:color="auto"/>
                      </w:divBdr>
                    </w:div>
                    <w:div w:id="119959096">
                      <w:marLeft w:val="0"/>
                      <w:marRight w:val="0"/>
                      <w:marTop w:val="0"/>
                      <w:marBottom w:val="0"/>
                      <w:divBdr>
                        <w:top w:val="none" w:sz="0" w:space="0" w:color="auto"/>
                        <w:left w:val="none" w:sz="0" w:space="0" w:color="auto"/>
                        <w:bottom w:val="none" w:sz="0" w:space="0" w:color="auto"/>
                        <w:right w:val="none" w:sz="0" w:space="0" w:color="auto"/>
                      </w:divBdr>
                    </w:div>
                    <w:div w:id="2020623545">
                      <w:marLeft w:val="0"/>
                      <w:marRight w:val="0"/>
                      <w:marTop w:val="0"/>
                      <w:marBottom w:val="0"/>
                      <w:divBdr>
                        <w:top w:val="none" w:sz="0" w:space="0" w:color="auto"/>
                        <w:left w:val="none" w:sz="0" w:space="0" w:color="auto"/>
                        <w:bottom w:val="none" w:sz="0" w:space="0" w:color="auto"/>
                        <w:right w:val="none" w:sz="0" w:space="0" w:color="auto"/>
                      </w:divBdr>
                    </w:div>
                    <w:div w:id="237593450">
                      <w:marLeft w:val="0"/>
                      <w:marRight w:val="0"/>
                      <w:marTop w:val="0"/>
                      <w:marBottom w:val="0"/>
                      <w:divBdr>
                        <w:top w:val="none" w:sz="0" w:space="0" w:color="auto"/>
                        <w:left w:val="none" w:sz="0" w:space="0" w:color="auto"/>
                        <w:bottom w:val="none" w:sz="0" w:space="0" w:color="auto"/>
                        <w:right w:val="none" w:sz="0" w:space="0" w:color="auto"/>
                      </w:divBdr>
                    </w:div>
                    <w:div w:id="1973510472">
                      <w:marLeft w:val="0"/>
                      <w:marRight w:val="0"/>
                      <w:marTop w:val="0"/>
                      <w:marBottom w:val="0"/>
                      <w:divBdr>
                        <w:top w:val="none" w:sz="0" w:space="0" w:color="auto"/>
                        <w:left w:val="none" w:sz="0" w:space="0" w:color="auto"/>
                        <w:bottom w:val="none" w:sz="0" w:space="0" w:color="auto"/>
                        <w:right w:val="none" w:sz="0" w:space="0" w:color="auto"/>
                      </w:divBdr>
                    </w:div>
                    <w:div w:id="436872541">
                      <w:marLeft w:val="0"/>
                      <w:marRight w:val="0"/>
                      <w:marTop w:val="0"/>
                      <w:marBottom w:val="0"/>
                      <w:divBdr>
                        <w:top w:val="none" w:sz="0" w:space="0" w:color="auto"/>
                        <w:left w:val="none" w:sz="0" w:space="0" w:color="auto"/>
                        <w:bottom w:val="none" w:sz="0" w:space="0" w:color="auto"/>
                        <w:right w:val="none" w:sz="0" w:space="0" w:color="auto"/>
                      </w:divBdr>
                    </w:div>
                    <w:div w:id="2115324841">
                      <w:marLeft w:val="0"/>
                      <w:marRight w:val="0"/>
                      <w:marTop w:val="0"/>
                      <w:marBottom w:val="0"/>
                      <w:divBdr>
                        <w:top w:val="none" w:sz="0" w:space="0" w:color="auto"/>
                        <w:left w:val="none" w:sz="0" w:space="0" w:color="auto"/>
                        <w:bottom w:val="none" w:sz="0" w:space="0" w:color="auto"/>
                        <w:right w:val="none" w:sz="0" w:space="0" w:color="auto"/>
                      </w:divBdr>
                    </w:div>
                    <w:div w:id="963266944">
                      <w:marLeft w:val="0"/>
                      <w:marRight w:val="0"/>
                      <w:marTop w:val="0"/>
                      <w:marBottom w:val="0"/>
                      <w:divBdr>
                        <w:top w:val="none" w:sz="0" w:space="0" w:color="auto"/>
                        <w:left w:val="none" w:sz="0" w:space="0" w:color="auto"/>
                        <w:bottom w:val="none" w:sz="0" w:space="0" w:color="auto"/>
                        <w:right w:val="none" w:sz="0" w:space="0" w:color="auto"/>
                      </w:divBdr>
                    </w:div>
                    <w:div w:id="1402173713">
                      <w:marLeft w:val="0"/>
                      <w:marRight w:val="0"/>
                      <w:marTop w:val="0"/>
                      <w:marBottom w:val="0"/>
                      <w:divBdr>
                        <w:top w:val="none" w:sz="0" w:space="0" w:color="auto"/>
                        <w:left w:val="none" w:sz="0" w:space="0" w:color="auto"/>
                        <w:bottom w:val="none" w:sz="0" w:space="0" w:color="auto"/>
                        <w:right w:val="none" w:sz="0" w:space="0" w:color="auto"/>
                      </w:divBdr>
                    </w:div>
                    <w:div w:id="853688905">
                      <w:marLeft w:val="0"/>
                      <w:marRight w:val="0"/>
                      <w:marTop w:val="0"/>
                      <w:marBottom w:val="0"/>
                      <w:divBdr>
                        <w:top w:val="none" w:sz="0" w:space="0" w:color="auto"/>
                        <w:left w:val="none" w:sz="0" w:space="0" w:color="auto"/>
                        <w:bottom w:val="none" w:sz="0" w:space="0" w:color="auto"/>
                        <w:right w:val="none" w:sz="0" w:space="0" w:color="auto"/>
                      </w:divBdr>
                    </w:div>
                    <w:div w:id="10764542">
                      <w:marLeft w:val="0"/>
                      <w:marRight w:val="0"/>
                      <w:marTop w:val="0"/>
                      <w:marBottom w:val="0"/>
                      <w:divBdr>
                        <w:top w:val="none" w:sz="0" w:space="0" w:color="auto"/>
                        <w:left w:val="none" w:sz="0" w:space="0" w:color="auto"/>
                        <w:bottom w:val="none" w:sz="0" w:space="0" w:color="auto"/>
                        <w:right w:val="none" w:sz="0" w:space="0" w:color="auto"/>
                      </w:divBdr>
                      <w:divsChild>
                        <w:div w:id="54592554">
                          <w:marLeft w:val="0"/>
                          <w:marRight w:val="0"/>
                          <w:marTop w:val="0"/>
                          <w:marBottom w:val="0"/>
                          <w:divBdr>
                            <w:top w:val="none" w:sz="0" w:space="0" w:color="auto"/>
                            <w:left w:val="none" w:sz="0" w:space="0" w:color="auto"/>
                            <w:bottom w:val="none" w:sz="0" w:space="0" w:color="auto"/>
                            <w:right w:val="none" w:sz="0" w:space="0" w:color="auto"/>
                          </w:divBdr>
                        </w:div>
                        <w:div w:id="1406151732">
                          <w:marLeft w:val="0"/>
                          <w:marRight w:val="0"/>
                          <w:marTop w:val="0"/>
                          <w:marBottom w:val="0"/>
                          <w:divBdr>
                            <w:top w:val="none" w:sz="0" w:space="0" w:color="auto"/>
                            <w:left w:val="none" w:sz="0" w:space="0" w:color="auto"/>
                            <w:bottom w:val="none" w:sz="0" w:space="0" w:color="auto"/>
                            <w:right w:val="none" w:sz="0" w:space="0" w:color="auto"/>
                          </w:divBdr>
                        </w:div>
                        <w:div w:id="13805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hansard.parliament.uk/Commons/2020-10-06/debates/D4A1E8FC-3C88-4666-BF91-F602FE701BEC/AlternativeFuelledVehiclesEnergyPro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gov.uk/government/news/new-plans-to-make-uk-world-leader-in-green-energy" TargetMode="External"/><Relationship Id="rId5" Type="http://schemas.openxmlformats.org/officeDocument/2006/relationships/hyperlink" Target="https://www.gov.uk/government/consultations/increasing-the-renewable-transport-fuel-obligation-buy-out-price-for-biofuels-suppliers/outcome/increasing-the-rtfo-buy-out-price-to-ensure-continued-greenhouse-gas-savings-outcome-summary-of-responses-and-cost-benefit-analysis" TargetMode="Externa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99174/Consultation_on_reforms_to_the_tax_treatment_of_red_diesel_and_other_rebated_fuels.pdf"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dc:description/>
  <cp:lastModifiedBy>Sam Tickle</cp:lastModifiedBy>
  <cp:revision>2</cp:revision>
  <dcterms:created xsi:type="dcterms:W3CDTF">2020-10-14T08:42:00Z</dcterms:created>
  <dcterms:modified xsi:type="dcterms:W3CDTF">2020-10-14T08:42:00Z</dcterms:modified>
</cp:coreProperties>
</file>