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1A15A" w14:textId="10920EE7" w:rsidR="00315682" w:rsidRDefault="00315682" w:rsidP="00315682">
      <w:pPr>
        <w:jc w:val="center"/>
        <w:rPr>
          <w:rFonts w:ascii="Open Sans" w:hAnsi="Open Sans" w:cs="Open Sans"/>
          <w:b/>
          <w:bCs/>
          <w:color w:val="06926B"/>
          <w:sz w:val="32"/>
          <w:szCs w:val="32"/>
        </w:rPr>
      </w:pPr>
      <w:r>
        <w:rPr>
          <w:rFonts w:ascii="Open Sans" w:hAnsi="Open Sans" w:cs="Open Sans"/>
          <w:b/>
          <w:bCs/>
          <w:color w:val="06926B"/>
          <w:sz w:val="32"/>
          <w:szCs w:val="32"/>
        </w:rPr>
        <w:t xml:space="preserve">REA draft high-level response to </w:t>
      </w:r>
      <w:r w:rsidR="004B26CF">
        <w:rPr>
          <w:rFonts w:ascii="Open Sans" w:hAnsi="Open Sans" w:cs="Open Sans"/>
          <w:b/>
          <w:bCs/>
          <w:color w:val="06926B"/>
          <w:sz w:val="32"/>
          <w:szCs w:val="32"/>
        </w:rPr>
        <w:t>Call for Evidence on new technologies in the Capacity Market</w:t>
      </w:r>
      <w:r>
        <w:rPr>
          <w:rFonts w:ascii="Open Sans" w:hAnsi="Open Sans" w:cs="Open Sans"/>
          <w:b/>
          <w:bCs/>
          <w:color w:val="06926B"/>
          <w:sz w:val="32"/>
          <w:szCs w:val="32"/>
        </w:rPr>
        <w:t xml:space="preserve">  </w:t>
      </w:r>
    </w:p>
    <w:p w14:paraId="0EC5E497" w14:textId="25FC586C" w:rsidR="00315682" w:rsidRDefault="00315682" w:rsidP="00315682">
      <w:pPr>
        <w:jc w:val="center"/>
        <w:rPr>
          <w:rFonts w:ascii="Open Sans" w:eastAsia="Times New Roman" w:hAnsi="Open Sans" w:cs="Helvetica"/>
          <w:color w:val="000000" w:themeColor="text1"/>
          <w:kern w:val="24"/>
          <w:sz w:val="24"/>
          <w:szCs w:val="24"/>
          <w:lang w:eastAsia="en-GB"/>
        </w:rPr>
      </w:pPr>
      <w:r>
        <w:rPr>
          <w:rFonts w:ascii="Open Sans" w:eastAsia="Times New Roman" w:hAnsi="Open Sans" w:cs="Helvetica"/>
          <w:color w:val="000000" w:themeColor="text1"/>
          <w:kern w:val="24"/>
          <w:sz w:val="24"/>
          <w:szCs w:val="24"/>
          <w:lang w:eastAsia="en-GB"/>
        </w:rPr>
        <w:t xml:space="preserve">Draft for member review – </w:t>
      </w:r>
      <w:r w:rsidRPr="00772B13">
        <w:rPr>
          <w:rFonts w:ascii="Open Sans" w:eastAsia="Times New Roman" w:hAnsi="Open Sans" w:cs="Helvetica"/>
          <w:color w:val="FF0000"/>
          <w:kern w:val="24"/>
          <w:sz w:val="24"/>
          <w:szCs w:val="24"/>
          <w:lang w:eastAsia="en-GB"/>
        </w:rPr>
        <w:t xml:space="preserve">comments by </w:t>
      </w:r>
      <w:r w:rsidR="004B26CF">
        <w:rPr>
          <w:rFonts w:ascii="Open Sans" w:eastAsia="Times New Roman" w:hAnsi="Open Sans" w:cs="Helvetica"/>
          <w:color w:val="FF0000"/>
          <w:kern w:val="24"/>
          <w:sz w:val="24"/>
          <w:szCs w:val="24"/>
          <w:lang w:eastAsia="en-GB"/>
        </w:rPr>
        <w:t>3pm Friday, 30</w:t>
      </w:r>
      <w:r w:rsidR="004B26CF" w:rsidRPr="004B26CF">
        <w:rPr>
          <w:rFonts w:ascii="Open Sans" w:eastAsia="Times New Roman" w:hAnsi="Open Sans" w:cs="Helvetica"/>
          <w:color w:val="FF0000"/>
          <w:kern w:val="24"/>
          <w:sz w:val="24"/>
          <w:szCs w:val="24"/>
          <w:vertAlign w:val="superscript"/>
          <w:lang w:eastAsia="en-GB"/>
        </w:rPr>
        <w:t>th</w:t>
      </w:r>
      <w:r w:rsidR="004B26CF">
        <w:rPr>
          <w:rFonts w:ascii="Open Sans" w:eastAsia="Times New Roman" w:hAnsi="Open Sans" w:cs="Helvetica"/>
          <w:color w:val="FF0000"/>
          <w:kern w:val="24"/>
          <w:sz w:val="24"/>
          <w:szCs w:val="24"/>
          <w:lang w:eastAsia="en-GB"/>
        </w:rPr>
        <w:t xml:space="preserve"> October</w:t>
      </w:r>
      <w:r w:rsidRPr="00772B13">
        <w:rPr>
          <w:rFonts w:ascii="Open Sans" w:eastAsia="Times New Roman" w:hAnsi="Open Sans" w:cs="Helvetica"/>
          <w:color w:val="FF0000"/>
          <w:kern w:val="24"/>
          <w:sz w:val="24"/>
          <w:szCs w:val="24"/>
          <w:lang w:eastAsia="en-GB"/>
        </w:rPr>
        <w:t xml:space="preserve"> 2020</w:t>
      </w:r>
    </w:p>
    <w:p w14:paraId="28CB4258" w14:textId="0D201126" w:rsidR="00315682" w:rsidRDefault="00315682" w:rsidP="00315682">
      <w:pPr>
        <w:jc w:val="center"/>
        <w:rPr>
          <w:rFonts w:ascii="Open Sans" w:eastAsia="Times New Roman" w:hAnsi="Open Sans" w:cs="Helvetica"/>
          <w:color w:val="000000" w:themeColor="text1"/>
          <w:kern w:val="24"/>
          <w:sz w:val="24"/>
          <w:szCs w:val="24"/>
          <w:lang w:eastAsia="en-GB"/>
        </w:rPr>
      </w:pPr>
      <w:r>
        <w:rPr>
          <w:rFonts w:ascii="Open Sans" w:eastAsia="Times New Roman" w:hAnsi="Open Sans" w:cs="Helvetica"/>
          <w:color w:val="000000" w:themeColor="text1"/>
          <w:kern w:val="24"/>
          <w:sz w:val="24"/>
          <w:szCs w:val="24"/>
          <w:lang w:eastAsia="en-GB"/>
        </w:rPr>
        <w:t xml:space="preserve">Comments to </w:t>
      </w:r>
      <w:hyperlink r:id="rId8" w:history="1">
        <w:r w:rsidRPr="00FA4083">
          <w:rPr>
            <w:rStyle w:val="Hyperlink"/>
            <w:rFonts w:ascii="Open Sans" w:eastAsia="Times New Roman" w:hAnsi="Open Sans" w:cs="Helvetica"/>
            <w:kern w:val="24"/>
            <w:sz w:val="24"/>
            <w:szCs w:val="24"/>
            <w:lang w:eastAsia="en-GB"/>
          </w:rPr>
          <w:t>imorris@r-e-a.net</w:t>
        </w:r>
      </w:hyperlink>
      <w:r>
        <w:rPr>
          <w:rFonts w:ascii="Open Sans" w:eastAsia="Times New Roman" w:hAnsi="Open Sans" w:cs="Helvetica"/>
          <w:color w:val="000000" w:themeColor="text1"/>
          <w:kern w:val="24"/>
          <w:sz w:val="24"/>
          <w:szCs w:val="24"/>
          <w:lang w:eastAsia="en-GB"/>
        </w:rPr>
        <w:t xml:space="preserve"> </w:t>
      </w:r>
    </w:p>
    <w:p w14:paraId="0BD19449" w14:textId="57450B0D" w:rsidR="00315682" w:rsidRPr="00315682" w:rsidRDefault="00315682" w:rsidP="00315682">
      <w:pPr>
        <w:rPr>
          <w:rFonts w:ascii="Open Sans" w:eastAsia="Times New Roman" w:hAnsi="Open Sans" w:cs="Helvetica"/>
          <w:b/>
          <w:bCs/>
          <w:color w:val="000000" w:themeColor="text1"/>
          <w:kern w:val="24"/>
          <w:sz w:val="24"/>
          <w:szCs w:val="24"/>
          <w:lang w:eastAsia="en-GB"/>
        </w:rPr>
      </w:pPr>
      <w:r w:rsidRPr="00315682">
        <w:rPr>
          <w:rFonts w:ascii="Open Sans" w:eastAsia="Times New Roman" w:hAnsi="Open Sans" w:cs="Helvetica"/>
          <w:b/>
          <w:bCs/>
          <w:color w:val="000000" w:themeColor="text1"/>
          <w:kern w:val="24"/>
          <w:sz w:val="24"/>
          <w:szCs w:val="24"/>
          <w:lang w:eastAsia="en-GB"/>
        </w:rPr>
        <w:t>Background for members</w:t>
      </w:r>
    </w:p>
    <w:p w14:paraId="620B4A7D" w14:textId="2E1BC2EF" w:rsidR="00D54176" w:rsidRPr="00D54176" w:rsidRDefault="00D54176" w:rsidP="00315682">
      <w:pPr>
        <w:rPr>
          <w:rFonts w:ascii="Open Sans" w:eastAsia="Times New Roman" w:hAnsi="Open Sans" w:cs="Helvetica"/>
          <w:color w:val="000000" w:themeColor="text1"/>
          <w:kern w:val="24"/>
          <w:lang w:eastAsia="en-GB"/>
        </w:rPr>
      </w:pPr>
      <w:r>
        <w:rPr>
          <w:rFonts w:ascii="Open Sans" w:eastAsia="Times New Roman" w:hAnsi="Open Sans" w:cs="Helvetica"/>
          <w:color w:val="000000" w:themeColor="text1"/>
          <w:kern w:val="24"/>
          <w:lang w:eastAsia="en-GB"/>
        </w:rPr>
        <w:t xml:space="preserve">BEIS </w:t>
      </w:r>
      <w:r w:rsidR="00D32E8A">
        <w:rPr>
          <w:rFonts w:ascii="Open Sans" w:eastAsia="Times New Roman" w:hAnsi="Open Sans" w:cs="Helvetica"/>
          <w:color w:val="000000" w:themeColor="text1"/>
          <w:kern w:val="24"/>
          <w:lang w:eastAsia="en-GB"/>
        </w:rPr>
        <w:t>recently issued an open letter as a Call for Evidence on the potential for including new technologies in the Capacity Market and for amending the treatment of collocated sites. Following feedback from members, REA will be submitting a high-level response to this consultation.</w:t>
      </w:r>
    </w:p>
    <w:p w14:paraId="6CF11A7B" w14:textId="19DA2D5F" w:rsidR="00043D05" w:rsidRDefault="00A86034" w:rsidP="00315682">
      <w:pPr>
        <w:rPr>
          <w:rFonts w:ascii="Open Sans" w:eastAsia="Times New Roman" w:hAnsi="Open Sans" w:cs="Helvetica"/>
          <w:b/>
          <w:bCs/>
          <w:color w:val="000000" w:themeColor="text1"/>
          <w:kern w:val="24"/>
          <w:sz w:val="24"/>
          <w:szCs w:val="24"/>
          <w:lang w:eastAsia="en-GB"/>
        </w:rPr>
      </w:pPr>
      <w:r>
        <w:rPr>
          <w:rFonts w:ascii="Open Sans" w:eastAsia="Times New Roman" w:hAnsi="Open Sans" w:cs="Helvetica"/>
          <w:b/>
          <w:bCs/>
          <w:color w:val="000000" w:themeColor="text1"/>
          <w:kern w:val="24"/>
          <w:sz w:val="24"/>
          <w:szCs w:val="24"/>
          <w:lang w:eastAsia="en-GB"/>
        </w:rPr>
        <w:t>Our response</w:t>
      </w:r>
    </w:p>
    <w:p w14:paraId="7AEEE8C3" w14:textId="30C43E89" w:rsidR="00A86034" w:rsidRPr="00952424" w:rsidRDefault="00952424" w:rsidP="00315682">
      <w:pPr>
        <w:rPr>
          <w:rFonts w:ascii="Open Sans" w:eastAsia="Times New Roman" w:hAnsi="Open Sans" w:cs="Helvetica"/>
          <w:b/>
          <w:bCs/>
          <w:i/>
          <w:iCs/>
          <w:color w:val="000000" w:themeColor="text1"/>
          <w:kern w:val="24"/>
          <w:lang w:eastAsia="en-GB"/>
        </w:rPr>
      </w:pPr>
      <w:r w:rsidRPr="00952424">
        <w:rPr>
          <w:rFonts w:ascii="Open Sans" w:eastAsia="Times New Roman" w:hAnsi="Open Sans" w:cs="Helvetica"/>
          <w:b/>
          <w:bCs/>
          <w:i/>
          <w:iCs/>
          <w:color w:val="000000" w:themeColor="text1"/>
          <w:kern w:val="24"/>
          <w:lang w:eastAsia="en-GB"/>
        </w:rPr>
        <w:t>On hybrid Capacity Market units (collocated sites such as storage + solar or wind)</w:t>
      </w:r>
    </w:p>
    <w:p w14:paraId="0FA4D314" w14:textId="738F5C0B" w:rsidR="00952424" w:rsidRPr="00D25860" w:rsidRDefault="00952424" w:rsidP="00952424">
      <w:pPr>
        <w:rPr>
          <w:rFonts w:ascii="Open Sans" w:hAnsi="Open Sans" w:cs="Open Sans"/>
        </w:rPr>
      </w:pPr>
      <w:r w:rsidRPr="00D25860">
        <w:rPr>
          <w:rFonts w:ascii="Open Sans" w:hAnsi="Open Sans" w:cs="Open Sans"/>
        </w:rPr>
        <w:t xml:space="preserve">Knowing the </w:t>
      </w:r>
      <w:r w:rsidR="00D25860" w:rsidRPr="00D25860">
        <w:rPr>
          <w:rFonts w:ascii="Open Sans" w:hAnsi="Open Sans" w:cs="Open Sans"/>
        </w:rPr>
        <w:t>increasing demand for flexibility from electricity storage as we progress the energy transition, we strongly re</w:t>
      </w:r>
      <w:r w:rsidRPr="00D25860">
        <w:rPr>
          <w:rFonts w:ascii="Open Sans" w:hAnsi="Open Sans" w:cs="Open Sans"/>
        </w:rPr>
        <w:t>commend BEIS</w:t>
      </w:r>
      <w:r w:rsidR="00D25860" w:rsidRPr="00D25860">
        <w:rPr>
          <w:rFonts w:ascii="Open Sans" w:hAnsi="Open Sans" w:cs="Open Sans"/>
        </w:rPr>
        <w:t xml:space="preserve"> include</w:t>
      </w:r>
      <w:r w:rsidRPr="00D25860">
        <w:rPr>
          <w:rFonts w:ascii="Open Sans" w:hAnsi="Open Sans" w:cs="Open Sans"/>
        </w:rPr>
        <w:t xml:space="preserve"> hybrid capacity</w:t>
      </w:r>
      <w:r w:rsidR="00D25860" w:rsidRPr="00D25860">
        <w:rPr>
          <w:rFonts w:ascii="Open Sans" w:hAnsi="Open Sans" w:cs="Open Sans"/>
        </w:rPr>
        <w:t xml:space="preserve"> in the Capacity Market – including </w:t>
      </w:r>
      <w:r w:rsidRPr="00D25860">
        <w:rPr>
          <w:rFonts w:ascii="Open Sans" w:hAnsi="Open Sans" w:cs="Open Sans"/>
        </w:rPr>
        <w:t xml:space="preserve"> two or more different technologies operated together, but not necessarily located on the same site given land and other issues (renewable resource availability) around grid connections that may hinder the possibility to share one location.</w:t>
      </w:r>
      <w:r w:rsidR="00D25860" w:rsidRPr="00D25860">
        <w:rPr>
          <w:rFonts w:ascii="Open Sans" w:hAnsi="Open Sans" w:cs="Open Sans"/>
        </w:rPr>
        <w:t xml:space="preserve"> For instance, this may be useful </w:t>
      </w:r>
      <w:proofErr w:type="gramStart"/>
      <w:r w:rsidR="00D25860" w:rsidRPr="00D25860">
        <w:rPr>
          <w:rFonts w:ascii="Open Sans" w:hAnsi="Open Sans" w:cs="Open Sans"/>
        </w:rPr>
        <w:t>in regards to</w:t>
      </w:r>
      <w:proofErr w:type="gramEnd"/>
      <w:r w:rsidR="00D25860" w:rsidRPr="00D25860">
        <w:rPr>
          <w:rFonts w:ascii="Open Sans" w:hAnsi="Open Sans" w:cs="Open Sans"/>
        </w:rPr>
        <w:t xml:space="preserve"> offshore wind shore farms that wish to develop storage.</w:t>
      </w:r>
    </w:p>
    <w:p w14:paraId="1FB8886D" w14:textId="22A6524C" w:rsidR="00D25860" w:rsidRPr="00D25860" w:rsidRDefault="00D25860" w:rsidP="00952424">
      <w:pPr>
        <w:rPr>
          <w:rFonts w:ascii="Open Sans" w:hAnsi="Open Sans" w:cs="Open Sans"/>
        </w:rPr>
      </w:pPr>
      <w:r w:rsidRPr="00D25860">
        <w:rPr>
          <w:rFonts w:ascii="Open Sans" w:hAnsi="Open Sans" w:cs="Open Sans"/>
        </w:rPr>
        <w:t>We do not wish to make any objections to the current approach to de-rating.</w:t>
      </w:r>
      <w:r w:rsidR="009B10DB">
        <w:rPr>
          <w:rFonts w:ascii="Open Sans" w:hAnsi="Open Sans" w:cs="Open Sans"/>
        </w:rPr>
        <w:t xml:space="preserve"> </w:t>
      </w:r>
      <w:bookmarkStart w:id="0" w:name="_Hlk54856349"/>
      <w:r w:rsidR="009B10DB">
        <w:rPr>
          <w:rFonts w:ascii="Open Sans" w:hAnsi="Open Sans" w:cs="Open Sans"/>
        </w:rPr>
        <w:t>Although storage is allowed</w:t>
      </w:r>
      <w:r w:rsidR="006F5604">
        <w:rPr>
          <w:rFonts w:ascii="Open Sans" w:hAnsi="Open Sans" w:cs="Open Sans"/>
        </w:rPr>
        <w:t xml:space="preserve"> to participate and the approach to de-rating is correct, storage is unable to participate fully because the capacity market is geared towards energy trading, while storage is geared to trade balancing, ancillary, and other services. Modifications to the design of the Capacity Market will facilitate the participation of storage.</w:t>
      </w:r>
      <w:bookmarkEnd w:id="0"/>
    </w:p>
    <w:p w14:paraId="739FDA6B" w14:textId="291B1398" w:rsidR="00952424" w:rsidRPr="00D25860" w:rsidRDefault="00D25860" w:rsidP="00315682">
      <w:pPr>
        <w:rPr>
          <w:rFonts w:ascii="Open Sans" w:eastAsia="Times New Roman" w:hAnsi="Open Sans" w:cs="Helvetica"/>
          <w:b/>
          <w:bCs/>
          <w:i/>
          <w:iCs/>
          <w:color w:val="000000" w:themeColor="text1"/>
          <w:kern w:val="24"/>
          <w:lang w:eastAsia="en-GB"/>
        </w:rPr>
      </w:pPr>
      <w:r w:rsidRPr="00D25860">
        <w:rPr>
          <w:rFonts w:ascii="Open Sans" w:eastAsia="Times New Roman" w:hAnsi="Open Sans" w:cs="Helvetica"/>
          <w:b/>
          <w:bCs/>
          <w:i/>
          <w:iCs/>
          <w:color w:val="000000" w:themeColor="text1"/>
          <w:kern w:val="24"/>
          <w:lang w:eastAsia="en-GB"/>
        </w:rPr>
        <w:t xml:space="preserve">On new technologies </w:t>
      </w:r>
    </w:p>
    <w:p w14:paraId="5AC7FB91" w14:textId="77777777" w:rsidR="00201470" w:rsidRPr="00201470" w:rsidRDefault="00201470" w:rsidP="00315682">
      <w:pPr>
        <w:rPr>
          <w:rFonts w:ascii="Open Sans" w:eastAsia="Times New Roman" w:hAnsi="Open Sans" w:cs="Open Sans"/>
          <w:i/>
          <w:iCs/>
          <w:color w:val="000000" w:themeColor="text1"/>
          <w:kern w:val="24"/>
          <w:lang w:eastAsia="en-GB"/>
        </w:rPr>
      </w:pPr>
      <w:r w:rsidRPr="00201470">
        <w:rPr>
          <w:rFonts w:ascii="Open Sans" w:eastAsia="Times New Roman" w:hAnsi="Open Sans" w:cs="Open Sans"/>
          <w:i/>
          <w:iCs/>
          <w:color w:val="000000" w:themeColor="text1"/>
          <w:kern w:val="24"/>
          <w:lang w:eastAsia="en-GB"/>
        </w:rPr>
        <w:t>Ocean Energy</w:t>
      </w:r>
    </w:p>
    <w:p w14:paraId="177C7E31" w14:textId="450AC769" w:rsidR="00D25860" w:rsidRDefault="00D25860" w:rsidP="00315682">
      <w:pPr>
        <w:rPr>
          <w:rFonts w:ascii="Open Sans" w:eastAsia="Times New Roman" w:hAnsi="Open Sans" w:cs="Open Sans"/>
          <w:color w:val="000000" w:themeColor="text1"/>
          <w:kern w:val="24"/>
          <w:lang w:eastAsia="en-GB"/>
        </w:rPr>
      </w:pPr>
      <w:r w:rsidRPr="00D25860">
        <w:rPr>
          <w:rFonts w:ascii="Open Sans" w:eastAsia="Times New Roman" w:hAnsi="Open Sans" w:cs="Open Sans"/>
          <w:color w:val="000000" w:themeColor="text1"/>
          <w:kern w:val="24"/>
          <w:lang w:eastAsia="en-GB"/>
        </w:rPr>
        <w:t>We support the inclusion of tidal</w:t>
      </w:r>
      <w:r>
        <w:rPr>
          <w:rFonts w:ascii="Open Sans" w:eastAsia="Times New Roman" w:hAnsi="Open Sans" w:cs="Open Sans"/>
          <w:color w:val="000000" w:themeColor="text1"/>
          <w:kern w:val="24"/>
          <w:lang w:eastAsia="en-GB"/>
        </w:rPr>
        <w:t xml:space="preserve"> flow,</w:t>
      </w:r>
      <w:r w:rsidRPr="00D25860">
        <w:rPr>
          <w:rFonts w:ascii="Open Sans" w:eastAsia="Times New Roman" w:hAnsi="Open Sans" w:cs="Open Sans"/>
          <w:color w:val="000000" w:themeColor="text1"/>
          <w:kern w:val="24"/>
          <w:lang w:eastAsia="en-GB"/>
        </w:rPr>
        <w:t xml:space="preserve"> wave</w:t>
      </w:r>
      <w:r>
        <w:rPr>
          <w:rFonts w:ascii="Open Sans" w:eastAsia="Times New Roman" w:hAnsi="Open Sans" w:cs="Open Sans"/>
          <w:color w:val="000000" w:themeColor="text1"/>
          <w:kern w:val="24"/>
          <w:lang w:eastAsia="en-GB"/>
        </w:rPr>
        <w:t>, and ocean current</w:t>
      </w:r>
      <w:r w:rsidRPr="00D25860">
        <w:rPr>
          <w:rFonts w:ascii="Open Sans" w:eastAsia="Times New Roman" w:hAnsi="Open Sans" w:cs="Open Sans"/>
          <w:color w:val="000000" w:themeColor="text1"/>
          <w:kern w:val="24"/>
          <w:lang w:eastAsia="en-GB"/>
        </w:rPr>
        <w:t xml:space="preserve"> power in the Capacity Market. If Britain’s energy transition is to be successful</w:t>
      </w:r>
      <w:r>
        <w:rPr>
          <w:rFonts w:ascii="Open Sans" w:eastAsia="Times New Roman" w:hAnsi="Open Sans" w:cs="Open Sans"/>
          <w:color w:val="000000" w:themeColor="text1"/>
          <w:kern w:val="24"/>
          <w:lang w:eastAsia="en-GB"/>
        </w:rPr>
        <w:t>,</w:t>
      </w:r>
      <w:r w:rsidRPr="00D25860">
        <w:rPr>
          <w:rFonts w:ascii="Open Sans" w:eastAsia="Times New Roman" w:hAnsi="Open Sans" w:cs="Open Sans"/>
          <w:color w:val="000000" w:themeColor="text1"/>
          <w:kern w:val="24"/>
          <w:lang w:eastAsia="en-GB"/>
        </w:rPr>
        <w:t xml:space="preserve"> we will need to harness the power of a range of renewable sourc</w:t>
      </w:r>
      <w:r>
        <w:rPr>
          <w:rFonts w:ascii="Open Sans" w:eastAsia="Times New Roman" w:hAnsi="Open Sans" w:cs="Open Sans"/>
          <w:color w:val="000000" w:themeColor="text1"/>
          <w:kern w:val="24"/>
          <w:lang w:eastAsia="en-GB"/>
        </w:rPr>
        <w:t xml:space="preserve">es. These technologies have advanced significantly in recent years and estimates suggest that wave, tidal and ocean current power could supply at least 10% of the UK’s electricity. Furthermore, harnessing marine power potential will enhance the UK’s </w:t>
      </w:r>
      <w:proofErr w:type="spellStart"/>
      <w:r>
        <w:rPr>
          <w:rFonts w:ascii="Open Sans" w:eastAsia="Times New Roman" w:hAnsi="Open Sans" w:cs="Open Sans"/>
          <w:color w:val="000000" w:themeColor="text1"/>
          <w:kern w:val="24"/>
          <w:lang w:eastAsia="en-GB"/>
        </w:rPr>
        <w:t>competiveness</w:t>
      </w:r>
      <w:proofErr w:type="spellEnd"/>
      <w:r>
        <w:rPr>
          <w:rFonts w:ascii="Open Sans" w:eastAsia="Times New Roman" w:hAnsi="Open Sans" w:cs="Open Sans"/>
          <w:color w:val="000000" w:themeColor="text1"/>
          <w:kern w:val="24"/>
          <w:lang w:eastAsia="en-GB"/>
        </w:rPr>
        <w:t xml:space="preserve"> in the European energy market, as around 50% of Europe’s global tidal resources are located around the coastlines of the UK. </w:t>
      </w:r>
    </w:p>
    <w:p w14:paraId="4990E9E6" w14:textId="785F7CAF" w:rsidR="00201470" w:rsidRDefault="00201470" w:rsidP="00315682">
      <w:pPr>
        <w:rPr>
          <w:rFonts w:ascii="Open Sans" w:eastAsia="Times New Roman" w:hAnsi="Open Sans" w:cs="Open Sans"/>
          <w:i/>
          <w:iCs/>
          <w:color w:val="000000" w:themeColor="text1"/>
          <w:kern w:val="24"/>
          <w:lang w:eastAsia="en-GB"/>
        </w:rPr>
      </w:pPr>
      <w:r w:rsidRPr="00201470">
        <w:rPr>
          <w:rFonts w:ascii="Open Sans" w:eastAsia="Times New Roman" w:hAnsi="Open Sans" w:cs="Open Sans"/>
          <w:i/>
          <w:iCs/>
          <w:color w:val="000000" w:themeColor="text1"/>
          <w:kern w:val="24"/>
          <w:lang w:eastAsia="en-GB"/>
        </w:rPr>
        <w:t>Hydrogen</w:t>
      </w:r>
    </w:p>
    <w:p w14:paraId="0D5DEF26" w14:textId="6EB1CF67" w:rsidR="0032561B" w:rsidRDefault="0032561B" w:rsidP="0032561B">
      <w:pPr>
        <w:rPr>
          <w:rFonts w:eastAsia="Times New Roman"/>
        </w:rPr>
      </w:pPr>
      <w:r>
        <w:rPr>
          <w:rFonts w:ascii="Open Sans" w:eastAsia="Times New Roman" w:hAnsi="Open Sans" w:cs="Open Sans"/>
          <w:color w:val="000000" w:themeColor="text1"/>
          <w:kern w:val="24"/>
          <w:lang w:eastAsia="en-GB"/>
        </w:rPr>
        <w:t xml:space="preserve">We support allowing green hydrogen produced via electrolysers at renewable generation sites to compete in the Capacity Market. In the short term, there is scope for embedding electrolysers in the grid for providing flexibility </w:t>
      </w:r>
      <w:r w:rsidR="00494A1A">
        <w:rPr>
          <w:rFonts w:ascii="Open Sans" w:eastAsia="Times New Roman" w:hAnsi="Open Sans" w:cs="Open Sans"/>
          <w:color w:val="000000" w:themeColor="text1"/>
          <w:kern w:val="24"/>
          <w:lang w:eastAsia="en-GB"/>
        </w:rPr>
        <w:t>and helping to balance the grid w</w:t>
      </w:r>
      <w:r>
        <w:rPr>
          <w:rFonts w:ascii="Open Sans" w:eastAsia="Times New Roman" w:hAnsi="Open Sans" w:cs="Open Sans"/>
          <w:color w:val="000000" w:themeColor="text1"/>
          <w:kern w:val="24"/>
          <w:lang w:eastAsia="en-GB"/>
        </w:rPr>
        <w:t xml:space="preserve">hen </w:t>
      </w:r>
      <w:r>
        <w:rPr>
          <w:rFonts w:ascii="Open Sans" w:eastAsia="Times New Roman" w:hAnsi="Open Sans" w:cs="Open Sans"/>
          <w:color w:val="000000" w:themeColor="text1"/>
          <w:kern w:val="24"/>
          <w:lang w:eastAsia="en-GB"/>
        </w:rPr>
        <w:lastRenderedPageBreak/>
        <w:t xml:space="preserve">renewable generation is high and electricity demand is low. These could be switched off when renewable generation is </w:t>
      </w:r>
      <w:proofErr w:type="gramStart"/>
      <w:r>
        <w:rPr>
          <w:rFonts w:ascii="Open Sans" w:eastAsia="Times New Roman" w:hAnsi="Open Sans" w:cs="Open Sans"/>
          <w:color w:val="000000" w:themeColor="text1"/>
          <w:kern w:val="24"/>
          <w:lang w:eastAsia="en-GB"/>
        </w:rPr>
        <w:t>low</w:t>
      </w:r>
      <w:proofErr w:type="gramEnd"/>
      <w:r>
        <w:rPr>
          <w:rFonts w:ascii="Open Sans" w:eastAsia="Times New Roman" w:hAnsi="Open Sans" w:cs="Open Sans"/>
          <w:color w:val="000000" w:themeColor="text1"/>
          <w:kern w:val="24"/>
          <w:lang w:eastAsia="en-GB"/>
        </w:rPr>
        <w:t xml:space="preserve"> and demand is high</w:t>
      </w:r>
      <w:r w:rsidR="00494A1A">
        <w:rPr>
          <w:rFonts w:ascii="Open Sans" w:eastAsia="Times New Roman" w:hAnsi="Open Sans" w:cs="Open Sans"/>
          <w:color w:val="000000" w:themeColor="text1"/>
          <w:kern w:val="24"/>
          <w:lang w:eastAsia="en-GB"/>
        </w:rPr>
        <w:t xml:space="preserve">. </w:t>
      </w:r>
      <w:r w:rsidRPr="00494A1A">
        <w:rPr>
          <w:rFonts w:ascii="Open Sans" w:eastAsia="Times New Roman" w:hAnsi="Open Sans" w:cs="Open Sans"/>
        </w:rPr>
        <w:t>France and Germany have set electrolyser deployment targets for 2030 of 6.5GW and 5GW and</w:t>
      </w:r>
      <w:r w:rsidRPr="00494A1A">
        <w:rPr>
          <w:rFonts w:ascii="Open Sans" w:eastAsia="Times New Roman" w:hAnsi="Open Sans" w:cs="Open Sans"/>
        </w:rPr>
        <w:t xml:space="preserve"> the</w:t>
      </w:r>
      <w:r w:rsidRPr="00494A1A">
        <w:rPr>
          <w:rFonts w:ascii="Open Sans" w:eastAsia="Times New Roman" w:hAnsi="Open Sans" w:cs="Open Sans"/>
        </w:rPr>
        <w:t xml:space="preserve"> </w:t>
      </w:r>
      <w:r w:rsidRPr="00494A1A">
        <w:rPr>
          <w:rFonts w:ascii="Open Sans" w:eastAsia="Times New Roman" w:hAnsi="Open Sans" w:cs="Open Sans"/>
        </w:rPr>
        <w:t>UK Government should</w:t>
      </w:r>
      <w:r w:rsidRPr="00494A1A">
        <w:rPr>
          <w:rFonts w:ascii="Open Sans" w:eastAsia="Times New Roman" w:hAnsi="Open Sans" w:cs="Open Sans"/>
        </w:rPr>
        <w:t xml:space="preserve"> set a similar targe</w:t>
      </w:r>
      <w:r w:rsidR="00494A1A" w:rsidRPr="00494A1A">
        <w:rPr>
          <w:rFonts w:ascii="Open Sans" w:eastAsia="Times New Roman" w:hAnsi="Open Sans" w:cs="Open Sans"/>
        </w:rPr>
        <w:t>t for green hydrogen</w:t>
      </w:r>
      <w:r w:rsidRPr="00494A1A">
        <w:rPr>
          <w:rFonts w:ascii="Open Sans" w:eastAsia="Times New Roman" w:hAnsi="Open Sans" w:cs="Open Sans"/>
        </w:rPr>
        <w:t>. This amount of new flexible load could be a very useful part of the solutions required in the electricity grid.</w:t>
      </w:r>
    </w:p>
    <w:p w14:paraId="675E5229" w14:textId="023F494D" w:rsidR="00201470" w:rsidRDefault="00494A1A" w:rsidP="00315682">
      <w:pPr>
        <w:rPr>
          <w:rFonts w:ascii="Open Sans" w:eastAsia="Times New Roman" w:hAnsi="Open Sans" w:cs="Open Sans"/>
          <w:color w:val="000000" w:themeColor="text1"/>
          <w:kern w:val="24"/>
          <w:lang w:eastAsia="en-GB"/>
        </w:rPr>
      </w:pPr>
      <w:r>
        <w:rPr>
          <w:rFonts w:ascii="Open Sans" w:eastAsia="Times New Roman" w:hAnsi="Open Sans" w:cs="Open Sans"/>
          <w:color w:val="000000" w:themeColor="text1"/>
          <w:kern w:val="24"/>
          <w:lang w:eastAsia="en-GB"/>
        </w:rPr>
        <w:t>In the medium term, there is potential for hydrogen gas turbines, providing green hydrogen associated with renewable energy generation, to be part of the Capacity Market. Green hydrogen can be used to support the grid during periods of low renewable generation. However, this technology is not presently developed enough to be suited for inclusion in the Capacity Market.</w:t>
      </w:r>
    </w:p>
    <w:p w14:paraId="0BA481DF" w14:textId="1BF641B5" w:rsidR="00043D05" w:rsidRPr="00B831D8" w:rsidRDefault="00B831D8" w:rsidP="00315682">
      <w:pPr>
        <w:rPr>
          <w:rFonts w:ascii="Open Sans" w:eastAsia="Times New Roman" w:hAnsi="Open Sans" w:cs="Helvetica"/>
          <w:b/>
          <w:bCs/>
          <w:color w:val="000000" w:themeColor="text1"/>
          <w:kern w:val="24"/>
          <w:sz w:val="24"/>
          <w:szCs w:val="24"/>
          <w:lang w:eastAsia="en-GB"/>
        </w:rPr>
      </w:pPr>
      <w:r w:rsidRPr="00B831D8">
        <w:rPr>
          <w:rFonts w:ascii="Open Sans" w:eastAsia="Times New Roman" w:hAnsi="Open Sans" w:cs="Helvetica"/>
          <w:b/>
          <w:bCs/>
          <w:color w:val="000000" w:themeColor="text1"/>
          <w:kern w:val="24"/>
          <w:sz w:val="24"/>
          <w:szCs w:val="24"/>
          <w:lang w:eastAsia="en-GB"/>
        </w:rPr>
        <w:t>* ENDS</w:t>
      </w:r>
    </w:p>
    <w:p w14:paraId="2CEB175B" w14:textId="77777777" w:rsidR="00043D05" w:rsidRDefault="00043D05" w:rsidP="00315682">
      <w:pPr>
        <w:rPr>
          <w:rFonts w:ascii="Open Sans" w:eastAsia="Times New Roman" w:hAnsi="Open Sans" w:cs="Helvetica"/>
          <w:color w:val="000000" w:themeColor="text1"/>
          <w:kern w:val="24"/>
          <w:sz w:val="24"/>
          <w:szCs w:val="24"/>
          <w:lang w:eastAsia="en-GB"/>
        </w:rPr>
      </w:pPr>
    </w:p>
    <w:p w14:paraId="5CC9C6A0" w14:textId="77777777" w:rsidR="00043D05" w:rsidRDefault="00043D05" w:rsidP="00315682">
      <w:pPr>
        <w:rPr>
          <w:rFonts w:ascii="Open Sans" w:eastAsia="Times New Roman" w:hAnsi="Open Sans" w:cs="Helvetica"/>
          <w:color w:val="000000" w:themeColor="text1"/>
          <w:kern w:val="24"/>
          <w:sz w:val="24"/>
          <w:szCs w:val="24"/>
          <w:lang w:eastAsia="en-GB"/>
        </w:rPr>
      </w:pPr>
    </w:p>
    <w:p w14:paraId="18546A4C" w14:textId="5DA78EFC" w:rsidR="00F82EE5" w:rsidRPr="00043D05" w:rsidRDefault="00F82EE5" w:rsidP="00043D05">
      <w:pPr>
        <w:tabs>
          <w:tab w:val="left" w:pos="720"/>
        </w:tabs>
        <w:rPr>
          <w:rFonts w:ascii="Open Sans" w:hAnsi="Open Sans" w:cs="Open Sans"/>
          <w:sz w:val="24"/>
          <w:szCs w:val="24"/>
        </w:rPr>
      </w:pPr>
    </w:p>
    <w:sectPr w:rsidR="00F82EE5" w:rsidRPr="00043D0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D7EE0" w14:textId="77777777" w:rsidR="00325F41" w:rsidRDefault="00325F41" w:rsidP="00824F90">
      <w:pPr>
        <w:spacing w:after="0" w:line="240" w:lineRule="auto"/>
      </w:pPr>
      <w:r>
        <w:separator/>
      </w:r>
    </w:p>
  </w:endnote>
  <w:endnote w:type="continuationSeparator" w:id="0">
    <w:p w14:paraId="5597607B" w14:textId="77777777" w:rsidR="00325F41" w:rsidRDefault="00325F41"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FC08B" w14:textId="77777777" w:rsidR="00325F41" w:rsidRDefault="00325F41" w:rsidP="00824F90">
      <w:pPr>
        <w:spacing w:after="0" w:line="240" w:lineRule="auto"/>
      </w:pPr>
      <w:r>
        <w:separator/>
      </w:r>
    </w:p>
  </w:footnote>
  <w:footnote w:type="continuationSeparator" w:id="0">
    <w:p w14:paraId="78F91BCC" w14:textId="77777777" w:rsidR="00325F41" w:rsidRDefault="00325F41" w:rsidP="0082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3701E1" w:rsidRDefault="003701E1">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A617E"/>
    <w:multiLevelType w:val="hybridMultilevel"/>
    <w:tmpl w:val="BA82C5C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C95CAE"/>
    <w:multiLevelType w:val="hybridMultilevel"/>
    <w:tmpl w:val="B3A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F7729"/>
    <w:multiLevelType w:val="hybridMultilevel"/>
    <w:tmpl w:val="857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10A5A"/>
    <w:multiLevelType w:val="hybridMultilevel"/>
    <w:tmpl w:val="4C7C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F3F63"/>
    <w:multiLevelType w:val="hybridMultilevel"/>
    <w:tmpl w:val="1046998E"/>
    <w:lvl w:ilvl="0" w:tplc="88965C16">
      <w:start w:val="1"/>
      <w:numFmt w:val="bullet"/>
      <w:lvlText w:val=""/>
      <w:lvlJc w:val="left"/>
      <w:pPr>
        <w:tabs>
          <w:tab w:val="num" w:pos="720"/>
        </w:tabs>
        <w:ind w:left="720" w:hanging="360"/>
      </w:pPr>
      <w:rPr>
        <w:rFonts w:ascii="Symbol" w:hAnsi="Symbol" w:hint="default"/>
      </w:rPr>
    </w:lvl>
    <w:lvl w:ilvl="1" w:tplc="4C026214" w:tentative="1">
      <w:start w:val="1"/>
      <w:numFmt w:val="bullet"/>
      <w:lvlText w:val=""/>
      <w:lvlJc w:val="left"/>
      <w:pPr>
        <w:tabs>
          <w:tab w:val="num" w:pos="1440"/>
        </w:tabs>
        <w:ind w:left="1440" w:hanging="360"/>
      </w:pPr>
      <w:rPr>
        <w:rFonts w:ascii="Symbol" w:hAnsi="Symbol" w:hint="default"/>
      </w:rPr>
    </w:lvl>
    <w:lvl w:ilvl="2" w:tplc="0B9CDA0A" w:tentative="1">
      <w:start w:val="1"/>
      <w:numFmt w:val="bullet"/>
      <w:lvlText w:val=""/>
      <w:lvlJc w:val="left"/>
      <w:pPr>
        <w:tabs>
          <w:tab w:val="num" w:pos="2160"/>
        </w:tabs>
        <w:ind w:left="2160" w:hanging="360"/>
      </w:pPr>
      <w:rPr>
        <w:rFonts w:ascii="Symbol" w:hAnsi="Symbol" w:hint="default"/>
      </w:rPr>
    </w:lvl>
    <w:lvl w:ilvl="3" w:tplc="5ED0CF8A" w:tentative="1">
      <w:start w:val="1"/>
      <w:numFmt w:val="bullet"/>
      <w:lvlText w:val=""/>
      <w:lvlJc w:val="left"/>
      <w:pPr>
        <w:tabs>
          <w:tab w:val="num" w:pos="2880"/>
        </w:tabs>
        <w:ind w:left="2880" w:hanging="360"/>
      </w:pPr>
      <w:rPr>
        <w:rFonts w:ascii="Symbol" w:hAnsi="Symbol" w:hint="default"/>
      </w:rPr>
    </w:lvl>
    <w:lvl w:ilvl="4" w:tplc="9D820216" w:tentative="1">
      <w:start w:val="1"/>
      <w:numFmt w:val="bullet"/>
      <w:lvlText w:val=""/>
      <w:lvlJc w:val="left"/>
      <w:pPr>
        <w:tabs>
          <w:tab w:val="num" w:pos="3600"/>
        </w:tabs>
        <w:ind w:left="3600" w:hanging="360"/>
      </w:pPr>
      <w:rPr>
        <w:rFonts w:ascii="Symbol" w:hAnsi="Symbol" w:hint="default"/>
      </w:rPr>
    </w:lvl>
    <w:lvl w:ilvl="5" w:tplc="5E02E8B8" w:tentative="1">
      <w:start w:val="1"/>
      <w:numFmt w:val="bullet"/>
      <w:lvlText w:val=""/>
      <w:lvlJc w:val="left"/>
      <w:pPr>
        <w:tabs>
          <w:tab w:val="num" w:pos="4320"/>
        </w:tabs>
        <w:ind w:left="4320" w:hanging="360"/>
      </w:pPr>
      <w:rPr>
        <w:rFonts w:ascii="Symbol" w:hAnsi="Symbol" w:hint="default"/>
      </w:rPr>
    </w:lvl>
    <w:lvl w:ilvl="6" w:tplc="84646940" w:tentative="1">
      <w:start w:val="1"/>
      <w:numFmt w:val="bullet"/>
      <w:lvlText w:val=""/>
      <w:lvlJc w:val="left"/>
      <w:pPr>
        <w:tabs>
          <w:tab w:val="num" w:pos="5040"/>
        </w:tabs>
        <w:ind w:left="5040" w:hanging="360"/>
      </w:pPr>
      <w:rPr>
        <w:rFonts w:ascii="Symbol" w:hAnsi="Symbol" w:hint="default"/>
      </w:rPr>
    </w:lvl>
    <w:lvl w:ilvl="7" w:tplc="402E8E86" w:tentative="1">
      <w:start w:val="1"/>
      <w:numFmt w:val="bullet"/>
      <w:lvlText w:val=""/>
      <w:lvlJc w:val="left"/>
      <w:pPr>
        <w:tabs>
          <w:tab w:val="num" w:pos="5760"/>
        </w:tabs>
        <w:ind w:left="5760" w:hanging="360"/>
      </w:pPr>
      <w:rPr>
        <w:rFonts w:ascii="Symbol" w:hAnsi="Symbol" w:hint="default"/>
      </w:rPr>
    </w:lvl>
    <w:lvl w:ilvl="8" w:tplc="2A5EBBD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90047"/>
    <w:multiLevelType w:val="hybridMultilevel"/>
    <w:tmpl w:val="A9325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B85997"/>
    <w:multiLevelType w:val="hybridMultilevel"/>
    <w:tmpl w:val="959ABFD6"/>
    <w:lvl w:ilvl="0" w:tplc="0809000B">
      <w:start w:val="1"/>
      <w:numFmt w:val="bullet"/>
      <w:lvlText w:val=""/>
      <w:lvlJc w:val="left"/>
      <w:pPr>
        <w:ind w:left="1440" w:hanging="360"/>
      </w:pPr>
      <w:rPr>
        <w:rFonts w:ascii="Wingdings" w:hAnsi="Wingdings" w:hint="default"/>
      </w:rPr>
    </w:lvl>
    <w:lvl w:ilvl="1" w:tplc="0809000F">
      <w:start w:val="1"/>
      <w:numFmt w:val="decimal"/>
      <w:lvlText w:val="%2."/>
      <w:lvlJc w:val="left"/>
      <w:pPr>
        <w:ind w:left="2160" w:hanging="360"/>
      </w:p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F6E3C48"/>
    <w:multiLevelType w:val="hybridMultilevel"/>
    <w:tmpl w:val="D1509DD2"/>
    <w:lvl w:ilvl="0" w:tplc="FD02FCAA">
      <w:start w:val="1"/>
      <w:numFmt w:val="bullet"/>
      <w:lvlText w:val=""/>
      <w:lvlJc w:val="left"/>
      <w:pPr>
        <w:tabs>
          <w:tab w:val="num" w:pos="720"/>
        </w:tabs>
        <w:ind w:left="720" w:hanging="360"/>
      </w:pPr>
      <w:rPr>
        <w:rFonts w:ascii="Symbol" w:hAnsi="Symbol" w:hint="default"/>
      </w:rPr>
    </w:lvl>
    <w:lvl w:ilvl="1" w:tplc="A6220F2A" w:tentative="1">
      <w:start w:val="1"/>
      <w:numFmt w:val="bullet"/>
      <w:lvlText w:val=""/>
      <w:lvlJc w:val="left"/>
      <w:pPr>
        <w:tabs>
          <w:tab w:val="num" w:pos="1440"/>
        </w:tabs>
        <w:ind w:left="1440" w:hanging="360"/>
      </w:pPr>
      <w:rPr>
        <w:rFonts w:ascii="Symbol" w:hAnsi="Symbol" w:hint="default"/>
      </w:rPr>
    </w:lvl>
    <w:lvl w:ilvl="2" w:tplc="0CC8C626" w:tentative="1">
      <w:start w:val="1"/>
      <w:numFmt w:val="bullet"/>
      <w:lvlText w:val=""/>
      <w:lvlJc w:val="left"/>
      <w:pPr>
        <w:tabs>
          <w:tab w:val="num" w:pos="2160"/>
        </w:tabs>
        <w:ind w:left="2160" w:hanging="360"/>
      </w:pPr>
      <w:rPr>
        <w:rFonts w:ascii="Symbol" w:hAnsi="Symbol" w:hint="default"/>
      </w:rPr>
    </w:lvl>
    <w:lvl w:ilvl="3" w:tplc="1E0E4654" w:tentative="1">
      <w:start w:val="1"/>
      <w:numFmt w:val="bullet"/>
      <w:lvlText w:val=""/>
      <w:lvlJc w:val="left"/>
      <w:pPr>
        <w:tabs>
          <w:tab w:val="num" w:pos="2880"/>
        </w:tabs>
        <w:ind w:left="2880" w:hanging="360"/>
      </w:pPr>
      <w:rPr>
        <w:rFonts w:ascii="Symbol" w:hAnsi="Symbol" w:hint="default"/>
      </w:rPr>
    </w:lvl>
    <w:lvl w:ilvl="4" w:tplc="63B21B5C" w:tentative="1">
      <w:start w:val="1"/>
      <w:numFmt w:val="bullet"/>
      <w:lvlText w:val=""/>
      <w:lvlJc w:val="left"/>
      <w:pPr>
        <w:tabs>
          <w:tab w:val="num" w:pos="3600"/>
        </w:tabs>
        <w:ind w:left="3600" w:hanging="360"/>
      </w:pPr>
      <w:rPr>
        <w:rFonts w:ascii="Symbol" w:hAnsi="Symbol" w:hint="default"/>
      </w:rPr>
    </w:lvl>
    <w:lvl w:ilvl="5" w:tplc="F342B3E8" w:tentative="1">
      <w:start w:val="1"/>
      <w:numFmt w:val="bullet"/>
      <w:lvlText w:val=""/>
      <w:lvlJc w:val="left"/>
      <w:pPr>
        <w:tabs>
          <w:tab w:val="num" w:pos="4320"/>
        </w:tabs>
        <w:ind w:left="4320" w:hanging="360"/>
      </w:pPr>
      <w:rPr>
        <w:rFonts w:ascii="Symbol" w:hAnsi="Symbol" w:hint="default"/>
      </w:rPr>
    </w:lvl>
    <w:lvl w:ilvl="6" w:tplc="740A0282" w:tentative="1">
      <w:start w:val="1"/>
      <w:numFmt w:val="bullet"/>
      <w:lvlText w:val=""/>
      <w:lvlJc w:val="left"/>
      <w:pPr>
        <w:tabs>
          <w:tab w:val="num" w:pos="5040"/>
        </w:tabs>
        <w:ind w:left="5040" w:hanging="360"/>
      </w:pPr>
      <w:rPr>
        <w:rFonts w:ascii="Symbol" w:hAnsi="Symbol" w:hint="default"/>
      </w:rPr>
    </w:lvl>
    <w:lvl w:ilvl="7" w:tplc="B7248E12" w:tentative="1">
      <w:start w:val="1"/>
      <w:numFmt w:val="bullet"/>
      <w:lvlText w:val=""/>
      <w:lvlJc w:val="left"/>
      <w:pPr>
        <w:tabs>
          <w:tab w:val="num" w:pos="5760"/>
        </w:tabs>
        <w:ind w:left="5760" w:hanging="360"/>
      </w:pPr>
      <w:rPr>
        <w:rFonts w:ascii="Symbol" w:hAnsi="Symbol" w:hint="default"/>
      </w:rPr>
    </w:lvl>
    <w:lvl w:ilvl="8" w:tplc="AD3A023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017DC0"/>
    <w:multiLevelType w:val="hybridMultilevel"/>
    <w:tmpl w:val="2390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B290A"/>
    <w:multiLevelType w:val="multilevel"/>
    <w:tmpl w:val="4EF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55311"/>
    <w:multiLevelType w:val="hybridMultilevel"/>
    <w:tmpl w:val="D80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D50D0"/>
    <w:multiLevelType w:val="hybridMultilevel"/>
    <w:tmpl w:val="1A1C1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92CEC"/>
    <w:multiLevelType w:val="hybridMultilevel"/>
    <w:tmpl w:val="4FC2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95823"/>
    <w:multiLevelType w:val="hybridMultilevel"/>
    <w:tmpl w:val="EA9C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038C3"/>
    <w:multiLevelType w:val="hybridMultilevel"/>
    <w:tmpl w:val="960A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F76EF"/>
    <w:multiLevelType w:val="hybridMultilevel"/>
    <w:tmpl w:val="F612B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33699"/>
    <w:multiLevelType w:val="hybridMultilevel"/>
    <w:tmpl w:val="791C9098"/>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4" w15:restartNumberingAfterBreak="0">
    <w:nsid w:val="604D2A30"/>
    <w:multiLevelType w:val="hybridMultilevel"/>
    <w:tmpl w:val="5B0A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C3CB8"/>
    <w:multiLevelType w:val="hybridMultilevel"/>
    <w:tmpl w:val="3706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9359E"/>
    <w:multiLevelType w:val="hybridMultilevel"/>
    <w:tmpl w:val="AA0E4F68"/>
    <w:lvl w:ilvl="0" w:tplc="278EE6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F2D88"/>
    <w:multiLevelType w:val="hybridMultilevel"/>
    <w:tmpl w:val="10BC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E16F0"/>
    <w:multiLevelType w:val="hybridMultilevel"/>
    <w:tmpl w:val="6EC2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A75D6"/>
    <w:multiLevelType w:val="hybridMultilevel"/>
    <w:tmpl w:val="E350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F7C9C"/>
    <w:multiLevelType w:val="hybridMultilevel"/>
    <w:tmpl w:val="675A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9"/>
  </w:num>
  <w:num w:numId="3">
    <w:abstractNumId w:val="10"/>
  </w:num>
  <w:num w:numId="4">
    <w:abstractNumId w:val="2"/>
  </w:num>
  <w:num w:numId="5">
    <w:abstractNumId w:val="34"/>
  </w:num>
  <w:num w:numId="6">
    <w:abstractNumId w:val="27"/>
  </w:num>
  <w:num w:numId="7">
    <w:abstractNumId w:val="0"/>
  </w:num>
  <w:num w:numId="8">
    <w:abstractNumId w:val="31"/>
  </w:num>
  <w:num w:numId="9">
    <w:abstractNumId w:val="8"/>
  </w:num>
  <w:num w:numId="10">
    <w:abstractNumId w:val="5"/>
  </w:num>
  <w:num w:numId="11">
    <w:abstractNumId w:val="3"/>
  </w:num>
  <w:num w:numId="12">
    <w:abstractNumId w:val="28"/>
  </w:num>
  <w:num w:numId="13">
    <w:abstractNumId w:val="12"/>
  </w:num>
  <w:num w:numId="14">
    <w:abstractNumId w:val="32"/>
  </w:num>
  <w:num w:numId="15">
    <w:abstractNumId w:val="4"/>
  </w:num>
  <w:num w:numId="16">
    <w:abstractNumId w:val="6"/>
  </w:num>
  <w:num w:numId="17">
    <w:abstractNumId w:val="17"/>
  </w:num>
  <w:num w:numId="18">
    <w:abstractNumId w:val="9"/>
  </w:num>
  <w:num w:numId="19">
    <w:abstractNumId w:val="14"/>
  </w:num>
  <w:num w:numId="20">
    <w:abstractNumId w:val="1"/>
  </w:num>
  <w:num w:numId="21">
    <w:abstractNumId w:val="19"/>
  </w:num>
  <w:num w:numId="22">
    <w:abstractNumId w:val="24"/>
  </w:num>
  <w:num w:numId="23">
    <w:abstractNumId w:val="15"/>
  </w:num>
  <w:num w:numId="24">
    <w:abstractNumId w:val="7"/>
  </w:num>
  <w:num w:numId="25">
    <w:abstractNumId w:val="33"/>
  </w:num>
  <w:num w:numId="26">
    <w:abstractNumId w:val="22"/>
  </w:num>
  <w:num w:numId="27">
    <w:abstractNumId w:val="16"/>
  </w:num>
  <w:num w:numId="28">
    <w:abstractNumId w:val="25"/>
  </w:num>
  <w:num w:numId="29">
    <w:abstractNumId w:val="30"/>
  </w:num>
  <w:num w:numId="30">
    <w:abstractNumId w:val="26"/>
  </w:num>
  <w:num w:numId="31">
    <w:abstractNumId w:val="18"/>
  </w:num>
  <w:num w:numId="32">
    <w:abstractNumId w:val="23"/>
  </w:num>
  <w:num w:numId="33">
    <w:abstractNumId w:val="13"/>
    <w:lvlOverride w:ilvl="0"/>
    <w:lvlOverride w:ilvl="1">
      <w:startOverride w:val="1"/>
    </w:lvlOverride>
    <w:lvlOverride w:ilvl="2"/>
    <w:lvlOverride w:ilvl="3"/>
    <w:lvlOverride w:ilvl="4"/>
    <w:lvlOverride w:ilvl="5"/>
    <w:lvlOverride w:ilvl="6"/>
    <w:lvlOverride w:ilvl="7"/>
    <w:lvlOverride w:ilvl="8"/>
  </w:num>
  <w:num w:numId="34">
    <w:abstractNumId w:val="13"/>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174DB"/>
    <w:rsid w:val="000267F1"/>
    <w:rsid w:val="0003523A"/>
    <w:rsid w:val="00043D05"/>
    <w:rsid w:val="000807F5"/>
    <w:rsid w:val="00087FCE"/>
    <w:rsid w:val="000E7558"/>
    <w:rsid w:val="00135AFD"/>
    <w:rsid w:val="0015249E"/>
    <w:rsid w:val="001A2878"/>
    <w:rsid w:val="001D15E7"/>
    <w:rsid w:val="001F6F3F"/>
    <w:rsid w:val="00201470"/>
    <w:rsid w:val="002308AB"/>
    <w:rsid w:val="00242151"/>
    <w:rsid w:val="002447C8"/>
    <w:rsid w:val="002C0701"/>
    <w:rsid w:val="002C1022"/>
    <w:rsid w:val="002C5C06"/>
    <w:rsid w:val="002E3FAE"/>
    <w:rsid w:val="002F6F2F"/>
    <w:rsid w:val="003026F6"/>
    <w:rsid w:val="00305897"/>
    <w:rsid w:val="003104F8"/>
    <w:rsid w:val="00315682"/>
    <w:rsid w:val="0032561B"/>
    <w:rsid w:val="00325F41"/>
    <w:rsid w:val="0033670C"/>
    <w:rsid w:val="003701E1"/>
    <w:rsid w:val="003C2A9B"/>
    <w:rsid w:val="003F47D4"/>
    <w:rsid w:val="0040660B"/>
    <w:rsid w:val="004109AE"/>
    <w:rsid w:val="00490DD8"/>
    <w:rsid w:val="00494A1A"/>
    <w:rsid w:val="004B26CF"/>
    <w:rsid w:val="004C4CCB"/>
    <w:rsid w:val="004E19E2"/>
    <w:rsid w:val="004E5AEB"/>
    <w:rsid w:val="0050690E"/>
    <w:rsid w:val="00534DE9"/>
    <w:rsid w:val="00536B9E"/>
    <w:rsid w:val="00583E48"/>
    <w:rsid w:val="005A5F3D"/>
    <w:rsid w:val="005C202E"/>
    <w:rsid w:val="005C698A"/>
    <w:rsid w:val="005D26D1"/>
    <w:rsid w:val="005E189B"/>
    <w:rsid w:val="005F2D90"/>
    <w:rsid w:val="00626AB6"/>
    <w:rsid w:val="0064016E"/>
    <w:rsid w:val="00661909"/>
    <w:rsid w:val="00664C9C"/>
    <w:rsid w:val="00686894"/>
    <w:rsid w:val="006A1A71"/>
    <w:rsid w:val="006B0A4D"/>
    <w:rsid w:val="006D3A03"/>
    <w:rsid w:val="006D4BD6"/>
    <w:rsid w:val="006F5604"/>
    <w:rsid w:val="00721665"/>
    <w:rsid w:val="00745A1A"/>
    <w:rsid w:val="00772B13"/>
    <w:rsid w:val="007B0B50"/>
    <w:rsid w:val="007C44EC"/>
    <w:rsid w:val="007D2C03"/>
    <w:rsid w:val="007D5832"/>
    <w:rsid w:val="007E3D1D"/>
    <w:rsid w:val="007F0449"/>
    <w:rsid w:val="00824F90"/>
    <w:rsid w:val="008452B8"/>
    <w:rsid w:val="008570ED"/>
    <w:rsid w:val="00872C05"/>
    <w:rsid w:val="008933DD"/>
    <w:rsid w:val="008F6A48"/>
    <w:rsid w:val="00952424"/>
    <w:rsid w:val="00982C42"/>
    <w:rsid w:val="00990139"/>
    <w:rsid w:val="009B10DB"/>
    <w:rsid w:val="009F1627"/>
    <w:rsid w:val="00A10F4C"/>
    <w:rsid w:val="00A10FCD"/>
    <w:rsid w:val="00A35CF9"/>
    <w:rsid w:val="00A5372E"/>
    <w:rsid w:val="00A8022A"/>
    <w:rsid w:val="00A86034"/>
    <w:rsid w:val="00AA11AD"/>
    <w:rsid w:val="00AF1CAF"/>
    <w:rsid w:val="00AF6B4F"/>
    <w:rsid w:val="00B01B48"/>
    <w:rsid w:val="00B0510B"/>
    <w:rsid w:val="00B218D1"/>
    <w:rsid w:val="00B44599"/>
    <w:rsid w:val="00B831D8"/>
    <w:rsid w:val="00B87220"/>
    <w:rsid w:val="00B87F3E"/>
    <w:rsid w:val="00BA2E86"/>
    <w:rsid w:val="00BC1D2A"/>
    <w:rsid w:val="00BE62B3"/>
    <w:rsid w:val="00BF0D52"/>
    <w:rsid w:val="00C150D7"/>
    <w:rsid w:val="00CF1571"/>
    <w:rsid w:val="00D0339D"/>
    <w:rsid w:val="00D05B34"/>
    <w:rsid w:val="00D25860"/>
    <w:rsid w:val="00D32605"/>
    <w:rsid w:val="00D32E8A"/>
    <w:rsid w:val="00D54176"/>
    <w:rsid w:val="00DE65F7"/>
    <w:rsid w:val="00E0509C"/>
    <w:rsid w:val="00E104D3"/>
    <w:rsid w:val="00E21013"/>
    <w:rsid w:val="00E22CE3"/>
    <w:rsid w:val="00E54ED0"/>
    <w:rsid w:val="00EC6D69"/>
    <w:rsid w:val="00ED0BC3"/>
    <w:rsid w:val="00EE0E58"/>
    <w:rsid w:val="00EF2077"/>
    <w:rsid w:val="00F066ED"/>
    <w:rsid w:val="00F77C95"/>
    <w:rsid w:val="00F82EE5"/>
    <w:rsid w:val="00F9120A"/>
    <w:rsid w:val="00FC0E69"/>
    <w:rsid w:val="00FC4F98"/>
    <w:rsid w:val="00FD0795"/>
    <w:rsid w:val="00FE01FA"/>
    <w:rsid w:val="00FE54E7"/>
    <w:rsid w:val="00FF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8753">
      <w:bodyDiv w:val="1"/>
      <w:marLeft w:val="0"/>
      <w:marRight w:val="0"/>
      <w:marTop w:val="0"/>
      <w:marBottom w:val="0"/>
      <w:divBdr>
        <w:top w:val="none" w:sz="0" w:space="0" w:color="auto"/>
        <w:left w:val="none" w:sz="0" w:space="0" w:color="auto"/>
        <w:bottom w:val="none" w:sz="0" w:space="0" w:color="auto"/>
        <w:right w:val="none" w:sz="0" w:space="0" w:color="auto"/>
      </w:divBdr>
    </w:div>
    <w:div w:id="124395911">
      <w:bodyDiv w:val="1"/>
      <w:marLeft w:val="0"/>
      <w:marRight w:val="0"/>
      <w:marTop w:val="0"/>
      <w:marBottom w:val="0"/>
      <w:divBdr>
        <w:top w:val="none" w:sz="0" w:space="0" w:color="auto"/>
        <w:left w:val="none" w:sz="0" w:space="0" w:color="auto"/>
        <w:bottom w:val="none" w:sz="0" w:space="0" w:color="auto"/>
        <w:right w:val="none" w:sz="0" w:space="0" w:color="auto"/>
      </w:divBdr>
    </w:div>
    <w:div w:id="403992850">
      <w:bodyDiv w:val="1"/>
      <w:marLeft w:val="0"/>
      <w:marRight w:val="0"/>
      <w:marTop w:val="0"/>
      <w:marBottom w:val="0"/>
      <w:divBdr>
        <w:top w:val="none" w:sz="0" w:space="0" w:color="auto"/>
        <w:left w:val="none" w:sz="0" w:space="0" w:color="auto"/>
        <w:bottom w:val="none" w:sz="0" w:space="0" w:color="auto"/>
        <w:right w:val="none" w:sz="0" w:space="0" w:color="auto"/>
      </w:divBdr>
      <w:divsChild>
        <w:div w:id="1275207858">
          <w:marLeft w:val="547"/>
          <w:marRight w:val="0"/>
          <w:marTop w:val="86"/>
          <w:marBottom w:val="0"/>
          <w:divBdr>
            <w:top w:val="none" w:sz="0" w:space="0" w:color="auto"/>
            <w:left w:val="none" w:sz="0" w:space="0" w:color="auto"/>
            <w:bottom w:val="none" w:sz="0" w:space="0" w:color="auto"/>
            <w:right w:val="none" w:sz="0" w:space="0" w:color="auto"/>
          </w:divBdr>
        </w:div>
        <w:div w:id="764615892">
          <w:marLeft w:val="547"/>
          <w:marRight w:val="0"/>
          <w:marTop w:val="86"/>
          <w:marBottom w:val="0"/>
          <w:divBdr>
            <w:top w:val="none" w:sz="0" w:space="0" w:color="auto"/>
            <w:left w:val="none" w:sz="0" w:space="0" w:color="auto"/>
            <w:bottom w:val="none" w:sz="0" w:space="0" w:color="auto"/>
            <w:right w:val="none" w:sz="0" w:space="0" w:color="auto"/>
          </w:divBdr>
        </w:div>
        <w:div w:id="1121874068">
          <w:marLeft w:val="547"/>
          <w:marRight w:val="0"/>
          <w:marTop w:val="86"/>
          <w:marBottom w:val="0"/>
          <w:divBdr>
            <w:top w:val="none" w:sz="0" w:space="0" w:color="auto"/>
            <w:left w:val="none" w:sz="0" w:space="0" w:color="auto"/>
            <w:bottom w:val="none" w:sz="0" w:space="0" w:color="auto"/>
            <w:right w:val="none" w:sz="0" w:space="0" w:color="auto"/>
          </w:divBdr>
        </w:div>
      </w:divsChild>
    </w:div>
    <w:div w:id="491995520">
      <w:bodyDiv w:val="1"/>
      <w:marLeft w:val="0"/>
      <w:marRight w:val="0"/>
      <w:marTop w:val="0"/>
      <w:marBottom w:val="0"/>
      <w:divBdr>
        <w:top w:val="none" w:sz="0" w:space="0" w:color="auto"/>
        <w:left w:val="none" w:sz="0" w:space="0" w:color="auto"/>
        <w:bottom w:val="none" w:sz="0" w:space="0" w:color="auto"/>
        <w:right w:val="none" w:sz="0" w:space="0" w:color="auto"/>
      </w:divBdr>
    </w:div>
    <w:div w:id="694038849">
      <w:bodyDiv w:val="1"/>
      <w:marLeft w:val="0"/>
      <w:marRight w:val="0"/>
      <w:marTop w:val="0"/>
      <w:marBottom w:val="0"/>
      <w:divBdr>
        <w:top w:val="none" w:sz="0" w:space="0" w:color="auto"/>
        <w:left w:val="none" w:sz="0" w:space="0" w:color="auto"/>
        <w:bottom w:val="none" w:sz="0" w:space="0" w:color="auto"/>
        <w:right w:val="none" w:sz="0" w:space="0" w:color="auto"/>
      </w:divBdr>
    </w:div>
    <w:div w:id="704912038">
      <w:bodyDiv w:val="1"/>
      <w:marLeft w:val="0"/>
      <w:marRight w:val="0"/>
      <w:marTop w:val="0"/>
      <w:marBottom w:val="0"/>
      <w:divBdr>
        <w:top w:val="none" w:sz="0" w:space="0" w:color="auto"/>
        <w:left w:val="none" w:sz="0" w:space="0" w:color="auto"/>
        <w:bottom w:val="none" w:sz="0" w:space="0" w:color="auto"/>
        <w:right w:val="none" w:sz="0" w:space="0" w:color="auto"/>
      </w:divBdr>
      <w:divsChild>
        <w:div w:id="508103572">
          <w:marLeft w:val="547"/>
          <w:marRight w:val="0"/>
          <w:marTop w:val="86"/>
          <w:marBottom w:val="0"/>
          <w:divBdr>
            <w:top w:val="none" w:sz="0" w:space="0" w:color="auto"/>
            <w:left w:val="none" w:sz="0" w:space="0" w:color="auto"/>
            <w:bottom w:val="none" w:sz="0" w:space="0" w:color="auto"/>
            <w:right w:val="none" w:sz="0" w:space="0" w:color="auto"/>
          </w:divBdr>
        </w:div>
        <w:div w:id="347485388">
          <w:marLeft w:val="547"/>
          <w:marRight w:val="0"/>
          <w:marTop w:val="86"/>
          <w:marBottom w:val="0"/>
          <w:divBdr>
            <w:top w:val="none" w:sz="0" w:space="0" w:color="auto"/>
            <w:left w:val="none" w:sz="0" w:space="0" w:color="auto"/>
            <w:bottom w:val="none" w:sz="0" w:space="0" w:color="auto"/>
            <w:right w:val="none" w:sz="0" w:space="0" w:color="auto"/>
          </w:divBdr>
        </w:div>
        <w:div w:id="1667318399">
          <w:marLeft w:val="547"/>
          <w:marRight w:val="0"/>
          <w:marTop w:val="86"/>
          <w:marBottom w:val="0"/>
          <w:divBdr>
            <w:top w:val="none" w:sz="0" w:space="0" w:color="auto"/>
            <w:left w:val="none" w:sz="0" w:space="0" w:color="auto"/>
            <w:bottom w:val="none" w:sz="0" w:space="0" w:color="auto"/>
            <w:right w:val="none" w:sz="0" w:space="0" w:color="auto"/>
          </w:divBdr>
        </w:div>
        <w:div w:id="1594246460">
          <w:marLeft w:val="547"/>
          <w:marRight w:val="0"/>
          <w:marTop w:val="86"/>
          <w:marBottom w:val="0"/>
          <w:divBdr>
            <w:top w:val="none" w:sz="0" w:space="0" w:color="auto"/>
            <w:left w:val="none" w:sz="0" w:space="0" w:color="auto"/>
            <w:bottom w:val="none" w:sz="0" w:space="0" w:color="auto"/>
            <w:right w:val="none" w:sz="0" w:space="0" w:color="auto"/>
          </w:divBdr>
        </w:div>
      </w:divsChild>
    </w:div>
    <w:div w:id="876160524">
      <w:bodyDiv w:val="1"/>
      <w:marLeft w:val="0"/>
      <w:marRight w:val="0"/>
      <w:marTop w:val="0"/>
      <w:marBottom w:val="0"/>
      <w:divBdr>
        <w:top w:val="none" w:sz="0" w:space="0" w:color="auto"/>
        <w:left w:val="none" w:sz="0" w:space="0" w:color="auto"/>
        <w:bottom w:val="none" w:sz="0" w:space="0" w:color="auto"/>
        <w:right w:val="none" w:sz="0" w:space="0" w:color="auto"/>
      </w:divBdr>
    </w:div>
    <w:div w:id="985399369">
      <w:bodyDiv w:val="1"/>
      <w:marLeft w:val="0"/>
      <w:marRight w:val="0"/>
      <w:marTop w:val="0"/>
      <w:marBottom w:val="0"/>
      <w:divBdr>
        <w:top w:val="none" w:sz="0" w:space="0" w:color="auto"/>
        <w:left w:val="none" w:sz="0" w:space="0" w:color="auto"/>
        <w:bottom w:val="none" w:sz="0" w:space="0" w:color="auto"/>
        <w:right w:val="none" w:sz="0" w:space="0" w:color="auto"/>
      </w:divBdr>
    </w:div>
    <w:div w:id="1227836780">
      <w:bodyDiv w:val="1"/>
      <w:marLeft w:val="0"/>
      <w:marRight w:val="0"/>
      <w:marTop w:val="0"/>
      <w:marBottom w:val="0"/>
      <w:divBdr>
        <w:top w:val="none" w:sz="0" w:space="0" w:color="auto"/>
        <w:left w:val="none" w:sz="0" w:space="0" w:color="auto"/>
        <w:bottom w:val="none" w:sz="0" w:space="0" w:color="auto"/>
        <w:right w:val="none" w:sz="0" w:space="0" w:color="auto"/>
      </w:divBdr>
    </w:div>
    <w:div w:id="1290933265">
      <w:bodyDiv w:val="1"/>
      <w:marLeft w:val="0"/>
      <w:marRight w:val="0"/>
      <w:marTop w:val="0"/>
      <w:marBottom w:val="0"/>
      <w:divBdr>
        <w:top w:val="none" w:sz="0" w:space="0" w:color="auto"/>
        <w:left w:val="none" w:sz="0" w:space="0" w:color="auto"/>
        <w:bottom w:val="none" w:sz="0" w:space="0" w:color="auto"/>
        <w:right w:val="none" w:sz="0" w:space="0" w:color="auto"/>
      </w:divBdr>
    </w:div>
    <w:div w:id="1322931751">
      <w:bodyDiv w:val="1"/>
      <w:marLeft w:val="0"/>
      <w:marRight w:val="0"/>
      <w:marTop w:val="0"/>
      <w:marBottom w:val="0"/>
      <w:divBdr>
        <w:top w:val="none" w:sz="0" w:space="0" w:color="auto"/>
        <w:left w:val="none" w:sz="0" w:space="0" w:color="auto"/>
        <w:bottom w:val="none" w:sz="0" w:space="0" w:color="auto"/>
        <w:right w:val="none" w:sz="0" w:space="0" w:color="auto"/>
      </w:divBdr>
    </w:div>
    <w:div w:id="1433629542">
      <w:bodyDiv w:val="1"/>
      <w:marLeft w:val="0"/>
      <w:marRight w:val="0"/>
      <w:marTop w:val="0"/>
      <w:marBottom w:val="0"/>
      <w:divBdr>
        <w:top w:val="none" w:sz="0" w:space="0" w:color="auto"/>
        <w:left w:val="none" w:sz="0" w:space="0" w:color="auto"/>
        <w:bottom w:val="none" w:sz="0" w:space="0" w:color="auto"/>
        <w:right w:val="none" w:sz="0" w:space="0" w:color="auto"/>
      </w:divBdr>
    </w:div>
    <w:div w:id="1638954415">
      <w:bodyDiv w:val="1"/>
      <w:marLeft w:val="0"/>
      <w:marRight w:val="0"/>
      <w:marTop w:val="0"/>
      <w:marBottom w:val="0"/>
      <w:divBdr>
        <w:top w:val="none" w:sz="0" w:space="0" w:color="auto"/>
        <w:left w:val="none" w:sz="0" w:space="0" w:color="auto"/>
        <w:bottom w:val="none" w:sz="0" w:space="0" w:color="auto"/>
        <w:right w:val="none" w:sz="0" w:space="0" w:color="auto"/>
      </w:divBdr>
    </w:div>
    <w:div w:id="20152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rris@r-e-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2</cp:revision>
  <dcterms:created xsi:type="dcterms:W3CDTF">2020-10-29T10:31:00Z</dcterms:created>
  <dcterms:modified xsi:type="dcterms:W3CDTF">2020-10-29T10:31:00Z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