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FDBBF" w14:textId="77777777" w:rsidR="001A1146" w:rsidRPr="00EC3083" w:rsidRDefault="001A1146" w:rsidP="001A1146">
      <w:pPr>
        <w:jc w:val="center"/>
        <w:rPr>
          <w:rFonts w:ascii="Open Sans" w:hAnsi="Open Sans" w:cs="Open Sans"/>
          <w:b/>
          <w:bCs/>
          <w:color w:val="06926B"/>
          <w:sz w:val="32"/>
          <w:szCs w:val="32"/>
        </w:rPr>
      </w:pPr>
    </w:p>
    <w:p w14:paraId="5E9EA4FB" w14:textId="77777777" w:rsidR="001A1146" w:rsidRPr="00EC3083" w:rsidRDefault="001A1146" w:rsidP="001A1146">
      <w:pPr>
        <w:jc w:val="center"/>
        <w:rPr>
          <w:rFonts w:ascii="Open Sans" w:hAnsi="Open Sans" w:cs="Open Sans"/>
          <w:b/>
          <w:bCs/>
          <w:color w:val="06926B"/>
          <w:sz w:val="32"/>
          <w:szCs w:val="32"/>
        </w:rPr>
      </w:pPr>
    </w:p>
    <w:p w14:paraId="08B4CC47" w14:textId="63745254" w:rsidR="001A1146" w:rsidRPr="00EC3083" w:rsidRDefault="001A1146" w:rsidP="001A1146">
      <w:pPr>
        <w:pStyle w:val="Title"/>
        <w:jc w:val="center"/>
        <w:rPr>
          <w:rFonts w:ascii="Open Sans" w:hAnsi="Open Sans" w:cs="Open Sans"/>
          <w:sz w:val="52"/>
          <w:szCs w:val="52"/>
        </w:rPr>
      </w:pPr>
      <w:r w:rsidRPr="00EC3083">
        <w:rPr>
          <w:rFonts w:ascii="Open Sans" w:eastAsiaTheme="minorHAnsi" w:hAnsi="Open Sans" w:cs="Open Sans"/>
          <w:b/>
          <w:bCs/>
          <w:color w:val="06926B"/>
          <w:spacing w:val="0"/>
          <w:kern w:val="0"/>
          <w:sz w:val="32"/>
          <w:szCs w:val="32"/>
        </w:rPr>
        <w:t xml:space="preserve">The case for fair tax treatment and temporary grant support for Home </w:t>
      </w:r>
      <w:r w:rsidR="002F33B3">
        <w:rPr>
          <w:rFonts w:ascii="Open Sans" w:eastAsiaTheme="minorHAnsi" w:hAnsi="Open Sans" w:cs="Open Sans"/>
          <w:b/>
          <w:bCs/>
          <w:color w:val="06926B"/>
          <w:spacing w:val="0"/>
          <w:kern w:val="0"/>
          <w:sz w:val="32"/>
          <w:szCs w:val="32"/>
        </w:rPr>
        <w:t>Electricity</w:t>
      </w:r>
      <w:r w:rsidR="002F33B3" w:rsidRPr="00EC3083">
        <w:rPr>
          <w:rFonts w:ascii="Open Sans" w:eastAsiaTheme="minorHAnsi" w:hAnsi="Open Sans" w:cs="Open Sans"/>
          <w:b/>
          <w:bCs/>
          <w:color w:val="06926B"/>
          <w:spacing w:val="0"/>
          <w:kern w:val="0"/>
          <w:sz w:val="32"/>
          <w:szCs w:val="32"/>
        </w:rPr>
        <w:t xml:space="preserve"> </w:t>
      </w:r>
      <w:r w:rsidRPr="00EC3083">
        <w:rPr>
          <w:rFonts w:ascii="Open Sans" w:eastAsiaTheme="minorHAnsi" w:hAnsi="Open Sans" w:cs="Open Sans"/>
          <w:b/>
          <w:bCs/>
          <w:color w:val="06926B"/>
          <w:spacing w:val="0"/>
          <w:kern w:val="0"/>
          <w:sz w:val="32"/>
          <w:szCs w:val="32"/>
        </w:rPr>
        <w:t>Storage: supporting Green Jobs and Net Zero</w:t>
      </w:r>
    </w:p>
    <w:p w14:paraId="06315EB6" w14:textId="27605DCF" w:rsidR="000458F7" w:rsidRPr="00EC3083" w:rsidRDefault="000458F7" w:rsidP="001A1146">
      <w:pPr>
        <w:jc w:val="center"/>
        <w:rPr>
          <w:rFonts w:ascii="Open Sans" w:hAnsi="Open Sans" w:cs="Open Sans"/>
        </w:rPr>
      </w:pPr>
    </w:p>
    <w:p w14:paraId="36FB9A8D" w14:textId="396A3583" w:rsidR="001A1146" w:rsidRPr="00EC3083" w:rsidRDefault="001A1146" w:rsidP="001A1146">
      <w:pPr>
        <w:jc w:val="center"/>
        <w:rPr>
          <w:rFonts w:ascii="Open Sans" w:hAnsi="Open Sans" w:cs="Open Sans"/>
        </w:rPr>
      </w:pPr>
      <w:r w:rsidRPr="00EC3083">
        <w:rPr>
          <w:rFonts w:ascii="Open Sans" w:hAnsi="Open Sans" w:cs="Open Sans"/>
        </w:rPr>
        <w:t xml:space="preserve">Prepared by the REA’s Energy Storage Forum – VAT </w:t>
      </w:r>
      <w:r w:rsidR="0043493A">
        <w:rPr>
          <w:rFonts w:ascii="Open Sans" w:hAnsi="Open Sans" w:cs="Open Sans"/>
        </w:rPr>
        <w:t xml:space="preserve">&amp; </w:t>
      </w:r>
      <w:r w:rsidR="00F9124C">
        <w:rPr>
          <w:rFonts w:ascii="Open Sans" w:hAnsi="Open Sans" w:cs="Open Sans"/>
        </w:rPr>
        <w:t>d</w:t>
      </w:r>
      <w:r w:rsidR="0043493A">
        <w:rPr>
          <w:rFonts w:ascii="Open Sans" w:hAnsi="Open Sans" w:cs="Open Sans"/>
        </w:rPr>
        <w:t xml:space="preserve">omestic </w:t>
      </w:r>
      <w:r w:rsidR="00F9124C">
        <w:rPr>
          <w:rFonts w:ascii="Open Sans" w:hAnsi="Open Sans" w:cs="Open Sans"/>
        </w:rPr>
        <w:t>electricity s</w:t>
      </w:r>
      <w:r w:rsidR="0043493A">
        <w:rPr>
          <w:rFonts w:ascii="Open Sans" w:hAnsi="Open Sans" w:cs="Open Sans"/>
        </w:rPr>
        <w:t xml:space="preserve">torage </w:t>
      </w:r>
      <w:r w:rsidRPr="00EC3083">
        <w:rPr>
          <w:rFonts w:ascii="Open Sans" w:hAnsi="Open Sans" w:cs="Open Sans"/>
        </w:rPr>
        <w:t>working group</w:t>
      </w:r>
    </w:p>
    <w:p w14:paraId="0262A155" w14:textId="1F660429" w:rsidR="001A1146" w:rsidRPr="00EC3083" w:rsidRDefault="001A1146" w:rsidP="001A1146">
      <w:pPr>
        <w:jc w:val="center"/>
        <w:rPr>
          <w:rFonts w:ascii="Open Sans" w:hAnsi="Open Sans" w:cs="Open Sans"/>
        </w:rPr>
      </w:pPr>
      <w:r w:rsidRPr="00EC3083">
        <w:rPr>
          <w:rFonts w:ascii="Open Sans" w:hAnsi="Open Sans" w:cs="Open Sans"/>
        </w:rPr>
        <w:t xml:space="preserve">As of </w:t>
      </w:r>
      <w:r w:rsidR="001B0787">
        <w:rPr>
          <w:rFonts w:ascii="Open Sans" w:hAnsi="Open Sans" w:cs="Open Sans"/>
        </w:rPr>
        <w:t>6</w:t>
      </w:r>
      <w:r w:rsidRPr="00EC3083">
        <w:rPr>
          <w:rFonts w:ascii="Open Sans" w:hAnsi="Open Sans" w:cs="Open Sans"/>
          <w:vertAlign w:val="superscript"/>
        </w:rPr>
        <w:t>th</w:t>
      </w:r>
      <w:r w:rsidRPr="00EC3083">
        <w:rPr>
          <w:rFonts w:ascii="Open Sans" w:hAnsi="Open Sans" w:cs="Open Sans"/>
        </w:rPr>
        <w:t xml:space="preserve"> </w:t>
      </w:r>
      <w:r w:rsidR="00D77173">
        <w:rPr>
          <w:rFonts w:ascii="Open Sans" w:hAnsi="Open Sans" w:cs="Open Sans"/>
        </w:rPr>
        <w:t>Octob</w:t>
      </w:r>
      <w:r w:rsidR="00D77173" w:rsidRPr="00EC3083">
        <w:rPr>
          <w:rFonts w:ascii="Open Sans" w:hAnsi="Open Sans" w:cs="Open Sans"/>
        </w:rPr>
        <w:t xml:space="preserve">er </w:t>
      </w:r>
      <w:r w:rsidRPr="00EC3083">
        <w:rPr>
          <w:rFonts w:ascii="Open Sans" w:hAnsi="Open Sans" w:cs="Open Sans"/>
        </w:rPr>
        <w:t>2020</w:t>
      </w:r>
    </w:p>
    <w:p w14:paraId="45954F80" w14:textId="43820BAD" w:rsidR="001A1146" w:rsidRPr="00EC3083" w:rsidRDefault="001A1146" w:rsidP="001A1146">
      <w:pPr>
        <w:jc w:val="center"/>
        <w:rPr>
          <w:rFonts w:ascii="Open Sans" w:hAnsi="Open Sans" w:cs="Open Sans"/>
        </w:rPr>
      </w:pPr>
      <w:r w:rsidRPr="00EC3083">
        <w:rPr>
          <w:rFonts w:ascii="Open Sans" w:hAnsi="Open Sans" w:cs="Open Sans"/>
        </w:rPr>
        <w:t xml:space="preserve">With questions, contact Isobel Morris, Policy Analyst at the REA – </w:t>
      </w:r>
      <w:hyperlink r:id="rId8" w:history="1">
        <w:r w:rsidRPr="00EC3083">
          <w:rPr>
            <w:rStyle w:val="Hyperlink"/>
            <w:rFonts w:ascii="Open Sans" w:hAnsi="Open Sans" w:cs="Open Sans"/>
          </w:rPr>
          <w:t>imorris@r-e-a.net</w:t>
        </w:r>
      </w:hyperlink>
      <w:r w:rsidRPr="00EC3083">
        <w:rPr>
          <w:rFonts w:ascii="Open Sans" w:hAnsi="Open Sans" w:cs="Open Sans"/>
        </w:rPr>
        <w:t xml:space="preserve"> </w:t>
      </w:r>
    </w:p>
    <w:p w14:paraId="76BB1A33" w14:textId="3C8F98EC" w:rsidR="00994A3B" w:rsidRPr="00EC3083" w:rsidRDefault="00994A3B" w:rsidP="001A1146">
      <w:pPr>
        <w:jc w:val="center"/>
        <w:rPr>
          <w:rFonts w:ascii="Open Sans" w:hAnsi="Open Sans" w:cs="Open Sans"/>
        </w:rPr>
      </w:pPr>
      <w:bookmarkStart w:id="0" w:name="_Toc44681834"/>
      <w:r w:rsidRPr="00EC3083">
        <w:rPr>
          <w:rFonts w:ascii="Open Sans" w:hAnsi="Open Sans" w:cs="Open Sans"/>
          <w:b/>
          <w:bCs/>
        </w:rPr>
        <w:t>For the attention of:</w:t>
      </w:r>
      <w:r w:rsidRPr="00EC3083">
        <w:rPr>
          <w:rFonts w:ascii="Open Sans" w:hAnsi="Open Sans" w:cs="Open Sans"/>
        </w:rPr>
        <w:t xml:space="preserve"> BEIS Storage Team</w:t>
      </w:r>
      <w:r w:rsidR="006932D7">
        <w:rPr>
          <w:rFonts w:ascii="Open Sans" w:hAnsi="Open Sans" w:cs="Open Sans"/>
        </w:rPr>
        <w:t>, BEIS Green Homes Grant team, HM Treasury, and Ministry of Housing, Communities and Local Government</w:t>
      </w:r>
    </w:p>
    <w:p w14:paraId="25A95C35" w14:textId="77777777" w:rsidR="001A1146" w:rsidRPr="00EC3083" w:rsidRDefault="001A1146" w:rsidP="00994A3B">
      <w:pPr>
        <w:rPr>
          <w:rFonts w:ascii="Open Sans" w:hAnsi="Open Sans" w:cs="Open Sans"/>
        </w:rPr>
      </w:pPr>
    </w:p>
    <w:p w14:paraId="537C5E9F" w14:textId="77777777" w:rsidR="00994A3B" w:rsidRPr="00EC3083" w:rsidRDefault="00994A3B" w:rsidP="00994A3B">
      <w:pPr>
        <w:rPr>
          <w:rFonts w:ascii="Open Sans" w:hAnsi="Open Sans" w:cs="Open Sans"/>
        </w:rPr>
      </w:pPr>
    </w:p>
    <w:bookmarkEnd w:id="0"/>
    <w:p w14:paraId="0523E283" w14:textId="77777777" w:rsidR="001A1146" w:rsidRPr="00EC3083" w:rsidRDefault="001A1146" w:rsidP="00445778">
      <w:pPr>
        <w:jc w:val="both"/>
        <w:rPr>
          <w:rFonts w:ascii="Open Sans" w:hAnsi="Open Sans" w:cs="Open Sans"/>
          <w:b/>
          <w:bCs/>
          <w:color w:val="06926B"/>
          <w:sz w:val="32"/>
          <w:szCs w:val="32"/>
        </w:rPr>
      </w:pPr>
    </w:p>
    <w:p w14:paraId="68AEE29F" w14:textId="77777777" w:rsidR="001A1146" w:rsidRPr="00EC3083" w:rsidRDefault="001A1146" w:rsidP="00445778">
      <w:pPr>
        <w:jc w:val="both"/>
        <w:rPr>
          <w:rFonts w:ascii="Open Sans" w:hAnsi="Open Sans" w:cs="Open Sans"/>
          <w:b/>
          <w:bCs/>
          <w:color w:val="06926B"/>
          <w:sz w:val="32"/>
          <w:szCs w:val="32"/>
        </w:rPr>
      </w:pPr>
    </w:p>
    <w:p w14:paraId="564B253C" w14:textId="77777777" w:rsidR="001A1146" w:rsidRPr="00EC3083" w:rsidRDefault="001A1146" w:rsidP="00445778">
      <w:pPr>
        <w:jc w:val="both"/>
        <w:rPr>
          <w:rFonts w:ascii="Open Sans" w:hAnsi="Open Sans" w:cs="Open Sans"/>
          <w:b/>
          <w:bCs/>
          <w:color w:val="06926B"/>
          <w:sz w:val="32"/>
          <w:szCs w:val="32"/>
        </w:rPr>
      </w:pPr>
    </w:p>
    <w:p w14:paraId="09630374" w14:textId="77777777" w:rsidR="001A1146" w:rsidRPr="00EC3083" w:rsidRDefault="001A1146" w:rsidP="00445778">
      <w:pPr>
        <w:jc w:val="both"/>
        <w:rPr>
          <w:rFonts w:ascii="Open Sans" w:hAnsi="Open Sans" w:cs="Open Sans"/>
          <w:b/>
          <w:bCs/>
          <w:color w:val="06926B"/>
          <w:sz w:val="32"/>
          <w:szCs w:val="32"/>
        </w:rPr>
      </w:pPr>
    </w:p>
    <w:p w14:paraId="2454D658" w14:textId="77777777" w:rsidR="001A1146" w:rsidRPr="00EC3083" w:rsidRDefault="001A1146" w:rsidP="00445778">
      <w:pPr>
        <w:jc w:val="both"/>
        <w:rPr>
          <w:rFonts w:ascii="Open Sans" w:hAnsi="Open Sans" w:cs="Open Sans"/>
          <w:b/>
          <w:bCs/>
          <w:color w:val="06926B"/>
          <w:sz w:val="32"/>
          <w:szCs w:val="32"/>
        </w:rPr>
      </w:pPr>
    </w:p>
    <w:p w14:paraId="20948446" w14:textId="77777777" w:rsidR="001A1146" w:rsidRPr="00EC3083" w:rsidRDefault="001A1146" w:rsidP="00445778">
      <w:pPr>
        <w:jc w:val="both"/>
        <w:rPr>
          <w:rFonts w:ascii="Open Sans" w:hAnsi="Open Sans" w:cs="Open Sans"/>
          <w:b/>
          <w:bCs/>
          <w:color w:val="06926B"/>
          <w:sz w:val="32"/>
          <w:szCs w:val="32"/>
        </w:rPr>
      </w:pPr>
    </w:p>
    <w:p w14:paraId="1D0784B6" w14:textId="77777777" w:rsidR="001A1146" w:rsidRPr="00EC3083" w:rsidRDefault="001A1146" w:rsidP="00445778">
      <w:pPr>
        <w:jc w:val="both"/>
        <w:rPr>
          <w:rFonts w:ascii="Open Sans" w:hAnsi="Open Sans" w:cs="Open Sans"/>
          <w:b/>
          <w:bCs/>
          <w:color w:val="06926B"/>
          <w:sz w:val="32"/>
          <w:szCs w:val="32"/>
        </w:rPr>
      </w:pPr>
    </w:p>
    <w:p w14:paraId="3B4A2E45" w14:textId="77777777" w:rsidR="001A1146" w:rsidRPr="00EC3083" w:rsidRDefault="001A1146" w:rsidP="00445778">
      <w:pPr>
        <w:jc w:val="both"/>
        <w:rPr>
          <w:rFonts w:ascii="Open Sans" w:hAnsi="Open Sans" w:cs="Open Sans"/>
          <w:b/>
          <w:bCs/>
          <w:color w:val="06926B"/>
          <w:sz w:val="32"/>
          <w:szCs w:val="32"/>
        </w:rPr>
      </w:pPr>
    </w:p>
    <w:p w14:paraId="06D36540" w14:textId="77777777" w:rsidR="001A1146" w:rsidRPr="00EC3083" w:rsidRDefault="001A1146" w:rsidP="00445778">
      <w:pPr>
        <w:jc w:val="both"/>
        <w:rPr>
          <w:rFonts w:ascii="Open Sans" w:hAnsi="Open Sans" w:cs="Open Sans"/>
          <w:b/>
          <w:bCs/>
          <w:color w:val="06926B"/>
          <w:sz w:val="32"/>
          <w:szCs w:val="32"/>
        </w:rPr>
      </w:pPr>
    </w:p>
    <w:p w14:paraId="0A24DC1B" w14:textId="77777777" w:rsidR="001A1146" w:rsidRPr="00EC3083" w:rsidRDefault="001A1146" w:rsidP="00445778">
      <w:pPr>
        <w:jc w:val="both"/>
        <w:rPr>
          <w:rFonts w:ascii="Open Sans" w:hAnsi="Open Sans" w:cs="Open Sans"/>
          <w:b/>
          <w:bCs/>
          <w:color w:val="06926B"/>
          <w:sz w:val="32"/>
          <w:szCs w:val="32"/>
        </w:rPr>
      </w:pPr>
    </w:p>
    <w:p w14:paraId="41143C77" w14:textId="77777777" w:rsidR="001A1146" w:rsidRPr="00EC3083" w:rsidRDefault="001A1146" w:rsidP="00445778">
      <w:pPr>
        <w:jc w:val="both"/>
        <w:rPr>
          <w:rFonts w:ascii="Open Sans" w:hAnsi="Open Sans" w:cs="Open Sans"/>
          <w:b/>
          <w:bCs/>
          <w:color w:val="06926B"/>
          <w:sz w:val="32"/>
          <w:szCs w:val="32"/>
        </w:rPr>
      </w:pPr>
    </w:p>
    <w:p w14:paraId="52C05D04" w14:textId="77777777" w:rsidR="001A1146" w:rsidRPr="00EC3083" w:rsidRDefault="001A1146" w:rsidP="00445778">
      <w:pPr>
        <w:jc w:val="both"/>
        <w:rPr>
          <w:rFonts w:ascii="Open Sans" w:hAnsi="Open Sans" w:cs="Open Sans"/>
          <w:b/>
          <w:bCs/>
          <w:color w:val="06926B"/>
          <w:sz w:val="32"/>
          <w:szCs w:val="32"/>
        </w:rPr>
      </w:pPr>
    </w:p>
    <w:p w14:paraId="5EF240F6" w14:textId="27302D71" w:rsidR="001A1146" w:rsidRPr="00EC3083" w:rsidRDefault="001A1146" w:rsidP="00445778">
      <w:pPr>
        <w:jc w:val="both"/>
        <w:rPr>
          <w:rFonts w:ascii="Open Sans" w:hAnsi="Open Sans" w:cs="Open Sans"/>
          <w:b/>
          <w:bCs/>
          <w:color w:val="06926B"/>
          <w:sz w:val="32"/>
          <w:szCs w:val="32"/>
        </w:rPr>
      </w:pPr>
      <w:r w:rsidRPr="00EC3083">
        <w:rPr>
          <w:rFonts w:ascii="Open Sans" w:hAnsi="Open Sans" w:cs="Open Sans"/>
          <w:b/>
          <w:bCs/>
          <w:color w:val="06926B"/>
          <w:sz w:val="32"/>
          <w:szCs w:val="32"/>
        </w:rPr>
        <w:lastRenderedPageBreak/>
        <w:t xml:space="preserve">Executive Summary </w:t>
      </w:r>
    </w:p>
    <w:p w14:paraId="1536E481" w14:textId="20F9B572" w:rsidR="001A1146" w:rsidRPr="006932D7" w:rsidRDefault="001A1146" w:rsidP="00445778">
      <w:pPr>
        <w:jc w:val="both"/>
        <w:rPr>
          <w:rFonts w:ascii="Open Sans" w:hAnsi="Open Sans" w:cs="Open Sans"/>
          <w:b/>
          <w:bCs/>
        </w:rPr>
      </w:pPr>
      <w:r w:rsidRPr="006932D7">
        <w:rPr>
          <w:rFonts w:ascii="Open Sans" w:hAnsi="Open Sans" w:cs="Open Sans"/>
          <w:b/>
          <w:bCs/>
        </w:rPr>
        <w:t>Key takeaways:</w:t>
      </w:r>
    </w:p>
    <w:p w14:paraId="698CE4D2" w14:textId="3A93C69F" w:rsidR="001A1146" w:rsidRPr="00EC3083" w:rsidRDefault="0013495B" w:rsidP="001A1146">
      <w:pPr>
        <w:pStyle w:val="ListParagraph"/>
        <w:numPr>
          <w:ilvl w:val="0"/>
          <w:numId w:val="22"/>
        </w:numPr>
        <w:jc w:val="both"/>
        <w:rPr>
          <w:rFonts w:ascii="Open Sans" w:hAnsi="Open Sans" w:cs="Open Sans"/>
        </w:rPr>
      </w:pPr>
      <w:r w:rsidRPr="00EC3083">
        <w:rPr>
          <w:rFonts w:ascii="Open Sans" w:hAnsi="Open Sans" w:cs="Open Sans"/>
        </w:rPr>
        <w:t>H</w:t>
      </w:r>
      <w:r w:rsidR="00090707" w:rsidRPr="00EC3083">
        <w:rPr>
          <w:rFonts w:ascii="Open Sans" w:hAnsi="Open Sans" w:cs="Open Sans"/>
        </w:rPr>
        <w:t>ome e</w:t>
      </w:r>
      <w:r w:rsidR="00D47064">
        <w:rPr>
          <w:rFonts w:ascii="Open Sans" w:hAnsi="Open Sans" w:cs="Open Sans"/>
        </w:rPr>
        <w:t>lectricity</w:t>
      </w:r>
      <w:r w:rsidR="00090707" w:rsidRPr="00EC3083">
        <w:rPr>
          <w:rFonts w:ascii="Open Sans" w:hAnsi="Open Sans" w:cs="Open Sans"/>
        </w:rPr>
        <w:t xml:space="preserve"> storage </w:t>
      </w:r>
      <w:r w:rsidR="003158EC" w:rsidRPr="00EC3083">
        <w:rPr>
          <w:rFonts w:ascii="Open Sans" w:hAnsi="Open Sans" w:cs="Open Sans"/>
        </w:rPr>
        <w:t>will be</w:t>
      </w:r>
      <w:r w:rsidRPr="00EC3083">
        <w:rPr>
          <w:rFonts w:ascii="Open Sans" w:hAnsi="Open Sans" w:cs="Open Sans"/>
        </w:rPr>
        <w:t xml:space="preserve"> critical to </w:t>
      </w:r>
      <w:r w:rsidR="003158EC" w:rsidRPr="00EC3083">
        <w:rPr>
          <w:rFonts w:ascii="Open Sans" w:hAnsi="Open Sans" w:cs="Open Sans"/>
        </w:rPr>
        <w:t xml:space="preserve">both </w:t>
      </w:r>
      <w:r w:rsidRPr="00EC3083">
        <w:rPr>
          <w:rFonts w:ascii="Open Sans" w:hAnsi="Open Sans" w:cs="Open Sans"/>
        </w:rPr>
        <w:t>Net Zero</w:t>
      </w:r>
      <w:r w:rsidR="002317E5" w:rsidRPr="00EC3083">
        <w:rPr>
          <w:rFonts w:ascii="Open Sans" w:hAnsi="Open Sans" w:cs="Open Sans"/>
        </w:rPr>
        <w:t xml:space="preserve"> and the Green Recovery</w:t>
      </w:r>
      <w:r w:rsidR="003158EC" w:rsidRPr="00EC3083">
        <w:rPr>
          <w:rFonts w:ascii="Open Sans" w:hAnsi="Open Sans" w:cs="Open Sans"/>
        </w:rPr>
        <w:t>.</w:t>
      </w:r>
      <w:r w:rsidR="001A1146" w:rsidRPr="00EC3083">
        <w:rPr>
          <w:rFonts w:ascii="Open Sans" w:hAnsi="Open Sans" w:cs="Open Sans"/>
        </w:rPr>
        <w:t xml:space="preserve"> </w:t>
      </w:r>
    </w:p>
    <w:p w14:paraId="5768221D" w14:textId="5D85E424" w:rsidR="001A1146" w:rsidRPr="00EC3083" w:rsidRDefault="001A1146" w:rsidP="001A1146">
      <w:pPr>
        <w:pStyle w:val="ListParagraph"/>
        <w:numPr>
          <w:ilvl w:val="0"/>
          <w:numId w:val="22"/>
        </w:numPr>
        <w:jc w:val="both"/>
        <w:rPr>
          <w:rFonts w:ascii="Open Sans" w:hAnsi="Open Sans" w:cs="Open Sans"/>
        </w:rPr>
      </w:pPr>
      <w:r w:rsidRPr="00EC3083">
        <w:rPr>
          <w:rFonts w:ascii="Open Sans" w:hAnsi="Open Sans" w:cs="Open Sans"/>
        </w:rPr>
        <w:t xml:space="preserve">Domestic batteries for both </w:t>
      </w:r>
      <w:r w:rsidR="00F9124C">
        <w:rPr>
          <w:rFonts w:ascii="Open Sans" w:hAnsi="Open Sans" w:cs="Open Sans"/>
        </w:rPr>
        <w:t>the storage of</w:t>
      </w:r>
      <w:r w:rsidRPr="00EC3083">
        <w:rPr>
          <w:rFonts w:ascii="Open Sans" w:hAnsi="Open Sans" w:cs="Open Sans"/>
        </w:rPr>
        <w:t xml:space="preserve"> electricity</w:t>
      </w:r>
      <w:r w:rsidR="00F9124C">
        <w:rPr>
          <w:rFonts w:ascii="Open Sans" w:hAnsi="Open Sans" w:cs="Open Sans"/>
        </w:rPr>
        <w:t>, and for converting electricity into heat,</w:t>
      </w:r>
      <w:r w:rsidR="00632789">
        <w:rPr>
          <w:rFonts w:ascii="Open Sans" w:hAnsi="Open Sans" w:cs="Open Sans"/>
        </w:rPr>
        <w:t xml:space="preserve"> </w:t>
      </w:r>
      <w:r w:rsidRPr="00EC3083">
        <w:rPr>
          <w:rFonts w:ascii="Open Sans" w:hAnsi="Open Sans" w:cs="Open Sans"/>
        </w:rPr>
        <w:t>are enabling technolog</w:t>
      </w:r>
      <w:r w:rsidR="00F9124C">
        <w:rPr>
          <w:rFonts w:ascii="Open Sans" w:hAnsi="Open Sans" w:cs="Open Sans"/>
        </w:rPr>
        <w:t>ies</w:t>
      </w:r>
      <w:r w:rsidRPr="00EC3083">
        <w:rPr>
          <w:rFonts w:ascii="Open Sans" w:hAnsi="Open Sans" w:cs="Open Sans"/>
        </w:rPr>
        <w:t xml:space="preserve"> </w:t>
      </w:r>
      <w:r w:rsidR="00F9124C">
        <w:rPr>
          <w:rFonts w:ascii="Open Sans" w:hAnsi="Open Sans" w:cs="Open Sans"/>
        </w:rPr>
        <w:t>for</w:t>
      </w:r>
      <w:r w:rsidRPr="00EC3083">
        <w:rPr>
          <w:rFonts w:ascii="Open Sans" w:hAnsi="Open Sans" w:cs="Open Sans"/>
        </w:rPr>
        <w:t xml:space="preserve"> solar PV, heat pumps, and electric vehicles in the home which are required for decarbonisation</w:t>
      </w:r>
      <w:r w:rsidR="00997689">
        <w:rPr>
          <w:rFonts w:ascii="Open Sans" w:hAnsi="Open Sans" w:cs="Open Sans"/>
        </w:rPr>
        <w:t>.</w:t>
      </w:r>
    </w:p>
    <w:p w14:paraId="71804810" w14:textId="59EB98F5" w:rsidR="00D47064" w:rsidRPr="00632789" w:rsidRDefault="001A1146" w:rsidP="00D47064">
      <w:pPr>
        <w:pStyle w:val="ListParagraph"/>
        <w:numPr>
          <w:ilvl w:val="0"/>
          <w:numId w:val="22"/>
        </w:numPr>
        <w:jc w:val="both"/>
        <w:rPr>
          <w:rFonts w:ascii="Open Sans" w:hAnsi="Open Sans" w:cs="Open Sans"/>
        </w:rPr>
      </w:pPr>
      <w:r w:rsidRPr="00EC3083">
        <w:rPr>
          <w:rFonts w:ascii="Open Sans" w:hAnsi="Open Sans" w:cs="Open Sans"/>
        </w:rPr>
        <w:t xml:space="preserve">Battery storage is as a key growth area identified by the Government’s Industrial </w:t>
      </w:r>
      <w:proofErr w:type="gramStart"/>
      <w:r w:rsidRPr="00EC3083">
        <w:rPr>
          <w:rFonts w:ascii="Open Sans" w:hAnsi="Open Sans" w:cs="Open Sans"/>
        </w:rPr>
        <w:t>Strategy, but</w:t>
      </w:r>
      <w:proofErr w:type="gramEnd"/>
      <w:r w:rsidRPr="00EC3083">
        <w:rPr>
          <w:rFonts w:ascii="Open Sans" w:hAnsi="Open Sans" w:cs="Open Sans"/>
        </w:rPr>
        <w:t xml:space="preserve"> has not benefited from any form of grant in the past</w:t>
      </w:r>
      <w:r w:rsidR="00997689">
        <w:rPr>
          <w:rFonts w:ascii="Open Sans" w:hAnsi="Open Sans" w:cs="Open Sans"/>
        </w:rPr>
        <w:t>.</w:t>
      </w:r>
    </w:p>
    <w:p w14:paraId="05681972" w14:textId="3C823D76" w:rsidR="001A1146" w:rsidRPr="00EC3083" w:rsidRDefault="001A1146" w:rsidP="001A1146">
      <w:pPr>
        <w:pStyle w:val="ListParagraph"/>
        <w:numPr>
          <w:ilvl w:val="0"/>
          <w:numId w:val="22"/>
        </w:numPr>
        <w:jc w:val="both"/>
        <w:rPr>
          <w:rFonts w:ascii="Open Sans" w:hAnsi="Open Sans" w:cs="Open Sans"/>
        </w:rPr>
      </w:pPr>
      <w:r w:rsidRPr="00EC3083">
        <w:rPr>
          <w:rFonts w:ascii="Open Sans" w:hAnsi="Open Sans" w:cs="Open Sans"/>
        </w:rPr>
        <w:t>UK falling behind in the development of a domestic battery market, which hampers the emergence of wider home energy software and IP</w:t>
      </w:r>
      <w:r w:rsidR="00997689">
        <w:rPr>
          <w:rFonts w:ascii="Open Sans" w:hAnsi="Open Sans" w:cs="Open Sans"/>
        </w:rPr>
        <w:t>.</w:t>
      </w:r>
    </w:p>
    <w:p w14:paraId="518E803E" w14:textId="6B7CAAF6" w:rsidR="001A1146" w:rsidRPr="00EC3083" w:rsidRDefault="001A1146" w:rsidP="001A1146">
      <w:pPr>
        <w:pStyle w:val="ListParagraph"/>
        <w:numPr>
          <w:ilvl w:val="0"/>
          <w:numId w:val="22"/>
        </w:numPr>
        <w:jc w:val="both"/>
        <w:rPr>
          <w:rFonts w:ascii="Open Sans" w:hAnsi="Open Sans" w:cs="Open Sans"/>
        </w:rPr>
      </w:pPr>
      <w:r w:rsidRPr="00EC3083">
        <w:rPr>
          <w:rFonts w:ascii="Open Sans" w:hAnsi="Open Sans" w:cs="Open Sans"/>
        </w:rPr>
        <w:t>Eventually, reformed electricity markets (e.g. half-hourly settlement) will be able to enable the emergence of this market on a subsidy-free basis but until this is introduced a market failure exists</w:t>
      </w:r>
      <w:r w:rsidR="00997689">
        <w:rPr>
          <w:rFonts w:ascii="Open Sans" w:hAnsi="Open Sans" w:cs="Open Sans"/>
        </w:rPr>
        <w:t>.</w:t>
      </w:r>
    </w:p>
    <w:p w14:paraId="631DD713" w14:textId="748E31B6" w:rsidR="003158EC" w:rsidRDefault="001A1146" w:rsidP="006932D7">
      <w:pPr>
        <w:pStyle w:val="ListParagraph"/>
        <w:numPr>
          <w:ilvl w:val="0"/>
          <w:numId w:val="22"/>
        </w:numPr>
        <w:jc w:val="both"/>
        <w:rPr>
          <w:rFonts w:ascii="Open Sans" w:hAnsi="Open Sans" w:cs="Open Sans"/>
        </w:rPr>
      </w:pPr>
      <w:r w:rsidRPr="00EC3083">
        <w:rPr>
          <w:rFonts w:ascii="Open Sans" w:hAnsi="Open Sans" w:cs="Open Sans"/>
        </w:rPr>
        <w:t>Industry requests urgent support for the sector in the form of VAT reduction and/or inclusion in the Green Homes Grant</w:t>
      </w:r>
      <w:r w:rsidR="004332E7">
        <w:rPr>
          <w:rFonts w:ascii="Open Sans" w:hAnsi="Open Sans" w:cs="Open Sans"/>
        </w:rPr>
        <w:t xml:space="preserve"> (GHG)</w:t>
      </w:r>
      <w:r w:rsidR="00997689">
        <w:rPr>
          <w:rFonts w:ascii="Open Sans" w:hAnsi="Open Sans" w:cs="Open Sans"/>
        </w:rPr>
        <w:t>.</w:t>
      </w:r>
    </w:p>
    <w:p w14:paraId="4B531A86" w14:textId="3F3A4C72" w:rsidR="00D47064" w:rsidRDefault="00D47064" w:rsidP="006932D7">
      <w:pPr>
        <w:pStyle w:val="ListParagraph"/>
        <w:numPr>
          <w:ilvl w:val="0"/>
          <w:numId w:val="22"/>
        </w:numPr>
        <w:jc w:val="both"/>
        <w:rPr>
          <w:rFonts w:ascii="Open Sans" w:hAnsi="Open Sans" w:cs="Open Sans"/>
        </w:rPr>
      </w:pPr>
      <w:r>
        <w:rPr>
          <w:rFonts w:ascii="Open Sans" w:hAnsi="Open Sans" w:cs="Open Sans"/>
        </w:rPr>
        <w:t>Battery storage should be classified as an ‘Energy Saving Material’ in line with solar and low-carbon heat technologies.</w:t>
      </w:r>
    </w:p>
    <w:p w14:paraId="0AC5C6B6" w14:textId="5180C0CB" w:rsidR="00D47064" w:rsidRPr="00EC3083" w:rsidRDefault="00D47064" w:rsidP="006932D7">
      <w:pPr>
        <w:pStyle w:val="ListParagraph"/>
        <w:numPr>
          <w:ilvl w:val="0"/>
          <w:numId w:val="22"/>
        </w:numPr>
        <w:jc w:val="both"/>
        <w:rPr>
          <w:rFonts w:ascii="Open Sans" w:hAnsi="Open Sans" w:cs="Open Sans"/>
        </w:rPr>
      </w:pPr>
      <w:r>
        <w:rPr>
          <w:rFonts w:ascii="Open Sans" w:hAnsi="Open Sans" w:cs="Open Sans"/>
        </w:rPr>
        <w:t>The REA would also support a reduced VAT rate for other ESM and clean technology installations, including low-carbon heat and solar.</w:t>
      </w:r>
    </w:p>
    <w:p w14:paraId="59C5A320" w14:textId="66D686C6" w:rsidR="00A30C14" w:rsidRPr="00EC3083" w:rsidRDefault="003158EC" w:rsidP="003158EC">
      <w:pPr>
        <w:jc w:val="both"/>
        <w:rPr>
          <w:rFonts w:ascii="Open Sans" w:hAnsi="Open Sans" w:cs="Open Sans"/>
        </w:rPr>
      </w:pPr>
      <w:r w:rsidRPr="00EC3083">
        <w:rPr>
          <w:rFonts w:ascii="Open Sans" w:hAnsi="Open Sans" w:cs="Open Sans"/>
        </w:rPr>
        <w:t>The Committee on Climate Change</w:t>
      </w:r>
      <w:r w:rsidR="001A1146" w:rsidRPr="00EC3083">
        <w:rPr>
          <w:rFonts w:ascii="Open Sans" w:hAnsi="Open Sans" w:cs="Open Sans"/>
        </w:rPr>
        <w:t xml:space="preserve"> (CCC)</w:t>
      </w:r>
      <w:r w:rsidRPr="00EC3083">
        <w:rPr>
          <w:rFonts w:ascii="Open Sans" w:hAnsi="Open Sans" w:cs="Open Sans"/>
        </w:rPr>
        <w:t xml:space="preserve"> highlights how achieving Net Zero will be labour intensive and </w:t>
      </w:r>
      <w:r w:rsidR="0085302B" w:rsidRPr="00EC3083">
        <w:rPr>
          <w:rFonts w:ascii="Open Sans" w:hAnsi="Open Sans" w:cs="Open Sans"/>
        </w:rPr>
        <w:t>create</w:t>
      </w:r>
      <w:r w:rsidRPr="00EC3083">
        <w:rPr>
          <w:rFonts w:ascii="Open Sans" w:hAnsi="Open Sans" w:cs="Open Sans"/>
        </w:rPr>
        <w:t xml:space="preserve"> a Net Zero workforce</w:t>
      </w:r>
      <w:r w:rsidR="00A30C14" w:rsidRPr="00EC3083">
        <w:rPr>
          <w:rStyle w:val="EndnoteReference"/>
          <w:rFonts w:ascii="Open Sans" w:hAnsi="Open Sans" w:cs="Open Sans"/>
        </w:rPr>
        <w:endnoteReference w:id="1"/>
      </w:r>
      <w:r w:rsidR="00A30C14" w:rsidRPr="00EC3083">
        <w:rPr>
          <w:rFonts w:ascii="Open Sans" w:hAnsi="Open Sans" w:cs="Open Sans"/>
        </w:rPr>
        <w:t>, which the Local Government Association estimates will include 1.2m high-skilled green jobs nationwide</w:t>
      </w:r>
      <w:r w:rsidR="003D75F6">
        <w:rPr>
          <w:rFonts w:ascii="Open Sans" w:hAnsi="Open Sans" w:cs="Open Sans"/>
        </w:rPr>
        <w:t>.</w:t>
      </w:r>
      <w:r w:rsidR="00A30C14" w:rsidRPr="00EC3083">
        <w:rPr>
          <w:rStyle w:val="EndnoteReference"/>
          <w:rFonts w:ascii="Open Sans" w:hAnsi="Open Sans" w:cs="Open Sans"/>
        </w:rPr>
        <w:endnoteReference w:id="2"/>
      </w:r>
      <w:r w:rsidR="00A30C14" w:rsidRPr="00EC3083">
        <w:rPr>
          <w:rFonts w:ascii="Open Sans" w:hAnsi="Open Sans" w:cs="Open Sans"/>
        </w:rPr>
        <w:t xml:space="preserve"> Within this, the Faraday Institute estimates 78,000 jobs would be created in battery manufacturing and supply chains alone by 2040</w:t>
      </w:r>
      <w:r w:rsidR="00A30C14" w:rsidRPr="00EC3083">
        <w:rPr>
          <w:rStyle w:val="EndnoteReference"/>
          <w:rFonts w:ascii="Open Sans" w:hAnsi="Open Sans" w:cs="Open Sans"/>
        </w:rPr>
        <w:endnoteReference w:id="3"/>
      </w:r>
      <w:r w:rsidR="00A30C14" w:rsidRPr="00EC3083">
        <w:rPr>
          <w:rFonts w:ascii="Open Sans" w:hAnsi="Open Sans" w:cs="Open Sans"/>
        </w:rPr>
        <w:t xml:space="preserve">, and </w:t>
      </w:r>
      <w:bookmarkStart w:id="1" w:name="_Hlk51787475"/>
      <w:r w:rsidR="00A30C14" w:rsidRPr="00EC3083">
        <w:rPr>
          <w:rFonts w:ascii="Open Sans" w:hAnsi="Open Sans" w:cs="Open Sans"/>
        </w:rPr>
        <w:t>the REA finds reforming the tax system to support low carbon homes would help create 66,000-86,000 new jobs</w:t>
      </w:r>
      <w:bookmarkEnd w:id="1"/>
      <w:r w:rsidR="003D75F6">
        <w:rPr>
          <w:rFonts w:ascii="Open Sans" w:hAnsi="Open Sans" w:cs="Open Sans"/>
        </w:rPr>
        <w:t>.</w:t>
      </w:r>
      <w:r w:rsidR="00A30C14" w:rsidRPr="00EC3083">
        <w:rPr>
          <w:rStyle w:val="EndnoteReference"/>
          <w:rFonts w:ascii="Open Sans" w:hAnsi="Open Sans" w:cs="Open Sans"/>
        </w:rPr>
        <w:endnoteReference w:id="4"/>
      </w:r>
      <w:r w:rsidR="00A30C14" w:rsidRPr="00EC3083">
        <w:rPr>
          <w:rFonts w:ascii="Open Sans" w:hAnsi="Open Sans" w:cs="Open Sans"/>
        </w:rPr>
        <w:t xml:space="preserve"> However, strong markets and support at the consumer level is needed to drive demand to achieve these figures.</w:t>
      </w:r>
      <w:r w:rsidR="00D47064">
        <w:rPr>
          <w:rFonts w:ascii="Open Sans" w:hAnsi="Open Sans" w:cs="Open Sans"/>
        </w:rPr>
        <w:t xml:space="preserve"> The REA would also support a reduced VAT rate and further VAT exemptions for other Energy Savings Materials (ESM) and clean technologies, including low-carbon heat and solar, though the focus of this paper is home electricity storage.</w:t>
      </w:r>
    </w:p>
    <w:p w14:paraId="3958E718" w14:textId="21282C13" w:rsidR="00A30C14" w:rsidRPr="00EC3083" w:rsidRDefault="00A30C14" w:rsidP="00445778">
      <w:pPr>
        <w:jc w:val="both"/>
        <w:rPr>
          <w:rFonts w:ascii="Open Sans" w:hAnsi="Open Sans" w:cs="Open Sans"/>
        </w:rPr>
      </w:pPr>
      <w:r w:rsidRPr="00EC3083">
        <w:rPr>
          <w:rFonts w:ascii="Open Sans" w:hAnsi="Open Sans" w:cs="Open Sans"/>
        </w:rPr>
        <w:t xml:space="preserve">The leading voices cited in this paper, including the CCC, </w:t>
      </w:r>
      <w:r w:rsidR="001A1146" w:rsidRPr="00EC3083">
        <w:rPr>
          <w:rFonts w:ascii="Open Sans" w:hAnsi="Open Sans" w:cs="Open Sans"/>
        </w:rPr>
        <w:t>National Infrastructure Commission (</w:t>
      </w:r>
      <w:r w:rsidRPr="00EC3083">
        <w:rPr>
          <w:rFonts w:ascii="Open Sans" w:hAnsi="Open Sans" w:cs="Open Sans"/>
        </w:rPr>
        <w:t>NIC</w:t>
      </w:r>
      <w:r w:rsidR="001A1146" w:rsidRPr="00EC3083">
        <w:rPr>
          <w:rFonts w:ascii="Open Sans" w:hAnsi="Open Sans" w:cs="Open Sans"/>
        </w:rPr>
        <w:t>)</w:t>
      </w:r>
      <w:r w:rsidRPr="00EC3083">
        <w:rPr>
          <w:rFonts w:ascii="Open Sans" w:hAnsi="Open Sans" w:cs="Open Sans"/>
        </w:rPr>
        <w:t xml:space="preserve">, National Grid, Imperial College and </w:t>
      </w:r>
      <w:r w:rsidR="001A1146" w:rsidRPr="00EC3083">
        <w:rPr>
          <w:rFonts w:ascii="Open Sans" w:hAnsi="Open Sans" w:cs="Open Sans"/>
        </w:rPr>
        <w:t>Bloomberg New Energy Finance (</w:t>
      </w:r>
      <w:r w:rsidRPr="00EC3083">
        <w:rPr>
          <w:rFonts w:ascii="Open Sans" w:hAnsi="Open Sans" w:cs="Open Sans"/>
        </w:rPr>
        <w:t>BNEF</w:t>
      </w:r>
      <w:r w:rsidR="001A1146" w:rsidRPr="00EC3083">
        <w:rPr>
          <w:rFonts w:ascii="Open Sans" w:hAnsi="Open Sans" w:cs="Open Sans"/>
        </w:rPr>
        <w:t>)</w:t>
      </w:r>
      <w:r w:rsidRPr="00EC3083">
        <w:rPr>
          <w:rFonts w:ascii="Open Sans" w:hAnsi="Open Sans" w:cs="Open Sans"/>
        </w:rPr>
        <w:t>, all agree that Net Zero cannot be achieved cost effectively without dramatic increases in storage capacity, and specifically that flexibility</w:t>
      </w:r>
      <w:r w:rsidR="001A1146" w:rsidRPr="00EC3083">
        <w:rPr>
          <w:rFonts w:ascii="Open Sans" w:hAnsi="Open Sans" w:cs="Open Sans"/>
        </w:rPr>
        <w:t xml:space="preserve"> at the edge of our electricity networks (e.g. in homes)</w:t>
      </w:r>
      <w:r w:rsidRPr="00EC3083">
        <w:rPr>
          <w:rFonts w:ascii="Open Sans" w:hAnsi="Open Sans" w:cs="Open Sans"/>
        </w:rPr>
        <w:t xml:space="preserve"> is needed in low voltage networks</w:t>
      </w:r>
      <w:r w:rsidR="007A28C0" w:rsidRPr="00EC3083">
        <w:rPr>
          <w:rFonts w:ascii="Open Sans" w:hAnsi="Open Sans" w:cs="Open Sans"/>
        </w:rPr>
        <w:t xml:space="preserve"> as we decarbonise with technologies such as solar PV, heat pumps, and electric vehicles.</w:t>
      </w:r>
      <w:r w:rsidRPr="00EC3083">
        <w:rPr>
          <w:rFonts w:ascii="Open Sans" w:hAnsi="Open Sans" w:cs="Open Sans"/>
        </w:rPr>
        <w:t xml:space="preserve"> Storage provides multiple services including integration and better utilisation of low-cost renewables as well as better utilisation of existing grid infrastructure while reducing the need for expensive upgrades</w:t>
      </w:r>
      <w:r w:rsidR="007A28C0" w:rsidRPr="00EC3083">
        <w:rPr>
          <w:rFonts w:ascii="Open Sans" w:hAnsi="Open Sans" w:cs="Open Sans"/>
        </w:rPr>
        <w:t>.</w:t>
      </w:r>
    </w:p>
    <w:p w14:paraId="19010617" w14:textId="2E8D063F" w:rsidR="007A28C0" w:rsidRPr="00EC3083" w:rsidRDefault="007A28C0" w:rsidP="00445778">
      <w:pPr>
        <w:jc w:val="both"/>
        <w:rPr>
          <w:rFonts w:ascii="Open Sans" w:hAnsi="Open Sans" w:cs="Open Sans"/>
        </w:rPr>
      </w:pPr>
      <w:r w:rsidRPr="00EC3083">
        <w:rPr>
          <w:rFonts w:ascii="Open Sans" w:hAnsi="Open Sans" w:cs="Open Sans"/>
        </w:rPr>
        <w:t xml:space="preserve">As the costs for domestic storage decline, and market-based incentives such as half-hourly metering and ‘flexibility markets’ from electricity networks emerge, industry expects the development of a strong subsidy-free market. However, these reforms are taking time to implement </w:t>
      </w:r>
      <w:r w:rsidR="00EC3083" w:rsidRPr="00EC3083">
        <w:rPr>
          <w:rFonts w:ascii="Open Sans" w:hAnsi="Open Sans" w:cs="Open Sans"/>
        </w:rPr>
        <w:t xml:space="preserve">resulting in </w:t>
      </w:r>
      <w:r w:rsidRPr="00EC3083">
        <w:rPr>
          <w:rFonts w:ascii="Open Sans" w:hAnsi="Open Sans" w:cs="Open Sans"/>
        </w:rPr>
        <w:t>the UK</w:t>
      </w:r>
      <w:r w:rsidR="00EC3083" w:rsidRPr="00EC3083">
        <w:rPr>
          <w:rFonts w:ascii="Open Sans" w:hAnsi="Open Sans" w:cs="Open Sans"/>
        </w:rPr>
        <w:t>’s domestic storage market</w:t>
      </w:r>
      <w:r w:rsidRPr="00EC3083">
        <w:rPr>
          <w:rFonts w:ascii="Open Sans" w:hAnsi="Open Sans" w:cs="Open Sans"/>
        </w:rPr>
        <w:t xml:space="preserve"> lagging behind</w:t>
      </w:r>
      <w:r w:rsidR="00EC3083" w:rsidRPr="00EC3083">
        <w:rPr>
          <w:rFonts w:ascii="Open Sans" w:hAnsi="Open Sans" w:cs="Open Sans"/>
        </w:rPr>
        <w:t xml:space="preserve"> that of other </w:t>
      </w:r>
      <w:r w:rsidR="00EC3083" w:rsidRPr="00EC3083">
        <w:rPr>
          <w:rFonts w:ascii="Open Sans" w:hAnsi="Open Sans" w:cs="Open Sans"/>
        </w:rPr>
        <w:lastRenderedPageBreak/>
        <w:t>European and North American countries</w:t>
      </w:r>
      <w:r w:rsidR="006932D7">
        <w:rPr>
          <w:rFonts w:ascii="Open Sans" w:hAnsi="Open Sans" w:cs="Open Sans"/>
        </w:rPr>
        <w:t>. Many countries have also used subsidy schemes to kickstart the market</w:t>
      </w:r>
    </w:p>
    <w:p w14:paraId="61EF23F4" w14:textId="31F26EB1" w:rsidR="00A30C14" w:rsidRPr="00EC3083" w:rsidRDefault="00A30C14" w:rsidP="000B7BC7">
      <w:pPr>
        <w:jc w:val="both"/>
        <w:rPr>
          <w:rFonts w:ascii="Open Sans" w:hAnsi="Open Sans" w:cs="Open Sans"/>
        </w:rPr>
      </w:pPr>
      <w:r w:rsidRPr="00EC3083">
        <w:rPr>
          <w:rFonts w:ascii="Open Sans" w:hAnsi="Open Sans" w:cs="Open Sans"/>
        </w:rPr>
        <w:t>Considering these opportunities</w:t>
      </w:r>
      <w:r w:rsidR="003D75F6">
        <w:rPr>
          <w:rFonts w:ascii="Open Sans" w:hAnsi="Open Sans" w:cs="Open Sans"/>
        </w:rPr>
        <w:t>,</w:t>
      </w:r>
      <w:r w:rsidRPr="00EC3083">
        <w:rPr>
          <w:rFonts w:ascii="Open Sans" w:hAnsi="Open Sans" w:cs="Open Sans"/>
        </w:rPr>
        <w:t xml:space="preserve"> the UK should and could be global leader in this sector. </w:t>
      </w:r>
      <w:r w:rsidR="00EC3083" w:rsidRPr="00EC3083">
        <w:rPr>
          <w:rFonts w:ascii="Open Sans" w:hAnsi="Open Sans" w:cs="Open Sans"/>
        </w:rPr>
        <w:t>Instead,</w:t>
      </w:r>
      <w:r w:rsidRPr="00EC3083">
        <w:rPr>
          <w:rFonts w:ascii="Open Sans" w:hAnsi="Open Sans" w:cs="Open Sans"/>
        </w:rPr>
        <w:t xml:space="preserve"> </w:t>
      </w:r>
      <w:r w:rsidR="00EC3083" w:rsidRPr="00EC3083">
        <w:rPr>
          <w:rFonts w:ascii="Open Sans" w:hAnsi="Open Sans" w:cs="Open Sans"/>
        </w:rPr>
        <w:t xml:space="preserve">we are </w:t>
      </w:r>
      <w:r w:rsidRPr="00EC3083">
        <w:rPr>
          <w:rFonts w:ascii="Open Sans" w:hAnsi="Open Sans" w:cs="Open Sans"/>
        </w:rPr>
        <w:t>constrained by market failures and</w:t>
      </w:r>
      <w:r w:rsidR="00EC3083" w:rsidRPr="00EC3083">
        <w:rPr>
          <w:rFonts w:ascii="Open Sans" w:hAnsi="Open Sans" w:cs="Open Sans"/>
        </w:rPr>
        <w:t>,</w:t>
      </w:r>
      <w:r w:rsidRPr="00EC3083">
        <w:rPr>
          <w:rFonts w:ascii="Open Sans" w:hAnsi="Open Sans" w:cs="Open Sans"/>
        </w:rPr>
        <w:t xml:space="preserve"> due to the need to comply with EU rules</w:t>
      </w:r>
      <w:r w:rsidR="00EC3083" w:rsidRPr="00EC3083">
        <w:rPr>
          <w:rFonts w:ascii="Open Sans" w:hAnsi="Open Sans" w:cs="Open Sans"/>
        </w:rPr>
        <w:t>,</w:t>
      </w:r>
      <w:r w:rsidRPr="00EC3083">
        <w:rPr>
          <w:rFonts w:ascii="Open Sans" w:hAnsi="Open Sans" w:cs="Open Sans"/>
        </w:rPr>
        <w:t xml:space="preserve"> the UK increased VAT on</w:t>
      </w:r>
      <w:r w:rsidR="00EC3083" w:rsidRPr="00EC3083">
        <w:rPr>
          <w:rFonts w:ascii="Open Sans" w:hAnsi="Open Sans" w:cs="Open Sans"/>
        </w:rPr>
        <w:t xml:space="preserve"> domestic e</w:t>
      </w:r>
      <w:r w:rsidR="009F4F45">
        <w:rPr>
          <w:rFonts w:ascii="Open Sans" w:hAnsi="Open Sans" w:cs="Open Sans"/>
        </w:rPr>
        <w:t>lectricit</w:t>
      </w:r>
      <w:r w:rsidR="00EC3083" w:rsidRPr="00EC3083">
        <w:rPr>
          <w:rFonts w:ascii="Open Sans" w:hAnsi="Open Sans" w:cs="Open Sans"/>
        </w:rPr>
        <w:t>y</w:t>
      </w:r>
      <w:r w:rsidRPr="00EC3083">
        <w:rPr>
          <w:rFonts w:ascii="Open Sans" w:hAnsi="Open Sans" w:cs="Open Sans"/>
        </w:rPr>
        <w:t xml:space="preserve"> storage in 2019.</w:t>
      </w:r>
      <w:r w:rsidR="00EC3083" w:rsidRPr="00EC3083">
        <w:rPr>
          <w:rFonts w:ascii="Open Sans" w:hAnsi="Open Sans" w:cs="Open Sans"/>
        </w:rPr>
        <w:t xml:space="preserve"> E</w:t>
      </w:r>
      <w:r w:rsidR="009F4F45">
        <w:rPr>
          <w:rFonts w:ascii="Open Sans" w:hAnsi="Open Sans" w:cs="Open Sans"/>
        </w:rPr>
        <w:t>lectricity</w:t>
      </w:r>
      <w:r w:rsidR="00EC3083" w:rsidRPr="00EC3083">
        <w:rPr>
          <w:rFonts w:ascii="Open Sans" w:hAnsi="Open Sans" w:cs="Open Sans"/>
        </w:rPr>
        <w:t xml:space="preserve"> storage has to date not benefitted from any form of direct government subsidy (akin to the Feed-in Tariff for solar PV) and the time is now for Government to step in and jump-start this crucial industrial segment.</w:t>
      </w:r>
      <w:r w:rsidRPr="00EC3083">
        <w:rPr>
          <w:rFonts w:ascii="Open Sans" w:hAnsi="Open Sans" w:cs="Open Sans"/>
        </w:rPr>
        <w:t xml:space="preserve"> </w:t>
      </w:r>
    </w:p>
    <w:p w14:paraId="1801F7B0" w14:textId="3C8D5ADC" w:rsidR="00EC3083" w:rsidRPr="00EC3083" w:rsidRDefault="00EC3083" w:rsidP="00445778">
      <w:pPr>
        <w:jc w:val="both"/>
        <w:rPr>
          <w:rFonts w:ascii="Open Sans" w:hAnsi="Open Sans" w:cs="Open Sans"/>
        </w:rPr>
      </w:pPr>
      <w:r w:rsidRPr="00EC3083">
        <w:rPr>
          <w:rFonts w:ascii="Open Sans" w:hAnsi="Open Sans" w:cs="Open Sans"/>
        </w:rPr>
        <w:t xml:space="preserve">In this paper we </w:t>
      </w:r>
      <w:r w:rsidR="00A30C14" w:rsidRPr="00EC3083">
        <w:rPr>
          <w:rFonts w:ascii="Open Sans" w:hAnsi="Open Sans" w:cs="Open Sans"/>
        </w:rPr>
        <w:t>describe key distortions and barriers for home e</w:t>
      </w:r>
      <w:r w:rsidR="009F4F45">
        <w:rPr>
          <w:rFonts w:ascii="Open Sans" w:hAnsi="Open Sans" w:cs="Open Sans"/>
        </w:rPr>
        <w:t>lectricit</w:t>
      </w:r>
      <w:r w:rsidR="00A30C14" w:rsidRPr="00EC3083">
        <w:rPr>
          <w:rFonts w:ascii="Open Sans" w:hAnsi="Open Sans" w:cs="Open Sans"/>
        </w:rPr>
        <w:t xml:space="preserve">y storage and provide suggestions on how to address these within the Covid-19 green recovery package. </w:t>
      </w:r>
    </w:p>
    <w:p w14:paraId="2406C8D8" w14:textId="61A87E4B" w:rsidR="00A30C14" w:rsidRPr="00EC3083" w:rsidRDefault="00A30C14" w:rsidP="00445778">
      <w:pPr>
        <w:jc w:val="both"/>
        <w:rPr>
          <w:rFonts w:ascii="Open Sans" w:hAnsi="Open Sans" w:cs="Open Sans"/>
        </w:rPr>
      </w:pPr>
      <w:r w:rsidRPr="00EC3083">
        <w:rPr>
          <w:rFonts w:ascii="Open Sans" w:hAnsi="Open Sans" w:cs="Open Sans"/>
        </w:rPr>
        <w:t>In summary, we suggest:</w:t>
      </w:r>
    </w:p>
    <w:p w14:paraId="03A836F1" w14:textId="5595D240" w:rsidR="00A30C14" w:rsidRPr="00EC3083" w:rsidRDefault="00CB5059" w:rsidP="00090707">
      <w:pPr>
        <w:pStyle w:val="ListParagraph"/>
        <w:numPr>
          <w:ilvl w:val="0"/>
          <w:numId w:val="13"/>
        </w:numPr>
        <w:jc w:val="both"/>
        <w:rPr>
          <w:rFonts w:ascii="Open Sans" w:hAnsi="Open Sans" w:cs="Open Sans"/>
        </w:rPr>
      </w:pPr>
      <w:r w:rsidRPr="00EC3083">
        <w:rPr>
          <w:rFonts w:ascii="Open Sans" w:hAnsi="Open Sans" w:cs="Open Sans"/>
          <w:b/>
          <w:bCs/>
        </w:rPr>
        <w:t>Low</w:t>
      </w:r>
      <w:r w:rsidR="00A30C14" w:rsidRPr="00EC3083">
        <w:rPr>
          <w:rFonts w:ascii="Open Sans" w:hAnsi="Open Sans" w:cs="Open Sans"/>
          <w:b/>
          <w:bCs/>
        </w:rPr>
        <w:t xml:space="preserve"> rate VAT for home e</w:t>
      </w:r>
      <w:r w:rsidR="009F4F45">
        <w:rPr>
          <w:rFonts w:ascii="Open Sans" w:hAnsi="Open Sans" w:cs="Open Sans"/>
          <w:b/>
          <w:bCs/>
        </w:rPr>
        <w:t>lectricit</w:t>
      </w:r>
      <w:r w:rsidR="00A30C14" w:rsidRPr="00EC3083">
        <w:rPr>
          <w:rFonts w:ascii="Open Sans" w:hAnsi="Open Sans" w:cs="Open Sans"/>
          <w:b/>
          <w:bCs/>
        </w:rPr>
        <w:t>y storage</w:t>
      </w:r>
      <w:r w:rsidR="00A30C14" w:rsidRPr="00EC3083">
        <w:rPr>
          <w:rFonts w:ascii="Open Sans" w:hAnsi="Open Sans" w:cs="Open Sans"/>
        </w:rPr>
        <w:t>, in recognition of its energy and carbon benefits and to put it on</w:t>
      </w:r>
      <w:r w:rsidRPr="00EC3083">
        <w:rPr>
          <w:rFonts w:ascii="Open Sans" w:hAnsi="Open Sans" w:cs="Open Sans"/>
        </w:rPr>
        <w:t xml:space="preserve"> equivalent</w:t>
      </w:r>
      <w:r w:rsidR="00A30C14" w:rsidRPr="00EC3083">
        <w:rPr>
          <w:rFonts w:ascii="Open Sans" w:hAnsi="Open Sans" w:cs="Open Sans"/>
        </w:rPr>
        <w:t xml:space="preserve"> tax treatment </w:t>
      </w:r>
      <w:r w:rsidRPr="00EC3083">
        <w:rPr>
          <w:rFonts w:ascii="Open Sans" w:hAnsi="Open Sans" w:cs="Open Sans"/>
        </w:rPr>
        <w:t>to</w:t>
      </w:r>
      <w:r w:rsidR="00A30C14" w:rsidRPr="00EC3083">
        <w:rPr>
          <w:rFonts w:ascii="Open Sans" w:hAnsi="Open Sans" w:cs="Open Sans"/>
        </w:rPr>
        <w:t xml:space="preserve"> domestic coal, oil and natural gas usage (all 5% VAT)</w:t>
      </w:r>
      <w:r w:rsidR="00997689">
        <w:rPr>
          <w:rFonts w:ascii="Open Sans" w:hAnsi="Open Sans" w:cs="Open Sans"/>
        </w:rPr>
        <w:t>.</w:t>
      </w:r>
    </w:p>
    <w:p w14:paraId="43AE5A61" w14:textId="77777777" w:rsidR="00A30C14" w:rsidRPr="00EC3083" w:rsidRDefault="00A30C14" w:rsidP="00290297">
      <w:pPr>
        <w:pStyle w:val="ListParagraph"/>
        <w:jc w:val="both"/>
        <w:rPr>
          <w:rFonts w:ascii="Open Sans" w:hAnsi="Open Sans" w:cs="Open Sans"/>
        </w:rPr>
      </w:pPr>
    </w:p>
    <w:p w14:paraId="316F2D5B" w14:textId="07BE7CE6" w:rsidR="00A30C14" w:rsidRPr="00EC3083" w:rsidRDefault="00A30C14" w:rsidP="00090707">
      <w:pPr>
        <w:pStyle w:val="ListParagraph"/>
        <w:numPr>
          <w:ilvl w:val="0"/>
          <w:numId w:val="13"/>
        </w:numPr>
        <w:jc w:val="both"/>
        <w:rPr>
          <w:rFonts w:ascii="Open Sans" w:hAnsi="Open Sans" w:cs="Open Sans"/>
        </w:rPr>
      </w:pPr>
      <w:r w:rsidRPr="00EC3083">
        <w:rPr>
          <w:rFonts w:ascii="Open Sans" w:hAnsi="Open Sans" w:cs="Open Sans"/>
          <w:b/>
          <w:bCs/>
        </w:rPr>
        <w:t>A temporary financial incentive for home e</w:t>
      </w:r>
      <w:r w:rsidR="009F4F45">
        <w:rPr>
          <w:rFonts w:ascii="Open Sans" w:hAnsi="Open Sans" w:cs="Open Sans"/>
          <w:b/>
          <w:bCs/>
        </w:rPr>
        <w:t>lectricity</w:t>
      </w:r>
      <w:r w:rsidRPr="00EC3083">
        <w:rPr>
          <w:rFonts w:ascii="Open Sans" w:hAnsi="Open Sans" w:cs="Open Sans"/>
          <w:b/>
          <w:bCs/>
        </w:rPr>
        <w:t xml:space="preserve"> storage</w:t>
      </w:r>
      <w:r w:rsidRPr="00EC3083">
        <w:rPr>
          <w:rFonts w:ascii="Open Sans" w:hAnsi="Open Sans" w:cs="Open Sans"/>
        </w:rPr>
        <w:t xml:space="preserve"> </w:t>
      </w:r>
      <w:r w:rsidR="00F9124C">
        <w:rPr>
          <w:rFonts w:ascii="Open Sans" w:hAnsi="Open Sans" w:cs="Open Sans"/>
        </w:rPr>
        <w:t>technologies such as heat and electricity batteries, s</w:t>
      </w:r>
      <w:r w:rsidRPr="00EC3083">
        <w:rPr>
          <w:rFonts w:ascii="Open Sans" w:hAnsi="Open Sans" w:cs="Open Sans"/>
        </w:rPr>
        <w:t>uch as</w:t>
      </w:r>
      <w:r w:rsidR="00EC3083" w:rsidRPr="00EC3083">
        <w:rPr>
          <w:rFonts w:ascii="Open Sans" w:hAnsi="Open Sans" w:cs="Open Sans"/>
        </w:rPr>
        <w:t xml:space="preserve"> inclusion in</w:t>
      </w:r>
      <w:r w:rsidRPr="00EC3083">
        <w:rPr>
          <w:rFonts w:ascii="Open Sans" w:hAnsi="Open Sans" w:cs="Open Sans"/>
        </w:rPr>
        <w:t xml:space="preserve"> the </w:t>
      </w:r>
      <w:r w:rsidR="004332E7">
        <w:rPr>
          <w:rFonts w:ascii="Open Sans" w:hAnsi="Open Sans" w:cs="Open Sans"/>
        </w:rPr>
        <w:t xml:space="preserve">GHG </w:t>
      </w:r>
      <w:r w:rsidRPr="00EC3083">
        <w:rPr>
          <w:rFonts w:ascii="Open Sans" w:hAnsi="Open Sans" w:cs="Open Sans"/>
        </w:rPr>
        <w:t xml:space="preserve">or </w:t>
      </w:r>
      <w:r w:rsidR="00F9124C">
        <w:rPr>
          <w:rFonts w:ascii="Open Sans" w:hAnsi="Open Sans" w:cs="Open Sans"/>
        </w:rPr>
        <w:t xml:space="preserve">the establishment of </w:t>
      </w:r>
      <w:r w:rsidRPr="00EC3083">
        <w:rPr>
          <w:rFonts w:ascii="Open Sans" w:hAnsi="Open Sans" w:cs="Open Sans"/>
        </w:rPr>
        <w:t xml:space="preserve">an equivalent to </w:t>
      </w:r>
      <w:r w:rsidR="00F9124C">
        <w:rPr>
          <w:rFonts w:ascii="Open Sans" w:hAnsi="Open Sans" w:cs="Open Sans"/>
        </w:rPr>
        <w:t xml:space="preserve">the EV </w:t>
      </w:r>
      <w:proofErr w:type="spellStart"/>
      <w:r w:rsidR="00F9124C">
        <w:rPr>
          <w:rFonts w:ascii="Open Sans" w:hAnsi="Open Sans" w:cs="Open Sans"/>
        </w:rPr>
        <w:t>Homecharge</w:t>
      </w:r>
      <w:proofErr w:type="spellEnd"/>
      <w:r w:rsidR="00F9124C">
        <w:rPr>
          <w:rFonts w:ascii="Open Sans" w:hAnsi="Open Sans" w:cs="Open Sans"/>
        </w:rPr>
        <w:t xml:space="preserve"> Scheme </w:t>
      </w:r>
      <w:r w:rsidRPr="00EC3083">
        <w:rPr>
          <w:rFonts w:ascii="Open Sans" w:hAnsi="Open Sans" w:cs="Open Sans"/>
        </w:rPr>
        <w:t xml:space="preserve">or </w:t>
      </w:r>
      <w:r w:rsidR="00F9124C">
        <w:rPr>
          <w:rFonts w:ascii="Open Sans" w:hAnsi="Open Sans" w:cs="Open Sans"/>
        </w:rPr>
        <w:t>C</w:t>
      </w:r>
      <w:r w:rsidRPr="00EC3083">
        <w:rPr>
          <w:rFonts w:ascii="Open Sans" w:hAnsi="Open Sans" w:cs="Open Sans"/>
        </w:rPr>
        <w:t xml:space="preserve">lean </w:t>
      </w:r>
      <w:r w:rsidR="00F9124C">
        <w:rPr>
          <w:rFonts w:ascii="Open Sans" w:hAnsi="Open Sans" w:cs="Open Sans"/>
        </w:rPr>
        <w:t>H</w:t>
      </w:r>
      <w:r w:rsidRPr="00EC3083">
        <w:rPr>
          <w:rFonts w:ascii="Open Sans" w:hAnsi="Open Sans" w:cs="Open Sans"/>
        </w:rPr>
        <w:t xml:space="preserve">eat </w:t>
      </w:r>
      <w:r w:rsidR="00F9124C">
        <w:rPr>
          <w:rFonts w:ascii="Open Sans" w:hAnsi="Open Sans" w:cs="Open Sans"/>
        </w:rPr>
        <w:t>G</w:t>
      </w:r>
      <w:r w:rsidRPr="00EC3083">
        <w:rPr>
          <w:rFonts w:ascii="Open Sans" w:hAnsi="Open Sans" w:cs="Open Sans"/>
        </w:rPr>
        <w:t>rant until market failures are corrected.</w:t>
      </w:r>
    </w:p>
    <w:p w14:paraId="205FACF8" w14:textId="1D4624EE" w:rsidR="00A30C14" w:rsidRPr="00EC3083" w:rsidRDefault="00ED1CD3" w:rsidP="0085302B">
      <w:pPr>
        <w:jc w:val="both"/>
        <w:rPr>
          <w:rFonts w:ascii="Open Sans" w:hAnsi="Open Sans" w:cs="Open Sans"/>
        </w:rPr>
      </w:pPr>
      <w:r w:rsidRPr="00EC3083">
        <w:rPr>
          <w:rFonts w:ascii="Open Sans" w:hAnsi="Open Sans" w:cs="Open Sans"/>
        </w:rPr>
        <w:t>These measures should include electricity-driven heat batteries</w:t>
      </w:r>
      <w:r w:rsidR="00112189" w:rsidRPr="00EC3083">
        <w:rPr>
          <w:rFonts w:ascii="Open Sans" w:hAnsi="Open Sans" w:cs="Open Sans"/>
        </w:rPr>
        <w:t xml:space="preserve"> as well as battery storage for electricity use in the home.</w:t>
      </w:r>
      <w:r w:rsidRPr="00EC3083">
        <w:rPr>
          <w:rFonts w:ascii="Open Sans" w:hAnsi="Open Sans" w:cs="Open Sans"/>
        </w:rPr>
        <w:t xml:space="preserve"> </w:t>
      </w:r>
      <w:r w:rsidR="00A30C14" w:rsidRPr="00EC3083">
        <w:rPr>
          <w:rFonts w:ascii="Open Sans" w:hAnsi="Open Sans" w:cs="Open Sans"/>
        </w:rPr>
        <w:t xml:space="preserve">All sources are given in footnotes. </w:t>
      </w:r>
      <w:commentRangeStart w:id="3"/>
      <w:r w:rsidR="00A30C14" w:rsidRPr="00EC3083">
        <w:rPr>
          <w:rFonts w:ascii="Open Sans" w:hAnsi="Open Sans" w:cs="Open Sans"/>
        </w:rPr>
        <w:t>We would welcome a discussion of the implications and are willing to provide any further evidence or analysis required.</w:t>
      </w:r>
      <w:bookmarkStart w:id="4" w:name="_Toc44681835"/>
      <w:commentRangeEnd w:id="3"/>
      <w:r w:rsidR="00F9124C">
        <w:rPr>
          <w:rStyle w:val="CommentReference"/>
        </w:rPr>
        <w:commentReference w:id="3"/>
      </w:r>
      <w:r w:rsidR="00A30C14" w:rsidRPr="00EC3083">
        <w:rPr>
          <w:rFonts w:ascii="Open Sans" w:hAnsi="Open Sans" w:cs="Open Sans"/>
        </w:rPr>
        <w:br w:type="page"/>
      </w:r>
    </w:p>
    <w:bookmarkEnd w:id="4"/>
    <w:p w14:paraId="2FC33942" w14:textId="398CAE04" w:rsidR="00EC3083" w:rsidRPr="00EC3083" w:rsidRDefault="00EC3083" w:rsidP="00EC3083">
      <w:pPr>
        <w:jc w:val="both"/>
        <w:rPr>
          <w:rFonts w:ascii="Open Sans" w:hAnsi="Open Sans" w:cs="Open Sans"/>
          <w:b/>
          <w:bCs/>
          <w:color w:val="06926B"/>
          <w:sz w:val="32"/>
          <w:szCs w:val="32"/>
        </w:rPr>
      </w:pPr>
      <w:r>
        <w:rPr>
          <w:rFonts w:ascii="Open Sans" w:hAnsi="Open Sans" w:cs="Open Sans"/>
          <w:b/>
          <w:bCs/>
          <w:color w:val="06926B"/>
          <w:sz w:val="32"/>
          <w:szCs w:val="32"/>
        </w:rPr>
        <w:lastRenderedPageBreak/>
        <w:t>The Need</w:t>
      </w:r>
    </w:p>
    <w:p w14:paraId="590D7F21" w14:textId="4912F845" w:rsidR="00A30C14" w:rsidRPr="00EC3083" w:rsidRDefault="00A30C14" w:rsidP="000F1926">
      <w:pPr>
        <w:jc w:val="both"/>
        <w:rPr>
          <w:rFonts w:ascii="Open Sans" w:hAnsi="Open Sans" w:cs="Open Sans"/>
          <w:b/>
          <w:bCs/>
        </w:rPr>
      </w:pPr>
      <w:r w:rsidRPr="00EC3083">
        <w:rPr>
          <w:rFonts w:ascii="Open Sans" w:hAnsi="Open Sans" w:cs="Open Sans"/>
          <w:b/>
          <w:bCs/>
        </w:rPr>
        <w:t>We need more battery storage to move to a renewable energy system</w:t>
      </w:r>
    </w:p>
    <w:p w14:paraId="100A15FE" w14:textId="3070C354" w:rsidR="00A30C14" w:rsidRPr="00EC3083" w:rsidRDefault="00A30C14" w:rsidP="000F1926">
      <w:pPr>
        <w:jc w:val="both"/>
        <w:rPr>
          <w:rFonts w:ascii="Open Sans" w:hAnsi="Open Sans" w:cs="Open Sans"/>
        </w:rPr>
      </w:pPr>
      <w:r w:rsidRPr="00EC3083">
        <w:rPr>
          <w:rFonts w:ascii="Open Sans" w:hAnsi="Open Sans" w:cs="Open Sans"/>
        </w:rPr>
        <w:t>The UK is making good progress increasing our share of electricity generation from renewable sources in line with the Climate Change Act, Net Zero and Paris Agreement. However, while much renewable power comes from baseload sources, we do not control when the wind blows or the sun shines, so much of this energy is not always produced when it is needed. This means that energy is sometimes wasted at high cost, and we burn fossil fuels as back up capacity. A growing body of evidence from leading sources shows the UK is falling behind on flexibility needed to meet renewable power targets:</w:t>
      </w:r>
    </w:p>
    <w:p w14:paraId="4DD33595" w14:textId="02EA5BDC" w:rsidR="00A30C14" w:rsidRPr="00EC3083" w:rsidRDefault="00A30C14" w:rsidP="00DA50B3">
      <w:pPr>
        <w:pStyle w:val="ListParagraph"/>
        <w:numPr>
          <w:ilvl w:val="0"/>
          <w:numId w:val="17"/>
        </w:numPr>
        <w:jc w:val="both"/>
        <w:rPr>
          <w:rFonts w:ascii="Open Sans" w:hAnsi="Open Sans" w:cs="Open Sans"/>
        </w:rPr>
      </w:pPr>
      <w:r w:rsidRPr="00EC3083">
        <w:rPr>
          <w:rFonts w:ascii="Open Sans" w:hAnsi="Open Sans" w:cs="Open Sans"/>
        </w:rPr>
        <w:t xml:space="preserve">National Grid forecasts the need for 60GW of </w:t>
      </w:r>
      <w:r w:rsidR="00F9124C">
        <w:rPr>
          <w:rFonts w:ascii="Open Sans" w:hAnsi="Open Sans" w:cs="Open Sans"/>
        </w:rPr>
        <w:t xml:space="preserve">electricity </w:t>
      </w:r>
      <w:r w:rsidRPr="00EC3083">
        <w:rPr>
          <w:rFonts w:ascii="Open Sans" w:hAnsi="Open Sans" w:cs="Open Sans"/>
        </w:rPr>
        <w:t>storage by 2050 to achieve Net Zero at least cost</w:t>
      </w:r>
      <w:r w:rsidRPr="00EC3083">
        <w:rPr>
          <w:rStyle w:val="EndnoteReference"/>
          <w:rFonts w:ascii="Open Sans" w:hAnsi="Open Sans" w:cs="Open Sans"/>
        </w:rPr>
        <w:endnoteReference w:id="5"/>
      </w:r>
      <w:r w:rsidRPr="00EC3083">
        <w:rPr>
          <w:rFonts w:ascii="Open Sans" w:hAnsi="Open Sans" w:cs="Open Sans"/>
        </w:rPr>
        <w:t>, up from 4GW today.</w:t>
      </w:r>
    </w:p>
    <w:p w14:paraId="2DDC1978" w14:textId="1BA0BF40" w:rsidR="00A30C14" w:rsidRPr="00EC3083" w:rsidRDefault="00A30C14" w:rsidP="00DA50B3">
      <w:pPr>
        <w:pStyle w:val="ListParagraph"/>
        <w:numPr>
          <w:ilvl w:val="0"/>
          <w:numId w:val="17"/>
        </w:numPr>
        <w:jc w:val="both"/>
        <w:rPr>
          <w:rFonts w:ascii="Open Sans" w:hAnsi="Open Sans" w:cs="Open Sans"/>
        </w:rPr>
      </w:pPr>
      <w:r w:rsidRPr="00EC3083">
        <w:rPr>
          <w:rFonts w:ascii="Open Sans" w:hAnsi="Open Sans" w:cs="Open Sans"/>
        </w:rPr>
        <w:t xml:space="preserve">The Committee on Climate Change’s Net Zero core scenario assumes renewables must provide at least 59% of electricity, but 50+% is achievable only with much greater </w:t>
      </w:r>
      <w:r w:rsidR="00F9124C">
        <w:rPr>
          <w:rFonts w:ascii="Open Sans" w:hAnsi="Open Sans" w:cs="Open Sans"/>
        </w:rPr>
        <w:t xml:space="preserve">electricity system </w:t>
      </w:r>
      <w:r w:rsidRPr="00EC3083">
        <w:rPr>
          <w:rFonts w:ascii="Open Sans" w:hAnsi="Open Sans" w:cs="Open Sans"/>
        </w:rPr>
        <w:t>flexibility. Flexibility will reduce consumer costs by £3-8bn p.a. by 2030 and £16bn p.a. by 2050</w:t>
      </w:r>
      <w:r w:rsidR="003D75F6">
        <w:rPr>
          <w:rFonts w:ascii="Open Sans" w:hAnsi="Open Sans" w:cs="Open Sans"/>
        </w:rPr>
        <w:t>.</w:t>
      </w:r>
      <w:r w:rsidRPr="00EC3083">
        <w:rPr>
          <w:rStyle w:val="EndnoteReference"/>
          <w:rFonts w:ascii="Open Sans" w:hAnsi="Open Sans" w:cs="Open Sans"/>
        </w:rPr>
        <w:endnoteReference w:id="6"/>
      </w:r>
    </w:p>
    <w:p w14:paraId="1635303F" w14:textId="58706BFD" w:rsidR="00A30C14" w:rsidRPr="00EC3083" w:rsidRDefault="00A30C14" w:rsidP="000F1926">
      <w:pPr>
        <w:pStyle w:val="ListParagraph"/>
        <w:numPr>
          <w:ilvl w:val="0"/>
          <w:numId w:val="17"/>
        </w:numPr>
        <w:jc w:val="both"/>
        <w:rPr>
          <w:rFonts w:ascii="Open Sans" w:hAnsi="Open Sans" w:cs="Open Sans"/>
        </w:rPr>
      </w:pPr>
      <w:r w:rsidRPr="00EC3083">
        <w:rPr>
          <w:rFonts w:ascii="Open Sans" w:hAnsi="Open Sans" w:cs="Open Sans"/>
        </w:rPr>
        <w:t>Bloomberg New Energy Finance finds ‘the rate of battery deployment before 2040… has a very large influence on the speed of the renewable energy transition in the U.K,’ and faster battery deployment reduces carbon emissions by 13% and fossil backup capacity by 12% by 2030</w:t>
      </w:r>
      <w:r w:rsidR="003D75F6">
        <w:rPr>
          <w:rFonts w:ascii="Open Sans" w:hAnsi="Open Sans" w:cs="Open Sans"/>
        </w:rPr>
        <w:t>.</w:t>
      </w:r>
      <w:r w:rsidRPr="00EC3083">
        <w:rPr>
          <w:rStyle w:val="EndnoteReference"/>
          <w:rFonts w:ascii="Open Sans" w:hAnsi="Open Sans" w:cs="Open Sans"/>
        </w:rPr>
        <w:endnoteReference w:id="7"/>
      </w:r>
    </w:p>
    <w:p w14:paraId="649AEDC2" w14:textId="49C6D1CF" w:rsidR="00A30C14" w:rsidRPr="00EC3083" w:rsidRDefault="00A30C14" w:rsidP="000F1926">
      <w:pPr>
        <w:pStyle w:val="ListParagraph"/>
        <w:numPr>
          <w:ilvl w:val="0"/>
          <w:numId w:val="17"/>
        </w:numPr>
        <w:jc w:val="both"/>
        <w:rPr>
          <w:rFonts w:ascii="Open Sans" w:hAnsi="Open Sans" w:cs="Open Sans"/>
        </w:rPr>
      </w:pPr>
      <w:r w:rsidRPr="00EC3083">
        <w:rPr>
          <w:rFonts w:ascii="Open Sans" w:hAnsi="Open Sans" w:cs="Open Sans"/>
        </w:rPr>
        <w:t xml:space="preserve">The National Infrastructure Commission, following their 2016 </w:t>
      </w:r>
      <w:r w:rsidRPr="00EC3083">
        <w:rPr>
          <w:rFonts w:ascii="Open Sans" w:hAnsi="Open Sans" w:cs="Open Sans"/>
          <w:i/>
          <w:iCs/>
        </w:rPr>
        <w:t>Smart Power</w:t>
      </w:r>
      <w:r w:rsidRPr="00EC3083">
        <w:rPr>
          <w:rFonts w:ascii="Open Sans" w:hAnsi="Open Sans" w:cs="Open Sans"/>
        </w:rPr>
        <w:t xml:space="preserve"> report, have re-iterated the importance of driving flexibility to facilitate renewables and Net Zero</w:t>
      </w:r>
      <w:r w:rsidR="003D75F6">
        <w:rPr>
          <w:rFonts w:ascii="Open Sans" w:hAnsi="Open Sans" w:cs="Open Sans"/>
        </w:rPr>
        <w:t>.</w:t>
      </w:r>
      <w:r w:rsidRPr="00EC3083">
        <w:rPr>
          <w:rStyle w:val="EndnoteReference"/>
          <w:rFonts w:ascii="Open Sans" w:hAnsi="Open Sans" w:cs="Open Sans"/>
        </w:rPr>
        <w:endnoteReference w:id="8"/>
      </w:r>
    </w:p>
    <w:p w14:paraId="05CFEBA7" w14:textId="7C065449" w:rsidR="00A30C14" w:rsidRPr="00EC3083" w:rsidRDefault="00A30C14" w:rsidP="000F1926">
      <w:pPr>
        <w:pStyle w:val="ListParagraph"/>
        <w:numPr>
          <w:ilvl w:val="0"/>
          <w:numId w:val="17"/>
        </w:numPr>
        <w:jc w:val="both"/>
        <w:rPr>
          <w:rFonts w:ascii="Open Sans" w:hAnsi="Open Sans" w:cs="Open Sans"/>
        </w:rPr>
      </w:pPr>
      <w:r w:rsidRPr="00EC3083">
        <w:rPr>
          <w:rFonts w:ascii="Open Sans" w:hAnsi="Open Sans" w:cs="Open Sans"/>
        </w:rPr>
        <w:t>The Energy Transition Readiness Index, commissioned by Drax and Eaton, ranks the UK 8</w:t>
      </w:r>
      <w:r w:rsidRPr="00EC3083">
        <w:rPr>
          <w:rFonts w:ascii="Open Sans" w:hAnsi="Open Sans" w:cs="Open Sans"/>
          <w:vertAlign w:val="superscript"/>
        </w:rPr>
        <w:t>th</w:t>
      </w:r>
      <w:r w:rsidRPr="00EC3083">
        <w:rPr>
          <w:rFonts w:ascii="Open Sans" w:hAnsi="Open Sans" w:cs="Open Sans"/>
        </w:rPr>
        <w:t xml:space="preserve"> out of 9 Western European markets in terms of </w:t>
      </w:r>
      <w:r w:rsidR="00F9124C">
        <w:rPr>
          <w:rFonts w:ascii="Open Sans" w:hAnsi="Open Sans" w:cs="Open Sans"/>
        </w:rPr>
        <w:t xml:space="preserve">electricity </w:t>
      </w:r>
      <w:r w:rsidR="00EC3083">
        <w:rPr>
          <w:rFonts w:ascii="Open Sans" w:hAnsi="Open Sans" w:cs="Open Sans"/>
        </w:rPr>
        <w:t xml:space="preserve">grid </w:t>
      </w:r>
      <w:r w:rsidRPr="00EC3083">
        <w:rPr>
          <w:rFonts w:ascii="Open Sans" w:hAnsi="Open Sans" w:cs="Open Sans"/>
        </w:rPr>
        <w:t>flexibility</w:t>
      </w:r>
      <w:r w:rsidR="00EC3083">
        <w:rPr>
          <w:rFonts w:ascii="Open Sans" w:hAnsi="Open Sans" w:cs="Open Sans"/>
        </w:rPr>
        <w:t xml:space="preserve"> from an investor</w:t>
      </w:r>
      <w:r w:rsidR="006932D7">
        <w:rPr>
          <w:rFonts w:ascii="Open Sans" w:hAnsi="Open Sans" w:cs="Open Sans"/>
        </w:rPr>
        <w:t>’</w:t>
      </w:r>
      <w:r w:rsidR="00EC3083">
        <w:rPr>
          <w:rFonts w:ascii="Open Sans" w:hAnsi="Open Sans" w:cs="Open Sans"/>
        </w:rPr>
        <w:t>s perspective</w:t>
      </w:r>
      <w:r w:rsidR="003D75F6">
        <w:rPr>
          <w:rFonts w:ascii="Open Sans" w:hAnsi="Open Sans" w:cs="Open Sans"/>
        </w:rPr>
        <w:t>.</w:t>
      </w:r>
      <w:r w:rsidRPr="00EC3083">
        <w:rPr>
          <w:rStyle w:val="EndnoteReference"/>
          <w:rFonts w:ascii="Open Sans" w:hAnsi="Open Sans" w:cs="Open Sans"/>
        </w:rPr>
        <w:endnoteReference w:id="9"/>
      </w:r>
    </w:p>
    <w:p w14:paraId="00551325" w14:textId="095525D6" w:rsidR="00A30C14" w:rsidRPr="00EC3083" w:rsidRDefault="00A30C14" w:rsidP="000F1926">
      <w:pPr>
        <w:jc w:val="both"/>
        <w:rPr>
          <w:rFonts w:ascii="Open Sans" w:hAnsi="Open Sans" w:cs="Open Sans"/>
          <w:b/>
          <w:bCs/>
        </w:rPr>
      </w:pPr>
      <w:r w:rsidRPr="00EC3083">
        <w:rPr>
          <w:rFonts w:ascii="Open Sans" w:hAnsi="Open Sans" w:cs="Open Sans"/>
          <w:b/>
          <w:bCs/>
        </w:rPr>
        <w:t xml:space="preserve">Excess supply and an inflexible grid are already dramatically increasing the curtailment of renewable and conventional power sources at substantial consumer cost </w:t>
      </w:r>
    </w:p>
    <w:p w14:paraId="7E9C45E7" w14:textId="31A9C95B" w:rsidR="007801FF" w:rsidRDefault="00EC3083" w:rsidP="000F1926">
      <w:pPr>
        <w:jc w:val="both"/>
        <w:rPr>
          <w:rFonts w:ascii="Open Sans" w:hAnsi="Open Sans" w:cs="Open Sans"/>
        </w:rPr>
      </w:pPr>
      <w:r>
        <w:rPr>
          <w:rFonts w:ascii="Open Sans" w:hAnsi="Open Sans" w:cs="Open Sans"/>
        </w:rPr>
        <w:t>The UK is</w:t>
      </w:r>
      <w:r w:rsidR="00A30C14" w:rsidRPr="00EC3083">
        <w:rPr>
          <w:rFonts w:ascii="Open Sans" w:hAnsi="Open Sans" w:cs="Open Sans"/>
        </w:rPr>
        <w:t xml:space="preserve"> having to pay</w:t>
      </w:r>
      <w:r>
        <w:rPr>
          <w:rFonts w:ascii="Open Sans" w:hAnsi="Open Sans" w:cs="Open Sans"/>
        </w:rPr>
        <w:t xml:space="preserve"> increasing amounts </w:t>
      </w:r>
      <w:r w:rsidR="00A30C14" w:rsidRPr="00EC3083">
        <w:rPr>
          <w:rFonts w:ascii="Open Sans" w:hAnsi="Open Sans" w:cs="Open Sans"/>
        </w:rPr>
        <w:t>to curtail generation when we have surplus, from £165m in 2010 to £636m in 2019</w:t>
      </w:r>
      <w:r w:rsidR="00A30C14" w:rsidRPr="00EC3083">
        <w:rPr>
          <w:rStyle w:val="EndnoteReference"/>
          <w:rFonts w:ascii="Open Sans" w:hAnsi="Open Sans" w:cs="Open Sans"/>
        </w:rPr>
        <w:endnoteReference w:id="10"/>
      </w:r>
      <w:r w:rsidR="00A30C14" w:rsidRPr="00EC3083">
        <w:rPr>
          <w:rFonts w:ascii="Open Sans" w:hAnsi="Open Sans" w:cs="Open Sans"/>
        </w:rPr>
        <w:t xml:space="preserve"> (across transmission and distribution networks), and unprecedented emergency curtailment measures have recently been introduced</w:t>
      </w:r>
      <w:r w:rsidR="003D75F6">
        <w:rPr>
          <w:rFonts w:ascii="Open Sans" w:hAnsi="Open Sans" w:cs="Open Sans"/>
        </w:rPr>
        <w:t>.</w:t>
      </w:r>
      <w:r w:rsidR="00A30C14" w:rsidRPr="00EC3083">
        <w:rPr>
          <w:rStyle w:val="EndnoteReference"/>
          <w:rFonts w:ascii="Open Sans" w:hAnsi="Open Sans" w:cs="Open Sans"/>
        </w:rPr>
        <w:endnoteReference w:id="11"/>
      </w:r>
      <w:r w:rsidR="00A30C14" w:rsidRPr="00EC3083">
        <w:rPr>
          <w:rFonts w:ascii="Open Sans" w:hAnsi="Open Sans" w:cs="Open Sans"/>
        </w:rPr>
        <w:t xml:space="preserve"> On top of this, National Grid has announced </w:t>
      </w:r>
      <w:r w:rsidR="007801FF">
        <w:rPr>
          <w:rFonts w:ascii="Open Sans" w:hAnsi="Open Sans" w:cs="Open Sans"/>
        </w:rPr>
        <w:t xml:space="preserve">that costs to balance supply and demand on the electricity networks has </w:t>
      </w:r>
      <w:r w:rsidR="007801FF" w:rsidRPr="007801FF">
        <w:rPr>
          <w:rFonts w:ascii="Open Sans" w:hAnsi="Open Sans" w:cs="Open Sans"/>
        </w:rPr>
        <w:t>increased by 39% between March and July</w:t>
      </w:r>
      <w:r w:rsidR="007801FF">
        <w:rPr>
          <w:rFonts w:ascii="Open Sans" w:hAnsi="Open Sans" w:cs="Open Sans"/>
        </w:rPr>
        <w:t xml:space="preserve"> (compared to the previous year) due to COVID-19</w:t>
      </w:r>
      <w:r w:rsidR="007801FF" w:rsidRPr="007801FF">
        <w:rPr>
          <w:rFonts w:ascii="Open Sans" w:hAnsi="Open Sans" w:cs="Open Sans"/>
        </w:rPr>
        <w:t>, totalling £718 million so fa</w:t>
      </w:r>
      <w:r w:rsidR="007801FF">
        <w:rPr>
          <w:rFonts w:ascii="Open Sans" w:hAnsi="Open Sans" w:cs="Open Sans"/>
        </w:rPr>
        <w:t>r</w:t>
      </w:r>
      <w:r w:rsidR="00D049DD">
        <w:rPr>
          <w:rFonts w:ascii="Open Sans" w:hAnsi="Open Sans" w:cs="Open Sans"/>
        </w:rPr>
        <w:t>.</w:t>
      </w:r>
      <w:r w:rsidR="007801FF">
        <w:rPr>
          <w:rStyle w:val="EndnoteReference"/>
          <w:rFonts w:ascii="Open Sans" w:hAnsi="Open Sans" w:cs="Open Sans"/>
        </w:rPr>
        <w:endnoteReference w:id="12"/>
      </w:r>
      <w:r w:rsidR="007801FF">
        <w:rPr>
          <w:rFonts w:ascii="Open Sans" w:hAnsi="Open Sans" w:cs="Open Sans"/>
        </w:rPr>
        <w:t xml:space="preserve"> This cost will be borne directly by consumers. </w:t>
      </w:r>
    </w:p>
    <w:p w14:paraId="3A922D81" w14:textId="2CDC74EA" w:rsidR="00A30C14" w:rsidRPr="00EC3083" w:rsidRDefault="00A30C14" w:rsidP="000F1926">
      <w:pPr>
        <w:jc w:val="both"/>
        <w:rPr>
          <w:rFonts w:ascii="Open Sans" w:hAnsi="Open Sans" w:cs="Open Sans"/>
        </w:rPr>
      </w:pPr>
      <w:r w:rsidRPr="00EC3083">
        <w:rPr>
          <w:rFonts w:ascii="Open Sans" w:hAnsi="Open Sans" w:cs="Open Sans"/>
        </w:rPr>
        <w:t xml:space="preserve">Pandemic aside, this scenario is becoming increasingly common. </w:t>
      </w:r>
      <w:proofErr w:type="spellStart"/>
      <w:r w:rsidRPr="00EC3083">
        <w:rPr>
          <w:rFonts w:ascii="Open Sans" w:hAnsi="Open Sans" w:cs="Open Sans"/>
        </w:rPr>
        <w:t>Kaluza</w:t>
      </w:r>
      <w:proofErr w:type="spellEnd"/>
      <w:r w:rsidRPr="00EC3083">
        <w:rPr>
          <w:rFonts w:ascii="Open Sans" w:hAnsi="Open Sans" w:cs="Open Sans"/>
        </w:rPr>
        <w:t xml:space="preserve"> has estimated that greater domestic energy flexibility could have reduced curtailment costs by £133m (27%)</w:t>
      </w:r>
      <w:r w:rsidR="00D049DD">
        <w:rPr>
          <w:rFonts w:ascii="Open Sans" w:hAnsi="Open Sans" w:cs="Open Sans"/>
        </w:rPr>
        <w:t>.</w:t>
      </w:r>
      <w:r w:rsidRPr="00EC3083">
        <w:rPr>
          <w:rStyle w:val="EndnoteReference"/>
          <w:rFonts w:ascii="Open Sans" w:hAnsi="Open Sans" w:cs="Open Sans"/>
        </w:rPr>
        <w:endnoteReference w:id="13"/>
      </w:r>
      <w:r w:rsidRPr="00EC3083">
        <w:rPr>
          <w:rFonts w:ascii="Open Sans" w:hAnsi="Open Sans" w:cs="Open Sans"/>
        </w:rPr>
        <w:t xml:space="preserve"> Battery storage is needed to ensure our generation can run economically and at higher capacity, reducing the cost to consumers and ensuring investors get the best returns on infrastructure.</w:t>
      </w:r>
    </w:p>
    <w:p w14:paraId="0CBACE11" w14:textId="10DFE016" w:rsidR="00A30C14" w:rsidRPr="00EC3083" w:rsidRDefault="00A30C14" w:rsidP="00861832">
      <w:pPr>
        <w:jc w:val="center"/>
        <w:rPr>
          <w:rFonts w:ascii="Open Sans" w:hAnsi="Open Sans" w:cs="Open Sans"/>
        </w:rPr>
      </w:pPr>
      <w:r w:rsidRPr="00EC3083">
        <w:rPr>
          <w:rFonts w:ascii="Open Sans" w:hAnsi="Open Sans" w:cs="Open Sans"/>
          <w:noProof/>
        </w:rPr>
        <w:lastRenderedPageBreak/>
        <w:drawing>
          <wp:inline distT="0" distB="0" distL="0" distR="0" wp14:anchorId="77A46E4D" wp14:editId="6171AEA3">
            <wp:extent cx="2667000" cy="215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7246" cy="2222962"/>
                    </a:xfrm>
                    <a:prstGeom prst="rect">
                      <a:avLst/>
                    </a:prstGeom>
                  </pic:spPr>
                </pic:pic>
              </a:graphicData>
            </a:graphic>
          </wp:inline>
        </w:drawing>
      </w:r>
    </w:p>
    <w:p w14:paraId="05BB4389" w14:textId="443F9685" w:rsidR="00A30C14" w:rsidRPr="00EC3083" w:rsidRDefault="00A30C14" w:rsidP="00861832">
      <w:pPr>
        <w:jc w:val="center"/>
        <w:rPr>
          <w:rFonts w:ascii="Open Sans" w:hAnsi="Open Sans" w:cs="Open Sans"/>
          <w:i/>
          <w:iCs/>
        </w:rPr>
      </w:pPr>
      <w:r w:rsidRPr="00EC3083">
        <w:rPr>
          <w:rFonts w:ascii="Open Sans" w:hAnsi="Open Sans" w:cs="Open Sans"/>
          <w:i/>
          <w:iCs/>
        </w:rPr>
        <w:t>Balancing costs expressed as a % of wholesale power costs. Source: Drax Energy Insights</w:t>
      </w:r>
      <w:r w:rsidR="00841C88" w:rsidRPr="00EC3083">
        <w:rPr>
          <w:rStyle w:val="EndnoteReference"/>
          <w:rFonts w:ascii="Open Sans" w:hAnsi="Open Sans" w:cs="Open Sans"/>
          <w:i/>
          <w:iCs/>
        </w:rPr>
        <w:endnoteReference w:id="14"/>
      </w:r>
    </w:p>
    <w:p w14:paraId="183ECC91" w14:textId="21259F8E" w:rsidR="00A30C14" w:rsidRPr="00EC3083" w:rsidRDefault="007801FF" w:rsidP="000F1926">
      <w:pPr>
        <w:jc w:val="both"/>
        <w:rPr>
          <w:rFonts w:ascii="Open Sans" w:hAnsi="Open Sans" w:cs="Open Sans"/>
          <w:b/>
          <w:bCs/>
        </w:rPr>
      </w:pPr>
      <w:r>
        <w:rPr>
          <w:rFonts w:ascii="Open Sans" w:hAnsi="Open Sans" w:cs="Open Sans"/>
          <w:b/>
          <w:bCs/>
        </w:rPr>
        <w:t>Domestic</w:t>
      </w:r>
      <w:r w:rsidR="00A30C14" w:rsidRPr="00EC3083">
        <w:rPr>
          <w:rFonts w:ascii="Open Sans" w:hAnsi="Open Sans" w:cs="Open Sans"/>
          <w:b/>
          <w:bCs/>
        </w:rPr>
        <w:t xml:space="preserve"> battery storage </w:t>
      </w:r>
      <w:proofErr w:type="gramStart"/>
      <w:r w:rsidR="00A30C14" w:rsidRPr="00EC3083">
        <w:rPr>
          <w:rFonts w:ascii="Open Sans" w:hAnsi="Open Sans" w:cs="Open Sans"/>
          <w:b/>
          <w:bCs/>
        </w:rPr>
        <w:t>in particular is</w:t>
      </w:r>
      <w:proofErr w:type="gramEnd"/>
      <w:r w:rsidR="00A30C14" w:rsidRPr="00EC3083">
        <w:rPr>
          <w:rFonts w:ascii="Open Sans" w:hAnsi="Open Sans" w:cs="Open Sans"/>
          <w:b/>
          <w:bCs/>
        </w:rPr>
        <w:t xml:space="preserve"> needed to reduce grid infrastructure costs</w:t>
      </w:r>
    </w:p>
    <w:p w14:paraId="7B2F75D1" w14:textId="2F7EAA47" w:rsidR="00A30C14" w:rsidRPr="00EC3083" w:rsidRDefault="00A30C14" w:rsidP="000F1926">
      <w:pPr>
        <w:jc w:val="both"/>
        <w:rPr>
          <w:rFonts w:ascii="Open Sans" w:hAnsi="Open Sans" w:cs="Open Sans"/>
        </w:rPr>
      </w:pPr>
      <w:r w:rsidRPr="00EC3083">
        <w:rPr>
          <w:rFonts w:ascii="Open Sans" w:hAnsi="Open Sans" w:cs="Open Sans"/>
        </w:rPr>
        <w:t xml:space="preserve">In tandem, the increase in peak electricity demand from electrification of transport and heat to meet climate targets is set to require widespread low voltage network infrastructure upgrades at significant cost to consumers. The Government’s Smart Systems and Flexibility </w:t>
      </w:r>
      <w:r w:rsidR="007801FF">
        <w:rPr>
          <w:rFonts w:ascii="Open Sans" w:hAnsi="Open Sans" w:cs="Open Sans"/>
        </w:rPr>
        <w:t>P</w:t>
      </w:r>
      <w:r w:rsidRPr="00EC3083">
        <w:rPr>
          <w:rFonts w:ascii="Open Sans" w:hAnsi="Open Sans" w:cs="Open Sans"/>
        </w:rPr>
        <w:t>lan asserts that flexible energy technologies can reduce this cost by £40bn by 2050. Evidence from the Electricity Networks Association</w:t>
      </w:r>
      <w:r w:rsidRPr="00D049DD">
        <w:rPr>
          <w:rStyle w:val="EndnoteReference"/>
          <w:rFonts w:ascii="Open Sans" w:hAnsi="Open Sans" w:cs="Open Sans"/>
        </w:rPr>
        <w:endnoteReference w:id="15"/>
      </w:r>
      <w:r w:rsidRPr="00EC3083">
        <w:rPr>
          <w:rFonts w:ascii="Open Sans" w:hAnsi="Open Sans" w:cs="Open Sans"/>
        </w:rPr>
        <w:t>, Imperial College</w:t>
      </w:r>
      <w:r w:rsidRPr="00EC3083">
        <w:rPr>
          <w:rStyle w:val="EndnoteReference"/>
          <w:rFonts w:ascii="Open Sans" w:hAnsi="Open Sans" w:cs="Open Sans"/>
        </w:rPr>
        <w:endnoteReference w:id="16"/>
      </w:r>
      <w:r w:rsidRPr="00EC3083">
        <w:rPr>
          <w:rFonts w:ascii="Open Sans" w:hAnsi="Open Sans" w:cs="Open Sans"/>
        </w:rPr>
        <w:t xml:space="preserve"> and Element Energy</w:t>
      </w:r>
      <w:r w:rsidRPr="00EC3083">
        <w:rPr>
          <w:rStyle w:val="EndnoteReference"/>
          <w:rFonts w:ascii="Open Sans" w:hAnsi="Open Sans" w:cs="Open Sans"/>
        </w:rPr>
        <w:endnoteReference w:id="17"/>
      </w:r>
      <w:r w:rsidRPr="00EC3083">
        <w:rPr>
          <w:rFonts w:ascii="Open Sans" w:hAnsi="Open Sans" w:cs="Open Sans"/>
        </w:rPr>
        <w:t xml:space="preserve"> finds that residential flexibility technologies </w:t>
      </w:r>
      <w:proofErr w:type="gramStart"/>
      <w:r w:rsidRPr="00EC3083">
        <w:rPr>
          <w:rFonts w:ascii="Open Sans" w:hAnsi="Open Sans" w:cs="Open Sans"/>
        </w:rPr>
        <w:t>in particular will</w:t>
      </w:r>
      <w:proofErr w:type="gramEnd"/>
      <w:r w:rsidRPr="00EC3083">
        <w:rPr>
          <w:rFonts w:ascii="Open Sans" w:hAnsi="Open Sans" w:cs="Open Sans"/>
        </w:rPr>
        <w:t xml:space="preserve"> be critical to unlocking the full scope of savings and achieving 100% low carbon energy.</w:t>
      </w:r>
    </w:p>
    <w:p w14:paraId="37746B2C" w14:textId="2DBA22FA" w:rsidR="00A30C14" w:rsidRPr="00EC3083" w:rsidRDefault="00A30C14" w:rsidP="000458F7">
      <w:pPr>
        <w:jc w:val="both"/>
        <w:rPr>
          <w:rFonts w:ascii="Open Sans" w:hAnsi="Open Sans" w:cs="Open Sans"/>
          <w:b/>
          <w:bCs/>
        </w:rPr>
      </w:pPr>
      <w:r w:rsidRPr="00EC3083">
        <w:rPr>
          <w:rFonts w:ascii="Open Sans" w:hAnsi="Open Sans" w:cs="Open Sans"/>
          <w:b/>
          <w:bCs/>
        </w:rPr>
        <w:t>In summary, home electricity storage is a key part of the solution to ensure that:</w:t>
      </w:r>
    </w:p>
    <w:p w14:paraId="10BCF71F" w14:textId="1DB65BE5" w:rsidR="00A30C14" w:rsidRPr="00EC3083" w:rsidRDefault="00A30C14" w:rsidP="00E050EF">
      <w:pPr>
        <w:pStyle w:val="ListParagraph"/>
        <w:numPr>
          <w:ilvl w:val="0"/>
          <w:numId w:val="18"/>
        </w:numPr>
        <w:jc w:val="both"/>
        <w:rPr>
          <w:rFonts w:ascii="Open Sans" w:hAnsi="Open Sans" w:cs="Open Sans"/>
        </w:rPr>
      </w:pPr>
      <w:r w:rsidRPr="00EC3083">
        <w:rPr>
          <w:rFonts w:ascii="Open Sans" w:hAnsi="Open Sans" w:cs="Open Sans"/>
        </w:rPr>
        <w:t>We can continue to deploy renewable electricity, and surplus energy is stored and used rather than wasted</w:t>
      </w:r>
      <w:r w:rsidR="00D049DD">
        <w:rPr>
          <w:rFonts w:ascii="Open Sans" w:hAnsi="Open Sans" w:cs="Open Sans"/>
        </w:rPr>
        <w:t>.</w:t>
      </w:r>
    </w:p>
    <w:p w14:paraId="0E034720" w14:textId="207E05EF" w:rsidR="00A30C14" w:rsidRPr="00EC3083" w:rsidRDefault="00A30C14" w:rsidP="00E050EF">
      <w:pPr>
        <w:pStyle w:val="ListParagraph"/>
        <w:numPr>
          <w:ilvl w:val="0"/>
          <w:numId w:val="18"/>
        </w:numPr>
        <w:jc w:val="both"/>
        <w:rPr>
          <w:rFonts w:ascii="Open Sans" w:hAnsi="Open Sans" w:cs="Open Sans"/>
        </w:rPr>
      </w:pPr>
      <w:r w:rsidRPr="00EC3083">
        <w:rPr>
          <w:rFonts w:ascii="Open Sans" w:hAnsi="Open Sans" w:cs="Open Sans"/>
        </w:rPr>
        <w:t>We reduce our carbon emissions</w:t>
      </w:r>
      <w:r w:rsidR="00D049DD">
        <w:rPr>
          <w:rFonts w:ascii="Open Sans" w:hAnsi="Open Sans" w:cs="Open Sans"/>
        </w:rPr>
        <w:t>.</w:t>
      </w:r>
    </w:p>
    <w:p w14:paraId="09B31F40" w14:textId="66413439" w:rsidR="00A30C14" w:rsidRPr="00EC3083" w:rsidRDefault="00A30C14" w:rsidP="00031294">
      <w:pPr>
        <w:pStyle w:val="ListParagraph"/>
        <w:numPr>
          <w:ilvl w:val="0"/>
          <w:numId w:val="18"/>
        </w:numPr>
        <w:jc w:val="both"/>
        <w:rPr>
          <w:rFonts w:ascii="Open Sans" w:hAnsi="Open Sans" w:cs="Open Sans"/>
        </w:rPr>
      </w:pPr>
      <w:r w:rsidRPr="00EC3083">
        <w:rPr>
          <w:rFonts w:ascii="Open Sans" w:hAnsi="Open Sans" w:cs="Open Sans"/>
        </w:rPr>
        <w:t>Costs are kept to a minimum.</w:t>
      </w:r>
      <w:bookmarkStart w:id="5" w:name="_Toc44681836"/>
    </w:p>
    <w:p w14:paraId="6E7D6577" w14:textId="77777777" w:rsidR="000A05C1" w:rsidRPr="00EC3083" w:rsidRDefault="000A05C1" w:rsidP="000A05C1">
      <w:pPr>
        <w:jc w:val="both"/>
        <w:rPr>
          <w:rFonts w:ascii="Open Sans" w:hAnsi="Open Sans" w:cs="Open Sans"/>
        </w:rPr>
      </w:pPr>
    </w:p>
    <w:bookmarkEnd w:id="5"/>
    <w:p w14:paraId="396DCEF4" w14:textId="314873C4" w:rsidR="007801FF" w:rsidRPr="00EC3083" w:rsidRDefault="007801FF" w:rsidP="007801FF">
      <w:pPr>
        <w:jc w:val="both"/>
        <w:rPr>
          <w:rFonts w:ascii="Open Sans" w:hAnsi="Open Sans" w:cs="Open Sans"/>
          <w:b/>
          <w:bCs/>
          <w:color w:val="06926B"/>
          <w:sz w:val="32"/>
          <w:szCs w:val="32"/>
        </w:rPr>
      </w:pPr>
      <w:r>
        <w:rPr>
          <w:rFonts w:ascii="Open Sans" w:hAnsi="Open Sans" w:cs="Open Sans"/>
          <w:b/>
          <w:bCs/>
          <w:color w:val="06926B"/>
          <w:sz w:val="32"/>
          <w:szCs w:val="32"/>
        </w:rPr>
        <w:t>The Market and Global Comparison</w:t>
      </w:r>
    </w:p>
    <w:p w14:paraId="5E1231FA" w14:textId="146633AA" w:rsidR="00A30C14" w:rsidRPr="00EC3083" w:rsidRDefault="00A30C14" w:rsidP="00917139">
      <w:pPr>
        <w:jc w:val="both"/>
        <w:rPr>
          <w:rFonts w:ascii="Open Sans" w:hAnsi="Open Sans" w:cs="Open Sans"/>
          <w:b/>
          <w:bCs/>
        </w:rPr>
      </w:pPr>
      <w:r w:rsidRPr="00EC3083">
        <w:rPr>
          <w:rFonts w:ascii="Open Sans" w:hAnsi="Open Sans" w:cs="Open Sans"/>
        </w:rPr>
        <w:t>Deployment is far from on track to meet the need identified.</w:t>
      </w:r>
      <w:r w:rsidR="005D69E9">
        <w:rPr>
          <w:rFonts w:ascii="Open Sans" w:hAnsi="Open Sans" w:cs="Open Sans"/>
        </w:rPr>
        <w:t xml:space="preserve"> Consultancy</w:t>
      </w:r>
      <w:r w:rsidRPr="00EC3083">
        <w:rPr>
          <w:rFonts w:ascii="Open Sans" w:hAnsi="Open Sans" w:cs="Open Sans"/>
        </w:rPr>
        <w:t xml:space="preserve"> IHS Markit surveys all major storage providers, with anonymised sales figures covering approximately 76% of the global market. </w:t>
      </w:r>
      <w:bookmarkStart w:id="6" w:name="_Hlk47700490"/>
      <w:r w:rsidRPr="00EC3083">
        <w:rPr>
          <w:rFonts w:ascii="Open Sans" w:hAnsi="Open Sans" w:cs="Open Sans"/>
        </w:rPr>
        <w:t>The data shows that the</w:t>
      </w:r>
      <w:r w:rsidRPr="00EC3083">
        <w:rPr>
          <w:rFonts w:ascii="Open Sans" w:hAnsi="Open Sans" w:cs="Open Sans"/>
          <w:b/>
          <w:bCs/>
        </w:rPr>
        <w:t xml:space="preserve"> UK market is significantly behind equivalent markets globally</w:t>
      </w:r>
      <w:bookmarkEnd w:id="6"/>
      <w:r w:rsidRPr="00EC3083">
        <w:rPr>
          <w:rFonts w:ascii="Open Sans" w:hAnsi="Open Sans" w:cs="Open Sans"/>
          <w:b/>
          <w:bCs/>
        </w:rPr>
        <w:t xml:space="preserve"> and could grow faster if market barriers were removed, unlocking significant benefits for the UK on its journey to net zero.</w:t>
      </w:r>
    </w:p>
    <w:p w14:paraId="0C23EFE1" w14:textId="34747A3C" w:rsidR="00810049" w:rsidRPr="00EC3083" w:rsidRDefault="00810049" w:rsidP="00810049">
      <w:pPr>
        <w:jc w:val="center"/>
        <w:rPr>
          <w:rFonts w:ascii="Open Sans" w:hAnsi="Open Sans" w:cs="Open Sans"/>
          <w:b/>
          <w:bCs/>
        </w:rPr>
      </w:pPr>
      <w:r w:rsidRPr="00EC3083">
        <w:rPr>
          <w:rFonts w:ascii="Open Sans" w:hAnsi="Open Sans" w:cs="Open Sans"/>
          <w:noProof/>
        </w:rPr>
        <w:lastRenderedPageBreak/>
        <w:drawing>
          <wp:inline distT="0" distB="0" distL="0" distR="0" wp14:anchorId="02C5AB3C" wp14:editId="4CCB9237">
            <wp:extent cx="4572000" cy="1718733"/>
            <wp:effectExtent l="0" t="0" r="0" b="15240"/>
            <wp:docPr id="6" name="Chart 6">
              <a:extLst xmlns:a="http://schemas.openxmlformats.org/drawingml/2006/main">
                <a:ext uri="{FF2B5EF4-FFF2-40B4-BE49-F238E27FC236}">
                  <a16:creationId xmlns:a16="http://schemas.microsoft.com/office/drawing/2014/main" id="{ECE26E82-7FAD-4988-A129-DAB46EC7A6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39F3A6" w14:textId="27C588A4" w:rsidR="00810049" w:rsidRPr="00EC3083" w:rsidRDefault="000A05C1" w:rsidP="000F1926">
      <w:pPr>
        <w:rPr>
          <w:rFonts w:ascii="Open Sans" w:hAnsi="Open Sans" w:cs="Open Sans"/>
          <w:noProof/>
        </w:rPr>
      </w:pPr>
      <w:r w:rsidRPr="00EC3083">
        <w:rPr>
          <w:rFonts w:ascii="Open Sans" w:hAnsi="Open Sans" w:cs="Open Sans"/>
          <w:noProof/>
          <w:lang w:val="en-US"/>
        </w:rPr>
        <mc:AlternateContent>
          <mc:Choice Requires="wps">
            <w:drawing>
              <wp:anchor distT="0" distB="0" distL="114300" distR="114300" simplePos="0" relativeHeight="251664384" behindDoc="0" locked="0" layoutInCell="1" allowOverlap="1" wp14:anchorId="59339B47" wp14:editId="2250ADDC">
                <wp:simplePos x="0" y="0"/>
                <wp:positionH relativeFrom="column">
                  <wp:posOffset>3836670</wp:posOffset>
                </wp:positionH>
                <wp:positionV relativeFrom="paragraph">
                  <wp:posOffset>1672590</wp:posOffset>
                </wp:positionV>
                <wp:extent cx="0" cy="908050"/>
                <wp:effectExtent l="76200" t="38100" r="57150" b="25400"/>
                <wp:wrapNone/>
                <wp:docPr id="9" name="Straight Arrow Connector 9"/>
                <wp:cNvGraphicFramePr/>
                <a:graphic xmlns:a="http://schemas.openxmlformats.org/drawingml/2006/main">
                  <a:graphicData uri="http://schemas.microsoft.com/office/word/2010/wordprocessingShape">
                    <wps:wsp>
                      <wps:cNvCnPr/>
                      <wps:spPr>
                        <a:xfrm flipV="1">
                          <a:off x="0" y="0"/>
                          <a:ext cx="0" cy="9080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878D44" id="_x0000_t32" coordsize="21600,21600" o:spt="32" o:oned="t" path="m,l21600,21600e" filled="f">
                <v:path arrowok="t" fillok="f" o:connecttype="none"/>
                <o:lock v:ext="edit" shapetype="t"/>
              </v:shapetype>
              <v:shape id="Straight Arrow Connector 9" o:spid="_x0000_s1026" type="#_x0000_t32" style="position:absolute;margin-left:302.1pt;margin-top:131.7pt;width:0;height:71.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" strokecolor="red" strokeweight="1.5pt">
                <v:stroke endarrow="block" joinstyle="miter"/>
              </v:shape>
            </w:pict>
          </mc:Fallback>
        </mc:AlternateContent>
      </w:r>
      <w:r w:rsidRPr="00EC3083">
        <w:rPr>
          <w:rFonts w:ascii="Open Sans" w:hAnsi="Open Sans" w:cs="Open Sans"/>
          <w:i/>
          <w:iCs/>
          <w:noProof/>
          <w:lang w:val="en-US"/>
        </w:rPr>
        <mc:AlternateContent>
          <mc:Choice Requires="wps">
            <w:drawing>
              <wp:anchor distT="0" distB="0" distL="114300" distR="114300" simplePos="0" relativeHeight="251663360" behindDoc="0" locked="0" layoutInCell="1" allowOverlap="1" wp14:anchorId="100908E9" wp14:editId="0E520044">
                <wp:simplePos x="0" y="0"/>
                <wp:positionH relativeFrom="column">
                  <wp:posOffset>2846070</wp:posOffset>
                </wp:positionH>
                <wp:positionV relativeFrom="paragraph">
                  <wp:posOffset>2592705</wp:posOffset>
                </wp:positionV>
                <wp:extent cx="2125980" cy="449580"/>
                <wp:effectExtent l="0" t="0" r="26670" b="26670"/>
                <wp:wrapNone/>
                <wp:docPr id="4" name="Text Box 4"/>
                <wp:cNvGraphicFramePr/>
                <a:graphic xmlns:a="http://schemas.openxmlformats.org/drawingml/2006/main">
                  <a:graphicData uri="http://schemas.microsoft.com/office/word/2010/wordprocessingShape">
                    <wps:wsp>
                      <wps:cNvSpPr txBox="1"/>
                      <wps:spPr>
                        <a:xfrm>
                          <a:off x="0" y="0"/>
                          <a:ext cx="2125980" cy="449580"/>
                        </a:xfrm>
                        <a:prstGeom prst="rect">
                          <a:avLst/>
                        </a:prstGeom>
                        <a:solidFill>
                          <a:schemeClr val="lt1"/>
                        </a:solidFill>
                        <a:ln w="12700">
                          <a:solidFill>
                            <a:srgbClr val="FF0000"/>
                          </a:solidFill>
                        </a:ln>
                      </wps:spPr>
                      <wps:txbx>
                        <w:txbxContent>
                          <w:p w14:paraId="3397FB92" w14:textId="5D0D10F0" w:rsidR="00A30C14" w:rsidRDefault="00A30C14" w:rsidP="00290297">
                            <w:pPr>
                              <w:jc w:val="center"/>
                            </w:pPr>
                            <w:r>
                              <w:t>01/10/19: VAT on home e</w:t>
                            </w:r>
                            <w:r w:rsidR="00632789">
                              <w:t>lectricit</w:t>
                            </w:r>
                            <w:r>
                              <w:t>y storage increased to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908E9" id="_x0000_t202" coordsize="21600,21600" o:spt="202" path="m,l,21600r21600,l21600,xe">
                <v:stroke joinstyle="miter"/>
                <v:path gradientshapeok="t" o:connecttype="rect"/>
              </v:shapetype>
              <v:shape id="Text Box 4" o:spid="_x0000_s1026" type="#_x0000_t202" style="position:absolute;margin-left:224.1pt;margin-top:204.15pt;width:16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" fillcolor="white [3201]" strokecolor="red" strokeweight="1pt">
                <v:textbox>
                  <w:txbxContent>
                    <w:p w14:paraId="3397FB92" w14:textId="5D0D10F0" w:rsidR="00A30C14" w:rsidRDefault="00A30C14" w:rsidP="00290297">
                      <w:pPr>
                        <w:jc w:val="center"/>
                      </w:pPr>
                      <w:r>
                        <w:t>01/10/19: VAT on home e</w:t>
                      </w:r>
                      <w:r w:rsidR="00632789">
                        <w:t>lectricit</w:t>
                      </w:r>
                      <w:r>
                        <w:t>y storage increased to 20%</w:t>
                      </w:r>
                    </w:p>
                  </w:txbxContent>
                </v:textbox>
              </v:shape>
            </w:pict>
          </mc:Fallback>
        </mc:AlternateContent>
      </w:r>
      <w:r w:rsidR="00A30C14" w:rsidRPr="00EC3083">
        <w:rPr>
          <w:rFonts w:ascii="Open Sans" w:hAnsi="Open Sans" w:cs="Open Sans"/>
          <w:noProof/>
        </w:rPr>
        <w:t xml:space="preserve"> </w:t>
      </w:r>
      <w:r w:rsidR="00A30C14" w:rsidRPr="00EC3083">
        <w:rPr>
          <w:rFonts w:ascii="Open Sans" w:hAnsi="Open Sans" w:cs="Open Sans"/>
          <w:noProof/>
        </w:rPr>
        <w:drawing>
          <wp:inline distT="0" distB="0" distL="0" distR="0" wp14:anchorId="2FD043E8" wp14:editId="51CC67E4">
            <wp:extent cx="5661660" cy="2484120"/>
            <wp:effectExtent l="0" t="0" r="15240" b="11430"/>
            <wp:docPr id="5" name="Chart 5">
              <a:extLst xmlns:a="http://schemas.openxmlformats.org/drawingml/2006/main">
                <a:ext uri="{FF2B5EF4-FFF2-40B4-BE49-F238E27FC236}">
                  <a16:creationId xmlns:a16="http://schemas.microsoft.com/office/drawing/2014/main" id="{2C649EBA-1876-4CDD-A9E5-D3984C637F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8BA456" w14:textId="27D7AFD9" w:rsidR="00A30C14" w:rsidRDefault="00A30C14" w:rsidP="000F1926">
      <w:pPr>
        <w:rPr>
          <w:rFonts w:ascii="Open Sans" w:hAnsi="Open Sans" w:cs="Open Sans"/>
          <w:i/>
          <w:iCs/>
        </w:rPr>
      </w:pPr>
      <w:r w:rsidRPr="00EC3083">
        <w:rPr>
          <w:rFonts w:ascii="Open Sans" w:hAnsi="Open Sans" w:cs="Open Sans"/>
          <w:i/>
          <w:iCs/>
        </w:rPr>
        <w:t>Source: IHS Markit, 2020</w:t>
      </w:r>
      <w:r w:rsidR="00810049" w:rsidRPr="00EC3083">
        <w:rPr>
          <w:rStyle w:val="EndnoteReference"/>
          <w:rFonts w:ascii="Open Sans" w:hAnsi="Open Sans" w:cs="Open Sans"/>
          <w:b/>
          <w:bCs/>
        </w:rPr>
        <w:endnoteReference w:id="18"/>
      </w:r>
    </w:p>
    <w:p w14:paraId="5A7A9A9C" w14:textId="77777777" w:rsidR="005D69E9" w:rsidRDefault="005D69E9" w:rsidP="000F1926">
      <w:pPr>
        <w:rPr>
          <w:rFonts w:ascii="Open Sans" w:hAnsi="Open Sans" w:cs="Open Sans"/>
        </w:rPr>
      </w:pPr>
    </w:p>
    <w:p w14:paraId="29BB8F02" w14:textId="77777777" w:rsidR="005D69E9" w:rsidRDefault="005D69E9" w:rsidP="000F1926">
      <w:pPr>
        <w:rPr>
          <w:rFonts w:ascii="Open Sans" w:hAnsi="Open Sans" w:cs="Open Sans"/>
        </w:rPr>
      </w:pPr>
    </w:p>
    <w:p w14:paraId="50AE5DFC" w14:textId="28B9DFF5" w:rsidR="005D69E9" w:rsidRPr="005D69E9" w:rsidRDefault="005D69E9" w:rsidP="005D69E9">
      <w:pPr>
        <w:rPr>
          <w:rFonts w:ascii="Open Sans" w:hAnsi="Open Sans" w:cs="Open Sans"/>
        </w:rPr>
      </w:pPr>
      <w:bookmarkStart w:id="7" w:name="_Toc44681837"/>
      <w:r>
        <w:rPr>
          <w:rFonts w:ascii="Open Sans" w:hAnsi="Open Sans" w:cs="Open Sans"/>
        </w:rPr>
        <w:t xml:space="preserve">This is significant as the domestic energy market is a crucial growth market for the UK. Domestic energy technology pioneered in Britain, for example by companies such as </w:t>
      </w:r>
      <w:proofErr w:type="spellStart"/>
      <w:r>
        <w:rPr>
          <w:rFonts w:ascii="Open Sans" w:hAnsi="Open Sans" w:cs="Open Sans"/>
        </w:rPr>
        <w:t>Moixa</w:t>
      </w:r>
      <w:proofErr w:type="spellEnd"/>
      <w:r>
        <w:rPr>
          <w:rStyle w:val="EndnoteReference"/>
          <w:rFonts w:ascii="Open Sans" w:hAnsi="Open Sans" w:cs="Open Sans"/>
        </w:rPr>
        <w:endnoteReference w:id="19"/>
      </w:r>
      <w:r>
        <w:rPr>
          <w:rFonts w:ascii="Open Sans" w:hAnsi="Open Sans" w:cs="Open Sans"/>
        </w:rPr>
        <w:t xml:space="preserve"> and Octopus Energy</w:t>
      </w:r>
      <w:r w:rsidR="00721EC8">
        <w:rPr>
          <w:rStyle w:val="EndnoteReference"/>
          <w:rFonts w:ascii="Open Sans" w:hAnsi="Open Sans" w:cs="Open Sans"/>
        </w:rPr>
        <w:endnoteReference w:id="20"/>
      </w:r>
      <w:r>
        <w:rPr>
          <w:rFonts w:ascii="Open Sans" w:hAnsi="Open Sans" w:cs="Open Sans"/>
        </w:rPr>
        <w:t xml:space="preserve">, is now being deployed internationally but a strong domestic market needs to grow if we are to see other success stories emerge. </w:t>
      </w:r>
    </w:p>
    <w:bookmarkEnd w:id="7"/>
    <w:p w14:paraId="740801B5" w14:textId="086EF5F3" w:rsidR="00721EC8" w:rsidRPr="00EC3083" w:rsidRDefault="00721EC8" w:rsidP="00721EC8">
      <w:pPr>
        <w:jc w:val="both"/>
        <w:rPr>
          <w:rFonts w:ascii="Open Sans" w:hAnsi="Open Sans" w:cs="Open Sans"/>
          <w:b/>
          <w:bCs/>
          <w:color w:val="06926B"/>
          <w:sz w:val="32"/>
          <w:szCs w:val="32"/>
        </w:rPr>
      </w:pPr>
      <w:r>
        <w:rPr>
          <w:rFonts w:ascii="Open Sans" w:hAnsi="Open Sans" w:cs="Open Sans"/>
          <w:b/>
          <w:bCs/>
          <w:color w:val="06926B"/>
          <w:sz w:val="32"/>
          <w:szCs w:val="32"/>
        </w:rPr>
        <w:t xml:space="preserve">The Problem </w:t>
      </w:r>
    </w:p>
    <w:p w14:paraId="5092C074" w14:textId="31CA28CC" w:rsidR="00A30C14" w:rsidRPr="00EC3083" w:rsidRDefault="00A30C14" w:rsidP="00037485">
      <w:pPr>
        <w:jc w:val="both"/>
        <w:rPr>
          <w:rFonts w:ascii="Open Sans" w:hAnsi="Open Sans" w:cs="Open Sans"/>
        </w:rPr>
      </w:pPr>
      <w:r w:rsidRPr="00EC3083">
        <w:rPr>
          <w:rFonts w:ascii="Open Sans" w:hAnsi="Open Sans" w:cs="Open Sans"/>
        </w:rPr>
        <w:t xml:space="preserve">There are policy and regulatory issues contributing to the slow pace of growth in home </w:t>
      </w:r>
      <w:r w:rsidR="00F9124C">
        <w:rPr>
          <w:rFonts w:ascii="Open Sans" w:hAnsi="Open Sans" w:cs="Open Sans"/>
        </w:rPr>
        <w:t>electricity</w:t>
      </w:r>
      <w:r w:rsidR="00F9124C" w:rsidRPr="00EC3083">
        <w:rPr>
          <w:rFonts w:ascii="Open Sans" w:hAnsi="Open Sans" w:cs="Open Sans"/>
        </w:rPr>
        <w:t xml:space="preserve"> </w:t>
      </w:r>
      <w:r w:rsidRPr="00EC3083">
        <w:rPr>
          <w:rFonts w:ascii="Open Sans" w:hAnsi="Open Sans" w:cs="Open Sans"/>
        </w:rPr>
        <w:t>storage:</w:t>
      </w:r>
    </w:p>
    <w:p w14:paraId="327D1B96" w14:textId="16F012EF" w:rsidR="00A30C14" w:rsidRPr="00EC3083" w:rsidRDefault="00A30C14" w:rsidP="005D7DE1">
      <w:pPr>
        <w:pStyle w:val="ListParagraph"/>
        <w:numPr>
          <w:ilvl w:val="0"/>
          <w:numId w:val="3"/>
        </w:numPr>
        <w:jc w:val="both"/>
        <w:rPr>
          <w:rFonts w:ascii="Open Sans" w:hAnsi="Open Sans" w:cs="Open Sans"/>
        </w:rPr>
      </w:pPr>
      <w:r w:rsidRPr="00EC3083">
        <w:rPr>
          <w:rFonts w:ascii="Open Sans" w:hAnsi="Open Sans" w:cs="Open Sans"/>
          <w:b/>
          <w:bCs/>
        </w:rPr>
        <w:t>Market failure: UK home e</w:t>
      </w:r>
      <w:r w:rsidR="009F4F45">
        <w:rPr>
          <w:rFonts w:ascii="Open Sans" w:hAnsi="Open Sans" w:cs="Open Sans"/>
          <w:b/>
          <w:bCs/>
        </w:rPr>
        <w:t>lectricit</w:t>
      </w:r>
      <w:r w:rsidRPr="00EC3083">
        <w:rPr>
          <w:rFonts w:ascii="Open Sans" w:hAnsi="Open Sans" w:cs="Open Sans"/>
          <w:b/>
          <w:bCs/>
        </w:rPr>
        <w:t>y storage users are under-rewarded relative to the benefit they provide</w:t>
      </w:r>
    </w:p>
    <w:p w14:paraId="653F690C" w14:textId="596E88C5" w:rsidR="00A30C14" w:rsidRPr="00EC3083" w:rsidRDefault="00A30C14" w:rsidP="00B07174">
      <w:pPr>
        <w:jc w:val="both"/>
        <w:rPr>
          <w:rFonts w:ascii="Open Sans" w:hAnsi="Open Sans" w:cs="Open Sans"/>
        </w:rPr>
      </w:pPr>
      <w:r w:rsidRPr="00EC3083">
        <w:rPr>
          <w:rFonts w:ascii="Open Sans" w:hAnsi="Open Sans" w:cs="Open Sans"/>
        </w:rPr>
        <w:t xml:space="preserve">Most domestic electricity tariffs are a single fixed rate 24/7 and/or are settled on profiles rather than half-hourly, whereas within a 24 hour period the actual market price of electricity varies from 8p/kWh to 23p/kWh on an average day, and frequently significantly lower and higher. </w:t>
      </w:r>
      <w:proofErr w:type="gramStart"/>
      <w:r w:rsidRPr="00EC3083">
        <w:rPr>
          <w:rFonts w:ascii="Open Sans" w:hAnsi="Open Sans" w:cs="Open Sans"/>
        </w:rPr>
        <w:t>Thus</w:t>
      </w:r>
      <w:proofErr w:type="gramEnd"/>
      <w:r w:rsidRPr="00EC3083">
        <w:rPr>
          <w:rFonts w:ascii="Open Sans" w:hAnsi="Open Sans" w:cs="Open Sans"/>
        </w:rPr>
        <w:t xml:space="preserve"> domestic electricity tariffs do not represent the true market rates of electricity during peak and off-peak times. This means that homeowners and other operators (e.g. utilities and </w:t>
      </w:r>
      <w:r w:rsidRPr="00EC3083">
        <w:rPr>
          <w:rFonts w:ascii="Open Sans" w:hAnsi="Open Sans" w:cs="Open Sans"/>
        </w:rPr>
        <w:lastRenderedPageBreak/>
        <w:t xml:space="preserve">aggregators) with storage are under-rewarded relative to the system value they provide, including using more renewable energy and relying less on fossil fuels. </w:t>
      </w:r>
    </w:p>
    <w:p w14:paraId="7B1234AF" w14:textId="4563EABD" w:rsidR="00357736" w:rsidRPr="00EC3083" w:rsidRDefault="00357736" w:rsidP="00357736">
      <w:pPr>
        <w:jc w:val="both"/>
        <w:rPr>
          <w:rFonts w:ascii="Open Sans" w:hAnsi="Open Sans" w:cs="Open Sans"/>
        </w:rPr>
      </w:pPr>
      <w:r w:rsidRPr="00EC3083">
        <w:rPr>
          <w:rFonts w:ascii="Open Sans" w:hAnsi="Open Sans" w:cs="Open Sans"/>
        </w:rPr>
        <w:t>To illustrate this, a storage customer on a dynamic half-hourly smart tariff can save 3 times more than the same customer on a flat rate tariff. Therefore, the full potential of the technology has not been unlocked, and this will continue to be the case for at least several years according to Ofgem’s market-wide half-hourly settlement timelines (smart meter target 2024; no deadline for settlement consultation).</w:t>
      </w:r>
    </w:p>
    <w:p w14:paraId="59DD079D" w14:textId="42F8A60A" w:rsidR="00A30C14" w:rsidRPr="00EC3083" w:rsidRDefault="00A30C14" w:rsidP="002317E5">
      <w:pPr>
        <w:pStyle w:val="ListParagraph"/>
        <w:numPr>
          <w:ilvl w:val="0"/>
          <w:numId w:val="3"/>
        </w:numPr>
        <w:jc w:val="both"/>
        <w:rPr>
          <w:rFonts w:ascii="Open Sans" w:hAnsi="Open Sans" w:cs="Open Sans"/>
        </w:rPr>
      </w:pPr>
      <w:r w:rsidRPr="00EC3083">
        <w:rPr>
          <w:rFonts w:ascii="Open Sans" w:hAnsi="Open Sans" w:cs="Open Sans"/>
          <w:b/>
          <w:bCs/>
        </w:rPr>
        <w:t>Unfair tax treatment: VAT increased to 20% despite energy and carbon benefits</w:t>
      </w:r>
    </w:p>
    <w:p w14:paraId="579A0618" w14:textId="29851F30" w:rsidR="00A30C14" w:rsidRPr="00EC3083" w:rsidRDefault="00A30C14" w:rsidP="00B07174">
      <w:pPr>
        <w:jc w:val="both"/>
        <w:rPr>
          <w:rFonts w:ascii="Open Sans" w:hAnsi="Open Sans" w:cs="Open Sans"/>
        </w:rPr>
      </w:pPr>
      <w:r w:rsidRPr="00EC3083">
        <w:rPr>
          <w:rFonts w:ascii="Open Sans" w:hAnsi="Open Sans" w:cs="Open Sans"/>
        </w:rPr>
        <w:t>Following VAT changes last year, all e</w:t>
      </w:r>
      <w:r w:rsidR="009F4F45">
        <w:rPr>
          <w:rFonts w:ascii="Open Sans" w:hAnsi="Open Sans" w:cs="Open Sans"/>
        </w:rPr>
        <w:t xml:space="preserve">lectricity </w:t>
      </w:r>
      <w:r w:rsidRPr="00EC3083">
        <w:rPr>
          <w:rFonts w:ascii="Open Sans" w:hAnsi="Open Sans" w:cs="Open Sans"/>
        </w:rPr>
        <w:t>storage is currently taxed at 20%. Low rate VAT in this sector is supposed to be dictated by the social goods they provide, which include environmental benefits. All the sources cited above highlight the critical role e</w:t>
      </w:r>
      <w:r w:rsidR="009F4F45">
        <w:rPr>
          <w:rFonts w:ascii="Open Sans" w:hAnsi="Open Sans" w:cs="Open Sans"/>
        </w:rPr>
        <w:t>lectricit</w:t>
      </w:r>
      <w:r w:rsidRPr="00EC3083">
        <w:rPr>
          <w:rFonts w:ascii="Open Sans" w:hAnsi="Open Sans" w:cs="Open Sans"/>
        </w:rPr>
        <w:t xml:space="preserve">y storage must play in reducing carbon emissions to achieve Net Zero; renewable energy cannot be deployed at sufficient levels without it. </w:t>
      </w:r>
    </w:p>
    <w:p w14:paraId="074E6E0E" w14:textId="6CDFD1AC" w:rsidR="00F9124C" w:rsidRDefault="00A30C14" w:rsidP="00B07174">
      <w:pPr>
        <w:jc w:val="both"/>
        <w:rPr>
          <w:rFonts w:ascii="Open Sans" w:hAnsi="Open Sans" w:cs="Open Sans"/>
        </w:rPr>
      </w:pPr>
      <w:r w:rsidRPr="00EC3083">
        <w:rPr>
          <w:rFonts w:ascii="Open Sans" w:hAnsi="Open Sans" w:cs="Open Sans"/>
        </w:rPr>
        <w:t>Consumers buying e</w:t>
      </w:r>
      <w:r w:rsidR="009F4F45">
        <w:rPr>
          <w:rFonts w:ascii="Open Sans" w:hAnsi="Open Sans" w:cs="Open Sans"/>
        </w:rPr>
        <w:t>lectricity</w:t>
      </w:r>
      <w:r w:rsidRPr="00EC3083">
        <w:rPr>
          <w:rFonts w:ascii="Open Sans" w:hAnsi="Open Sans" w:cs="Open Sans"/>
        </w:rPr>
        <w:t xml:space="preserve"> storage value it based on</w:t>
      </w:r>
      <w:r w:rsidR="00632789">
        <w:rPr>
          <w:rFonts w:ascii="Open Sans" w:hAnsi="Open Sans" w:cs="Open Sans"/>
        </w:rPr>
        <w:t>:</w:t>
      </w:r>
      <w:r w:rsidRPr="00EC3083">
        <w:rPr>
          <w:rFonts w:ascii="Open Sans" w:hAnsi="Open Sans" w:cs="Open Sans"/>
        </w:rPr>
        <w:t xml:space="preserve"> </w:t>
      </w:r>
    </w:p>
    <w:p w14:paraId="56922B9F" w14:textId="77777777" w:rsidR="00F9124C" w:rsidRDefault="00A30C14" w:rsidP="00F9124C">
      <w:pPr>
        <w:ind w:firstLine="360"/>
        <w:jc w:val="both"/>
        <w:rPr>
          <w:rFonts w:ascii="Open Sans" w:hAnsi="Open Sans" w:cs="Open Sans"/>
        </w:rPr>
      </w:pPr>
      <w:r w:rsidRPr="00EC3083">
        <w:rPr>
          <w:rFonts w:ascii="Open Sans" w:hAnsi="Open Sans" w:cs="Open Sans"/>
        </w:rPr>
        <w:t xml:space="preserve">A) reducing grid electricity imports, and </w:t>
      </w:r>
    </w:p>
    <w:p w14:paraId="646D5629" w14:textId="77777777" w:rsidR="00F9124C" w:rsidRDefault="00A30C14" w:rsidP="00F9124C">
      <w:pPr>
        <w:ind w:firstLine="360"/>
        <w:jc w:val="both"/>
        <w:rPr>
          <w:rFonts w:ascii="Open Sans" w:hAnsi="Open Sans" w:cs="Open Sans"/>
        </w:rPr>
      </w:pPr>
      <w:r w:rsidRPr="00EC3083">
        <w:rPr>
          <w:rFonts w:ascii="Open Sans" w:hAnsi="Open Sans" w:cs="Open Sans"/>
        </w:rPr>
        <w:t xml:space="preserve">B) carbon benefits from reducing peak demand and facilitating renewables. </w:t>
      </w:r>
    </w:p>
    <w:p w14:paraId="0C570F87" w14:textId="77777777" w:rsidR="00632789" w:rsidRDefault="00A30C14" w:rsidP="00F9124C">
      <w:pPr>
        <w:jc w:val="both"/>
        <w:rPr>
          <w:rFonts w:ascii="Open Sans" w:hAnsi="Open Sans" w:cs="Open Sans"/>
        </w:rPr>
      </w:pPr>
      <w:r w:rsidRPr="00EC3083">
        <w:rPr>
          <w:rFonts w:ascii="Open Sans" w:hAnsi="Open Sans" w:cs="Open Sans"/>
        </w:rPr>
        <w:t>With regard to A) it seems unjust that electricity consumption from the grid (produced in part from burning gas and coal) AND purchasing oil and natural gas to burn in domestic boilers are taxed at 5%, while purchasing home e</w:t>
      </w:r>
      <w:r w:rsidR="009F4F45">
        <w:rPr>
          <w:rFonts w:ascii="Open Sans" w:hAnsi="Open Sans" w:cs="Open Sans"/>
        </w:rPr>
        <w:t>lectricit</w:t>
      </w:r>
      <w:r w:rsidRPr="00EC3083">
        <w:rPr>
          <w:rFonts w:ascii="Open Sans" w:hAnsi="Open Sans" w:cs="Open Sans"/>
        </w:rPr>
        <w:t xml:space="preserve">y storage to reduce fossil fuel use is taxed at 20%. </w:t>
      </w:r>
    </w:p>
    <w:p w14:paraId="31A16305" w14:textId="6404199A" w:rsidR="00A30C14" w:rsidRPr="00EC3083" w:rsidRDefault="00A30C14" w:rsidP="00F9124C">
      <w:pPr>
        <w:jc w:val="both"/>
        <w:rPr>
          <w:rFonts w:ascii="Open Sans" w:hAnsi="Open Sans" w:cs="Open Sans"/>
        </w:rPr>
      </w:pPr>
      <w:proofErr w:type="gramStart"/>
      <w:r w:rsidRPr="00EC3083">
        <w:rPr>
          <w:rFonts w:ascii="Open Sans" w:hAnsi="Open Sans" w:cs="Open Sans"/>
        </w:rPr>
        <w:t>With regard to</w:t>
      </w:r>
      <w:proofErr w:type="gramEnd"/>
      <w:r w:rsidRPr="00EC3083">
        <w:rPr>
          <w:rFonts w:ascii="Open Sans" w:hAnsi="Open Sans" w:cs="Open Sans"/>
        </w:rPr>
        <w:t xml:space="preserve"> B) low rate VAT eligibility is presently driven by a narrow definition of “energy saving” within the home, which is out of sync with the technology’s widely accepted carbon benefits. This makes no sense within the framework of our legally binding requirement to reach Net Zero by 2050. </w:t>
      </w:r>
    </w:p>
    <w:p w14:paraId="0BAE52B7" w14:textId="59DF3E90" w:rsidR="00A30C14" w:rsidRPr="00EC3083" w:rsidRDefault="00A30C14" w:rsidP="002317E5">
      <w:pPr>
        <w:pStyle w:val="ListParagraph"/>
        <w:numPr>
          <w:ilvl w:val="0"/>
          <w:numId w:val="3"/>
        </w:numPr>
        <w:jc w:val="both"/>
        <w:rPr>
          <w:rFonts w:ascii="Open Sans" w:hAnsi="Open Sans" w:cs="Open Sans"/>
        </w:rPr>
      </w:pPr>
      <w:r w:rsidRPr="00EC3083">
        <w:rPr>
          <w:rFonts w:ascii="Open Sans" w:hAnsi="Open Sans" w:cs="Open Sans"/>
          <w:b/>
          <w:bCs/>
        </w:rPr>
        <w:t>Lack of support for flexibility: the missing piece of the Net Zero strategy</w:t>
      </w:r>
    </w:p>
    <w:p w14:paraId="41DDBA18" w14:textId="438FA0D2" w:rsidR="00A30C14" w:rsidRPr="00EC3083" w:rsidRDefault="00A30C14" w:rsidP="00B07174">
      <w:pPr>
        <w:jc w:val="both"/>
        <w:rPr>
          <w:rFonts w:ascii="Open Sans" w:hAnsi="Open Sans" w:cs="Open Sans"/>
        </w:rPr>
      </w:pPr>
      <w:r w:rsidRPr="00EC3083">
        <w:rPr>
          <w:rFonts w:ascii="Open Sans" w:hAnsi="Open Sans" w:cs="Open Sans"/>
        </w:rPr>
        <w:t>To meet our climate targets the Government provides time-limited support to kickstart deployment of new low carbon technologies including electric transport (EV and charger grants), low carbon heat (RHI, Green Gas Support Scheme, Clean Heat Grant</w:t>
      </w:r>
      <w:r w:rsidR="004332E7">
        <w:rPr>
          <w:rFonts w:ascii="Open Sans" w:hAnsi="Open Sans" w:cs="Open Sans"/>
        </w:rPr>
        <w:t>, Green Homes Grant, Public Sector Decarbonisation Scheme, Social Housing Decarbonisation Fund Demonstrator</w:t>
      </w:r>
      <w:r w:rsidRPr="00EC3083">
        <w:rPr>
          <w:rFonts w:ascii="Open Sans" w:hAnsi="Open Sans" w:cs="Open Sans"/>
        </w:rPr>
        <w:t>), energy efficiency (G</w:t>
      </w:r>
      <w:r w:rsidR="004332E7">
        <w:rPr>
          <w:rFonts w:ascii="Open Sans" w:hAnsi="Open Sans" w:cs="Open Sans"/>
        </w:rPr>
        <w:t>HG, SHDFD and PSDS</w:t>
      </w:r>
      <w:r w:rsidRPr="00EC3083">
        <w:rPr>
          <w:rFonts w:ascii="Open Sans" w:hAnsi="Open Sans" w:cs="Open Sans"/>
        </w:rPr>
        <w:t>), and previously domestic renewable electricity generation</w:t>
      </w:r>
      <w:r w:rsidR="001B0787">
        <w:rPr>
          <w:rFonts w:ascii="Open Sans" w:hAnsi="Open Sans" w:cs="Open Sans"/>
        </w:rPr>
        <w:t xml:space="preserve"> (</w:t>
      </w:r>
      <w:r w:rsidRPr="00EC3083">
        <w:rPr>
          <w:rFonts w:ascii="Open Sans" w:hAnsi="Open Sans" w:cs="Open Sans"/>
        </w:rPr>
        <w:t>F</w:t>
      </w:r>
      <w:r w:rsidR="001B0787">
        <w:rPr>
          <w:rFonts w:ascii="Open Sans" w:hAnsi="Open Sans" w:cs="Open Sans"/>
        </w:rPr>
        <w:t xml:space="preserve">eed </w:t>
      </w:r>
      <w:r w:rsidRPr="00EC3083">
        <w:rPr>
          <w:rFonts w:ascii="Open Sans" w:hAnsi="Open Sans" w:cs="Open Sans"/>
        </w:rPr>
        <w:t>i</w:t>
      </w:r>
      <w:r w:rsidR="001B0787">
        <w:rPr>
          <w:rFonts w:ascii="Open Sans" w:hAnsi="Open Sans" w:cs="Open Sans"/>
        </w:rPr>
        <w:t xml:space="preserve">n </w:t>
      </w:r>
      <w:r w:rsidRPr="00EC3083">
        <w:rPr>
          <w:rFonts w:ascii="Open Sans" w:hAnsi="Open Sans" w:cs="Open Sans"/>
        </w:rPr>
        <w:t>T</w:t>
      </w:r>
      <w:r w:rsidR="001B0787">
        <w:rPr>
          <w:rFonts w:ascii="Open Sans" w:hAnsi="Open Sans" w:cs="Open Sans"/>
        </w:rPr>
        <w:t>ariff</w:t>
      </w:r>
      <w:r w:rsidRPr="00EC3083">
        <w:rPr>
          <w:rFonts w:ascii="Open Sans" w:hAnsi="Open Sans" w:cs="Open Sans"/>
        </w:rPr>
        <w:t>). We welcome these initiatives, though highlight the urgent need for flexibility to keep costs down as heat and transport are electrified and to enable sufficient renewable energy deployment. Despite this need and the present market failures described, there is no Government support available for home e</w:t>
      </w:r>
      <w:r w:rsidR="009F4F45">
        <w:rPr>
          <w:rFonts w:ascii="Open Sans" w:hAnsi="Open Sans" w:cs="Open Sans"/>
        </w:rPr>
        <w:t>lectricit</w:t>
      </w:r>
      <w:r w:rsidRPr="00EC3083">
        <w:rPr>
          <w:rFonts w:ascii="Open Sans" w:hAnsi="Open Sans" w:cs="Open Sans"/>
        </w:rPr>
        <w:t>y storage and other load-shifting technologies. The UK is exceptional in this respect among leading markets (see annex).  If we are to meet our Net Zero targets, our strategy must include energy flexibility alongside low carbon energy and energy efficiency.</w:t>
      </w:r>
    </w:p>
    <w:p w14:paraId="0B66113D" w14:textId="05869348" w:rsidR="00A30C14" w:rsidRPr="00EC3083" w:rsidRDefault="00A30C14" w:rsidP="00F35F7B">
      <w:pPr>
        <w:pStyle w:val="ListParagraph"/>
        <w:numPr>
          <w:ilvl w:val="0"/>
          <w:numId w:val="3"/>
        </w:numPr>
        <w:jc w:val="both"/>
        <w:rPr>
          <w:rFonts w:ascii="Open Sans" w:hAnsi="Open Sans" w:cs="Open Sans"/>
        </w:rPr>
      </w:pPr>
      <w:r w:rsidRPr="00EC3083">
        <w:rPr>
          <w:rFonts w:ascii="Open Sans" w:hAnsi="Open Sans" w:cs="Open Sans"/>
          <w:b/>
          <w:bCs/>
        </w:rPr>
        <w:t>Market failure: smart home e</w:t>
      </w:r>
      <w:r w:rsidR="009F4F45">
        <w:rPr>
          <w:rFonts w:ascii="Open Sans" w:hAnsi="Open Sans" w:cs="Open Sans"/>
          <w:b/>
          <w:bCs/>
        </w:rPr>
        <w:t>lectricit</w:t>
      </w:r>
      <w:r w:rsidRPr="00EC3083">
        <w:rPr>
          <w:rFonts w:ascii="Open Sans" w:hAnsi="Open Sans" w:cs="Open Sans"/>
          <w:b/>
          <w:bCs/>
        </w:rPr>
        <w:t>y storage is overcharged</w:t>
      </w:r>
    </w:p>
    <w:p w14:paraId="39E9BBA3" w14:textId="18932552" w:rsidR="00A30C14" w:rsidRPr="00EC3083" w:rsidRDefault="00A30C14" w:rsidP="00B07174">
      <w:pPr>
        <w:jc w:val="both"/>
        <w:rPr>
          <w:rFonts w:ascii="Open Sans" w:hAnsi="Open Sans" w:cs="Open Sans"/>
        </w:rPr>
      </w:pPr>
      <w:r w:rsidRPr="00EC3083">
        <w:rPr>
          <w:rFonts w:ascii="Open Sans" w:hAnsi="Open Sans" w:cs="Open Sans"/>
        </w:rPr>
        <w:lastRenderedPageBreak/>
        <w:t xml:space="preserve">We welcome in general terms the work BEIS is doing to resolve double charging of final consumption levies and </w:t>
      </w:r>
      <w:r w:rsidR="001B0787">
        <w:rPr>
          <w:rFonts w:ascii="Open Sans" w:hAnsi="Open Sans" w:cs="Open Sans"/>
        </w:rPr>
        <w:t>Balancing Service Use of System (</w:t>
      </w:r>
      <w:proofErr w:type="spellStart"/>
      <w:r w:rsidRPr="00EC3083">
        <w:rPr>
          <w:rFonts w:ascii="Open Sans" w:hAnsi="Open Sans" w:cs="Open Sans"/>
        </w:rPr>
        <w:t>BSUoS</w:t>
      </w:r>
      <w:proofErr w:type="spellEnd"/>
      <w:r w:rsidR="001B0787">
        <w:rPr>
          <w:rFonts w:ascii="Open Sans" w:hAnsi="Open Sans" w:cs="Open Sans"/>
        </w:rPr>
        <w:t>)</w:t>
      </w:r>
      <w:r w:rsidRPr="00EC3083">
        <w:rPr>
          <w:rFonts w:ascii="Open Sans" w:hAnsi="Open Sans" w:cs="Open Sans"/>
        </w:rPr>
        <w:t xml:space="preserve">. However, the changes </w:t>
      </w:r>
      <w:r w:rsidR="00E36C9C">
        <w:rPr>
          <w:rFonts w:ascii="Open Sans" w:hAnsi="Open Sans" w:cs="Open Sans"/>
        </w:rPr>
        <w:t xml:space="preserve">introduced to date only benefit standalone licensed utility scale installations and no solution has yet been developed to remove these unfair double charges from </w:t>
      </w:r>
      <w:r w:rsidRPr="00EC3083">
        <w:rPr>
          <w:rFonts w:ascii="Open Sans" w:hAnsi="Open Sans" w:cs="Open Sans"/>
        </w:rPr>
        <w:t xml:space="preserve">home </w:t>
      </w:r>
      <w:r w:rsidR="009F4F45">
        <w:rPr>
          <w:rFonts w:ascii="Open Sans" w:hAnsi="Open Sans" w:cs="Open Sans"/>
        </w:rPr>
        <w:t>electricity</w:t>
      </w:r>
      <w:r w:rsidR="009F4F45" w:rsidRPr="00EC3083">
        <w:rPr>
          <w:rFonts w:ascii="Open Sans" w:hAnsi="Open Sans" w:cs="Open Sans"/>
        </w:rPr>
        <w:t xml:space="preserve"> </w:t>
      </w:r>
      <w:r w:rsidRPr="00EC3083">
        <w:rPr>
          <w:rFonts w:ascii="Open Sans" w:hAnsi="Open Sans" w:cs="Open Sans"/>
        </w:rPr>
        <w:t xml:space="preserve">storage due to its </w:t>
      </w:r>
      <w:r w:rsidR="009F5ADB">
        <w:rPr>
          <w:rFonts w:ascii="Open Sans" w:hAnsi="Open Sans" w:cs="Open Sans"/>
        </w:rPr>
        <w:t>location</w:t>
      </w:r>
      <w:r w:rsidRPr="00EC3083">
        <w:rPr>
          <w:rFonts w:ascii="Open Sans" w:hAnsi="Open Sans" w:cs="Open Sans"/>
        </w:rPr>
        <w:t xml:space="preserve"> behind domestic energy meters. This distortion continues unresolved</w:t>
      </w:r>
      <w:r w:rsidR="009F5ADB">
        <w:rPr>
          <w:rFonts w:ascii="Open Sans" w:hAnsi="Open Sans" w:cs="Open Sans"/>
        </w:rPr>
        <w:t>, hindering the economic case for installing home e</w:t>
      </w:r>
      <w:r w:rsidR="009F4F45">
        <w:rPr>
          <w:rFonts w:ascii="Open Sans" w:hAnsi="Open Sans" w:cs="Open Sans"/>
        </w:rPr>
        <w:t>lectricit</w:t>
      </w:r>
      <w:r w:rsidR="009F5ADB">
        <w:rPr>
          <w:rFonts w:ascii="Open Sans" w:hAnsi="Open Sans" w:cs="Open Sans"/>
        </w:rPr>
        <w:t>y storage,</w:t>
      </w:r>
      <w:r w:rsidRPr="00EC3083">
        <w:rPr>
          <w:rFonts w:ascii="Open Sans" w:hAnsi="Open Sans" w:cs="Open Sans"/>
        </w:rPr>
        <w:t xml:space="preserve"> and put</w:t>
      </w:r>
      <w:r w:rsidR="009F5ADB">
        <w:rPr>
          <w:rFonts w:ascii="Open Sans" w:hAnsi="Open Sans" w:cs="Open Sans"/>
        </w:rPr>
        <w:t>ting</w:t>
      </w:r>
      <w:r w:rsidRPr="00EC3083">
        <w:rPr>
          <w:rFonts w:ascii="Open Sans" w:hAnsi="Open Sans" w:cs="Open Sans"/>
        </w:rPr>
        <w:t xml:space="preserve"> our segment at a competitive disadvantage while artificially inflating consumer costs. In terms of impact, when importing from and exporting to the grid for grid services and time-of-use tariffs customers are charged £48/MWh in levies on electricity they do not consume. Considering an average off-peak rate for buying electricity from the grid is 8p/kWh, and final consumption levies are 4.8p/kWh, the correct cost is 3.2p/kWh; customers purchasing home </w:t>
      </w:r>
      <w:r w:rsidR="009F4F45">
        <w:rPr>
          <w:rFonts w:ascii="Open Sans" w:hAnsi="Open Sans" w:cs="Open Sans"/>
        </w:rPr>
        <w:t>electricity</w:t>
      </w:r>
      <w:r w:rsidR="009F4F45" w:rsidRPr="00EC3083">
        <w:rPr>
          <w:rFonts w:ascii="Open Sans" w:hAnsi="Open Sans" w:cs="Open Sans"/>
        </w:rPr>
        <w:t xml:space="preserve"> </w:t>
      </w:r>
      <w:r w:rsidRPr="00EC3083">
        <w:rPr>
          <w:rFonts w:ascii="Open Sans" w:hAnsi="Open Sans" w:cs="Open Sans"/>
        </w:rPr>
        <w:t>storage devices are therefore charged at 250% the rate they ‘should’ be.</w:t>
      </w:r>
    </w:p>
    <w:p w14:paraId="52544475" w14:textId="77777777" w:rsidR="00E92104" w:rsidRPr="00EC3083" w:rsidRDefault="00E92104" w:rsidP="00E92104">
      <w:pPr>
        <w:rPr>
          <w:rFonts w:ascii="Open Sans" w:hAnsi="Open Sans" w:cs="Open Sans"/>
          <w:color w:val="2F5496" w:themeColor="accent1" w:themeShade="BF"/>
          <w:sz w:val="32"/>
          <w:szCs w:val="32"/>
        </w:rPr>
      </w:pPr>
      <w:bookmarkStart w:id="8" w:name="_Toc44681838"/>
    </w:p>
    <w:p w14:paraId="7725FC0D" w14:textId="4568CB94" w:rsidR="0043493A" w:rsidRPr="00EC3083" w:rsidRDefault="0043493A" w:rsidP="0043493A">
      <w:pPr>
        <w:jc w:val="both"/>
        <w:rPr>
          <w:rFonts w:ascii="Open Sans" w:hAnsi="Open Sans" w:cs="Open Sans"/>
          <w:b/>
          <w:bCs/>
          <w:color w:val="06926B"/>
          <w:sz w:val="32"/>
          <w:szCs w:val="32"/>
        </w:rPr>
      </w:pPr>
      <w:r>
        <w:rPr>
          <w:rFonts w:ascii="Open Sans" w:hAnsi="Open Sans" w:cs="Open Sans"/>
          <w:b/>
          <w:bCs/>
          <w:color w:val="06926B"/>
          <w:sz w:val="32"/>
          <w:szCs w:val="32"/>
        </w:rPr>
        <w:t>The Role of Brexit</w:t>
      </w:r>
    </w:p>
    <w:p w14:paraId="625E1BE4" w14:textId="0EE74B19" w:rsidR="00A30C14" w:rsidRPr="00EC3083" w:rsidRDefault="0043493A" w:rsidP="0020198B">
      <w:pPr>
        <w:jc w:val="both"/>
        <w:rPr>
          <w:rFonts w:ascii="Open Sans" w:hAnsi="Open Sans" w:cs="Open Sans"/>
        </w:rPr>
      </w:pPr>
      <w:r>
        <w:rPr>
          <w:rFonts w:ascii="Open Sans" w:hAnsi="Open Sans" w:cs="Open Sans"/>
        </w:rPr>
        <w:t>In 2019, the</w:t>
      </w:r>
      <w:r w:rsidR="00A30C14" w:rsidRPr="00EC3083">
        <w:rPr>
          <w:rFonts w:ascii="Open Sans" w:hAnsi="Open Sans" w:cs="Open Sans"/>
        </w:rPr>
        <w:t xml:space="preserve"> increase in VAT was necessary </w:t>
      </w:r>
      <w:proofErr w:type="gramStart"/>
      <w:r w:rsidR="00A30C14" w:rsidRPr="00EC3083">
        <w:rPr>
          <w:rFonts w:ascii="Open Sans" w:hAnsi="Open Sans" w:cs="Open Sans"/>
        </w:rPr>
        <w:t>in order to</w:t>
      </w:r>
      <w:proofErr w:type="gramEnd"/>
      <w:r w:rsidR="00A30C14" w:rsidRPr="00EC3083">
        <w:rPr>
          <w:rFonts w:ascii="Open Sans" w:hAnsi="Open Sans" w:cs="Open Sans"/>
        </w:rPr>
        <w:t xml:space="preserve"> comply with legislation from the European Union. The changes even increased VAT on some solar PV systems to 20%, while electricity from fossil fuel sources is taxed at 5%. The end of the transition period on 1</w:t>
      </w:r>
      <w:r w:rsidR="00A30C14" w:rsidRPr="00EC3083">
        <w:rPr>
          <w:rFonts w:ascii="Open Sans" w:hAnsi="Open Sans" w:cs="Open Sans"/>
          <w:vertAlign w:val="superscript"/>
        </w:rPr>
        <w:t>st</w:t>
      </w:r>
      <w:r w:rsidR="00A30C14" w:rsidRPr="00EC3083">
        <w:rPr>
          <w:rFonts w:ascii="Open Sans" w:hAnsi="Open Sans" w:cs="Open Sans"/>
        </w:rPr>
        <w:t xml:space="preserve"> January 2021 provides a chance to reverse the VAT hike. We have an opportunity to leap ahead in the global energy transition and to develop a manufacturing base and expertise in this industry that could make the UK a world-leader.</w:t>
      </w:r>
    </w:p>
    <w:p w14:paraId="07907234" w14:textId="77777777" w:rsidR="00A30C14" w:rsidRPr="00EC3083" w:rsidRDefault="00A30C14" w:rsidP="0020198B">
      <w:pPr>
        <w:jc w:val="both"/>
        <w:rPr>
          <w:rFonts w:ascii="Open Sans" w:hAnsi="Open Sans" w:cs="Open Sans"/>
          <w:color w:val="2F5496" w:themeColor="accent1" w:themeShade="BF"/>
          <w:sz w:val="32"/>
          <w:szCs w:val="32"/>
        </w:rPr>
      </w:pPr>
    </w:p>
    <w:p w14:paraId="6056CE65" w14:textId="39762CD4" w:rsidR="0043493A" w:rsidRPr="00EC3083" w:rsidRDefault="0043493A" w:rsidP="0043493A">
      <w:pPr>
        <w:jc w:val="both"/>
        <w:rPr>
          <w:rFonts w:ascii="Open Sans" w:hAnsi="Open Sans" w:cs="Open Sans"/>
          <w:b/>
          <w:bCs/>
          <w:color w:val="06926B"/>
          <w:sz w:val="32"/>
          <w:szCs w:val="32"/>
        </w:rPr>
      </w:pPr>
      <w:r>
        <w:rPr>
          <w:rFonts w:ascii="Open Sans" w:hAnsi="Open Sans" w:cs="Open Sans"/>
          <w:b/>
          <w:bCs/>
          <w:color w:val="06926B"/>
          <w:sz w:val="32"/>
          <w:szCs w:val="32"/>
        </w:rPr>
        <w:t>Jobs and Green Recovery</w:t>
      </w:r>
    </w:p>
    <w:p w14:paraId="0E982A61" w14:textId="1DF587CA" w:rsidR="00A30C14" w:rsidRPr="00EC3083" w:rsidRDefault="00A30C14" w:rsidP="00252E88">
      <w:pPr>
        <w:jc w:val="both"/>
        <w:rPr>
          <w:rFonts w:ascii="Open Sans" w:hAnsi="Open Sans" w:cs="Open Sans"/>
        </w:rPr>
      </w:pPr>
      <w:r w:rsidRPr="00EC3083">
        <w:rPr>
          <w:rFonts w:ascii="Open Sans" w:hAnsi="Open Sans" w:cs="Open Sans"/>
        </w:rPr>
        <w:t>We have an unprecedented opportunity to change the present situation following the Government’s commitment to a green recovery.</w:t>
      </w:r>
    </w:p>
    <w:p w14:paraId="75058398" w14:textId="375F4A90" w:rsidR="00A30C14" w:rsidRPr="00EC3083" w:rsidRDefault="00A30C14" w:rsidP="00252E88">
      <w:pPr>
        <w:jc w:val="both"/>
        <w:rPr>
          <w:rFonts w:ascii="Open Sans" w:hAnsi="Open Sans" w:cs="Open Sans"/>
        </w:rPr>
      </w:pPr>
      <w:r w:rsidRPr="00EC3083">
        <w:rPr>
          <w:rFonts w:ascii="Open Sans" w:hAnsi="Open Sans" w:cs="Open Sans"/>
        </w:rPr>
        <w:t>The Committee on Climate Change has recommended the use of tax changes to incentivise the lowering of carbon emissions in the economic recovery</w:t>
      </w:r>
      <w:r w:rsidR="00D049DD">
        <w:rPr>
          <w:rFonts w:ascii="Open Sans" w:hAnsi="Open Sans" w:cs="Open Sans"/>
        </w:rPr>
        <w:t>.</w:t>
      </w:r>
      <w:r w:rsidRPr="00EC3083">
        <w:rPr>
          <w:rStyle w:val="EndnoteReference"/>
          <w:rFonts w:ascii="Open Sans" w:hAnsi="Open Sans" w:cs="Open Sans"/>
        </w:rPr>
        <w:endnoteReference w:id="21"/>
      </w:r>
      <w:r w:rsidRPr="00EC3083">
        <w:rPr>
          <w:rFonts w:ascii="Open Sans" w:hAnsi="Open Sans" w:cs="Open Sans"/>
        </w:rPr>
        <w:t xml:space="preserve"> They also highlight that investments in climate technologies are labour-intensive, spread across the UK and ready to roll out as part of a targeted and timely stimulus package. Their Net Zero report has shown that the net zero economy will require a net zero workforce.</w:t>
      </w:r>
    </w:p>
    <w:p w14:paraId="2CF38A34" w14:textId="322B863C" w:rsidR="00A35DC4" w:rsidRPr="006932D7" w:rsidRDefault="00A35DC4" w:rsidP="00252E88">
      <w:pPr>
        <w:jc w:val="both"/>
        <w:rPr>
          <w:rFonts w:ascii="Open Sans" w:hAnsi="Open Sans" w:cs="Open Sans"/>
          <w:b/>
          <w:bCs/>
          <w:i/>
          <w:iCs/>
        </w:rPr>
      </w:pPr>
      <w:r w:rsidRPr="00EC3083">
        <w:rPr>
          <w:rFonts w:ascii="Open Sans" w:hAnsi="Open Sans" w:cs="Open Sans"/>
          <w:b/>
          <w:bCs/>
          <w:i/>
          <w:iCs/>
        </w:rPr>
        <w:t>Developing a greener</w:t>
      </w:r>
      <w:r w:rsidRPr="006932D7">
        <w:rPr>
          <w:rFonts w:ascii="Open Sans" w:hAnsi="Open Sans" w:cs="Open Sans"/>
          <w:b/>
          <w:bCs/>
          <w:i/>
          <w:iCs/>
        </w:rPr>
        <w:t xml:space="preserve"> workforce</w:t>
      </w:r>
      <w:r w:rsidRPr="00EC3083">
        <w:rPr>
          <w:rFonts w:ascii="Open Sans" w:hAnsi="Open Sans" w:cs="Open Sans"/>
          <w:b/>
          <w:bCs/>
          <w:i/>
          <w:iCs/>
        </w:rPr>
        <w:t>: the facts</w:t>
      </w:r>
    </w:p>
    <w:p w14:paraId="60ADA47A" w14:textId="7B3A90E7" w:rsidR="00A30C14" w:rsidRPr="00EC3083" w:rsidRDefault="00A30C14" w:rsidP="006932D7">
      <w:pPr>
        <w:pStyle w:val="ListParagraph"/>
        <w:numPr>
          <w:ilvl w:val="0"/>
          <w:numId w:val="20"/>
        </w:numPr>
        <w:jc w:val="both"/>
        <w:rPr>
          <w:rFonts w:ascii="Open Sans" w:hAnsi="Open Sans" w:cs="Open Sans"/>
        </w:rPr>
      </w:pPr>
      <w:r w:rsidRPr="00EC3083">
        <w:rPr>
          <w:rFonts w:ascii="Open Sans" w:hAnsi="Open Sans" w:cs="Open Sans"/>
        </w:rPr>
        <w:t>Oxford University’s recent analysis has found that climate investments create twice as many jobs as those in fossil fuels, and that clean infrastructure, R&amp;D and energy efficiency were 3 of the top 5 performing stimuli following the 2008 financial crisis</w:t>
      </w:r>
      <w:r w:rsidR="00D049DD">
        <w:rPr>
          <w:rFonts w:ascii="Open Sans" w:hAnsi="Open Sans" w:cs="Open Sans"/>
        </w:rPr>
        <w:t>.</w:t>
      </w:r>
      <w:r w:rsidRPr="00EC3083">
        <w:rPr>
          <w:rStyle w:val="EndnoteReference"/>
          <w:rFonts w:ascii="Open Sans" w:hAnsi="Open Sans" w:cs="Open Sans"/>
        </w:rPr>
        <w:endnoteReference w:id="22"/>
      </w:r>
    </w:p>
    <w:p w14:paraId="6C55954A" w14:textId="10D5EC8D" w:rsidR="00A30C14" w:rsidRPr="00EC3083" w:rsidRDefault="00A30C14" w:rsidP="006932D7">
      <w:pPr>
        <w:pStyle w:val="ListParagraph"/>
        <w:numPr>
          <w:ilvl w:val="0"/>
          <w:numId w:val="20"/>
        </w:numPr>
        <w:jc w:val="both"/>
        <w:rPr>
          <w:rFonts w:ascii="Open Sans" w:hAnsi="Open Sans" w:cs="Open Sans"/>
        </w:rPr>
      </w:pPr>
      <w:r w:rsidRPr="00EC3083">
        <w:rPr>
          <w:rFonts w:ascii="Open Sans" w:hAnsi="Open Sans" w:cs="Open Sans"/>
        </w:rPr>
        <w:t>The REA’s detailed market survey has found that creating low-carbon homes and zero rating VAT on energy saving materials could create at least 66,000-86,000 new jobs, save £270 per person per year in energy bills and generate a net value to the UK economy of £7.5 billion</w:t>
      </w:r>
      <w:r w:rsidR="00D049DD">
        <w:rPr>
          <w:rFonts w:ascii="Open Sans" w:hAnsi="Open Sans" w:cs="Open Sans"/>
        </w:rPr>
        <w:t>.</w:t>
      </w:r>
      <w:r w:rsidRPr="00EC3083">
        <w:rPr>
          <w:rStyle w:val="EndnoteReference"/>
          <w:rFonts w:ascii="Open Sans" w:hAnsi="Open Sans" w:cs="Open Sans"/>
        </w:rPr>
        <w:endnoteReference w:id="23"/>
      </w:r>
      <w:r w:rsidRPr="00EC3083">
        <w:rPr>
          <w:rFonts w:ascii="Open Sans" w:hAnsi="Open Sans" w:cs="Open Sans"/>
        </w:rPr>
        <w:t xml:space="preserve"> </w:t>
      </w:r>
    </w:p>
    <w:p w14:paraId="41E9B0CA" w14:textId="79E0A6B9" w:rsidR="00A30C14" w:rsidRPr="00EC3083" w:rsidRDefault="00A30C14" w:rsidP="006932D7">
      <w:pPr>
        <w:pStyle w:val="ListParagraph"/>
        <w:numPr>
          <w:ilvl w:val="0"/>
          <w:numId w:val="20"/>
        </w:numPr>
        <w:jc w:val="both"/>
        <w:rPr>
          <w:rFonts w:ascii="Open Sans" w:hAnsi="Open Sans" w:cs="Open Sans"/>
        </w:rPr>
      </w:pPr>
      <w:r w:rsidRPr="00EC3083">
        <w:rPr>
          <w:rFonts w:ascii="Open Sans" w:hAnsi="Open Sans" w:cs="Open Sans"/>
        </w:rPr>
        <w:lastRenderedPageBreak/>
        <w:t>The Faraday Institute estimates that with the right support and investment, 78,000 jobs could be created in battery manufacturing and supply chains by 2040</w:t>
      </w:r>
      <w:r w:rsidR="00D049DD">
        <w:rPr>
          <w:rFonts w:ascii="Open Sans" w:hAnsi="Open Sans" w:cs="Open Sans"/>
        </w:rPr>
        <w:t>.</w:t>
      </w:r>
      <w:r w:rsidRPr="00EC3083">
        <w:rPr>
          <w:rStyle w:val="EndnoteReference"/>
          <w:rFonts w:ascii="Open Sans" w:hAnsi="Open Sans" w:cs="Open Sans"/>
        </w:rPr>
        <w:endnoteReference w:id="24"/>
      </w:r>
      <w:r w:rsidRPr="00EC3083">
        <w:rPr>
          <w:rFonts w:ascii="Open Sans" w:hAnsi="Open Sans" w:cs="Open Sans"/>
        </w:rPr>
        <w:t xml:space="preserve"> </w:t>
      </w:r>
    </w:p>
    <w:p w14:paraId="7B1FD813" w14:textId="3A690EAE" w:rsidR="00A30C14" w:rsidRPr="00EC3083" w:rsidRDefault="00A30C14" w:rsidP="006932D7">
      <w:pPr>
        <w:pStyle w:val="ListParagraph"/>
        <w:numPr>
          <w:ilvl w:val="0"/>
          <w:numId w:val="20"/>
        </w:numPr>
        <w:jc w:val="both"/>
        <w:rPr>
          <w:rFonts w:ascii="Open Sans" w:hAnsi="Open Sans" w:cs="Open Sans"/>
        </w:rPr>
      </w:pPr>
      <w:r w:rsidRPr="00EC3083">
        <w:rPr>
          <w:rFonts w:ascii="Open Sans" w:hAnsi="Open Sans" w:cs="Open Sans"/>
        </w:rPr>
        <w:t xml:space="preserve">The Local Government Association has highlighted how achieving Net Zero will create 700k green jobs in the UK by 2030 and 1.2m by 2050, up from 185k today. Nearly half of these (46%) will be in clean electricity generation and associated infrastructure and they will be evenly spread across the UK, boosting </w:t>
      </w:r>
      <w:proofErr w:type="gramStart"/>
      <w:r w:rsidRPr="00EC3083">
        <w:rPr>
          <w:rFonts w:ascii="Open Sans" w:hAnsi="Open Sans" w:cs="Open Sans"/>
        </w:rPr>
        <w:t>skills</w:t>
      </w:r>
      <w:proofErr w:type="gramEnd"/>
      <w:r w:rsidRPr="00EC3083">
        <w:rPr>
          <w:rFonts w:ascii="Open Sans" w:hAnsi="Open Sans" w:cs="Open Sans"/>
        </w:rPr>
        <w:t xml:space="preserve"> and filling the widening regional employment gap</w:t>
      </w:r>
      <w:r w:rsidR="00D049DD">
        <w:rPr>
          <w:rFonts w:ascii="Open Sans" w:hAnsi="Open Sans" w:cs="Open Sans"/>
        </w:rPr>
        <w:t>.</w:t>
      </w:r>
      <w:r w:rsidRPr="00EC3083">
        <w:rPr>
          <w:rStyle w:val="EndnoteReference"/>
          <w:rFonts w:ascii="Open Sans" w:hAnsi="Open Sans" w:cs="Open Sans"/>
        </w:rPr>
        <w:endnoteReference w:id="25"/>
      </w:r>
    </w:p>
    <w:p w14:paraId="7A99F0A3" w14:textId="25312D3A" w:rsidR="00A30C14" w:rsidRPr="00EC3083" w:rsidRDefault="00A30C14" w:rsidP="00357736">
      <w:pPr>
        <w:jc w:val="both"/>
        <w:rPr>
          <w:rFonts w:ascii="Open Sans" w:eastAsiaTheme="majorEastAsia" w:hAnsi="Open Sans" w:cs="Open Sans"/>
          <w:color w:val="2F5496" w:themeColor="accent1" w:themeShade="BF"/>
          <w:sz w:val="32"/>
          <w:szCs w:val="32"/>
        </w:rPr>
      </w:pPr>
      <w:r w:rsidRPr="00EC3083">
        <w:rPr>
          <w:rFonts w:ascii="Open Sans" w:hAnsi="Open Sans" w:cs="Open Sans"/>
        </w:rPr>
        <w:t xml:space="preserve">In </w:t>
      </w:r>
      <w:proofErr w:type="gramStart"/>
      <w:r w:rsidRPr="00EC3083">
        <w:rPr>
          <w:rFonts w:ascii="Open Sans" w:hAnsi="Open Sans" w:cs="Open Sans"/>
        </w:rPr>
        <w:t>all of</w:t>
      </w:r>
      <w:proofErr w:type="gramEnd"/>
      <w:r w:rsidRPr="00EC3083">
        <w:rPr>
          <w:rFonts w:ascii="Open Sans" w:hAnsi="Open Sans" w:cs="Open Sans"/>
        </w:rPr>
        <w:t xml:space="preserve"> these cases, support at the consumer level is needed to drive the demand that will support this growth, which will ultimately increase Government tax revenue.</w:t>
      </w:r>
      <w:r w:rsidRPr="00EC3083">
        <w:rPr>
          <w:rFonts w:ascii="Open Sans" w:hAnsi="Open Sans" w:cs="Open Sans"/>
        </w:rPr>
        <w:br w:type="page"/>
      </w:r>
    </w:p>
    <w:bookmarkEnd w:id="8"/>
    <w:p w14:paraId="5A38A4D2" w14:textId="509E9707" w:rsidR="0043493A" w:rsidRPr="00EC3083" w:rsidRDefault="0043493A" w:rsidP="0043493A">
      <w:pPr>
        <w:jc w:val="both"/>
        <w:rPr>
          <w:rFonts w:ascii="Open Sans" w:hAnsi="Open Sans" w:cs="Open Sans"/>
          <w:b/>
          <w:bCs/>
          <w:color w:val="06926B"/>
          <w:sz w:val="32"/>
          <w:szCs w:val="32"/>
        </w:rPr>
      </w:pPr>
      <w:r>
        <w:rPr>
          <w:rFonts w:ascii="Open Sans" w:hAnsi="Open Sans" w:cs="Open Sans"/>
          <w:b/>
          <w:bCs/>
          <w:color w:val="06926B"/>
          <w:sz w:val="32"/>
          <w:szCs w:val="32"/>
        </w:rPr>
        <w:lastRenderedPageBreak/>
        <w:t>The Way Forward: Two Remedies</w:t>
      </w:r>
    </w:p>
    <w:p w14:paraId="4D674C22" w14:textId="69E29F5E" w:rsidR="00A30C14" w:rsidRPr="00EC3083" w:rsidRDefault="00A30C14" w:rsidP="00F41BC1">
      <w:pPr>
        <w:jc w:val="both"/>
        <w:rPr>
          <w:rFonts w:ascii="Open Sans" w:hAnsi="Open Sans" w:cs="Open Sans"/>
        </w:rPr>
      </w:pPr>
      <w:r w:rsidRPr="00EC3083">
        <w:rPr>
          <w:rFonts w:ascii="Open Sans" w:hAnsi="Open Sans" w:cs="Open Sans"/>
        </w:rPr>
        <w:t>The lack of support and unfair tax treatment do not reflect the importance of this technology identified in BEIS’ Smart Systems and Flexibility Plan. On the contrary, the technology is presently constrained by market failures, deployment has not been helped by HMT’s recent VAT increase, and the UK is behind in global markets. UK businesses are being put at risk at a critical time.</w:t>
      </w:r>
    </w:p>
    <w:p w14:paraId="2FB59E56" w14:textId="01B5378A" w:rsidR="00A30C14" w:rsidRPr="00EC3083" w:rsidRDefault="00A30C14" w:rsidP="00F41BC1">
      <w:pPr>
        <w:pStyle w:val="ListParagraph"/>
        <w:numPr>
          <w:ilvl w:val="0"/>
          <w:numId w:val="4"/>
        </w:numPr>
        <w:jc w:val="both"/>
        <w:rPr>
          <w:rFonts w:ascii="Open Sans" w:hAnsi="Open Sans" w:cs="Open Sans"/>
          <w:b/>
          <w:bCs/>
          <w:sz w:val="24"/>
          <w:szCs w:val="24"/>
        </w:rPr>
      </w:pPr>
      <w:r w:rsidRPr="00EC3083">
        <w:rPr>
          <w:rFonts w:ascii="Open Sans" w:hAnsi="Open Sans" w:cs="Open Sans"/>
          <w:b/>
          <w:bCs/>
          <w:sz w:val="24"/>
          <w:szCs w:val="24"/>
        </w:rPr>
        <w:t xml:space="preserve">Level the tax playing-field, introduce </w:t>
      </w:r>
      <w:r w:rsidR="00CB5059" w:rsidRPr="00EC3083">
        <w:rPr>
          <w:rFonts w:ascii="Open Sans" w:hAnsi="Open Sans" w:cs="Open Sans"/>
          <w:b/>
          <w:bCs/>
          <w:sz w:val="24"/>
          <w:szCs w:val="24"/>
        </w:rPr>
        <w:t>low</w:t>
      </w:r>
      <w:r w:rsidRPr="00EC3083">
        <w:rPr>
          <w:rFonts w:ascii="Open Sans" w:hAnsi="Open Sans" w:cs="Open Sans"/>
          <w:b/>
          <w:bCs/>
          <w:sz w:val="24"/>
          <w:szCs w:val="24"/>
        </w:rPr>
        <w:t xml:space="preserve"> rate VAT on home electricity storage.</w:t>
      </w:r>
    </w:p>
    <w:p w14:paraId="1B242D50" w14:textId="6443A919" w:rsidR="00A30C14" w:rsidRPr="00EC3083" w:rsidRDefault="00A30C14" w:rsidP="00884D45">
      <w:pPr>
        <w:jc w:val="both"/>
        <w:rPr>
          <w:rFonts w:ascii="Open Sans" w:hAnsi="Open Sans" w:cs="Open Sans"/>
        </w:rPr>
      </w:pPr>
      <w:r w:rsidRPr="00EC3083">
        <w:rPr>
          <w:rFonts w:ascii="Open Sans" w:hAnsi="Open Sans" w:cs="Open Sans"/>
        </w:rPr>
        <w:t>HMT have confirmed to us that this is within BEIS’ remit, and therefore we urge BEIS to make this a key part of the green recovery stimulus package.</w:t>
      </w:r>
    </w:p>
    <w:p w14:paraId="37B10416" w14:textId="6B64EC45" w:rsidR="00A30C14" w:rsidRPr="00EC3083" w:rsidRDefault="00A30C14" w:rsidP="00884D45">
      <w:pPr>
        <w:jc w:val="both"/>
        <w:rPr>
          <w:rFonts w:ascii="Open Sans" w:hAnsi="Open Sans" w:cs="Open Sans"/>
        </w:rPr>
      </w:pPr>
      <w:r w:rsidRPr="00EC3083">
        <w:rPr>
          <w:rFonts w:ascii="Open Sans" w:hAnsi="Open Sans" w:cs="Open Sans"/>
        </w:rPr>
        <w:t xml:space="preserve">HMT has previously cited the EU’s  requirement 20% VAT on electricity storage, but the </w:t>
      </w:r>
      <w:r w:rsidR="0043493A">
        <w:rPr>
          <w:rFonts w:ascii="Open Sans" w:hAnsi="Open Sans" w:cs="Open Sans"/>
        </w:rPr>
        <w:t>European Court of Justice (</w:t>
      </w:r>
      <w:r w:rsidRPr="00EC3083">
        <w:rPr>
          <w:rFonts w:ascii="Open Sans" w:hAnsi="Open Sans" w:cs="Open Sans"/>
        </w:rPr>
        <w:t>ECJ</w:t>
      </w:r>
      <w:r w:rsidR="0043493A">
        <w:rPr>
          <w:rFonts w:ascii="Open Sans" w:hAnsi="Open Sans" w:cs="Open Sans"/>
        </w:rPr>
        <w:t>)</w:t>
      </w:r>
      <w:r w:rsidRPr="00EC3083">
        <w:rPr>
          <w:rFonts w:ascii="Open Sans" w:hAnsi="Open Sans" w:cs="Open Sans"/>
        </w:rPr>
        <w:t xml:space="preserve"> made clear that VAT could be reduced where a product supports a ‘social good’, which must surely include getting to Net Zero to mitigate climate change. We are also no longer in the EU and can</w:t>
      </w:r>
      <w:r w:rsidR="008F6C61" w:rsidRPr="00EC3083">
        <w:rPr>
          <w:rFonts w:ascii="Open Sans" w:hAnsi="Open Sans" w:cs="Open Sans"/>
        </w:rPr>
        <w:t xml:space="preserve"> now</w:t>
      </w:r>
      <w:r w:rsidRPr="00EC3083">
        <w:rPr>
          <w:rFonts w:ascii="Open Sans" w:hAnsi="Open Sans" w:cs="Open Sans"/>
        </w:rPr>
        <w:t xml:space="preserve"> set our own VAT</w:t>
      </w:r>
      <w:r w:rsidR="008F6C61" w:rsidRPr="00EC3083">
        <w:rPr>
          <w:rFonts w:ascii="Open Sans" w:hAnsi="Open Sans" w:cs="Open Sans"/>
        </w:rPr>
        <w:t xml:space="preserve"> on home electricity storage, as noted by Minister for Business, Clean Energy and Growth, Kwasi Kwarteng MP in October 2019</w:t>
      </w:r>
      <w:r w:rsidR="00D049DD">
        <w:rPr>
          <w:rFonts w:ascii="Open Sans" w:hAnsi="Open Sans" w:cs="Open Sans"/>
        </w:rPr>
        <w:t>.</w:t>
      </w:r>
      <w:r w:rsidR="00D9465D" w:rsidRPr="00EC3083">
        <w:rPr>
          <w:rStyle w:val="EndnoteReference"/>
          <w:rFonts w:ascii="Open Sans" w:hAnsi="Open Sans" w:cs="Open Sans"/>
        </w:rPr>
        <w:endnoteReference w:id="26"/>
      </w:r>
    </w:p>
    <w:p w14:paraId="72DADDAD" w14:textId="600B7395" w:rsidR="00A30C14" w:rsidRPr="00EC3083" w:rsidRDefault="00A30C14" w:rsidP="00AD47E2">
      <w:pPr>
        <w:jc w:val="both"/>
        <w:rPr>
          <w:rFonts w:ascii="Open Sans" w:hAnsi="Open Sans" w:cs="Open Sans"/>
        </w:rPr>
      </w:pPr>
      <w:r w:rsidRPr="00EC3083">
        <w:rPr>
          <w:rFonts w:ascii="Open Sans" w:hAnsi="Open Sans" w:cs="Open Sans"/>
        </w:rPr>
        <w:t xml:space="preserve">The Carbon Trust has so far been unable to classify home </w:t>
      </w:r>
      <w:r w:rsidR="009F4F45">
        <w:rPr>
          <w:rFonts w:ascii="Open Sans" w:hAnsi="Open Sans" w:cs="Open Sans"/>
        </w:rPr>
        <w:t>electricity</w:t>
      </w:r>
      <w:r w:rsidR="009F4F45" w:rsidRPr="00EC3083">
        <w:rPr>
          <w:rFonts w:ascii="Open Sans" w:hAnsi="Open Sans" w:cs="Open Sans"/>
        </w:rPr>
        <w:t xml:space="preserve"> </w:t>
      </w:r>
      <w:r w:rsidRPr="00EC3083">
        <w:rPr>
          <w:rFonts w:ascii="Open Sans" w:hAnsi="Open Sans" w:cs="Open Sans"/>
        </w:rPr>
        <w:t>storage as “energy saving” where viewed through the narrow lens of reducing the quantity of energy consumed within a home. There are several strong reasons for broadening the scope here to include storage:</w:t>
      </w:r>
    </w:p>
    <w:p w14:paraId="0CE4EEB0" w14:textId="3AD2DC3F" w:rsidR="00A30C14" w:rsidRPr="00EC3083" w:rsidRDefault="00A30C14" w:rsidP="00AD47E2">
      <w:pPr>
        <w:jc w:val="both"/>
        <w:rPr>
          <w:rFonts w:ascii="Open Sans" w:hAnsi="Open Sans" w:cs="Open Sans"/>
        </w:rPr>
      </w:pPr>
      <w:r w:rsidRPr="00EC3083">
        <w:rPr>
          <w:rFonts w:ascii="Open Sans" w:hAnsi="Open Sans" w:cs="Open Sans"/>
        </w:rPr>
        <w:t xml:space="preserve">“Energy saving” or “energy efficiency” is a helpful concept in trying to reduce energy usage generally. However, as the grid transitions to a zero-carbon energy system, it is imperative to also take account of the carbon saving and generation and demand peak reduction benefits enabled by flexibility technologies like battery storage systems. </w:t>
      </w:r>
    </w:p>
    <w:p w14:paraId="6F688D35" w14:textId="77777777" w:rsidR="00A30C14" w:rsidRPr="00EC3083" w:rsidRDefault="00A30C14" w:rsidP="00AD47E2">
      <w:pPr>
        <w:jc w:val="both"/>
        <w:rPr>
          <w:rFonts w:ascii="Open Sans" w:hAnsi="Open Sans" w:cs="Open Sans"/>
        </w:rPr>
      </w:pPr>
      <w:r w:rsidRPr="00EC3083">
        <w:rPr>
          <w:rFonts w:ascii="Open Sans" w:hAnsi="Open Sans" w:cs="Open Sans"/>
        </w:rPr>
        <w:t xml:space="preserve">As the grid transitions to higher proportions of zero-carbon and renewable electricity generation, an efficient electricity system will require drastic improvements in </w:t>
      </w:r>
      <w:r w:rsidRPr="00EC3083">
        <w:rPr>
          <w:rFonts w:ascii="Open Sans" w:hAnsi="Open Sans" w:cs="Open Sans"/>
          <w:i/>
          <w:u w:val="single"/>
        </w:rPr>
        <w:t>when</w:t>
      </w:r>
      <w:r w:rsidRPr="00EC3083">
        <w:rPr>
          <w:rFonts w:ascii="Open Sans" w:hAnsi="Open Sans" w:cs="Open Sans"/>
        </w:rPr>
        <w:t xml:space="preserve"> electricity is used, not just </w:t>
      </w:r>
      <w:r w:rsidRPr="00EC3083">
        <w:rPr>
          <w:rFonts w:ascii="Open Sans" w:hAnsi="Open Sans" w:cs="Open Sans"/>
          <w:i/>
          <w:u w:val="single"/>
        </w:rPr>
        <w:t>how much</w:t>
      </w:r>
      <w:r w:rsidRPr="00EC3083">
        <w:rPr>
          <w:rFonts w:ascii="Open Sans" w:hAnsi="Open Sans" w:cs="Open Sans"/>
        </w:rPr>
        <w:t xml:space="preserve"> energy is used: </w:t>
      </w:r>
    </w:p>
    <w:p w14:paraId="3B0B2F50" w14:textId="77777777" w:rsidR="00A30C14" w:rsidRPr="00EC3083" w:rsidRDefault="00A30C14" w:rsidP="000A5852">
      <w:pPr>
        <w:pStyle w:val="ListParagraph"/>
        <w:numPr>
          <w:ilvl w:val="0"/>
          <w:numId w:val="19"/>
        </w:numPr>
        <w:jc w:val="both"/>
        <w:rPr>
          <w:rFonts w:ascii="Open Sans" w:hAnsi="Open Sans" w:cs="Open Sans"/>
        </w:rPr>
      </w:pPr>
      <w:r w:rsidRPr="00EC3083">
        <w:rPr>
          <w:rFonts w:ascii="Open Sans" w:hAnsi="Open Sans" w:cs="Open Sans"/>
        </w:rPr>
        <w:t xml:space="preserve">Where installed alongside solar PV, storage increases the use of self-generated electricity in the home, reducing a home’s use of grid electricity during peak demand periods and increasing the ‘efficiency’ of the carbon savings available to the home from consuming self-generated solar electricity. </w:t>
      </w:r>
    </w:p>
    <w:p w14:paraId="512F17B1" w14:textId="77777777" w:rsidR="00A30C14" w:rsidRPr="00EC3083" w:rsidRDefault="00A30C14" w:rsidP="000A5852">
      <w:pPr>
        <w:pStyle w:val="ListParagraph"/>
        <w:numPr>
          <w:ilvl w:val="0"/>
          <w:numId w:val="19"/>
        </w:numPr>
        <w:jc w:val="both"/>
        <w:rPr>
          <w:rFonts w:ascii="Open Sans" w:hAnsi="Open Sans" w:cs="Open Sans"/>
        </w:rPr>
      </w:pPr>
      <w:r w:rsidRPr="00EC3083">
        <w:rPr>
          <w:rFonts w:ascii="Open Sans" w:hAnsi="Open Sans" w:cs="Open Sans"/>
        </w:rPr>
        <w:t xml:space="preserve">Similarly, where storage charges from the grid at times of excess renewable generation on the grid, storing that electricity helps to avoid that generation being curtailed, again improving the ‘efficiency’ in how that zero-carbon electricity is used, rather than letting it go to waste. </w:t>
      </w:r>
    </w:p>
    <w:p w14:paraId="7ED5C03E" w14:textId="77777777" w:rsidR="00A30C14" w:rsidRPr="00EC3083" w:rsidRDefault="00A30C14" w:rsidP="000A5852">
      <w:pPr>
        <w:pStyle w:val="ListParagraph"/>
        <w:numPr>
          <w:ilvl w:val="0"/>
          <w:numId w:val="19"/>
        </w:numPr>
        <w:jc w:val="both"/>
        <w:rPr>
          <w:rFonts w:ascii="Open Sans" w:hAnsi="Open Sans" w:cs="Open Sans"/>
        </w:rPr>
      </w:pPr>
      <w:r w:rsidRPr="00EC3083">
        <w:rPr>
          <w:rFonts w:ascii="Open Sans" w:hAnsi="Open Sans" w:cs="Open Sans"/>
        </w:rPr>
        <w:t xml:space="preserve">Storage is also used to charge from the grid overnight, when electricity demand, cost and carbon intensity are lowest, and discharge during the day when electricity demand, cost and carbon intensity are lowest. </w:t>
      </w:r>
    </w:p>
    <w:p w14:paraId="64DFDE2E" w14:textId="77777777" w:rsidR="00A30C14" w:rsidRPr="00EC3083" w:rsidRDefault="00A30C14" w:rsidP="000A5852">
      <w:pPr>
        <w:pStyle w:val="ListParagraph"/>
        <w:numPr>
          <w:ilvl w:val="0"/>
          <w:numId w:val="19"/>
        </w:numPr>
        <w:jc w:val="both"/>
        <w:rPr>
          <w:rFonts w:ascii="Open Sans" w:hAnsi="Open Sans" w:cs="Open Sans"/>
        </w:rPr>
      </w:pPr>
      <w:r w:rsidRPr="00EC3083">
        <w:rPr>
          <w:rFonts w:ascii="Open Sans" w:hAnsi="Open Sans" w:cs="Open Sans"/>
        </w:rPr>
        <w:t xml:space="preserve">Further, storage provides peak or load shifting services that enables improved utilisation of the electricity network, enabling more clean technology (like home EV </w:t>
      </w:r>
      <w:r w:rsidRPr="00EC3083">
        <w:rPr>
          <w:rFonts w:ascii="Open Sans" w:hAnsi="Open Sans" w:cs="Open Sans"/>
        </w:rPr>
        <w:lastRenderedPageBreak/>
        <w:t xml:space="preserve">charging) to be connected while helping to reduce the need for and significant cost associated with reinforcing the network to meet unmanaged peak demand growth. </w:t>
      </w:r>
    </w:p>
    <w:p w14:paraId="45A59062" w14:textId="693D046E" w:rsidR="00A30C14" w:rsidRPr="00EC3083" w:rsidRDefault="00A30C14" w:rsidP="000A5852">
      <w:pPr>
        <w:jc w:val="both"/>
        <w:rPr>
          <w:rFonts w:ascii="Open Sans" w:hAnsi="Open Sans" w:cs="Open Sans"/>
        </w:rPr>
      </w:pPr>
      <w:r w:rsidRPr="00EC3083">
        <w:rPr>
          <w:rFonts w:ascii="Open Sans" w:hAnsi="Open Sans" w:cs="Open Sans"/>
        </w:rPr>
        <w:t xml:space="preserve">All of these efficiency benefits in terms of carbon energy savings and grid cost savings from improved utilisation of existing infrastructure are key enablers for the energy transition that should be recognised as part of an expanded understanding of ‘energy saving’ or ‘energy efficiency’. </w:t>
      </w:r>
    </w:p>
    <w:p w14:paraId="62EB2AEE" w14:textId="35A6E0E1" w:rsidR="00A30C14" w:rsidRPr="00EC3083" w:rsidRDefault="00A30C14" w:rsidP="00AD47E2">
      <w:pPr>
        <w:jc w:val="both"/>
        <w:rPr>
          <w:rFonts w:ascii="Open Sans" w:hAnsi="Open Sans" w:cs="Open Sans"/>
        </w:rPr>
      </w:pPr>
      <w:r w:rsidRPr="00EC3083">
        <w:rPr>
          <w:rFonts w:ascii="Open Sans" w:hAnsi="Open Sans" w:cs="Open Sans"/>
        </w:rPr>
        <w:t xml:space="preserve">In effect, the concept of ‘energy saving’ should be expanded to incorporate wider carbon benefits and grid resource efficiency gains as well as the direct energy </w:t>
      </w:r>
      <w:r w:rsidRPr="00EC3083">
        <w:rPr>
          <w:rFonts w:ascii="Open Sans" w:hAnsi="Open Sans" w:cs="Open Sans"/>
          <w:i/>
        </w:rPr>
        <w:t>cost</w:t>
      </w:r>
      <w:r w:rsidRPr="00EC3083">
        <w:rPr>
          <w:rFonts w:ascii="Open Sans" w:hAnsi="Open Sans" w:cs="Open Sans"/>
        </w:rPr>
        <w:t xml:space="preserve"> savings enabled by home battery storage. Given the range of direct energy cost savings as well as additional system / societal benefits enabled by the use of home storage, home battery storage systems should be directly considered as product that should be included on the  ‘energy savings material’ list and eligible for low rate VAT. </w:t>
      </w:r>
    </w:p>
    <w:p w14:paraId="10E70E72" w14:textId="25EFE69C" w:rsidR="00A30C14" w:rsidRPr="00EC3083" w:rsidRDefault="00A30C14" w:rsidP="000A05C1">
      <w:pPr>
        <w:pStyle w:val="ListParagraph"/>
        <w:numPr>
          <w:ilvl w:val="0"/>
          <w:numId w:val="4"/>
        </w:numPr>
        <w:rPr>
          <w:rFonts w:ascii="Open Sans" w:hAnsi="Open Sans" w:cs="Open Sans"/>
          <w:b/>
          <w:bCs/>
          <w:sz w:val="24"/>
          <w:szCs w:val="24"/>
        </w:rPr>
      </w:pPr>
      <w:r w:rsidRPr="00EC3083">
        <w:rPr>
          <w:rFonts w:ascii="Open Sans" w:hAnsi="Open Sans" w:cs="Open Sans"/>
          <w:b/>
          <w:bCs/>
          <w:sz w:val="24"/>
          <w:szCs w:val="24"/>
        </w:rPr>
        <w:t xml:space="preserve">Introduce a </w:t>
      </w:r>
      <w:r w:rsidR="000A05C1" w:rsidRPr="00EC3083">
        <w:rPr>
          <w:rFonts w:ascii="Open Sans" w:hAnsi="Open Sans" w:cs="Open Sans"/>
          <w:b/>
          <w:bCs/>
          <w:sz w:val="24"/>
          <w:szCs w:val="24"/>
        </w:rPr>
        <w:t xml:space="preserve">temporary </w:t>
      </w:r>
      <w:r w:rsidRPr="00EC3083">
        <w:rPr>
          <w:rFonts w:ascii="Open Sans" w:hAnsi="Open Sans" w:cs="Open Sans"/>
          <w:b/>
          <w:bCs/>
          <w:sz w:val="24"/>
          <w:szCs w:val="24"/>
        </w:rPr>
        <w:t>financial incentive for home electricity storage.</w:t>
      </w:r>
    </w:p>
    <w:p w14:paraId="140AEA37" w14:textId="77777777" w:rsidR="004332E7" w:rsidRDefault="009F5ADB" w:rsidP="00F41BC1">
      <w:pPr>
        <w:jc w:val="both"/>
        <w:rPr>
          <w:rFonts w:ascii="Open Sans" w:hAnsi="Open Sans" w:cs="Open Sans"/>
        </w:rPr>
      </w:pPr>
      <w:r w:rsidRPr="00E11321">
        <w:rPr>
          <w:rFonts w:ascii="Open Sans" w:hAnsi="Open Sans" w:cs="Open Sans"/>
        </w:rPr>
        <w:t>The contribution to energy and grid costs savings enabled by battery storage is under-recognised and inadequately valued under the UK’s electricity market framework as it stands today. To bridge this market failure and to help stimulate a green recovery, f</w:t>
      </w:r>
      <w:r w:rsidR="00A30C14" w:rsidRPr="00E11321">
        <w:rPr>
          <w:rFonts w:ascii="Open Sans" w:hAnsi="Open Sans" w:cs="Open Sans"/>
        </w:rPr>
        <w:t xml:space="preserve">inancial incentives should be provided in an equivalent form to grants currently provided for other clean technologies such as electric vehicles and chargers. </w:t>
      </w:r>
    </w:p>
    <w:p w14:paraId="703DD0E1" w14:textId="6F429D01" w:rsidR="004332E7" w:rsidRPr="001B0787" w:rsidRDefault="004332E7" w:rsidP="00F41BC1">
      <w:pPr>
        <w:jc w:val="both"/>
        <w:rPr>
          <w:rFonts w:ascii="Open Sans" w:hAnsi="Open Sans" w:cs="Open Sans"/>
        </w:rPr>
      </w:pPr>
      <w:r w:rsidRPr="001B0787">
        <w:rPr>
          <w:rFonts w:ascii="Open Sans" w:hAnsi="Open Sans" w:cs="Open Sans"/>
        </w:rPr>
        <w:t xml:space="preserve">Though we were disappointed by the decision to exclude batteries from the Green Homes Grant, we welcome the news that in the Public Sector Decarbonisation Scheme and Social Housing Decarbonisation Fund Demonstrator that the opportunity is left open for applicants to include batteries if they feel it is appropriate for their scheme. However, given that these schemes are set to prioritise ‘fabric first’ and low-carbon heating, we believe there is nonetheless a clear case for a scheme to support the growth of home electricity storage. </w:t>
      </w:r>
    </w:p>
    <w:p w14:paraId="573AC5F6" w14:textId="20C1C154" w:rsidR="00A30C14" w:rsidRPr="00E11321" w:rsidRDefault="00A30C14" w:rsidP="00F41BC1">
      <w:pPr>
        <w:jc w:val="both"/>
        <w:rPr>
          <w:rFonts w:ascii="Open Sans" w:hAnsi="Open Sans" w:cs="Open Sans"/>
        </w:rPr>
      </w:pPr>
      <w:r w:rsidRPr="00E11321">
        <w:rPr>
          <w:rFonts w:ascii="Open Sans" w:hAnsi="Open Sans" w:cs="Open Sans"/>
        </w:rPr>
        <w:t>BEIS should provide an equivalent scheme or amend the scope of energy efficiency stimulus measures like the Green Homes Grantor equivalent scheme</w:t>
      </w:r>
      <w:r w:rsidR="0043493A" w:rsidRPr="00E11321">
        <w:rPr>
          <w:rFonts w:ascii="Open Sans" w:hAnsi="Open Sans" w:cs="Open Sans"/>
        </w:rPr>
        <w:t>s</w:t>
      </w:r>
      <w:r w:rsidRPr="00E11321">
        <w:rPr>
          <w:rFonts w:ascii="Open Sans" w:hAnsi="Open Sans" w:cs="Open Sans"/>
        </w:rPr>
        <w:t xml:space="preserve"> (</w:t>
      </w:r>
      <w:r w:rsidR="0043493A" w:rsidRPr="00E11321">
        <w:rPr>
          <w:rFonts w:ascii="Open Sans" w:hAnsi="Open Sans" w:cs="Open Sans"/>
        </w:rPr>
        <w:t>Renewable Heat Incentive</w:t>
      </w:r>
      <w:r w:rsidRPr="00E11321">
        <w:rPr>
          <w:rFonts w:ascii="Open Sans" w:hAnsi="Open Sans" w:cs="Open Sans"/>
        </w:rPr>
        <w:t xml:space="preserve">, Clean Heat Grant or Green Gas Grant) to include </w:t>
      </w:r>
      <w:r w:rsidR="00534ACF">
        <w:rPr>
          <w:rFonts w:ascii="Open Sans" w:hAnsi="Open Sans" w:cs="Open Sans"/>
        </w:rPr>
        <w:t xml:space="preserve">and encourage the uptake of </w:t>
      </w:r>
      <w:r w:rsidRPr="00E11321">
        <w:rPr>
          <w:rFonts w:ascii="Open Sans" w:hAnsi="Open Sans" w:cs="Open Sans"/>
        </w:rPr>
        <w:t>smart home e</w:t>
      </w:r>
      <w:r w:rsidR="00632789">
        <w:rPr>
          <w:rFonts w:ascii="Open Sans" w:hAnsi="Open Sans" w:cs="Open Sans"/>
        </w:rPr>
        <w:t>lectricit</w:t>
      </w:r>
      <w:r w:rsidRPr="00E11321">
        <w:rPr>
          <w:rFonts w:ascii="Open Sans" w:hAnsi="Open Sans" w:cs="Open Sans"/>
        </w:rPr>
        <w:t xml:space="preserve">y storage. </w:t>
      </w:r>
    </w:p>
    <w:p w14:paraId="388FE35A" w14:textId="44226B6A" w:rsidR="00A30C14" w:rsidRPr="00EC3083" w:rsidRDefault="00A30C14" w:rsidP="00F41BC1">
      <w:pPr>
        <w:jc w:val="both"/>
        <w:rPr>
          <w:rFonts w:ascii="Open Sans" w:hAnsi="Open Sans" w:cs="Open Sans"/>
        </w:rPr>
      </w:pPr>
      <w:r w:rsidRPr="00EC3083">
        <w:rPr>
          <w:rFonts w:ascii="Open Sans" w:hAnsi="Open Sans" w:cs="Open Sans"/>
        </w:rPr>
        <w:t xml:space="preserve">This incentive scheme should only need to be available for a limited period until the market failures </w:t>
      </w:r>
      <w:r w:rsidR="009F5ADB">
        <w:rPr>
          <w:rFonts w:ascii="Open Sans" w:hAnsi="Open Sans" w:cs="Open Sans"/>
        </w:rPr>
        <w:t>referred to</w:t>
      </w:r>
      <w:r w:rsidR="009F5ADB" w:rsidRPr="00EC3083">
        <w:rPr>
          <w:rFonts w:ascii="Open Sans" w:hAnsi="Open Sans" w:cs="Open Sans"/>
        </w:rPr>
        <w:t xml:space="preserve"> </w:t>
      </w:r>
      <w:r w:rsidRPr="00EC3083">
        <w:rPr>
          <w:rFonts w:ascii="Open Sans" w:hAnsi="Open Sans" w:cs="Open Sans"/>
        </w:rPr>
        <w:t xml:space="preserve">above have been addressed, </w:t>
      </w:r>
      <w:proofErr w:type="spellStart"/>
      <w:r w:rsidR="009F5ADB">
        <w:rPr>
          <w:rFonts w:ascii="Open Sans" w:hAnsi="Open Sans" w:cs="Open Sans"/>
        </w:rPr>
        <w:t>e.g</w:t>
      </w:r>
      <w:proofErr w:type="spellEnd"/>
      <w:r w:rsidR="009F5ADB">
        <w:rPr>
          <w:rFonts w:ascii="Open Sans" w:hAnsi="Open Sans" w:cs="Open Sans"/>
        </w:rPr>
        <w:t>,</w:t>
      </w:r>
      <w:r w:rsidRPr="00EC3083">
        <w:rPr>
          <w:rFonts w:ascii="Open Sans" w:hAnsi="Open Sans" w:cs="Open Sans"/>
        </w:rPr>
        <w:t xml:space="preserve"> when there is market-wide half-hourly settlement and/or billing of all domestic electricity, and </w:t>
      </w:r>
      <w:r w:rsidR="009F5ADB">
        <w:rPr>
          <w:rFonts w:ascii="Open Sans" w:hAnsi="Open Sans" w:cs="Open Sans"/>
        </w:rPr>
        <w:t xml:space="preserve">there are </w:t>
      </w:r>
      <w:r w:rsidRPr="00EC3083">
        <w:rPr>
          <w:rFonts w:ascii="Open Sans" w:hAnsi="Open Sans" w:cs="Open Sans"/>
        </w:rPr>
        <w:t xml:space="preserve">fully established </w:t>
      </w:r>
      <w:r w:rsidR="009F5ADB">
        <w:rPr>
          <w:rFonts w:ascii="Open Sans" w:hAnsi="Open Sans" w:cs="Open Sans"/>
        </w:rPr>
        <w:t xml:space="preserve">and adequate </w:t>
      </w:r>
      <w:r w:rsidRPr="00EC3083">
        <w:rPr>
          <w:rFonts w:ascii="Open Sans" w:hAnsi="Open Sans" w:cs="Open Sans"/>
        </w:rPr>
        <w:t>price signals for flexibility</w:t>
      </w:r>
      <w:r w:rsidR="00CF202A">
        <w:rPr>
          <w:rFonts w:ascii="Open Sans" w:hAnsi="Open Sans" w:cs="Open Sans"/>
        </w:rPr>
        <w:t xml:space="preserve"> that mean</w:t>
      </w:r>
      <w:r w:rsidR="00997689">
        <w:rPr>
          <w:rFonts w:ascii="Open Sans" w:hAnsi="Open Sans" w:cs="Open Sans"/>
        </w:rPr>
        <w:t xml:space="preserve"> </w:t>
      </w:r>
      <w:r w:rsidR="00CF202A">
        <w:rPr>
          <w:rFonts w:ascii="Open Sans" w:hAnsi="Open Sans" w:cs="Open Sans"/>
        </w:rPr>
        <w:t xml:space="preserve">the </w:t>
      </w:r>
      <w:r w:rsidRPr="00EC3083">
        <w:rPr>
          <w:rFonts w:ascii="Open Sans" w:hAnsi="Open Sans" w:cs="Open Sans"/>
        </w:rPr>
        <w:t>value of smart home e</w:t>
      </w:r>
      <w:r w:rsidR="00632789">
        <w:rPr>
          <w:rFonts w:ascii="Open Sans" w:hAnsi="Open Sans" w:cs="Open Sans"/>
        </w:rPr>
        <w:t>lectricit</w:t>
      </w:r>
      <w:r w:rsidRPr="00EC3083">
        <w:rPr>
          <w:rFonts w:ascii="Open Sans" w:hAnsi="Open Sans" w:cs="Open Sans"/>
        </w:rPr>
        <w:t xml:space="preserve">y storage </w:t>
      </w:r>
      <w:r w:rsidR="00CF202A">
        <w:rPr>
          <w:rFonts w:ascii="Open Sans" w:hAnsi="Open Sans" w:cs="Open Sans"/>
        </w:rPr>
        <w:t xml:space="preserve">can </w:t>
      </w:r>
      <w:r w:rsidRPr="00EC3083">
        <w:rPr>
          <w:rFonts w:ascii="Open Sans" w:hAnsi="Open Sans" w:cs="Open Sans"/>
        </w:rPr>
        <w:t>be reflected in the monetary savings to users.  To help manage the transition from a government supported incentive to pure market delivery, incentives could be structured to incrementally step down over time to prevent start-stop shocks to the industry.</w:t>
      </w:r>
    </w:p>
    <w:p w14:paraId="765EAE85" w14:textId="2E2DEAF8" w:rsidR="00810049" w:rsidRPr="00EC3083" w:rsidRDefault="00A30C14" w:rsidP="00F41BC1">
      <w:pPr>
        <w:jc w:val="both"/>
        <w:rPr>
          <w:rFonts w:ascii="Open Sans" w:hAnsi="Open Sans" w:cs="Open Sans"/>
        </w:rPr>
      </w:pPr>
      <w:r w:rsidRPr="00EC3083">
        <w:rPr>
          <w:rFonts w:ascii="Open Sans" w:hAnsi="Open Sans" w:cs="Open Sans"/>
        </w:rPr>
        <w:t xml:space="preserve">In the annex we provide evidence of existing support schemes in other markets which, coupled with the deployment data provided by </w:t>
      </w:r>
      <w:r w:rsidR="00CF202A">
        <w:rPr>
          <w:rFonts w:ascii="Open Sans" w:hAnsi="Open Sans" w:cs="Open Sans"/>
        </w:rPr>
        <w:t>IHS</w:t>
      </w:r>
      <w:r w:rsidRPr="00EC3083">
        <w:rPr>
          <w:rFonts w:ascii="Open Sans" w:hAnsi="Open Sans" w:cs="Open Sans"/>
        </w:rPr>
        <w:t xml:space="preserve"> Markit earlier in this document, indicate the levels of support required to boost deployment in this market.</w:t>
      </w:r>
    </w:p>
    <w:p w14:paraId="043E4EBE" w14:textId="4F171E1A" w:rsidR="00F9124C" w:rsidRDefault="00A30C14" w:rsidP="00F41BC1">
      <w:pPr>
        <w:jc w:val="both"/>
        <w:rPr>
          <w:rFonts w:ascii="Open Sans" w:hAnsi="Open Sans" w:cs="Open Sans"/>
        </w:rPr>
      </w:pPr>
      <w:r w:rsidRPr="00EC3083">
        <w:rPr>
          <w:rFonts w:ascii="Open Sans" w:hAnsi="Open Sans" w:cs="Open Sans"/>
        </w:rPr>
        <w:lastRenderedPageBreak/>
        <w:t>It is important that any support (tax or grant) should be structured to incentivise the right kind of storage to provide generation and load shifting capabilities to ensure products installed are appropriate to the ambitious for our future energy system.</w:t>
      </w:r>
    </w:p>
    <w:p w14:paraId="44EA9C38" w14:textId="4DAC38E9" w:rsidR="00F9124C" w:rsidRPr="00EC3083" w:rsidRDefault="00632789" w:rsidP="00F41BC1">
      <w:pPr>
        <w:jc w:val="both"/>
        <w:rPr>
          <w:rFonts w:ascii="Open Sans" w:hAnsi="Open Sans" w:cs="Open Sans"/>
        </w:rPr>
      </w:pPr>
      <w:r>
        <w:rPr>
          <w:rFonts w:ascii="Open Sans" w:hAnsi="Open Sans" w:cs="Open Sans"/>
        </w:rPr>
        <w:t>Any future inclusion in the GHG should apply to both electricity and heat batteries, as these are also both an enabling system for solar and EVs.</w:t>
      </w:r>
      <w:r w:rsidR="00F9124C">
        <w:rPr>
          <w:rFonts w:ascii="Open Sans" w:hAnsi="Open Sans" w:cs="Open Sans"/>
        </w:rPr>
        <w:t xml:space="preserve"> </w:t>
      </w:r>
    </w:p>
    <w:p w14:paraId="1FDCA3ED" w14:textId="77777777" w:rsidR="00A30C14" w:rsidRPr="00EC3083" w:rsidRDefault="00A30C14" w:rsidP="00F41BC1">
      <w:pPr>
        <w:jc w:val="both"/>
        <w:rPr>
          <w:rFonts w:ascii="Open Sans" w:hAnsi="Open Sans" w:cs="Open Sans"/>
          <w:color w:val="4472C4" w:themeColor="accent1"/>
          <w:sz w:val="32"/>
          <w:szCs w:val="32"/>
        </w:rPr>
      </w:pPr>
    </w:p>
    <w:p w14:paraId="73917CFA" w14:textId="3296BEDF" w:rsidR="0043493A" w:rsidRPr="00EC3083" w:rsidRDefault="0043493A" w:rsidP="0043493A">
      <w:pPr>
        <w:jc w:val="both"/>
        <w:rPr>
          <w:rFonts w:ascii="Open Sans" w:hAnsi="Open Sans" w:cs="Open Sans"/>
          <w:b/>
          <w:bCs/>
          <w:color w:val="06926B"/>
          <w:sz w:val="32"/>
          <w:szCs w:val="32"/>
        </w:rPr>
      </w:pPr>
      <w:r>
        <w:rPr>
          <w:rFonts w:ascii="Open Sans" w:hAnsi="Open Sans" w:cs="Open Sans"/>
          <w:b/>
          <w:bCs/>
          <w:color w:val="06926B"/>
          <w:sz w:val="32"/>
          <w:szCs w:val="32"/>
        </w:rPr>
        <w:t>Benefits</w:t>
      </w:r>
    </w:p>
    <w:p w14:paraId="1DA637F8" w14:textId="216FBF75" w:rsidR="00A30C14" w:rsidRPr="00EC3083" w:rsidRDefault="00A30C14" w:rsidP="00A30C14">
      <w:pPr>
        <w:rPr>
          <w:rFonts w:ascii="Open Sans" w:hAnsi="Open Sans" w:cs="Open Sans"/>
          <w:b/>
          <w:bCs/>
        </w:rPr>
      </w:pPr>
      <w:r w:rsidRPr="00EC3083">
        <w:rPr>
          <w:rFonts w:ascii="Open Sans" w:hAnsi="Open Sans" w:cs="Open Sans"/>
          <w:b/>
          <w:bCs/>
        </w:rPr>
        <w:t>A VAT reduction and financial incentive would compensate for current market failure</w:t>
      </w:r>
      <w:r w:rsidR="00841C88" w:rsidRPr="00EC3083">
        <w:rPr>
          <w:rFonts w:ascii="Open Sans" w:hAnsi="Open Sans" w:cs="Open Sans"/>
          <w:b/>
          <w:bCs/>
        </w:rPr>
        <w:t>s</w:t>
      </w:r>
      <w:r w:rsidRPr="00EC3083">
        <w:rPr>
          <w:rFonts w:ascii="Open Sans" w:hAnsi="Open Sans" w:cs="Open Sans"/>
          <w:b/>
          <w:bCs/>
        </w:rPr>
        <w:t xml:space="preserve">, provide </w:t>
      </w:r>
      <w:proofErr w:type="gramStart"/>
      <w:r w:rsidRPr="00EC3083">
        <w:rPr>
          <w:rFonts w:ascii="Open Sans" w:hAnsi="Open Sans" w:cs="Open Sans"/>
          <w:b/>
          <w:bCs/>
        </w:rPr>
        <w:t>a valuable asset</w:t>
      </w:r>
      <w:proofErr w:type="gramEnd"/>
      <w:r w:rsidRPr="00EC3083">
        <w:rPr>
          <w:rFonts w:ascii="Open Sans" w:hAnsi="Open Sans" w:cs="Open Sans"/>
          <w:b/>
          <w:bCs/>
        </w:rPr>
        <w:t xml:space="preserve"> for society and unlock an important social good: </w:t>
      </w:r>
      <w:r w:rsidR="00CF202A">
        <w:rPr>
          <w:rFonts w:ascii="Open Sans" w:hAnsi="Open Sans" w:cs="Open Sans"/>
          <w:b/>
          <w:bCs/>
        </w:rPr>
        <w:t xml:space="preserve">accelerated </w:t>
      </w:r>
      <w:r w:rsidRPr="00EC3083">
        <w:rPr>
          <w:rFonts w:ascii="Open Sans" w:hAnsi="Open Sans" w:cs="Open Sans"/>
          <w:b/>
          <w:bCs/>
        </w:rPr>
        <w:t>low cost decarbonisation.</w:t>
      </w:r>
    </w:p>
    <w:p w14:paraId="2018083F" w14:textId="6DE1D044" w:rsidR="00841C88" w:rsidRPr="00EC3083" w:rsidRDefault="00841C88" w:rsidP="0080223C">
      <w:pPr>
        <w:pStyle w:val="ListParagraph"/>
        <w:numPr>
          <w:ilvl w:val="0"/>
          <w:numId w:val="16"/>
        </w:numPr>
        <w:rPr>
          <w:rFonts w:ascii="Open Sans" w:hAnsi="Open Sans" w:cs="Open Sans"/>
        </w:rPr>
      </w:pPr>
      <w:r w:rsidRPr="00EC3083">
        <w:rPr>
          <w:rFonts w:ascii="Open Sans" w:hAnsi="Open Sans" w:cs="Open Sans"/>
        </w:rPr>
        <w:t>Battery storage is widely accepted as critical to achieving Ne</w:t>
      </w:r>
      <w:r w:rsidR="00E11321">
        <w:rPr>
          <w:rFonts w:ascii="Open Sans" w:hAnsi="Open Sans" w:cs="Open Sans"/>
        </w:rPr>
        <w:t>t</w:t>
      </w:r>
      <w:r w:rsidRPr="00EC3083">
        <w:rPr>
          <w:rFonts w:ascii="Open Sans" w:hAnsi="Open Sans" w:cs="Open Sans"/>
        </w:rPr>
        <w:t xml:space="preserve"> Zero.</w:t>
      </w:r>
    </w:p>
    <w:p w14:paraId="3DD69D16" w14:textId="4EC5237A" w:rsidR="00A30C14" w:rsidRPr="00EC3083" w:rsidRDefault="00841C88" w:rsidP="0080223C">
      <w:pPr>
        <w:pStyle w:val="ListParagraph"/>
        <w:numPr>
          <w:ilvl w:val="0"/>
          <w:numId w:val="16"/>
        </w:numPr>
        <w:rPr>
          <w:rFonts w:ascii="Open Sans" w:hAnsi="Open Sans" w:cs="Open Sans"/>
        </w:rPr>
      </w:pPr>
      <w:r w:rsidRPr="00EC3083">
        <w:rPr>
          <w:rFonts w:ascii="Open Sans" w:hAnsi="Open Sans" w:cs="Open Sans"/>
        </w:rPr>
        <w:t>Low</w:t>
      </w:r>
      <w:r w:rsidR="00CB5059" w:rsidRPr="00EC3083">
        <w:rPr>
          <w:rFonts w:ascii="Open Sans" w:hAnsi="Open Sans" w:cs="Open Sans"/>
        </w:rPr>
        <w:t>ering</w:t>
      </w:r>
      <w:r w:rsidR="00A30C14" w:rsidRPr="00EC3083">
        <w:rPr>
          <w:rFonts w:ascii="Open Sans" w:hAnsi="Open Sans" w:cs="Open Sans"/>
        </w:rPr>
        <w:t xml:space="preserve"> VAT could help grow the market and realise the Faraday Institute’s projection of 78,000 jobs in battery </w:t>
      </w:r>
      <w:proofErr w:type="spellStart"/>
      <w:r w:rsidR="00A30C14" w:rsidRPr="00EC3083">
        <w:rPr>
          <w:rFonts w:ascii="Open Sans" w:hAnsi="Open Sans" w:cs="Open Sans"/>
        </w:rPr>
        <w:t>gigafactories</w:t>
      </w:r>
      <w:proofErr w:type="spellEnd"/>
      <w:r w:rsidR="00A30C14" w:rsidRPr="00EC3083">
        <w:rPr>
          <w:rFonts w:ascii="Open Sans" w:hAnsi="Open Sans" w:cs="Open Sans"/>
        </w:rPr>
        <w:t xml:space="preserve"> and supply chains.</w:t>
      </w:r>
      <w:r w:rsidR="00A30C14" w:rsidRPr="00EC3083">
        <w:rPr>
          <w:rStyle w:val="EndnoteReference"/>
          <w:rFonts w:ascii="Open Sans" w:hAnsi="Open Sans" w:cs="Open Sans"/>
        </w:rPr>
        <w:endnoteReference w:id="27"/>
      </w:r>
      <w:r w:rsidR="00A30C14" w:rsidRPr="00EC3083">
        <w:rPr>
          <w:rFonts w:ascii="Open Sans" w:hAnsi="Open Sans" w:cs="Open Sans"/>
        </w:rPr>
        <w:t xml:space="preserve"> Such measures could also help towards achieving 66,000 and 86,000 jobs sustained annually through the encouragement of investment in energy efficiency measures.</w:t>
      </w:r>
      <w:r w:rsidR="00A30C14" w:rsidRPr="00EC3083">
        <w:rPr>
          <w:rStyle w:val="EndnoteReference"/>
          <w:rFonts w:ascii="Open Sans" w:hAnsi="Open Sans" w:cs="Open Sans"/>
        </w:rPr>
        <w:endnoteReference w:id="28"/>
      </w:r>
      <w:r w:rsidR="00A30C14" w:rsidRPr="00EC3083">
        <w:rPr>
          <w:rFonts w:ascii="Open Sans" w:hAnsi="Open Sans" w:cs="Open Sans"/>
        </w:rPr>
        <w:t xml:space="preserve"> The REA’s Review 2020 estimates that between 108,900 and 153,500 jobs could be generated in Flexibility </w:t>
      </w:r>
      <w:r w:rsidRPr="00EC3083">
        <w:rPr>
          <w:rFonts w:ascii="Open Sans" w:hAnsi="Open Sans" w:cs="Open Sans"/>
        </w:rPr>
        <w:t xml:space="preserve">and EVs </w:t>
      </w:r>
      <w:r w:rsidR="00A30C14" w:rsidRPr="00EC3083">
        <w:rPr>
          <w:rFonts w:ascii="Open Sans" w:hAnsi="Open Sans" w:cs="Open Sans"/>
        </w:rPr>
        <w:t>by 2040.</w:t>
      </w:r>
      <w:r w:rsidR="00A30C14" w:rsidRPr="00EC3083">
        <w:rPr>
          <w:rStyle w:val="EndnoteReference"/>
          <w:rFonts w:ascii="Open Sans" w:hAnsi="Open Sans" w:cs="Open Sans"/>
        </w:rPr>
        <w:endnoteReference w:id="29"/>
      </w:r>
    </w:p>
    <w:p w14:paraId="16ED8D44" w14:textId="63102180" w:rsidR="00A30C14" w:rsidRPr="00EC3083" w:rsidRDefault="00A30C14" w:rsidP="0080223C">
      <w:pPr>
        <w:pStyle w:val="ListParagraph"/>
        <w:numPr>
          <w:ilvl w:val="0"/>
          <w:numId w:val="16"/>
        </w:numPr>
        <w:rPr>
          <w:rFonts w:ascii="Open Sans" w:hAnsi="Open Sans" w:cs="Open Sans"/>
        </w:rPr>
      </w:pPr>
      <w:r w:rsidRPr="00EC3083">
        <w:rPr>
          <w:rFonts w:ascii="Open Sans" w:hAnsi="Open Sans" w:cs="Open Sans"/>
        </w:rPr>
        <w:t xml:space="preserve">IHS Markit predicts </w:t>
      </w:r>
      <w:r w:rsidR="00841C88" w:rsidRPr="00EC3083">
        <w:rPr>
          <w:rFonts w:ascii="Open Sans" w:hAnsi="Open Sans" w:cs="Open Sans"/>
        </w:rPr>
        <w:t xml:space="preserve">home </w:t>
      </w:r>
      <w:r w:rsidR="00632789" w:rsidRPr="00EC3083">
        <w:rPr>
          <w:rFonts w:ascii="Open Sans" w:hAnsi="Open Sans" w:cs="Open Sans"/>
        </w:rPr>
        <w:t>e</w:t>
      </w:r>
      <w:r w:rsidR="00632789">
        <w:rPr>
          <w:rFonts w:ascii="Open Sans" w:hAnsi="Open Sans" w:cs="Open Sans"/>
        </w:rPr>
        <w:t>lectricity</w:t>
      </w:r>
      <w:r w:rsidR="00632789" w:rsidRPr="00EC3083">
        <w:rPr>
          <w:rFonts w:ascii="Open Sans" w:hAnsi="Open Sans" w:cs="Open Sans"/>
        </w:rPr>
        <w:t xml:space="preserve"> </w:t>
      </w:r>
      <w:r w:rsidR="00841C88" w:rsidRPr="00EC3083">
        <w:rPr>
          <w:rFonts w:ascii="Open Sans" w:hAnsi="Open Sans" w:cs="Open Sans"/>
        </w:rPr>
        <w:t xml:space="preserve">storage </w:t>
      </w:r>
      <w:r w:rsidRPr="00EC3083">
        <w:rPr>
          <w:rFonts w:ascii="Open Sans" w:hAnsi="Open Sans" w:cs="Open Sans"/>
        </w:rPr>
        <w:t xml:space="preserve">will be hit particularly hard by </w:t>
      </w:r>
      <w:r w:rsidR="00841C88" w:rsidRPr="00EC3083">
        <w:rPr>
          <w:rFonts w:ascii="Open Sans" w:hAnsi="Open Sans" w:cs="Open Sans"/>
        </w:rPr>
        <w:t>Covid-19</w:t>
      </w:r>
      <w:r w:rsidRPr="00EC3083">
        <w:rPr>
          <w:rFonts w:ascii="Open Sans" w:hAnsi="Open Sans" w:cs="Open Sans"/>
        </w:rPr>
        <w:t xml:space="preserve"> due to homeowner </w:t>
      </w:r>
      <w:r w:rsidR="00841C88" w:rsidRPr="00EC3083">
        <w:rPr>
          <w:rFonts w:ascii="Open Sans" w:hAnsi="Open Sans" w:cs="Open Sans"/>
        </w:rPr>
        <w:t xml:space="preserve">financial concerns </w:t>
      </w:r>
      <w:r w:rsidRPr="00EC3083">
        <w:rPr>
          <w:rFonts w:ascii="Open Sans" w:hAnsi="Open Sans" w:cs="Open Sans"/>
        </w:rPr>
        <w:t>and fear of interpersonal contact</w:t>
      </w:r>
      <w:r w:rsidR="00E11321">
        <w:rPr>
          <w:rFonts w:ascii="Open Sans" w:hAnsi="Open Sans" w:cs="Open Sans"/>
        </w:rPr>
        <w:t>.</w:t>
      </w:r>
      <w:r w:rsidRPr="00EC3083">
        <w:rPr>
          <w:rStyle w:val="EndnoteReference"/>
          <w:rFonts w:ascii="Open Sans" w:hAnsi="Open Sans" w:cs="Open Sans"/>
        </w:rPr>
        <w:endnoteReference w:id="30"/>
      </w:r>
      <w:r w:rsidR="00841C88" w:rsidRPr="00EC3083">
        <w:rPr>
          <w:rFonts w:ascii="Open Sans" w:hAnsi="Open Sans" w:cs="Open Sans"/>
        </w:rPr>
        <w:t xml:space="preserve"> The measures identified will support businesses in this sector at a critical time.</w:t>
      </w:r>
      <w:r w:rsidR="008F6C61" w:rsidRPr="00EC3083">
        <w:rPr>
          <w:rFonts w:ascii="Open Sans" w:hAnsi="Open Sans" w:cs="Open Sans"/>
        </w:rPr>
        <w:t xml:space="preserve"> The Government has shown willingness to support businesses through VAT by extending a 15% VAT cut until January.</w:t>
      </w:r>
      <w:r w:rsidR="008F6C61" w:rsidRPr="00EC3083">
        <w:rPr>
          <w:rStyle w:val="EndnoteReference"/>
          <w:rFonts w:ascii="Open Sans" w:hAnsi="Open Sans" w:cs="Open Sans"/>
        </w:rPr>
        <w:endnoteReference w:id="31"/>
      </w:r>
    </w:p>
    <w:p w14:paraId="065C4F80" w14:textId="4399D360" w:rsidR="00A30C14" w:rsidRPr="00EC3083" w:rsidRDefault="00A30C14" w:rsidP="0080223C">
      <w:pPr>
        <w:pStyle w:val="ListParagraph"/>
        <w:numPr>
          <w:ilvl w:val="0"/>
          <w:numId w:val="16"/>
        </w:numPr>
        <w:rPr>
          <w:rFonts w:ascii="Open Sans" w:hAnsi="Open Sans" w:cs="Open Sans"/>
        </w:rPr>
      </w:pPr>
      <w:r w:rsidRPr="00EC3083">
        <w:rPr>
          <w:rFonts w:ascii="Open Sans" w:hAnsi="Open Sans" w:cs="Open Sans"/>
        </w:rPr>
        <w:t xml:space="preserve">Improving the competitiveness of our residential storage market will help to create </w:t>
      </w:r>
      <w:r w:rsidR="00841C88" w:rsidRPr="00EC3083">
        <w:rPr>
          <w:rFonts w:ascii="Open Sans" w:hAnsi="Open Sans" w:cs="Open Sans"/>
        </w:rPr>
        <w:t xml:space="preserve">a </w:t>
      </w:r>
      <w:r w:rsidRPr="00EC3083">
        <w:rPr>
          <w:rFonts w:ascii="Open Sans" w:hAnsi="Open Sans" w:cs="Open Sans"/>
        </w:rPr>
        <w:t>UK battery installation and manufacturing sector fit for the future by encouraging the growth of domestic supply chains and investment</w:t>
      </w:r>
      <w:r w:rsidR="0082220A" w:rsidRPr="00EC3083">
        <w:rPr>
          <w:rFonts w:ascii="Open Sans" w:hAnsi="Open Sans" w:cs="Open Sans"/>
        </w:rPr>
        <w:t>, unlocking global markets and export potential.</w:t>
      </w:r>
    </w:p>
    <w:p w14:paraId="49F4F2D5" w14:textId="64E52C64" w:rsidR="00A30C14" w:rsidRPr="00EC3083" w:rsidRDefault="00A30C14" w:rsidP="00005D36">
      <w:pPr>
        <w:pStyle w:val="ListParagraph"/>
        <w:numPr>
          <w:ilvl w:val="0"/>
          <w:numId w:val="16"/>
        </w:numPr>
        <w:rPr>
          <w:rFonts w:ascii="Open Sans" w:hAnsi="Open Sans" w:cs="Open Sans"/>
        </w:rPr>
      </w:pPr>
      <w:r w:rsidRPr="00EC3083">
        <w:rPr>
          <w:rFonts w:ascii="Open Sans" w:hAnsi="Open Sans" w:cs="Open Sans"/>
        </w:rPr>
        <w:t>More residential battery storage would help our security of supply by enabling households to avoid taking electricity off the grid at peak times.</w:t>
      </w:r>
    </w:p>
    <w:p w14:paraId="4E204BDD" w14:textId="7CE22A0D" w:rsidR="00841C88" w:rsidRPr="00EC3083" w:rsidRDefault="00841C88" w:rsidP="00841C88">
      <w:pPr>
        <w:pStyle w:val="ListParagraph"/>
        <w:numPr>
          <w:ilvl w:val="0"/>
          <w:numId w:val="16"/>
        </w:numPr>
        <w:rPr>
          <w:rFonts w:ascii="Open Sans" w:hAnsi="Open Sans" w:cs="Open Sans"/>
        </w:rPr>
      </w:pPr>
      <w:r w:rsidRPr="00EC3083">
        <w:rPr>
          <w:rFonts w:ascii="Open Sans" w:hAnsi="Open Sans" w:cs="Open Sans"/>
        </w:rPr>
        <w:t>Home</w:t>
      </w:r>
      <w:r w:rsidR="00A30C14" w:rsidRPr="00EC3083">
        <w:rPr>
          <w:rFonts w:ascii="Open Sans" w:hAnsi="Open Sans" w:cs="Open Sans"/>
        </w:rPr>
        <w:t xml:space="preserve"> e</w:t>
      </w:r>
      <w:r w:rsidR="00632789">
        <w:rPr>
          <w:rFonts w:ascii="Open Sans" w:hAnsi="Open Sans" w:cs="Open Sans"/>
        </w:rPr>
        <w:t>lectricity</w:t>
      </w:r>
      <w:r w:rsidR="00A30C14" w:rsidRPr="00EC3083">
        <w:rPr>
          <w:rFonts w:ascii="Open Sans" w:hAnsi="Open Sans" w:cs="Open Sans"/>
        </w:rPr>
        <w:t xml:space="preserve"> storage will help </w:t>
      </w:r>
      <w:r w:rsidRPr="00EC3083">
        <w:rPr>
          <w:rFonts w:ascii="Open Sans" w:hAnsi="Open Sans" w:cs="Open Sans"/>
        </w:rPr>
        <w:t xml:space="preserve">integrate and better utilise lowest cost renewable </w:t>
      </w:r>
      <w:r w:rsidR="00A30C14" w:rsidRPr="00EC3083">
        <w:rPr>
          <w:rFonts w:ascii="Open Sans" w:hAnsi="Open Sans" w:cs="Open Sans"/>
        </w:rPr>
        <w:t>energy.</w:t>
      </w:r>
    </w:p>
    <w:p w14:paraId="1734F179" w14:textId="37B156E7" w:rsidR="00841C88" w:rsidRPr="00EC3083" w:rsidRDefault="00841C88" w:rsidP="00841C88">
      <w:pPr>
        <w:pStyle w:val="ListParagraph"/>
        <w:numPr>
          <w:ilvl w:val="0"/>
          <w:numId w:val="16"/>
        </w:numPr>
        <w:rPr>
          <w:rFonts w:ascii="Open Sans" w:hAnsi="Open Sans" w:cs="Open Sans"/>
        </w:rPr>
      </w:pPr>
      <w:r w:rsidRPr="00EC3083">
        <w:rPr>
          <w:rFonts w:ascii="Open Sans" w:hAnsi="Open Sans" w:cs="Open Sans"/>
        </w:rPr>
        <w:t>Reducing curtailment costs would provide certainty unlocking private green energy finance.</w:t>
      </w:r>
    </w:p>
    <w:p w14:paraId="3A1A64D5" w14:textId="71DFE30C" w:rsidR="0043493A" w:rsidRDefault="0043493A" w:rsidP="0009548F">
      <w:pPr>
        <w:pStyle w:val="Heading1"/>
        <w:rPr>
          <w:rFonts w:ascii="Open Sans" w:hAnsi="Open Sans" w:cs="Open Sans"/>
        </w:rPr>
      </w:pPr>
    </w:p>
    <w:p w14:paraId="351637E0" w14:textId="306A513C" w:rsidR="001B0787" w:rsidRDefault="001B0787" w:rsidP="001B0787"/>
    <w:p w14:paraId="79BB41DC" w14:textId="1FDA97AD" w:rsidR="001B0787" w:rsidRDefault="001B0787" w:rsidP="001B0787"/>
    <w:p w14:paraId="1FF979FA" w14:textId="77777777" w:rsidR="001B0787" w:rsidRPr="001B0787" w:rsidRDefault="001B0787" w:rsidP="001B0787"/>
    <w:p w14:paraId="32E08AC3" w14:textId="77777777" w:rsidR="0043493A" w:rsidRDefault="0043493A" w:rsidP="0009548F">
      <w:pPr>
        <w:pStyle w:val="Heading1"/>
        <w:rPr>
          <w:rFonts w:ascii="Open Sans" w:hAnsi="Open Sans" w:cs="Open Sans"/>
        </w:rPr>
      </w:pPr>
    </w:p>
    <w:p w14:paraId="7EE4DFCE" w14:textId="02EBA79D" w:rsidR="0043493A" w:rsidRDefault="0043493A" w:rsidP="0009548F">
      <w:pPr>
        <w:jc w:val="both"/>
        <w:rPr>
          <w:rFonts w:ascii="Open Sans" w:hAnsi="Open Sans" w:cs="Open Sans"/>
          <w:b/>
          <w:bCs/>
          <w:color w:val="06926B"/>
          <w:sz w:val="32"/>
          <w:szCs w:val="32"/>
        </w:rPr>
      </w:pPr>
      <w:r w:rsidRPr="0043493A">
        <w:rPr>
          <w:rFonts w:ascii="Open Sans" w:hAnsi="Open Sans" w:cs="Open Sans"/>
          <w:b/>
          <w:bCs/>
          <w:color w:val="06926B"/>
          <w:sz w:val="32"/>
          <w:szCs w:val="32"/>
        </w:rPr>
        <w:t>Annex: Support for home e</w:t>
      </w:r>
      <w:r w:rsidR="00632789">
        <w:rPr>
          <w:rFonts w:ascii="Open Sans" w:hAnsi="Open Sans" w:cs="Open Sans"/>
          <w:b/>
          <w:bCs/>
          <w:color w:val="06926B"/>
          <w:sz w:val="32"/>
          <w:szCs w:val="32"/>
        </w:rPr>
        <w:t>lectricit</w:t>
      </w:r>
      <w:r w:rsidRPr="0043493A">
        <w:rPr>
          <w:rFonts w:ascii="Open Sans" w:hAnsi="Open Sans" w:cs="Open Sans"/>
          <w:b/>
          <w:bCs/>
          <w:color w:val="06926B"/>
          <w:sz w:val="32"/>
          <w:szCs w:val="32"/>
        </w:rPr>
        <w:t>y storage in other markets</w:t>
      </w:r>
    </w:p>
    <w:p w14:paraId="0B501B9D" w14:textId="333CE689" w:rsidR="00810049" w:rsidRPr="00EC3083" w:rsidRDefault="00A30C14" w:rsidP="0009548F">
      <w:pPr>
        <w:jc w:val="both"/>
        <w:rPr>
          <w:rFonts w:ascii="Open Sans" w:hAnsi="Open Sans" w:cs="Open Sans"/>
        </w:rPr>
      </w:pPr>
      <w:r w:rsidRPr="00EC3083">
        <w:rPr>
          <w:rFonts w:ascii="Open Sans" w:hAnsi="Open Sans" w:cs="Open Sans"/>
        </w:rPr>
        <w:t>There are incentives available for home e</w:t>
      </w:r>
      <w:r w:rsidR="00632789">
        <w:rPr>
          <w:rFonts w:ascii="Open Sans" w:hAnsi="Open Sans" w:cs="Open Sans"/>
        </w:rPr>
        <w:t>lectricity</w:t>
      </w:r>
      <w:r w:rsidRPr="00EC3083">
        <w:rPr>
          <w:rFonts w:ascii="Open Sans" w:hAnsi="Open Sans" w:cs="Open Sans"/>
        </w:rPr>
        <w:t xml:space="preserve"> storage in Germany, Czech Republic, Italy, Sweden, Ireland, Austria, Switzerland, Belgium, Scotland, Australia, Japan, and the US (list not exhaustive</w:t>
      </w:r>
      <w:r w:rsidRPr="00997689">
        <w:rPr>
          <w:rFonts w:ascii="Open Sans" w:hAnsi="Open Sans" w:cs="Open Sans"/>
        </w:rPr>
        <w:t>).</w:t>
      </w:r>
      <w:r w:rsidRPr="00997689">
        <w:rPr>
          <w:rStyle w:val="EndnoteReference"/>
          <w:rFonts w:ascii="Open Sans" w:hAnsi="Open Sans" w:cs="Open Sans"/>
        </w:rPr>
        <w:endnoteReference w:id="32"/>
      </w:r>
      <w:r w:rsidRPr="00997689">
        <w:rPr>
          <w:rFonts w:ascii="Open Sans" w:hAnsi="Open Sans" w:cs="Open Sans"/>
        </w:rPr>
        <w:t xml:space="preserve"> </w:t>
      </w:r>
      <w:r w:rsidR="00810049" w:rsidRPr="00997689">
        <w:rPr>
          <w:rFonts w:ascii="Open Sans" w:hAnsi="Open Sans" w:cs="Open Sans"/>
        </w:rPr>
        <w:t>H</w:t>
      </w:r>
      <w:r w:rsidR="00810049" w:rsidRPr="00EC3083">
        <w:rPr>
          <w:rFonts w:ascii="Open Sans" w:hAnsi="Open Sans" w:cs="Open Sans"/>
        </w:rPr>
        <w:t>ere we highlight some key examples:</w:t>
      </w:r>
    </w:p>
    <w:p w14:paraId="72121235" w14:textId="359981B9" w:rsidR="00810049" w:rsidRPr="00EC3083" w:rsidRDefault="00A30C14" w:rsidP="0009548F">
      <w:pPr>
        <w:jc w:val="both"/>
        <w:rPr>
          <w:rFonts w:ascii="Open Sans" w:hAnsi="Open Sans" w:cs="Open Sans"/>
        </w:rPr>
      </w:pPr>
      <w:r w:rsidRPr="00EC3083">
        <w:rPr>
          <w:rFonts w:ascii="Open Sans" w:hAnsi="Open Sans" w:cs="Open Sans"/>
          <w:b/>
          <w:bCs/>
        </w:rPr>
        <w:t>Germany</w:t>
      </w:r>
      <w:r w:rsidRPr="00EC3083">
        <w:rPr>
          <w:rFonts w:ascii="Open Sans" w:hAnsi="Open Sans" w:cs="Open Sans"/>
        </w:rPr>
        <w:t xml:space="preserve"> has promoted network flexibility by providing support through its development bank, </w:t>
      </w:r>
      <w:proofErr w:type="spellStart"/>
      <w:r w:rsidRPr="00EC3083">
        <w:rPr>
          <w:rFonts w:ascii="Open Sans" w:hAnsi="Open Sans" w:cs="Open Sans"/>
        </w:rPr>
        <w:t>KfW</w:t>
      </w:r>
      <w:proofErr w:type="spellEnd"/>
      <w:r w:rsidRPr="00EC3083">
        <w:rPr>
          <w:rFonts w:ascii="Open Sans" w:hAnsi="Open Sans" w:cs="Open Sans"/>
        </w:rPr>
        <w:t xml:space="preserve"> for e</w:t>
      </w:r>
      <w:r w:rsidR="00632789">
        <w:rPr>
          <w:rFonts w:ascii="Open Sans" w:hAnsi="Open Sans" w:cs="Open Sans"/>
        </w:rPr>
        <w:t>lectricit</w:t>
      </w:r>
      <w:r w:rsidRPr="00EC3083">
        <w:rPr>
          <w:rFonts w:ascii="Open Sans" w:hAnsi="Open Sans" w:cs="Open Sans"/>
        </w:rPr>
        <w:t xml:space="preserve">y storage systems when installed alongside Solar photovoltaic (PV) energy production systems. This maximises value-for-money from both technologies: ensuring that any domestic storage system is able to feedback into the </w:t>
      </w:r>
      <w:proofErr w:type="gramStart"/>
      <w:r w:rsidRPr="00EC3083">
        <w:rPr>
          <w:rFonts w:ascii="Open Sans" w:hAnsi="Open Sans" w:cs="Open Sans"/>
        </w:rPr>
        <w:t>grid, and</w:t>
      </w:r>
      <w:proofErr w:type="gramEnd"/>
      <w:r w:rsidRPr="00EC3083">
        <w:rPr>
          <w:rFonts w:ascii="Open Sans" w:hAnsi="Open Sans" w:cs="Open Sans"/>
        </w:rPr>
        <w:t xml:space="preserve"> making the best use of solar systems by storing excess energy in peak productivity times. The programme currently includes a low-interest loan for 100% of the costs associated with stationary battery storage systems related to a solar PV installation, and a repayment subsidy which was, in July 2016, at 16%.</w:t>
      </w:r>
      <w:r w:rsidRPr="00EC3083">
        <w:rPr>
          <w:rStyle w:val="EndnoteReference"/>
          <w:rFonts w:ascii="Open Sans" w:hAnsi="Open Sans" w:cs="Open Sans"/>
        </w:rPr>
        <w:endnoteReference w:id="33"/>
      </w:r>
      <w:r w:rsidRPr="00EC3083">
        <w:rPr>
          <w:rFonts w:ascii="Open Sans" w:hAnsi="Open Sans" w:cs="Open Sans"/>
        </w:rPr>
        <w:t xml:space="preserve"> In addition, there are state-level support programmes in place. The Bavarian state provides €500 for a storage system of at least 3 kWh, and a further €100 per additional 1 kWh. This programme is also linked to the installation of a solar PV system.</w:t>
      </w:r>
      <w:r w:rsidRPr="00EC3083">
        <w:rPr>
          <w:rStyle w:val="EndnoteReference"/>
          <w:rFonts w:ascii="Open Sans" w:hAnsi="Open Sans" w:cs="Open Sans"/>
        </w:rPr>
        <w:endnoteReference w:id="34"/>
      </w:r>
    </w:p>
    <w:p w14:paraId="4D9BFE8E" w14:textId="03BC839F" w:rsidR="00A30C14" w:rsidRPr="00EC3083" w:rsidRDefault="00A30C14" w:rsidP="0009548F">
      <w:pPr>
        <w:jc w:val="both"/>
        <w:rPr>
          <w:rFonts w:ascii="Open Sans" w:hAnsi="Open Sans" w:cs="Open Sans"/>
        </w:rPr>
      </w:pPr>
      <w:r w:rsidRPr="00EC3083">
        <w:rPr>
          <w:rFonts w:ascii="Open Sans" w:hAnsi="Open Sans" w:cs="Open Sans"/>
          <w:b/>
          <w:bCs/>
        </w:rPr>
        <w:t>Ireland</w:t>
      </w:r>
      <w:r w:rsidRPr="00EC3083">
        <w:rPr>
          <w:rFonts w:ascii="Open Sans" w:hAnsi="Open Sans" w:cs="Open Sans"/>
        </w:rPr>
        <w:t xml:space="preserve"> offers a grant which, like Germany, is linked to the installation of a PV system. The grant is for a fixed €600 for the battery storage system and </w:t>
      </w:r>
      <w:proofErr w:type="gramStart"/>
      <w:r w:rsidRPr="00EC3083">
        <w:rPr>
          <w:rFonts w:ascii="Open Sans" w:hAnsi="Open Sans" w:cs="Open Sans"/>
        </w:rPr>
        <w:t>is connected with</w:t>
      </w:r>
      <w:proofErr w:type="gramEnd"/>
      <w:r w:rsidRPr="00EC3083">
        <w:rPr>
          <w:rFonts w:ascii="Open Sans" w:hAnsi="Open Sans" w:cs="Open Sans"/>
        </w:rPr>
        <w:t xml:space="preserve"> a variable grant for the PV system up to €2,400. This scheme is limited to households built and occupied before 2011.</w:t>
      </w:r>
      <w:r w:rsidRPr="00EC3083">
        <w:rPr>
          <w:rStyle w:val="EndnoteReference"/>
          <w:rFonts w:ascii="Open Sans" w:hAnsi="Open Sans" w:cs="Open Sans"/>
          <w:color w:val="000000" w:themeColor="text1"/>
        </w:rPr>
        <w:endnoteReference w:id="35"/>
      </w:r>
    </w:p>
    <w:p w14:paraId="74816660" w14:textId="57FBA9CE" w:rsidR="0009548F" w:rsidRPr="00EC3083" w:rsidRDefault="00A30C14" w:rsidP="0009548F">
      <w:pPr>
        <w:jc w:val="both"/>
        <w:rPr>
          <w:rFonts w:ascii="Open Sans" w:hAnsi="Open Sans" w:cs="Open Sans"/>
        </w:rPr>
      </w:pPr>
      <w:r w:rsidRPr="00EC3083">
        <w:rPr>
          <w:rFonts w:ascii="Open Sans" w:hAnsi="Open Sans" w:cs="Open Sans"/>
        </w:rPr>
        <w:t xml:space="preserve">In the </w:t>
      </w:r>
      <w:r w:rsidRPr="00EC3083">
        <w:rPr>
          <w:rFonts w:ascii="Open Sans" w:hAnsi="Open Sans" w:cs="Open Sans"/>
          <w:b/>
          <w:bCs/>
        </w:rPr>
        <w:t>USA</w:t>
      </w:r>
      <w:r w:rsidRPr="00EC3083">
        <w:rPr>
          <w:rFonts w:ascii="Open Sans" w:hAnsi="Open Sans" w:cs="Open Sans"/>
        </w:rPr>
        <w:t xml:space="preserve">, several states (including California, Oregon, Nevada, Massachusetts, New York, New Jersey, and Virginia) set </w:t>
      </w:r>
      <w:r w:rsidR="00632789">
        <w:rPr>
          <w:rFonts w:ascii="Open Sans" w:hAnsi="Open Sans" w:cs="Open Sans"/>
        </w:rPr>
        <w:t>electricity</w:t>
      </w:r>
      <w:r w:rsidR="00632789" w:rsidRPr="00EC3083">
        <w:rPr>
          <w:rFonts w:ascii="Open Sans" w:hAnsi="Open Sans" w:cs="Open Sans"/>
        </w:rPr>
        <w:t xml:space="preserve"> </w:t>
      </w:r>
      <w:r w:rsidRPr="00EC3083">
        <w:rPr>
          <w:rFonts w:ascii="Open Sans" w:hAnsi="Open Sans" w:cs="Open Sans"/>
        </w:rPr>
        <w:t>storage mandates or targets, or provide incentives.</w:t>
      </w:r>
      <w:r w:rsidRPr="00EC3083">
        <w:rPr>
          <w:rStyle w:val="EndnoteReference"/>
          <w:rFonts w:ascii="Open Sans" w:hAnsi="Open Sans" w:cs="Open Sans"/>
        </w:rPr>
        <w:endnoteReference w:id="36"/>
      </w:r>
      <w:r w:rsidRPr="00EC3083">
        <w:rPr>
          <w:rFonts w:ascii="Open Sans" w:hAnsi="Open Sans" w:cs="Open Sans"/>
        </w:rPr>
        <w:t xml:space="preserve"> In California, the Self-Generation Incentive Program (SGIP) provides rebates of $850 per kWh under the Equity rebate or $1,000 per kWh under the Equity Resilience rebate. Since 2018, Maryland has offered a tax credit on 30% of the installed costs for an e</w:t>
      </w:r>
      <w:r w:rsidR="00632789">
        <w:rPr>
          <w:rFonts w:ascii="Open Sans" w:hAnsi="Open Sans" w:cs="Open Sans"/>
        </w:rPr>
        <w:t>lectricity</w:t>
      </w:r>
      <w:r w:rsidR="001B0787">
        <w:rPr>
          <w:rFonts w:ascii="Open Sans" w:hAnsi="Open Sans" w:cs="Open Sans"/>
        </w:rPr>
        <w:t xml:space="preserve"> </w:t>
      </w:r>
      <w:r w:rsidRPr="00EC3083">
        <w:rPr>
          <w:rFonts w:ascii="Open Sans" w:hAnsi="Open Sans" w:cs="Open Sans"/>
        </w:rPr>
        <w:t>storage system.</w:t>
      </w:r>
      <w:r w:rsidRPr="00EC3083">
        <w:rPr>
          <w:rStyle w:val="EndnoteReference"/>
          <w:rFonts w:ascii="Open Sans" w:hAnsi="Open Sans" w:cs="Open Sans"/>
        </w:rPr>
        <w:endnoteReference w:id="37"/>
      </w:r>
      <w:r w:rsidRPr="00EC3083">
        <w:rPr>
          <w:rFonts w:ascii="Open Sans" w:hAnsi="Open Sans" w:cs="Open Sans"/>
        </w:rPr>
        <w:t xml:space="preserve"> In Nevada the public utility company Nevada Energy operates an incentive scheme, dependent on whether the customers want to vary energy use based on grid demand. For residential consumers, the variable scheme is for $0.19 per </w:t>
      </w:r>
      <w:proofErr w:type="spellStart"/>
      <w:r w:rsidRPr="00EC3083">
        <w:rPr>
          <w:rFonts w:ascii="Open Sans" w:hAnsi="Open Sans" w:cs="Open Sans"/>
        </w:rPr>
        <w:t>Wh</w:t>
      </w:r>
      <w:proofErr w:type="spellEnd"/>
      <w:r w:rsidRPr="00EC3083">
        <w:rPr>
          <w:rFonts w:ascii="Open Sans" w:hAnsi="Open Sans" w:cs="Open Sans"/>
        </w:rPr>
        <w:t xml:space="preserve">, or 50% of the equipment costs up to $3,000 (lesser of). The non-variable scheme is for $0.095 per </w:t>
      </w:r>
      <w:proofErr w:type="spellStart"/>
      <w:r w:rsidRPr="00EC3083">
        <w:rPr>
          <w:rFonts w:ascii="Open Sans" w:hAnsi="Open Sans" w:cs="Open Sans"/>
        </w:rPr>
        <w:t>Wh</w:t>
      </w:r>
      <w:proofErr w:type="spellEnd"/>
      <w:r w:rsidRPr="00EC3083">
        <w:rPr>
          <w:rFonts w:ascii="Open Sans" w:hAnsi="Open Sans" w:cs="Open Sans"/>
        </w:rPr>
        <w:t>, or 50% of the equipment costs up to $1,500 (lesser of).</w:t>
      </w:r>
      <w:r w:rsidRPr="00EC3083">
        <w:rPr>
          <w:rStyle w:val="EndnoteReference"/>
          <w:rFonts w:ascii="Open Sans" w:hAnsi="Open Sans" w:cs="Open Sans"/>
        </w:rPr>
        <w:endnoteReference w:id="38"/>
      </w:r>
      <w:r w:rsidRPr="00EC3083">
        <w:rPr>
          <w:rFonts w:ascii="Open Sans" w:hAnsi="Open Sans" w:cs="Open Sans"/>
        </w:rPr>
        <w:t xml:space="preserve"> </w:t>
      </w:r>
    </w:p>
    <w:p w14:paraId="23415415" w14:textId="6CAE32CD" w:rsidR="0009548F" w:rsidRPr="00EC3083" w:rsidRDefault="0009548F" w:rsidP="0009548F">
      <w:pPr>
        <w:jc w:val="both"/>
        <w:rPr>
          <w:rFonts w:ascii="Open Sans" w:hAnsi="Open Sans" w:cs="Open Sans"/>
        </w:rPr>
      </w:pPr>
      <w:r w:rsidRPr="00EC3083">
        <w:rPr>
          <w:rFonts w:ascii="Open Sans" w:hAnsi="Open Sans" w:cs="Open Sans"/>
        </w:rPr>
        <w:t xml:space="preserve">These schemes show that other countries with advanced economies are well-aware of the need to establish a globally competitive home </w:t>
      </w:r>
      <w:r w:rsidR="00632789">
        <w:rPr>
          <w:rFonts w:ascii="Open Sans" w:hAnsi="Open Sans" w:cs="Open Sans"/>
        </w:rPr>
        <w:t>electricity</w:t>
      </w:r>
      <w:r w:rsidR="00632789" w:rsidRPr="00EC3083">
        <w:rPr>
          <w:rFonts w:ascii="Open Sans" w:hAnsi="Open Sans" w:cs="Open Sans"/>
        </w:rPr>
        <w:t xml:space="preserve"> </w:t>
      </w:r>
      <w:r w:rsidRPr="00EC3083">
        <w:rPr>
          <w:rFonts w:ascii="Open Sans" w:hAnsi="Open Sans" w:cs="Open Sans"/>
        </w:rPr>
        <w:t>storage industry</w:t>
      </w:r>
      <w:r w:rsidR="000A5852" w:rsidRPr="00EC3083">
        <w:rPr>
          <w:rFonts w:ascii="Open Sans" w:hAnsi="Open Sans" w:cs="Open Sans"/>
        </w:rPr>
        <w:t xml:space="preserve">. The technology in these markets is </w:t>
      </w:r>
      <w:r w:rsidRPr="00EC3083">
        <w:rPr>
          <w:rFonts w:ascii="Open Sans" w:hAnsi="Open Sans" w:cs="Open Sans"/>
        </w:rPr>
        <w:t xml:space="preserve">maximising energy efficiency in the home and increasing the flexibility of energy systems by reducing the curtailment of renewable generation and displacing the use of fossil-based generation, </w:t>
      </w:r>
      <w:r w:rsidR="000A5852" w:rsidRPr="00EC3083">
        <w:rPr>
          <w:rFonts w:ascii="Open Sans" w:hAnsi="Open Sans" w:cs="Open Sans"/>
        </w:rPr>
        <w:t>in turn</w:t>
      </w:r>
      <w:r w:rsidRPr="00EC3083">
        <w:rPr>
          <w:rFonts w:ascii="Open Sans" w:hAnsi="Open Sans" w:cs="Open Sans"/>
        </w:rPr>
        <w:t xml:space="preserve"> realising savings for all consumers by improving the utilisation of existing network capacity and avoiding unnecessary grid reinforcement.</w:t>
      </w:r>
      <w:r w:rsidR="000A5852" w:rsidRPr="00EC3083">
        <w:rPr>
          <w:rFonts w:ascii="Open Sans" w:hAnsi="Open Sans" w:cs="Open Sans"/>
        </w:rPr>
        <w:t xml:space="preserve"> With the right incentives in the Green Recovery the UK has an opportunity to catch up and then play a leading role in the global market.</w:t>
      </w:r>
      <w:r w:rsidRPr="00EC3083">
        <w:rPr>
          <w:rFonts w:ascii="Open Sans" w:hAnsi="Open Sans" w:cs="Open Sans"/>
        </w:rPr>
        <w:t xml:space="preserve"> </w:t>
      </w:r>
    </w:p>
    <w:p w14:paraId="2D5711A8" w14:textId="004D23FD" w:rsidR="00A30C14" w:rsidRPr="00EC3083" w:rsidRDefault="00A30C14" w:rsidP="0009548F">
      <w:pPr>
        <w:jc w:val="both"/>
        <w:rPr>
          <w:rFonts w:ascii="Open Sans" w:hAnsi="Open Sans" w:cs="Open Sans"/>
        </w:rPr>
      </w:pPr>
    </w:p>
    <w:p w14:paraId="4220A8D1" w14:textId="79F942F9" w:rsidR="00A30C14" w:rsidRPr="00EC3083" w:rsidRDefault="00A30C14" w:rsidP="0009548F">
      <w:pPr>
        <w:jc w:val="both"/>
        <w:rPr>
          <w:rFonts w:ascii="Open Sans" w:hAnsi="Open Sans" w:cs="Open Sans"/>
        </w:rPr>
      </w:pPr>
    </w:p>
    <w:p w14:paraId="6A8B3D9F" w14:textId="7AC7DDA4" w:rsidR="00A30C14" w:rsidRPr="00EC3083" w:rsidRDefault="00A30C14" w:rsidP="0009548F">
      <w:pPr>
        <w:jc w:val="both"/>
        <w:rPr>
          <w:rFonts w:ascii="Open Sans" w:hAnsi="Open Sans" w:cs="Open Sans"/>
        </w:rPr>
      </w:pPr>
    </w:p>
    <w:p w14:paraId="488D0830" w14:textId="77777777" w:rsidR="00841C88" w:rsidRPr="00EC3083" w:rsidRDefault="00841C88">
      <w:pPr>
        <w:rPr>
          <w:rFonts w:ascii="Open Sans" w:eastAsiaTheme="majorEastAsia" w:hAnsi="Open Sans" w:cs="Open Sans"/>
          <w:color w:val="2F5496" w:themeColor="accent1" w:themeShade="BF"/>
          <w:sz w:val="32"/>
          <w:szCs w:val="32"/>
        </w:rPr>
      </w:pPr>
      <w:r w:rsidRPr="00EC3083">
        <w:rPr>
          <w:rFonts w:ascii="Open Sans" w:hAnsi="Open Sans" w:cs="Open Sans"/>
        </w:rPr>
        <w:br w:type="page"/>
      </w:r>
    </w:p>
    <w:p w14:paraId="608ED775" w14:textId="36C71653" w:rsidR="00A30C14" w:rsidRPr="00EC3083" w:rsidRDefault="0043493A" w:rsidP="0043493A">
      <w:pPr>
        <w:pStyle w:val="Heading1"/>
        <w:rPr>
          <w:rFonts w:ascii="Open Sans" w:hAnsi="Open Sans" w:cs="Open Sans"/>
        </w:rPr>
      </w:pPr>
      <w:r>
        <w:rPr>
          <w:rFonts w:ascii="Open Sans" w:hAnsi="Open Sans" w:cs="Open Sans"/>
          <w:b/>
          <w:bCs/>
          <w:color w:val="06926B"/>
        </w:rPr>
        <w:lastRenderedPageBreak/>
        <w:t>Sources and Notes</w:t>
      </w:r>
    </w:p>
    <w:sectPr w:rsidR="00A30C14" w:rsidRPr="00EC3083">
      <w:headerReference w:type="default" r:id="rId16"/>
      <w:footerReference w:type="default" r:id="rId17"/>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Daniel Brown" w:date="2020-10-06T14:21:00Z" w:initials="DB">
    <w:p w14:paraId="69C29F7E" w14:textId="2A61213D" w:rsidR="00F9124C" w:rsidRDefault="00F9124C">
      <w:pPr>
        <w:pStyle w:val="CommentText"/>
      </w:pPr>
      <w:r>
        <w:rPr>
          <w:rStyle w:val="CommentReference"/>
        </w:rPr>
        <w:annotationRef/>
      </w:r>
      <w:r>
        <w:t>This sentence to be removed if this is to become a public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C29F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6FC06" w16cex:dateUtc="2020-10-06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C29F7E" w16cid:durableId="2326FC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7008A" w14:textId="77777777" w:rsidR="00154C2F" w:rsidRDefault="00154C2F" w:rsidP="000F1926">
      <w:pPr>
        <w:spacing w:after="0" w:line="240" w:lineRule="auto"/>
      </w:pPr>
      <w:r>
        <w:separator/>
      </w:r>
    </w:p>
  </w:endnote>
  <w:endnote w:type="continuationSeparator" w:id="0">
    <w:p w14:paraId="24A377CB" w14:textId="77777777" w:rsidR="00154C2F" w:rsidRDefault="00154C2F" w:rsidP="000F1926">
      <w:pPr>
        <w:spacing w:after="0" w:line="240" w:lineRule="auto"/>
      </w:pPr>
      <w:r>
        <w:continuationSeparator/>
      </w:r>
    </w:p>
  </w:endnote>
  <w:endnote w:id="1">
    <w:p w14:paraId="57E72ABF" w14:textId="3ACF3C57"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Committee on Climate Change (2019) </w:t>
      </w:r>
      <w:hyperlink r:id="rId1" w:history="1">
        <w:r w:rsidRPr="0043493A">
          <w:rPr>
            <w:rStyle w:val="Hyperlink"/>
            <w:rFonts w:ascii="Open Sans" w:hAnsi="Open Sans" w:cs="Open Sans"/>
          </w:rPr>
          <w:t>Net Zero Technical Report</w:t>
        </w:r>
      </w:hyperlink>
      <w:r w:rsidRPr="0043493A">
        <w:rPr>
          <w:rFonts w:ascii="Open Sans" w:hAnsi="Open Sans" w:cs="Open Sans"/>
        </w:rPr>
        <w:t xml:space="preserve"> </w:t>
      </w:r>
    </w:p>
  </w:endnote>
  <w:endnote w:id="2">
    <w:p w14:paraId="24B342FD" w14:textId="3085390C"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Local Government Association (2020) </w:t>
      </w:r>
      <w:hyperlink r:id="rId2" w:history="1">
        <w:r w:rsidRPr="0043493A">
          <w:rPr>
            <w:rStyle w:val="Hyperlink"/>
            <w:rFonts w:ascii="Open Sans" w:hAnsi="Open Sans" w:cs="Open Sans"/>
          </w:rPr>
          <w:t>Local green jobs - accelerating a sustainable economic recovery</w:t>
        </w:r>
      </w:hyperlink>
    </w:p>
  </w:endnote>
  <w:endnote w:id="3">
    <w:p w14:paraId="3A7BFD5D" w14:textId="727D08F1" w:rsidR="00A30C14" w:rsidRPr="0043493A" w:rsidRDefault="00A30C14" w:rsidP="004938D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Faraday Institute (2020) </w:t>
      </w:r>
      <w:hyperlink r:id="rId3" w:anchor=":~:text=The%20Faraday%20Institution%20study%20forecasts,Battery%20Production%20Potential%20to%202040.%E2%80%9D" w:history="1">
        <w:r w:rsidRPr="0043493A">
          <w:rPr>
            <w:rStyle w:val="Hyperlink"/>
            <w:rFonts w:ascii="Open Sans" w:hAnsi="Open Sans" w:cs="Open Sans"/>
          </w:rPr>
          <w:t>UK Electric Vehicle and Battery Production Potential to 2040</w:t>
        </w:r>
      </w:hyperlink>
    </w:p>
  </w:endnote>
  <w:endnote w:id="4">
    <w:p w14:paraId="13227460" w14:textId="393F0521" w:rsidR="00A30C14" w:rsidRPr="0043493A" w:rsidRDefault="00A30C14" w:rsidP="003158EC">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w:t>
      </w:r>
      <w:bookmarkStart w:id="2" w:name="_Hlk51787530"/>
      <w:r w:rsidRPr="0043493A">
        <w:rPr>
          <w:rFonts w:ascii="Open Sans" w:hAnsi="Open Sans" w:cs="Open Sans"/>
        </w:rPr>
        <w:t xml:space="preserve">REA (2020) </w:t>
      </w:r>
      <w:hyperlink r:id="rId4" w:history="1">
        <w:r w:rsidRPr="0043493A">
          <w:rPr>
            <w:rStyle w:val="Hyperlink"/>
            <w:rFonts w:ascii="Open Sans" w:hAnsi="Open Sans" w:cs="Open Sans"/>
          </w:rPr>
          <w:t>Green Recovery Report</w:t>
        </w:r>
      </w:hyperlink>
      <w:bookmarkEnd w:id="2"/>
    </w:p>
  </w:endnote>
  <w:endnote w:id="5">
    <w:p w14:paraId="49139730" w14:textId="784342FD"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National Grid (2020) </w:t>
      </w:r>
      <w:hyperlink r:id="rId5" w:history="1">
        <w:r w:rsidRPr="0043493A">
          <w:rPr>
            <w:rStyle w:val="Hyperlink"/>
            <w:rFonts w:ascii="Open Sans" w:hAnsi="Open Sans" w:cs="Open Sans"/>
          </w:rPr>
          <w:t>Future Energy Scenarios</w:t>
        </w:r>
      </w:hyperlink>
      <w:r w:rsidRPr="0043493A">
        <w:rPr>
          <w:rFonts w:ascii="Open Sans" w:hAnsi="Open Sans" w:cs="Open Sans"/>
        </w:rPr>
        <w:t xml:space="preserve"> </w:t>
      </w:r>
    </w:p>
  </w:endnote>
  <w:endnote w:id="6">
    <w:p w14:paraId="61EECE4C" w14:textId="05EDE92F" w:rsidR="00A30C14" w:rsidRPr="0043493A" w:rsidRDefault="00A30C14" w:rsidP="0020198B">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Committee on Climate Change (2019) </w:t>
      </w:r>
      <w:hyperlink r:id="rId6" w:history="1">
        <w:r w:rsidRPr="0043493A">
          <w:rPr>
            <w:rStyle w:val="Hyperlink"/>
            <w:rFonts w:ascii="Open Sans" w:hAnsi="Open Sans" w:cs="Open Sans"/>
          </w:rPr>
          <w:t>Net Zero Technical Report</w:t>
        </w:r>
      </w:hyperlink>
    </w:p>
  </w:endnote>
  <w:endnote w:id="7">
    <w:p w14:paraId="17518CFA" w14:textId="42A4A480"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Bloomberg New Energy Finance (2018) </w:t>
      </w:r>
      <w:hyperlink r:id="rId7" w:history="1">
        <w:r w:rsidRPr="0043493A">
          <w:rPr>
            <w:rStyle w:val="Hyperlink"/>
            <w:rFonts w:ascii="Open Sans" w:hAnsi="Open Sans" w:cs="Open Sans"/>
          </w:rPr>
          <w:t>Flexibility solutions for high renewable energy systems</w:t>
        </w:r>
      </w:hyperlink>
      <w:r w:rsidRPr="0043493A">
        <w:rPr>
          <w:rFonts w:ascii="Open Sans" w:hAnsi="Open Sans" w:cs="Open Sans"/>
        </w:rPr>
        <w:t xml:space="preserve"> </w:t>
      </w:r>
    </w:p>
  </w:endnote>
  <w:endnote w:id="8">
    <w:p w14:paraId="77B7FE57" w14:textId="4E236B57"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National Infrastructure Commission (2020) </w:t>
      </w:r>
      <w:hyperlink r:id="rId8" w:history="1">
        <w:r w:rsidRPr="0043493A">
          <w:rPr>
            <w:rStyle w:val="Hyperlink"/>
            <w:rFonts w:ascii="Open Sans" w:hAnsi="Open Sans" w:cs="Open Sans"/>
          </w:rPr>
          <w:t>Renewables, Recovery, and Reaching Net Zero</w:t>
        </w:r>
      </w:hyperlink>
      <w:r w:rsidRPr="0043493A">
        <w:rPr>
          <w:rFonts w:ascii="Open Sans" w:hAnsi="Open Sans" w:cs="Open Sans"/>
        </w:rPr>
        <w:t xml:space="preserve"> </w:t>
      </w:r>
    </w:p>
  </w:endnote>
  <w:endnote w:id="9">
    <w:p w14:paraId="6E952310" w14:textId="5B75C069"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Drax and Eaton (2019) </w:t>
      </w:r>
      <w:hyperlink r:id="rId9" w:history="1">
        <w:r w:rsidRPr="0043493A">
          <w:rPr>
            <w:rStyle w:val="Hyperlink"/>
            <w:rFonts w:ascii="Open Sans" w:hAnsi="Open Sans" w:cs="Open Sans"/>
          </w:rPr>
          <w:t>Energy Transition Readiness Index</w:t>
        </w:r>
      </w:hyperlink>
      <w:r w:rsidRPr="0043493A">
        <w:rPr>
          <w:rFonts w:ascii="Open Sans" w:hAnsi="Open Sans" w:cs="Open Sans"/>
        </w:rPr>
        <w:t xml:space="preserve"> </w:t>
      </w:r>
    </w:p>
  </w:endnote>
  <w:endnote w:id="10">
    <w:p w14:paraId="1AD60C7E" w14:textId="38D3F0FD" w:rsidR="00A30C14" w:rsidRPr="0043493A" w:rsidRDefault="00A30C14" w:rsidP="000F1926">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National Grid (2020) </w:t>
      </w:r>
      <w:hyperlink r:id="rId10" w:history="1">
        <w:r w:rsidRPr="0043493A">
          <w:rPr>
            <w:rStyle w:val="Hyperlink"/>
            <w:rFonts w:ascii="Open Sans" w:hAnsi="Open Sans" w:cs="Open Sans"/>
          </w:rPr>
          <w:t>System balancing reports</w:t>
        </w:r>
      </w:hyperlink>
    </w:p>
  </w:endnote>
  <w:endnote w:id="11">
    <w:p w14:paraId="20AA0DF3" w14:textId="37BACCE9" w:rsidR="00A30C14" w:rsidRPr="0043493A" w:rsidRDefault="00A30C14" w:rsidP="000F1926">
      <w:pPr>
        <w:pStyle w:val="EndnoteText"/>
        <w:rPr>
          <w:rFonts w:ascii="Open Sans" w:hAnsi="Open Sans" w:cs="Open Sans"/>
          <w:lang w:val="de-DE"/>
        </w:rPr>
      </w:pPr>
      <w:r w:rsidRPr="0043493A">
        <w:rPr>
          <w:rStyle w:val="EndnoteReference"/>
          <w:rFonts w:ascii="Open Sans" w:hAnsi="Open Sans" w:cs="Open Sans"/>
        </w:rPr>
        <w:endnoteRef/>
      </w:r>
      <w:r w:rsidRPr="0043493A">
        <w:rPr>
          <w:rFonts w:ascii="Open Sans" w:hAnsi="Open Sans" w:cs="Open Sans"/>
          <w:lang w:val="de-DE"/>
        </w:rPr>
        <w:t xml:space="preserve"> Ofgem (2020)</w:t>
      </w:r>
      <w:r w:rsidRPr="0043493A">
        <w:rPr>
          <w:rFonts w:ascii="Open Sans" w:hAnsi="Open Sans" w:cs="Open Sans"/>
        </w:rPr>
        <w:t xml:space="preserve"> </w:t>
      </w:r>
      <w:hyperlink r:id="rId11" w:history="1">
        <w:r w:rsidRPr="0043493A">
          <w:rPr>
            <w:rStyle w:val="Hyperlink"/>
            <w:rFonts w:ascii="Open Sans" w:hAnsi="Open Sans" w:cs="Open Sans"/>
            <w:lang w:val="de-DE"/>
          </w:rPr>
          <w:t>Grid Code Modification Proposal GC0143 ‘Last resort disconnection of Embedded Generation’</w:t>
        </w:r>
      </w:hyperlink>
      <w:r w:rsidRPr="0043493A">
        <w:rPr>
          <w:rFonts w:ascii="Open Sans" w:hAnsi="Open Sans" w:cs="Open Sans"/>
          <w:lang w:val="de-DE"/>
        </w:rPr>
        <w:t xml:space="preserve"> </w:t>
      </w:r>
    </w:p>
  </w:endnote>
  <w:endnote w:id="12">
    <w:p w14:paraId="2009AEEB" w14:textId="77A95BC4" w:rsidR="007801FF" w:rsidRPr="0043493A" w:rsidRDefault="007801FF">
      <w:pPr>
        <w:pStyle w:val="EndnoteText"/>
        <w:rPr>
          <w:rFonts w:ascii="Open Sans" w:hAnsi="Open Sans" w:cs="Open Sans"/>
          <w:lang w:val="en-GB"/>
        </w:rPr>
      </w:pPr>
      <w:r w:rsidRPr="0043493A">
        <w:rPr>
          <w:rStyle w:val="EndnoteReference"/>
          <w:rFonts w:ascii="Open Sans" w:hAnsi="Open Sans" w:cs="Open Sans"/>
        </w:rPr>
        <w:endnoteRef/>
      </w:r>
      <w:r w:rsidRPr="0043493A">
        <w:rPr>
          <w:rFonts w:ascii="Open Sans" w:hAnsi="Open Sans" w:cs="Open Sans"/>
        </w:rPr>
        <w:t xml:space="preserve"> Current+ (2020) </w:t>
      </w:r>
      <w:hyperlink r:id="rId12" w:history="1">
        <w:r w:rsidRPr="0043493A">
          <w:rPr>
            <w:rStyle w:val="Hyperlink"/>
            <w:rFonts w:ascii="Open Sans" w:hAnsi="Open Sans" w:cs="Open Sans"/>
          </w:rPr>
          <w:t>The Impact of the Unprecedent COVID 19 Period on Forecasting</w:t>
        </w:r>
      </w:hyperlink>
      <w:r w:rsidRPr="0043493A">
        <w:rPr>
          <w:rFonts w:ascii="Open Sans" w:hAnsi="Open Sans" w:cs="Open Sans"/>
        </w:rPr>
        <w:t xml:space="preserve"> </w:t>
      </w:r>
    </w:p>
  </w:endnote>
  <w:endnote w:id="13">
    <w:p w14:paraId="485B2181" w14:textId="2CFDFC56"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Current+ (2020) </w:t>
      </w:r>
      <w:hyperlink r:id="rId13" w:history="1">
        <w:r w:rsidRPr="0043493A">
          <w:rPr>
            <w:rStyle w:val="Hyperlink"/>
            <w:rFonts w:ascii="Open Sans" w:hAnsi="Open Sans" w:cs="Open Sans"/>
          </w:rPr>
          <w:t>Smart charging could have saved 133m in grid balancing during lockdown</w:t>
        </w:r>
      </w:hyperlink>
      <w:r w:rsidRPr="0043493A">
        <w:rPr>
          <w:rFonts w:ascii="Open Sans" w:hAnsi="Open Sans" w:cs="Open Sans"/>
        </w:rPr>
        <w:t xml:space="preserve"> </w:t>
      </w:r>
    </w:p>
  </w:endnote>
  <w:endnote w:id="14">
    <w:p w14:paraId="567E3E10" w14:textId="2D8D8CBC" w:rsidR="00841C88" w:rsidRPr="0043493A" w:rsidRDefault="00841C88">
      <w:pPr>
        <w:pStyle w:val="EndnoteText"/>
        <w:rPr>
          <w:rFonts w:ascii="Open Sans" w:hAnsi="Open Sans" w:cs="Open Sans"/>
          <w:lang w:val="en-GB"/>
        </w:rPr>
      </w:pPr>
      <w:r w:rsidRPr="0043493A">
        <w:rPr>
          <w:rStyle w:val="EndnoteReference"/>
          <w:rFonts w:ascii="Open Sans" w:hAnsi="Open Sans" w:cs="Open Sans"/>
        </w:rPr>
        <w:endnoteRef/>
      </w:r>
      <w:r w:rsidRPr="0043493A">
        <w:rPr>
          <w:rFonts w:ascii="Open Sans" w:hAnsi="Open Sans" w:cs="Open Sans"/>
        </w:rPr>
        <w:t xml:space="preserve"> </w:t>
      </w:r>
      <w:r w:rsidRPr="0043493A">
        <w:rPr>
          <w:rFonts w:ascii="Open Sans" w:hAnsi="Open Sans" w:cs="Open Sans"/>
          <w:lang w:val="en-GB"/>
        </w:rPr>
        <w:t xml:space="preserve">Drax Energy Insights (2020) </w:t>
      </w:r>
      <w:hyperlink r:id="rId14" w:anchor="/reports/report-2020-q2/overview?_k=h6jvsb" w:history="1">
        <w:r w:rsidRPr="0043493A">
          <w:rPr>
            <w:rStyle w:val="Hyperlink"/>
            <w:rFonts w:ascii="Open Sans" w:hAnsi="Open Sans" w:cs="Open Sans"/>
            <w:lang w:val="en-GB"/>
          </w:rPr>
          <w:t>Quarterly report Q2 2020</w:t>
        </w:r>
      </w:hyperlink>
    </w:p>
  </w:endnote>
  <w:endnote w:id="15">
    <w:p w14:paraId="36E5E464" w14:textId="61DB18F1" w:rsidR="00A30C14" w:rsidRPr="0043493A" w:rsidRDefault="00A30C14" w:rsidP="000F1926">
      <w:pPr>
        <w:pStyle w:val="EndnoteText"/>
        <w:jc w:val="both"/>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The ENA estimated that £10bn of investment would be required by 2030 to upgrade the distribution network to cope with electric vehicles and heat, of which 90% is required in ageing local, low voltage networks. Distributed e</w:t>
      </w:r>
      <w:r w:rsidR="00632789">
        <w:rPr>
          <w:rFonts w:ascii="Open Sans" w:hAnsi="Open Sans" w:cs="Open Sans"/>
        </w:rPr>
        <w:t>lectricit</w:t>
      </w:r>
      <w:r w:rsidRPr="0043493A">
        <w:rPr>
          <w:rFonts w:ascii="Open Sans" w:hAnsi="Open Sans" w:cs="Open Sans"/>
        </w:rPr>
        <w:t>y storage is ideally placed to alleviate peak demand at the local level.</w:t>
      </w:r>
    </w:p>
  </w:endnote>
  <w:endnote w:id="16">
    <w:p w14:paraId="2C77A440" w14:textId="5465C4C8" w:rsidR="00A30C14" w:rsidRPr="0043493A" w:rsidRDefault="00A30C14" w:rsidP="000F1926">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Imperial College (2018) </w:t>
      </w:r>
      <w:hyperlink r:id="rId15" w:history="1">
        <w:r w:rsidRPr="0043493A">
          <w:rPr>
            <w:rStyle w:val="Hyperlink"/>
            <w:rFonts w:ascii="Open Sans" w:hAnsi="Open Sans" w:cs="Open Sans"/>
          </w:rPr>
          <w:t>Blueprint for a post carbon society</w:t>
        </w:r>
      </w:hyperlink>
      <w:r w:rsidRPr="0043493A">
        <w:rPr>
          <w:rFonts w:ascii="Open Sans" w:hAnsi="Open Sans" w:cs="Open Sans"/>
        </w:rPr>
        <w:t xml:space="preserve"> </w:t>
      </w:r>
    </w:p>
  </w:endnote>
  <w:endnote w:id="17">
    <w:p w14:paraId="04E4EF83" w14:textId="701A6C4F" w:rsidR="00A30C14" w:rsidRPr="0043493A" w:rsidRDefault="00A30C14" w:rsidP="000F1926">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Element Energy (2019) </w:t>
      </w:r>
      <w:hyperlink r:id="rId16" w:history="1">
        <w:r w:rsidRPr="0043493A">
          <w:rPr>
            <w:rStyle w:val="Hyperlink"/>
            <w:rFonts w:ascii="Open Sans" w:hAnsi="Open Sans" w:cs="Open Sans"/>
          </w:rPr>
          <w:t>The value of flexibility</w:t>
        </w:r>
      </w:hyperlink>
    </w:p>
  </w:endnote>
  <w:endnote w:id="18">
    <w:p w14:paraId="607C06CE" w14:textId="77777777" w:rsidR="00810049" w:rsidRPr="0043493A" w:rsidRDefault="00810049" w:rsidP="00810049">
      <w:pPr>
        <w:pStyle w:val="EndnoteText"/>
        <w:rPr>
          <w:rFonts w:ascii="Open Sans" w:hAnsi="Open Sans" w:cs="Open Sans"/>
          <w:lang w:val="en-GB"/>
        </w:rPr>
      </w:pPr>
      <w:r w:rsidRPr="0043493A">
        <w:rPr>
          <w:rStyle w:val="EndnoteReference"/>
          <w:rFonts w:ascii="Open Sans" w:hAnsi="Open Sans" w:cs="Open Sans"/>
        </w:rPr>
        <w:endnoteRef/>
      </w:r>
      <w:r w:rsidRPr="0043493A">
        <w:rPr>
          <w:rFonts w:ascii="Open Sans" w:hAnsi="Open Sans" w:cs="Open Sans"/>
        </w:rPr>
        <w:t xml:space="preserve"> </w:t>
      </w:r>
      <w:r w:rsidRPr="0043493A">
        <w:rPr>
          <w:rFonts w:ascii="Open Sans" w:hAnsi="Open Sans" w:cs="Open Sans"/>
          <w:lang w:val="en-GB"/>
        </w:rPr>
        <w:t>IHS Market Global Residential Storage Index Q2 2020</w:t>
      </w:r>
    </w:p>
  </w:endnote>
  <w:endnote w:id="19">
    <w:p w14:paraId="0CDFF7DB" w14:textId="265F849E" w:rsidR="005D69E9" w:rsidRPr="006932D7" w:rsidRDefault="005D69E9">
      <w:pPr>
        <w:pStyle w:val="EndnoteText"/>
        <w:rPr>
          <w:rFonts w:ascii="Open Sans" w:hAnsi="Open Sans" w:cs="Open Sans"/>
          <w:lang w:val="en-GB"/>
        </w:rPr>
      </w:pPr>
      <w:r w:rsidRPr="0043493A">
        <w:rPr>
          <w:rStyle w:val="EndnoteReference"/>
          <w:rFonts w:ascii="Open Sans" w:hAnsi="Open Sans" w:cs="Open Sans"/>
        </w:rPr>
        <w:endnoteRef/>
      </w:r>
      <w:r w:rsidRPr="0043493A">
        <w:rPr>
          <w:rFonts w:ascii="Open Sans" w:hAnsi="Open Sans" w:cs="Open Sans"/>
        </w:rPr>
        <w:t xml:space="preserve"> </w:t>
      </w:r>
      <w:r w:rsidRPr="0043493A">
        <w:rPr>
          <w:rFonts w:ascii="Open Sans" w:hAnsi="Open Sans" w:cs="Open Sans"/>
        </w:rPr>
        <w:t xml:space="preserve">Moixa 2018: </w:t>
      </w:r>
      <w:hyperlink r:id="rId17" w:history="1">
        <w:r w:rsidRPr="0043493A">
          <w:rPr>
            <w:rStyle w:val="Hyperlink"/>
            <w:rFonts w:ascii="Open Sans" w:hAnsi="Open Sans" w:cs="Open Sans"/>
          </w:rPr>
          <w:t>Moixa Launches GridShare Platform Across 3500 Homes in Japan</w:t>
        </w:r>
      </w:hyperlink>
    </w:p>
  </w:endnote>
  <w:endnote w:id="20">
    <w:p w14:paraId="7DD185FA" w14:textId="29A228F5" w:rsidR="00721EC8" w:rsidRPr="006932D7" w:rsidRDefault="00721EC8">
      <w:pPr>
        <w:pStyle w:val="EndnoteText"/>
        <w:rPr>
          <w:rFonts w:ascii="Open Sans" w:hAnsi="Open Sans" w:cs="Open Sans"/>
          <w:lang w:val="en-GB"/>
        </w:rPr>
      </w:pPr>
      <w:r w:rsidRPr="0043493A">
        <w:rPr>
          <w:rStyle w:val="EndnoteReference"/>
          <w:rFonts w:ascii="Open Sans" w:hAnsi="Open Sans" w:cs="Open Sans"/>
        </w:rPr>
        <w:endnoteRef/>
      </w:r>
      <w:r w:rsidRPr="0043493A">
        <w:rPr>
          <w:rFonts w:ascii="Open Sans" w:hAnsi="Open Sans" w:cs="Open Sans"/>
        </w:rPr>
        <w:t xml:space="preserve"> Current News (2020): </w:t>
      </w:r>
      <w:hyperlink r:id="rId18" w:history="1">
        <w:r w:rsidRPr="0043493A">
          <w:rPr>
            <w:rStyle w:val="Hyperlink"/>
            <w:rFonts w:ascii="Open Sans" w:hAnsi="Open Sans" w:cs="Open Sans"/>
          </w:rPr>
          <w:t>Octopus Energy Expands Into the US Market with Evolve Acquisition</w:t>
        </w:r>
      </w:hyperlink>
      <w:r w:rsidRPr="0043493A">
        <w:rPr>
          <w:rFonts w:ascii="Open Sans" w:hAnsi="Open Sans" w:cs="Open Sans"/>
        </w:rPr>
        <w:t xml:space="preserve"> </w:t>
      </w:r>
    </w:p>
  </w:endnote>
  <w:endnote w:id="21">
    <w:p w14:paraId="4193A57E" w14:textId="7EEC2612" w:rsidR="00A30C14" w:rsidRPr="0043493A" w:rsidRDefault="00A30C14" w:rsidP="007C6168">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Committee on Climate Change (2020) </w:t>
      </w:r>
      <w:hyperlink r:id="rId19" w:history="1">
        <w:r w:rsidRPr="0043493A">
          <w:rPr>
            <w:rStyle w:val="Hyperlink"/>
            <w:rFonts w:ascii="Open Sans" w:hAnsi="Open Sans" w:cs="Open Sans"/>
          </w:rPr>
          <w:t>Take urgent action on six key principles for a resilient recovery</w:t>
        </w:r>
      </w:hyperlink>
      <w:r w:rsidRPr="0043493A">
        <w:rPr>
          <w:rFonts w:ascii="Open Sans" w:hAnsi="Open Sans" w:cs="Open Sans"/>
        </w:rPr>
        <w:t xml:space="preserve"> </w:t>
      </w:r>
    </w:p>
  </w:endnote>
  <w:endnote w:id="22">
    <w:p w14:paraId="1BED86BC" w14:textId="6A53DC93" w:rsidR="00A30C14" w:rsidRPr="0043493A" w:rsidRDefault="00A30C14" w:rsidP="00252E88">
      <w:pPr>
        <w:pStyle w:val="EndnoteText"/>
        <w:rPr>
          <w:rFonts w:ascii="Open Sans" w:hAnsi="Open Sans" w:cs="Open Sans"/>
          <w:lang w:val="de-DE"/>
        </w:rPr>
      </w:pPr>
      <w:r w:rsidRPr="0043493A">
        <w:rPr>
          <w:rStyle w:val="EndnoteReference"/>
          <w:rFonts w:ascii="Open Sans" w:hAnsi="Open Sans" w:cs="Open Sans"/>
        </w:rPr>
        <w:endnoteRef/>
      </w:r>
      <w:r w:rsidRPr="0043493A">
        <w:rPr>
          <w:rFonts w:ascii="Open Sans" w:hAnsi="Open Sans" w:cs="Open Sans"/>
          <w:lang w:val="de-DE"/>
        </w:rPr>
        <w:t xml:space="preserve"> </w:t>
      </w:r>
      <w:bookmarkStart w:id="9" w:name="_Hlk51787263"/>
      <w:r w:rsidRPr="0043493A">
        <w:rPr>
          <w:rFonts w:ascii="Open Sans" w:hAnsi="Open Sans" w:cs="Open Sans"/>
          <w:lang w:val="de-DE"/>
        </w:rPr>
        <w:t xml:space="preserve">Nicholas Stern, Joseph Stiglitz, et al (2020) </w:t>
      </w:r>
      <w:hyperlink r:id="rId20" w:history="1">
        <w:r w:rsidRPr="0043493A">
          <w:rPr>
            <w:rStyle w:val="Hyperlink"/>
            <w:rFonts w:ascii="Open Sans" w:hAnsi="Open Sans" w:cs="Open Sans"/>
            <w:lang w:val="de-DE"/>
          </w:rPr>
          <w:t>Will COVID-19 fiscal recovery packages accelerate or retard progress on climate change?</w:t>
        </w:r>
      </w:hyperlink>
    </w:p>
    <w:bookmarkEnd w:id="9"/>
  </w:endnote>
  <w:endnote w:id="23">
    <w:p w14:paraId="75026568" w14:textId="3CA7748C" w:rsidR="00A30C14" w:rsidRPr="0043493A" w:rsidRDefault="00A30C14" w:rsidP="00252E88">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REA (2020) </w:t>
      </w:r>
      <w:hyperlink r:id="rId21" w:history="1">
        <w:r w:rsidRPr="0043493A">
          <w:rPr>
            <w:rStyle w:val="Hyperlink"/>
            <w:rFonts w:ascii="Open Sans" w:hAnsi="Open Sans" w:cs="Open Sans"/>
          </w:rPr>
          <w:t>Green Recovery Report</w:t>
        </w:r>
      </w:hyperlink>
    </w:p>
  </w:endnote>
  <w:endnote w:id="24">
    <w:p w14:paraId="77F93EF7" w14:textId="41700AA9" w:rsidR="00A30C14" w:rsidRPr="0043493A" w:rsidRDefault="00A30C14" w:rsidP="00252E88">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Faraday Institute (2020) </w:t>
      </w:r>
      <w:hyperlink r:id="rId22" w:anchor=":~:text=The%20Faraday%20Institution%20study%20forecasts,Battery%20Production%20Potential%20to%202040.%E2%80%9D" w:history="1">
        <w:r w:rsidRPr="0043493A">
          <w:rPr>
            <w:rStyle w:val="Hyperlink"/>
            <w:rFonts w:ascii="Open Sans" w:hAnsi="Open Sans" w:cs="Open Sans"/>
          </w:rPr>
          <w:t>UK Electric Vehicle and Battery Production Potential to 2040</w:t>
        </w:r>
      </w:hyperlink>
      <w:r w:rsidRPr="0043493A">
        <w:rPr>
          <w:rFonts w:ascii="Open Sans" w:hAnsi="Open Sans" w:cs="Open Sans"/>
        </w:rPr>
        <w:t xml:space="preserve"> </w:t>
      </w:r>
    </w:p>
  </w:endnote>
  <w:endnote w:id="25">
    <w:p w14:paraId="463B480F" w14:textId="76E52783"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Local Government Association (2020) </w:t>
      </w:r>
      <w:hyperlink r:id="rId23" w:history="1">
        <w:r w:rsidRPr="0043493A">
          <w:rPr>
            <w:rStyle w:val="Hyperlink"/>
            <w:rFonts w:ascii="Open Sans" w:hAnsi="Open Sans" w:cs="Open Sans"/>
          </w:rPr>
          <w:t>Local green jobs - accelerating a sustainable economic recovery</w:t>
        </w:r>
      </w:hyperlink>
    </w:p>
  </w:endnote>
  <w:endnote w:id="26">
    <w:p w14:paraId="1CEE284B" w14:textId="07A3D881" w:rsidR="00D9465D" w:rsidRPr="006932D7" w:rsidRDefault="00D9465D">
      <w:pPr>
        <w:pStyle w:val="EndnoteText"/>
        <w:rPr>
          <w:rFonts w:ascii="Open Sans" w:hAnsi="Open Sans" w:cs="Open Sans"/>
          <w:lang w:val="en-GB"/>
        </w:rPr>
      </w:pPr>
      <w:r w:rsidRPr="0043493A">
        <w:rPr>
          <w:rStyle w:val="EndnoteReference"/>
          <w:rFonts w:ascii="Open Sans" w:hAnsi="Open Sans" w:cs="Open Sans"/>
        </w:rPr>
        <w:endnoteRef/>
      </w:r>
      <w:r w:rsidRPr="0043493A">
        <w:rPr>
          <w:rFonts w:ascii="Open Sans" w:hAnsi="Open Sans" w:cs="Open Sans"/>
        </w:rPr>
        <w:t xml:space="preserve"> </w:t>
      </w:r>
      <w:r w:rsidRPr="0043493A">
        <w:rPr>
          <w:rFonts w:ascii="Open Sans" w:hAnsi="Open Sans" w:cs="Open Sans"/>
          <w:lang w:val="en-GB"/>
        </w:rPr>
        <w:t xml:space="preserve">Hansard (2019) </w:t>
      </w:r>
      <w:hyperlink r:id="rId24" w:history="1">
        <w:r w:rsidRPr="0043493A">
          <w:rPr>
            <w:rStyle w:val="Hyperlink"/>
            <w:rFonts w:ascii="Open Sans" w:hAnsi="Open Sans" w:cs="Open Sans"/>
            <w:lang w:val="en-GB"/>
          </w:rPr>
          <w:t>Photovoltaic and Battery Storage Systems: VAT</w:t>
        </w:r>
      </w:hyperlink>
      <w:r w:rsidRPr="0043493A">
        <w:rPr>
          <w:rFonts w:ascii="Open Sans" w:hAnsi="Open Sans" w:cs="Open Sans"/>
          <w:lang w:val="en-GB"/>
        </w:rPr>
        <w:t xml:space="preserve"> </w:t>
      </w:r>
    </w:p>
  </w:endnote>
  <w:endnote w:id="27">
    <w:p w14:paraId="776F79EA" w14:textId="59318AFA"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w:t>
      </w:r>
      <w:bookmarkStart w:id="10" w:name="_Hlk51787290"/>
      <w:r w:rsidRPr="0043493A">
        <w:rPr>
          <w:rFonts w:ascii="Open Sans" w:hAnsi="Open Sans" w:cs="Open Sans"/>
        </w:rPr>
        <w:t xml:space="preserve">Faraday Institute (2020) </w:t>
      </w:r>
      <w:hyperlink r:id="rId25" w:anchor=":~:text=The%20Faraday%20Institution%20study%20forecasts,Battery%20Production%20Potential%20to%202040.%E2%80%9D" w:history="1">
        <w:r w:rsidRPr="0043493A">
          <w:rPr>
            <w:rStyle w:val="Hyperlink"/>
            <w:rFonts w:ascii="Open Sans" w:hAnsi="Open Sans" w:cs="Open Sans"/>
          </w:rPr>
          <w:t>UK Electric Vehicle and Battery Production Potential to 2040</w:t>
        </w:r>
      </w:hyperlink>
      <w:bookmarkEnd w:id="10"/>
      <w:r w:rsidRPr="0043493A">
        <w:rPr>
          <w:rFonts w:ascii="Open Sans" w:hAnsi="Open Sans" w:cs="Open Sans"/>
        </w:rPr>
        <w:t xml:space="preserve"> </w:t>
      </w:r>
    </w:p>
  </w:endnote>
  <w:endnote w:id="28">
    <w:p w14:paraId="077CBD7B" w14:textId="51AAD974"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House of Commons, BEIS Committee (2019) </w:t>
      </w:r>
      <w:hyperlink r:id="rId26" w:history="1">
        <w:r w:rsidRPr="0043493A">
          <w:rPr>
            <w:rStyle w:val="Hyperlink"/>
            <w:rFonts w:ascii="Open Sans" w:hAnsi="Open Sans" w:cs="Open Sans"/>
          </w:rPr>
          <w:t>Energy Efficiency: Building Towards Net Zero</w:t>
        </w:r>
      </w:hyperlink>
    </w:p>
  </w:endnote>
  <w:endnote w:id="29">
    <w:p w14:paraId="118ED378" w14:textId="243F3C8D"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REA (2020) </w:t>
      </w:r>
      <w:hyperlink r:id="rId27" w:history="1">
        <w:r w:rsidRPr="0043493A">
          <w:rPr>
            <w:rStyle w:val="Hyperlink"/>
            <w:rFonts w:ascii="Open Sans" w:hAnsi="Open Sans" w:cs="Open Sans"/>
          </w:rPr>
          <w:t>Green Recovery Report</w:t>
        </w:r>
      </w:hyperlink>
    </w:p>
  </w:endnote>
  <w:endnote w:id="30">
    <w:p w14:paraId="316BFCD3" w14:textId="7745ECCB" w:rsidR="00A30C14" w:rsidRPr="0043493A" w:rsidRDefault="00A30C14">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Energy Storage News (2020) </w:t>
      </w:r>
      <w:hyperlink r:id="rId28" w:history="1">
        <w:r w:rsidRPr="0043493A">
          <w:rPr>
            <w:rStyle w:val="Hyperlink"/>
            <w:rFonts w:ascii="Open Sans" w:hAnsi="Open Sans" w:cs="Open Sans"/>
          </w:rPr>
          <w:t>Behind-the-meter energy storage to be heavily hit by COVID-19, but industry growth will be resilient</w:t>
        </w:r>
      </w:hyperlink>
    </w:p>
  </w:endnote>
  <w:endnote w:id="31">
    <w:p w14:paraId="5BB825C5" w14:textId="57B24A63" w:rsidR="008F6C61" w:rsidRPr="006932D7" w:rsidRDefault="008F6C61">
      <w:pPr>
        <w:pStyle w:val="EndnoteText"/>
        <w:rPr>
          <w:rFonts w:ascii="Open Sans" w:hAnsi="Open Sans" w:cs="Open Sans"/>
          <w:lang w:val="en-GB"/>
        </w:rPr>
      </w:pPr>
      <w:r w:rsidRPr="0043493A">
        <w:rPr>
          <w:rStyle w:val="EndnoteReference"/>
          <w:rFonts w:ascii="Open Sans" w:hAnsi="Open Sans" w:cs="Open Sans"/>
        </w:rPr>
        <w:endnoteRef/>
      </w:r>
      <w:r w:rsidRPr="0043493A">
        <w:rPr>
          <w:rFonts w:ascii="Open Sans" w:hAnsi="Open Sans" w:cs="Open Sans"/>
        </w:rPr>
        <w:t xml:space="preserve"> </w:t>
      </w:r>
      <w:r w:rsidRPr="0043493A">
        <w:rPr>
          <w:rFonts w:ascii="Open Sans" w:hAnsi="Open Sans" w:cs="Open Sans"/>
          <w:lang w:val="en-GB"/>
        </w:rPr>
        <w:t xml:space="preserve">BBC News (2020) </w:t>
      </w:r>
      <w:hyperlink r:id="rId29" w:anchor=":~:text=The%20chancellor%20has%20announced%20the,2021%2C%20rather%20than%2013%20January" w:history="1">
        <w:r w:rsidRPr="0043493A">
          <w:rPr>
            <w:rStyle w:val="Hyperlink"/>
            <w:rFonts w:ascii="Open Sans" w:hAnsi="Open Sans" w:cs="Open Sans"/>
            <w:lang w:val="en-GB"/>
          </w:rPr>
          <w:t>VAT cut to be extended for hospitality sector</w:t>
        </w:r>
      </w:hyperlink>
      <w:r w:rsidRPr="0043493A">
        <w:rPr>
          <w:rFonts w:ascii="Open Sans" w:hAnsi="Open Sans" w:cs="Open Sans"/>
          <w:lang w:val="en-GB"/>
        </w:rPr>
        <w:t xml:space="preserve"> </w:t>
      </w:r>
    </w:p>
  </w:endnote>
  <w:endnote w:id="32">
    <w:p w14:paraId="1C436FFD" w14:textId="77777777" w:rsidR="00A30C14" w:rsidRPr="0043493A" w:rsidRDefault="00A30C14" w:rsidP="0009548F">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In Australia, Germany, Italy, Switzerland, and the US, these measures vary at state and regional level.</w:t>
      </w:r>
    </w:p>
  </w:endnote>
  <w:endnote w:id="33">
    <w:p w14:paraId="449B183A" w14:textId="0225B26C" w:rsidR="00A30C14" w:rsidRPr="0043493A" w:rsidRDefault="00A30C14" w:rsidP="0009548F">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w:t>
      </w:r>
      <w:hyperlink r:id="rId30" w:history="1">
        <w:r w:rsidRPr="0043493A">
          <w:rPr>
            <w:rStyle w:val="Hyperlink"/>
            <w:rFonts w:ascii="Open Sans" w:hAnsi="Open Sans" w:cs="Open Sans"/>
          </w:rPr>
          <w:t xml:space="preserve">German Government Funding </w:t>
        </w:r>
        <w:r w:rsidRPr="0043493A">
          <w:rPr>
            <w:rStyle w:val="Hyperlink"/>
            <w:rFonts w:ascii="Open Sans" w:hAnsi="Open Sans" w:cs="Open Sans"/>
          </w:rPr>
          <w:t>programmes for energy storage</w:t>
        </w:r>
      </w:hyperlink>
      <w:r w:rsidRPr="0043493A">
        <w:rPr>
          <w:rFonts w:ascii="Open Sans" w:hAnsi="Open Sans" w:cs="Open Sans"/>
        </w:rPr>
        <w:t xml:space="preserve">  </w:t>
      </w:r>
    </w:p>
  </w:endnote>
  <w:endnote w:id="34">
    <w:p w14:paraId="0CFD2FBB" w14:textId="2503EA9F" w:rsidR="00A30C14" w:rsidRPr="0043493A" w:rsidRDefault="00A30C14" w:rsidP="0009548F">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Energy Storage News (2019) </w:t>
      </w:r>
      <w:hyperlink r:id="rId31" w:history="1">
        <w:r w:rsidRPr="0043493A">
          <w:rPr>
            <w:rStyle w:val="Hyperlink"/>
            <w:rFonts w:ascii="Open Sans" w:hAnsi="Open Sans" w:cs="Open Sans"/>
          </w:rPr>
          <w:t>Bavarian solar-plus-storage subsidy scheme launches today</w:t>
        </w:r>
      </w:hyperlink>
    </w:p>
  </w:endnote>
  <w:endnote w:id="35">
    <w:p w14:paraId="681CD76C" w14:textId="7B860507" w:rsidR="00A30C14" w:rsidRPr="0043493A" w:rsidRDefault="00A30C14" w:rsidP="0009548F">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Sustainable Energy Authority o</w:t>
      </w:r>
      <w:r w:rsidR="00810049" w:rsidRPr="0043493A">
        <w:rPr>
          <w:rFonts w:ascii="Open Sans" w:hAnsi="Open Sans" w:cs="Open Sans"/>
        </w:rPr>
        <w:t>f</w:t>
      </w:r>
      <w:r w:rsidRPr="0043493A">
        <w:rPr>
          <w:rFonts w:ascii="Open Sans" w:hAnsi="Open Sans" w:cs="Open Sans"/>
        </w:rPr>
        <w:t xml:space="preserve"> Ireland </w:t>
      </w:r>
      <w:hyperlink r:id="rId32" w:history="1">
        <w:r w:rsidRPr="0043493A">
          <w:rPr>
            <w:rStyle w:val="Hyperlink"/>
            <w:rFonts w:ascii="Open Sans" w:hAnsi="Open Sans" w:cs="Open Sans"/>
          </w:rPr>
          <w:t>Solar electricity grant</w:t>
        </w:r>
      </w:hyperlink>
      <w:r w:rsidRPr="0043493A">
        <w:rPr>
          <w:rFonts w:ascii="Open Sans" w:hAnsi="Open Sans" w:cs="Open Sans"/>
        </w:rPr>
        <w:t xml:space="preserve"> </w:t>
      </w:r>
    </w:p>
  </w:endnote>
  <w:endnote w:id="36">
    <w:p w14:paraId="358136CE" w14:textId="77777777" w:rsidR="00A30C14" w:rsidRPr="0043493A" w:rsidRDefault="00A30C14" w:rsidP="0009548F">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Battery Storage in the United States: An Update on Market Trends, July 2020</w:t>
      </w:r>
    </w:p>
  </w:endnote>
  <w:endnote w:id="37">
    <w:p w14:paraId="39205E3E" w14:textId="6EEBF9EC" w:rsidR="00A30C14" w:rsidRPr="0043493A" w:rsidRDefault="00A30C14" w:rsidP="0009548F">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w:t>
      </w:r>
      <w:r w:rsidR="00810049" w:rsidRPr="0043493A">
        <w:rPr>
          <w:rFonts w:ascii="Open Sans" w:hAnsi="Open Sans" w:cs="Open Sans"/>
        </w:rPr>
        <w:t xml:space="preserve">Maryland Energy Administration </w:t>
      </w:r>
      <w:hyperlink r:id="rId33" w:history="1">
        <w:r w:rsidR="00810049" w:rsidRPr="0043493A">
          <w:rPr>
            <w:rStyle w:val="Hyperlink"/>
            <w:rFonts w:ascii="Open Sans" w:hAnsi="Open Sans" w:cs="Open Sans"/>
          </w:rPr>
          <w:t>Maryland Energy Storage Income Tax Credit - 2020</w:t>
        </w:r>
      </w:hyperlink>
    </w:p>
  </w:endnote>
  <w:endnote w:id="38">
    <w:p w14:paraId="29CC4F76" w14:textId="048618A9" w:rsidR="00A30C14" w:rsidRPr="0043493A" w:rsidRDefault="00A30C14" w:rsidP="0009548F">
      <w:pPr>
        <w:pStyle w:val="EndnoteText"/>
        <w:rPr>
          <w:rFonts w:ascii="Open Sans" w:hAnsi="Open Sans" w:cs="Open Sans"/>
        </w:rPr>
      </w:pPr>
      <w:r w:rsidRPr="0043493A">
        <w:rPr>
          <w:rStyle w:val="EndnoteReference"/>
          <w:rFonts w:ascii="Open Sans" w:hAnsi="Open Sans" w:cs="Open Sans"/>
        </w:rPr>
        <w:endnoteRef/>
      </w:r>
      <w:r w:rsidRPr="0043493A">
        <w:rPr>
          <w:rFonts w:ascii="Open Sans" w:hAnsi="Open Sans" w:cs="Open Sans"/>
        </w:rPr>
        <w:t xml:space="preserve"> </w:t>
      </w:r>
      <w:r w:rsidR="00810049" w:rsidRPr="0043493A">
        <w:rPr>
          <w:rFonts w:ascii="Open Sans" w:hAnsi="Open Sans" w:cs="Open Sans"/>
        </w:rPr>
        <w:t xml:space="preserve">Nevada Energy Administration </w:t>
      </w:r>
      <w:hyperlink r:id="rId34" w:history="1">
        <w:r w:rsidR="00810049" w:rsidRPr="0043493A">
          <w:rPr>
            <w:rStyle w:val="Hyperlink"/>
            <w:rFonts w:ascii="Open Sans" w:hAnsi="Open Sans" w:cs="Open Sans"/>
          </w:rPr>
          <w:t>Energy Storage</w:t>
        </w:r>
      </w:hyperlink>
      <w:r w:rsidRPr="0043493A">
        <w:rPr>
          <w:rFonts w:ascii="Open Sans" w:hAnsi="Open Sans" w:cs="Open San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Open Sans" w:hAnsi="Open Sans" w:cs="Open Sans"/>
        <w:b/>
        <w:bCs/>
        <w:sz w:val="20"/>
        <w:szCs w:val="20"/>
      </w:rPr>
      <w:id w:val="-729227493"/>
      <w:docPartObj>
        <w:docPartGallery w:val="Page Numbers (Bottom of Page)"/>
        <w:docPartUnique/>
      </w:docPartObj>
    </w:sdtPr>
    <w:sdtEndPr>
      <w:rPr>
        <w:color w:val="7F7F7F"/>
      </w:rPr>
    </w:sdtEndPr>
    <w:sdtContent>
      <w:p w14:paraId="0264236C" w14:textId="77777777" w:rsidR="0043493A" w:rsidRDefault="003158EC" w:rsidP="002317E5">
        <w:pPr>
          <w:pStyle w:val="Footer"/>
          <w:ind w:right="-7"/>
          <w:jc w:val="center"/>
          <w:rPr>
            <w:rFonts w:ascii="Open Sans" w:hAnsi="Open Sans" w:cs="Open Sans"/>
            <w:b/>
            <w:bCs/>
            <w:sz w:val="20"/>
            <w:szCs w:val="20"/>
          </w:rPr>
        </w:pPr>
        <w:r w:rsidRPr="0043493A">
          <w:rPr>
            <w:rFonts w:ascii="Open Sans" w:hAnsi="Open Sans" w:cs="Open Sans"/>
            <w:b/>
            <w:bCs/>
            <w:sz w:val="20"/>
            <w:szCs w:val="20"/>
          </w:rPr>
          <w:tab/>
        </w:r>
      </w:p>
      <w:p w14:paraId="56FF0D0B" w14:textId="1E65ADD3" w:rsidR="0043493A" w:rsidRPr="0043493A" w:rsidRDefault="0043493A" w:rsidP="0043493A">
        <w:pPr>
          <w:pStyle w:val="Footer"/>
          <w:ind w:right="-7"/>
          <w:jc w:val="right"/>
          <w:rPr>
            <w:rFonts w:ascii="Open Sans" w:hAnsi="Open Sans" w:cs="Open Sans"/>
            <w:sz w:val="20"/>
            <w:szCs w:val="20"/>
          </w:rPr>
        </w:pPr>
        <w:r>
          <w:rPr>
            <w:rFonts w:ascii="Open Sans" w:hAnsi="Open Sans" w:cs="Open Sans"/>
            <w:sz w:val="20"/>
            <w:szCs w:val="20"/>
          </w:rPr>
          <w:t xml:space="preserve">REA Paper: </w:t>
        </w:r>
        <w:r w:rsidRPr="0043493A">
          <w:rPr>
            <w:rFonts w:ascii="Open Sans" w:hAnsi="Open Sans" w:cs="Open Sans"/>
            <w:sz w:val="20"/>
            <w:szCs w:val="20"/>
          </w:rPr>
          <w:t>The case for fair</w:t>
        </w:r>
        <w:r>
          <w:rPr>
            <w:rFonts w:ascii="Open Sans" w:hAnsi="Open Sans" w:cs="Open Sans"/>
            <w:sz w:val="20"/>
            <w:szCs w:val="20"/>
          </w:rPr>
          <w:t xml:space="preserve"> </w:t>
        </w:r>
        <w:r w:rsidRPr="0043493A">
          <w:rPr>
            <w:rFonts w:ascii="Open Sans" w:hAnsi="Open Sans" w:cs="Open Sans"/>
            <w:sz w:val="20"/>
            <w:szCs w:val="20"/>
          </w:rPr>
          <w:t>tax treatment and temporary grant support for Home E</w:t>
        </w:r>
        <w:r w:rsidR="00D47064">
          <w:rPr>
            <w:rFonts w:ascii="Open Sans" w:hAnsi="Open Sans" w:cs="Open Sans"/>
            <w:sz w:val="20"/>
            <w:szCs w:val="20"/>
          </w:rPr>
          <w:t>lectricit</w:t>
        </w:r>
        <w:r w:rsidRPr="0043493A">
          <w:rPr>
            <w:rFonts w:ascii="Open Sans" w:hAnsi="Open Sans" w:cs="Open Sans"/>
            <w:sz w:val="20"/>
            <w:szCs w:val="20"/>
          </w:rPr>
          <w:t>y Storage</w:t>
        </w:r>
      </w:p>
      <w:p w14:paraId="1CF94DA0" w14:textId="07B00D62" w:rsidR="003158EC" w:rsidRPr="0043493A" w:rsidRDefault="0043493A" w:rsidP="002317E5">
        <w:pPr>
          <w:pStyle w:val="Footer"/>
          <w:ind w:right="-7"/>
          <w:jc w:val="center"/>
          <w:rPr>
            <w:rFonts w:ascii="Open Sans" w:hAnsi="Open Sans" w:cs="Open Sans"/>
            <w:b/>
            <w:bCs/>
            <w:color w:val="7F7F7F"/>
            <w:sz w:val="20"/>
            <w:szCs w:val="20"/>
          </w:rPr>
        </w:pPr>
        <w:r>
          <w:rPr>
            <w:rFonts w:ascii="Open Sans" w:hAnsi="Open Sans" w:cs="Open Sans"/>
            <w:b/>
            <w:bCs/>
            <w:sz w:val="20"/>
            <w:szCs w:val="20"/>
          </w:rPr>
          <w:tab/>
        </w:r>
        <w:r w:rsidR="003158EC" w:rsidRPr="0043493A">
          <w:rPr>
            <w:rFonts w:ascii="Open Sans" w:hAnsi="Open Sans" w:cs="Open Sans"/>
            <w:b/>
            <w:bCs/>
            <w:sz w:val="20"/>
            <w:szCs w:val="20"/>
          </w:rPr>
          <w:tab/>
        </w:r>
        <w:r w:rsidR="003158EC" w:rsidRPr="0043493A">
          <w:rPr>
            <w:rFonts w:ascii="Open Sans" w:hAnsi="Open Sans" w:cs="Open Sans"/>
            <w:b/>
            <w:bCs/>
            <w:color w:val="7F7F7F"/>
            <w:sz w:val="20"/>
            <w:szCs w:val="20"/>
          </w:rPr>
          <w:fldChar w:fldCharType="begin"/>
        </w:r>
        <w:r w:rsidR="003158EC" w:rsidRPr="0043493A">
          <w:rPr>
            <w:rFonts w:ascii="Open Sans" w:hAnsi="Open Sans" w:cs="Open Sans"/>
            <w:b/>
            <w:bCs/>
            <w:color w:val="7F7F7F"/>
            <w:sz w:val="20"/>
            <w:szCs w:val="20"/>
          </w:rPr>
          <w:instrText xml:space="preserve"> PAGE   \* MERGEFORMAT </w:instrText>
        </w:r>
        <w:r w:rsidR="003158EC" w:rsidRPr="0043493A">
          <w:rPr>
            <w:rFonts w:ascii="Open Sans" w:hAnsi="Open Sans" w:cs="Open Sans"/>
            <w:b/>
            <w:bCs/>
            <w:color w:val="7F7F7F"/>
            <w:sz w:val="20"/>
            <w:szCs w:val="20"/>
          </w:rPr>
          <w:fldChar w:fldCharType="separate"/>
        </w:r>
        <w:r w:rsidR="003158EC" w:rsidRPr="0043493A">
          <w:rPr>
            <w:rFonts w:ascii="Open Sans" w:hAnsi="Open Sans" w:cs="Open Sans"/>
            <w:b/>
            <w:bCs/>
            <w:noProof/>
            <w:color w:val="7F7F7F"/>
            <w:sz w:val="20"/>
            <w:szCs w:val="20"/>
          </w:rPr>
          <w:t>7</w:t>
        </w:r>
        <w:r w:rsidR="003158EC" w:rsidRPr="0043493A">
          <w:rPr>
            <w:rFonts w:ascii="Open Sans" w:hAnsi="Open Sans" w:cs="Open Sans"/>
            <w:b/>
            <w:bCs/>
            <w:color w:val="7F7F7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F55A7" w14:textId="77777777" w:rsidR="00154C2F" w:rsidRDefault="00154C2F" w:rsidP="000F1926">
      <w:pPr>
        <w:spacing w:after="0" w:line="240" w:lineRule="auto"/>
      </w:pPr>
      <w:r>
        <w:separator/>
      </w:r>
    </w:p>
  </w:footnote>
  <w:footnote w:type="continuationSeparator" w:id="0">
    <w:p w14:paraId="120E3726" w14:textId="77777777" w:rsidR="00154C2F" w:rsidRDefault="00154C2F" w:rsidP="000F1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29B1" w14:textId="4DBCB8ED" w:rsidR="001A1146" w:rsidRDefault="001A1146">
    <w:pPr>
      <w:pStyle w:val="Header"/>
    </w:pPr>
    <w:r>
      <w:rPr>
        <w:noProof/>
        <w:sz w:val="52"/>
        <w:szCs w:val="52"/>
      </w:rPr>
      <w:drawing>
        <wp:anchor distT="0" distB="0" distL="114300" distR="114300" simplePos="0" relativeHeight="251659264" behindDoc="1" locked="0" layoutInCell="1" allowOverlap="1" wp14:anchorId="5C0F4226" wp14:editId="54F8E765">
          <wp:simplePos x="0" y="0"/>
          <wp:positionH relativeFrom="column">
            <wp:posOffset>4337685</wp:posOffset>
          </wp:positionH>
          <wp:positionV relativeFrom="paragraph">
            <wp:posOffset>-184150</wp:posOffset>
          </wp:positionV>
          <wp:extent cx="2104390" cy="626745"/>
          <wp:effectExtent l="0" t="0" r="0" b="1905"/>
          <wp:wrapTight wrapText="bothSides">
            <wp:wrapPolygon edited="0">
              <wp:start x="0" y="0"/>
              <wp:lineTo x="0" y="21009"/>
              <wp:lineTo x="21313" y="21009"/>
              <wp:lineTo x="21313" y="0"/>
              <wp:lineTo x="0" y="0"/>
            </wp:wrapPolygon>
          </wp:wrapTight>
          <wp:docPr id="2" name="Picture 2" descr="A picture containing ten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nt,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4390" cy="6267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26C7"/>
    <w:multiLevelType w:val="hybridMultilevel"/>
    <w:tmpl w:val="FC3E9298"/>
    <w:lvl w:ilvl="0" w:tplc="CE8C63C6">
      <w:start w:val="1"/>
      <w:numFmt w:val="upperLetter"/>
      <w:lvlText w:val="%1)"/>
      <w:lvlJc w:val="left"/>
      <w:pPr>
        <w:ind w:left="720" w:hanging="360"/>
      </w:pPr>
      <w:rPr>
        <w:rFonts w:ascii="Calibri" w:hAnsi="Calibri" w:cs="Calibr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20E8E"/>
    <w:multiLevelType w:val="hybridMultilevel"/>
    <w:tmpl w:val="15EC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02643"/>
    <w:multiLevelType w:val="hybridMultilevel"/>
    <w:tmpl w:val="3DB22B3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10217F6A"/>
    <w:multiLevelType w:val="hybridMultilevel"/>
    <w:tmpl w:val="92741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A1D57"/>
    <w:multiLevelType w:val="hybridMultilevel"/>
    <w:tmpl w:val="FE5A7396"/>
    <w:lvl w:ilvl="0" w:tplc="4B5440D0">
      <w:start w:val="1"/>
      <w:numFmt w:val="upperLetter"/>
      <w:lvlText w:val="%1)"/>
      <w:lvlJc w:val="left"/>
      <w:pPr>
        <w:ind w:left="408" w:hanging="360"/>
      </w:pPr>
      <w:rPr>
        <w:rFonts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5" w15:restartNumberingAfterBreak="0">
    <w:nsid w:val="14F66207"/>
    <w:multiLevelType w:val="hybridMultilevel"/>
    <w:tmpl w:val="CD64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5FD"/>
    <w:multiLevelType w:val="hybridMultilevel"/>
    <w:tmpl w:val="0400D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37D24"/>
    <w:multiLevelType w:val="hybridMultilevel"/>
    <w:tmpl w:val="7BE22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BA39AF"/>
    <w:multiLevelType w:val="hybridMultilevel"/>
    <w:tmpl w:val="6B4E1C7A"/>
    <w:lvl w:ilvl="0" w:tplc="0809000F">
      <w:start w:val="1"/>
      <w:numFmt w:val="decimal"/>
      <w:lvlText w:val="%1."/>
      <w:lvlJc w:val="left"/>
      <w:pPr>
        <w:ind w:left="768" w:hanging="360"/>
      </w:pPr>
      <w:rPr>
        <w:rFont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24E1113A"/>
    <w:multiLevelType w:val="hybridMultilevel"/>
    <w:tmpl w:val="1672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D4FC4"/>
    <w:multiLevelType w:val="hybridMultilevel"/>
    <w:tmpl w:val="D63E9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C760FA"/>
    <w:multiLevelType w:val="hybridMultilevel"/>
    <w:tmpl w:val="2BB4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C24C3"/>
    <w:multiLevelType w:val="hybridMultilevel"/>
    <w:tmpl w:val="3118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F22D5"/>
    <w:multiLevelType w:val="hybridMultilevel"/>
    <w:tmpl w:val="0934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910C7"/>
    <w:multiLevelType w:val="hybridMultilevel"/>
    <w:tmpl w:val="4FC48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9A3638"/>
    <w:multiLevelType w:val="hybridMultilevel"/>
    <w:tmpl w:val="57A6D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7E57D1"/>
    <w:multiLevelType w:val="hybridMultilevel"/>
    <w:tmpl w:val="820EE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715D29"/>
    <w:multiLevelType w:val="hybridMultilevel"/>
    <w:tmpl w:val="98649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354B5F"/>
    <w:multiLevelType w:val="hybridMultilevel"/>
    <w:tmpl w:val="7C2E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CD56E5"/>
    <w:multiLevelType w:val="hybridMultilevel"/>
    <w:tmpl w:val="7BE22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F533A5"/>
    <w:multiLevelType w:val="hybridMultilevel"/>
    <w:tmpl w:val="0DA4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B3907"/>
    <w:multiLevelType w:val="multilevel"/>
    <w:tmpl w:val="2176F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0"/>
  </w:num>
  <w:num w:numId="3">
    <w:abstractNumId w:val="7"/>
  </w:num>
  <w:num w:numId="4">
    <w:abstractNumId w:val="14"/>
  </w:num>
  <w:num w:numId="5">
    <w:abstractNumId w:val="12"/>
  </w:num>
  <w:num w:numId="6">
    <w:abstractNumId w:val="16"/>
  </w:num>
  <w:num w:numId="7">
    <w:abstractNumId w:val="17"/>
  </w:num>
  <w:num w:numId="8">
    <w:abstractNumId w:val="15"/>
  </w:num>
  <w:num w:numId="9">
    <w:abstractNumId w:val="19"/>
  </w:num>
  <w:num w:numId="10">
    <w:abstractNumId w:val="3"/>
  </w:num>
  <w:num w:numId="11">
    <w:abstractNumId w:val="20"/>
  </w:num>
  <w:num w:numId="12">
    <w:abstractNumId w:val="0"/>
  </w:num>
  <w:num w:numId="13">
    <w:abstractNumId w:val="6"/>
  </w:num>
  <w:num w:numId="14">
    <w:abstractNumId w:val="2"/>
  </w:num>
  <w:num w:numId="15">
    <w:abstractNumId w:val="4"/>
  </w:num>
  <w:num w:numId="16">
    <w:abstractNumId w:val="1"/>
  </w:num>
  <w:num w:numId="17">
    <w:abstractNumId w:val="13"/>
  </w:num>
  <w:num w:numId="18">
    <w:abstractNumId w:val="8"/>
  </w:num>
  <w:num w:numId="19">
    <w:abstractNumId w:val="9"/>
  </w:num>
  <w:num w:numId="20">
    <w:abstractNumId w:val="5"/>
  </w:num>
  <w:num w:numId="21">
    <w:abstractNumId w:val="11"/>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 Brown">
    <w15:presenceInfo w15:providerId="AD" w15:userId="S::dbrown@renewableenergyassocation.onmicrosoft.com::f4ed10d2-6f8f-433e-98da-a7c8392557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26"/>
    <w:rsid w:val="00003F0D"/>
    <w:rsid w:val="00005D36"/>
    <w:rsid w:val="00024B87"/>
    <w:rsid w:val="00025529"/>
    <w:rsid w:val="00031294"/>
    <w:rsid w:val="00031934"/>
    <w:rsid w:val="00037485"/>
    <w:rsid w:val="000458F7"/>
    <w:rsid w:val="00062CBA"/>
    <w:rsid w:val="00066E67"/>
    <w:rsid w:val="00090707"/>
    <w:rsid w:val="00091C00"/>
    <w:rsid w:val="0009548F"/>
    <w:rsid w:val="000A05C1"/>
    <w:rsid w:val="000A4101"/>
    <w:rsid w:val="000A5852"/>
    <w:rsid w:val="000B7BC7"/>
    <w:rsid w:val="000E51C9"/>
    <w:rsid w:val="000E778A"/>
    <w:rsid w:val="000E77E2"/>
    <w:rsid w:val="000F1926"/>
    <w:rsid w:val="000F2B0C"/>
    <w:rsid w:val="00112189"/>
    <w:rsid w:val="00114C8F"/>
    <w:rsid w:val="0013495B"/>
    <w:rsid w:val="00154C2F"/>
    <w:rsid w:val="0016351E"/>
    <w:rsid w:val="00172EE1"/>
    <w:rsid w:val="00176E5B"/>
    <w:rsid w:val="00197AD8"/>
    <w:rsid w:val="00197B49"/>
    <w:rsid w:val="001A1146"/>
    <w:rsid w:val="001A44C0"/>
    <w:rsid w:val="001B0787"/>
    <w:rsid w:val="001B1820"/>
    <w:rsid w:val="001B6F49"/>
    <w:rsid w:val="001C1611"/>
    <w:rsid w:val="001D084D"/>
    <w:rsid w:val="001F361A"/>
    <w:rsid w:val="00201916"/>
    <w:rsid w:val="0020198B"/>
    <w:rsid w:val="0020794F"/>
    <w:rsid w:val="0021798B"/>
    <w:rsid w:val="002233F6"/>
    <w:rsid w:val="002240A7"/>
    <w:rsid w:val="002317E5"/>
    <w:rsid w:val="002321E9"/>
    <w:rsid w:val="002324B9"/>
    <w:rsid w:val="002328B3"/>
    <w:rsid w:val="002346BD"/>
    <w:rsid w:val="00234850"/>
    <w:rsid w:val="00252E88"/>
    <w:rsid w:val="00260B4A"/>
    <w:rsid w:val="0026670B"/>
    <w:rsid w:val="00277DBD"/>
    <w:rsid w:val="002860D5"/>
    <w:rsid w:val="00290297"/>
    <w:rsid w:val="002C067D"/>
    <w:rsid w:val="002C208B"/>
    <w:rsid w:val="002C2AA2"/>
    <w:rsid w:val="002D2052"/>
    <w:rsid w:val="002E6113"/>
    <w:rsid w:val="002F33B3"/>
    <w:rsid w:val="003158EC"/>
    <w:rsid w:val="003323EC"/>
    <w:rsid w:val="00344D42"/>
    <w:rsid w:val="0034769D"/>
    <w:rsid w:val="003515C4"/>
    <w:rsid w:val="00357736"/>
    <w:rsid w:val="00367C6F"/>
    <w:rsid w:val="00371F7E"/>
    <w:rsid w:val="003A428B"/>
    <w:rsid w:val="003C2945"/>
    <w:rsid w:val="003D75F6"/>
    <w:rsid w:val="003E398F"/>
    <w:rsid w:val="003F354F"/>
    <w:rsid w:val="003F35D3"/>
    <w:rsid w:val="00402215"/>
    <w:rsid w:val="00407C8C"/>
    <w:rsid w:val="00420D12"/>
    <w:rsid w:val="00426EBF"/>
    <w:rsid w:val="004332E7"/>
    <w:rsid w:val="0043493A"/>
    <w:rsid w:val="00442E4C"/>
    <w:rsid w:val="00445778"/>
    <w:rsid w:val="00483C3C"/>
    <w:rsid w:val="00492E87"/>
    <w:rsid w:val="0049333B"/>
    <w:rsid w:val="004938D4"/>
    <w:rsid w:val="004B1CCC"/>
    <w:rsid w:val="004B5628"/>
    <w:rsid w:val="004C1366"/>
    <w:rsid w:val="004D2663"/>
    <w:rsid w:val="004F3E96"/>
    <w:rsid w:val="00510087"/>
    <w:rsid w:val="005118FB"/>
    <w:rsid w:val="00521ACE"/>
    <w:rsid w:val="0052332B"/>
    <w:rsid w:val="00525589"/>
    <w:rsid w:val="00534ACF"/>
    <w:rsid w:val="00543C84"/>
    <w:rsid w:val="005476EA"/>
    <w:rsid w:val="00552297"/>
    <w:rsid w:val="005651A8"/>
    <w:rsid w:val="0056609D"/>
    <w:rsid w:val="00571800"/>
    <w:rsid w:val="005A0029"/>
    <w:rsid w:val="005B33A2"/>
    <w:rsid w:val="005B7F66"/>
    <w:rsid w:val="005C3507"/>
    <w:rsid w:val="005C6430"/>
    <w:rsid w:val="005D69E9"/>
    <w:rsid w:val="005D7DE1"/>
    <w:rsid w:val="005E56E8"/>
    <w:rsid w:val="0060464E"/>
    <w:rsid w:val="00610C4A"/>
    <w:rsid w:val="006207F1"/>
    <w:rsid w:val="00621CAA"/>
    <w:rsid w:val="0062597D"/>
    <w:rsid w:val="00632789"/>
    <w:rsid w:val="0064169B"/>
    <w:rsid w:val="00645B0A"/>
    <w:rsid w:val="006604E4"/>
    <w:rsid w:val="006648F1"/>
    <w:rsid w:val="006821A5"/>
    <w:rsid w:val="006932D7"/>
    <w:rsid w:val="006943F7"/>
    <w:rsid w:val="006948A3"/>
    <w:rsid w:val="006B280A"/>
    <w:rsid w:val="006C1A5B"/>
    <w:rsid w:val="006D0AC0"/>
    <w:rsid w:val="006D15D0"/>
    <w:rsid w:val="00703A6F"/>
    <w:rsid w:val="00710573"/>
    <w:rsid w:val="00721EC8"/>
    <w:rsid w:val="00746B2C"/>
    <w:rsid w:val="0075257E"/>
    <w:rsid w:val="00754DE9"/>
    <w:rsid w:val="00755624"/>
    <w:rsid w:val="007618C3"/>
    <w:rsid w:val="00776F49"/>
    <w:rsid w:val="007801FF"/>
    <w:rsid w:val="00791CF2"/>
    <w:rsid w:val="007A28C0"/>
    <w:rsid w:val="007A3DD4"/>
    <w:rsid w:val="007B2EB7"/>
    <w:rsid w:val="007C6168"/>
    <w:rsid w:val="007D3547"/>
    <w:rsid w:val="007D5962"/>
    <w:rsid w:val="007E09C2"/>
    <w:rsid w:val="007E414B"/>
    <w:rsid w:val="007E5947"/>
    <w:rsid w:val="007F53B0"/>
    <w:rsid w:val="0080223C"/>
    <w:rsid w:val="00802C97"/>
    <w:rsid w:val="00806059"/>
    <w:rsid w:val="00810049"/>
    <w:rsid w:val="00810BC6"/>
    <w:rsid w:val="0082220A"/>
    <w:rsid w:val="00832815"/>
    <w:rsid w:val="00836094"/>
    <w:rsid w:val="008374BE"/>
    <w:rsid w:val="00841C88"/>
    <w:rsid w:val="008466C2"/>
    <w:rsid w:val="0085302B"/>
    <w:rsid w:val="00861832"/>
    <w:rsid w:val="00861D76"/>
    <w:rsid w:val="00884D45"/>
    <w:rsid w:val="00885E32"/>
    <w:rsid w:val="00895ED8"/>
    <w:rsid w:val="00896AE6"/>
    <w:rsid w:val="008B1F24"/>
    <w:rsid w:val="008D5475"/>
    <w:rsid w:val="008E4D8A"/>
    <w:rsid w:val="008F6C61"/>
    <w:rsid w:val="00901547"/>
    <w:rsid w:val="00905846"/>
    <w:rsid w:val="0091257B"/>
    <w:rsid w:val="00917139"/>
    <w:rsid w:val="009344F7"/>
    <w:rsid w:val="00936BAC"/>
    <w:rsid w:val="0094608D"/>
    <w:rsid w:val="009467C3"/>
    <w:rsid w:val="00966DFB"/>
    <w:rsid w:val="00970A07"/>
    <w:rsid w:val="00976378"/>
    <w:rsid w:val="00983D10"/>
    <w:rsid w:val="00994A3B"/>
    <w:rsid w:val="00997689"/>
    <w:rsid w:val="009C5899"/>
    <w:rsid w:val="009C75DA"/>
    <w:rsid w:val="009D23B5"/>
    <w:rsid w:val="009D4744"/>
    <w:rsid w:val="009D60F0"/>
    <w:rsid w:val="009E750D"/>
    <w:rsid w:val="009F20B3"/>
    <w:rsid w:val="009F4F45"/>
    <w:rsid w:val="009F5ADB"/>
    <w:rsid w:val="009F6FA1"/>
    <w:rsid w:val="00A230DD"/>
    <w:rsid w:val="00A30C14"/>
    <w:rsid w:val="00A35DC4"/>
    <w:rsid w:val="00A43876"/>
    <w:rsid w:val="00A44AB9"/>
    <w:rsid w:val="00A45810"/>
    <w:rsid w:val="00A51F2A"/>
    <w:rsid w:val="00A67100"/>
    <w:rsid w:val="00A74526"/>
    <w:rsid w:val="00A84DEF"/>
    <w:rsid w:val="00AB4767"/>
    <w:rsid w:val="00AC68D9"/>
    <w:rsid w:val="00AC728B"/>
    <w:rsid w:val="00AD47E2"/>
    <w:rsid w:val="00AE5BF5"/>
    <w:rsid w:val="00AF0DF9"/>
    <w:rsid w:val="00AF4CD3"/>
    <w:rsid w:val="00B07174"/>
    <w:rsid w:val="00B42603"/>
    <w:rsid w:val="00B45D81"/>
    <w:rsid w:val="00B721FB"/>
    <w:rsid w:val="00B73849"/>
    <w:rsid w:val="00B82325"/>
    <w:rsid w:val="00B964DD"/>
    <w:rsid w:val="00BA2BBD"/>
    <w:rsid w:val="00BB5F26"/>
    <w:rsid w:val="00BD2469"/>
    <w:rsid w:val="00BE2E66"/>
    <w:rsid w:val="00BF1A50"/>
    <w:rsid w:val="00BF51AD"/>
    <w:rsid w:val="00BF5B60"/>
    <w:rsid w:val="00C00DE9"/>
    <w:rsid w:val="00C025AC"/>
    <w:rsid w:val="00C245F5"/>
    <w:rsid w:val="00C246DD"/>
    <w:rsid w:val="00C24AE8"/>
    <w:rsid w:val="00C363BC"/>
    <w:rsid w:val="00CB45A7"/>
    <w:rsid w:val="00CB5059"/>
    <w:rsid w:val="00CC09B3"/>
    <w:rsid w:val="00CE3709"/>
    <w:rsid w:val="00CE38DF"/>
    <w:rsid w:val="00CF19A7"/>
    <w:rsid w:val="00CF202A"/>
    <w:rsid w:val="00CF5181"/>
    <w:rsid w:val="00D049DD"/>
    <w:rsid w:val="00D10881"/>
    <w:rsid w:val="00D22243"/>
    <w:rsid w:val="00D401D9"/>
    <w:rsid w:val="00D420F4"/>
    <w:rsid w:val="00D43111"/>
    <w:rsid w:val="00D47064"/>
    <w:rsid w:val="00D56EF2"/>
    <w:rsid w:val="00D77173"/>
    <w:rsid w:val="00D9465D"/>
    <w:rsid w:val="00DA50B3"/>
    <w:rsid w:val="00DA59E2"/>
    <w:rsid w:val="00DB7E75"/>
    <w:rsid w:val="00DD1898"/>
    <w:rsid w:val="00DF1F83"/>
    <w:rsid w:val="00DF4592"/>
    <w:rsid w:val="00E050EF"/>
    <w:rsid w:val="00E061AC"/>
    <w:rsid w:val="00E11321"/>
    <w:rsid w:val="00E114DE"/>
    <w:rsid w:val="00E16126"/>
    <w:rsid w:val="00E25661"/>
    <w:rsid w:val="00E344E1"/>
    <w:rsid w:val="00E36C9C"/>
    <w:rsid w:val="00E442EB"/>
    <w:rsid w:val="00E61B50"/>
    <w:rsid w:val="00E7479D"/>
    <w:rsid w:val="00E772C8"/>
    <w:rsid w:val="00E84149"/>
    <w:rsid w:val="00E853F7"/>
    <w:rsid w:val="00E92104"/>
    <w:rsid w:val="00EA2EAB"/>
    <w:rsid w:val="00EA41CD"/>
    <w:rsid w:val="00EC0A14"/>
    <w:rsid w:val="00EC3083"/>
    <w:rsid w:val="00EC7735"/>
    <w:rsid w:val="00ED1CD3"/>
    <w:rsid w:val="00EE4647"/>
    <w:rsid w:val="00EE782D"/>
    <w:rsid w:val="00EF4E1D"/>
    <w:rsid w:val="00F01A30"/>
    <w:rsid w:val="00F24A94"/>
    <w:rsid w:val="00F31483"/>
    <w:rsid w:val="00F35F7B"/>
    <w:rsid w:val="00F41BC1"/>
    <w:rsid w:val="00F56307"/>
    <w:rsid w:val="00F852E9"/>
    <w:rsid w:val="00F9124C"/>
    <w:rsid w:val="00FB2C31"/>
    <w:rsid w:val="00FC3A57"/>
    <w:rsid w:val="00FC54C1"/>
    <w:rsid w:val="00FD1132"/>
    <w:rsid w:val="00FD2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753FA"/>
  <w15:chartTrackingRefBased/>
  <w15:docId w15:val="{8C142A43-AEDD-4A12-97C9-0652C1AC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083"/>
  </w:style>
  <w:style w:type="paragraph" w:styleId="Heading1">
    <w:name w:val="heading 1"/>
    <w:basedOn w:val="Normal"/>
    <w:next w:val="Normal"/>
    <w:link w:val="Heading1Char"/>
    <w:uiPriority w:val="9"/>
    <w:qFormat/>
    <w:rsid w:val="00DF45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47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592"/>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0F1926"/>
    <w:rPr>
      <w:rFonts w:cs="Times New Roman"/>
      <w:color w:val="0000FF"/>
      <w:u w:val="single"/>
    </w:rPr>
  </w:style>
  <w:style w:type="paragraph" w:styleId="EndnoteText">
    <w:name w:val="endnote text"/>
    <w:basedOn w:val="Normal"/>
    <w:link w:val="EndnoteTextChar"/>
    <w:uiPriority w:val="99"/>
    <w:semiHidden/>
    <w:unhideWhenUsed/>
    <w:rsid w:val="000F1926"/>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0F1926"/>
    <w:rPr>
      <w:sz w:val="20"/>
      <w:szCs w:val="20"/>
      <w:lang w:val="en-US"/>
    </w:rPr>
  </w:style>
  <w:style w:type="character" w:styleId="EndnoteReference">
    <w:name w:val="endnote reference"/>
    <w:basedOn w:val="DefaultParagraphFont"/>
    <w:uiPriority w:val="99"/>
    <w:semiHidden/>
    <w:unhideWhenUsed/>
    <w:rsid w:val="000F1926"/>
    <w:rPr>
      <w:vertAlign w:val="superscript"/>
    </w:rPr>
  </w:style>
  <w:style w:type="paragraph" w:styleId="Header">
    <w:name w:val="header"/>
    <w:basedOn w:val="Normal"/>
    <w:link w:val="HeaderChar"/>
    <w:uiPriority w:val="99"/>
    <w:unhideWhenUsed/>
    <w:rsid w:val="000F1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926"/>
  </w:style>
  <w:style w:type="paragraph" w:styleId="Footer">
    <w:name w:val="footer"/>
    <w:basedOn w:val="Normal"/>
    <w:link w:val="FooterChar"/>
    <w:uiPriority w:val="99"/>
    <w:unhideWhenUsed/>
    <w:rsid w:val="000F1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926"/>
  </w:style>
  <w:style w:type="paragraph" w:styleId="FootnoteText">
    <w:name w:val="footnote text"/>
    <w:basedOn w:val="Normal"/>
    <w:link w:val="FootnoteTextChar"/>
    <w:uiPriority w:val="99"/>
    <w:semiHidden/>
    <w:unhideWhenUsed/>
    <w:rsid w:val="00DF45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592"/>
    <w:rPr>
      <w:sz w:val="20"/>
      <w:szCs w:val="20"/>
    </w:rPr>
  </w:style>
  <w:style w:type="character" w:styleId="FootnoteReference">
    <w:name w:val="footnote reference"/>
    <w:basedOn w:val="DefaultParagraphFont"/>
    <w:uiPriority w:val="99"/>
    <w:semiHidden/>
    <w:unhideWhenUsed/>
    <w:rsid w:val="00DF4592"/>
    <w:rPr>
      <w:vertAlign w:val="superscript"/>
    </w:rPr>
  </w:style>
  <w:style w:type="paragraph" w:styleId="Title">
    <w:name w:val="Title"/>
    <w:basedOn w:val="Normal"/>
    <w:next w:val="Normal"/>
    <w:link w:val="TitleChar"/>
    <w:uiPriority w:val="10"/>
    <w:qFormat/>
    <w:rsid w:val="000458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8F7"/>
    <w:rPr>
      <w:rFonts w:asciiTheme="majorHAnsi" w:eastAsiaTheme="majorEastAsia" w:hAnsiTheme="majorHAnsi" w:cstheme="majorBidi"/>
      <w:spacing w:val="-10"/>
      <w:kern w:val="28"/>
      <w:sz w:val="56"/>
      <w:szCs w:val="56"/>
    </w:rPr>
  </w:style>
  <w:style w:type="paragraph" w:customStyle="1" w:styleId="m5900936120115633366msolistparagraph">
    <w:name w:val="m_5900936120115633366msolistparagraph"/>
    <w:basedOn w:val="Normal"/>
    <w:rsid w:val="006D15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3">
    <w:name w:val="Plain Table 3"/>
    <w:basedOn w:val="TableNormal"/>
    <w:uiPriority w:val="43"/>
    <w:rsid w:val="00D401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D4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485"/>
    <w:pPr>
      <w:ind w:left="720"/>
      <w:contextualSpacing/>
    </w:pPr>
  </w:style>
  <w:style w:type="character" w:styleId="CommentReference">
    <w:name w:val="annotation reference"/>
    <w:basedOn w:val="DefaultParagraphFont"/>
    <w:uiPriority w:val="99"/>
    <w:semiHidden/>
    <w:unhideWhenUsed/>
    <w:rsid w:val="005D7DE1"/>
    <w:rPr>
      <w:sz w:val="16"/>
      <w:szCs w:val="16"/>
    </w:rPr>
  </w:style>
  <w:style w:type="paragraph" w:styleId="CommentText">
    <w:name w:val="annotation text"/>
    <w:basedOn w:val="Normal"/>
    <w:link w:val="CommentTextChar"/>
    <w:uiPriority w:val="99"/>
    <w:semiHidden/>
    <w:unhideWhenUsed/>
    <w:rsid w:val="005D7DE1"/>
    <w:pPr>
      <w:spacing w:line="240" w:lineRule="auto"/>
    </w:pPr>
    <w:rPr>
      <w:sz w:val="20"/>
      <w:szCs w:val="20"/>
    </w:rPr>
  </w:style>
  <w:style w:type="character" w:customStyle="1" w:styleId="CommentTextChar">
    <w:name w:val="Comment Text Char"/>
    <w:basedOn w:val="DefaultParagraphFont"/>
    <w:link w:val="CommentText"/>
    <w:uiPriority w:val="99"/>
    <w:semiHidden/>
    <w:rsid w:val="005D7DE1"/>
    <w:rPr>
      <w:sz w:val="20"/>
      <w:szCs w:val="20"/>
    </w:rPr>
  </w:style>
  <w:style w:type="paragraph" w:styleId="CommentSubject">
    <w:name w:val="annotation subject"/>
    <w:basedOn w:val="CommentText"/>
    <w:next w:val="CommentText"/>
    <w:link w:val="CommentSubjectChar"/>
    <w:uiPriority w:val="99"/>
    <w:semiHidden/>
    <w:unhideWhenUsed/>
    <w:rsid w:val="005D7DE1"/>
    <w:rPr>
      <w:b/>
      <w:bCs/>
    </w:rPr>
  </w:style>
  <w:style w:type="character" w:customStyle="1" w:styleId="CommentSubjectChar">
    <w:name w:val="Comment Subject Char"/>
    <w:basedOn w:val="CommentTextChar"/>
    <w:link w:val="CommentSubject"/>
    <w:uiPriority w:val="99"/>
    <w:semiHidden/>
    <w:rsid w:val="005D7DE1"/>
    <w:rPr>
      <w:b/>
      <w:bCs/>
      <w:sz w:val="20"/>
      <w:szCs w:val="20"/>
    </w:rPr>
  </w:style>
  <w:style w:type="paragraph" w:styleId="BalloonText">
    <w:name w:val="Balloon Text"/>
    <w:basedOn w:val="Normal"/>
    <w:link w:val="BalloonTextChar"/>
    <w:uiPriority w:val="99"/>
    <w:semiHidden/>
    <w:unhideWhenUsed/>
    <w:rsid w:val="005D7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DE1"/>
    <w:rPr>
      <w:rFonts w:ascii="Segoe UI" w:hAnsi="Segoe UI" w:cs="Segoe UI"/>
      <w:sz w:val="18"/>
      <w:szCs w:val="18"/>
    </w:rPr>
  </w:style>
  <w:style w:type="character" w:customStyle="1" w:styleId="UnresolvedMention1">
    <w:name w:val="Unresolved Mention1"/>
    <w:basedOn w:val="DefaultParagraphFont"/>
    <w:uiPriority w:val="99"/>
    <w:semiHidden/>
    <w:unhideWhenUsed/>
    <w:rsid w:val="0052332B"/>
    <w:rPr>
      <w:color w:val="605E5C"/>
      <w:shd w:val="clear" w:color="auto" w:fill="E1DFDD"/>
    </w:rPr>
  </w:style>
  <w:style w:type="character" w:styleId="FollowedHyperlink">
    <w:name w:val="FollowedHyperlink"/>
    <w:basedOn w:val="DefaultParagraphFont"/>
    <w:uiPriority w:val="99"/>
    <w:semiHidden/>
    <w:unhideWhenUsed/>
    <w:rsid w:val="0052332B"/>
    <w:rPr>
      <w:color w:val="954F72" w:themeColor="followedHyperlink"/>
      <w:u w:val="single"/>
    </w:rPr>
  </w:style>
  <w:style w:type="paragraph" w:styleId="Caption">
    <w:name w:val="caption"/>
    <w:basedOn w:val="Normal"/>
    <w:next w:val="Normal"/>
    <w:uiPriority w:val="35"/>
    <w:unhideWhenUsed/>
    <w:qFormat/>
    <w:rsid w:val="0094608D"/>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521ACE"/>
    <w:pPr>
      <w:outlineLvl w:val="9"/>
    </w:pPr>
    <w:rPr>
      <w:lang w:val="en-US"/>
    </w:rPr>
  </w:style>
  <w:style w:type="paragraph" w:styleId="TOC1">
    <w:name w:val="toc 1"/>
    <w:basedOn w:val="Normal"/>
    <w:next w:val="Normal"/>
    <w:autoRedefine/>
    <w:uiPriority w:val="39"/>
    <w:unhideWhenUsed/>
    <w:rsid w:val="00521ACE"/>
    <w:pPr>
      <w:spacing w:after="100"/>
    </w:pPr>
  </w:style>
  <w:style w:type="character" w:styleId="PlaceholderText">
    <w:name w:val="Placeholder Text"/>
    <w:basedOn w:val="DefaultParagraphFont"/>
    <w:uiPriority w:val="99"/>
    <w:semiHidden/>
    <w:rsid w:val="006943F7"/>
    <w:rPr>
      <w:color w:val="808080"/>
    </w:rPr>
  </w:style>
  <w:style w:type="paragraph" w:styleId="Revision">
    <w:name w:val="Revision"/>
    <w:hidden/>
    <w:uiPriority w:val="99"/>
    <w:semiHidden/>
    <w:rsid w:val="00755624"/>
    <w:pPr>
      <w:spacing w:after="0" w:line="240" w:lineRule="auto"/>
    </w:pPr>
  </w:style>
  <w:style w:type="character" w:customStyle="1" w:styleId="Heading2Char">
    <w:name w:val="Heading 2 Char"/>
    <w:basedOn w:val="DefaultParagraphFont"/>
    <w:link w:val="Heading2"/>
    <w:uiPriority w:val="9"/>
    <w:semiHidden/>
    <w:rsid w:val="00E7479D"/>
    <w:rPr>
      <w:rFonts w:asciiTheme="majorHAnsi" w:eastAsiaTheme="majorEastAsia" w:hAnsiTheme="majorHAnsi" w:cstheme="majorBidi"/>
      <w:color w:val="2F5496" w:themeColor="accent1" w:themeShade="BF"/>
      <w:sz w:val="26"/>
      <w:szCs w:val="26"/>
    </w:rPr>
  </w:style>
  <w:style w:type="paragraph" w:customStyle="1" w:styleId="css-38z03z">
    <w:name w:val="css-38z03z"/>
    <w:basedOn w:val="Normal"/>
    <w:rsid w:val="00E747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53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3865">
      <w:bodyDiv w:val="1"/>
      <w:marLeft w:val="0"/>
      <w:marRight w:val="0"/>
      <w:marTop w:val="0"/>
      <w:marBottom w:val="0"/>
      <w:divBdr>
        <w:top w:val="none" w:sz="0" w:space="0" w:color="auto"/>
        <w:left w:val="none" w:sz="0" w:space="0" w:color="auto"/>
        <w:bottom w:val="none" w:sz="0" w:space="0" w:color="auto"/>
        <w:right w:val="none" w:sz="0" w:space="0" w:color="auto"/>
      </w:divBdr>
    </w:div>
    <w:div w:id="96406906">
      <w:bodyDiv w:val="1"/>
      <w:marLeft w:val="0"/>
      <w:marRight w:val="0"/>
      <w:marTop w:val="0"/>
      <w:marBottom w:val="0"/>
      <w:divBdr>
        <w:top w:val="none" w:sz="0" w:space="0" w:color="auto"/>
        <w:left w:val="none" w:sz="0" w:space="0" w:color="auto"/>
        <w:bottom w:val="none" w:sz="0" w:space="0" w:color="auto"/>
        <w:right w:val="none" w:sz="0" w:space="0" w:color="auto"/>
      </w:divBdr>
    </w:div>
    <w:div w:id="100272563">
      <w:bodyDiv w:val="1"/>
      <w:marLeft w:val="0"/>
      <w:marRight w:val="0"/>
      <w:marTop w:val="0"/>
      <w:marBottom w:val="0"/>
      <w:divBdr>
        <w:top w:val="none" w:sz="0" w:space="0" w:color="auto"/>
        <w:left w:val="none" w:sz="0" w:space="0" w:color="auto"/>
        <w:bottom w:val="none" w:sz="0" w:space="0" w:color="auto"/>
        <w:right w:val="none" w:sz="0" w:space="0" w:color="auto"/>
      </w:divBdr>
    </w:div>
    <w:div w:id="200018453">
      <w:bodyDiv w:val="1"/>
      <w:marLeft w:val="0"/>
      <w:marRight w:val="0"/>
      <w:marTop w:val="0"/>
      <w:marBottom w:val="0"/>
      <w:divBdr>
        <w:top w:val="none" w:sz="0" w:space="0" w:color="auto"/>
        <w:left w:val="none" w:sz="0" w:space="0" w:color="auto"/>
        <w:bottom w:val="none" w:sz="0" w:space="0" w:color="auto"/>
        <w:right w:val="none" w:sz="0" w:space="0" w:color="auto"/>
      </w:divBdr>
    </w:div>
    <w:div w:id="205680191">
      <w:bodyDiv w:val="1"/>
      <w:marLeft w:val="0"/>
      <w:marRight w:val="0"/>
      <w:marTop w:val="0"/>
      <w:marBottom w:val="0"/>
      <w:divBdr>
        <w:top w:val="none" w:sz="0" w:space="0" w:color="auto"/>
        <w:left w:val="none" w:sz="0" w:space="0" w:color="auto"/>
        <w:bottom w:val="none" w:sz="0" w:space="0" w:color="auto"/>
        <w:right w:val="none" w:sz="0" w:space="0" w:color="auto"/>
      </w:divBdr>
    </w:div>
    <w:div w:id="350959167">
      <w:bodyDiv w:val="1"/>
      <w:marLeft w:val="0"/>
      <w:marRight w:val="0"/>
      <w:marTop w:val="0"/>
      <w:marBottom w:val="0"/>
      <w:divBdr>
        <w:top w:val="none" w:sz="0" w:space="0" w:color="auto"/>
        <w:left w:val="none" w:sz="0" w:space="0" w:color="auto"/>
        <w:bottom w:val="none" w:sz="0" w:space="0" w:color="auto"/>
        <w:right w:val="none" w:sz="0" w:space="0" w:color="auto"/>
      </w:divBdr>
    </w:div>
    <w:div w:id="383145882">
      <w:bodyDiv w:val="1"/>
      <w:marLeft w:val="0"/>
      <w:marRight w:val="0"/>
      <w:marTop w:val="0"/>
      <w:marBottom w:val="0"/>
      <w:divBdr>
        <w:top w:val="none" w:sz="0" w:space="0" w:color="auto"/>
        <w:left w:val="none" w:sz="0" w:space="0" w:color="auto"/>
        <w:bottom w:val="none" w:sz="0" w:space="0" w:color="auto"/>
        <w:right w:val="none" w:sz="0" w:space="0" w:color="auto"/>
      </w:divBdr>
    </w:div>
    <w:div w:id="417605554">
      <w:bodyDiv w:val="1"/>
      <w:marLeft w:val="0"/>
      <w:marRight w:val="0"/>
      <w:marTop w:val="0"/>
      <w:marBottom w:val="0"/>
      <w:divBdr>
        <w:top w:val="none" w:sz="0" w:space="0" w:color="auto"/>
        <w:left w:val="none" w:sz="0" w:space="0" w:color="auto"/>
        <w:bottom w:val="none" w:sz="0" w:space="0" w:color="auto"/>
        <w:right w:val="none" w:sz="0" w:space="0" w:color="auto"/>
      </w:divBdr>
    </w:div>
    <w:div w:id="512765749">
      <w:bodyDiv w:val="1"/>
      <w:marLeft w:val="0"/>
      <w:marRight w:val="0"/>
      <w:marTop w:val="0"/>
      <w:marBottom w:val="0"/>
      <w:divBdr>
        <w:top w:val="none" w:sz="0" w:space="0" w:color="auto"/>
        <w:left w:val="none" w:sz="0" w:space="0" w:color="auto"/>
        <w:bottom w:val="none" w:sz="0" w:space="0" w:color="auto"/>
        <w:right w:val="none" w:sz="0" w:space="0" w:color="auto"/>
      </w:divBdr>
    </w:div>
    <w:div w:id="572667383">
      <w:bodyDiv w:val="1"/>
      <w:marLeft w:val="0"/>
      <w:marRight w:val="0"/>
      <w:marTop w:val="0"/>
      <w:marBottom w:val="0"/>
      <w:divBdr>
        <w:top w:val="none" w:sz="0" w:space="0" w:color="auto"/>
        <w:left w:val="none" w:sz="0" w:space="0" w:color="auto"/>
        <w:bottom w:val="none" w:sz="0" w:space="0" w:color="auto"/>
        <w:right w:val="none" w:sz="0" w:space="0" w:color="auto"/>
      </w:divBdr>
    </w:div>
    <w:div w:id="669254300">
      <w:bodyDiv w:val="1"/>
      <w:marLeft w:val="0"/>
      <w:marRight w:val="0"/>
      <w:marTop w:val="0"/>
      <w:marBottom w:val="0"/>
      <w:divBdr>
        <w:top w:val="none" w:sz="0" w:space="0" w:color="auto"/>
        <w:left w:val="none" w:sz="0" w:space="0" w:color="auto"/>
        <w:bottom w:val="none" w:sz="0" w:space="0" w:color="auto"/>
        <w:right w:val="none" w:sz="0" w:space="0" w:color="auto"/>
      </w:divBdr>
    </w:div>
    <w:div w:id="796491706">
      <w:bodyDiv w:val="1"/>
      <w:marLeft w:val="0"/>
      <w:marRight w:val="0"/>
      <w:marTop w:val="0"/>
      <w:marBottom w:val="0"/>
      <w:divBdr>
        <w:top w:val="none" w:sz="0" w:space="0" w:color="auto"/>
        <w:left w:val="none" w:sz="0" w:space="0" w:color="auto"/>
        <w:bottom w:val="none" w:sz="0" w:space="0" w:color="auto"/>
        <w:right w:val="none" w:sz="0" w:space="0" w:color="auto"/>
      </w:divBdr>
    </w:div>
    <w:div w:id="822312686">
      <w:bodyDiv w:val="1"/>
      <w:marLeft w:val="0"/>
      <w:marRight w:val="0"/>
      <w:marTop w:val="0"/>
      <w:marBottom w:val="0"/>
      <w:divBdr>
        <w:top w:val="none" w:sz="0" w:space="0" w:color="auto"/>
        <w:left w:val="none" w:sz="0" w:space="0" w:color="auto"/>
        <w:bottom w:val="none" w:sz="0" w:space="0" w:color="auto"/>
        <w:right w:val="none" w:sz="0" w:space="0" w:color="auto"/>
      </w:divBdr>
    </w:div>
    <w:div w:id="847213767">
      <w:bodyDiv w:val="1"/>
      <w:marLeft w:val="0"/>
      <w:marRight w:val="0"/>
      <w:marTop w:val="0"/>
      <w:marBottom w:val="0"/>
      <w:divBdr>
        <w:top w:val="none" w:sz="0" w:space="0" w:color="auto"/>
        <w:left w:val="none" w:sz="0" w:space="0" w:color="auto"/>
        <w:bottom w:val="none" w:sz="0" w:space="0" w:color="auto"/>
        <w:right w:val="none" w:sz="0" w:space="0" w:color="auto"/>
      </w:divBdr>
    </w:div>
    <w:div w:id="854618428">
      <w:bodyDiv w:val="1"/>
      <w:marLeft w:val="0"/>
      <w:marRight w:val="0"/>
      <w:marTop w:val="0"/>
      <w:marBottom w:val="0"/>
      <w:divBdr>
        <w:top w:val="none" w:sz="0" w:space="0" w:color="auto"/>
        <w:left w:val="none" w:sz="0" w:space="0" w:color="auto"/>
        <w:bottom w:val="none" w:sz="0" w:space="0" w:color="auto"/>
        <w:right w:val="none" w:sz="0" w:space="0" w:color="auto"/>
      </w:divBdr>
    </w:div>
    <w:div w:id="941113550">
      <w:bodyDiv w:val="1"/>
      <w:marLeft w:val="0"/>
      <w:marRight w:val="0"/>
      <w:marTop w:val="0"/>
      <w:marBottom w:val="0"/>
      <w:divBdr>
        <w:top w:val="none" w:sz="0" w:space="0" w:color="auto"/>
        <w:left w:val="none" w:sz="0" w:space="0" w:color="auto"/>
        <w:bottom w:val="none" w:sz="0" w:space="0" w:color="auto"/>
        <w:right w:val="none" w:sz="0" w:space="0" w:color="auto"/>
      </w:divBdr>
    </w:div>
    <w:div w:id="983464073">
      <w:bodyDiv w:val="1"/>
      <w:marLeft w:val="0"/>
      <w:marRight w:val="0"/>
      <w:marTop w:val="0"/>
      <w:marBottom w:val="0"/>
      <w:divBdr>
        <w:top w:val="none" w:sz="0" w:space="0" w:color="auto"/>
        <w:left w:val="none" w:sz="0" w:space="0" w:color="auto"/>
        <w:bottom w:val="none" w:sz="0" w:space="0" w:color="auto"/>
        <w:right w:val="none" w:sz="0" w:space="0" w:color="auto"/>
      </w:divBdr>
    </w:div>
    <w:div w:id="1146358507">
      <w:bodyDiv w:val="1"/>
      <w:marLeft w:val="0"/>
      <w:marRight w:val="0"/>
      <w:marTop w:val="0"/>
      <w:marBottom w:val="0"/>
      <w:divBdr>
        <w:top w:val="none" w:sz="0" w:space="0" w:color="auto"/>
        <w:left w:val="none" w:sz="0" w:space="0" w:color="auto"/>
        <w:bottom w:val="none" w:sz="0" w:space="0" w:color="auto"/>
        <w:right w:val="none" w:sz="0" w:space="0" w:color="auto"/>
      </w:divBdr>
    </w:div>
    <w:div w:id="1270746510">
      <w:bodyDiv w:val="1"/>
      <w:marLeft w:val="0"/>
      <w:marRight w:val="0"/>
      <w:marTop w:val="0"/>
      <w:marBottom w:val="0"/>
      <w:divBdr>
        <w:top w:val="none" w:sz="0" w:space="0" w:color="auto"/>
        <w:left w:val="none" w:sz="0" w:space="0" w:color="auto"/>
        <w:bottom w:val="none" w:sz="0" w:space="0" w:color="auto"/>
        <w:right w:val="none" w:sz="0" w:space="0" w:color="auto"/>
      </w:divBdr>
    </w:div>
    <w:div w:id="1277369890">
      <w:bodyDiv w:val="1"/>
      <w:marLeft w:val="0"/>
      <w:marRight w:val="0"/>
      <w:marTop w:val="0"/>
      <w:marBottom w:val="0"/>
      <w:divBdr>
        <w:top w:val="none" w:sz="0" w:space="0" w:color="auto"/>
        <w:left w:val="none" w:sz="0" w:space="0" w:color="auto"/>
        <w:bottom w:val="none" w:sz="0" w:space="0" w:color="auto"/>
        <w:right w:val="none" w:sz="0" w:space="0" w:color="auto"/>
      </w:divBdr>
    </w:div>
    <w:div w:id="1291939599">
      <w:bodyDiv w:val="1"/>
      <w:marLeft w:val="0"/>
      <w:marRight w:val="0"/>
      <w:marTop w:val="0"/>
      <w:marBottom w:val="0"/>
      <w:divBdr>
        <w:top w:val="none" w:sz="0" w:space="0" w:color="auto"/>
        <w:left w:val="none" w:sz="0" w:space="0" w:color="auto"/>
        <w:bottom w:val="none" w:sz="0" w:space="0" w:color="auto"/>
        <w:right w:val="none" w:sz="0" w:space="0" w:color="auto"/>
      </w:divBdr>
    </w:div>
    <w:div w:id="1415053458">
      <w:bodyDiv w:val="1"/>
      <w:marLeft w:val="0"/>
      <w:marRight w:val="0"/>
      <w:marTop w:val="0"/>
      <w:marBottom w:val="0"/>
      <w:divBdr>
        <w:top w:val="none" w:sz="0" w:space="0" w:color="auto"/>
        <w:left w:val="none" w:sz="0" w:space="0" w:color="auto"/>
        <w:bottom w:val="none" w:sz="0" w:space="0" w:color="auto"/>
        <w:right w:val="none" w:sz="0" w:space="0" w:color="auto"/>
      </w:divBdr>
    </w:div>
    <w:div w:id="1434204504">
      <w:bodyDiv w:val="1"/>
      <w:marLeft w:val="0"/>
      <w:marRight w:val="0"/>
      <w:marTop w:val="0"/>
      <w:marBottom w:val="0"/>
      <w:divBdr>
        <w:top w:val="none" w:sz="0" w:space="0" w:color="auto"/>
        <w:left w:val="none" w:sz="0" w:space="0" w:color="auto"/>
        <w:bottom w:val="none" w:sz="0" w:space="0" w:color="auto"/>
        <w:right w:val="none" w:sz="0" w:space="0" w:color="auto"/>
      </w:divBdr>
      <w:divsChild>
        <w:div w:id="1192184809">
          <w:marLeft w:val="-225"/>
          <w:marRight w:val="-225"/>
          <w:marTop w:val="0"/>
          <w:marBottom w:val="0"/>
          <w:divBdr>
            <w:top w:val="none" w:sz="0" w:space="0" w:color="auto"/>
            <w:left w:val="none" w:sz="0" w:space="0" w:color="auto"/>
            <w:bottom w:val="none" w:sz="0" w:space="0" w:color="auto"/>
            <w:right w:val="none" w:sz="0" w:space="0" w:color="auto"/>
          </w:divBdr>
          <w:divsChild>
            <w:div w:id="2042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8479">
      <w:bodyDiv w:val="1"/>
      <w:marLeft w:val="0"/>
      <w:marRight w:val="0"/>
      <w:marTop w:val="0"/>
      <w:marBottom w:val="0"/>
      <w:divBdr>
        <w:top w:val="none" w:sz="0" w:space="0" w:color="auto"/>
        <w:left w:val="none" w:sz="0" w:space="0" w:color="auto"/>
        <w:bottom w:val="none" w:sz="0" w:space="0" w:color="auto"/>
        <w:right w:val="none" w:sz="0" w:space="0" w:color="auto"/>
      </w:divBdr>
    </w:div>
    <w:div w:id="1637904993">
      <w:bodyDiv w:val="1"/>
      <w:marLeft w:val="0"/>
      <w:marRight w:val="0"/>
      <w:marTop w:val="0"/>
      <w:marBottom w:val="0"/>
      <w:divBdr>
        <w:top w:val="none" w:sz="0" w:space="0" w:color="auto"/>
        <w:left w:val="none" w:sz="0" w:space="0" w:color="auto"/>
        <w:bottom w:val="none" w:sz="0" w:space="0" w:color="auto"/>
        <w:right w:val="none" w:sz="0" w:space="0" w:color="auto"/>
      </w:divBdr>
    </w:div>
    <w:div w:id="1677924065">
      <w:bodyDiv w:val="1"/>
      <w:marLeft w:val="0"/>
      <w:marRight w:val="0"/>
      <w:marTop w:val="0"/>
      <w:marBottom w:val="0"/>
      <w:divBdr>
        <w:top w:val="none" w:sz="0" w:space="0" w:color="auto"/>
        <w:left w:val="none" w:sz="0" w:space="0" w:color="auto"/>
        <w:bottom w:val="none" w:sz="0" w:space="0" w:color="auto"/>
        <w:right w:val="none" w:sz="0" w:space="0" w:color="auto"/>
      </w:divBdr>
    </w:div>
    <w:div w:id="1755400393">
      <w:bodyDiv w:val="1"/>
      <w:marLeft w:val="0"/>
      <w:marRight w:val="0"/>
      <w:marTop w:val="0"/>
      <w:marBottom w:val="0"/>
      <w:divBdr>
        <w:top w:val="none" w:sz="0" w:space="0" w:color="auto"/>
        <w:left w:val="none" w:sz="0" w:space="0" w:color="auto"/>
        <w:bottom w:val="none" w:sz="0" w:space="0" w:color="auto"/>
        <w:right w:val="none" w:sz="0" w:space="0" w:color="auto"/>
      </w:divBdr>
    </w:div>
    <w:div w:id="1842117378">
      <w:bodyDiv w:val="1"/>
      <w:marLeft w:val="0"/>
      <w:marRight w:val="0"/>
      <w:marTop w:val="0"/>
      <w:marBottom w:val="0"/>
      <w:divBdr>
        <w:top w:val="none" w:sz="0" w:space="0" w:color="auto"/>
        <w:left w:val="none" w:sz="0" w:space="0" w:color="auto"/>
        <w:bottom w:val="none" w:sz="0" w:space="0" w:color="auto"/>
        <w:right w:val="none" w:sz="0" w:space="0" w:color="auto"/>
      </w:divBdr>
    </w:div>
    <w:div w:id="1865902552">
      <w:bodyDiv w:val="1"/>
      <w:marLeft w:val="0"/>
      <w:marRight w:val="0"/>
      <w:marTop w:val="0"/>
      <w:marBottom w:val="0"/>
      <w:divBdr>
        <w:top w:val="none" w:sz="0" w:space="0" w:color="auto"/>
        <w:left w:val="none" w:sz="0" w:space="0" w:color="auto"/>
        <w:bottom w:val="none" w:sz="0" w:space="0" w:color="auto"/>
        <w:right w:val="none" w:sz="0" w:space="0" w:color="auto"/>
      </w:divBdr>
    </w:div>
    <w:div w:id="1962953415">
      <w:bodyDiv w:val="1"/>
      <w:marLeft w:val="0"/>
      <w:marRight w:val="0"/>
      <w:marTop w:val="0"/>
      <w:marBottom w:val="0"/>
      <w:divBdr>
        <w:top w:val="none" w:sz="0" w:space="0" w:color="auto"/>
        <w:left w:val="none" w:sz="0" w:space="0" w:color="auto"/>
        <w:bottom w:val="none" w:sz="0" w:space="0" w:color="auto"/>
        <w:right w:val="none" w:sz="0" w:space="0" w:color="auto"/>
      </w:divBdr>
    </w:div>
    <w:div w:id="1978952611">
      <w:bodyDiv w:val="1"/>
      <w:marLeft w:val="0"/>
      <w:marRight w:val="0"/>
      <w:marTop w:val="0"/>
      <w:marBottom w:val="0"/>
      <w:divBdr>
        <w:top w:val="none" w:sz="0" w:space="0" w:color="auto"/>
        <w:left w:val="none" w:sz="0" w:space="0" w:color="auto"/>
        <w:bottom w:val="none" w:sz="0" w:space="0" w:color="auto"/>
        <w:right w:val="none" w:sz="0" w:space="0" w:color="auto"/>
      </w:divBdr>
    </w:div>
    <w:div w:id="203433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orris@r-e-a.net"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hart" Target="charts/chart1.xml"/></Relationships>
</file>

<file path=word/_rels/endnotes.xml.rels><?xml version="1.0" encoding="UTF-8" standalone="yes"?>
<Relationships xmlns="http://schemas.openxmlformats.org/package/2006/relationships"><Relationship Id="rId13" Type="http://schemas.openxmlformats.org/officeDocument/2006/relationships/hyperlink" Target="https://www.current-news.co.uk/news/smart-charging-could-have-saved-133m-in-grid-balancing-costs-during-lockdown" TargetMode="External"/><Relationship Id="rId18" Type="http://schemas.openxmlformats.org/officeDocument/2006/relationships/hyperlink" Target="https://www.current-news.co.uk/news/octopus-energy-expands-into-the-us-market-with-evolve-acquisition" TargetMode="External"/><Relationship Id="rId26" Type="http://schemas.openxmlformats.org/officeDocument/2006/relationships/hyperlink" Target="https://publications.parliament.uk/pa/cm201719/cmselect/cmbeis/1730/1730.pdf" TargetMode="External"/><Relationship Id="rId3" Type="http://schemas.openxmlformats.org/officeDocument/2006/relationships/hyperlink" Target="https://faraday.ac.uk/ev-battery-prod-2040/" TargetMode="External"/><Relationship Id="rId21" Type="http://schemas.openxmlformats.org/officeDocument/2006/relationships/hyperlink" Target="https://www.r-e-a.net/work/covid-19-business-continuity/" TargetMode="External"/><Relationship Id="rId34" Type="http://schemas.openxmlformats.org/officeDocument/2006/relationships/hyperlink" Target="https://www.nvenergy.com/cleanenergy/energy-storage" TargetMode="External"/><Relationship Id="rId7" Type="http://schemas.openxmlformats.org/officeDocument/2006/relationships/hyperlink" Target="https://assets.bbhub.io/professional/sites/24/2018/11/UK-Flexibility-Solutions-for-High-Renewable-Energy-Systems-2018-BNEF-Eaton-Statkraft.pdf" TargetMode="External"/><Relationship Id="rId12" Type="http://schemas.openxmlformats.org/officeDocument/2006/relationships/hyperlink" Target="https://www.current-news.co.uk/news/the-impact-of-the-unprecedented-covid-19-period-on-forecasting" TargetMode="External"/><Relationship Id="rId17" Type="http://schemas.openxmlformats.org/officeDocument/2006/relationships/hyperlink" Target="https://www.moixa.com/moixa-launches-gridshare-platform-across-3500-homes-in-japan/" TargetMode="External"/><Relationship Id="rId25" Type="http://schemas.openxmlformats.org/officeDocument/2006/relationships/hyperlink" Target="https://faraday.ac.uk/ev-battery-prod-2040/" TargetMode="External"/><Relationship Id="rId33" Type="http://schemas.openxmlformats.org/officeDocument/2006/relationships/hyperlink" Target="https://energy.maryland.gov/business/Pages/EnergyStorage.aspx" TargetMode="External"/><Relationship Id="rId2" Type="http://schemas.openxmlformats.org/officeDocument/2006/relationships/hyperlink" Target="https://www.local.gov.uk/local-green-jobs-accelerating-sustainable-economic-recovery" TargetMode="External"/><Relationship Id="rId16" Type="http://schemas.openxmlformats.org/officeDocument/2006/relationships/hyperlink" Target="https://piclo.energy/publications/Value+of+Flexibility.pdf" TargetMode="External"/><Relationship Id="rId20" Type="http://schemas.openxmlformats.org/officeDocument/2006/relationships/hyperlink" Target="http://www.ox.ac.uk/news/2020-05-05-building-back-better-green-covid-19-recovery-packages-will-boost-economic-growth-and" TargetMode="External"/><Relationship Id="rId29" Type="http://schemas.openxmlformats.org/officeDocument/2006/relationships/hyperlink" Target="https://www.bbc.co.uk/news/business-54277285" TargetMode="External"/><Relationship Id="rId1" Type="http://schemas.openxmlformats.org/officeDocument/2006/relationships/hyperlink" Target="https://d423d1558e1d71897434.b-cdn.net/wp-content/uploads/2019/05/Net-Zero-Technical-report-CCC.pdf" TargetMode="External"/><Relationship Id="rId6" Type="http://schemas.openxmlformats.org/officeDocument/2006/relationships/hyperlink" Target="https://d423d1558e1d71897434.b-cdn.net/wp-content/uploads/2019/05/Net-Zero-Technical-report-CCC.pdf" TargetMode="External"/><Relationship Id="rId11" Type="http://schemas.openxmlformats.org/officeDocument/2006/relationships/hyperlink" Target="https://www.ofgem.gov.uk/publications-and-updates/grid-code-modification-proposal-gc0143-last-resort-disconnection-embedded-generation-decision-urgency" TargetMode="External"/><Relationship Id="rId24" Type="http://schemas.openxmlformats.org/officeDocument/2006/relationships/hyperlink" Target="https://hansard.parliament.uk/Commons/2019-10-22/debates/74E7F947-3074-4A24-8A55-16F546F02774/PhotovoltaicAndBatteryStorageSystemsVAT" TargetMode="External"/><Relationship Id="rId32" Type="http://schemas.openxmlformats.org/officeDocument/2006/relationships/hyperlink" Target="https://www.seai.ie/grants/home-energy-grants/solar-electricity-grant/" TargetMode="External"/><Relationship Id="rId5" Type="http://schemas.openxmlformats.org/officeDocument/2006/relationships/hyperlink" Target="https://www.nationalgrideso.com/future-energy/future-energy-scenarios/fes-2020-documents" TargetMode="External"/><Relationship Id="rId15" Type="http://schemas.openxmlformats.org/officeDocument/2006/relationships/hyperlink" Target="https://www.ovoenergy.com/binaries/content/assets/documents/pdfs/newsroom/blueprint-for-a-post-carbon-society-how-residential-flexibility-is-key-to-decarbonising-power-heat-and-transport/blueprintforapostcarbonsocietypdf-compressed.pdf" TargetMode="External"/><Relationship Id="rId23" Type="http://schemas.openxmlformats.org/officeDocument/2006/relationships/hyperlink" Target="https://www.local.gov.uk/local-green-jobs-accelerating-sustainable-economic-recovery" TargetMode="External"/><Relationship Id="rId28" Type="http://schemas.openxmlformats.org/officeDocument/2006/relationships/hyperlink" Target="https://www.energy-storage.news/blogs/behind-the-meter-energy-storage-to-be-heavily-hit-by-covid-19-but-industry" TargetMode="External"/><Relationship Id="rId10" Type="http://schemas.openxmlformats.org/officeDocument/2006/relationships/hyperlink" Target="https://www.nationalgrideso.com/balancing-data/system-balancing-reports" TargetMode="External"/><Relationship Id="rId19" Type="http://schemas.openxmlformats.org/officeDocument/2006/relationships/hyperlink" Target="https://www.theccc.org.uk/2020/05/06/take-urgent-action-on-six-key-principles-for-a-resilient-recovery/" TargetMode="External"/><Relationship Id="rId31" Type="http://schemas.openxmlformats.org/officeDocument/2006/relationships/hyperlink" Target="https://www.energy-storage.news/news/bavarian-solar-plus-storage-subsidy-launches-today" TargetMode="External"/><Relationship Id="rId4" Type="http://schemas.openxmlformats.org/officeDocument/2006/relationships/hyperlink" Target="https://www.r-e-a.net/work/covid-19-business-continuity/" TargetMode="External"/><Relationship Id="rId9" Type="http://schemas.openxmlformats.org/officeDocument/2006/relationships/hyperlink" Target="https://www.r-e-a.net/wp-content/uploads/2019/11/Energy-Transition-Readiness-Index-2019.pdf" TargetMode="External"/><Relationship Id="rId14" Type="http://schemas.openxmlformats.org/officeDocument/2006/relationships/hyperlink" Target="https://electricinsights.co.uk/" TargetMode="External"/><Relationship Id="rId22" Type="http://schemas.openxmlformats.org/officeDocument/2006/relationships/hyperlink" Target="https://faraday.ac.uk/ev-battery-prod-2040/" TargetMode="External"/><Relationship Id="rId27" Type="http://schemas.openxmlformats.org/officeDocument/2006/relationships/hyperlink" Target="https://www.r-e-a.net/work/covid-19-business-continuity/" TargetMode="External"/><Relationship Id="rId30" Type="http://schemas.openxmlformats.org/officeDocument/2006/relationships/hyperlink" Target="https://www.bmwi.de/Redaktion/EN/Artikel/Energy/funding-programmes-for-energy-storage.html" TargetMode="External"/><Relationship Id="rId8" Type="http://schemas.openxmlformats.org/officeDocument/2006/relationships/hyperlink" Target="https://www.nic.org.uk/wp-content/uploads/Final-Renewables-Recovery-Reaching-Net-Zer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nickw\Dropbox%20(PowerVault)\Main\PowerVault\Commercial\Market%20sizing\IHS_Markit_RESI_First_quarter_2020_Powervault-convert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ickw\Dropbox%20(PowerVault)\Main\PowerVault\Commercial\Market%20sizing\IHS_Markit_RESI_First_quarter_2020_Powervault-convert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Total</a:t>
            </a:r>
            <a:r>
              <a:rPr lang="en-GB" sz="1200" baseline="0"/>
              <a:t> h</a:t>
            </a:r>
            <a:r>
              <a:rPr lang="en-GB" sz="1200"/>
              <a:t>ome electricity storage deployed 2018-2020</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strRef>
              <c:f>'Table 2'!$J$39:$J$44</c:f>
              <c:strCache>
                <c:ptCount val="6"/>
                <c:pt idx="0">
                  <c:v>Australia</c:v>
                </c:pt>
                <c:pt idx="1">
                  <c:v>Germany</c:v>
                </c:pt>
                <c:pt idx="2">
                  <c:v>Japan</c:v>
                </c:pt>
                <c:pt idx="3">
                  <c:v>Rest of World</c:v>
                </c:pt>
                <c:pt idx="4">
                  <c:v>UK</c:v>
                </c:pt>
                <c:pt idx="5">
                  <c:v>USA</c:v>
                </c:pt>
              </c:strCache>
            </c:strRef>
          </c:cat>
          <c:val>
            <c:numRef>
              <c:f>'Table 2'!$K$39:$K$44</c:f>
              <c:numCache>
                <c:formatCode>#,##0</c:formatCode>
                <c:ptCount val="6"/>
                <c:pt idx="0">
                  <c:v>637</c:v>
                </c:pt>
                <c:pt idx="1">
                  <c:v>1709</c:v>
                </c:pt>
                <c:pt idx="2">
                  <c:v>1708</c:v>
                </c:pt>
                <c:pt idx="3">
                  <c:v>1150</c:v>
                </c:pt>
                <c:pt idx="5">
                  <c:v>984</c:v>
                </c:pt>
              </c:numCache>
            </c:numRef>
          </c:val>
          <c:extLst>
            <c:ext xmlns:c16="http://schemas.microsoft.com/office/drawing/2014/chart" uri="{C3380CC4-5D6E-409C-BE32-E72D297353CC}">
              <c16:uniqueId val="{00000000-47DD-4BD9-A94D-157214A52AF0}"/>
            </c:ext>
          </c:extLst>
        </c:ser>
        <c:ser>
          <c:idx val="1"/>
          <c:order val="1"/>
          <c:spPr>
            <a:solidFill>
              <a:schemeClr val="accent2"/>
            </a:solidFill>
            <a:ln>
              <a:noFill/>
            </a:ln>
            <a:effectLst/>
          </c:spPr>
          <c:invertIfNegative val="0"/>
          <c:cat>
            <c:strRef>
              <c:f>'Table 2'!$J$39:$J$44</c:f>
              <c:strCache>
                <c:ptCount val="6"/>
                <c:pt idx="0">
                  <c:v>Australia</c:v>
                </c:pt>
                <c:pt idx="1">
                  <c:v>Germany</c:v>
                </c:pt>
                <c:pt idx="2">
                  <c:v>Japan</c:v>
                </c:pt>
                <c:pt idx="3">
                  <c:v>Rest of World</c:v>
                </c:pt>
                <c:pt idx="4">
                  <c:v>UK</c:v>
                </c:pt>
                <c:pt idx="5">
                  <c:v>USA</c:v>
                </c:pt>
              </c:strCache>
            </c:strRef>
          </c:cat>
          <c:val>
            <c:numRef>
              <c:f>'Table 2'!$L$39:$L$44</c:f>
              <c:numCache>
                <c:formatCode>General</c:formatCode>
                <c:ptCount val="6"/>
                <c:pt idx="4" formatCode="#,##0">
                  <c:v>285</c:v>
                </c:pt>
              </c:numCache>
            </c:numRef>
          </c:val>
          <c:extLst>
            <c:ext xmlns:c16="http://schemas.microsoft.com/office/drawing/2014/chart" uri="{C3380CC4-5D6E-409C-BE32-E72D297353CC}">
              <c16:uniqueId val="{00000001-47DD-4BD9-A94D-157214A52AF0}"/>
            </c:ext>
          </c:extLst>
        </c:ser>
        <c:dLbls>
          <c:showLegendKey val="0"/>
          <c:showVal val="0"/>
          <c:showCatName val="0"/>
          <c:showSerName val="0"/>
          <c:showPercent val="0"/>
          <c:showBubbleSize val="0"/>
        </c:dLbls>
        <c:gapWidth val="219"/>
        <c:overlap val="100"/>
        <c:axId val="1782381024"/>
        <c:axId val="1725381264"/>
      </c:barChart>
      <c:catAx>
        <c:axId val="178238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5381264"/>
        <c:crosses val="autoZero"/>
        <c:auto val="1"/>
        <c:lblAlgn val="ctr"/>
        <c:lblOffset val="100"/>
        <c:noMultiLvlLbl val="0"/>
      </c:catAx>
      <c:valAx>
        <c:axId val="1725381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2381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Quarterly</a:t>
            </a:r>
            <a:r>
              <a:rPr lang="en-GB" sz="1200" baseline="0"/>
              <a:t> home electricity storage deployment 2018-2020</a:t>
            </a:r>
            <a:endParaRPr lang="en-GB"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'Table 2'!$J$20</c:f>
              <c:strCache>
                <c:ptCount val="1"/>
                <c:pt idx="0">
                  <c:v>Australia</c:v>
                </c:pt>
              </c:strCache>
            </c:strRef>
          </c:tx>
          <c:spPr>
            <a:ln w="28575" cap="rnd">
              <a:solidFill>
                <a:schemeClr val="accent1"/>
              </a:solidFill>
              <a:round/>
            </a:ln>
            <a:effectLst/>
          </c:spPr>
          <c:marker>
            <c:symbol val="none"/>
          </c:marker>
          <c:cat>
            <c:strRef>
              <c:f>'Table 2'!$K$19:$T$19</c:f>
              <c:strCache>
                <c:ptCount val="10"/>
                <c:pt idx="0">
                  <c:v>Q1 2018</c:v>
                </c:pt>
                <c:pt idx="1">
                  <c:v>Q2 2018</c:v>
                </c:pt>
                <c:pt idx="2">
                  <c:v>Q3 2018</c:v>
                </c:pt>
                <c:pt idx="3">
                  <c:v>Q4 2018</c:v>
                </c:pt>
                <c:pt idx="4">
                  <c:v>Q1 2019</c:v>
                </c:pt>
                <c:pt idx="5">
                  <c:v>Q2 2019</c:v>
                </c:pt>
                <c:pt idx="6">
                  <c:v>Q3 2019</c:v>
                </c:pt>
                <c:pt idx="7">
                  <c:v>Q4 2019</c:v>
                </c:pt>
                <c:pt idx="8">
                  <c:v>Q1 2020</c:v>
                </c:pt>
                <c:pt idx="9">
                  <c:v>Q2 2020</c:v>
                </c:pt>
              </c:strCache>
            </c:strRef>
          </c:cat>
          <c:val>
            <c:numRef>
              <c:f>'Table 2'!$K$20:$T$20</c:f>
              <c:numCache>
                <c:formatCode>General</c:formatCode>
                <c:ptCount val="10"/>
                <c:pt idx="0">
                  <c:v>46</c:v>
                </c:pt>
                <c:pt idx="1">
                  <c:v>35</c:v>
                </c:pt>
                <c:pt idx="2">
                  <c:v>35</c:v>
                </c:pt>
                <c:pt idx="3">
                  <c:v>59</c:v>
                </c:pt>
                <c:pt idx="4">
                  <c:v>55</c:v>
                </c:pt>
                <c:pt idx="5">
                  <c:v>82</c:v>
                </c:pt>
                <c:pt idx="6">
                  <c:v>76</c:v>
                </c:pt>
                <c:pt idx="7">
                  <c:v>91</c:v>
                </c:pt>
                <c:pt idx="8">
                  <c:v>70</c:v>
                </c:pt>
                <c:pt idx="9">
                  <c:v>88</c:v>
                </c:pt>
              </c:numCache>
            </c:numRef>
          </c:val>
          <c:smooth val="0"/>
          <c:extLst>
            <c:ext xmlns:c16="http://schemas.microsoft.com/office/drawing/2014/chart" uri="{C3380CC4-5D6E-409C-BE32-E72D297353CC}">
              <c16:uniqueId val="{00000000-19DF-4CC7-BACC-9B856D016FC3}"/>
            </c:ext>
          </c:extLst>
        </c:ser>
        <c:ser>
          <c:idx val="1"/>
          <c:order val="1"/>
          <c:tx>
            <c:strRef>
              <c:f>'Table 2'!$J$21</c:f>
              <c:strCache>
                <c:ptCount val="1"/>
                <c:pt idx="0">
                  <c:v>Germany</c:v>
                </c:pt>
              </c:strCache>
            </c:strRef>
          </c:tx>
          <c:spPr>
            <a:ln w="28575" cap="rnd">
              <a:solidFill>
                <a:schemeClr val="accent5"/>
              </a:solidFill>
              <a:round/>
            </a:ln>
            <a:effectLst/>
          </c:spPr>
          <c:marker>
            <c:symbol val="none"/>
          </c:marker>
          <c:cat>
            <c:strRef>
              <c:f>'Table 2'!$K$19:$T$19</c:f>
              <c:strCache>
                <c:ptCount val="10"/>
                <c:pt idx="0">
                  <c:v>Q1 2018</c:v>
                </c:pt>
                <c:pt idx="1">
                  <c:v>Q2 2018</c:v>
                </c:pt>
                <c:pt idx="2">
                  <c:v>Q3 2018</c:v>
                </c:pt>
                <c:pt idx="3">
                  <c:v>Q4 2018</c:v>
                </c:pt>
                <c:pt idx="4">
                  <c:v>Q1 2019</c:v>
                </c:pt>
                <c:pt idx="5">
                  <c:v>Q2 2019</c:v>
                </c:pt>
                <c:pt idx="6">
                  <c:v>Q3 2019</c:v>
                </c:pt>
                <c:pt idx="7">
                  <c:v>Q4 2019</c:v>
                </c:pt>
                <c:pt idx="8">
                  <c:v>Q1 2020</c:v>
                </c:pt>
                <c:pt idx="9">
                  <c:v>Q2 2020</c:v>
                </c:pt>
              </c:strCache>
            </c:strRef>
          </c:cat>
          <c:val>
            <c:numRef>
              <c:f>'Table 2'!$K$21:$T$21</c:f>
              <c:numCache>
                <c:formatCode>General</c:formatCode>
                <c:ptCount val="10"/>
                <c:pt idx="0">
                  <c:v>113</c:v>
                </c:pt>
                <c:pt idx="1">
                  <c:v>131</c:v>
                </c:pt>
                <c:pt idx="2">
                  <c:v>126</c:v>
                </c:pt>
                <c:pt idx="3">
                  <c:v>111</c:v>
                </c:pt>
                <c:pt idx="4">
                  <c:v>134</c:v>
                </c:pt>
                <c:pt idx="5">
                  <c:v>175</c:v>
                </c:pt>
                <c:pt idx="6">
                  <c:v>212</c:v>
                </c:pt>
                <c:pt idx="7">
                  <c:v>222</c:v>
                </c:pt>
                <c:pt idx="8">
                  <c:v>221</c:v>
                </c:pt>
                <c:pt idx="9">
                  <c:v>264</c:v>
                </c:pt>
              </c:numCache>
            </c:numRef>
          </c:val>
          <c:smooth val="0"/>
          <c:extLst>
            <c:ext xmlns:c16="http://schemas.microsoft.com/office/drawing/2014/chart" uri="{C3380CC4-5D6E-409C-BE32-E72D297353CC}">
              <c16:uniqueId val="{00000001-19DF-4CC7-BACC-9B856D016FC3}"/>
            </c:ext>
          </c:extLst>
        </c:ser>
        <c:ser>
          <c:idx val="2"/>
          <c:order val="2"/>
          <c:tx>
            <c:strRef>
              <c:f>'Table 2'!$J$22</c:f>
              <c:strCache>
                <c:ptCount val="1"/>
                <c:pt idx="0">
                  <c:v>Japan</c:v>
                </c:pt>
              </c:strCache>
            </c:strRef>
          </c:tx>
          <c:spPr>
            <a:ln w="28575" cap="rnd">
              <a:solidFill>
                <a:schemeClr val="accent3"/>
              </a:solidFill>
              <a:round/>
            </a:ln>
            <a:effectLst/>
          </c:spPr>
          <c:marker>
            <c:symbol val="none"/>
          </c:marker>
          <c:cat>
            <c:strRef>
              <c:f>'Table 2'!$K$19:$T$19</c:f>
              <c:strCache>
                <c:ptCount val="10"/>
                <c:pt idx="0">
                  <c:v>Q1 2018</c:v>
                </c:pt>
                <c:pt idx="1">
                  <c:v>Q2 2018</c:v>
                </c:pt>
                <c:pt idx="2">
                  <c:v>Q3 2018</c:v>
                </c:pt>
                <c:pt idx="3">
                  <c:v>Q4 2018</c:v>
                </c:pt>
                <c:pt idx="4">
                  <c:v>Q1 2019</c:v>
                </c:pt>
                <c:pt idx="5">
                  <c:v>Q2 2019</c:v>
                </c:pt>
                <c:pt idx="6">
                  <c:v>Q3 2019</c:v>
                </c:pt>
                <c:pt idx="7">
                  <c:v>Q4 2019</c:v>
                </c:pt>
                <c:pt idx="8">
                  <c:v>Q1 2020</c:v>
                </c:pt>
                <c:pt idx="9">
                  <c:v>Q2 2020</c:v>
                </c:pt>
              </c:strCache>
            </c:strRef>
          </c:cat>
          <c:val>
            <c:numRef>
              <c:f>'Table 2'!$K$22:$T$22</c:f>
              <c:numCache>
                <c:formatCode>General</c:formatCode>
                <c:ptCount val="10"/>
                <c:pt idx="0">
                  <c:v>95</c:v>
                </c:pt>
                <c:pt idx="1">
                  <c:v>118</c:v>
                </c:pt>
                <c:pt idx="2">
                  <c:v>113</c:v>
                </c:pt>
                <c:pt idx="3">
                  <c:v>139</c:v>
                </c:pt>
                <c:pt idx="4">
                  <c:v>186</c:v>
                </c:pt>
                <c:pt idx="5">
                  <c:v>221</c:v>
                </c:pt>
                <c:pt idx="6">
                  <c:v>207</c:v>
                </c:pt>
                <c:pt idx="7">
                  <c:v>202</c:v>
                </c:pt>
                <c:pt idx="8">
                  <c:v>230</c:v>
                </c:pt>
                <c:pt idx="9">
                  <c:v>197</c:v>
                </c:pt>
              </c:numCache>
            </c:numRef>
          </c:val>
          <c:smooth val="0"/>
          <c:extLst>
            <c:ext xmlns:c16="http://schemas.microsoft.com/office/drawing/2014/chart" uri="{C3380CC4-5D6E-409C-BE32-E72D297353CC}">
              <c16:uniqueId val="{00000002-19DF-4CC7-BACC-9B856D016FC3}"/>
            </c:ext>
          </c:extLst>
        </c:ser>
        <c:ser>
          <c:idx val="3"/>
          <c:order val="3"/>
          <c:tx>
            <c:strRef>
              <c:f>'Table 2'!$J$23</c:f>
              <c:strCache>
                <c:ptCount val="1"/>
                <c:pt idx="0">
                  <c:v>Rest of World</c:v>
                </c:pt>
              </c:strCache>
            </c:strRef>
          </c:tx>
          <c:spPr>
            <a:ln w="28575" cap="rnd">
              <a:solidFill>
                <a:schemeClr val="accent4"/>
              </a:solidFill>
              <a:round/>
            </a:ln>
            <a:effectLst/>
          </c:spPr>
          <c:marker>
            <c:symbol val="none"/>
          </c:marker>
          <c:cat>
            <c:strRef>
              <c:f>'Table 2'!$K$19:$T$19</c:f>
              <c:strCache>
                <c:ptCount val="10"/>
                <c:pt idx="0">
                  <c:v>Q1 2018</c:v>
                </c:pt>
                <c:pt idx="1">
                  <c:v>Q2 2018</c:v>
                </c:pt>
                <c:pt idx="2">
                  <c:v>Q3 2018</c:v>
                </c:pt>
                <c:pt idx="3">
                  <c:v>Q4 2018</c:v>
                </c:pt>
                <c:pt idx="4">
                  <c:v>Q1 2019</c:v>
                </c:pt>
                <c:pt idx="5">
                  <c:v>Q2 2019</c:v>
                </c:pt>
                <c:pt idx="6">
                  <c:v>Q3 2019</c:v>
                </c:pt>
                <c:pt idx="7">
                  <c:v>Q4 2019</c:v>
                </c:pt>
                <c:pt idx="8">
                  <c:v>Q1 2020</c:v>
                </c:pt>
                <c:pt idx="9">
                  <c:v>Q2 2020</c:v>
                </c:pt>
              </c:strCache>
            </c:strRef>
          </c:cat>
          <c:val>
            <c:numRef>
              <c:f>'Table 2'!$K$23:$T$23</c:f>
              <c:numCache>
                <c:formatCode>#,##0</c:formatCode>
                <c:ptCount val="10"/>
                <c:pt idx="0">
                  <c:v>64</c:v>
                </c:pt>
                <c:pt idx="1">
                  <c:v>66</c:v>
                </c:pt>
                <c:pt idx="2">
                  <c:v>67</c:v>
                </c:pt>
                <c:pt idx="3">
                  <c:v>58</c:v>
                </c:pt>
                <c:pt idx="4">
                  <c:v>95</c:v>
                </c:pt>
                <c:pt idx="5">
                  <c:v>120</c:v>
                </c:pt>
                <c:pt idx="6">
                  <c:v>173</c:v>
                </c:pt>
                <c:pt idx="7">
                  <c:v>182</c:v>
                </c:pt>
                <c:pt idx="8">
                  <c:v>146</c:v>
                </c:pt>
                <c:pt idx="9">
                  <c:v>179</c:v>
                </c:pt>
              </c:numCache>
            </c:numRef>
          </c:val>
          <c:smooth val="0"/>
          <c:extLst>
            <c:ext xmlns:c16="http://schemas.microsoft.com/office/drawing/2014/chart" uri="{C3380CC4-5D6E-409C-BE32-E72D297353CC}">
              <c16:uniqueId val="{00000003-19DF-4CC7-BACC-9B856D016FC3}"/>
            </c:ext>
          </c:extLst>
        </c:ser>
        <c:ser>
          <c:idx val="4"/>
          <c:order val="4"/>
          <c:tx>
            <c:strRef>
              <c:f>'Table 2'!$J$24</c:f>
              <c:strCache>
                <c:ptCount val="1"/>
                <c:pt idx="0">
                  <c:v>UK</c:v>
                </c:pt>
              </c:strCache>
            </c:strRef>
          </c:tx>
          <c:spPr>
            <a:ln w="28575" cap="rnd">
              <a:solidFill>
                <a:srgbClr val="FF0000"/>
              </a:solidFill>
              <a:round/>
            </a:ln>
            <a:effectLst/>
          </c:spPr>
          <c:marker>
            <c:symbol val="none"/>
          </c:marker>
          <c:cat>
            <c:strRef>
              <c:f>'Table 2'!$K$19:$T$19</c:f>
              <c:strCache>
                <c:ptCount val="10"/>
                <c:pt idx="0">
                  <c:v>Q1 2018</c:v>
                </c:pt>
                <c:pt idx="1">
                  <c:v>Q2 2018</c:v>
                </c:pt>
                <c:pt idx="2">
                  <c:v>Q3 2018</c:v>
                </c:pt>
                <c:pt idx="3">
                  <c:v>Q4 2018</c:v>
                </c:pt>
                <c:pt idx="4">
                  <c:v>Q1 2019</c:v>
                </c:pt>
                <c:pt idx="5">
                  <c:v>Q2 2019</c:v>
                </c:pt>
                <c:pt idx="6">
                  <c:v>Q3 2019</c:v>
                </c:pt>
                <c:pt idx="7">
                  <c:v>Q4 2019</c:v>
                </c:pt>
                <c:pt idx="8">
                  <c:v>Q1 2020</c:v>
                </c:pt>
                <c:pt idx="9">
                  <c:v>Q2 2020</c:v>
                </c:pt>
              </c:strCache>
            </c:strRef>
          </c:cat>
          <c:val>
            <c:numRef>
              <c:f>'Table 2'!$K$24:$T$24</c:f>
              <c:numCache>
                <c:formatCode>General</c:formatCode>
                <c:ptCount val="10"/>
                <c:pt idx="0">
                  <c:v>21</c:v>
                </c:pt>
                <c:pt idx="1">
                  <c:v>18</c:v>
                </c:pt>
                <c:pt idx="2">
                  <c:v>25</c:v>
                </c:pt>
                <c:pt idx="3">
                  <c:v>20</c:v>
                </c:pt>
                <c:pt idx="4">
                  <c:v>31</c:v>
                </c:pt>
                <c:pt idx="5">
                  <c:v>37</c:v>
                </c:pt>
                <c:pt idx="6">
                  <c:v>46</c:v>
                </c:pt>
                <c:pt idx="7">
                  <c:v>40</c:v>
                </c:pt>
                <c:pt idx="8">
                  <c:v>32</c:v>
                </c:pt>
                <c:pt idx="9">
                  <c:v>15</c:v>
                </c:pt>
              </c:numCache>
            </c:numRef>
          </c:val>
          <c:smooth val="0"/>
          <c:extLst>
            <c:ext xmlns:c16="http://schemas.microsoft.com/office/drawing/2014/chart" uri="{C3380CC4-5D6E-409C-BE32-E72D297353CC}">
              <c16:uniqueId val="{00000004-19DF-4CC7-BACC-9B856D016FC3}"/>
            </c:ext>
          </c:extLst>
        </c:ser>
        <c:ser>
          <c:idx val="5"/>
          <c:order val="5"/>
          <c:tx>
            <c:strRef>
              <c:f>'Table 2'!$J$25</c:f>
              <c:strCache>
                <c:ptCount val="1"/>
                <c:pt idx="0">
                  <c:v>USA</c:v>
                </c:pt>
              </c:strCache>
            </c:strRef>
          </c:tx>
          <c:spPr>
            <a:ln w="28575" cap="rnd">
              <a:solidFill>
                <a:schemeClr val="accent6">
                  <a:lumMod val="60000"/>
                  <a:lumOff val="40000"/>
                </a:schemeClr>
              </a:solidFill>
              <a:round/>
            </a:ln>
            <a:effectLst/>
          </c:spPr>
          <c:marker>
            <c:symbol val="none"/>
          </c:marker>
          <c:cat>
            <c:strRef>
              <c:f>'Table 2'!$K$19:$T$19</c:f>
              <c:strCache>
                <c:ptCount val="10"/>
                <c:pt idx="0">
                  <c:v>Q1 2018</c:v>
                </c:pt>
                <c:pt idx="1">
                  <c:v>Q2 2018</c:v>
                </c:pt>
                <c:pt idx="2">
                  <c:v>Q3 2018</c:v>
                </c:pt>
                <c:pt idx="3">
                  <c:v>Q4 2018</c:v>
                </c:pt>
                <c:pt idx="4">
                  <c:v>Q1 2019</c:v>
                </c:pt>
                <c:pt idx="5">
                  <c:v>Q2 2019</c:v>
                </c:pt>
                <c:pt idx="6">
                  <c:v>Q3 2019</c:v>
                </c:pt>
                <c:pt idx="7">
                  <c:v>Q4 2019</c:v>
                </c:pt>
                <c:pt idx="8">
                  <c:v>Q1 2020</c:v>
                </c:pt>
                <c:pt idx="9">
                  <c:v>Q2 2020</c:v>
                </c:pt>
              </c:strCache>
            </c:strRef>
          </c:cat>
          <c:val>
            <c:numRef>
              <c:f>'Table 2'!$K$25:$T$25</c:f>
              <c:numCache>
                <c:formatCode>General</c:formatCode>
                <c:ptCount val="10"/>
                <c:pt idx="0">
                  <c:v>70</c:v>
                </c:pt>
                <c:pt idx="1">
                  <c:v>68</c:v>
                </c:pt>
                <c:pt idx="2">
                  <c:v>73</c:v>
                </c:pt>
                <c:pt idx="3">
                  <c:v>84</c:v>
                </c:pt>
                <c:pt idx="4">
                  <c:v>100</c:v>
                </c:pt>
                <c:pt idx="5">
                  <c:v>109</c:v>
                </c:pt>
                <c:pt idx="6">
                  <c:v>132</c:v>
                </c:pt>
                <c:pt idx="7">
                  <c:v>114</c:v>
                </c:pt>
                <c:pt idx="8">
                  <c:v>116</c:v>
                </c:pt>
                <c:pt idx="9">
                  <c:v>118</c:v>
                </c:pt>
              </c:numCache>
            </c:numRef>
          </c:val>
          <c:smooth val="0"/>
          <c:extLst>
            <c:ext xmlns:c16="http://schemas.microsoft.com/office/drawing/2014/chart" uri="{C3380CC4-5D6E-409C-BE32-E72D297353CC}">
              <c16:uniqueId val="{00000005-19DF-4CC7-BACC-9B856D016FC3}"/>
            </c:ext>
          </c:extLst>
        </c:ser>
        <c:dLbls>
          <c:showLegendKey val="0"/>
          <c:showVal val="0"/>
          <c:showCatName val="0"/>
          <c:showSerName val="0"/>
          <c:showPercent val="0"/>
          <c:showBubbleSize val="0"/>
        </c:dLbls>
        <c:smooth val="0"/>
        <c:axId val="853770464"/>
        <c:axId val="748199472"/>
      </c:lineChart>
      <c:catAx>
        <c:axId val="85377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8199472"/>
        <c:crosses val="autoZero"/>
        <c:auto val="1"/>
        <c:lblAlgn val="ctr"/>
        <c:lblOffset val="100"/>
        <c:noMultiLvlLbl val="0"/>
      </c:catAx>
      <c:valAx>
        <c:axId val="748199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77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146F3-DEEB-48CD-AD2B-865EB687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Isobel Morris</cp:lastModifiedBy>
  <cp:revision>2</cp:revision>
  <cp:lastPrinted>2020-06-24T08:34:00Z</cp:lastPrinted>
  <dcterms:created xsi:type="dcterms:W3CDTF">2020-10-08T12:14:00Z</dcterms:created>
  <dcterms:modified xsi:type="dcterms:W3CDTF">2020-10-08T12:14:00Z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06e56-1756-4005-87f1-1edc72dd4bdf_Enabled">
    <vt:lpwstr>true</vt:lpwstr>
  </property>
  <property fmtid="{D5CDD505-2E9C-101B-9397-08002B2CF9AE}" pid="3" name="MSIP_Label_52d06e56-1756-4005-87f1-1edc72dd4bdf_SetDate">
    <vt:lpwstr>2020-09-23T11:23:15Z</vt:lpwstr>
  </property>
  <property fmtid="{D5CDD505-2E9C-101B-9397-08002B2CF9AE}" pid="4" name="MSIP_Label_52d06e56-1756-4005-87f1-1edc72dd4bdf_Method">
    <vt:lpwstr>Standard</vt:lpwstr>
  </property>
  <property fmtid="{D5CDD505-2E9C-101B-9397-08002B2CF9AE}" pid="5" name="MSIP_Label_52d06e56-1756-4005-87f1-1edc72dd4bdf_Name">
    <vt:lpwstr>General</vt:lpwstr>
  </property>
  <property fmtid="{D5CDD505-2E9C-101B-9397-08002B2CF9AE}" pid="6" name="MSIP_Label_52d06e56-1756-4005-87f1-1edc72dd4bdf_SiteId">
    <vt:lpwstr>9026c5f4-86d0-4b9f-bd39-b7d4d0fb4674</vt:lpwstr>
  </property>
  <property fmtid="{D5CDD505-2E9C-101B-9397-08002B2CF9AE}" pid="7" name="MSIP_Label_52d06e56-1756-4005-87f1-1edc72dd4bdf_ActionId">
    <vt:lpwstr>5b1d97fe-7ac4-4c68-b307-0000c363a31f</vt:lpwstr>
  </property>
  <property fmtid="{D5CDD505-2E9C-101B-9397-08002B2CF9AE}" pid="8" name="MSIP_Label_52d06e56-1756-4005-87f1-1edc72dd4bdf_ContentBits">
    <vt:lpwstr>0</vt:lpwstr>
  </property>
</Properties>
</file>