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B199D" w14:textId="43A1118F" w:rsidR="00537F52" w:rsidRPr="009F6D0A" w:rsidRDefault="009934F9" w:rsidP="009934F9">
      <w:pPr>
        <w:spacing w:before="120" w:after="120"/>
        <w:jc w:val="center"/>
        <w:rPr>
          <w:rFonts w:ascii="Open Sans" w:hAnsi="Open Sans" w:cs="Open Sans"/>
          <w:b/>
          <w:bCs/>
          <w:color w:val="06926B"/>
          <w:sz w:val="28"/>
          <w:szCs w:val="28"/>
        </w:rPr>
      </w:pPr>
      <w:r w:rsidRPr="009F6D0A">
        <w:rPr>
          <w:rFonts w:ascii="Open Sans" w:hAnsi="Open Sans" w:cs="Open Sans"/>
          <w:b/>
          <w:bCs/>
          <w:i/>
          <w:iCs/>
          <w:color w:val="06926B"/>
          <w:sz w:val="28"/>
          <w:szCs w:val="28"/>
        </w:rPr>
        <w:t xml:space="preserve">BEIS proposals on a Green Gas Levy </w:t>
      </w:r>
    </w:p>
    <w:p w14:paraId="4F687AA2" w14:textId="1442491D" w:rsidR="00CD42E0" w:rsidRPr="009F6D0A" w:rsidRDefault="00792488" w:rsidP="009934F9">
      <w:pPr>
        <w:spacing w:before="120" w:after="120"/>
        <w:jc w:val="center"/>
        <w:rPr>
          <w:rFonts w:ascii="Open Sans" w:hAnsi="Open Sans" w:cs="Open Sans"/>
          <w:b/>
          <w:bCs/>
          <w:color w:val="06926B"/>
          <w:sz w:val="28"/>
          <w:szCs w:val="28"/>
          <w:u w:val="single"/>
        </w:rPr>
      </w:pPr>
      <w:r w:rsidRPr="009F6D0A">
        <w:rPr>
          <w:rFonts w:ascii="Open Sans" w:hAnsi="Open Sans" w:cs="Open Sans"/>
          <w:b/>
          <w:bCs/>
          <w:color w:val="06926B"/>
          <w:sz w:val="28"/>
          <w:szCs w:val="28"/>
        </w:rPr>
        <w:t xml:space="preserve">REA </w:t>
      </w:r>
      <w:r w:rsidR="00F62E8D" w:rsidRPr="009F6D0A">
        <w:rPr>
          <w:rFonts w:ascii="Open Sans" w:hAnsi="Open Sans" w:cs="Open Sans"/>
          <w:b/>
          <w:bCs/>
          <w:color w:val="06926B"/>
          <w:sz w:val="28"/>
          <w:szCs w:val="28"/>
        </w:rPr>
        <w:t xml:space="preserve">Draft </w:t>
      </w:r>
      <w:r w:rsidR="000D0D58" w:rsidRPr="009F6D0A">
        <w:rPr>
          <w:rFonts w:ascii="Open Sans" w:hAnsi="Open Sans" w:cs="Open Sans"/>
          <w:b/>
          <w:bCs/>
          <w:color w:val="06926B"/>
          <w:sz w:val="28"/>
          <w:szCs w:val="28"/>
        </w:rPr>
        <w:t>Consultation Response</w:t>
      </w:r>
    </w:p>
    <w:p w14:paraId="76356593" w14:textId="77777777" w:rsidR="00CD42E0" w:rsidRPr="009F6D0A" w:rsidRDefault="00CD42E0" w:rsidP="009934F9">
      <w:pPr>
        <w:spacing w:before="120" w:after="120"/>
        <w:rPr>
          <w:rFonts w:ascii="Open Sans" w:hAnsi="Open Sans" w:cs="Open Sans"/>
          <w:b/>
          <w:bCs/>
          <w:szCs w:val="22"/>
        </w:rPr>
      </w:pPr>
    </w:p>
    <w:p w14:paraId="2CF397D1" w14:textId="5AAF14EA" w:rsidR="00CD42E0" w:rsidRPr="009F6D0A" w:rsidRDefault="000D0D58" w:rsidP="009934F9">
      <w:pPr>
        <w:spacing w:before="120" w:after="120"/>
        <w:rPr>
          <w:rFonts w:ascii="Open Sans" w:hAnsi="Open Sans" w:cs="Open Sans"/>
          <w:szCs w:val="22"/>
        </w:rPr>
      </w:pPr>
      <w:r w:rsidRPr="009F6D0A">
        <w:rPr>
          <w:rFonts w:ascii="Open Sans" w:hAnsi="Open Sans" w:cs="Open Sans"/>
          <w:szCs w:val="22"/>
        </w:rPr>
        <w:t xml:space="preserve">The </w:t>
      </w:r>
      <w:r w:rsidR="00B761B4" w:rsidRPr="009F6D0A">
        <w:rPr>
          <w:rFonts w:ascii="Open Sans" w:hAnsi="Open Sans" w:cs="Open Sans"/>
          <w:szCs w:val="22"/>
        </w:rPr>
        <w:t>Association for Renewable Energy &amp; Clean Technolog</w:t>
      </w:r>
      <w:r w:rsidR="00AA3F43" w:rsidRPr="009F6D0A">
        <w:rPr>
          <w:rFonts w:ascii="Open Sans" w:hAnsi="Open Sans" w:cs="Open Sans"/>
          <w:szCs w:val="22"/>
        </w:rPr>
        <w:t>y</w:t>
      </w:r>
      <w:r w:rsidRPr="009F6D0A">
        <w:rPr>
          <w:rFonts w:ascii="Open Sans" w:hAnsi="Open Sans" w:cs="Open Sans"/>
          <w:szCs w:val="22"/>
        </w:rPr>
        <w:t xml:space="preserve">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w:t>
      </w:r>
      <w:r w:rsidR="00780C7E" w:rsidRPr="009F6D0A">
        <w:rPr>
          <w:rFonts w:ascii="Open Sans" w:hAnsi="Open Sans" w:cs="Open Sans"/>
          <w:szCs w:val="22"/>
        </w:rPr>
        <w:t>00</w:t>
      </w:r>
      <w:r w:rsidRPr="009F6D0A">
        <w:rPr>
          <w:rFonts w:ascii="Open Sans" w:hAnsi="Open Sans" w:cs="Open Sans"/>
          <w:szCs w:val="22"/>
        </w:rPr>
        <w:t xml:space="preserve"> corporate members of the REA, making it the largest renewable energy trade association in the UK.</w:t>
      </w:r>
    </w:p>
    <w:p w14:paraId="09C24494" w14:textId="7CCDA6FF" w:rsidR="00AA126A" w:rsidRPr="009F6D0A" w:rsidRDefault="00AA126A" w:rsidP="009934F9">
      <w:pPr>
        <w:spacing w:before="120" w:after="120"/>
        <w:rPr>
          <w:rFonts w:ascii="Open Sans" w:hAnsi="Open Sans" w:cs="Open Sans"/>
          <w:szCs w:val="22"/>
        </w:rPr>
      </w:pPr>
    </w:p>
    <w:p w14:paraId="788C7E8B" w14:textId="3555D778" w:rsidR="00AA126A" w:rsidRPr="009F6D0A" w:rsidRDefault="002607AB" w:rsidP="009934F9">
      <w:pPr>
        <w:spacing w:before="120" w:after="120"/>
        <w:rPr>
          <w:rFonts w:ascii="Open Sans" w:hAnsi="Open Sans" w:cs="Open Sans"/>
          <w:b/>
          <w:bCs/>
          <w:sz w:val="28"/>
          <w:szCs w:val="28"/>
        </w:rPr>
      </w:pPr>
      <w:r w:rsidRPr="009F6D0A">
        <w:rPr>
          <w:rFonts w:ascii="Open Sans" w:hAnsi="Open Sans" w:cs="Open Sans"/>
          <w:b/>
          <w:bCs/>
          <w:sz w:val="28"/>
          <w:szCs w:val="28"/>
        </w:rPr>
        <w:t xml:space="preserve">General comments </w:t>
      </w:r>
    </w:p>
    <w:p w14:paraId="3660BE46" w14:textId="3304AF91" w:rsidR="00C86E24" w:rsidRPr="009F6D0A" w:rsidRDefault="00B6062B" w:rsidP="00921CB9">
      <w:pPr>
        <w:spacing w:before="120" w:after="120"/>
        <w:rPr>
          <w:rFonts w:ascii="Open Sans" w:hAnsi="Open Sans" w:cs="Open Sans"/>
          <w:szCs w:val="22"/>
        </w:rPr>
      </w:pPr>
      <w:r w:rsidRPr="009F6D0A">
        <w:rPr>
          <w:rFonts w:ascii="Open Sans" w:hAnsi="Open Sans" w:cs="Open Sans"/>
          <w:szCs w:val="22"/>
        </w:rPr>
        <w:t xml:space="preserve">Overall, the </w:t>
      </w:r>
      <w:r w:rsidR="002607AB" w:rsidRPr="009F6D0A">
        <w:rPr>
          <w:rFonts w:ascii="Open Sans" w:hAnsi="Open Sans" w:cs="Open Sans"/>
          <w:szCs w:val="22"/>
        </w:rPr>
        <w:t>REA welcome</w:t>
      </w:r>
      <w:r w:rsidRPr="009F6D0A">
        <w:rPr>
          <w:rFonts w:ascii="Open Sans" w:hAnsi="Open Sans" w:cs="Open Sans"/>
          <w:szCs w:val="22"/>
        </w:rPr>
        <w:t xml:space="preserve"> BEIS</w:t>
      </w:r>
      <w:r w:rsidR="000F7B34" w:rsidRPr="009F6D0A">
        <w:rPr>
          <w:rFonts w:ascii="Open Sans" w:hAnsi="Open Sans" w:cs="Open Sans"/>
          <w:szCs w:val="22"/>
        </w:rPr>
        <w:t>’s</w:t>
      </w:r>
      <w:r w:rsidRPr="009F6D0A">
        <w:rPr>
          <w:rFonts w:ascii="Open Sans" w:hAnsi="Open Sans" w:cs="Open Sans"/>
          <w:szCs w:val="22"/>
        </w:rPr>
        <w:t xml:space="preserve"> proposals to introduce a Green Gas Levy as a mechanism to fund the Green Gas Support Scheme</w:t>
      </w:r>
      <w:r w:rsidR="00F07753" w:rsidRPr="009F6D0A">
        <w:rPr>
          <w:rFonts w:ascii="Open Sans" w:hAnsi="Open Sans" w:cs="Open Sans"/>
          <w:szCs w:val="22"/>
        </w:rPr>
        <w:t xml:space="preserve"> (GGSS)</w:t>
      </w:r>
      <w:r w:rsidR="00C86E24" w:rsidRPr="009F6D0A">
        <w:rPr>
          <w:rFonts w:ascii="Open Sans" w:hAnsi="Open Sans" w:cs="Open Sans"/>
          <w:szCs w:val="22"/>
        </w:rPr>
        <w:t xml:space="preserve">, as this will contribute to </w:t>
      </w:r>
      <w:r w:rsidR="000F7B34" w:rsidRPr="009F6D0A">
        <w:rPr>
          <w:rFonts w:ascii="Open Sans" w:hAnsi="Open Sans" w:cs="Open Sans"/>
          <w:szCs w:val="22"/>
        </w:rPr>
        <w:t xml:space="preserve">the </w:t>
      </w:r>
      <w:r w:rsidR="00C86E24" w:rsidRPr="009F6D0A">
        <w:rPr>
          <w:rFonts w:ascii="Open Sans" w:hAnsi="Open Sans" w:cs="Open Sans"/>
          <w:szCs w:val="22"/>
        </w:rPr>
        <w:t>deliver</w:t>
      </w:r>
      <w:r w:rsidR="000F7B34" w:rsidRPr="009F6D0A">
        <w:rPr>
          <w:rFonts w:ascii="Open Sans" w:hAnsi="Open Sans" w:cs="Open Sans"/>
          <w:szCs w:val="22"/>
        </w:rPr>
        <w:t>y of</w:t>
      </w:r>
      <w:r w:rsidR="00C86E24" w:rsidRPr="009F6D0A">
        <w:rPr>
          <w:rFonts w:ascii="Open Sans" w:hAnsi="Open Sans" w:cs="Open Sans"/>
          <w:szCs w:val="22"/>
        </w:rPr>
        <w:t xml:space="preserve"> more green gas </w:t>
      </w:r>
      <w:r w:rsidR="00A510F6" w:rsidRPr="009F6D0A">
        <w:rPr>
          <w:rFonts w:ascii="Open Sans" w:hAnsi="Open Sans" w:cs="Open Sans"/>
          <w:szCs w:val="22"/>
        </w:rPr>
        <w:t xml:space="preserve">into the </w:t>
      </w:r>
      <w:r w:rsidR="00F07753" w:rsidRPr="009F6D0A">
        <w:rPr>
          <w:rFonts w:ascii="Open Sans" w:hAnsi="Open Sans" w:cs="Open Sans"/>
          <w:szCs w:val="22"/>
        </w:rPr>
        <w:t>grid</w:t>
      </w:r>
      <w:r w:rsidR="00A510F6" w:rsidRPr="009F6D0A">
        <w:rPr>
          <w:rFonts w:ascii="Open Sans" w:hAnsi="Open Sans" w:cs="Open Sans"/>
          <w:szCs w:val="22"/>
        </w:rPr>
        <w:t xml:space="preserve"> </w:t>
      </w:r>
      <w:r w:rsidR="00C86E24" w:rsidRPr="009F6D0A">
        <w:rPr>
          <w:rFonts w:ascii="Open Sans" w:hAnsi="Open Sans" w:cs="Open Sans"/>
          <w:szCs w:val="22"/>
        </w:rPr>
        <w:t>and</w:t>
      </w:r>
      <w:r w:rsidR="00A510F6" w:rsidRPr="009F6D0A">
        <w:rPr>
          <w:rFonts w:ascii="Open Sans" w:hAnsi="Open Sans" w:cs="Open Sans"/>
          <w:szCs w:val="22"/>
        </w:rPr>
        <w:t xml:space="preserve"> help</w:t>
      </w:r>
      <w:r w:rsidR="00C86E24" w:rsidRPr="009F6D0A">
        <w:rPr>
          <w:rFonts w:ascii="Open Sans" w:hAnsi="Open Sans" w:cs="Open Sans"/>
          <w:szCs w:val="22"/>
        </w:rPr>
        <w:t xml:space="preserve"> decarbonise </w:t>
      </w:r>
      <w:r w:rsidR="00A510F6" w:rsidRPr="009F6D0A">
        <w:rPr>
          <w:rFonts w:ascii="Open Sans" w:hAnsi="Open Sans" w:cs="Open Sans"/>
          <w:szCs w:val="22"/>
        </w:rPr>
        <w:t>it</w:t>
      </w:r>
      <w:r w:rsidR="00C86E24" w:rsidRPr="009F6D0A">
        <w:rPr>
          <w:rFonts w:ascii="Open Sans" w:hAnsi="Open Sans" w:cs="Open Sans"/>
          <w:szCs w:val="22"/>
        </w:rPr>
        <w:t xml:space="preserve">. </w:t>
      </w:r>
    </w:p>
    <w:p w14:paraId="2583E448" w14:textId="22AEA187" w:rsidR="00A97245" w:rsidRPr="009F6D0A" w:rsidRDefault="00F07753" w:rsidP="003A7FC0">
      <w:pPr>
        <w:spacing w:before="120" w:after="120"/>
        <w:rPr>
          <w:rFonts w:ascii="Open Sans" w:hAnsi="Open Sans" w:cs="Open Sans"/>
          <w:szCs w:val="22"/>
        </w:rPr>
      </w:pPr>
      <w:r w:rsidRPr="009F6D0A">
        <w:rPr>
          <w:rFonts w:ascii="Open Sans" w:hAnsi="Open Sans" w:cs="Open Sans"/>
          <w:szCs w:val="22"/>
          <w:lang w:eastAsia="en-GB"/>
        </w:rPr>
        <w:t xml:space="preserve">According to the energy suppliers </w:t>
      </w:r>
      <w:r w:rsidR="00A470D5" w:rsidRPr="009F6D0A">
        <w:rPr>
          <w:rFonts w:ascii="Open Sans" w:hAnsi="Open Sans" w:cs="Open Sans"/>
          <w:szCs w:val="22"/>
          <w:lang w:eastAsia="en-GB"/>
        </w:rPr>
        <w:t>t</w:t>
      </w:r>
      <w:r w:rsidR="00702A9A" w:rsidRPr="009F6D0A">
        <w:rPr>
          <w:rFonts w:ascii="Open Sans" w:hAnsi="Open Sans" w:cs="Open Sans"/>
          <w:szCs w:val="22"/>
          <w:lang w:eastAsia="en-GB"/>
        </w:rPr>
        <w:t xml:space="preserve">he </w:t>
      </w:r>
      <w:r w:rsidRPr="009F6D0A">
        <w:rPr>
          <w:rFonts w:ascii="Open Sans" w:hAnsi="Open Sans" w:cs="Open Sans"/>
          <w:szCs w:val="22"/>
          <w:lang w:eastAsia="en-GB"/>
        </w:rPr>
        <w:t xml:space="preserve">REA has spoken to, </w:t>
      </w:r>
      <w:r w:rsidR="00A97245" w:rsidRPr="009F6D0A">
        <w:rPr>
          <w:rFonts w:ascii="Open Sans" w:hAnsi="Open Sans" w:cs="Open Sans"/>
          <w:szCs w:val="22"/>
          <w:lang w:eastAsia="en-GB"/>
        </w:rPr>
        <w:t xml:space="preserve">placing a levy on gas bills </w:t>
      </w:r>
      <w:r w:rsidRPr="009F6D0A">
        <w:rPr>
          <w:rFonts w:ascii="Open Sans" w:hAnsi="Open Sans" w:cs="Open Sans"/>
          <w:szCs w:val="22"/>
          <w:lang w:eastAsia="en-GB"/>
        </w:rPr>
        <w:t>is a positive step forward</w:t>
      </w:r>
      <w:r w:rsidR="008E4A1B" w:rsidRPr="009F6D0A">
        <w:rPr>
          <w:rFonts w:ascii="Open Sans" w:hAnsi="Open Sans" w:cs="Open Sans"/>
          <w:szCs w:val="22"/>
          <w:lang w:eastAsia="en-GB"/>
        </w:rPr>
        <w:t xml:space="preserve"> and as a useful stopgap</w:t>
      </w:r>
      <w:r w:rsidR="00622AF2" w:rsidRPr="009F6D0A">
        <w:rPr>
          <w:rFonts w:ascii="Open Sans" w:hAnsi="Open Sans" w:cs="Open Sans"/>
          <w:szCs w:val="22"/>
          <w:lang w:eastAsia="en-GB"/>
        </w:rPr>
        <w:t xml:space="preserve">, transitional </w:t>
      </w:r>
      <w:r w:rsidR="008E4A1B" w:rsidRPr="009F6D0A">
        <w:rPr>
          <w:rFonts w:ascii="Open Sans" w:hAnsi="Open Sans" w:cs="Open Sans"/>
          <w:szCs w:val="22"/>
          <w:lang w:eastAsia="en-GB"/>
        </w:rPr>
        <w:t>measure, though more substantial and bold</w:t>
      </w:r>
      <w:r w:rsidR="00950147" w:rsidRPr="009F6D0A">
        <w:rPr>
          <w:rFonts w:ascii="Open Sans" w:hAnsi="Open Sans" w:cs="Open Sans"/>
          <w:szCs w:val="22"/>
          <w:lang w:eastAsia="en-GB"/>
        </w:rPr>
        <w:t>er</w:t>
      </w:r>
      <w:r w:rsidR="008E4A1B" w:rsidRPr="009F6D0A">
        <w:rPr>
          <w:rFonts w:ascii="Open Sans" w:hAnsi="Open Sans" w:cs="Open Sans"/>
          <w:szCs w:val="22"/>
          <w:lang w:eastAsia="en-GB"/>
        </w:rPr>
        <w:t xml:space="preserve"> </w:t>
      </w:r>
      <w:r w:rsidR="008E4A1B" w:rsidRPr="009F6D0A">
        <w:rPr>
          <w:rFonts w:ascii="Open Sans" w:hAnsi="Open Sans" w:cs="Open Sans"/>
          <w:szCs w:val="22"/>
        </w:rPr>
        <w:t xml:space="preserve">initiatives will </w:t>
      </w:r>
      <w:r w:rsidR="00950147" w:rsidRPr="009F6D0A">
        <w:rPr>
          <w:rFonts w:ascii="Open Sans" w:hAnsi="Open Sans" w:cs="Open Sans"/>
          <w:szCs w:val="22"/>
        </w:rPr>
        <w:t>be needed</w:t>
      </w:r>
      <w:r w:rsidR="008E4A1B" w:rsidRPr="009F6D0A">
        <w:rPr>
          <w:rFonts w:ascii="Open Sans" w:hAnsi="Open Sans" w:cs="Open Sans"/>
          <w:szCs w:val="22"/>
        </w:rPr>
        <w:t xml:space="preserve"> to drive </w:t>
      </w:r>
      <w:r w:rsidR="007502FD" w:rsidRPr="009F6D0A">
        <w:rPr>
          <w:rFonts w:ascii="Open Sans" w:hAnsi="Open Sans" w:cs="Open Sans"/>
          <w:szCs w:val="22"/>
        </w:rPr>
        <w:t>heat</w:t>
      </w:r>
      <w:r w:rsidR="00950147" w:rsidRPr="009F6D0A">
        <w:rPr>
          <w:rFonts w:ascii="Open Sans" w:hAnsi="Open Sans" w:cs="Open Sans"/>
          <w:szCs w:val="22"/>
        </w:rPr>
        <w:t xml:space="preserve"> </w:t>
      </w:r>
      <w:r w:rsidR="008E4A1B" w:rsidRPr="009F6D0A">
        <w:rPr>
          <w:rFonts w:ascii="Open Sans" w:hAnsi="Open Sans" w:cs="Open Sans"/>
          <w:szCs w:val="22"/>
        </w:rPr>
        <w:t xml:space="preserve">decarbonisation. </w:t>
      </w:r>
      <w:r w:rsidR="00950147" w:rsidRPr="009F6D0A">
        <w:rPr>
          <w:rFonts w:ascii="Open Sans" w:hAnsi="Open Sans" w:cs="Open Sans"/>
          <w:szCs w:val="22"/>
        </w:rPr>
        <w:t>C</w:t>
      </w:r>
      <w:r w:rsidR="00A97245" w:rsidRPr="009F6D0A">
        <w:rPr>
          <w:rFonts w:ascii="Open Sans" w:hAnsi="Open Sans" w:cs="Open Sans"/>
          <w:szCs w:val="22"/>
        </w:rPr>
        <w:t>urrently most green levies are</w:t>
      </w:r>
      <w:r w:rsidR="00C16F66" w:rsidRPr="009F6D0A">
        <w:rPr>
          <w:rFonts w:ascii="Open Sans" w:hAnsi="Open Sans" w:cs="Open Sans"/>
          <w:szCs w:val="22"/>
        </w:rPr>
        <w:t xml:space="preserve"> being</w:t>
      </w:r>
      <w:r w:rsidR="00A97245" w:rsidRPr="009F6D0A">
        <w:rPr>
          <w:rFonts w:ascii="Open Sans" w:hAnsi="Open Sans" w:cs="Open Sans"/>
          <w:szCs w:val="22"/>
        </w:rPr>
        <w:t xml:space="preserve"> passed on to electricity bills</w:t>
      </w:r>
      <w:r w:rsidR="00384175" w:rsidRPr="009F6D0A">
        <w:rPr>
          <w:rFonts w:ascii="Open Sans" w:hAnsi="Open Sans" w:cs="Open Sans"/>
          <w:szCs w:val="22"/>
        </w:rPr>
        <w:t>, making the cost of electricity much higher than gas</w:t>
      </w:r>
      <w:r w:rsidR="00A97245" w:rsidRPr="009F6D0A">
        <w:rPr>
          <w:rFonts w:ascii="Open Sans" w:hAnsi="Open Sans" w:cs="Open Sans"/>
          <w:szCs w:val="22"/>
        </w:rPr>
        <w:t>, even though electricity is greener</w:t>
      </w:r>
      <w:r w:rsidR="00384175" w:rsidRPr="009F6D0A">
        <w:rPr>
          <w:rFonts w:ascii="Open Sans" w:hAnsi="Open Sans" w:cs="Open Sans"/>
          <w:szCs w:val="22"/>
        </w:rPr>
        <w:t xml:space="preserve">. </w:t>
      </w:r>
      <w:r w:rsidR="00622AF2" w:rsidRPr="009F6D0A">
        <w:rPr>
          <w:rFonts w:ascii="Open Sans" w:hAnsi="Open Sans" w:cs="Open Sans"/>
          <w:szCs w:val="22"/>
        </w:rPr>
        <w:t>L</w:t>
      </w:r>
      <w:r w:rsidR="00702A9A" w:rsidRPr="009F6D0A">
        <w:rPr>
          <w:rFonts w:ascii="Open Sans" w:hAnsi="Open Sans" w:cs="Open Sans"/>
          <w:szCs w:val="22"/>
        </w:rPr>
        <w:t>evies on gas bills could help rebalance the costs between gas and electricity</w:t>
      </w:r>
      <w:r w:rsidR="00622AF2" w:rsidRPr="009F6D0A">
        <w:rPr>
          <w:rFonts w:ascii="Open Sans" w:hAnsi="Open Sans" w:cs="Open Sans"/>
          <w:szCs w:val="22"/>
        </w:rPr>
        <w:t xml:space="preserve">. </w:t>
      </w:r>
      <w:r w:rsidR="00EE6BE1" w:rsidRPr="009F6D0A">
        <w:rPr>
          <w:rFonts w:ascii="Open Sans" w:hAnsi="Open Sans" w:cs="Open Sans"/>
          <w:szCs w:val="22"/>
        </w:rPr>
        <w:t xml:space="preserve"> </w:t>
      </w:r>
    </w:p>
    <w:p w14:paraId="65B00B5A" w14:textId="7FFBB2EB" w:rsidR="003A7FC0" w:rsidRPr="009F6D0A" w:rsidRDefault="000F7B34" w:rsidP="003A7FC0">
      <w:pPr>
        <w:spacing w:before="120" w:after="120"/>
        <w:rPr>
          <w:rFonts w:ascii="Open Sans" w:hAnsi="Open Sans" w:cs="Open Sans"/>
          <w:szCs w:val="22"/>
        </w:rPr>
      </w:pPr>
      <w:r w:rsidRPr="009F6D0A">
        <w:rPr>
          <w:rFonts w:ascii="Open Sans" w:hAnsi="Open Sans" w:cs="Open Sans"/>
          <w:szCs w:val="22"/>
        </w:rPr>
        <w:t xml:space="preserve">The </w:t>
      </w:r>
      <w:r w:rsidR="003A7FC0" w:rsidRPr="009F6D0A">
        <w:rPr>
          <w:rFonts w:ascii="Open Sans" w:hAnsi="Open Sans" w:cs="Open Sans"/>
          <w:szCs w:val="22"/>
        </w:rPr>
        <w:t>BEIS proposals are workable and identify the methods of business planning to accommodate levy payments.</w:t>
      </w:r>
    </w:p>
    <w:p w14:paraId="39623D97" w14:textId="0B85275C" w:rsidR="00DE2F71" w:rsidRPr="009F6D0A" w:rsidRDefault="00EE6BE1" w:rsidP="00F07753">
      <w:pPr>
        <w:spacing w:before="120" w:after="120"/>
        <w:rPr>
          <w:rFonts w:ascii="Open Sans" w:hAnsi="Open Sans" w:cs="Open Sans"/>
          <w:szCs w:val="22"/>
        </w:rPr>
      </w:pPr>
      <w:r w:rsidRPr="009F6D0A">
        <w:rPr>
          <w:rFonts w:ascii="Open Sans" w:hAnsi="Open Sans" w:cs="Open Sans"/>
          <w:szCs w:val="22"/>
        </w:rPr>
        <w:t>Energy supplier members of the REA</w:t>
      </w:r>
      <w:r w:rsidR="00702A9A" w:rsidRPr="009F6D0A">
        <w:rPr>
          <w:rFonts w:ascii="Open Sans" w:hAnsi="Open Sans" w:cs="Open Sans"/>
          <w:szCs w:val="22"/>
        </w:rPr>
        <w:t xml:space="preserve"> </w:t>
      </w:r>
      <w:r w:rsidR="00F07753" w:rsidRPr="009F6D0A">
        <w:rPr>
          <w:rFonts w:ascii="Open Sans" w:hAnsi="Open Sans" w:cs="Open Sans"/>
          <w:szCs w:val="22"/>
        </w:rPr>
        <w:t xml:space="preserve">are supportive of the levy, but </w:t>
      </w:r>
      <w:r w:rsidR="00F07753" w:rsidRPr="009F6D0A">
        <w:rPr>
          <w:rFonts w:ascii="Open Sans" w:hAnsi="Open Sans" w:cs="Open Sans"/>
          <w:b/>
          <w:bCs/>
          <w:szCs w:val="22"/>
        </w:rPr>
        <w:t xml:space="preserve">don’t agree with the </w:t>
      </w:r>
      <w:r w:rsidR="00702A9A" w:rsidRPr="009F6D0A">
        <w:rPr>
          <w:rFonts w:ascii="Open Sans" w:hAnsi="Open Sans" w:cs="Open Sans"/>
          <w:b/>
          <w:bCs/>
          <w:szCs w:val="22"/>
        </w:rPr>
        <w:t xml:space="preserve">fact that </w:t>
      </w:r>
      <w:r w:rsidRPr="009F6D0A">
        <w:rPr>
          <w:rFonts w:ascii="Open Sans" w:hAnsi="Open Sans" w:cs="Open Sans"/>
          <w:b/>
          <w:bCs/>
          <w:szCs w:val="22"/>
        </w:rPr>
        <w:t xml:space="preserve">it has been set out as a </w:t>
      </w:r>
      <w:r w:rsidR="00F07753" w:rsidRPr="009F6D0A">
        <w:rPr>
          <w:rFonts w:ascii="Open Sans" w:hAnsi="Open Sans" w:cs="Open Sans"/>
          <w:b/>
          <w:bCs/>
          <w:szCs w:val="22"/>
        </w:rPr>
        <w:t>regressive</w:t>
      </w:r>
      <w:r w:rsidRPr="009F6D0A">
        <w:rPr>
          <w:rFonts w:ascii="Open Sans" w:hAnsi="Open Sans" w:cs="Open Sans"/>
          <w:b/>
          <w:bCs/>
          <w:szCs w:val="22"/>
        </w:rPr>
        <w:t xml:space="preserve"> levy</w:t>
      </w:r>
      <w:r w:rsidR="000F7B34" w:rsidRPr="009F6D0A">
        <w:rPr>
          <w:rFonts w:ascii="Open Sans" w:hAnsi="Open Sans" w:cs="Open Sans"/>
          <w:b/>
          <w:bCs/>
          <w:szCs w:val="22"/>
        </w:rPr>
        <w:t xml:space="preserve"> (</w:t>
      </w:r>
      <w:proofErr w:type="spellStart"/>
      <w:r w:rsidR="000F7B34" w:rsidRPr="009F6D0A">
        <w:rPr>
          <w:rFonts w:ascii="Open Sans" w:hAnsi="Open Sans" w:cs="Open Sans"/>
          <w:b/>
          <w:bCs/>
          <w:szCs w:val="22"/>
        </w:rPr>
        <w:t>ie</w:t>
      </w:r>
      <w:proofErr w:type="spellEnd"/>
      <w:r w:rsidR="000F7B34" w:rsidRPr="009F6D0A">
        <w:rPr>
          <w:rFonts w:ascii="Open Sans" w:hAnsi="Open Sans" w:cs="Open Sans"/>
          <w:b/>
          <w:bCs/>
          <w:szCs w:val="22"/>
        </w:rPr>
        <w:t xml:space="preserve"> applying at a flat rate regardless of usage)</w:t>
      </w:r>
      <w:r w:rsidR="00702A9A" w:rsidRPr="009F6D0A">
        <w:rPr>
          <w:rFonts w:ascii="Open Sans" w:hAnsi="Open Sans" w:cs="Open Sans"/>
          <w:b/>
          <w:bCs/>
          <w:szCs w:val="22"/>
        </w:rPr>
        <w:t xml:space="preserve">, as </w:t>
      </w:r>
      <w:r w:rsidR="00F07753" w:rsidRPr="009F6D0A">
        <w:rPr>
          <w:rFonts w:ascii="Open Sans" w:hAnsi="Open Sans" w:cs="Open Sans"/>
          <w:b/>
          <w:bCs/>
          <w:szCs w:val="22"/>
        </w:rPr>
        <w:t>this will place the most vulnerable</w:t>
      </w:r>
      <w:r w:rsidRPr="009F6D0A">
        <w:rPr>
          <w:rFonts w:ascii="Open Sans" w:hAnsi="Open Sans" w:cs="Open Sans"/>
          <w:b/>
          <w:bCs/>
          <w:szCs w:val="22"/>
        </w:rPr>
        <w:t xml:space="preserve"> or the smallest</w:t>
      </w:r>
      <w:r w:rsidR="00F07753" w:rsidRPr="009F6D0A">
        <w:rPr>
          <w:rFonts w:ascii="Open Sans" w:hAnsi="Open Sans" w:cs="Open Sans"/>
          <w:b/>
          <w:bCs/>
          <w:szCs w:val="22"/>
        </w:rPr>
        <w:t xml:space="preserve"> consumers at disadvantage. </w:t>
      </w:r>
      <w:r w:rsidR="00F07753" w:rsidRPr="009F6D0A">
        <w:rPr>
          <w:rFonts w:ascii="Open Sans" w:hAnsi="Open Sans" w:cs="Open Sans"/>
          <w:szCs w:val="22"/>
        </w:rPr>
        <w:t xml:space="preserve">If technical challenges can be overcome, these suppliers would support an immediate move to a volumetric approach, </w:t>
      </w:r>
      <w:r w:rsidRPr="009F6D0A">
        <w:rPr>
          <w:rFonts w:ascii="Open Sans" w:hAnsi="Open Sans" w:cs="Open Sans"/>
          <w:szCs w:val="22"/>
        </w:rPr>
        <w:t xml:space="preserve">or at least a tiered one in the first place, </w:t>
      </w:r>
      <w:r w:rsidR="00702A9A" w:rsidRPr="009F6D0A">
        <w:rPr>
          <w:rFonts w:ascii="Open Sans" w:hAnsi="Open Sans" w:cs="Open Sans"/>
          <w:szCs w:val="22"/>
        </w:rPr>
        <w:t>which</w:t>
      </w:r>
      <w:r w:rsidR="00F07753" w:rsidRPr="009F6D0A">
        <w:rPr>
          <w:rFonts w:ascii="Open Sans" w:hAnsi="Open Sans" w:cs="Open Sans"/>
          <w:szCs w:val="22"/>
        </w:rPr>
        <w:t xml:space="preserve"> would not affect negatively the smaller and most vulnerable consumers. If a volumetric approach is not possible immediately, then </w:t>
      </w:r>
      <w:r w:rsidRPr="009F6D0A">
        <w:rPr>
          <w:rFonts w:ascii="Open Sans" w:hAnsi="Open Sans" w:cs="Open Sans"/>
          <w:szCs w:val="22"/>
        </w:rPr>
        <w:t xml:space="preserve">they agree </w:t>
      </w:r>
      <w:r w:rsidR="00F07753" w:rsidRPr="009F6D0A">
        <w:rPr>
          <w:rFonts w:ascii="Open Sans" w:hAnsi="Open Sans" w:cs="Open Sans"/>
          <w:szCs w:val="22"/>
        </w:rPr>
        <w:t xml:space="preserve">this should </w:t>
      </w:r>
      <w:r w:rsidRPr="009F6D0A">
        <w:rPr>
          <w:rFonts w:ascii="Open Sans" w:hAnsi="Open Sans" w:cs="Open Sans"/>
          <w:szCs w:val="22"/>
        </w:rPr>
        <w:t>be</w:t>
      </w:r>
      <w:r w:rsidR="00F07753" w:rsidRPr="009F6D0A">
        <w:rPr>
          <w:rFonts w:ascii="Open Sans" w:hAnsi="Open Sans" w:cs="Open Sans"/>
          <w:szCs w:val="22"/>
        </w:rPr>
        <w:t xml:space="preserve"> the end goal</w:t>
      </w:r>
      <w:r w:rsidR="00DE2F71" w:rsidRPr="009F6D0A">
        <w:rPr>
          <w:rFonts w:ascii="Open Sans" w:hAnsi="Open Sans" w:cs="Open Sans"/>
          <w:szCs w:val="22"/>
        </w:rPr>
        <w:t xml:space="preserve"> for BEIS. </w:t>
      </w:r>
    </w:p>
    <w:p w14:paraId="359D0FDC" w14:textId="51A02C45" w:rsidR="000F7B34" w:rsidRPr="009F6D0A" w:rsidRDefault="006A0C40" w:rsidP="00921CB9">
      <w:pPr>
        <w:spacing w:before="120" w:after="120"/>
        <w:rPr>
          <w:rFonts w:ascii="Open Sans" w:hAnsi="Open Sans" w:cs="Open Sans"/>
          <w:szCs w:val="22"/>
        </w:rPr>
      </w:pPr>
      <w:r>
        <w:rPr>
          <w:rFonts w:ascii="Open Sans" w:hAnsi="Open Sans" w:cs="Open Sans"/>
          <w:szCs w:val="22"/>
        </w:rPr>
        <w:t xml:space="preserve">Industry </w:t>
      </w:r>
      <w:r w:rsidR="00225213">
        <w:rPr>
          <w:rFonts w:ascii="Open Sans" w:hAnsi="Open Sans" w:cs="Open Sans"/>
          <w:szCs w:val="22"/>
        </w:rPr>
        <w:t xml:space="preserve">believes that </w:t>
      </w:r>
      <w:r w:rsidR="00A510F6" w:rsidRPr="009F6D0A">
        <w:rPr>
          <w:rFonts w:ascii="Open Sans" w:hAnsi="Open Sans" w:cs="Open Sans"/>
          <w:szCs w:val="22"/>
        </w:rPr>
        <w:t xml:space="preserve">passing costs on to consumers </w:t>
      </w:r>
      <w:r w:rsidR="001D67C5">
        <w:rPr>
          <w:rFonts w:ascii="Open Sans" w:hAnsi="Open Sans" w:cs="Open Sans"/>
          <w:szCs w:val="22"/>
        </w:rPr>
        <w:t xml:space="preserve">can be </w:t>
      </w:r>
      <w:r w:rsidR="00BC1279">
        <w:rPr>
          <w:rFonts w:ascii="Open Sans" w:hAnsi="Open Sans" w:cs="Open Sans"/>
          <w:szCs w:val="22"/>
        </w:rPr>
        <w:t xml:space="preserve">better </w:t>
      </w:r>
      <w:r w:rsidR="001D67C5">
        <w:rPr>
          <w:rFonts w:ascii="Open Sans" w:hAnsi="Open Sans" w:cs="Open Sans"/>
          <w:szCs w:val="22"/>
        </w:rPr>
        <w:t xml:space="preserve">justified </w:t>
      </w:r>
      <w:r w:rsidR="00D546D9" w:rsidRPr="009F6D0A">
        <w:rPr>
          <w:rFonts w:ascii="Open Sans" w:hAnsi="Open Sans" w:cs="Open Sans"/>
          <w:szCs w:val="22"/>
        </w:rPr>
        <w:t xml:space="preserve">if the </w:t>
      </w:r>
      <w:r w:rsidR="00A510F6" w:rsidRPr="009F6D0A">
        <w:rPr>
          <w:rFonts w:ascii="Open Sans" w:hAnsi="Open Sans" w:cs="Open Sans"/>
          <w:szCs w:val="22"/>
        </w:rPr>
        <w:t xml:space="preserve">future </w:t>
      </w:r>
      <w:r w:rsidR="00D546D9" w:rsidRPr="009F6D0A">
        <w:rPr>
          <w:rFonts w:ascii="Open Sans" w:hAnsi="Open Sans" w:cs="Open Sans"/>
          <w:szCs w:val="22"/>
        </w:rPr>
        <w:t xml:space="preserve">scheme </w:t>
      </w:r>
      <w:r w:rsidR="007F0407" w:rsidRPr="009F6D0A">
        <w:rPr>
          <w:rFonts w:ascii="Open Sans" w:hAnsi="Open Sans" w:cs="Open Sans"/>
          <w:szCs w:val="22"/>
        </w:rPr>
        <w:t>delivers</w:t>
      </w:r>
      <w:r w:rsidR="00D546D9" w:rsidRPr="009F6D0A">
        <w:rPr>
          <w:rFonts w:ascii="Open Sans" w:hAnsi="Open Sans" w:cs="Open Sans"/>
          <w:szCs w:val="22"/>
        </w:rPr>
        <w:t xml:space="preserve"> a real impact on decarbonising the gas grid. </w:t>
      </w:r>
      <w:r w:rsidR="00A510F6" w:rsidRPr="009F6D0A">
        <w:rPr>
          <w:rFonts w:ascii="Open Sans" w:hAnsi="Open Sans" w:cs="Open Sans"/>
          <w:szCs w:val="22"/>
        </w:rPr>
        <w:t xml:space="preserve">In our view, </w:t>
      </w:r>
      <w:r w:rsidR="00A510F6" w:rsidRPr="009F6D0A">
        <w:rPr>
          <w:rFonts w:ascii="Open Sans" w:hAnsi="Open Sans" w:cs="Open Sans"/>
          <w:b/>
          <w:bCs/>
          <w:szCs w:val="22"/>
        </w:rPr>
        <w:t>t</w:t>
      </w:r>
      <w:r w:rsidR="00D546D9" w:rsidRPr="009F6D0A">
        <w:rPr>
          <w:rFonts w:ascii="Open Sans" w:hAnsi="Open Sans" w:cs="Open Sans"/>
          <w:b/>
          <w:bCs/>
          <w:szCs w:val="22"/>
        </w:rPr>
        <w:t>he proposals set out earlier this year by BEIS to deliver 2.</w:t>
      </w:r>
      <w:r w:rsidR="00A510F6" w:rsidRPr="009F6D0A">
        <w:rPr>
          <w:rFonts w:ascii="Open Sans" w:hAnsi="Open Sans" w:cs="Open Sans"/>
          <w:b/>
          <w:bCs/>
          <w:szCs w:val="22"/>
        </w:rPr>
        <w:t>8</w:t>
      </w:r>
      <w:r w:rsidR="00D546D9" w:rsidRPr="009F6D0A">
        <w:rPr>
          <w:rFonts w:ascii="Open Sans" w:hAnsi="Open Sans" w:cs="Open Sans"/>
          <w:b/>
          <w:bCs/>
          <w:szCs w:val="22"/>
        </w:rPr>
        <w:t xml:space="preserve"> </w:t>
      </w:r>
      <w:proofErr w:type="spellStart"/>
      <w:r w:rsidR="00D546D9" w:rsidRPr="009F6D0A">
        <w:rPr>
          <w:rFonts w:ascii="Open Sans" w:hAnsi="Open Sans" w:cs="Open Sans"/>
          <w:b/>
          <w:bCs/>
          <w:szCs w:val="22"/>
        </w:rPr>
        <w:t>TWh</w:t>
      </w:r>
      <w:proofErr w:type="spellEnd"/>
      <w:r w:rsidR="00D546D9" w:rsidRPr="009F6D0A">
        <w:rPr>
          <w:rFonts w:ascii="Open Sans" w:hAnsi="Open Sans" w:cs="Open Sans"/>
          <w:b/>
          <w:bCs/>
          <w:szCs w:val="22"/>
        </w:rPr>
        <w:t xml:space="preserve"> per annum </w:t>
      </w:r>
      <w:r w:rsidR="00DA5A55" w:rsidRPr="009F6D0A">
        <w:rPr>
          <w:rFonts w:ascii="Open Sans" w:hAnsi="Open Sans" w:cs="Open Sans"/>
          <w:b/>
          <w:bCs/>
          <w:szCs w:val="22"/>
        </w:rPr>
        <w:t>of biomethane in the g</w:t>
      </w:r>
      <w:r w:rsidR="00A510F6" w:rsidRPr="009F6D0A">
        <w:rPr>
          <w:rFonts w:ascii="Open Sans" w:hAnsi="Open Sans" w:cs="Open Sans"/>
          <w:b/>
          <w:bCs/>
          <w:szCs w:val="22"/>
        </w:rPr>
        <w:t>rid</w:t>
      </w:r>
      <w:r w:rsidR="00DA5A55" w:rsidRPr="009F6D0A">
        <w:rPr>
          <w:rFonts w:ascii="Open Sans" w:hAnsi="Open Sans" w:cs="Open Sans"/>
          <w:b/>
          <w:bCs/>
          <w:szCs w:val="22"/>
        </w:rPr>
        <w:t xml:space="preserve"> </w:t>
      </w:r>
      <w:r w:rsidR="000B6D13" w:rsidRPr="009F6D0A">
        <w:rPr>
          <w:rFonts w:ascii="Open Sans" w:hAnsi="Open Sans" w:cs="Open Sans"/>
          <w:b/>
          <w:bCs/>
          <w:szCs w:val="22"/>
        </w:rPr>
        <w:t>by 2030</w:t>
      </w:r>
      <w:r w:rsidR="00EE6BE1" w:rsidRPr="009F6D0A">
        <w:rPr>
          <w:rFonts w:ascii="Open Sans" w:hAnsi="Open Sans" w:cs="Open Sans"/>
          <w:b/>
          <w:bCs/>
          <w:szCs w:val="22"/>
        </w:rPr>
        <w:t xml:space="preserve">, under the GGSS, </w:t>
      </w:r>
      <w:r w:rsidR="00702A9A" w:rsidRPr="009F6D0A">
        <w:rPr>
          <w:rFonts w:ascii="Open Sans" w:hAnsi="Open Sans" w:cs="Open Sans"/>
          <w:b/>
          <w:bCs/>
          <w:szCs w:val="22"/>
        </w:rPr>
        <w:t>do not</w:t>
      </w:r>
      <w:r w:rsidR="00D546D9" w:rsidRPr="009F6D0A">
        <w:rPr>
          <w:rFonts w:ascii="Open Sans" w:hAnsi="Open Sans" w:cs="Open Sans"/>
          <w:b/>
          <w:bCs/>
          <w:szCs w:val="22"/>
        </w:rPr>
        <w:t xml:space="preserve"> go far enough</w:t>
      </w:r>
      <w:r w:rsidR="00D546D9" w:rsidRPr="009F6D0A">
        <w:rPr>
          <w:rFonts w:ascii="Open Sans" w:hAnsi="Open Sans" w:cs="Open Sans"/>
          <w:szCs w:val="22"/>
        </w:rPr>
        <w:t xml:space="preserve">. The potential for green gas production and injection in the grid </w:t>
      </w:r>
      <w:proofErr w:type="gramStart"/>
      <w:r w:rsidR="00D546D9" w:rsidRPr="009F6D0A">
        <w:rPr>
          <w:rFonts w:ascii="Open Sans" w:hAnsi="Open Sans" w:cs="Open Sans"/>
          <w:szCs w:val="22"/>
        </w:rPr>
        <w:t xml:space="preserve">is </w:t>
      </w:r>
      <w:r w:rsidR="00EE6BE1" w:rsidRPr="009F6D0A">
        <w:rPr>
          <w:rFonts w:ascii="Open Sans" w:hAnsi="Open Sans" w:cs="Open Sans"/>
          <w:szCs w:val="22"/>
        </w:rPr>
        <w:t>considered to be</w:t>
      </w:r>
      <w:proofErr w:type="gramEnd"/>
      <w:r w:rsidR="00A97245" w:rsidRPr="009F6D0A">
        <w:rPr>
          <w:rFonts w:ascii="Open Sans" w:hAnsi="Open Sans" w:cs="Open Sans"/>
          <w:szCs w:val="22"/>
        </w:rPr>
        <w:t xml:space="preserve"> </w:t>
      </w:r>
      <w:r w:rsidR="00D546D9" w:rsidRPr="009F6D0A">
        <w:rPr>
          <w:rFonts w:ascii="Open Sans" w:hAnsi="Open Sans" w:cs="Open Sans"/>
          <w:szCs w:val="22"/>
        </w:rPr>
        <w:t xml:space="preserve">much greater, as estimated by </w:t>
      </w:r>
      <w:r w:rsidR="00A510F6" w:rsidRPr="009F6D0A">
        <w:rPr>
          <w:rFonts w:ascii="Open Sans" w:hAnsi="Open Sans" w:cs="Open Sans"/>
          <w:szCs w:val="22"/>
        </w:rPr>
        <w:t xml:space="preserve">a number of </w:t>
      </w:r>
      <w:r w:rsidR="00D546D9" w:rsidRPr="009F6D0A">
        <w:rPr>
          <w:rFonts w:ascii="Open Sans" w:hAnsi="Open Sans" w:cs="Open Sans"/>
          <w:szCs w:val="22"/>
        </w:rPr>
        <w:t>sources including the REA and the CCC</w:t>
      </w:r>
      <w:r w:rsidR="007F0407" w:rsidRPr="009F6D0A">
        <w:rPr>
          <w:rFonts w:ascii="Open Sans" w:hAnsi="Open Sans" w:cs="Open Sans"/>
          <w:szCs w:val="22"/>
        </w:rPr>
        <w:t xml:space="preserve"> (see table below). </w:t>
      </w:r>
    </w:p>
    <w:p w14:paraId="57964E51" w14:textId="0CA1C8B2" w:rsidR="00E73F45" w:rsidRPr="009F6D0A" w:rsidRDefault="000F7B34" w:rsidP="00921CB9">
      <w:pPr>
        <w:spacing w:before="120" w:after="120"/>
        <w:rPr>
          <w:rFonts w:ascii="Open Sans" w:hAnsi="Open Sans" w:cs="Open Sans"/>
          <w:szCs w:val="22"/>
        </w:rPr>
      </w:pPr>
      <w:r w:rsidRPr="009F6D0A">
        <w:rPr>
          <w:rFonts w:ascii="Open Sans" w:hAnsi="Open Sans" w:cs="Open Sans"/>
          <w:szCs w:val="22"/>
        </w:rPr>
        <w:t xml:space="preserve"> </w:t>
      </w:r>
      <w:r w:rsidR="007D1A1D" w:rsidRPr="009F6D0A">
        <w:rPr>
          <w:rFonts w:ascii="Open Sans" w:hAnsi="Open Sans" w:cs="Open Sans"/>
          <w:szCs w:val="22"/>
        </w:rPr>
        <w:t xml:space="preserve">Biomethane is low regret, affordable and </w:t>
      </w:r>
      <w:r w:rsidR="001F6FF7" w:rsidRPr="009F6D0A">
        <w:rPr>
          <w:rFonts w:ascii="Open Sans" w:hAnsi="Open Sans" w:cs="Open Sans"/>
          <w:szCs w:val="22"/>
        </w:rPr>
        <w:t xml:space="preserve">is key to </w:t>
      </w:r>
      <w:r w:rsidR="000B6D13" w:rsidRPr="009F6D0A">
        <w:rPr>
          <w:rFonts w:ascii="Open Sans" w:hAnsi="Open Sans" w:cs="Open Sans"/>
          <w:szCs w:val="22"/>
        </w:rPr>
        <w:t>deliver immediate GHG savings and make deep inroads into greenhouse gas emissions as the market transitions</w:t>
      </w:r>
      <w:r w:rsidR="001F6FF7" w:rsidRPr="009F6D0A">
        <w:rPr>
          <w:rFonts w:ascii="Open Sans" w:hAnsi="Open Sans" w:cs="Open Sans"/>
          <w:szCs w:val="22"/>
        </w:rPr>
        <w:t xml:space="preserve"> to a </w:t>
      </w:r>
      <w:proofErr w:type="gramStart"/>
      <w:r w:rsidR="001F6FF7" w:rsidRPr="009F6D0A">
        <w:rPr>
          <w:rFonts w:ascii="Open Sans" w:hAnsi="Open Sans" w:cs="Open Sans"/>
          <w:szCs w:val="22"/>
        </w:rPr>
        <w:t>zero carbon</w:t>
      </w:r>
      <w:proofErr w:type="gramEnd"/>
      <w:r w:rsidR="001F6FF7" w:rsidRPr="009F6D0A">
        <w:rPr>
          <w:rFonts w:ascii="Open Sans" w:hAnsi="Open Sans" w:cs="Open Sans"/>
          <w:szCs w:val="22"/>
        </w:rPr>
        <w:t xml:space="preserve"> grid. </w:t>
      </w:r>
    </w:p>
    <w:p w14:paraId="168332B0" w14:textId="77777777" w:rsidR="00E73F45" w:rsidRPr="009F6D0A" w:rsidRDefault="00E73F45" w:rsidP="00921CB9">
      <w:pPr>
        <w:spacing w:before="120" w:after="120"/>
        <w:rPr>
          <w:rFonts w:ascii="Open Sans" w:hAnsi="Open Sans" w:cs="Open Sans"/>
          <w:szCs w:val="22"/>
        </w:rPr>
      </w:pPr>
    </w:p>
    <w:p w14:paraId="4FAB2A96" w14:textId="760BDB80" w:rsidR="000B6D13" w:rsidRPr="009F6D0A" w:rsidRDefault="000B6D13" w:rsidP="00921CB9">
      <w:pPr>
        <w:spacing w:before="120" w:after="120"/>
        <w:rPr>
          <w:rFonts w:ascii="Open Sans" w:hAnsi="Open Sans" w:cs="Open Sans"/>
          <w:szCs w:val="22"/>
        </w:rPr>
      </w:pPr>
    </w:p>
    <w:p w14:paraId="2135FFD8" w14:textId="77777777" w:rsidR="007F0407" w:rsidRPr="009F6D0A" w:rsidRDefault="007F0407" w:rsidP="007F0407">
      <w:pPr>
        <w:spacing w:before="120" w:after="120"/>
        <w:rPr>
          <w:rFonts w:ascii="Open Sans" w:hAnsi="Open Sans" w:cs="Open Sans"/>
          <w:i/>
          <w:iCs/>
          <w:szCs w:val="22"/>
          <w:lang w:eastAsia="en-GB"/>
        </w:rPr>
      </w:pPr>
      <w:r w:rsidRPr="009F6D0A">
        <w:rPr>
          <w:rFonts w:ascii="Open Sans" w:hAnsi="Open Sans" w:cs="Open Sans"/>
          <w:i/>
          <w:iCs/>
          <w:szCs w:val="22"/>
          <w:lang w:eastAsia="en-GB"/>
        </w:rPr>
        <w:lastRenderedPageBreak/>
        <w:t>Recent estimates on the potential for biomethane (from AD) by 2026, 2030, and 2032 (</w:t>
      </w:r>
      <w:proofErr w:type="spellStart"/>
      <w:r w:rsidRPr="009F6D0A">
        <w:rPr>
          <w:rFonts w:ascii="Open Sans" w:hAnsi="Open Sans" w:cs="Open Sans"/>
          <w:i/>
          <w:iCs/>
          <w:szCs w:val="22"/>
          <w:lang w:eastAsia="en-GB"/>
        </w:rPr>
        <w:t>TWh</w:t>
      </w:r>
      <w:proofErr w:type="spellEnd"/>
      <w:r w:rsidRPr="009F6D0A">
        <w:rPr>
          <w:rFonts w:ascii="Open Sans" w:hAnsi="Open Sans" w:cs="Open Sans"/>
          <w:i/>
          <w:iCs/>
          <w:szCs w:val="22"/>
          <w:lang w:eastAsia="en-GB"/>
        </w:rPr>
        <w:t>/annum)</w:t>
      </w:r>
    </w:p>
    <w:tbl>
      <w:tblPr>
        <w:tblW w:w="0" w:type="auto"/>
        <w:jc w:val="center"/>
        <w:tblCellMar>
          <w:top w:w="15" w:type="dxa"/>
          <w:left w:w="15" w:type="dxa"/>
          <w:bottom w:w="15" w:type="dxa"/>
          <w:right w:w="15" w:type="dxa"/>
        </w:tblCellMar>
        <w:tblLook w:val="04A0" w:firstRow="1" w:lastRow="0" w:firstColumn="1" w:lastColumn="0" w:noHBand="0" w:noVBand="1"/>
      </w:tblPr>
      <w:tblGrid>
        <w:gridCol w:w="3683"/>
        <w:gridCol w:w="808"/>
        <w:gridCol w:w="3707"/>
        <w:gridCol w:w="808"/>
      </w:tblGrid>
      <w:tr w:rsidR="007F0407" w:rsidRPr="009F6D0A" w14:paraId="0077AF8E" w14:textId="77777777" w:rsidTr="000B6D13">
        <w:trPr>
          <w:trHeight w:val="3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4B7A5" w14:textId="77777777" w:rsidR="007F0407" w:rsidRPr="009F6D0A" w:rsidRDefault="007F0407" w:rsidP="00B574D0">
            <w:pPr>
              <w:spacing w:before="120" w:after="120"/>
              <w:ind w:left="-40"/>
              <w:rPr>
                <w:rFonts w:ascii="Open Sans" w:hAnsi="Open Sans" w:cs="Open Sans"/>
                <w:sz w:val="18"/>
                <w:szCs w:val="18"/>
                <w:lang w:eastAsia="en-GB"/>
              </w:rPr>
            </w:pPr>
            <w:r w:rsidRPr="009F6D0A">
              <w:rPr>
                <w:rFonts w:ascii="Open Sans" w:hAnsi="Open Sans" w:cs="Open Sans"/>
                <w:b/>
                <w:bCs/>
                <w:sz w:val="18"/>
                <w:szCs w:val="18"/>
                <w:lang w:eastAsia="en-GB"/>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5F4EE" w14:textId="77777777" w:rsidR="007F0407" w:rsidRPr="009F6D0A" w:rsidRDefault="007F0407" w:rsidP="00B574D0">
            <w:pPr>
              <w:spacing w:before="120" w:after="120"/>
              <w:ind w:left="-40"/>
              <w:rPr>
                <w:rFonts w:ascii="Open Sans" w:hAnsi="Open Sans" w:cs="Open Sans"/>
                <w:sz w:val="18"/>
                <w:szCs w:val="18"/>
                <w:lang w:eastAsia="en-GB"/>
              </w:rPr>
            </w:pPr>
            <w:r w:rsidRPr="009F6D0A">
              <w:rPr>
                <w:rFonts w:ascii="Open Sans" w:hAnsi="Open Sans" w:cs="Open Sans"/>
                <w:b/>
                <w:bCs/>
                <w:sz w:val="18"/>
                <w:szCs w:val="18"/>
                <w:lang w:eastAsia="en-GB"/>
              </w:rPr>
              <w:t>By 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22CF3" w14:textId="77777777" w:rsidR="007F0407" w:rsidRPr="009F6D0A" w:rsidRDefault="007F0407" w:rsidP="00B574D0">
            <w:pPr>
              <w:spacing w:before="120" w:after="120"/>
              <w:ind w:left="-40"/>
              <w:rPr>
                <w:rFonts w:ascii="Open Sans" w:hAnsi="Open Sans" w:cs="Open Sans"/>
                <w:sz w:val="18"/>
                <w:szCs w:val="18"/>
                <w:lang w:eastAsia="en-GB"/>
              </w:rPr>
            </w:pPr>
            <w:r w:rsidRPr="009F6D0A">
              <w:rPr>
                <w:rFonts w:ascii="Open Sans" w:hAnsi="Open Sans" w:cs="Open Sans"/>
                <w:b/>
                <w:bCs/>
                <w:sz w:val="18"/>
                <w:szCs w:val="18"/>
                <w:lang w:eastAsia="en-GB"/>
              </w:rPr>
              <w:t>By 2030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31BA0" w14:textId="77777777" w:rsidR="007F0407" w:rsidRPr="009F6D0A" w:rsidRDefault="007F0407" w:rsidP="00B574D0">
            <w:pPr>
              <w:spacing w:before="120" w:after="120"/>
              <w:ind w:left="-40"/>
              <w:rPr>
                <w:rFonts w:ascii="Open Sans" w:hAnsi="Open Sans" w:cs="Open Sans"/>
                <w:sz w:val="18"/>
                <w:szCs w:val="18"/>
                <w:lang w:eastAsia="en-GB"/>
              </w:rPr>
            </w:pPr>
            <w:r w:rsidRPr="009F6D0A">
              <w:rPr>
                <w:rFonts w:ascii="Open Sans" w:hAnsi="Open Sans" w:cs="Open Sans"/>
                <w:b/>
                <w:bCs/>
                <w:sz w:val="18"/>
                <w:szCs w:val="18"/>
                <w:lang w:eastAsia="en-GB"/>
              </w:rPr>
              <w:t>By 2032</w:t>
            </w:r>
          </w:p>
        </w:tc>
      </w:tr>
      <w:tr w:rsidR="007F0407" w:rsidRPr="009F6D0A" w14:paraId="45002E3C" w14:textId="77777777" w:rsidTr="000B6D13">
        <w:trPr>
          <w:trHeight w:val="47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699AE" w14:textId="77777777"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REA’s</w:t>
            </w:r>
            <w:hyperlink r:id="rId11" w:history="1">
              <w:r w:rsidRPr="009F6D0A">
                <w:rPr>
                  <w:rStyle w:val="Hyperlink"/>
                  <w:rFonts w:ascii="Open Sans" w:hAnsi="Open Sans" w:cs="Open Sans"/>
                  <w:color w:val="auto"/>
                  <w:sz w:val="18"/>
                  <w:szCs w:val="18"/>
                  <w:lang w:eastAsia="en-GB"/>
                </w:rPr>
                <w:t xml:space="preserve"> Bioenergy Strategy, 201</w:t>
              </w:r>
            </w:hyperlink>
            <w:r w:rsidRPr="009F6D0A">
              <w:rPr>
                <w:rFonts w:ascii="Open Sans" w:hAnsi="Open Sans" w:cs="Open Sans"/>
                <w:sz w:val="18"/>
                <w:szCs w:val="18"/>
                <w:lang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25970" w14:textId="086CB9FA"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E0FFD" w14:textId="4B185251"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N</w:t>
            </w:r>
            <w:r w:rsidR="000F7B34" w:rsidRPr="009F6D0A">
              <w:rPr>
                <w:rFonts w:ascii="Open Sans" w:hAnsi="Open Sans" w:cs="Open Sans"/>
                <w:sz w:val="18"/>
                <w:szCs w:val="18"/>
                <w:lang w:eastAsia="en-GB"/>
              </w:rPr>
              <w:t>/</w:t>
            </w:r>
            <w:r w:rsidRPr="009F6D0A">
              <w:rPr>
                <w:rFonts w:ascii="Open Sans" w:hAnsi="Open Sans" w:cs="Open Sans"/>
                <w:sz w:val="18"/>
                <w:szCs w:val="18"/>
                <w:lang w:eastAsia="en-GB"/>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84D75" w14:textId="77777777"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52</w:t>
            </w:r>
          </w:p>
        </w:tc>
      </w:tr>
      <w:tr w:rsidR="007F0407" w:rsidRPr="009F6D0A" w14:paraId="239FFE0C" w14:textId="77777777" w:rsidTr="000B6D13">
        <w:trPr>
          <w:trHeight w:val="45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A9E80" w14:textId="77777777" w:rsidR="007F0407" w:rsidRPr="009F6D0A" w:rsidRDefault="00225213" w:rsidP="007F0407">
            <w:pPr>
              <w:spacing w:before="120" w:after="120"/>
              <w:ind w:left="-40"/>
              <w:jc w:val="left"/>
              <w:rPr>
                <w:rFonts w:ascii="Open Sans" w:hAnsi="Open Sans" w:cs="Open Sans"/>
                <w:sz w:val="18"/>
                <w:szCs w:val="18"/>
                <w:lang w:eastAsia="en-GB"/>
              </w:rPr>
            </w:pPr>
            <w:hyperlink r:id="rId12" w:history="1">
              <w:r w:rsidR="007F0407" w:rsidRPr="009F6D0A">
                <w:rPr>
                  <w:rFonts w:ascii="Open Sans" w:hAnsi="Open Sans" w:cs="Open Sans"/>
                  <w:sz w:val="18"/>
                  <w:szCs w:val="18"/>
                  <w:u w:val="single"/>
                  <w:lang w:eastAsia="en-GB"/>
                </w:rPr>
                <w:t>ENA’s Decarbonisation Pathways</w:t>
              </w:r>
            </w:hyperlink>
            <w:r w:rsidR="007F0407" w:rsidRPr="009F6D0A">
              <w:rPr>
                <w:rFonts w:ascii="Open Sans" w:hAnsi="Open Sans" w:cs="Open Sans"/>
                <w:sz w:val="18"/>
                <w:szCs w:val="18"/>
                <w:lang w:eastAsia="en-GB"/>
              </w:rPr>
              <w:t xml:space="preserve"> (Balanced scenario),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F51CA" w14:textId="668E25D5"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N</w:t>
            </w:r>
            <w:r w:rsidR="000F7B34" w:rsidRPr="009F6D0A">
              <w:rPr>
                <w:rFonts w:ascii="Open Sans" w:hAnsi="Open Sans" w:cs="Open Sans"/>
                <w:sz w:val="18"/>
                <w:szCs w:val="18"/>
                <w:lang w:eastAsia="en-GB"/>
              </w:rPr>
              <w:t>/</w:t>
            </w:r>
            <w:r w:rsidRPr="009F6D0A">
              <w:rPr>
                <w:rFonts w:ascii="Open Sans" w:hAnsi="Open Sans" w:cs="Open Sans"/>
                <w:sz w:val="18"/>
                <w:szCs w:val="18"/>
                <w:lang w:eastAsia="en-GB"/>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1A28D" w14:textId="77777777"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5D1D8" w14:textId="42CE1CB1"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N</w:t>
            </w:r>
            <w:r w:rsidR="000F7B34" w:rsidRPr="009F6D0A">
              <w:rPr>
                <w:rFonts w:ascii="Open Sans" w:hAnsi="Open Sans" w:cs="Open Sans"/>
                <w:sz w:val="18"/>
                <w:szCs w:val="18"/>
                <w:lang w:eastAsia="en-GB"/>
              </w:rPr>
              <w:t>/</w:t>
            </w:r>
            <w:r w:rsidRPr="009F6D0A">
              <w:rPr>
                <w:rFonts w:ascii="Open Sans" w:hAnsi="Open Sans" w:cs="Open Sans"/>
                <w:sz w:val="18"/>
                <w:szCs w:val="18"/>
                <w:lang w:eastAsia="en-GB"/>
              </w:rPr>
              <w:t>A</w:t>
            </w:r>
          </w:p>
        </w:tc>
      </w:tr>
      <w:tr w:rsidR="007F0407" w:rsidRPr="009F6D0A" w14:paraId="2D65902B" w14:textId="77777777" w:rsidTr="000B6D13">
        <w:trPr>
          <w:trHeight w:val="59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1DD23" w14:textId="77777777" w:rsidR="007F0407" w:rsidRPr="009F6D0A" w:rsidRDefault="00225213" w:rsidP="007F0407">
            <w:pPr>
              <w:spacing w:before="120" w:after="120"/>
              <w:ind w:left="-40"/>
              <w:jc w:val="left"/>
              <w:rPr>
                <w:rFonts w:ascii="Open Sans" w:hAnsi="Open Sans" w:cs="Open Sans"/>
                <w:sz w:val="18"/>
                <w:szCs w:val="18"/>
                <w:lang w:eastAsia="en-GB"/>
              </w:rPr>
            </w:pPr>
            <w:hyperlink r:id="rId13" w:history="1">
              <w:r w:rsidR="007F0407" w:rsidRPr="009F6D0A">
                <w:rPr>
                  <w:rFonts w:ascii="Open Sans" w:hAnsi="Open Sans" w:cs="Open Sans"/>
                  <w:sz w:val="18"/>
                  <w:szCs w:val="18"/>
                  <w:u w:val="single"/>
                  <w:lang w:eastAsia="en-GB"/>
                </w:rPr>
                <w:t>Net Zero: Technical Report,</w:t>
              </w:r>
            </w:hyperlink>
            <w:r w:rsidR="007F0407" w:rsidRPr="009F6D0A">
              <w:rPr>
                <w:rFonts w:ascii="Open Sans" w:hAnsi="Open Sans" w:cs="Open Sans"/>
                <w:sz w:val="18"/>
                <w:szCs w:val="18"/>
                <w:lang w:eastAsia="en-GB"/>
              </w:rPr>
              <w:t xml:space="preserve"> CCC,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D6C32" w14:textId="764E3CF5"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N</w:t>
            </w:r>
            <w:r w:rsidR="000F7B34" w:rsidRPr="009F6D0A">
              <w:rPr>
                <w:rFonts w:ascii="Open Sans" w:hAnsi="Open Sans" w:cs="Open Sans"/>
                <w:sz w:val="18"/>
                <w:szCs w:val="18"/>
                <w:lang w:eastAsia="en-GB"/>
              </w:rPr>
              <w:t>/</w:t>
            </w:r>
            <w:r w:rsidRPr="009F6D0A">
              <w:rPr>
                <w:rFonts w:ascii="Open Sans" w:hAnsi="Open Sans" w:cs="Open Sans"/>
                <w:sz w:val="18"/>
                <w:szCs w:val="18"/>
                <w:lang w:eastAsia="en-GB"/>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C83E4" w14:textId="77777777"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20 (heating homes)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CB7D7" w14:textId="782F913B"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N</w:t>
            </w:r>
            <w:r w:rsidR="000F7B34" w:rsidRPr="009F6D0A">
              <w:rPr>
                <w:rFonts w:ascii="Open Sans" w:hAnsi="Open Sans" w:cs="Open Sans"/>
                <w:sz w:val="18"/>
                <w:szCs w:val="18"/>
                <w:lang w:eastAsia="en-GB"/>
              </w:rPr>
              <w:t>/</w:t>
            </w:r>
            <w:r w:rsidRPr="009F6D0A">
              <w:rPr>
                <w:rFonts w:ascii="Open Sans" w:hAnsi="Open Sans" w:cs="Open Sans"/>
                <w:sz w:val="18"/>
                <w:szCs w:val="18"/>
                <w:lang w:eastAsia="en-GB"/>
              </w:rPr>
              <w:t>A</w:t>
            </w:r>
          </w:p>
        </w:tc>
      </w:tr>
      <w:tr w:rsidR="007F0407" w:rsidRPr="009F6D0A" w14:paraId="5F8A6605" w14:textId="77777777" w:rsidTr="000B6D13">
        <w:trPr>
          <w:trHeight w:val="95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88C07" w14:textId="77777777" w:rsidR="007F0407" w:rsidRPr="009F6D0A" w:rsidRDefault="00225213" w:rsidP="007F0407">
            <w:pPr>
              <w:spacing w:before="120" w:after="120"/>
              <w:ind w:left="-40"/>
              <w:jc w:val="left"/>
              <w:rPr>
                <w:rFonts w:ascii="Open Sans" w:hAnsi="Open Sans" w:cs="Open Sans"/>
                <w:sz w:val="18"/>
                <w:szCs w:val="18"/>
                <w:lang w:eastAsia="en-GB"/>
              </w:rPr>
            </w:pPr>
            <w:hyperlink r:id="rId14" w:history="1">
              <w:r w:rsidR="007F0407" w:rsidRPr="009F6D0A">
                <w:rPr>
                  <w:rFonts w:ascii="Open Sans" w:hAnsi="Open Sans" w:cs="Open Sans"/>
                  <w:sz w:val="18"/>
                  <w:szCs w:val="18"/>
                  <w:u w:val="single"/>
                  <w:lang w:eastAsia="en-GB"/>
                </w:rPr>
                <w:t>Biomethane: the pathway to 2030</w:t>
              </w:r>
            </w:hyperlink>
            <w:r w:rsidR="007F0407" w:rsidRPr="009F6D0A">
              <w:rPr>
                <w:rFonts w:ascii="Open Sans" w:hAnsi="Open Sans" w:cs="Open Sans"/>
                <w:sz w:val="18"/>
                <w:szCs w:val="18"/>
                <w:lang w:eastAsia="en-GB"/>
              </w:rPr>
              <w:t xml:space="preserve"> (ADBA,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0AA2E" w14:textId="32858861"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N</w:t>
            </w:r>
            <w:r w:rsidR="000F7B34" w:rsidRPr="009F6D0A">
              <w:rPr>
                <w:rFonts w:ascii="Open Sans" w:hAnsi="Open Sans" w:cs="Open Sans"/>
                <w:sz w:val="18"/>
                <w:szCs w:val="18"/>
                <w:lang w:eastAsia="en-GB"/>
              </w:rPr>
              <w:t>/</w:t>
            </w:r>
            <w:r w:rsidRPr="009F6D0A">
              <w:rPr>
                <w:rFonts w:ascii="Open Sans" w:hAnsi="Open Sans" w:cs="Open Sans"/>
                <w:sz w:val="18"/>
                <w:szCs w:val="18"/>
                <w:lang w:eastAsia="en-GB"/>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D850C" w14:textId="77777777"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~54 (conversion from 5,677 million m</w:t>
            </w:r>
            <w:r w:rsidRPr="009F6D0A">
              <w:rPr>
                <w:rFonts w:ascii="Open Sans" w:hAnsi="Open Sans" w:cs="Open Sans"/>
                <w:sz w:val="18"/>
                <w:szCs w:val="18"/>
                <w:vertAlign w:val="superscript"/>
                <w:lang w:eastAsia="en-GB"/>
              </w:rPr>
              <w:t>3</w:t>
            </w:r>
            <w:r w:rsidRPr="009F6D0A">
              <w:rPr>
                <w:rFonts w:ascii="Open Sans" w:hAnsi="Open Sans" w:cs="Open Sans"/>
                <w:sz w:val="18"/>
                <w:szCs w:val="18"/>
                <w:lang w:eastAsia="en-GB"/>
              </w:rPr>
              <w:t xml:space="preserve"> biomethane potential)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5EB22" w14:textId="53E389F4"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sz w:val="18"/>
                <w:szCs w:val="18"/>
                <w:lang w:eastAsia="en-GB"/>
              </w:rPr>
              <w:t>N</w:t>
            </w:r>
            <w:r w:rsidR="000F7B34" w:rsidRPr="009F6D0A">
              <w:rPr>
                <w:rFonts w:ascii="Open Sans" w:hAnsi="Open Sans" w:cs="Open Sans"/>
                <w:sz w:val="18"/>
                <w:szCs w:val="18"/>
                <w:lang w:eastAsia="en-GB"/>
              </w:rPr>
              <w:t>/</w:t>
            </w:r>
            <w:r w:rsidRPr="009F6D0A">
              <w:rPr>
                <w:rFonts w:ascii="Open Sans" w:hAnsi="Open Sans" w:cs="Open Sans"/>
                <w:sz w:val="18"/>
                <w:szCs w:val="18"/>
                <w:lang w:eastAsia="en-GB"/>
              </w:rPr>
              <w:t>A</w:t>
            </w:r>
          </w:p>
        </w:tc>
      </w:tr>
      <w:tr w:rsidR="007F0407" w:rsidRPr="009F6D0A" w14:paraId="2A049AE1" w14:textId="77777777" w:rsidTr="000B6D13">
        <w:trPr>
          <w:trHeight w:val="11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8B298" w14:textId="77777777" w:rsidR="007F0407" w:rsidRPr="009F6D0A" w:rsidRDefault="00225213" w:rsidP="007F0407">
            <w:pPr>
              <w:spacing w:before="120" w:after="120"/>
              <w:ind w:left="-40"/>
              <w:jc w:val="left"/>
              <w:rPr>
                <w:rFonts w:ascii="Open Sans" w:hAnsi="Open Sans" w:cs="Open Sans"/>
                <w:sz w:val="18"/>
                <w:szCs w:val="18"/>
                <w:lang w:eastAsia="en-GB"/>
              </w:rPr>
            </w:pPr>
            <w:hyperlink r:id="rId15" w:history="1">
              <w:r w:rsidR="007F0407" w:rsidRPr="009F6D0A">
                <w:rPr>
                  <w:rFonts w:ascii="Open Sans" w:hAnsi="Open Sans" w:cs="Open Sans"/>
                  <w:bCs/>
                  <w:sz w:val="18"/>
                  <w:szCs w:val="18"/>
                  <w:u w:val="single"/>
                  <w:lang w:eastAsia="en-GB"/>
                </w:rPr>
                <w:t>GGSS consultation</w:t>
              </w:r>
            </w:hyperlink>
            <w:r w:rsidR="007F0407" w:rsidRPr="009F6D0A">
              <w:rPr>
                <w:rFonts w:ascii="Open Sans" w:hAnsi="Open Sans" w:cs="Open Sans"/>
                <w:bCs/>
                <w:sz w:val="18"/>
                <w:szCs w:val="18"/>
                <w:lang w:eastAsia="en-GB"/>
              </w:rPr>
              <w:t>, BEIS April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856D2" w14:textId="47CDB101"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bCs/>
                <w:sz w:val="18"/>
                <w:szCs w:val="18"/>
                <w:lang w:eastAsia="en-GB"/>
              </w:rPr>
              <w:t>N</w:t>
            </w:r>
            <w:r w:rsidR="000F7B34" w:rsidRPr="009F6D0A">
              <w:rPr>
                <w:rFonts w:ascii="Open Sans" w:hAnsi="Open Sans" w:cs="Open Sans"/>
                <w:bCs/>
                <w:sz w:val="18"/>
                <w:szCs w:val="18"/>
                <w:lang w:eastAsia="en-GB"/>
              </w:rPr>
              <w:t>/</w:t>
            </w:r>
            <w:r w:rsidRPr="009F6D0A">
              <w:rPr>
                <w:rFonts w:ascii="Open Sans" w:hAnsi="Open Sans" w:cs="Open Sans"/>
                <w:bCs/>
                <w:sz w:val="18"/>
                <w:szCs w:val="18"/>
                <w:lang w:eastAsia="en-GB"/>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79BD0" w14:textId="7F1AD0ED"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bCs/>
                <w:sz w:val="18"/>
                <w:szCs w:val="18"/>
                <w:lang w:eastAsia="en-GB"/>
              </w:rPr>
              <w:t>2.8 [under GGSS]</w:t>
            </w:r>
            <w:r w:rsidR="000F7B34" w:rsidRPr="009F6D0A">
              <w:rPr>
                <w:rFonts w:ascii="Open Sans" w:hAnsi="Open Sans" w:cs="Open Sans"/>
                <w:bCs/>
                <w:sz w:val="18"/>
                <w:szCs w:val="18"/>
                <w:lang w:eastAsia="en-GB"/>
              </w:rPr>
              <w:t xml:space="preserve"> </w:t>
            </w:r>
            <w:r w:rsidRPr="009F6D0A">
              <w:rPr>
                <w:rFonts w:ascii="Open Sans" w:hAnsi="Open Sans" w:cs="Open Sans"/>
                <w:bCs/>
                <w:sz w:val="18"/>
                <w:szCs w:val="18"/>
                <w:lang w:eastAsia="en-GB"/>
              </w:rPr>
              <w:t xml:space="preserve">+6 [under RHI] = ~ 9 </w:t>
            </w:r>
            <w:proofErr w:type="spellStart"/>
            <w:r w:rsidRPr="009F6D0A">
              <w:rPr>
                <w:rFonts w:ascii="Open Sans" w:hAnsi="Open Sans" w:cs="Open Sans"/>
                <w:bCs/>
                <w:sz w:val="18"/>
                <w:szCs w:val="18"/>
                <w:lang w:eastAsia="en-GB"/>
              </w:rPr>
              <w:t>TWh</w:t>
            </w:r>
            <w:proofErr w:type="spellEnd"/>
            <w:r w:rsidRPr="009F6D0A">
              <w:rPr>
                <w:rFonts w:ascii="Open Sans" w:hAnsi="Open Sans" w:cs="Open Sans"/>
                <w:bCs/>
                <w:sz w:val="18"/>
                <w:szCs w:val="18"/>
                <w:lang w:eastAsia="en-GB"/>
              </w:rPr>
              <w:t>/annum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17F7C" w14:textId="5B3049DA" w:rsidR="007F0407" w:rsidRPr="009F6D0A" w:rsidRDefault="007F0407" w:rsidP="007F0407">
            <w:pPr>
              <w:spacing w:before="120" w:after="120"/>
              <w:ind w:left="-40"/>
              <w:jc w:val="left"/>
              <w:rPr>
                <w:rFonts w:ascii="Open Sans" w:hAnsi="Open Sans" w:cs="Open Sans"/>
                <w:sz w:val="18"/>
                <w:szCs w:val="18"/>
                <w:lang w:eastAsia="en-GB"/>
              </w:rPr>
            </w:pPr>
            <w:r w:rsidRPr="009F6D0A">
              <w:rPr>
                <w:rFonts w:ascii="Open Sans" w:hAnsi="Open Sans" w:cs="Open Sans"/>
                <w:bCs/>
                <w:sz w:val="18"/>
                <w:szCs w:val="18"/>
                <w:lang w:eastAsia="en-GB"/>
              </w:rPr>
              <w:t>N</w:t>
            </w:r>
            <w:r w:rsidR="000F7B34" w:rsidRPr="009F6D0A">
              <w:rPr>
                <w:rFonts w:ascii="Open Sans" w:hAnsi="Open Sans" w:cs="Open Sans"/>
                <w:bCs/>
                <w:sz w:val="18"/>
                <w:szCs w:val="18"/>
                <w:lang w:eastAsia="en-GB"/>
              </w:rPr>
              <w:t>/</w:t>
            </w:r>
            <w:r w:rsidRPr="009F6D0A">
              <w:rPr>
                <w:rFonts w:ascii="Open Sans" w:hAnsi="Open Sans" w:cs="Open Sans"/>
                <w:bCs/>
                <w:sz w:val="18"/>
                <w:szCs w:val="18"/>
                <w:lang w:eastAsia="en-GB"/>
              </w:rPr>
              <w:t>A</w:t>
            </w:r>
          </w:p>
        </w:tc>
      </w:tr>
    </w:tbl>
    <w:p w14:paraId="0DB6739F" w14:textId="1F2741A2" w:rsidR="007F0407" w:rsidRPr="009F6D0A" w:rsidRDefault="007F0407" w:rsidP="00921CB9">
      <w:pPr>
        <w:spacing w:before="120" w:after="120"/>
        <w:rPr>
          <w:rFonts w:ascii="Open Sans" w:hAnsi="Open Sans" w:cs="Open Sans"/>
          <w:szCs w:val="22"/>
          <w:u w:val="single"/>
          <w:lang w:eastAsia="en-GB"/>
        </w:rPr>
      </w:pPr>
    </w:p>
    <w:p w14:paraId="41E2B7B1" w14:textId="107767F6" w:rsidR="00EE3812" w:rsidRPr="009F6D0A" w:rsidRDefault="00921CB9" w:rsidP="00921CB9">
      <w:pPr>
        <w:spacing w:before="120" w:after="120"/>
        <w:rPr>
          <w:rFonts w:ascii="Open Sans" w:hAnsi="Open Sans" w:cs="Open Sans"/>
          <w:szCs w:val="22"/>
        </w:rPr>
      </w:pPr>
      <w:r w:rsidRPr="009F6D0A">
        <w:rPr>
          <w:rFonts w:ascii="Open Sans" w:hAnsi="Open Sans" w:cs="Open Sans"/>
          <w:szCs w:val="22"/>
          <w:lang w:eastAsia="en-GB"/>
        </w:rPr>
        <w:t xml:space="preserve">As already highlighted in our </w:t>
      </w:r>
      <w:hyperlink r:id="rId16" w:history="1">
        <w:r w:rsidRPr="009F6D0A">
          <w:rPr>
            <w:rStyle w:val="Hyperlink"/>
            <w:rFonts w:ascii="Open Sans" w:hAnsi="Open Sans" w:cs="Open Sans"/>
            <w:szCs w:val="22"/>
            <w:lang w:eastAsia="en-GB"/>
          </w:rPr>
          <w:t>response</w:t>
        </w:r>
      </w:hyperlink>
      <w:r w:rsidRPr="009F6D0A">
        <w:rPr>
          <w:rFonts w:ascii="Open Sans" w:hAnsi="Open Sans" w:cs="Open Sans"/>
          <w:szCs w:val="22"/>
          <w:lang w:eastAsia="en-GB"/>
        </w:rPr>
        <w:t xml:space="preserve"> to BEIS proposals on the future Green Gas Support Scheme, </w:t>
      </w:r>
      <w:r w:rsidR="00EE3812" w:rsidRPr="009F6D0A">
        <w:rPr>
          <w:rFonts w:ascii="Open Sans" w:hAnsi="Open Sans" w:cs="Open Sans"/>
          <w:b/>
          <w:bCs/>
          <w:szCs w:val="22"/>
          <w:lang w:eastAsia="en-GB"/>
        </w:rPr>
        <w:t>we would like to</w:t>
      </w:r>
      <w:r w:rsidR="00C6786B" w:rsidRPr="009F6D0A">
        <w:rPr>
          <w:rFonts w:ascii="Open Sans" w:hAnsi="Open Sans" w:cs="Open Sans"/>
          <w:b/>
          <w:bCs/>
          <w:szCs w:val="22"/>
          <w:lang w:eastAsia="en-GB"/>
        </w:rPr>
        <w:t xml:space="preserve"> reiterate that </w:t>
      </w:r>
      <w:r w:rsidRPr="009F6D0A">
        <w:rPr>
          <w:rFonts w:ascii="Open Sans" w:hAnsi="Open Sans" w:cs="Open Sans"/>
          <w:b/>
          <w:bCs/>
          <w:szCs w:val="22"/>
          <w:lang w:eastAsia="en-GB"/>
        </w:rPr>
        <w:t xml:space="preserve">the Scheme should </w:t>
      </w:r>
      <w:r w:rsidR="00A97245" w:rsidRPr="009F6D0A">
        <w:rPr>
          <w:rFonts w:ascii="Open Sans" w:hAnsi="Open Sans" w:cs="Open Sans"/>
          <w:b/>
          <w:bCs/>
          <w:szCs w:val="22"/>
          <w:lang w:eastAsia="en-GB"/>
        </w:rPr>
        <w:t xml:space="preserve">include </w:t>
      </w:r>
      <w:r w:rsidRPr="009F6D0A">
        <w:rPr>
          <w:rFonts w:ascii="Open Sans" w:hAnsi="Open Sans" w:cs="Open Sans"/>
          <w:b/>
          <w:bCs/>
          <w:szCs w:val="22"/>
        </w:rPr>
        <w:t>support to plant expansions of existing assets as well as new build.</w:t>
      </w:r>
      <w:r w:rsidRPr="009F6D0A">
        <w:rPr>
          <w:rFonts w:ascii="Open Sans" w:hAnsi="Open Sans" w:cs="Open Sans"/>
          <w:szCs w:val="22"/>
        </w:rPr>
        <w:t xml:space="preserve"> </w:t>
      </w:r>
      <w:r w:rsidR="00EE3812" w:rsidRPr="009F6D0A">
        <w:rPr>
          <w:rFonts w:ascii="Open Sans" w:hAnsi="Open Sans" w:cs="Open Sans"/>
          <w:szCs w:val="22"/>
        </w:rPr>
        <w:t xml:space="preserve">This would deliver value for money whilst stimulating further biomethane generation. </w:t>
      </w:r>
    </w:p>
    <w:p w14:paraId="7AEA51D8" w14:textId="013AF73B" w:rsidR="00EE3812" w:rsidRPr="009F6D0A" w:rsidRDefault="00A97245" w:rsidP="00921CB9">
      <w:pPr>
        <w:spacing w:before="120" w:after="120"/>
        <w:rPr>
          <w:rFonts w:ascii="Open Sans" w:hAnsi="Open Sans" w:cs="Open Sans"/>
          <w:szCs w:val="22"/>
        </w:rPr>
      </w:pPr>
      <w:r w:rsidRPr="009F6D0A">
        <w:rPr>
          <w:rFonts w:ascii="Open Sans" w:hAnsi="Open Sans" w:cs="Open Sans"/>
          <w:szCs w:val="22"/>
        </w:rPr>
        <w:t xml:space="preserve">In addition, the budget should reflect the real potential of the sector, taking </w:t>
      </w:r>
      <w:r w:rsidR="00C6786B" w:rsidRPr="009F6D0A">
        <w:rPr>
          <w:rFonts w:ascii="Open Sans" w:hAnsi="Open Sans" w:cs="Open Sans"/>
          <w:szCs w:val="22"/>
        </w:rPr>
        <w:t xml:space="preserve">into </w:t>
      </w:r>
      <w:r w:rsidRPr="009F6D0A">
        <w:rPr>
          <w:rFonts w:ascii="Open Sans" w:hAnsi="Open Sans" w:cs="Open Sans"/>
          <w:szCs w:val="22"/>
        </w:rPr>
        <w:t>account a wider range of sustainable</w:t>
      </w:r>
      <w:r w:rsidR="007B4C37" w:rsidRPr="009F6D0A">
        <w:rPr>
          <w:rFonts w:ascii="Open Sans" w:hAnsi="Open Sans" w:cs="Open Sans"/>
          <w:szCs w:val="22"/>
        </w:rPr>
        <w:t xml:space="preserve">, available </w:t>
      </w:r>
      <w:r w:rsidRPr="009F6D0A">
        <w:rPr>
          <w:rFonts w:ascii="Open Sans" w:hAnsi="Open Sans" w:cs="Open Sans"/>
          <w:szCs w:val="22"/>
        </w:rPr>
        <w:t>feedstocks, including rotational and sequential crops, as well as crops classed as ‘non relevant crops’ under the R</w:t>
      </w:r>
      <w:r w:rsidR="00EE3812" w:rsidRPr="009F6D0A">
        <w:rPr>
          <w:rFonts w:ascii="Open Sans" w:hAnsi="Open Sans" w:cs="Open Sans"/>
          <w:szCs w:val="22"/>
        </w:rPr>
        <w:t>enewable Transport Fuel Obligation</w:t>
      </w:r>
      <w:r w:rsidRPr="009F6D0A">
        <w:rPr>
          <w:rFonts w:ascii="Open Sans" w:hAnsi="Open Sans" w:cs="Open Sans"/>
          <w:szCs w:val="22"/>
        </w:rPr>
        <w:t xml:space="preserve"> and crops certified as low ILUC risk feedstocks in the future. </w:t>
      </w:r>
    </w:p>
    <w:p w14:paraId="6DBA7489" w14:textId="5802B36C" w:rsidR="00EE3812" w:rsidRPr="009F6D0A" w:rsidRDefault="00DE2F71" w:rsidP="00921CB9">
      <w:pPr>
        <w:spacing w:before="120" w:after="120"/>
        <w:rPr>
          <w:rFonts w:ascii="Open Sans" w:hAnsi="Open Sans" w:cs="Open Sans"/>
          <w:szCs w:val="22"/>
        </w:rPr>
      </w:pPr>
      <w:r w:rsidRPr="009F6D0A">
        <w:rPr>
          <w:rFonts w:ascii="Open Sans" w:hAnsi="Open Sans" w:cs="Open Sans"/>
          <w:szCs w:val="22"/>
        </w:rPr>
        <w:t xml:space="preserve">Finally, </w:t>
      </w:r>
      <w:r w:rsidRPr="009F6D0A">
        <w:rPr>
          <w:rFonts w:ascii="Open Sans" w:hAnsi="Open Sans" w:cs="Open Sans"/>
          <w:b/>
          <w:bCs/>
          <w:szCs w:val="22"/>
        </w:rPr>
        <w:t xml:space="preserve">the GGSS should also include biomethane from </w:t>
      </w:r>
      <w:r w:rsidR="00EE3812" w:rsidRPr="009F6D0A">
        <w:rPr>
          <w:rFonts w:ascii="Open Sans" w:hAnsi="Open Sans" w:cs="Open Sans"/>
          <w:b/>
          <w:bCs/>
          <w:szCs w:val="22"/>
        </w:rPr>
        <w:t>thermal processes such as gasification</w:t>
      </w:r>
      <w:r w:rsidR="00EE3812" w:rsidRPr="009F6D0A">
        <w:rPr>
          <w:rFonts w:ascii="Open Sans" w:hAnsi="Open Sans" w:cs="Open Sans"/>
          <w:szCs w:val="22"/>
        </w:rPr>
        <w:t xml:space="preserve"> for the reasons already set out in our </w:t>
      </w:r>
      <w:hyperlink r:id="rId17" w:history="1">
        <w:r w:rsidR="007B4C37" w:rsidRPr="009F6D0A">
          <w:rPr>
            <w:rStyle w:val="Hyperlink"/>
            <w:rFonts w:ascii="Open Sans" w:hAnsi="Open Sans" w:cs="Open Sans"/>
            <w:szCs w:val="22"/>
            <w:lang w:eastAsia="en-GB"/>
          </w:rPr>
          <w:t>response</w:t>
        </w:r>
      </w:hyperlink>
      <w:r w:rsidR="00D93BFA" w:rsidRPr="009F6D0A">
        <w:rPr>
          <w:rFonts w:ascii="Open Sans" w:hAnsi="Open Sans" w:cs="Open Sans"/>
          <w:szCs w:val="22"/>
        </w:rPr>
        <w:t xml:space="preserve"> to BEIS consultation on the GGSS</w:t>
      </w:r>
      <w:r w:rsidR="00EE3812" w:rsidRPr="009F6D0A">
        <w:rPr>
          <w:rFonts w:ascii="Open Sans" w:hAnsi="Open Sans" w:cs="Open Sans"/>
          <w:szCs w:val="22"/>
        </w:rPr>
        <w:t xml:space="preserve">. </w:t>
      </w:r>
    </w:p>
    <w:p w14:paraId="4C3C3E51" w14:textId="795284B8" w:rsidR="00921CB9" w:rsidRPr="009F6D0A" w:rsidRDefault="00DE2F71" w:rsidP="00921CB9">
      <w:pPr>
        <w:spacing w:before="120" w:after="120"/>
        <w:rPr>
          <w:rFonts w:ascii="Open Sans" w:hAnsi="Open Sans" w:cs="Open Sans"/>
          <w:szCs w:val="22"/>
        </w:rPr>
      </w:pPr>
      <w:r w:rsidRPr="009F6D0A">
        <w:rPr>
          <w:rFonts w:ascii="Open Sans" w:hAnsi="Open Sans" w:cs="Open Sans"/>
          <w:szCs w:val="22"/>
        </w:rPr>
        <w:t xml:space="preserve"> </w:t>
      </w:r>
    </w:p>
    <w:p w14:paraId="3F6A9407" w14:textId="1C792CEB" w:rsidR="002607AB" w:rsidRPr="009F6D0A" w:rsidRDefault="002607AB" w:rsidP="009934F9">
      <w:pPr>
        <w:spacing w:before="120" w:after="120"/>
        <w:rPr>
          <w:rFonts w:ascii="Open Sans" w:hAnsi="Open Sans" w:cs="Open Sans"/>
          <w:b/>
          <w:bCs/>
          <w:sz w:val="28"/>
          <w:szCs w:val="28"/>
        </w:rPr>
      </w:pPr>
      <w:r w:rsidRPr="009F6D0A">
        <w:rPr>
          <w:rFonts w:ascii="Open Sans" w:hAnsi="Open Sans" w:cs="Open Sans"/>
          <w:b/>
          <w:bCs/>
          <w:sz w:val="28"/>
          <w:szCs w:val="28"/>
        </w:rPr>
        <w:t xml:space="preserve">Consultation questions </w:t>
      </w:r>
    </w:p>
    <w:p w14:paraId="6FBCECC3" w14:textId="5E05ACA3" w:rsidR="005B5FE2" w:rsidRPr="009F6D0A" w:rsidRDefault="005B5FE2" w:rsidP="009934F9">
      <w:pPr>
        <w:spacing w:before="120" w:after="120"/>
        <w:rPr>
          <w:rFonts w:ascii="Open Sans" w:hAnsi="Open Sans" w:cs="Open Sans"/>
          <w:b/>
          <w:bCs/>
          <w:szCs w:val="22"/>
        </w:rPr>
      </w:pPr>
      <w:r w:rsidRPr="009F6D0A">
        <w:rPr>
          <w:rFonts w:ascii="Open Sans" w:hAnsi="Open Sans" w:cs="Open Sans"/>
          <w:b/>
          <w:bCs/>
          <w:szCs w:val="22"/>
        </w:rPr>
        <w:t>Scope of the Levy</w:t>
      </w:r>
    </w:p>
    <w:p w14:paraId="0835AFB2" w14:textId="28010B56" w:rsidR="005B5FE2" w:rsidRPr="009F6D0A" w:rsidRDefault="005B5FE2" w:rsidP="00BB138B">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agree with our rationale for applying the levy to all suppliers of gas into the grid (apart from those that supply green gas exclusively)? Yes/No. Please provide evidence to support your response.</w:t>
      </w:r>
    </w:p>
    <w:p w14:paraId="496785E6" w14:textId="1B4DC3DF" w:rsidR="002607AB" w:rsidRPr="009F6D0A" w:rsidRDefault="00CC5386" w:rsidP="009934F9">
      <w:pPr>
        <w:spacing w:before="120" w:after="120"/>
        <w:rPr>
          <w:rFonts w:ascii="Open Sans" w:hAnsi="Open Sans" w:cs="Open Sans"/>
          <w:szCs w:val="22"/>
        </w:rPr>
      </w:pPr>
      <w:r w:rsidRPr="009F6D0A">
        <w:rPr>
          <w:rFonts w:ascii="Open Sans" w:hAnsi="Open Sans" w:cs="Open Sans"/>
          <w:szCs w:val="22"/>
        </w:rPr>
        <w:t xml:space="preserve">Yes. </w:t>
      </w:r>
    </w:p>
    <w:p w14:paraId="115FF93D" w14:textId="1F53BB5B" w:rsidR="00CC5386" w:rsidRPr="009F6D0A" w:rsidRDefault="00CC5386" w:rsidP="009934F9">
      <w:pPr>
        <w:spacing w:before="120" w:after="120"/>
        <w:rPr>
          <w:rFonts w:ascii="Open Sans" w:hAnsi="Open Sans" w:cs="Open Sans"/>
          <w:szCs w:val="22"/>
        </w:rPr>
      </w:pPr>
      <w:r w:rsidRPr="009F6D0A">
        <w:rPr>
          <w:rFonts w:ascii="Open Sans" w:hAnsi="Open Sans" w:cs="Open Sans"/>
          <w:szCs w:val="22"/>
        </w:rPr>
        <w:lastRenderedPageBreak/>
        <w:t xml:space="preserve">However, if an exemption is given to gas suppliers that supply 100% green gas, there </w:t>
      </w:r>
      <w:r w:rsidR="00F659DC" w:rsidRPr="009F6D0A">
        <w:rPr>
          <w:rFonts w:ascii="Open Sans" w:hAnsi="Open Sans" w:cs="Open Sans"/>
          <w:szCs w:val="22"/>
        </w:rPr>
        <w:t>needs to be a</w:t>
      </w:r>
      <w:r w:rsidRPr="009F6D0A">
        <w:rPr>
          <w:rFonts w:ascii="Open Sans" w:hAnsi="Open Sans" w:cs="Open Sans"/>
          <w:szCs w:val="22"/>
        </w:rPr>
        <w:t xml:space="preserve"> robust and transparent tracking system in place for </w:t>
      </w:r>
      <w:r w:rsidR="00553D4C" w:rsidRPr="009F6D0A">
        <w:rPr>
          <w:rFonts w:ascii="Open Sans" w:hAnsi="Open Sans" w:cs="Open Sans"/>
          <w:szCs w:val="22"/>
        </w:rPr>
        <w:t>them</w:t>
      </w:r>
      <w:r w:rsidRPr="009F6D0A">
        <w:rPr>
          <w:rFonts w:ascii="Open Sans" w:hAnsi="Open Sans" w:cs="Open Sans"/>
          <w:szCs w:val="22"/>
        </w:rPr>
        <w:t xml:space="preserve"> to demonstrate that they supply 100% green gas. </w:t>
      </w:r>
    </w:p>
    <w:p w14:paraId="3F98EF14" w14:textId="4F8FA48B" w:rsidR="00BE244C" w:rsidRPr="009F6D0A" w:rsidRDefault="00553D4C" w:rsidP="00BE244C">
      <w:pPr>
        <w:rPr>
          <w:rFonts w:ascii="Open Sans" w:hAnsi="Open Sans" w:cs="Open Sans"/>
          <w:szCs w:val="22"/>
        </w:rPr>
      </w:pPr>
      <w:r w:rsidRPr="009F6D0A">
        <w:rPr>
          <w:rFonts w:ascii="Open Sans" w:hAnsi="Open Sans" w:cs="Open Sans"/>
          <w:szCs w:val="22"/>
        </w:rPr>
        <w:t xml:space="preserve">We strongly recommend that </w:t>
      </w:r>
      <w:r w:rsidR="00B821F9" w:rsidRPr="009F6D0A">
        <w:rPr>
          <w:rFonts w:ascii="Open Sans" w:hAnsi="Open Sans" w:cs="Open Sans"/>
          <w:szCs w:val="22"/>
        </w:rPr>
        <w:t>Guarantees of Origin (</w:t>
      </w:r>
      <w:proofErr w:type="spellStart"/>
      <w:r w:rsidR="00B821F9" w:rsidRPr="009F6D0A">
        <w:rPr>
          <w:rFonts w:ascii="Open Sans" w:hAnsi="Open Sans" w:cs="Open Sans"/>
          <w:szCs w:val="22"/>
        </w:rPr>
        <w:t>GoO</w:t>
      </w:r>
      <w:proofErr w:type="spellEnd"/>
      <w:r w:rsidR="00B821F9" w:rsidRPr="009F6D0A">
        <w:rPr>
          <w:rFonts w:ascii="Open Sans" w:hAnsi="Open Sans" w:cs="Open Sans"/>
          <w:szCs w:val="22"/>
        </w:rPr>
        <w:t>)</w:t>
      </w:r>
      <w:r w:rsidR="00D521C3" w:rsidRPr="009F6D0A">
        <w:rPr>
          <w:rStyle w:val="FootnoteReference"/>
          <w:rFonts w:ascii="Open Sans" w:hAnsi="Open Sans" w:cs="Open Sans"/>
          <w:szCs w:val="22"/>
        </w:rPr>
        <w:footnoteReference w:id="2"/>
      </w:r>
      <w:r w:rsidR="00B821F9" w:rsidRPr="009F6D0A">
        <w:rPr>
          <w:rFonts w:ascii="Open Sans" w:hAnsi="Open Sans" w:cs="Open Sans"/>
          <w:szCs w:val="22"/>
        </w:rPr>
        <w:t xml:space="preserve"> </w:t>
      </w:r>
      <w:r w:rsidRPr="009F6D0A">
        <w:rPr>
          <w:rFonts w:ascii="Open Sans" w:hAnsi="Open Sans" w:cs="Open Sans"/>
          <w:szCs w:val="22"/>
        </w:rPr>
        <w:t>are</w:t>
      </w:r>
      <w:r w:rsidR="00B821F9" w:rsidRPr="009F6D0A">
        <w:rPr>
          <w:rFonts w:ascii="Open Sans" w:hAnsi="Open Sans" w:cs="Open Sans"/>
          <w:szCs w:val="22"/>
        </w:rPr>
        <w:t xml:space="preserve"> used to </w:t>
      </w:r>
      <w:r w:rsidRPr="009F6D0A">
        <w:rPr>
          <w:rFonts w:ascii="Open Sans" w:hAnsi="Open Sans" w:cs="Open Sans"/>
          <w:szCs w:val="22"/>
        </w:rPr>
        <w:t>provide this evidence</w:t>
      </w:r>
      <w:r w:rsidR="00BE244C" w:rsidRPr="009F6D0A">
        <w:rPr>
          <w:rFonts w:ascii="Open Sans" w:hAnsi="Open Sans" w:cs="Open Sans"/>
          <w:szCs w:val="22"/>
        </w:rPr>
        <w:t xml:space="preserve">, as they are for Fuel Mix Disclosures evidencing the supply of renewable electricity and for exemptions from supplier </w:t>
      </w:r>
      <w:proofErr w:type="spellStart"/>
      <w:r w:rsidR="00BE244C" w:rsidRPr="009F6D0A">
        <w:rPr>
          <w:rFonts w:ascii="Open Sans" w:hAnsi="Open Sans" w:cs="Open Sans"/>
          <w:szCs w:val="22"/>
        </w:rPr>
        <w:t>CfD</w:t>
      </w:r>
      <w:proofErr w:type="spellEnd"/>
      <w:r w:rsidR="00BE244C" w:rsidRPr="009F6D0A">
        <w:rPr>
          <w:rFonts w:ascii="Open Sans" w:hAnsi="Open Sans" w:cs="Open Sans"/>
          <w:szCs w:val="22"/>
        </w:rPr>
        <w:t xml:space="preserve"> payments. </w:t>
      </w:r>
    </w:p>
    <w:p w14:paraId="0018F426" w14:textId="4376338C" w:rsidR="00D521C3" w:rsidRPr="009F6D0A" w:rsidRDefault="00BE244C" w:rsidP="009F6D0A">
      <w:pPr>
        <w:spacing w:before="120" w:after="120"/>
        <w:rPr>
          <w:rFonts w:ascii="Open Sans" w:hAnsi="Open Sans" w:cs="Open Sans"/>
          <w:szCs w:val="22"/>
        </w:rPr>
      </w:pPr>
      <w:r w:rsidRPr="009F6D0A">
        <w:rPr>
          <w:rFonts w:ascii="Open Sans" w:hAnsi="Open Sans" w:cs="Open Sans"/>
          <w:szCs w:val="22"/>
        </w:rPr>
        <w:t xml:space="preserve">The process by which evidence is presented must </w:t>
      </w:r>
      <w:proofErr w:type="spellStart"/>
      <w:r w:rsidRPr="009F6D0A">
        <w:rPr>
          <w:rFonts w:ascii="Open Sans" w:hAnsi="Open Sans" w:cs="Open Sans"/>
          <w:szCs w:val="22"/>
        </w:rPr>
        <w:t>bebe</w:t>
      </w:r>
      <w:proofErr w:type="spellEnd"/>
      <w:r w:rsidRPr="009F6D0A">
        <w:rPr>
          <w:rFonts w:ascii="Open Sans" w:hAnsi="Open Sans" w:cs="Open Sans"/>
          <w:szCs w:val="22"/>
        </w:rPr>
        <w:t xml:space="preserve"> clearly set out in the regulations and/or associated guidance and this process should be regulated by Ofgem. We recommend that the existing fuel mix disclosure for electricity supply is expanded to include gas which will provide suppliers with a familiar process for evidencing their supply of green gas.  </w:t>
      </w:r>
    </w:p>
    <w:p w14:paraId="72025953" w14:textId="135ECF7B" w:rsidR="00D94264" w:rsidRPr="009F6D0A" w:rsidRDefault="00D521C3" w:rsidP="00D94264">
      <w:pPr>
        <w:pStyle w:val="CommentText"/>
      </w:pPr>
      <w:r w:rsidRPr="009F6D0A">
        <w:rPr>
          <w:rFonts w:ascii="Open Sans" w:hAnsi="Open Sans" w:cs="Open Sans"/>
          <w:szCs w:val="22"/>
        </w:rPr>
        <w:t xml:space="preserve">Some energy suppliers </w:t>
      </w:r>
      <w:r w:rsidR="00553D4C" w:rsidRPr="009F6D0A">
        <w:rPr>
          <w:rFonts w:ascii="Open Sans" w:hAnsi="Open Sans" w:cs="Open Sans"/>
          <w:szCs w:val="22"/>
        </w:rPr>
        <w:t xml:space="preserve">have suggested </w:t>
      </w:r>
      <w:r w:rsidRPr="009F6D0A">
        <w:rPr>
          <w:rFonts w:ascii="Open Sans" w:hAnsi="Open Sans" w:cs="Open Sans"/>
          <w:szCs w:val="22"/>
        </w:rPr>
        <w:t xml:space="preserve">that </w:t>
      </w:r>
      <w:r w:rsidR="00F659DC" w:rsidRPr="009F6D0A">
        <w:rPr>
          <w:rFonts w:ascii="Open Sans" w:hAnsi="Open Sans" w:cs="Open Sans"/>
          <w:szCs w:val="22"/>
        </w:rPr>
        <w:t xml:space="preserve">additional </w:t>
      </w:r>
      <w:r w:rsidR="00D64013" w:rsidRPr="009F6D0A">
        <w:rPr>
          <w:rFonts w:ascii="Open Sans" w:hAnsi="Open Sans" w:cs="Open Sans"/>
          <w:szCs w:val="22"/>
        </w:rPr>
        <w:t xml:space="preserve">proportional </w:t>
      </w:r>
      <w:r w:rsidR="00A91450" w:rsidRPr="009F6D0A">
        <w:rPr>
          <w:rFonts w:ascii="Open Sans" w:hAnsi="Open Sans" w:cs="Open Sans"/>
          <w:szCs w:val="22"/>
        </w:rPr>
        <w:t xml:space="preserve">exemptions </w:t>
      </w:r>
      <w:r w:rsidR="00F659DC" w:rsidRPr="009F6D0A">
        <w:rPr>
          <w:rFonts w:ascii="Open Sans" w:hAnsi="Open Sans" w:cs="Open Sans"/>
          <w:szCs w:val="22"/>
        </w:rPr>
        <w:t xml:space="preserve">should </w:t>
      </w:r>
      <w:r w:rsidR="00553D4C" w:rsidRPr="009F6D0A">
        <w:rPr>
          <w:rFonts w:ascii="Open Sans" w:hAnsi="Open Sans" w:cs="Open Sans"/>
          <w:szCs w:val="22"/>
        </w:rPr>
        <w:t xml:space="preserve">also </w:t>
      </w:r>
      <w:r w:rsidR="00F659DC" w:rsidRPr="009F6D0A">
        <w:rPr>
          <w:rFonts w:ascii="Open Sans" w:hAnsi="Open Sans" w:cs="Open Sans"/>
          <w:szCs w:val="22"/>
        </w:rPr>
        <w:t xml:space="preserve">be given to suppliers that supply </w:t>
      </w:r>
      <w:r w:rsidR="00553D4C" w:rsidRPr="009F6D0A">
        <w:rPr>
          <w:rFonts w:ascii="Open Sans" w:hAnsi="Open Sans" w:cs="Open Sans"/>
          <w:szCs w:val="22"/>
        </w:rPr>
        <w:t xml:space="preserve">a proportion of green gas to their </w:t>
      </w:r>
      <w:r w:rsidR="00F659DC" w:rsidRPr="009F6D0A">
        <w:rPr>
          <w:rFonts w:ascii="Open Sans" w:hAnsi="Open Sans" w:cs="Open Sans"/>
          <w:szCs w:val="22"/>
        </w:rPr>
        <w:t>customers</w:t>
      </w:r>
      <w:r w:rsidR="00553D4C" w:rsidRPr="009F6D0A">
        <w:rPr>
          <w:rFonts w:ascii="Open Sans" w:hAnsi="Open Sans" w:cs="Open Sans"/>
          <w:szCs w:val="22"/>
        </w:rPr>
        <w:t xml:space="preserve"> (e.g. 10%)</w:t>
      </w:r>
      <w:r w:rsidR="00F659DC" w:rsidRPr="009F6D0A">
        <w:rPr>
          <w:rFonts w:ascii="Open Sans" w:hAnsi="Open Sans" w:cs="Open Sans"/>
          <w:szCs w:val="22"/>
        </w:rPr>
        <w:t xml:space="preserve">, </w:t>
      </w:r>
      <w:proofErr w:type="gramStart"/>
      <w:r w:rsidR="00553D4C" w:rsidRPr="009F6D0A">
        <w:rPr>
          <w:rFonts w:ascii="Open Sans" w:hAnsi="Open Sans" w:cs="Open Sans"/>
          <w:szCs w:val="22"/>
        </w:rPr>
        <w:t>as long as</w:t>
      </w:r>
      <w:proofErr w:type="gramEnd"/>
      <w:r w:rsidR="00553D4C" w:rsidRPr="009F6D0A">
        <w:rPr>
          <w:rFonts w:ascii="Open Sans" w:hAnsi="Open Sans" w:cs="Open Sans"/>
          <w:szCs w:val="22"/>
        </w:rPr>
        <w:t xml:space="preserve"> these are </w:t>
      </w:r>
      <w:r w:rsidR="00297AEB" w:rsidRPr="009F6D0A">
        <w:rPr>
          <w:rFonts w:ascii="Open Sans" w:hAnsi="Open Sans" w:cs="Open Sans"/>
          <w:szCs w:val="22"/>
        </w:rPr>
        <w:t xml:space="preserve">backed by </w:t>
      </w:r>
      <w:proofErr w:type="spellStart"/>
      <w:r w:rsidR="00297AEB" w:rsidRPr="009F6D0A">
        <w:rPr>
          <w:rFonts w:ascii="Open Sans" w:hAnsi="Open Sans" w:cs="Open Sans"/>
          <w:szCs w:val="22"/>
        </w:rPr>
        <w:t>GoOs</w:t>
      </w:r>
      <w:proofErr w:type="spellEnd"/>
      <w:r w:rsidR="00553D4C" w:rsidRPr="009F6D0A">
        <w:rPr>
          <w:rFonts w:ascii="Open Sans" w:hAnsi="Open Sans" w:cs="Open Sans"/>
          <w:szCs w:val="22"/>
        </w:rPr>
        <w:t xml:space="preserve">. </w:t>
      </w:r>
      <w:r w:rsidR="00C861DE" w:rsidRPr="009F6D0A">
        <w:rPr>
          <w:rFonts w:ascii="Open Sans" w:hAnsi="Open Sans" w:cs="Open Sans"/>
          <w:szCs w:val="22"/>
        </w:rPr>
        <w:t>These, for example, could be given an exemption or discount proportional to the proportion of green gas supplied.</w:t>
      </w:r>
      <w:r w:rsidR="00D64013" w:rsidRPr="009F6D0A">
        <w:rPr>
          <w:rFonts w:ascii="Open Sans" w:hAnsi="Open Sans" w:cs="Open Sans"/>
          <w:szCs w:val="22"/>
        </w:rPr>
        <w:t xml:space="preserve"> One benefit of this approach is that it would create a direct link between price and renewable content (supplies with higher renewable content would attract less levy therefore, if costs were passed on to consumers, would end up cheaper than higher fossil fuel based supplies).  </w:t>
      </w:r>
      <w:r w:rsidR="00D94264" w:rsidRPr="009F6D0A">
        <w:rPr>
          <w:rFonts w:ascii="Open Sans" w:hAnsi="Open Sans" w:cs="Open Sans"/>
          <w:szCs w:val="22"/>
        </w:rPr>
        <w:t>The REA supports this suggestion given that, as it stands, only one supplier would benefit from this exemption.</w:t>
      </w:r>
      <w:r w:rsidR="00D94264" w:rsidRPr="009F6D0A">
        <w:t xml:space="preserve"> </w:t>
      </w:r>
    </w:p>
    <w:p w14:paraId="374A52D6" w14:textId="77777777" w:rsidR="00D94264" w:rsidRPr="009F6D0A" w:rsidRDefault="00D94264" w:rsidP="009F6D0A">
      <w:pPr>
        <w:pStyle w:val="CommentText"/>
        <w:rPr>
          <w:rFonts w:ascii="Open Sans" w:hAnsi="Open Sans" w:cs="Open Sans"/>
          <w:szCs w:val="22"/>
        </w:rPr>
      </w:pPr>
    </w:p>
    <w:p w14:paraId="2652818D" w14:textId="28A45A5A" w:rsidR="00297AEB" w:rsidRPr="009F6D0A" w:rsidRDefault="00263934" w:rsidP="00B821F9">
      <w:pPr>
        <w:rPr>
          <w:rFonts w:ascii="Open Sans" w:hAnsi="Open Sans" w:cs="Open Sans"/>
          <w:szCs w:val="22"/>
        </w:rPr>
      </w:pPr>
      <w:r w:rsidRPr="009F6D0A">
        <w:rPr>
          <w:rFonts w:ascii="Open Sans" w:hAnsi="Open Sans" w:cs="Open Sans"/>
          <w:szCs w:val="22"/>
        </w:rPr>
        <w:t>Other</w:t>
      </w:r>
      <w:r w:rsidR="00C861DE" w:rsidRPr="009F6D0A">
        <w:rPr>
          <w:rFonts w:ascii="Open Sans" w:hAnsi="Open Sans" w:cs="Open Sans"/>
          <w:szCs w:val="22"/>
        </w:rPr>
        <w:t xml:space="preserve"> </w:t>
      </w:r>
      <w:r w:rsidR="00351C35" w:rsidRPr="009F6D0A">
        <w:rPr>
          <w:rFonts w:ascii="Open Sans" w:hAnsi="Open Sans" w:cs="Open Sans"/>
          <w:szCs w:val="22"/>
        </w:rPr>
        <w:t>suppliers</w:t>
      </w:r>
      <w:r w:rsidRPr="009F6D0A">
        <w:rPr>
          <w:rFonts w:ascii="Open Sans" w:hAnsi="Open Sans" w:cs="Open Sans"/>
          <w:szCs w:val="22"/>
        </w:rPr>
        <w:t xml:space="preserve"> have </w:t>
      </w:r>
      <w:proofErr w:type="gramStart"/>
      <w:r w:rsidRPr="009F6D0A">
        <w:rPr>
          <w:rFonts w:ascii="Open Sans" w:hAnsi="Open Sans" w:cs="Open Sans"/>
          <w:szCs w:val="22"/>
        </w:rPr>
        <w:t>made a recommendation that</w:t>
      </w:r>
      <w:proofErr w:type="gramEnd"/>
      <w:r w:rsidRPr="009F6D0A">
        <w:rPr>
          <w:rFonts w:ascii="Open Sans" w:hAnsi="Open Sans" w:cs="Open Sans"/>
          <w:szCs w:val="22"/>
        </w:rPr>
        <w:t xml:space="preserve"> the levy should take into account the support that some energy suppliers have already </w:t>
      </w:r>
      <w:r w:rsidR="00D64013" w:rsidRPr="009F6D0A">
        <w:rPr>
          <w:rFonts w:ascii="Open Sans" w:hAnsi="Open Sans" w:cs="Open Sans"/>
          <w:szCs w:val="22"/>
        </w:rPr>
        <w:t xml:space="preserve">been </w:t>
      </w:r>
      <w:r w:rsidRPr="009F6D0A">
        <w:rPr>
          <w:rFonts w:ascii="Open Sans" w:hAnsi="Open Sans" w:cs="Open Sans"/>
          <w:szCs w:val="22"/>
        </w:rPr>
        <w:t xml:space="preserve">giving to green gas over the past few years. These suppliers should have a discount based on the level of support already provided. </w:t>
      </w:r>
    </w:p>
    <w:p w14:paraId="314ADB57" w14:textId="4685F859" w:rsidR="00D521C3" w:rsidRPr="009F6D0A" w:rsidRDefault="00D521C3" w:rsidP="00D521C3">
      <w:pPr>
        <w:pStyle w:val="NormalWeb"/>
        <w:shd w:val="clear" w:color="auto" w:fill="FFFFFF"/>
        <w:rPr>
          <w:rFonts w:ascii="Open Sans" w:hAnsi="Open Sans" w:cs="Open Sans"/>
          <w:color w:val="000000"/>
          <w:sz w:val="22"/>
          <w:szCs w:val="22"/>
          <w:u w:val="single"/>
          <w:lang w:eastAsia="en-US"/>
        </w:rPr>
      </w:pPr>
      <w:proofErr w:type="spellStart"/>
      <w:r w:rsidRPr="009F6D0A">
        <w:rPr>
          <w:rFonts w:ascii="Open Sans" w:hAnsi="Open Sans" w:cs="Open Sans"/>
          <w:color w:val="000000"/>
          <w:sz w:val="22"/>
          <w:szCs w:val="22"/>
          <w:u w:val="single"/>
          <w:lang w:eastAsia="en-US"/>
        </w:rPr>
        <w:t>GoO</w:t>
      </w:r>
      <w:proofErr w:type="spellEnd"/>
      <w:r w:rsidRPr="009F6D0A">
        <w:rPr>
          <w:rFonts w:ascii="Open Sans" w:hAnsi="Open Sans" w:cs="Open Sans"/>
          <w:color w:val="000000"/>
          <w:sz w:val="22"/>
          <w:szCs w:val="22"/>
          <w:u w:val="single"/>
          <w:lang w:eastAsia="en-US"/>
        </w:rPr>
        <w:t xml:space="preserve"> and RED II</w:t>
      </w:r>
    </w:p>
    <w:p w14:paraId="07468151" w14:textId="66FFD6DA" w:rsidR="00D521C3" w:rsidRPr="009F6D0A" w:rsidRDefault="00263934" w:rsidP="002F32ED">
      <w:pPr>
        <w:pStyle w:val="NormalWeb"/>
        <w:shd w:val="clear" w:color="auto" w:fill="FFFFFF"/>
        <w:jc w:val="both"/>
        <w:rPr>
          <w:rFonts w:ascii="Open Sans" w:hAnsi="Open Sans" w:cs="Open Sans"/>
          <w:color w:val="000000"/>
          <w:sz w:val="22"/>
          <w:szCs w:val="22"/>
          <w:lang w:eastAsia="en-US"/>
        </w:rPr>
      </w:pPr>
      <w:r w:rsidRPr="009F6D0A">
        <w:rPr>
          <w:rFonts w:ascii="Open Sans" w:hAnsi="Open Sans" w:cs="Open Sans"/>
          <w:color w:val="000000"/>
          <w:sz w:val="22"/>
          <w:szCs w:val="22"/>
          <w:lang w:eastAsia="en-US"/>
        </w:rPr>
        <w:t xml:space="preserve">On a separate note related to </w:t>
      </w:r>
      <w:r w:rsidR="00D521C3" w:rsidRPr="009F6D0A">
        <w:rPr>
          <w:rFonts w:ascii="Open Sans" w:hAnsi="Open Sans" w:cs="Open Sans"/>
          <w:color w:val="000000"/>
          <w:sz w:val="22"/>
          <w:szCs w:val="22"/>
          <w:lang w:eastAsia="en-US"/>
        </w:rPr>
        <w:t>RED II</w:t>
      </w:r>
      <w:r w:rsidRPr="009F6D0A">
        <w:rPr>
          <w:rFonts w:ascii="Open Sans" w:hAnsi="Open Sans" w:cs="Open Sans"/>
          <w:color w:val="000000"/>
          <w:sz w:val="22"/>
          <w:szCs w:val="22"/>
          <w:lang w:eastAsia="en-US"/>
        </w:rPr>
        <w:t xml:space="preserve">, </w:t>
      </w:r>
      <w:r w:rsidR="00D521C3" w:rsidRPr="009F6D0A">
        <w:rPr>
          <w:rFonts w:ascii="Open Sans" w:hAnsi="Open Sans" w:cs="Open Sans"/>
          <w:color w:val="000000"/>
          <w:sz w:val="22"/>
          <w:szCs w:val="22"/>
          <w:lang w:eastAsia="en-US"/>
        </w:rPr>
        <w:t>Article 19</w:t>
      </w:r>
      <w:r w:rsidRPr="009F6D0A">
        <w:rPr>
          <w:rFonts w:ascii="Open Sans" w:hAnsi="Open Sans" w:cs="Open Sans"/>
          <w:color w:val="000000"/>
          <w:sz w:val="22"/>
          <w:szCs w:val="22"/>
          <w:lang w:eastAsia="en-US"/>
        </w:rPr>
        <w:t xml:space="preserve"> of the Directive</w:t>
      </w:r>
      <w:r w:rsidR="00D521C3" w:rsidRPr="009F6D0A">
        <w:rPr>
          <w:rFonts w:ascii="Open Sans" w:hAnsi="Open Sans" w:cs="Open Sans"/>
          <w:color w:val="000000"/>
          <w:sz w:val="22"/>
          <w:szCs w:val="22"/>
          <w:lang w:eastAsia="en-US"/>
        </w:rPr>
        <w:t xml:space="preserve"> states that member states must appoint a single competent authority to issue </w:t>
      </w:r>
      <w:proofErr w:type="spellStart"/>
      <w:r w:rsidR="00D521C3" w:rsidRPr="009F6D0A">
        <w:rPr>
          <w:rFonts w:ascii="Open Sans" w:hAnsi="Open Sans" w:cs="Open Sans"/>
          <w:color w:val="000000"/>
          <w:sz w:val="22"/>
          <w:szCs w:val="22"/>
          <w:lang w:eastAsia="en-US"/>
        </w:rPr>
        <w:t>GoO</w:t>
      </w:r>
      <w:r w:rsidR="00D64013" w:rsidRPr="009F6D0A">
        <w:rPr>
          <w:rFonts w:ascii="Open Sans" w:hAnsi="Open Sans" w:cs="Open Sans"/>
          <w:color w:val="000000"/>
          <w:sz w:val="22"/>
          <w:szCs w:val="22"/>
          <w:lang w:eastAsia="en-US"/>
        </w:rPr>
        <w:t>s</w:t>
      </w:r>
      <w:proofErr w:type="spellEnd"/>
      <w:r w:rsidR="00D521C3" w:rsidRPr="009F6D0A">
        <w:rPr>
          <w:rFonts w:ascii="Open Sans" w:hAnsi="Open Sans" w:cs="Open Sans"/>
          <w:color w:val="000000"/>
          <w:sz w:val="22"/>
          <w:szCs w:val="22"/>
          <w:lang w:eastAsia="en-US"/>
        </w:rPr>
        <w:t xml:space="preserve"> for gas. The </w:t>
      </w:r>
      <w:proofErr w:type="spellStart"/>
      <w:r w:rsidR="00D521C3" w:rsidRPr="009F6D0A">
        <w:rPr>
          <w:rFonts w:ascii="Open Sans" w:hAnsi="Open Sans" w:cs="Open Sans"/>
          <w:color w:val="000000"/>
          <w:sz w:val="22"/>
          <w:szCs w:val="22"/>
          <w:lang w:eastAsia="en-US"/>
        </w:rPr>
        <w:t>GoOs</w:t>
      </w:r>
      <w:proofErr w:type="spellEnd"/>
      <w:r w:rsidR="00D521C3" w:rsidRPr="009F6D0A">
        <w:rPr>
          <w:rFonts w:ascii="Open Sans" w:hAnsi="Open Sans" w:cs="Open Sans"/>
          <w:color w:val="000000"/>
          <w:sz w:val="22"/>
          <w:szCs w:val="22"/>
          <w:lang w:eastAsia="en-US"/>
        </w:rPr>
        <w:t xml:space="preserve"> that are issued must conform to the requirements of RED II which references conformity with standard CEN EN16325 (Guarantees of Origin related to energy). </w:t>
      </w:r>
    </w:p>
    <w:p w14:paraId="7F171551" w14:textId="77777777" w:rsidR="00BE244C" w:rsidRPr="009F6D0A" w:rsidRDefault="00D521C3" w:rsidP="002F32ED">
      <w:pPr>
        <w:pStyle w:val="NormalWeb"/>
        <w:shd w:val="clear" w:color="auto" w:fill="FFFFFF"/>
        <w:jc w:val="both"/>
        <w:rPr>
          <w:rFonts w:ascii="Open Sans" w:hAnsi="Open Sans" w:cs="Open Sans"/>
          <w:color w:val="000000"/>
          <w:sz w:val="22"/>
          <w:szCs w:val="22"/>
          <w:lang w:eastAsia="en-US"/>
        </w:rPr>
      </w:pPr>
      <w:r w:rsidRPr="009F6D0A">
        <w:rPr>
          <w:rFonts w:ascii="Open Sans" w:hAnsi="Open Sans" w:cs="Open Sans"/>
          <w:color w:val="000000"/>
          <w:sz w:val="22"/>
          <w:szCs w:val="22"/>
          <w:lang w:eastAsia="en-US"/>
        </w:rPr>
        <w:t xml:space="preserve">We strongly recommend that a competent body is appointed to issue </w:t>
      </w:r>
      <w:proofErr w:type="spellStart"/>
      <w:r w:rsidRPr="009F6D0A">
        <w:rPr>
          <w:rFonts w:ascii="Open Sans" w:hAnsi="Open Sans" w:cs="Open Sans"/>
          <w:color w:val="000000"/>
          <w:sz w:val="22"/>
          <w:szCs w:val="22"/>
          <w:lang w:eastAsia="en-US"/>
        </w:rPr>
        <w:t>GoO</w:t>
      </w:r>
      <w:proofErr w:type="spellEnd"/>
      <w:r w:rsidRPr="009F6D0A">
        <w:rPr>
          <w:rFonts w:ascii="Open Sans" w:hAnsi="Open Sans" w:cs="Open Sans"/>
          <w:color w:val="000000"/>
          <w:sz w:val="22"/>
          <w:szCs w:val="22"/>
          <w:lang w:eastAsia="en-US"/>
        </w:rPr>
        <w:t xml:space="preserve"> in line with RED II and we recommend that the government consider appointing an existing scheme, such as the Green Gas Certification Scheme, to minimise disruption to the market and minimise costs.</w:t>
      </w:r>
    </w:p>
    <w:p w14:paraId="2D47242B" w14:textId="2B78C080" w:rsidR="00BE244C" w:rsidRPr="009F6D0A" w:rsidRDefault="00BE244C" w:rsidP="002F32ED">
      <w:pPr>
        <w:pStyle w:val="NormalWeb"/>
        <w:shd w:val="clear" w:color="auto" w:fill="FFFFFF"/>
        <w:jc w:val="both"/>
        <w:rPr>
          <w:rFonts w:ascii="Open Sans" w:hAnsi="Open Sans" w:cs="Open Sans"/>
          <w:color w:val="000000"/>
          <w:sz w:val="22"/>
          <w:szCs w:val="22"/>
          <w:lang w:eastAsia="en-US"/>
        </w:rPr>
      </w:pPr>
      <w:r w:rsidRPr="009F6D0A">
        <w:rPr>
          <w:rFonts w:ascii="Open Sans" w:hAnsi="Open Sans" w:cs="Open Sans"/>
          <w:color w:val="000000"/>
          <w:sz w:val="22"/>
          <w:szCs w:val="22"/>
          <w:lang w:eastAsia="en-US"/>
        </w:rPr>
        <w:t xml:space="preserve">Appointing a Scheme will give maximum confidence to all </w:t>
      </w:r>
      <w:r w:rsidR="004B7C6C" w:rsidRPr="009F6D0A">
        <w:rPr>
          <w:rFonts w:ascii="Open Sans" w:hAnsi="Open Sans" w:cs="Open Sans"/>
          <w:color w:val="000000"/>
          <w:sz w:val="22"/>
          <w:szCs w:val="22"/>
          <w:lang w:eastAsia="en-US"/>
        </w:rPr>
        <w:t>stakeholders</w:t>
      </w:r>
      <w:r w:rsidRPr="009F6D0A">
        <w:rPr>
          <w:rFonts w:ascii="Open Sans" w:hAnsi="Open Sans" w:cs="Open Sans"/>
          <w:color w:val="000000"/>
          <w:sz w:val="22"/>
          <w:szCs w:val="22"/>
          <w:lang w:eastAsia="en-US"/>
        </w:rPr>
        <w:t xml:space="preserve">, in the rigour of the system being used by suppliers to receive </w:t>
      </w:r>
      <w:r w:rsidR="004B7C6C" w:rsidRPr="009F6D0A">
        <w:rPr>
          <w:rFonts w:ascii="Open Sans" w:hAnsi="Open Sans" w:cs="Open Sans"/>
          <w:color w:val="000000"/>
          <w:sz w:val="22"/>
          <w:szCs w:val="22"/>
          <w:lang w:eastAsia="en-US"/>
        </w:rPr>
        <w:t>exemptions</w:t>
      </w:r>
      <w:r w:rsidRPr="009F6D0A">
        <w:rPr>
          <w:rFonts w:ascii="Open Sans" w:hAnsi="Open Sans" w:cs="Open Sans"/>
          <w:color w:val="000000"/>
          <w:sz w:val="22"/>
          <w:szCs w:val="22"/>
          <w:lang w:eastAsia="en-US"/>
        </w:rPr>
        <w:t xml:space="preserve"> from the Green Gas Levy. </w:t>
      </w:r>
    </w:p>
    <w:p w14:paraId="646DB58E" w14:textId="2B566D35" w:rsidR="00797303" w:rsidRPr="009F6D0A" w:rsidRDefault="00797303" w:rsidP="00797303">
      <w:pPr>
        <w:pStyle w:val="NormalWeb"/>
        <w:shd w:val="clear" w:color="auto" w:fill="FFFFFF"/>
        <w:jc w:val="both"/>
        <w:rPr>
          <w:rFonts w:ascii="Open Sans" w:hAnsi="Open Sans" w:cs="Open Sans"/>
          <w:color w:val="000000"/>
          <w:sz w:val="22"/>
          <w:szCs w:val="22"/>
          <w:lang w:eastAsia="en-US"/>
        </w:rPr>
      </w:pPr>
      <w:r w:rsidRPr="009F6D0A">
        <w:rPr>
          <w:rFonts w:ascii="Open Sans" w:hAnsi="Open Sans" w:cs="Open Sans"/>
          <w:color w:val="000000"/>
          <w:sz w:val="22"/>
          <w:szCs w:val="22"/>
          <w:lang w:eastAsia="en-US"/>
        </w:rPr>
        <w:t xml:space="preserve">We also want to reiterate that we recommend that the UK and EU put in place an agreement “on mutual recognition of guarantees of origin issued in the Union” – as per RED II Article 19 </w:t>
      </w:r>
      <w:r w:rsidRPr="009F6D0A">
        <w:rPr>
          <w:rFonts w:ascii="Open Sans" w:hAnsi="Open Sans" w:cs="Open Sans"/>
          <w:color w:val="000000"/>
          <w:sz w:val="22"/>
          <w:szCs w:val="22"/>
          <w:lang w:eastAsia="en-US"/>
        </w:rPr>
        <w:lastRenderedPageBreak/>
        <w:t xml:space="preserve">clause 1 – which will allow the full integration of the UK </w:t>
      </w:r>
      <w:proofErr w:type="spellStart"/>
      <w:r w:rsidRPr="009F6D0A">
        <w:rPr>
          <w:rFonts w:ascii="Open Sans" w:hAnsi="Open Sans" w:cs="Open Sans"/>
          <w:color w:val="000000"/>
          <w:sz w:val="22"/>
          <w:szCs w:val="22"/>
          <w:lang w:eastAsia="en-US"/>
        </w:rPr>
        <w:t>GoO</w:t>
      </w:r>
      <w:proofErr w:type="spellEnd"/>
      <w:r w:rsidRPr="009F6D0A">
        <w:rPr>
          <w:rFonts w:ascii="Open Sans" w:hAnsi="Open Sans" w:cs="Open Sans"/>
          <w:color w:val="000000"/>
          <w:sz w:val="22"/>
          <w:szCs w:val="22"/>
          <w:lang w:eastAsia="en-US"/>
        </w:rPr>
        <w:t xml:space="preserve"> system for renewable gas with systems operating in the EU. </w:t>
      </w:r>
    </w:p>
    <w:p w14:paraId="357F019D" w14:textId="5FDAFA67" w:rsidR="00797303" w:rsidRPr="009F6D0A" w:rsidRDefault="00797303" w:rsidP="00797303">
      <w:pPr>
        <w:pStyle w:val="NormalWeb"/>
        <w:shd w:val="clear" w:color="auto" w:fill="FFFFFF"/>
        <w:jc w:val="both"/>
        <w:rPr>
          <w:rFonts w:ascii="Open Sans" w:hAnsi="Open Sans" w:cs="Open Sans"/>
          <w:color w:val="000000"/>
          <w:sz w:val="22"/>
          <w:szCs w:val="22"/>
          <w:lang w:eastAsia="en-US"/>
        </w:rPr>
      </w:pPr>
      <w:r w:rsidRPr="009F6D0A">
        <w:rPr>
          <w:rFonts w:ascii="Open Sans" w:hAnsi="Open Sans" w:cs="Open Sans"/>
          <w:color w:val="000000"/>
          <w:sz w:val="22"/>
          <w:szCs w:val="22"/>
          <w:lang w:eastAsia="en-US"/>
        </w:rPr>
        <w:t xml:space="preserve">A mutual recognition agreement will maximise the value that UK biomethane producers will receive for their </w:t>
      </w:r>
      <w:proofErr w:type="spellStart"/>
      <w:r w:rsidRPr="009F6D0A">
        <w:rPr>
          <w:rFonts w:ascii="Open Sans" w:hAnsi="Open Sans" w:cs="Open Sans"/>
          <w:color w:val="000000"/>
          <w:sz w:val="22"/>
          <w:szCs w:val="22"/>
          <w:lang w:eastAsia="en-US"/>
        </w:rPr>
        <w:t>GoO</w:t>
      </w:r>
      <w:proofErr w:type="spellEnd"/>
      <w:r w:rsidRPr="009F6D0A">
        <w:rPr>
          <w:rFonts w:ascii="Open Sans" w:hAnsi="Open Sans" w:cs="Open Sans"/>
          <w:color w:val="000000"/>
          <w:sz w:val="22"/>
          <w:szCs w:val="22"/>
          <w:lang w:eastAsia="en-US"/>
        </w:rPr>
        <w:t xml:space="preserve"> and therefore ensure the Green Gas Support Scheme provides the best value for money possible.</w:t>
      </w:r>
    </w:p>
    <w:p w14:paraId="5B8D2877" w14:textId="705C263B" w:rsidR="005B5FE2" w:rsidRPr="009F6D0A" w:rsidRDefault="005B5FE2" w:rsidP="009934F9">
      <w:pPr>
        <w:spacing w:before="120" w:after="120"/>
        <w:rPr>
          <w:rFonts w:ascii="Open Sans" w:hAnsi="Open Sans" w:cs="Open Sans"/>
          <w:b/>
          <w:bCs/>
          <w:szCs w:val="22"/>
        </w:rPr>
      </w:pPr>
      <w:r w:rsidRPr="009F6D0A">
        <w:rPr>
          <w:rFonts w:ascii="Open Sans" w:hAnsi="Open Sans" w:cs="Open Sans"/>
          <w:b/>
          <w:bCs/>
          <w:szCs w:val="22"/>
        </w:rPr>
        <w:t>Design of the Green Gas Levy</w:t>
      </w:r>
    </w:p>
    <w:p w14:paraId="272CCBFA" w14:textId="77777777" w:rsidR="00C6786B" w:rsidRPr="009F6D0A" w:rsidRDefault="005B5FE2" w:rsidP="00C6786B">
      <w:pPr>
        <w:pStyle w:val="ListParagraph"/>
        <w:numPr>
          <w:ilvl w:val="0"/>
          <w:numId w:val="11"/>
        </w:numPr>
        <w:spacing w:before="120" w:after="120"/>
        <w:ind w:left="426" w:hanging="426"/>
        <w:rPr>
          <w:rFonts w:ascii="Open Sans" w:hAnsi="Open Sans" w:cs="Open Sans"/>
          <w:szCs w:val="22"/>
        </w:rPr>
      </w:pPr>
      <w:r w:rsidRPr="009F6D0A">
        <w:rPr>
          <w:rFonts w:ascii="Open Sans" w:hAnsi="Open Sans" w:cs="Open Sans"/>
          <w:b/>
          <w:bCs/>
          <w:szCs w:val="22"/>
        </w:rPr>
        <w:t xml:space="preserve">Do you agree with our rationale for proposing that the Green Gas Levy be charged on a per meter per day basis, according to gas supplier meter points served? Yes/No. </w:t>
      </w:r>
      <w:r w:rsidR="00C6786B" w:rsidRPr="009F6D0A">
        <w:rPr>
          <w:rFonts w:ascii="Open Sans" w:hAnsi="Open Sans" w:cs="Open Sans"/>
          <w:b/>
          <w:bCs/>
          <w:szCs w:val="22"/>
        </w:rPr>
        <w:t>Please provide evidence to support your response.</w:t>
      </w:r>
      <w:r w:rsidR="00C6786B" w:rsidRPr="009F6D0A">
        <w:rPr>
          <w:rFonts w:ascii="Open Sans" w:hAnsi="Open Sans" w:cs="Open Sans"/>
          <w:szCs w:val="22"/>
        </w:rPr>
        <w:t xml:space="preserve"> </w:t>
      </w:r>
    </w:p>
    <w:p w14:paraId="4AA8B3B4" w14:textId="7C99FF8C" w:rsidR="00DF6A53" w:rsidRPr="009F6D0A" w:rsidRDefault="00DF6A53" w:rsidP="00C6786B">
      <w:pPr>
        <w:pStyle w:val="ListParagraph"/>
        <w:spacing w:before="120" w:after="120"/>
        <w:ind w:left="426"/>
        <w:rPr>
          <w:rFonts w:ascii="Open Sans" w:hAnsi="Open Sans" w:cs="Open Sans"/>
          <w:b/>
          <w:bCs/>
          <w:szCs w:val="22"/>
        </w:rPr>
      </w:pPr>
    </w:p>
    <w:p w14:paraId="2C1BC3CE" w14:textId="60AAD9C3" w:rsidR="0077128B" w:rsidRPr="009F6D0A" w:rsidRDefault="00887C60" w:rsidP="002903D9">
      <w:pPr>
        <w:spacing w:before="120" w:after="120"/>
        <w:rPr>
          <w:rFonts w:ascii="Open Sans" w:hAnsi="Open Sans" w:cs="Open Sans"/>
          <w:szCs w:val="22"/>
        </w:rPr>
      </w:pPr>
      <w:r w:rsidRPr="009F6D0A">
        <w:rPr>
          <w:rFonts w:ascii="Open Sans" w:hAnsi="Open Sans" w:cs="Open Sans"/>
          <w:szCs w:val="22"/>
        </w:rPr>
        <w:t xml:space="preserve">Most energy suppliers the REA has spoken to would like to see an immediate move to a volumetric approach, as </w:t>
      </w:r>
      <w:r w:rsidR="0077128B" w:rsidRPr="009F6D0A">
        <w:rPr>
          <w:rFonts w:ascii="Open Sans" w:hAnsi="Open Sans" w:cs="Open Sans"/>
          <w:szCs w:val="22"/>
        </w:rPr>
        <w:t xml:space="preserve">a flat rate approach is regressive and could </w:t>
      </w:r>
      <w:r w:rsidR="00093DCB" w:rsidRPr="009F6D0A">
        <w:rPr>
          <w:rFonts w:ascii="Open Sans" w:hAnsi="Open Sans" w:cs="Open Sans"/>
          <w:szCs w:val="22"/>
        </w:rPr>
        <w:t xml:space="preserve">place a greater burden on small and </w:t>
      </w:r>
      <w:r w:rsidR="0077128B" w:rsidRPr="009F6D0A">
        <w:rPr>
          <w:rFonts w:ascii="Open Sans" w:hAnsi="Open Sans" w:cs="Open Sans"/>
          <w:szCs w:val="22"/>
        </w:rPr>
        <w:t>most vulnerabl</w:t>
      </w:r>
      <w:r w:rsidR="00093DCB" w:rsidRPr="009F6D0A">
        <w:rPr>
          <w:rFonts w:ascii="Open Sans" w:hAnsi="Open Sans" w:cs="Open Sans"/>
          <w:szCs w:val="22"/>
        </w:rPr>
        <w:t xml:space="preserve">e consumers. </w:t>
      </w:r>
      <w:r w:rsidR="0077128B" w:rsidRPr="009F6D0A">
        <w:rPr>
          <w:rFonts w:ascii="Open Sans" w:hAnsi="Open Sans" w:cs="Open Sans"/>
          <w:szCs w:val="22"/>
        </w:rPr>
        <w:t xml:space="preserve"> </w:t>
      </w:r>
    </w:p>
    <w:p w14:paraId="7D171DBA" w14:textId="77777777" w:rsidR="00C6786B" w:rsidRPr="009F6D0A" w:rsidRDefault="00C6786B" w:rsidP="00C6786B">
      <w:pPr>
        <w:pStyle w:val="ListParagraph"/>
        <w:spacing w:before="120" w:after="120"/>
        <w:ind w:left="426"/>
        <w:rPr>
          <w:rFonts w:ascii="Open Sans" w:hAnsi="Open Sans" w:cs="Open Sans"/>
          <w:szCs w:val="22"/>
        </w:rPr>
      </w:pPr>
    </w:p>
    <w:p w14:paraId="23CB2EA8" w14:textId="30A2162E"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that the steps outlined above to provide notice to suppliers ahead of the first levy collection, and the notice period for subsequent years, are sufficient? Yes/No. Please provide evidence to support your response. </w:t>
      </w:r>
    </w:p>
    <w:p w14:paraId="5539A03A" w14:textId="1EC4AFC8" w:rsidR="00C6786B" w:rsidRPr="009F6D0A" w:rsidRDefault="00C6786B" w:rsidP="00C6786B">
      <w:pPr>
        <w:pStyle w:val="ListParagraph"/>
        <w:spacing w:before="120" w:after="120"/>
        <w:ind w:left="426"/>
        <w:rPr>
          <w:rFonts w:ascii="Open Sans" w:hAnsi="Open Sans" w:cs="Open Sans"/>
          <w:b/>
          <w:bCs/>
          <w:szCs w:val="22"/>
        </w:rPr>
      </w:pPr>
    </w:p>
    <w:p w14:paraId="7A9855E8" w14:textId="6C31C7A2" w:rsidR="00C6786B" w:rsidRPr="009F6D0A" w:rsidRDefault="00C6786B" w:rsidP="00C6786B">
      <w:pPr>
        <w:pStyle w:val="ListParagraph"/>
        <w:spacing w:before="120" w:after="120"/>
        <w:ind w:left="426"/>
        <w:rPr>
          <w:rFonts w:ascii="Open Sans" w:hAnsi="Open Sans" w:cs="Open Sans"/>
          <w:szCs w:val="22"/>
        </w:rPr>
      </w:pPr>
      <w:r w:rsidRPr="009F6D0A">
        <w:rPr>
          <w:rFonts w:ascii="Open Sans" w:hAnsi="Open Sans" w:cs="Open Sans"/>
          <w:szCs w:val="22"/>
        </w:rPr>
        <w:t xml:space="preserve">Yes </w:t>
      </w:r>
    </w:p>
    <w:p w14:paraId="4CC47BA6" w14:textId="1360206D" w:rsidR="00C6786B" w:rsidRPr="009F6D0A" w:rsidRDefault="00C6786B" w:rsidP="00C6786B">
      <w:pPr>
        <w:pStyle w:val="ListParagraph"/>
        <w:spacing w:before="120" w:after="120"/>
        <w:ind w:left="426"/>
        <w:rPr>
          <w:rFonts w:ascii="Open Sans" w:hAnsi="Open Sans" w:cs="Open Sans"/>
          <w:szCs w:val="22"/>
        </w:rPr>
      </w:pPr>
      <w:r w:rsidRPr="009F6D0A">
        <w:rPr>
          <w:rFonts w:ascii="Open Sans" w:hAnsi="Open Sans" w:cs="Open Sans"/>
          <w:szCs w:val="22"/>
        </w:rPr>
        <w:t xml:space="preserve">Any further feedback from members? </w:t>
      </w:r>
    </w:p>
    <w:p w14:paraId="69C8BCB4" w14:textId="77777777" w:rsidR="005E595D" w:rsidRPr="009F6D0A" w:rsidRDefault="005E595D" w:rsidP="00C6786B">
      <w:pPr>
        <w:pStyle w:val="ListParagraph"/>
        <w:spacing w:before="120" w:after="120"/>
        <w:ind w:left="426"/>
        <w:rPr>
          <w:rFonts w:ascii="Open Sans" w:hAnsi="Open Sans" w:cs="Open Sans"/>
          <w:szCs w:val="22"/>
        </w:rPr>
      </w:pPr>
    </w:p>
    <w:p w14:paraId="43C03585" w14:textId="13AE4D78"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with our proposed methodology for calculating the pence per meter per day levy rate? Yes/No. Please provide evidence to support your response. </w:t>
      </w:r>
    </w:p>
    <w:p w14:paraId="20DEABBE" w14:textId="6E45EDE2" w:rsidR="00C6786B" w:rsidRPr="009F6D0A" w:rsidRDefault="00C6786B" w:rsidP="00C6786B">
      <w:pPr>
        <w:pStyle w:val="ListParagraph"/>
        <w:spacing w:before="120" w:after="120"/>
        <w:ind w:left="426"/>
        <w:rPr>
          <w:rFonts w:ascii="Open Sans" w:hAnsi="Open Sans" w:cs="Open Sans"/>
          <w:szCs w:val="22"/>
        </w:rPr>
      </w:pPr>
    </w:p>
    <w:p w14:paraId="0BC3FC7A" w14:textId="78D56CD3" w:rsidR="00C6786B" w:rsidRPr="009F6D0A" w:rsidRDefault="00C6786B" w:rsidP="00C6786B">
      <w:pPr>
        <w:pStyle w:val="ListParagraph"/>
        <w:spacing w:before="120" w:after="120"/>
        <w:ind w:left="426"/>
        <w:rPr>
          <w:rFonts w:ascii="Open Sans" w:hAnsi="Open Sans" w:cs="Open Sans"/>
          <w:szCs w:val="22"/>
        </w:rPr>
      </w:pPr>
      <w:r w:rsidRPr="009F6D0A">
        <w:rPr>
          <w:rFonts w:ascii="Open Sans" w:hAnsi="Open Sans" w:cs="Open Sans"/>
          <w:szCs w:val="22"/>
        </w:rPr>
        <w:t>Yes</w:t>
      </w:r>
    </w:p>
    <w:p w14:paraId="2EBCCE58" w14:textId="77777777" w:rsidR="00D127B5" w:rsidRPr="009F6D0A" w:rsidRDefault="00D127B5" w:rsidP="00C6786B">
      <w:pPr>
        <w:pStyle w:val="ListParagraph"/>
        <w:spacing w:before="120" w:after="120"/>
        <w:ind w:left="426"/>
        <w:rPr>
          <w:rFonts w:ascii="Open Sans" w:hAnsi="Open Sans" w:cs="Open Sans"/>
          <w:szCs w:val="22"/>
        </w:rPr>
      </w:pPr>
    </w:p>
    <w:p w14:paraId="70862388" w14:textId="46323A72" w:rsidR="00C6786B" w:rsidRPr="009F6D0A" w:rsidRDefault="00C6786B" w:rsidP="00C6786B">
      <w:pPr>
        <w:pStyle w:val="ListParagraph"/>
        <w:spacing w:before="120" w:after="120"/>
        <w:ind w:left="426"/>
        <w:rPr>
          <w:rFonts w:ascii="Open Sans" w:hAnsi="Open Sans" w:cs="Open Sans"/>
          <w:szCs w:val="22"/>
        </w:rPr>
      </w:pPr>
      <w:r w:rsidRPr="009F6D0A">
        <w:rPr>
          <w:rFonts w:ascii="Open Sans" w:hAnsi="Open Sans" w:cs="Open Sans"/>
          <w:szCs w:val="22"/>
        </w:rPr>
        <w:t xml:space="preserve">The proposed methodology seems reasonable. </w:t>
      </w:r>
      <w:r w:rsidR="001279F1" w:rsidRPr="009F6D0A">
        <w:rPr>
          <w:rFonts w:ascii="Open Sans" w:hAnsi="Open Sans" w:cs="Open Sans"/>
          <w:szCs w:val="22"/>
        </w:rPr>
        <w:t xml:space="preserve">However, it is very important that templates for data collection are provided to energy suppliers in advance of the new reporting requirements. Especially for smaller suppliers the data collection process can be quite burdensome and </w:t>
      </w:r>
      <w:r w:rsidR="00D127B5" w:rsidRPr="009F6D0A">
        <w:rPr>
          <w:rFonts w:ascii="Open Sans" w:hAnsi="Open Sans" w:cs="Open Sans"/>
          <w:szCs w:val="22"/>
        </w:rPr>
        <w:t xml:space="preserve">could </w:t>
      </w:r>
      <w:r w:rsidR="001279F1" w:rsidRPr="009F6D0A">
        <w:rPr>
          <w:rFonts w:ascii="Open Sans" w:hAnsi="Open Sans" w:cs="Open Sans"/>
          <w:szCs w:val="22"/>
        </w:rPr>
        <w:t xml:space="preserve">place significant additional burden, so the process for collecting the data needs to be as smooth and straightforward as possible. </w:t>
      </w:r>
      <w:r w:rsidR="007F4080" w:rsidRPr="009F6D0A">
        <w:rPr>
          <w:rFonts w:ascii="Open Sans" w:hAnsi="Open Sans" w:cs="Open Sans"/>
          <w:szCs w:val="22"/>
        </w:rPr>
        <w:t xml:space="preserve">A digital, centralised solution would probably </w:t>
      </w:r>
      <w:r w:rsidR="00D64013" w:rsidRPr="009F6D0A">
        <w:rPr>
          <w:rFonts w:ascii="Open Sans" w:hAnsi="Open Sans" w:cs="Open Sans"/>
          <w:szCs w:val="22"/>
        </w:rPr>
        <w:t xml:space="preserve">be </w:t>
      </w:r>
      <w:r w:rsidR="007F4080" w:rsidRPr="009F6D0A">
        <w:rPr>
          <w:rFonts w:ascii="Open Sans" w:hAnsi="Open Sans" w:cs="Open Sans"/>
          <w:szCs w:val="22"/>
        </w:rPr>
        <w:t xml:space="preserve">the best way forward to collect the data and manage the payments. </w:t>
      </w:r>
    </w:p>
    <w:p w14:paraId="61A411A6" w14:textId="77777777" w:rsidR="00C6786B" w:rsidRPr="009F6D0A" w:rsidRDefault="00C6786B" w:rsidP="00C6786B">
      <w:pPr>
        <w:pStyle w:val="ListParagraph"/>
        <w:spacing w:before="120" w:after="120"/>
        <w:ind w:left="426"/>
        <w:rPr>
          <w:rFonts w:ascii="Open Sans" w:hAnsi="Open Sans" w:cs="Open Sans"/>
          <w:szCs w:val="22"/>
        </w:rPr>
      </w:pPr>
    </w:p>
    <w:p w14:paraId="4ED1D0B8" w14:textId="02E118A4"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What are your views on how underspend should be managed? Please provide evidence to support your response. </w:t>
      </w:r>
    </w:p>
    <w:p w14:paraId="107B037B" w14:textId="5A4131A0" w:rsidR="00C6786B" w:rsidRPr="009F6D0A" w:rsidRDefault="00C6786B" w:rsidP="00C6786B">
      <w:pPr>
        <w:pStyle w:val="ListParagraph"/>
        <w:spacing w:before="120" w:after="120"/>
        <w:ind w:left="426"/>
        <w:rPr>
          <w:rFonts w:ascii="Open Sans" w:hAnsi="Open Sans" w:cs="Open Sans"/>
          <w:b/>
          <w:bCs/>
          <w:szCs w:val="22"/>
        </w:rPr>
      </w:pPr>
    </w:p>
    <w:p w14:paraId="15143BE7" w14:textId="47E9E4A4" w:rsidR="00D12B2A" w:rsidRPr="009F6D0A" w:rsidRDefault="00CB4FE8" w:rsidP="007F4080">
      <w:pPr>
        <w:pStyle w:val="ListParagraph"/>
        <w:spacing w:before="120" w:after="120"/>
        <w:ind w:left="426"/>
        <w:rPr>
          <w:rFonts w:ascii="Open Sans" w:hAnsi="Open Sans" w:cs="Open Sans"/>
          <w:szCs w:val="22"/>
        </w:rPr>
      </w:pPr>
      <w:r w:rsidRPr="009F6D0A">
        <w:rPr>
          <w:rFonts w:ascii="Open Sans" w:hAnsi="Open Sans" w:cs="Open Sans"/>
          <w:szCs w:val="22"/>
        </w:rPr>
        <w:t xml:space="preserve">Some energy suppliers have said that any reconciliation process should be avoided to minimise any additional administrative burden. </w:t>
      </w:r>
    </w:p>
    <w:p w14:paraId="72F534D4" w14:textId="77777777" w:rsidR="00D12B2A" w:rsidRPr="009F6D0A" w:rsidRDefault="00D12B2A" w:rsidP="007F4080">
      <w:pPr>
        <w:pStyle w:val="ListParagraph"/>
        <w:spacing w:before="120" w:after="120"/>
        <w:ind w:left="426"/>
        <w:rPr>
          <w:rFonts w:ascii="Open Sans" w:hAnsi="Open Sans" w:cs="Open Sans"/>
          <w:szCs w:val="22"/>
        </w:rPr>
      </w:pPr>
    </w:p>
    <w:p w14:paraId="7F7BDA02" w14:textId="0FF90C32" w:rsidR="00730A35" w:rsidRPr="009F6D0A" w:rsidRDefault="00D12B2A" w:rsidP="007F4080">
      <w:pPr>
        <w:pStyle w:val="ListParagraph"/>
        <w:spacing w:before="120" w:after="120"/>
        <w:ind w:left="426"/>
        <w:rPr>
          <w:rFonts w:ascii="Open Sans" w:hAnsi="Open Sans" w:cs="Open Sans"/>
          <w:szCs w:val="22"/>
        </w:rPr>
      </w:pPr>
      <w:r w:rsidRPr="009F6D0A">
        <w:rPr>
          <w:rFonts w:ascii="Open Sans" w:hAnsi="Open Sans" w:cs="Open Sans"/>
          <w:szCs w:val="22"/>
        </w:rPr>
        <w:t>To ensure BEIS/Ofgem estimate of any underspen</w:t>
      </w:r>
      <w:r w:rsidR="00D64013" w:rsidRPr="009F6D0A">
        <w:rPr>
          <w:rFonts w:ascii="Open Sans" w:hAnsi="Open Sans" w:cs="Open Sans"/>
          <w:szCs w:val="22"/>
        </w:rPr>
        <w:t>d</w:t>
      </w:r>
      <w:r w:rsidRPr="009F6D0A">
        <w:rPr>
          <w:rFonts w:ascii="Open Sans" w:hAnsi="Open Sans" w:cs="Open Sans"/>
          <w:szCs w:val="22"/>
        </w:rPr>
        <w:t xml:space="preserve"> is as accurate as possible, we would recommend that Ofgem is given access to the Gemini data system. This is the online system used by National Grid to manage the transport of gas through pipelines and has </w:t>
      </w:r>
      <w:r w:rsidRPr="009F6D0A">
        <w:rPr>
          <w:rFonts w:ascii="Open Sans" w:hAnsi="Open Sans" w:cs="Open Sans"/>
          <w:szCs w:val="22"/>
        </w:rPr>
        <w:lastRenderedPageBreak/>
        <w:t xml:space="preserve">live </w:t>
      </w:r>
      <w:r w:rsidR="0027635E" w:rsidRPr="009F6D0A">
        <w:rPr>
          <w:rFonts w:ascii="Open Sans" w:hAnsi="Open Sans" w:cs="Open Sans"/>
          <w:szCs w:val="22"/>
        </w:rPr>
        <w:t>information</w:t>
      </w:r>
      <w:r w:rsidRPr="009F6D0A">
        <w:rPr>
          <w:rFonts w:ascii="Open Sans" w:hAnsi="Open Sans" w:cs="Open Sans"/>
          <w:szCs w:val="22"/>
        </w:rPr>
        <w:t xml:space="preserve"> on volumes of gas (biomethane plus propane) injected in the gas grid. </w:t>
      </w:r>
      <w:r w:rsidR="007F4080" w:rsidRPr="009F6D0A">
        <w:rPr>
          <w:rFonts w:ascii="Open Sans" w:hAnsi="Open Sans" w:cs="Open Sans"/>
          <w:szCs w:val="22"/>
        </w:rPr>
        <w:t xml:space="preserve">This </w:t>
      </w:r>
      <w:r w:rsidR="0027635E" w:rsidRPr="009F6D0A">
        <w:rPr>
          <w:rFonts w:ascii="Open Sans" w:hAnsi="Open Sans" w:cs="Open Sans"/>
          <w:szCs w:val="22"/>
        </w:rPr>
        <w:t xml:space="preserve">would </w:t>
      </w:r>
      <w:r w:rsidR="007F4080" w:rsidRPr="009F6D0A">
        <w:rPr>
          <w:rFonts w:ascii="Open Sans" w:hAnsi="Open Sans" w:cs="Open Sans"/>
          <w:szCs w:val="22"/>
        </w:rPr>
        <w:t xml:space="preserve">give them a record of when plants are coming online in a much quicker way than the quarterly </w:t>
      </w:r>
      <w:r w:rsidR="0027635E" w:rsidRPr="009F6D0A">
        <w:rPr>
          <w:rFonts w:ascii="Open Sans" w:hAnsi="Open Sans" w:cs="Open Sans"/>
          <w:szCs w:val="22"/>
        </w:rPr>
        <w:t xml:space="preserve">biomethane producers’ </w:t>
      </w:r>
      <w:r w:rsidR="007F4080" w:rsidRPr="009F6D0A">
        <w:rPr>
          <w:rFonts w:ascii="Open Sans" w:hAnsi="Open Sans" w:cs="Open Sans"/>
          <w:szCs w:val="22"/>
        </w:rPr>
        <w:t>submissions</w:t>
      </w:r>
      <w:r w:rsidR="0027635E" w:rsidRPr="009F6D0A">
        <w:rPr>
          <w:rFonts w:ascii="Open Sans" w:hAnsi="Open Sans" w:cs="Open Sans"/>
          <w:szCs w:val="22"/>
        </w:rPr>
        <w:t xml:space="preserve"> (</w:t>
      </w:r>
      <w:r w:rsidR="007F4080" w:rsidRPr="009F6D0A">
        <w:rPr>
          <w:rFonts w:ascii="Open Sans" w:hAnsi="Open Sans" w:cs="Open Sans"/>
          <w:szCs w:val="22"/>
        </w:rPr>
        <w:t xml:space="preserve">which are </w:t>
      </w:r>
      <w:r w:rsidR="0027635E" w:rsidRPr="009F6D0A">
        <w:rPr>
          <w:rFonts w:ascii="Open Sans" w:hAnsi="Open Sans" w:cs="Open Sans"/>
          <w:szCs w:val="22"/>
        </w:rPr>
        <w:t>typically</w:t>
      </w:r>
      <w:r w:rsidR="007F4080" w:rsidRPr="009F6D0A">
        <w:rPr>
          <w:rFonts w:ascii="Open Sans" w:hAnsi="Open Sans" w:cs="Open Sans"/>
          <w:szCs w:val="22"/>
        </w:rPr>
        <w:t xml:space="preserve"> 3 months and 6 weeks later than </w:t>
      </w:r>
      <w:r w:rsidR="0027635E" w:rsidRPr="009F6D0A">
        <w:rPr>
          <w:rFonts w:ascii="Open Sans" w:hAnsi="Open Sans" w:cs="Open Sans"/>
          <w:szCs w:val="22"/>
        </w:rPr>
        <w:t>the point at which</w:t>
      </w:r>
      <w:r w:rsidR="007F4080" w:rsidRPr="009F6D0A">
        <w:rPr>
          <w:rFonts w:ascii="Open Sans" w:hAnsi="Open Sans" w:cs="Open Sans"/>
          <w:szCs w:val="22"/>
        </w:rPr>
        <w:t xml:space="preserve"> the information has been recorded</w:t>
      </w:r>
      <w:r w:rsidR="0027635E" w:rsidRPr="009F6D0A">
        <w:rPr>
          <w:rFonts w:ascii="Open Sans" w:hAnsi="Open Sans" w:cs="Open Sans"/>
          <w:szCs w:val="22"/>
        </w:rPr>
        <w:t>)</w:t>
      </w:r>
      <w:r w:rsidR="007F4080" w:rsidRPr="009F6D0A">
        <w:rPr>
          <w:rFonts w:ascii="Open Sans" w:hAnsi="Open Sans" w:cs="Open Sans"/>
          <w:szCs w:val="22"/>
        </w:rPr>
        <w:t xml:space="preserve">. </w:t>
      </w:r>
    </w:p>
    <w:p w14:paraId="18156FD9" w14:textId="77777777" w:rsidR="00730A35" w:rsidRPr="009F6D0A" w:rsidRDefault="00730A35" w:rsidP="007F4080">
      <w:pPr>
        <w:pStyle w:val="ListParagraph"/>
        <w:spacing w:before="120" w:after="120"/>
        <w:ind w:left="426"/>
        <w:rPr>
          <w:rFonts w:ascii="Open Sans" w:hAnsi="Open Sans" w:cs="Open Sans"/>
          <w:szCs w:val="22"/>
        </w:rPr>
      </w:pPr>
    </w:p>
    <w:p w14:paraId="63291AA1" w14:textId="709AAF57" w:rsidR="00730A35" w:rsidRPr="009F6D0A" w:rsidRDefault="00730A35" w:rsidP="00730A35">
      <w:pPr>
        <w:pStyle w:val="ListParagraph"/>
        <w:spacing w:before="120" w:after="120"/>
        <w:ind w:left="426"/>
        <w:rPr>
          <w:rFonts w:ascii="Open Sans" w:hAnsi="Open Sans" w:cs="Open Sans"/>
          <w:szCs w:val="22"/>
        </w:rPr>
      </w:pPr>
      <w:r w:rsidRPr="009F6D0A">
        <w:rPr>
          <w:rFonts w:ascii="Open Sans" w:hAnsi="Open Sans" w:cs="Open Sans"/>
          <w:szCs w:val="22"/>
        </w:rPr>
        <w:t xml:space="preserve">BEIS should also note that access to Gemini is also key to minimise biomethane producers’ administrative burden and avoid payment delays from Ofgem. The provision of information / evidence on the meter data from biomethane producers is often the cause of payment delays. </w:t>
      </w:r>
      <w:r w:rsidR="00D54A1A" w:rsidRPr="009F6D0A">
        <w:rPr>
          <w:rFonts w:ascii="Open Sans" w:hAnsi="Open Sans" w:cs="Open Sans"/>
          <w:szCs w:val="22"/>
        </w:rPr>
        <w:t xml:space="preserve">Ofgem could be given access to the Gemini system (e.g. the applicant could provide them with their registration </w:t>
      </w:r>
      <w:proofErr w:type="gramStart"/>
      <w:r w:rsidR="00D54A1A" w:rsidRPr="009F6D0A">
        <w:rPr>
          <w:rFonts w:ascii="Open Sans" w:hAnsi="Open Sans" w:cs="Open Sans"/>
          <w:szCs w:val="22"/>
        </w:rPr>
        <w:t>code</w:t>
      </w:r>
      <w:proofErr w:type="gramEnd"/>
      <w:r w:rsidR="00D54A1A" w:rsidRPr="009F6D0A">
        <w:rPr>
          <w:rFonts w:ascii="Open Sans" w:hAnsi="Open Sans" w:cs="Open Sans"/>
          <w:szCs w:val="22"/>
        </w:rPr>
        <w:t xml:space="preserve"> or they could be given access by Xoserve). </w:t>
      </w:r>
      <w:r w:rsidRPr="009F6D0A">
        <w:rPr>
          <w:rFonts w:ascii="Open Sans" w:hAnsi="Open Sans" w:cs="Open Sans"/>
          <w:szCs w:val="22"/>
        </w:rPr>
        <w:t>Ofgem would then only need to check that the data supplied</w:t>
      </w:r>
      <w:r w:rsidR="00D54A1A" w:rsidRPr="009F6D0A">
        <w:rPr>
          <w:rFonts w:ascii="Open Sans" w:hAnsi="Open Sans" w:cs="Open Sans"/>
          <w:szCs w:val="22"/>
        </w:rPr>
        <w:t xml:space="preserve"> by the producers </w:t>
      </w:r>
      <w:r w:rsidRPr="009F6D0A">
        <w:rPr>
          <w:rFonts w:ascii="Open Sans" w:hAnsi="Open Sans" w:cs="Open Sans"/>
          <w:szCs w:val="22"/>
        </w:rPr>
        <w:t xml:space="preserve">ties up with the data in Gemini. </w:t>
      </w:r>
    </w:p>
    <w:p w14:paraId="794589D9" w14:textId="77777777" w:rsidR="00D54A1A" w:rsidRPr="009F6D0A" w:rsidRDefault="00D54A1A" w:rsidP="00730A35">
      <w:pPr>
        <w:pStyle w:val="ListParagraph"/>
        <w:spacing w:before="120" w:after="120"/>
        <w:ind w:left="426"/>
        <w:rPr>
          <w:rFonts w:ascii="Open Sans" w:hAnsi="Open Sans" w:cs="Open Sans"/>
          <w:szCs w:val="22"/>
        </w:rPr>
      </w:pPr>
    </w:p>
    <w:p w14:paraId="6468DAD5" w14:textId="4EEAE9F2" w:rsidR="00730A35" w:rsidRPr="009F6D0A" w:rsidRDefault="00730A35" w:rsidP="00730A35">
      <w:pPr>
        <w:pStyle w:val="ListParagraph"/>
        <w:spacing w:before="120" w:after="120"/>
        <w:ind w:left="426"/>
        <w:rPr>
          <w:rFonts w:ascii="Open Sans" w:hAnsi="Open Sans" w:cs="Open Sans"/>
          <w:szCs w:val="22"/>
        </w:rPr>
      </w:pPr>
      <w:r w:rsidRPr="009F6D0A">
        <w:rPr>
          <w:rFonts w:ascii="Open Sans" w:hAnsi="Open Sans" w:cs="Open Sans"/>
          <w:szCs w:val="22"/>
        </w:rPr>
        <w:t>It should be noted that the regulator</w:t>
      </w:r>
      <w:r w:rsidRPr="009F6D0A">
        <w:rPr>
          <w:rFonts w:ascii="Open Sans" w:hAnsi="Open Sans" w:cs="Open Sans" w:hint="eastAsia"/>
          <w:szCs w:val="22"/>
        </w:rPr>
        <w:t>’</w:t>
      </w:r>
      <w:r w:rsidRPr="009F6D0A">
        <w:rPr>
          <w:rFonts w:ascii="Open Sans" w:hAnsi="Open Sans" w:cs="Open Sans"/>
          <w:szCs w:val="22"/>
        </w:rPr>
        <w:t>s access to the grid system operator</w:t>
      </w:r>
      <w:r w:rsidRPr="009F6D0A">
        <w:rPr>
          <w:rFonts w:ascii="Open Sans" w:hAnsi="Open Sans" w:cs="Open Sans" w:hint="eastAsia"/>
          <w:szCs w:val="22"/>
        </w:rPr>
        <w:t>’</w:t>
      </w:r>
      <w:r w:rsidRPr="009F6D0A">
        <w:rPr>
          <w:rFonts w:ascii="Open Sans" w:hAnsi="Open Sans" w:cs="Open Sans"/>
          <w:szCs w:val="22"/>
        </w:rPr>
        <w:t>s online system is already in place in other countries of Europe. As an example, in the Netherlands and Denmark the subsidy and guarantee of origin (</w:t>
      </w:r>
      <w:proofErr w:type="spellStart"/>
      <w:r w:rsidRPr="009F6D0A">
        <w:rPr>
          <w:rFonts w:ascii="Open Sans" w:hAnsi="Open Sans" w:cs="Open Sans"/>
          <w:szCs w:val="22"/>
        </w:rPr>
        <w:t>GoO</w:t>
      </w:r>
      <w:proofErr w:type="spellEnd"/>
      <w:r w:rsidRPr="009F6D0A">
        <w:rPr>
          <w:rFonts w:ascii="Open Sans" w:hAnsi="Open Sans" w:cs="Open Sans"/>
          <w:szCs w:val="22"/>
        </w:rPr>
        <w:t xml:space="preserve">) system are integrated into the </w:t>
      </w:r>
      <w:r w:rsidR="00094BF4" w:rsidRPr="009F6D0A">
        <w:rPr>
          <w:rFonts w:ascii="Open Sans" w:hAnsi="Open Sans" w:cs="Open Sans"/>
          <w:szCs w:val="22"/>
        </w:rPr>
        <w:t>S</w:t>
      </w:r>
      <w:r w:rsidRPr="009F6D0A">
        <w:rPr>
          <w:rFonts w:ascii="Open Sans" w:hAnsi="Open Sans" w:cs="Open Sans"/>
          <w:szCs w:val="22"/>
        </w:rPr>
        <w:t xml:space="preserve">ystem </w:t>
      </w:r>
      <w:r w:rsidR="00094BF4" w:rsidRPr="009F6D0A">
        <w:rPr>
          <w:rFonts w:ascii="Open Sans" w:hAnsi="Open Sans" w:cs="Open Sans"/>
          <w:szCs w:val="22"/>
        </w:rPr>
        <w:t>O</w:t>
      </w:r>
      <w:r w:rsidRPr="009F6D0A">
        <w:rPr>
          <w:rFonts w:ascii="Open Sans" w:hAnsi="Open Sans" w:cs="Open Sans"/>
          <w:szCs w:val="22"/>
        </w:rPr>
        <w:t>perator</w:t>
      </w:r>
      <w:r w:rsidRPr="009F6D0A">
        <w:rPr>
          <w:rFonts w:ascii="Open Sans" w:hAnsi="Open Sans" w:cs="Open Sans" w:hint="eastAsia"/>
          <w:szCs w:val="22"/>
        </w:rPr>
        <w:t>’</w:t>
      </w:r>
      <w:r w:rsidRPr="009F6D0A">
        <w:rPr>
          <w:rFonts w:ascii="Open Sans" w:hAnsi="Open Sans" w:cs="Open Sans"/>
          <w:szCs w:val="22"/>
        </w:rPr>
        <w:t xml:space="preserve">s processes so that meter readings can be taken directly from the primary source e.g. Gemini in the UK. This removes a level of administration from the producer and increases the reliability of the data used in the subsidy and </w:t>
      </w:r>
      <w:proofErr w:type="spellStart"/>
      <w:r w:rsidRPr="009F6D0A">
        <w:rPr>
          <w:rFonts w:ascii="Open Sans" w:hAnsi="Open Sans" w:cs="Open Sans"/>
          <w:szCs w:val="22"/>
        </w:rPr>
        <w:t>GoO</w:t>
      </w:r>
      <w:proofErr w:type="spellEnd"/>
      <w:r w:rsidRPr="009F6D0A">
        <w:rPr>
          <w:rFonts w:ascii="Open Sans" w:hAnsi="Open Sans" w:cs="Open Sans"/>
          <w:szCs w:val="22"/>
        </w:rPr>
        <w:t xml:space="preserve"> systems. We would be happy to provide further detail on this if needed. </w:t>
      </w:r>
    </w:p>
    <w:p w14:paraId="5351808C" w14:textId="77777777" w:rsidR="00730A35" w:rsidRPr="009F6D0A" w:rsidRDefault="00730A35" w:rsidP="00730A35">
      <w:pPr>
        <w:pStyle w:val="ListParagraph"/>
        <w:spacing w:before="120" w:after="120"/>
        <w:ind w:left="426"/>
        <w:rPr>
          <w:rFonts w:ascii="Open Sans" w:hAnsi="Open Sans" w:cs="Open Sans"/>
          <w:szCs w:val="22"/>
        </w:rPr>
      </w:pPr>
    </w:p>
    <w:p w14:paraId="7892D631" w14:textId="263F1707"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with our rationale for proposing that levy payments should be made quarterly? Yes/No. Please provide evidence to support your response. </w:t>
      </w:r>
    </w:p>
    <w:p w14:paraId="5D63244F" w14:textId="3F74D074" w:rsidR="00C6786B" w:rsidRPr="009F6D0A" w:rsidRDefault="00C6786B" w:rsidP="00C6786B">
      <w:pPr>
        <w:pStyle w:val="ListParagraph"/>
        <w:spacing w:before="120" w:after="120"/>
        <w:ind w:left="426"/>
        <w:rPr>
          <w:rFonts w:ascii="Open Sans" w:hAnsi="Open Sans" w:cs="Open Sans"/>
          <w:szCs w:val="22"/>
        </w:rPr>
      </w:pPr>
    </w:p>
    <w:p w14:paraId="7F6DBF3D" w14:textId="57C63BA6" w:rsidR="00C6786B" w:rsidRPr="009F6D0A" w:rsidRDefault="00C6786B" w:rsidP="00C6786B">
      <w:pPr>
        <w:pStyle w:val="ListParagraph"/>
        <w:spacing w:before="120" w:after="120"/>
        <w:ind w:left="426"/>
        <w:rPr>
          <w:rFonts w:ascii="Open Sans" w:hAnsi="Open Sans" w:cs="Open Sans"/>
          <w:szCs w:val="22"/>
        </w:rPr>
      </w:pPr>
      <w:r w:rsidRPr="009F6D0A">
        <w:rPr>
          <w:rFonts w:ascii="Open Sans" w:hAnsi="Open Sans" w:cs="Open Sans"/>
          <w:szCs w:val="22"/>
        </w:rPr>
        <w:t xml:space="preserve">Yes. </w:t>
      </w:r>
    </w:p>
    <w:p w14:paraId="6AEB2D6A" w14:textId="05497191" w:rsidR="00C6786B" w:rsidRDefault="00C6786B" w:rsidP="00C6786B">
      <w:pPr>
        <w:pStyle w:val="ListParagraph"/>
        <w:spacing w:before="120" w:after="120"/>
        <w:ind w:left="426"/>
        <w:rPr>
          <w:rFonts w:ascii="Open Sans" w:hAnsi="Open Sans" w:cs="Open Sans"/>
          <w:szCs w:val="22"/>
        </w:rPr>
      </w:pPr>
      <w:r w:rsidRPr="009F6D0A">
        <w:rPr>
          <w:rFonts w:ascii="Open Sans" w:hAnsi="Open Sans" w:cs="Open Sans"/>
          <w:szCs w:val="22"/>
        </w:rPr>
        <w:t xml:space="preserve">The energy suppliers we have spoken to agree with a quarterly payment schedule. </w:t>
      </w:r>
    </w:p>
    <w:p w14:paraId="42DF633E" w14:textId="77777777" w:rsidR="009F6D0A" w:rsidRPr="009F6D0A" w:rsidRDefault="009F6D0A" w:rsidP="009F6D0A">
      <w:pPr>
        <w:ind w:left="426"/>
        <w:rPr>
          <w:rFonts w:ascii="Open Sans" w:hAnsi="Open Sans" w:cs="Open Sans"/>
          <w:szCs w:val="22"/>
        </w:rPr>
      </w:pPr>
      <w:r w:rsidRPr="009F6D0A">
        <w:rPr>
          <w:rFonts w:ascii="Open Sans" w:hAnsi="Open Sans" w:cs="Open Sans"/>
          <w:szCs w:val="22"/>
        </w:rPr>
        <w:t>The rules set by BEIS must be clear and evident to ensure that businesses wishing to comply are able to ensure their ability in management and credit arrangements.</w:t>
      </w:r>
    </w:p>
    <w:p w14:paraId="6D9687A9" w14:textId="77777777" w:rsidR="009F6D0A" w:rsidRPr="009F6D0A" w:rsidRDefault="009F6D0A" w:rsidP="00C6786B">
      <w:pPr>
        <w:pStyle w:val="ListParagraph"/>
        <w:spacing w:before="120" w:after="120"/>
        <w:ind w:left="426"/>
        <w:rPr>
          <w:rFonts w:ascii="Open Sans" w:hAnsi="Open Sans" w:cs="Open Sans"/>
          <w:szCs w:val="22"/>
        </w:rPr>
      </w:pPr>
    </w:p>
    <w:p w14:paraId="373639CA" w14:textId="5166248A"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with our proposal that gas suppliers should provide quarterly meter point data to Ofgem to inform quarterly levy payment calculations? Yes/No. Please provide information about the availability of meter point data and the formats that it could be provided in. </w:t>
      </w:r>
    </w:p>
    <w:p w14:paraId="56949407" w14:textId="1CFFBED7" w:rsidR="00F232C1" w:rsidRPr="009F6D0A" w:rsidRDefault="00F232C1" w:rsidP="00F232C1">
      <w:pPr>
        <w:pStyle w:val="ListParagraph"/>
        <w:spacing w:before="120" w:after="120"/>
        <w:ind w:left="426"/>
        <w:rPr>
          <w:rFonts w:ascii="Open Sans" w:hAnsi="Open Sans" w:cs="Open Sans"/>
          <w:szCs w:val="22"/>
        </w:rPr>
      </w:pPr>
    </w:p>
    <w:p w14:paraId="1A48FFF8" w14:textId="12811DA8" w:rsidR="00F232C1" w:rsidRPr="009F6D0A" w:rsidRDefault="00F232C1" w:rsidP="00F232C1">
      <w:pPr>
        <w:pStyle w:val="ListParagraph"/>
        <w:spacing w:before="120" w:after="120"/>
        <w:ind w:left="426"/>
        <w:rPr>
          <w:rFonts w:ascii="Open Sans" w:hAnsi="Open Sans" w:cs="Open Sans"/>
          <w:szCs w:val="22"/>
        </w:rPr>
      </w:pPr>
      <w:r w:rsidRPr="009F6D0A">
        <w:rPr>
          <w:rFonts w:ascii="Open Sans" w:hAnsi="Open Sans" w:cs="Open Sans"/>
          <w:szCs w:val="22"/>
        </w:rPr>
        <w:t xml:space="preserve">Yes. </w:t>
      </w:r>
    </w:p>
    <w:p w14:paraId="7E5B823B" w14:textId="2DE0BBCC" w:rsidR="00F232C1" w:rsidRPr="009F6D0A" w:rsidRDefault="00F232C1" w:rsidP="00F232C1">
      <w:pPr>
        <w:pStyle w:val="ListParagraph"/>
        <w:spacing w:before="120" w:after="120"/>
        <w:ind w:left="426"/>
        <w:rPr>
          <w:rFonts w:ascii="Open Sans" w:hAnsi="Open Sans" w:cs="Open Sans"/>
          <w:szCs w:val="22"/>
        </w:rPr>
      </w:pPr>
      <w:r w:rsidRPr="009F6D0A">
        <w:rPr>
          <w:rFonts w:ascii="Open Sans" w:hAnsi="Open Sans" w:cs="Open Sans"/>
          <w:szCs w:val="22"/>
        </w:rPr>
        <w:t xml:space="preserve">The energy suppliers we have spoken to are supportive of this proposal. </w:t>
      </w:r>
    </w:p>
    <w:p w14:paraId="7141DDDC" w14:textId="77777777" w:rsidR="00F232C1" w:rsidRPr="009F6D0A" w:rsidRDefault="00F232C1" w:rsidP="00F232C1">
      <w:pPr>
        <w:pStyle w:val="ListParagraph"/>
        <w:spacing w:before="120" w:after="120"/>
        <w:ind w:left="426"/>
        <w:rPr>
          <w:rFonts w:ascii="Open Sans" w:hAnsi="Open Sans" w:cs="Open Sans"/>
          <w:szCs w:val="22"/>
        </w:rPr>
      </w:pPr>
    </w:p>
    <w:p w14:paraId="1A339754" w14:textId="19DCC1B3" w:rsidR="005B5FE2"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agree with the assumptions made and the costs set out for suppliers of familiarisation with the regulations and administration in the accompanying Impact Assessment (to be published during the consultation period)? Yes/No. Please provide additional information on any other costs to business associated with the Green Gas Levy that have not been discussed that should be considered (e.g. engagement with customers and changes to billing systems).</w:t>
      </w:r>
    </w:p>
    <w:p w14:paraId="4E79344F" w14:textId="77777777" w:rsidR="00094BF4" w:rsidRPr="009F6D0A" w:rsidRDefault="00094BF4" w:rsidP="00D127B5">
      <w:pPr>
        <w:pStyle w:val="ListParagraph"/>
        <w:spacing w:before="120" w:after="120"/>
        <w:ind w:left="426"/>
        <w:rPr>
          <w:rFonts w:ascii="Open Sans" w:hAnsi="Open Sans" w:cs="Open Sans"/>
          <w:szCs w:val="22"/>
        </w:rPr>
      </w:pPr>
    </w:p>
    <w:p w14:paraId="44FF9F62" w14:textId="7B001D83" w:rsidR="00C90B74" w:rsidRPr="009F6D0A" w:rsidRDefault="00C90B74" w:rsidP="00D127B5">
      <w:pPr>
        <w:pStyle w:val="ListParagraph"/>
        <w:spacing w:before="120" w:after="120"/>
        <w:ind w:left="426"/>
        <w:rPr>
          <w:rFonts w:ascii="Open Sans" w:hAnsi="Open Sans" w:cs="Open Sans"/>
          <w:szCs w:val="22"/>
        </w:rPr>
      </w:pPr>
      <w:r w:rsidRPr="009F6D0A">
        <w:rPr>
          <w:rFonts w:ascii="Open Sans" w:hAnsi="Open Sans" w:cs="Open Sans"/>
          <w:szCs w:val="22"/>
        </w:rPr>
        <w:t xml:space="preserve">No comments. </w:t>
      </w:r>
    </w:p>
    <w:p w14:paraId="2C066F5C" w14:textId="6775E38B" w:rsidR="00C90B74" w:rsidRPr="009F6D0A" w:rsidRDefault="00C90B74" w:rsidP="00D127B5">
      <w:pPr>
        <w:pStyle w:val="ListParagraph"/>
        <w:spacing w:before="120" w:after="120"/>
        <w:ind w:left="426"/>
        <w:rPr>
          <w:rFonts w:ascii="Open Sans" w:hAnsi="Open Sans" w:cs="Open Sans"/>
          <w:szCs w:val="22"/>
        </w:rPr>
      </w:pPr>
      <w:r w:rsidRPr="009F6D0A">
        <w:rPr>
          <w:rFonts w:ascii="Open Sans" w:hAnsi="Open Sans" w:cs="Open Sans"/>
          <w:szCs w:val="22"/>
        </w:rPr>
        <w:lastRenderedPageBreak/>
        <w:t xml:space="preserve">Any comments from members? </w:t>
      </w:r>
    </w:p>
    <w:p w14:paraId="31387B54" w14:textId="77777777" w:rsidR="00C90B74" w:rsidRPr="009F6D0A" w:rsidRDefault="00C90B74" w:rsidP="00C90B74">
      <w:pPr>
        <w:spacing w:before="120" w:after="120"/>
        <w:rPr>
          <w:rFonts w:ascii="Open Sans" w:hAnsi="Open Sans" w:cs="Open Sans"/>
          <w:szCs w:val="22"/>
        </w:rPr>
      </w:pPr>
    </w:p>
    <w:p w14:paraId="09B25D67" w14:textId="17066DE1"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with the proposal to require all suppliers to secure credit cover? Yes/No. Please provide evidence to support your response. </w:t>
      </w:r>
    </w:p>
    <w:p w14:paraId="51F339E0" w14:textId="77777777" w:rsidR="00094BF4" w:rsidRPr="009F6D0A" w:rsidRDefault="00094BF4" w:rsidP="00D127B5">
      <w:pPr>
        <w:pStyle w:val="ListParagraph"/>
        <w:spacing w:before="120" w:after="120"/>
        <w:ind w:left="426"/>
        <w:rPr>
          <w:rFonts w:ascii="Open Sans" w:hAnsi="Open Sans" w:cs="Open Sans"/>
          <w:szCs w:val="22"/>
        </w:rPr>
      </w:pPr>
    </w:p>
    <w:p w14:paraId="6CB1FCE8" w14:textId="66002596" w:rsidR="00C90B74" w:rsidRPr="009F6D0A" w:rsidRDefault="00C90B74" w:rsidP="00D127B5">
      <w:pPr>
        <w:pStyle w:val="ListParagraph"/>
        <w:spacing w:before="120" w:after="120"/>
        <w:ind w:left="426"/>
        <w:rPr>
          <w:rFonts w:ascii="Open Sans" w:hAnsi="Open Sans" w:cs="Open Sans"/>
          <w:szCs w:val="22"/>
        </w:rPr>
      </w:pPr>
      <w:r w:rsidRPr="009F6D0A">
        <w:rPr>
          <w:rFonts w:ascii="Open Sans" w:hAnsi="Open Sans" w:cs="Open Sans"/>
          <w:szCs w:val="22"/>
        </w:rPr>
        <w:t>Yes.</w:t>
      </w:r>
    </w:p>
    <w:p w14:paraId="2EAEE34E" w14:textId="0652EBD3" w:rsidR="00D4654A" w:rsidRPr="009F6D0A" w:rsidRDefault="00D4654A" w:rsidP="00D127B5">
      <w:pPr>
        <w:pStyle w:val="ListParagraph"/>
        <w:spacing w:before="120" w:after="120"/>
        <w:ind w:left="426"/>
        <w:rPr>
          <w:rFonts w:ascii="Open Sans" w:hAnsi="Open Sans" w:cs="Open Sans"/>
          <w:szCs w:val="22"/>
        </w:rPr>
      </w:pPr>
    </w:p>
    <w:p w14:paraId="120DCF5F" w14:textId="11E2C441" w:rsidR="00D4654A" w:rsidRPr="009F6D0A" w:rsidRDefault="00D4654A" w:rsidP="009F6D0A">
      <w:pPr>
        <w:pStyle w:val="CommentText"/>
        <w:ind w:left="426"/>
        <w:rPr>
          <w:rFonts w:ascii="Open Sans" w:hAnsi="Open Sans" w:cs="Open Sans"/>
          <w:sz w:val="22"/>
          <w:szCs w:val="22"/>
        </w:rPr>
      </w:pPr>
      <w:r w:rsidRPr="009F6D0A">
        <w:rPr>
          <w:rFonts w:ascii="Open Sans" w:hAnsi="Open Sans" w:cs="Open Sans"/>
          <w:sz w:val="22"/>
          <w:szCs w:val="22"/>
        </w:rPr>
        <w:t xml:space="preserve">[Comparable schemes have seen controversy over the TYPE of credit cover </w:t>
      </w:r>
      <w:r w:rsidRPr="009F6D0A">
        <w:rPr>
          <w:rFonts w:ascii="Open Sans" w:hAnsi="Open Sans" w:cs="Open Sans" w:hint="eastAsia"/>
          <w:sz w:val="22"/>
          <w:szCs w:val="22"/>
        </w:rPr>
        <w:t>–</w:t>
      </w:r>
      <w:r w:rsidRPr="009F6D0A">
        <w:rPr>
          <w:rFonts w:ascii="Open Sans" w:hAnsi="Open Sans" w:cs="Open Sans"/>
          <w:sz w:val="22"/>
          <w:szCs w:val="22"/>
        </w:rPr>
        <w:t xml:space="preserve"> think this will be key for members]</w:t>
      </w:r>
    </w:p>
    <w:p w14:paraId="362DB1E1" w14:textId="77777777" w:rsidR="00D4654A" w:rsidRPr="009F6D0A" w:rsidRDefault="00D4654A" w:rsidP="00D127B5">
      <w:pPr>
        <w:pStyle w:val="ListParagraph"/>
        <w:spacing w:before="120" w:after="120"/>
        <w:ind w:left="426"/>
        <w:rPr>
          <w:rFonts w:ascii="Open Sans" w:hAnsi="Open Sans" w:cs="Open Sans"/>
          <w:szCs w:val="22"/>
        </w:rPr>
      </w:pPr>
    </w:p>
    <w:p w14:paraId="49735D8D" w14:textId="77777777" w:rsidR="00C90B74" w:rsidRPr="009F6D0A" w:rsidRDefault="00C90B74" w:rsidP="00D127B5">
      <w:pPr>
        <w:pStyle w:val="ListParagraph"/>
        <w:spacing w:before="120" w:after="120"/>
        <w:ind w:left="426"/>
        <w:rPr>
          <w:rFonts w:ascii="Open Sans" w:hAnsi="Open Sans" w:cs="Open Sans"/>
          <w:szCs w:val="22"/>
        </w:rPr>
      </w:pPr>
      <w:r w:rsidRPr="009F6D0A">
        <w:rPr>
          <w:rFonts w:ascii="Open Sans" w:hAnsi="Open Sans" w:cs="Open Sans"/>
          <w:szCs w:val="22"/>
        </w:rPr>
        <w:t xml:space="preserve">Any comments from members? </w:t>
      </w:r>
    </w:p>
    <w:p w14:paraId="7EB364F9" w14:textId="433595D3" w:rsidR="00C90B74" w:rsidRPr="009F6D0A" w:rsidRDefault="00C90B74" w:rsidP="00C90B74">
      <w:pPr>
        <w:spacing w:before="120" w:after="120"/>
        <w:rPr>
          <w:rFonts w:ascii="Open Sans" w:hAnsi="Open Sans" w:cs="Open Sans"/>
          <w:b/>
          <w:bCs/>
          <w:szCs w:val="22"/>
        </w:rPr>
      </w:pPr>
    </w:p>
    <w:p w14:paraId="489A3989" w14:textId="12279416"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with the forms of credit cover that we are proposing could be provided by suppliers? Yes/No. If not, what alternatives would you recommend that could also be drawn upon quickly? </w:t>
      </w:r>
    </w:p>
    <w:p w14:paraId="00F84D1F" w14:textId="77777777" w:rsidR="00094BF4" w:rsidRPr="009F6D0A" w:rsidRDefault="00094BF4" w:rsidP="00D127B5">
      <w:pPr>
        <w:pStyle w:val="ListParagraph"/>
        <w:spacing w:before="120" w:after="120"/>
        <w:ind w:left="426"/>
        <w:rPr>
          <w:rFonts w:ascii="Open Sans" w:hAnsi="Open Sans" w:cs="Open Sans"/>
          <w:szCs w:val="22"/>
        </w:rPr>
      </w:pPr>
    </w:p>
    <w:p w14:paraId="1368DCA6" w14:textId="682A45E7" w:rsidR="00C90B74" w:rsidRDefault="00C90B74" w:rsidP="00D127B5">
      <w:pPr>
        <w:pStyle w:val="ListParagraph"/>
        <w:spacing w:before="120" w:after="120"/>
        <w:ind w:left="426"/>
        <w:rPr>
          <w:rFonts w:ascii="Open Sans" w:hAnsi="Open Sans" w:cs="Open Sans"/>
          <w:szCs w:val="22"/>
        </w:rPr>
      </w:pPr>
      <w:r w:rsidRPr="009F6D0A">
        <w:rPr>
          <w:rFonts w:ascii="Open Sans" w:hAnsi="Open Sans" w:cs="Open Sans"/>
          <w:szCs w:val="22"/>
        </w:rPr>
        <w:t xml:space="preserve">No comments. </w:t>
      </w:r>
    </w:p>
    <w:p w14:paraId="38C8AAB3" w14:textId="77777777" w:rsidR="009F6D0A" w:rsidRPr="009F6D0A" w:rsidRDefault="009F6D0A" w:rsidP="00D127B5">
      <w:pPr>
        <w:pStyle w:val="ListParagraph"/>
        <w:spacing w:before="120" w:after="120"/>
        <w:ind w:left="426"/>
        <w:rPr>
          <w:rFonts w:ascii="Open Sans" w:hAnsi="Open Sans" w:cs="Open Sans"/>
          <w:szCs w:val="22"/>
        </w:rPr>
      </w:pPr>
    </w:p>
    <w:p w14:paraId="49D29A7A" w14:textId="77777777" w:rsidR="00C90B74" w:rsidRPr="009F6D0A" w:rsidRDefault="00C90B74" w:rsidP="00D127B5">
      <w:pPr>
        <w:pStyle w:val="ListParagraph"/>
        <w:spacing w:before="120" w:after="120"/>
        <w:ind w:left="426"/>
        <w:rPr>
          <w:rFonts w:ascii="Open Sans" w:hAnsi="Open Sans" w:cs="Open Sans"/>
          <w:szCs w:val="22"/>
        </w:rPr>
      </w:pPr>
      <w:r w:rsidRPr="009F6D0A">
        <w:rPr>
          <w:rFonts w:ascii="Open Sans" w:hAnsi="Open Sans" w:cs="Open Sans"/>
          <w:szCs w:val="22"/>
        </w:rPr>
        <w:t xml:space="preserve">Any comments from members? </w:t>
      </w:r>
    </w:p>
    <w:p w14:paraId="1C29F983" w14:textId="77777777" w:rsidR="00C90B74" w:rsidRPr="009F6D0A" w:rsidRDefault="00C90B74" w:rsidP="00C90B74">
      <w:pPr>
        <w:spacing w:before="120" w:after="120"/>
        <w:rPr>
          <w:rFonts w:ascii="Open Sans" w:hAnsi="Open Sans" w:cs="Open Sans"/>
          <w:szCs w:val="22"/>
        </w:rPr>
      </w:pPr>
    </w:p>
    <w:p w14:paraId="5F4A5D89" w14:textId="69D8CDE0" w:rsidR="00DF6A53" w:rsidRPr="009F6D0A" w:rsidRDefault="005B5FE2"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that credit cover should be lodged on a quarterly basis, (if there is not already sufficient cover in place), </w:t>
      </w:r>
      <w:proofErr w:type="gramStart"/>
      <w:r w:rsidRPr="009F6D0A">
        <w:rPr>
          <w:rFonts w:ascii="Open Sans" w:hAnsi="Open Sans" w:cs="Open Sans"/>
          <w:b/>
          <w:bCs/>
          <w:szCs w:val="22"/>
        </w:rPr>
        <w:t>in order to</w:t>
      </w:r>
      <w:proofErr w:type="gramEnd"/>
      <w:r w:rsidRPr="009F6D0A">
        <w:rPr>
          <w:rFonts w:ascii="Open Sans" w:hAnsi="Open Sans" w:cs="Open Sans"/>
          <w:b/>
          <w:bCs/>
          <w:szCs w:val="22"/>
        </w:rPr>
        <w:t xml:space="preserve"> cover the upcoming quarterly levy payment? Yes/No. Please provide evidence to support your response.</w:t>
      </w:r>
    </w:p>
    <w:p w14:paraId="3D5EFA8B" w14:textId="7C86015E" w:rsidR="00C90B74" w:rsidRPr="009F6D0A" w:rsidRDefault="00C90B74" w:rsidP="00C90B74">
      <w:pPr>
        <w:pStyle w:val="ListParagraph"/>
        <w:spacing w:before="120" w:after="120"/>
        <w:ind w:left="426"/>
        <w:rPr>
          <w:rFonts w:ascii="Open Sans" w:hAnsi="Open Sans" w:cs="Open Sans"/>
          <w:szCs w:val="22"/>
        </w:rPr>
      </w:pPr>
    </w:p>
    <w:p w14:paraId="3BEF75C0" w14:textId="593CE11E" w:rsidR="00C90B74" w:rsidRDefault="00C90B74" w:rsidP="00C90B74">
      <w:pPr>
        <w:pStyle w:val="ListParagraph"/>
        <w:spacing w:before="120" w:after="120"/>
        <w:ind w:left="426"/>
        <w:rPr>
          <w:rFonts w:ascii="Open Sans" w:hAnsi="Open Sans" w:cs="Open Sans"/>
          <w:szCs w:val="22"/>
        </w:rPr>
      </w:pPr>
      <w:r w:rsidRPr="009F6D0A">
        <w:rPr>
          <w:rFonts w:ascii="Open Sans" w:hAnsi="Open Sans" w:cs="Open Sans"/>
          <w:szCs w:val="22"/>
        </w:rPr>
        <w:t xml:space="preserve">Yes. The energy suppliers we have spoken to are supportive of this proposal, though </w:t>
      </w:r>
      <w:r w:rsidR="0070640A" w:rsidRPr="009F6D0A">
        <w:rPr>
          <w:rFonts w:ascii="Open Sans" w:hAnsi="Open Sans" w:cs="Open Sans"/>
          <w:szCs w:val="22"/>
        </w:rPr>
        <w:t>some</w:t>
      </w:r>
      <w:r w:rsidRPr="009F6D0A">
        <w:rPr>
          <w:rFonts w:ascii="Open Sans" w:hAnsi="Open Sans" w:cs="Open Sans"/>
          <w:szCs w:val="22"/>
        </w:rPr>
        <w:t xml:space="preserve"> energy suppliers have also suggested that it would be more efficient to do this on </w:t>
      </w:r>
      <w:r w:rsidR="00094BF4" w:rsidRPr="009F6D0A">
        <w:rPr>
          <w:rFonts w:ascii="Open Sans" w:hAnsi="Open Sans" w:cs="Open Sans"/>
          <w:szCs w:val="22"/>
        </w:rPr>
        <w:t xml:space="preserve">an </w:t>
      </w:r>
      <w:r w:rsidRPr="009F6D0A">
        <w:rPr>
          <w:rFonts w:ascii="Open Sans" w:hAnsi="Open Sans" w:cs="Open Sans"/>
          <w:szCs w:val="22"/>
        </w:rPr>
        <w:t xml:space="preserve">annual basis. </w:t>
      </w:r>
    </w:p>
    <w:p w14:paraId="0F9527F3" w14:textId="77777777" w:rsidR="009F6D0A" w:rsidRPr="009F6D0A" w:rsidRDefault="009F6D0A" w:rsidP="00C90B74">
      <w:pPr>
        <w:pStyle w:val="ListParagraph"/>
        <w:spacing w:before="120" w:after="120"/>
        <w:ind w:left="426"/>
        <w:rPr>
          <w:rFonts w:ascii="Open Sans" w:hAnsi="Open Sans" w:cs="Open Sans"/>
          <w:szCs w:val="22"/>
        </w:rPr>
      </w:pPr>
    </w:p>
    <w:p w14:paraId="6A3C546E" w14:textId="277FEBEF" w:rsidR="00C90B74" w:rsidRPr="009F6D0A" w:rsidRDefault="00C90B74" w:rsidP="00C90B74">
      <w:pPr>
        <w:pStyle w:val="ListParagraph"/>
        <w:spacing w:before="120" w:after="120"/>
        <w:ind w:left="426"/>
        <w:rPr>
          <w:rFonts w:ascii="Open Sans" w:hAnsi="Open Sans" w:cs="Open Sans"/>
          <w:szCs w:val="22"/>
        </w:rPr>
      </w:pPr>
    </w:p>
    <w:p w14:paraId="718AFFD8" w14:textId="77777777" w:rsidR="00C90B74" w:rsidRPr="009F6D0A" w:rsidRDefault="00C90B74" w:rsidP="00C90B74">
      <w:pPr>
        <w:pStyle w:val="ListParagraph"/>
        <w:spacing w:before="120" w:after="120"/>
        <w:ind w:left="426"/>
        <w:rPr>
          <w:rFonts w:ascii="Open Sans" w:hAnsi="Open Sans" w:cs="Open Sans"/>
          <w:szCs w:val="22"/>
        </w:rPr>
      </w:pPr>
    </w:p>
    <w:p w14:paraId="5F01B754" w14:textId="77777777"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agree with our proposal for a flat rate charge for the levy, without tiering, as part of a per meter point levy design? Yes/No. Please provide evidence to support your response.</w:t>
      </w:r>
    </w:p>
    <w:p w14:paraId="4890361C" w14:textId="77777777" w:rsidR="00094BF4" w:rsidRPr="009F6D0A" w:rsidRDefault="00094BF4" w:rsidP="00D127B5">
      <w:pPr>
        <w:pStyle w:val="ListParagraph"/>
        <w:spacing w:before="120" w:after="120"/>
        <w:ind w:left="426"/>
        <w:rPr>
          <w:rFonts w:ascii="Open Sans" w:hAnsi="Open Sans" w:cs="Open Sans"/>
          <w:szCs w:val="22"/>
        </w:rPr>
      </w:pPr>
    </w:p>
    <w:p w14:paraId="3EAD59D7" w14:textId="0E756429" w:rsidR="00C90B74" w:rsidRPr="009F6D0A" w:rsidRDefault="00C90B74" w:rsidP="00D127B5">
      <w:pPr>
        <w:pStyle w:val="ListParagraph"/>
        <w:spacing w:before="120" w:after="120"/>
        <w:ind w:left="426"/>
        <w:rPr>
          <w:rFonts w:ascii="Open Sans" w:hAnsi="Open Sans" w:cs="Open Sans"/>
          <w:szCs w:val="22"/>
        </w:rPr>
      </w:pPr>
      <w:r w:rsidRPr="009F6D0A">
        <w:rPr>
          <w:rFonts w:ascii="Open Sans" w:hAnsi="Open Sans" w:cs="Open Sans"/>
          <w:szCs w:val="22"/>
        </w:rPr>
        <w:t xml:space="preserve">No. </w:t>
      </w:r>
    </w:p>
    <w:p w14:paraId="6210960B" w14:textId="76EAC6CA" w:rsidR="00E75ABA" w:rsidRPr="009F6D0A" w:rsidRDefault="00E75ABA" w:rsidP="00D127B5">
      <w:pPr>
        <w:pStyle w:val="ListParagraph"/>
        <w:spacing w:before="120" w:after="120"/>
        <w:ind w:left="426"/>
        <w:rPr>
          <w:rFonts w:ascii="Open Sans" w:hAnsi="Open Sans" w:cs="Open Sans"/>
          <w:szCs w:val="22"/>
        </w:rPr>
      </w:pPr>
      <w:r w:rsidRPr="009F6D0A">
        <w:rPr>
          <w:rFonts w:ascii="Open Sans" w:hAnsi="Open Sans" w:cs="Open Sans"/>
          <w:szCs w:val="22"/>
        </w:rPr>
        <w:t xml:space="preserve">The energy supplier members of the REA are supportive of the levy, but </w:t>
      </w:r>
      <w:proofErr w:type="gramStart"/>
      <w:r w:rsidRPr="009F6D0A">
        <w:rPr>
          <w:rFonts w:ascii="Open Sans" w:hAnsi="Open Sans" w:cs="Open Sans"/>
          <w:szCs w:val="22"/>
        </w:rPr>
        <w:t>don’t</w:t>
      </w:r>
      <w:proofErr w:type="gramEnd"/>
      <w:r w:rsidRPr="009F6D0A">
        <w:rPr>
          <w:rFonts w:ascii="Open Sans" w:hAnsi="Open Sans" w:cs="Open Sans"/>
          <w:szCs w:val="22"/>
        </w:rPr>
        <w:t xml:space="preserve"> agree with the fact that </w:t>
      </w:r>
      <w:r w:rsidR="00094BF4" w:rsidRPr="009F6D0A">
        <w:rPr>
          <w:rFonts w:ascii="Open Sans" w:hAnsi="Open Sans" w:cs="Open Sans"/>
          <w:szCs w:val="22"/>
        </w:rPr>
        <w:t xml:space="preserve">it </w:t>
      </w:r>
      <w:r w:rsidRPr="009F6D0A">
        <w:rPr>
          <w:rFonts w:ascii="Open Sans" w:hAnsi="Open Sans" w:cs="Open Sans"/>
          <w:szCs w:val="22"/>
        </w:rPr>
        <w:t xml:space="preserve">is regressive, as this will place the most vulnerable consumers at </w:t>
      </w:r>
      <w:r w:rsidR="00094BF4" w:rsidRPr="009F6D0A">
        <w:rPr>
          <w:rFonts w:ascii="Open Sans" w:hAnsi="Open Sans" w:cs="Open Sans"/>
          <w:szCs w:val="22"/>
        </w:rPr>
        <w:t xml:space="preserve">a </w:t>
      </w:r>
      <w:r w:rsidRPr="009F6D0A">
        <w:rPr>
          <w:rFonts w:ascii="Open Sans" w:hAnsi="Open Sans" w:cs="Open Sans"/>
          <w:szCs w:val="22"/>
        </w:rPr>
        <w:t xml:space="preserve">disadvantage. If the technical challenges can be overcome, these suppliers would support an immediate move to a volumetric approach, which would not affect negatively the smaller and most vulnerable consumers. If a volumetric approach is not possible immediately, then this should be the end goal for BEIS. </w:t>
      </w:r>
    </w:p>
    <w:p w14:paraId="5D1286C2" w14:textId="77777777" w:rsidR="00C90B74" w:rsidRPr="009F6D0A" w:rsidRDefault="00C90B74" w:rsidP="009934F9">
      <w:pPr>
        <w:spacing w:before="120" w:after="120"/>
        <w:rPr>
          <w:rFonts w:ascii="Open Sans" w:hAnsi="Open Sans" w:cs="Open Sans"/>
          <w:szCs w:val="22"/>
        </w:rPr>
      </w:pPr>
    </w:p>
    <w:p w14:paraId="4F109957" w14:textId="7C4F74A0" w:rsidR="005B5FE2" w:rsidRPr="009F6D0A" w:rsidRDefault="00DF6A53" w:rsidP="009934F9">
      <w:pPr>
        <w:spacing w:before="120" w:after="120"/>
        <w:rPr>
          <w:rFonts w:ascii="Open Sans" w:hAnsi="Open Sans" w:cs="Open Sans"/>
          <w:b/>
          <w:bCs/>
          <w:szCs w:val="22"/>
        </w:rPr>
      </w:pPr>
      <w:r w:rsidRPr="009F6D0A">
        <w:rPr>
          <w:rFonts w:ascii="Open Sans" w:hAnsi="Open Sans" w:cs="Open Sans"/>
          <w:b/>
          <w:bCs/>
          <w:szCs w:val="22"/>
        </w:rPr>
        <w:lastRenderedPageBreak/>
        <w:t>Impacts on billpayers</w:t>
      </w:r>
    </w:p>
    <w:p w14:paraId="0F3A17E3" w14:textId="54FC2DB1" w:rsidR="00DF6A53"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What are your views on the impact that the Green Gas Levy could have on billpayers? Please provide evidence to support your response.</w:t>
      </w:r>
    </w:p>
    <w:p w14:paraId="035D65C3" w14:textId="77777777" w:rsidR="00094BF4" w:rsidRPr="009F6D0A" w:rsidRDefault="00094BF4" w:rsidP="00D127B5">
      <w:pPr>
        <w:pStyle w:val="ListParagraph"/>
        <w:spacing w:before="120" w:after="120"/>
        <w:ind w:left="425"/>
        <w:rPr>
          <w:rFonts w:ascii="Open Sans" w:hAnsi="Open Sans" w:cs="Open Sans"/>
          <w:szCs w:val="22"/>
        </w:rPr>
      </w:pPr>
    </w:p>
    <w:p w14:paraId="55E7CC4E" w14:textId="4FEAF247" w:rsidR="00D127B5" w:rsidRPr="009F6D0A" w:rsidRDefault="001B446A" w:rsidP="00D127B5">
      <w:pPr>
        <w:pStyle w:val="ListParagraph"/>
        <w:spacing w:before="120" w:after="120"/>
        <w:ind w:left="425"/>
        <w:rPr>
          <w:rFonts w:ascii="Open Sans" w:hAnsi="Open Sans" w:cs="Open Sans"/>
          <w:szCs w:val="22"/>
        </w:rPr>
      </w:pPr>
      <w:r w:rsidRPr="009F6D0A">
        <w:rPr>
          <w:rFonts w:ascii="Open Sans" w:hAnsi="Open Sans" w:cs="Open Sans"/>
          <w:szCs w:val="22"/>
        </w:rPr>
        <w:t>BEIS estimates of the impact on consumers’ bill</w:t>
      </w:r>
      <w:r w:rsidR="00094BF4" w:rsidRPr="009F6D0A">
        <w:rPr>
          <w:rFonts w:ascii="Open Sans" w:hAnsi="Open Sans" w:cs="Open Sans"/>
          <w:szCs w:val="22"/>
        </w:rPr>
        <w:t>s</w:t>
      </w:r>
      <w:r w:rsidRPr="009F6D0A">
        <w:rPr>
          <w:rFonts w:ascii="Open Sans" w:hAnsi="Open Sans" w:cs="Open Sans"/>
          <w:szCs w:val="22"/>
        </w:rPr>
        <w:t xml:space="preserve"> indicate that the impact would be </w:t>
      </w:r>
      <w:r w:rsidR="00D127B5" w:rsidRPr="009F6D0A">
        <w:rPr>
          <w:rFonts w:ascii="Open Sans" w:hAnsi="Open Sans" w:cs="Open Sans"/>
          <w:szCs w:val="22"/>
        </w:rPr>
        <w:t xml:space="preserve">relatively </w:t>
      </w:r>
      <w:r w:rsidRPr="009F6D0A">
        <w:rPr>
          <w:rFonts w:ascii="Open Sans" w:hAnsi="Open Sans" w:cs="Open Sans"/>
          <w:szCs w:val="22"/>
        </w:rPr>
        <w:t xml:space="preserve">low. However, this is partly due to the low ambition and associated low budget allocation to the Green Gas Support Scheme. </w:t>
      </w:r>
    </w:p>
    <w:p w14:paraId="608AB8B7" w14:textId="77777777" w:rsidR="00D127B5" w:rsidRPr="009F6D0A" w:rsidRDefault="00D127B5" w:rsidP="00D127B5">
      <w:pPr>
        <w:pStyle w:val="ListParagraph"/>
        <w:spacing w:before="120" w:after="120"/>
        <w:ind w:left="425"/>
        <w:rPr>
          <w:rFonts w:ascii="Open Sans" w:hAnsi="Open Sans" w:cs="Open Sans"/>
          <w:szCs w:val="22"/>
        </w:rPr>
      </w:pPr>
    </w:p>
    <w:p w14:paraId="67C9B945" w14:textId="251DC77A" w:rsidR="005E595D" w:rsidRPr="009F6D0A" w:rsidRDefault="009C3D63" w:rsidP="00D127B5">
      <w:pPr>
        <w:pStyle w:val="ListParagraph"/>
        <w:spacing w:before="120" w:after="120"/>
        <w:ind w:left="425"/>
        <w:rPr>
          <w:rFonts w:ascii="Open Sans" w:hAnsi="Open Sans" w:cs="Open Sans"/>
          <w:szCs w:val="22"/>
        </w:rPr>
      </w:pPr>
      <w:r w:rsidRPr="009F6D0A">
        <w:rPr>
          <w:rFonts w:ascii="Open Sans" w:hAnsi="Open Sans" w:cs="Open Sans"/>
          <w:szCs w:val="22"/>
        </w:rPr>
        <w:t xml:space="preserve">As previously highlighted, we consider that the Scheme should be more ambitious and reflect the real potential of this sector. </w:t>
      </w:r>
    </w:p>
    <w:p w14:paraId="7D8163F1" w14:textId="77777777" w:rsidR="00D127B5" w:rsidRPr="009F6D0A" w:rsidRDefault="00D127B5" w:rsidP="00D127B5">
      <w:pPr>
        <w:pStyle w:val="ListParagraph"/>
        <w:spacing w:before="120" w:after="120"/>
        <w:ind w:left="425"/>
        <w:rPr>
          <w:rFonts w:ascii="Open Sans" w:hAnsi="Open Sans" w:cs="Open Sans"/>
          <w:szCs w:val="22"/>
        </w:rPr>
      </w:pPr>
    </w:p>
    <w:p w14:paraId="16A5A866" w14:textId="027A4FA4" w:rsidR="00937CEF" w:rsidRPr="009F6D0A" w:rsidRDefault="00937CEF" w:rsidP="00D127B5">
      <w:pPr>
        <w:pStyle w:val="ListParagraph"/>
        <w:spacing w:before="120" w:after="120"/>
        <w:ind w:left="425"/>
        <w:rPr>
          <w:rFonts w:ascii="Open Sans" w:hAnsi="Open Sans" w:cs="Open Sans"/>
          <w:szCs w:val="22"/>
        </w:rPr>
      </w:pPr>
      <w:r w:rsidRPr="009F6D0A">
        <w:rPr>
          <w:rFonts w:ascii="Open Sans" w:hAnsi="Open Sans" w:cs="Open Sans"/>
          <w:szCs w:val="22"/>
        </w:rPr>
        <w:t xml:space="preserve">As recommended previously and in our response to the consultation on the future Green Gas Support Scheme, the Scheme should be open to existing plants (e.g. existing electricity only plants or CHP plants). The impact on consumers’ bills from the inclusion of these plants would be extremely limited. Most of these plants will probably reduce their current CHP output </w:t>
      </w:r>
      <w:proofErr w:type="gramStart"/>
      <w:r w:rsidRPr="009F6D0A">
        <w:rPr>
          <w:rFonts w:ascii="Open Sans" w:hAnsi="Open Sans" w:cs="Open Sans"/>
          <w:szCs w:val="22"/>
        </w:rPr>
        <w:t>in order to</w:t>
      </w:r>
      <w:proofErr w:type="gramEnd"/>
      <w:r w:rsidRPr="009F6D0A">
        <w:rPr>
          <w:rFonts w:ascii="Open Sans" w:hAnsi="Open Sans" w:cs="Open Sans"/>
          <w:szCs w:val="22"/>
        </w:rPr>
        <w:t xml:space="preserve"> operate their new biomethane plant at full capacity. This would result in lower subsidies received under FITs or the RO, resulting </w:t>
      </w:r>
      <w:r w:rsidR="00094BF4" w:rsidRPr="009F6D0A">
        <w:rPr>
          <w:rFonts w:ascii="Open Sans" w:hAnsi="Open Sans" w:cs="Open Sans"/>
          <w:szCs w:val="22"/>
        </w:rPr>
        <w:t xml:space="preserve">in </w:t>
      </w:r>
      <w:r w:rsidRPr="009F6D0A">
        <w:rPr>
          <w:rFonts w:ascii="Open Sans" w:hAnsi="Open Sans" w:cs="Open Sans"/>
          <w:szCs w:val="22"/>
        </w:rPr>
        <w:t>lower electricity bills. The overall cost to the consumer between electricity and gas bill</w:t>
      </w:r>
      <w:r w:rsidR="00094BF4" w:rsidRPr="009F6D0A">
        <w:rPr>
          <w:rFonts w:ascii="Open Sans" w:hAnsi="Open Sans" w:cs="Open Sans"/>
          <w:szCs w:val="22"/>
        </w:rPr>
        <w:t>s</w:t>
      </w:r>
      <w:r w:rsidRPr="009F6D0A">
        <w:rPr>
          <w:rFonts w:ascii="Open Sans" w:hAnsi="Open Sans" w:cs="Open Sans"/>
          <w:szCs w:val="22"/>
        </w:rPr>
        <w:t xml:space="preserve"> is therefore unlikely to be </w:t>
      </w:r>
      <w:r w:rsidR="00D127B5" w:rsidRPr="009F6D0A">
        <w:rPr>
          <w:rFonts w:ascii="Open Sans" w:hAnsi="Open Sans" w:cs="Open Sans"/>
          <w:szCs w:val="22"/>
        </w:rPr>
        <w:t xml:space="preserve">any </w:t>
      </w:r>
      <w:r w:rsidRPr="009F6D0A">
        <w:rPr>
          <w:rFonts w:ascii="Open Sans" w:hAnsi="Open Sans" w:cs="Open Sans"/>
          <w:szCs w:val="22"/>
        </w:rPr>
        <w:t xml:space="preserve">higher. </w:t>
      </w:r>
    </w:p>
    <w:p w14:paraId="47E0F754" w14:textId="1C7D19D3" w:rsidR="005B5FE2" w:rsidRPr="009F6D0A" w:rsidRDefault="005B5FE2" w:rsidP="009934F9">
      <w:pPr>
        <w:spacing w:before="120" w:after="120"/>
        <w:rPr>
          <w:rFonts w:ascii="Open Sans" w:hAnsi="Open Sans" w:cs="Open Sans"/>
          <w:szCs w:val="22"/>
        </w:rPr>
      </w:pPr>
    </w:p>
    <w:p w14:paraId="2ABDDCEF" w14:textId="681F9F08" w:rsidR="005B5FE2" w:rsidRPr="009F6D0A" w:rsidRDefault="00DF6A53" w:rsidP="009934F9">
      <w:pPr>
        <w:spacing w:before="120" w:after="120"/>
        <w:rPr>
          <w:rFonts w:ascii="Open Sans" w:hAnsi="Open Sans" w:cs="Open Sans"/>
          <w:b/>
          <w:bCs/>
          <w:szCs w:val="22"/>
        </w:rPr>
      </w:pPr>
      <w:r w:rsidRPr="009F6D0A">
        <w:rPr>
          <w:rFonts w:ascii="Open Sans" w:hAnsi="Open Sans" w:cs="Open Sans"/>
          <w:b/>
          <w:bCs/>
          <w:szCs w:val="22"/>
        </w:rPr>
        <w:t>Budget control and financial management</w:t>
      </w:r>
    </w:p>
    <w:p w14:paraId="275E2B05" w14:textId="40B67F96"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Do you agree with the proposed approach to budget control and financial management? Yes/No. Please provide evidence to support your response, including any views on the proposed change to the quarterly meter reading submission process for biomethane producers. </w:t>
      </w:r>
    </w:p>
    <w:p w14:paraId="344985DE" w14:textId="77777777" w:rsidR="00BE37F4" w:rsidRPr="009F6D0A" w:rsidRDefault="00BE37F4" w:rsidP="00BE37F4">
      <w:pPr>
        <w:pStyle w:val="ListParagraph"/>
        <w:spacing w:before="120" w:after="120"/>
        <w:ind w:left="426"/>
        <w:rPr>
          <w:rFonts w:ascii="Open Sans" w:hAnsi="Open Sans" w:cs="Open Sans"/>
          <w:b/>
          <w:bCs/>
          <w:szCs w:val="22"/>
        </w:rPr>
      </w:pPr>
    </w:p>
    <w:p w14:paraId="31FBD803" w14:textId="0EA2DF4B" w:rsidR="001217AB" w:rsidRPr="009F6D0A" w:rsidRDefault="001217AB" w:rsidP="003A7FC0">
      <w:pPr>
        <w:pStyle w:val="ListParagraph"/>
        <w:spacing w:before="120" w:after="120"/>
        <w:ind w:left="426"/>
        <w:rPr>
          <w:rFonts w:ascii="Open Sans" w:hAnsi="Open Sans" w:cs="Open Sans"/>
          <w:szCs w:val="22"/>
        </w:rPr>
      </w:pPr>
      <w:r w:rsidRPr="009F6D0A">
        <w:rPr>
          <w:rFonts w:ascii="Open Sans" w:hAnsi="Open Sans" w:cs="Open Sans"/>
          <w:szCs w:val="22"/>
        </w:rPr>
        <w:t xml:space="preserve">Yes. </w:t>
      </w:r>
    </w:p>
    <w:p w14:paraId="6BB05716" w14:textId="3571DCA6" w:rsidR="00B6750E" w:rsidRPr="009F6D0A" w:rsidRDefault="001217AB" w:rsidP="00D127B5">
      <w:pPr>
        <w:pStyle w:val="ListParagraph"/>
        <w:spacing w:before="120" w:after="120"/>
        <w:ind w:left="426"/>
        <w:rPr>
          <w:rFonts w:ascii="Open Sans" w:hAnsi="Open Sans" w:cs="Open Sans"/>
          <w:szCs w:val="22"/>
        </w:rPr>
      </w:pPr>
      <w:r w:rsidRPr="009F6D0A">
        <w:rPr>
          <w:rFonts w:ascii="Open Sans" w:hAnsi="Open Sans" w:cs="Open Sans"/>
          <w:szCs w:val="22"/>
        </w:rPr>
        <w:t>Our biomethane producer member</w:t>
      </w:r>
      <w:r w:rsidR="00194FBD" w:rsidRPr="009F6D0A">
        <w:rPr>
          <w:rFonts w:ascii="Open Sans" w:hAnsi="Open Sans" w:cs="Open Sans"/>
          <w:szCs w:val="22"/>
        </w:rPr>
        <w:t>s</w:t>
      </w:r>
      <w:r w:rsidRPr="009F6D0A">
        <w:rPr>
          <w:rFonts w:ascii="Open Sans" w:hAnsi="Open Sans" w:cs="Open Sans"/>
          <w:szCs w:val="22"/>
        </w:rPr>
        <w:t xml:space="preserve"> see the change to a fixed date for quarterly submission data as positive. However, it is important to note that this could put significant strain on the annual sustainability auditors. Currently, these are required to audit sites </w:t>
      </w:r>
      <w:r w:rsidR="00B6750E" w:rsidRPr="009F6D0A">
        <w:rPr>
          <w:rFonts w:ascii="Open Sans" w:hAnsi="Open Sans" w:cs="Open Sans"/>
          <w:szCs w:val="22"/>
        </w:rPr>
        <w:t xml:space="preserve">at the end of the </w:t>
      </w:r>
      <w:r w:rsidRPr="009F6D0A">
        <w:rPr>
          <w:rFonts w:ascii="Open Sans" w:hAnsi="Open Sans" w:cs="Open Sans"/>
          <w:szCs w:val="22"/>
        </w:rPr>
        <w:t xml:space="preserve">fourth </w:t>
      </w:r>
      <w:r w:rsidR="00B6750E" w:rsidRPr="009F6D0A">
        <w:rPr>
          <w:rFonts w:ascii="Open Sans" w:hAnsi="Open Sans" w:cs="Open Sans"/>
          <w:szCs w:val="22"/>
        </w:rPr>
        <w:t xml:space="preserve">quarter. If </w:t>
      </w:r>
      <w:r w:rsidRPr="009F6D0A">
        <w:rPr>
          <w:rFonts w:ascii="Open Sans" w:hAnsi="Open Sans" w:cs="Open Sans"/>
          <w:szCs w:val="22"/>
        </w:rPr>
        <w:t xml:space="preserve">the </w:t>
      </w:r>
      <w:r w:rsidR="00B6750E" w:rsidRPr="009F6D0A">
        <w:rPr>
          <w:rFonts w:ascii="Open Sans" w:hAnsi="Open Sans" w:cs="Open Sans"/>
          <w:szCs w:val="22"/>
        </w:rPr>
        <w:t xml:space="preserve">dates </w:t>
      </w:r>
      <w:r w:rsidRPr="009F6D0A">
        <w:rPr>
          <w:rFonts w:ascii="Open Sans" w:hAnsi="Open Sans" w:cs="Open Sans"/>
          <w:szCs w:val="22"/>
        </w:rPr>
        <w:t>for quarterly submissions are</w:t>
      </w:r>
      <w:r w:rsidR="00B6750E" w:rsidRPr="009F6D0A">
        <w:rPr>
          <w:rFonts w:ascii="Open Sans" w:hAnsi="Open Sans" w:cs="Open Sans"/>
          <w:szCs w:val="22"/>
        </w:rPr>
        <w:t xml:space="preserve"> fixed, </w:t>
      </w:r>
      <w:r w:rsidRPr="009F6D0A">
        <w:rPr>
          <w:rFonts w:ascii="Open Sans" w:hAnsi="Open Sans" w:cs="Open Sans"/>
          <w:szCs w:val="22"/>
        </w:rPr>
        <w:t xml:space="preserve">all the audits will need to happen at the same time. This issue should be considered by BEIS </w:t>
      </w:r>
      <w:r w:rsidR="007419B8" w:rsidRPr="009F6D0A">
        <w:rPr>
          <w:rFonts w:ascii="Open Sans" w:hAnsi="Open Sans" w:cs="Open Sans"/>
          <w:szCs w:val="22"/>
        </w:rPr>
        <w:t xml:space="preserve">and it could be resolved by allowing more </w:t>
      </w:r>
      <w:r w:rsidR="00B6750E" w:rsidRPr="009F6D0A">
        <w:rPr>
          <w:rFonts w:ascii="Open Sans" w:hAnsi="Open Sans" w:cs="Open Sans"/>
          <w:szCs w:val="22"/>
        </w:rPr>
        <w:t xml:space="preserve">flexibility on the timing of the audits so that these can be staggered. </w:t>
      </w:r>
    </w:p>
    <w:p w14:paraId="19896CCF" w14:textId="77777777" w:rsidR="00D60EDE" w:rsidRPr="009F6D0A" w:rsidRDefault="00D60EDE" w:rsidP="00BE37F4">
      <w:pPr>
        <w:spacing w:before="120" w:after="120"/>
        <w:rPr>
          <w:rFonts w:ascii="Open Sans" w:hAnsi="Open Sans" w:cs="Open Sans"/>
          <w:szCs w:val="22"/>
        </w:rPr>
      </w:pPr>
    </w:p>
    <w:p w14:paraId="7B5A6144" w14:textId="62A517AF" w:rsidR="005B5FE2" w:rsidRPr="009F6D0A" w:rsidRDefault="009934F9"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w:t>
      </w:r>
      <w:r w:rsidR="00DF6A53" w:rsidRPr="009F6D0A">
        <w:rPr>
          <w:rFonts w:ascii="Open Sans" w:hAnsi="Open Sans" w:cs="Open Sans"/>
          <w:b/>
          <w:bCs/>
          <w:szCs w:val="22"/>
        </w:rPr>
        <w:t>o you agree that the backdated payments proposal will provide the necessary certainty for biomethane developers to proceed with applying to the Green Gas Support Scheme during the gap in funding availability? Yes/No. Please provide evidence to support your response.</w:t>
      </w:r>
    </w:p>
    <w:p w14:paraId="36E4DCC6" w14:textId="77777777" w:rsidR="00194FBD" w:rsidRPr="009F6D0A" w:rsidRDefault="00194FBD" w:rsidP="003A7FC0">
      <w:pPr>
        <w:pStyle w:val="ListParagraph"/>
        <w:spacing w:before="120" w:after="120"/>
        <w:ind w:left="426"/>
        <w:rPr>
          <w:rFonts w:ascii="Open Sans" w:hAnsi="Open Sans" w:cs="Open Sans"/>
          <w:szCs w:val="22"/>
        </w:rPr>
      </w:pPr>
    </w:p>
    <w:p w14:paraId="570726C0" w14:textId="6C2A895E" w:rsidR="005B5FE2" w:rsidRPr="009F6D0A" w:rsidRDefault="00D60EDE" w:rsidP="003A7FC0">
      <w:pPr>
        <w:pStyle w:val="ListParagraph"/>
        <w:spacing w:before="120" w:after="120"/>
        <w:ind w:left="426"/>
        <w:rPr>
          <w:rFonts w:ascii="Open Sans" w:hAnsi="Open Sans" w:cs="Open Sans"/>
          <w:szCs w:val="22"/>
        </w:rPr>
      </w:pPr>
      <w:r w:rsidRPr="009F6D0A">
        <w:rPr>
          <w:rFonts w:ascii="Open Sans" w:hAnsi="Open Sans" w:cs="Open Sans"/>
          <w:szCs w:val="22"/>
        </w:rPr>
        <w:t xml:space="preserve">Yes. </w:t>
      </w:r>
    </w:p>
    <w:p w14:paraId="50143733" w14:textId="1DF8A9C3" w:rsidR="00D60EDE" w:rsidRPr="009F6D0A" w:rsidRDefault="00DD7C75" w:rsidP="003A7FC0">
      <w:pPr>
        <w:pStyle w:val="ListParagraph"/>
        <w:spacing w:before="120" w:after="120"/>
        <w:ind w:left="426"/>
        <w:rPr>
          <w:rFonts w:ascii="Open Sans" w:hAnsi="Open Sans" w:cs="Open Sans"/>
          <w:szCs w:val="22"/>
        </w:rPr>
      </w:pPr>
      <w:r w:rsidRPr="009F6D0A">
        <w:rPr>
          <w:rFonts w:ascii="Open Sans" w:hAnsi="Open Sans" w:cs="Open Sans"/>
          <w:szCs w:val="22"/>
        </w:rPr>
        <w:t xml:space="preserve">We </w:t>
      </w:r>
      <w:proofErr w:type="gramStart"/>
      <w:r w:rsidRPr="009F6D0A">
        <w:rPr>
          <w:rFonts w:ascii="Open Sans" w:hAnsi="Open Sans" w:cs="Open Sans"/>
          <w:szCs w:val="22"/>
        </w:rPr>
        <w:t>don’t</w:t>
      </w:r>
      <w:proofErr w:type="gramEnd"/>
      <w:r w:rsidRPr="009F6D0A">
        <w:rPr>
          <w:rFonts w:ascii="Open Sans" w:hAnsi="Open Sans" w:cs="Open Sans"/>
          <w:szCs w:val="22"/>
        </w:rPr>
        <w:t xml:space="preserve"> see any issue with this proposal</w:t>
      </w:r>
      <w:r w:rsidR="0073464E" w:rsidRPr="009F6D0A">
        <w:rPr>
          <w:rFonts w:ascii="Open Sans" w:hAnsi="Open Sans" w:cs="Open Sans"/>
          <w:szCs w:val="22"/>
        </w:rPr>
        <w:t xml:space="preserve">. In all likelihood no or only a few projects will be able to commission in the first six months of the scheme, given that all projects will </w:t>
      </w:r>
      <w:r w:rsidR="0073464E" w:rsidRPr="009F6D0A">
        <w:rPr>
          <w:rFonts w:ascii="Open Sans" w:hAnsi="Open Sans" w:cs="Open Sans"/>
          <w:szCs w:val="22"/>
        </w:rPr>
        <w:lastRenderedPageBreak/>
        <w:t xml:space="preserve">have to apply for Tariff Guarantees when the Scheme opens (subject to Government decisions on this proposal). </w:t>
      </w:r>
    </w:p>
    <w:p w14:paraId="1E058980" w14:textId="77777777" w:rsidR="0073464E" w:rsidRPr="009F6D0A" w:rsidRDefault="0073464E" w:rsidP="009934F9">
      <w:pPr>
        <w:spacing w:before="120" w:after="120"/>
        <w:rPr>
          <w:rFonts w:ascii="Open Sans" w:hAnsi="Open Sans" w:cs="Open Sans"/>
          <w:szCs w:val="22"/>
        </w:rPr>
      </w:pPr>
    </w:p>
    <w:p w14:paraId="06DF8E31" w14:textId="03864CBB" w:rsidR="00DF6A53" w:rsidRPr="009F6D0A" w:rsidRDefault="00DF6A53" w:rsidP="009934F9">
      <w:pPr>
        <w:spacing w:before="120" w:after="120"/>
        <w:rPr>
          <w:rFonts w:ascii="Open Sans" w:hAnsi="Open Sans" w:cs="Open Sans"/>
          <w:b/>
          <w:bCs/>
          <w:szCs w:val="22"/>
        </w:rPr>
      </w:pPr>
      <w:r w:rsidRPr="009F6D0A">
        <w:rPr>
          <w:rFonts w:ascii="Open Sans" w:hAnsi="Open Sans" w:cs="Open Sans"/>
          <w:b/>
          <w:bCs/>
          <w:szCs w:val="22"/>
        </w:rPr>
        <w:t xml:space="preserve">Compliance </w:t>
      </w:r>
    </w:p>
    <w:p w14:paraId="1E391800" w14:textId="0D40A6CD" w:rsidR="005B5FE2"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agree with the proposed mutualisation process? Yes/No. If not, what alternative mechanism would you propose?</w:t>
      </w:r>
    </w:p>
    <w:p w14:paraId="044BB2D6" w14:textId="04F67B10"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comments</w:t>
      </w:r>
    </w:p>
    <w:p w14:paraId="0D290E1A" w14:textId="77777777" w:rsidR="007572CC" w:rsidRPr="009F6D0A" w:rsidRDefault="007572CC" w:rsidP="003A7FC0">
      <w:pPr>
        <w:pStyle w:val="ListParagraph"/>
        <w:spacing w:before="120" w:after="120"/>
        <w:ind w:left="426"/>
        <w:rPr>
          <w:rFonts w:ascii="Open Sans" w:hAnsi="Open Sans" w:cs="Open Sans"/>
          <w:szCs w:val="22"/>
        </w:rPr>
      </w:pPr>
    </w:p>
    <w:p w14:paraId="7F69EE5D" w14:textId="5F0E8E92"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agree with the proposal that Ofgem may report and publish information on non-compliance and enforcement action? Yes/No. Please provide evidence to support your response.</w:t>
      </w:r>
    </w:p>
    <w:p w14:paraId="7886A11D" w14:textId="77777777" w:rsidR="004E2DA0" w:rsidRDefault="004E2DA0" w:rsidP="003A7FC0">
      <w:pPr>
        <w:pStyle w:val="ListParagraph"/>
        <w:spacing w:before="120" w:after="120"/>
        <w:ind w:left="426"/>
        <w:rPr>
          <w:rFonts w:ascii="Open Sans" w:hAnsi="Open Sans" w:cs="Open Sans"/>
          <w:szCs w:val="22"/>
        </w:rPr>
      </w:pPr>
    </w:p>
    <w:p w14:paraId="5EDCD5AD" w14:textId="291DD524"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w:t>
      </w:r>
    </w:p>
    <w:p w14:paraId="4208A998" w14:textId="77777777" w:rsidR="004A0222" w:rsidRPr="009F6D0A" w:rsidRDefault="004A0222" w:rsidP="004A0222">
      <w:pPr>
        <w:pStyle w:val="ListParagraph"/>
        <w:rPr>
          <w:rFonts w:ascii="Open Sans" w:hAnsi="Open Sans" w:cs="Open Sans"/>
          <w:b/>
          <w:bCs/>
          <w:szCs w:val="22"/>
        </w:rPr>
      </w:pPr>
    </w:p>
    <w:p w14:paraId="567BD404" w14:textId="39A5633C"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have any views on how reporting can be used to best contribute to compliance with scheme obligations?</w:t>
      </w:r>
    </w:p>
    <w:p w14:paraId="3119629D" w14:textId="52689BFE"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comments</w:t>
      </w:r>
    </w:p>
    <w:p w14:paraId="06893BFE" w14:textId="77777777" w:rsidR="004A0222" w:rsidRPr="009F6D0A" w:rsidRDefault="004A0222" w:rsidP="004A0222">
      <w:pPr>
        <w:pStyle w:val="ListParagraph"/>
        <w:rPr>
          <w:rFonts w:ascii="Open Sans" w:hAnsi="Open Sans" w:cs="Open Sans"/>
          <w:b/>
          <w:bCs/>
          <w:szCs w:val="22"/>
        </w:rPr>
      </w:pPr>
    </w:p>
    <w:p w14:paraId="6DAE0FB2" w14:textId="2517E69F"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agree with the proposed approach of applying interest to late payments? Yes/No. Please provide evidence to support your response.</w:t>
      </w:r>
      <w:r w:rsidR="009934F9" w:rsidRPr="009F6D0A">
        <w:rPr>
          <w:rFonts w:ascii="Open Sans" w:hAnsi="Open Sans" w:cs="Open Sans"/>
          <w:b/>
          <w:bCs/>
          <w:szCs w:val="22"/>
        </w:rPr>
        <w:t xml:space="preserve"> </w:t>
      </w:r>
    </w:p>
    <w:p w14:paraId="50A46691" w14:textId="5145C8A8"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w:t>
      </w:r>
    </w:p>
    <w:p w14:paraId="20F7396E" w14:textId="77777777" w:rsidR="004A0222" w:rsidRPr="009F6D0A" w:rsidRDefault="004A0222" w:rsidP="004A0222">
      <w:pPr>
        <w:pStyle w:val="ListParagraph"/>
        <w:spacing w:before="120" w:after="120"/>
        <w:ind w:left="426"/>
        <w:rPr>
          <w:rFonts w:ascii="Open Sans" w:hAnsi="Open Sans" w:cs="Open Sans"/>
          <w:b/>
          <w:bCs/>
          <w:szCs w:val="22"/>
        </w:rPr>
      </w:pPr>
    </w:p>
    <w:p w14:paraId="484AFF56" w14:textId="4DFF99E6"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agree with the proposed range of interest applied to late payments? Yes/No. Do you have any views on the appropriate rate of interest to mitigate against late payments?</w:t>
      </w:r>
      <w:r w:rsidR="009934F9" w:rsidRPr="009F6D0A">
        <w:rPr>
          <w:rFonts w:ascii="Open Sans" w:hAnsi="Open Sans" w:cs="Open Sans"/>
          <w:b/>
          <w:bCs/>
          <w:szCs w:val="22"/>
        </w:rPr>
        <w:t xml:space="preserve"> </w:t>
      </w:r>
    </w:p>
    <w:p w14:paraId="51049014" w14:textId="1016AF0A"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w:t>
      </w:r>
    </w:p>
    <w:p w14:paraId="20FBE767" w14:textId="77777777" w:rsidR="00194FBD" w:rsidRPr="009F6D0A" w:rsidRDefault="00194FBD" w:rsidP="003A7FC0">
      <w:pPr>
        <w:pStyle w:val="ListParagraph"/>
        <w:spacing w:before="120" w:after="120"/>
        <w:ind w:left="426"/>
        <w:rPr>
          <w:rFonts w:ascii="Open Sans" w:hAnsi="Open Sans" w:cs="Open Sans"/>
          <w:szCs w:val="22"/>
        </w:rPr>
      </w:pPr>
    </w:p>
    <w:p w14:paraId="08E49784" w14:textId="2CBF2253"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agree with the proposed approach for Ofgem to issue financial penalties, including the proposed maximum limit? Yes/No. Please provide evidence to support your response.</w:t>
      </w:r>
      <w:r w:rsidR="009934F9" w:rsidRPr="009F6D0A">
        <w:rPr>
          <w:rFonts w:ascii="Open Sans" w:hAnsi="Open Sans" w:cs="Open Sans"/>
          <w:b/>
          <w:bCs/>
          <w:szCs w:val="22"/>
        </w:rPr>
        <w:t xml:space="preserve"> </w:t>
      </w:r>
    </w:p>
    <w:p w14:paraId="4F7E234A" w14:textId="3AD4C858"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w:t>
      </w:r>
    </w:p>
    <w:p w14:paraId="3B949DFF" w14:textId="77777777" w:rsidR="004A0222" w:rsidRPr="009F6D0A" w:rsidRDefault="004A0222" w:rsidP="004A0222">
      <w:pPr>
        <w:pStyle w:val="ListParagraph"/>
        <w:spacing w:before="120" w:after="120"/>
        <w:ind w:left="426"/>
        <w:rPr>
          <w:rFonts w:ascii="Open Sans" w:hAnsi="Open Sans" w:cs="Open Sans"/>
          <w:b/>
          <w:bCs/>
          <w:szCs w:val="22"/>
        </w:rPr>
      </w:pPr>
    </w:p>
    <w:p w14:paraId="1E736646" w14:textId="7C61B8D6"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What do you consider the maximum fine should be where a gas supplier has either a low turnover or no turnover at all? Please provide evidence to support your response.</w:t>
      </w:r>
      <w:r w:rsidR="009934F9" w:rsidRPr="009F6D0A">
        <w:rPr>
          <w:rFonts w:ascii="Open Sans" w:hAnsi="Open Sans" w:cs="Open Sans"/>
          <w:b/>
          <w:bCs/>
          <w:szCs w:val="22"/>
        </w:rPr>
        <w:t xml:space="preserve"> </w:t>
      </w:r>
    </w:p>
    <w:p w14:paraId="40853C37" w14:textId="596961AB"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w:t>
      </w:r>
    </w:p>
    <w:p w14:paraId="4BFCE90C" w14:textId="77777777" w:rsidR="004A0222" w:rsidRPr="009F6D0A" w:rsidRDefault="004A0222" w:rsidP="004A0222">
      <w:pPr>
        <w:pStyle w:val="ListParagraph"/>
        <w:spacing w:before="120" w:after="120"/>
        <w:ind w:left="426"/>
        <w:rPr>
          <w:rFonts w:ascii="Open Sans" w:hAnsi="Open Sans" w:cs="Open Sans"/>
          <w:b/>
          <w:bCs/>
          <w:szCs w:val="22"/>
        </w:rPr>
      </w:pPr>
    </w:p>
    <w:p w14:paraId="54E54920" w14:textId="7EF52AAF" w:rsidR="00DF6A53"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Do you have any views regarding the pursuance of debts through the courts by Ofgem?</w:t>
      </w:r>
    </w:p>
    <w:p w14:paraId="2C144E27" w14:textId="0401F039" w:rsidR="004A0222" w:rsidRPr="009F6D0A" w:rsidRDefault="004A0222" w:rsidP="003A7FC0">
      <w:pPr>
        <w:pStyle w:val="ListParagraph"/>
        <w:spacing w:before="120" w:after="120"/>
        <w:ind w:left="426"/>
        <w:rPr>
          <w:rFonts w:ascii="Open Sans" w:hAnsi="Open Sans" w:cs="Open Sans"/>
          <w:szCs w:val="22"/>
        </w:rPr>
      </w:pPr>
      <w:r w:rsidRPr="009F6D0A">
        <w:rPr>
          <w:rFonts w:ascii="Open Sans" w:hAnsi="Open Sans" w:cs="Open Sans"/>
          <w:szCs w:val="22"/>
        </w:rPr>
        <w:t>No comment</w:t>
      </w:r>
    </w:p>
    <w:p w14:paraId="27336F41" w14:textId="7B3FDA57" w:rsidR="00DF6A53" w:rsidRPr="009F6D0A" w:rsidRDefault="00DF6A53" w:rsidP="009934F9">
      <w:pPr>
        <w:spacing w:before="120" w:after="120"/>
        <w:rPr>
          <w:rFonts w:ascii="Open Sans" w:hAnsi="Open Sans" w:cs="Open Sans"/>
          <w:szCs w:val="22"/>
        </w:rPr>
      </w:pPr>
    </w:p>
    <w:p w14:paraId="5BA8319E" w14:textId="78898A9E" w:rsidR="00DF6A53" w:rsidRPr="009F6D0A" w:rsidRDefault="00DF6A53" w:rsidP="009934F9">
      <w:pPr>
        <w:spacing w:before="120" w:after="120"/>
        <w:rPr>
          <w:rFonts w:ascii="Open Sans" w:hAnsi="Open Sans" w:cs="Open Sans"/>
          <w:b/>
          <w:bCs/>
          <w:szCs w:val="22"/>
        </w:rPr>
      </w:pPr>
      <w:r w:rsidRPr="009F6D0A">
        <w:rPr>
          <w:rFonts w:ascii="Open Sans" w:hAnsi="Open Sans" w:cs="Open Sans"/>
          <w:b/>
          <w:bCs/>
          <w:szCs w:val="22"/>
        </w:rPr>
        <w:t>Future considerations for the Green Gas Levy</w:t>
      </w:r>
    </w:p>
    <w:p w14:paraId="2F496936" w14:textId="3334A2CB" w:rsidR="00DF6A53" w:rsidRPr="009F6D0A" w:rsidRDefault="00DF6A53" w:rsidP="009934F9">
      <w:pPr>
        <w:spacing w:before="120" w:after="120"/>
        <w:rPr>
          <w:rFonts w:ascii="Open Sans" w:hAnsi="Open Sans" w:cs="Open Sans"/>
          <w:b/>
          <w:bCs/>
          <w:szCs w:val="22"/>
        </w:rPr>
      </w:pPr>
      <w:r w:rsidRPr="009F6D0A">
        <w:rPr>
          <w:rFonts w:ascii="Open Sans" w:hAnsi="Open Sans" w:cs="Open Sans"/>
          <w:b/>
          <w:bCs/>
          <w:szCs w:val="22"/>
        </w:rPr>
        <w:t>A volumetric approach to levy design</w:t>
      </w:r>
    </w:p>
    <w:p w14:paraId="7A299671" w14:textId="576C7C87" w:rsidR="009934F9" w:rsidRPr="009F6D0A" w:rsidRDefault="00DF6A53" w:rsidP="00834D5F">
      <w:pPr>
        <w:pStyle w:val="ListParagraph"/>
        <w:numPr>
          <w:ilvl w:val="0"/>
          <w:numId w:val="11"/>
        </w:numPr>
        <w:spacing w:before="120" w:after="120"/>
        <w:ind w:left="426" w:hanging="426"/>
        <w:rPr>
          <w:rFonts w:ascii="Open Sans" w:hAnsi="Open Sans" w:cs="Open Sans"/>
          <w:szCs w:val="22"/>
        </w:rPr>
      </w:pPr>
      <w:r w:rsidRPr="009F6D0A">
        <w:rPr>
          <w:rFonts w:ascii="Open Sans" w:hAnsi="Open Sans" w:cs="Open Sans"/>
          <w:b/>
          <w:bCs/>
          <w:szCs w:val="22"/>
        </w:rPr>
        <w:lastRenderedPageBreak/>
        <w:t xml:space="preserve">Do you agree with more closely aligning levy costs with consumption through a volumetric approach, as the scheme develops? Yes/No. Please provide evidence to support your response. </w:t>
      </w:r>
    </w:p>
    <w:p w14:paraId="33C84F05" w14:textId="77777777" w:rsidR="00194FBD" w:rsidRPr="009F6D0A" w:rsidRDefault="00194FBD" w:rsidP="003A7FC0">
      <w:pPr>
        <w:pStyle w:val="ListParagraph"/>
        <w:spacing w:before="120" w:after="120"/>
        <w:ind w:left="426"/>
        <w:rPr>
          <w:rFonts w:ascii="Open Sans" w:hAnsi="Open Sans" w:cs="Open Sans"/>
          <w:szCs w:val="22"/>
        </w:rPr>
      </w:pPr>
    </w:p>
    <w:p w14:paraId="77F23602" w14:textId="51D6AD6F" w:rsidR="00CC758C" w:rsidRPr="009F6D0A" w:rsidRDefault="00CC758C" w:rsidP="003A7FC0">
      <w:pPr>
        <w:pStyle w:val="ListParagraph"/>
        <w:spacing w:before="120" w:after="120"/>
        <w:ind w:left="426"/>
        <w:rPr>
          <w:rFonts w:ascii="Open Sans" w:hAnsi="Open Sans" w:cs="Open Sans"/>
          <w:szCs w:val="22"/>
        </w:rPr>
      </w:pPr>
      <w:r w:rsidRPr="009F6D0A">
        <w:rPr>
          <w:rFonts w:ascii="Open Sans" w:hAnsi="Open Sans" w:cs="Open Sans"/>
          <w:szCs w:val="22"/>
        </w:rPr>
        <w:t xml:space="preserve">Yes, as already explained before. The preference of energy suppliers is that this approach should be adopted immediately if possible, so that vulnerable and small consumers are not placed at disadvantage.  </w:t>
      </w:r>
    </w:p>
    <w:p w14:paraId="5A4831CD" w14:textId="77777777" w:rsidR="00CC758C" w:rsidRPr="009F6D0A" w:rsidRDefault="00CC758C" w:rsidP="00CC758C">
      <w:pPr>
        <w:spacing w:before="120" w:after="120"/>
        <w:rPr>
          <w:rFonts w:ascii="Open Sans" w:hAnsi="Open Sans" w:cs="Open Sans"/>
          <w:szCs w:val="22"/>
        </w:rPr>
      </w:pPr>
    </w:p>
    <w:p w14:paraId="39527DD4" w14:textId="4717D788"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Which of the three options set out above would be the most suitable for designing a volumetric levy? We would welcome views on how to overcome any of the issues with those approaches that have been identified. </w:t>
      </w:r>
    </w:p>
    <w:p w14:paraId="78B455A5" w14:textId="4AA3BD3E" w:rsidR="00CC758C" w:rsidRPr="009F6D0A" w:rsidRDefault="00CC758C" w:rsidP="00CC758C">
      <w:pPr>
        <w:spacing w:before="120" w:after="120"/>
        <w:rPr>
          <w:rFonts w:ascii="Open Sans" w:hAnsi="Open Sans" w:cs="Open Sans"/>
          <w:szCs w:val="22"/>
        </w:rPr>
      </w:pPr>
      <w:r w:rsidRPr="009F6D0A">
        <w:rPr>
          <w:rFonts w:ascii="Open Sans" w:hAnsi="Open Sans" w:cs="Open Sans"/>
          <w:szCs w:val="22"/>
        </w:rPr>
        <w:t xml:space="preserve">No comment. Any comments from members? </w:t>
      </w:r>
    </w:p>
    <w:p w14:paraId="069FD2B0" w14:textId="77777777" w:rsidR="00CC758C" w:rsidRPr="009F6D0A" w:rsidRDefault="00CC758C" w:rsidP="00CC758C">
      <w:pPr>
        <w:spacing w:before="120" w:after="120"/>
        <w:rPr>
          <w:rFonts w:ascii="Open Sans" w:hAnsi="Open Sans" w:cs="Open Sans"/>
          <w:b/>
          <w:bCs/>
          <w:szCs w:val="22"/>
        </w:rPr>
      </w:pPr>
    </w:p>
    <w:p w14:paraId="3DC68302" w14:textId="22D4D222" w:rsidR="009934F9" w:rsidRPr="009F6D0A" w:rsidRDefault="00DF6A53" w:rsidP="00834D5F">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 xml:space="preserve">Are there any feasible alternatives to the proposals set out in this chapter for achieving a levy that is proportionate to gas volumes? Yes/No. Please provide evidence to support your response. </w:t>
      </w:r>
    </w:p>
    <w:p w14:paraId="4BC988D7" w14:textId="77777777" w:rsidR="00CC758C" w:rsidRPr="009F6D0A" w:rsidRDefault="00CC758C" w:rsidP="00CC758C">
      <w:pPr>
        <w:spacing w:before="120" w:after="120"/>
        <w:rPr>
          <w:rFonts w:ascii="Open Sans" w:hAnsi="Open Sans" w:cs="Open Sans"/>
          <w:szCs w:val="22"/>
        </w:rPr>
      </w:pPr>
      <w:r w:rsidRPr="009F6D0A">
        <w:rPr>
          <w:rFonts w:ascii="Open Sans" w:hAnsi="Open Sans" w:cs="Open Sans"/>
          <w:szCs w:val="22"/>
        </w:rPr>
        <w:t xml:space="preserve">No comment. Any comments from members? </w:t>
      </w:r>
    </w:p>
    <w:p w14:paraId="598E24D0" w14:textId="77777777" w:rsidR="00CC758C" w:rsidRPr="009F6D0A" w:rsidRDefault="00CC758C" w:rsidP="00CC758C">
      <w:pPr>
        <w:spacing w:before="120" w:after="120"/>
        <w:rPr>
          <w:rFonts w:ascii="Open Sans" w:hAnsi="Open Sans" w:cs="Open Sans"/>
          <w:b/>
          <w:bCs/>
          <w:szCs w:val="22"/>
        </w:rPr>
      </w:pPr>
    </w:p>
    <w:p w14:paraId="43BC2EE4" w14:textId="77FD2775" w:rsidR="00CC758C" w:rsidRPr="009F6D0A" w:rsidRDefault="00DF6A53" w:rsidP="00752276">
      <w:pPr>
        <w:pStyle w:val="ListParagraph"/>
        <w:numPr>
          <w:ilvl w:val="0"/>
          <w:numId w:val="11"/>
        </w:numPr>
        <w:spacing w:before="120" w:after="120"/>
        <w:ind w:left="426" w:hanging="426"/>
        <w:rPr>
          <w:rFonts w:ascii="Open Sans" w:hAnsi="Open Sans" w:cs="Open Sans"/>
          <w:b/>
          <w:bCs/>
          <w:szCs w:val="22"/>
        </w:rPr>
      </w:pPr>
      <w:r w:rsidRPr="009F6D0A">
        <w:rPr>
          <w:rFonts w:ascii="Open Sans" w:hAnsi="Open Sans" w:cs="Open Sans"/>
          <w:b/>
          <w:bCs/>
          <w:szCs w:val="22"/>
        </w:rPr>
        <w:t>How could we ensure that a volumetric levy is designed in a way that promotes a competitive gas supply market and minimises costs, administrative burden, and other impacts on suppliers?</w:t>
      </w:r>
    </w:p>
    <w:p w14:paraId="0872D0B3" w14:textId="45DFBD4C" w:rsidR="00CC758C" w:rsidRPr="00CC758C" w:rsidRDefault="00CC758C" w:rsidP="00CC758C">
      <w:pPr>
        <w:spacing w:before="120" w:after="120"/>
        <w:rPr>
          <w:rFonts w:ascii="Open Sans" w:hAnsi="Open Sans" w:cs="Open Sans"/>
          <w:b/>
          <w:bCs/>
          <w:szCs w:val="22"/>
        </w:rPr>
      </w:pPr>
      <w:r w:rsidRPr="009F6D0A">
        <w:rPr>
          <w:rFonts w:ascii="Open Sans" w:hAnsi="Open Sans" w:cs="Open Sans"/>
          <w:szCs w:val="22"/>
        </w:rPr>
        <w:t>No comment. Any comments from members?</w:t>
      </w:r>
      <w:r w:rsidRPr="00CC758C">
        <w:rPr>
          <w:rFonts w:ascii="Open Sans" w:hAnsi="Open Sans" w:cs="Open Sans"/>
          <w:szCs w:val="22"/>
        </w:rPr>
        <w:t xml:space="preserve"> </w:t>
      </w:r>
    </w:p>
    <w:sectPr w:rsidR="00CC758C" w:rsidRPr="00CC758C" w:rsidSect="00517E85">
      <w:headerReference w:type="even" r:id="rId18"/>
      <w:headerReference w:type="default" r:id="rId19"/>
      <w:footerReference w:type="default" r:id="rId20"/>
      <w:headerReference w:type="first" r:id="rId21"/>
      <w:footerReference w:type="first" r:id="rId22"/>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F8C57" w14:textId="77777777" w:rsidR="001C0D20" w:rsidRDefault="001C0D20">
      <w:r>
        <w:separator/>
      </w:r>
    </w:p>
  </w:endnote>
  <w:endnote w:type="continuationSeparator" w:id="0">
    <w:p w14:paraId="13D39E10" w14:textId="77777777" w:rsidR="001C0D20" w:rsidRDefault="001C0D20">
      <w:r>
        <w:continuationSeparator/>
      </w:r>
    </w:p>
  </w:endnote>
  <w:endnote w:type="continuationNotice" w:id="1">
    <w:p w14:paraId="5C142BAF" w14:textId="77777777" w:rsidR="001C0D20" w:rsidRDefault="001C0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FuturaPT-Light">
    <w:altName w:val="Century Gothic"/>
    <w:charset w:val="00"/>
    <w:family w:val="swiss"/>
    <w:pitch w:val="variable"/>
  </w:font>
  <w:font w:name="FuturaPT-Book">
    <w:altName w:val="Century Gothic"/>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3300939"/>
      <w:docPartObj>
        <w:docPartGallery w:val="Page Numbers (Bottom of Page)"/>
        <w:docPartUnique/>
      </w:docPartObj>
    </w:sdtPr>
    <w:sdtEndPr>
      <w:rPr>
        <w:noProof/>
      </w:rPr>
    </w:sdtEndPr>
    <w:sdtContent>
      <w:p w14:paraId="7923FDFC" w14:textId="76E7BB75" w:rsidR="003D6F89" w:rsidRDefault="003D6F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9FC40" w14:textId="77777777" w:rsidR="003D6F89" w:rsidRDefault="003D6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C8F3" w14:textId="77777777" w:rsidR="003D6F89" w:rsidRPr="00D3350C" w:rsidRDefault="003D6F89" w:rsidP="00EA2285">
    <w:pPr>
      <w:widowControl w:val="0"/>
      <w:tabs>
        <w:tab w:val="left" w:pos="8364"/>
        <w:tab w:val="left" w:pos="8505"/>
      </w:tabs>
      <w:autoSpaceDE w:val="0"/>
      <w:autoSpaceDN w:val="0"/>
      <w:spacing w:before="84"/>
      <w:ind w:left="582"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1E1E1E"/>
        <w:sz w:val="16"/>
        <w:szCs w:val="16"/>
        <w:lang w:val="en-US"/>
      </w:rPr>
      <w:t>THE ASSOCIATION FOR RENEWABLE ENERGY AND CLEAN TECHNOLOGY</w:t>
    </w:r>
  </w:p>
  <w:p w14:paraId="2502D245" w14:textId="77777777" w:rsidR="003D6F89" w:rsidRPr="00D3350C" w:rsidRDefault="003D6F89"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color w:val="06926B"/>
        <w:sz w:val="16"/>
        <w:szCs w:val="16"/>
        <w:lang w:val="en-US"/>
      </w:rPr>
    </w:pPr>
    <w:r w:rsidRPr="00D3350C">
      <w:rPr>
        <w:rFonts w:ascii="FuturaPT-Book" w:eastAsia="FuturaPT-Light" w:hAnsi="FuturaPT-Light" w:cs="FuturaPT-Light"/>
        <w:color w:val="06926B"/>
        <w:sz w:val="16"/>
        <w:szCs w:val="16"/>
        <w:lang w:val="en-US"/>
      </w:rPr>
      <w:t xml:space="preserve">Tel: </w:t>
    </w:r>
    <w:r w:rsidRPr="00D3350C">
      <w:rPr>
        <w:rFonts w:ascii="FuturaPT-Light" w:eastAsia="FuturaPT-Light" w:hAnsi="FuturaPT-Light" w:cs="FuturaPT-Light"/>
        <w:color w:val="06926B"/>
        <w:sz w:val="16"/>
        <w:szCs w:val="16"/>
        <w:lang w:val="en-US"/>
      </w:rPr>
      <w:t xml:space="preserve">+44 (0)20 7925 3570 </w:t>
    </w:r>
    <w:r w:rsidRPr="00D3350C">
      <w:rPr>
        <w:rFonts w:ascii="FuturaPT-Book" w:eastAsia="FuturaPT-Light" w:hAnsi="FuturaPT-Light" w:cs="FuturaPT-Light"/>
        <w:color w:val="06926B"/>
        <w:sz w:val="16"/>
        <w:szCs w:val="16"/>
        <w:lang w:val="en-US"/>
      </w:rPr>
      <w:t xml:space="preserve">Email: </w:t>
    </w:r>
    <w:hyperlink r:id="rId1" w:history="1">
      <w:r w:rsidRPr="00D3350C">
        <w:rPr>
          <w:rFonts w:ascii="FuturaPT-Light" w:eastAsia="FuturaPT-Light" w:hAnsi="FuturaPT-Light" w:cs="FuturaPT-Light"/>
          <w:color w:val="06926B"/>
          <w:sz w:val="16"/>
          <w:szCs w:val="16"/>
          <w:lang w:val="en-US"/>
        </w:rPr>
        <w:t>info@r-e-a.net</w:t>
      </w:r>
    </w:hyperlink>
    <w:r w:rsidRPr="00D3350C">
      <w:rPr>
        <w:rFonts w:ascii="FuturaPT-Light" w:eastAsia="FuturaPT-Light" w:hAnsi="FuturaPT-Light" w:cs="FuturaPT-Light"/>
        <w:color w:val="06926B"/>
        <w:sz w:val="16"/>
        <w:szCs w:val="16"/>
        <w:lang w:val="en-US"/>
      </w:rPr>
      <w:t xml:space="preserve"> </w:t>
    </w:r>
    <w:r w:rsidRPr="00D3350C">
      <w:rPr>
        <w:rFonts w:ascii="FuturaPT-Book" w:eastAsia="FuturaPT-Light" w:hAnsi="FuturaPT-Light" w:cs="FuturaPT-Light"/>
        <w:color w:val="06926B"/>
        <w:sz w:val="16"/>
        <w:szCs w:val="16"/>
        <w:lang w:val="en-US"/>
      </w:rPr>
      <w:t xml:space="preserve">Web: </w:t>
    </w:r>
    <w:hyperlink r:id="rId2" w:history="1">
      <w:r w:rsidRPr="00D3350C">
        <w:rPr>
          <w:rFonts w:ascii="FuturaPT-Light" w:eastAsia="FuturaPT-Light" w:hAnsi="FuturaPT-Light" w:cs="FuturaPT-Light"/>
          <w:color w:val="06926B"/>
          <w:sz w:val="16"/>
          <w:szCs w:val="16"/>
          <w:lang w:val="en-US"/>
        </w:rPr>
        <w:t>www.r-e-a.net</w:t>
      </w:r>
    </w:hyperlink>
  </w:p>
  <w:p w14:paraId="7849592F" w14:textId="77777777" w:rsidR="003D6F89" w:rsidRPr="00D3350C" w:rsidRDefault="003D6F89"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06926B"/>
        <w:sz w:val="16"/>
        <w:szCs w:val="16"/>
        <w:lang w:val="en-US"/>
      </w:rPr>
      <w:t>Company no: 04241430 Registered in England and Wales</w:t>
    </w:r>
  </w:p>
  <w:p w14:paraId="30EF6227" w14:textId="77777777" w:rsidR="003D6F89" w:rsidRDefault="003D6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E5BDB" w14:textId="77777777" w:rsidR="001C0D20" w:rsidRDefault="001C0D20" w:rsidP="00926C15">
      <w:r>
        <w:separator/>
      </w:r>
    </w:p>
  </w:footnote>
  <w:footnote w:type="continuationSeparator" w:id="0">
    <w:p w14:paraId="73A68C8A" w14:textId="77777777" w:rsidR="001C0D20" w:rsidRDefault="001C0D20" w:rsidP="00926C15">
      <w:r>
        <w:continuationSeparator/>
      </w:r>
    </w:p>
  </w:footnote>
  <w:footnote w:type="continuationNotice" w:id="1">
    <w:p w14:paraId="29EB7DCA" w14:textId="77777777" w:rsidR="001C0D20" w:rsidRDefault="001C0D20"/>
  </w:footnote>
  <w:footnote w:id="2">
    <w:p w14:paraId="72E5ECE1" w14:textId="77777777" w:rsidR="00D521C3" w:rsidRPr="00D521C3" w:rsidRDefault="00D521C3" w:rsidP="00D521C3">
      <w:pPr>
        <w:pStyle w:val="NormalWeb"/>
        <w:shd w:val="clear" w:color="auto" w:fill="FFFFFF"/>
        <w:rPr>
          <w:rFonts w:ascii="Open Sans" w:hAnsi="Open Sans" w:cs="Open Sans"/>
          <w:sz w:val="18"/>
          <w:szCs w:val="18"/>
          <w:lang w:eastAsia="en-US"/>
        </w:rPr>
      </w:pPr>
      <w:r>
        <w:rPr>
          <w:rStyle w:val="FootnoteReference"/>
        </w:rPr>
        <w:footnoteRef/>
      </w:r>
      <w:r>
        <w:t xml:space="preserve"> </w:t>
      </w:r>
      <w:r w:rsidRPr="00D521C3">
        <w:rPr>
          <w:rFonts w:ascii="Open Sans" w:hAnsi="Open Sans" w:cs="Open Sans"/>
          <w:color w:val="000000"/>
          <w:sz w:val="18"/>
          <w:szCs w:val="18"/>
          <w:lang w:eastAsia="en-US"/>
        </w:rPr>
        <w:t>A “Guarantee of Origin” (</w:t>
      </w:r>
      <w:proofErr w:type="spellStart"/>
      <w:r w:rsidRPr="00D521C3">
        <w:rPr>
          <w:rFonts w:ascii="Open Sans" w:hAnsi="Open Sans" w:cs="Open Sans"/>
          <w:color w:val="000000"/>
          <w:sz w:val="18"/>
          <w:szCs w:val="18"/>
          <w:lang w:eastAsia="en-US"/>
        </w:rPr>
        <w:t>GoO</w:t>
      </w:r>
      <w:proofErr w:type="spellEnd"/>
      <w:r w:rsidRPr="00D521C3">
        <w:rPr>
          <w:rFonts w:ascii="Open Sans" w:hAnsi="Open Sans" w:cs="Open Sans"/>
          <w:color w:val="000000"/>
          <w:sz w:val="18"/>
          <w:szCs w:val="18"/>
          <w:lang w:eastAsia="en-US"/>
        </w:rPr>
        <w:t xml:space="preserve">) is defined in Article 15 of the Renewable Energy Directive (RED). RED I only referred to </w:t>
      </w:r>
      <w:proofErr w:type="spellStart"/>
      <w:r w:rsidRPr="00D521C3">
        <w:rPr>
          <w:rFonts w:ascii="Open Sans" w:hAnsi="Open Sans" w:cs="Open Sans"/>
          <w:color w:val="000000"/>
          <w:sz w:val="18"/>
          <w:szCs w:val="18"/>
          <w:lang w:eastAsia="en-US"/>
        </w:rPr>
        <w:t>GoO</w:t>
      </w:r>
      <w:proofErr w:type="spellEnd"/>
      <w:r w:rsidRPr="00D521C3">
        <w:rPr>
          <w:rFonts w:ascii="Open Sans" w:hAnsi="Open Sans" w:cs="Open Sans"/>
          <w:color w:val="000000"/>
          <w:sz w:val="18"/>
          <w:szCs w:val="18"/>
          <w:lang w:eastAsia="en-US"/>
        </w:rPr>
        <w:t xml:space="preserve"> for renewable electricity, whilst in Article 19 of RED II the word </w:t>
      </w:r>
      <w:r w:rsidRPr="00D521C3">
        <w:rPr>
          <w:rFonts w:ascii="Open Sans" w:hAnsi="Open Sans" w:cs="Open Sans"/>
          <w:i/>
          <w:iCs/>
          <w:color w:val="000000"/>
          <w:sz w:val="18"/>
          <w:szCs w:val="18"/>
          <w:lang w:eastAsia="en-US"/>
        </w:rPr>
        <w:t>electricity</w:t>
      </w:r>
      <w:r w:rsidRPr="00D521C3">
        <w:rPr>
          <w:rFonts w:ascii="Open Sans" w:hAnsi="Open Sans" w:cs="Open Sans"/>
          <w:color w:val="000000"/>
          <w:sz w:val="18"/>
          <w:szCs w:val="18"/>
          <w:lang w:eastAsia="en-US"/>
        </w:rPr>
        <w:t> has been replaced with </w:t>
      </w:r>
      <w:r w:rsidRPr="00D521C3">
        <w:rPr>
          <w:rFonts w:ascii="Open Sans" w:hAnsi="Open Sans" w:cs="Open Sans"/>
          <w:i/>
          <w:iCs/>
          <w:color w:val="000000"/>
          <w:sz w:val="18"/>
          <w:szCs w:val="18"/>
          <w:lang w:eastAsia="en-US"/>
        </w:rPr>
        <w:t>energy</w:t>
      </w:r>
      <w:r w:rsidRPr="00D521C3">
        <w:rPr>
          <w:rFonts w:ascii="Open Sans" w:hAnsi="Open Sans" w:cs="Open Sans"/>
          <w:color w:val="000000"/>
          <w:sz w:val="18"/>
          <w:szCs w:val="18"/>
          <w:lang w:eastAsia="en-US"/>
        </w:rPr>
        <w:t xml:space="preserve"> meaning that </w:t>
      </w:r>
      <w:proofErr w:type="spellStart"/>
      <w:r w:rsidRPr="00D521C3">
        <w:rPr>
          <w:rFonts w:ascii="Open Sans" w:hAnsi="Open Sans" w:cs="Open Sans"/>
          <w:color w:val="000000"/>
          <w:sz w:val="18"/>
          <w:szCs w:val="18"/>
          <w:lang w:eastAsia="en-US"/>
        </w:rPr>
        <w:t>GoO</w:t>
      </w:r>
      <w:proofErr w:type="spellEnd"/>
      <w:r w:rsidRPr="00D521C3">
        <w:rPr>
          <w:rFonts w:ascii="Open Sans" w:hAnsi="Open Sans" w:cs="Open Sans"/>
          <w:color w:val="000000"/>
          <w:sz w:val="18"/>
          <w:szCs w:val="18"/>
          <w:lang w:eastAsia="en-US"/>
        </w:rPr>
        <w:t xml:space="preserve"> now apply to renewable gas (</w:t>
      </w:r>
      <w:proofErr w:type="gramStart"/>
      <w:r w:rsidRPr="00D521C3">
        <w:rPr>
          <w:rFonts w:ascii="Open Sans" w:hAnsi="Open Sans" w:cs="Open Sans"/>
          <w:color w:val="000000"/>
          <w:sz w:val="18"/>
          <w:szCs w:val="18"/>
          <w:lang w:eastAsia="en-US"/>
        </w:rPr>
        <w:t>and also</w:t>
      </w:r>
      <w:proofErr w:type="gramEnd"/>
      <w:r w:rsidRPr="00D521C3">
        <w:rPr>
          <w:rFonts w:ascii="Open Sans" w:hAnsi="Open Sans" w:cs="Open Sans"/>
          <w:color w:val="000000"/>
          <w:sz w:val="18"/>
          <w:szCs w:val="18"/>
          <w:lang w:eastAsia="en-US"/>
        </w:rPr>
        <w:t xml:space="preserve"> renewable heat). Therefore, there will “officially” be </w:t>
      </w:r>
      <w:proofErr w:type="spellStart"/>
      <w:r w:rsidRPr="00D521C3">
        <w:rPr>
          <w:rFonts w:ascii="Open Sans" w:hAnsi="Open Sans" w:cs="Open Sans"/>
          <w:color w:val="000000"/>
          <w:sz w:val="18"/>
          <w:szCs w:val="18"/>
          <w:lang w:eastAsia="en-US"/>
        </w:rPr>
        <w:t>GoO</w:t>
      </w:r>
      <w:proofErr w:type="spellEnd"/>
      <w:r w:rsidRPr="00D521C3">
        <w:rPr>
          <w:rFonts w:ascii="Open Sans" w:hAnsi="Open Sans" w:cs="Open Sans"/>
          <w:color w:val="000000"/>
          <w:sz w:val="18"/>
          <w:szCs w:val="18"/>
          <w:lang w:eastAsia="en-US"/>
        </w:rPr>
        <w:t xml:space="preserve"> for renewable gas in the European Union.</w:t>
      </w:r>
    </w:p>
    <w:p w14:paraId="251CBCEA" w14:textId="79BD6121" w:rsidR="00D521C3" w:rsidRDefault="00D521C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3657F" w14:textId="21A25F88" w:rsidR="003D6F89" w:rsidRDefault="003D6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CE1" w14:textId="6D37999A" w:rsidR="003D6F89" w:rsidRDefault="003D6F89" w:rsidP="005E2924">
    <w:pPr>
      <w:pStyle w:val="Header"/>
      <w:jc w:val="right"/>
    </w:pPr>
    <w:r w:rsidRPr="006926BC">
      <w:rPr>
        <w:noProof/>
        <w:lang w:val="en-US"/>
      </w:rPr>
      <w:drawing>
        <wp:anchor distT="0" distB="0" distL="114300" distR="114300" simplePos="0" relativeHeight="251659264" behindDoc="0" locked="0" layoutInCell="1" allowOverlap="1" wp14:anchorId="7EEDA343" wp14:editId="1EDE6F46">
          <wp:simplePos x="0" y="0"/>
          <wp:positionH relativeFrom="margin">
            <wp:align>right</wp:align>
          </wp:positionH>
          <wp:positionV relativeFrom="paragraph">
            <wp:posOffset>-151032</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EB39" w14:textId="12D21CAA" w:rsidR="003D6F89" w:rsidRDefault="003D6F89">
    <w:pPr>
      <w:pStyle w:val="Header"/>
    </w:pPr>
    <w:r w:rsidRPr="006926BC">
      <w:rPr>
        <w:noProof/>
        <w:lang w:val="en-US"/>
      </w:rPr>
      <w:drawing>
        <wp:anchor distT="0" distB="0" distL="114300" distR="114300" simplePos="0" relativeHeight="251661312" behindDoc="0" locked="0" layoutInCell="1" allowOverlap="1" wp14:anchorId="169D2F97" wp14:editId="27376157">
          <wp:simplePos x="0" y="0"/>
          <wp:positionH relativeFrom="margin">
            <wp:posOffset>4489450</wp:posOffset>
          </wp:positionH>
          <wp:positionV relativeFrom="paragraph">
            <wp:posOffset>-18415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49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1209"/>
    <w:multiLevelType w:val="hybridMultilevel"/>
    <w:tmpl w:val="169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52795"/>
    <w:multiLevelType w:val="hybridMultilevel"/>
    <w:tmpl w:val="655E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E6227"/>
    <w:multiLevelType w:val="hybridMultilevel"/>
    <w:tmpl w:val="81C85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F1ABB"/>
    <w:multiLevelType w:val="hybridMultilevel"/>
    <w:tmpl w:val="76E82E1C"/>
    <w:lvl w:ilvl="0" w:tplc="46AA6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A3AED"/>
    <w:multiLevelType w:val="hybridMultilevel"/>
    <w:tmpl w:val="9F04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E4944"/>
    <w:multiLevelType w:val="multilevel"/>
    <w:tmpl w:val="E5324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B7598"/>
    <w:multiLevelType w:val="hybridMultilevel"/>
    <w:tmpl w:val="0D2CD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BE6F69"/>
    <w:multiLevelType w:val="hybridMultilevel"/>
    <w:tmpl w:val="0BEA7236"/>
    <w:lvl w:ilvl="0" w:tplc="420E6EB8">
      <w:start w:val="1"/>
      <w:numFmt w:val="decimal"/>
      <w:lvlText w:val="(%1)"/>
      <w:lvlJc w:val="left"/>
      <w:pPr>
        <w:ind w:left="720" w:hanging="360"/>
      </w:pPr>
      <w:rPr>
        <w:rFonts w:ascii="Open Sans"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E07BEA"/>
    <w:multiLevelType w:val="hybridMultilevel"/>
    <w:tmpl w:val="4FFCD142"/>
    <w:lvl w:ilvl="0" w:tplc="EB1E8770">
      <w:start w:val="14"/>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60770762"/>
    <w:multiLevelType w:val="hybridMultilevel"/>
    <w:tmpl w:val="AD0C1F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80366"/>
    <w:multiLevelType w:val="hybridMultilevel"/>
    <w:tmpl w:val="159C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71F56"/>
    <w:multiLevelType w:val="hybridMultilevel"/>
    <w:tmpl w:val="C47AFFCC"/>
    <w:lvl w:ilvl="0" w:tplc="EEFCC61C">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2B558D"/>
    <w:multiLevelType w:val="hybridMultilevel"/>
    <w:tmpl w:val="E1645A5C"/>
    <w:lvl w:ilvl="0" w:tplc="DD92A70C">
      <w:start w:val="1"/>
      <w:numFmt w:val="decimal"/>
      <w:lvlText w:val="%1."/>
      <w:lvlJc w:val="left"/>
      <w:pPr>
        <w:ind w:left="1211"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D833BB"/>
    <w:multiLevelType w:val="hybridMultilevel"/>
    <w:tmpl w:val="ADC046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13"/>
  </w:num>
  <w:num w:numId="6">
    <w:abstractNumId w:val="10"/>
  </w:num>
  <w:num w:numId="7">
    <w:abstractNumId w:val="1"/>
  </w:num>
  <w:num w:numId="8">
    <w:abstractNumId w:val="7"/>
  </w:num>
  <w:num w:numId="9">
    <w:abstractNumId w:val="11"/>
  </w:num>
  <w:num w:numId="10">
    <w:abstractNumId w:val="3"/>
  </w:num>
  <w:num w:numId="11">
    <w:abstractNumId w:val="12"/>
  </w:num>
  <w:num w:numId="12">
    <w:abstractNumId w:val="8"/>
  </w:num>
  <w:num w:numId="13">
    <w:abstractNumId w:val="2"/>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0"/>
    <w:rsid w:val="00001E05"/>
    <w:rsid w:val="00011913"/>
    <w:rsid w:val="0001263F"/>
    <w:rsid w:val="00014D60"/>
    <w:rsid w:val="000165AE"/>
    <w:rsid w:val="0002468B"/>
    <w:rsid w:val="00031DE2"/>
    <w:rsid w:val="00050CBA"/>
    <w:rsid w:val="00050DFB"/>
    <w:rsid w:val="000621F7"/>
    <w:rsid w:val="00072ADB"/>
    <w:rsid w:val="00076C82"/>
    <w:rsid w:val="00081FA8"/>
    <w:rsid w:val="00083D8E"/>
    <w:rsid w:val="0008613B"/>
    <w:rsid w:val="00093DCB"/>
    <w:rsid w:val="00094268"/>
    <w:rsid w:val="00094BF4"/>
    <w:rsid w:val="00095A34"/>
    <w:rsid w:val="000A4536"/>
    <w:rsid w:val="000A5A68"/>
    <w:rsid w:val="000B08B1"/>
    <w:rsid w:val="000B5AEE"/>
    <w:rsid w:val="000B6D13"/>
    <w:rsid w:val="000C24B5"/>
    <w:rsid w:val="000D0D58"/>
    <w:rsid w:val="000D6E01"/>
    <w:rsid w:val="000E23BD"/>
    <w:rsid w:val="000E3A17"/>
    <w:rsid w:val="000E47DA"/>
    <w:rsid w:val="000F7B34"/>
    <w:rsid w:val="00100C93"/>
    <w:rsid w:val="00114F7A"/>
    <w:rsid w:val="00116A26"/>
    <w:rsid w:val="001217AB"/>
    <w:rsid w:val="001279F1"/>
    <w:rsid w:val="00133019"/>
    <w:rsid w:val="00134616"/>
    <w:rsid w:val="00136D65"/>
    <w:rsid w:val="00141D6D"/>
    <w:rsid w:val="00143482"/>
    <w:rsid w:val="001469D9"/>
    <w:rsid w:val="00152665"/>
    <w:rsid w:val="00156C0B"/>
    <w:rsid w:val="0016094B"/>
    <w:rsid w:val="0016139F"/>
    <w:rsid w:val="00175311"/>
    <w:rsid w:val="001851F9"/>
    <w:rsid w:val="00187044"/>
    <w:rsid w:val="00190477"/>
    <w:rsid w:val="00194510"/>
    <w:rsid w:val="00194FBD"/>
    <w:rsid w:val="00196C62"/>
    <w:rsid w:val="001A1217"/>
    <w:rsid w:val="001A4DB5"/>
    <w:rsid w:val="001B446A"/>
    <w:rsid w:val="001C0D20"/>
    <w:rsid w:val="001D2A7A"/>
    <w:rsid w:val="001D67C5"/>
    <w:rsid w:val="001D7D2E"/>
    <w:rsid w:val="001E3232"/>
    <w:rsid w:val="001E4324"/>
    <w:rsid w:val="001F6FF7"/>
    <w:rsid w:val="002035C1"/>
    <w:rsid w:val="00204E19"/>
    <w:rsid w:val="00206C7F"/>
    <w:rsid w:val="002159C4"/>
    <w:rsid w:val="00220D7E"/>
    <w:rsid w:val="00221E35"/>
    <w:rsid w:val="00222850"/>
    <w:rsid w:val="00225213"/>
    <w:rsid w:val="00226C67"/>
    <w:rsid w:val="00230AE0"/>
    <w:rsid w:val="00232517"/>
    <w:rsid w:val="002447EB"/>
    <w:rsid w:val="0025033F"/>
    <w:rsid w:val="002607AB"/>
    <w:rsid w:val="00263934"/>
    <w:rsid w:val="00263A2E"/>
    <w:rsid w:val="0026734E"/>
    <w:rsid w:val="00270123"/>
    <w:rsid w:val="002707D7"/>
    <w:rsid w:val="00273E54"/>
    <w:rsid w:val="00273FDE"/>
    <w:rsid w:val="0027635E"/>
    <w:rsid w:val="00280C1A"/>
    <w:rsid w:val="002903D9"/>
    <w:rsid w:val="0029198B"/>
    <w:rsid w:val="00296A65"/>
    <w:rsid w:val="00297AEB"/>
    <w:rsid w:val="002B0DCA"/>
    <w:rsid w:val="002B4D06"/>
    <w:rsid w:val="002B6DD2"/>
    <w:rsid w:val="002C571D"/>
    <w:rsid w:val="002D43C7"/>
    <w:rsid w:val="002E1929"/>
    <w:rsid w:val="002F32ED"/>
    <w:rsid w:val="003038DE"/>
    <w:rsid w:val="00307B9F"/>
    <w:rsid w:val="00317EB6"/>
    <w:rsid w:val="00324DCF"/>
    <w:rsid w:val="00325A3D"/>
    <w:rsid w:val="003264B0"/>
    <w:rsid w:val="003353ED"/>
    <w:rsid w:val="003409EC"/>
    <w:rsid w:val="00347020"/>
    <w:rsid w:val="003471E9"/>
    <w:rsid w:val="00351C35"/>
    <w:rsid w:val="00355385"/>
    <w:rsid w:val="00362180"/>
    <w:rsid w:val="003734AD"/>
    <w:rsid w:val="00375B30"/>
    <w:rsid w:val="00380E84"/>
    <w:rsid w:val="00384175"/>
    <w:rsid w:val="0038720D"/>
    <w:rsid w:val="00390034"/>
    <w:rsid w:val="00391D2C"/>
    <w:rsid w:val="003A2027"/>
    <w:rsid w:val="003A7ABD"/>
    <w:rsid w:val="003A7FC0"/>
    <w:rsid w:val="003C16B9"/>
    <w:rsid w:val="003C6B1E"/>
    <w:rsid w:val="003C7304"/>
    <w:rsid w:val="003D6F89"/>
    <w:rsid w:val="003D7C93"/>
    <w:rsid w:val="003E1410"/>
    <w:rsid w:val="003E3DED"/>
    <w:rsid w:val="004055C2"/>
    <w:rsid w:val="00406E23"/>
    <w:rsid w:val="00420126"/>
    <w:rsid w:val="004209F9"/>
    <w:rsid w:val="004229FE"/>
    <w:rsid w:val="00423F04"/>
    <w:rsid w:val="0042690F"/>
    <w:rsid w:val="004307DB"/>
    <w:rsid w:val="004335AB"/>
    <w:rsid w:val="00441B01"/>
    <w:rsid w:val="00447F29"/>
    <w:rsid w:val="00451C6D"/>
    <w:rsid w:val="00463340"/>
    <w:rsid w:val="00470D25"/>
    <w:rsid w:val="00474CAB"/>
    <w:rsid w:val="00487943"/>
    <w:rsid w:val="00490236"/>
    <w:rsid w:val="00492FF9"/>
    <w:rsid w:val="00497E68"/>
    <w:rsid w:val="004A0222"/>
    <w:rsid w:val="004A2476"/>
    <w:rsid w:val="004A6165"/>
    <w:rsid w:val="004B451E"/>
    <w:rsid w:val="004B7C6C"/>
    <w:rsid w:val="004C6253"/>
    <w:rsid w:val="004D4F8B"/>
    <w:rsid w:val="004E01AB"/>
    <w:rsid w:val="004E2CF6"/>
    <w:rsid w:val="004E2DA0"/>
    <w:rsid w:val="004E6A42"/>
    <w:rsid w:val="004E6B7E"/>
    <w:rsid w:val="004F1884"/>
    <w:rsid w:val="004F3552"/>
    <w:rsid w:val="005100CB"/>
    <w:rsid w:val="00513676"/>
    <w:rsid w:val="00513760"/>
    <w:rsid w:val="00517E85"/>
    <w:rsid w:val="00537F52"/>
    <w:rsid w:val="005443AB"/>
    <w:rsid w:val="00547E6F"/>
    <w:rsid w:val="00553D4C"/>
    <w:rsid w:val="00556297"/>
    <w:rsid w:val="00564711"/>
    <w:rsid w:val="005715F6"/>
    <w:rsid w:val="00581537"/>
    <w:rsid w:val="00592A3E"/>
    <w:rsid w:val="00597714"/>
    <w:rsid w:val="005A3947"/>
    <w:rsid w:val="005A3F75"/>
    <w:rsid w:val="005A437F"/>
    <w:rsid w:val="005B02AE"/>
    <w:rsid w:val="005B1B96"/>
    <w:rsid w:val="005B5FE2"/>
    <w:rsid w:val="005C2E29"/>
    <w:rsid w:val="005C3EAC"/>
    <w:rsid w:val="005C44BC"/>
    <w:rsid w:val="005C7025"/>
    <w:rsid w:val="005D46FA"/>
    <w:rsid w:val="005D7314"/>
    <w:rsid w:val="005E14B3"/>
    <w:rsid w:val="005E2924"/>
    <w:rsid w:val="005E595D"/>
    <w:rsid w:val="005E7E19"/>
    <w:rsid w:val="0060302C"/>
    <w:rsid w:val="00606301"/>
    <w:rsid w:val="00606E4E"/>
    <w:rsid w:val="0061361E"/>
    <w:rsid w:val="00617D84"/>
    <w:rsid w:val="00620CFE"/>
    <w:rsid w:val="00622AF2"/>
    <w:rsid w:val="00624ABD"/>
    <w:rsid w:val="00624EC3"/>
    <w:rsid w:val="006306D0"/>
    <w:rsid w:val="00631BFE"/>
    <w:rsid w:val="0063663B"/>
    <w:rsid w:val="00640357"/>
    <w:rsid w:val="0064112C"/>
    <w:rsid w:val="006413CE"/>
    <w:rsid w:val="0065158A"/>
    <w:rsid w:val="00651E63"/>
    <w:rsid w:val="00657F1B"/>
    <w:rsid w:val="00666857"/>
    <w:rsid w:val="0067117D"/>
    <w:rsid w:val="0067325F"/>
    <w:rsid w:val="006773A1"/>
    <w:rsid w:val="00677479"/>
    <w:rsid w:val="00680471"/>
    <w:rsid w:val="0068229C"/>
    <w:rsid w:val="006852A9"/>
    <w:rsid w:val="00691C20"/>
    <w:rsid w:val="006926BC"/>
    <w:rsid w:val="00693556"/>
    <w:rsid w:val="006A0C40"/>
    <w:rsid w:val="006A1816"/>
    <w:rsid w:val="006A4F61"/>
    <w:rsid w:val="006C1807"/>
    <w:rsid w:val="006C4050"/>
    <w:rsid w:val="006C713B"/>
    <w:rsid w:val="006D14E9"/>
    <w:rsid w:val="006D5AEA"/>
    <w:rsid w:val="006D73F6"/>
    <w:rsid w:val="006E016F"/>
    <w:rsid w:val="006E12B3"/>
    <w:rsid w:val="006E1636"/>
    <w:rsid w:val="006E1CD9"/>
    <w:rsid w:val="006E7864"/>
    <w:rsid w:val="007000E9"/>
    <w:rsid w:val="00702A9A"/>
    <w:rsid w:val="00705AFD"/>
    <w:rsid w:val="0070640A"/>
    <w:rsid w:val="00710C29"/>
    <w:rsid w:val="00711F1A"/>
    <w:rsid w:val="007144F5"/>
    <w:rsid w:val="00723500"/>
    <w:rsid w:val="00723AB7"/>
    <w:rsid w:val="00726199"/>
    <w:rsid w:val="00730A35"/>
    <w:rsid w:val="0073464E"/>
    <w:rsid w:val="007419B8"/>
    <w:rsid w:val="00742EA4"/>
    <w:rsid w:val="00744D09"/>
    <w:rsid w:val="007459B8"/>
    <w:rsid w:val="007502FD"/>
    <w:rsid w:val="007572CC"/>
    <w:rsid w:val="0076721D"/>
    <w:rsid w:val="00767501"/>
    <w:rsid w:val="0077128B"/>
    <w:rsid w:val="00780C7E"/>
    <w:rsid w:val="0078232D"/>
    <w:rsid w:val="00792488"/>
    <w:rsid w:val="00797303"/>
    <w:rsid w:val="007A0DD0"/>
    <w:rsid w:val="007A0E77"/>
    <w:rsid w:val="007A689B"/>
    <w:rsid w:val="007A6BA2"/>
    <w:rsid w:val="007B267A"/>
    <w:rsid w:val="007B4C37"/>
    <w:rsid w:val="007C4648"/>
    <w:rsid w:val="007D117A"/>
    <w:rsid w:val="007D1A1D"/>
    <w:rsid w:val="007D2940"/>
    <w:rsid w:val="007D6413"/>
    <w:rsid w:val="007D6443"/>
    <w:rsid w:val="007E1057"/>
    <w:rsid w:val="007E65E4"/>
    <w:rsid w:val="007F0407"/>
    <w:rsid w:val="007F2482"/>
    <w:rsid w:val="007F4080"/>
    <w:rsid w:val="00813F72"/>
    <w:rsid w:val="00822D57"/>
    <w:rsid w:val="00824171"/>
    <w:rsid w:val="0082422C"/>
    <w:rsid w:val="008247EF"/>
    <w:rsid w:val="00827464"/>
    <w:rsid w:val="0083044A"/>
    <w:rsid w:val="0083352B"/>
    <w:rsid w:val="00834D5F"/>
    <w:rsid w:val="008414E7"/>
    <w:rsid w:val="008425D9"/>
    <w:rsid w:val="00845264"/>
    <w:rsid w:val="00846B6E"/>
    <w:rsid w:val="00854979"/>
    <w:rsid w:val="0086042A"/>
    <w:rsid w:val="0086319D"/>
    <w:rsid w:val="008665AC"/>
    <w:rsid w:val="008678C0"/>
    <w:rsid w:val="00871972"/>
    <w:rsid w:val="00881937"/>
    <w:rsid w:val="00887C60"/>
    <w:rsid w:val="00892A07"/>
    <w:rsid w:val="008970EC"/>
    <w:rsid w:val="008A1E20"/>
    <w:rsid w:val="008A63DE"/>
    <w:rsid w:val="008B59CF"/>
    <w:rsid w:val="008C0649"/>
    <w:rsid w:val="008C2161"/>
    <w:rsid w:val="008C31D7"/>
    <w:rsid w:val="008E1A3B"/>
    <w:rsid w:val="008E4588"/>
    <w:rsid w:val="008E4A1B"/>
    <w:rsid w:val="008F1437"/>
    <w:rsid w:val="008F444E"/>
    <w:rsid w:val="009016F2"/>
    <w:rsid w:val="00904027"/>
    <w:rsid w:val="00905C16"/>
    <w:rsid w:val="0091191D"/>
    <w:rsid w:val="009160FC"/>
    <w:rsid w:val="00917679"/>
    <w:rsid w:val="00920588"/>
    <w:rsid w:val="00921CB9"/>
    <w:rsid w:val="00925AA9"/>
    <w:rsid w:val="00926C15"/>
    <w:rsid w:val="00926D06"/>
    <w:rsid w:val="009303A7"/>
    <w:rsid w:val="00930ACE"/>
    <w:rsid w:val="00937CB7"/>
    <w:rsid w:val="00937CEF"/>
    <w:rsid w:val="0094084A"/>
    <w:rsid w:val="009410B8"/>
    <w:rsid w:val="00950147"/>
    <w:rsid w:val="00956A38"/>
    <w:rsid w:val="00971EF8"/>
    <w:rsid w:val="00975288"/>
    <w:rsid w:val="009805C7"/>
    <w:rsid w:val="00981404"/>
    <w:rsid w:val="009934F9"/>
    <w:rsid w:val="00994C98"/>
    <w:rsid w:val="009A051D"/>
    <w:rsid w:val="009B412E"/>
    <w:rsid w:val="009C23AF"/>
    <w:rsid w:val="009C3D63"/>
    <w:rsid w:val="009C50D8"/>
    <w:rsid w:val="009D1672"/>
    <w:rsid w:val="009D3EA1"/>
    <w:rsid w:val="009D5E6B"/>
    <w:rsid w:val="009E0D3D"/>
    <w:rsid w:val="009E1233"/>
    <w:rsid w:val="009E2F40"/>
    <w:rsid w:val="009E47B2"/>
    <w:rsid w:val="009E4F02"/>
    <w:rsid w:val="009E5848"/>
    <w:rsid w:val="009F33BE"/>
    <w:rsid w:val="009F549A"/>
    <w:rsid w:val="009F57CB"/>
    <w:rsid w:val="009F6D0A"/>
    <w:rsid w:val="009F6FC6"/>
    <w:rsid w:val="00A010DE"/>
    <w:rsid w:val="00A022F0"/>
    <w:rsid w:val="00A03735"/>
    <w:rsid w:val="00A06493"/>
    <w:rsid w:val="00A11A1B"/>
    <w:rsid w:val="00A13CBD"/>
    <w:rsid w:val="00A171A6"/>
    <w:rsid w:val="00A228D8"/>
    <w:rsid w:val="00A23B53"/>
    <w:rsid w:val="00A259F2"/>
    <w:rsid w:val="00A27345"/>
    <w:rsid w:val="00A31FF7"/>
    <w:rsid w:val="00A32989"/>
    <w:rsid w:val="00A34206"/>
    <w:rsid w:val="00A35319"/>
    <w:rsid w:val="00A361D4"/>
    <w:rsid w:val="00A4355F"/>
    <w:rsid w:val="00A470D5"/>
    <w:rsid w:val="00A510F6"/>
    <w:rsid w:val="00A56E4B"/>
    <w:rsid w:val="00A56F16"/>
    <w:rsid w:val="00A6387F"/>
    <w:rsid w:val="00A84B01"/>
    <w:rsid w:val="00A91450"/>
    <w:rsid w:val="00A94843"/>
    <w:rsid w:val="00A950F8"/>
    <w:rsid w:val="00A97245"/>
    <w:rsid w:val="00AA126A"/>
    <w:rsid w:val="00AA3D66"/>
    <w:rsid w:val="00AA3F43"/>
    <w:rsid w:val="00AB7480"/>
    <w:rsid w:val="00AD499A"/>
    <w:rsid w:val="00AE5E93"/>
    <w:rsid w:val="00AE60A9"/>
    <w:rsid w:val="00AF3CAC"/>
    <w:rsid w:val="00AF3CC5"/>
    <w:rsid w:val="00AF4291"/>
    <w:rsid w:val="00AF4FED"/>
    <w:rsid w:val="00B0002D"/>
    <w:rsid w:val="00B03132"/>
    <w:rsid w:val="00B16F82"/>
    <w:rsid w:val="00B206BE"/>
    <w:rsid w:val="00B249F7"/>
    <w:rsid w:val="00B515AF"/>
    <w:rsid w:val="00B56FC4"/>
    <w:rsid w:val="00B6062B"/>
    <w:rsid w:val="00B6747C"/>
    <w:rsid w:val="00B6750E"/>
    <w:rsid w:val="00B72B3D"/>
    <w:rsid w:val="00B761B4"/>
    <w:rsid w:val="00B805EA"/>
    <w:rsid w:val="00B810AC"/>
    <w:rsid w:val="00B821F9"/>
    <w:rsid w:val="00B84A03"/>
    <w:rsid w:val="00B84DB8"/>
    <w:rsid w:val="00B87693"/>
    <w:rsid w:val="00B90AAD"/>
    <w:rsid w:val="00B969EC"/>
    <w:rsid w:val="00B96CE1"/>
    <w:rsid w:val="00B97817"/>
    <w:rsid w:val="00BA6F7A"/>
    <w:rsid w:val="00BB138B"/>
    <w:rsid w:val="00BB69A9"/>
    <w:rsid w:val="00BC1279"/>
    <w:rsid w:val="00BD0B87"/>
    <w:rsid w:val="00BE244C"/>
    <w:rsid w:val="00BE37F4"/>
    <w:rsid w:val="00BE791D"/>
    <w:rsid w:val="00BF0866"/>
    <w:rsid w:val="00BF666D"/>
    <w:rsid w:val="00C02532"/>
    <w:rsid w:val="00C0271D"/>
    <w:rsid w:val="00C0314B"/>
    <w:rsid w:val="00C05C2F"/>
    <w:rsid w:val="00C16F66"/>
    <w:rsid w:val="00C20B58"/>
    <w:rsid w:val="00C236E5"/>
    <w:rsid w:val="00C4475E"/>
    <w:rsid w:val="00C46F7D"/>
    <w:rsid w:val="00C50145"/>
    <w:rsid w:val="00C50A98"/>
    <w:rsid w:val="00C61353"/>
    <w:rsid w:val="00C62A4E"/>
    <w:rsid w:val="00C65EF4"/>
    <w:rsid w:val="00C6786B"/>
    <w:rsid w:val="00C84A93"/>
    <w:rsid w:val="00C861DE"/>
    <w:rsid w:val="00C86E24"/>
    <w:rsid w:val="00C90B74"/>
    <w:rsid w:val="00C9275A"/>
    <w:rsid w:val="00CA0409"/>
    <w:rsid w:val="00CA279F"/>
    <w:rsid w:val="00CA5D76"/>
    <w:rsid w:val="00CB4FE8"/>
    <w:rsid w:val="00CC18A0"/>
    <w:rsid w:val="00CC1F14"/>
    <w:rsid w:val="00CC5386"/>
    <w:rsid w:val="00CC5A43"/>
    <w:rsid w:val="00CC758C"/>
    <w:rsid w:val="00CD42E0"/>
    <w:rsid w:val="00CF0546"/>
    <w:rsid w:val="00CF7ACE"/>
    <w:rsid w:val="00D042A0"/>
    <w:rsid w:val="00D127B5"/>
    <w:rsid w:val="00D12B2A"/>
    <w:rsid w:val="00D1426B"/>
    <w:rsid w:val="00D22558"/>
    <w:rsid w:val="00D268A4"/>
    <w:rsid w:val="00D27988"/>
    <w:rsid w:val="00D329E3"/>
    <w:rsid w:val="00D3331C"/>
    <w:rsid w:val="00D3350C"/>
    <w:rsid w:val="00D3560B"/>
    <w:rsid w:val="00D4617E"/>
    <w:rsid w:val="00D4654A"/>
    <w:rsid w:val="00D521C3"/>
    <w:rsid w:val="00D546D9"/>
    <w:rsid w:val="00D54A1A"/>
    <w:rsid w:val="00D57886"/>
    <w:rsid w:val="00D60EDE"/>
    <w:rsid w:val="00D6355F"/>
    <w:rsid w:val="00D64013"/>
    <w:rsid w:val="00D6677E"/>
    <w:rsid w:val="00D727B0"/>
    <w:rsid w:val="00D72AB7"/>
    <w:rsid w:val="00D74D84"/>
    <w:rsid w:val="00D75627"/>
    <w:rsid w:val="00D82393"/>
    <w:rsid w:val="00D908FF"/>
    <w:rsid w:val="00D93BFA"/>
    <w:rsid w:val="00D94264"/>
    <w:rsid w:val="00DA5A55"/>
    <w:rsid w:val="00DA5CA9"/>
    <w:rsid w:val="00DB296A"/>
    <w:rsid w:val="00DB29DD"/>
    <w:rsid w:val="00DB4025"/>
    <w:rsid w:val="00DB607F"/>
    <w:rsid w:val="00DB73CA"/>
    <w:rsid w:val="00DC45D0"/>
    <w:rsid w:val="00DC73F3"/>
    <w:rsid w:val="00DD3C45"/>
    <w:rsid w:val="00DD5756"/>
    <w:rsid w:val="00DD5DFA"/>
    <w:rsid w:val="00DD7C75"/>
    <w:rsid w:val="00DE2F71"/>
    <w:rsid w:val="00DF1571"/>
    <w:rsid w:val="00DF15F3"/>
    <w:rsid w:val="00DF6A53"/>
    <w:rsid w:val="00E0171B"/>
    <w:rsid w:val="00E02919"/>
    <w:rsid w:val="00E03A20"/>
    <w:rsid w:val="00E03FA8"/>
    <w:rsid w:val="00E04A36"/>
    <w:rsid w:val="00E05CDD"/>
    <w:rsid w:val="00E05E13"/>
    <w:rsid w:val="00E11739"/>
    <w:rsid w:val="00E158E6"/>
    <w:rsid w:val="00E17F89"/>
    <w:rsid w:val="00E374FA"/>
    <w:rsid w:val="00E46BF3"/>
    <w:rsid w:val="00E553A9"/>
    <w:rsid w:val="00E614A1"/>
    <w:rsid w:val="00E73F45"/>
    <w:rsid w:val="00E75ABA"/>
    <w:rsid w:val="00E83952"/>
    <w:rsid w:val="00E9416C"/>
    <w:rsid w:val="00E958F1"/>
    <w:rsid w:val="00E96A0F"/>
    <w:rsid w:val="00EA2285"/>
    <w:rsid w:val="00EB00D6"/>
    <w:rsid w:val="00EB4D34"/>
    <w:rsid w:val="00ED1949"/>
    <w:rsid w:val="00ED2FA1"/>
    <w:rsid w:val="00EE2120"/>
    <w:rsid w:val="00EE3812"/>
    <w:rsid w:val="00EE4B9E"/>
    <w:rsid w:val="00EE6BE1"/>
    <w:rsid w:val="00EF64ED"/>
    <w:rsid w:val="00F01A33"/>
    <w:rsid w:val="00F07753"/>
    <w:rsid w:val="00F07EC2"/>
    <w:rsid w:val="00F10E5E"/>
    <w:rsid w:val="00F20B57"/>
    <w:rsid w:val="00F232C1"/>
    <w:rsid w:val="00F271BF"/>
    <w:rsid w:val="00F27967"/>
    <w:rsid w:val="00F30712"/>
    <w:rsid w:val="00F30E27"/>
    <w:rsid w:val="00F30FB4"/>
    <w:rsid w:val="00F317D4"/>
    <w:rsid w:val="00F32EA0"/>
    <w:rsid w:val="00F37FA3"/>
    <w:rsid w:val="00F41D5A"/>
    <w:rsid w:val="00F43854"/>
    <w:rsid w:val="00F44690"/>
    <w:rsid w:val="00F55C31"/>
    <w:rsid w:val="00F561F8"/>
    <w:rsid w:val="00F572EF"/>
    <w:rsid w:val="00F601EB"/>
    <w:rsid w:val="00F62E8D"/>
    <w:rsid w:val="00F659DC"/>
    <w:rsid w:val="00F716D7"/>
    <w:rsid w:val="00F72656"/>
    <w:rsid w:val="00F76968"/>
    <w:rsid w:val="00F80C7C"/>
    <w:rsid w:val="00F875AF"/>
    <w:rsid w:val="00F87B54"/>
    <w:rsid w:val="00F9105C"/>
    <w:rsid w:val="00F943FD"/>
    <w:rsid w:val="00FA1B1C"/>
    <w:rsid w:val="00FA244F"/>
    <w:rsid w:val="00FA3FB6"/>
    <w:rsid w:val="00FA6B33"/>
    <w:rsid w:val="00FB4CAB"/>
    <w:rsid w:val="00FB4EC5"/>
    <w:rsid w:val="00FC57CE"/>
    <w:rsid w:val="00FD20CA"/>
    <w:rsid w:val="00FD2443"/>
    <w:rsid w:val="00FE4465"/>
    <w:rsid w:val="00FE4572"/>
    <w:rsid w:val="00FF12A4"/>
    <w:rsid w:val="00FF21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FF6C8E4"/>
  <w15:docId w15:val="{AF3D6528-EC63-41D4-85EF-9A45C59B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E0"/>
    <w:pPr>
      <w:spacing w:after="0" w:line="240" w:lineRule="auto"/>
      <w:jc w:val="both"/>
    </w:pPr>
    <w:rPr>
      <w:rFonts w:ascii="avant garde" w:eastAsia="Times New Roman" w:hAnsi="avant gard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CD42E0"/>
    <w:pPr>
      <w:ind w:left="720"/>
      <w:contextualSpacing/>
    </w:pPr>
  </w:style>
  <w:style w:type="paragraph" w:styleId="BalloonText">
    <w:name w:val="Balloon Text"/>
    <w:basedOn w:val="Normal"/>
    <w:link w:val="BalloonTextChar"/>
    <w:uiPriority w:val="99"/>
    <w:semiHidden/>
    <w:unhideWhenUsed/>
    <w:rsid w:val="00CF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46"/>
    <w:rPr>
      <w:rFonts w:ascii="Segoe UI" w:eastAsia="Times New Roman" w:hAnsi="Segoe UI" w:cs="Segoe UI"/>
      <w:sz w:val="18"/>
      <w:szCs w:val="18"/>
    </w:rPr>
  </w:style>
  <w:style w:type="paragraph" w:styleId="FootnoteText">
    <w:name w:val="footnote text"/>
    <w:basedOn w:val="Normal"/>
    <w:link w:val="FootnoteTextChar"/>
    <w:uiPriority w:val="99"/>
    <w:unhideWhenUsed/>
    <w:rsid w:val="00926C15"/>
    <w:rPr>
      <w:sz w:val="20"/>
      <w:szCs w:val="20"/>
    </w:rPr>
  </w:style>
  <w:style w:type="character" w:customStyle="1" w:styleId="FootnoteTextChar">
    <w:name w:val="Footnote Text Char"/>
    <w:basedOn w:val="DefaultParagraphFont"/>
    <w:link w:val="FootnoteText"/>
    <w:uiPriority w:val="99"/>
    <w:rsid w:val="00926C15"/>
    <w:rPr>
      <w:rFonts w:ascii="avant garde" w:eastAsia="Times New Roman" w:hAnsi="avant garde" w:cs="Times New Roman"/>
      <w:sz w:val="20"/>
      <w:szCs w:val="20"/>
    </w:rPr>
  </w:style>
  <w:style w:type="character" w:styleId="FootnoteReference">
    <w:name w:val="footnote reference"/>
    <w:basedOn w:val="DefaultParagraphFont"/>
    <w:uiPriority w:val="99"/>
    <w:unhideWhenUsed/>
    <w:rsid w:val="00926C15"/>
    <w:rPr>
      <w:vertAlign w:val="superscript"/>
    </w:rPr>
  </w:style>
  <w:style w:type="character" w:styleId="Hyperlink">
    <w:name w:val="Hyperlink"/>
    <w:basedOn w:val="DefaultParagraphFont"/>
    <w:uiPriority w:val="99"/>
    <w:unhideWhenUsed/>
    <w:rsid w:val="00926C15"/>
    <w:rPr>
      <w:color w:val="0000FF"/>
      <w:u w:val="single"/>
    </w:rPr>
  </w:style>
  <w:style w:type="paragraph" w:styleId="Header">
    <w:name w:val="header"/>
    <w:basedOn w:val="Normal"/>
    <w:link w:val="HeaderChar"/>
    <w:uiPriority w:val="99"/>
    <w:unhideWhenUsed/>
    <w:rsid w:val="005E2924"/>
    <w:pPr>
      <w:tabs>
        <w:tab w:val="center" w:pos="4513"/>
        <w:tab w:val="right" w:pos="9026"/>
      </w:tabs>
    </w:pPr>
  </w:style>
  <w:style w:type="character" w:customStyle="1" w:styleId="HeaderChar">
    <w:name w:val="Header Char"/>
    <w:basedOn w:val="DefaultParagraphFont"/>
    <w:link w:val="Header"/>
    <w:uiPriority w:val="99"/>
    <w:rsid w:val="005E2924"/>
    <w:rPr>
      <w:rFonts w:ascii="avant garde" w:eastAsia="Times New Roman" w:hAnsi="avant garde" w:cs="Times New Roman"/>
      <w:szCs w:val="24"/>
    </w:rPr>
  </w:style>
  <w:style w:type="paragraph" w:styleId="Footer">
    <w:name w:val="footer"/>
    <w:basedOn w:val="Normal"/>
    <w:link w:val="FooterChar"/>
    <w:uiPriority w:val="99"/>
    <w:unhideWhenUsed/>
    <w:rsid w:val="005E2924"/>
    <w:pPr>
      <w:tabs>
        <w:tab w:val="center" w:pos="4513"/>
        <w:tab w:val="right" w:pos="9026"/>
      </w:tabs>
    </w:pPr>
  </w:style>
  <w:style w:type="character" w:customStyle="1" w:styleId="FooterChar">
    <w:name w:val="Footer Char"/>
    <w:basedOn w:val="DefaultParagraphFont"/>
    <w:link w:val="Footer"/>
    <w:uiPriority w:val="99"/>
    <w:rsid w:val="005E2924"/>
    <w:rPr>
      <w:rFonts w:ascii="avant garde" w:eastAsia="Times New Roman" w:hAnsi="avant garde" w:cs="Times New Roman"/>
      <w:szCs w:val="24"/>
    </w:rPr>
  </w:style>
  <w:style w:type="character" w:customStyle="1" w:styleId="UnresolvedMention1">
    <w:name w:val="Unresolved Mention1"/>
    <w:basedOn w:val="DefaultParagraphFont"/>
    <w:uiPriority w:val="99"/>
    <w:semiHidden/>
    <w:unhideWhenUsed/>
    <w:rsid w:val="005E2924"/>
    <w:rPr>
      <w:color w:val="605E5C"/>
      <w:shd w:val="clear" w:color="auto" w:fill="E1DFDD"/>
    </w:rPr>
  </w:style>
  <w:style w:type="character" w:styleId="FollowedHyperlink">
    <w:name w:val="FollowedHyperlink"/>
    <w:basedOn w:val="DefaultParagraphFont"/>
    <w:uiPriority w:val="99"/>
    <w:semiHidden/>
    <w:unhideWhenUsed/>
    <w:rsid w:val="00463340"/>
    <w:rPr>
      <w:color w:val="954F72" w:themeColor="followedHyperlink"/>
      <w:u w:val="single"/>
    </w:rPr>
  </w:style>
  <w:style w:type="character" w:customStyle="1" w:styleId="UnresolvedMention2">
    <w:name w:val="Unresolved Mention2"/>
    <w:basedOn w:val="DefaultParagraphFont"/>
    <w:uiPriority w:val="99"/>
    <w:rsid w:val="00273E54"/>
    <w:rPr>
      <w:color w:val="605E5C"/>
      <w:shd w:val="clear" w:color="auto" w:fill="E1DFDD"/>
    </w:rPr>
  </w:style>
  <w:style w:type="paragraph" w:styleId="Revision">
    <w:name w:val="Revision"/>
    <w:hidden/>
    <w:uiPriority w:val="99"/>
    <w:semiHidden/>
    <w:rsid w:val="00A23B53"/>
    <w:pPr>
      <w:spacing w:after="0" w:line="240" w:lineRule="auto"/>
    </w:pPr>
    <w:rPr>
      <w:rFonts w:ascii="avant garde" w:eastAsia="Times New Roman" w:hAnsi="avant garde" w:cs="Times New Roman"/>
      <w:szCs w:val="24"/>
    </w:rPr>
  </w:style>
  <w:style w:type="paragraph" w:customStyle="1" w:styleId="Default">
    <w:name w:val="Default"/>
    <w:rsid w:val="004209F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05CDD"/>
    <w:rPr>
      <w:sz w:val="16"/>
      <w:szCs w:val="16"/>
    </w:rPr>
  </w:style>
  <w:style w:type="paragraph" w:styleId="CommentText">
    <w:name w:val="annotation text"/>
    <w:basedOn w:val="Normal"/>
    <w:link w:val="CommentTextChar"/>
    <w:uiPriority w:val="99"/>
    <w:unhideWhenUsed/>
    <w:rsid w:val="00E05CDD"/>
    <w:rPr>
      <w:sz w:val="20"/>
      <w:szCs w:val="20"/>
    </w:rPr>
  </w:style>
  <w:style w:type="character" w:customStyle="1" w:styleId="CommentTextChar">
    <w:name w:val="Comment Text Char"/>
    <w:basedOn w:val="DefaultParagraphFont"/>
    <w:link w:val="CommentText"/>
    <w:uiPriority w:val="99"/>
    <w:rsid w:val="00E05CDD"/>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E05CDD"/>
    <w:rPr>
      <w:b/>
      <w:bCs/>
    </w:rPr>
  </w:style>
  <w:style w:type="character" w:customStyle="1" w:styleId="CommentSubjectChar">
    <w:name w:val="Comment Subject Char"/>
    <w:basedOn w:val="CommentTextChar"/>
    <w:link w:val="CommentSubject"/>
    <w:uiPriority w:val="99"/>
    <w:semiHidden/>
    <w:rsid w:val="00E05CDD"/>
    <w:rPr>
      <w:rFonts w:ascii="avant garde" w:eastAsia="Times New Roman" w:hAnsi="avant garde" w:cs="Times New Roman"/>
      <w:b/>
      <w:bCs/>
      <w:sz w:val="20"/>
      <w:szCs w:val="20"/>
    </w:rPr>
  </w:style>
  <w:style w:type="character" w:customStyle="1" w:styleId="ListParagraphChar">
    <w:name w:val="List Paragraph Char"/>
    <w:aliases w:val="Dot pt Char"/>
    <w:basedOn w:val="DefaultParagraphFont"/>
    <w:link w:val="ListParagraph"/>
    <w:uiPriority w:val="34"/>
    <w:locked/>
    <w:rsid w:val="006852A9"/>
    <w:rPr>
      <w:rFonts w:ascii="avant garde" w:eastAsia="Times New Roman" w:hAnsi="avant garde" w:cs="Times New Roman"/>
      <w:szCs w:val="24"/>
    </w:rPr>
  </w:style>
  <w:style w:type="paragraph" w:styleId="PlainText">
    <w:name w:val="Plain Text"/>
    <w:basedOn w:val="Normal"/>
    <w:link w:val="PlainTextChar"/>
    <w:uiPriority w:val="99"/>
    <w:unhideWhenUsed/>
    <w:rsid w:val="003A2027"/>
    <w:pPr>
      <w:jc w:val="left"/>
    </w:pPr>
    <w:rPr>
      <w:rFonts w:ascii="Calibri" w:hAnsi="Calibri" w:cs="Calibri"/>
      <w:szCs w:val="21"/>
      <w:lang w:eastAsia="en-GB"/>
    </w:rPr>
  </w:style>
  <w:style w:type="character" w:customStyle="1" w:styleId="PlainTextChar">
    <w:name w:val="Plain Text Char"/>
    <w:basedOn w:val="DefaultParagraphFont"/>
    <w:link w:val="PlainText"/>
    <w:uiPriority w:val="99"/>
    <w:rsid w:val="003A2027"/>
    <w:rPr>
      <w:rFonts w:ascii="Calibri" w:eastAsia="Times New Roman" w:hAnsi="Calibri" w:cs="Calibri"/>
      <w:szCs w:val="21"/>
      <w:lang w:eastAsia="en-GB"/>
    </w:rPr>
  </w:style>
  <w:style w:type="character" w:styleId="Strong">
    <w:name w:val="Strong"/>
    <w:basedOn w:val="DefaultParagraphFont"/>
    <w:uiPriority w:val="22"/>
    <w:qFormat/>
    <w:rsid w:val="00640357"/>
    <w:rPr>
      <w:b/>
      <w:bCs/>
    </w:rPr>
  </w:style>
  <w:style w:type="character" w:styleId="UnresolvedMention">
    <w:name w:val="Unresolved Mention"/>
    <w:basedOn w:val="DefaultParagraphFont"/>
    <w:uiPriority w:val="99"/>
    <w:rsid w:val="00E9416C"/>
    <w:rPr>
      <w:color w:val="605E5C"/>
      <w:shd w:val="clear" w:color="auto" w:fill="E1DFDD"/>
    </w:rPr>
  </w:style>
  <w:style w:type="paragraph" w:styleId="NormalWeb">
    <w:name w:val="Normal (Web)"/>
    <w:basedOn w:val="Normal"/>
    <w:uiPriority w:val="99"/>
    <w:unhideWhenUsed/>
    <w:rsid w:val="00D521C3"/>
    <w:pPr>
      <w:spacing w:before="100" w:beforeAutospacing="1" w:after="100" w:afterAutospacing="1"/>
      <w:jc w:val="left"/>
    </w:pPr>
    <w:rPr>
      <w:rFonts w:ascii="Times New Roman" w:hAnsi="Times New Roman"/>
      <w:sz w:val="24"/>
      <w:lang w:eastAsia="en-GB"/>
    </w:rPr>
  </w:style>
  <w:style w:type="paragraph" w:styleId="EndnoteText">
    <w:name w:val="endnote text"/>
    <w:basedOn w:val="Normal"/>
    <w:link w:val="EndnoteTextChar"/>
    <w:uiPriority w:val="99"/>
    <w:unhideWhenUsed/>
    <w:rsid w:val="00797303"/>
    <w:rPr>
      <w:sz w:val="20"/>
      <w:szCs w:val="20"/>
    </w:rPr>
  </w:style>
  <w:style w:type="character" w:customStyle="1" w:styleId="EndnoteTextChar">
    <w:name w:val="Endnote Text Char"/>
    <w:basedOn w:val="DefaultParagraphFont"/>
    <w:link w:val="EndnoteText"/>
    <w:uiPriority w:val="99"/>
    <w:rsid w:val="00797303"/>
    <w:rPr>
      <w:rFonts w:ascii="avant garde" w:eastAsia="Times New Roman" w:hAnsi="avant gard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999">
      <w:bodyDiv w:val="1"/>
      <w:marLeft w:val="0"/>
      <w:marRight w:val="0"/>
      <w:marTop w:val="0"/>
      <w:marBottom w:val="0"/>
      <w:divBdr>
        <w:top w:val="none" w:sz="0" w:space="0" w:color="auto"/>
        <w:left w:val="none" w:sz="0" w:space="0" w:color="auto"/>
        <w:bottom w:val="none" w:sz="0" w:space="0" w:color="auto"/>
        <w:right w:val="none" w:sz="0" w:space="0" w:color="auto"/>
      </w:divBdr>
    </w:div>
    <w:div w:id="25369816">
      <w:bodyDiv w:val="1"/>
      <w:marLeft w:val="0"/>
      <w:marRight w:val="0"/>
      <w:marTop w:val="0"/>
      <w:marBottom w:val="0"/>
      <w:divBdr>
        <w:top w:val="none" w:sz="0" w:space="0" w:color="auto"/>
        <w:left w:val="none" w:sz="0" w:space="0" w:color="auto"/>
        <w:bottom w:val="none" w:sz="0" w:space="0" w:color="auto"/>
        <w:right w:val="none" w:sz="0" w:space="0" w:color="auto"/>
      </w:divBdr>
    </w:div>
    <w:div w:id="55669389">
      <w:bodyDiv w:val="1"/>
      <w:marLeft w:val="0"/>
      <w:marRight w:val="0"/>
      <w:marTop w:val="0"/>
      <w:marBottom w:val="0"/>
      <w:divBdr>
        <w:top w:val="none" w:sz="0" w:space="0" w:color="auto"/>
        <w:left w:val="none" w:sz="0" w:space="0" w:color="auto"/>
        <w:bottom w:val="none" w:sz="0" w:space="0" w:color="auto"/>
        <w:right w:val="none" w:sz="0" w:space="0" w:color="auto"/>
      </w:divBdr>
    </w:div>
    <w:div w:id="58216679">
      <w:bodyDiv w:val="1"/>
      <w:marLeft w:val="0"/>
      <w:marRight w:val="0"/>
      <w:marTop w:val="0"/>
      <w:marBottom w:val="0"/>
      <w:divBdr>
        <w:top w:val="none" w:sz="0" w:space="0" w:color="auto"/>
        <w:left w:val="none" w:sz="0" w:space="0" w:color="auto"/>
        <w:bottom w:val="none" w:sz="0" w:space="0" w:color="auto"/>
        <w:right w:val="none" w:sz="0" w:space="0" w:color="auto"/>
      </w:divBdr>
    </w:div>
    <w:div w:id="123961193">
      <w:bodyDiv w:val="1"/>
      <w:marLeft w:val="0"/>
      <w:marRight w:val="0"/>
      <w:marTop w:val="0"/>
      <w:marBottom w:val="0"/>
      <w:divBdr>
        <w:top w:val="none" w:sz="0" w:space="0" w:color="auto"/>
        <w:left w:val="none" w:sz="0" w:space="0" w:color="auto"/>
        <w:bottom w:val="none" w:sz="0" w:space="0" w:color="auto"/>
        <w:right w:val="none" w:sz="0" w:space="0" w:color="auto"/>
      </w:divBdr>
    </w:div>
    <w:div w:id="170415703">
      <w:bodyDiv w:val="1"/>
      <w:marLeft w:val="0"/>
      <w:marRight w:val="0"/>
      <w:marTop w:val="0"/>
      <w:marBottom w:val="0"/>
      <w:divBdr>
        <w:top w:val="none" w:sz="0" w:space="0" w:color="auto"/>
        <w:left w:val="none" w:sz="0" w:space="0" w:color="auto"/>
        <w:bottom w:val="none" w:sz="0" w:space="0" w:color="auto"/>
        <w:right w:val="none" w:sz="0" w:space="0" w:color="auto"/>
      </w:divBdr>
    </w:div>
    <w:div w:id="205683354">
      <w:bodyDiv w:val="1"/>
      <w:marLeft w:val="0"/>
      <w:marRight w:val="0"/>
      <w:marTop w:val="0"/>
      <w:marBottom w:val="0"/>
      <w:divBdr>
        <w:top w:val="none" w:sz="0" w:space="0" w:color="auto"/>
        <w:left w:val="none" w:sz="0" w:space="0" w:color="auto"/>
        <w:bottom w:val="none" w:sz="0" w:space="0" w:color="auto"/>
        <w:right w:val="none" w:sz="0" w:space="0" w:color="auto"/>
      </w:divBdr>
    </w:div>
    <w:div w:id="249851878">
      <w:bodyDiv w:val="1"/>
      <w:marLeft w:val="0"/>
      <w:marRight w:val="0"/>
      <w:marTop w:val="0"/>
      <w:marBottom w:val="0"/>
      <w:divBdr>
        <w:top w:val="none" w:sz="0" w:space="0" w:color="auto"/>
        <w:left w:val="none" w:sz="0" w:space="0" w:color="auto"/>
        <w:bottom w:val="none" w:sz="0" w:space="0" w:color="auto"/>
        <w:right w:val="none" w:sz="0" w:space="0" w:color="auto"/>
      </w:divBdr>
    </w:div>
    <w:div w:id="252397011">
      <w:bodyDiv w:val="1"/>
      <w:marLeft w:val="0"/>
      <w:marRight w:val="0"/>
      <w:marTop w:val="0"/>
      <w:marBottom w:val="0"/>
      <w:divBdr>
        <w:top w:val="none" w:sz="0" w:space="0" w:color="auto"/>
        <w:left w:val="none" w:sz="0" w:space="0" w:color="auto"/>
        <w:bottom w:val="none" w:sz="0" w:space="0" w:color="auto"/>
        <w:right w:val="none" w:sz="0" w:space="0" w:color="auto"/>
      </w:divBdr>
    </w:div>
    <w:div w:id="270213558">
      <w:bodyDiv w:val="1"/>
      <w:marLeft w:val="0"/>
      <w:marRight w:val="0"/>
      <w:marTop w:val="0"/>
      <w:marBottom w:val="0"/>
      <w:divBdr>
        <w:top w:val="none" w:sz="0" w:space="0" w:color="auto"/>
        <w:left w:val="none" w:sz="0" w:space="0" w:color="auto"/>
        <w:bottom w:val="none" w:sz="0" w:space="0" w:color="auto"/>
        <w:right w:val="none" w:sz="0" w:space="0" w:color="auto"/>
      </w:divBdr>
    </w:div>
    <w:div w:id="494492781">
      <w:bodyDiv w:val="1"/>
      <w:marLeft w:val="0"/>
      <w:marRight w:val="0"/>
      <w:marTop w:val="0"/>
      <w:marBottom w:val="0"/>
      <w:divBdr>
        <w:top w:val="none" w:sz="0" w:space="0" w:color="auto"/>
        <w:left w:val="none" w:sz="0" w:space="0" w:color="auto"/>
        <w:bottom w:val="none" w:sz="0" w:space="0" w:color="auto"/>
        <w:right w:val="none" w:sz="0" w:space="0" w:color="auto"/>
      </w:divBdr>
    </w:div>
    <w:div w:id="502817885">
      <w:bodyDiv w:val="1"/>
      <w:marLeft w:val="0"/>
      <w:marRight w:val="0"/>
      <w:marTop w:val="0"/>
      <w:marBottom w:val="0"/>
      <w:divBdr>
        <w:top w:val="none" w:sz="0" w:space="0" w:color="auto"/>
        <w:left w:val="none" w:sz="0" w:space="0" w:color="auto"/>
        <w:bottom w:val="none" w:sz="0" w:space="0" w:color="auto"/>
        <w:right w:val="none" w:sz="0" w:space="0" w:color="auto"/>
      </w:divBdr>
    </w:div>
    <w:div w:id="557087135">
      <w:bodyDiv w:val="1"/>
      <w:marLeft w:val="0"/>
      <w:marRight w:val="0"/>
      <w:marTop w:val="0"/>
      <w:marBottom w:val="0"/>
      <w:divBdr>
        <w:top w:val="none" w:sz="0" w:space="0" w:color="auto"/>
        <w:left w:val="none" w:sz="0" w:space="0" w:color="auto"/>
        <w:bottom w:val="none" w:sz="0" w:space="0" w:color="auto"/>
        <w:right w:val="none" w:sz="0" w:space="0" w:color="auto"/>
      </w:divBdr>
    </w:div>
    <w:div w:id="623463659">
      <w:bodyDiv w:val="1"/>
      <w:marLeft w:val="0"/>
      <w:marRight w:val="0"/>
      <w:marTop w:val="0"/>
      <w:marBottom w:val="0"/>
      <w:divBdr>
        <w:top w:val="none" w:sz="0" w:space="0" w:color="auto"/>
        <w:left w:val="none" w:sz="0" w:space="0" w:color="auto"/>
        <w:bottom w:val="none" w:sz="0" w:space="0" w:color="auto"/>
        <w:right w:val="none" w:sz="0" w:space="0" w:color="auto"/>
      </w:divBdr>
    </w:div>
    <w:div w:id="784887206">
      <w:bodyDiv w:val="1"/>
      <w:marLeft w:val="0"/>
      <w:marRight w:val="0"/>
      <w:marTop w:val="0"/>
      <w:marBottom w:val="0"/>
      <w:divBdr>
        <w:top w:val="none" w:sz="0" w:space="0" w:color="auto"/>
        <w:left w:val="none" w:sz="0" w:space="0" w:color="auto"/>
        <w:bottom w:val="none" w:sz="0" w:space="0" w:color="auto"/>
        <w:right w:val="none" w:sz="0" w:space="0" w:color="auto"/>
      </w:divBdr>
    </w:div>
    <w:div w:id="825904687">
      <w:bodyDiv w:val="1"/>
      <w:marLeft w:val="0"/>
      <w:marRight w:val="0"/>
      <w:marTop w:val="0"/>
      <w:marBottom w:val="0"/>
      <w:divBdr>
        <w:top w:val="none" w:sz="0" w:space="0" w:color="auto"/>
        <w:left w:val="none" w:sz="0" w:space="0" w:color="auto"/>
        <w:bottom w:val="none" w:sz="0" w:space="0" w:color="auto"/>
        <w:right w:val="none" w:sz="0" w:space="0" w:color="auto"/>
      </w:divBdr>
    </w:div>
    <w:div w:id="844176115">
      <w:bodyDiv w:val="1"/>
      <w:marLeft w:val="0"/>
      <w:marRight w:val="0"/>
      <w:marTop w:val="0"/>
      <w:marBottom w:val="0"/>
      <w:divBdr>
        <w:top w:val="none" w:sz="0" w:space="0" w:color="auto"/>
        <w:left w:val="none" w:sz="0" w:space="0" w:color="auto"/>
        <w:bottom w:val="none" w:sz="0" w:space="0" w:color="auto"/>
        <w:right w:val="none" w:sz="0" w:space="0" w:color="auto"/>
      </w:divBdr>
    </w:div>
    <w:div w:id="968125432">
      <w:bodyDiv w:val="1"/>
      <w:marLeft w:val="0"/>
      <w:marRight w:val="0"/>
      <w:marTop w:val="0"/>
      <w:marBottom w:val="0"/>
      <w:divBdr>
        <w:top w:val="none" w:sz="0" w:space="0" w:color="auto"/>
        <w:left w:val="none" w:sz="0" w:space="0" w:color="auto"/>
        <w:bottom w:val="none" w:sz="0" w:space="0" w:color="auto"/>
        <w:right w:val="none" w:sz="0" w:space="0" w:color="auto"/>
      </w:divBdr>
    </w:div>
    <w:div w:id="1011493437">
      <w:bodyDiv w:val="1"/>
      <w:marLeft w:val="0"/>
      <w:marRight w:val="0"/>
      <w:marTop w:val="0"/>
      <w:marBottom w:val="0"/>
      <w:divBdr>
        <w:top w:val="none" w:sz="0" w:space="0" w:color="auto"/>
        <w:left w:val="none" w:sz="0" w:space="0" w:color="auto"/>
        <w:bottom w:val="none" w:sz="0" w:space="0" w:color="auto"/>
        <w:right w:val="none" w:sz="0" w:space="0" w:color="auto"/>
      </w:divBdr>
    </w:div>
    <w:div w:id="1027605818">
      <w:bodyDiv w:val="1"/>
      <w:marLeft w:val="0"/>
      <w:marRight w:val="0"/>
      <w:marTop w:val="0"/>
      <w:marBottom w:val="0"/>
      <w:divBdr>
        <w:top w:val="none" w:sz="0" w:space="0" w:color="auto"/>
        <w:left w:val="none" w:sz="0" w:space="0" w:color="auto"/>
        <w:bottom w:val="none" w:sz="0" w:space="0" w:color="auto"/>
        <w:right w:val="none" w:sz="0" w:space="0" w:color="auto"/>
      </w:divBdr>
    </w:div>
    <w:div w:id="1027952688">
      <w:bodyDiv w:val="1"/>
      <w:marLeft w:val="0"/>
      <w:marRight w:val="0"/>
      <w:marTop w:val="0"/>
      <w:marBottom w:val="0"/>
      <w:divBdr>
        <w:top w:val="none" w:sz="0" w:space="0" w:color="auto"/>
        <w:left w:val="none" w:sz="0" w:space="0" w:color="auto"/>
        <w:bottom w:val="none" w:sz="0" w:space="0" w:color="auto"/>
        <w:right w:val="none" w:sz="0" w:space="0" w:color="auto"/>
      </w:divBdr>
    </w:div>
    <w:div w:id="1066613138">
      <w:bodyDiv w:val="1"/>
      <w:marLeft w:val="0"/>
      <w:marRight w:val="0"/>
      <w:marTop w:val="0"/>
      <w:marBottom w:val="0"/>
      <w:divBdr>
        <w:top w:val="none" w:sz="0" w:space="0" w:color="auto"/>
        <w:left w:val="none" w:sz="0" w:space="0" w:color="auto"/>
        <w:bottom w:val="none" w:sz="0" w:space="0" w:color="auto"/>
        <w:right w:val="none" w:sz="0" w:space="0" w:color="auto"/>
      </w:divBdr>
    </w:div>
    <w:div w:id="1140227750">
      <w:bodyDiv w:val="1"/>
      <w:marLeft w:val="0"/>
      <w:marRight w:val="0"/>
      <w:marTop w:val="0"/>
      <w:marBottom w:val="0"/>
      <w:divBdr>
        <w:top w:val="none" w:sz="0" w:space="0" w:color="auto"/>
        <w:left w:val="none" w:sz="0" w:space="0" w:color="auto"/>
        <w:bottom w:val="none" w:sz="0" w:space="0" w:color="auto"/>
        <w:right w:val="none" w:sz="0" w:space="0" w:color="auto"/>
      </w:divBdr>
    </w:div>
    <w:div w:id="1223756854">
      <w:bodyDiv w:val="1"/>
      <w:marLeft w:val="0"/>
      <w:marRight w:val="0"/>
      <w:marTop w:val="0"/>
      <w:marBottom w:val="0"/>
      <w:divBdr>
        <w:top w:val="none" w:sz="0" w:space="0" w:color="auto"/>
        <w:left w:val="none" w:sz="0" w:space="0" w:color="auto"/>
        <w:bottom w:val="none" w:sz="0" w:space="0" w:color="auto"/>
        <w:right w:val="none" w:sz="0" w:space="0" w:color="auto"/>
      </w:divBdr>
    </w:div>
    <w:div w:id="1279336271">
      <w:bodyDiv w:val="1"/>
      <w:marLeft w:val="0"/>
      <w:marRight w:val="0"/>
      <w:marTop w:val="0"/>
      <w:marBottom w:val="0"/>
      <w:divBdr>
        <w:top w:val="none" w:sz="0" w:space="0" w:color="auto"/>
        <w:left w:val="none" w:sz="0" w:space="0" w:color="auto"/>
        <w:bottom w:val="none" w:sz="0" w:space="0" w:color="auto"/>
        <w:right w:val="none" w:sz="0" w:space="0" w:color="auto"/>
      </w:divBdr>
    </w:div>
    <w:div w:id="1289437794">
      <w:bodyDiv w:val="1"/>
      <w:marLeft w:val="0"/>
      <w:marRight w:val="0"/>
      <w:marTop w:val="0"/>
      <w:marBottom w:val="0"/>
      <w:divBdr>
        <w:top w:val="none" w:sz="0" w:space="0" w:color="auto"/>
        <w:left w:val="none" w:sz="0" w:space="0" w:color="auto"/>
        <w:bottom w:val="none" w:sz="0" w:space="0" w:color="auto"/>
        <w:right w:val="none" w:sz="0" w:space="0" w:color="auto"/>
      </w:divBdr>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
    <w:div w:id="1337340890">
      <w:bodyDiv w:val="1"/>
      <w:marLeft w:val="0"/>
      <w:marRight w:val="0"/>
      <w:marTop w:val="0"/>
      <w:marBottom w:val="0"/>
      <w:divBdr>
        <w:top w:val="none" w:sz="0" w:space="0" w:color="auto"/>
        <w:left w:val="none" w:sz="0" w:space="0" w:color="auto"/>
        <w:bottom w:val="none" w:sz="0" w:space="0" w:color="auto"/>
        <w:right w:val="none" w:sz="0" w:space="0" w:color="auto"/>
      </w:divBdr>
    </w:div>
    <w:div w:id="1349137880">
      <w:bodyDiv w:val="1"/>
      <w:marLeft w:val="0"/>
      <w:marRight w:val="0"/>
      <w:marTop w:val="0"/>
      <w:marBottom w:val="0"/>
      <w:divBdr>
        <w:top w:val="none" w:sz="0" w:space="0" w:color="auto"/>
        <w:left w:val="none" w:sz="0" w:space="0" w:color="auto"/>
        <w:bottom w:val="none" w:sz="0" w:space="0" w:color="auto"/>
        <w:right w:val="none" w:sz="0" w:space="0" w:color="auto"/>
      </w:divBdr>
    </w:div>
    <w:div w:id="1418789549">
      <w:bodyDiv w:val="1"/>
      <w:marLeft w:val="0"/>
      <w:marRight w:val="0"/>
      <w:marTop w:val="0"/>
      <w:marBottom w:val="0"/>
      <w:divBdr>
        <w:top w:val="none" w:sz="0" w:space="0" w:color="auto"/>
        <w:left w:val="none" w:sz="0" w:space="0" w:color="auto"/>
        <w:bottom w:val="none" w:sz="0" w:space="0" w:color="auto"/>
        <w:right w:val="none" w:sz="0" w:space="0" w:color="auto"/>
      </w:divBdr>
    </w:div>
    <w:div w:id="1427580539">
      <w:bodyDiv w:val="1"/>
      <w:marLeft w:val="0"/>
      <w:marRight w:val="0"/>
      <w:marTop w:val="0"/>
      <w:marBottom w:val="0"/>
      <w:divBdr>
        <w:top w:val="none" w:sz="0" w:space="0" w:color="auto"/>
        <w:left w:val="none" w:sz="0" w:space="0" w:color="auto"/>
        <w:bottom w:val="none" w:sz="0" w:space="0" w:color="auto"/>
        <w:right w:val="none" w:sz="0" w:space="0" w:color="auto"/>
      </w:divBdr>
    </w:div>
    <w:div w:id="1532451126">
      <w:bodyDiv w:val="1"/>
      <w:marLeft w:val="0"/>
      <w:marRight w:val="0"/>
      <w:marTop w:val="0"/>
      <w:marBottom w:val="0"/>
      <w:divBdr>
        <w:top w:val="none" w:sz="0" w:space="0" w:color="auto"/>
        <w:left w:val="none" w:sz="0" w:space="0" w:color="auto"/>
        <w:bottom w:val="none" w:sz="0" w:space="0" w:color="auto"/>
        <w:right w:val="none" w:sz="0" w:space="0" w:color="auto"/>
      </w:divBdr>
    </w:div>
    <w:div w:id="1598951285">
      <w:bodyDiv w:val="1"/>
      <w:marLeft w:val="0"/>
      <w:marRight w:val="0"/>
      <w:marTop w:val="0"/>
      <w:marBottom w:val="0"/>
      <w:divBdr>
        <w:top w:val="none" w:sz="0" w:space="0" w:color="auto"/>
        <w:left w:val="none" w:sz="0" w:space="0" w:color="auto"/>
        <w:bottom w:val="none" w:sz="0" w:space="0" w:color="auto"/>
        <w:right w:val="none" w:sz="0" w:space="0" w:color="auto"/>
      </w:divBdr>
    </w:div>
    <w:div w:id="1704135685">
      <w:bodyDiv w:val="1"/>
      <w:marLeft w:val="0"/>
      <w:marRight w:val="0"/>
      <w:marTop w:val="0"/>
      <w:marBottom w:val="0"/>
      <w:divBdr>
        <w:top w:val="none" w:sz="0" w:space="0" w:color="auto"/>
        <w:left w:val="none" w:sz="0" w:space="0" w:color="auto"/>
        <w:bottom w:val="none" w:sz="0" w:space="0" w:color="auto"/>
        <w:right w:val="none" w:sz="0" w:space="0" w:color="auto"/>
      </w:divBdr>
    </w:div>
    <w:div w:id="1710757187">
      <w:bodyDiv w:val="1"/>
      <w:marLeft w:val="0"/>
      <w:marRight w:val="0"/>
      <w:marTop w:val="0"/>
      <w:marBottom w:val="0"/>
      <w:divBdr>
        <w:top w:val="none" w:sz="0" w:space="0" w:color="auto"/>
        <w:left w:val="none" w:sz="0" w:space="0" w:color="auto"/>
        <w:bottom w:val="none" w:sz="0" w:space="0" w:color="auto"/>
        <w:right w:val="none" w:sz="0" w:space="0" w:color="auto"/>
      </w:divBdr>
    </w:div>
    <w:div w:id="1727989732">
      <w:bodyDiv w:val="1"/>
      <w:marLeft w:val="0"/>
      <w:marRight w:val="0"/>
      <w:marTop w:val="0"/>
      <w:marBottom w:val="0"/>
      <w:divBdr>
        <w:top w:val="none" w:sz="0" w:space="0" w:color="auto"/>
        <w:left w:val="none" w:sz="0" w:space="0" w:color="auto"/>
        <w:bottom w:val="none" w:sz="0" w:space="0" w:color="auto"/>
        <w:right w:val="none" w:sz="0" w:space="0" w:color="auto"/>
      </w:divBdr>
    </w:div>
    <w:div w:id="1786384454">
      <w:bodyDiv w:val="1"/>
      <w:marLeft w:val="0"/>
      <w:marRight w:val="0"/>
      <w:marTop w:val="0"/>
      <w:marBottom w:val="0"/>
      <w:divBdr>
        <w:top w:val="none" w:sz="0" w:space="0" w:color="auto"/>
        <w:left w:val="none" w:sz="0" w:space="0" w:color="auto"/>
        <w:bottom w:val="none" w:sz="0" w:space="0" w:color="auto"/>
        <w:right w:val="none" w:sz="0" w:space="0" w:color="auto"/>
      </w:divBdr>
    </w:div>
    <w:div w:id="1823740376">
      <w:bodyDiv w:val="1"/>
      <w:marLeft w:val="0"/>
      <w:marRight w:val="0"/>
      <w:marTop w:val="0"/>
      <w:marBottom w:val="0"/>
      <w:divBdr>
        <w:top w:val="none" w:sz="0" w:space="0" w:color="auto"/>
        <w:left w:val="none" w:sz="0" w:space="0" w:color="auto"/>
        <w:bottom w:val="none" w:sz="0" w:space="0" w:color="auto"/>
        <w:right w:val="none" w:sz="0" w:space="0" w:color="auto"/>
      </w:divBdr>
    </w:div>
    <w:div w:id="1825388429">
      <w:bodyDiv w:val="1"/>
      <w:marLeft w:val="0"/>
      <w:marRight w:val="0"/>
      <w:marTop w:val="0"/>
      <w:marBottom w:val="0"/>
      <w:divBdr>
        <w:top w:val="none" w:sz="0" w:space="0" w:color="auto"/>
        <w:left w:val="none" w:sz="0" w:space="0" w:color="auto"/>
        <w:bottom w:val="none" w:sz="0" w:space="0" w:color="auto"/>
        <w:right w:val="none" w:sz="0" w:space="0" w:color="auto"/>
      </w:divBdr>
    </w:div>
    <w:div w:id="1904411781">
      <w:bodyDiv w:val="1"/>
      <w:marLeft w:val="0"/>
      <w:marRight w:val="0"/>
      <w:marTop w:val="0"/>
      <w:marBottom w:val="0"/>
      <w:divBdr>
        <w:top w:val="none" w:sz="0" w:space="0" w:color="auto"/>
        <w:left w:val="none" w:sz="0" w:space="0" w:color="auto"/>
        <w:bottom w:val="none" w:sz="0" w:space="0" w:color="auto"/>
        <w:right w:val="none" w:sz="0" w:space="0" w:color="auto"/>
      </w:divBdr>
    </w:div>
    <w:div w:id="1942058111">
      <w:bodyDiv w:val="1"/>
      <w:marLeft w:val="0"/>
      <w:marRight w:val="0"/>
      <w:marTop w:val="0"/>
      <w:marBottom w:val="0"/>
      <w:divBdr>
        <w:top w:val="none" w:sz="0" w:space="0" w:color="auto"/>
        <w:left w:val="none" w:sz="0" w:space="0" w:color="auto"/>
        <w:bottom w:val="none" w:sz="0" w:space="0" w:color="auto"/>
        <w:right w:val="none" w:sz="0" w:space="0" w:color="auto"/>
      </w:divBdr>
    </w:div>
    <w:div w:id="2075934835">
      <w:bodyDiv w:val="1"/>
      <w:marLeft w:val="0"/>
      <w:marRight w:val="0"/>
      <w:marTop w:val="0"/>
      <w:marBottom w:val="0"/>
      <w:divBdr>
        <w:top w:val="none" w:sz="0" w:space="0" w:color="auto"/>
        <w:left w:val="none" w:sz="0" w:space="0" w:color="auto"/>
        <w:bottom w:val="none" w:sz="0" w:space="0" w:color="auto"/>
        <w:right w:val="none" w:sz="0" w:space="0" w:color="auto"/>
      </w:divBdr>
    </w:div>
    <w:div w:id="2094929600">
      <w:bodyDiv w:val="1"/>
      <w:marLeft w:val="0"/>
      <w:marRight w:val="0"/>
      <w:marTop w:val="0"/>
      <w:marBottom w:val="0"/>
      <w:divBdr>
        <w:top w:val="none" w:sz="0" w:space="0" w:color="auto"/>
        <w:left w:val="none" w:sz="0" w:space="0" w:color="auto"/>
        <w:bottom w:val="none" w:sz="0" w:space="0" w:color="auto"/>
        <w:right w:val="none" w:sz="0" w:space="0" w:color="auto"/>
      </w:divBdr>
    </w:div>
    <w:div w:id="21011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cc.org.uk/publication/net-zero-technical-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nergynetworks.org/gas/futures/gas-decarbonisation-pathways/pathways-to-net-zero-report.html" TargetMode="External"/><Relationship Id="rId17" Type="http://schemas.openxmlformats.org/officeDocument/2006/relationships/hyperlink" Target="https://www.r-e-a.net/resources/rea-responds-to-beis-consultation-on-future-support-for-low-carbon-heat/" TargetMode="External"/><Relationship Id="rId2" Type="http://schemas.openxmlformats.org/officeDocument/2006/relationships/customXml" Target="../customXml/item2.xml"/><Relationship Id="rId16" Type="http://schemas.openxmlformats.org/officeDocument/2006/relationships/hyperlink" Target="https://www.r-e-a.net/resources/rea-responds-to-beis-consultation-on-future-support-for-low-carbon-he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energy-strategy.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nsultations/future-support-for-low-carbon-he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dbioresources.org/news/adba-launches-biomethane-the-pathway-to-2030-repor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E83EC1D0E3247B1E6AE98790CE61A" ma:contentTypeVersion="10" ma:contentTypeDescription="Create a new document." ma:contentTypeScope="" ma:versionID="14cf7753fd9ea86e31ef33288f757bf7">
  <xsd:schema xmlns:xsd="http://www.w3.org/2001/XMLSchema" xmlns:xs="http://www.w3.org/2001/XMLSchema" xmlns:p="http://schemas.microsoft.com/office/2006/metadata/properties" xmlns:ns2="6e6d1b91-5a36-4004-92d8-06d15144215b" targetNamespace="http://schemas.microsoft.com/office/2006/metadata/properties" ma:root="true" ma:fieldsID="f4978e993009cae23e183bdc0914526d" ns2:_="">
    <xsd:import namespace="6e6d1b91-5a36-4004-92d8-06d1514421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d1b91-5a36-4004-92d8-06d151442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3C268-3C2C-4F91-8F60-2A93EF6449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56CE1-367C-DD40-9620-6224AA606423}">
  <ds:schemaRefs>
    <ds:schemaRef ds:uri="http://schemas.openxmlformats.org/officeDocument/2006/bibliography"/>
  </ds:schemaRefs>
</ds:datastoreItem>
</file>

<file path=customXml/itemProps3.xml><?xml version="1.0" encoding="utf-8"?>
<ds:datastoreItem xmlns:ds="http://schemas.openxmlformats.org/officeDocument/2006/customXml" ds:itemID="{D07325BF-FE73-4514-9A39-89600CCC5703}">
  <ds:schemaRefs>
    <ds:schemaRef ds:uri="http://schemas.microsoft.com/sharepoint/v3/contenttype/forms"/>
  </ds:schemaRefs>
</ds:datastoreItem>
</file>

<file path=customXml/itemProps4.xml><?xml version="1.0" encoding="utf-8"?>
<ds:datastoreItem xmlns:ds="http://schemas.openxmlformats.org/officeDocument/2006/customXml" ds:itemID="{86015BFB-5367-4CD2-8CE6-6C64289A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d1b91-5a36-4004-92d8-06d151442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Kiara Zennaro</dc:creator>
  <cp:lastModifiedBy>Kiara Zennaro</cp:lastModifiedBy>
  <cp:revision>12</cp:revision>
  <cp:lastPrinted>2020-06-11T14:34:00Z</cp:lastPrinted>
  <dcterms:created xsi:type="dcterms:W3CDTF">2020-10-16T11:06:00Z</dcterms:created>
  <dcterms:modified xsi:type="dcterms:W3CDTF">2020-10-16T11:24:00Z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0x01010010FE83EC1D0E3247B1E6AE98790CE61A</vt:lpwstr>
  </property>
</Properties>
</file>