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24EBE" w14:textId="77777777" w:rsidR="007F1A6D" w:rsidRPr="005F24DE" w:rsidRDefault="00414D3E" w:rsidP="009D33C3">
      <w:pPr>
        <w:spacing w:before="100" w:beforeAutospacing="1" w:after="100" w:afterAutospacing="1" w:line="240" w:lineRule="auto"/>
        <w:ind w:right="-46"/>
        <w:jc w:val="center"/>
        <w:rPr>
          <w:rFonts w:ascii="Open Sans" w:eastAsia="Times New Roman" w:hAnsi="Open Sans" w:cs="Open Sans"/>
          <w:b/>
          <w:bCs/>
          <w:color w:val="06926B"/>
          <w:sz w:val="24"/>
          <w:szCs w:val="24"/>
          <w:lang w:eastAsia="en-GB"/>
        </w:rPr>
      </w:pPr>
      <w:r w:rsidRPr="005F24DE">
        <w:rPr>
          <w:rFonts w:ascii="Open Sans" w:eastAsia="Times New Roman" w:hAnsi="Open Sans" w:cs="Open Sans"/>
          <w:b/>
          <w:bCs/>
          <w:color w:val="06926B"/>
          <w:sz w:val="24"/>
          <w:szCs w:val="24"/>
          <w:lang w:eastAsia="en-GB"/>
        </w:rPr>
        <w:t xml:space="preserve">REA Response to BEIS Select Committee Inquiry – Decarbonising Heat </w:t>
      </w:r>
      <w:r w:rsidR="0029576E" w:rsidRPr="005F24DE">
        <w:rPr>
          <w:rFonts w:ascii="Open Sans" w:eastAsia="Times New Roman" w:hAnsi="Open Sans" w:cs="Open Sans"/>
          <w:b/>
          <w:bCs/>
          <w:color w:val="06926B"/>
          <w:sz w:val="24"/>
          <w:szCs w:val="24"/>
          <w:lang w:eastAsia="en-GB"/>
        </w:rPr>
        <w:t>i</w:t>
      </w:r>
      <w:r w:rsidRPr="005F24DE">
        <w:rPr>
          <w:rFonts w:ascii="Open Sans" w:eastAsia="Times New Roman" w:hAnsi="Open Sans" w:cs="Open Sans"/>
          <w:b/>
          <w:bCs/>
          <w:color w:val="06926B"/>
          <w:sz w:val="24"/>
          <w:szCs w:val="24"/>
          <w:lang w:eastAsia="en-GB"/>
        </w:rPr>
        <w:t>n Homes</w:t>
      </w:r>
    </w:p>
    <w:p w14:paraId="78B37575" w14:textId="77777777" w:rsidR="0029576E" w:rsidRPr="009D33C3" w:rsidRDefault="00414D3E" w:rsidP="0029576E">
      <w:pPr>
        <w:rPr>
          <w:rFonts w:ascii="Open Sans" w:hAnsi="Open Sans" w:cs="Open Sans"/>
          <w:sz w:val="20"/>
          <w:szCs w:val="20"/>
        </w:rPr>
      </w:pPr>
      <w:r w:rsidRPr="009D33C3">
        <w:rPr>
          <w:rFonts w:ascii="Open Sans" w:hAnsi="Open Sans" w:cs="Open Sans"/>
          <w:sz w:val="20"/>
          <w:szCs w:val="20"/>
        </w:rPr>
        <w:t>The Association for Renewable Energy &amp; Clean Technologies (REA) is pleased to submit this response to the above inquiry. The REA represents a wide variety of organisations, including generators, project developers, fuel and power suppliers, investors, equi</w:t>
      </w:r>
      <w:r w:rsidRPr="009D33C3">
        <w:rPr>
          <w:rFonts w:ascii="Open Sans" w:hAnsi="Open Sans" w:cs="Open Sans"/>
          <w:sz w:val="20"/>
          <w:szCs w:val="20"/>
        </w:rPr>
        <w:t xml:space="preserve">pment producers and service providers. Members range in size from major multinationals to sole traders. There are over 550 corporate members of the REA, making it the largest renewable energy trade association in the UK.  Of </w:t>
      </w:r>
      <w:r w:rsidR="0058397A" w:rsidRPr="009D33C3">
        <w:rPr>
          <w:rFonts w:ascii="Open Sans" w:hAnsi="Open Sans" w:cs="Open Sans"/>
          <w:sz w:val="20"/>
          <w:szCs w:val="20"/>
        </w:rPr>
        <w:t xml:space="preserve">particular </w:t>
      </w:r>
      <w:r w:rsidRPr="009D33C3">
        <w:rPr>
          <w:rFonts w:ascii="Open Sans" w:hAnsi="Open Sans" w:cs="Open Sans"/>
          <w:sz w:val="20"/>
          <w:szCs w:val="20"/>
        </w:rPr>
        <w:t>relevance to this in</w:t>
      </w:r>
      <w:r w:rsidRPr="009D33C3">
        <w:rPr>
          <w:rFonts w:ascii="Open Sans" w:hAnsi="Open Sans" w:cs="Open Sans"/>
          <w:sz w:val="20"/>
          <w:szCs w:val="20"/>
        </w:rPr>
        <w:t>quiry are the REA Wood Heat Members Forum, who advocate for the modern wood biomass heating industry</w:t>
      </w:r>
      <w:r w:rsidR="0058397A" w:rsidRPr="009D33C3">
        <w:rPr>
          <w:rFonts w:ascii="Open Sans" w:hAnsi="Open Sans" w:cs="Open Sans"/>
          <w:sz w:val="20"/>
          <w:szCs w:val="20"/>
        </w:rPr>
        <w:t xml:space="preserve"> and its supply chains</w:t>
      </w:r>
      <w:r w:rsidRPr="009D33C3">
        <w:rPr>
          <w:rFonts w:ascii="Open Sans" w:hAnsi="Open Sans" w:cs="Open Sans"/>
          <w:sz w:val="20"/>
          <w:szCs w:val="20"/>
        </w:rPr>
        <w:t xml:space="preserve">, </w:t>
      </w:r>
      <w:r w:rsidR="0058397A" w:rsidRPr="009D33C3">
        <w:rPr>
          <w:rFonts w:ascii="Open Sans" w:hAnsi="Open Sans" w:cs="Open Sans"/>
          <w:sz w:val="20"/>
          <w:szCs w:val="20"/>
        </w:rPr>
        <w:t xml:space="preserve">as well as </w:t>
      </w:r>
      <w:r w:rsidRPr="009D33C3">
        <w:rPr>
          <w:rFonts w:ascii="Open Sans" w:hAnsi="Open Sans" w:cs="Open Sans"/>
          <w:sz w:val="20"/>
          <w:szCs w:val="20"/>
        </w:rPr>
        <w:t xml:space="preserve">the REA </w:t>
      </w:r>
      <w:r w:rsidR="0058397A" w:rsidRPr="009D33C3">
        <w:rPr>
          <w:rFonts w:ascii="Open Sans" w:hAnsi="Open Sans" w:cs="Open Sans"/>
          <w:sz w:val="20"/>
          <w:szCs w:val="20"/>
        </w:rPr>
        <w:t xml:space="preserve">Biogas Forum, who </w:t>
      </w:r>
      <w:r w:rsidR="00BF4E5C">
        <w:rPr>
          <w:rFonts w:ascii="Open Sans" w:hAnsi="Open Sans" w:cs="Open Sans"/>
          <w:sz w:val="20"/>
          <w:szCs w:val="20"/>
        </w:rPr>
        <w:t>include</w:t>
      </w:r>
      <w:r w:rsidR="0058397A" w:rsidRPr="009D33C3">
        <w:rPr>
          <w:rFonts w:ascii="Open Sans" w:hAnsi="Open Sans" w:cs="Open Sans"/>
          <w:sz w:val="20"/>
          <w:szCs w:val="20"/>
        </w:rPr>
        <w:t xml:space="preserve"> </w:t>
      </w:r>
      <w:r w:rsidR="00BF4E5C">
        <w:rPr>
          <w:rFonts w:ascii="Open Sans" w:hAnsi="Open Sans" w:cs="Open Sans"/>
          <w:sz w:val="20"/>
          <w:szCs w:val="20"/>
        </w:rPr>
        <w:t xml:space="preserve">biomethane </w:t>
      </w:r>
      <w:r w:rsidR="0058397A" w:rsidRPr="009D33C3">
        <w:rPr>
          <w:rFonts w:ascii="Open Sans" w:hAnsi="Open Sans" w:cs="Open Sans"/>
          <w:sz w:val="20"/>
          <w:szCs w:val="20"/>
        </w:rPr>
        <w:t>produc</w:t>
      </w:r>
      <w:r w:rsidR="00BF4E5C">
        <w:rPr>
          <w:rFonts w:ascii="Open Sans" w:hAnsi="Open Sans" w:cs="Open Sans"/>
          <w:sz w:val="20"/>
          <w:szCs w:val="20"/>
        </w:rPr>
        <w:t>ers who are</w:t>
      </w:r>
      <w:r w:rsidR="0058397A" w:rsidRPr="009D33C3">
        <w:rPr>
          <w:rFonts w:ascii="Open Sans" w:hAnsi="Open Sans" w:cs="Open Sans"/>
          <w:sz w:val="20"/>
          <w:szCs w:val="20"/>
        </w:rPr>
        <w:t xml:space="preserve"> helping to decarbonise the </w:t>
      </w:r>
      <w:r w:rsidR="00BF4E5C">
        <w:rPr>
          <w:rFonts w:ascii="Open Sans" w:hAnsi="Open Sans" w:cs="Open Sans"/>
          <w:sz w:val="20"/>
          <w:szCs w:val="20"/>
        </w:rPr>
        <w:t>g</w:t>
      </w:r>
      <w:r w:rsidR="0058397A" w:rsidRPr="009D33C3">
        <w:rPr>
          <w:rFonts w:ascii="Open Sans" w:hAnsi="Open Sans" w:cs="Open Sans"/>
          <w:sz w:val="20"/>
          <w:szCs w:val="20"/>
        </w:rPr>
        <w:t>as grid. The REA also have members involved in the deployment of</w:t>
      </w:r>
      <w:r w:rsidR="0044784D" w:rsidRPr="009D33C3">
        <w:rPr>
          <w:rFonts w:ascii="Open Sans" w:hAnsi="Open Sans" w:cs="Open Sans"/>
          <w:sz w:val="20"/>
          <w:szCs w:val="20"/>
        </w:rPr>
        <w:t xml:space="preserve"> h</w:t>
      </w:r>
      <w:r w:rsidR="0058397A" w:rsidRPr="009D33C3">
        <w:rPr>
          <w:rFonts w:ascii="Open Sans" w:hAnsi="Open Sans" w:cs="Open Sans"/>
          <w:sz w:val="20"/>
          <w:szCs w:val="20"/>
        </w:rPr>
        <w:t>eat pumps</w:t>
      </w:r>
      <w:r w:rsidR="0044784D" w:rsidRPr="009D33C3">
        <w:rPr>
          <w:rFonts w:ascii="Open Sans" w:hAnsi="Open Sans" w:cs="Open Sans"/>
          <w:sz w:val="20"/>
          <w:szCs w:val="20"/>
        </w:rPr>
        <w:t xml:space="preserve">, biofuels for heating, deep geothermal and </w:t>
      </w:r>
      <w:r w:rsidR="000F5074" w:rsidRPr="009D33C3">
        <w:rPr>
          <w:rFonts w:ascii="Open Sans" w:hAnsi="Open Sans" w:cs="Open Sans"/>
          <w:sz w:val="20"/>
          <w:szCs w:val="20"/>
        </w:rPr>
        <w:t xml:space="preserve">thermal </w:t>
      </w:r>
      <w:r w:rsidR="0044784D" w:rsidRPr="009D33C3">
        <w:rPr>
          <w:rFonts w:ascii="Open Sans" w:hAnsi="Open Sans" w:cs="Open Sans"/>
          <w:sz w:val="20"/>
          <w:szCs w:val="20"/>
        </w:rPr>
        <w:t xml:space="preserve">battery storage technologies. </w:t>
      </w:r>
    </w:p>
    <w:p w14:paraId="17AE10AD" w14:textId="77777777" w:rsidR="00B208C2" w:rsidRDefault="00414D3E" w:rsidP="0029576E">
      <w:pPr>
        <w:pBdr>
          <w:bottom w:val="single" w:sz="6" w:space="1" w:color="auto"/>
        </w:pBdr>
        <w:rPr>
          <w:rFonts w:ascii="Open Sans" w:hAnsi="Open Sans" w:cs="Open Sans"/>
          <w:sz w:val="20"/>
          <w:szCs w:val="20"/>
        </w:rPr>
      </w:pPr>
      <w:r w:rsidRPr="009D33C3">
        <w:rPr>
          <w:rFonts w:ascii="Open Sans" w:hAnsi="Open Sans" w:cs="Open Sans"/>
          <w:sz w:val="20"/>
          <w:szCs w:val="20"/>
        </w:rPr>
        <w:t xml:space="preserve">Given the range of the technologies represented by the REA, </w:t>
      </w:r>
      <w:r w:rsidR="000F5074" w:rsidRPr="009D33C3">
        <w:rPr>
          <w:rFonts w:ascii="Open Sans" w:hAnsi="Open Sans" w:cs="Open Sans"/>
          <w:sz w:val="20"/>
          <w:szCs w:val="20"/>
        </w:rPr>
        <w:t>and the evidence provided below</w:t>
      </w:r>
      <w:r w:rsidR="00BF4E5C">
        <w:rPr>
          <w:rFonts w:ascii="Open Sans" w:hAnsi="Open Sans" w:cs="Open Sans"/>
          <w:sz w:val="20"/>
          <w:szCs w:val="20"/>
        </w:rPr>
        <w:t>,</w:t>
      </w:r>
      <w:r w:rsidRPr="009D33C3">
        <w:rPr>
          <w:rFonts w:ascii="Open Sans" w:hAnsi="Open Sans" w:cs="Open Sans"/>
          <w:sz w:val="20"/>
          <w:szCs w:val="20"/>
        </w:rPr>
        <w:t xml:space="preserve"> we would </w:t>
      </w:r>
      <w:r w:rsidR="00FB753E" w:rsidRPr="009D33C3">
        <w:rPr>
          <w:rFonts w:ascii="Open Sans" w:hAnsi="Open Sans" w:cs="Open Sans"/>
          <w:sz w:val="20"/>
          <w:szCs w:val="20"/>
        </w:rPr>
        <w:t>welcome</w:t>
      </w:r>
      <w:r w:rsidRPr="009D33C3">
        <w:rPr>
          <w:rFonts w:ascii="Open Sans" w:hAnsi="Open Sans" w:cs="Open Sans"/>
          <w:sz w:val="20"/>
          <w:szCs w:val="20"/>
        </w:rPr>
        <w:t xml:space="preserve"> the </w:t>
      </w:r>
      <w:r w:rsidR="00FB753E" w:rsidRPr="009D33C3">
        <w:rPr>
          <w:rFonts w:ascii="Open Sans" w:hAnsi="Open Sans" w:cs="Open Sans"/>
          <w:sz w:val="20"/>
          <w:szCs w:val="20"/>
        </w:rPr>
        <w:t>opportunity</w:t>
      </w:r>
      <w:r w:rsidRPr="009D33C3">
        <w:rPr>
          <w:rFonts w:ascii="Open Sans" w:hAnsi="Open Sans" w:cs="Open Sans"/>
          <w:sz w:val="20"/>
          <w:szCs w:val="20"/>
        </w:rPr>
        <w:t xml:space="preserve"> for our Chief Executive, Dr Nina Skorupska MBE, to also provide oral </w:t>
      </w:r>
      <w:r w:rsidR="00FB753E" w:rsidRPr="009D33C3">
        <w:rPr>
          <w:rFonts w:ascii="Open Sans" w:hAnsi="Open Sans" w:cs="Open Sans"/>
          <w:sz w:val="20"/>
          <w:szCs w:val="20"/>
        </w:rPr>
        <w:t>evidence</w:t>
      </w:r>
      <w:r w:rsidRPr="009D33C3">
        <w:rPr>
          <w:rFonts w:ascii="Open Sans" w:hAnsi="Open Sans" w:cs="Open Sans"/>
          <w:sz w:val="20"/>
          <w:szCs w:val="20"/>
        </w:rPr>
        <w:t xml:space="preserve"> to the committee as part of this inquiry. </w:t>
      </w:r>
    </w:p>
    <w:p w14:paraId="0BC28A67" w14:textId="77777777" w:rsidR="00BF4E5C" w:rsidRDefault="00BF4E5C" w:rsidP="0029576E">
      <w:pPr>
        <w:pBdr>
          <w:bottom w:val="single" w:sz="6" w:space="1" w:color="auto"/>
        </w:pBdr>
        <w:rPr>
          <w:rFonts w:ascii="Open Sans" w:hAnsi="Open Sans" w:cs="Open Sans"/>
          <w:sz w:val="20"/>
          <w:szCs w:val="20"/>
        </w:rPr>
      </w:pPr>
    </w:p>
    <w:p w14:paraId="414444D2" w14:textId="77777777" w:rsidR="000F5074" w:rsidRPr="00414D3E" w:rsidRDefault="00414D3E" w:rsidP="00731ABD">
      <w:pPr>
        <w:pStyle w:val="ListParagraph"/>
        <w:numPr>
          <w:ilvl w:val="0"/>
          <w:numId w:val="13"/>
        </w:numPr>
        <w:rPr>
          <w:rFonts w:ascii="Open Sans" w:hAnsi="Open Sans" w:cs="Open Sans"/>
          <w:b/>
          <w:bCs/>
          <w:sz w:val="20"/>
          <w:szCs w:val="20"/>
        </w:rPr>
      </w:pPr>
      <w:r w:rsidRPr="00414D3E">
        <w:rPr>
          <w:rFonts w:ascii="Open Sans" w:hAnsi="Open Sans" w:cs="Open Sans"/>
          <w:b/>
          <w:bCs/>
          <w:sz w:val="20"/>
          <w:szCs w:val="20"/>
        </w:rPr>
        <w:t>Summary of Response</w:t>
      </w:r>
    </w:p>
    <w:p w14:paraId="7310F6FD" w14:textId="77777777" w:rsidR="005A1B49" w:rsidRPr="009D33C3" w:rsidRDefault="00414D3E" w:rsidP="0029576E">
      <w:pPr>
        <w:rPr>
          <w:rFonts w:ascii="Open Sans" w:hAnsi="Open Sans" w:cs="Open Sans"/>
          <w:sz w:val="20"/>
          <w:szCs w:val="20"/>
        </w:rPr>
      </w:pPr>
      <w:r w:rsidRPr="009D33C3">
        <w:rPr>
          <w:rFonts w:ascii="Open Sans" w:hAnsi="Open Sans" w:cs="Open Sans"/>
          <w:sz w:val="20"/>
          <w:szCs w:val="20"/>
        </w:rPr>
        <w:t xml:space="preserve">1.1 </w:t>
      </w:r>
      <w:r w:rsidR="0044784D" w:rsidRPr="009D33C3">
        <w:rPr>
          <w:rFonts w:ascii="Open Sans" w:hAnsi="Open Sans" w:cs="Open Sans"/>
          <w:sz w:val="20"/>
          <w:szCs w:val="20"/>
        </w:rPr>
        <w:t>The REA emphasise that there is no one solution to heat decarbonisation</w:t>
      </w:r>
      <w:r w:rsidRPr="009D33C3">
        <w:rPr>
          <w:rFonts w:ascii="Open Sans" w:hAnsi="Open Sans" w:cs="Open Sans"/>
          <w:sz w:val="20"/>
          <w:szCs w:val="20"/>
        </w:rPr>
        <w:t xml:space="preserve"> within homes</w:t>
      </w:r>
      <w:r w:rsidR="000F5074" w:rsidRPr="009D33C3">
        <w:rPr>
          <w:rFonts w:ascii="Open Sans" w:hAnsi="Open Sans" w:cs="Open Sans"/>
          <w:sz w:val="20"/>
          <w:szCs w:val="20"/>
        </w:rPr>
        <w:t>,</w:t>
      </w:r>
      <w:r w:rsidRPr="009D33C3">
        <w:rPr>
          <w:rFonts w:ascii="Open Sans" w:hAnsi="Open Sans" w:cs="Open Sans"/>
          <w:sz w:val="20"/>
          <w:szCs w:val="20"/>
        </w:rPr>
        <w:t xml:space="preserve"> however</w:t>
      </w:r>
      <w:r w:rsidR="000F5074" w:rsidRPr="009D33C3">
        <w:rPr>
          <w:rFonts w:ascii="Open Sans" w:hAnsi="Open Sans" w:cs="Open Sans"/>
          <w:sz w:val="20"/>
          <w:szCs w:val="20"/>
        </w:rPr>
        <w:t xml:space="preserve">, </w:t>
      </w:r>
      <w:r w:rsidR="00955CB7" w:rsidRPr="009D33C3">
        <w:rPr>
          <w:rFonts w:ascii="Open Sans" w:hAnsi="Open Sans" w:cs="Open Sans"/>
          <w:sz w:val="20"/>
          <w:szCs w:val="20"/>
        </w:rPr>
        <w:t>by taking a multi-technology approach, including energy efficiency measures, it</w:t>
      </w:r>
      <w:r w:rsidR="000F5074" w:rsidRPr="009D33C3">
        <w:rPr>
          <w:rFonts w:ascii="Open Sans" w:hAnsi="Open Sans" w:cs="Open Sans"/>
          <w:sz w:val="20"/>
          <w:szCs w:val="20"/>
        </w:rPr>
        <w:t xml:space="preserve"> is possible </w:t>
      </w:r>
      <w:r w:rsidR="0044784D" w:rsidRPr="009D33C3">
        <w:rPr>
          <w:rFonts w:ascii="Open Sans" w:hAnsi="Open Sans" w:cs="Open Sans"/>
          <w:sz w:val="20"/>
          <w:szCs w:val="20"/>
        </w:rPr>
        <w:t xml:space="preserve">to see </w:t>
      </w:r>
      <w:r w:rsidR="00BF4E5C">
        <w:rPr>
          <w:rFonts w:ascii="Open Sans" w:hAnsi="Open Sans" w:cs="Open Sans"/>
          <w:sz w:val="20"/>
          <w:szCs w:val="20"/>
        </w:rPr>
        <w:t xml:space="preserve">domestic </w:t>
      </w:r>
      <w:r w:rsidRPr="009D33C3">
        <w:rPr>
          <w:rFonts w:ascii="Open Sans" w:hAnsi="Open Sans" w:cs="Open Sans"/>
          <w:sz w:val="20"/>
          <w:szCs w:val="20"/>
        </w:rPr>
        <w:t>heat</w:t>
      </w:r>
      <w:r w:rsidR="0044784D" w:rsidRPr="009D33C3">
        <w:rPr>
          <w:rFonts w:ascii="Open Sans" w:hAnsi="Open Sans" w:cs="Open Sans"/>
          <w:sz w:val="20"/>
          <w:szCs w:val="20"/>
        </w:rPr>
        <w:t xml:space="preserve"> </w:t>
      </w:r>
      <w:r w:rsidR="00BF4E5C">
        <w:rPr>
          <w:rFonts w:ascii="Open Sans" w:hAnsi="Open Sans" w:cs="Open Sans"/>
          <w:sz w:val="20"/>
          <w:szCs w:val="20"/>
        </w:rPr>
        <w:t xml:space="preserve">almost </w:t>
      </w:r>
      <w:r w:rsidRPr="009D33C3">
        <w:rPr>
          <w:rFonts w:ascii="Open Sans" w:hAnsi="Open Sans" w:cs="Open Sans"/>
          <w:sz w:val="20"/>
          <w:szCs w:val="20"/>
        </w:rPr>
        <w:t>totally decarbonised in line with the Climate Change Committees projections, and the UK's legally binding net-zero ambitions.</w:t>
      </w:r>
    </w:p>
    <w:p w14:paraId="6CE04BC8" w14:textId="77777777" w:rsidR="005A1B49" w:rsidRPr="009D33C3" w:rsidRDefault="00414D3E" w:rsidP="002B5785">
      <w:pPr>
        <w:rPr>
          <w:rFonts w:ascii="Open Sans" w:hAnsi="Open Sans" w:cs="Open Sans"/>
          <w:sz w:val="20"/>
          <w:szCs w:val="20"/>
        </w:rPr>
      </w:pPr>
      <w:r w:rsidRPr="009D33C3">
        <w:rPr>
          <w:rFonts w:ascii="Open Sans" w:hAnsi="Open Sans" w:cs="Open Sans"/>
          <w:sz w:val="20"/>
          <w:szCs w:val="20"/>
        </w:rPr>
        <w:t xml:space="preserve">1.2 </w:t>
      </w:r>
      <w:r w:rsidR="00C8482A" w:rsidRPr="009D33C3">
        <w:rPr>
          <w:rFonts w:ascii="Open Sans" w:hAnsi="Open Sans" w:cs="Open Sans"/>
          <w:sz w:val="20"/>
          <w:szCs w:val="20"/>
        </w:rPr>
        <w:t>Heat policy going forward</w:t>
      </w:r>
      <w:r w:rsidRPr="009D33C3">
        <w:rPr>
          <w:rFonts w:ascii="Open Sans" w:hAnsi="Open Sans" w:cs="Open Sans"/>
          <w:sz w:val="20"/>
          <w:szCs w:val="20"/>
        </w:rPr>
        <w:t xml:space="preserve"> must </w:t>
      </w:r>
      <w:r w:rsidR="00C8482A" w:rsidRPr="009D33C3">
        <w:rPr>
          <w:rFonts w:ascii="Open Sans" w:hAnsi="Open Sans" w:cs="Open Sans"/>
          <w:sz w:val="20"/>
          <w:szCs w:val="20"/>
        </w:rPr>
        <w:t xml:space="preserve">focus </w:t>
      </w:r>
      <w:r w:rsidRPr="009D33C3">
        <w:rPr>
          <w:rFonts w:ascii="Open Sans" w:hAnsi="Open Sans" w:cs="Open Sans"/>
          <w:sz w:val="20"/>
          <w:szCs w:val="20"/>
        </w:rPr>
        <w:t xml:space="preserve">on ensuring the right technology is used in the right situation. </w:t>
      </w:r>
      <w:r w:rsidR="005C7C78" w:rsidRPr="009D33C3">
        <w:rPr>
          <w:rFonts w:ascii="Open Sans" w:hAnsi="Open Sans" w:cs="Open Sans"/>
          <w:sz w:val="20"/>
          <w:szCs w:val="20"/>
        </w:rPr>
        <w:t>This must consider a wide variety of factors including the level of energy eff</w:t>
      </w:r>
      <w:r w:rsidR="00B004C9" w:rsidRPr="009D33C3">
        <w:rPr>
          <w:rFonts w:ascii="Open Sans" w:hAnsi="Open Sans" w:cs="Open Sans"/>
          <w:sz w:val="20"/>
          <w:szCs w:val="20"/>
        </w:rPr>
        <w:t>iciency</w:t>
      </w:r>
      <w:r w:rsidR="005C7C78" w:rsidRPr="009D33C3">
        <w:rPr>
          <w:rFonts w:ascii="Open Sans" w:hAnsi="Open Sans" w:cs="Open Sans"/>
          <w:sz w:val="20"/>
          <w:szCs w:val="20"/>
        </w:rPr>
        <w:t xml:space="preserve"> within the property, the infrastructure availability for that heat source (</w:t>
      </w:r>
      <w:r w:rsidR="00C8482A" w:rsidRPr="009D33C3">
        <w:rPr>
          <w:rFonts w:ascii="Open Sans" w:hAnsi="Open Sans" w:cs="Open Sans"/>
          <w:sz w:val="20"/>
          <w:szCs w:val="20"/>
        </w:rPr>
        <w:t xml:space="preserve">including </w:t>
      </w:r>
      <w:r w:rsidR="005C7C78" w:rsidRPr="009D33C3">
        <w:rPr>
          <w:rFonts w:ascii="Open Sans" w:hAnsi="Open Sans" w:cs="Open Sans"/>
          <w:sz w:val="20"/>
          <w:szCs w:val="20"/>
        </w:rPr>
        <w:t>power/gas grid or feedstock availability</w:t>
      </w:r>
      <w:r w:rsidR="00BF27CD" w:rsidRPr="009D33C3">
        <w:rPr>
          <w:rFonts w:ascii="Open Sans" w:hAnsi="Open Sans" w:cs="Open Sans"/>
          <w:sz w:val="20"/>
          <w:szCs w:val="20"/>
        </w:rPr>
        <w:t>)</w:t>
      </w:r>
      <w:r w:rsidR="005C7C78" w:rsidRPr="009D33C3">
        <w:rPr>
          <w:rFonts w:ascii="Open Sans" w:hAnsi="Open Sans" w:cs="Open Sans"/>
          <w:sz w:val="20"/>
          <w:szCs w:val="20"/>
        </w:rPr>
        <w:t xml:space="preserve">, and </w:t>
      </w:r>
      <w:r w:rsidR="00C8482A" w:rsidRPr="009D33C3">
        <w:rPr>
          <w:rFonts w:ascii="Open Sans" w:hAnsi="Open Sans" w:cs="Open Sans"/>
          <w:sz w:val="20"/>
          <w:szCs w:val="20"/>
        </w:rPr>
        <w:t xml:space="preserve">the level of savings provided </w:t>
      </w:r>
      <w:r w:rsidR="00955CB7" w:rsidRPr="009D33C3">
        <w:rPr>
          <w:rFonts w:ascii="Open Sans" w:hAnsi="Open Sans" w:cs="Open Sans"/>
          <w:sz w:val="20"/>
          <w:szCs w:val="20"/>
        </w:rPr>
        <w:t>in terms of carbon abatement and cost</w:t>
      </w:r>
      <w:r w:rsidR="00BF27CD" w:rsidRPr="009D33C3">
        <w:rPr>
          <w:rFonts w:ascii="Open Sans" w:hAnsi="Open Sans" w:cs="Open Sans"/>
          <w:sz w:val="20"/>
          <w:szCs w:val="20"/>
        </w:rPr>
        <w:t xml:space="preserve">. </w:t>
      </w:r>
    </w:p>
    <w:p w14:paraId="73C82BDE" w14:textId="77777777" w:rsidR="00F47677" w:rsidRPr="009D33C3" w:rsidRDefault="00414D3E" w:rsidP="00955CB7">
      <w:pPr>
        <w:rPr>
          <w:rFonts w:ascii="Open Sans" w:hAnsi="Open Sans" w:cs="Open Sans"/>
          <w:sz w:val="20"/>
          <w:szCs w:val="20"/>
        </w:rPr>
      </w:pPr>
      <w:r w:rsidRPr="009D33C3">
        <w:rPr>
          <w:rFonts w:ascii="Open Sans" w:hAnsi="Open Sans" w:cs="Open Sans"/>
          <w:sz w:val="20"/>
          <w:szCs w:val="20"/>
        </w:rPr>
        <w:t xml:space="preserve">1.3 </w:t>
      </w:r>
      <w:r w:rsidR="005C7C78" w:rsidRPr="009D33C3">
        <w:rPr>
          <w:rFonts w:ascii="Open Sans" w:hAnsi="Open Sans" w:cs="Open Sans"/>
          <w:sz w:val="20"/>
          <w:szCs w:val="20"/>
        </w:rPr>
        <w:t xml:space="preserve">The </w:t>
      </w:r>
      <w:r w:rsidR="00955CB7" w:rsidRPr="009D33C3">
        <w:rPr>
          <w:rFonts w:ascii="Open Sans" w:hAnsi="Open Sans" w:cs="Open Sans"/>
          <w:sz w:val="20"/>
          <w:szCs w:val="20"/>
        </w:rPr>
        <w:t xml:space="preserve">starting point for considering where heat policy should focus next must </w:t>
      </w:r>
      <w:r w:rsidR="00851AF4" w:rsidRPr="009D33C3">
        <w:rPr>
          <w:rFonts w:ascii="Open Sans" w:hAnsi="Open Sans" w:cs="Open Sans"/>
          <w:sz w:val="20"/>
          <w:szCs w:val="20"/>
        </w:rPr>
        <w:t>be</w:t>
      </w:r>
      <w:r w:rsidR="00A13885" w:rsidRPr="009D33C3">
        <w:rPr>
          <w:rFonts w:ascii="Open Sans" w:hAnsi="Open Sans" w:cs="Open Sans"/>
          <w:sz w:val="20"/>
          <w:szCs w:val="20"/>
        </w:rPr>
        <w:t xml:space="preserve"> </w:t>
      </w:r>
      <w:r w:rsidR="00955CB7" w:rsidRPr="009D33C3">
        <w:rPr>
          <w:rFonts w:ascii="Open Sans" w:hAnsi="Open Sans" w:cs="Open Sans"/>
          <w:sz w:val="20"/>
          <w:szCs w:val="20"/>
        </w:rPr>
        <w:t xml:space="preserve">with reviewing the current renewable heat sectors, understanding what has been </w:t>
      </w:r>
      <w:r w:rsidR="000B49E4" w:rsidRPr="009D33C3">
        <w:rPr>
          <w:rFonts w:ascii="Open Sans" w:hAnsi="Open Sans" w:cs="Open Sans"/>
          <w:sz w:val="20"/>
          <w:szCs w:val="20"/>
        </w:rPr>
        <w:t xml:space="preserve">achieved </w:t>
      </w:r>
      <w:r w:rsidR="00955CB7" w:rsidRPr="009D33C3">
        <w:rPr>
          <w:rFonts w:ascii="Open Sans" w:hAnsi="Open Sans" w:cs="Open Sans"/>
          <w:sz w:val="20"/>
          <w:szCs w:val="20"/>
        </w:rPr>
        <w:t xml:space="preserve">by the Renewable Heat Incentive and how </w:t>
      </w:r>
      <w:r w:rsidR="000B49E4" w:rsidRPr="009D33C3">
        <w:rPr>
          <w:rFonts w:ascii="Open Sans" w:hAnsi="Open Sans" w:cs="Open Sans"/>
          <w:sz w:val="20"/>
          <w:szCs w:val="20"/>
        </w:rPr>
        <w:t xml:space="preserve">the UK </w:t>
      </w:r>
      <w:r w:rsidR="00955CB7" w:rsidRPr="009D33C3">
        <w:rPr>
          <w:rFonts w:ascii="Open Sans" w:hAnsi="Open Sans" w:cs="Open Sans"/>
          <w:sz w:val="20"/>
          <w:szCs w:val="20"/>
        </w:rPr>
        <w:t xml:space="preserve">must build on </w:t>
      </w:r>
      <w:r w:rsidR="000B49E4" w:rsidRPr="009D33C3">
        <w:rPr>
          <w:rFonts w:ascii="Open Sans" w:hAnsi="Open Sans" w:cs="Open Sans"/>
          <w:sz w:val="20"/>
          <w:szCs w:val="20"/>
        </w:rPr>
        <w:t>this foundation</w:t>
      </w:r>
      <w:r w:rsidR="00955CB7" w:rsidRPr="009D33C3">
        <w:rPr>
          <w:rFonts w:ascii="Open Sans" w:hAnsi="Open Sans" w:cs="Open Sans"/>
          <w:sz w:val="20"/>
          <w:szCs w:val="20"/>
        </w:rPr>
        <w:t xml:space="preserve"> to </w:t>
      </w:r>
      <w:r w:rsidR="000B49E4" w:rsidRPr="009D33C3">
        <w:rPr>
          <w:rFonts w:ascii="Open Sans" w:hAnsi="Open Sans" w:cs="Open Sans"/>
          <w:sz w:val="20"/>
          <w:szCs w:val="20"/>
        </w:rPr>
        <w:t>continue to deploy decarbonised heat today. T</w:t>
      </w:r>
      <w:r w:rsidR="00BF27CD" w:rsidRPr="009D33C3">
        <w:rPr>
          <w:rFonts w:ascii="Open Sans" w:hAnsi="Open Sans" w:cs="Open Sans"/>
          <w:sz w:val="20"/>
          <w:szCs w:val="20"/>
        </w:rPr>
        <w:t>he largest contribution to heat</w:t>
      </w:r>
      <w:r w:rsidR="00BF4E5C">
        <w:rPr>
          <w:rFonts w:ascii="Open Sans" w:hAnsi="Open Sans" w:cs="Open Sans"/>
          <w:sz w:val="20"/>
          <w:szCs w:val="20"/>
        </w:rPr>
        <w:t xml:space="preserve"> decarbonisation</w:t>
      </w:r>
      <w:r w:rsidR="00BF27CD" w:rsidRPr="009D33C3">
        <w:rPr>
          <w:rFonts w:ascii="Open Sans" w:hAnsi="Open Sans" w:cs="Open Sans"/>
          <w:sz w:val="20"/>
          <w:szCs w:val="20"/>
        </w:rPr>
        <w:t xml:space="preserve"> across</w:t>
      </w:r>
      <w:r w:rsidR="00BF4E5C">
        <w:rPr>
          <w:rFonts w:ascii="Open Sans" w:hAnsi="Open Sans" w:cs="Open Sans"/>
          <w:sz w:val="20"/>
          <w:szCs w:val="20"/>
        </w:rPr>
        <w:t xml:space="preserve"> all buildings </w:t>
      </w:r>
      <w:r w:rsidR="000B49E4" w:rsidRPr="009D33C3">
        <w:rPr>
          <w:rFonts w:ascii="Open Sans" w:hAnsi="Open Sans" w:cs="Open Sans"/>
          <w:sz w:val="20"/>
          <w:szCs w:val="20"/>
        </w:rPr>
        <w:t xml:space="preserve">within the UK </w:t>
      </w:r>
      <w:r w:rsidR="00BF27CD" w:rsidRPr="009D33C3">
        <w:rPr>
          <w:rFonts w:ascii="Open Sans" w:hAnsi="Open Sans" w:cs="Open Sans"/>
          <w:sz w:val="20"/>
          <w:szCs w:val="20"/>
        </w:rPr>
        <w:t>comes from e</w:t>
      </w:r>
      <w:r w:rsidR="005C7C78" w:rsidRPr="009D33C3">
        <w:rPr>
          <w:rFonts w:ascii="Open Sans" w:hAnsi="Open Sans" w:cs="Open Sans"/>
          <w:sz w:val="20"/>
          <w:szCs w:val="20"/>
        </w:rPr>
        <w:t xml:space="preserve">stablished </w:t>
      </w:r>
      <w:r w:rsidR="00BF27CD" w:rsidRPr="009D33C3">
        <w:rPr>
          <w:rFonts w:ascii="Open Sans" w:hAnsi="Open Sans" w:cs="Open Sans"/>
          <w:sz w:val="20"/>
          <w:szCs w:val="20"/>
        </w:rPr>
        <w:t xml:space="preserve">heat </w:t>
      </w:r>
      <w:r w:rsidR="005C7C78" w:rsidRPr="009D33C3">
        <w:rPr>
          <w:rFonts w:ascii="Open Sans" w:hAnsi="Open Sans" w:cs="Open Sans"/>
          <w:sz w:val="20"/>
          <w:szCs w:val="20"/>
        </w:rPr>
        <w:t xml:space="preserve">markets </w:t>
      </w:r>
      <w:r w:rsidR="00BF27CD" w:rsidRPr="009D33C3">
        <w:rPr>
          <w:rFonts w:ascii="Open Sans" w:hAnsi="Open Sans" w:cs="Open Sans"/>
          <w:sz w:val="20"/>
          <w:szCs w:val="20"/>
        </w:rPr>
        <w:t>including</w:t>
      </w:r>
      <w:r w:rsidR="005C7C78" w:rsidRPr="009D33C3">
        <w:rPr>
          <w:rFonts w:ascii="Open Sans" w:hAnsi="Open Sans" w:cs="Open Sans"/>
          <w:sz w:val="20"/>
          <w:szCs w:val="20"/>
        </w:rPr>
        <w:t xml:space="preserve"> </w:t>
      </w:r>
      <w:r w:rsidR="00B004C9" w:rsidRPr="009D33C3">
        <w:rPr>
          <w:rFonts w:ascii="Open Sans" w:hAnsi="Open Sans" w:cs="Open Sans"/>
          <w:sz w:val="20"/>
          <w:szCs w:val="20"/>
        </w:rPr>
        <w:t>b</w:t>
      </w:r>
      <w:r w:rsidR="005C7C78" w:rsidRPr="009D33C3">
        <w:rPr>
          <w:rFonts w:ascii="Open Sans" w:hAnsi="Open Sans" w:cs="Open Sans"/>
          <w:sz w:val="20"/>
          <w:szCs w:val="20"/>
        </w:rPr>
        <w:t xml:space="preserve">iogas, </w:t>
      </w:r>
      <w:r w:rsidR="00B004C9" w:rsidRPr="009D33C3">
        <w:rPr>
          <w:rFonts w:ascii="Open Sans" w:hAnsi="Open Sans" w:cs="Open Sans"/>
          <w:sz w:val="20"/>
          <w:szCs w:val="20"/>
        </w:rPr>
        <w:t>b</w:t>
      </w:r>
      <w:r w:rsidR="005C7C78" w:rsidRPr="009D33C3">
        <w:rPr>
          <w:rFonts w:ascii="Open Sans" w:hAnsi="Open Sans" w:cs="Open Sans"/>
          <w:sz w:val="20"/>
          <w:szCs w:val="20"/>
        </w:rPr>
        <w:t>iomass heat</w:t>
      </w:r>
      <w:r w:rsidR="00BF4E5C">
        <w:rPr>
          <w:rFonts w:ascii="Open Sans" w:hAnsi="Open Sans" w:cs="Open Sans"/>
          <w:sz w:val="20"/>
          <w:szCs w:val="20"/>
        </w:rPr>
        <w:t xml:space="preserve"> and </w:t>
      </w:r>
      <w:r w:rsidR="00BF27CD" w:rsidRPr="009D33C3">
        <w:rPr>
          <w:rFonts w:ascii="Open Sans" w:hAnsi="Open Sans" w:cs="Open Sans"/>
          <w:sz w:val="20"/>
          <w:szCs w:val="20"/>
        </w:rPr>
        <w:t xml:space="preserve">heat pumps which can </w:t>
      </w:r>
      <w:r w:rsidR="002E5704" w:rsidRPr="009D33C3">
        <w:rPr>
          <w:rFonts w:ascii="Open Sans" w:hAnsi="Open Sans" w:cs="Open Sans"/>
          <w:sz w:val="20"/>
          <w:szCs w:val="20"/>
        </w:rPr>
        <w:t xml:space="preserve">already </w:t>
      </w:r>
      <w:r w:rsidR="00BF27CD" w:rsidRPr="009D33C3">
        <w:rPr>
          <w:rFonts w:ascii="Open Sans" w:hAnsi="Open Sans" w:cs="Open Sans"/>
          <w:sz w:val="20"/>
          <w:szCs w:val="20"/>
        </w:rPr>
        <w:t>be deployed</w:t>
      </w:r>
      <w:r w:rsidR="000B49E4" w:rsidRPr="009D33C3">
        <w:rPr>
          <w:rFonts w:ascii="Open Sans" w:hAnsi="Open Sans" w:cs="Open Sans"/>
          <w:sz w:val="20"/>
          <w:szCs w:val="20"/>
        </w:rPr>
        <w:t xml:space="preserve"> affordably at scale</w:t>
      </w:r>
      <w:r w:rsidR="00955CB7" w:rsidRPr="009D33C3">
        <w:rPr>
          <w:rFonts w:ascii="Open Sans" w:hAnsi="Open Sans" w:cs="Open Sans"/>
          <w:sz w:val="20"/>
          <w:szCs w:val="20"/>
        </w:rPr>
        <w:t xml:space="preserve">, </w:t>
      </w:r>
      <w:r w:rsidR="000B49E4" w:rsidRPr="009D33C3">
        <w:rPr>
          <w:rFonts w:ascii="Open Sans" w:hAnsi="Open Sans" w:cs="Open Sans"/>
          <w:sz w:val="20"/>
          <w:szCs w:val="20"/>
        </w:rPr>
        <w:t>to realise</w:t>
      </w:r>
      <w:r w:rsidR="00BF27CD" w:rsidRPr="009D33C3">
        <w:rPr>
          <w:rFonts w:ascii="Open Sans" w:hAnsi="Open Sans" w:cs="Open Sans"/>
          <w:sz w:val="20"/>
          <w:szCs w:val="20"/>
        </w:rPr>
        <w:t xml:space="preserve"> </w:t>
      </w:r>
      <w:r w:rsidR="000B49E4" w:rsidRPr="009D33C3">
        <w:rPr>
          <w:rFonts w:ascii="Open Sans" w:hAnsi="Open Sans" w:cs="Open Sans"/>
          <w:sz w:val="20"/>
          <w:szCs w:val="20"/>
        </w:rPr>
        <w:t xml:space="preserve">immediate </w:t>
      </w:r>
      <w:r w:rsidR="00BF27CD" w:rsidRPr="009D33C3">
        <w:rPr>
          <w:rFonts w:ascii="Open Sans" w:hAnsi="Open Sans" w:cs="Open Sans"/>
          <w:sz w:val="20"/>
          <w:szCs w:val="20"/>
        </w:rPr>
        <w:t xml:space="preserve">carbon </w:t>
      </w:r>
      <w:r w:rsidR="00955CB7" w:rsidRPr="009D33C3">
        <w:rPr>
          <w:rFonts w:ascii="Open Sans" w:hAnsi="Open Sans" w:cs="Open Sans"/>
          <w:sz w:val="20"/>
          <w:szCs w:val="20"/>
        </w:rPr>
        <w:t>reductions</w:t>
      </w:r>
      <w:r w:rsidR="00BF27CD" w:rsidRPr="009D33C3">
        <w:rPr>
          <w:rFonts w:ascii="Open Sans" w:hAnsi="Open Sans" w:cs="Open Sans"/>
          <w:sz w:val="20"/>
          <w:szCs w:val="20"/>
        </w:rPr>
        <w:t>.</w:t>
      </w:r>
      <w:r w:rsidRPr="009D33C3">
        <w:rPr>
          <w:rFonts w:ascii="Open Sans" w:hAnsi="Open Sans" w:cs="Open Sans"/>
          <w:sz w:val="20"/>
          <w:szCs w:val="20"/>
        </w:rPr>
        <w:t xml:space="preserve"> These sectors have established knowledge, skilled workforces and supply chains which must be grown and maintained if the level of deployment required </w:t>
      </w:r>
      <w:r w:rsidR="00BF4E5C">
        <w:rPr>
          <w:rFonts w:ascii="Open Sans" w:hAnsi="Open Sans" w:cs="Open Sans"/>
          <w:sz w:val="20"/>
          <w:szCs w:val="20"/>
        </w:rPr>
        <w:t xml:space="preserve">yo effectively decarbonise </w:t>
      </w:r>
      <w:r w:rsidRPr="009D33C3">
        <w:rPr>
          <w:rFonts w:ascii="Open Sans" w:hAnsi="Open Sans" w:cs="Open Sans"/>
          <w:sz w:val="20"/>
          <w:szCs w:val="20"/>
        </w:rPr>
        <w:t xml:space="preserve">is to be delivered. </w:t>
      </w:r>
    </w:p>
    <w:p w14:paraId="6147D95C" w14:textId="77777777" w:rsidR="00955CB7" w:rsidRPr="009D33C3" w:rsidRDefault="00414D3E" w:rsidP="00955CB7">
      <w:pPr>
        <w:rPr>
          <w:rFonts w:ascii="Open Sans" w:hAnsi="Open Sans" w:cs="Open Sans"/>
          <w:sz w:val="20"/>
          <w:szCs w:val="20"/>
        </w:rPr>
      </w:pPr>
      <w:r w:rsidRPr="009D33C3">
        <w:rPr>
          <w:rFonts w:ascii="Open Sans" w:hAnsi="Open Sans" w:cs="Open Sans"/>
          <w:sz w:val="20"/>
          <w:szCs w:val="20"/>
        </w:rPr>
        <w:t xml:space="preserve">1.4 </w:t>
      </w:r>
      <w:r w:rsidR="00F47677" w:rsidRPr="009D33C3">
        <w:rPr>
          <w:rFonts w:ascii="Open Sans" w:hAnsi="Open Sans" w:cs="Open Sans"/>
          <w:sz w:val="20"/>
          <w:szCs w:val="20"/>
        </w:rPr>
        <w:t xml:space="preserve">Further </w:t>
      </w:r>
      <w:r w:rsidR="000B49E4" w:rsidRPr="009D33C3">
        <w:rPr>
          <w:rFonts w:ascii="Open Sans" w:hAnsi="Open Sans" w:cs="Open Sans"/>
          <w:sz w:val="20"/>
          <w:szCs w:val="20"/>
        </w:rPr>
        <w:t>technologies such as deep geothermal, biofuels for heat</w:t>
      </w:r>
      <w:r w:rsidR="00F47677" w:rsidRPr="009D33C3">
        <w:rPr>
          <w:rFonts w:ascii="Open Sans" w:hAnsi="Open Sans" w:cs="Open Sans"/>
          <w:sz w:val="20"/>
          <w:szCs w:val="20"/>
        </w:rPr>
        <w:t xml:space="preserve">, </w:t>
      </w:r>
      <w:r w:rsidR="000B49E4" w:rsidRPr="009D33C3">
        <w:rPr>
          <w:rFonts w:ascii="Open Sans" w:hAnsi="Open Sans" w:cs="Open Sans"/>
          <w:sz w:val="20"/>
          <w:szCs w:val="20"/>
        </w:rPr>
        <w:t xml:space="preserve">thermal storage </w:t>
      </w:r>
      <w:r w:rsidR="00F47677" w:rsidRPr="009D33C3">
        <w:rPr>
          <w:rFonts w:ascii="Open Sans" w:hAnsi="Open Sans" w:cs="Open Sans"/>
          <w:sz w:val="20"/>
          <w:szCs w:val="20"/>
        </w:rPr>
        <w:t xml:space="preserve">batteries and heat networks </w:t>
      </w:r>
      <w:r w:rsidR="000B49E4" w:rsidRPr="009D33C3">
        <w:rPr>
          <w:rFonts w:ascii="Open Sans" w:hAnsi="Open Sans" w:cs="Open Sans"/>
          <w:sz w:val="20"/>
          <w:szCs w:val="20"/>
        </w:rPr>
        <w:t xml:space="preserve">are </w:t>
      </w:r>
      <w:r w:rsidR="00F47677" w:rsidRPr="009D33C3">
        <w:rPr>
          <w:rFonts w:ascii="Open Sans" w:hAnsi="Open Sans" w:cs="Open Sans"/>
          <w:sz w:val="20"/>
          <w:szCs w:val="20"/>
        </w:rPr>
        <w:t>also of high strategic importance and, while nascent</w:t>
      </w:r>
      <w:r w:rsidR="007C0778" w:rsidRPr="009D33C3">
        <w:rPr>
          <w:rFonts w:ascii="Open Sans" w:hAnsi="Open Sans" w:cs="Open Sans"/>
          <w:sz w:val="20"/>
          <w:szCs w:val="20"/>
        </w:rPr>
        <w:t xml:space="preserve">, </w:t>
      </w:r>
      <w:r w:rsidR="00F47677" w:rsidRPr="009D33C3">
        <w:rPr>
          <w:rFonts w:ascii="Open Sans" w:hAnsi="Open Sans" w:cs="Open Sans"/>
          <w:sz w:val="20"/>
          <w:szCs w:val="20"/>
        </w:rPr>
        <w:t>are ready for significant deployment to contribute to the decarbonisation of both homes and businesses</w:t>
      </w:r>
      <w:r w:rsidR="00851AF4" w:rsidRPr="009D33C3">
        <w:rPr>
          <w:rFonts w:ascii="Open Sans" w:hAnsi="Open Sans" w:cs="Open Sans"/>
          <w:sz w:val="20"/>
          <w:szCs w:val="20"/>
        </w:rPr>
        <w:t xml:space="preserve"> in the short to medium term</w:t>
      </w:r>
      <w:r w:rsidR="00F47677" w:rsidRPr="009D33C3">
        <w:rPr>
          <w:rFonts w:ascii="Open Sans" w:hAnsi="Open Sans" w:cs="Open Sans"/>
          <w:sz w:val="20"/>
          <w:szCs w:val="20"/>
        </w:rPr>
        <w:t xml:space="preserve">. </w:t>
      </w:r>
      <w:r w:rsidR="00851AF4" w:rsidRPr="009D33C3">
        <w:rPr>
          <w:rFonts w:ascii="Open Sans" w:hAnsi="Open Sans" w:cs="Open Sans"/>
          <w:sz w:val="20"/>
          <w:szCs w:val="20"/>
        </w:rPr>
        <w:t xml:space="preserve">In the longer-term further strategic technologies such as hydrogen will also play a role, helping to decarbonise the gas grid, and it is correct that there is a focus </w:t>
      </w:r>
      <w:r w:rsidR="00BF4E5C" w:rsidRPr="009D33C3">
        <w:rPr>
          <w:rFonts w:ascii="Open Sans" w:hAnsi="Open Sans" w:cs="Open Sans"/>
          <w:sz w:val="20"/>
          <w:szCs w:val="20"/>
        </w:rPr>
        <w:t>on</w:t>
      </w:r>
      <w:r w:rsidR="00BF4E5C">
        <w:rPr>
          <w:rFonts w:ascii="Open Sans" w:hAnsi="Open Sans" w:cs="Open Sans"/>
          <w:sz w:val="20"/>
          <w:szCs w:val="20"/>
        </w:rPr>
        <w:t xml:space="preserve"> exploring sustainable production pathways to see the technology </w:t>
      </w:r>
      <w:r w:rsidR="00851AF4" w:rsidRPr="009D33C3">
        <w:rPr>
          <w:rFonts w:ascii="Open Sans" w:hAnsi="Open Sans" w:cs="Open Sans"/>
          <w:sz w:val="20"/>
          <w:szCs w:val="20"/>
        </w:rPr>
        <w:t>delivered</w:t>
      </w:r>
      <w:r w:rsidR="007C0778" w:rsidRPr="009D33C3">
        <w:rPr>
          <w:rFonts w:ascii="Open Sans" w:hAnsi="Open Sans" w:cs="Open Sans"/>
          <w:sz w:val="20"/>
          <w:szCs w:val="20"/>
        </w:rPr>
        <w:t>. H</w:t>
      </w:r>
      <w:r w:rsidR="00851AF4" w:rsidRPr="009D33C3">
        <w:rPr>
          <w:rFonts w:ascii="Open Sans" w:hAnsi="Open Sans" w:cs="Open Sans"/>
          <w:sz w:val="20"/>
          <w:szCs w:val="20"/>
        </w:rPr>
        <w:t>owever</w:t>
      </w:r>
      <w:r w:rsidR="007C0778" w:rsidRPr="009D33C3">
        <w:rPr>
          <w:rFonts w:ascii="Open Sans" w:hAnsi="Open Sans" w:cs="Open Sans"/>
          <w:sz w:val="20"/>
          <w:szCs w:val="20"/>
        </w:rPr>
        <w:t xml:space="preserve">, </w:t>
      </w:r>
      <w:r w:rsidR="00851AF4" w:rsidRPr="009D33C3">
        <w:rPr>
          <w:rFonts w:ascii="Open Sans" w:hAnsi="Open Sans" w:cs="Open Sans"/>
          <w:sz w:val="20"/>
          <w:szCs w:val="20"/>
        </w:rPr>
        <w:t>support for such innovation must complement, rather than replace, policies that deliver no-regret solutions</w:t>
      </w:r>
      <w:r w:rsidR="007911C0">
        <w:rPr>
          <w:rFonts w:ascii="Open Sans" w:hAnsi="Open Sans" w:cs="Open Sans"/>
          <w:sz w:val="20"/>
          <w:szCs w:val="20"/>
        </w:rPr>
        <w:t xml:space="preserve">, providing immediate carbon reduction, </w:t>
      </w:r>
      <w:r w:rsidR="00851AF4" w:rsidRPr="009D33C3">
        <w:rPr>
          <w:rFonts w:ascii="Open Sans" w:hAnsi="Open Sans" w:cs="Open Sans"/>
          <w:sz w:val="20"/>
          <w:szCs w:val="20"/>
        </w:rPr>
        <w:t xml:space="preserve">today. </w:t>
      </w:r>
      <w:r w:rsidR="00A13885" w:rsidRPr="009D33C3">
        <w:rPr>
          <w:rFonts w:ascii="Open Sans" w:hAnsi="Open Sans" w:cs="Open Sans"/>
          <w:sz w:val="20"/>
          <w:szCs w:val="20"/>
        </w:rPr>
        <w:t>Delivery of such future strategic technologies will be dependent on their being a strong renewable heat sector</w:t>
      </w:r>
      <w:r w:rsidR="007911C0">
        <w:rPr>
          <w:rFonts w:ascii="Open Sans" w:hAnsi="Open Sans" w:cs="Open Sans"/>
          <w:sz w:val="20"/>
          <w:szCs w:val="20"/>
        </w:rPr>
        <w:t xml:space="preserve"> already</w:t>
      </w:r>
      <w:r w:rsidR="00A13885" w:rsidRPr="009D33C3">
        <w:rPr>
          <w:rFonts w:ascii="Open Sans" w:hAnsi="Open Sans" w:cs="Open Sans"/>
          <w:sz w:val="20"/>
          <w:szCs w:val="20"/>
        </w:rPr>
        <w:t xml:space="preserve"> in place, rather </w:t>
      </w:r>
      <w:r w:rsidR="00AF6C93" w:rsidRPr="009D33C3">
        <w:rPr>
          <w:rFonts w:ascii="Open Sans" w:hAnsi="Open Sans" w:cs="Open Sans"/>
          <w:sz w:val="20"/>
          <w:szCs w:val="20"/>
        </w:rPr>
        <w:t>than</w:t>
      </w:r>
      <w:r w:rsidR="00A13885" w:rsidRPr="009D33C3">
        <w:rPr>
          <w:rFonts w:ascii="Open Sans" w:hAnsi="Open Sans" w:cs="Open Sans"/>
          <w:sz w:val="20"/>
          <w:szCs w:val="20"/>
        </w:rPr>
        <w:t xml:space="preserve"> seeing existing markets contract in favour of future solution</w:t>
      </w:r>
      <w:r w:rsidR="007C0778" w:rsidRPr="009D33C3">
        <w:rPr>
          <w:rFonts w:ascii="Open Sans" w:hAnsi="Open Sans" w:cs="Open Sans"/>
          <w:sz w:val="20"/>
          <w:szCs w:val="20"/>
        </w:rPr>
        <w:t>s</w:t>
      </w:r>
      <w:r w:rsidR="00A13885" w:rsidRPr="009D33C3">
        <w:rPr>
          <w:rFonts w:ascii="Open Sans" w:hAnsi="Open Sans" w:cs="Open Sans"/>
          <w:sz w:val="20"/>
          <w:szCs w:val="20"/>
        </w:rPr>
        <w:t xml:space="preserve">. </w:t>
      </w:r>
    </w:p>
    <w:p w14:paraId="1C6A860D" w14:textId="77777777" w:rsidR="007C0778" w:rsidRPr="009D33C3" w:rsidRDefault="00414D3E" w:rsidP="0029576E">
      <w:pPr>
        <w:rPr>
          <w:rFonts w:ascii="Open Sans" w:hAnsi="Open Sans" w:cs="Open Sans"/>
          <w:sz w:val="20"/>
          <w:szCs w:val="20"/>
        </w:rPr>
      </w:pPr>
      <w:r w:rsidRPr="009D33C3">
        <w:rPr>
          <w:rFonts w:ascii="Open Sans" w:hAnsi="Open Sans" w:cs="Open Sans"/>
          <w:sz w:val="20"/>
          <w:szCs w:val="20"/>
        </w:rPr>
        <w:lastRenderedPageBreak/>
        <w:t xml:space="preserve">1.5 </w:t>
      </w:r>
      <w:r w:rsidR="00A13885" w:rsidRPr="009D33C3">
        <w:rPr>
          <w:rFonts w:ascii="Open Sans" w:hAnsi="Open Sans" w:cs="Open Sans"/>
          <w:sz w:val="20"/>
          <w:szCs w:val="20"/>
        </w:rPr>
        <w:t xml:space="preserve">The </w:t>
      </w:r>
      <w:r w:rsidR="002B5785" w:rsidRPr="009D33C3">
        <w:rPr>
          <w:rFonts w:ascii="Open Sans" w:hAnsi="Open Sans" w:cs="Open Sans"/>
          <w:sz w:val="20"/>
          <w:szCs w:val="20"/>
        </w:rPr>
        <w:t xml:space="preserve">UK needs a </w:t>
      </w:r>
      <w:r w:rsidR="00C60824" w:rsidRPr="009D33C3">
        <w:rPr>
          <w:rFonts w:ascii="Open Sans" w:hAnsi="Open Sans" w:cs="Open Sans"/>
          <w:sz w:val="20"/>
          <w:szCs w:val="20"/>
        </w:rPr>
        <w:t>step</w:t>
      </w:r>
      <w:r w:rsidR="002B5785" w:rsidRPr="009D33C3">
        <w:rPr>
          <w:rFonts w:ascii="Open Sans" w:hAnsi="Open Sans" w:cs="Open Sans"/>
          <w:sz w:val="20"/>
          <w:szCs w:val="20"/>
        </w:rPr>
        <w:t xml:space="preserve">-change in heat decarbonisation policy. The </w:t>
      </w:r>
      <w:r w:rsidR="00A13885" w:rsidRPr="009D33C3">
        <w:rPr>
          <w:rFonts w:ascii="Open Sans" w:hAnsi="Open Sans" w:cs="Open Sans"/>
          <w:sz w:val="20"/>
          <w:szCs w:val="20"/>
        </w:rPr>
        <w:t>RHI</w:t>
      </w:r>
      <w:r w:rsidR="002B5785" w:rsidRPr="009D33C3">
        <w:rPr>
          <w:rFonts w:ascii="Open Sans" w:hAnsi="Open Sans" w:cs="Open Sans"/>
          <w:sz w:val="20"/>
          <w:szCs w:val="20"/>
        </w:rPr>
        <w:t xml:space="preserve"> was successful in establishing </w:t>
      </w:r>
      <w:r w:rsidR="00A13885" w:rsidRPr="009D33C3">
        <w:rPr>
          <w:rFonts w:ascii="Open Sans" w:hAnsi="Open Sans" w:cs="Open Sans"/>
          <w:sz w:val="20"/>
          <w:szCs w:val="20"/>
        </w:rPr>
        <w:t>a</w:t>
      </w:r>
      <w:r w:rsidR="002B5785" w:rsidRPr="009D33C3">
        <w:rPr>
          <w:rFonts w:ascii="Open Sans" w:hAnsi="Open Sans" w:cs="Open Sans"/>
          <w:sz w:val="20"/>
          <w:szCs w:val="20"/>
        </w:rPr>
        <w:t xml:space="preserve"> renewable heat sector in the UK across multiple technology solutions</w:t>
      </w:r>
      <w:r w:rsidR="009612C5" w:rsidRPr="009D33C3">
        <w:rPr>
          <w:rFonts w:ascii="Open Sans" w:hAnsi="Open Sans" w:cs="Open Sans"/>
          <w:sz w:val="20"/>
          <w:szCs w:val="20"/>
        </w:rPr>
        <w:t xml:space="preserve"> and at multiple scales</w:t>
      </w:r>
      <w:r w:rsidR="002B5785" w:rsidRPr="009D33C3">
        <w:rPr>
          <w:rFonts w:ascii="Open Sans" w:hAnsi="Open Sans" w:cs="Open Sans"/>
          <w:sz w:val="20"/>
          <w:szCs w:val="20"/>
        </w:rPr>
        <w:t xml:space="preserve">, however, the </w:t>
      </w:r>
      <w:r w:rsidR="00C60824" w:rsidRPr="009D33C3">
        <w:rPr>
          <w:rFonts w:ascii="Open Sans" w:hAnsi="Open Sans" w:cs="Open Sans"/>
          <w:sz w:val="20"/>
          <w:szCs w:val="20"/>
        </w:rPr>
        <w:t>proposed policy replacements</w:t>
      </w:r>
      <w:r w:rsidR="007911C0">
        <w:rPr>
          <w:rFonts w:ascii="Open Sans" w:hAnsi="Open Sans" w:cs="Open Sans"/>
          <w:sz w:val="20"/>
          <w:szCs w:val="20"/>
        </w:rPr>
        <w:t xml:space="preserve"> for domestic heat</w:t>
      </w:r>
      <w:r w:rsidR="009612C5" w:rsidRPr="009D33C3">
        <w:rPr>
          <w:rFonts w:ascii="Open Sans" w:hAnsi="Open Sans" w:cs="Open Sans"/>
          <w:sz w:val="20"/>
          <w:szCs w:val="20"/>
        </w:rPr>
        <w:t xml:space="preserve"> (</w:t>
      </w:r>
      <w:r w:rsidR="00176844" w:rsidRPr="009D33C3">
        <w:rPr>
          <w:rFonts w:ascii="Open Sans" w:hAnsi="Open Sans" w:cs="Open Sans"/>
          <w:sz w:val="20"/>
          <w:szCs w:val="20"/>
        </w:rPr>
        <w:t xml:space="preserve">the Green Homes Grant and Clean </w:t>
      </w:r>
      <w:r w:rsidR="009612C5" w:rsidRPr="009D33C3">
        <w:rPr>
          <w:rFonts w:ascii="Open Sans" w:hAnsi="Open Sans" w:cs="Open Sans"/>
          <w:sz w:val="20"/>
          <w:szCs w:val="20"/>
        </w:rPr>
        <w:t xml:space="preserve">Heat </w:t>
      </w:r>
      <w:r w:rsidR="00176844" w:rsidRPr="009D33C3">
        <w:rPr>
          <w:rFonts w:ascii="Open Sans" w:hAnsi="Open Sans" w:cs="Open Sans"/>
          <w:sz w:val="20"/>
          <w:szCs w:val="20"/>
        </w:rPr>
        <w:t>Grant</w:t>
      </w:r>
      <w:r w:rsidR="009612C5" w:rsidRPr="009D33C3">
        <w:rPr>
          <w:rFonts w:ascii="Open Sans" w:hAnsi="Open Sans" w:cs="Open Sans"/>
          <w:sz w:val="20"/>
          <w:szCs w:val="20"/>
        </w:rPr>
        <w:t>)</w:t>
      </w:r>
      <w:r w:rsidR="00176844" w:rsidRPr="009D33C3">
        <w:rPr>
          <w:rFonts w:ascii="Open Sans" w:hAnsi="Open Sans" w:cs="Open Sans"/>
          <w:sz w:val="20"/>
          <w:szCs w:val="20"/>
        </w:rPr>
        <w:t xml:space="preserve"> </w:t>
      </w:r>
      <w:r w:rsidR="00C60824" w:rsidRPr="009D33C3">
        <w:rPr>
          <w:rFonts w:ascii="Open Sans" w:hAnsi="Open Sans" w:cs="Open Sans"/>
          <w:sz w:val="20"/>
          <w:szCs w:val="20"/>
        </w:rPr>
        <w:t xml:space="preserve"> have so far been narrowly focused</w:t>
      </w:r>
      <w:r w:rsidR="0008126D" w:rsidRPr="009D33C3">
        <w:rPr>
          <w:rFonts w:ascii="Open Sans" w:hAnsi="Open Sans" w:cs="Open Sans"/>
          <w:sz w:val="20"/>
          <w:szCs w:val="20"/>
        </w:rPr>
        <w:t xml:space="preserve"> and </w:t>
      </w:r>
      <w:r w:rsidR="00176844" w:rsidRPr="009D33C3">
        <w:rPr>
          <w:rFonts w:ascii="Open Sans" w:hAnsi="Open Sans" w:cs="Open Sans"/>
          <w:sz w:val="20"/>
          <w:szCs w:val="20"/>
        </w:rPr>
        <w:t>will prove</w:t>
      </w:r>
      <w:r w:rsidR="0008126D" w:rsidRPr="009D33C3">
        <w:rPr>
          <w:rFonts w:ascii="Open Sans" w:hAnsi="Open Sans" w:cs="Open Sans"/>
          <w:sz w:val="20"/>
          <w:szCs w:val="20"/>
        </w:rPr>
        <w:t xml:space="preserve"> </w:t>
      </w:r>
      <w:r w:rsidR="00176844" w:rsidRPr="009D33C3">
        <w:rPr>
          <w:rFonts w:ascii="Open Sans" w:hAnsi="Open Sans" w:cs="Open Sans"/>
          <w:sz w:val="20"/>
          <w:szCs w:val="20"/>
        </w:rPr>
        <w:t>in</w:t>
      </w:r>
      <w:r w:rsidR="0008126D" w:rsidRPr="009D33C3">
        <w:rPr>
          <w:rFonts w:ascii="Open Sans" w:hAnsi="Open Sans" w:cs="Open Sans"/>
          <w:sz w:val="20"/>
          <w:szCs w:val="20"/>
        </w:rPr>
        <w:t>adequate</w:t>
      </w:r>
      <w:r w:rsidR="00176844" w:rsidRPr="009D33C3">
        <w:rPr>
          <w:rFonts w:ascii="Open Sans" w:hAnsi="Open Sans" w:cs="Open Sans"/>
          <w:sz w:val="20"/>
          <w:szCs w:val="20"/>
        </w:rPr>
        <w:t xml:space="preserve"> </w:t>
      </w:r>
      <w:r w:rsidR="009612C5" w:rsidRPr="009D33C3">
        <w:rPr>
          <w:rFonts w:ascii="Open Sans" w:hAnsi="Open Sans" w:cs="Open Sans"/>
          <w:sz w:val="20"/>
          <w:szCs w:val="20"/>
        </w:rPr>
        <w:t>for</w:t>
      </w:r>
      <w:r w:rsidR="0008126D" w:rsidRPr="009D33C3">
        <w:rPr>
          <w:rFonts w:ascii="Open Sans" w:hAnsi="Open Sans" w:cs="Open Sans"/>
          <w:sz w:val="20"/>
          <w:szCs w:val="20"/>
        </w:rPr>
        <w:t xml:space="preserve"> the scale of deployment required. </w:t>
      </w:r>
      <w:r w:rsidR="00C60824" w:rsidRPr="009D33C3">
        <w:rPr>
          <w:rFonts w:ascii="Open Sans" w:hAnsi="Open Sans" w:cs="Open Sans"/>
          <w:sz w:val="20"/>
          <w:szCs w:val="20"/>
        </w:rPr>
        <w:t xml:space="preserve">  </w:t>
      </w:r>
      <w:r w:rsidR="00176844" w:rsidRPr="009D33C3">
        <w:rPr>
          <w:rFonts w:ascii="Open Sans" w:hAnsi="Open Sans" w:cs="Open Sans"/>
          <w:sz w:val="20"/>
          <w:szCs w:val="20"/>
        </w:rPr>
        <w:t>These policies</w:t>
      </w:r>
      <w:r w:rsidRPr="009D33C3">
        <w:rPr>
          <w:rFonts w:ascii="Open Sans" w:hAnsi="Open Sans" w:cs="Open Sans"/>
          <w:sz w:val="20"/>
          <w:szCs w:val="20"/>
        </w:rPr>
        <w:t xml:space="preserve"> also leave a serious policy gap opening around the decarbonisation of businesses and industrial-scale </w:t>
      </w:r>
      <w:r w:rsidR="0008126D" w:rsidRPr="009D33C3">
        <w:rPr>
          <w:rFonts w:ascii="Open Sans" w:hAnsi="Open Sans" w:cs="Open Sans"/>
          <w:sz w:val="20"/>
          <w:szCs w:val="20"/>
        </w:rPr>
        <w:t xml:space="preserve">heat, which so far has seen no significant announcements on what will replace the non-domestic RHI. For many </w:t>
      </w:r>
      <w:r w:rsidR="007911C0">
        <w:rPr>
          <w:rFonts w:ascii="Open Sans" w:hAnsi="Open Sans" w:cs="Open Sans"/>
          <w:sz w:val="20"/>
          <w:szCs w:val="20"/>
        </w:rPr>
        <w:t xml:space="preserve">renewable heat </w:t>
      </w:r>
      <w:r w:rsidR="0008126D" w:rsidRPr="009D33C3">
        <w:rPr>
          <w:rFonts w:ascii="Open Sans" w:hAnsi="Open Sans" w:cs="Open Sans"/>
          <w:sz w:val="20"/>
          <w:szCs w:val="20"/>
        </w:rPr>
        <w:t xml:space="preserve">sectors, </w:t>
      </w:r>
      <w:r w:rsidR="007911C0">
        <w:rPr>
          <w:rFonts w:ascii="Open Sans" w:hAnsi="Open Sans" w:cs="Open Sans"/>
          <w:sz w:val="20"/>
          <w:szCs w:val="20"/>
        </w:rPr>
        <w:t xml:space="preserve">there is now little </w:t>
      </w:r>
      <w:r w:rsidR="00176844" w:rsidRPr="009D33C3">
        <w:rPr>
          <w:rFonts w:ascii="Open Sans" w:hAnsi="Open Sans" w:cs="Open Sans"/>
          <w:sz w:val="20"/>
          <w:szCs w:val="20"/>
        </w:rPr>
        <w:t>growth</w:t>
      </w:r>
      <w:r w:rsidR="0008126D" w:rsidRPr="009D33C3">
        <w:rPr>
          <w:rFonts w:ascii="Open Sans" w:hAnsi="Open Sans" w:cs="Open Sans"/>
          <w:sz w:val="20"/>
          <w:szCs w:val="20"/>
        </w:rPr>
        <w:t xml:space="preserve"> </w:t>
      </w:r>
      <w:r w:rsidR="007911C0">
        <w:rPr>
          <w:rFonts w:ascii="Open Sans" w:hAnsi="Open Sans" w:cs="Open Sans"/>
          <w:sz w:val="20"/>
          <w:szCs w:val="20"/>
        </w:rPr>
        <w:t xml:space="preserve">opportunity for larger scale installation, </w:t>
      </w:r>
      <w:r w:rsidR="00176844" w:rsidRPr="009D33C3">
        <w:rPr>
          <w:rFonts w:ascii="Open Sans" w:hAnsi="Open Sans" w:cs="Open Sans"/>
          <w:sz w:val="20"/>
          <w:szCs w:val="20"/>
        </w:rPr>
        <w:t xml:space="preserve">which </w:t>
      </w:r>
      <w:r w:rsidR="007911C0">
        <w:rPr>
          <w:rFonts w:ascii="Open Sans" w:hAnsi="Open Sans" w:cs="Open Sans"/>
          <w:sz w:val="20"/>
          <w:szCs w:val="20"/>
        </w:rPr>
        <w:t xml:space="preserve">in turn will </w:t>
      </w:r>
      <w:r w:rsidR="00176844" w:rsidRPr="009D33C3">
        <w:rPr>
          <w:rFonts w:ascii="Open Sans" w:hAnsi="Open Sans" w:cs="Open Sans"/>
          <w:sz w:val="20"/>
          <w:szCs w:val="20"/>
        </w:rPr>
        <w:t>harm the options for domestic renewable heat installations. With polices narrowly focused on small scale domestic</w:t>
      </w:r>
      <w:r w:rsidR="009612C5" w:rsidRPr="009D33C3">
        <w:rPr>
          <w:rFonts w:ascii="Open Sans" w:hAnsi="Open Sans" w:cs="Open Sans"/>
          <w:sz w:val="20"/>
          <w:szCs w:val="20"/>
        </w:rPr>
        <w:t xml:space="preserve"> (</w:t>
      </w:r>
      <w:r w:rsidR="00176844" w:rsidRPr="009D33C3">
        <w:rPr>
          <w:rFonts w:ascii="Open Sans" w:hAnsi="Open Sans" w:cs="Open Sans"/>
          <w:sz w:val="20"/>
          <w:szCs w:val="20"/>
        </w:rPr>
        <w:t>predominantly heat pump</w:t>
      </w:r>
      <w:r w:rsidR="009612C5" w:rsidRPr="009D33C3">
        <w:rPr>
          <w:rFonts w:ascii="Open Sans" w:hAnsi="Open Sans" w:cs="Open Sans"/>
          <w:sz w:val="20"/>
          <w:szCs w:val="20"/>
        </w:rPr>
        <w:t>)</w:t>
      </w:r>
      <w:r w:rsidR="00176844" w:rsidRPr="009D33C3">
        <w:rPr>
          <w:rFonts w:ascii="Open Sans" w:hAnsi="Open Sans" w:cs="Open Sans"/>
          <w:sz w:val="20"/>
          <w:szCs w:val="20"/>
        </w:rPr>
        <w:t xml:space="preserve"> deployment</w:t>
      </w:r>
      <w:r w:rsidR="009612C5" w:rsidRPr="009D33C3">
        <w:rPr>
          <w:rFonts w:ascii="Open Sans" w:hAnsi="Open Sans" w:cs="Open Sans"/>
          <w:sz w:val="20"/>
          <w:szCs w:val="20"/>
        </w:rPr>
        <w:t xml:space="preserve">, </w:t>
      </w:r>
      <w:r w:rsidR="00176844" w:rsidRPr="009D33C3">
        <w:rPr>
          <w:rFonts w:ascii="Open Sans" w:hAnsi="Open Sans" w:cs="Open Sans"/>
          <w:sz w:val="20"/>
          <w:szCs w:val="20"/>
        </w:rPr>
        <w:t>contraction of renewable heat sectors like biomass, geothermal</w:t>
      </w:r>
      <w:r w:rsidR="009612C5" w:rsidRPr="009D33C3">
        <w:rPr>
          <w:rFonts w:ascii="Open Sans" w:hAnsi="Open Sans" w:cs="Open Sans"/>
          <w:sz w:val="20"/>
          <w:szCs w:val="20"/>
        </w:rPr>
        <w:t xml:space="preserve">, </w:t>
      </w:r>
      <w:r w:rsidR="00176844" w:rsidRPr="009D33C3">
        <w:rPr>
          <w:rFonts w:ascii="Open Sans" w:hAnsi="Open Sans" w:cs="Open Sans"/>
          <w:sz w:val="20"/>
          <w:szCs w:val="20"/>
        </w:rPr>
        <w:t>larger-scale heat pumps</w:t>
      </w:r>
      <w:r w:rsidR="009612C5" w:rsidRPr="009D33C3">
        <w:rPr>
          <w:rFonts w:ascii="Open Sans" w:hAnsi="Open Sans" w:cs="Open Sans"/>
          <w:sz w:val="20"/>
          <w:szCs w:val="20"/>
        </w:rPr>
        <w:t xml:space="preserve"> are expected just as the UK needs to be more than doubling its deployment rate for renewable heat technologies.  </w:t>
      </w:r>
    </w:p>
    <w:p w14:paraId="3DA55C37" w14:textId="77777777" w:rsidR="002B5785" w:rsidRPr="009D33C3" w:rsidRDefault="00414D3E" w:rsidP="0029576E">
      <w:pPr>
        <w:rPr>
          <w:rFonts w:ascii="Open Sans" w:hAnsi="Open Sans" w:cs="Open Sans"/>
          <w:sz w:val="20"/>
          <w:szCs w:val="20"/>
        </w:rPr>
      </w:pPr>
      <w:r w:rsidRPr="009D33C3">
        <w:rPr>
          <w:rFonts w:ascii="Open Sans" w:hAnsi="Open Sans" w:cs="Open Sans"/>
          <w:sz w:val="20"/>
          <w:szCs w:val="20"/>
        </w:rPr>
        <w:t xml:space="preserve">1.6 </w:t>
      </w:r>
      <w:r w:rsidR="007911C0">
        <w:rPr>
          <w:rFonts w:ascii="Open Sans" w:hAnsi="Open Sans" w:cs="Open Sans"/>
          <w:sz w:val="20"/>
          <w:szCs w:val="20"/>
        </w:rPr>
        <w:t>T</w:t>
      </w:r>
      <w:r w:rsidR="00B208C2" w:rsidRPr="009D33C3">
        <w:rPr>
          <w:rFonts w:ascii="Open Sans" w:hAnsi="Open Sans" w:cs="Open Sans"/>
          <w:sz w:val="20"/>
          <w:szCs w:val="20"/>
        </w:rPr>
        <w:t xml:space="preserve">he </w:t>
      </w:r>
      <w:r w:rsidR="00FB753E" w:rsidRPr="009D33C3">
        <w:rPr>
          <w:rFonts w:ascii="Open Sans" w:hAnsi="Open Sans" w:cs="Open Sans"/>
          <w:sz w:val="20"/>
          <w:szCs w:val="20"/>
        </w:rPr>
        <w:t>Governments</w:t>
      </w:r>
      <w:r w:rsidR="00B208C2" w:rsidRPr="009D33C3">
        <w:rPr>
          <w:rFonts w:ascii="Open Sans" w:hAnsi="Open Sans" w:cs="Open Sans"/>
          <w:sz w:val="20"/>
          <w:szCs w:val="20"/>
        </w:rPr>
        <w:t xml:space="preserve"> Heat and Buildings Strategy need to set out a real deliverable strategy that both ensures the continued growth of all renewable heat sectors</w:t>
      </w:r>
      <w:r w:rsidR="009612C5" w:rsidRPr="009D33C3">
        <w:rPr>
          <w:rFonts w:ascii="Open Sans" w:hAnsi="Open Sans" w:cs="Open Sans"/>
          <w:sz w:val="20"/>
          <w:szCs w:val="20"/>
        </w:rPr>
        <w:t>, across both domestics and non-domestic scales,</w:t>
      </w:r>
      <w:r w:rsidR="00B208C2" w:rsidRPr="009D33C3">
        <w:rPr>
          <w:rFonts w:ascii="Open Sans" w:hAnsi="Open Sans" w:cs="Open Sans"/>
          <w:sz w:val="20"/>
          <w:szCs w:val="20"/>
        </w:rPr>
        <w:t xml:space="preserve"> in operation today and the </w:t>
      </w:r>
      <w:r w:rsidR="00FB753E" w:rsidRPr="009D33C3">
        <w:rPr>
          <w:rFonts w:ascii="Open Sans" w:hAnsi="Open Sans" w:cs="Open Sans"/>
          <w:sz w:val="20"/>
          <w:szCs w:val="20"/>
        </w:rPr>
        <w:t>delivery</w:t>
      </w:r>
      <w:r w:rsidR="00B208C2" w:rsidRPr="009D33C3">
        <w:rPr>
          <w:rFonts w:ascii="Open Sans" w:hAnsi="Open Sans" w:cs="Open Sans"/>
          <w:sz w:val="20"/>
          <w:szCs w:val="20"/>
        </w:rPr>
        <w:t xml:space="preserve"> of strategically important technologies in the future. </w:t>
      </w:r>
      <w:r w:rsidR="007911C0">
        <w:rPr>
          <w:rFonts w:ascii="Open Sans" w:hAnsi="Open Sans" w:cs="Open Sans"/>
          <w:sz w:val="20"/>
          <w:szCs w:val="20"/>
        </w:rPr>
        <w:t xml:space="preserve"> Within this response, we review what the RHI has achieved and the industries response to the proposed replacements. We also provide an overview of the range of renewable heat technologies that must now be delivered and the current barriers to their deployment that must be addressed if full decarbonisation of homes is to be realised.</w:t>
      </w:r>
    </w:p>
    <w:p w14:paraId="0BCF8C5D" w14:textId="77777777" w:rsidR="0006477E" w:rsidRPr="009D33C3" w:rsidRDefault="00414D3E" w:rsidP="00731ABD">
      <w:pPr>
        <w:spacing w:before="100" w:beforeAutospacing="1" w:after="100" w:afterAutospacing="1" w:line="240" w:lineRule="auto"/>
        <w:ind w:right="-46"/>
        <w:rPr>
          <w:rFonts w:ascii="Open Sans" w:eastAsia="Times New Roman" w:hAnsi="Open Sans" w:cs="Open Sans"/>
          <w:b/>
          <w:bCs/>
          <w:sz w:val="20"/>
          <w:szCs w:val="20"/>
          <w:lang w:eastAsia="en-GB"/>
        </w:rPr>
      </w:pPr>
      <w:r w:rsidRPr="009D33C3">
        <w:rPr>
          <w:rFonts w:ascii="Open Sans" w:eastAsia="Times New Roman" w:hAnsi="Open Sans" w:cs="Open Sans"/>
          <w:b/>
          <w:bCs/>
          <w:sz w:val="20"/>
          <w:szCs w:val="20"/>
          <w:lang w:eastAsia="en-GB"/>
        </w:rPr>
        <w:t>2</w:t>
      </w:r>
      <w:r w:rsidR="007911C0">
        <w:rPr>
          <w:rFonts w:ascii="Open Sans" w:eastAsia="Times New Roman" w:hAnsi="Open Sans" w:cs="Open Sans"/>
          <w:b/>
          <w:bCs/>
          <w:sz w:val="20"/>
          <w:szCs w:val="20"/>
          <w:lang w:eastAsia="en-GB"/>
        </w:rPr>
        <w:t>.</w:t>
      </w:r>
      <w:r w:rsidRPr="009D33C3">
        <w:rPr>
          <w:rFonts w:ascii="Open Sans" w:eastAsia="Times New Roman" w:hAnsi="Open Sans" w:cs="Open Sans"/>
          <w:b/>
          <w:bCs/>
          <w:sz w:val="20"/>
          <w:szCs w:val="20"/>
          <w:lang w:eastAsia="en-GB"/>
        </w:rPr>
        <w:t xml:space="preserve"> </w:t>
      </w:r>
      <w:r w:rsidR="00E93B2A" w:rsidRPr="009D33C3">
        <w:rPr>
          <w:rFonts w:ascii="Open Sans" w:eastAsia="Times New Roman" w:hAnsi="Open Sans" w:cs="Open Sans"/>
          <w:b/>
          <w:bCs/>
          <w:sz w:val="20"/>
          <w:szCs w:val="20"/>
          <w:lang w:eastAsia="en-GB"/>
        </w:rPr>
        <w:t>T</w:t>
      </w:r>
      <w:r w:rsidRPr="009D33C3">
        <w:rPr>
          <w:rFonts w:ascii="Open Sans" w:eastAsia="Times New Roman" w:hAnsi="Open Sans" w:cs="Open Sans"/>
          <w:b/>
          <w:bCs/>
          <w:sz w:val="20"/>
          <w:szCs w:val="20"/>
          <w:lang w:eastAsia="en-GB"/>
        </w:rPr>
        <w:t>he impact of The RHI and lessons learnt</w:t>
      </w:r>
    </w:p>
    <w:p w14:paraId="34489238" w14:textId="77777777" w:rsidR="00CB3C45" w:rsidRPr="009D33C3" w:rsidRDefault="00414D3E" w:rsidP="0029576E">
      <w:p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 xml:space="preserve">2.1. </w:t>
      </w:r>
      <w:r w:rsidR="00FB753E" w:rsidRPr="009D33C3">
        <w:rPr>
          <w:rFonts w:ascii="Open Sans" w:eastAsia="Times New Roman" w:hAnsi="Open Sans" w:cs="Open Sans"/>
          <w:sz w:val="20"/>
          <w:szCs w:val="20"/>
          <w:lang w:eastAsia="en-GB"/>
        </w:rPr>
        <w:t xml:space="preserve">The </w:t>
      </w:r>
      <w:r w:rsidRPr="009D33C3">
        <w:rPr>
          <w:rFonts w:ascii="Open Sans" w:eastAsia="Times New Roman" w:hAnsi="Open Sans" w:cs="Open Sans"/>
          <w:sz w:val="20"/>
          <w:szCs w:val="20"/>
          <w:lang w:eastAsia="en-GB"/>
        </w:rPr>
        <w:t>R</w:t>
      </w:r>
      <w:r w:rsidR="00FB753E" w:rsidRPr="009D33C3">
        <w:rPr>
          <w:rFonts w:ascii="Open Sans" w:eastAsia="Times New Roman" w:hAnsi="Open Sans" w:cs="Open Sans"/>
          <w:sz w:val="20"/>
          <w:szCs w:val="20"/>
          <w:lang w:eastAsia="en-GB"/>
        </w:rPr>
        <w:t xml:space="preserve">enewable </w:t>
      </w:r>
      <w:r w:rsidRPr="009D33C3">
        <w:rPr>
          <w:rFonts w:ascii="Open Sans" w:eastAsia="Times New Roman" w:hAnsi="Open Sans" w:cs="Open Sans"/>
          <w:sz w:val="20"/>
          <w:szCs w:val="20"/>
          <w:lang w:eastAsia="en-GB"/>
        </w:rPr>
        <w:t>H</w:t>
      </w:r>
      <w:r w:rsidR="00FB753E" w:rsidRPr="009D33C3">
        <w:rPr>
          <w:rFonts w:ascii="Open Sans" w:eastAsia="Times New Roman" w:hAnsi="Open Sans" w:cs="Open Sans"/>
          <w:sz w:val="20"/>
          <w:szCs w:val="20"/>
          <w:lang w:eastAsia="en-GB"/>
        </w:rPr>
        <w:t xml:space="preserve">eat </w:t>
      </w:r>
      <w:r w:rsidRPr="009D33C3">
        <w:rPr>
          <w:rFonts w:ascii="Open Sans" w:eastAsia="Times New Roman" w:hAnsi="Open Sans" w:cs="Open Sans"/>
          <w:sz w:val="20"/>
          <w:szCs w:val="20"/>
          <w:lang w:eastAsia="en-GB"/>
        </w:rPr>
        <w:t>I</w:t>
      </w:r>
      <w:r w:rsidR="00FB753E" w:rsidRPr="009D33C3">
        <w:rPr>
          <w:rFonts w:ascii="Open Sans" w:eastAsia="Times New Roman" w:hAnsi="Open Sans" w:cs="Open Sans"/>
          <w:sz w:val="20"/>
          <w:szCs w:val="20"/>
          <w:lang w:eastAsia="en-GB"/>
        </w:rPr>
        <w:t xml:space="preserve">ncentive has been a </w:t>
      </w:r>
      <w:r w:rsidR="008B4871" w:rsidRPr="009D33C3">
        <w:rPr>
          <w:rFonts w:ascii="Open Sans" w:eastAsia="Times New Roman" w:hAnsi="Open Sans" w:cs="Open Sans"/>
          <w:sz w:val="20"/>
          <w:szCs w:val="20"/>
          <w:lang w:eastAsia="en-GB"/>
        </w:rPr>
        <w:t xml:space="preserve">success story for the establishment of the renewable heat industry in the UK. The tariff-based mechanism has provided a bankable solution </w:t>
      </w:r>
      <w:r w:rsidR="009612C5" w:rsidRPr="009D33C3">
        <w:rPr>
          <w:rFonts w:ascii="Open Sans" w:eastAsia="Times New Roman" w:hAnsi="Open Sans" w:cs="Open Sans"/>
          <w:sz w:val="20"/>
          <w:szCs w:val="20"/>
          <w:lang w:eastAsia="en-GB"/>
        </w:rPr>
        <w:t xml:space="preserve">for </w:t>
      </w:r>
      <w:r w:rsidR="008B4871" w:rsidRPr="009D33C3">
        <w:rPr>
          <w:rFonts w:ascii="Open Sans" w:eastAsia="Times New Roman" w:hAnsi="Open Sans" w:cs="Open Sans"/>
          <w:sz w:val="20"/>
          <w:szCs w:val="20"/>
          <w:lang w:eastAsia="en-GB"/>
        </w:rPr>
        <w:t xml:space="preserve">long-term </w:t>
      </w:r>
      <w:r w:rsidRPr="009D33C3">
        <w:rPr>
          <w:rFonts w:ascii="Open Sans" w:eastAsia="Times New Roman" w:hAnsi="Open Sans" w:cs="Open Sans"/>
          <w:sz w:val="20"/>
          <w:szCs w:val="20"/>
          <w:lang w:eastAsia="en-GB"/>
        </w:rPr>
        <w:t>investment</w:t>
      </w:r>
      <w:r w:rsidR="009612C5" w:rsidRPr="009D33C3">
        <w:rPr>
          <w:rFonts w:ascii="Open Sans" w:eastAsia="Times New Roman" w:hAnsi="Open Sans" w:cs="Open Sans"/>
          <w:sz w:val="20"/>
          <w:szCs w:val="20"/>
          <w:lang w:eastAsia="en-GB"/>
        </w:rPr>
        <w:t>s</w:t>
      </w:r>
      <w:r w:rsidRPr="009D33C3">
        <w:rPr>
          <w:rFonts w:ascii="Open Sans" w:eastAsia="Times New Roman" w:hAnsi="Open Sans" w:cs="Open Sans"/>
          <w:sz w:val="20"/>
          <w:szCs w:val="20"/>
          <w:lang w:eastAsia="en-GB"/>
        </w:rPr>
        <w:t xml:space="preserve"> in renewable heating systems across the domestic and non-domestic </w:t>
      </w:r>
      <w:r w:rsidR="009612C5" w:rsidRPr="009D33C3">
        <w:rPr>
          <w:rFonts w:ascii="Open Sans" w:eastAsia="Times New Roman" w:hAnsi="Open Sans" w:cs="Open Sans"/>
          <w:sz w:val="20"/>
          <w:szCs w:val="20"/>
          <w:lang w:eastAsia="en-GB"/>
        </w:rPr>
        <w:t>scale</w:t>
      </w:r>
      <w:r w:rsidRPr="009D33C3">
        <w:rPr>
          <w:rFonts w:ascii="Open Sans" w:eastAsia="Times New Roman" w:hAnsi="Open Sans" w:cs="Open Sans"/>
          <w:sz w:val="20"/>
          <w:szCs w:val="20"/>
          <w:lang w:eastAsia="en-GB"/>
        </w:rPr>
        <w:t xml:space="preserve">. </w:t>
      </w:r>
      <w:r w:rsidR="008D593F" w:rsidRPr="009D33C3">
        <w:rPr>
          <w:rFonts w:ascii="Open Sans" w:eastAsia="Times New Roman" w:hAnsi="Open Sans" w:cs="Open Sans"/>
          <w:sz w:val="20"/>
          <w:szCs w:val="20"/>
          <w:lang w:eastAsia="en-GB"/>
        </w:rPr>
        <w:t xml:space="preserve">As of September 2020, </w:t>
      </w:r>
      <w:r w:rsidRPr="009D33C3">
        <w:rPr>
          <w:rFonts w:ascii="Open Sans" w:eastAsia="Times New Roman" w:hAnsi="Open Sans" w:cs="Open Sans"/>
          <w:sz w:val="20"/>
          <w:szCs w:val="20"/>
          <w:lang w:eastAsia="en-GB"/>
        </w:rPr>
        <w:t>the RHI</w:t>
      </w:r>
      <w:r w:rsidR="0069112A" w:rsidRPr="009D33C3">
        <w:rPr>
          <w:rFonts w:ascii="Open Sans" w:eastAsia="Times New Roman" w:hAnsi="Open Sans" w:cs="Open Sans"/>
          <w:sz w:val="20"/>
          <w:szCs w:val="20"/>
          <w:lang w:eastAsia="en-GB"/>
        </w:rPr>
        <w:t xml:space="preserve">, since its introduction in 2011, </w:t>
      </w:r>
      <w:r w:rsidRPr="009D33C3">
        <w:rPr>
          <w:rFonts w:ascii="Open Sans" w:eastAsia="Times New Roman" w:hAnsi="Open Sans" w:cs="Open Sans"/>
          <w:sz w:val="20"/>
          <w:szCs w:val="20"/>
          <w:lang w:eastAsia="en-GB"/>
        </w:rPr>
        <w:t>has achieved:</w:t>
      </w:r>
    </w:p>
    <w:p w14:paraId="5F1E3E4A" w14:textId="77777777" w:rsidR="00CB3C45" w:rsidRPr="009D33C3" w:rsidRDefault="00414D3E" w:rsidP="008D593F">
      <w:pPr>
        <w:pStyle w:val="ListParagraph"/>
        <w:numPr>
          <w:ilvl w:val="0"/>
          <w:numId w:val="5"/>
        </w:num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81,706 domestic accredited renewable heat installations and a further 20,483 non-domestic</w:t>
      </w:r>
      <w:r w:rsidR="008D593F" w:rsidRPr="009D33C3">
        <w:rPr>
          <w:rFonts w:ascii="Open Sans" w:eastAsia="Times New Roman" w:hAnsi="Open Sans" w:cs="Open Sans"/>
          <w:sz w:val="20"/>
          <w:szCs w:val="20"/>
          <w:lang w:eastAsia="en-GB"/>
        </w:rPr>
        <w:t xml:space="preserve"> </w:t>
      </w:r>
      <w:r w:rsidR="0069112A" w:rsidRPr="009D33C3">
        <w:rPr>
          <w:rFonts w:ascii="Open Sans" w:eastAsia="Times New Roman" w:hAnsi="Open Sans" w:cs="Open Sans"/>
          <w:sz w:val="20"/>
          <w:szCs w:val="20"/>
          <w:lang w:eastAsia="en-GB"/>
        </w:rPr>
        <w:t>accredited installations</w:t>
      </w:r>
      <w:r w:rsidRPr="009D33C3">
        <w:rPr>
          <w:rFonts w:ascii="Open Sans" w:eastAsia="Times New Roman" w:hAnsi="Open Sans" w:cs="Open Sans"/>
          <w:sz w:val="20"/>
          <w:szCs w:val="20"/>
          <w:lang w:eastAsia="en-GB"/>
        </w:rPr>
        <w:t xml:space="preserve"> </w:t>
      </w:r>
      <w:r w:rsidR="009612C5" w:rsidRPr="009D33C3">
        <w:rPr>
          <w:rFonts w:ascii="Open Sans" w:eastAsia="Times New Roman" w:hAnsi="Open Sans" w:cs="Open Sans"/>
          <w:sz w:val="20"/>
          <w:szCs w:val="20"/>
          <w:lang w:eastAsia="en-GB"/>
        </w:rPr>
        <w:t>[1]</w:t>
      </w:r>
      <w:r w:rsidR="00CA22BD" w:rsidRPr="009D33C3">
        <w:rPr>
          <w:rFonts w:ascii="Open Sans" w:eastAsia="Times New Roman" w:hAnsi="Open Sans" w:cs="Open Sans"/>
          <w:sz w:val="20"/>
          <w:szCs w:val="20"/>
          <w:lang w:eastAsia="en-GB"/>
        </w:rPr>
        <w:t>.</w:t>
      </w:r>
    </w:p>
    <w:p w14:paraId="264895D2" w14:textId="77777777" w:rsidR="008A02C5" w:rsidRPr="009D33C3" w:rsidRDefault="00414D3E" w:rsidP="00CB3C45">
      <w:pPr>
        <w:pStyle w:val="ListParagraph"/>
        <w:numPr>
          <w:ilvl w:val="0"/>
          <w:numId w:val="5"/>
        </w:num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This has delivered a total install</w:t>
      </w:r>
      <w:r w:rsidR="009612C5" w:rsidRPr="009D33C3">
        <w:rPr>
          <w:rFonts w:ascii="Open Sans" w:eastAsia="Times New Roman" w:hAnsi="Open Sans" w:cs="Open Sans"/>
          <w:sz w:val="20"/>
          <w:szCs w:val="20"/>
          <w:lang w:eastAsia="en-GB"/>
        </w:rPr>
        <w:t>ed</w:t>
      </w:r>
      <w:r w:rsidRPr="009D33C3">
        <w:rPr>
          <w:rFonts w:ascii="Open Sans" w:eastAsia="Times New Roman" w:hAnsi="Open Sans" w:cs="Open Sans"/>
          <w:sz w:val="20"/>
          <w:szCs w:val="20"/>
          <w:lang w:eastAsia="en-GB"/>
        </w:rPr>
        <w:t xml:space="preserve"> capacity of </w:t>
      </w:r>
      <w:r w:rsidR="008D593F" w:rsidRPr="009D33C3">
        <w:rPr>
          <w:rFonts w:ascii="Open Sans" w:eastAsia="Times New Roman" w:hAnsi="Open Sans" w:cs="Open Sans"/>
          <w:sz w:val="20"/>
          <w:szCs w:val="20"/>
          <w:lang w:eastAsia="en-GB"/>
        </w:rPr>
        <w:t>over</w:t>
      </w:r>
      <w:r w:rsidRPr="009D33C3">
        <w:rPr>
          <w:rFonts w:ascii="Open Sans" w:eastAsia="Times New Roman" w:hAnsi="Open Sans" w:cs="Open Sans"/>
          <w:sz w:val="20"/>
          <w:szCs w:val="20"/>
          <w:lang w:eastAsia="en-GB"/>
        </w:rPr>
        <w:t xml:space="preserve"> 6000 MW of </w:t>
      </w:r>
      <w:r w:rsidR="008D593F" w:rsidRPr="009D33C3">
        <w:rPr>
          <w:rFonts w:ascii="Open Sans" w:eastAsia="Times New Roman" w:hAnsi="Open Sans" w:cs="Open Sans"/>
          <w:sz w:val="20"/>
          <w:szCs w:val="20"/>
          <w:lang w:eastAsia="en-GB"/>
        </w:rPr>
        <w:t>heat</w:t>
      </w:r>
      <w:r w:rsidRPr="009D33C3">
        <w:rPr>
          <w:rFonts w:ascii="Open Sans" w:eastAsia="Times New Roman" w:hAnsi="Open Sans" w:cs="Open Sans"/>
          <w:sz w:val="20"/>
          <w:szCs w:val="20"/>
          <w:lang w:eastAsia="en-GB"/>
        </w:rPr>
        <w:t xml:space="preserve"> </w:t>
      </w:r>
      <w:r w:rsidR="008D593F" w:rsidRPr="009D33C3">
        <w:rPr>
          <w:rFonts w:ascii="Open Sans" w:eastAsia="Times New Roman" w:hAnsi="Open Sans" w:cs="Open Sans"/>
          <w:sz w:val="20"/>
          <w:szCs w:val="20"/>
          <w:lang w:eastAsia="en-GB"/>
        </w:rPr>
        <w:t xml:space="preserve">(985 MW of which is in the domestic sector) </w:t>
      </w:r>
      <w:r w:rsidRPr="009D33C3">
        <w:rPr>
          <w:rFonts w:ascii="Open Sans" w:eastAsia="Times New Roman" w:hAnsi="Open Sans" w:cs="Open Sans"/>
          <w:sz w:val="20"/>
          <w:szCs w:val="20"/>
          <w:lang w:eastAsia="en-GB"/>
        </w:rPr>
        <w:t xml:space="preserve">and delivered over 57 TWh of heat since the scheme began </w:t>
      </w:r>
      <w:r w:rsidR="009612C5" w:rsidRPr="009D33C3">
        <w:rPr>
          <w:rFonts w:ascii="Open Sans" w:eastAsia="Times New Roman" w:hAnsi="Open Sans" w:cs="Open Sans"/>
          <w:sz w:val="20"/>
          <w:szCs w:val="20"/>
          <w:lang w:eastAsia="en-GB"/>
        </w:rPr>
        <w:t>[1]</w:t>
      </w:r>
      <w:r w:rsidR="00CA22BD" w:rsidRPr="009D33C3">
        <w:rPr>
          <w:rFonts w:ascii="Open Sans" w:eastAsia="Times New Roman" w:hAnsi="Open Sans" w:cs="Open Sans"/>
          <w:sz w:val="20"/>
          <w:szCs w:val="20"/>
          <w:lang w:eastAsia="en-GB"/>
        </w:rPr>
        <w:t>.</w:t>
      </w:r>
    </w:p>
    <w:p w14:paraId="49A85335" w14:textId="77777777" w:rsidR="008A02C5" w:rsidRPr="009D33C3" w:rsidRDefault="00414D3E" w:rsidP="00CB3C45">
      <w:pPr>
        <w:pStyle w:val="ListParagraph"/>
        <w:numPr>
          <w:ilvl w:val="0"/>
          <w:numId w:val="5"/>
        </w:numPr>
        <w:spacing w:before="100" w:beforeAutospacing="1" w:after="100" w:afterAutospacing="1" w:line="240" w:lineRule="auto"/>
        <w:ind w:right="-46"/>
        <w:rPr>
          <w:rFonts w:ascii="Open Sans" w:eastAsia="Times New Roman" w:hAnsi="Open Sans" w:cs="Open Sans"/>
          <w:sz w:val="20"/>
          <w:szCs w:val="20"/>
          <w:lang w:eastAsia="en-GB"/>
        </w:rPr>
      </w:pPr>
      <w:r>
        <w:rPr>
          <w:rFonts w:ascii="Open Sans" w:eastAsia="Times New Roman" w:hAnsi="Open Sans" w:cs="Open Sans"/>
          <w:sz w:val="20"/>
          <w:szCs w:val="20"/>
          <w:lang w:eastAsia="en-GB"/>
        </w:rPr>
        <w:t xml:space="preserve">Established </w:t>
      </w:r>
      <w:r w:rsidRPr="009D33C3">
        <w:rPr>
          <w:rFonts w:ascii="Open Sans" w:eastAsia="Times New Roman" w:hAnsi="Open Sans" w:cs="Open Sans"/>
          <w:sz w:val="20"/>
          <w:szCs w:val="20"/>
          <w:lang w:eastAsia="en-GB"/>
        </w:rPr>
        <w:t xml:space="preserve">crucial </w:t>
      </w:r>
      <w:r>
        <w:rPr>
          <w:rFonts w:ascii="Open Sans" w:eastAsia="Times New Roman" w:hAnsi="Open Sans" w:cs="Open Sans"/>
          <w:sz w:val="20"/>
          <w:szCs w:val="20"/>
          <w:lang w:eastAsia="en-GB"/>
        </w:rPr>
        <w:t xml:space="preserve">renewable heat </w:t>
      </w:r>
      <w:r w:rsidRPr="009D33C3">
        <w:rPr>
          <w:rFonts w:ascii="Open Sans" w:eastAsia="Times New Roman" w:hAnsi="Open Sans" w:cs="Open Sans"/>
          <w:sz w:val="20"/>
          <w:szCs w:val="20"/>
          <w:lang w:eastAsia="en-GB"/>
        </w:rPr>
        <w:t xml:space="preserve">supply chains and </w:t>
      </w:r>
      <w:r w:rsidR="008D593F" w:rsidRPr="009D33C3">
        <w:rPr>
          <w:rFonts w:ascii="Open Sans" w:eastAsia="Times New Roman" w:hAnsi="Open Sans" w:cs="Open Sans"/>
          <w:sz w:val="20"/>
          <w:szCs w:val="20"/>
          <w:lang w:eastAsia="en-GB"/>
        </w:rPr>
        <w:t>maintenance</w:t>
      </w:r>
      <w:r w:rsidRPr="009D33C3">
        <w:rPr>
          <w:rFonts w:ascii="Open Sans" w:eastAsia="Times New Roman" w:hAnsi="Open Sans" w:cs="Open Sans"/>
          <w:sz w:val="20"/>
          <w:szCs w:val="20"/>
          <w:lang w:eastAsia="en-GB"/>
        </w:rPr>
        <w:t xml:space="preserve"> sectors. </w:t>
      </w:r>
      <w:r w:rsidRPr="009D33C3">
        <w:rPr>
          <w:rFonts w:ascii="Open Sans" w:hAnsi="Open Sans" w:cs="Open Sans"/>
          <w:sz w:val="20"/>
          <w:szCs w:val="20"/>
        </w:rPr>
        <w:t>The REA REview 2020 identified over 32,000 direct jobs in the heat pump, sol</w:t>
      </w:r>
      <w:r w:rsidRPr="009D33C3">
        <w:rPr>
          <w:rFonts w:ascii="Open Sans" w:hAnsi="Open Sans" w:cs="Open Sans"/>
          <w:sz w:val="20"/>
          <w:szCs w:val="20"/>
        </w:rPr>
        <w:t>ar thermal, biomass boiler, biomass CHP and AD sectors combined in 2018. This grows to well over 44,000 jobs when you also include those employed in ancillary services such as the production of biomass for fuel</w:t>
      </w:r>
      <w:r w:rsidR="00CA22BD" w:rsidRPr="009D33C3">
        <w:rPr>
          <w:rFonts w:ascii="Open Sans" w:hAnsi="Open Sans" w:cs="Open Sans"/>
          <w:sz w:val="20"/>
          <w:szCs w:val="20"/>
        </w:rPr>
        <w:t xml:space="preserve"> [2]</w:t>
      </w:r>
      <w:r w:rsidRPr="009D33C3">
        <w:rPr>
          <w:rFonts w:ascii="Open Sans" w:hAnsi="Open Sans" w:cs="Open Sans"/>
          <w:sz w:val="20"/>
          <w:szCs w:val="20"/>
        </w:rPr>
        <w:t>.</w:t>
      </w:r>
    </w:p>
    <w:p w14:paraId="598D01C0" w14:textId="77777777" w:rsidR="0069112A" w:rsidRPr="009D33C3" w:rsidRDefault="00414D3E" w:rsidP="008A02C5">
      <w:p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2.</w:t>
      </w:r>
      <w:r w:rsidR="007911C0" w:rsidRPr="009D33C3">
        <w:rPr>
          <w:rFonts w:ascii="Open Sans" w:eastAsia="Times New Roman" w:hAnsi="Open Sans" w:cs="Open Sans"/>
          <w:sz w:val="20"/>
          <w:szCs w:val="20"/>
          <w:lang w:eastAsia="en-GB"/>
        </w:rPr>
        <w:t xml:space="preserve"> </w:t>
      </w:r>
      <w:r w:rsidRPr="009D33C3">
        <w:rPr>
          <w:rFonts w:ascii="Open Sans" w:eastAsia="Times New Roman" w:hAnsi="Open Sans" w:cs="Open Sans"/>
          <w:sz w:val="20"/>
          <w:szCs w:val="20"/>
          <w:lang w:eastAsia="en-GB"/>
        </w:rPr>
        <w:t xml:space="preserve">2 </w:t>
      </w:r>
      <w:r w:rsidR="008D593F" w:rsidRPr="009D33C3">
        <w:rPr>
          <w:rFonts w:ascii="Open Sans" w:eastAsia="Times New Roman" w:hAnsi="Open Sans" w:cs="Open Sans"/>
          <w:sz w:val="20"/>
          <w:szCs w:val="20"/>
          <w:lang w:eastAsia="en-GB"/>
        </w:rPr>
        <w:t xml:space="preserve">It </w:t>
      </w:r>
      <w:r w:rsidR="00D90089" w:rsidRPr="009D33C3">
        <w:rPr>
          <w:rFonts w:ascii="Open Sans" w:eastAsia="Times New Roman" w:hAnsi="Open Sans" w:cs="Open Sans"/>
          <w:sz w:val="20"/>
          <w:szCs w:val="20"/>
          <w:lang w:eastAsia="en-GB"/>
        </w:rPr>
        <w:t xml:space="preserve">is </w:t>
      </w:r>
      <w:r w:rsidR="008D593F" w:rsidRPr="009D33C3">
        <w:rPr>
          <w:rFonts w:ascii="Open Sans" w:eastAsia="Times New Roman" w:hAnsi="Open Sans" w:cs="Open Sans"/>
          <w:sz w:val="20"/>
          <w:szCs w:val="20"/>
          <w:lang w:eastAsia="en-GB"/>
        </w:rPr>
        <w:t xml:space="preserve">worth noting that across the whole RHI, </w:t>
      </w:r>
      <w:r w:rsidR="00950FEC" w:rsidRPr="009D33C3">
        <w:rPr>
          <w:rFonts w:ascii="Open Sans" w:eastAsia="Times New Roman" w:hAnsi="Open Sans" w:cs="Open Sans"/>
          <w:sz w:val="20"/>
          <w:szCs w:val="20"/>
          <w:lang w:eastAsia="en-GB"/>
        </w:rPr>
        <w:t>bioenergy</w:t>
      </w:r>
      <w:r w:rsidR="008D593F" w:rsidRPr="009D33C3">
        <w:rPr>
          <w:rFonts w:ascii="Open Sans" w:eastAsia="Times New Roman" w:hAnsi="Open Sans" w:cs="Open Sans"/>
          <w:sz w:val="20"/>
          <w:szCs w:val="20"/>
          <w:lang w:eastAsia="en-GB"/>
        </w:rPr>
        <w:t xml:space="preserve"> </w:t>
      </w:r>
      <w:r w:rsidR="00950FEC" w:rsidRPr="009D33C3">
        <w:rPr>
          <w:rFonts w:ascii="Open Sans" w:eastAsia="Times New Roman" w:hAnsi="Open Sans" w:cs="Open Sans"/>
          <w:sz w:val="20"/>
          <w:szCs w:val="20"/>
          <w:lang w:eastAsia="en-GB"/>
        </w:rPr>
        <w:t xml:space="preserve">heat application, such as biomass boilers and </w:t>
      </w:r>
      <w:r w:rsidRPr="009D33C3">
        <w:rPr>
          <w:rFonts w:ascii="Open Sans" w:eastAsia="Times New Roman" w:hAnsi="Open Sans" w:cs="Open Sans"/>
          <w:sz w:val="20"/>
          <w:szCs w:val="20"/>
          <w:lang w:eastAsia="en-GB"/>
        </w:rPr>
        <w:t>anaerobic</w:t>
      </w:r>
      <w:r w:rsidR="00950FEC" w:rsidRPr="009D33C3">
        <w:rPr>
          <w:rFonts w:ascii="Open Sans" w:eastAsia="Times New Roman" w:hAnsi="Open Sans" w:cs="Open Sans"/>
          <w:sz w:val="20"/>
          <w:szCs w:val="20"/>
          <w:lang w:eastAsia="en-GB"/>
        </w:rPr>
        <w:t xml:space="preserve"> digestion h</w:t>
      </w:r>
      <w:r w:rsidR="008D593F" w:rsidRPr="009D33C3">
        <w:rPr>
          <w:rFonts w:ascii="Open Sans" w:eastAsia="Times New Roman" w:hAnsi="Open Sans" w:cs="Open Sans"/>
          <w:sz w:val="20"/>
          <w:szCs w:val="20"/>
          <w:lang w:eastAsia="en-GB"/>
        </w:rPr>
        <w:t xml:space="preserve">ave </w:t>
      </w:r>
      <w:r w:rsidR="00950FEC" w:rsidRPr="009D33C3">
        <w:rPr>
          <w:rFonts w:ascii="Open Sans" w:eastAsia="Times New Roman" w:hAnsi="Open Sans" w:cs="Open Sans"/>
          <w:sz w:val="20"/>
          <w:szCs w:val="20"/>
          <w:lang w:eastAsia="en-GB"/>
        </w:rPr>
        <w:t xml:space="preserve">accounted for about 90% of </w:t>
      </w:r>
      <w:r w:rsidRPr="009D33C3">
        <w:rPr>
          <w:rFonts w:ascii="Open Sans" w:eastAsia="Times New Roman" w:hAnsi="Open Sans" w:cs="Open Sans"/>
          <w:sz w:val="20"/>
          <w:szCs w:val="20"/>
          <w:lang w:eastAsia="en-GB"/>
        </w:rPr>
        <w:t>renewable</w:t>
      </w:r>
      <w:r w:rsidR="00950FEC" w:rsidRPr="009D33C3">
        <w:rPr>
          <w:rFonts w:ascii="Open Sans" w:eastAsia="Times New Roman" w:hAnsi="Open Sans" w:cs="Open Sans"/>
          <w:sz w:val="20"/>
          <w:szCs w:val="20"/>
          <w:lang w:eastAsia="en-GB"/>
        </w:rPr>
        <w:t xml:space="preserve"> heat produced</w:t>
      </w:r>
      <w:r w:rsidRPr="009D33C3">
        <w:rPr>
          <w:rFonts w:ascii="Open Sans" w:eastAsia="Times New Roman" w:hAnsi="Open Sans" w:cs="Open Sans"/>
          <w:sz w:val="20"/>
          <w:szCs w:val="20"/>
          <w:lang w:eastAsia="en-GB"/>
        </w:rPr>
        <w:t xml:space="preserve">, </w:t>
      </w:r>
      <w:r w:rsidR="00D90089" w:rsidRPr="009D33C3">
        <w:rPr>
          <w:rFonts w:ascii="Open Sans" w:eastAsia="Times New Roman" w:hAnsi="Open Sans" w:cs="Open Sans"/>
          <w:sz w:val="20"/>
          <w:szCs w:val="20"/>
          <w:lang w:eastAsia="en-GB"/>
        </w:rPr>
        <w:t>making</w:t>
      </w:r>
      <w:r w:rsidRPr="009D33C3">
        <w:rPr>
          <w:rFonts w:ascii="Open Sans" w:eastAsia="Times New Roman" w:hAnsi="Open Sans" w:cs="Open Sans"/>
          <w:sz w:val="20"/>
          <w:szCs w:val="20"/>
          <w:lang w:eastAsia="en-GB"/>
        </w:rPr>
        <w:t xml:space="preserve"> the largest contribut</w:t>
      </w:r>
      <w:r w:rsidR="00427E56">
        <w:rPr>
          <w:rFonts w:ascii="Open Sans" w:eastAsia="Times New Roman" w:hAnsi="Open Sans" w:cs="Open Sans"/>
          <w:sz w:val="20"/>
          <w:szCs w:val="20"/>
          <w:lang w:eastAsia="en-GB"/>
        </w:rPr>
        <w:t>ion to</w:t>
      </w:r>
      <w:r w:rsidRPr="009D33C3">
        <w:rPr>
          <w:rFonts w:ascii="Open Sans" w:eastAsia="Times New Roman" w:hAnsi="Open Sans" w:cs="Open Sans"/>
          <w:sz w:val="20"/>
          <w:szCs w:val="20"/>
          <w:lang w:eastAsia="en-GB"/>
        </w:rPr>
        <w:t xml:space="preserve"> heat decarbonisation </w:t>
      </w:r>
      <w:r w:rsidR="00D90089" w:rsidRPr="009D33C3">
        <w:rPr>
          <w:rFonts w:ascii="Open Sans" w:eastAsia="Times New Roman" w:hAnsi="Open Sans" w:cs="Open Sans"/>
          <w:sz w:val="20"/>
          <w:szCs w:val="20"/>
          <w:lang w:eastAsia="en-GB"/>
        </w:rPr>
        <w:t>in the UK to date.</w:t>
      </w:r>
      <w:r w:rsidR="00CA22BD" w:rsidRPr="009D33C3">
        <w:rPr>
          <w:rFonts w:ascii="Open Sans" w:eastAsia="Times New Roman" w:hAnsi="Open Sans" w:cs="Open Sans"/>
          <w:sz w:val="20"/>
          <w:szCs w:val="20"/>
          <w:lang w:eastAsia="en-GB"/>
        </w:rPr>
        <w:t xml:space="preserve"> </w:t>
      </w:r>
      <w:r w:rsidR="00950FEC" w:rsidRPr="009D33C3">
        <w:rPr>
          <w:rFonts w:ascii="Open Sans" w:eastAsia="Times New Roman" w:hAnsi="Open Sans" w:cs="Open Sans"/>
          <w:sz w:val="20"/>
          <w:szCs w:val="20"/>
          <w:lang w:eastAsia="en-GB"/>
        </w:rPr>
        <w:t xml:space="preserve">Within the </w:t>
      </w:r>
      <w:r w:rsidR="003F2C9B" w:rsidRPr="009D33C3">
        <w:rPr>
          <w:rFonts w:ascii="Open Sans" w:eastAsia="Times New Roman" w:hAnsi="Open Sans" w:cs="Open Sans"/>
          <w:sz w:val="20"/>
          <w:szCs w:val="20"/>
          <w:lang w:eastAsia="en-GB"/>
        </w:rPr>
        <w:t>Domestic</w:t>
      </w:r>
      <w:r w:rsidR="00950FEC" w:rsidRPr="009D33C3">
        <w:rPr>
          <w:rFonts w:ascii="Open Sans" w:eastAsia="Times New Roman" w:hAnsi="Open Sans" w:cs="Open Sans"/>
          <w:sz w:val="20"/>
          <w:szCs w:val="20"/>
          <w:lang w:eastAsia="en-GB"/>
        </w:rPr>
        <w:t xml:space="preserve"> RHI</w:t>
      </w:r>
      <w:r w:rsidRPr="009D33C3">
        <w:rPr>
          <w:rFonts w:ascii="Open Sans" w:eastAsia="Times New Roman" w:hAnsi="Open Sans" w:cs="Open Sans"/>
          <w:sz w:val="20"/>
          <w:szCs w:val="20"/>
          <w:lang w:eastAsia="en-GB"/>
        </w:rPr>
        <w:t xml:space="preserve"> total renewable heat production is </w:t>
      </w:r>
      <w:r w:rsidR="00CA22BD" w:rsidRPr="009D33C3">
        <w:rPr>
          <w:rFonts w:ascii="Open Sans" w:eastAsia="Times New Roman" w:hAnsi="Open Sans" w:cs="Open Sans"/>
          <w:sz w:val="20"/>
          <w:szCs w:val="20"/>
          <w:lang w:eastAsia="en-GB"/>
        </w:rPr>
        <w:t xml:space="preserve">relatively </w:t>
      </w:r>
      <w:r w:rsidR="001034EB" w:rsidRPr="009D33C3">
        <w:rPr>
          <w:rFonts w:ascii="Open Sans" w:eastAsia="Times New Roman" w:hAnsi="Open Sans" w:cs="Open Sans"/>
          <w:sz w:val="20"/>
          <w:szCs w:val="20"/>
          <w:lang w:eastAsia="en-GB"/>
        </w:rPr>
        <w:t>evenly</w:t>
      </w:r>
      <w:r w:rsidRPr="009D33C3">
        <w:rPr>
          <w:rFonts w:ascii="Open Sans" w:eastAsia="Times New Roman" w:hAnsi="Open Sans" w:cs="Open Sans"/>
          <w:sz w:val="20"/>
          <w:szCs w:val="20"/>
          <w:lang w:eastAsia="en-GB"/>
        </w:rPr>
        <w:t xml:space="preserve"> split between </w:t>
      </w:r>
      <w:r w:rsidR="00CA22BD" w:rsidRPr="009D33C3">
        <w:rPr>
          <w:rFonts w:ascii="Open Sans" w:eastAsia="Times New Roman" w:hAnsi="Open Sans" w:cs="Open Sans"/>
          <w:sz w:val="20"/>
          <w:szCs w:val="20"/>
          <w:lang w:eastAsia="en-GB"/>
        </w:rPr>
        <w:t>h</w:t>
      </w:r>
      <w:r w:rsidRPr="009D33C3">
        <w:rPr>
          <w:rFonts w:ascii="Open Sans" w:eastAsia="Times New Roman" w:hAnsi="Open Sans" w:cs="Open Sans"/>
          <w:sz w:val="20"/>
          <w:szCs w:val="20"/>
          <w:lang w:eastAsia="en-GB"/>
        </w:rPr>
        <w:t xml:space="preserve">eat pumps and </w:t>
      </w:r>
      <w:r w:rsidR="003F2C9B" w:rsidRPr="009D33C3">
        <w:rPr>
          <w:rFonts w:ascii="Open Sans" w:eastAsia="Times New Roman" w:hAnsi="Open Sans" w:cs="Open Sans"/>
          <w:sz w:val="20"/>
          <w:szCs w:val="20"/>
          <w:lang w:eastAsia="en-GB"/>
        </w:rPr>
        <w:t>biomass</w:t>
      </w:r>
      <w:r w:rsidRPr="009D33C3">
        <w:rPr>
          <w:rFonts w:ascii="Open Sans" w:eastAsia="Times New Roman" w:hAnsi="Open Sans" w:cs="Open Sans"/>
          <w:sz w:val="20"/>
          <w:szCs w:val="20"/>
          <w:lang w:eastAsia="en-GB"/>
        </w:rPr>
        <w:t xml:space="preserve">, although 76% of installations within the domestic RHI have been </w:t>
      </w:r>
      <w:r w:rsidR="00D90089" w:rsidRPr="009D33C3">
        <w:rPr>
          <w:rFonts w:ascii="Open Sans" w:eastAsia="Times New Roman" w:hAnsi="Open Sans" w:cs="Open Sans"/>
          <w:sz w:val="20"/>
          <w:szCs w:val="20"/>
          <w:lang w:eastAsia="en-GB"/>
        </w:rPr>
        <w:t xml:space="preserve">air or heat </w:t>
      </w:r>
      <w:r w:rsidRPr="009D33C3">
        <w:rPr>
          <w:rFonts w:ascii="Open Sans" w:eastAsia="Times New Roman" w:hAnsi="Open Sans" w:cs="Open Sans"/>
          <w:sz w:val="20"/>
          <w:szCs w:val="20"/>
          <w:lang w:eastAsia="en-GB"/>
        </w:rPr>
        <w:t>pump</w:t>
      </w:r>
      <w:r w:rsidR="00D90089" w:rsidRPr="009D33C3">
        <w:rPr>
          <w:rFonts w:ascii="Open Sans" w:eastAsia="Times New Roman" w:hAnsi="Open Sans" w:cs="Open Sans"/>
          <w:sz w:val="20"/>
          <w:szCs w:val="20"/>
          <w:lang w:eastAsia="en-GB"/>
        </w:rPr>
        <w:t xml:space="preserve"> installations</w:t>
      </w:r>
      <w:r w:rsidR="00CA22BD" w:rsidRPr="009D33C3">
        <w:rPr>
          <w:rFonts w:ascii="Open Sans" w:eastAsia="Times New Roman" w:hAnsi="Open Sans" w:cs="Open Sans"/>
          <w:sz w:val="20"/>
          <w:szCs w:val="20"/>
          <w:lang w:eastAsia="en-GB"/>
        </w:rPr>
        <w:t xml:space="preserve"> [1]</w:t>
      </w:r>
    </w:p>
    <w:p w14:paraId="1189195D" w14:textId="77777777" w:rsidR="00CA622B" w:rsidRPr="009D33C3" w:rsidRDefault="00414D3E" w:rsidP="008A02C5">
      <w:p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2.</w:t>
      </w:r>
      <w:r w:rsidR="007911C0" w:rsidRPr="009D33C3">
        <w:rPr>
          <w:rFonts w:ascii="Open Sans" w:eastAsia="Times New Roman" w:hAnsi="Open Sans" w:cs="Open Sans"/>
          <w:sz w:val="20"/>
          <w:szCs w:val="20"/>
          <w:lang w:eastAsia="en-GB"/>
        </w:rPr>
        <w:t xml:space="preserve"> </w:t>
      </w:r>
      <w:r w:rsidRPr="009D33C3">
        <w:rPr>
          <w:rFonts w:ascii="Open Sans" w:eastAsia="Times New Roman" w:hAnsi="Open Sans" w:cs="Open Sans"/>
          <w:sz w:val="20"/>
          <w:szCs w:val="20"/>
          <w:lang w:eastAsia="en-GB"/>
        </w:rPr>
        <w:t xml:space="preserve">3 </w:t>
      </w:r>
      <w:r w:rsidR="0069112A" w:rsidRPr="009D33C3">
        <w:rPr>
          <w:rFonts w:ascii="Open Sans" w:eastAsia="Times New Roman" w:hAnsi="Open Sans" w:cs="Open Sans"/>
          <w:sz w:val="20"/>
          <w:szCs w:val="20"/>
          <w:lang w:eastAsia="en-GB"/>
        </w:rPr>
        <w:t>The RHI has been subject to frequent reform by both DECC and the</w:t>
      </w:r>
      <w:r w:rsidR="006101FB" w:rsidRPr="009D33C3">
        <w:rPr>
          <w:rFonts w:ascii="Open Sans" w:eastAsia="Times New Roman" w:hAnsi="Open Sans" w:cs="Open Sans"/>
          <w:sz w:val="20"/>
          <w:szCs w:val="20"/>
          <w:lang w:eastAsia="en-GB"/>
        </w:rPr>
        <w:t xml:space="preserve">n </w:t>
      </w:r>
      <w:r w:rsidR="0069112A" w:rsidRPr="009D33C3">
        <w:rPr>
          <w:rFonts w:ascii="Open Sans" w:eastAsia="Times New Roman" w:hAnsi="Open Sans" w:cs="Open Sans"/>
          <w:sz w:val="20"/>
          <w:szCs w:val="20"/>
          <w:lang w:eastAsia="en-GB"/>
        </w:rPr>
        <w:t xml:space="preserve">BEIS, </w:t>
      </w:r>
      <w:r w:rsidR="00D1607A" w:rsidRPr="009D33C3">
        <w:rPr>
          <w:rFonts w:ascii="Open Sans" w:eastAsia="Times New Roman" w:hAnsi="Open Sans" w:cs="Open Sans"/>
          <w:sz w:val="20"/>
          <w:szCs w:val="20"/>
          <w:lang w:eastAsia="en-GB"/>
        </w:rPr>
        <w:t xml:space="preserve">to improve </w:t>
      </w:r>
      <w:r w:rsidR="0069112A" w:rsidRPr="009D33C3">
        <w:rPr>
          <w:rFonts w:ascii="Open Sans" w:eastAsia="Times New Roman" w:hAnsi="Open Sans" w:cs="Open Sans"/>
          <w:sz w:val="20"/>
          <w:szCs w:val="20"/>
          <w:lang w:eastAsia="en-GB"/>
        </w:rPr>
        <w:t>overall scheme performance. This has been a</w:t>
      </w:r>
      <w:r w:rsidR="00D1607A" w:rsidRPr="009D33C3">
        <w:rPr>
          <w:rFonts w:ascii="Open Sans" w:eastAsia="Times New Roman" w:hAnsi="Open Sans" w:cs="Open Sans"/>
          <w:sz w:val="20"/>
          <w:szCs w:val="20"/>
          <w:lang w:eastAsia="en-GB"/>
        </w:rPr>
        <w:t>n</w:t>
      </w:r>
      <w:r w:rsidR="0069112A" w:rsidRPr="009D33C3">
        <w:rPr>
          <w:rFonts w:ascii="Open Sans" w:eastAsia="Times New Roman" w:hAnsi="Open Sans" w:cs="Open Sans"/>
          <w:sz w:val="20"/>
          <w:szCs w:val="20"/>
          <w:lang w:eastAsia="en-GB"/>
        </w:rPr>
        <w:t xml:space="preserve"> </w:t>
      </w:r>
      <w:r w:rsidR="00427E56">
        <w:rPr>
          <w:rFonts w:ascii="Open Sans" w:eastAsia="Times New Roman" w:hAnsi="Open Sans" w:cs="Open Sans"/>
          <w:sz w:val="20"/>
          <w:szCs w:val="20"/>
          <w:lang w:eastAsia="en-GB"/>
        </w:rPr>
        <w:t>interactive</w:t>
      </w:r>
      <w:r w:rsidR="0069112A" w:rsidRPr="009D33C3">
        <w:rPr>
          <w:rFonts w:ascii="Open Sans" w:eastAsia="Times New Roman" w:hAnsi="Open Sans" w:cs="Open Sans"/>
          <w:sz w:val="20"/>
          <w:szCs w:val="20"/>
          <w:lang w:eastAsia="en-GB"/>
        </w:rPr>
        <w:t xml:space="preserve"> learning process</w:t>
      </w:r>
      <w:r w:rsidR="00D1607A" w:rsidRPr="009D33C3">
        <w:rPr>
          <w:rFonts w:ascii="Open Sans" w:eastAsia="Times New Roman" w:hAnsi="Open Sans" w:cs="Open Sans"/>
          <w:sz w:val="20"/>
          <w:szCs w:val="20"/>
          <w:lang w:eastAsia="en-GB"/>
        </w:rPr>
        <w:t xml:space="preserve">, for both Government and Industry as issues are highlighted and resolved. </w:t>
      </w:r>
      <w:r w:rsidR="00D90089" w:rsidRPr="009D33C3">
        <w:rPr>
          <w:rFonts w:ascii="Open Sans" w:eastAsia="Times New Roman" w:hAnsi="Open Sans" w:cs="Open Sans"/>
          <w:sz w:val="20"/>
          <w:szCs w:val="20"/>
          <w:lang w:eastAsia="en-GB"/>
        </w:rPr>
        <w:t xml:space="preserve">This has </w:t>
      </w:r>
      <w:r w:rsidRPr="009D33C3">
        <w:rPr>
          <w:rFonts w:ascii="Open Sans" w:eastAsia="Times New Roman" w:hAnsi="Open Sans" w:cs="Open Sans"/>
          <w:sz w:val="20"/>
          <w:szCs w:val="20"/>
          <w:lang w:eastAsia="en-GB"/>
        </w:rPr>
        <w:t>included revising tariffs, amending sustainability requirements, reconsidering eligible heat uses</w:t>
      </w:r>
      <w:r w:rsidR="004026A5" w:rsidRPr="009D33C3">
        <w:rPr>
          <w:rFonts w:ascii="Open Sans" w:eastAsia="Times New Roman" w:hAnsi="Open Sans" w:cs="Open Sans"/>
          <w:sz w:val="20"/>
          <w:szCs w:val="20"/>
          <w:lang w:eastAsia="en-GB"/>
        </w:rPr>
        <w:t xml:space="preserve"> and the</w:t>
      </w:r>
      <w:r w:rsidRPr="009D33C3">
        <w:rPr>
          <w:rFonts w:ascii="Open Sans" w:eastAsia="Times New Roman" w:hAnsi="Open Sans" w:cs="Open Sans"/>
          <w:sz w:val="20"/>
          <w:szCs w:val="20"/>
          <w:lang w:eastAsia="en-GB"/>
        </w:rPr>
        <w:t xml:space="preserve"> introduction of assignment of rights. While this amendment process</w:t>
      </w:r>
      <w:r w:rsidRPr="009D33C3">
        <w:rPr>
          <w:rFonts w:ascii="Open Sans" w:eastAsia="Times New Roman" w:hAnsi="Open Sans" w:cs="Open Sans"/>
          <w:sz w:val="20"/>
          <w:szCs w:val="20"/>
          <w:lang w:eastAsia="en-GB"/>
        </w:rPr>
        <w:t xml:space="preserve"> has not always been smooth, causing disruptions to deployment, they have resulted in important lessons being learned and the quality of installations improv</w:t>
      </w:r>
      <w:r w:rsidR="00CA22BD" w:rsidRPr="009D33C3">
        <w:rPr>
          <w:rFonts w:ascii="Open Sans" w:eastAsia="Times New Roman" w:hAnsi="Open Sans" w:cs="Open Sans"/>
          <w:sz w:val="20"/>
          <w:szCs w:val="20"/>
          <w:lang w:eastAsia="en-GB"/>
        </w:rPr>
        <w:t>ed</w:t>
      </w:r>
      <w:r w:rsidRPr="009D33C3">
        <w:rPr>
          <w:rFonts w:ascii="Open Sans" w:eastAsia="Times New Roman" w:hAnsi="Open Sans" w:cs="Open Sans"/>
          <w:sz w:val="20"/>
          <w:szCs w:val="20"/>
          <w:lang w:eastAsia="en-GB"/>
        </w:rPr>
        <w:t xml:space="preserve"> as the scheme </w:t>
      </w:r>
      <w:r w:rsidRPr="009D33C3">
        <w:rPr>
          <w:rFonts w:ascii="Open Sans" w:eastAsia="Times New Roman" w:hAnsi="Open Sans" w:cs="Open Sans"/>
          <w:sz w:val="20"/>
          <w:szCs w:val="20"/>
          <w:lang w:eastAsia="en-GB"/>
        </w:rPr>
        <w:lastRenderedPageBreak/>
        <w:t xml:space="preserve">has evolved. </w:t>
      </w:r>
      <w:r w:rsidR="006101FB" w:rsidRPr="009D33C3">
        <w:rPr>
          <w:rFonts w:ascii="Open Sans" w:eastAsia="Times New Roman" w:hAnsi="Open Sans" w:cs="Open Sans"/>
          <w:sz w:val="20"/>
          <w:szCs w:val="20"/>
          <w:lang w:eastAsia="en-GB"/>
        </w:rPr>
        <w:t xml:space="preserve">There </w:t>
      </w:r>
      <w:r w:rsidR="00CA22BD" w:rsidRPr="009D33C3">
        <w:rPr>
          <w:rFonts w:ascii="Open Sans" w:eastAsia="Times New Roman" w:hAnsi="Open Sans" w:cs="Open Sans"/>
          <w:sz w:val="20"/>
          <w:szCs w:val="20"/>
          <w:lang w:eastAsia="en-GB"/>
        </w:rPr>
        <w:t>are</w:t>
      </w:r>
      <w:r w:rsidR="006101FB" w:rsidRPr="009D33C3">
        <w:rPr>
          <w:rFonts w:ascii="Open Sans" w:eastAsia="Times New Roman" w:hAnsi="Open Sans" w:cs="Open Sans"/>
          <w:sz w:val="20"/>
          <w:szCs w:val="20"/>
          <w:lang w:eastAsia="en-GB"/>
        </w:rPr>
        <w:t xml:space="preserve"> significant concerns </w:t>
      </w:r>
      <w:r w:rsidRPr="009D33C3">
        <w:rPr>
          <w:rFonts w:ascii="Open Sans" w:eastAsia="Times New Roman" w:hAnsi="Open Sans" w:cs="Open Sans"/>
          <w:sz w:val="20"/>
          <w:szCs w:val="20"/>
          <w:lang w:eastAsia="en-GB"/>
        </w:rPr>
        <w:t>that these lessons are not being carri</w:t>
      </w:r>
      <w:r w:rsidRPr="009D33C3">
        <w:rPr>
          <w:rFonts w:ascii="Open Sans" w:eastAsia="Times New Roman" w:hAnsi="Open Sans" w:cs="Open Sans"/>
          <w:sz w:val="20"/>
          <w:szCs w:val="20"/>
          <w:lang w:eastAsia="en-GB"/>
        </w:rPr>
        <w:t>ed forward into new support schemes for hea</w:t>
      </w:r>
      <w:r w:rsidR="00CA22BD" w:rsidRPr="009D33C3">
        <w:rPr>
          <w:rFonts w:ascii="Open Sans" w:eastAsia="Times New Roman" w:hAnsi="Open Sans" w:cs="Open Sans"/>
          <w:sz w:val="20"/>
          <w:szCs w:val="20"/>
          <w:lang w:eastAsia="en-GB"/>
        </w:rPr>
        <w:t xml:space="preserve">t. </w:t>
      </w:r>
    </w:p>
    <w:p w14:paraId="539ECCDE" w14:textId="77777777" w:rsidR="006101FB" w:rsidRPr="009D33C3" w:rsidRDefault="00414D3E" w:rsidP="008A02C5">
      <w:p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2.</w:t>
      </w:r>
      <w:r w:rsidR="007911C0" w:rsidRPr="009D33C3">
        <w:rPr>
          <w:rFonts w:ascii="Open Sans" w:eastAsia="Times New Roman" w:hAnsi="Open Sans" w:cs="Open Sans"/>
          <w:sz w:val="20"/>
          <w:szCs w:val="20"/>
          <w:lang w:eastAsia="en-GB"/>
        </w:rPr>
        <w:t xml:space="preserve"> </w:t>
      </w:r>
      <w:r w:rsidRPr="009D33C3">
        <w:rPr>
          <w:rFonts w:ascii="Open Sans" w:eastAsia="Times New Roman" w:hAnsi="Open Sans" w:cs="Open Sans"/>
          <w:sz w:val="20"/>
          <w:szCs w:val="20"/>
          <w:lang w:eastAsia="en-GB"/>
        </w:rPr>
        <w:t>4 These lessons include:</w:t>
      </w:r>
    </w:p>
    <w:p w14:paraId="0E263073" w14:textId="77777777" w:rsidR="006101FB" w:rsidRPr="009D33C3" w:rsidRDefault="00414D3E" w:rsidP="006101FB">
      <w:pPr>
        <w:pStyle w:val="ListParagraph"/>
        <w:numPr>
          <w:ilvl w:val="0"/>
          <w:numId w:val="5"/>
        </w:num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 xml:space="preserve">Strong installations, </w:t>
      </w:r>
      <w:r w:rsidR="004A5A7C" w:rsidRPr="009D33C3">
        <w:rPr>
          <w:rFonts w:ascii="Open Sans" w:eastAsia="Times New Roman" w:hAnsi="Open Sans" w:cs="Open Sans"/>
          <w:sz w:val="20"/>
          <w:szCs w:val="20"/>
          <w:lang w:eastAsia="en-GB"/>
        </w:rPr>
        <w:t>maintenance</w:t>
      </w:r>
      <w:r w:rsidRPr="009D33C3">
        <w:rPr>
          <w:rFonts w:ascii="Open Sans" w:eastAsia="Times New Roman" w:hAnsi="Open Sans" w:cs="Open Sans"/>
          <w:sz w:val="20"/>
          <w:szCs w:val="20"/>
          <w:lang w:eastAsia="en-GB"/>
        </w:rPr>
        <w:t xml:space="preserve"> and fuel standards should be designed into the scheme early on so that quality </w:t>
      </w:r>
      <w:r w:rsidR="00CA22BD" w:rsidRPr="009D33C3">
        <w:rPr>
          <w:rFonts w:ascii="Open Sans" w:eastAsia="Times New Roman" w:hAnsi="Open Sans" w:cs="Open Sans"/>
          <w:sz w:val="20"/>
          <w:szCs w:val="20"/>
          <w:lang w:eastAsia="en-GB"/>
        </w:rPr>
        <w:t>projects are delivered</w:t>
      </w:r>
      <w:r w:rsidRPr="009D33C3">
        <w:rPr>
          <w:rFonts w:ascii="Open Sans" w:eastAsia="Times New Roman" w:hAnsi="Open Sans" w:cs="Open Sans"/>
          <w:sz w:val="20"/>
          <w:szCs w:val="20"/>
          <w:lang w:eastAsia="en-GB"/>
        </w:rPr>
        <w:t xml:space="preserve">. </w:t>
      </w:r>
    </w:p>
    <w:p w14:paraId="6A1D7069" w14:textId="77777777" w:rsidR="006101FB" w:rsidRPr="009D33C3" w:rsidRDefault="00414D3E" w:rsidP="006101FB">
      <w:pPr>
        <w:pStyle w:val="ListParagraph"/>
        <w:numPr>
          <w:ilvl w:val="0"/>
          <w:numId w:val="5"/>
        </w:num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A tariff degression system is</w:t>
      </w:r>
      <w:r w:rsidR="004A5A7C" w:rsidRPr="009D33C3">
        <w:rPr>
          <w:rFonts w:ascii="Open Sans" w:eastAsia="Times New Roman" w:hAnsi="Open Sans" w:cs="Open Sans"/>
          <w:sz w:val="20"/>
          <w:szCs w:val="20"/>
          <w:lang w:eastAsia="en-GB"/>
        </w:rPr>
        <w:t xml:space="preserve"> required</w:t>
      </w:r>
      <w:r w:rsidRPr="009D33C3">
        <w:rPr>
          <w:rFonts w:ascii="Open Sans" w:eastAsia="Times New Roman" w:hAnsi="Open Sans" w:cs="Open Sans"/>
          <w:sz w:val="20"/>
          <w:szCs w:val="20"/>
          <w:lang w:eastAsia="en-GB"/>
        </w:rPr>
        <w:t xml:space="preserve">, to ensure tariffs are reflective of market costs, but degression mechanisms must be </w:t>
      </w:r>
      <w:r w:rsidR="001034EB" w:rsidRPr="009D33C3">
        <w:rPr>
          <w:rFonts w:ascii="Open Sans" w:eastAsia="Times New Roman" w:hAnsi="Open Sans" w:cs="Open Sans"/>
          <w:sz w:val="20"/>
          <w:szCs w:val="20"/>
          <w:lang w:eastAsia="en-GB"/>
        </w:rPr>
        <w:t>carefully</w:t>
      </w:r>
      <w:r w:rsidRPr="009D33C3">
        <w:rPr>
          <w:rFonts w:ascii="Open Sans" w:eastAsia="Times New Roman" w:hAnsi="Open Sans" w:cs="Open Sans"/>
          <w:sz w:val="20"/>
          <w:szCs w:val="20"/>
          <w:lang w:eastAsia="en-GB"/>
        </w:rPr>
        <w:t xml:space="preserve"> designed so that </w:t>
      </w:r>
      <w:r w:rsidR="004A5A7C" w:rsidRPr="009D33C3">
        <w:rPr>
          <w:rFonts w:ascii="Open Sans" w:eastAsia="Times New Roman" w:hAnsi="Open Sans" w:cs="Open Sans"/>
          <w:sz w:val="20"/>
          <w:szCs w:val="20"/>
          <w:lang w:eastAsia="en-GB"/>
        </w:rPr>
        <w:t xml:space="preserve">they are </w:t>
      </w:r>
      <w:r w:rsidRPr="009D33C3">
        <w:rPr>
          <w:rFonts w:ascii="Open Sans" w:eastAsia="Times New Roman" w:hAnsi="Open Sans" w:cs="Open Sans"/>
          <w:sz w:val="20"/>
          <w:szCs w:val="20"/>
          <w:lang w:eastAsia="en-GB"/>
        </w:rPr>
        <w:t xml:space="preserve">not triggered </w:t>
      </w:r>
      <w:r w:rsidR="004A5A7C" w:rsidRPr="009D33C3">
        <w:rPr>
          <w:rFonts w:ascii="Open Sans" w:eastAsia="Times New Roman" w:hAnsi="Open Sans" w:cs="Open Sans"/>
          <w:sz w:val="20"/>
          <w:szCs w:val="20"/>
          <w:lang w:eastAsia="en-GB"/>
        </w:rPr>
        <w:t>before</w:t>
      </w:r>
      <w:r w:rsidRPr="009D33C3">
        <w:rPr>
          <w:rFonts w:ascii="Open Sans" w:eastAsia="Times New Roman" w:hAnsi="Open Sans" w:cs="Open Sans"/>
          <w:sz w:val="20"/>
          <w:szCs w:val="20"/>
          <w:lang w:eastAsia="en-GB"/>
        </w:rPr>
        <w:t xml:space="preserve"> the industry </w:t>
      </w:r>
      <w:r w:rsidR="004A5A7C" w:rsidRPr="009D33C3">
        <w:rPr>
          <w:rFonts w:ascii="Open Sans" w:eastAsia="Times New Roman" w:hAnsi="Open Sans" w:cs="Open Sans"/>
          <w:sz w:val="20"/>
          <w:szCs w:val="20"/>
          <w:lang w:eastAsia="en-GB"/>
        </w:rPr>
        <w:t>can respond</w:t>
      </w:r>
      <w:r w:rsidR="00427E56">
        <w:rPr>
          <w:rFonts w:ascii="Open Sans" w:eastAsia="Times New Roman" w:hAnsi="Open Sans" w:cs="Open Sans"/>
          <w:sz w:val="20"/>
          <w:szCs w:val="20"/>
          <w:lang w:eastAsia="en-GB"/>
        </w:rPr>
        <w:t xml:space="preserve"> previous tariff degressions</w:t>
      </w:r>
      <w:r w:rsidR="004A5A7C" w:rsidRPr="009D33C3">
        <w:rPr>
          <w:rFonts w:ascii="Open Sans" w:eastAsia="Times New Roman" w:hAnsi="Open Sans" w:cs="Open Sans"/>
          <w:sz w:val="20"/>
          <w:szCs w:val="20"/>
          <w:lang w:eastAsia="en-GB"/>
        </w:rPr>
        <w:t xml:space="preserve">, leading to </w:t>
      </w:r>
      <w:r w:rsidR="004026A5" w:rsidRPr="009D33C3">
        <w:rPr>
          <w:rFonts w:ascii="Open Sans" w:eastAsia="Times New Roman" w:hAnsi="Open Sans" w:cs="Open Sans"/>
          <w:sz w:val="20"/>
          <w:szCs w:val="20"/>
          <w:lang w:eastAsia="en-GB"/>
        </w:rPr>
        <w:t>c</w:t>
      </w:r>
      <w:r w:rsidR="001034EB" w:rsidRPr="009D33C3">
        <w:rPr>
          <w:rFonts w:ascii="Open Sans" w:eastAsia="Times New Roman" w:hAnsi="Open Sans" w:cs="Open Sans"/>
          <w:sz w:val="20"/>
          <w:szCs w:val="20"/>
          <w:lang w:eastAsia="en-GB"/>
        </w:rPr>
        <w:t>liff</w:t>
      </w:r>
      <w:r w:rsidR="004026A5" w:rsidRPr="009D33C3">
        <w:rPr>
          <w:rFonts w:ascii="Open Sans" w:eastAsia="Times New Roman" w:hAnsi="Open Sans" w:cs="Open Sans"/>
          <w:sz w:val="20"/>
          <w:szCs w:val="20"/>
          <w:lang w:eastAsia="en-GB"/>
        </w:rPr>
        <w:t xml:space="preserve"> edges in deployment</w:t>
      </w:r>
      <w:r w:rsidRPr="009D33C3">
        <w:rPr>
          <w:rFonts w:ascii="Open Sans" w:eastAsia="Times New Roman" w:hAnsi="Open Sans" w:cs="Open Sans"/>
          <w:sz w:val="20"/>
          <w:szCs w:val="20"/>
          <w:lang w:eastAsia="en-GB"/>
        </w:rPr>
        <w:t xml:space="preserve">. </w:t>
      </w:r>
    </w:p>
    <w:p w14:paraId="066E54AC" w14:textId="77777777" w:rsidR="006101FB" w:rsidRPr="009D33C3" w:rsidRDefault="00414D3E" w:rsidP="006101FB">
      <w:pPr>
        <w:pStyle w:val="ListParagraph"/>
        <w:numPr>
          <w:ilvl w:val="0"/>
          <w:numId w:val="5"/>
        </w:num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Providing options for the</w:t>
      </w:r>
      <w:r w:rsidR="00CA22BD" w:rsidRPr="009D33C3">
        <w:rPr>
          <w:rFonts w:ascii="Open Sans" w:eastAsia="Times New Roman" w:hAnsi="Open Sans" w:cs="Open Sans"/>
          <w:sz w:val="20"/>
          <w:szCs w:val="20"/>
          <w:lang w:eastAsia="en-GB"/>
        </w:rPr>
        <w:t xml:space="preserve"> ‘</w:t>
      </w:r>
      <w:r w:rsidRPr="009D33C3">
        <w:rPr>
          <w:rFonts w:ascii="Open Sans" w:eastAsia="Times New Roman" w:hAnsi="Open Sans" w:cs="Open Sans"/>
          <w:sz w:val="20"/>
          <w:szCs w:val="20"/>
          <w:lang w:eastAsia="en-GB"/>
        </w:rPr>
        <w:t xml:space="preserve">Assignment of Rights’ </w:t>
      </w:r>
      <w:r w:rsidR="00CA22BD" w:rsidRPr="009D33C3">
        <w:rPr>
          <w:rFonts w:ascii="Open Sans" w:eastAsia="Times New Roman" w:hAnsi="Open Sans" w:cs="Open Sans"/>
          <w:sz w:val="20"/>
          <w:szCs w:val="20"/>
          <w:lang w:eastAsia="en-GB"/>
        </w:rPr>
        <w:t>for</w:t>
      </w:r>
      <w:r w:rsidRPr="009D33C3">
        <w:rPr>
          <w:rFonts w:ascii="Open Sans" w:eastAsia="Times New Roman" w:hAnsi="Open Sans" w:cs="Open Sans"/>
          <w:sz w:val="20"/>
          <w:szCs w:val="20"/>
          <w:lang w:eastAsia="en-GB"/>
        </w:rPr>
        <w:t xml:space="preserve"> investors </w:t>
      </w:r>
      <w:r w:rsidR="00CA22BD" w:rsidRPr="009D33C3">
        <w:rPr>
          <w:rFonts w:ascii="Open Sans" w:eastAsia="Times New Roman" w:hAnsi="Open Sans" w:cs="Open Sans"/>
          <w:sz w:val="20"/>
          <w:szCs w:val="20"/>
          <w:lang w:eastAsia="en-GB"/>
        </w:rPr>
        <w:t>has</w:t>
      </w:r>
      <w:r w:rsidRPr="009D33C3">
        <w:rPr>
          <w:rFonts w:ascii="Open Sans" w:eastAsia="Times New Roman" w:hAnsi="Open Sans" w:cs="Open Sans"/>
          <w:sz w:val="20"/>
          <w:szCs w:val="20"/>
          <w:lang w:eastAsia="en-GB"/>
        </w:rPr>
        <w:t xml:space="preserve"> overcom</w:t>
      </w:r>
      <w:r w:rsidR="00CA22BD" w:rsidRPr="009D33C3">
        <w:rPr>
          <w:rFonts w:ascii="Open Sans" w:eastAsia="Times New Roman" w:hAnsi="Open Sans" w:cs="Open Sans"/>
          <w:sz w:val="20"/>
          <w:szCs w:val="20"/>
          <w:lang w:eastAsia="en-GB"/>
        </w:rPr>
        <w:t xml:space="preserve">e </w:t>
      </w:r>
      <w:r w:rsidRPr="009D33C3">
        <w:rPr>
          <w:rFonts w:ascii="Open Sans" w:eastAsia="Times New Roman" w:hAnsi="Open Sans" w:cs="Open Sans"/>
          <w:sz w:val="20"/>
          <w:szCs w:val="20"/>
          <w:lang w:eastAsia="en-GB"/>
        </w:rPr>
        <w:t>the challenge of tariff-based mechanisms requiring upfron</w:t>
      </w:r>
      <w:r w:rsidRPr="009D33C3">
        <w:rPr>
          <w:rFonts w:ascii="Open Sans" w:eastAsia="Times New Roman" w:hAnsi="Open Sans" w:cs="Open Sans"/>
          <w:sz w:val="20"/>
          <w:szCs w:val="20"/>
          <w:lang w:eastAsia="en-GB"/>
        </w:rPr>
        <w:t>t capital.</w:t>
      </w:r>
    </w:p>
    <w:p w14:paraId="51B30CDF" w14:textId="77777777" w:rsidR="004A5A7C" w:rsidRPr="009D33C3" w:rsidRDefault="00414D3E" w:rsidP="006101FB">
      <w:pPr>
        <w:pStyle w:val="ListParagraph"/>
        <w:numPr>
          <w:ilvl w:val="0"/>
          <w:numId w:val="5"/>
        </w:num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 xml:space="preserve">Consumer protection, through the adoption of Consumer Codes, is essential to enable recourse should installations </w:t>
      </w:r>
      <w:r w:rsidR="00CA22BD" w:rsidRPr="009D33C3">
        <w:rPr>
          <w:rFonts w:ascii="Open Sans" w:eastAsia="Times New Roman" w:hAnsi="Open Sans" w:cs="Open Sans"/>
          <w:sz w:val="20"/>
          <w:szCs w:val="20"/>
          <w:lang w:eastAsia="en-GB"/>
        </w:rPr>
        <w:t xml:space="preserve">go wrong. </w:t>
      </w:r>
    </w:p>
    <w:p w14:paraId="5D019E4D" w14:textId="77777777" w:rsidR="004A5A7C" w:rsidRPr="009D33C3" w:rsidRDefault="00414D3E" w:rsidP="006101FB">
      <w:pPr>
        <w:pStyle w:val="ListParagraph"/>
        <w:numPr>
          <w:ilvl w:val="0"/>
          <w:numId w:val="5"/>
        </w:num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 xml:space="preserve">Consumers must be educated and provided evidence on </w:t>
      </w:r>
      <w:r w:rsidR="00E26B9D">
        <w:rPr>
          <w:rFonts w:ascii="Open Sans" w:eastAsia="Times New Roman" w:hAnsi="Open Sans" w:cs="Open Sans"/>
          <w:sz w:val="20"/>
          <w:szCs w:val="20"/>
          <w:lang w:eastAsia="en-GB"/>
        </w:rPr>
        <w:t xml:space="preserve">all </w:t>
      </w:r>
      <w:r w:rsidRPr="009D33C3">
        <w:rPr>
          <w:rFonts w:ascii="Open Sans" w:eastAsia="Times New Roman" w:hAnsi="Open Sans" w:cs="Open Sans"/>
          <w:sz w:val="20"/>
          <w:szCs w:val="20"/>
          <w:lang w:eastAsia="en-GB"/>
        </w:rPr>
        <w:t xml:space="preserve">the options available to them, and proper heat requirement surveys done to ensure the right technology is being installed in the right property. </w:t>
      </w:r>
    </w:p>
    <w:p w14:paraId="2222E144" w14:textId="77777777" w:rsidR="004A5A7C" w:rsidRPr="009D33C3" w:rsidRDefault="00414D3E" w:rsidP="006101FB">
      <w:pPr>
        <w:pStyle w:val="ListParagraph"/>
        <w:numPr>
          <w:ilvl w:val="0"/>
          <w:numId w:val="5"/>
        </w:numPr>
        <w:spacing w:before="100" w:beforeAutospacing="1" w:after="100" w:afterAutospacing="1" w:line="240" w:lineRule="auto"/>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 xml:space="preserve">The ongoing running costs of renewable heat system </w:t>
      </w:r>
      <w:r w:rsidR="00E26B9D">
        <w:rPr>
          <w:rFonts w:ascii="Open Sans" w:eastAsia="Times New Roman" w:hAnsi="Open Sans" w:cs="Open Sans"/>
          <w:sz w:val="20"/>
          <w:szCs w:val="20"/>
          <w:lang w:eastAsia="en-GB"/>
        </w:rPr>
        <w:t xml:space="preserve">must </w:t>
      </w:r>
      <w:r w:rsidR="004026A5" w:rsidRPr="009D33C3">
        <w:rPr>
          <w:rFonts w:ascii="Open Sans" w:eastAsia="Times New Roman" w:hAnsi="Open Sans" w:cs="Open Sans"/>
          <w:sz w:val="20"/>
          <w:szCs w:val="20"/>
          <w:lang w:eastAsia="en-GB"/>
        </w:rPr>
        <w:t xml:space="preserve">also </w:t>
      </w:r>
      <w:r w:rsidR="00E26B9D">
        <w:rPr>
          <w:rFonts w:ascii="Open Sans" w:eastAsia="Times New Roman" w:hAnsi="Open Sans" w:cs="Open Sans"/>
          <w:sz w:val="20"/>
          <w:szCs w:val="20"/>
          <w:lang w:eastAsia="en-GB"/>
        </w:rPr>
        <w:t xml:space="preserve">be </w:t>
      </w:r>
      <w:r w:rsidRPr="009D33C3">
        <w:rPr>
          <w:rFonts w:ascii="Open Sans" w:eastAsia="Times New Roman" w:hAnsi="Open Sans" w:cs="Open Sans"/>
          <w:sz w:val="20"/>
          <w:szCs w:val="20"/>
          <w:lang w:eastAsia="en-GB"/>
        </w:rPr>
        <w:t>considered in comparison to a fossil fuel comp</w:t>
      </w:r>
      <w:r w:rsidRPr="009D33C3">
        <w:rPr>
          <w:rFonts w:ascii="Open Sans" w:eastAsia="Times New Roman" w:hAnsi="Open Sans" w:cs="Open Sans"/>
          <w:sz w:val="20"/>
          <w:szCs w:val="20"/>
          <w:lang w:eastAsia="en-GB"/>
        </w:rPr>
        <w:t xml:space="preserve">arator. This is an issue well addressed by a tariff-based mechanism. </w:t>
      </w:r>
    </w:p>
    <w:p w14:paraId="2F28B9C2" w14:textId="77777777" w:rsidR="006101FB" w:rsidRPr="009D33C3" w:rsidRDefault="00414D3E" w:rsidP="008A02C5">
      <w:pPr>
        <w:spacing w:before="100" w:beforeAutospacing="1" w:after="100" w:afterAutospacing="1" w:line="240" w:lineRule="auto"/>
        <w:ind w:right="-46"/>
        <w:rPr>
          <w:rFonts w:ascii="Open Sans" w:eastAsia="Times New Roman" w:hAnsi="Open Sans" w:cs="Open Sans"/>
          <w:b/>
          <w:bCs/>
          <w:sz w:val="20"/>
          <w:szCs w:val="20"/>
          <w:lang w:eastAsia="en-GB"/>
        </w:rPr>
      </w:pPr>
      <w:r w:rsidRPr="009D33C3">
        <w:rPr>
          <w:rFonts w:ascii="Open Sans" w:eastAsia="Times New Roman" w:hAnsi="Open Sans" w:cs="Open Sans"/>
          <w:b/>
          <w:bCs/>
          <w:sz w:val="20"/>
          <w:szCs w:val="20"/>
          <w:lang w:eastAsia="en-GB"/>
        </w:rPr>
        <w:t xml:space="preserve">3. Schemes replacing the Domestic RHI are narrowly </w:t>
      </w:r>
      <w:r w:rsidR="00E26B9D">
        <w:rPr>
          <w:rFonts w:ascii="Open Sans" w:eastAsia="Times New Roman" w:hAnsi="Open Sans" w:cs="Open Sans"/>
          <w:b/>
          <w:bCs/>
          <w:sz w:val="20"/>
          <w:szCs w:val="20"/>
          <w:lang w:eastAsia="en-GB"/>
        </w:rPr>
        <w:t>f</w:t>
      </w:r>
      <w:r w:rsidRPr="009D33C3">
        <w:rPr>
          <w:rFonts w:ascii="Open Sans" w:eastAsia="Times New Roman" w:hAnsi="Open Sans" w:cs="Open Sans"/>
          <w:b/>
          <w:bCs/>
          <w:sz w:val="20"/>
          <w:szCs w:val="20"/>
          <w:lang w:eastAsia="en-GB"/>
        </w:rPr>
        <w:t>ocused</w:t>
      </w:r>
      <w:r w:rsidR="00E26B9D">
        <w:rPr>
          <w:rFonts w:ascii="Open Sans" w:eastAsia="Times New Roman" w:hAnsi="Open Sans" w:cs="Open Sans"/>
          <w:b/>
          <w:bCs/>
          <w:sz w:val="20"/>
          <w:szCs w:val="20"/>
          <w:lang w:eastAsia="en-GB"/>
        </w:rPr>
        <w:t xml:space="preserve">, without the </w:t>
      </w:r>
      <w:r w:rsidR="00AF6B9D" w:rsidRPr="009D33C3">
        <w:rPr>
          <w:rFonts w:ascii="Open Sans" w:eastAsia="Times New Roman" w:hAnsi="Open Sans" w:cs="Open Sans"/>
          <w:b/>
          <w:bCs/>
          <w:sz w:val="20"/>
          <w:szCs w:val="20"/>
          <w:lang w:eastAsia="en-GB"/>
        </w:rPr>
        <w:t>breadth</w:t>
      </w:r>
      <w:r w:rsidR="007A695C" w:rsidRPr="009D33C3">
        <w:rPr>
          <w:rFonts w:ascii="Open Sans" w:eastAsia="Times New Roman" w:hAnsi="Open Sans" w:cs="Open Sans"/>
          <w:b/>
          <w:bCs/>
          <w:sz w:val="20"/>
          <w:szCs w:val="20"/>
          <w:lang w:eastAsia="en-GB"/>
        </w:rPr>
        <w:t xml:space="preserve"> of the RHI</w:t>
      </w:r>
    </w:p>
    <w:p w14:paraId="486B08F7" w14:textId="77777777" w:rsidR="0086232E" w:rsidRPr="009D33C3" w:rsidRDefault="00414D3E" w:rsidP="0086232E">
      <w:pPr>
        <w:pStyle w:val="ListParagraph"/>
        <w:numPr>
          <w:ilvl w:val="0"/>
          <w:numId w:val="7"/>
        </w:numPr>
        <w:rPr>
          <w:rFonts w:ascii="Open Sans" w:eastAsia="Times New Roman" w:hAnsi="Open Sans" w:cs="Open Sans"/>
          <w:i/>
          <w:iCs/>
          <w:sz w:val="20"/>
          <w:szCs w:val="20"/>
          <w:lang w:eastAsia="en-GB"/>
        </w:rPr>
      </w:pPr>
      <w:r w:rsidRPr="009D33C3">
        <w:rPr>
          <w:rFonts w:ascii="Open Sans" w:eastAsia="Times New Roman" w:hAnsi="Open Sans" w:cs="Open Sans"/>
          <w:i/>
          <w:iCs/>
          <w:sz w:val="20"/>
          <w:szCs w:val="20"/>
          <w:lang w:eastAsia="en-GB"/>
        </w:rPr>
        <w:t>3.1 The Clean Heat Grant Scheme</w:t>
      </w:r>
    </w:p>
    <w:p w14:paraId="4D43BC21" w14:textId="77777777" w:rsidR="004F72E8" w:rsidRPr="009D33C3" w:rsidRDefault="00414D3E" w:rsidP="004026A5">
      <w:pPr>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 xml:space="preserve">3.1.1 </w:t>
      </w:r>
      <w:r w:rsidR="006101FB" w:rsidRPr="009D33C3">
        <w:rPr>
          <w:rFonts w:ascii="Open Sans" w:eastAsia="Times New Roman" w:hAnsi="Open Sans" w:cs="Open Sans"/>
          <w:sz w:val="20"/>
          <w:szCs w:val="20"/>
          <w:lang w:eastAsia="en-GB"/>
        </w:rPr>
        <w:t xml:space="preserve">The </w:t>
      </w:r>
      <w:r w:rsidR="004026A5" w:rsidRPr="009D33C3">
        <w:rPr>
          <w:rFonts w:ascii="Open Sans" w:eastAsia="Times New Roman" w:hAnsi="Open Sans" w:cs="Open Sans"/>
          <w:sz w:val="20"/>
          <w:szCs w:val="20"/>
          <w:lang w:eastAsia="en-GB"/>
        </w:rPr>
        <w:t>proposed</w:t>
      </w:r>
      <w:r w:rsidR="006101FB" w:rsidRPr="009D33C3">
        <w:rPr>
          <w:rFonts w:ascii="Open Sans" w:eastAsia="Times New Roman" w:hAnsi="Open Sans" w:cs="Open Sans"/>
          <w:sz w:val="20"/>
          <w:szCs w:val="20"/>
          <w:lang w:eastAsia="en-GB"/>
        </w:rPr>
        <w:t xml:space="preserve"> replacement for the </w:t>
      </w:r>
      <w:r w:rsidR="00CA22BD" w:rsidRPr="009D33C3">
        <w:rPr>
          <w:rFonts w:ascii="Open Sans" w:eastAsia="Times New Roman" w:hAnsi="Open Sans" w:cs="Open Sans"/>
          <w:sz w:val="20"/>
          <w:szCs w:val="20"/>
          <w:lang w:eastAsia="en-GB"/>
        </w:rPr>
        <w:t>D</w:t>
      </w:r>
      <w:r w:rsidR="004026A5" w:rsidRPr="009D33C3">
        <w:rPr>
          <w:rFonts w:ascii="Open Sans" w:eastAsia="Times New Roman" w:hAnsi="Open Sans" w:cs="Open Sans"/>
          <w:sz w:val="20"/>
          <w:szCs w:val="20"/>
          <w:lang w:eastAsia="en-GB"/>
        </w:rPr>
        <w:t xml:space="preserve">omestic </w:t>
      </w:r>
      <w:r w:rsidR="006101FB" w:rsidRPr="009D33C3">
        <w:rPr>
          <w:rFonts w:ascii="Open Sans" w:eastAsia="Times New Roman" w:hAnsi="Open Sans" w:cs="Open Sans"/>
          <w:sz w:val="20"/>
          <w:szCs w:val="20"/>
          <w:lang w:eastAsia="en-GB"/>
        </w:rPr>
        <w:t xml:space="preserve">RHI is the Clean Heat Grant </w:t>
      </w:r>
      <w:r w:rsidR="004026A5" w:rsidRPr="009D33C3">
        <w:rPr>
          <w:rFonts w:ascii="Open Sans" w:eastAsia="Times New Roman" w:hAnsi="Open Sans" w:cs="Open Sans"/>
          <w:sz w:val="20"/>
          <w:szCs w:val="20"/>
          <w:lang w:eastAsia="en-GB"/>
        </w:rPr>
        <w:t>(</w:t>
      </w:r>
      <w:r w:rsidR="006101FB" w:rsidRPr="009D33C3">
        <w:rPr>
          <w:rFonts w:ascii="Open Sans" w:eastAsia="Times New Roman" w:hAnsi="Open Sans" w:cs="Open Sans"/>
          <w:sz w:val="20"/>
          <w:szCs w:val="20"/>
          <w:lang w:eastAsia="en-GB"/>
        </w:rPr>
        <w:t>CHG</w:t>
      </w:r>
      <w:r w:rsidR="004026A5" w:rsidRPr="009D33C3">
        <w:rPr>
          <w:rFonts w:ascii="Open Sans" w:eastAsia="Times New Roman" w:hAnsi="Open Sans" w:cs="Open Sans"/>
          <w:sz w:val="20"/>
          <w:szCs w:val="20"/>
          <w:lang w:eastAsia="en-GB"/>
        </w:rPr>
        <w:t>)</w:t>
      </w:r>
      <w:r w:rsidR="006101FB" w:rsidRPr="009D33C3">
        <w:rPr>
          <w:rFonts w:ascii="Open Sans" w:eastAsia="Times New Roman" w:hAnsi="Open Sans" w:cs="Open Sans"/>
          <w:sz w:val="20"/>
          <w:szCs w:val="20"/>
          <w:lang w:eastAsia="en-GB"/>
        </w:rPr>
        <w:t>, du</w:t>
      </w:r>
      <w:r w:rsidR="004A5A7C" w:rsidRPr="009D33C3">
        <w:rPr>
          <w:rFonts w:ascii="Open Sans" w:eastAsia="Times New Roman" w:hAnsi="Open Sans" w:cs="Open Sans"/>
          <w:sz w:val="20"/>
          <w:szCs w:val="20"/>
          <w:lang w:eastAsia="en-GB"/>
        </w:rPr>
        <w:t>e</w:t>
      </w:r>
      <w:r w:rsidR="006101FB" w:rsidRPr="009D33C3">
        <w:rPr>
          <w:rFonts w:ascii="Open Sans" w:eastAsia="Times New Roman" w:hAnsi="Open Sans" w:cs="Open Sans"/>
          <w:sz w:val="20"/>
          <w:szCs w:val="20"/>
          <w:lang w:eastAsia="en-GB"/>
        </w:rPr>
        <w:t xml:space="preserve"> to start in 2022, following the end of the domestic RHI </w:t>
      </w:r>
      <w:r w:rsidR="004A5A7C" w:rsidRPr="009D33C3">
        <w:rPr>
          <w:rFonts w:ascii="Open Sans" w:eastAsia="Times New Roman" w:hAnsi="Open Sans" w:cs="Open Sans"/>
          <w:sz w:val="20"/>
          <w:szCs w:val="20"/>
          <w:lang w:eastAsia="en-GB"/>
        </w:rPr>
        <w:t>in</w:t>
      </w:r>
      <w:r w:rsidR="006101FB" w:rsidRPr="009D33C3">
        <w:rPr>
          <w:rFonts w:ascii="Open Sans" w:eastAsia="Times New Roman" w:hAnsi="Open Sans" w:cs="Open Sans"/>
          <w:sz w:val="20"/>
          <w:szCs w:val="20"/>
          <w:lang w:eastAsia="en-GB"/>
        </w:rPr>
        <w:t xml:space="preserve"> the same </w:t>
      </w:r>
      <w:r w:rsidR="004A5A7C" w:rsidRPr="009D33C3">
        <w:rPr>
          <w:rFonts w:ascii="Open Sans" w:eastAsia="Times New Roman" w:hAnsi="Open Sans" w:cs="Open Sans"/>
          <w:sz w:val="20"/>
          <w:szCs w:val="20"/>
          <w:lang w:eastAsia="en-GB"/>
        </w:rPr>
        <w:t>year</w:t>
      </w:r>
      <w:r w:rsidR="006101FB" w:rsidRPr="009D33C3">
        <w:rPr>
          <w:rFonts w:ascii="Open Sans" w:eastAsia="Times New Roman" w:hAnsi="Open Sans" w:cs="Open Sans"/>
          <w:sz w:val="20"/>
          <w:szCs w:val="20"/>
          <w:lang w:eastAsia="en-GB"/>
        </w:rPr>
        <w:t xml:space="preserve">.  </w:t>
      </w:r>
      <w:r w:rsidR="00EA51A8" w:rsidRPr="009D33C3">
        <w:rPr>
          <w:rFonts w:ascii="Open Sans" w:eastAsia="Times New Roman" w:hAnsi="Open Sans" w:cs="Open Sans"/>
          <w:sz w:val="20"/>
          <w:szCs w:val="20"/>
          <w:lang w:eastAsia="en-GB"/>
        </w:rPr>
        <w:t>It only has £100mn to spend over two years and is proposed to provide a limited grant of £4000 for system</w:t>
      </w:r>
      <w:r w:rsidR="004026A5" w:rsidRPr="009D33C3">
        <w:rPr>
          <w:rFonts w:ascii="Open Sans" w:eastAsia="Times New Roman" w:hAnsi="Open Sans" w:cs="Open Sans"/>
          <w:sz w:val="20"/>
          <w:szCs w:val="20"/>
          <w:lang w:eastAsia="en-GB"/>
        </w:rPr>
        <w:t>s</w:t>
      </w:r>
      <w:r w:rsidR="00EA51A8" w:rsidRPr="009D33C3">
        <w:rPr>
          <w:rFonts w:ascii="Open Sans" w:eastAsia="Times New Roman" w:hAnsi="Open Sans" w:cs="Open Sans"/>
          <w:sz w:val="20"/>
          <w:szCs w:val="20"/>
          <w:lang w:eastAsia="en-GB"/>
        </w:rPr>
        <w:t xml:space="preserve"> below</w:t>
      </w:r>
      <w:r w:rsidR="001034EB" w:rsidRPr="009D33C3">
        <w:rPr>
          <w:rFonts w:ascii="Open Sans" w:eastAsia="Times New Roman" w:hAnsi="Open Sans" w:cs="Open Sans"/>
          <w:sz w:val="20"/>
          <w:szCs w:val="20"/>
          <w:lang w:eastAsia="en-GB"/>
        </w:rPr>
        <w:t xml:space="preserve"> a </w:t>
      </w:r>
      <w:r w:rsidR="00CA22BD" w:rsidRPr="009D33C3">
        <w:rPr>
          <w:rFonts w:ascii="Open Sans" w:eastAsia="Times New Roman" w:hAnsi="Open Sans" w:cs="Open Sans"/>
          <w:sz w:val="20"/>
          <w:szCs w:val="20"/>
          <w:lang w:eastAsia="en-GB"/>
        </w:rPr>
        <w:t xml:space="preserve">capacity </w:t>
      </w:r>
      <w:r w:rsidR="001034EB" w:rsidRPr="009D33C3">
        <w:rPr>
          <w:rFonts w:ascii="Open Sans" w:eastAsia="Times New Roman" w:hAnsi="Open Sans" w:cs="Open Sans"/>
          <w:sz w:val="20"/>
          <w:szCs w:val="20"/>
          <w:lang w:eastAsia="en-GB"/>
        </w:rPr>
        <w:t>cap of</w:t>
      </w:r>
      <w:r w:rsidR="00EA51A8" w:rsidRPr="009D33C3">
        <w:rPr>
          <w:rFonts w:ascii="Open Sans" w:eastAsia="Times New Roman" w:hAnsi="Open Sans" w:cs="Open Sans"/>
          <w:sz w:val="20"/>
          <w:szCs w:val="20"/>
          <w:lang w:eastAsia="en-GB"/>
        </w:rPr>
        <w:t xml:space="preserve"> 45 </w:t>
      </w:r>
      <w:r w:rsidR="004026A5" w:rsidRPr="009D33C3">
        <w:rPr>
          <w:rFonts w:ascii="Open Sans" w:eastAsia="Times New Roman" w:hAnsi="Open Sans" w:cs="Open Sans"/>
          <w:sz w:val="20"/>
          <w:szCs w:val="20"/>
          <w:lang w:eastAsia="en-GB"/>
        </w:rPr>
        <w:t>kW</w:t>
      </w:r>
      <w:r w:rsidR="00EA51A8" w:rsidRPr="009D33C3">
        <w:rPr>
          <w:rFonts w:ascii="Open Sans" w:eastAsia="Times New Roman" w:hAnsi="Open Sans" w:cs="Open Sans"/>
          <w:sz w:val="20"/>
          <w:szCs w:val="20"/>
          <w:lang w:eastAsia="en-GB"/>
        </w:rPr>
        <w:t>.</w:t>
      </w:r>
      <w:r w:rsidR="004026A5" w:rsidRPr="009D33C3">
        <w:rPr>
          <w:rFonts w:ascii="Open Sans" w:eastAsia="Times New Roman" w:hAnsi="Open Sans" w:cs="Open Sans"/>
          <w:sz w:val="20"/>
          <w:szCs w:val="20"/>
          <w:lang w:eastAsia="en-GB"/>
        </w:rPr>
        <w:t xml:space="preserve"> Unlike the RHI, that supported projects across a range of sizes, this is a grant level focused on small</w:t>
      </w:r>
      <w:r w:rsidR="001034EB" w:rsidRPr="009D33C3">
        <w:rPr>
          <w:rFonts w:ascii="Open Sans" w:eastAsia="Times New Roman" w:hAnsi="Open Sans" w:cs="Open Sans"/>
          <w:sz w:val="20"/>
          <w:szCs w:val="20"/>
          <w:lang w:eastAsia="en-GB"/>
        </w:rPr>
        <w:t xml:space="preserve">, predominantly </w:t>
      </w:r>
      <w:r w:rsidR="00CA22BD" w:rsidRPr="009D33C3">
        <w:rPr>
          <w:rFonts w:ascii="Open Sans" w:eastAsia="Times New Roman" w:hAnsi="Open Sans" w:cs="Open Sans"/>
          <w:sz w:val="20"/>
          <w:szCs w:val="20"/>
          <w:lang w:eastAsia="en-GB"/>
        </w:rPr>
        <w:t xml:space="preserve">air source </w:t>
      </w:r>
      <w:r w:rsidR="001034EB" w:rsidRPr="009D33C3">
        <w:rPr>
          <w:rFonts w:ascii="Open Sans" w:eastAsia="Times New Roman" w:hAnsi="Open Sans" w:cs="Open Sans"/>
          <w:sz w:val="20"/>
          <w:szCs w:val="20"/>
          <w:lang w:eastAsia="en-GB"/>
        </w:rPr>
        <w:t>heat pump</w:t>
      </w:r>
      <w:r w:rsidR="004026A5" w:rsidRPr="009D33C3">
        <w:rPr>
          <w:rFonts w:ascii="Open Sans" w:eastAsia="Times New Roman" w:hAnsi="Open Sans" w:cs="Open Sans"/>
          <w:sz w:val="20"/>
          <w:szCs w:val="20"/>
          <w:lang w:eastAsia="en-GB"/>
        </w:rPr>
        <w:t xml:space="preserve"> installations</w:t>
      </w:r>
      <w:r w:rsidR="00E26B9D">
        <w:rPr>
          <w:rFonts w:ascii="Open Sans" w:eastAsia="Times New Roman" w:hAnsi="Open Sans" w:cs="Open Sans"/>
          <w:sz w:val="20"/>
          <w:szCs w:val="20"/>
          <w:lang w:eastAsia="en-GB"/>
        </w:rPr>
        <w:t xml:space="preserve"> with a limited role for biomass</w:t>
      </w:r>
      <w:r w:rsidR="004026A5" w:rsidRPr="009D33C3">
        <w:rPr>
          <w:rFonts w:ascii="Open Sans" w:eastAsia="Times New Roman" w:hAnsi="Open Sans" w:cs="Open Sans"/>
          <w:sz w:val="20"/>
          <w:szCs w:val="20"/>
          <w:lang w:eastAsia="en-GB"/>
        </w:rPr>
        <w:t>.</w:t>
      </w:r>
      <w:r w:rsidRPr="009D33C3">
        <w:rPr>
          <w:rFonts w:ascii="Open Sans" w:eastAsia="Times New Roman" w:hAnsi="Open Sans" w:cs="Open Sans"/>
          <w:sz w:val="20"/>
          <w:szCs w:val="20"/>
          <w:lang w:eastAsia="en-GB"/>
        </w:rPr>
        <w:t xml:space="preserve"> </w:t>
      </w:r>
      <w:r w:rsidR="004026A5" w:rsidRPr="009D33C3">
        <w:rPr>
          <w:rFonts w:ascii="Open Sans" w:eastAsia="Times New Roman" w:hAnsi="Open Sans" w:cs="Open Sans"/>
          <w:sz w:val="20"/>
          <w:szCs w:val="20"/>
          <w:lang w:eastAsia="en-GB"/>
        </w:rPr>
        <w:t xml:space="preserve">Installation costs for different technologies, provided in the Annual RHI statistics, demonstrate a grant of £4000 is likely to only </w:t>
      </w:r>
      <w:r w:rsidR="00CA22BD" w:rsidRPr="009D33C3">
        <w:rPr>
          <w:rFonts w:ascii="Open Sans" w:eastAsia="Times New Roman" w:hAnsi="Open Sans" w:cs="Open Sans"/>
          <w:sz w:val="20"/>
          <w:szCs w:val="20"/>
          <w:lang w:eastAsia="en-GB"/>
        </w:rPr>
        <w:t>incentivise projects</w:t>
      </w:r>
      <w:r w:rsidR="004026A5" w:rsidRPr="009D33C3">
        <w:rPr>
          <w:rFonts w:ascii="Open Sans" w:eastAsia="Times New Roman" w:hAnsi="Open Sans" w:cs="Open Sans"/>
          <w:sz w:val="20"/>
          <w:szCs w:val="20"/>
          <w:lang w:eastAsia="en-GB"/>
        </w:rPr>
        <w:t xml:space="preserve"> up to about 10kW. Above this</w:t>
      </w:r>
      <w:r w:rsidR="00CA22BD" w:rsidRPr="009D33C3">
        <w:rPr>
          <w:rFonts w:ascii="Open Sans" w:eastAsia="Times New Roman" w:hAnsi="Open Sans" w:cs="Open Sans"/>
          <w:sz w:val="20"/>
          <w:szCs w:val="20"/>
          <w:lang w:eastAsia="en-GB"/>
        </w:rPr>
        <w:t>,</w:t>
      </w:r>
      <w:r w:rsidR="004026A5" w:rsidRPr="009D33C3">
        <w:rPr>
          <w:rFonts w:ascii="Open Sans" w:eastAsia="Times New Roman" w:hAnsi="Open Sans" w:cs="Open Sans"/>
          <w:sz w:val="20"/>
          <w:szCs w:val="20"/>
          <w:lang w:eastAsia="en-GB"/>
        </w:rPr>
        <w:t xml:space="preserve"> the proportion of installation cost </w:t>
      </w:r>
      <w:r w:rsidRPr="009D33C3">
        <w:rPr>
          <w:rFonts w:ascii="Open Sans" w:eastAsia="Times New Roman" w:hAnsi="Open Sans" w:cs="Open Sans"/>
          <w:sz w:val="20"/>
          <w:szCs w:val="20"/>
          <w:lang w:eastAsia="en-GB"/>
        </w:rPr>
        <w:t>falling on the consumer is</w:t>
      </w:r>
      <w:r w:rsidR="004026A5" w:rsidRPr="009D33C3">
        <w:rPr>
          <w:rFonts w:ascii="Open Sans" w:eastAsia="Times New Roman" w:hAnsi="Open Sans" w:cs="Open Sans"/>
          <w:sz w:val="20"/>
          <w:szCs w:val="20"/>
          <w:lang w:eastAsia="en-GB"/>
        </w:rPr>
        <w:t xml:space="preserve"> </w:t>
      </w:r>
      <w:r w:rsidR="0086232E" w:rsidRPr="009D33C3">
        <w:rPr>
          <w:rFonts w:ascii="Open Sans" w:eastAsia="Times New Roman" w:hAnsi="Open Sans" w:cs="Open Sans"/>
          <w:sz w:val="20"/>
          <w:szCs w:val="20"/>
          <w:lang w:eastAsia="en-GB"/>
        </w:rPr>
        <w:t xml:space="preserve">more </w:t>
      </w:r>
      <w:r w:rsidR="001034EB" w:rsidRPr="009D33C3">
        <w:rPr>
          <w:rFonts w:ascii="Open Sans" w:eastAsia="Times New Roman" w:hAnsi="Open Sans" w:cs="Open Sans"/>
          <w:sz w:val="20"/>
          <w:szCs w:val="20"/>
          <w:lang w:eastAsia="en-GB"/>
        </w:rPr>
        <w:t>than</w:t>
      </w:r>
      <w:r w:rsidR="0086232E" w:rsidRPr="009D33C3">
        <w:rPr>
          <w:rFonts w:ascii="Open Sans" w:eastAsia="Times New Roman" w:hAnsi="Open Sans" w:cs="Open Sans"/>
          <w:sz w:val="20"/>
          <w:szCs w:val="20"/>
          <w:lang w:eastAsia="en-GB"/>
        </w:rPr>
        <w:t xml:space="preserve"> </w:t>
      </w:r>
      <w:r w:rsidR="004026A5" w:rsidRPr="009D33C3">
        <w:rPr>
          <w:rFonts w:ascii="Open Sans" w:eastAsia="Times New Roman" w:hAnsi="Open Sans" w:cs="Open Sans"/>
          <w:sz w:val="20"/>
          <w:szCs w:val="20"/>
          <w:lang w:eastAsia="en-GB"/>
        </w:rPr>
        <w:t xml:space="preserve">£7000, </w:t>
      </w:r>
      <w:r w:rsidR="0086232E" w:rsidRPr="009D33C3">
        <w:rPr>
          <w:rFonts w:ascii="Open Sans" w:eastAsia="Times New Roman" w:hAnsi="Open Sans" w:cs="Open Sans"/>
          <w:sz w:val="20"/>
          <w:szCs w:val="20"/>
          <w:lang w:eastAsia="en-GB"/>
        </w:rPr>
        <w:t>identified by BEIS in their recent Future of heat consultation as a ‘psychological threshold</w:t>
      </w:r>
      <w:r w:rsidR="001034EB" w:rsidRPr="009D33C3">
        <w:rPr>
          <w:rFonts w:ascii="Open Sans" w:eastAsia="Times New Roman" w:hAnsi="Open Sans" w:cs="Open Sans"/>
          <w:sz w:val="20"/>
          <w:szCs w:val="20"/>
          <w:lang w:eastAsia="en-GB"/>
        </w:rPr>
        <w:t>’</w:t>
      </w:r>
      <w:r w:rsidR="0086232E" w:rsidRPr="009D33C3">
        <w:rPr>
          <w:rFonts w:ascii="Open Sans" w:eastAsia="Times New Roman" w:hAnsi="Open Sans" w:cs="Open Sans"/>
          <w:sz w:val="20"/>
          <w:szCs w:val="20"/>
          <w:lang w:eastAsia="en-GB"/>
        </w:rPr>
        <w:t xml:space="preserve"> for </w:t>
      </w:r>
      <w:r w:rsidR="00CA22BD" w:rsidRPr="009D33C3">
        <w:rPr>
          <w:rFonts w:ascii="Open Sans" w:eastAsia="Times New Roman" w:hAnsi="Open Sans" w:cs="Open Sans"/>
          <w:sz w:val="20"/>
          <w:szCs w:val="20"/>
          <w:lang w:eastAsia="en-GB"/>
        </w:rPr>
        <w:t>deployment (</w:t>
      </w:r>
      <w:r w:rsidR="0086232E" w:rsidRPr="009D33C3">
        <w:rPr>
          <w:rFonts w:ascii="Open Sans" w:eastAsia="Times New Roman" w:hAnsi="Open Sans" w:cs="Open Sans"/>
          <w:sz w:val="20"/>
          <w:szCs w:val="20"/>
          <w:lang w:eastAsia="en-GB"/>
        </w:rPr>
        <w:t xml:space="preserve">See </w:t>
      </w:r>
      <w:r w:rsidRPr="009D33C3">
        <w:rPr>
          <w:rFonts w:ascii="Open Sans" w:eastAsia="Times New Roman" w:hAnsi="Open Sans" w:cs="Open Sans"/>
          <w:sz w:val="20"/>
          <w:szCs w:val="20"/>
          <w:lang w:eastAsia="en-GB"/>
        </w:rPr>
        <w:t>Table 1)</w:t>
      </w:r>
      <w:r w:rsidR="00B969F6" w:rsidRPr="009D33C3">
        <w:rPr>
          <w:rFonts w:ascii="Open Sans" w:eastAsia="Times New Roman" w:hAnsi="Open Sans" w:cs="Open Sans"/>
          <w:sz w:val="20"/>
          <w:szCs w:val="20"/>
          <w:lang w:eastAsia="en-GB"/>
        </w:rPr>
        <w:t xml:space="preserve"> [3]</w:t>
      </w:r>
      <w:r w:rsidR="004026A5" w:rsidRPr="009D33C3">
        <w:rPr>
          <w:rFonts w:ascii="Open Sans" w:eastAsia="Times New Roman" w:hAnsi="Open Sans" w:cs="Open Sans"/>
          <w:sz w:val="20"/>
          <w:szCs w:val="20"/>
          <w:lang w:eastAsia="en-GB"/>
        </w:rPr>
        <w:t xml:space="preserve">. </w:t>
      </w:r>
      <w:r w:rsidR="00CA22BD" w:rsidRPr="009D33C3">
        <w:rPr>
          <w:rFonts w:ascii="Open Sans" w:eastAsia="Times New Roman" w:hAnsi="Open Sans" w:cs="Open Sans"/>
          <w:sz w:val="20"/>
          <w:szCs w:val="20"/>
          <w:lang w:eastAsia="en-GB"/>
        </w:rPr>
        <w:t xml:space="preserve"> The average installation size, across all technologies in the Domestic RHI</w:t>
      </w:r>
      <w:r w:rsidR="00B969F6" w:rsidRPr="009D33C3">
        <w:rPr>
          <w:rFonts w:ascii="Open Sans" w:eastAsia="Times New Roman" w:hAnsi="Open Sans" w:cs="Open Sans"/>
          <w:sz w:val="20"/>
          <w:szCs w:val="20"/>
          <w:lang w:eastAsia="en-GB"/>
        </w:rPr>
        <w:t>,</w:t>
      </w:r>
      <w:r w:rsidR="00CA22BD" w:rsidRPr="009D33C3">
        <w:rPr>
          <w:rFonts w:ascii="Open Sans" w:eastAsia="Times New Roman" w:hAnsi="Open Sans" w:cs="Open Sans"/>
          <w:sz w:val="20"/>
          <w:szCs w:val="20"/>
          <w:lang w:eastAsia="en-GB"/>
        </w:rPr>
        <w:t xml:space="preserve"> is currently 13.5 kW [1].</w:t>
      </w:r>
    </w:p>
    <w:p w14:paraId="3A951402" w14:textId="77777777" w:rsidR="004F72E8" w:rsidRPr="009D33C3" w:rsidRDefault="00414D3E" w:rsidP="004026A5">
      <w:pPr>
        <w:rPr>
          <w:rFonts w:ascii="Open Sans" w:eastAsia="Times New Roman" w:hAnsi="Open Sans" w:cs="Open Sans"/>
          <w:sz w:val="20"/>
          <w:szCs w:val="20"/>
          <w:lang w:eastAsia="en-GB"/>
        </w:rPr>
      </w:pPr>
      <w:r w:rsidRPr="009D33C3">
        <w:rPr>
          <w:rFonts w:ascii="Open Sans" w:hAnsi="Open Sans" w:cs="Open Sans"/>
          <w:i/>
          <w:iCs/>
          <w:sz w:val="20"/>
          <w:szCs w:val="20"/>
        </w:rPr>
        <w:t>Table 1: A flat grant of £4000 will not incentivise deployment much above 10 kW.</w:t>
      </w:r>
      <w:r w:rsidR="00B969F6" w:rsidRPr="009D33C3">
        <w:rPr>
          <w:rFonts w:ascii="Open Sans" w:hAnsi="Open Sans" w:cs="Open Sans"/>
          <w:i/>
          <w:iCs/>
          <w:sz w:val="20"/>
          <w:szCs w:val="20"/>
        </w:rPr>
        <w:t xml:space="preserve"> Data from BEIS 2019 Annual RHI Statistics. </w:t>
      </w:r>
    </w:p>
    <w:tbl>
      <w:tblPr>
        <w:tblStyle w:val="TableGrid"/>
        <w:tblW w:w="9209" w:type="dxa"/>
        <w:tblLayout w:type="fixed"/>
        <w:tblLook w:val="04A0" w:firstRow="1" w:lastRow="0" w:firstColumn="1" w:lastColumn="0" w:noHBand="0" w:noVBand="1"/>
      </w:tblPr>
      <w:tblGrid>
        <w:gridCol w:w="1271"/>
        <w:gridCol w:w="1701"/>
        <w:gridCol w:w="1418"/>
        <w:gridCol w:w="992"/>
        <w:gridCol w:w="1276"/>
        <w:gridCol w:w="1134"/>
        <w:gridCol w:w="1417"/>
      </w:tblGrid>
      <w:tr w:rsidR="00FD14DC" w14:paraId="43631AF2" w14:textId="77777777" w:rsidTr="00B91268">
        <w:tc>
          <w:tcPr>
            <w:tcW w:w="1271" w:type="dxa"/>
          </w:tcPr>
          <w:p w14:paraId="042D5849" w14:textId="77777777" w:rsidR="004F72E8" w:rsidRPr="009D33C3" w:rsidRDefault="00414D3E" w:rsidP="00937D33">
            <w:pPr>
              <w:rPr>
                <w:rFonts w:ascii="Open Sans" w:hAnsi="Open Sans" w:cs="Open Sans"/>
                <w:b/>
                <w:bCs/>
                <w:sz w:val="20"/>
                <w:szCs w:val="20"/>
              </w:rPr>
            </w:pPr>
            <w:r w:rsidRPr="009D33C3">
              <w:rPr>
                <w:rFonts w:ascii="Open Sans" w:hAnsi="Open Sans" w:cs="Open Sans"/>
                <w:b/>
                <w:bCs/>
                <w:sz w:val="20"/>
                <w:szCs w:val="20"/>
              </w:rPr>
              <w:t>Technology</w:t>
            </w:r>
          </w:p>
        </w:tc>
        <w:tc>
          <w:tcPr>
            <w:tcW w:w="1701" w:type="dxa"/>
          </w:tcPr>
          <w:p w14:paraId="5AA0ADE7" w14:textId="77777777" w:rsidR="004F72E8" w:rsidRPr="009D33C3" w:rsidRDefault="00414D3E" w:rsidP="00937D33">
            <w:pPr>
              <w:rPr>
                <w:rFonts w:ascii="Open Sans" w:hAnsi="Open Sans" w:cs="Open Sans"/>
                <w:b/>
                <w:bCs/>
                <w:sz w:val="20"/>
                <w:szCs w:val="20"/>
              </w:rPr>
            </w:pPr>
            <w:r w:rsidRPr="009D33C3">
              <w:rPr>
                <w:rFonts w:ascii="Open Sans" w:hAnsi="Open Sans" w:cs="Open Sans"/>
                <w:b/>
                <w:bCs/>
                <w:sz w:val="20"/>
                <w:szCs w:val="20"/>
              </w:rPr>
              <w:t>Installation Capacity (kW)</w:t>
            </w:r>
            <w:r w:rsidR="00B969F6" w:rsidRPr="009D33C3">
              <w:rPr>
                <w:rFonts w:ascii="Open Sans" w:hAnsi="Open Sans" w:cs="Open Sans"/>
                <w:b/>
                <w:bCs/>
                <w:sz w:val="20"/>
                <w:szCs w:val="20"/>
              </w:rPr>
              <w:t xml:space="preserve"> </w:t>
            </w:r>
          </w:p>
        </w:tc>
        <w:tc>
          <w:tcPr>
            <w:tcW w:w="1418" w:type="dxa"/>
          </w:tcPr>
          <w:p w14:paraId="613C5866" w14:textId="77777777" w:rsidR="004F72E8" w:rsidRPr="009D33C3" w:rsidRDefault="00414D3E" w:rsidP="00937D33">
            <w:pPr>
              <w:rPr>
                <w:rFonts w:ascii="Open Sans" w:hAnsi="Open Sans" w:cs="Open Sans"/>
                <w:b/>
                <w:bCs/>
                <w:sz w:val="20"/>
                <w:szCs w:val="20"/>
              </w:rPr>
            </w:pPr>
            <w:r w:rsidRPr="009D33C3">
              <w:rPr>
                <w:rFonts w:ascii="Open Sans" w:hAnsi="Open Sans" w:cs="Open Sans"/>
                <w:b/>
                <w:bCs/>
                <w:sz w:val="20"/>
                <w:szCs w:val="20"/>
              </w:rPr>
              <w:t xml:space="preserve">Median recorded cost of installation under the Domestic RHI April 2014 – Dec 2019 </w:t>
            </w:r>
            <w:r w:rsidR="00E93B2A" w:rsidRPr="009D33C3">
              <w:rPr>
                <w:rFonts w:ascii="Open Sans" w:hAnsi="Open Sans" w:cs="Open Sans"/>
                <w:b/>
                <w:bCs/>
                <w:sz w:val="20"/>
                <w:szCs w:val="20"/>
              </w:rPr>
              <w:t>[4]</w:t>
            </w:r>
          </w:p>
        </w:tc>
        <w:tc>
          <w:tcPr>
            <w:tcW w:w="992" w:type="dxa"/>
          </w:tcPr>
          <w:p w14:paraId="631826F5" w14:textId="77777777" w:rsidR="004F72E8" w:rsidRPr="009D33C3" w:rsidRDefault="00414D3E" w:rsidP="00937D33">
            <w:pPr>
              <w:rPr>
                <w:rFonts w:ascii="Open Sans" w:hAnsi="Open Sans" w:cs="Open Sans"/>
                <w:b/>
                <w:bCs/>
                <w:color w:val="000000"/>
                <w:sz w:val="20"/>
                <w:szCs w:val="20"/>
              </w:rPr>
            </w:pPr>
            <w:r w:rsidRPr="009D33C3">
              <w:rPr>
                <w:rFonts w:ascii="Open Sans" w:hAnsi="Open Sans" w:cs="Open Sans"/>
                <w:b/>
                <w:bCs/>
                <w:color w:val="000000"/>
                <w:sz w:val="20"/>
                <w:szCs w:val="20"/>
              </w:rPr>
              <w:t>Cost per Kilowatt of Capacity (£/kW)</w:t>
            </w:r>
            <w:r w:rsidRPr="009D33C3">
              <w:rPr>
                <w:rFonts w:ascii="Open Sans" w:hAnsi="Open Sans" w:cs="Open Sans"/>
                <w:b/>
                <w:bCs/>
                <w:color w:val="000000"/>
                <w:sz w:val="20"/>
                <w:szCs w:val="20"/>
                <w:vertAlign w:val="superscript"/>
              </w:rPr>
              <w:t>2</w:t>
            </w:r>
          </w:p>
          <w:p w14:paraId="309B600B" w14:textId="77777777" w:rsidR="004F72E8" w:rsidRPr="009D33C3" w:rsidRDefault="00414D3E" w:rsidP="00937D33">
            <w:pPr>
              <w:rPr>
                <w:rFonts w:ascii="Open Sans" w:hAnsi="Open Sans" w:cs="Open Sans"/>
                <w:b/>
                <w:bCs/>
                <w:sz w:val="20"/>
                <w:szCs w:val="20"/>
              </w:rPr>
            </w:pPr>
            <w:r w:rsidRPr="009D33C3">
              <w:rPr>
                <w:rFonts w:ascii="Open Sans" w:hAnsi="Open Sans" w:cs="Open Sans"/>
                <w:b/>
                <w:bCs/>
                <w:sz w:val="20"/>
                <w:szCs w:val="20"/>
              </w:rPr>
              <w:t>[4]</w:t>
            </w:r>
          </w:p>
        </w:tc>
        <w:tc>
          <w:tcPr>
            <w:tcW w:w="1276" w:type="dxa"/>
          </w:tcPr>
          <w:p w14:paraId="53C05412" w14:textId="77777777" w:rsidR="004F72E8" w:rsidRPr="009D33C3" w:rsidRDefault="00414D3E" w:rsidP="00937D33">
            <w:pPr>
              <w:rPr>
                <w:rFonts w:ascii="Open Sans" w:hAnsi="Open Sans" w:cs="Open Sans"/>
                <w:b/>
                <w:bCs/>
                <w:sz w:val="20"/>
                <w:szCs w:val="20"/>
              </w:rPr>
            </w:pPr>
            <w:r w:rsidRPr="009D33C3">
              <w:rPr>
                <w:rFonts w:ascii="Open Sans" w:hAnsi="Open Sans" w:cs="Open Sans"/>
                <w:b/>
                <w:bCs/>
                <w:sz w:val="20"/>
                <w:szCs w:val="20"/>
              </w:rPr>
              <w:t xml:space="preserve">Percentage (%) of project cost </w:t>
            </w:r>
            <w:r w:rsidRPr="009D33C3">
              <w:rPr>
                <w:rFonts w:ascii="Open Sans" w:hAnsi="Open Sans" w:cs="Open Sans"/>
                <w:b/>
                <w:bCs/>
                <w:sz w:val="20"/>
                <w:szCs w:val="20"/>
              </w:rPr>
              <w:t>covered by £4000 grant</w:t>
            </w:r>
          </w:p>
        </w:tc>
        <w:tc>
          <w:tcPr>
            <w:tcW w:w="1134" w:type="dxa"/>
          </w:tcPr>
          <w:p w14:paraId="14661AB9" w14:textId="77777777" w:rsidR="004F72E8" w:rsidRPr="009D33C3" w:rsidRDefault="00414D3E" w:rsidP="00937D33">
            <w:pPr>
              <w:rPr>
                <w:rFonts w:ascii="Open Sans" w:hAnsi="Open Sans" w:cs="Open Sans"/>
                <w:b/>
                <w:bCs/>
                <w:sz w:val="20"/>
                <w:szCs w:val="20"/>
              </w:rPr>
            </w:pPr>
            <w:r w:rsidRPr="009D33C3">
              <w:rPr>
                <w:rFonts w:ascii="Open Sans" w:hAnsi="Open Sans" w:cs="Open Sans"/>
                <w:b/>
                <w:bCs/>
                <w:sz w:val="20"/>
                <w:szCs w:val="20"/>
              </w:rPr>
              <w:t xml:space="preserve">Expected capital cost still needed to be met by the consumer </w:t>
            </w:r>
          </w:p>
        </w:tc>
        <w:tc>
          <w:tcPr>
            <w:tcW w:w="1417" w:type="dxa"/>
          </w:tcPr>
          <w:p w14:paraId="2C1BD911" w14:textId="77777777" w:rsidR="004F72E8" w:rsidRPr="009D33C3" w:rsidRDefault="00414D3E" w:rsidP="00937D33">
            <w:pPr>
              <w:rPr>
                <w:rFonts w:ascii="Open Sans" w:hAnsi="Open Sans" w:cs="Open Sans"/>
                <w:b/>
                <w:bCs/>
                <w:sz w:val="20"/>
                <w:szCs w:val="20"/>
              </w:rPr>
            </w:pPr>
            <w:r w:rsidRPr="009D33C3">
              <w:rPr>
                <w:rFonts w:ascii="Open Sans" w:hAnsi="Open Sans" w:cs="Open Sans"/>
                <w:b/>
                <w:bCs/>
                <w:sz w:val="20"/>
                <w:szCs w:val="20"/>
              </w:rPr>
              <w:t>Is the cost to consumer below £7000 - the "psychological threshold" for deployment</w:t>
            </w:r>
          </w:p>
        </w:tc>
      </w:tr>
      <w:tr w:rsidR="00FD14DC" w14:paraId="519E60BF" w14:textId="77777777" w:rsidTr="00B91268">
        <w:trPr>
          <w:trHeight w:val="208"/>
        </w:trPr>
        <w:tc>
          <w:tcPr>
            <w:tcW w:w="1271" w:type="dxa"/>
            <w:vMerge w:val="restart"/>
            <w:vAlign w:val="center"/>
          </w:tcPr>
          <w:p w14:paraId="4C0D917A" w14:textId="77777777" w:rsidR="004F72E8" w:rsidRPr="009D33C3" w:rsidRDefault="00414D3E" w:rsidP="00937D33">
            <w:pPr>
              <w:jc w:val="center"/>
              <w:rPr>
                <w:rFonts w:ascii="Open Sans" w:hAnsi="Open Sans" w:cs="Open Sans"/>
                <w:sz w:val="20"/>
                <w:szCs w:val="20"/>
              </w:rPr>
            </w:pPr>
            <w:r w:rsidRPr="009D33C3">
              <w:rPr>
                <w:rFonts w:ascii="Open Sans" w:hAnsi="Open Sans" w:cs="Open Sans"/>
                <w:sz w:val="20"/>
                <w:szCs w:val="20"/>
              </w:rPr>
              <w:t>Air Source Heat Pump</w:t>
            </w:r>
          </w:p>
        </w:tc>
        <w:tc>
          <w:tcPr>
            <w:tcW w:w="1701" w:type="dxa"/>
            <w:vAlign w:val="center"/>
          </w:tcPr>
          <w:p w14:paraId="3F92CDD0"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Less than 5</w:t>
            </w:r>
          </w:p>
        </w:tc>
        <w:tc>
          <w:tcPr>
            <w:tcW w:w="1418" w:type="dxa"/>
            <w:vAlign w:val="center"/>
          </w:tcPr>
          <w:p w14:paraId="7DEE6BE4"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£7,290</w:t>
            </w:r>
          </w:p>
        </w:tc>
        <w:tc>
          <w:tcPr>
            <w:tcW w:w="992" w:type="dxa"/>
            <w:vAlign w:val="center"/>
          </w:tcPr>
          <w:p w14:paraId="3EAE0709"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£1,480</w:t>
            </w:r>
          </w:p>
        </w:tc>
        <w:tc>
          <w:tcPr>
            <w:tcW w:w="1276" w:type="dxa"/>
            <w:vAlign w:val="center"/>
          </w:tcPr>
          <w:p w14:paraId="3550ABD4"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55 %</w:t>
            </w:r>
          </w:p>
        </w:tc>
        <w:tc>
          <w:tcPr>
            <w:tcW w:w="1134" w:type="dxa"/>
            <w:vAlign w:val="center"/>
          </w:tcPr>
          <w:p w14:paraId="72DCA965"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£3,290</w:t>
            </w:r>
          </w:p>
        </w:tc>
        <w:tc>
          <w:tcPr>
            <w:tcW w:w="1417" w:type="dxa"/>
            <w:vAlign w:val="center"/>
          </w:tcPr>
          <w:p w14:paraId="165B8F8A"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Yes</w:t>
            </w:r>
          </w:p>
        </w:tc>
      </w:tr>
      <w:tr w:rsidR="00FD14DC" w14:paraId="130705EF" w14:textId="77777777" w:rsidTr="00B91268">
        <w:tc>
          <w:tcPr>
            <w:tcW w:w="1271" w:type="dxa"/>
            <w:vMerge/>
            <w:vAlign w:val="center"/>
          </w:tcPr>
          <w:p w14:paraId="43F26165" w14:textId="77777777" w:rsidR="004F72E8" w:rsidRPr="009D33C3" w:rsidRDefault="004F72E8" w:rsidP="00937D33">
            <w:pPr>
              <w:jc w:val="center"/>
              <w:rPr>
                <w:rFonts w:ascii="Open Sans" w:hAnsi="Open Sans" w:cs="Open Sans"/>
                <w:sz w:val="20"/>
                <w:szCs w:val="20"/>
              </w:rPr>
            </w:pPr>
          </w:p>
        </w:tc>
        <w:tc>
          <w:tcPr>
            <w:tcW w:w="1701" w:type="dxa"/>
            <w:vAlign w:val="center"/>
          </w:tcPr>
          <w:p w14:paraId="448F29A5"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6 - 10</w:t>
            </w:r>
          </w:p>
        </w:tc>
        <w:tc>
          <w:tcPr>
            <w:tcW w:w="1418" w:type="dxa"/>
            <w:vAlign w:val="center"/>
          </w:tcPr>
          <w:p w14:paraId="433D837F"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£8,220</w:t>
            </w:r>
          </w:p>
        </w:tc>
        <w:tc>
          <w:tcPr>
            <w:tcW w:w="992" w:type="dxa"/>
            <w:vAlign w:val="center"/>
          </w:tcPr>
          <w:p w14:paraId="29EA6FD6"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£1,080</w:t>
            </w:r>
          </w:p>
        </w:tc>
        <w:tc>
          <w:tcPr>
            <w:tcW w:w="1276" w:type="dxa"/>
            <w:vAlign w:val="center"/>
          </w:tcPr>
          <w:p w14:paraId="21D13046"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49 %</w:t>
            </w:r>
          </w:p>
        </w:tc>
        <w:tc>
          <w:tcPr>
            <w:tcW w:w="1134" w:type="dxa"/>
            <w:vAlign w:val="center"/>
          </w:tcPr>
          <w:p w14:paraId="7135A480"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£4,220</w:t>
            </w:r>
          </w:p>
        </w:tc>
        <w:tc>
          <w:tcPr>
            <w:tcW w:w="1417" w:type="dxa"/>
            <w:vAlign w:val="center"/>
          </w:tcPr>
          <w:p w14:paraId="31F4AFBF" w14:textId="77777777" w:rsidR="004F72E8" w:rsidRPr="009D33C3" w:rsidRDefault="00414D3E" w:rsidP="00937D33">
            <w:pPr>
              <w:jc w:val="center"/>
              <w:rPr>
                <w:rFonts w:ascii="Open Sans" w:hAnsi="Open Sans" w:cs="Open Sans"/>
                <w:color w:val="00B050"/>
                <w:sz w:val="20"/>
                <w:szCs w:val="20"/>
              </w:rPr>
            </w:pPr>
            <w:r w:rsidRPr="009D33C3">
              <w:rPr>
                <w:rFonts w:ascii="Open Sans" w:hAnsi="Open Sans" w:cs="Open Sans"/>
                <w:color w:val="00B050"/>
                <w:sz w:val="20"/>
                <w:szCs w:val="20"/>
              </w:rPr>
              <w:t>Yes</w:t>
            </w:r>
          </w:p>
        </w:tc>
      </w:tr>
      <w:tr w:rsidR="00FD14DC" w14:paraId="22CB0DE8" w14:textId="77777777" w:rsidTr="00B91268">
        <w:tc>
          <w:tcPr>
            <w:tcW w:w="1271" w:type="dxa"/>
            <w:vMerge/>
            <w:vAlign w:val="center"/>
          </w:tcPr>
          <w:p w14:paraId="0F7B699C" w14:textId="77777777" w:rsidR="004F72E8" w:rsidRPr="009D33C3" w:rsidRDefault="004F72E8" w:rsidP="00937D33">
            <w:pPr>
              <w:jc w:val="center"/>
              <w:rPr>
                <w:rFonts w:ascii="Open Sans" w:hAnsi="Open Sans" w:cs="Open Sans"/>
                <w:sz w:val="20"/>
                <w:szCs w:val="20"/>
              </w:rPr>
            </w:pPr>
          </w:p>
        </w:tc>
        <w:tc>
          <w:tcPr>
            <w:tcW w:w="1701" w:type="dxa"/>
            <w:vAlign w:val="center"/>
          </w:tcPr>
          <w:p w14:paraId="0C8F399A"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11 - 15</w:t>
            </w:r>
          </w:p>
        </w:tc>
        <w:tc>
          <w:tcPr>
            <w:tcW w:w="1418" w:type="dxa"/>
            <w:vAlign w:val="center"/>
          </w:tcPr>
          <w:p w14:paraId="6DA177B3"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£11,500</w:t>
            </w:r>
          </w:p>
        </w:tc>
        <w:tc>
          <w:tcPr>
            <w:tcW w:w="992" w:type="dxa"/>
            <w:vAlign w:val="center"/>
          </w:tcPr>
          <w:p w14:paraId="6679F50D"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£920</w:t>
            </w:r>
          </w:p>
        </w:tc>
        <w:tc>
          <w:tcPr>
            <w:tcW w:w="1276" w:type="dxa"/>
            <w:vAlign w:val="center"/>
          </w:tcPr>
          <w:p w14:paraId="6FBAEAA2"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35 %</w:t>
            </w:r>
          </w:p>
        </w:tc>
        <w:tc>
          <w:tcPr>
            <w:tcW w:w="1134" w:type="dxa"/>
            <w:vAlign w:val="center"/>
          </w:tcPr>
          <w:p w14:paraId="70C82CCE"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£7,500</w:t>
            </w:r>
          </w:p>
        </w:tc>
        <w:tc>
          <w:tcPr>
            <w:tcW w:w="1417" w:type="dxa"/>
            <w:vAlign w:val="center"/>
          </w:tcPr>
          <w:p w14:paraId="4A6BC0AA" w14:textId="77777777" w:rsidR="004F72E8" w:rsidRPr="009D33C3" w:rsidRDefault="00414D3E" w:rsidP="00937D33">
            <w:pPr>
              <w:jc w:val="center"/>
              <w:rPr>
                <w:rFonts w:ascii="Open Sans" w:hAnsi="Open Sans" w:cs="Open Sans"/>
                <w:color w:val="FF0000"/>
                <w:sz w:val="20"/>
                <w:szCs w:val="20"/>
              </w:rPr>
            </w:pPr>
            <w:r w:rsidRPr="009D33C3">
              <w:rPr>
                <w:rFonts w:ascii="Open Sans" w:hAnsi="Open Sans" w:cs="Open Sans"/>
                <w:color w:val="FF0000"/>
                <w:sz w:val="20"/>
                <w:szCs w:val="20"/>
              </w:rPr>
              <w:t>No</w:t>
            </w:r>
          </w:p>
        </w:tc>
      </w:tr>
      <w:tr w:rsidR="00FD14DC" w14:paraId="43E7F703" w14:textId="77777777" w:rsidTr="00B91268">
        <w:tc>
          <w:tcPr>
            <w:tcW w:w="1271" w:type="dxa"/>
            <w:vMerge/>
            <w:vAlign w:val="center"/>
          </w:tcPr>
          <w:p w14:paraId="62E13015" w14:textId="77777777" w:rsidR="004F72E8" w:rsidRPr="009D33C3" w:rsidRDefault="004F72E8" w:rsidP="00937D33">
            <w:pPr>
              <w:jc w:val="center"/>
              <w:rPr>
                <w:rFonts w:ascii="Open Sans" w:hAnsi="Open Sans" w:cs="Open Sans"/>
                <w:sz w:val="20"/>
                <w:szCs w:val="20"/>
              </w:rPr>
            </w:pPr>
          </w:p>
        </w:tc>
        <w:tc>
          <w:tcPr>
            <w:tcW w:w="1701" w:type="dxa"/>
            <w:vAlign w:val="center"/>
          </w:tcPr>
          <w:p w14:paraId="73FE754F"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16 - 20</w:t>
            </w:r>
          </w:p>
        </w:tc>
        <w:tc>
          <w:tcPr>
            <w:tcW w:w="1418" w:type="dxa"/>
            <w:vAlign w:val="center"/>
          </w:tcPr>
          <w:p w14:paraId="03E7562F"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£13,000</w:t>
            </w:r>
          </w:p>
        </w:tc>
        <w:tc>
          <w:tcPr>
            <w:tcW w:w="992" w:type="dxa"/>
            <w:vAlign w:val="center"/>
          </w:tcPr>
          <w:p w14:paraId="5CE1ED90"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£810</w:t>
            </w:r>
          </w:p>
        </w:tc>
        <w:tc>
          <w:tcPr>
            <w:tcW w:w="1276" w:type="dxa"/>
            <w:vAlign w:val="center"/>
          </w:tcPr>
          <w:p w14:paraId="626398C2"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31 %</w:t>
            </w:r>
          </w:p>
        </w:tc>
        <w:tc>
          <w:tcPr>
            <w:tcW w:w="1134" w:type="dxa"/>
            <w:vAlign w:val="center"/>
          </w:tcPr>
          <w:p w14:paraId="21E83673"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£9,000</w:t>
            </w:r>
          </w:p>
        </w:tc>
        <w:tc>
          <w:tcPr>
            <w:tcW w:w="1417" w:type="dxa"/>
            <w:vAlign w:val="center"/>
          </w:tcPr>
          <w:p w14:paraId="647DA9CD" w14:textId="77777777" w:rsidR="004F72E8" w:rsidRPr="009D33C3" w:rsidRDefault="00414D3E" w:rsidP="00937D33">
            <w:pPr>
              <w:jc w:val="center"/>
              <w:rPr>
                <w:rFonts w:ascii="Open Sans" w:hAnsi="Open Sans" w:cs="Open Sans"/>
                <w:color w:val="FF0000"/>
                <w:sz w:val="20"/>
                <w:szCs w:val="20"/>
              </w:rPr>
            </w:pPr>
            <w:r w:rsidRPr="009D33C3">
              <w:rPr>
                <w:rFonts w:ascii="Open Sans" w:hAnsi="Open Sans" w:cs="Open Sans"/>
                <w:color w:val="FF0000"/>
                <w:sz w:val="20"/>
                <w:szCs w:val="20"/>
              </w:rPr>
              <w:t>No</w:t>
            </w:r>
          </w:p>
        </w:tc>
      </w:tr>
      <w:tr w:rsidR="00FD14DC" w14:paraId="284186C0" w14:textId="77777777" w:rsidTr="00B91268">
        <w:tc>
          <w:tcPr>
            <w:tcW w:w="1271" w:type="dxa"/>
            <w:vMerge/>
            <w:vAlign w:val="center"/>
          </w:tcPr>
          <w:p w14:paraId="34FC0A41" w14:textId="77777777" w:rsidR="004F72E8" w:rsidRPr="009D33C3" w:rsidRDefault="004F72E8" w:rsidP="00937D33">
            <w:pPr>
              <w:jc w:val="center"/>
              <w:rPr>
                <w:rFonts w:ascii="Open Sans" w:hAnsi="Open Sans" w:cs="Open Sans"/>
                <w:sz w:val="20"/>
                <w:szCs w:val="20"/>
              </w:rPr>
            </w:pPr>
          </w:p>
        </w:tc>
        <w:tc>
          <w:tcPr>
            <w:tcW w:w="1701" w:type="dxa"/>
            <w:vAlign w:val="center"/>
          </w:tcPr>
          <w:p w14:paraId="44222320"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21 - 25</w:t>
            </w:r>
          </w:p>
        </w:tc>
        <w:tc>
          <w:tcPr>
            <w:tcW w:w="1418" w:type="dxa"/>
            <w:vAlign w:val="center"/>
          </w:tcPr>
          <w:p w14:paraId="6CAA4F59"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£17,970</w:t>
            </w:r>
          </w:p>
        </w:tc>
        <w:tc>
          <w:tcPr>
            <w:tcW w:w="992" w:type="dxa"/>
            <w:vAlign w:val="center"/>
          </w:tcPr>
          <w:p w14:paraId="5CB30988"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£770</w:t>
            </w:r>
          </w:p>
        </w:tc>
        <w:tc>
          <w:tcPr>
            <w:tcW w:w="1276" w:type="dxa"/>
            <w:vAlign w:val="center"/>
          </w:tcPr>
          <w:p w14:paraId="5B819E84"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22 %</w:t>
            </w:r>
          </w:p>
        </w:tc>
        <w:tc>
          <w:tcPr>
            <w:tcW w:w="1134" w:type="dxa"/>
            <w:vAlign w:val="center"/>
          </w:tcPr>
          <w:p w14:paraId="16AB0E50"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£13,970</w:t>
            </w:r>
          </w:p>
        </w:tc>
        <w:tc>
          <w:tcPr>
            <w:tcW w:w="1417" w:type="dxa"/>
            <w:vAlign w:val="center"/>
          </w:tcPr>
          <w:p w14:paraId="3B50DD2B" w14:textId="77777777" w:rsidR="004F72E8" w:rsidRPr="009D33C3" w:rsidRDefault="00414D3E" w:rsidP="00937D33">
            <w:pPr>
              <w:jc w:val="center"/>
              <w:rPr>
                <w:rFonts w:ascii="Open Sans" w:hAnsi="Open Sans" w:cs="Open Sans"/>
                <w:color w:val="FF0000"/>
                <w:sz w:val="20"/>
                <w:szCs w:val="20"/>
              </w:rPr>
            </w:pPr>
            <w:r w:rsidRPr="009D33C3">
              <w:rPr>
                <w:rFonts w:ascii="Open Sans" w:hAnsi="Open Sans" w:cs="Open Sans"/>
                <w:color w:val="FF0000"/>
                <w:sz w:val="20"/>
                <w:szCs w:val="20"/>
              </w:rPr>
              <w:t>No</w:t>
            </w:r>
          </w:p>
        </w:tc>
      </w:tr>
      <w:tr w:rsidR="00FD14DC" w14:paraId="103D5D57" w14:textId="77777777" w:rsidTr="00B91268">
        <w:tc>
          <w:tcPr>
            <w:tcW w:w="1271" w:type="dxa"/>
            <w:vMerge/>
            <w:vAlign w:val="center"/>
          </w:tcPr>
          <w:p w14:paraId="74DB3C34" w14:textId="77777777" w:rsidR="004F72E8" w:rsidRPr="009D33C3" w:rsidRDefault="004F72E8" w:rsidP="00937D33">
            <w:pPr>
              <w:jc w:val="center"/>
              <w:rPr>
                <w:rFonts w:ascii="Open Sans" w:hAnsi="Open Sans" w:cs="Open Sans"/>
                <w:sz w:val="20"/>
                <w:szCs w:val="20"/>
              </w:rPr>
            </w:pPr>
          </w:p>
        </w:tc>
        <w:tc>
          <w:tcPr>
            <w:tcW w:w="1701" w:type="dxa"/>
            <w:vAlign w:val="center"/>
          </w:tcPr>
          <w:p w14:paraId="19A18989"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26 - 30</w:t>
            </w:r>
          </w:p>
        </w:tc>
        <w:tc>
          <w:tcPr>
            <w:tcW w:w="1418" w:type="dxa"/>
            <w:vAlign w:val="center"/>
          </w:tcPr>
          <w:p w14:paraId="6525FCF2"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£20,000</w:t>
            </w:r>
          </w:p>
        </w:tc>
        <w:tc>
          <w:tcPr>
            <w:tcW w:w="992" w:type="dxa"/>
            <w:vAlign w:val="center"/>
          </w:tcPr>
          <w:p w14:paraId="7D65C83F"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£710</w:t>
            </w:r>
          </w:p>
        </w:tc>
        <w:tc>
          <w:tcPr>
            <w:tcW w:w="1276" w:type="dxa"/>
            <w:vAlign w:val="center"/>
          </w:tcPr>
          <w:p w14:paraId="44C00E26"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20 %</w:t>
            </w:r>
          </w:p>
        </w:tc>
        <w:tc>
          <w:tcPr>
            <w:tcW w:w="1134" w:type="dxa"/>
            <w:vAlign w:val="center"/>
          </w:tcPr>
          <w:p w14:paraId="16EBABFD"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£16,000</w:t>
            </w:r>
          </w:p>
        </w:tc>
        <w:tc>
          <w:tcPr>
            <w:tcW w:w="1417" w:type="dxa"/>
            <w:vAlign w:val="center"/>
          </w:tcPr>
          <w:p w14:paraId="6A31B6C4" w14:textId="77777777" w:rsidR="004F72E8" w:rsidRPr="009D33C3" w:rsidRDefault="00414D3E" w:rsidP="00937D33">
            <w:pPr>
              <w:jc w:val="center"/>
              <w:rPr>
                <w:rFonts w:ascii="Open Sans" w:hAnsi="Open Sans" w:cs="Open Sans"/>
                <w:color w:val="FF0000"/>
                <w:sz w:val="20"/>
                <w:szCs w:val="20"/>
              </w:rPr>
            </w:pPr>
            <w:r w:rsidRPr="009D33C3">
              <w:rPr>
                <w:rFonts w:ascii="Open Sans" w:hAnsi="Open Sans" w:cs="Open Sans"/>
                <w:color w:val="FF0000"/>
                <w:sz w:val="20"/>
                <w:szCs w:val="20"/>
              </w:rPr>
              <w:t>No</w:t>
            </w:r>
          </w:p>
        </w:tc>
      </w:tr>
      <w:tr w:rsidR="00FD14DC" w14:paraId="7C5E315B" w14:textId="77777777" w:rsidTr="00B91268">
        <w:tc>
          <w:tcPr>
            <w:tcW w:w="1271" w:type="dxa"/>
            <w:vMerge/>
            <w:vAlign w:val="center"/>
          </w:tcPr>
          <w:p w14:paraId="1D3287CF" w14:textId="77777777" w:rsidR="004F72E8" w:rsidRPr="009D33C3" w:rsidRDefault="004F72E8" w:rsidP="00937D33">
            <w:pPr>
              <w:jc w:val="center"/>
              <w:rPr>
                <w:rFonts w:ascii="Open Sans" w:hAnsi="Open Sans" w:cs="Open Sans"/>
                <w:sz w:val="20"/>
                <w:szCs w:val="20"/>
              </w:rPr>
            </w:pPr>
          </w:p>
        </w:tc>
        <w:tc>
          <w:tcPr>
            <w:tcW w:w="1701" w:type="dxa"/>
            <w:vAlign w:val="center"/>
          </w:tcPr>
          <w:p w14:paraId="3690C254"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31 - 35</w:t>
            </w:r>
          </w:p>
        </w:tc>
        <w:tc>
          <w:tcPr>
            <w:tcW w:w="1418" w:type="dxa"/>
            <w:vAlign w:val="center"/>
          </w:tcPr>
          <w:p w14:paraId="6A7BD7D8"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£20,000</w:t>
            </w:r>
          </w:p>
        </w:tc>
        <w:tc>
          <w:tcPr>
            <w:tcW w:w="992" w:type="dxa"/>
            <w:vAlign w:val="center"/>
          </w:tcPr>
          <w:p w14:paraId="2C1476AD"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£630</w:t>
            </w:r>
          </w:p>
        </w:tc>
        <w:tc>
          <w:tcPr>
            <w:tcW w:w="1276" w:type="dxa"/>
            <w:vAlign w:val="center"/>
          </w:tcPr>
          <w:p w14:paraId="28199255"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20 %</w:t>
            </w:r>
          </w:p>
        </w:tc>
        <w:tc>
          <w:tcPr>
            <w:tcW w:w="1134" w:type="dxa"/>
            <w:vAlign w:val="center"/>
          </w:tcPr>
          <w:p w14:paraId="780F854B"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£16,000</w:t>
            </w:r>
          </w:p>
        </w:tc>
        <w:tc>
          <w:tcPr>
            <w:tcW w:w="1417" w:type="dxa"/>
            <w:vAlign w:val="center"/>
          </w:tcPr>
          <w:p w14:paraId="067973DA" w14:textId="77777777" w:rsidR="004F72E8" w:rsidRPr="009D33C3" w:rsidRDefault="00414D3E" w:rsidP="00937D33">
            <w:pPr>
              <w:jc w:val="center"/>
              <w:rPr>
                <w:rFonts w:ascii="Open Sans" w:hAnsi="Open Sans" w:cs="Open Sans"/>
                <w:color w:val="FF0000"/>
                <w:sz w:val="20"/>
                <w:szCs w:val="20"/>
              </w:rPr>
            </w:pPr>
            <w:r w:rsidRPr="009D33C3">
              <w:rPr>
                <w:rFonts w:ascii="Open Sans" w:hAnsi="Open Sans" w:cs="Open Sans"/>
                <w:color w:val="FF0000"/>
                <w:sz w:val="20"/>
                <w:szCs w:val="20"/>
              </w:rPr>
              <w:t>No</w:t>
            </w:r>
          </w:p>
        </w:tc>
      </w:tr>
      <w:tr w:rsidR="00FD14DC" w14:paraId="53E76EA5" w14:textId="77777777" w:rsidTr="00B91268">
        <w:tc>
          <w:tcPr>
            <w:tcW w:w="1271" w:type="dxa"/>
            <w:vMerge/>
            <w:vAlign w:val="center"/>
          </w:tcPr>
          <w:p w14:paraId="449874FB" w14:textId="77777777" w:rsidR="004F72E8" w:rsidRPr="009D33C3" w:rsidRDefault="004F72E8" w:rsidP="00937D33">
            <w:pPr>
              <w:jc w:val="center"/>
              <w:rPr>
                <w:rFonts w:ascii="Open Sans" w:hAnsi="Open Sans" w:cs="Open Sans"/>
                <w:sz w:val="20"/>
                <w:szCs w:val="20"/>
              </w:rPr>
            </w:pPr>
          </w:p>
        </w:tc>
        <w:tc>
          <w:tcPr>
            <w:tcW w:w="1701" w:type="dxa"/>
            <w:vAlign w:val="center"/>
          </w:tcPr>
          <w:p w14:paraId="27CCA404"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36 - 40</w:t>
            </w:r>
          </w:p>
        </w:tc>
        <w:tc>
          <w:tcPr>
            <w:tcW w:w="1418" w:type="dxa"/>
            <w:vAlign w:val="center"/>
          </w:tcPr>
          <w:p w14:paraId="70BCF754"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w:t>
            </w:r>
          </w:p>
        </w:tc>
        <w:tc>
          <w:tcPr>
            <w:tcW w:w="992" w:type="dxa"/>
            <w:vAlign w:val="center"/>
          </w:tcPr>
          <w:p w14:paraId="1C695578"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w:t>
            </w:r>
          </w:p>
        </w:tc>
        <w:tc>
          <w:tcPr>
            <w:tcW w:w="1276" w:type="dxa"/>
            <w:vAlign w:val="center"/>
          </w:tcPr>
          <w:p w14:paraId="10008B21"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w:t>
            </w:r>
          </w:p>
        </w:tc>
        <w:tc>
          <w:tcPr>
            <w:tcW w:w="1134" w:type="dxa"/>
            <w:vAlign w:val="center"/>
          </w:tcPr>
          <w:p w14:paraId="7FE61CBE"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w:t>
            </w:r>
          </w:p>
        </w:tc>
        <w:tc>
          <w:tcPr>
            <w:tcW w:w="1417" w:type="dxa"/>
            <w:vAlign w:val="center"/>
          </w:tcPr>
          <w:p w14:paraId="39E9A839"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w:t>
            </w:r>
          </w:p>
        </w:tc>
      </w:tr>
      <w:tr w:rsidR="00FD14DC" w14:paraId="07ADF79C" w14:textId="77777777" w:rsidTr="00B91268">
        <w:tc>
          <w:tcPr>
            <w:tcW w:w="1271" w:type="dxa"/>
            <w:vMerge/>
            <w:vAlign w:val="center"/>
          </w:tcPr>
          <w:p w14:paraId="708C84E8" w14:textId="77777777" w:rsidR="004F72E8" w:rsidRPr="009D33C3" w:rsidRDefault="004F72E8" w:rsidP="00937D33">
            <w:pPr>
              <w:jc w:val="center"/>
              <w:rPr>
                <w:rFonts w:ascii="Open Sans" w:hAnsi="Open Sans" w:cs="Open Sans"/>
                <w:sz w:val="20"/>
                <w:szCs w:val="20"/>
              </w:rPr>
            </w:pPr>
          </w:p>
        </w:tc>
        <w:tc>
          <w:tcPr>
            <w:tcW w:w="1701" w:type="dxa"/>
            <w:vAlign w:val="center"/>
          </w:tcPr>
          <w:p w14:paraId="59D3B7BC"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41 - 45</w:t>
            </w:r>
          </w:p>
        </w:tc>
        <w:tc>
          <w:tcPr>
            <w:tcW w:w="1418" w:type="dxa"/>
            <w:vAlign w:val="center"/>
          </w:tcPr>
          <w:p w14:paraId="2A3C8017"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£22,500</w:t>
            </w:r>
          </w:p>
        </w:tc>
        <w:tc>
          <w:tcPr>
            <w:tcW w:w="992" w:type="dxa"/>
            <w:vAlign w:val="center"/>
          </w:tcPr>
          <w:p w14:paraId="6E0AAF32"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£530</w:t>
            </w:r>
          </w:p>
        </w:tc>
        <w:tc>
          <w:tcPr>
            <w:tcW w:w="1276" w:type="dxa"/>
            <w:vAlign w:val="center"/>
          </w:tcPr>
          <w:p w14:paraId="2AEFFDE3"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18 %</w:t>
            </w:r>
          </w:p>
        </w:tc>
        <w:tc>
          <w:tcPr>
            <w:tcW w:w="1134" w:type="dxa"/>
            <w:vAlign w:val="center"/>
          </w:tcPr>
          <w:p w14:paraId="53EBB685"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£18,500</w:t>
            </w:r>
          </w:p>
        </w:tc>
        <w:tc>
          <w:tcPr>
            <w:tcW w:w="1417" w:type="dxa"/>
            <w:vAlign w:val="center"/>
          </w:tcPr>
          <w:p w14:paraId="14C5E9FB"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FF0000"/>
                <w:sz w:val="20"/>
                <w:szCs w:val="20"/>
              </w:rPr>
              <w:t>No</w:t>
            </w:r>
          </w:p>
        </w:tc>
      </w:tr>
      <w:tr w:rsidR="00FD14DC" w14:paraId="61EC1252" w14:textId="77777777" w:rsidTr="00B91268">
        <w:trPr>
          <w:trHeight w:val="79"/>
        </w:trPr>
        <w:tc>
          <w:tcPr>
            <w:tcW w:w="1271" w:type="dxa"/>
            <w:vMerge/>
            <w:vAlign w:val="center"/>
          </w:tcPr>
          <w:p w14:paraId="3800E2B4" w14:textId="77777777" w:rsidR="004F72E8" w:rsidRPr="009D33C3" w:rsidRDefault="004F72E8" w:rsidP="00937D33">
            <w:pPr>
              <w:jc w:val="center"/>
              <w:rPr>
                <w:rFonts w:ascii="Open Sans" w:hAnsi="Open Sans" w:cs="Open Sans"/>
                <w:sz w:val="20"/>
                <w:szCs w:val="20"/>
              </w:rPr>
            </w:pPr>
          </w:p>
        </w:tc>
        <w:tc>
          <w:tcPr>
            <w:tcW w:w="1701" w:type="dxa"/>
            <w:vAlign w:val="center"/>
          </w:tcPr>
          <w:p w14:paraId="1505F4BA" w14:textId="77777777" w:rsidR="004F72E8" w:rsidRPr="009D33C3" w:rsidRDefault="00414D3E" w:rsidP="00937D33">
            <w:pPr>
              <w:jc w:val="center"/>
              <w:rPr>
                <w:rFonts w:ascii="Open Sans" w:hAnsi="Open Sans" w:cs="Open Sans"/>
                <w:b/>
                <w:bCs/>
                <w:color w:val="000000"/>
                <w:sz w:val="20"/>
                <w:szCs w:val="20"/>
              </w:rPr>
            </w:pPr>
            <w:r w:rsidRPr="009D33C3">
              <w:rPr>
                <w:rFonts w:ascii="Open Sans" w:hAnsi="Open Sans" w:cs="Open Sans"/>
                <w:b/>
                <w:bCs/>
                <w:color w:val="000000"/>
                <w:sz w:val="20"/>
                <w:szCs w:val="20"/>
              </w:rPr>
              <w:t>Average across the range</w:t>
            </w:r>
          </w:p>
        </w:tc>
        <w:tc>
          <w:tcPr>
            <w:tcW w:w="1418" w:type="dxa"/>
            <w:vAlign w:val="center"/>
          </w:tcPr>
          <w:p w14:paraId="208A352D" w14:textId="77777777" w:rsidR="004F72E8" w:rsidRPr="009D33C3" w:rsidRDefault="00414D3E" w:rsidP="00937D33">
            <w:pPr>
              <w:jc w:val="center"/>
              <w:rPr>
                <w:rFonts w:ascii="Open Sans" w:hAnsi="Open Sans" w:cs="Open Sans"/>
                <w:b/>
                <w:bCs/>
                <w:color w:val="000000"/>
                <w:sz w:val="20"/>
                <w:szCs w:val="20"/>
              </w:rPr>
            </w:pPr>
            <w:r w:rsidRPr="009D33C3">
              <w:rPr>
                <w:rFonts w:ascii="Open Sans" w:hAnsi="Open Sans" w:cs="Open Sans"/>
                <w:b/>
                <w:bCs/>
                <w:color w:val="000000"/>
                <w:sz w:val="20"/>
                <w:szCs w:val="20"/>
              </w:rPr>
              <w:t>£11,274</w:t>
            </w:r>
          </w:p>
        </w:tc>
        <w:tc>
          <w:tcPr>
            <w:tcW w:w="992" w:type="dxa"/>
            <w:vAlign w:val="center"/>
          </w:tcPr>
          <w:p w14:paraId="7126BC43" w14:textId="77777777" w:rsidR="004F72E8" w:rsidRPr="009D33C3" w:rsidRDefault="00414D3E" w:rsidP="00937D33">
            <w:pPr>
              <w:jc w:val="center"/>
              <w:rPr>
                <w:rFonts w:ascii="Open Sans" w:hAnsi="Open Sans" w:cs="Open Sans"/>
                <w:b/>
                <w:bCs/>
                <w:color w:val="000000"/>
                <w:sz w:val="20"/>
                <w:szCs w:val="20"/>
              </w:rPr>
            </w:pPr>
            <w:r w:rsidRPr="009D33C3">
              <w:rPr>
                <w:rFonts w:ascii="Open Sans" w:hAnsi="Open Sans" w:cs="Open Sans"/>
                <w:b/>
                <w:bCs/>
                <w:color w:val="000000"/>
                <w:sz w:val="20"/>
                <w:szCs w:val="20"/>
              </w:rPr>
              <w:t>£866</w:t>
            </w:r>
          </w:p>
        </w:tc>
        <w:tc>
          <w:tcPr>
            <w:tcW w:w="1276" w:type="dxa"/>
            <w:vAlign w:val="center"/>
          </w:tcPr>
          <w:p w14:paraId="76114A07" w14:textId="77777777" w:rsidR="004F72E8" w:rsidRPr="009D33C3" w:rsidRDefault="00414D3E" w:rsidP="00937D33">
            <w:pPr>
              <w:jc w:val="center"/>
              <w:rPr>
                <w:rFonts w:ascii="Open Sans" w:hAnsi="Open Sans" w:cs="Open Sans"/>
                <w:b/>
                <w:bCs/>
                <w:sz w:val="20"/>
                <w:szCs w:val="20"/>
              </w:rPr>
            </w:pPr>
            <w:r w:rsidRPr="009D33C3">
              <w:rPr>
                <w:rFonts w:ascii="Open Sans" w:hAnsi="Open Sans" w:cs="Open Sans"/>
                <w:b/>
                <w:bCs/>
                <w:sz w:val="20"/>
                <w:szCs w:val="20"/>
              </w:rPr>
              <w:t>35 %</w:t>
            </w:r>
          </w:p>
        </w:tc>
        <w:tc>
          <w:tcPr>
            <w:tcW w:w="1134" w:type="dxa"/>
            <w:vAlign w:val="center"/>
          </w:tcPr>
          <w:p w14:paraId="1051D9C5" w14:textId="77777777" w:rsidR="004F72E8" w:rsidRPr="009D33C3" w:rsidRDefault="00414D3E" w:rsidP="00937D33">
            <w:pPr>
              <w:jc w:val="center"/>
              <w:rPr>
                <w:rFonts w:ascii="Open Sans" w:hAnsi="Open Sans" w:cs="Open Sans"/>
                <w:b/>
                <w:bCs/>
                <w:sz w:val="20"/>
                <w:szCs w:val="20"/>
              </w:rPr>
            </w:pPr>
            <w:r w:rsidRPr="009D33C3">
              <w:rPr>
                <w:rFonts w:ascii="Open Sans" w:hAnsi="Open Sans" w:cs="Open Sans"/>
                <w:b/>
                <w:bCs/>
                <w:sz w:val="20"/>
                <w:szCs w:val="20"/>
              </w:rPr>
              <w:t>£7,274</w:t>
            </w:r>
          </w:p>
        </w:tc>
        <w:tc>
          <w:tcPr>
            <w:tcW w:w="1417" w:type="dxa"/>
            <w:vAlign w:val="center"/>
          </w:tcPr>
          <w:p w14:paraId="2F1C0B59" w14:textId="77777777" w:rsidR="004F72E8" w:rsidRPr="009D33C3" w:rsidRDefault="00414D3E" w:rsidP="00937D33">
            <w:pPr>
              <w:jc w:val="center"/>
              <w:rPr>
                <w:rFonts w:ascii="Open Sans" w:hAnsi="Open Sans" w:cs="Open Sans"/>
                <w:b/>
                <w:bCs/>
                <w:sz w:val="20"/>
                <w:szCs w:val="20"/>
              </w:rPr>
            </w:pPr>
            <w:r w:rsidRPr="009D33C3">
              <w:rPr>
                <w:rFonts w:ascii="Open Sans" w:hAnsi="Open Sans" w:cs="Open Sans"/>
                <w:b/>
                <w:bCs/>
                <w:color w:val="FF0000"/>
                <w:sz w:val="20"/>
                <w:szCs w:val="20"/>
              </w:rPr>
              <w:t>No</w:t>
            </w:r>
          </w:p>
        </w:tc>
      </w:tr>
      <w:tr w:rsidR="00FD14DC" w14:paraId="4D07D284" w14:textId="77777777" w:rsidTr="00B91268">
        <w:trPr>
          <w:trHeight w:val="79"/>
        </w:trPr>
        <w:tc>
          <w:tcPr>
            <w:tcW w:w="9209" w:type="dxa"/>
            <w:gridSpan w:val="7"/>
            <w:shd w:val="clear" w:color="auto" w:fill="4472C4" w:themeFill="accent1"/>
          </w:tcPr>
          <w:p w14:paraId="3887CE73" w14:textId="77777777" w:rsidR="004F72E8" w:rsidRPr="009D33C3" w:rsidRDefault="004F72E8" w:rsidP="00937D33">
            <w:pPr>
              <w:rPr>
                <w:rFonts w:ascii="Open Sans" w:hAnsi="Open Sans" w:cs="Open Sans"/>
                <w:sz w:val="20"/>
                <w:szCs w:val="20"/>
              </w:rPr>
            </w:pPr>
          </w:p>
        </w:tc>
      </w:tr>
      <w:tr w:rsidR="00FD14DC" w14:paraId="39308C85" w14:textId="77777777" w:rsidTr="00B91268">
        <w:trPr>
          <w:trHeight w:val="79"/>
        </w:trPr>
        <w:tc>
          <w:tcPr>
            <w:tcW w:w="1271" w:type="dxa"/>
            <w:vMerge w:val="restart"/>
            <w:vAlign w:val="center"/>
          </w:tcPr>
          <w:p w14:paraId="4023E965" w14:textId="77777777" w:rsidR="004F72E8" w:rsidRPr="009D33C3" w:rsidRDefault="00414D3E" w:rsidP="00937D33">
            <w:pPr>
              <w:jc w:val="center"/>
              <w:rPr>
                <w:rFonts w:ascii="Open Sans" w:hAnsi="Open Sans" w:cs="Open Sans"/>
                <w:sz w:val="20"/>
                <w:szCs w:val="20"/>
              </w:rPr>
            </w:pPr>
            <w:r w:rsidRPr="009D33C3">
              <w:rPr>
                <w:rFonts w:ascii="Open Sans" w:hAnsi="Open Sans" w:cs="Open Sans"/>
                <w:sz w:val="20"/>
                <w:szCs w:val="20"/>
              </w:rPr>
              <w:t>Biomass</w:t>
            </w:r>
          </w:p>
        </w:tc>
        <w:tc>
          <w:tcPr>
            <w:tcW w:w="1701" w:type="dxa"/>
            <w:vAlign w:val="center"/>
          </w:tcPr>
          <w:p w14:paraId="3CBDA08F"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Less than 5</w:t>
            </w:r>
          </w:p>
        </w:tc>
        <w:tc>
          <w:tcPr>
            <w:tcW w:w="1418" w:type="dxa"/>
            <w:vAlign w:val="center"/>
          </w:tcPr>
          <w:p w14:paraId="51C551C2"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w:t>
            </w:r>
          </w:p>
        </w:tc>
        <w:tc>
          <w:tcPr>
            <w:tcW w:w="992" w:type="dxa"/>
            <w:vAlign w:val="center"/>
          </w:tcPr>
          <w:p w14:paraId="19DE6814"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w:t>
            </w:r>
          </w:p>
        </w:tc>
        <w:tc>
          <w:tcPr>
            <w:tcW w:w="1276" w:type="dxa"/>
            <w:vAlign w:val="center"/>
          </w:tcPr>
          <w:p w14:paraId="044B90A0" w14:textId="77777777" w:rsidR="004F72E8" w:rsidRPr="009D33C3" w:rsidRDefault="00414D3E" w:rsidP="00937D33">
            <w:pPr>
              <w:jc w:val="center"/>
              <w:rPr>
                <w:rFonts w:ascii="Open Sans" w:hAnsi="Open Sans" w:cs="Open Sans"/>
                <w:sz w:val="20"/>
                <w:szCs w:val="20"/>
              </w:rPr>
            </w:pPr>
            <w:r w:rsidRPr="009D33C3">
              <w:rPr>
                <w:rFonts w:ascii="Open Sans" w:hAnsi="Open Sans" w:cs="Open Sans"/>
                <w:sz w:val="20"/>
                <w:szCs w:val="20"/>
              </w:rPr>
              <w:t>-</w:t>
            </w:r>
          </w:p>
        </w:tc>
        <w:tc>
          <w:tcPr>
            <w:tcW w:w="1134" w:type="dxa"/>
            <w:vAlign w:val="center"/>
          </w:tcPr>
          <w:p w14:paraId="61F7F6EE" w14:textId="77777777" w:rsidR="004F72E8" w:rsidRPr="009D33C3" w:rsidRDefault="004F72E8" w:rsidP="00937D33">
            <w:pPr>
              <w:jc w:val="center"/>
              <w:rPr>
                <w:rFonts w:ascii="Open Sans" w:hAnsi="Open Sans" w:cs="Open Sans"/>
                <w:sz w:val="20"/>
                <w:szCs w:val="20"/>
              </w:rPr>
            </w:pPr>
          </w:p>
        </w:tc>
        <w:tc>
          <w:tcPr>
            <w:tcW w:w="1417" w:type="dxa"/>
            <w:vAlign w:val="center"/>
          </w:tcPr>
          <w:p w14:paraId="00C8FA22" w14:textId="77777777" w:rsidR="004F72E8" w:rsidRPr="009D33C3" w:rsidRDefault="004F72E8" w:rsidP="00937D33">
            <w:pPr>
              <w:jc w:val="center"/>
              <w:rPr>
                <w:rFonts w:ascii="Open Sans" w:hAnsi="Open Sans" w:cs="Open Sans"/>
                <w:sz w:val="20"/>
                <w:szCs w:val="20"/>
              </w:rPr>
            </w:pPr>
          </w:p>
        </w:tc>
      </w:tr>
      <w:tr w:rsidR="00FD14DC" w14:paraId="0C5CB34B" w14:textId="77777777" w:rsidTr="00B91268">
        <w:trPr>
          <w:trHeight w:val="79"/>
        </w:trPr>
        <w:tc>
          <w:tcPr>
            <w:tcW w:w="1271" w:type="dxa"/>
            <w:vMerge/>
            <w:vAlign w:val="center"/>
          </w:tcPr>
          <w:p w14:paraId="168B9D91" w14:textId="77777777" w:rsidR="004F72E8" w:rsidRPr="009D33C3" w:rsidRDefault="004F72E8" w:rsidP="00937D33">
            <w:pPr>
              <w:jc w:val="center"/>
              <w:rPr>
                <w:rFonts w:ascii="Open Sans" w:hAnsi="Open Sans" w:cs="Open Sans"/>
                <w:sz w:val="20"/>
                <w:szCs w:val="20"/>
              </w:rPr>
            </w:pPr>
          </w:p>
        </w:tc>
        <w:tc>
          <w:tcPr>
            <w:tcW w:w="1701" w:type="dxa"/>
            <w:vAlign w:val="center"/>
          </w:tcPr>
          <w:p w14:paraId="05287B0D"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6 - 10</w:t>
            </w:r>
          </w:p>
        </w:tc>
        <w:tc>
          <w:tcPr>
            <w:tcW w:w="1418" w:type="dxa"/>
            <w:vAlign w:val="center"/>
          </w:tcPr>
          <w:p w14:paraId="7D055E1D"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£13,000</w:t>
            </w:r>
          </w:p>
        </w:tc>
        <w:tc>
          <w:tcPr>
            <w:tcW w:w="992" w:type="dxa"/>
            <w:vAlign w:val="center"/>
          </w:tcPr>
          <w:p w14:paraId="51F867CF"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£1,360</w:t>
            </w:r>
          </w:p>
        </w:tc>
        <w:tc>
          <w:tcPr>
            <w:tcW w:w="1276" w:type="dxa"/>
            <w:vAlign w:val="center"/>
          </w:tcPr>
          <w:p w14:paraId="41B351FB"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31</w:t>
            </w:r>
          </w:p>
        </w:tc>
        <w:tc>
          <w:tcPr>
            <w:tcW w:w="1134" w:type="dxa"/>
            <w:vAlign w:val="center"/>
          </w:tcPr>
          <w:p w14:paraId="175CE599"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9,000</w:t>
            </w:r>
          </w:p>
        </w:tc>
        <w:tc>
          <w:tcPr>
            <w:tcW w:w="1417" w:type="dxa"/>
            <w:vAlign w:val="center"/>
          </w:tcPr>
          <w:p w14:paraId="61E0E922"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FF0000"/>
                <w:sz w:val="20"/>
                <w:szCs w:val="20"/>
              </w:rPr>
              <w:t>No</w:t>
            </w:r>
          </w:p>
        </w:tc>
      </w:tr>
      <w:tr w:rsidR="00FD14DC" w14:paraId="02F4D081" w14:textId="77777777" w:rsidTr="00B91268">
        <w:trPr>
          <w:trHeight w:val="79"/>
        </w:trPr>
        <w:tc>
          <w:tcPr>
            <w:tcW w:w="1271" w:type="dxa"/>
            <w:vMerge/>
            <w:vAlign w:val="center"/>
          </w:tcPr>
          <w:p w14:paraId="5B56F3F9" w14:textId="77777777" w:rsidR="004F72E8" w:rsidRPr="009D33C3" w:rsidRDefault="004F72E8" w:rsidP="00937D33">
            <w:pPr>
              <w:jc w:val="center"/>
              <w:rPr>
                <w:rFonts w:ascii="Open Sans" w:hAnsi="Open Sans" w:cs="Open Sans"/>
                <w:sz w:val="20"/>
                <w:szCs w:val="20"/>
              </w:rPr>
            </w:pPr>
          </w:p>
        </w:tc>
        <w:tc>
          <w:tcPr>
            <w:tcW w:w="1701" w:type="dxa"/>
            <w:vAlign w:val="center"/>
          </w:tcPr>
          <w:p w14:paraId="31DA8C59"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11 - 15</w:t>
            </w:r>
          </w:p>
        </w:tc>
        <w:tc>
          <w:tcPr>
            <w:tcW w:w="1418" w:type="dxa"/>
            <w:vAlign w:val="center"/>
          </w:tcPr>
          <w:p w14:paraId="2846F399"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£11,760</w:t>
            </w:r>
          </w:p>
        </w:tc>
        <w:tc>
          <w:tcPr>
            <w:tcW w:w="992" w:type="dxa"/>
            <w:vAlign w:val="center"/>
          </w:tcPr>
          <w:p w14:paraId="44FBF013"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£820</w:t>
            </w:r>
          </w:p>
        </w:tc>
        <w:tc>
          <w:tcPr>
            <w:tcW w:w="1276" w:type="dxa"/>
            <w:vAlign w:val="center"/>
          </w:tcPr>
          <w:p w14:paraId="1035EB49"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34</w:t>
            </w:r>
          </w:p>
        </w:tc>
        <w:tc>
          <w:tcPr>
            <w:tcW w:w="1134" w:type="dxa"/>
            <w:vAlign w:val="center"/>
          </w:tcPr>
          <w:p w14:paraId="7F9015F3"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7,760</w:t>
            </w:r>
          </w:p>
        </w:tc>
        <w:tc>
          <w:tcPr>
            <w:tcW w:w="1417" w:type="dxa"/>
            <w:vAlign w:val="center"/>
          </w:tcPr>
          <w:p w14:paraId="55A70197"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FF0000"/>
                <w:sz w:val="20"/>
                <w:szCs w:val="20"/>
              </w:rPr>
              <w:t>No</w:t>
            </w:r>
          </w:p>
        </w:tc>
      </w:tr>
      <w:tr w:rsidR="00FD14DC" w14:paraId="55CA694C" w14:textId="77777777" w:rsidTr="00B91268">
        <w:trPr>
          <w:trHeight w:val="79"/>
        </w:trPr>
        <w:tc>
          <w:tcPr>
            <w:tcW w:w="1271" w:type="dxa"/>
            <w:vMerge/>
            <w:vAlign w:val="center"/>
          </w:tcPr>
          <w:p w14:paraId="04EFA5C1" w14:textId="77777777" w:rsidR="004F72E8" w:rsidRPr="009D33C3" w:rsidRDefault="004F72E8" w:rsidP="00937D33">
            <w:pPr>
              <w:jc w:val="center"/>
              <w:rPr>
                <w:rFonts w:ascii="Open Sans" w:hAnsi="Open Sans" w:cs="Open Sans"/>
                <w:sz w:val="20"/>
                <w:szCs w:val="20"/>
              </w:rPr>
            </w:pPr>
          </w:p>
        </w:tc>
        <w:tc>
          <w:tcPr>
            <w:tcW w:w="1701" w:type="dxa"/>
            <w:vAlign w:val="center"/>
          </w:tcPr>
          <w:p w14:paraId="78B69C21"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16 - 20</w:t>
            </w:r>
          </w:p>
        </w:tc>
        <w:tc>
          <w:tcPr>
            <w:tcW w:w="1418" w:type="dxa"/>
            <w:vAlign w:val="center"/>
          </w:tcPr>
          <w:p w14:paraId="1090859C"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£13,000</w:t>
            </w:r>
          </w:p>
        </w:tc>
        <w:tc>
          <w:tcPr>
            <w:tcW w:w="992" w:type="dxa"/>
            <w:vAlign w:val="center"/>
          </w:tcPr>
          <w:p w14:paraId="13625DF5"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£690</w:t>
            </w:r>
          </w:p>
        </w:tc>
        <w:tc>
          <w:tcPr>
            <w:tcW w:w="1276" w:type="dxa"/>
            <w:vAlign w:val="center"/>
          </w:tcPr>
          <w:p w14:paraId="3FBB40E4"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31</w:t>
            </w:r>
          </w:p>
        </w:tc>
        <w:tc>
          <w:tcPr>
            <w:tcW w:w="1134" w:type="dxa"/>
            <w:vAlign w:val="center"/>
          </w:tcPr>
          <w:p w14:paraId="0DB55036"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9,000</w:t>
            </w:r>
          </w:p>
        </w:tc>
        <w:tc>
          <w:tcPr>
            <w:tcW w:w="1417" w:type="dxa"/>
            <w:vAlign w:val="center"/>
          </w:tcPr>
          <w:p w14:paraId="7FD2D1E0"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FF0000"/>
                <w:sz w:val="20"/>
                <w:szCs w:val="20"/>
              </w:rPr>
              <w:t>No</w:t>
            </w:r>
          </w:p>
        </w:tc>
      </w:tr>
      <w:tr w:rsidR="00FD14DC" w14:paraId="6EA5FDD7" w14:textId="77777777" w:rsidTr="00B91268">
        <w:trPr>
          <w:trHeight w:val="79"/>
        </w:trPr>
        <w:tc>
          <w:tcPr>
            <w:tcW w:w="1271" w:type="dxa"/>
            <w:vMerge/>
            <w:vAlign w:val="center"/>
          </w:tcPr>
          <w:p w14:paraId="51366A3D" w14:textId="77777777" w:rsidR="004F72E8" w:rsidRPr="009D33C3" w:rsidRDefault="004F72E8" w:rsidP="00937D33">
            <w:pPr>
              <w:jc w:val="center"/>
              <w:rPr>
                <w:rFonts w:ascii="Open Sans" w:hAnsi="Open Sans" w:cs="Open Sans"/>
                <w:sz w:val="20"/>
                <w:szCs w:val="20"/>
              </w:rPr>
            </w:pPr>
          </w:p>
        </w:tc>
        <w:tc>
          <w:tcPr>
            <w:tcW w:w="1701" w:type="dxa"/>
            <w:vAlign w:val="center"/>
          </w:tcPr>
          <w:p w14:paraId="2F969A00"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21 - 25</w:t>
            </w:r>
          </w:p>
        </w:tc>
        <w:tc>
          <w:tcPr>
            <w:tcW w:w="1418" w:type="dxa"/>
            <w:vAlign w:val="center"/>
          </w:tcPr>
          <w:p w14:paraId="3F9EC4CC"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£14,750</w:t>
            </w:r>
          </w:p>
        </w:tc>
        <w:tc>
          <w:tcPr>
            <w:tcW w:w="992" w:type="dxa"/>
            <w:vAlign w:val="center"/>
          </w:tcPr>
          <w:p w14:paraId="48F094EF"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£610</w:t>
            </w:r>
          </w:p>
        </w:tc>
        <w:tc>
          <w:tcPr>
            <w:tcW w:w="1276" w:type="dxa"/>
            <w:vAlign w:val="center"/>
          </w:tcPr>
          <w:p w14:paraId="508E71F6"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27</w:t>
            </w:r>
          </w:p>
        </w:tc>
        <w:tc>
          <w:tcPr>
            <w:tcW w:w="1134" w:type="dxa"/>
            <w:vAlign w:val="center"/>
          </w:tcPr>
          <w:p w14:paraId="03B6BBBE"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10,750</w:t>
            </w:r>
          </w:p>
        </w:tc>
        <w:tc>
          <w:tcPr>
            <w:tcW w:w="1417" w:type="dxa"/>
            <w:vAlign w:val="center"/>
          </w:tcPr>
          <w:p w14:paraId="144D258B"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FF0000"/>
                <w:sz w:val="20"/>
                <w:szCs w:val="20"/>
              </w:rPr>
              <w:t>No</w:t>
            </w:r>
          </w:p>
        </w:tc>
      </w:tr>
      <w:tr w:rsidR="00FD14DC" w14:paraId="3720CCF1" w14:textId="77777777" w:rsidTr="00B91268">
        <w:trPr>
          <w:trHeight w:val="79"/>
        </w:trPr>
        <w:tc>
          <w:tcPr>
            <w:tcW w:w="1271" w:type="dxa"/>
            <w:vMerge/>
            <w:vAlign w:val="center"/>
          </w:tcPr>
          <w:p w14:paraId="710811B8" w14:textId="77777777" w:rsidR="004F72E8" w:rsidRPr="009D33C3" w:rsidRDefault="004F72E8" w:rsidP="00937D33">
            <w:pPr>
              <w:jc w:val="center"/>
              <w:rPr>
                <w:rFonts w:ascii="Open Sans" w:hAnsi="Open Sans" w:cs="Open Sans"/>
                <w:sz w:val="20"/>
                <w:szCs w:val="20"/>
              </w:rPr>
            </w:pPr>
          </w:p>
        </w:tc>
        <w:tc>
          <w:tcPr>
            <w:tcW w:w="1701" w:type="dxa"/>
            <w:vAlign w:val="center"/>
          </w:tcPr>
          <w:p w14:paraId="5D9CC058"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26 - 30</w:t>
            </w:r>
          </w:p>
        </w:tc>
        <w:tc>
          <w:tcPr>
            <w:tcW w:w="1418" w:type="dxa"/>
            <w:vAlign w:val="center"/>
          </w:tcPr>
          <w:p w14:paraId="618BDD96"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£16,500</w:t>
            </w:r>
          </w:p>
        </w:tc>
        <w:tc>
          <w:tcPr>
            <w:tcW w:w="992" w:type="dxa"/>
            <w:vAlign w:val="center"/>
          </w:tcPr>
          <w:p w14:paraId="4DC0B9BA"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£600</w:t>
            </w:r>
          </w:p>
        </w:tc>
        <w:tc>
          <w:tcPr>
            <w:tcW w:w="1276" w:type="dxa"/>
            <w:vAlign w:val="center"/>
          </w:tcPr>
          <w:p w14:paraId="75A20689"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24</w:t>
            </w:r>
          </w:p>
        </w:tc>
        <w:tc>
          <w:tcPr>
            <w:tcW w:w="1134" w:type="dxa"/>
            <w:vAlign w:val="center"/>
          </w:tcPr>
          <w:p w14:paraId="63E19A2C"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12,500</w:t>
            </w:r>
          </w:p>
        </w:tc>
        <w:tc>
          <w:tcPr>
            <w:tcW w:w="1417" w:type="dxa"/>
            <w:vAlign w:val="center"/>
          </w:tcPr>
          <w:p w14:paraId="60E4731B"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FF0000"/>
                <w:sz w:val="20"/>
                <w:szCs w:val="20"/>
              </w:rPr>
              <w:t>No</w:t>
            </w:r>
          </w:p>
        </w:tc>
      </w:tr>
      <w:tr w:rsidR="00FD14DC" w14:paraId="4EA2A9E7" w14:textId="77777777" w:rsidTr="00B91268">
        <w:trPr>
          <w:trHeight w:val="79"/>
        </w:trPr>
        <w:tc>
          <w:tcPr>
            <w:tcW w:w="1271" w:type="dxa"/>
            <w:vMerge/>
            <w:vAlign w:val="center"/>
          </w:tcPr>
          <w:p w14:paraId="0063163E" w14:textId="77777777" w:rsidR="004F72E8" w:rsidRPr="009D33C3" w:rsidRDefault="004F72E8" w:rsidP="00937D33">
            <w:pPr>
              <w:jc w:val="center"/>
              <w:rPr>
                <w:rFonts w:ascii="Open Sans" w:hAnsi="Open Sans" w:cs="Open Sans"/>
                <w:sz w:val="20"/>
                <w:szCs w:val="20"/>
              </w:rPr>
            </w:pPr>
          </w:p>
        </w:tc>
        <w:tc>
          <w:tcPr>
            <w:tcW w:w="1701" w:type="dxa"/>
            <w:vAlign w:val="center"/>
          </w:tcPr>
          <w:p w14:paraId="7458F015"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31 - 35</w:t>
            </w:r>
          </w:p>
        </w:tc>
        <w:tc>
          <w:tcPr>
            <w:tcW w:w="1418" w:type="dxa"/>
            <w:vAlign w:val="center"/>
          </w:tcPr>
          <w:p w14:paraId="12FF523D"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£18,000</w:t>
            </w:r>
          </w:p>
        </w:tc>
        <w:tc>
          <w:tcPr>
            <w:tcW w:w="992" w:type="dxa"/>
            <w:vAlign w:val="center"/>
          </w:tcPr>
          <w:p w14:paraId="6802B2B8"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£510</w:t>
            </w:r>
          </w:p>
        </w:tc>
        <w:tc>
          <w:tcPr>
            <w:tcW w:w="1276" w:type="dxa"/>
            <w:vAlign w:val="center"/>
          </w:tcPr>
          <w:p w14:paraId="4A8F1E66"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22</w:t>
            </w:r>
          </w:p>
        </w:tc>
        <w:tc>
          <w:tcPr>
            <w:tcW w:w="1134" w:type="dxa"/>
            <w:vAlign w:val="center"/>
          </w:tcPr>
          <w:p w14:paraId="6F8E1BEC"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14,000</w:t>
            </w:r>
          </w:p>
        </w:tc>
        <w:tc>
          <w:tcPr>
            <w:tcW w:w="1417" w:type="dxa"/>
            <w:vAlign w:val="center"/>
          </w:tcPr>
          <w:p w14:paraId="39D22A04"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FF0000"/>
                <w:sz w:val="20"/>
                <w:szCs w:val="20"/>
              </w:rPr>
              <w:t>No</w:t>
            </w:r>
          </w:p>
        </w:tc>
      </w:tr>
      <w:tr w:rsidR="00FD14DC" w14:paraId="5392AF57" w14:textId="77777777" w:rsidTr="00B91268">
        <w:trPr>
          <w:trHeight w:val="79"/>
        </w:trPr>
        <w:tc>
          <w:tcPr>
            <w:tcW w:w="1271" w:type="dxa"/>
            <w:vMerge/>
            <w:vAlign w:val="center"/>
          </w:tcPr>
          <w:p w14:paraId="515CE393" w14:textId="77777777" w:rsidR="004F72E8" w:rsidRPr="009D33C3" w:rsidRDefault="004F72E8" w:rsidP="00937D33">
            <w:pPr>
              <w:jc w:val="center"/>
              <w:rPr>
                <w:rFonts w:ascii="Open Sans" w:hAnsi="Open Sans" w:cs="Open Sans"/>
                <w:sz w:val="20"/>
                <w:szCs w:val="20"/>
              </w:rPr>
            </w:pPr>
          </w:p>
        </w:tc>
        <w:tc>
          <w:tcPr>
            <w:tcW w:w="1701" w:type="dxa"/>
            <w:vAlign w:val="center"/>
          </w:tcPr>
          <w:p w14:paraId="73936460"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36 - 40</w:t>
            </w:r>
          </w:p>
        </w:tc>
        <w:tc>
          <w:tcPr>
            <w:tcW w:w="1418" w:type="dxa"/>
            <w:vAlign w:val="center"/>
          </w:tcPr>
          <w:p w14:paraId="787EBF3E"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£19,390</w:t>
            </w:r>
          </w:p>
        </w:tc>
        <w:tc>
          <w:tcPr>
            <w:tcW w:w="992" w:type="dxa"/>
            <w:vAlign w:val="center"/>
          </w:tcPr>
          <w:p w14:paraId="317B9DD8"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£500</w:t>
            </w:r>
          </w:p>
        </w:tc>
        <w:tc>
          <w:tcPr>
            <w:tcW w:w="1276" w:type="dxa"/>
            <w:vAlign w:val="center"/>
          </w:tcPr>
          <w:p w14:paraId="6E6325BB"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21</w:t>
            </w:r>
          </w:p>
        </w:tc>
        <w:tc>
          <w:tcPr>
            <w:tcW w:w="1134" w:type="dxa"/>
            <w:vAlign w:val="center"/>
          </w:tcPr>
          <w:p w14:paraId="6CAB74F6"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15,390</w:t>
            </w:r>
          </w:p>
        </w:tc>
        <w:tc>
          <w:tcPr>
            <w:tcW w:w="1417" w:type="dxa"/>
            <w:vAlign w:val="center"/>
          </w:tcPr>
          <w:p w14:paraId="08B2EF4A"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FF0000"/>
                <w:sz w:val="20"/>
                <w:szCs w:val="20"/>
              </w:rPr>
              <w:t>No</w:t>
            </w:r>
          </w:p>
        </w:tc>
      </w:tr>
      <w:tr w:rsidR="00FD14DC" w14:paraId="6218CAC3" w14:textId="77777777" w:rsidTr="00B91268">
        <w:trPr>
          <w:trHeight w:val="79"/>
        </w:trPr>
        <w:tc>
          <w:tcPr>
            <w:tcW w:w="1271" w:type="dxa"/>
            <w:vMerge/>
            <w:vAlign w:val="center"/>
          </w:tcPr>
          <w:p w14:paraId="3D5D850E" w14:textId="77777777" w:rsidR="004F72E8" w:rsidRPr="009D33C3" w:rsidRDefault="004F72E8" w:rsidP="00937D33">
            <w:pPr>
              <w:jc w:val="center"/>
              <w:rPr>
                <w:rFonts w:ascii="Open Sans" w:hAnsi="Open Sans" w:cs="Open Sans"/>
                <w:sz w:val="20"/>
                <w:szCs w:val="20"/>
              </w:rPr>
            </w:pPr>
          </w:p>
        </w:tc>
        <w:tc>
          <w:tcPr>
            <w:tcW w:w="1701" w:type="dxa"/>
            <w:vAlign w:val="center"/>
          </w:tcPr>
          <w:p w14:paraId="47C64BDE"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41 - 45</w:t>
            </w:r>
          </w:p>
        </w:tc>
        <w:tc>
          <w:tcPr>
            <w:tcW w:w="1418" w:type="dxa"/>
            <w:vAlign w:val="center"/>
          </w:tcPr>
          <w:p w14:paraId="1D595F10"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£25,000</w:t>
            </w:r>
          </w:p>
        </w:tc>
        <w:tc>
          <w:tcPr>
            <w:tcW w:w="992" w:type="dxa"/>
            <w:vAlign w:val="center"/>
          </w:tcPr>
          <w:p w14:paraId="08A0B35F" w14:textId="77777777" w:rsidR="004F72E8" w:rsidRPr="009D33C3" w:rsidRDefault="00414D3E" w:rsidP="00937D33">
            <w:pPr>
              <w:jc w:val="center"/>
              <w:rPr>
                <w:rFonts w:ascii="Open Sans" w:hAnsi="Open Sans" w:cs="Open Sans"/>
                <w:color w:val="000000"/>
                <w:sz w:val="20"/>
                <w:szCs w:val="20"/>
              </w:rPr>
            </w:pPr>
            <w:r w:rsidRPr="009D33C3">
              <w:rPr>
                <w:rFonts w:ascii="Open Sans" w:hAnsi="Open Sans" w:cs="Open Sans"/>
                <w:color w:val="000000"/>
                <w:sz w:val="20"/>
                <w:szCs w:val="20"/>
              </w:rPr>
              <w:t>£570</w:t>
            </w:r>
          </w:p>
        </w:tc>
        <w:tc>
          <w:tcPr>
            <w:tcW w:w="1276" w:type="dxa"/>
            <w:vAlign w:val="center"/>
          </w:tcPr>
          <w:p w14:paraId="180DECBA"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16</w:t>
            </w:r>
          </w:p>
        </w:tc>
        <w:tc>
          <w:tcPr>
            <w:tcW w:w="1134" w:type="dxa"/>
            <w:vAlign w:val="center"/>
          </w:tcPr>
          <w:p w14:paraId="693F4B4C"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000000"/>
                <w:sz w:val="20"/>
                <w:szCs w:val="20"/>
              </w:rPr>
              <w:t>21,000</w:t>
            </w:r>
          </w:p>
        </w:tc>
        <w:tc>
          <w:tcPr>
            <w:tcW w:w="1417" w:type="dxa"/>
            <w:vAlign w:val="center"/>
          </w:tcPr>
          <w:p w14:paraId="3C389780" w14:textId="77777777" w:rsidR="004F72E8" w:rsidRPr="009D33C3" w:rsidRDefault="00414D3E" w:rsidP="00937D33">
            <w:pPr>
              <w:jc w:val="center"/>
              <w:rPr>
                <w:rFonts w:ascii="Open Sans" w:hAnsi="Open Sans" w:cs="Open Sans"/>
                <w:sz w:val="20"/>
                <w:szCs w:val="20"/>
              </w:rPr>
            </w:pPr>
            <w:r w:rsidRPr="009D33C3">
              <w:rPr>
                <w:rFonts w:ascii="Open Sans" w:hAnsi="Open Sans" w:cs="Open Sans"/>
                <w:color w:val="FF0000"/>
                <w:sz w:val="20"/>
                <w:szCs w:val="20"/>
              </w:rPr>
              <w:t>No</w:t>
            </w:r>
          </w:p>
        </w:tc>
      </w:tr>
      <w:tr w:rsidR="00FD14DC" w14:paraId="31686540" w14:textId="77777777" w:rsidTr="00B91268">
        <w:trPr>
          <w:trHeight w:val="79"/>
        </w:trPr>
        <w:tc>
          <w:tcPr>
            <w:tcW w:w="1271" w:type="dxa"/>
            <w:vMerge/>
            <w:vAlign w:val="center"/>
          </w:tcPr>
          <w:p w14:paraId="6C277CB2" w14:textId="77777777" w:rsidR="004F72E8" w:rsidRPr="009D33C3" w:rsidRDefault="004F72E8" w:rsidP="00937D33">
            <w:pPr>
              <w:jc w:val="center"/>
              <w:rPr>
                <w:rFonts w:ascii="Open Sans" w:hAnsi="Open Sans" w:cs="Open Sans"/>
                <w:sz w:val="20"/>
                <w:szCs w:val="20"/>
              </w:rPr>
            </w:pPr>
          </w:p>
        </w:tc>
        <w:tc>
          <w:tcPr>
            <w:tcW w:w="1701" w:type="dxa"/>
            <w:vAlign w:val="center"/>
          </w:tcPr>
          <w:p w14:paraId="41E79B0C" w14:textId="77777777" w:rsidR="004F72E8" w:rsidRPr="009D33C3" w:rsidRDefault="00414D3E" w:rsidP="00937D33">
            <w:pPr>
              <w:jc w:val="center"/>
              <w:rPr>
                <w:rFonts w:ascii="Open Sans" w:hAnsi="Open Sans" w:cs="Open Sans"/>
                <w:b/>
                <w:bCs/>
                <w:color w:val="000000"/>
                <w:sz w:val="20"/>
                <w:szCs w:val="20"/>
              </w:rPr>
            </w:pPr>
            <w:r w:rsidRPr="009D33C3">
              <w:rPr>
                <w:rFonts w:ascii="Open Sans" w:hAnsi="Open Sans" w:cs="Open Sans"/>
                <w:b/>
                <w:bCs/>
                <w:color w:val="000000"/>
                <w:sz w:val="20"/>
                <w:szCs w:val="20"/>
              </w:rPr>
              <w:t>Average across the range</w:t>
            </w:r>
          </w:p>
        </w:tc>
        <w:tc>
          <w:tcPr>
            <w:tcW w:w="1418" w:type="dxa"/>
            <w:vAlign w:val="center"/>
          </w:tcPr>
          <w:p w14:paraId="6D33E1DD" w14:textId="77777777" w:rsidR="004F72E8" w:rsidRPr="009D33C3" w:rsidRDefault="00414D3E" w:rsidP="00937D33">
            <w:pPr>
              <w:jc w:val="center"/>
              <w:rPr>
                <w:rFonts w:ascii="Open Sans" w:hAnsi="Open Sans" w:cs="Open Sans"/>
                <w:b/>
                <w:bCs/>
                <w:color w:val="000000"/>
                <w:sz w:val="20"/>
                <w:szCs w:val="20"/>
              </w:rPr>
            </w:pPr>
            <w:r w:rsidRPr="009D33C3">
              <w:rPr>
                <w:rFonts w:ascii="Open Sans" w:hAnsi="Open Sans" w:cs="Open Sans"/>
                <w:b/>
                <w:bCs/>
                <w:color w:val="000000"/>
                <w:sz w:val="20"/>
                <w:szCs w:val="20"/>
              </w:rPr>
              <w:t>£16,425</w:t>
            </w:r>
          </w:p>
        </w:tc>
        <w:tc>
          <w:tcPr>
            <w:tcW w:w="992" w:type="dxa"/>
            <w:vAlign w:val="center"/>
          </w:tcPr>
          <w:p w14:paraId="7A6CD890" w14:textId="77777777" w:rsidR="004F72E8" w:rsidRPr="009D33C3" w:rsidRDefault="00414D3E" w:rsidP="00937D33">
            <w:pPr>
              <w:jc w:val="center"/>
              <w:rPr>
                <w:rFonts w:ascii="Open Sans" w:hAnsi="Open Sans" w:cs="Open Sans"/>
                <w:b/>
                <w:bCs/>
                <w:color w:val="000000"/>
                <w:sz w:val="20"/>
                <w:szCs w:val="20"/>
              </w:rPr>
            </w:pPr>
            <w:r w:rsidRPr="009D33C3">
              <w:rPr>
                <w:rFonts w:ascii="Open Sans" w:hAnsi="Open Sans" w:cs="Open Sans"/>
                <w:b/>
                <w:bCs/>
                <w:color w:val="000000"/>
                <w:sz w:val="20"/>
                <w:szCs w:val="20"/>
              </w:rPr>
              <w:t>£708</w:t>
            </w:r>
          </w:p>
        </w:tc>
        <w:tc>
          <w:tcPr>
            <w:tcW w:w="1276" w:type="dxa"/>
            <w:vAlign w:val="center"/>
          </w:tcPr>
          <w:p w14:paraId="3CBD0120" w14:textId="77777777" w:rsidR="004F72E8" w:rsidRPr="009D33C3" w:rsidRDefault="00414D3E" w:rsidP="00937D33">
            <w:pPr>
              <w:jc w:val="center"/>
              <w:rPr>
                <w:rFonts w:ascii="Open Sans" w:hAnsi="Open Sans" w:cs="Open Sans"/>
                <w:b/>
                <w:bCs/>
                <w:sz w:val="20"/>
                <w:szCs w:val="20"/>
              </w:rPr>
            </w:pPr>
            <w:r w:rsidRPr="009D33C3">
              <w:rPr>
                <w:rFonts w:ascii="Open Sans" w:hAnsi="Open Sans" w:cs="Open Sans"/>
                <w:b/>
                <w:bCs/>
                <w:color w:val="000000"/>
                <w:sz w:val="20"/>
                <w:szCs w:val="20"/>
              </w:rPr>
              <w:t>24</w:t>
            </w:r>
          </w:p>
        </w:tc>
        <w:tc>
          <w:tcPr>
            <w:tcW w:w="1134" w:type="dxa"/>
            <w:vAlign w:val="center"/>
          </w:tcPr>
          <w:p w14:paraId="39E1095C" w14:textId="77777777" w:rsidR="004F72E8" w:rsidRPr="009D33C3" w:rsidRDefault="00414D3E" w:rsidP="00937D33">
            <w:pPr>
              <w:jc w:val="center"/>
              <w:rPr>
                <w:rFonts w:ascii="Open Sans" w:hAnsi="Open Sans" w:cs="Open Sans"/>
                <w:b/>
                <w:bCs/>
                <w:sz w:val="20"/>
                <w:szCs w:val="20"/>
              </w:rPr>
            </w:pPr>
            <w:r w:rsidRPr="009D33C3">
              <w:rPr>
                <w:rFonts w:ascii="Open Sans" w:hAnsi="Open Sans" w:cs="Open Sans"/>
                <w:b/>
                <w:bCs/>
                <w:color w:val="000000"/>
                <w:sz w:val="20"/>
                <w:szCs w:val="20"/>
              </w:rPr>
              <w:t>12,425</w:t>
            </w:r>
          </w:p>
        </w:tc>
        <w:tc>
          <w:tcPr>
            <w:tcW w:w="1417" w:type="dxa"/>
            <w:vAlign w:val="center"/>
          </w:tcPr>
          <w:p w14:paraId="0930D502" w14:textId="77777777" w:rsidR="004F72E8" w:rsidRPr="009D33C3" w:rsidRDefault="00414D3E" w:rsidP="00937D33">
            <w:pPr>
              <w:jc w:val="center"/>
              <w:rPr>
                <w:rFonts w:ascii="Open Sans" w:hAnsi="Open Sans" w:cs="Open Sans"/>
                <w:b/>
                <w:bCs/>
                <w:sz w:val="20"/>
                <w:szCs w:val="20"/>
              </w:rPr>
            </w:pPr>
            <w:r w:rsidRPr="009D33C3">
              <w:rPr>
                <w:rFonts w:ascii="Open Sans" w:hAnsi="Open Sans" w:cs="Open Sans"/>
                <w:b/>
                <w:bCs/>
                <w:color w:val="FF0000"/>
                <w:sz w:val="20"/>
                <w:szCs w:val="20"/>
              </w:rPr>
              <w:t>No</w:t>
            </w:r>
          </w:p>
        </w:tc>
      </w:tr>
    </w:tbl>
    <w:p w14:paraId="0D011295" w14:textId="77777777" w:rsidR="004F72E8" w:rsidRPr="009D33C3" w:rsidRDefault="004F72E8" w:rsidP="004026A5">
      <w:pPr>
        <w:rPr>
          <w:rFonts w:ascii="Open Sans" w:eastAsia="Times New Roman" w:hAnsi="Open Sans" w:cs="Open Sans"/>
          <w:sz w:val="20"/>
          <w:szCs w:val="20"/>
          <w:lang w:eastAsia="en-GB"/>
        </w:rPr>
      </w:pPr>
    </w:p>
    <w:p w14:paraId="7D3298CB" w14:textId="77777777" w:rsidR="004026A5" w:rsidRPr="009D33C3" w:rsidRDefault="00414D3E" w:rsidP="004026A5">
      <w:pPr>
        <w:rPr>
          <w:rFonts w:ascii="Open Sans" w:hAnsi="Open Sans" w:cs="Open Sans"/>
          <w:sz w:val="20"/>
          <w:szCs w:val="20"/>
        </w:rPr>
      </w:pPr>
      <w:r w:rsidRPr="009D33C3">
        <w:rPr>
          <w:rFonts w:ascii="Open Sans" w:hAnsi="Open Sans" w:cs="Open Sans"/>
          <w:sz w:val="20"/>
          <w:szCs w:val="20"/>
        </w:rPr>
        <w:t xml:space="preserve">3.1.2 The £4000 </w:t>
      </w:r>
      <w:r w:rsidR="004F72E8" w:rsidRPr="009D33C3">
        <w:rPr>
          <w:rFonts w:ascii="Open Sans" w:hAnsi="Open Sans" w:cs="Open Sans"/>
          <w:sz w:val="20"/>
          <w:szCs w:val="20"/>
        </w:rPr>
        <w:t xml:space="preserve">level also </w:t>
      </w:r>
      <w:r w:rsidRPr="009D33C3">
        <w:rPr>
          <w:rFonts w:ascii="Open Sans" w:hAnsi="Open Sans" w:cs="Open Sans"/>
          <w:sz w:val="20"/>
          <w:szCs w:val="20"/>
        </w:rPr>
        <w:t xml:space="preserve">means that if a </w:t>
      </w:r>
      <w:r w:rsidRPr="009D33C3">
        <w:rPr>
          <w:rFonts w:ascii="Open Sans" w:hAnsi="Open Sans" w:cs="Open Sans"/>
          <w:sz w:val="20"/>
          <w:szCs w:val="20"/>
        </w:rPr>
        <w:t>project is deployed above 10 kW, they are likely to be of low quality,</w:t>
      </w:r>
      <w:r w:rsidR="0086232E" w:rsidRPr="009D33C3">
        <w:rPr>
          <w:rFonts w:ascii="Open Sans" w:hAnsi="Open Sans" w:cs="Open Sans"/>
          <w:sz w:val="20"/>
          <w:szCs w:val="20"/>
        </w:rPr>
        <w:t xml:space="preserve"> </w:t>
      </w:r>
      <w:r w:rsidRPr="009D33C3">
        <w:rPr>
          <w:rFonts w:ascii="Open Sans" w:hAnsi="Open Sans" w:cs="Open Sans"/>
          <w:sz w:val="20"/>
          <w:szCs w:val="20"/>
        </w:rPr>
        <w:t>or</w:t>
      </w:r>
      <w:r w:rsidR="004F72E8" w:rsidRPr="009D33C3">
        <w:rPr>
          <w:rFonts w:ascii="Open Sans" w:hAnsi="Open Sans" w:cs="Open Sans"/>
          <w:sz w:val="20"/>
          <w:szCs w:val="20"/>
        </w:rPr>
        <w:t xml:space="preserve"> could be</w:t>
      </w:r>
      <w:r w:rsidRPr="009D33C3">
        <w:rPr>
          <w:rFonts w:ascii="Open Sans" w:hAnsi="Open Sans" w:cs="Open Sans"/>
          <w:sz w:val="20"/>
          <w:szCs w:val="20"/>
        </w:rPr>
        <w:t xml:space="preserve"> undersized to a level that does not meet the consumer's heat needs. Applicants are effectively disincentivised </w:t>
      </w:r>
      <w:r w:rsidR="00E26B9D">
        <w:rPr>
          <w:rFonts w:ascii="Open Sans" w:hAnsi="Open Sans" w:cs="Open Sans"/>
          <w:sz w:val="20"/>
          <w:szCs w:val="20"/>
        </w:rPr>
        <w:t>from considering</w:t>
      </w:r>
      <w:r w:rsidRPr="009D33C3">
        <w:rPr>
          <w:rFonts w:ascii="Open Sans" w:hAnsi="Open Sans" w:cs="Open Sans"/>
          <w:sz w:val="20"/>
          <w:szCs w:val="20"/>
        </w:rPr>
        <w:t xml:space="preserve"> better-designed projects where the grant will</w:t>
      </w:r>
      <w:r w:rsidRPr="009D33C3">
        <w:rPr>
          <w:rFonts w:ascii="Open Sans" w:hAnsi="Open Sans" w:cs="Open Sans"/>
          <w:sz w:val="20"/>
          <w:szCs w:val="20"/>
        </w:rPr>
        <w:t xml:space="preserve"> cover less of the total project cost.  </w:t>
      </w:r>
    </w:p>
    <w:p w14:paraId="191CAC91" w14:textId="77777777" w:rsidR="004F72E8" w:rsidRPr="009D33C3" w:rsidRDefault="00414D3E" w:rsidP="004026A5">
      <w:pPr>
        <w:rPr>
          <w:rFonts w:ascii="Open Sans" w:hAnsi="Open Sans" w:cs="Open Sans"/>
          <w:sz w:val="20"/>
          <w:szCs w:val="20"/>
        </w:rPr>
      </w:pPr>
      <w:r w:rsidRPr="009D33C3">
        <w:rPr>
          <w:rFonts w:ascii="Open Sans" w:hAnsi="Open Sans" w:cs="Open Sans"/>
          <w:sz w:val="20"/>
          <w:szCs w:val="20"/>
        </w:rPr>
        <w:t>3.1.</w:t>
      </w:r>
      <w:r w:rsidR="00E26B9D">
        <w:rPr>
          <w:rFonts w:ascii="Open Sans" w:hAnsi="Open Sans" w:cs="Open Sans"/>
          <w:sz w:val="20"/>
          <w:szCs w:val="20"/>
        </w:rPr>
        <w:t xml:space="preserve">3 </w:t>
      </w:r>
      <w:r w:rsidRPr="009D33C3">
        <w:rPr>
          <w:rFonts w:ascii="Open Sans" w:hAnsi="Open Sans" w:cs="Open Sans"/>
          <w:sz w:val="20"/>
          <w:szCs w:val="20"/>
        </w:rPr>
        <w:t xml:space="preserve">The committee should also be aware that as of 2019, VAT on energy-saving materials, which includes domestic renewable heat technologies like heat pumps and biomass installations, increased from 5% to 20% </w:t>
      </w:r>
      <w:r w:rsidRPr="009D33C3">
        <w:rPr>
          <w:rFonts w:ascii="Open Sans" w:hAnsi="Open Sans" w:cs="Open Sans"/>
          <w:sz w:val="20"/>
          <w:szCs w:val="20"/>
        </w:rPr>
        <w:t>(unless certain relief criteria app</w:t>
      </w:r>
      <w:r w:rsidR="00E26B9D">
        <w:rPr>
          <w:rFonts w:ascii="Open Sans" w:hAnsi="Open Sans" w:cs="Open Sans"/>
          <w:sz w:val="20"/>
          <w:szCs w:val="20"/>
        </w:rPr>
        <w:t>ly</w:t>
      </w:r>
      <w:r w:rsidRPr="009D33C3">
        <w:rPr>
          <w:rFonts w:ascii="Open Sans" w:hAnsi="Open Sans" w:cs="Open Sans"/>
          <w:sz w:val="20"/>
          <w:szCs w:val="20"/>
        </w:rPr>
        <w:t>)</w:t>
      </w:r>
      <w:r w:rsidR="00B969F6" w:rsidRPr="009D33C3">
        <w:rPr>
          <w:rFonts w:ascii="Open Sans" w:hAnsi="Open Sans" w:cs="Open Sans"/>
          <w:sz w:val="20"/>
          <w:szCs w:val="20"/>
        </w:rPr>
        <w:t xml:space="preserve"> [5]</w:t>
      </w:r>
      <w:r w:rsidRPr="009D33C3">
        <w:rPr>
          <w:rFonts w:ascii="Open Sans" w:hAnsi="Open Sans" w:cs="Open Sans"/>
          <w:sz w:val="20"/>
          <w:szCs w:val="20"/>
        </w:rPr>
        <w:t>. In the case of installations at the upper end of the capacity range, where the grant level covers 20% or less of the total project cost, the grant may only be paying the VAT on the project.</w:t>
      </w:r>
    </w:p>
    <w:p w14:paraId="7C150439" w14:textId="77777777" w:rsidR="00146403" w:rsidRPr="009D33C3" w:rsidRDefault="00414D3E" w:rsidP="00146403">
      <w:pPr>
        <w:pStyle w:val="ListParagraph"/>
        <w:numPr>
          <w:ilvl w:val="0"/>
          <w:numId w:val="7"/>
        </w:numPr>
        <w:rPr>
          <w:rFonts w:ascii="Open Sans" w:hAnsi="Open Sans" w:cs="Open Sans"/>
          <w:i/>
          <w:iCs/>
          <w:sz w:val="20"/>
          <w:szCs w:val="20"/>
        </w:rPr>
      </w:pPr>
      <w:r w:rsidRPr="009D33C3">
        <w:rPr>
          <w:rFonts w:ascii="Open Sans" w:hAnsi="Open Sans" w:cs="Open Sans"/>
          <w:i/>
          <w:iCs/>
          <w:sz w:val="20"/>
          <w:szCs w:val="20"/>
        </w:rPr>
        <w:t>3.2 Green Homes Grant</w:t>
      </w:r>
    </w:p>
    <w:p w14:paraId="4D4FFED5" w14:textId="77777777" w:rsidR="00146403" w:rsidRPr="009D33C3" w:rsidRDefault="00414D3E" w:rsidP="00146403">
      <w:pPr>
        <w:rPr>
          <w:rFonts w:ascii="Open Sans" w:hAnsi="Open Sans" w:cs="Open Sans"/>
          <w:sz w:val="20"/>
          <w:szCs w:val="20"/>
        </w:rPr>
      </w:pPr>
      <w:r w:rsidRPr="009D33C3">
        <w:rPr>
          <w:rFonts w:ascii="Open Sans" w:hAnsi="Open Sans" w:cs="Open Sans"/>
          <w:sz w:val="20"/>
          <w:szCs w:val="20"/>
        </w:rPr>
        <w:t xml:space="preserve">3.2.1 Announced in July and then speedily opened for applicants at the end of September, the Green Homes Grant </w:t>
      </w:r>
      <w:r w:rsidR="00E26B9D">
        <w:rPr>
          <w:rFonts w:ascii="Open Sans" w:hAnsi="Open Sans" w:cs="Open Sans"/>
          <w:sz w:val="20"/>
          <w:szCs w:val="20"/>
        </w:rPr>
        <w:t>is</w:t>
      </w:r>
      <w:r w:rsidRPr="009D33C3">
        <w:rPr>
          <w:rFonts w:ascii="Open Sans" w:hAnsi="Open Sans" w:cs="Open Sans"/>
          <w:sz w:val="20"/>
          <w:szCs w:val="20"/>
        </w:rPr>
        <w:t xml:space="preserve"> a welcome </w:t>
      </w:r>
      <w:r w:rsidR="00E26B9D">
        <w:rPr>
          <w:rFonts w:ascii="Open Sans" w:hAnsi="Open Sans" w:cs="Open Sans"/>
          <w:sz w:val="20"/>
          <w:szCs w:val="20"/>
        </w:rPr>
        <w:t>policy</w:t>
      </w:r>
      <w:r w:rsidRPr="009D33C3">
        <w:rPr>
          <w:rFonts w:ascii="Open Sans" w:hAnsi="Open Sans" w:cs="Open Sans"/>
          <w:sz w:val="20"/>
          <w:szCs w:val="20"/>
        </w:rPr>
        <w:t xml:space="preserve"> providing homes owners with a £5000 voucher to install energy efficiency measures and low carbon heating technologies. Howeve</w:t>
      </w:r>
      <w:r w:rsidRPr="009D33C3">
        <w:rPr>
          <w:rFonts w:ascii="Open Sans" w:hAnsi="Open Sans" w:cs="Open Sans"/>
          <w:sz w:val="20"/>
          <w:szCs w:val="20"/>
        </w:rPr>
        <w:t xml:space="preserve">r, </w:t>
      </w:r>
      <w:r w:rsidR="00B969F6" w:rsidRPr="009D33C3">
        <w:rPr>
          <w:rFonts w:ascii="Open Sans" w:hAnsi="Open Sans" w:cs="Open Sans"/>
          <w:sz w:val="20"/>
          <w:szCs w:val="20"/>
        </w:rPr>
        <w:t xml:space="preserve">this should also be recognised as </w:t>
      </w:r>
      <w:r w:rsidRPr="009D33C3">
        <w:rPr>
          <w:rFonts w:ascii="Open Sans" w:hAnsi="Open Sans" w:cs="Open Sans"/>
          <w:sz w:val="20"/>
          <w:szCs w:val="20"/>
        </w:rPr>
        <w:t xml:space="preserve">a short sharp impetuous, </w:t>
      </w:r>
      <w:r w:rsidR="00656372">
        <w:rPr>
          <w:rFonts w:ascii="Open Sans" w:hAnsi="Open Sans" w:cs="Open Sans"/>
          <w:sz w:val="20"/>
          <w:szCs w:val="20"/>
        </w:rPr>
        <w:t xml:space="preserve">currently only expected </w:t>
      </w:r>
      <w:r w:rsidRPr="009D33C3">
        <w:rPr>
          <w:rFonts w:ascii="Open Sans" w:hAnsi="Open Sans" w:cs="Open Sans"/>
          <w:sz w:val="20"/>
          <w:szCs w:val="20"/>
        </w:rPr>
        <w:t xml:space="preserve">to </w:t>
      </w:r>
      <w:r w:rsidR="00656372">
        <w:rPr>
          <w:rFonts w:ascii="Open Sans" w:hAnsi="Open Sans" w:cs="Open Sans"/>
          <w:sz w:val="20"/>
          <w:szCs w:val="20"/>
        </w:rPr>
        <w:t>last</w:t>
      </w:r>
      <w:r w:rsidRPr="009D33C3">
        <w:rPr>
          <w:rFonts w:ascii="Open Sans" w:hAnsi="Open Sans" w:cs="Open Sans"/>
          <w:sz w:val="20"/>
          <w:szCs w:val="20"/>
        </w:rPr>
        <w:t xml:space="preserve"> six months. It is a helpful, but limited, sticking plaster which will allow some of the heat sector to weather the disruptions of Covid-19 while hopefully seeing </w:t>
      </w:r>
      <w:r w:rsidRPr="009D33C3">
        <w:rPr>
          <w:rFonts w:ascii="Open Sans" w:hAnsi="Open Sans" w:cs="Open Sans"/>
          <w:sz w:val="20"/>
          <w:szCs w:val="20"/>
        </w:rPr>
        <w:t xml:space="preserve">increased uptake in domestic decarbonisation measures in the short term. </w:t>
      </w:r>
    </w:p>
    <w:p w14:paraId="10F02299" w14:textId="77777777" w:rsidR="00146403" w:rsidRPr="009D33C3" w:rsidRDefault="00414D3E" w:rsidP="00146403">
      <w:pPr>
        <w:rPr>
          <w:rFonts w:ascii="Open Sans" w:hAnsi="Open Sans" w:cs="Open Sans"/>
          <w:sz w:val="20"/>
          <w:szCs w:val="20"/>
        </w:rPr>
      </w:pPr>
      <w:r w:rsidRPr="009D33C3">
        <w:rPr>
          <w:rFonts w:ascii="Open Sans" w:hAnsi="Open Sans" w:cs="Open Sans"/>
          <w:sz w:val="20"/>
          <w:szCs w:val="20"/>
        </w:rPr>
        <w:t>3.2.2 As a Grant we fear that the scheme will be subject to many of the same weaknesses as the Clean Heat Grant, described above, although note the more generous £5000 grant will hel</w:t>
      </w:r>
      <w:r w:rsidRPr="009D33C3">
        <w:rPr>
          <w:rFonts w:ascii="Open Sans" w:hAnsi="Open Sans" w:cs="Open Sans"/>
          <w:sz w:val="20"/>
          <w:szCs w:val="20"/>
        </w:rPr>
        <w:t xml:space="preserve">p some slightly larger heat systems to be installed.  </w:t>
      </w:r>
      <w:r w:rsidR="00B969F6" w:rsidRPr="009D33C3">
        <w:rPr>
          <w:rFonts w:ascii="Open Sans" w:hAnsi="Open Sans" w:cs="Open Sans"/>
          <w:sz w:val="20"/>
          <w:szCs w:val="20"/>
        </w:rPr>
        <w:t>The speed at which the scheme has been delivered also raises concerns that many of the lessons of the RHI have not been carried forward</w:t>
      </w:r>
      <w:r w:rsidR="00656372">
        <w:rPr>
          <w:rFonts w:ascii="Open Sans" w:hAnsi="Open Sans" w:cs="Open Sans"/>
          <w:sz w:val="20"/>
          <w:szCs w:val="20"/>
        </w:rPr>
        <w:t>, especially around ensuring quality standards</w:t>
      </w:r>
      <w:r w:rsidR="00580226" w:rsidRPr="009D33C3">
        <w:rPr>
          <w:rFonts w:ascii="Open Sans" w:hAnsi="Open Sans" w:cs="Open Sans"/>
          <w:sz w:val="20"/>
          <w:szCs w:val="20"/>
        </w:rPr>
        <w:t xml:space="preserve">. </w:t>
      </w:r>
      <w:r w:rsidR="00B969F6" w:rsidRPr="009D33C3">
        <w:rPr>
          <w:rFonts w:ascii="Open Sans" w:hAnsi="Open Sans" w:cs="Open Sans"/>
          <w:sz w:val="20"/>
          <w:szCs w:val="20"/>
        </w:rPr>
        <w:t>We also note that the scope of the scheme is limited, excluding technologies like biofuels or thermal energy storage and unjustifiably restricting biomass deployment to</w:t>
      </w:r>
      <w:r w:rsidR="00ED0999" w:rsidRPr="009D33C3">
        <w:rPr>
          <w:rFonts w:ascii="Open Sans" w:hAnsi="Open Sans" w:cs="Open Sans"/>
          <w:sz w:val="20"/>
          <w:szCs w:val="20"/>
        </w:rPr>
        <w:t xml:space="preserve"> only </w:t>
      </w:r>
      <w:r w:rsidR="00656372">
        <w:rPr>
          <w:rFonts w:ascii="Open Sans" w:hAnsi="Open Sans" w:cs="Open Sans"/>
          <w:sz w:val="20"/>
          <w:szCs w:val="20"/>
        </w:rPr>
        <w:t xml:space="preserve">being </w:t>
      </w:r>
      <w:r w:rsidR="00ED0999" w:rsidRPr="009D33C3">
        <w:rPr>
          <w:rFonts w:ascii="Open Sans" w:hAnsi="Open Sans" w:cs="Open Sans"/>
          <w:sz w:val="20"/>
          <w:szCs w:val="20"/>
        </w:rPr>
        <w:t>deploy</w:t>
      </w:r>
      <w:r w:rsidR="00656372">
        <w:rPr>
          <w:rFonts w:ascii="Open Sans" w:hAnsi="Open Sans" w:cs="Open Sans"/>
          <w:sz w:val="20"/>
          <w:szCs w:val="20"/>
        </w:rPr>
        <w:t xml:space="preserve">ed </w:t>
      </w:r>
      <w:r w:rsidR="00ED0999" w:rsidRPr="009D33C3">
        <w:rPr>
          <w:rFonts w:ascii="Open Sans" w:hAnsi="Open Sans" w:cs="Open Sans"/>
          <w:sz w:val="20"/>
          <w:szCs w:val="20"/>
        </w:rPr>
        <w:t>in</w:t>
      </w:r>
      <w:r w:rsidR="00B969F6" w:rsidRPr="009D33C3">
        <w:rPr>
          <w:rFonts w:ascii="Open Sans" w:hAnsi="Open Sans" w:cs="Open Sans"/>
          <w:sz w:val="20"/>
          <w:szCs w:val="20"/>
        </w:rPr>
        <w:t xml:space="preserve"> rural areas</w:t>
      </w:r>
      <w:r w:rsidR="00ED0999" w:rsidRPr="009D33C3">
        <w:rPr>
          <w:rFonts w:ascii="Open Sans" w:hAnsi="Open Sans" w:cs="Open Sans"/>
          <w:sz w:val="20"/>
          <w:szCs w:val="20"/>
        </w:rPr>
        <w:t xml:space="preserve"> [6]</w:t>
      </w:r>
      <w:r w:rsidR="00B969F6" w:rsidRPr="009D33C3">
        <w:rPr>
          <w:rFonts w:ascii="Open Sans" w:hAnsi="Open Sans" w:cs="Open Sans"/>
          <w:sz w:val="20"/>
          <w:szCs w:val="20"/>
        </w:rPr>
        <w:t xml:space="preserve">. </w:t>
      </w:r>
    </w:p>
    <w:p w14:paraId="676C0CAA" w14:textId="77777777" w:rsidR="00146403" w:rsidRPr="009D33C3" w:rsidRDefault="00414D3E" w:rsidP="00315576">
      <w:pPr>
        <w:rPr>
          <w:rFonts w:ascii="Open Sans" w:hAnsi="Open Sans" w:cs="Open Sans"/>
          <w:sz w:val="20"/>
          <w:szCs w:val="20"/>
        </w:rPr>
      </w:pPr>
      <w:r w:rsidRPr="009D33C3">
        <w:rPr>
          <w:rFonts w:ascii="Open Sans" w:hAnsi="Open Sans" w:cs="Open Sans"/>
          <w:sz w:val="20"/>
          <w:szCs w:val="20"/>
        </w:rPr>
        <w:t xml:space="preserve">3.2.3 We also note the </w:t>
      </w:r>
      <w:r w:rsidR="00315576" w:rsidRPr="009D33C3">
        <w:rPr>
          <w:rFonts w:ascii="Open Sans" w:hAnsi="Open Sans" w:cs="Open Sans"/>
          <w:sz w:val="20"/>
          <w:szCs w:val="20"/>
        </w:rPr>
        <w:t>discrepancy</w:t>
      </w:r>
      <w:r w:rsidRPr="009D33C3">
        <w:rPr>
          <w:rFonts w:ascii="Open Sans" w:hAnsi="Open Sans" w:cs="Open Sans"/>
          <w:sz w:val="20"/>
          <w:szCs w:val="20"/>
        </w:rPr>
        <w:t xml:space="preserve"> in </w:t>
      </w:r>
      <w:r w:rsidR="00315576" w:rsidRPr="009D33C3">
        <w:rPr>
          <w:rFonts w:ascii="Open Sans" w:hAnsi="Open Sans" w:cs="Open Sans"/>
          <w:sz w:val="20"/>
          <w:szCs w:val="20"/>
        </w:rPr>
        <w:t>funding</w:t>
      </w:r>
      <w:r w:rsidRPr="009D33C3">
        <w:rPr>
          <w:rFonts w:ascii="Open Sans" w:hAnsi="Open Sans" w:cs="Open Sans"/>
          <w:sz w:val="20"/>
          <w:szCs w:val="20"/>
        </w:rPr>
        <w:t xml:space="preserve"> announced </w:t>
      </w:r>
      <w:r w:rsidR="00B969F6" w:rsidRPr="009D33C3">
        <w:rPr>
          <w:rFonts w:ascii="Open Sans" w:hAnsi="Open Sans" w:cs="Open Sans"/>
          <w:sz w:val="20"/>
          <w:szCs w:val="20"/>
        </w:rPr>
        <w:t>between the Green Home Grant and The Clean Heat Grant</w:t>
      </w:r>
      <w:r w:rsidR="00315576" w:rsidRPr="009D33C3">
        <w:rPr>
          <w:rFonts w:ascii="Open Sans" w:hAnsi="Open Sans" w:cs="Open Sans"/>
          <w:sz w:val="20"/>
          <w:szCs w:val="20"/>
        </w:rPr>
        <w:t xml:space="preserve">. </w:t>
      </w:r>
      <w:r w:rsidRPr="009D33C3">
        <w:rPr>
          <w:rFonts w:ascii="Open Sans" w:hAnsi="Open Sans" w:cs="Open Sans"/>
          <w:sz w:val="20"/>
          <w:szCs w:val="20"/>
        </w:rPr>
        <w:t xml:space="preserve"> The Green Homes Grant has a budget of £3 bn to spend in six months, while the </w:t>
      </w:r>
      <w:r w:rsidR="00580226" w:rsidRPr="009D33C3">
        <w:rPr>
          <w:rFonts w:ascii="Open Sans" w:hAnsi="Open Sans" w:cs="Open Sans"/>
          <w:sz w:val="20"/>
          <w:szCs w:val="20"/>
        </w:rPr>
        <w:lastRenderedPageBreak/>
        <w:t>Clean Heat Grant</w:t>
      </w:r>
      <w:r w:rsidRPr="009D33C3">
        <w:rPr>
          <w:rFonts w:ascii="Open Sans" w:hAnsi="Open Sans" w:cs="Open Sans"/>
          <w:sz w:val="20"/>
          <w:szCs w:val="20"/>
        </w:rPr>
        <w:t xml:space="preserve"> has only £100mn over two years. The committee should note the </w:t>
      </w:r>
      <w:r w:rsidR="00315576" w:rsidRPr="009D33C3">
        <w:rPr>
          <w:rFonts w:ascii="Open Sans" w:hAnsi="Open Sans" w:cs="Open Sans"/>
          <w:sz w:val="20"/>
          <w:szCs w:val="20"/>
        </w:rPr>
        <w:t xml:space="preserve">significant lack of ambition Government have put forward for the </w:t>
      </w:r>
      <w:r w:rsidR="007E0996" w:rsidRPr="009D33C3">
        <w:rPr>
          <w:rFonts w:ascii="Open Sans" w:hAnsi="Open Sans" w:cs="Open Sans"/>
          <w:sz w:val="20"/>
          <w:szCs w:val="20"/>
        </w:rPr>
        <w:t xml:space="preserve">CHG, </w:t>
      </w:r>
      <w:r w:rsidR="00315576" w:rsidRPr="009D33C3">
        <w:rPr>
          <w:rFonts w:ascii="Open Sans" w:hAnsi="Open Sans" w:cs="Open Sans"/>
          <w:sz w:val="20"/>
          <w:szCs w:val="20"/>
        </w:rPr>
        <w:t xml:space="preserve">which </w:t>
      </w:r>
      <w:r w:rsidR="00ED0999" w:rsidRPr="009D33C3">
        <w:rPr>
          <w:rFonts w:ascii="Open Sans" w:hAnsi="Open Sans" w:cs="Open Sans"/>
          <w:sz w:val="20"/>
          <w:szCs w:val="20"/>
        </w:rPr>
        <w:t xml:space="preserve">their impact assessment </w:t>
      </w:r>
      <w:r w:rsidR="00315576" w:rsidRPr="009D33C3">
        <w:rPr>
          <w:rFonts w:ascii="Open Sans" w:hAnsi="Open Sans" w:cs="Open Sans"/>
          <w:sz w:val="20"/>
          <w:szCs w:val="20"/>
        </w:rPr>
        <w:t>suggest</w:t>
      </w:r>
      <w:r w:rsidR="00ED0999" w:rsidRPr="009D33C3">
        <w:rPr>
          <w:rFonts w:ascii="Open Sans" w:hAnsi="Open Sans" w:cs="Open Sans"/>
          <w:sz w:val="20"/>
          <w:szCs w:val="20"/>
        </w:rPr>
        <w:t xml:space="preserve">s </w:t>
      </w:r>
      <w:r w:rsidR="00315576" w:rsidRPr="009D33C3">
        <w:rPr>
          <w:rFonts w:ascii="Open Sans" w:hAnsi="Open Sans" w:cs="Open Sans"/>
          <w:sz w:val="20"/>
          <w:szCs w:val="20"/>
        </w:rPr>
        <w:t>will deliver 24,300 heat pumps and only 700 biomass boilers</w:t>
      </w:r>
      <w:r w:rsidR="00ED0999" w:rsidRPr="009D33C3">
        <w:rPr>
          <w:rFonts w:ascii="Open Sans" w:hAnsi="Open Sans" w:cs="Open Sans"/>
          <w:sz w:val="20"/>
          <w:szCs w:val="20"/>
        </w:rPr>
        <w:t>, deployment figures that will fail to maintain a sustainable renewable heat industry [7]</w:t>
      </w:r>
      <w:r w:rsidR="00315576" w:rsidRPr="009D33C3">
        <w:rPr>
          <w:rFonts w:ascii="Open Sans" w:hAnsi="Open Sans" w:cs="Open Sans"/>
          <w:sz w:val="20"/>
          <w:szCs w:val="20"/>
        </w:rPr>
        <w:t xml:space="preserve">. </w:t>
      </w:r>
    </w:p>
    <w:p w14:paraId="372EC1BB" w14:textId="77777777" w:rsidR="007E0996" w:rsidRPr="009D33C3" w:rsidRDefault="00414D3E" w:rsidP="007E0996">
      <w:pPr>
        <w:pStyle w:val="ListParagraph"/>
        <w:numPr>
          <w:ilvl w:val="0"/>
          <w:numId w:val="7"/>
        </w:numPr>
        <w:rPr>
          <w:rFonts w:ascii="Open Sans" w:hAnsi="Open Sans" w:cs="Open Sans"/>
          <w:i/>
          <w:iCs/>
          <w:sz w:val="20"/>
          <w:szCs w:val="20"/>
        </w:rPr>
      </w:pPr>
      <w:r w:rsidRPr="009D33C3">
        <w:rPr>
          <w:rFonts w:ascii="Open Sans" w:hAnsi="Open Sans" w:cs="Open Sans"/>
          <w:i/>
          <w:iCs/>
          <w:sz w:val="20"/>
          <w:szCs w:val="20"/>
        </w:rPr>
        <w:t xml:space="preserve">3.3 Grant </w:t>
      </w:r>
      <w:r w:rsidR="00656372">
        <w:rPr>
          <w:rFonts w:ascii="Open Sans" w:hAnsi="Open Sans" w:cs="Open Sans"/>
          <w:i/>
          <w:iCs/>
          <w:sz w:val="20"/>
          <w:szCs w:val="20"/>
        </w:rPr>
        <w:t>b</w:t>
      </w:r>
      <w:r w:rsidRPr="009D33C3">
        <w:rPr>
          <w:rFonts w:ascii="Open Sans" w:hAnsi="Open Sans" w:cs="Open Sans"/>
          <w:i/>
          <w:iCs/>
          <w:sz w:val="20"/>
          <w:szCs w:val="20"/>
        </w:rPr>
        <w:t xml:space="preserve">ased </w:t>
      </w:r>
      <w:r w:rsidR="00656372">
        <w:rPr>
          <w:rFonts w:ascii="Open Sans" w:hAnsi="Open Sans" w:cs="Open Sans"/>
          <w:i/>
          <w:iCs/>
          <w:sz w:val="20"/>
          <w:szCs w:val="20"/>
        </w:rPr>
        <w:t>s</w:t>
      </w:r>
      <w:r w:rsidRPr="009D33C3">
        <w:rPr>
          <w:rFonts w:ascii="Open Sans" w:hAnsi="Open Sans" w:cs="Open Sans"/>
          <w:i/>
          <w:iCs/>
          <w:sz w:val="20"/>
          <w:szCs w:val="20"/>
        </w:rPr>
        <w:t xml:space="preserve">chemes </w:t>
      </w:r>
      <w:r w:rsidR="00656372">
        <w:rPr>
          <w:rFonts w:ascii="Open Sans" w:hAnsi="Open Sans" w:cs="Open Sans"/>
          <w:i/>
          <w:iCs/>
          <w:sz w:val="20"/>
          <w:szCs w:val="20"/>
        </w:rPr>
        <w:t>suffer from</w:t>
      </w:r>
      <w:r w:rsidRPr="009D33C3">
        <w:rPr>
          <w:rFonts w:ascii="Open Sans" w:hAnsi="Open Sans" w:cs="Open Sans"/>
          <w:i/>
          <w:iCs/>
          <w:sz w:val="20"/>
          <w:szCs w:val="20"/>
        </w:rPr>
        <w:t xml:space="preserve"> not addressing </w:t>
      </w:r>
      <w:r w:rsidR="00656372">
        <w:rPr>
          <w:rFonts w:ascii="Open Sans" w:hAnsi="Open Sans" w:cs="Open Sans"/>
          <w:i/>
          <w:iCs/>
          <w:sz w:val="20"/>
          <w:szCs w:val="20"/>
        </w:rPr>
        <w:t>o</w:t>
      </w:r>
      <w:r w:rsidRPr="009D33C3">
        <w:rPr>
          <w:rFonts w:ascii="Open Sans" w:hAnsi="Open Sans" w:cs="Open Sans"/>
          <w:i/>
          <w:iCs/>
          <w:sz w:val="20"/>
          <w:szCs w:val="20"/>
        </w:rPr>
        <w:t xml:space="preserve">perational </w:t>
      </w:r>
      <w:r w:rsidR="00656372">
        <w:rPr>
          <w:rFonts w:ascii="Open Sans" w:hAnsi="Open Sans" w:cs="Open Sans"/>
          <w:i/>
          <w:iCs/>
          <w:sz w:val="20"/>
          <w:szCs w:val="20"/>
        </w:rPr>
        <w:t>c</w:t>
      </w:r>
      <w:r w:rsidRPr="009D33C3">
        <w:rPr>
          <w:rFonts w:ascii="Open Sans" w:hAnsi="Open Sans" w:cs="Open Sans"/>
          <w:i/>
          <w:iCs/>
          <w:sz w:val="20"/>
          <w:szCs w:val="20"/>
        </w:rPr>
        <w:t>osts</w:t>
      </w:r>
    </w:p>
    <w:p w14:paraId="17CAF2F6" w14:textId="77777777" w:rsidR="007E0996" w:rsidRPr="009D33C3" w:rsidRDefault="00414D3E" w:rsidP="007E0996">
      <w:pPr>
        <w:rPr>
          <w:rFonts w:ascii="Open Sans" w:hAnsi="Open Sans" w:cs="Open Sans"/>
          <w:sz w:val="20"/>
          <w:szCs w:val="20"/>
        </w:rPr>
      </w:pPr>
      <w:r w:rsidRPr="009D33C3">
        <w:rPr>
          <w:rFonts w:ascii="Open Sans" w:hAnsi="Open Sans" w:cs="Open Sans"/>
          <w:sz w:val="20"/>
          <w:szCs w:val="20"/>
        </w:rPr>
        <w:t xml:space="preserve">3.3.1 </w:t>
      </w:r>
      <w:r w:rsidR="002E5704" w:rsidRPr="009D33C3">
        <w:rPr>
          <w:rFonts w:ascii="Open Sans" w:hAnsi="Open Sans" w:cs="Open Sans"/>
          <w:sz w:val="20"/>
          <w:szCs w:val="20"/>
        </w:rPr>
        <w:t>The REA</w:t>
      </w:r>
      <w:r w:rsidR="00315576" w:rsidRPr="009D33C3">
        <w:rPr>
          <w:rFonts w:ascii="Open Sans" w:hAnsi="Open Sans" w:cs="Open Sans"/>
          <w:sz w:val="20"/>
          <w:szCs w:val="20"/>
        </w:rPr>
        <w:t xml:space="preserve"> note that both the GHG and CHG currently </w:t>
      </w:r>
      <w:r w:rsidR="002E5704" w:rsidRPr="009D33C3">
        <w:rPr>
          <w:rFonts w:ascii="Open Sans" w:hAnsi="Open Sans" w:cs="Open Sans"/>
          <w:sz w:val="20"/>
          <w:szCs w:val="20"/>
        </w:rPr>
        <w:t xml:space="preserve">do </w:t>
      </w:r>
      <w:r w:rsidR="00315576" w:rsidRPr="009D33C3">
        <w:rPr>
          <w:rFonts w:ascii="Open Sans" w:hAnsi="Open Sans" w:cs="Open Sans"/>
          <w:sz w:val="20"/>
          <w:szCs w:val="20"/>
        </w:rPr>
        <w:t>not address the operational costs of</w:t>
      </w:r>
      <w:r w:rsidR="001034EB" w:rsidRPr="009D33C3">
        <w:rPr>
          <w:rFonts w:ascii="Open Sans" w:hAnsi="Open Sans" w:cs="Open Sans"/>
          <w:sz w:val="20"/>
          <w:szCs w:val="20"/>
        </w:rPr>
        <w:t xml:space="preserve"> renewable energy heat systems. </w:t>
      </w:r>
      <w:r w:rsidR="00315576" w:rsidRPr="009D33C3">
        <w:rPr>
          <w:rFonts w:ascii="Open Sans" w:hAnsi="Open Sans" w:cs="Open Sans"/>
          <w:sz w:val="20"/>
          <w:szCs w:val="20"/>
        </w:rPr>
        <w:t xml:space="preserve">  </w:t>
      </w:r>
      <w:r w:rsidRPr="009D33C3">
        <w:rPr>
          <w:rFonts w:ascii="Open Sans" w:hAnsi="Open Sans" w:cs="Open Sans"/>
          <w:sz w:val="20"/>
          <w:szCs w:val="20"/>
        </w:rPr>
        <w:t>The RHI tariff ensured applicants use their low carbon heating systems,</w:t>
      </w:r>
      <w:r w:rsidR="00656372">
        <w:rPr>
          <w:rFonts w:ascii="Open Sans" w:hAnsi="Open Sans" w:cs="Open Sans"/>
          <w:sz w:val="20"/>
          <w:szCs w:val="20"/>
        </w:rPr>
        <w:t xml:space="preserve"> as paid for the heat produced,</w:t>
      </w:r>
      <w:r w:rsidRPr="009D33C3">
        <w:rPr>
          <w:rFonts w:ascii="Open Sans" w:hAnsi="Open Sans" w:cs="Open Sans"/>
          <w:sz w:val="20"/>
          <w:szCs w:val="20"/>
        </w:rPr>
        <w:t xml:space="preserve"> rather than being incentivised to install a system which was left idle due to lower fossil system running costs. For example, the grant will support the deployment of heat pumps in on-gas grid properties. In 2019 the average</w:t>
      </w:r>
      <w:r w:rsidRPr="009D33C3">
        <w:rPr>
          <w:rFonts w:ascii="Open Sans" w:hAnsi="Open Sans" w:cs="Open Sans"/>
          <w:sz w:val="20"/>
          <w:szCs w:val="20"/>
        </w:rPr>
        <w:t xml:space="preserve"> domestic unit cost for electricity was 16.6 p/kWh compared to an average unit cost for gas of 3.79 p/kWh [</w:t>
      </w:r>
      <w:r w:rsidR="00ED0999" w:rsidRPr="009D33C3">
        <w:rPr>
          <w:rFonts w:ascii="Open Sans" w:hAnsi="Open Sans" w:cs="Open Sans"/>
          <w:sz w:val="20"/>
          <w:szCs w:val="20"/>
        </w:rPr>
        <w:t>8</w:t>
      </w:r>
      <w:r w:rsidRPr="009D33C3">
        <w:rPr>
          <w:rFonts w:ascii="Open Sans" w:hAnsi="Open Sans" w:cs="Open Sans"/>
          <w:sz w:val="20"/>
          <w:szCs w:val="20"/>
        </w:rPr>
        <w:t>]. A consumer switching from a gas boiler to a heat pump is likely to see a significant increase in running costs which is not addressed by a one-of</w:t>
      </w:r>
      <w:r w:rsidRPr="009D33C3">
        <w:rPr>
          <w:rFonts w:ascii="Open Sans" w:hAnsi="Open Sans" w:cs="Open Sans"/>
          <w:sz w:val="20"/>
          <w:szCs w:val="20"/>
        </w:rPr>
        <w:t xml:space="preserve">f capital expenditure focused grant support mechanism. Very similar comparisons can be made to the ongoing costs of biomass feedstocks compared to continuing to burn oil. Any saving the consumer makes in upfront costs </w:t>
      </w:r>
      <w:r w:rsidR="00C5189E" w:rsidRPr="009D33C3">
        <w:rPr>
          <w:rFonts w:ascii="Open Sans" w:hAnsi="Open Sans" w:cs="Open Sans"/>
          <w:sz w:val="20"/>
          <w:szCs w:val="20"/>
        </w:rPr>
        <w:t xml:space="preserve">could be </w:t>
      </w:r>
      <w:r w:rsidRPr="009D33C3">
        <w:rPr>
          <w:rFonts w:ascii="Open Sans" w:hAnsi="Open Sans" w:cs="Open Sans"/>
          <w:sz w:val="20"/>
          <w:szCs w:val="20"/>
        </w:rPr>
        <w:t>quickly negated by ongoing op</w:t>
      </w:r>
      <w:r w:rsidRPr="009D33C3">
        <w:rPr>
          <w:rFonts w:ascii="Open Sans" w:hAnsi="Open Sans" w:cs="Open Sans"/>
          <w:sz w:val="20"/>
          <w:szCs w:val="20"/>
        </w:rPr>
        <w:t>erational expenditure</w:t>
      </w:r>
      <w:r w:rsidR="00580226" w:rsidRPr="009D33C3">
        <w:rPr>
          <w:rFonts w:ascii="Open Sans" w:hAnsi="Open Sans" w:cs="Open Sans"/>
          <w:sz w:val="20"/>
          <w:szCs w:val="20"/>
        </w:rPr>
        <w:t>. I</w:t>
      </w:r>
      <w:r w:rsidR="00C5189E" w:rsidRPr="009D33C3">
        <w:rPr>
          <w:rFonts w:ascii="Open Sans" w:hAnsi="Open Sans" w:cs="Open Sans"/>
          <w:sz w:val="20"/>
          <w:szCs w:val="20"/>
        </w:rPr>
        <w:t xml:space="preserve">f not properly considered at the point of assessment and installation </w:t>
      </w:r>
      <w:r w:rsidR="00580226" w:rsidRPr="009D33C3">
        <w:rPr>
          <w:rFonts w:ascii="Open Sans" w:hAnsi="Open Sans" w:cs="Open Sans"/>
          <w:sz w:val="20"/>
          <w:szCs w:val="20"/>
        </w:rPr>
        <w:t>it</w:t>
      </w:r>
      <w:r w:rsidR="00C5189E" w:rsidRPr="009D33C3">
        <w:rPr>
          <w:rFonts w:ascii="Open Sans" w:hAnsi="Open Sans" w:cs="Open Sans"/>
          <w:sz w:val="20"/>
          <w:szCs w:val="20"/>
        </w:rPr>
        <w:t xml:space="preserve"> may put people off using their renewable heating systems in the medium to long term</w:t>
      </w:r>
      <w:r w:rsidR="00ED0999" w:rsidRPr="009D33C3">
        <w:rPr>
          <w:rFonts w:ascii="Open Sans" w:hAnsi="Open Sans" w:cs="Open Sans"/>
          <w:sz w:val="20"/>
          <w:szCs w:val="20"/>
        </w:rPr>
        <w:t xml:space="preserve">, reverting to fossil fuel heating systems. Examples of this were seen on the grant scheme that came before the RHI, the Renewable Heat Premium Payment, and was a major reason for the switch to a </w:t>
      </w:r>
      <w:r w:rsidR="00E93B2A" w:rsidRPr="009D33C3">
        <w:rPr>
          <w:rFonts w:ascii="Open Sans" w:hAnsi="Open Sans" w:cs="Open Sans"/>
          <w:sz w:val="20"/>
          <w:szCs w:val="20"/>
        </w:rPr>
        <w:t>tariff-based</w:t>
      </w:r>
      <w:r w:rsidR="00ED0999" w:rsidRPr="009D33C3">
        <w:rPr>
          <w:rFonts w:ascii="Open Sans" w:hAnsi="Open Sans" w:cs="Open Sans"/>
          <w:sz w:val="20"/>
          <w:szCs w:val="20"/>
        </w:rPr>
        <w:t xml:space="preserve"> mechanism. </w:t>
      </w:r>
    </w:p>
    <w:p w14:paraId="5FD77A8B" w14:textId="77777777" w:rsidR="00580226" w:rsidRPr="00656372" w:rsidRDefault="00414D3E" w:rsidP="00580226">
      <w:pPr>
        <w:pStyle w:val="ListParagraph"/>
        <w:numPr>
          <w:ilvl w:val="0"/>
          <w:numId w:val="7"/>
        </w:numPr>
        <w:rPr>
          <w:rFonts w:ascii="Open Sans" w:hAnsi="Open Sans" w:cs="Open Sans"/>
          <w:i/>
          <w:iCs/>
          <w:sz w:val="20"/>
          <w:szCs w:val="20"/>
        </w:rPr>
      </w:pPr>
      <w:r w:rsidRPr="00656372">
        <w:rPr>
          <w:rFonts w:ascii="Open Sans" w:hAnsi="Open Sans" w:cs="Open Sans"/>
          <w:i/>
          <w:iCs/>
          <w:sz w:val="20"/>
          <w:szCs w:val="20"/>
        </w:rPr>
        <w:t xml:space="preserve">3.4 Policy Gap around Business and Industrial Heat Decarbonisation. </w:t>
      </w:r>
    </w:p>
    <w:p w14:paraId="688502A8" w14:textId="77777777" w:rsidR="00580226" w:rsidRPr="009D33C3" w:rsidRDefault="00414D3E" w:rsidP="00580226">
      <w:pPr>
        <w:rPr>
          <w:rFonts w:ascii="Open Sans" w:hAnsi="Open Sans" w:cs="Open Sans"/>
          <w:sz w:val="20"/>
          <w:szCs w:val="20"/>
        </w:rPr>
      </w:pPr>
      <w:r w:rsidRPr="009D33C3">
        <w:rPr>
          <w:rFonts w:ascii="Open Sans" w:hAnsi="Open Sans" w:cs="Open Sans"/>
          <w:sz w:val="20"/>
          <w:szCs w:val="20"/>
        </w:rPr>
        <w:t>3.4.1 While we recognise that the terms of</w:t>
      </w:r>
      <w:r w:rsidRPr="009D33C3">
        <w:rPr>
          <w:rFonts w:ascii="Open Sans" w:hAnsi="Open Sans" w:cs="Open Sans"/>
          <w:sz w:val="20"/>
          <w:szCs w:val="20"/>
        </w:rPr>
        <w:t xml:space="preserve"> reference for this inquiry are around domestic heat decarbonisation, it is worth highlighting that the end of the ND RHI </w:t>
      </w:r>
      <w:r w:rsidR="00F850FC" w:rsidRPr="009D33C3">
        <w:rPr>
          <w:rFonts w:ascii="Open Sans" w:hAnsi="Open Sans" w:cs="Open Sans"/>
          <w:sz w:val="20"/>
          <w:szCs w:val="20"/>
        </w:rPr>
        <w:t>is in March</w:t>
      </w:r>
      <w:r w:rsidRPr="009D33C3">
        <w:rPr>
          <w:rFonts w:ascii="Open Sans" w:hAnsi="Open Sans" w:cs="Open Sans"/>
          <w:sz w:val="20"/>
          <w:szCs w:val="20"/>
        </w:rPr>
        <w:t xml:space="preserve"> 2021 leaving a significant heat policy gap around business and industrial heat use. As it stands there is no announced support for medium or </w:t>
      </w:r>
      <w:r w:rsidR="00F850FC" w:rsidRPr="009D33C3">
        <w:rPr>
          <w:rFonts w:ascii="Open Sans" w:hAnsi="Open Sans" w:cs="Open Sans"/>
          <w:sz w:val="20"/>
          <w:szCs w:val="20"/>
        </w:rPr>
        <w:t>large-scale</w:t>
      </w:r>
      <w:r w:rsidRPr="009D33C3">
        <w:rPr>
          <w:rFonts w:ascii="Open Sans" w:hAnsi="Open Sans" w:cs="Open Sans"/>
          <w:sz w:val="20"/>
          <w:szCs w:val="20"/>
        </w:rPr>
        <w:t xml:space="preserve"> heat decarbonisation projects, for any technology, following the closure of the existing scheme. Given</w:t>
      </w:r>
      <w:r w:rsidRPr="009D33C3">
        <w:rPr>
          <w:rFonts w:ascii="Open Sans" w:hAnsi="Open Sans" w:cs="Open Sans"/>
          <w:sz w:val="20"/>
          <w:szCs w:val="20"/>
        </w:rPr>
        <w:t xml:space="preserve"> that many domestic installers will </w:t>
      </w:r>
      <w:r w:rsidR="00F850FC" w:rsidRPr="009D33C3">
        <w:rPr>
          <w:rFonts w:ascii="Open Sans" w:hAnsi="Open Sans" w:cs="Open Sans"/>
          <w:sz w:val="20"/>
          <w:szCs w:val="20"/>
        </w:rPr>
        <w:t>also install business heat systems, this gap means many are seeing market opportunities shrink. This is especially true from technologies well suited to higher heat loads, such as biomass and ground source heat pumps</w:t>
      </w:r>
      <w:r w:rsidR="00656372">
        <w:rPr>
          <w:rFonts w:ascii="Open Sans" w:hAnsi="Open Sans" w:cs="Open Sans"/>
          <w:sz w:val="20"/>
          <w:szCs w:val="20"/>
        </w:rPr>
        <w:t>, where previous reforms to the RHI had encouraged them to focus on larger-scale projects [15]</w:t>
      </w:r>
      <w:r w:rsidR="00F850FC" w:rsidRPr="009D33C3">
        <w:rPr>
          <w:rFonts w:ascii="Open Sans" w:hAnsi="Open Sans" w:cs="Open Sans"/>
          <w:sz w:val="20"/>
          <w:szCs w:val="20"/>
        </w:rPr>
        <w:t xml:space="preserve">. In considering the sustainability of the heat sector, the committee should also consider what further support is available beyond the domestic sector. </w:t>
      </w:r>
    </w:p>
    <w:p w14:paraId="51C3D0E7" w14:textId="77777777" w:rsidR="00315576" w:rsidRPr="009D33C3" w:rsidRDefault="00414D3E" w:rsidP="007E0996">
      <w:pPr>
        <w:pStyle w:val="ListParagraph"/>
        <w:numPr>
          <w:ilvl w:val="0"/>
          <w:numId w:val="7"/>
        </w:numPr>
        <w:spacing w:before="100" w:beforeAutospacing="1" w:after="100" w:afterAutospacing="1" w:line="240" w:lineRule="auto"/>
        <w:ind w:right="-46"/>
        <w:rPr>
          <w:rFonts w:ascii="Open Sans" w:eastAsia="Times New Roman" w:hAnsi="Open Sans" w:cs="Open Sans"/>
          <w:i/>
          <w:iCs/>
          <w:sz w:val="20"/>
          <w:szCs w:val="20"/>
          <w:lang w:eastAsia="en-GB"/>
        </w:rPr>
      </w:pPr>
      <w:r w:rsidRPr="009D33C3">
        <w:rPr>
          <w:rFonts w:ascii="Open Sans" w:eastAsia="Times New Roman" w:hAnsi="Open Sans" w:cs="Open Sans"/>
          <w:i/>
          <w:iCs/>
          <w:sz w:val="20"/>
          <w:szCs w:val="20"/>
          <w:lang w:eastAsia="en-GB"/>
        </w:rPr>
        <w:t xml:space="preserve">3.5 </w:t>
      </w:r>
      <w:r w:rsidR="007E0996" w:rsidRPr="009D33C3">
        <w:rPr>
          <w:rFonts w:ascii="Open Sans" w:eastAsia="Times New Roman" w:hAnsi="Open Sans" w:cs="Open Sans"/>
          <w:i/>
          <w:iCs/>
          <w:sz w:val="20"/>
          <w:szCs w:val="20"/>
          <w:lang w:eastAsia="en-GB"/>
        </w:rPr>
        <w:t>Green Gas Support Scheme</w:t>
      </w:r>
    </w:p>
    <w:p w14:paraId="60322102" w14:textId="77777777" w:rsidR="002215ED" w:rsidRPr="009D33C3" w:rsidRDefault="00414D3E" w:rsidP="002215ED">
      <w:pPr>
        <w:spacing w:before="120" w:after="120"/>
        <w:rPr>
          <w:rFonts w:ascii="Open Sans" w:hAnsi="Open Sans" w:cs="Open Sans"/>
          <w:sz w:val="20"/>
          <w:szCs w:val="20"/>
          <w:lang w:eastAsia="en-GB"/>
        </w:rPr>
      </w:pPr>
      <w:r w:rsidRPr="009D33C3">
        <w:rPr>
          <w:rFonts w:ascii="Open Sans" w:hAnsi="Open Sans" w:cs="Open Sans"/>
          <w:sz w:val="20"/>
          <w:szCs w:val="20"/>
        </w:rPr>
        <w:t xml:space="preserve">3.5.1 </w:t>
      </w:r>
      <w:r w:rsidR="00D9233D" w:rsidRPr="009D33C3">
        <w:rPr>
          <w:rFonts w:ascii="Open Sans" w:hAnsi="Open Sans" w:cs="Open Sans"/>
          <w:sz w:val="20"/>
          <w:szCs w:val="20"/>
        </w:rPr>
        <w:t xml:space="preserve">It is </w:t>
      </w:r>
      <w:r w:rsidRPr="009D33C3">
        <w:rPr>
          <w:rFonts w:ascii="Open Sans" w:hAnsi="Open Sans" w:cs="Open Sans"/>
          <w:sz w:val="20"/>
          <w:szCs w:val="20"/>
        </w:rPr>
        <w:t xml:space="preserve">welcome that BEIS has </w:t>
      </w:r>
      <w:r w:rsidR="00D9233D" w:rsidRPr="009D33C3">
        <w:rPr>
          <w:rFonts w:ascii="Open Sans" w:hAnsi="Open Sans" w:cs="Open Sans"/>
          <w:sz w:val="20"/>
          <w:szCs w:val="20"/>
        </w:rPr>
        <w:t>proposed bringing</w:t>
      </w:r>
      <w:r w:rsidRPr="009D33C3">
        <w:rPr>
          <w:rFonts w:ascii="Open Sans" w:hAnsi="Open Sans" w:cs="Open Sans"/>
          <w:sz w:val="20"/>
          <w:szCs w:val="20"/>
        </w:rPr>
        <w:t xml:space="preserve"> forward a support mechanism aimed at increasing the proportion of biomethane in the grid as well as avoiding a hiatus in biomethane development.</w:t>
      </w:r>
      <w:r w:rsidRPr="009D33C3">
        <w:rPr>
          <w:rFonts w:ascii="Open Sans" w:hAnsi="Open Sans" w:cs="Open Sans"/>
          <w:b/>
          <w:bCs/>
          <w:sz w:val="20"/>
          <w:szCs w:val="20"/>
        </w:rPr>
        <w:t xml:space="preserve"> </w:t>
      </w:r>
      <w:r w:rsidR="00D9233D" w:rsidRPr="009D33C3">
        <w:rPr>
          <w:rFonts w:ascii="Open Sans" w:hAnsi="Open Sans" w:cs="Open Sans"/>
          <w:b/>
          <w:bCs/>
          <w:sz w:val="20"/>
          <w:szCs w:val="20"/>
        </w:rPr>
        <w:t xml:space="preserve"> </w:t>
      </w:r>
      <w:r w:rsidRPr="009D33C3">
        <w:rPr>
          <w:rFonts w:ascii="Open Sans" w:hAnsi="Open Sans" w:cs="Open Sans"/>
          <w:sz w:val="20"/>
          <w:szCs w:val="20"/>
          <w:lang w:eastAsia="en-GB"/>
        </w:rPr>
        <w:t xml:space="preserve">We anticipate the proposed change in the </w:t>
      </w:r>
      <w:r w:rsidRPr="009D33C3">
        <w:rPr>
          <w:rFonts w:ascii="Open Sans" w:hAnsi="Open Sans" w:cs="Open Sans"/>
          <w:sz w:val="20"/>
          <w:szCs w:val="20"/>
          <w:lang w:eastAsia="en-GB"/>
        </w:rPr>
        <w:t xml:space="preserve">interaction between the RHI and the </w:t>
      </w:r>
      <w:r w:rsidR="00D9233D" w:rsidRPr="009D33C3">
        <w:rPr>
          <w:rFonts w:ascii="Open Sans" w:hAnsi="Open Sans" w:cs="Open Sans"/>
          <w:sz w:val="20"/>
          <w:szCs w:val="20"/>
          <w:lang w:eastAsia="en-GB"/>
        </w:rPr>
        <w:t>Renewable</w:t>
      </w:r>
      <w:r w:rsidRPr="009D33C3">
        <w:rPr>
          <w:rFonts w:ascii="Open Sans" w:hAnsi="Open Sans" w:cs="Open Sans"/>
          <w:sz w:val="20"/>
          <w:szCs w:val="20"/>
          <w:lang w:eastAsia="en-GB"/>
        </w:rPr>
        <w:t xml:space="preserve"> Transport Fuel Obligation will result in significant additional biomethane injection from existing biomethane injection facilities</w:t>
      </w:r>
      <w:r w:rsidR="00377054">
        <w:rPr>
          <w:rFonts w:ascii="Open Sans" w:hAnsi="Open Sans" w:cs="Open Sans"/>
          <w:sz w:val="20"/>
          <w:szCs w:val="20"/>
          <w:lang w:eastAsia="en-GB"/>
        </w:rPr>
        <w:t>,</w:t>
      </w:r>
      <w:r w:rsidRPr="009D33C3">
        <w:rPr>
          <w:rFonts w:ascii="Open Sans" w:hAnsi="Open Sans" w:cs="Open Sans"/>
          <w:sz w:val="20"/>
          <w:szCs w:val="20"/>
          <w:lang w:eastAsia="en-GB"/>
        </w:rPr>
        <w:t xml:space="preserve"> as well as enabling any new projects joining the scheme to optimise their output.</w:t>
      </w:r>
    </w:p>
    <w:p w14:paraId="7E292390" w14:textId="77777777" w:rsidR="002215ED" w:rsidRPr="009D33C3" w:rsidRDefault="00414D3E" w:rsidP="002215ED">
      <w:pPr>
        <w:spacing w:before="120" w:after="120"/>
        <w:rPr>
          <w:rFonts w:ascii="Open Sans" w:hAnsi="Open Sans" w:cs="Open Sans"/>
          <w:sz w:val="20"/>
          <w:szCs w:val="20"/>
          <w:lang w:eastAsia="en-GB"/>
        </w:rPr>
      </w:pPr>
      <w:r w:rsidRPr="009D33C3">
        <w:rPr>
          <w:rFonts w:ascii="Open Sans" w:hAnsi="Open Sans" w:cs="Open Sans"/>
          <w:sz w:val="20"/>
          <w:szCs w:val="20"/>
        </w:rPr>
        <w:t>3.5.2 However, the Green Gas Support Sche</w:t>
      </w:r>
      <w:r w:rsidRPr="009D33C3">
        <w:rPr>
          <w:rFonts w:ascii="Open Sans" w:hAnsi="Open Sans" w:cs="Open Sans"/>
          <w:sz w:val="20"/>
          <w:szCs w:val="20"/>
        </w:rPr>
        <w:t xml:space="preserve">me should include support </w:t>
      </w:r>
      <w:r w:rsidR="00377054">
        <w:rPr>
          <w:rFonts w:ascii="Open Sans" w:hAnsi="Open Sans" w:cs="Open Sans"/>
          <w:sz w:val="20"/>
          <w:szCs w:val="20"/>
        </w:rPr>
        <w:t>for</w:t>
      </w:r>
      <w:r w:rsidRPr="009D33C3">
        <w:rPr>
          <w:rFonts w:ascii="Open Sans" w:hAnsi="Open Sans" w:cs="Open Sans"/>
          <w:sz w:val="20"/>
          <w:szCs w:val="20"/>
        </w:rPr>
        <w:t xml:space="preserve"> plant expansions of existing assets as well as new build. Making existing plants eligible for the Green Gas Support Scheme would maximise value for money delivered through the scheme, whilst stimulating further biomethane gene</w:t>
      </w:r>
      <w:r w:rsidRPr="009D33C3">
        <w:rPr>
          <w:rFonts w:ascii="Open Sans" w:hAnsi="Open Sans" w:cs="Open Sans"/>
          <w:sz w:val="20"/>
          <w:szCs w:val="20"/>
        </w:rPr>
        <w:t>ration.</w:t>
      </w:r>
    </w:p>
    <w:p w14:paraId="0B46435A" w14:textId="77777777" w:rsidR="002215ED" w:rsidRPr="009D33C3" w:rsidRDefault="00414D3E" w:rsidP="002215ED">
      <w:pPr>
        <w:spacing w:before="120" w:after="120"/>
        <w:rPr>
          <w:rFonts w:ascii="Open Sans" w:hAnsi="Open Sans" w:cs="Open Sans"/>
          <w:sz w:val="20"/>
          <w:szCs w:val="20"/>
          <w:u w:val="single"/>
          <w:lang w:eastAsia="en-GB"/>
        </w:rPr>
      </w:pPr>
      <w:r w:rsidRPr="009D33C3">
        <w:rPr>
          <w:rFonts w:ascii="Open Sans" w:hAnsi="Open Sans" w:cs="Open Sans"/>
          <w:sz w:val="20"/>
          <w:szCs w:val="20"/>
          <w:lang w:eastAsia="en-GB"/>
        </w:rPr>
        <w:lastRenderedPageBreak/>
        <w:t xml:space="preserve">3.5.3 </w:t>
      </w:r>
      <w:r w:rsidR="00D9233D" w:rsidRPr="009D33C3">
        <w:rPr>
          <w:rFonts w:ascii="Open Sans" w:hAnsi="Open Sans" w:cs="Open Sans"/>
          <w:sz w:val="20"/>
          <w:szCs w:val="20"/>
          <w:lang w:eastAsia="en-GB"/>
        </w:rPr>
        <w:t>The REA</w:t>
      </w:r>
      <w:r w:rsidRPr="009D33C3">
        <w:rPr>
          <w:rFonts w:ascii="Open Sans" w:hAnsi="Open Sans" w:cs="Open Sans"/>
          <w:sz w:val="20"/>
          <w:szCs w:val="20"/>
          <w:lang w:eastAsia="en-GB"/>
        </w:rPr>
        <w:t xml:space="preserve"> also consider that the Green Gas Support Scheme should be technology-neutral and include</w:t>
      </w:r>
      <w:r w:rsidR="000D3B34">
        <w:rPr>
          <w:rFonts w:ascii="Open Sans" w:hAnsi="Open Sans" w:cs="Open Sans"/>
          <w:sz w:val="20"/>
          <w:szCs w:val="20"/>
          <w:lang w:eastAsia="en-GB"/>
        </w:rPr>
        <w:t>, currently excluded,</w:t>
      </w:r>
      <w:r w:rsidRPr="009D33C3">
        <w:rPr>
          <w:rFonts w:ascii="Open Sans" w:hAnsi="Open Sans" w:cs="Open Sans"/>
          <w:sz w:val="20"/>
          <w:szCs w:val="20"/>
          <w:lang w:eastAsia="en-GB"/>
        </w:rPr>
        <w:t xml:space="preserve"> biomethane from thermal gasification, in line with support provided under the Renewable Heat Incentive</w:t>
      </w:r>
      <w:r w:rsidR="00377054">
        <w:rPr>
          <w:rFonts w:ascii="Open Sans" w:hAnsi="Open Sans" w:cs="Open Sans"/>
          <w:sz w:val="20"/>
          <w:szCs w:val="20"/>
          <w:lang w:eastAsia="en-GB"/>
        </w:rPr>
        <w:t xml:space="preserve">. </w:t>
      </w:r>
    </w:p>
    <w:p w14:paraId="219286E0" w14:textId="77777777" w:rsidR="00D9233D" w:rsidRPr="009D33C3" w:rsidRDefault="00414D3E" w:rsidP="00D9233D">
      <w:pPr>
        <w:spacing w:before="120" w:after="120"/>
        <w:rPr>
          <w:rFonts w:ascii="Open Sans" w:hAnsi="Open Sans" w:cs="Open Sans"/>
          <w:sz w:val="20"/>
          <w:szCs w:val="20"/>
          <w:lang w:eastAsia="en-GB"/>
        </w:rPr>
      </w:pPr>
      <w:r w:rsidRPr="009D33C3">
        <w:rPr>
          <w:rFonts w:ascii="Open Sans" w:hAnsi="Open Sans" w:cs="Open Sans"/>
          <w:sz w:val="20"/>
          <w:szCs w:val="20"/>
          <w:lang w:val="en-US"/>
        </w:rPr>
        <w:t>3.5.4</w:t>
      </w:r>
      <w:r w:rsidR="000D3B34">
        <w:rPr>
          <w:rFonts w:ascii="Open Sans" w:hAnsi="Open Sans" w:cs="Open Sans"/>
          <w:sz w:val="20"/>
          <w:szCs w:val="20"/>
          <w:lang w:val="en-US"/>
        </w:rPr>
        <w:t xml:space="preserve"> In the</w:t>
      </w:r>
      <w:r w:rsidR="002215ED" w:rsidRPr="009D33C3">
        <w:rPr>
          <w:rFonts w:ascii="Open Sans" w:hAnsi="Open Sans" w:cs="Open Sans"/>
          <w:sz w:val="20"/>
          <w:szCs w:val="20"/>
          <w:lang w:val="en-US"/>
        </w:rPr>
        <w:t xml:space="preserve"> longer-term industry want to move to a situation where real market 'pull' signals play an increasing role rather than straight producer subsidies, to encourage a 'real' market to develop in supply and use of biomethane.</w:t>
      </w:r>
      <w:r w:rsidR="002215ED" w:rsidRPr="009D33C3">
        <w:rPr>
          <w:rFonts w:ascii="Open Sans" w:hAnsi="Open Sans" w:cs="Open Sans"/>
          <w:sz w:val="20"/>
          <w:szCs w:val="20"/>
          <w:lang w:eastAsia="en-GB"/>
        </w:rPr>
        <w:t xml:space="preserve"> The REA’s preferred mechanism would be a green gas obligation on gas suppliers to meet a gradually increasing GHG reduction target over a period of time, which would reward technologies and renewable gases that deliver the largest carbon savings, whilst driving best practice and innovation. </w:t>
      </w:r>
    </w:p>
    <w:p w14:paraId="0D4CF52D" w14:textId="77777777" w:rsidR="00D9233D" w:rsidRPr="009D33C3" w:rsidRDefault="00414D3E" w:rsidP="00731ABD">
      <w:pPr>
        <w:pStyle w:val="ListParagraph"/>
        <w:numPr>
          <w:ilvl w:val="0"/>
          <w:numId w:val="14"/>
        </w:numPr>
        <w:spacing w:before="120" w:after="120"/>
        <w:rPr>
          <w:rFonts w:ascii="Open Sans" w:hAnsi="Open Sans" w:cs="Open Sans"/>
          <w:b/>
          <w:bCs/>
          <w:sz w:val="20"/>
          <w:szCs w:val="20"/>
          <w:lang w:eastAsia="en-GB"/>
        </w:rPr>
      </w:pPr>
      <w:r w:rsidRPr="009D33C3">
        <w:rPr>
          <w:rFonts w:ascii="Open Sans" w:eastAsia="Times New Roman" w:hAnsi="Open Sans" w:cs="Open Sans"/>
          <w:b/>
          <w:bCs/>
          <w:sz w:val="20"/>
          <w:szCs w:val="20"/>
          <w:lang w:eastAsia="en-GB"/>
        </w:rPr>
        <w:t>Technologies required to deliver the decarbonisation of heating, and current barriers to deployment</w:t>
      </w:r>
    </w:p>
    <w:p w14:paraId="5C6682DB" w14:textId="77777777" w:rsidR="00D9233D" w:rsidRPr="009D33C3" w:rsidRDefault="00414D3E" w:rsidP="00D9233D">
      <w:pPr>
        <w:spacing w:before="120" w:after="120"/>
        <w:rPr>
          <w:rFonts w:ascii="Open Sans" w:hAnsi="Open Sans" w:cs="Open Sans"/>
          <w:sz w:val="20"/>
          <w:szCs w:val="20"/>
          <w:lang w:eastAsia="en-GB"/>
        </w:rPr>
      </w:pPr>
      <w:r w:rsidRPr="009D33C3">
        <w:rPr>
          <w:rFonts w:ascii="Open Sans" w:hAnsi="Open Sans" w:cs="Open Sans"/>
          <w:sz w:val="20"/>
          <w:szCs w:val="20"/>
          <w:lang w:eastAsia="en-GB"/>
        </w:rPr>
        <w:t>4.0 As described in the introduction, a complete range of renewable heat technologies will be required to successfully</w:t>
      </w:r>
      <w:r w:rsidRPr="009D33C3">
        <w:rPr>
          <w:rFonts w:ascii="Open Sans" w:hAnsi="Open Sans" w:cs="Open Sans"/>
          <w:sz w:val="20"/>
          <w:szCs w:val="20"/>
          <w:lang w:eastAsia="en-GB"/>
        </w:rPr>
        <w:t xml:space="preserve"> decarbonise heat across all UK</w:t>
      </w:r>
      <w:r w:rsidR="00DF028F" w:rsidRPr="009D33C3">
        <w:rPr>
          <w:rFonts w:ascii="Open Sans" w:hAnsi="Open Sans" w:cs="Open Sans"/>
          <w:sz w:val="20"/>
          <w:szCs w:val="20"/>
          <w:lang w:eastAsia="en-GB"/>
        </w:rPr>
        <w:t xml:space="preserve"> homes</w:t>
      </w:r>
      <w:r w:rsidRPr="009D33C3">
        <w:rPr>
          <w:rFonts w:ascii="Open Sans" w:hAnsi="Open Sans" w:cs="Open Sans"/>
          <w:sz w:val="20"/>
          <w:szCs w:val="20"/>
          <w:lang w:eastAsia="en-GB"/>
        </w:rPr>
        <w:t xml:space="preserve">. </w:t>
      </w:r>
      <w:r w:rsidR="00E93B2A" w:rsidRPr="009D33C3">
        <w:rPr>
          <w:rFonts w:ascii="Open Sans" w:hAnsi="Open Sans" w:cs="Open Sans"/>
          <w:sz w:val="20"/>
          <w:szCs w:val="20"/>
          <w:lang w:eastAsia="en-GB"/>
        </w:rPr>
        <w:t>The focus should be on ensuring the right technology is use</w:t>
      </w:r>
      <w:r w:rsidR="00F850FC" w:rsidRPr="009D33C3">
        <w:rPr>
          <w:rFonts w:ascii="Open Sans" w:hAnsi="Open Sans" w:cs="Open Sans"/>
          <w:sz w:val="20"/>
          <w:szCs w:val="20"/>
          <w:lang w:eastAsia="en-GB"/>
        </w:rPr>
        <w:t>d</w:t>
      </w:r>
      <w:r w:rsidR="00E93B2A" w:rsidRPr="009D33C3">
        <w:rPr>
          <w:rFonts w:ascii="Open Sans" w:hAnsi="Open Sans" w:cs="Open Sans"/>
          <w:sz w:val="20"/>
          <w:szCs w:val="20"/>
          <w:lang w:eastAsia="en-GB"/>
        </w:rPr>
        <w:t xml:space="preserve"> for the right situation. </w:t>
      </w:r>
      <w:r w:rsidRPr="009D33C3">
        <w:rPr>
          <w:rFonts w:ascii="Open Sans" w:hAnsi="Open Sans" w:cs="Open Sans"/>
          <w:sz w:val="20"/>
          <w:szCs w:val="20"/>
          <w:lang w:eastAsia="en-GB"/>
        </w:rPr>
        <w:t xml:space="preserve"> </w:t>
      </w:r>
      <w:r w:rsidR="00B004C9" w:rsidRPr="009D33C3">
        <w:rPr>
          <w:rFonts w:ascii="Open Sans" w:hAnsi="Open Sans" w:cs="Open Sans"/>
          <w:sz w:val="20"/>
          <w:szCs w:val="20"/>
          <w:lang w:eastAsia="en-GB"/>
        </w:rPr>
        <w:t xml:space="preserve">This will require building on </w:t>
      </w:r>
      <w:r w:rsidR="00985507" w:rsidRPr="009D33C3">
        <w:rPr>
          <w:rFonts w:ascii="Open Sans" w:hAnsi="Open Sans" w:cs="Open Sans"/>
          <w:sz w:val="20"/>
          <w:szCs w:val="20"/>
          <w:lang w:eastAsia="en-GB"/>
        </w:rPr>
        <w:t xml:space="preserve">the </w:t>
      </w:r>
      <w:r w:rsidR="00932563" w:rsidRPr="009D33C3">
        <w:rPr>
          <w:rFonts w:ascii="Open Sans" w:hAnsi="Open Sans" w:cs="Open Sans"/>
          <w:sz w:val="20"/>
          <w:szCs w:val="20"/>
          <w:lang w:eastAsia="en-GB"/>
        </w:rPr>
        <w:t xml:space="preserve">exiting heat sector established by the RHI, delivering immediate decarbonisation, while further heat technologies are </w:t>
      </w:r>
      <w:r w:rsidR="00985507" w:rsidRPr="009D33C3">
        <w:rPr>
          <w:rFonts w:ascii="Open Sans" w:hAnsi="Open Sans" w:cs="Open Sans"/>
          <w:sz w:val="20"/>
          <w:szCs w:val="20"/>
          <w:lang w:eastAsia="en-GB"/>
        </w:rPr>
        <w:t>developed</w:t>
      </w:r>
      <w:r w:rsidR="00932563" w:rsidRPr="009D33C3">
        <w:rPr>
          <w:rFonts w:ascii="Open Sans" w:hAnsi="Open Sans" w:cs="Open Sans"/>
          <w:sz w:val="20"/>
          <w:szCs w:val="20"/>
          <w:lang w:eastAsia="en-GB"/>
        </w:rPr>
        <w:t>. Maintain</w:t>
      </w:r>
      <w:r w:rsidR="00985507" w:rsidRPr="009D33C3">
        <w:rPr>
          <w:rFonts w:ascii="Open Sans" w:hAnsi="Open Sans" w:cs="Open Sans"/>
          <w:sz w:val="20"/>
          <w:szCs w:val="20"/>
          <w:lang w:eastAsia="en-GB"/>
        </w:rPr>
        <w:t>ing</w:t>
      </w:r>
      <w:r w:rsidR="00932563" w:rsidRPr="009D33C3">
        <w:rPr>
          <w:rFonts w:ascii="Open Sans" w:hAnsi="Open Sans" w:cs="Open Sans"/>
          <w:sz w:val="20"/>
          <w:szCs w:val="20"/>
          <w:lang w:eastAsia="en-GB"/>
        </w:rPr>
        <w:t xml:space="preserve"> the existing skills, supply chains and jobs will be crucial for delivering all the technologies </w:t>
      </w:r>
      <w:r w:rsidR="00376F7E" w:rsidRPr="009D33C3">
        <w:rPr>
          <w:rFonts w:ascii="Open Sans" w:hAnsi="Open Sans" w:cs="Open Sans"/>
          <w:sz w:val="20"/>
          <w:szCs w:val="20"/>
          <w:lang w:eastAsia="en-GB"/>
        </w:rPr>
        <w:t>required for</w:t>
      </w:r>
      <w:r w:rsidR="00932563" w:rsidRPr="009D33C3">
        <w:rPr>
          <w:rFonts w:ascii="Open Sans" w:hAnsi="Open Sans" w:cs="Open Sans"/>
          <w:sz w:val="20"/>
          <w:szCs w:val="20"/>
          <w:lang w:eastAsia="en-GB"/>
        </w:rPr>
        <w:t xml:space="preserve"> the UK to meet its decarbonisation targets. </w:t>
      </w:r>
      <w:r w:rsidR="00F850FC" w:rsidRPr="009D33C3">
        <w:rPr>
          <w:rFonts w:ascii="Open Sans" w:hAnsi="Open Sans" w:cs="Open Sans"/>
          <w:sz w:val="20"/>
          <w:szCs w:val="20"/>
          <w:lang w:eastAsia="en-GB"/>
        </w:rPr>
        <w:t>P</w:t>
      </w:r>
      <w:r w:rsidR="00DF028F" w:rsidRPr="009D33C3">
        <w:rPr>
          <w:rFonts w:ascii="Open Sans" w:hAnsi="Open Sans" w:cs="Open Sans"/>
          <w:sz w:val="20"/>
          <w:szCs w:val="20"/>
          <w:lang w:eastAsia="en-GB"/>
        </w:rPr>
        <w:t>olicies are</w:t>
      </w:r>
      <w:r w:rsidR="00F850FC" w:rsidRPr="009D33C3">
        <w:rPr>
          <w:rFonts w:ascii="Open Sans" w:hAnsi="Open Sans" w:cs="Open Sans"/>
          <w:sz w:val="20"/>
          <w:szCs w:val="20"/>
          <w:lang w:eastAsia="en-GB"/>
        </w:rPr>
        <w:t xml:space="preserve"> therefore</w:t>
      </w:r>
      <w:r w:rsidR="00DF028F" w:rsidRPr="009D33C3">
        <w:rPr>
          <w:rFonts w:ascii="Open Sans" w:hAnsi="Open Sans" w:cs="Open Sans"/>
          <w:sz w:val="20"/>
          <w:szCs w:val="20"/>
          <w:lang w:eastAsia="en-GB"/>
        </w:rPr>
        <w:t xml:space="preserve"> required to </w:t>
      </w:r>
      <w:r w:rsidR="00985507" w:rsidRPr="009D33C3">
        <w:rPr>
          <w:rFonts w:ascii="Open Sans" w:hAnsi="Open Sans" w:cs="Open Sans"/>
          <w:sz w:val="20"/>
          <w:szCs w:val="20"/>
          <w:lang w:eastAsia="en-GB"/>
        </w:rPr>
        <w:t xml:space="preserve">both continue deployment of affordable </w:t>
      </w:r>
      <w:r w:rsidR="00F850FC" w:rsidRPr="009D33C3">
        <w:rPr>
          <w:rFonts w:ascii="Open Sans" w:hAnsi="Open Sans" w:cs="Open Sans"/>
          <w:sz w:val="20"/>
          <w:szCs w:val="20"/>
          <w:lang w:eastAsia="en-GB"/>
        </w:rPr>
        <w:t xml:space="preserve">no </w:t>
      </w:r>
      <w:r w:rsidR="00985507" w:rsidRPr="009D33C3">
        <w:rPr>
          <w:rFonts w:ascii="Open Sans" w:hAnsi="Open Sans" w:cs="Open Sans"/>
          <w:sz w:val="20"/>
          <w:szCs w:val="20"/>
          <w:lang w:eastAsia="en-GB"/>
        </w:rPr>
        <w:t>regret</w:t>
      </w:r>
      <w:r w:rsidR="00F850FC" w:rsidRPr="009D33C3">
        <w:rPr>
          <w:rFonts w:ascii="Open Sans" w:hAnsi="Open Sans" w:cs="Open Sans"/>
          <w:sz w:val="20"/>
          <w:szCs w:val="20"/>
          <w:lang w:eastAsia="en-GB"/>
        </w:rPr>
        <w:t xml:space="preserve"> renewable heat</w:t>
      </w:r>
      <w:r w:rsidR="00985507" w:rsidRPr="009D33C3">
        <w:rPr>
          <w:rFonts w:ascii="Open Sans" w:hAnsi="Open Sans" w:cs="Open Sans"/>
          <w:sz w:val="20"/>
          <w:szCs w:val="20"/>
          <w:lang w:eastAsia="en-GB"/>
        </w:rPr>
        <w:t xml:space="preserve"> options, as well as strategies that see the delivery of further innovative</w:t>
      </w:r>
      <w:r w:rsidR="00F850FC" w:rsidRPr="009D33C3">
        <w:rPr>
          <w:rFonts w:ascii="Open Sans" w:hAnsi="Open Sans" w:cs="Open Sans"/>
          <w:sz w:val="20"/>
          <w:szCs w:val="20"/>
          <w:lang w:eastAsia="en-GB"/>
        </w:rPr>
        <w:t xml:space="preserve"> and strategic</w:t>
      </w:r>
      <w:r w:rsidR="00985507" w:rsidRPr="009D33C3">
        <w:rPr>
          <w:rFonts w:ascii="Open Sans" w:hAnsi="Open Sans" w:cs="Open Sans"/>
          <w:sz w:val="20"/>
          <w:szCs w:val="20"/>
          <w:lang w:eastAsia="en-GB"/>
        </w:rPr>
        <w:t xml:space="preserve"> technologies</w:t>
      </w:r>
    </w:p>
    <w:p w14:paraId="63B6FEA6" w14:textId="77777777" w:rsidR="00376F7E" w:rsidRPr="009D33C3" w:rsidRDefault="00414D3E" w:rsidP="005F44C8">
      <w:pPr>
        <w:pStyle w:val="ListParagraph"/>
        <w:numPr>
          <w:ilvl w:val="0"/>
          <w:numId w:val="7"/>
        </w:numPr>
        <w:spacing w:after="0"/>
        <w:rPr>
          <w:rFonts w:ascii="Open Sans" w:hAnsi="Open Sans" w:cs="Open Sans"/>
          <w:i/>
          <w:iCs/>
          <w:sz w:val="20"/>
          <w:szCs w:val="20"/>
        </w:rPr>
      </w:pPr>
      <w:r w:rsidRPr="009D33C3">
        <w:rPr>
          <w:rFonts w:ascii="Open Sans" w:hAnsi="Open Sans" w:cs="Open Sans"/>
          <w:i/>
          <w:iCs/>
          <w:sz w:val="20"/>
          <w:szCs w:val="20"/>
          <w:u w:val="single"/>
        </w:rPr>
        <w:t xml:space="preserve">4.1 </w:t>
      </w:r>
      <w:r w:rsidR="005F44C8" w:rsidRPr="009D33C3">
        <w:rPr>
          <w:rFonts w:ascii="Open Sans" w:hAnsi="Open Sans" w:cs="Open Sans"/>
          <w:i/>
          <w:iCs/>
          <w:sz w:val="20"/>
          <w:szCs w:val="20"/>
          <w:u w:val="single"/>
        </w:rPr>
        <w:t>Heat Pumps</w:t>
      </w:r>
    </w:p>
    <w:p w14:paraId="7E540024" w14:textId="77777777" w:rsidR="005F44C8" w:rsidRPr="009D33C3" w:rsidRDefault="005F44C8" w:rsidP="005F44C8">
      <w:pPr>
        <w:pStyle w:val="ListParagraph"/>
        <w:spacing w:after="0"/>
        <w:rPr>
          <w:rFonts w:ascii="Open Sans" w:hAnsi="Open Sans" w:cs="Open Sans"/>
          <w:i/>
          <w:iCs/>
          <w:sz w:val="20"/>
          <w:szCs w:val="20"/>
        </w:rPr>
      </w:pPr>
    </w:p>
    <w:p w14:paraId="77965D1C" w14:textId="77777777" w:rsidR="00DF028F" w:rsidRPr="009D33C3" w:rsidRDefault="00414D3E" w:rsidP="00376F7E">
      <w:pPr>
        <w:pStyle w:val="ListParagraph"/>
        <w:spacing w:after="0"/>
        <w:ind w:left="0"/>
        <w:rPr>
          <w:rFonts w:ascii="Open Sans" w:hAnsi="Open Sans" w:cs="Open Sans"/>
          <w:sz w:val="20"/>
          <w:szCs w:val="20"/>
        </w:rPr>
      </w:pPr>
      <w:r w:rsidRPr="009D33C3">
        <w:rPr>
          <w:rFonts w:ascii="Open Sans" w:hAnsi="Open Sans" w:cs="Open Sans"/>
          <w:sz w:val="20"/>
          <w:szCs w:val="20"/>
        </w:rPr>
        <w:t xml:space="preserve">4.1.1 </w:t>
      </w:r>
      <w:r w:rsidR="00E93B2A" w:rsidRPr="009D33C3">
        <w:rPr>
          <w:rFonts w:ascii="Open Sans" w:hAnsi="Open Sans" w:cs="Open Sans"/>
          <w:sz w:val="20"/>
          <w:szCs w:val="20"/>
        </w:rPr>
        <w:t xml:space="preserve">As identified by the </w:t>
      </w:r>
      <w:r w:rsidR="00377054">
        <w:rPr>
          <w:rFonts w:ascii="Open Sans" w:hAnsi="Open Sans" w:cs="Open Sans"/>
          <w:sz w:val="20"/>
          <w:szCs w:val="20"/>
        </w:rPr>
        <w:t>Climate Change Committee,</w:t>
      </w:r>
      <w:r w:rsidR="00E93B2A" w:rsidRPr="009D33C3">
        <w:rPr>
          <w:rFonts w:ascii="Open Sans" w:hAnsi="Open Sans" w:cs="Open Sans"/>
          <w:sz w:val="20"/>
          <w:szCs w:val="20"/>
        </w:rPr>
        <w:t xml:space="preserve"> heat pumps are of high strategic importance to the decarbonisation of homes</w:t>
      </w:r>
      <w:r w:rsidR="005F44C8" w:rsidRPr="009D33C3">
        <w:rPr>
          <w:rFonts w:ascii="Open Sans" w:hAnsi="Open Sans" w:cs="Open Sans"/>
          <w:sz w:val="20"/>
          <w:szCs w:val="20"/>
        </w:rPr>
        <w:t xml:space="preserve">. They are a versatile technology and will </w:t>
      </w:r>
      <w:r w:rsidRPr="009D33C3">
        <w:rPr>
          <w:rFonts w:ascii="Open Sans" w:hAnsi="Open Sans" w:cs="Open Sans"/>
          <w:sz w:val="20"/>
          <w:szCs w:val="20"/>
        </w:rPr>
        <w:t xml:space="preserve">have a crucial role to play in both on </w:t>
      </w:r>
      <w:r w:rsidR="005F44C8" w:rsidRPr="009D33C3">
        <w:rPr>
          <w:rFonts w:ascii="Open Sans" w:hAnsi="Open Sans" w:cs="Open Sans"/>
          <w:sz w:val="20"/>
          <w:szCs w:val="20"/>
        </w:rPr>
        <w:t xml:space="preserve">gas grid and off-gas heat decarbonisation. </w:t>
      </w:r>
      <w:r w:rsidRPr="009D33C3">
        <w:rPr>
          <w:rFonts w:ascii="Open Sans" w:hAnsi="Open Sans" w:cs="Open Sans"/>
          <w:sz w:val="20"/>
          <w:szCs w:val="20"/>
        </w:rPr>
        <w:t>Air source heat pumps</w:t>
      </w:r>
      <w:r w:rsidR="005F44C8" w:rsidRPr="009D33C3">
        <w:rPr>
          <w:rFonts w:ascii="Open Sans" w:hAnsi="Open Sans" w:cs="Open Sans"/>
          <w:sz w:val="20"/>
          <w:szCs w:val="20"/>
        </w:rPr>
        <w:t xml:space="preserve"> are particularly effective in buildings with</w:t>
      </w:r>
      <w:r w:rsidRPr="009D33C3">
        <w:rPr>
          <w:rFonts w:ascii="Open Sans" w:hAnsi="Open Sans" w:cs="Open Sans"/>
          <w:sz w:val="20"/>
          <w:szCs w:val="20"/>
        </w:rPr>
        <w:t xml:space="preserve"> high</w:t>
      </w:r>
      <w:r w:rsidR="005F44C8" w:rsidRPr="009D33C3">
        <w:rPr>
          <w:rFonts w:ascii="Open Sans" w:hAnsi="Open Sans" w:cs="Open Sans"/>
          <w:sz w:val="20"/>
          <w:szCs w:val="20"/>
        </w:rPr>
        <w:t xml:space="preserve"> energy efficiency measures</w:t>
      </w:r>
      <w:r w:rsidRPr="009D33C3">
        <w:rPr>
          <w:rFonts w:ascii="Open Sans" w:hAnsi="Open Sans" w:cs="Open Sans"/>
          <w:sz w:val="20"/>
          <w:szCs w:val="20"/>
        </w:rPr>
        <w:t>, typically in urban areas and new builds, while ground source heat pumps are also able to provide high</w:t>
      </w:r>
      <w:r w:rsidR="006F4CE6" w:rsidRPr="009D33C3">
        <w:rPr>
          <w:rFonts w:ascii="Open Sans" w:hAnsi="Open Sans" w:cs="Open Sans"/>
          <w:sz w:val="20"/>
          <w:szCs w:val="20"/>
        </w:rPr>
        <w:t>er</w:t>
      </w:r>
      <w:r w:rsidRPr="009D33C3">
        <w:rPr>
          <w:rFonts w:ascii="Open Sans" w:hAnsi="Open Sans" w:cs="Open Sans"/>
          <w:sz w:val="20"/>
          <w:szCs w:val="20"/>
        </w:rPr>
        <w:t xml:space="preserve"> heat loads. Heat pumps are a convenient solution for</w:t>
      </w:r>
      <w:r w:rsidR="00376F7E" w:rsidRPr="009D33C3">
        <w:rPr>
          <w:rFonts w:ascii="Open Sans" w:hAnsi="Open Sans" w:cs="Open Sans"/>
          <w:sz w:val="20"/>
          <w:szCs w:val="20"/>
        </w:rPr>
        <w:t xml:space="preserve"> </w:t>
      </w:r>
      <w:r w:rsidR="00F850FC" w:rsidRPr="009D33C3">
        <w:rPr>
          <w:rFonts w:ascii="Open Sans" w:hAnsi="Open Sans" w:cs="Open Sans"/>
          <w:sz w:val="20"/>
          <w:szCs w:val="20"/>
        </w:rPr>
        <w:t xml:space="preserve">many </w:t>
      </w:r>
      <w:r w:rsidR="00376F7E" w:rsidRPr="009D33C3">
        <w:rPr>
          <w:rFonts w:ascii="Open Sans" w:hAnsi="Open Sans" w:cs="Open Sans"/>
          <w:sz w:val="20"/>
          <w:szCs w:val="20"/>
        </w:rPr>
        <w:t xml:space="preserve">consumers </w:t>
      </w:r>
      <w:r w:rsidRPr="009D33C3">
        <w:rPr>
          <w:rFonts w:ascii="Open Sans" w:hAnsi="Open Sans" w:cs="Open Sans"/>
          <w:sz w:val="20"/>
          <w:szCs w:val="20"/>
        </w:rPr>
        <w:t xml:space="preserve">providing </w:t>
      </w:r>
      <w:r w:rsidR="007A695C" w:rsidRPr="009D33C3">
        <w:rPr>
          <w:rFonts w:ascii="Open Sans" w:hAnsi="Open Sans" w:cs="Open Sans"/>
          <w:sz w:val="20"/>
          <w:szCs w:val="20"/>
        </w:rPr>
        <w:t>a strong</w:t>
      </w:r>
      <w:r w:rsidRPr="009D33C3">
        <w:rPr>
          <w:rFonts w:ascii="Open Sans" w:hAnsi="Open Sans" w:cs="Open Sans"/>
          <w:sz w:val="20"/>
          <w:szCs w:val="20"/>
        </w:rPr>
        <w:t xml:space="preserve"> option </w:t>
      </w:r>
      <w:r w:rsidR="00E93B2A" w:rsidRPr="009D33C3">
        <w:rPr>
          <w:rFonts w:ascii="Open Sans" w:hAnsi="Open Sans" w:cs="Open Sans"/>
          <w:sz w:val="20"/>
          <w:szCs w:val="20"/>
        </w:rPr>
        <w:t>for r</w:t>
      </w:r>
      <w:r w:rsidRPr="009D33C3">
        <w:rPr>
          <w:rFonts w:ascii="Open Sans" w:hAnsi="Open Sans" w:cs="Open Sans"/>
          <w:sz w:val="20"/>
          <w:szCs w:val="20"/>
        </w:rPr>
        <w:t>eplacing</w:t>
      </w:r>
      <w:r w:rsidRPr="009D33C3">
        <w:rPr>
          <w:rFonts w:ascii="Open Sans" w:hAnsi="Open Sans" w:cs="Open Sans"/>
          <w:sz w:val="20"/>
          <w:szCs w:val="20"/>
        </w:rPr>
        <w:t xml:space="preserve"> gas or oil boilers. </w:t>
      </w:r>
    </w:p>
    <w:p w14:paraId="5E7EFB13" w14:textId="77777777" w:rsidR="007A695C" w:rsidRPr="009D33C3" w:rsidRDefault="007A695C" w:rsidP="00376F7E">
      <w:pPr>
        <w:pStyle w:val="ListParagraph"/>
        <w:spacing w:after="0"/>
        <w:ind w:left="0"/>
        <w:rPr>
          <w:rFonts w:ascii="Open Sans" w:hAnsi="Open Sans" w:cs="Open Sans"/>
          <w:sz w:val="20"/>
          <w:szCs w:val="20"/>
        </w:rPr>
      </w:pPr>
    </w:p>
    <w:p w14:paraId="4872E424" w14:textId="77777777" w:rsidR="00E93B2A" w:rsidRPr="009D33C3" w:rsidRDefault="00414D3E" w:rsidP="00376F7E">
      <w:pPr>
        <w:pStyle w:val="ListParagraph"/>
        <w:spacing w:after="0"/>
        <w:ind w:left="0"/>
        <w:rPr>
          <w:rFonts w:ascii="Open Sans" w:hAnsi="Open Sans" w:cs="Open Sans"/>
          <w:i/>
          <w:iCs/>
          <w:sz w:val="20"/>
          <w:szCs w:val="20"/>
        </w:rPr>
      </w:pPr>
      <w:r w:rsidRPr="009D33C3">
        <w:rPr>
          <w:rFonts w:ascii="Open Sans" w:hAnsi="Open Sans" w:cs="Open Sans"/>
          <w:i/>
          <w:iCs/>
          <w:sz w:val="20"/>
          <w:szCs w:val="20"/>
        </w:rPr>
        <w:t>4.1.2 Barriers:</w:t>
      </w:r>
    </w:p>
    <w:p w14:paraId="7AA7038E" w14:textId="77777777" w:rsidR="00376F7E" w:rsidRPr="009D33C3" w:rsidRDefault="00414D3E" w:rsidP="00376F7E">
      <w:pPr>
        <w:pStyle w:val="ListParagraph"/>
        <w:spacing w:after="0"/>
        <w:ind w:left="0"/>
        <w:rPr>
          <w:rFonts w:ascii="Open Sans" w:hAnsi="Open Sans" w:cs="Open Sans"/>
          <w:sz w:val="20"/>
          <w:szCs w:val="20"/>
        </w:rPr>
      </w:pPr>
      <w:r w:rsidRPr="009D33C3">
        <w:rPr>
          <w:rFonts w:ascii="Open Sans" w:hAnsi="Open Sans" w:cs="Open Sans"/>
          <w:sz w:val="20"/>
          <w:szCs w:val="20"/>
        </w:rPr>
        <w:t xml:space="preserve">Heat pumps, like all renewable heat technologies, </w:t>
      </w:r>
      <w:r w:rsidR="007A695C" w:rsidRPr="009D33C3">
        <w:rPr>
          <w:rFonts w:ascii="Open Sans" w:hAnsi="Open Sans" w:cs="Open Sans"/>
          <w:sz w:val="20"/>
          <w:szCs w:val="20"/>
        </w:rPr>
        <w:t>should n</w:t>
      </w:r>
      <w:r w:rsidRPr="009D33C3">
        <w:rPr>
          <w:rFonts w:ascii="Open Sans" w:hAnsi="Open Sans" w:cs="Open Sans"/>
          <w:sz w:val="20"/>
          <w:szCs w:val="20"/>
        </w:rPr>
        <w:t>o</w:t>
      </w:r>
      <w:r w:rsidR="007A695C" w:rsidRPr="009D33C3">
        <w:rPr>
          <w:rFonts w:ascii="Open Sans" w:hAnsi="Open Sans" w:cs="Open Sans"/>
          <w:sz w:val="20"/>
          <w:szCs w:val="20"/>
        </w:rPr>
        <w:t xml:space="preserve">t be expected to be the solution for all properties. </w:t>
      </w:r>
      <w:r w:rsidR="00DF028F" w:rsidRPr="009D33C3">
        <w:rPr>
          <w:rFonts w:ascii="Open Sans" w:hAnsi="Open Sans" w:cs="Open Sans"/>
          <w:sz w:val="20"/>
          <w:szCs w:val="20"/>
        </w:rPr>
        <w:t xml:space="preserve">The </w:t>
      </w:r>
      <w:r w:rsidR="00F850FC" w:rsidRPr="009D33C3">
        <w:rPr>
          <w:rFonts w:ascii="Open Sans" w:hAnsi="Open Sans" w:cs="Open Sans"/>
          <w:sz w:val="20"/>
          <w:szCs w:val="20"/>
        </w:rPr>
        <w:t>widespread use of</w:t>
      </w:r>
      <w:r w:rsidR="00DF028F" w:rsidRPr="009D33C3">
        <w:rPr>
          <w:rFonts w:ascii="Open Sans" w:hAnsi="Open Sans" w:cs="Open Sans"/>
          <w:sz w:val="20"/>
          <w:szCs w:val="20"/>
        </w:rPr>
        <w:t xml:space="preserve"> heat pumps</w:t>
      </w:r>
      <w:r w:rsidRPr="009D33C3">
        <w:rPr>
          <w:rFonts w:ascii="Open Sans" w:hAnsi="Open Sans" w:cs="Open Sans"/>
          <w:sz w:val="20"/>
          <w:szCs w:val="20"/>
        </w:rPr>
        <w:t xml:space="preserve"> is dependent </w:t>
      </w:r>
      <w:r w:rsidR="00DF028F" w:rsidRPr="009D33C3">
        <w:rPr>
          <w:rFonts w:ascii="Open Sans" w:hAnsi="Open Sans" w:cs="Open Sans"/>
          <w:sz w:val="20"/>
          <w:szCs w:val="20"/>
        </w:rPr>
        <w:t xml:space="preserve">on </w:t>
      </w:r>
      <w:r w:rsidRPr="009D33C3">
        <w:rPr>
          <w:rFonts w:ascii="Open Sans" w:hAnsi="Open Sans" w:cs="Open Sans"/>
          <w:sz w:val="20"/>
          <w:szCs w:val="20"/>
        </w:rPr>
        <w:t xml:space="preserve">a fully decarbonised and updated </w:t>
      </w:r>
      <w:r w:rsidR="00DF028F" w:rsidRPr="009D33C3">
        <w:rPr>
          <w:rFonts w:ascii="Open Sans" w:hAnsi="Open Sans" w:cs="Open Sans"/>
          <w:sz w:val="20"/>
          <w:szCs w:val="20"/>
        </w:rPr>
        <w:t xml:space="preserve">power </w:t>
      </w:r>
      <w:r w:rsidR="00F850FC" w:rsidRPr="009D33C3">
        <w:rPr>
          <w:rFonts w:ascii="Open Sans" w:hAnsi="Open Sans" w:cs="Open Sans"/>
          <w:sz w:val="20"/>
          <w:szCs w:val="20"/>
        </w:rPr>
        <w:t xml:space="preserve">grid. </w:t>
      </w:r>
      <w:r w:rsidR="00DF028F" w:rsidRPr="009D33C3">
        <w:rPr>
          <w:rFonts w:ascii="Open Sans" w:hAnsi="Open Sans" w:cs="Open Sans"/>
          <w:sz w:val="20"/>
          <w:szCs w:val="20"/>
        </w:rPr>
        <w:t xml:space="preserve"> The electrification of heat, </w:t>
      </w:r>
      <w:r w:rsidRPr="009D33C3">
        <w:rPr>
          <w:rFonts w:ascii="Open Sans" w:hAnsi="Open Sans" w:cs="Open Sans"/>
          <w:sz w:val="20"/>
          <w:szCs w:val="20"/>
        </w:rPr>
        <w:t>combined</w:t>
      </w:r>
      <w:r w:rsidR="00DF028F" w:rsidRPr="009D33C3">
        <w:rPr>
          <w:rFonts w:ascii="Open Sans" w:hAnsi="Open Sans" w:cs="Open Sans"/>
          <w:sz w:val="20"/>
          <w:szCs w:val="20"/>
        </w:rPr>
        <w:t xml:space="preserve"> with the electrification of transport, will need to be done</w:t>
      </w:r>
      <w:r w:rsidR="006F4CE6" w:rsidRPr="009D33C3">
        <w:rPr>
          <w:rFonts w:ascii="Open Sans" w:hAnsi="Open Sans" w:cs="Open Sans"/>
          <w:sz w:val="20"/>
          <w:szCs w:val="20"/>
        </w:rPr>
        <w:t xml:space="preserve"> </w:t>
      </w:r>
      <w:r w:rsidRPr="009D33C3">
        <w:rPr>
          <w:rFonts w:ascii="Open Sans" w:hAnsi="Open Sans" w:cs="Open Sans"/>
          <w:sz w:val="20"/>
          <w:szCs w:val="20"/>
        </w:rPr>
        <w:t>in coordination with</w:t>
      </w:r>
      <w:r w:rsidR="00F850FC" w:rsidRPr="009D33C3">
        <w:rPr>
          <w:rFonts w:ascii="Open Sans" w:hAnsi="Open Sans" w:cs="Open Sans"/>
          <w:sz w:val="20"/>
          <w:szCs w:val="20"/>
        </w:rPr>
        <w:t xml:space="preserve"> upgrades to the</w:t>
      </w:r>
      <w:r w:rsidR="006F4CE6" w:rsidRPr="009D33C3">
        <w:rPr>
          <w:rFonts w:ascii="Open Sans" w:hAnsi="Open Sans" w:cs="Open Sans"/>
          <w:sz w:val="20"/>
          <w:szCs w:val="20"/>
        </w:rPr>
        <w:t xml:space="preserve"> </w:t>
      </w:r>
      <w:r w:rsidR="00DF028F" w:rsidRPr="009D33C3">
        <w:rPr>
          <w:rFonts w:ascii="Open Sans" w:hAnsi="Open Sans" w:cs="Open Sans"/>
          <w:sz w:val="20"/>
          <w:szCs w:val="20"/>
        </w:rPr>
        <w:t>electricity grid to ensure increased power</w:t>
      </w:r>
      <w:r w:rsidR="007A695C" w:rsidRPr="009D33C3">
        <w:rPr>
          <w:rFonts w:ascii="Open Sans" w:hAnsi="Open Sans" w:cs="Open Sans"/>
          <w:sz w:val="20"/>
          <w:szCs w:val="20"/>
        </w:rPr>
        <w:t xml:space="preserve"> </w:t>
      </w:r>
      <w:r w:rsidR="000D3B34">
        <w:rPr>
          <w:rFonts w:ascii="Open Sans" w:hAnsi="Open Sans" w:cs="Open Sans"/>
          <w:sz w:val="20"/>
          <w:szCs w:val="20"/>
        </w:rPr>
        <w:t xml:space="preserve">demand </w:t>
      </w:r>
      <w:r w:rsidR="007A695C" w:rsidRPr="009D33C3">
        <w:rPr>
          <w:rFonts w:ascii="Open Sans" w:hAnsi="Open Sans" w:cs="Open Sans"/>
          <w:sz w:val="20"/>
          <w:szCs w:val="20"/>
        </w:rPr>
        <w:t xml:space="preserve">from individual </w:t>
      </w:r>
      <w:r w:rsidR="000D3B34" w:rsidRPr="009D33C3">
        <w:rPr>
          <w:rFonts w:ascii="Open Sans" w:hAnsi="Open Sans" w:cs="Open Sans"/>
          <w:sz w:val="20"/>
          <w:szCs w:val="20"/>
        </w:rPr>
        <w:t>households</w:t>
      </w:r>
      <w:r w:rsidR="00DF028F" w:rsidRPr="009D33C3">
        <w:rPr>
          <w:rFonts w:ascii="Open Sans" w:hAnsi="Open Sans" w:cs="Open Sans"/>
          <w:sz w:val="20"/>
          <w:szCs w:val="20"/>
        </w:rPr>
        <w:t xml:space="preserve"> </w:t>
      </w:r>
      <w:r w:rsidR="007A695C" w:rsidRPr="009D33C3">
        <w:rPr>
          <w:rFonts w:ascii="Open Sans" w:hAnsi="Open Sans" w:cs="Open Sans"/>
          <w:sz w:val="20"/>
          <w:szCs w:val="20"/>
        </w:rPr>
        <w:t xml:space="preserve">is </w:t>
      </w:r>
      <w:r w:rsidR="00DF028F" w:rsidRPr="009D33C3">
        <w:rPr>
          <w:rFonts w:ascii="Open Sans" w:hAnsi="Open Sans" w:cs="Open Sans"/>
          <w:sz w:val="20"/>
          <w:szCs w:val="20"/>
        </w:rPr>
        <w:t>met</w:t>
      </w:r>
      <w:r w:rsidR="006F4CE6" w:rsidRPr="009D33C3">
        <w:rPr>
          <w:rFonts w:ascii="Open Sans" w:hAnsi="Open Sans" w:cs="Open Sans"/>
          <w:sz w:val="20"/>
          <w:szCs w:val="20"/>
        </w:rPr>
        <w:t>.</w:t>
      </w:r>
      <w:r w:rsidR="007A695C" w:rsidRPr="009D33C3">
        <w:rPr>
          <w:rFonts w:ascii="Open Sans" w:hAnsi="Open Sans" w:cs="Open Sans"/>
          <w:sz w:val="20"/>
          <w:szCs w:val="20"/>
        </w:rPr>
        <w:t xml:space="preserve"> </w:t>
      </w:r>
      <w:r w:rsidR="00377054">
        <w:rPr>
          <w:rFonts w:ascii="Open Sans" w:hAnsi="Open Sans" w:cs="Open Sans"/>
          <w:sz w:val="20"/>
          <w:szCs w:val="20"/>
        </w:rPr>
        <w:t>While the power to heat conversion is an efficient process</w:t>
      </w:r>
      <w:r w:rsidR="006F4CE6" w:rsidRPr="009D33C3">
        <w:rPr>
          <w:rFonts w:ascii="Open Sans" w:hAnsi="Open Sans" w:cs="Open Sans"/>
          <w:sz w:val="20"/>
          <w:szCs w:val="20"/>
        </w:rPr>
        <w:t xml:space="preserve">, most domestic properties typically only have a single-phase electricity supply, the upgrading of this </w:t>
      </w:r>
      <w:r w:rsidRPr="009D33C3">
        <w:rPr>
          <w:rFonts w:ascii="Open Sans" w:hAnsi="Open Sans" w:cs="Open Sans"/>
          <w:sz w:val="20"/>
          <w:szCs w:val="20"/>
        </w:rPr>
        <w:t xml:space="preserve">infrastructure to three-phase </w:t>
      </w:r>
      <w:r w:rsidR="008F6CAE" w:rsidRPr="009D33C3">
        <w:rPr>
          <w:rFonts w:ascii="Open Sans" w:hAnsi="Open Sans" w:cs="Open Sans"/>
          <w:sz w:val="20"/>
          <w:szCs w:val="20"/>
        </w:rPr>
        <w:t>supply</w:t>
      </w:r>
      <w:r w:rsidRPr="009D33C3">
        <w:rPr>
          <w:rFonts w:ascii="Open Sans" w:hAnsi="Open Sans" w:cs="Open Sans"/>
          <w:sz w:val="20"/>
          <w:szCs w:val="20"/>
        </w:rPr>
        <w:t xml:space="preserve">, </w:t>
      </w:r>
      <w:r w:rsidR="006F4CE6" w:rsidRPr="009D33C3">
        <w:rPr>
          <w:rFonts w:ascii="Open Sans" w:hAnsi="Open Sans" w:cs="Open Sans"/>
          <w:sz w:val="20"/>
          <w:szCs w:val="20"/>
        </w:rPr>
        <w:t xml:space="preserve">could well be required if transport and heat are to be </w:t>
      </w:r>
      <w:r w:rsidR="00CA2F46" w:rsidRPr="009D33C3">
        <w:rPr>
          <w:rFonts w:ascii="Open Sans" w:hAnsi="Open Sans" w:cs="Open Sans"/>
          <w:sz w:val="20"/>
          <w:szCs w:val="20"/>
        </w:rPr>
        <w:t xml:space="preserve">effectively </w:t>
      </w:r>
      <w:r w:rsidR="006F4CE6" w:rsidRPr="009D33C3">
        <w:rPr>
          <w:rFonts w:ascii="Open Sans" w:hAnsi="Open Sans" w:cs="Open Sans"/>
          <w:sz w:val="20"/>
          <w:szCs w:val="20"/>
        </w:rPr>
        <w:t xml:space="preserve">electrified. </w:t>
      </w:r>
    </w:p>
    <w:p w14:paraId="74404D8D" w14:textId="77777777" w:rsidR="00E93B2A" w:rsidRPr="009D33C3" w:rsidRDefault="00E93B2A" w:rsidP="00376F7E">
      <w:pPr>
        <w:pStyle w:val="ListParagraph"/>
        <w:spacing w:after="0"/>
        <w:ind w:left="0"/>
        <w:rPr>
          <w:rFonts w:ascii="Open Sans" w:hAnsi="Open Sans" w:cs="Open Sans"/>
          <w:sz w:val="20"/>
          <w:szCs w:val="20"/>
        </w:rPr>
      </w:pPr>
    </w:p>
    <w:p w14:paraId="61EC1ADF" w14:textId="77777777" w:rsidR="00E93B2A" w:rsidRPr="009D33C3" w:rsidRDefault="00414D3E" w:rsidP="00376F7E">
      <w:pPr>
        <w:pStyle w:val="ListParagraph"/>
        <w:spacing w:after="0"/>
        <w:ind w:left="0"/>
        <w:rPr>
          <w:rFonts w:ascii="Open Sans" w:hAnsi="Open Sans" w:cs="Open Sans"/>
          <w:sz w:val="20"/>
          <w:szCs w:val="20"/>
        </w:rPr>
      </w:pPr>
      <w:r w:rsidRPr="009D33C3">
        <w:rPr>
          <w:rFonts w:ascii="Open Sans" w:hAnsi="Open Sans" w:cs="Open Sans"/>
          <w:sz w:val="20"/>
          <w:szCs w:val="20"/>
        </w:rPr>
        <w:t>4.1.3 Currently heat pump deployment is supported by</w:t>
      </w:r>
      <w:r w:rsidR="000D3B34">
        <w:rPr>
          <w:rFonts w:ascii="Open Sans" w:hAnsi="Open Sans" w:cs="Open Sans"/>
          <w:sz w:val="20"/>
          <w:szCs w:val="20"/>
        </w:rPr>
        <w:t xml:space="preserve"> the</w:t>
      </w:r>
      <w:r w:rsidRPr="009D33C3">
        <w:rPr>
          <w:rFonts w:ascii="Open Sans" w:hAnsi="Open Sans" w:cs="Open Sans"/>
          <w:sz w:val="20"/>
          <w:szCs w:val="20"/>
        </w:rPr>
        <w:t xml:space="preserve"> </w:t>
      </w:r>
      <w:r w:rsidR="008F6CAE" w:rsidRPr="009D33C3">
        <w:rPr>
          <w:rFonts w:ascii="Open Sans" w:hAnsi="Open Sans" w:cs="Open Sans"/>
          <w:sz w:val="20"/>
          <w:szCs w:val="20"/>
        </w:rPr>
        <w:t>Green Homes Grant and Clean Heat Grant. However, these mechanisms are focused on small scale systems. The deployment of Ground Source Heat pumps is expected to be restricted, while the</w:t>
      </w:r>
      <w:r w:rsidR="000D3B34">
        <w:rPr>
          <w:rFonts w:ascii="Open Sans" w:hAnsi="Open Sans" w:cs="Open Sans"/>
          <w:sz w:val="20"/>
          <w:szCs w:val="20"/>
        </w:rPr>
        <w:t>re</w:t>
      </w:r>
      <w:r w:rsidR="008F6CAE" w:rsidRPr="009D33C3">
        <w:rPr>
          <w:rFonts w:ascii="Open Sans" w:hAnsi="Open Sans" w:cs="Open Sans"/>
          <w:sz w:val="20"/>
          <w:szCs w:val="20"/>
        </w:rPr>
        <w:t xml:space="preserve"> also remains a policy gap around deployment for business or industrial-scale systems.   </w:t>
      </w:r>
    </w:p>
    <w:p w14:paraId="39CFD892" w14:textId="77777777" w:rsidR="006F4CE6" w:rsidRPr="009D33C3" w:rsidRDefault="006F4CE6" w:rsidP="00376F7E">
      <w:pPr>
        <w:pStyle w:val="ListParagraph"/>
        <w:spacing w:after="0"/>
        <w:ind w:left="0"/>
        <w:rPr>
          <w:rFonts w:ascii="Open Sans" w:hAnsi="Open Sans" w:cs="Open Sans"/>
          <w:sz w:val="20"/>
          <w:szCs w:val="20"/>
        </w:rPr>
      </w:pPr>
    </w:p>
    <w:p w14:paraId="75B420AB" w14:textId="77777777" w:rsidR="00376F7E" w:rsidRPr="009D33C3" w:rsidRDefault="00414D3E" w:rsidP="00DF028F">
      <w:pPr>
        <w:pStyle w:val="ListParagraph"/>
        <w:numPr>
          <w:ilvl w:val="0"/>
          <w:numId w:val="7"/>
        </w:numPr>
        <w:spacing w:after="0"/>
        <w:rPr>
          <w:rFonts w:ascii="Open Sans" w:hAnsi="Open Sans" w:cs="Open Sans"/>
          <w:i/>
          <w:iCs/>
          <w:sz w:val="20"/>
          <w:szCs w:val="20"/>
          <w:u w:val="single"/>
        </w:rPr>
      </w:pPr>
      <w:r w:rsidRPr="009D33C3">
        <w:rPr>
          <w:rFonts w:ascii="Open Sans" w:hAnsi="Open Sans" w:cs="Open Sans"/>
          <w:i/>
          <w:iCs/>
          <w:sz w:val="20"/>
          <w:szCs w:val="20"/>
          <w:u w:val="single"/>
        </w:rPr>
        <w:t>4.2 Biomass</w:t>
      </w:r>
      <w:r w:rsidR="008F6CAE" w:rsidRPr="009D33C3">
        <w:rPr>
          <w:rFonts w:ascii="Open Sans" w:hAnsi="Open Sans" w:cs="Open Sans"/>
          <w:i/>
          <w:iCs/>
          <w:sz w:val="20"/>
          <w:szCs w:val="20"/>
          <w:u w:val="single"/>
        </w:rPr>
        <w:t xml:space="preserve"> Heat </w:t>
      </w:r>
    </w:p>
    <w:p w14:paraId="1A5632D7" w14:textId="77777777" w:rsidR="00DF028F" w:rsidRPr="009D33C3" w:rsidRDefault="00DF028F" w:rsidP="00376F7E">
      <w:pPr>
        <w:pStyle w:val="ListParagraph"/>
        <w:spacing w:after="0"/>
        <w:ind w:left="0"/>
        <w:rPr>
          <w:rFonts w:ascii="Open Sans" w:hAnsi="Open Sans" w:cs="Open Sans"/>
          <w:sz w:val="20"/>
          <w:szCs w:val="20"/>
        </w:rPr>
      </w:pPr>
    </w:p>
    <w:p w14:paraId="77E9192D" w14:textId="77777777" w:rsidR="008F6CAE" w:rsidRPr="009D33C3" w:rsidRDefault="00414D3E" w:rsidP="00376F7E">
      <w:pPr>
        <w:pStyle w:val="ListParagraph"/>
        <w:spacing w:after="0"/>
        <w:ind w:left="0"/>
        <w:rPr>
          <w:rFonts w:ascii="Open Sans" w:hAnsi="Open Sans" w:cs="Open Sans"/>
          <w:sz w:val="20"/>
          <w:szCs w:val="20"/>
        </w:rPr>
      </w:pPr>
      <w:r w:rsidRPr="009D33C3">
        <w:rPr>
          <w:rFonts w:ascii="Open Sans" w:hAnsi="Open Sans" w:cs="Open Sans"/>
          <w:sz w:val="20"/>
          <w:szCs w:val="20"/>
        </w:rPr>
        <w:lastRenderedPageBreak/>
        <w:t xml:space="preserve">4.2.1 </w:t>
      </w:r>
      <w:r w:rsidR="00376F7E" w:rsidRPr="009D33C3">
        <w:rPr>
          <w:rFonts w:ascii="Open Sans" w:hAnsi="Open Sans" w:cs="Open Sans"/>
          <w:sz w:val="20"/>
          <w:szCs w:val="20"/>
        </w:rPr>
        <w:t>Biomass boilers</w:t>
      </w:r>
      <w:r w:rsidR="00DF028F" w:rsidRPr="009D33C3">
        <w:rPr>
          <w:rFonts w:ascii="Open Sans" w:hAnsi="Open Sans" w:cs="Open Sans"/>
          <w:sz w:val="20"/>
          <w:szCs w:val="20"/>
        </w:rPr>
        <w:t xml:space="preserve"> provide the largest contribution </w:t>
      </w:r>
      <w:r w:rsidR="008C2A2F">
        <w:rPr>
          <w:rFonts w:ascii="Open Sans" w:hAnsi="Open Sans" w:cs="Open Sans"/>
          <w:sz w:val="20"/>
          <w:szCs w:val="20"/>
        </w:rPr>
        <w:t xml:space="preserve">under the RHI </w:t>
      </w:r>
      <w:r w:rsidR="00DF028F" w:rsidRPr="009D33C3">
        <w:rPr>
          <w:rFonts w:ascii="Open Sans" w:hAnsi="Open Sans" w:cs="Open Sans"/>
          <w:sz w:val="20"/>
          <w:szCs w:val="20"/>
        </w:rPr>
        <w:t xml:space="preserve">to heat decarbonisation in the UK today. </w:t>
      </w:r>
      <w:r w:rsidR="006F4CE6" w:rsidRPr="009D33C3">
        <w:rPr>
          <w:rFonts w:ascii="Open Sans" w:hAnsi="Open Sans" w:cs="Open Sans"/>
          <w:sz w:val="20"/>
          <w:szCs w:val="20"/>
        </w:rPr>
        <w:t xml:space="preserve">They </w:t>
      </w:r>
      <w:r w:rsidR="00376F7E" w:rsidRPr="009D33C3">
        <w:rPr>
          <w:rFonts w:ascii="Open Sans" w:hAnsi="Open Sans" w:cs="Open Sans"/>
          <w:sz w:val="20"/>
          <w:szCs w:val="20"/>
        </w:rPr>
        <w:t>are effective in replacing oil boilers in existing buildings</w:t>
      </w:r>
      <w:r w:rsidR="00377054">
        <w:rPr>
          <w:rFonts w:ascii="Open Sans" w:hAnsi="Open Sans" w:cs="Open Sans"/>
          <w:sz w:val="20"/>
          <w:szCs w:val="20"/>
        </w:rPr>
        <w:t xml:space="preserve"> </w:t>
      </w:r>
      <w:r w:rsidRPr="009D33C3">
        <w:rPr>
          <w:rFonts w:ascii="Open Sans" w:hAnsi="Open Sans" w:cs="Open Sans"/>
          <w:sz w:val="20"/>
          <w:szCs w:val="20"/>
        </w:rPr>
        <w:t>and are</w:t>
      </w:r>
      <w:r w:rsidR="00377054">
        <w:rPr>
          <w:rFonts w:ascii="Open Sans" w:hAnsi="Open Sans" w:cs="Open Sans"/>
          <w:sz w:val="20"/>
          <w:szCs w:val="20"/>
        </w:rPr>
        <w:t xml:space="preserve"> a</w:t>
      </w:r>
      <w:r w:rsidRPr="009D33C3">
        <w:rPr>
          <w:rFonts w:ascii="Open Sans" w:hAnsi="Open Sans" w:cs="Open Sans"/>
          <w:sz w:val="20"/>
          <w:szCs w:val="20"/>
        </w:rPr>
        <w:t xml:space="preserve"> crucial technology for powering heat networks. In Sweden over 40% of heat is met via biomass [9]</w:t>
      </w:r>
      <w:r w:rsidR="00376F7E" w:rsidRPr="009D33C3">
        <w:rPr>
          <w:rFonts w:ascii="Open Sans" w:hAnsi="Open Sans" w:cs="Open Sans"/>
          <w:sz w:val="20"/>
          <w:szCs w:val="20"/>
        </w:rPr>
        <w:t xml:space="preserve">. </w:t>
      </w:r>
      <w:r w:rsidR="00DF028F" w:rsidRPr="009D33C3">
        <w:rPr>
          <w:rFonts w:ascii="Open Sans" w:hAnsi="Open Sans" w:cs="Open Sans"/>
          <w:sz w:val="20"/>
          <w:szCs w:val="20"/>
        </w:rPr>
        <w:t xml:space="preserve">Biomass </w:t>
      </w:r>
      <w:r w:rsidR="0018227B" w:rsidRPr="009D33C3">
        <w:rPr>
          <w:rFonts w:ascii="Open Sans" w:hAnsi="Open Sans" w:cs="Open Sans"/>
          <w:sz w:val="20"/>
          <w:szCs w:val="20"/>
        </w:rPr>
        <w:t>is</w:t>
      </w:r>
      <w:r w:rsidR="00744538" w:rsidRPr="009D33C3">
        <w:rPr>
          <w:rFonts w:ascii="Open Sans" w:hAnsi="Open Sans" w:cs="Open Sans"/>
          <w:sz w:val="20"/>
          <w:szCs w:val="20"/>
        </w:rPr>
        <w:t xml:space="preserve"> </w:t>
      </w:r>
      <w:r w:rsidR="003F7788" w:rsidRPr="009D33C3">
        <w:rPr>
          <w:rFonts w:ascii="Open Sans" w:hAnsi="Open Sans" w:cs="Open Sans"/>
          <w:sz w:val="20"/>
          <w:szCs w:val="20"/>
        </w:rPr>
        <w:t xml:space="preserve">a versatile alternative </w:t>
      </w:r>
      <w:r w:rsidR="00362415">
        <w:rPr>
          <w:rFonts w:ascii="Open Sans" w:hAnsi="Open Sans" w:cs="Open Sans"/>
          <w:sz w:val="20"/>
          <w:szCs w:val="20"/>
        </w:rPr>
        <w:t xml:space="preserve">where electrification may not be possible, they are </w:t>
      </w:r>
      <w:r w:rsidR="003F7788" w:rsidRPr="009D33C3">
        <w:rPr>
          <w:rFonts w:ascii="Open Sans" w:hAnsi="Open Sans" w:cs="Open Sans"/>
          <w:sz w:val="20"/>
          <w:szCs w:val="20"/>
        </w:rPr>
        <w:t>particularly suited to contexts where a high heat load is required and/or where levels of energy efficiency are low, typically in off-gas grid rural areas and certain on-grid urban areas (e.g. district heating).  There is also potential in urban areas with larger residential or commercial sites, such as schools and hospitals or in new developments combined with heat networks.</w:t>
      </w:r>
    </w:p>
    <w:p w14:paraId="4477C098" w14:textId="77777777" w:rsidR="008F6CAE" w:rsidRPr="009D33C3" w:rsidRDefault="008F6CAE" w:rsidP="00376F7E">
      <w:pPr>
        <w:pStyle w:val="ListParagraph"/>
        <w:spacing w:after="0"/>
        <w:ind w:left="0"/>
        <w:rPr>
          <w:rFonts w:ascii="Open Sans" w:hAnsi="Open Sans" w:cs="Open Sans"/>
          <w:sz w:val="20"/>
          <w:szCs w:val="20"/>
        </w:rPr>
      </w:pPr>
    </w:p>
    <w:p w14:paraId="41245AC4" w14:textId="77777777" w:rsidR="008F6CAE" w:rsidRPr="009D33C3" w:rsidRDefault="00414D3E" w:rsidP="00376F7E">
      <w:pPr>
        <w:pStyle w:val="ListParagraph"/>
        <w:spacing w:after="0"/>
        <w:ind w:left="0"/>
        <w:rPr>
          <w:rFonts w:ascii="Open Sans" w:hAnsi="Open Sans" w:cs="Open Sans"/>
          <w:i/>
          <w:iCs/>
          <w:sz w:val="20"/>
          <w:szCs w:val="20"/>
        </w:rPr>
      </w:pPr>
      <w:r w:rsidRPr="009D33C3">
        <w:rPr>
          <w:rFonts w:ascii="Open Sans" w:hAnsi="Open Sans" w:cs="Open Sans"/>
          <w:i/>
          <w:iCs/>
          <w:sz w:val="20"/>
          <w:szCs w:val="20"/>
        </w:rPr>
        <w:t>4.2.2 Barriers</w:t>
      </w:r>
    </w:p>
    <w:p w14:paraId="2ABAD8FC" w14:textId="77777777" w:rsidR="00245C40" w:rsidRPr="009D33C3" w:rsidRDefault="00414D3E" w:rsidP="00376F7E">
      <w:pPr>
        <w:pStyle w:val="ListParagraph"/>
        <w:spacing w:after="0"/>
        <w:ind w:left="0"/>
        <w:rPr>
          <w:rFonts w:ascii="Open Sans" w:hAnsi="Open Sans" w:cs="Open Sans"/>
          <w:sz w:val="20"/>
          <w:szCs w:val="20"/>
        </w:rPr>
      </w:pPr>
      <w:r w:rsidRPr="009D33C3">
        <w:rPr>
          <w:rFonts w:ascii="Open Sans" w:hAnsi="Open Sans" w:cs="Open Sans"/>
          <w:sz w:val="20"/>
          <w:szCs w:val="20"/>
        </w:rPr>
        <w:t xml:space="preserve">Despite </w:t>
      </w:r>
      <w:r w:rsidR="00CA2F46" w:rsidRPr="009D33C3">
        <w:rPr>
          <w:rFonts w:ascii="Open Sans" w:hAnsi="Open Sans" w:cs="Open Sans"/>
          <w:sz w:val="20"/>
          <w:szCs w:val="20"/>
        </w:rPr>
        <w:t>having been</w:t>
      </w:r>
      <w:r w:rsidR="00715E44" w:rsidRPr="009D33C3">
        <w:rPr>
          <w:rFonts w:ascii="Open Sans" w:hAnsi="Open Sans" w:cs="Open Sans"/>
          <w:sz w:val="20"/>
          <w:szCs w:val="20"/>
        </w:rPr>
        <w:t xml:space="preserve"> </w:t>
      </w:r>
      <w:r w:rsidR="008F6CAE" w:rsidRPr="009D33C3">
        <w:rPr>
          <w:rFonts w:ascii="Open Sans" w:hAnsi="Open Sans" w:cs="Open Sans"/>
          <w:sz w:val="20"/>
          <w:szCs w:val="20"/>
        </w:rPr>
        <w:t>crucial in achieving the levels of heat decarbonisation to date</w:t>
      </w:r>
      <w:r w:rsidRPr="009D33C3">
        <w:rPr>
          <w:rFonts w:ascii="Open Sans" w:hAnsi="Open Sans" w:cs="Open Sans"/>
          <w:sz w:val="20"/>
          <w:szCs w:val="20"/>
        </w:rPr>
        <w:t xml:space="preserve">, the sector is currently </w:t>
      </w:r>
      <w:r w:rsidR="006F4CE6" w:rsidRPr="009D33C3">
        <w:rPr>
          <w:rFonts w:ascii="Open Sans" w:hAnsi="Open Sans" w:cs="Open Sans"/>
          <w:sz w:val="20"/>
          <w:szCs w:val="20"/>
        </w:rPr>
        <w:t xml:space="preserve">facing an uncertain future as government policy aims to restrict </w:t>
      </w:r>
      <w:r w:rsidRPr="009D33C3">
        <w:rPr>
          <w:rFonts w:ascii="Open Sans" w:hAnsi="Open Sans" w:cs="Open Sans"/>
          <w:sz w:val="20"/>
          <w:szCs w:val="20"/>
        </w:rPr>
        <w:t>it</w:t>
      </w:r>
      <w:r w:rsidR="006F4CE6" w:rsidRPr="009D33C3">
        <w:rPr>
          <w:rFonts w:ascii="Open Sans" w:hAnsi="Open Sans" w:cs="Open Sans"/>
          <w:sz w:val="20"/>
          <w:szCs w:val="20"/>
        </w:rPr>
        <w:t xml:space="preserve"> to a </w:t>
      </w:r>
      <w:r w:rsidRPr="009D33C3">
        <w:rPr>
          <w:rFonts w:ascii="Open Sans" w:hAnsi="Open Sans" w:cs="Open Sans"/>
          <w:sz w:val="20"/>
          <w:szCs w:val="20"/>
        </w:rPr>
        <w:t>poorly</w:t>
      </w:r>
      <w:r w:rsidR="006F4CE6" w:rsidRPr="009D33C3">
        <w:rPr>
          <w:rFonts w:ascii="Open Sans" w:hAnsi="Open Sans" w:cs="Open Sans"/>
          <w:sz w:val="20"/>
          <w:szCs w:val="20"/>
        </w:rPr>
        <w:t xml:space="preserve"> defined ‘niche role’</w:t>
      </w:r>
      <w:r w:rsidRPr="009D33C3">
        <w:rPr>
          <w:rFonts w:ascii="Open Sans" w:hAnsi="Open Sans" w:cs="Open Sans"/>
          <w:sz w:val="20"/>
          <w:szCs w:val="20"/>
        </w:rPr>
        <w:t xml:space="preserve">.  The Clean Heat Grant currently only aims to deliver 700 biomass boilers over </w:t>
      </w:r>
      <w:r w:rsidR="00744538" w:rsidRPr="009D33C3">
        <w:rPr>
          <w:rFonts w:ascii="Open Sans" w:hAnsi="Open Sans" w:cs="Open Sans"/>
          <w:sz w:val="20"/>
          <w:szCs w:val="20"/>
        </w:rPr>
        <w:t>2022 – 2024</w:t>
      </w:r>
      <w:r w:rsidRPr="009D33C3">
        <w:rPr>
          <w:rFonts w:ascii="Open Sans" w:hAnsi="Open Sans" w:cs="Open Sans"/>
          <w:sz w:val="20"/>
          <w:szCs w:val="20"/>
        </w:rPr>
        <w:t>, which will not</w:t>
      </w:r>
      <w:r w:rsidRPr="009D33C3">
        <w:rPr>
          <w:rFonts w:ascii="Open Sans" w:hAnsi="Open Sans" w:cs="Open Sans"/>
          <w:sz w:val="20"/>
          <w:szCs w:val="20"/>
        </w:rPr>
        <w:t xml:space="preserve"> support </w:t>
      </w:r>
      <w:r w:rsidR="005B723D" w:rsidRPr="009D33C3">
        <w:rPr>
          <w:rFonts w:ascii="Open Sans" w:hAnsi="Open Sans" w:cs="Open Sans"/>
          <w:sz w:val="20"/>
          <w:szCs w:val="20"/>
        </w:rPr>
        <w:t>a sustainable</w:t>
      </w:r>
      <w:r w:rsidRPr="009D33C3">
        <w:rPr>
          <w:rFonts w:ascii="Open Sans" w:hAnsi="Open Sans" w:cs="Open Sans"/>
          <w:sz w:val="20"/>
          <w:szCs w:val="20"/>
        </w:rPr>
        <w:t xml:space="preserve"> industry</w:t>
      </w:r>
      <w:r w:rsidR="008C2A2F">
        <w:rPr>
          <w:rFonts w:ascii="Open Sans" w:hAnsi="Open Sans" w:cs="Open Sans"/>
          <w:sz w:val="20"/>
          <w:szCs w:val="20"/>
        </w:rPr>
        <w:t xml:space="preserve">. This, in </w:t>
      </w:r>
      <w:r w:rsidR="00362415">
        <w:rPr>
          <w:rFonts w:ascii="Open Sans" w:hAnsi="Open Sans" w:cs="Open Sans"/>
          <w:sz w:val="20"/>
          <w:szCs w:val="20"/>
        </w:rPr>
        <w:t>turn</w:t>
      </w:r>
      <w:r w:rsidR="008C2A2F">
        <w:rPr>
          <w:rFonts w:ascii="Open Sans" w:hAnsi="Open Sans" w:cs="Open Sans"/>
          <w:sz w:val="20"/>
          <w:szCs w:val="20"/>
        </w:rPr>
        <w:t xml:space="preserve">, </w:t>
      </w:r>
      <w:r w:rsidR="00362415">
        <w:rPr>
          <w:rFonts w:ascii="Open Sans" w:hAnsi="Open Sans" w:cs="Open Sans"/>
          <w:sz w:val="20"/>
          <w:szCs w:val="20"/>
        </w:rPr>
        <w:t xml:space="preserve">is expected to see existing users </w:t>
      </w:r>
      <w:r w:rsidR="008C2A2F">
        <w:rPr>
          <w:rFonts w:ascii="Open Sans" w:hAnsi="Open Sans" w:cs="Open Sans"/>
          <w:sz w:val="20"/>
          <w:szCs w:val="20"/>
        </w:rPr>
        <w:t>impacted</w:t>
      </w:r>
      <w:r w:rsidR="00362415">
        <w:rPr>
          <w:rFonts w:ascii="Open Sans" w:hAnsi="Open Sans" w:cs="Open Sans"/>
          <w:sz w:val="20"/>
          <w:szCs w:val="20"/>
        </w:rPr>
        <w:t xml:space="preserve"> as the feedstock and maintenance supply chains </w:t>
      </w:r>
      <w:r w:rsidR="008C2A2F">
        <w:rPr>
          <w:rFonts w:ascii="Open Sans" w:hAnsi="Open Sans" w:cs="Open Sans"/>
          <w:sz w:val="20"/>
          <w:szCs w:val="20"/>
        </w:rPr>
        <w:t>also contract</w:t>
      </w:r>
      <w:r w:rsidR="00362415">
        <w:rPr>
          <w:rFonts w:ascii="Open Sans" w:hAnsi="Open Sans" w:cs="Open Sans"/>
          <w:sz w:val="20"/>
          <w:szCs w:val="20"/>
        </w:rPr>
        <w:t xml:space="preserve"> This could see </w:t>
      </w:r>
      <w:r w:rsidR="008C2A2F">
        <w:rPr>
          <w:rFonts w:ascii="Open Sans" w:hAnsi="Open Sans" w:cs="Open Sans"/>
          <w:sz w:val="20"/>
          <w:szCs w:val="20"/>
        </w:rPr>
        <w:t xml:space="preserve">existing </w:t>
      </w:r>
      <w:r w:rsidR="00362415">
        <w:rPr>
          <w:rFonts w:ascii="Open Sans" w:hAnsi="Open Sans" w:cs="Open Sans"/>
          <w:sz w:val="20"/>
          <w:szCs w:val="20"/>
        </w:rPr>
        <w:t xml:space="preserve">users revert to fossil fuel heating systems. </w:t>
      </w:r>
    </w:p>
    <w:p w14:paraId="5D2315D6" w14:textId="77777777" w:rsidR="00245C40" w:rsidRPr="009D33C3" w:rsidRDefault="00245C40" w:rsidP="00376F7E">
      <w:pPr>
        <w:pStyle w:val="ListParagraph"/>
        <w:spacing w:after="0"/>
        <w:ind w:left="0"/>
        <w:rPr>
          <w:rFonts w:ascii="Open Sans" w:hAnsi="Open Sans" w:cs="Open Sans"/>
          <w:sz w:val="20"/>
          <w:szCs w:val="20"/>
        </w:rPr>
      </w:pPr>
    </w:p>
    <w:p w14:paraId="260987DD" w14:textId="77777777" w:rsidR="00245C40" w:rsidRPr="009D33C3" w:rsidRDefault="00414D3E" w:rsidP="00245C40">
      <w:pPr>
        <w:rPr>
          <w:rFonts w:ascii="Open Sans" w:hAnsi="Open Sans" w:cs="Open Sans"/>
          <w:sz w:val="20"/>
          <w:szCs w:val="20"/>
        </w:rPr>
      </w:pPr>
      <w:r w:rsidRPr="009D33C3">
        <w:rPr>
          <w:rFonts w:ascii="Open Sans" w:hAnsi="Open Sans" w:cs="Open Sans"/>
          <w:sz w:val="20"/>
          <w:szCs w:val="20"/>
        </w:rPr>
        <w:t>4.2.3 Much of BEIS</w:t>
      </w:r>
      <w:r w:rsidR="005B723D" w:rsidRPr="009D33C3">
        <w:rPr>
          <w:rFonts w:ascii="Open Sans" w:hAnsi="Open Sans" w:cs="Open Sans"/>
          <w:sz w:val="20"/>
          <w:szCs w:val="20"/>
        </w:rPr>
        <w:t>’s</w:t>
      </w:r>
      <w:r w:rsidRPr="009D33C3">
        <w:rPr>
          <w:rFonts w:ascii="Open Sans" w:hAnsi="Open Sans" w:cs="Open Sans"/>
          <w:sz w:val="20"/>
          <w:szCs w:val="20"/>
        </w:rPr>
        <w:t xml:space="preserve"> analysis for</w:t>
      </w:r>
      <w:r w:rsidRPr="009D33C3">
        <w:rPr>
          <w:rFonts w:ascii="Open Sans" w:hAnsi="Open Sans" w:cs="Open Sans"/>
          <w:sz w:val="20"/>
          <w:szCs w:val="20"/>
        </w:rPr>
        <w:t xml:space="preserve"> off-gas grid homes decarbonisation is based on the findings of the Delta-EE report </w:t>
      </w:r>
      <w:r w:rsidRPr="009D33C3">
        <w:rPr>
          <w:rFonts w:ascii="Open Sans" w:hAnsi="Open Sans" w:cs="Open Sans"/>
          <w:i/>
          <w:iCs/>
          <w:sz w:val="20"/>
          <w:szCs w:val="20"/>
        </w:rPr>
        <w:t>“Electric Heating in Rural Off-Gas Grid Dwellings: technical Feasibility”</w:t>
      </w:r>
      <w:r w:rsidR="005B723D" w:rsidRPr="009D33C3">
        <w:rPr>
          <w:rFonts w:ascii="Open Sans" w:hAnsi="Open Sans" w:cs="Open Sans"/>
          <w:sz w:val="20"/>
          <w:szCs w:val="20"/>
        </w:rPr>
        <w:t xml:space="preserve"> [10]</w:t>
      </w:r>
      <w:r w:rsidRPr="009D33C3">
        <w:rPr>
          <w:rFonts w:ascii="Open Sans" w:hAnsi="Open Sans" w:cs="Open Sans"/>
          <w:sz w:val="20"/>
          <w:szCs w:val="20"/>
        </w:rPr>
        <w:t>.  This highlights the strong potential for heat pumps to be used for decarbonisation. We supp</w:t>
      </w:r>
      <w:r w:rsidRPr="009D33C3">
        <w:rPr>
          <w:rFonts w:ascii="Open Sans" w:hAnsi="Open Sans" w:cs="Open Sans"/>
          <w:sz w:val="20"/>
          <w:szCs w:val="20"/>
        </w:rPr>
        <w:t xml:space="preserve">ort the findings of this report but urge the committee to take note of the full implications of their modelling. We particularly highlight this paragraph within the Executive Summary: </w:t>
      </w:r>
    </w:p>
    <w:p w14:paraId="56ADE9F2" w14:textId="77777777" w:rsidR="00245C40" w:rsidRPr="009D33C3" w:rsidRDefault="00414D3E" w:rsidP="00245C40">
      <w:pPr>
        <w:ind w:left="720"/>
        <w:rPr>
          <w:rFonts w:ascii="Open Sans" w:hAnsi="Open Sans" w:cs="Open Sans"/>
          <w:i/>
          <w:iCs/>
          <w:sz w:val="20"/>
          <w:szCs w:val="20"/>
        </w:rPr>
      </w:pPr>
      <w:r w:rsidRPr="009D33C3">
        <w:rPr>
          <w:rFonts w:ascii="Open Sans" w:hAnsi="Open Sans" w:cs="Open Sans"/>
          <w:i/>
          <w:iCs/>
          <w:sz w:val="20"/>
          <w:szCs w:val="20"/>
        </w:rPr>
        <w:t>"The results from the network modelling show that based on average peak winter day temperatures, around 84% of homes can be electrified at their current level of insulation. This increases to around 93% of all suitable homes have loft &amp; wall insulation ins</w:t>
      </w:r>
      <w:r w:rsidRPr="009D33C3">
        <w:rPr>
          <w:rFonts w:ascii="Open Sans" w:hAnsi="Open Sans" w:cs="Open Sans"/>
          <w:i/>
          <w:iCs/>
          <w:sz w:val="20"/>
          <w:szCs w:val="20"/>
        </w:rPr>
        <w:t xml:space="preserve">talled. </w:t>
      </w:r>
      <w:r w:rsidRPr="009D33C3">
        <w:rPr>
          <w:rFonts w:ascii="Open Sans" w:hAnsi="Open Sans" w:cs="Open Sans"/>
          <w:i/>
          <w:iCs/>
          <w:sz w:val="20"/>
          <w:szCs w:val="20"/>
          <w:u w:val="single"/>
        </w:rPr>
        <w:t>However, based on a 1-in-20 winter peak scenario, the proportion of homes that the current low voltage network can support drops to around 64% if ground-source heat pumps are the preferred technology for households, or to 41% if air-source heat pum</w:t>
      </w:r>
      <w:r w:rsidRPr="009D33C3">
        <w:rPr>
          <w:rFonts w:ascii="Open Sans" w:hAnsi="Open Sans" w:cs="Open Sans"/>
          <w:i/>
          <w:iCs/>
          <w:sz w:val="20"/>
          <w:szCs w:val="20"/>
          <w:u w:val="single"/>
        </w:rPr>
        <w:t>ps are the preferred technology (assuming that air source heat pumps require a direct electric heating back-up in a 1-in-20 winter scenario</w:t>
      </w:r>
      <w:r w:rsidRPr="009D33C3">
        <w:rPr>
          <w:rFonts w:ascii="Open Sans" w:hAnsi="Open Sans" w:cs="Open Sans"/>
          <w:i/>
          <w:iCs/>
          <w:sz w:val="20"/>
          <w:szCs w:val="20"/>
        </w:rPr>
        <w:t>). For both merit order scenarios, adding loft and wall insulation results in only a marginal improvement in electrif</w:t>
      </w:r>
      <w:r w:rsidRPr="009D33C3">
        <w:rPr>
          <w:rFonts w:ascii="Open Sans" w:hAnsi="Open Sans" w:cs="Open Sans"/>
          <w:i/>
          <w:iCs/>
          <w:sz w:val="20"/>
          <w:szCs w:val="20"/>
        </w:rPr>
        <w:t>ication rates.” [Emphasis added]</w:t>
      </w:r>
    </w:p>
    <w:p w14:paraId="68F4DFC0" w14:textId="77777777" w:rsidR="00245C40" w:rsidRPr="009D33C3" w:rsidRDefault="00414D3E" w:rsidP="00245C40">
      <w:pPr>
        <w:rPr>
          <w:rFonts w:ascii="Open Sans" w:hAnsi="Open Sans" w:cs="Open Sans"/>
          <w:sz w:val="20"/>
          <w:szCs w:val="20"/>
        </w:rPr>
      </w:pPr>
      <w:r w:rsidRPr="009D33C3">
        <w:rPr>
          <w:rFonts w:ascii="Open Sans" w:hAnsi="Open Sans" w:cs="Open Sans"/>
          <w:sz w:val="20"/>
          <w:szCs w:val="20"/>
        </w:rPr>
        <w:t>4.2.4 Delta EE make clear that when considering harsher winters, which are widely predicted to become more common, policymakers need to be considering the role of higher heat load technologies. There is no doubt that heat p</w:t>
      </w:r>
      <w:r w:rsidRPr="009D33C3">
        <w:rPr>
          <w:rFonts w:ascii="Open Sans" w:hAnsi="Open Sans" w:cs="Open Sans"/>
          <w:sz w:val="20"/>
          <w:szCs w:val="20"/>
        </w:rPr>
        <w:t xml:space="preserve">umps are of high strategic importance and have a primary role to play in the decarbonisation of such properties, however, policymakers cannot afford to underestimate how big the 'niche-role' actually left for biomass. </w:t>
      </w:r>
      <w:r w:rsidR="005B723D" w:rsidRPr="009D33C3">
        <w:rPr>
          <w:rFonts w:ascii="Open Sans" w:hAnsi="Open Sans" w:cs="Open Sans"/>
          <w:sz w:val="20"/>
          <w:szCs w:val="20"/>
        </w:rPr>
        <w:t xml:space="preserve"> </w:t>
      </w:r>
      <w:r w:rsidRPr="009D33C3">
        <w:rPr>
          <w:rFonts w:ascii="Open Sans" w:hAnsi="Open Sans" w:cs="Open Sans"/>
          <w:sz w:val="20"/>
          <w:szCs w:val="20"/>
        </w:rPr>
        <w:t>Delta-EE identifies over 1.3mn off-ga</w:t>
      </w:r>
      <w:r w:rsidRPr="009D33C3">
        <w:rPr>
          <w:rFonts w:ascii="Open Sans" w:hAnsi="Open Sans" w:cs="Open Sans"/>
          <w:sz w:val="20"/>
          <w:szCs w:val="20"/>
        </w:rPr>
        <w:t>s grid properties in the UK,</w:t>
      </w:r>
      <w:r w:rsidR="005B723D" w:rsidRPr="009D33C3">
        <w:rPr>
          <w:rFonts w:ascii="Open Sans" w:hAnsi="Open Sans" w:cs="Open Sans"/>
          <w:sz w:val="20"/>
          <w:szCs w:val="20"/>
        </w:rPr>
        <w:t xml:space="preserve"> as such</w:t>
      </w:r>
      <w:r w:rsidRPr="009D33C3">
        <w:rPr>
          <w:rFonts w:ascii="Open Sans" w:hAnsi="Open Sans" w:cs="Open Sans"/>
          <w:sz w:val="20"/>
          <w:szCs w:val="20"/>
        </w:rPr>
        <w:t xml:space="preserve"> the above suggests there could still be over 468,000 off-gas grid locations</w:t>
      </w:r>
      <w:r w:rsidRPr="009D33C3">
        <w:rPr>
          <w:rStyle w:val="FootnoteReference"/>
          <w:rFonts w:ascii="Open Sans" w:hAnsi="Open Sans" w:cs="Open Sans"/>
          <w:sz w:val="20"/>
          <w:szCs w:val="20"/>
        </w:rPr>
        <w:t xml:space="preserve"> </w:t>
      </w:r>
      <w:r w:rsidRPr="009D33C3">
        <w:rPr>
          <w:rFonts w:ascii="Open Sans" w:hAnsi="Open Sans" w:cs="Open Sans"/>
          <w:sz w:val="20"/>
          <w:szCs w:val="20"/>
        </w:rPr>
        <w:t>[11] where heat pumps may not be appropriate and where biomass, or other bioenergy options, are likely to be the best-suited heating option. Th</w:t>
      </w:r>
      <w:r w:rsidRPr="009D33C3">
        <w:rPr>
          <w:rFonts w:ascii="Open Sans" w:hAnsi="Open Sans" w:cs="Open Sans"/>
          <w:sz w:val="20"/>
          <w:szCs w:val="20"/>
        </w:rPr>
        <w:t>is leaves a potential biomass market 17 times the size of what has already been deployed by the RHI and requires a strong and established sector to be in place</w:t>
      </w:r>
      <w:r w:rsidR="005B723D" w:rsidRPr="009D33C3">
        <w:rPr>
          <w:rFonts w:ascii="Open Sans" w:hAnsi="Open Sans" w:cs="Open Sans"/>
          <w:sz w:val="20"/>
          <w:szCs w:val="20"/>
        </w:rPr>
        <w:t xml:space="preserve"> [12]</w:t>
      </w:r>
      <w:r w:rsidRPr="009D33C3">
        <w:rPr>
          <w:rFonts w:ascii="Open Sans" w:hAnsi="Open Sans" w:cs="Open Sans"/>
          <w:sz w:val="20"/>
          <w:szCs w:val="20"/>
        </w:rPr>
        <w:t xml:space="preserve">. </w:t>
      </w:r>
    </w:p>
    <w:p w14:paraId="1538A5BD" w14:textId="77777777" w:rsidR="00937D33" w:rsidRPr="009D33C3" w:rsidRDefault="00414D3E" w:rsidP="008C2A2F">
      <w:pPr>
        <w:spacing w:after="0" w:line="240" w:lineRule="auto"/>
        <w:jc w:val="both"/>
        <w:rPr>
          <w:rFonts w:ascii="Open Sans" w:hAnsi="Open Sans" w:cs="Open Sans"/>
          <w:sz w:val="20"/>
          <w:szCs w:val="20"/>
        </w:rPr>
      </w:pPr>
      <w:r w:rsidRPr="009D33C3">
        <w:rPr>
          <w:rFonts w:ascii="Open Sans" w:hAnsi="Open Sans" w:cs="Open Sans"/>
          <w:sz w:val="20"/>
          <w:szCs w:val="20"/>
        </w:rPr>
        <w:t xml:space="preserve">4.2.5 </w:t>
      </w:r>
      <w:r w:rsidR="00245C40" w:rsidRPr="009D33C3">
        <w:rPr>
          <w:rFonts w:ascii="Open Sans" w:hAnsi="Open Sans" w:cs="Open Sans"/>
          <w:sz w:val="20"/>
          <w:szCs w:val="20"/>
        </w:rPr>
        <w:t xml:space="preserve">In </w:t>
      </w:r>
      <w:r w:rsidR="000B49E4" w:rsidRPr="009D33C3">
        <w:rPr>
          <w:rFonts w:ascii="Open Sans" w:hAnsi="Open Sans" w:cs="Open Sans"/>
          <w:sz w:val="20"/>
          <w:szCs w:val="20"/>
        </w:rPr>
        <w:t>addition,</w:t>
      </w:r>
      <w:r w:rsidR="00245C40" w:rsidRPr="009D33C3">
        <w:rPr>
          <w:rFonts w:ascii="Open Sans" w:hAnsi="Open Sans" w:cs="Open Sans"/>
          <w:sz w:val="20"/>
          <w:szCs w:val="20"/>
        </w:rPr>
        <w:t xml:space="preserve"> we are seeing increasing evidence of Government intention to restrict the deployment of biomass to rural areas. As has been demonstrated to BEIS during the last urban biomass consultation</w:t>
      </w:r>
      <w:r w:rsidR="005B723D" w:rsidRPr="009D33C3">
        <w:rPr>
          <w:rFonts w:ascii="Open Sans" w:hAnsi="Open Sans" w:cs="Open Sans"/>
          <w:sz w:val="20"/>
          <w:szCs w:val="20"/>
        </w:rPr>
        <w:t xml:space="preserve"> [13]</w:t>
      </w:r>
      <w:r w:rsidR="00245C40" w:rsidRPr="009D33C3">
        <w:rPr>
          <w:rFonts w:ascii="Open Sans" w:hAnsi="Open Sans" w:cs="Open Sans"/>
          <w:sz w:val="20"/>
          <w:szCs w:val="20"/>
        </w:rPr>
        <w:t>, emissions from biomass boilers are not an issue where Best Available Techniques (BAT</w:t>
      </w:r>
      <w:r w:rsidRPr="009D33C3">
        <w:rPr>
          <w:rFonts w:ascii="Open Sans" w:hAnsi="Open Sans" w:cs="Open Sans"/>
          <w:sz w:val="20"/>
          <w:szCs w:val="20"/>
        </w:rPr>
        <w:t xml:space="preserve">) is used </w:t>
      </w:r>
      <w:r w:rsidR="00245C40" w:rsidRPr="009D33C3">
        <w:rPr>
          <w:rFonts w:ascii="Open Sans" w:hAnsi="Open Sans" w:cs="Open Sans"/>
          <w:sz w:val="20"/>
          <w:szCs w:val="20"/>
        </w:rPr>
        <w:t xml:space="preserve">and where flue gas filters are fitted. These are mature technologies which are readily available. </w:t>
      </w:r>
      <w:r w:rsidR="005B723D" w:rsidRPr="009D33C3">
        <w:rPr>
          <w:rFonts w:ascii="Open Sans" w:hAnsi="Open Sans" w:cs="Open Sans"/>
          <w:sz w:val="20"/>
          <w:szCs w:val="20"/>
        </w:rPr>
        <w:t>T</w:t>
      </w:r>
      <w:r w:rsidRPr="009D33C3">
        <w:rPr>
          <w:rFonts w:ascii="Open Sans" w:hAnsi="Open Sans" w:cs="Open Sans"/>
          <w:sz w:val="20"/>
          <w:szCs w:val="20"/>
        </w:rPr>
        <w:t xml:space="preserve">ight emission and maintenance standards for urban biomass projects should be used rather than ban them from </w:t>
      </w:r>
      <w:r w:rsidRPr="009D33C3">
        <w:rPr>
          <w:rFonts w:ascii="Open Sans" w:hAnsi="Open Sans" w:cs="Open Sans"/>
          <w:sz w:val="20"/>
          <w:szCs w:val="20"/>
        </w:rPr>
        <w:lastRenderedPageBreak/>
        <w:t xml:space="preserve">deploying in on-gas grid </w:t>
      </w:r>
      <w:r w:rsidR="00715E44" w:rsidRPr="009D33C3">
        <w:rPr>
          <w:rFonts w:ascii="Open Sans" w:hAnsi="Open Sans" w:cs="Open Sans"/>
          <w:sz w:val="20"/>
          <w:szCs w:val="20"/>
        </w:rPr>
        <w:t>locations</w:t>
      </w:r>
      <w:r w:rsidRPr="009D33C3">
        <w:rPr>
          <w:rFonts w:ascii="Open Sans" w:hAnsi="Open Sans" w:cs="Open Sans"/>
          <w:sz w:val="20"/>
          <w:szCs w:val="20"/>
        </w:rPr>
        <w:t xml:space="preserve">.  </w:t>
      </w:r>
      <w:r w:rsidR="00715E44" w:rsidRPr="009D33C3">
        <w:rPr>
          <w:rFonts w:ascii="Open Sans" w:hAnsi="Open Sans" w:cs="Open Sans"/>
          <w:sz w:val="20"/>
          <w:szCs w:val="20"/>
        </w:rPr>
        <w:t>Such a restriction</w:t>
      </w:r>
      <w:r w:rsidRPr="009D33C3">
        <w:rPr>
          <w:rFonts w:ascii="Open Sans" w:hAnsi="Open Sans" w:cs="Open Sans"/>
          <w:sz w:val="20"/>
          <w:szCs w:val="20"/>
        </w:rPr>
        <w:t xml:space="preserve"> adopts an approach seen nowhere</w:t>
      </w:r>
      <w:r w:rsidRPr="009D33C3">
        <w:rPr>
          <w:rFonts w:ascii="Open Sans" w:hAnsi="Open Sans" w:cs="Open Sans"/>
          <w:sz w:val="20"/>
          <w:szCs w:val="20"/>
        </w:rPr>
        <w:t xml:space="preserve"> else in the world and sets a dangerous and difficult-to-reverse precedent which will further obstruct the deployment of renewable heat, particularly in larger buildings.</w:t>
      </w:r>
      <w:r w:rsidR="005B723D" w:rsidRPr="009D33C3">
        <w:rPr>
          <w:rFonts w:ascii="Open Sans" w:hAnsi="Open Sans" w:cs="Open Sans"/>
          <w:sz w:val="20"/>
          <w:szCs w:val="20"/>
        </w:rPr>
        <w:t xml:space="preserve"> (For further information on why Biomass Boilers, properly installed, do not cause a threat to urban air quality see [14])</w:t>
      </w:r>
      <w:r w:rsidRPr="009D33C3">
        <w:rPr>
          <w:rFonts w:ascii="Open Sans" w:hAnsi="Open Sans" w:cs="Open Sans"/>
          <w:sz w:val="20"/>
          <w:szCs w:val="20"/>
        </w:rPr>
        <w:t xml:space="preserve"> </w:t>
      </w:r>
    </w:p>
    <w:p w14:paraId="393B0719" w14:textId="77777777" w:rsidR="005B723D" w:rsidRPr="009D33C3" w:rsidRDefault="005B723D" w:rsidP="005B723D">
      <w:pPr>
        <w:spacing w:after="0" w:line="240" w:lineRule="auto"/>
        <w:rPr>
          <w:rFonts w:ascii="Open Sans" w:hAnsi="Open Sans" w:cs="Open Sans"/>
          <w:sz w:val="20"/>
          <w:szCs w:val="20"/>
        </w:rPr>
      </w:pPr>
    </w:p>
    <w:p w14:paraId="288C0FD8" w14:textId="77777777" w:rsidR="007A695C" w:rsidRPr="009D33C3" w:rsidRDefault="00414D3E" w:rsidP="007A695C">
      <w:pPr>
        <w:pStyle w:val="ListParagraph"/>
        <w:numPr>
          <w:ilvl w:val="0"/>
          <w:numId w:val="7"/>
        </w:numPr>
        <w:rPr>
          <w:rFonts w:ascii="Open Sans" w:hAnsi="Open Sans" w:cs="Open Sans"/>
          <w:sz w:val="20"/>
          <w:szCs w:val="20"/>
          <w:u w:val="single"/>
        </w:rPr>
      </w:pPr>
      <w:r w:rsidRPr="009D33C3">
        <w:rPr>
          <w:rFonts w:ascii="Open Sans" w:hAnsi="Open Sans" w:cs="Open Sans"/>
          <w:sz w:val="20"/>
          <w:szCs w:val="20"/>
          <w:u w:val="single"/>
        </w:rPr>
        <w:t>4.3 Anaerobic Digestion</w:t>
      </w:r>
    </w:p>
    <w:p w14:paraId="20488911" w14:textId="77777777" w:rsidR="00B02197" w:rsidRPr="009D33C3" w:rsidRDefault="00414D3E" w:rsidP="00B02197">
      <w:pPr>
        <w:autoSpaceDE w:val="0"/>
        <w:autoSpaceDN w:val="0"/>
        <w:adjustRightInd w:val="0"/>
        <w:spacing w:before="120" w:after="120" w:line="240" w:lineRule="auto"/>
        <w:jc w:val="both"/>
        <w:rPr>
          <w:rFonts w:ascii="Open Sans" w:eastAsia="Times New Roman" w:hAnsi="Open Sans" w:cs="Open Sans"/>
          <w:sz w:val="20"/>
          <w:szCs w:val="20"/>
        </w:rPr>
      </w:pPr>
      <w:r w:rsidRPr="009D33C3">
        <w:rPr>
          <w:rFonts w:ascii="Open Sans" w:hAnsi="Open Sans" w:cs="Open Sans"/>
          <w:sz w:val="20"/>
          <w:szCs w:val="20"/>
        </w:rPr>
        <w:t>4.3.1 Given that</w:t>
      </w:r>
      <w:r w:rsidR="008C2A2F">
        <w:rPr>
          <w:rFonts w:ascii="Open Sans" w:hAnsi="Open Sans" w:cs="Open Sans"/>
          <w:sz w:val="20"/>
          <w:szCs w:val="20"/>
        </w:rPr>
        <w:t xml:space="preserve"> the majority of</w:t>
      </w:r>
      <w:r w:rsidRPr="009D33C3">
        <w:rPr>
          <w:rFonts w:ascii="Open Sans" w:hAnsi="Open Sans" w:cs="Open Sans"/>
          <w:sz w:val="20"/>
          <w:szCs w:val="20"/>
        </w:rPr>
        <w:t xml:space="preserve"> homes in the UK </w:t>
      </w:r>
      <w:r w:rsidR="008C2A2F">
        <w:rPr>
          <w:rFonts w:ascii="Open Sans" w:hAnsi="Open Sans" w:cs="Open Sans"/>
          <w:sz w:val="20"/>
          <w:szCs w:val="20"/>
        </w:rPr>
        <w:t>continue to use gas for heating</w:t>
      </w:r>
      <w:r w:rsidRPr="009D33C3">
        <w:rPr>
          <w:rFonts w:ascii="Open Sans" w:hAnsi="Open Sans" w:cs="Open Sans"/>
          <w:sz w:val="20"/>
          <w:szCs w:val="20"/>
        </w:rPr>
        <w:t xml:space="preserve">, biomethane injection offers a low-regrets, cost-effective way of </w:t>
      </w:r>
      <w:r w:rsidR="00364422" w:rsidRPr="009D33C3">
        <w:rPr>
          <w:rFonts w:ascii="Open Sans" w:hAnsi="Open Sans" w:cs="Open Sans"/>
          <w:sz w:val="20"/>
          <w:szCs w:val="20"/>
        </w:rPr>
        <w:t>helping to decarbonise the gas grid.</w:t>
      </w:r>
      <w:r w:rsidRPr="009D33C3">
        <w:rPr>
          <w:rFonts w:ascii="Open Sans" w:hAnsi="Open Sans" w:cs="Open Sans"/>
          <w:sz w:val="20"/>
          <w:szCs w:val="20"/>
        </w:rPr>
        <w:t xml:space="preserve"> </w:t>
      </w:r>
      <w:r w:rsidR="00364422" w:rsidRPr="009D33C3">
        <w:rPr>
          <w:rFonts w:ascii="Open Sans" w:eastAsia="Times New Roman" w:hAnsi="Open Sans" w:cs="Open Sans"/>
          <w:sz w:val="20"/>
          <w:szCs w:val="20"/>
        </w:rPr>
        <w:t>BEIS has previously identified that</w:t>
      </w:r>
      <w:r w:rsidR="005B723D" w:rsidRPr="009D33C3">
        <w:rPr>
          <w:rFonts w:ascii="Open Sans" w:eastAsia="Times New Roman" w:hAnsi="Open Sans" w:cs="Open Sans"/>
          <w:sz w:val="20"/>
          <w:szCs w:val="20"/>
        </w:rPr>
        <w:t xml:space="preserve"> </w:t>
      </w:r>
      <w:r w:rsidRPr="009D33C3">
        <w:rPr>
          <w:rFonts w:ascii="Open Sans" w:eastAsia="Times New Roman" w:hAnsi="Open Sans" w:cs="Open Sans"/>
          <w:sz w:val="20"/>
          <w:szCs w:val="20"/>
        </w:rPr>
        <w:t>biogas (including biomethane) has an important role to play both now and in the longer term</w:t>
      </w:r>
      <w:r w:rsidR="008C2A2F">
        <w:rPr>
          <w:rFonts w:ascii="Open Sans" w:eastAsia="Times New Roman" w:hAnsi="Open Sans" w:cs="Open Sans"/>
          <w:sz w:val="20"/>
          <w:szCs w:val="20"/>
        </w:rPr>
        <w:t xml:space="preserve">, </w:t>
      </w:r>
      <w:r w:rsidRPr="009D33C3">
        <w:rPr>
          <w:rFonts w:ascii="Open Sans" w:eastAsia="Times New Roman" w:hAnsi="Open Sans" w:cs="Open Sans"/>
          <w:sz w:val="20"/>
          <w:szCs w:val="20"/>
        </w:rPr>
        <w:t>reducing greenhouse gas</w:t>
      </w:r>
      <w:r w:rsidRPr="009D33C3">
        <w:rPr>
          <w:rFonts w:ascii="Open Sans" w:eastAsia="Times New Roman" w:hAnsi="Open Sans" w:cs="Open Sans"/>
          <w:sz w:val="20"/>
          <w:szCs w:val="20"/>
        </w:rPr>
        <w:t xml:space="preserve"> emissions and supporting jobs in rural areas</w:t>
      </w:r>
      <w:r w:rsidR="00334928" w:rsidRPr="009D33C3">
        <w:rPr>
          <w:rFonts w:ascii="Open Sans" w:eastAsia="Times New Roman" w:hAnsi="Open Sans" w:cs="Open Sans"/>
          <w:sz w:val="20"/>
          <w:szCs w:val="20"/>
        </w:rPr>
        <w:t xml:space="preserve"> [15]</w:t>
      </w:r>
      <w:r w:rsidRPr="009D33C3">
        <w:rPr>
          <w:rFonts w:ascii="Open Sans" w:eastAsia="Times New Roman" w:hAnsi="Open Sans" w:cs="Open Sans"/>
          <w:sz w:val="20"/>
          <w:szCs w:val="20"/>
        </w:rPr>
        <w:t>.</w:t>
      </w:r>
    </w:p>
    <w:p w14:paraId="19BF227A" w14:textId="77777777" w:rsidR="00B02197" w:rsidRPr="009D33C3" w:rsidRDefault="00414D3E" w:rsidP="00B02197">
      <w:pPr>
        <w:autoSpaceDE w:val="0"/>
        <w:autoSpaceDN w:val="0"/>
        <w:adjustRightInd w:val="0"/>
        <w:spacing w:before="120" w:after="120" w:line="240" w:lineRule="auto"/>
        <w:jc w:val="both"/>
        <w:rPr>
          <w:rFonts w:ascii="Open Sans" w:eastAsia="Times New Roman" w:hAnsi="Open Sans" w:cs="Open Sans"/>
          <w:sz w:val="20"/>
          <w:szCs w:val="20"/>
        </w:rPr>
      </w:pPr>
      <w:r w:rsidRPr="009D33C3">
        <w:rPr>
          <w:rFonts w:ascii="Open Sans" w:eastAsia="Times New Roman" w:hAnsi="Open Sans" w:cs="Open Sans"/>
          <w:sz w:val="20"/>
          <w:szCs w:val="20"/>
        </w:rPr>
        <w:t xml:space="preserve">4.3.2 </w:t>
      </w:r>
      <w:r w:rsidR="00364422" w:rsidRPr="009D33C3">
        <w:rPr>
          <w:rFonts w:ascii="Open Sans" w:eastAsia="Times New Roman" w:hAnsi="Open Sans" w:cs="Open Sans"/>
          <w:sz w:val="20"/>
          <w:szCs w:val="20"/>
        </w:rPr>
        <w:t>B</w:t>
      </w:r>
      <w:r w:rsidRPr="009D33C3">
        <w:rPr>
          <w:rFonts w:ascii="Open Sans" w:eastAsia="Times New Roman" w:hAnsi="Open Sans" w:cs="Open Sans"/>
          <w:sz w:val="20"/>
          <w:szCs w:val="20"/>
        </w:rPr>
        <w:t>iomethane from AD is an established and commercially ready technology. This means it is one of the few technologies that can help in the short- and medium-term to make progress towards decarbonisin</w:t>
      </w:r>
      <w:r w:rsidRPr="009D33C3">
        <w:rPr>
          <w:rFonts w:ascii="Open Sans" w:eastAsia="Times New Roman" w:hAnsi="Open Sans" w:cs="Open Sans"/>
          <w:sz w:val="20"/>
          <w:szCs w:val="20"/>
        </w:rPr>
        <w:t xml:space="preserve">g the gas grid, whilst other technologies become technically and commercially ready to be deployed. </w:t>
      </w:r>
    </w:p>
    <w:p w14:paraId="549A58DE" w14:textId="77777777" w:rsidR="00B02197" w:rsidRPr="009D33C3" w:rsidRDefault="00414D3E" w:rsidP="00B02197">
      <w:pPr>
        <w:autoSpaceDE w:val="0"/>
        <w:autoSpaceDN w:val="0"/>
        <w:adjustRightInd w:val="0"/>
        <w:spacing w:before="120" w:after="120" w:line="240" w:lineRule="auto"/>
        <w:jc w:val="both"/>
        <w:rPr>
          <w:rFonts w:ascii="Open Sans" w:eastAsia="Times New Roman" w:hAnsi="Open Sans" w:cs="Open Sans"/>
          <w:sz w:val="20"/>
          <w:szCs w:val="20"/>
        </w:rPr>
      </w:pPr>
      <w:r w:rsidRPr="009D33C3">
        <w:rPr>
          <w:rFonts w:ascii="Open Sans" w:eastAsia="Times New Roman" w:hAnsi="Open Sans" w:cs="Open Sans"/>
          <w:sz w:val="20"/>
          <w:szCs w:val="20"/>
        </w:rPr>
        <w:t xml:space="preserve">4.3.3 In addition, biomethane is an enabler for other technologies for decarbonising the grid such as the production of renewable hydrogen production from </w:t>
      </w:r>
      <w:r w:rsidRPr="009D33C3">
        <w:rPr>
          <w:rFonts w:ascii="Open Sans" w:eastAsia="Times New Roman" w:hAnsi="Open Sans" w:cs="Open Sans"/>
          <w:sz w:val="20"/>
          <w:szCs w:val="20"/>
        </w:rPr>
        <w:t>Steam Methane Reforming (SMR) of biomethane. Encouraging increased biomethane production would stimulate the development of new technologies, such as Methanation, where CO</w:t>
      </w:r>
      <w:r w:rsidRPr="009D33C3">
        <w:rPr>
          <w:rFonts w:ascii="Open Sans" w:eastAsia="Times New Roman" w:hAnsi="Open Sans" w:cs="Open Sans"/>
          <w:sz w:val="20"/>
          <w:szCs w:val="20"/>
          <w:vertAlign w:val="subscript"/>
        </w:rPr>
        <w:t>2</w:t>
      </w:r>
      <w:r w:rsidRPr="009D33C3">
        <w:rPr>
          <w:rFonts w:ascii="Open Sans" w:eastAsia="Times New Roman" w:hAnsi="Open Sans" w:cs="Open Sans"/>
          <w:sz w:val="20"/>
          <w:szCs w:val="20"/>
        </w:rPr>
        <w:t xml:space="preserve"> is reacted with hydrogen to create methane, effectively reducing emissions whilst also producing renewable fuel.</w:t>
      </w:r>
    </w:p>
    <w:p w14:paraId="40501F7B" w14:textId="77777777" w:rsidR="0018227B" w:rsidRPr="009D33C3" w:rsidRDefault="00414D3E" w:rsidP="0018227B">
      <w:pPr>
        <w:numPr>
          <w:ilvl w:val="0"/>
          <w:numId w:val="7"/>
        </w:numPr>
        <w:spacing w:after="0" w:line="240" w:lineRule="auto"/>
        <w:jc w:val="both"/>
        <w:rPr>
          <w:rFonts w:ascii="Open Sans" w:hAnsi="Open Sans" w:cs="Open Sans"/>
          <w:sz w:val="20"/>
          <w:szCs w:val="20"/>
          <w:u w:val="single"/>
        </w:rPr>
      </w:pPr>
      <w:r w:rsidRPr="009D33C3">
        <w:rPr>
          <w:rFonts w:ascii="Open Sans" w:hAnsi="Open Sans" w:cs="Open Sans"/>
          <w:i/>
          <w:iCs/>
          <w:sz w:val="20"/>
          <w:szCs w:val="20"/>
          <w:u w:val="single"/>
        </w:rPr>
        <w:t xml:space="preserve">4.4 Solar thermal </w:t>
      </w:r>
    </w:p>
    <w:p w14:paraId="5CD47B90" w14:textId="77777777" w:rsidR="0018227B" w:rsidRPr="009D33C3" w:rsidRDefault="0018227B" w:rsidP="0018227B">
      <w:pPr>
        <w:spacing w:after="0" w:line="240" w:lineRule="auto"/>
        <w:jc w:val="both"/>
        <w:rPr>
          <w:rFonts w:ascii="Open Sans" w:hAnsi="Open Sans" w:cs="Open Sans"/>
          <w:sz w:val="20"/>
          <w:szCs w:val="20"/>
        </w:rPr>
      </w:pPr>
    </w:p>
    <w:p w14:paraId="5E9520E5" w14:textId="77777777" w:rsidR="0018227B" w:rsidRPr="009D33C3" w:rsidRDefault="00414D3E" w:rsidP="0018227B">
      <w:pPr>
        <w:spacing w:after="0" w:line="240" w:lineRule="auto"/>
        <w:jc w:val="both"/>
        <w:rPr>
          <w:rFonts w:ascii="Open Sans" w:hAnsi="Open Sans" w:cs="Open Sans"/>
          <w:sz w:val="20"/>
          <w:szCs w:val="20"/>
        </w:rPr>
      </w:pPr>
      <w:r w:rsidRPr="009D33C3">
        <w:rPr>
          <w:rFonts w:ascii="Open Sans" w:hAnsi="Open Sans" w:cs="Open Sans"/>
          <w:sz w:val="20"/>
          <w:szCs w:val="20"/>
        </w:rPr>
        <w:t xml:space="preserve">4.4.1 Solar Thermal provides baseload water heating which may be most suited to domestic or commercial settings with high </w:t>
      </w:r>
      <w:r w:rsidRPr="009D33C3">
        <w:rPr>
          <w:rFonts w:ascii="Open Sans" w:hAnsi="Open Sans" w:cs="Open Sans"/>
          <w:sz w:val="20"/>
          <w:szCs w:val="20"/>
        </w:rPr>
        <w:t>energy efficiency levels, or low heating requirements.</w:t>
      </w:r>
    </w:p>
    <w:p w14:paraId="1A1BEC60" w14:textId="77777777" w:rsidR="0018227B" w:rsidRPr="009D33C3" w:rsidRDefault="0018227B" w:rsidP="0018227B">
      <w:pPr>
        <w:pStyle w:val="ListParagraph"/>
        <w:autoSpaceDE w:val="0"/>
        <w:autoSpaceDN w:val="0"/>
        <w:adjustRightInd w:val="0"/>
        <w:spacing w:before="120" w:after="120" w:line="240" w:lineRule="auto"/>
        <w:jc w:val="both"/>
        <w:rPr>
          <w:rFonts w:ascii="Open Sans" w:eastAsia="Times New Roman" w:hAnsi="Open Sans" w:cs="Open Sans"/>
          <w:sz w:val="20"/>
          <w:szCs w:val="20"/>
        </w:rPr>
      </w:pPr>
    </w:p>
    <w:p w14:paraId="3C47EA07" w14:textId="77777777" w:rsidR="00AD7D51" w:rsidRPr="009D33C3" w:rsidRDefault="00414D3E" w:rsidP="00AD7D51">
      <w:pPr>
        <w:pStyle w:val="ListParagraph"/>
        <w:numPr>
          <w:ilvl w:val="0"/>
          <w:numId w:val="7"/>
        </w:numPr>
        <w:rPr>
          <w:rFonts w:ascii="Open Sans" w:hAnsi="Open Sans" w:cs="Open Sans"/>
          <w:sz w:val="20"/>
          <w:szCs w:val="20"/>
          <w:u w:val="single"/>
        </w:rPr>
      </w:pPr>
      <w:r w:rsidRPr="009D33C3">
        <w:rPr>
          <w:rFonts w:ascii="Open Sans" w:hAnsi="Open Sans" w:cs="Open Sans"/>
          <w:sz w:val="20"/>
          <w:szCs w:val="20"/>
          <w:u w:val="single"/>
        </w:rPr>
        <w:t>4.5 Biofuels</w:t>
      </w:r>
      <w:r w:rsidR="007A695C" w:rsidRPr="009D33C3">
        <w:rPr>
          <w:rFonts w:ascii="Open Sans" w:hAnsi="Open Sans" w:cs="Open Sans"/>
          <w:sz w:val="20"/>
          <w:szCs w:val="20"/>
          <w:u w:val="single"/>
        </w:rPr>
        <w:t xml:space="preserve">, such as </w:t>
      </w:r>
      <w:r w:rsidRPr="009D33C3">
        <w:rPr>
          <w:rFonts w:ascii="Open Sans" w:hAnsi="Open Sans" w:cs="Open Sans"/>
          <w:sz w:val="20"/>
          <w:szCs w:val="20"/>
          <w:u w:val="single"/>
        </w:rPr>
        <w:t>BioLPG</w:t>
      </w:r>
    </w:p>
    <w:p w14:paraId="2DE9EF80" w14:textId="77777777" w:rsidR="00334928" w:rsidRPr="009D33C3" w:rsidRDefault="00414D3E" w:rsidP="00744538">
      <w:pPr>
        <w:rPr>
          <w:rFonts w:ascii="Open Sans" w:hAnsi="Open Sans" w:cs="Open Sans"/>
          <w:sz w:val="20"/>
          <w:szCs w:val="20"/>
        </w:rPr>
      </w:pPr>
      <w:r w:rsidRPr="009D33C3">
        <w:rPr>
          <w:rFonts w:ascii="Open Sans" w:hAnsi="Open Sans" w:cs="Open Sans"/>
          <w:sz w:val="20"/>
          <w:szCs w:val="20"/>
        </w:rPr>
        <w:t xml:space="preserve">4.5.1 </w:t>
      </w:r>
      <w:r w:rsidR="00AD7D51" w:rsidRPr="009D33C3">
        <w:rPr>
          <w:rFonts w:ascii="Open Sans" w:hAnsi="Open Sans" w:cs="Open Sans"/>
          <w:sz w:val="20"/>
          <w:szCs w:val="20"/>
        </w:rPr>
        <w:t>As identified, a mixed technology approach is required to decarbonise</w:t>
      </w:r>
      <w:r w:rsidR="002C2129">
        <w:rPr>
          <w:rFonts w:ascii="Open Sans" w:hAnsi="Open Sans" w:cs="Open Sans"/>
          <w:sz w:val="20"/>
          <w:szCs w:val="20"/>
        </w:rPr>
        <w:t xml:space="preserve"> some off</w:t>
      </w:r>
      <w:r w:rsidR="00744538" w:rsidRPr="009D33C3">
        <w:rPr>
          <w:rFonts w:ascii="Open Sans" w:hAnsi="Open Sans" w:cs="Open Sans"/>
          <w:sz w:val="20"/>
          <w:szCs w:val="20"/>
        </w:rPr>
        <w:t>-gas grid properties</w:t>
      </w:r>
      <w:r w:rsidR="002C2129">
        <w:rPr>
          <w:rFonts w:ascii="Open Sans" w:hAnsi="Open Sans" w:cs="Open Sans"/>
          <w:sz w:val="20"/>
          <w:szCs w:val="20"/>
        </w:rPr>
        <w:t xml:space="preserve">, </w:t>
      </w:r>
      <w:r w:rsidR="00744538" w:rsidRPr="009D33C3">
        <w:rPr>
          <w:rFonts w:ascii="Open Sans" w:hAnsi="Open Sans" w:cs="Open Sans"/>
          <w:sz w:val="20"/>
          <w:szCs w:val="20"/>
        </w:rPr>
        <w:t xml:space="preserve">where electrification may not be appropriate. Biofuels are a further affordable option within </w:t>
      </w:r>
      <w:r w:rsidR="002C2129">
        <w:rPr>
          <w:rFonts w:ascii="Open Sans" w:hAnsi="Open Sans" w:cs="Open Sans"/>
          <w:sz w:val="20"/>
          <w:szCs w:val="20"/>
        </w:rPr>
        <w:t>hard to treat properties</w:t>
      </w:r>
      <w:r w:rsidR="00744538" w:rsidRPr="009D33C3">
        <w:rPr>
          <w:rFonts w:ascii="Open Sans" w:hAnsi="Open Sans" w:cs="Open Sans"/>
          <w:sz w:val="20"/>
          <w:szCs w:val="20"/>
        </w:rPr>
        <w:t xml:space="preserve">.  Biopropane (sold as bioLPG) is already available in the GB market. Biopropane is chemically identical to conventional propane (LPG) so can be blended in any ratio with conventional LPG, allowing a smooth transition to 100% renewable product. An existing LPG boiler is also a biopropane boiler: no infrastructure change is required for existing LPG consumers or the LPG industry when using biopropane in any blend with conventional LPG. </w:t>
      </w:r>
      <w:r w:rsidR="00C608A3" w:rsidRPr="009D33C3">
        <w:rPr>
          <w:rFonts w:ascii="Open Sans" w:hAnsi="Open Sans" w:cs="Open Sans"/>
          <w:sz w:val="20"/>
          <w:szCs w:val="20"/>
        </w:rPr>
        <w:t xml:space="preserve">This makes it a particularly affordable option in terms of upfront costs for the consumer. </w:t>
      </w:r>
      <w:r w:rsidR="00744538" w:rsidRPr="009D33C3">
        <w:rPr>
          <w:rFonts w:ascii="Open Sans" w:hAnsi="Open Sans" w:cs="Open Sans"/>
          <w:sz w:val="20"/>
          <w:szCs w:val="20"/>
        </w:rPr>
        <w:t xml:space="preserve">Whilst an initial step may be to use high-efficiency LPG/bioLPG boilers in homes instead of higher carbon alternatives – and this may be an enduring policy particularly in hard to treat homes - these boilers can be readily integrated with heat pumps to create smart hybrid systems, potentially offering demand-side response services.  </w:t>
      </w:r>
    </w:p>
    <w:p w14:paraId="0295DCFE" w14:textId="77777777" w:rsidR="00744538" w:rsidRPr="009D33C3" w:rsidRDefault="00414D3E" w:rsidP="00744538">
      <w:pPr>
        <w:rPr>
          <w:rFonts w:ascii="Open Sans" w:hAnsi="Open Sans" w:cs="Open Sans"/>
          <w:sz w:val="20"/>
          <w:szCs w:val="20"/>
        </w:rPr>
      </w:pPr>
      <w:r w:rsidRPr="009D33C3">
        <w:rPr>
          <w:rFonts w:ascii="Open Sans" w:hAnsi="Open Sans" w:cs="Open Sans"/>
          <w:sz w:val="20"/>
          <w:szCs w:val="20"/>
        </w:rPr>
        <w:t xml:space="preserve">4.5.2 </w:t>
      </w:r>
      <w:r w:rsidR="00334928" w:rsidRPr="009D33C3">
        <w:rPr>
          <w:rFonts w:ascii="Open Sans" w:hAnsi="Open Sans" w:cs="Open Sans"/>
          <w:sz w:val="20"/>
          <w:szCs w:val="20"/>
        </w:rPr>
        <w:t>B</w:t>
      </w:r>
      <w:r w:rsidRPr="009D33C3">
        <w:rPr>
          <w:rFonts w:ascii="Open Sans" w:hAnsi="Open Sans" w:cs="Open Sans"/>
          <w:sz w:val="20"/>
          <w:szCs w:val="20"/>
        </w:rPr>
        <w:t>iofuels</w:t>
      </w:r>
      <w:r w:rsidR="00334928" w:rsidRPr="009D33C3">
        <w:rPr>
          <w:rFonts w:ascii="Open Sans" w:hAnsi="Open Sans" w:cs="Open Sans"/>
          <w:sz w:val="20"/>
          <w:szCs w:val="20"/>
        </w:rPr>
        <w:t xml:space="preserve"> however</w:t>
      </w:r>
      <w:r w:rsidRPr="009D33C3">
        <w:rPr>
          <w:rFonts w:ascii="Open Sans" w:hAnsi="Open Sans" w:cs="Open Sans"/>
          <w:sz w:val="20"/>
          <w:szCs w:val="20"/>
        </w:rPr>
        <w:t xml:space="preserve"> are not yet suppo</w:t>
      </w:r>
      <w:r w:rsidRPr="009D33C3">
        <w:rPr>
          <w:rFonts w:ascii="Open Sans" w:hAnsi="Open Sans" w:cs="Open Sans"/>
          <w:sz w:val="20"/>
          <w:szCs w:val="20"/>
        </w:rPr>
        <w:t>rted by the RHI or the proposed Clean Heat Grant Scheme</w:t>
      </w:r>
      <w:r w:rsidR="00334928" w:rsidRPr="009D33C3">
        <w:rPr>
          <w:rFonts w:ascii="Open Sans" w:hAnsi="Open Sans" w:cs="Open Sans"/>
          <w:sz w:val="20"/>
          <w:szCs w:val="20"/>
        </w:rPr>
        <w:t xml:space="preserve"> </w:t>
      </w:r>
      <w:r>
        <w:rPr>
          <w:rFonts w:ascii="Open Sans" w:hAnsi="Open Sans" w:cs="Open Sans"/>
          <w:sz w:val="20"/>
          <w:szCs w:val="20"/>
        </w:rPr>
        <w:t>and</w:t>
      </w:r>
      <w:r w:rsidR="00334928" w:rsidRPr="009D33C3">
        <w:rPr>
          <w:rFonts w:ascii="Open Sans" w:hAnsi="Open Sans" w:cs="Open Sans"/>
          <w:sz w:val="20"/>
          <w:szCs w:val="20"/>
        </w:rPr>
        <w:t xml:space="preserve"> Green Homes Grant. The Government need to </w:t>
      </w:r>
      <w:r w:rsidR="007D07BC" w:rsidRPr="009D33C3">
        <w:rPr>
          <w:rFonts w:ascii="Open Sans" w:hAnsi="Open Sans" w:cs="Open Sans"/>
          <w:sz w:val="20"/>
          <w:szCs w:val="20"/>
        </w:rPr>
        <w:t xml:space="preserve">consider </w:t>
      </w:r>
      <w:r w:rsidR="00334928" w:rsidRPr="009D33C3">
        <w:rPr>
          <w:rFonts w:ascii="Open Sans" w:hAnsi="Open Sans" w:cs="Open Sans"/>
          <w:sz w:val="20"/>
          <w:szCs w:val="20"/>
        </w:rPr>
        <w:t xml:space="preserve">how best to see biofuels supported within future </w:t>
      </w:r>
      <w:r w:rsidR="007D07BC" w:rsidRPr="009D33C3">
        <w:rPr>
          <w:rFonts w:ascii="Open Sans" w:hAnsi="Open Sans" w:cs="Open Sans"/>
          <w:sz w:val="20"/>
          <w:szCs w:val="20"/>
        </w:rPr>
        <w:t>heat</w:t>
      </w:r>
      <w:r w:rsidR="00334928" w:rsidRPr="009D33C3">
        <w:rPr>
          <w:rFonts w:ascii="Open Sans" w:hAnsi="Open Sans" w:cs="Open Sans"/>
          <w:sz w:val="20"/>
          <w:szCs w:val="20"/>
        </w:rPr>
        <w:t xml:space="preserve"> policies. </w:t>
      </w:r>
    </w:p>
    <w:p w14:paraId="4A4BA76F" w14:textId="77777777" w:rsidR="00C608A3" w:rsidRPr="009D33C3" w:rsidRDefault="00414D3E" w:rsidP="00C608A3">
      <w:pPr>
        <w:pStyle w:val="ListParagraph"/>
        <w:numPr>
          <w:ilvl w:val="0"/>
          <w:numId w:val="7"/>
        </w:numPr>
        <w:rPr>
          <w:rFonts w:ascii="Open Sans" w:hAnsi="Open Sans" w:cs="Open Sans"/>
          <w:sz w:val="20"/>
          <w:szCs w:val="20"/>
          <w:u w:val="single"/>
        </w:rPr>
      </w:pPr>
      <w:r w:rsidRPr="009D33C3">
        <w:rPr>
          <w:rFonts w:ascii="Open Sans" w:hAnsi="Open Sans" w:cs="Open Sans"/>
          <w:sz w:val="20"/>
          <w:szCs w:val="20"/>
          <w:u w:val="single"/>
        </w:rPr>
        <w:t>4.6 Deep Geothermal</w:t>
      </w:r>
    </w:p>
    <w:p w14:paraId="536318C7" w14:textId="77777777" w:rsidR="00C608A3" w:rsidRPr="009D33C3" w:rsidRDefault="00414D3E" w:rsidP="00C608A3">
      <w:pPr>
        <w:rPr>
          <w:rFonts w:ascii="Open Sans" w:hAnsi="Open Sans" w:cs="Open Sans"/>
          <w:sz w:val="20"/>
          <w:szCs w:val="20"/>
          <w:u w:val="single"/>
        </w:rPr>
      </w:pPr>
      <w:r w:rsidRPr="009D33C3">
        <w:rPr>
          <w:rFonts w:ascii="Open Sans" w:hAnsi="Open Sans" w:cs="Open Sans"/>
          <w:sz w:val="20"/>
          <w:szCs w:val="20"/>
        </w:rPr>
        <w:t>4.6.1 Deep Geothermal provides baseload dispatchable green h</w:t>
      </w:r>
      <w:r w:rsidRPr="009D33C3">
        <w:rPr>
          <w:rFonts w:ascii="Open Sans" w:hAnsi="Open Sans" w:cs="Open Sans"/>
          <w:sz w:val="20"/>
          <w:szCs w:val="20"/>
        </w:rPr>
        <w:t xml:space="preserve">eat perfectly suited to powering renewable heat networks, as is the case elsewhere in Europe where it is seen as </w:t>
      </w:r>
      <w:r w:rsidR="00334928" w:rsidRPr="009D33C3">
        <w:rPr>
          <w:rFonts w:ascii="Open Sans" w:hAnsi="Open Sans" w:cs="Open Sans"/>
          <w:sz w:val="20"/>
          <w:szCs w:val="20"/>
        </w:rPr>
        <w:t xml:space="preserve">a </w:t>
      </w:r>
      <w:r w:rsidRPr="009D33C3">
        <w:rPr>
          <w:rFonts w:ascii="Open Sans" w:hAnsi="Open Sans" w:cs="Open Sans"/>
          <w:sz w:val="20"/>
          <w:szCs w:val="20"/>
        </w:rPr>
        <w:t>key technology for decarbonising large con</w:t>
      </w:r>
      <w:r w:rsidR="00334928" w:rsidRPr="009D33C3">
        <w:rPr>
          <w:rFonts w:ascii="Open Sans" w:hAnsi="Open Sans" w:cs="Open Sans"/>
          <w:sz w:val="20"/>
          <w:szCs w:val="20"/>
        </w:rPr>
        <w:t>ur</w:t>
      </w:r>
      <w:r w:rsidRPr="009D33C3">
        <w:rPr>
          <w:rFonts w:ascii="Open Sans" w:hAnsi="Open Sans" w:cs="Open Sans"/>
          <w:sz w:val="20"/>
          <w:szCs w:val="20"/>
        </w:rPr>
        <w:t>bation of domestic buildings.</w:t>
      </w:r>
      <w:r w:rsidR="002C2129">
        <w:rPr>
          <w:rFonts w:ascii="Open Sans" w:hAnsi="Open Sans" w:cs="Open Sans"/>
          <w:sz w:val="20"/>
          <w:szCs w:val="20"/>
        </w:rPr>
        <w:t xml:space="preserve"> F</w:t>
      </w:r>
      <w:r w:rsidR="00D257AC">
        <w:rPr>
          <w:rFonts w:ascii="Open Sans" w:hAnsi="Open Sans" w:cs="Open Sans"/>
          <w:sz w:val="20"/>
          <w:szCs w:val="20"/>
        </w:rPr>
        <w:t>o</w:t>
      </w:r>
      <w:r w:rsidR="002C2129">
        <w:rPr>
          <w:rFonts w:ascii="Open Sans" w:hAnsi="Open Sans" w:cs="Open Sans"/>
          <w:sz w:val="20"/>
          <w:szCs w:val="20"/>
        </w:rPr>
        <w:t>r example</w:t>
      </w:r>
      <w:r w:rsidR="00D257AC">
        <w:rPr>
          <w:rFonts w:ascii="Open Sans" w:hAnsi="Open Sans" w:cs="Open Sans"/>
          <w:sz w:val="20"/>
          <w:szCs w:val="20"/>
        </w:rPr>
        <w:t xml:space="preserve">, the </w:t>
      </w:r>
      <w:r w:rsidRPr="009D33C3">
        <w:rPr>
          <w:rFonts w:ascii="Open Sans" w:hAnsi="Open Sans" w:cs="Open Sans"/>
          <w:sz w:val="20"/>
          <w:szCs w:val="20"/>
        </w:rPr>
        <w:t>Paris</w:t>
      </w:r>
      <w:r w:rsidR="00D257AC">
        <w:rPr>
          <w:rFonts w:ascii="Open Sans" w:hAnsi="Open Sans" w:cs="Open Sans"/>
          <w:sz w:val="20"/>
          <w:szCs w:val="20"/>
        </w:rPr>
        <w:t xml:space="preserve"> basin region</w:t>
      </w:r>
      <w:r w:rsidRPr="009D33C3">
        <w:rPr>
          <w:rFonts w:ascii="Open Sans" w:hAnsi="Open Sans" w:cs="Open Sans"/>
          <w:sz w:val="20"/>
          <w:szCs w:val="20"/>
        </w:rPr>
        <w:t xml:space="preserve"> has over 40 geothermal plants f</w:t>
      </w:r>
      <w:r w:rsidRPr="009D33C3">
        <w:rPr>
          <w:rFonts w:ascii="Open Sans" w:hAnsi="Open Sans" w:cs="Open Sans"/>
          <w:sz w:val="20"/>
          <w:szCs w:val="20"/>
        </w:rPr>
        <w:t>eeding district heating networks across the c</w:t>
      </w:r>
      <w:r w:rsidRPr="00D50F88">
        <w:rPr>
          <w:rFonts w:ascii="Open Sans" w:hAnsi="Open Sans" w:cs="Open Sans"/>
          <w:sz w:val="20"/>
          <w:szCs w:val="20"/>
        </w:rPr>
        <w:t>ity</w:t>
      </w:r>
      <w:r w:rsidR="00D257AC" w:rsidRPr="00D50F88">
        <w:rPr>
          <w:rFonts w:ascii="Open Sans" w:hAnsi="Open Sans" w:cs="Open Sans"/>
          <w:sz w:val="20"/>
          <w:szCs w:val="20"/>
        </w:rPr>
        <w:t xml:space="preserve"> [</w:t>
      </w:r>
      <w:r w:rsidR="00D50F88" w:rsidRPr="00D50F88">
        <w:rPr>
          <w:rFonts w:ascii="Open Sans" w:hAnsi="Open Sans" w:cs="Open Sans"/>
          <w:sz w:val="20"/>
          <w:szCs w:val="20"/>
        </w:rPr>
        <w:t>19</w:t>
      </w:r>
      <w:r w:rsidR="00D257AC" w:rsidRPr="00D50F88">
        <w:rPr>
          <w:rFonts w:ascii="Open Sans" w:hAnsi="Open Sans" w:cs="Open Sans"/>
          <w:sz w:val="20"/>
          <w:szCs w:val="20"/>
        </w:rPr>
        <w:t>]</w:t>
      </w:r>
      <w:r w:rsidRPr="00D50F88">
        <w:rPr>
          <w:rFonts w:ascii="Open Sans" w:hAnsi="Open Sans" w:cs="Open Sans"/>
          <w:sz w:val="20"/>
          <w:szCs w:val="20"/>
        </w:rPr>
        <w:t>.</w:t>
      </w:r>
      <w:r w:rsidRPr="009D33C3">
        <w:rPr>
          <w:rFonts w:ascii="Open Sans" w:hAnsi="Open Sans" w:cs="Open Sans"/>
          <w:sz w:val="20"/>
          <w:szCs w:val="20"/>
        </w:rPr>
        <w:t xml:space="preserve"> While the Non-Domestic Renewable Heat Incentive (ND RHI)  has brought geothermal projects close to successful deployment </w:t>
      </w:r>
      <w:r w:rsidRPr="009D33C3">
        <w:rPr>
          <w:rFonts w:ascii="Open Sans" w:hAnsi="Open Sans" w:cs="Open Sans"/>
          <w:sz w:val="20"/>
          <w:szCs w:val="20"/>
        </w:rPr>
        <w:lastRenderedPageBreak/>
        <w:t>in the UK, Covid-19 related delays and the nature of theses infrastructure schemes means there is now a group of projects that are unl</w:t>
      </w:r>
      <w:r w:rsidRPr="009D33C3">
        <w:rPr>
          <w:rFonts w:ascii="Open Sans" w:hAnsi="Open Sans" w:cs="Open Sans"/>
          <w:sz w:val="20"/>
          <w:szCs w:val="20"/>
        </w:rPr>
        <w:t>ikely to meet the RHI March 2021 application deadlines. Support is needed to see these projects commission and establish the sector in the UK.</w:t>
      </w:r>
    </w:p>
    <w:p w14:paraId="1BBA77C4" w14:textId="77777777" w:rsidR="00C608A3" w:rsidRPr="009D33C3" w:rsidRDefault="00414D3E" w:rsidP="00C608A3">
      <w:pPr>
        <w:spacing w:before="120" w:after="120"/>
        <w:rPr>
          <w:rFonts w:ascii="Open Sans" w:hAnsi="Open Sans" w:cs="Open Sans"/>
          <w:sz w:val="20"/>
          <w:szCs w:val="20"/>
          <w:lang w:val="en-IE"/>
        </w:rPr>
      </w:pPr>
      <w:r w:rsidRPr="009D33C3">
        <w:rPr>
          <w:rFonts w:ascii="Open Sans" w:hAnsi="Open Sans" w:cs="Open Sans"/>
          <w:sz w:val="20"/>
          <w:szCs w:val="20"/>
        </w:rPr>
        <w:t>4.6.2 Geothermal Engineering and Eden Geothermal have raised circa £30 million of public funds with £15 million p</w:t>
      </w:r>
      <w:r w:rsidRPr="009D33C3">
        <w:rPr>
          <w:rFonts w:ascii="Open Sans" w:hAnsi="Open Sans" w:cs="Open Sans"/>
          <w:sz w:val="20"/>
          <w:szCs w:val="20"/>
        </w:rPr>
        <w:t>rivate-sector match funding for two projects set to commission in 2021 and 2023, respectively. Similarly, GT Energy which has recently been acquired by IGas Energy Plc has secured £20mn in private capital and is working with Stoke on Trent Council to deliv</w:t>
      </w:r>
      <w:r w:rsidRPr="009D33C3">
        <w:rPr>
          <w:rFonts w:ascii="Open Sans" w:hAnsi="Open Sans" w:cs="Open Sans"/>
          <w:sz w:val="20"/>
          <w:szCs w:val="20"/>
        </w:rPr>
        <w:t>er £50mn investment in a geothermal district heating network across the City of Stoke on Trent. Uncertainty over the RHI and a lack of any mention of support for geothermal in the Future Heat Consultation has greatly unsettled financiers, despite huge obst</w:t>
      </w:r>
      <w:r w:rsidRPr="009D33C3">
        <w:rPr>
          <w:rFonts w:ascii="Open Sans" w:hAnsi="Open Sans" w:cs="Open Sans"/>
          <w:sz w:val="20"/>
          <w:szCs w:val="20"/>
        </w:rPr>
        <w:t>acles having been overcome in the last few years to bring these projects to fruition. Given the potential for Geothermal, especially for powering green heat networks, a proportion of funding within the Green Heat Network Grant should be ring-fenced to supp</w:t>
      </w:r>
      <w:r w:rsidRPr="009D33C3">
        <w:rPr>
          <w:rFonts w:ascii="Open Sans" w:hAnsi="Open Sans" w:cs="Open Sans"/>
          <w:sz w:val="20"/>
          <w:szCs w:val="20"/>
        </w:rPr>
        <w:t>ort the delivery of up to 10 geothermal heat projects in the UK, thereby establishing the market. Following on from recent announcements on job losses in the oil and gas sector this would also be an opportunity for BEIS to support an industry which can off</w:t>
      </w:r>
      <w:r w:rsidRPr="009D33C3">
        <w:rPr>
          <w:rFonts w:ascii="Open Sans" w:hAnsi="Open Sans" w:cs="Open Sans"/>
          <w:sz w:val="20"/>
          <w:szCs w:val="20"/>
        </w:rPr>
        <w:t xml:space="preserve">er opportunities and employment to people with the same skillset. </w:t>
      </w:r>
    </w:p>
    <w:p w14:paraId="5B915C23" w14:textId="77777777" w:rsidR="007A695C" w:rsidRPr="009D33C3" w:rsidRDefault="00414D3E" w:rsidP="00C608A3">
      <w:pPr>
        <w:spacing w:before="120" w:after="120"/>
        <w:rPr>
          <w:rFonts w:ascii="Open Sans" w:hAnsi="Open Sans" w:cs="Open Sans"/>
          <w:sz w:val="20"/>
          <w:szCs w:val="20"/>
        </w:rPr>
      </w:pPr>
      <w:r w:rsidRPr="009D33C3">
        <w:rPr>
          <w:rFonts w:ascii="Open Sans" w:hAnsi="Open Sans" w:cs="Open Sans"/>
          <w:sz w:val="20"/>
          <w:szCs w:val="20"/>
        </w:rPr>
        <w:t xml:space="preserve">4.6.3 </w:t>
      </w:r>
      <w:r w:rsidR="00C608A3" w:rsidRPr="009D33C3">
        <w:rPr>
          <w:rFonts w:ascii="Open Sans" w:hAnsi="Open Sans" w:cs="Open Sans"/>
          <w:sz w:val="20"/>
          <w:szCs w:val="20"/>
        </w:rPr>
        <w:t xml:space="preserve">This is of strategic importance to the UK, once the first few successful geothermal projects are commissioned it will help release further private investment, helping drive heat decarbonisation and heat network deployment. Failure to support the existing projects will likely see this nascent sector contract and be a lost opportunity for the UK to decarbonise heat. </w:t>
      </w:r>
    </w:p>
    <w:p w14:paraId="7288A4EC" w14:textId="77777777" w:rsidR="007A695C" w:rsidRPr="009D33C3" w:rsidRDefault="00414D3E" w:rsidP="007A695C">
      <w:pPr>
        <w:pStyle w:val="ListParagraph"/>
        <w:numPr>
          <w:ilvl w:val="0"/>
          <w:numId w:val="7"/>
        </w:numPr>
        <w:spacing w:before="120" w:after="120"/>
        <w:rPr>
          <w:rFonts w:ascii="Open Sans" w:hAnsi="Open Sans" w:cs="Open Sans"/>
          <w:sz w:val="20"/>
          <w:szCs w:val="20"/>
          <w:u w:val="single"/>
        </w:rPr>
      </w:pPr>
      <w:bookmarkStart w:id="0" w:name="_Hlk55990885"/>
      <w:r w:rsidRPr="009D33C3">
        <w:rPr>
          <w:rFonts w:ascii="Open Sans" w:hAnsi="Open Sans" w:cs="Open Sans"/>
          <w:sz w:val="20"/>
          <w:szCs w:val="20"/>
          <w:u w:val="single"/>
        </w:rPr>
        <w:t xml:space="preserve">4.7 </w:t>
      </w:r>
      <w:r w:rsidR="00364422" w:rsidRPr="009D33C3">
        <w:rPr>
          <w:rFonts w:ascii="Open Sans" w:hAnsi="Open Sans" w:cs="Open Sans"/>
          <w:sz w:val="20"/>
          <w:szCs w:val="20"/>
          <w:u w:val="single"/>
        </w:rPr>
        <w:t xml:space="preserve">Thermal </w:t>
      </w:r>
      <w:r w:rsidR="007D07BC" w:rsidRPr="009D33C3">
        <w:rPr>
          <w:rFonts w:ascii="Open Sans" w:hAnsi="Open Sans" w:cs="Open Sans"/>
          <w:sz w:val="20"/>
          <w:szCs w:val="20"/>
          <w:u w:val="single"/>
        </w:rPr>
        <w:t xml:space="preserve">Heat </w:t>
      </w:r>
      <w:r w:rsidRPr="009D33C3">
        <w:rPr>
          <w:rFonts w:ascii="Open Sans" w:hAnsi="Open Sans" w:cs="Open Sans"/>
          <w:sz w:val="20"/>
          <w:szCs w:val="20"/>
          <w:u w:val="single"/>
        </w:rPr>
        <w:t>Storage Batteries</w:t>
      </w:r>
    </w:p>
    <w:p w14:paraId="7F2BD563" w14:textId="77777777" w:rsidR="00AB56EC" w:rsidRPr="009D33C3" w:rsidRDefault="00414D3E" w:rsidP="00AB56EC">
      <w:pPr>
        <w:spacing w:before="120" w:after="120"/>
        <w:rPr>
          <w:rFonts w:ascii="Open Sans" w:hAnsi="Open Sans" w:cs="Open Sans"/>
          <w:sz w:val="20"/>
          <w:szCs w:val="20"/>
        </w:rPr>
      </w:pPr>
      <w:bookmarkStart w:id="1" w:name="_Hlk55991442"/>
      <w:bookmarkEnd w:id="0"/>
      <w:r w:rsidRPr="009D33C3">
        <w:rPr>
          <w:rFonts w:ascii="Open Sans" w:hAnsi="Open Sans" w:cs="Open Sans"/>
          <w:sz w:val="20"/>
          <w:szCs w:val="20"/>
        </w:rPr>
        <w:t xml:space="preserve">4.7.1 The Committee should also </w:t>
      </w:r>
      <w:r w:rsidRPr="009D33C3">
        <w:rPr>
          <w:rFonts w:ascii="Open Sans" w:hAnsi="Open Sans" w:cs="Open Sans"/>
          <w:sz w:val="20"/>
          <w:szCs w:val="20"/>
        </w:rPr>
        <w:t>consider the role of thermal battery energy storage which can be used to efficiently store heat within residential properties.  They can be charged by electricity, air-source heat pumps, ground-source heat pumps, biomass boilers and photovoltaics. At the d</w:t>
      </w:r>
      <w:r w:rsidRPr="009D33C3">
        <w:rPr>
          <w:rFonts w:ascii="Open Sans" w:hAnsi="Open Sans" w:cs="Open Sans"/>
          <w:sz w:val="20"/>
          <w:szCs w:val="20"/>
        </w:rPr>
        <w:t xml:space="preserve">omestic scale, up to ~12kWh, they can be used to make heating domestic properties more efficient, replacing hot water storage tanks, and providing new opportunities to save energy and costs. With the transition to a greater decentralised energy system and </w:t>
      </w:r>
      <w:r w:rsidRPr="009D33C3">
        <w:rPr>
          <w:rFonts w:ascii="Open Sans" w:hAnsi="Open Sans" w:cs="Open Sans"/>
          <w:sz w:val="20"/>
          <w:szCs w:val="20"/>
        </w:rPr>
        <w:t>a need to spread out heat demand, especially on the electricity grid, thermal storage is likely to play a crucial role in enabling household heat decarbonisation.</w:t>
      </w:r>
    </w:p>
    <w:p w14:paraId="4FA62748" w14:textId="77777777" w:rsidR="007A695C" w:rsidRPr="009D33C3" w:rsidRDefault="00414D3E" w:rsidP="007A695C">
      <w:pPr>
        <w:pStyle w:val="ListParagraph"/>
        <w:numPr>
          <w:ilvl w:val="0"/>
          <w:numId w:val="7"/>
        </w:numPr>
        <w:spacing w:before="120" w:after="120"/>
        <w:rPr>
          <w:rFonts w:ascii="Open Sans" w:hAnsi="Open Sans" w:cs="Open Sans"/>
          <w:sz w:val="20"/>
          <w:szCs w:val="20"/>
          <w:u w:val="single"/>
        </w:rPr>
      </w:pPr>
      <w:r w:rsidRPr="009D33C3">
        <w:rPr>
          <w:rFonts w:ascii="Open Sans" w:hAnsi="Open Sans" w:cs="Open Sans"/>
          <w:sz w:val="20"/>
          <w:szCs w:val="20"/>
          <w:u w:val="single"/>
        </w:rPr>
        <w:t xml:space="preserve">4.8 Hydrogen </w:t>
      </w:r>
    </w:p>
    <w:bookmarkEnd w:id="1"/>
    <w:p w14:paraId="343DD9C9" w14:textId="77777777" w:rsidR="008654B5" w:rsidRPr="009D33C3" w:rsidRDefault="00414D3E" w:rsidP="008654B5">
      <w:pPr>
        <w:rPr>
          <w:rFonts w:ascii="Open Sans" w:hAnsi="Open Sans" w:cs="Open Sans"/>
          <w:color w:val="000000"/>
          <w:sz w:val="20"/>
          <w:szCs w:val="20"/>
        </w:rPr>
      </w:pPr>
      <w:r w:rsidRPr="009D33C3">
        <w:rPr>
          <w:rFonts w:ascii="Open Sans" w:hAnsi="Open Sans" w:cs="Open Sans"/>
          <w:sz w:val="20"/>
          <w:szCs w:val="20"/>
        </w:rPr>
        <w:t xml:space="preserve">4.8.1 Several projects are looking at the role that hydrogen can play in </w:t>
      </w:r>
      <w:r w:rsidRPr="009D33C3">
        <w:rPr>
          <w:rFonts w:ascii="Open Sans" w:hAnsi="Open Sans" w:cs="Open Sans"/>
          <w:sz w:val="20"/>
          <w:szCs w:val="20"/>
        </w:rPr>
        <w:t>decarbonising the UK gas grid. The REA believe hydrogen will have a strong</w:t>
      </w:r>
      <w:r w:rsidR="00C60FEF">
        <w:rPr>
          <w:rFonts w:ascii="Open Sans" w:hAnsi="Open Sans" w:cs="Open Sans"/>
          <w:sz w:val="20"/>
          <w:szCs w:val="20"/>
        </w:rPr>
        <w:t xml:space="preserve"> part</w:t>
      </w:r>
      <w:r w:rsidRPr="009D33C3">
        <w:rPr>
          <w:rFonts w:ascii="Open Sans" w:hAnsi="Open Sans" w:cs="Open Sans"/>
          <w:sz w:val="20"/>
          <w:szCs w:val="20"/>
        </w:rPr>
        <w:t xml:space="preserve"> to play in energy decarbonisation in the future, but that it remains to be seen whether this is primarily in connection to</w:t>
      </w:r>
      <w:r w:rsidR="00C60FEF">
        <w:rPr>
          <w:rFonts w:ascii="Open Sans" w:hAnsi="Open Sans" w:cs="Open Sans"/>
          <w:sz w:val="20"/>
          <w:szCs w:val="20"/>
        </w:rPr>
        <w:t xml:space="preserve"> power,</w:t>
      </w:r>
      <w:r w:rsidRPr="009D33C3">
        <w:rPr>
          <w:rFonts w:ascii="Open Sans" w:hAnsi="Open Sans" w:cs="Open Sans"/>
          <w:sz w:val="20"/>
          <w:szCs w:val="20"/>
        </w:rPr>
        <w:t xml:space="preserve"> heat or transport. </w:t>
      </w:r>
      <w:r w:rsidRPr="009D33C3">
        <w:rPr>
          <w:rFonts w:ascii="Open Sans" w:hAnsi="Open Sans" w:cs="Open Sans"/>
          <w:color w:val="000000"/>
          <w:sz w:val="20"/>
          <w:szCs w:val="20"/>
        </w:rPr>
        <w:t>It is worth noting that the</w:t>
      </w:r>
      <w:r w:rsidRPr="009D33C3">
        <w:rPr>
          <w:rFonts w:ascii="Open Sans" w:hAnsi="Open Sans" w:cs="Open Sans"/>
          <w:color w:val="000000"/>
          <w:sz w:val="20"/>
          <w:szCs w:val="20"/>
        </w:rPr>
        <w:t xml:space="preserve"> CCC sees a limited role for hydrogen in supplying buildings heat. They recommend that hydrogen is best used selectively, where it adds more value alongside widespread electrification. A recent report published by Frontier Economics [16] and procured by BE</w:t>
      </w:r>
      <w:r w:rsidRPr="009D33C3">
        <w:rPr>
          <w:rFonts w:ascii="Open Sans" w:hAnsi="Open Sans" w:cs="Open Sans"/>
          <w:color w:val="000000"/>
          <w:sz w:val="20"/>
          <w:szCs w:val="20"/>
        </w:rPr>
        <w:t>IS also highlights that hydrogen may have the greatest decarbonisation value in industrial heat applications, at least in the near term</w:t>
      </w:r>
      <w:r w:rsidR="00C60FEF">
        <w:rPr>
          <w:rFonts w:ascii="Open Sans" w:hAnsi="Open Sans" w:cs="Open Sans"/>
          <w:color w:val="000000"/>
          <w:sz w:val="20"/>
          <w:szCs w:val="20"/>
        </w:rPr>
        <w:t>,</w:t>
      </w:r>
      <w:r w:rsidRPr="009D33C3">
        <w:rPr>
          <w:rFonts w:ascii="Open Sans" w:hAnsi="Open Sans" w:cs="Open Sans"/>
          <w:color w:val="000000"/>
          <w:sz w:val="20"/>
          <w:szCs w:val="20"/>
        </w:rPr>
        <w:t xml:space="preserve"> as industrial users are likely to have fewer alternative practical and cost-effective options than other end-user group</w:t>
      </w:r>
      <w:r w:rsidRPr="009D33C3">
        <w:rPr>
          <w:rFonts w:ascii="Open Sans" w:hAnsi="Open Sans" w:cs="Open Sans"/>
          <w:color w:val="000000"/>
          <w:sz w:val="20"/>
          <w:szCs w:val="20"/>
        </w:rPr>
        <w:t xml:space="preserve">s.  </w:t>
      </w:r>
    </w:p>
    <w:p w14:paraId="43D8CBB0" w14:textId="77777777" w:rsidR="008654B5" w:rsidRPr="009D33C3" w:rsidRDefault="00414D3E" w:rsidP="008654B5">
      <w:pPr>
        <w:rPr>
          <w:rFonts w:ascii="Open Sans" w:hAnsi="Open Sans" w:cs="Open Sans"/>
          <w:sz w:val="20"/>
          <w:szCs w:val="20"/>
        </w:rPr>
      </w:pPr>
      <w:r w:rsidRPr="009D33C3">
        <w:rPr>
          <w:rFonts w:ascii="Open Sans" w:hAnsi="Open Sans" w:cs="Open Sans"/>
          <w:sz w:val="20"/>
          <w:szCs w:val="20"/>
        </w:rPr>
        <w:t>4.8.2 The REA believe hydrogen should only be supported if the production pathway is sustainable. Primarily this means green hydrogen, produced from electrolysis powered by renewables sources. We also recognise Blue Hydrogen may have a role but only w</w:t>
      </w:r>
      <w:r w:rsidRPr="009D33C3">
        <w:rPr>
          <w:rFonts w:ascii="Open Sans" w:hAnsi="Open Sans" w:cs="Open Sans"/>
          <w:sz w:val="20"/>
          <w:szCs w:val="20"/>
        </w:rPr>
        <w:t>here carbon capture and storage is used and all carbon tracked, monitored and captured or used – as a transitionary measure in the move toward a net-zero carbon economy.</w:t>
      </w:r>
    </w:p>
    <w:p w14:paraId="6F0AE657" w14:textId="77777777" w:rsidR="0006477E" w:rsidRPr="009D33C3" w:rsidRDefault="00414D3E" w:rsidP="00911AA2">
      <w:pPr>
        <w:rPr>
          <w:rFonts w:ascii="Open Sans" w:eastAsia="Times New Roman" w:hAnsi="Open Sans" w:cs="Open Sans"/>
          <w:b/>
          <w:bCs/>
          <w:sz w:val="20"/>
          <w:szCs w:val="20"/>
          <w:lang w:eastAsia="en-GB"/>
        </w:rPr>
      </w:pPr>
      <w:r w:rsidRPr="009D33C3">
        <w:rPr>
          <w:rFonts w:ascii="Open Sans" w:eastAsia="Times New Roman" w:hAnsi="Open Sans" w:cs="Open Sans"/>
          <w:b/>
          <w:bCs/>
          <w:sz w:val="20"/>
          <w:szCs w:val="20"/>
          <w:lang w:eastAsia="en-GB"/>
        </w:rPr>
        <w:lastRenderedPageBreak/>
        <w:t xml:space="preserve">5 </w:t>
      </w:r>
      <w:r w:rsidR="008654B5" w:rsidRPr="009D33C3">
        <w:rPr>
          <w:rFonts w:ascii="Open Sans" w:eastAsia="Times New Roman" w:hAnsi="Open Sans" w:cs="Open Sans"/>
          <w:b/>
          <w:bCs/>
          <w:sz w:val="20"/>
          <w:szCs w:val="20"/>
          <w:lang w:eastAsia="en-GB"/>
        </w:rPr>
        <w:t>Key</w:t>
      </w:r>
      <w:r w:rsidR="007D07BC" w:rsidRPr="009D33C3">
        <w:rPr>
          <w:rFonts w:ascii="Open Sans" w:eastAsia="Times New Roman" w:hAnsi="Open Sans" w:cs="Open Sans"/>
          <w:b/>
          <w:bCs/>
          <w:sz w:val="20"/>
          <w:szCs w:val="20"/>
          <w:lang w:eastAsia="en-GB"/>
        </w:rPr>
        <w:t xml:space="preserve"> heat policies for domestic decarbonisation to</w:t>
      </w:r>
      <w:r w:rsidRPr="009D33C3">
        <w:rPr>
          <w:rFonts w:ascii="Open Sans" w:eastAsia="Times New Roman" w:hAnsi="Open Sans" w:cs="Open Sans"/>
          <w:b/>
          <w:bCs/>
          <w:sz w:val="20"/>
          <w:szCs w:val="20"/>
          <w:lang w:eastAsia="en-GB"/>
        </w:rPr>
        <w:t xml:space="preserve"> deliver </w:t>
      </w:r>
      <w:r w:rsidR="008654B5" w:rsidRPr="009D33C3">
        <w:rPr>
          <w:rFonts w:ascii="Open Sans" w:eastAsia="Times New Roman" w:hAnsi="Open Sans" w:cs="Open Sans"/>
          <w:b/>
          <w:bCs/>
          <w:sz w:val="20"/>
          <w:szCs w:val="20"/>
          <w:lang w:eastAsia="en-GB"/>
        </w:rPr>
        <w:t>n</w:t>
      </w:r>
      <w:r w:rsidRPr="009D33C3">
        <w:rPr>
          <w:rFonts w:ascii="Open Sans" w:eastAsia="Times New Roman" w:hAnsi="Open Sans" w:cs="Open Sans"/>
          <w:b/>
          <w:bCs/>
          <w:sz w:val="20"/>
          <w:szCs w:val="20"/>
          <w:lang w:eastAsia="en-GB"/>
        </w:rPr>
        <w:t>et</w:t>
      </w:r>
      <w:r w:rsidR="008654B5" w:rsidRPr="009D33C3">
        <w:rPr>
          <w:rFonts w:ascii="Open Sans" w:eastAsia="Times New Roman" w:hAnsi="Open Sans" w:cs="Open Sans"/>
          <w:b/>
          <w:bCs/>
          <w:sz w:val="20"/>
          <w:szCs w:val="20"/>
          <w:lang w:eastAsia="en-GB"/>
        </w:rPr>
        <w:t>-z</w:t>
      </w:r>
      <w:r w:rsidRPr="009D33C3">
        <w:rPr>
          <w:rFonts w:ascii="Open Sans" w:eastAsia="Times New Roman" w:hAnsi="Open Sans" w:cs="Open Sans"/>
          <w:b/>
          <w:bCs/>
          <w:sz w:val="20"/>
          <w:szCs w:val="20"/>
          <w:lang w:eastAsia="en-GB"/>
        </w:rPr>
        <w:t>ero</w:t>
      </w:r>
    </w:p>
    <w:p w14:paraId="10339BC8" w14:textId="77777777" w:rsidR="0071039F" w:rsidRPr="009D33C3" w:rsidRDefault="00414D3E" w:rsidP="00911AA2">
      <w:pPr>
        <w:rPr>
          <w:rFonts w:ascii="Open Sans" w:hAnsi="Open Sans" w:cs="Open Sans"/>
          <w:sz w:val="20"/>
          <w:szCs w:val="20"/>
          <w:lang w:eastAsia="en-GB"/>
        </w:rPr>
      </w:pPr>
      <w:r w:rsidRPr="009D33C3">
        <w:rPr>
          <w:rFonts w:ascii="Open Sans" w:hAnsi="Open Sans" w:cs="Open Sans"/>
          <w:sz w:val="20"/>
          <w:szCs w:val="20"/>
          <w:lang w:eastAsia="en-GB"/>
        </w:rPr>
        <w:t xml:space="preserve">5.0 The </w:t>
      </w:r>
      <w:r w:rsidRPr="009D33C3">
        <w:rPr>
          <w:rFonts w:ascii="Open Sans" w:hAnsi="Open Sans" w:cs="Open Sans"/>
          <w:sz w:val="20"/>
          <w:szCs w:val="20"/>
          <w:lang w:eastAsia="en-GB"/>
        </w:rPr>
        <w:t>Building and Heat Strategy must step up the Government’s ambition for heat decarbonisation.</w:t>
      </w:r>
      <w:r w:rsidR="005E6738" w:rsidRPr="009D33C3">
        <w:rPr>
          <w:rFonts w:ascii="Open Sans" w:hAnsi="Open Sans" w:cs="Open Sans"/>
          <w:sz w:val="20"/>
          <w:szCs w:val="20"/>
          <w:lang w:eastAsia="en-GB"/>
        </w:rPr>
        <w:t xml:space="preserve"> This means both increasing the deployment of ready to deploy technologies today </w:t>
      </w:r>
      <w:r w:rsidR="007D07BC" w:rsidRPr="009D33C3">
        <w:rPr>
          <w:rFonts w:ascii="Open Sans" w:hAnsi="Open Sans" w:cs="Open Sans"/>
          <w:sz w:val="20"/>
          <w:szCs w:val="20"/>
          <w:lang w:eastAsia="en-GB"/>
        </w:rPr>
        <w:t>across</w:t>
      </w:r>
      <w:r w:rsidR="005E6738" w:rsidRPr="009D33C3">
        <w:rPr>
          <w:rFonts w:ascii="Open Sans" w:hAnsi="Open Sans" w:cs="Open Sans"/>
          <w:sz w:val="20"/>
          <w:szCs w:val="20"/>
          <w:lang w:eastAsia="en-GB"/>
        </w:rPr>
        <w:t xml:space="preserve"> both domestic and non-domestic sectors while looking to the delivery of further innovative technologies in the future. There is significant concern that as we approach the end of the Renewable Heat Incentive there will be a contraction of important renewable heat sectors, just at a time when the UK needs to be significantly stepping up its heat decarbonisation ambitions. A lack of future growth opportunity </w:t>
      </w:r>
      <w:r w:rsidR="002C07FD" w:rsidRPr="009D33C3">
        <w:rPr>
          <w:rFonts w:ascii="Open Sans" w:hAnsi="Open Sans" w:cs="Open Sans"/>
          <w:sz w:val="20"/>
          <w:szCs w:val="20"/>
          <w:lang w:eastAsia="en-GB"/>
        </w:rPr>
        <w:t xml:space="preserve">provided by the Clean Heat Grant, which as described above is narrowly focused on small scale installations, will likely damage the viability of these sectors </w:t>
      </w:r>
      <w:r w:rsidR="00C60FEF">
        <w:rPr>
          <w:rFonts w:ascii="Open Sans" w:hAnsi="Open Sans" w:cs="Open Sans"/>
          <w:sz w:val="20"/>
          <w:szCs w:val="20"/>
          <w:lang w:eastAsia="en-GB"/>
        </w:rPr>
        <w:t>in the future</w:t>
      </w:r>
      <w:r w:rsidR="002C07FD" w:rsidRPr="009D33C3">
        <w:rPr>
          <w:rFonts w:ascii="Open Sans" w:hAnsi="Open Sans" w:cs="Open Sans"/>
          <w:sz w:val="20"/>
          <w:szCs w:val="20"/>
          <w:lang w:eastAsia="en-GB"/>
        </w:rPr>
        <w:t xml:space="preserve">. </w:t>
      </w:r>
      <w:r w:rsidR="00C60FEF">
        <w:rPr>
          <w:rFonts w:ascii="Open Sans" w:hAnsi="Open Sans" w:cs="Open Sans"/>
          <w:sz w:val="20"/>
          <w:szCs w:val="20"/>
          <w:lang w:eastAsia="en-GB"/>
        </w:rPr>
        <w:t>Possible</w:t>
      </w:r>
      <w:r w:rsidR="002C07FD" w:rsidRPr="009D33C3">
        <w:rPr>
          <w:rFonts w:ascii="Open Sans" w:hAnsi="Open Sans" w:cs="Open Sans"/>
          <w:sz w:val="20"/>
          <w:szCs w:val="20"/>
          <w:lang w:eastAsia="en-GB"/>
        </w:rPr>
        <w:t xml:space="preserve"> policy interventions </w:t>
      </w:r>
      <w:r w:rsidR="00C60FEF">
        <w:rPr>
          <w:rFonts w:ascii="Open Sans" w:hAnsi="Open Sans" w:cs="Open Sans"/>
          <w:sz w:val="20"/>
          <w:szCs w:val="20"/>
          <w:lang w:eastAsia="en-GB"/>
        </w:rPr>
        <w:t>include:</w:t>
      </w:r>
    </w:p>
    <w:p w14:paraId="26EC0B05" w14:textId="77777777" w:rsidR="00AF6B9D" w:rsidRPr="009D33C3" w:rsidRDefault="00414D3E" w:rsidP="00AF6B9D">
      <w:pPr>
        <w:pStyle w:val="ListParagraph"/>
        <w:numPr>
          <w:ilvl w:val="0"/>
          <w:numId w:val="2"/>
        </w:numPr>
        <w:rPr>
          <w:rFonts w:ascii="Open Sans" w:hAnsi="Open Sans" w:cs="Open Sans"/>
          <w:sz w:val="20"/>
          <w:szCs w:val="20"/>
          <w:u w:val="single"/>
          <w:lang w:eastAsia="en-GB"/>
        </w:rPr>
      </w:pPr>
      <w:r w:rsidRPr="009D33C3">
        <w:rPr>
          <w:rFonts w:ascii="Open Sans" w:hAnsi="Open Sans" w:cs="Open Sans"/>
          <w:sz w:val="20"/>
          <w:szCs w:val="20"/>
          <w:u w:val="single"/>
          <w:lang w:eastAsia="en-GB"/>
        </w:rPr>
        <w:t>5.1 Amending the Clean Heat Grant</w:t>
      </w:r>
      <w:r w:rsidR="00C60FEF">
        <w:rPr>
          <w:rFonts w:ascii="Open Sans" w:hAnsi="Open Sans" w:cs="Open Sans"/>
          <w:sz w:val="20"/>
          <w:szCs w:val="20"/>
          <w:u w:val="single"/>
          <w:lang w:eastAsia="en-GB"/>
        </w:rPr>
        <w:t xml:space="preserve"> (CHG)</w:t>
      </w:r>
    </w:p>
    <w:p w14:paraId="486F7D9B" w14:textId="77777777" w:rsidR="002C07FD" w:rsidRPr="009D33C3" w:rsidRDefault="00414D3E" w:rsidP="00AF6B9D">
      <w:pPr>
        <w:rPr>
          <w:rFonts w:ascii="Open Sans" w:hAnsi="Open Sans" w:cs="Open Sans"/>
          <w:sz w:val="20"/>
          <w:szCs w:val="20"/>
        </w:rPr>
      </w:pPr>
      <w:r w:rsidRPr="009D33C3">
        <w:rPr>
          <w:rFonts w:ascii="Open Sans" w:hAnsi="Open Sans" w:cs="Open Sans"/>
          <w:sz w:val="20"/>
          <w:szCs w:val="20"/>
        </w:rPr>
        <w:t>5.1.1 In response to the CHG proposals</w:t>
      </w:r>
      <w:r w:rsidR="00C60FEF">
        <w:rPr>
          <w:rFonts w:ascii="Open Sans" w:hAnsi="Open Sans" w:cs="Open Sans"/>
          <w:sz w:val="20"/>
          <w:szCs w:val="20"/>
        </w:rPr>
        <w:t>,</w:t>
      </w:r>
      <w:r w:rsidRPr="009D33C3">
        <w:rPr>
          <w:rFonts w:ascii="Open Sans" w:hAnsi="Open Sans" w:cs="Open Sans"/>
          <w:sz w:val="20"/>
          <w:szCs w:val="20"/>
        </w:rPr>
        <w:t xml:space="preserve"> the REA called for</w:t>
      </w:r>
      <w:r w:rsidR="008654B5" w:rsidRPr="009D33C3">
        <w:rPr>
          <w:rFonts w:ascii="Open Sans" w:hAnsi="Open Sans" w:cs="Open Sans"/>
          <w:sz w:val="20"/>
          <w:szCs w:val="20"/>
        </w:rPr>
        <w:t xml:space="preserve"> the proposals to be adapted to a</w:t>
      </w:r>
      <w:r w:rsidR="00C60FEF">
        <w:rPr>
          <w:rFonts w:ascii="Open Sans" w:hAnsi="Open Sans" w:cs="Open Sans"/>
          <w:sz w:val="20"/>
          <w:szCs w:val="20"/>
        </w:rPr>
        <w:t xml:space="preserve"> variable</w:t>
      </w:r>
      <w:r w:rsidRPr="009D33C3">
        <w:rPr>
          <w:rFonts w:ascii="Open Sans" w:hAnsi="Open Sans" w:cs="Open Sans"/>
          <w:sz w:val="20"/>
          <w:szCs w:val="20"/>
        </w:rPr>
        <w:t xml:space="preserve"> grant based on the capacity required to sufficiently heat the building. This is best achieved by providing a flexible grant that pays out based on £/kW deployed, with a proportion of each kW covered by the grant.  REA analysis suggests a figure of about £</w:t>
      </w:r>
      <w:r w:rsidRPr="009D33C3">
        <w:rPr>
          <w:rFonts w:ascii="Open Sans" w:hAnsi="Open Sans" w:cs="Open Sans"/>
          <w:sz w:val="20"/>
          <w:szCs w:val="20"/>
        </w:rPr>
        <w:t xml:space="preserve">280/ kW. As such the remaining expenditure for the consumer remains below ‘phycological threshold’ identified by BEIS. </w:t>
      </w:r>
    </w:p>
    <w:p w14:paraId="78328563" w14:textId="77777777" w:rsidR="00776F77" w:rsidRPr="009D33C3" w:rsidRDefault="00414D3E" w:rsidP="00776F77">
      <w:pPr>
        <w:pStyle w:val="ListParagraph"/>
        <w:numPr>
          <w:ilvl w:val="0"/>
          <w:numId w:val="2"/>
        </w:numPr>
        <w:rPr>
          <w:rFonts w:ascii="Open Sans" w:hAnsi="Open Sans" w:cs="Open Sans"/>
          <w:sz w:val="20"/>
          <w:szCs w:val="20"/>
          <w:u w:val="single"/>
        </w:rPr>
      </w:pPr>
      <w:r w:rsidRPr="009D33C3">
        <w:rPr>
          <w:rFonts w:ascii="Open Sans" w:hAnsi="Open Sans" w:cs="Open Sans"/>
          <w:sz w:val="20"/>
          <w:szCs w:val="20"/>
          <w:u w:val="single"/>
        </w:rPr>
        <w:t>5.2 Amending the Green Homes Grant</w:t>
      </w:r>
    </w:p>
    <w:p w14:paraId="45341E40" w14:textId="77777777" w:rsidR="00776F77" w:rsidRPr="009D33C3" w:rsidRDefault="00414D3E" w:rsidP="00776F77">
      <w:pPr>
        <w:rPr>
          <w:rFonts w:ascii="Open Sans" w:hAnsi="Open Sans" w:cs="Open Sans"/>
          <w:sz w:val="20"/>
          <w:szCs w:val="20"/>
        </w:rPr>
      </w:pPr>
      <w:r w:rsidRPr="009D33C3">
        <w:rPr>
          <w:rFonts w:ascii="Open Sans" w:hAnsi="Open Sans" w:cs="Open Sans"/>
          <w:sz w:val="20"/>
          <w:szCs w:val="20"/>
        </w:rPr>
        <w:t xml:space="preserve">5.2.1 The Green Homes Grant should be extended beyond March 2021, up to at least when the Clean Heat </w:t>
      </w:r>
      <w:r w:rsidRPr="009D33C3">
        <w:rPr>
          <w:rFonts w:ascii="Open Sans" w:hAnsi="Open Sans" w:cs="Open Sans"/>
          <w:sz w:val="20"/>
          <w:szCs w:val="20"/>
        </w:rPr>
        <w:t>Grant starts, to avoid a cliff edge in deployment. The scheme should also be expanded to include further technologies that will help decarbonise homes</w:t>
      </w:r>
      <w:r w:rsidR="00A277D6" w:rsidRPr="009D33C3">
        <w:rPr>
          <w:rFonts w:ascii="Open Sans" w:hAnsi="Open Sans" w:cs="Open Sans"/>
          <w:sz w:val="20"/>
          <w:szCs w:val="20"/>
        </w:rPr>
        <w:t xml:space="preserve"> include biofuels, thermal battery storage, power storage and solar PV. </w:t>
      </w:r>
    </w:p>
    <w:p w14:paraId="7B795DAE" w14:textId="77777777" w:rsidR="002C07FD" w:rsidRPr="009D33C3" w:rsidRDefault="00414D3E" w:rsidP="00AF6B9D">
      <w:pPr>
        <w:pStyle w:val="ListParagraph"/>
        <w:numPr>
          <w:ilvl w:val="0"/>
          <w:numId w:val="2"/>
        </w:numPr>
        <w:rPr>
          <w:rFonts w:ascii="Open Sans" w:hAnsi="Open Sans" w:cs="Open Sans"/>
          <w:sz w:val="20"/>
          <w:szCs w:val="20"/>
          <w:u w:val="single"/>
        </w:rPr>
      </w:pPr>
      <w:r w:rsidRPr="009D33C3">
        <w:rPr>
          <w:rFonts w:ascii="Open Sans" w:hAnsi="Open Sans" w:cs="Open Sans"/>
          <w:sz w:val="20"/>
          <w:szCs w:val="20"/>
          <w:u w:val="single"/>
        </w:rPr>
        <w:t xml:space="preserve">5.3 </w:t>
      </w:r>
      <w:r w:rsidR="00AF6B9D" w:rsidRPr="009D33C3">
        <w:rPr>
          <w:rFonts w:ascii="Open Sans" w:hAnsi="Open Sans" w:cs="Open Sans"/>
          <w:sz w:val="20"/>
          <w:szCs w:val="20"/>
          <w:u w:val="single"/>
        </w:rPr>
        <w:t>Low-interest Loans to further drive the deployment</w:t>
      </w:r>
    </w:p>
    <w:p w14:paraId="7A0BD3A5" w14:textId="77777777" w:rsidR="002C07FD" w:rsidRPr="009D33C3" w:rsidRDefault="00414D3E" w:rsidP="00AF6B9D">
      <w:pPr>
        <w:rPr>
          <w:rFonts w:ascii="Open Sans" w:hAnsi="Open Sans" w:cs="Open Sans"/>
          <w:sz w:val="20"/>
          <w:szCs w:val="20"/>
        </w:rPr>
      </w:pPr>
      <w:r w:rsidRPr="009D33C3">
        <w:rPr>
          <w:rFonts w:ascii="Open Sans" w:hAnsi="Open Sans" w:cs="Open Sans"/>
          <w:sz w:val="20"/>
          <w:szCs w:val="20"/>
        </w:rPr>
        <w:t>5.3.1 To further enable larger projects to deploy, a low-interest loan should also be offered in conjunction with the scheme to help cover the remaining cost of the project. This will also help mitigate low quality or undersized proje</w:t>
      </w:r>
      <w:r w:rsidRPr="009D33C3">
        <w:rPr>
          <w:rFonts w:ascii="Open Sans" w:hAnsi="Open Sans" w:cs="Open Sans"/>
          <w:sz w:val="20"/>
          <w:szCs w:val="20"/>
        </w:rPr>
        <w:t>cts by enabling consumers to consider more expensive installations.  Such a loan is likely easiest supplied by Government and can be modelled on the successful Home Energy Scotland Loan Scheme, which provides 0% interest loans up to £17,500 for renewable e</w:t>
      </w:r>
      <w:r w:rsidRPr="009D33C3">
        <w:rPr>
          <w:rFonts w:ascii="Open Sans" w:hAnsi="Open Sans" w:cs="Open Sans"/>
          <w:sz w:val="20"/>
          <w:szCs w:val="20"/>
        </w:rPr>
        <w:t>nergy systems. At this level, the remaining capital expenditure following receipt of the grant is easily met and will make the Clean Heat Grant Scheme far more attractive to consumers. This would be a case of extending th</w:t>
      </w:r>
      <w:r w:rsidR="00392AD0">
        <w:rPr>
          <w:rFonts w:ascii="Open Sans" w:hAnsi="Open Sans" w:cs="Open Sans"/>
          <w:sz w:val="20"/>
          <w:szCs w:val="20"/>
        </w:rPr>
        <w:t>e</w:t>
      </w:r>
      <w:r w:rsidRPr="009D33C3">
        <w:rPr>
          <w:rFonts w:ascii="Open Sans" w:hAnsi="Open Sans" w:cs="Open Sans"/>
          <w:sz w:val="20"/>
          <w:szCs w:val="20"/>
        </w:rPr>
        <w:t xml:space="preserve"> scheme to the rest of the UK. </w:t>
      </w:r>
    </w:p>
    <w:p w14:paraId="32C34F76" w14:textId="77777777" w:rsidR="0018227B" w:rsidRPr="009D33C3" w:rsidRDefault="00414D3E" w:rsidP="0018227B">
      <w:pPr>
        <w:pStyle w:val="ListParagraph"/>
        <w:numPr>
          <w:ilvl w:val="0"/>
          <w:numId w:val="2"/>
        </w:numPr>
        <w:rPr>
          <w:rFonts w:ascii="Open Sans" w:hAnsi="Open Sans" w:cs="Open Sans"/>
          <w:sz w:val="20"/>
          <w:szCs w:val="20"/>
          <w:u w:val="single"/>
        </w:rPr>
      </w:pPr>
      <w:r w:rsidRPr="009D33C3">
        <w:rPr>
          <w:rFonts w:ascii="Open Sans" w:hAnsi="Open Sans" w:cs="Open Sans"/>
          <w:sz w:val="20"/>
          <w:szCs w:val="20"/>
          <w:u w:val="single"/>
        </w:rPr>
        <w:t>5.</w:t>
      </w:r>
      <w:r w:rsidRPr="009D33C3">
        <w:rPr>
          <w:rFonts w:ascii="Open Sans" w:hAnsi="Open Sans" w:cs="Open Sans"/>
          <w:sz w:val="20"/>
          <w:szCs w:val="20"/>
          <w:u w:val="single"/>
        </w:rPr>
        <w:t>4 Building Regulations and Future Homes Standard</w:t>
      </w:r>
    </w:p>
    <w:p w14:paraId="09CC38B6" w14:textId="77777777" w:rsidR="0018227B" w:rsidRPr="009D33C3" w:rsidRDefault="00414D3E" w:rsidP="0018227B">
      <w:pPr>
        <w:rPr>
          <w:rFonts w:ascii="Open Sans" w:hAnsi="Open Sans" w:cs="Open Sans"/>
          <w:sz w:val="20"/>
          <w:szCs w:val="20"/>
        </w:rPr>
      </w:pPr>
      <w:r w:rsidRPr="009D33C3">
        <w:rPr>
          <w:rFonts w:ascii="Open Sans" w:hAnsi="Open Sans" w:cs="Open Sans"/>
          <w:sz w:val="20"/>
          <w:szCs w:val="20"/>
        </w:rPr>
        <w:t xml:space="preserve">5.4.1 </w:t>
      </w:r>
      <w:r w:rsidRPr="009D33C3">
        <w:rPr>
          <w:rFonts w:ascii="Open Sans" w:hAnsi="Open Sans" w:cs="Open Sans"/>
          <w:sz w:val="20"/>
          <w:szCs w:val="20"/>
        </w:rPr>
        <w:t>In October 2019 Government consulted on the development of a Future Homes Standard for inclusion in Part L (conservation of fuel and power) and Part F (ventilation) of the building regulations for new dwellings [17].  The government response to this consul</w:t>
      </w:r>
      <w:r w:rsidRPr="009D33C3">
        <w:rPr>
          <w:rFonts w:ascii="Open Sans" w:hAnsi="Open Sans" w:cs="Open Sans"/>
          <w:sz w:val="20"/>
          <w:szCs w:val="20"/>
        </w:rPr>
        <w:t xml:space="preserve">tation is still outstanding. The REA called for the Future </w:t>
      </w:r>
      <w:r w:rsidR="00392AD0">
        <w:rPr>
          <w:rFonts w:ascii="Open Sans" w:hAnsi="Open Sans" w:cs="Open Sans"/>
          <w:sz w:val="20"/>
          <w:szCs w:val="20"/>
        </w:rPr>
        <w:t>H</w:t>
      </w:r>
      <w:r w:rsidRPr="009D33C3">
        <w:rPr>
          <w:rFonts w:ascii="Open Sans" w:hAnsi="Open Sans" w:cs="Open Sans"/>
          <w:sz w:val="20"/>
          <w:szCs w:val="20"/>
        </w:rPr>
        <w:t>ome</w:t>
      </w:r>
      <w:r w:rsidR="00392AD0">
        <w:rPr>
          <w:rFonts w:ascii="Open Sans" w:hAnsi="Open Sans" w:cs="Open Sans"/>
          <w:sz w:val="20"/>
          <w:szCs w:val="20"/>
        </w:rPr>
        <w:t xml:space="preserve"> S</w:t>
      </w:r>
      <w:r w:rsidRPr="009D33C3">
        <w:rPr>
          <w:rFonts w:ascii="Open Sans" w:hAnsi="Open Sans" w:cs="Open Sans"/>
          <w:sz w:val="20"/>
          <w:szCs w:val="20"/>
        </w:rPr>
        <w:t>tandard</w:t>
      </w:r>
      <w:r w:rsidR="00392AD0">
        <w:rPr>
          <w:rFonts w:ascii="Open Sans" w:hAnsi="Open Sans" w:cs="Open Sans"/>
          <w:sz w:val="20"/>
          <w:szCs w:val="20"/>
        </w:rPr>
        <w:t xml:space="preserve"> </w:t>
      </w:r>
      <w:r w:rsidRPr="009D33C3">
        <w:rPr>
          <w:rFonts w:ascii="Open Sans" w:hAnsi="Open Sans" w:cs="Open Sans"/>
          <w:sz w:val="20"/>
          <w:szCs w:val="20"/>
        </w:rPr>
        <w:t>to mandate the use of high energy efficiency materials and ensure all homes utilise suitable low carbon heating systems.  As explained above, the standard will need to be flexible eno</w:t>
      </w:r>
      <w:r w:rsidRPr="009D33C3">
        <w:rPr>
          <w:rFonts w:ascii="Open Sans" w:hAnsi="Open Sans" w:cs="Open Sans"/>
          <w:sz w:val="20"/>
          <w:szCs w:val="20"/>
        </w:rPr>
        <w:t>ugh to ensure the right technology is used in each situation. Renewable heat should be mandated in all new builds as soon as possible.</w:t>
      </w:r>
    </w:p>
    <w:p w14:paraId="7AA86598" w14:textId="77777777" w:rsidR="00B25C81" w:rsidRPr="009D33C3" w:rsidRDefault="00414D3E" w:rsidP="00B25C81">
      <w:pPr>
        <w:pStyle w:val="ListParagraph"/>
        <w:numPr>
          <w:ilvl w:val="0"/>
          <w:numId w:val="2"/>
        </w:numPr>
        <w:rPr>
          <w:rFonts w:ascii="Open Sans" w:hAnsi="Open Sans" w:cs="Open Sans"/>
          <w:sz w:val="20"/>
          <w:szCs w:val="20"/>
          <w:u w:val="single"/>
        </w:rPr>
      </w:pPr>
      <w:r w:rsidRPr="009D33C3">
        <w:rPr>
          <w:rFonts w:ascii="Open Sans" w:hAnsi="Open Sans" w:cs="Open Sans"/>
          <w:sz w:val="20"/>
          <w:szCs w:val="20"/>
          <w:u w:val="single"/>
        </w:rPr>
        <w:t xml:space="preserve">5.6 Tax Breaks </w:t>
      </w:r>
    </w:p>
    <w:p w14:paraId="294E835D" w14:textId="77777777" w:rsidR="00B25C81" w:rsidRPr="009D33C3" w:rsidRDefault="00414D3E" w:rsidP="00B25C81">
      <w:pPr>
        <w:rPr>
          <w:rFonts w:ascii="Open Sans" w:hAnsi="Open Sans" w:cs="Open Sans"/>
          <w:sz w:val="20"/>
          <w:szCs w:val="20"/>
        </w:rPr>
      </w:pPr>
      <w:r w:rsidRPr="009D33C3">
        <w:rPr>
          <w:rFonts w:ascii="Open Sans" w:hAnsi="Open Sans" w:cs="Open Sans"/>
          <w:sz w:val="20"/>
          <w:szCs w:val="20"/>
        </w:rPr>
        <w:t xml:space="preserve">5.6.1 </w:t>
      </w:r>
      <w:r w:rsidR="00A277D6" w:rsidRPr="009D33C3">
        <w:rPr>
          <w:rFonts w:ascii="Open Sans" w:hAnsi="Open Sans" w:cs="Open Sans"/>
          <w:sz w:val="20"/>
          <w:szCs w:val="20"/>
        </w:rPr>
        <w:t>Tax breaks could also be considered to incentiv</w:t>
      </w:r>
      <w:r w:rsidR="00664306" w:rsidRPr="009D33C3">
        <w:rPr>
          <w:rFonts w:ascii="Open Sans" w:hAnsi="Open Sans" w:cs="Open Sans"/>
          <w:sz w:val="20"/>
          <w:szCs w:val="20"/>
        </w:rPr>
        <w:t>ise</w:t>
      </w:r>
      <w:r w:rsidRPr="009D33C3">
        <w:rPr>
          <w:rFonts w:ascii="Open Sans" w:hAnsi="Open Sans" w:cs="Open Sans"/>
          <w:sz w:val="20"/>
          <w:szCs w:val="20"/>
        </w:rPr>
        <w:t xml:space="preserve"> households </w:t>
      </w:r>
      <w:r w:rsidR="00A277D6" w:rsidRPr="009D33C3">
        <w:rPr>
          <w:rFonts w:ascii="Open Sans" w:hAnsi="Open Sans" w:cs="Open Sans"/>
          <w:sz w:val="20"/>
          <w:szCs w:val="20"/>
        </w:rPr>
        <w:t>to install renewable heating systems. For example, rebates on</w:t>
      </w:r>
      <w:r w:rsidRPr="009D33C3">
        <w:rPr>
          <w:rFonts w:ascii="Open Sans" w:hAnsi="Open Sans" w:cs="Open Sans"/>
          <w:sz w:val="20"/>
          <w:szCs w:val="20"/>
        </w:rPr>
        <w:t xml:space="preserve"> income tax, spread over 3-5 years, would further </w:t>
      </w:r>
      <w:r w:rsidR="00664306" w:rsidRPr="009D33C3">
        <w:rPr>
          <w:rFonts w:ascii="Open Sans" w:hAnsi="Open Sans" w:cs="Open Sans"/>
          <w:sz w:val="20"/>
          <w:szCs w:val="20"/>
        </w:rPr>
        <w:t xml:space="preserve">support </w:t>
      </w:r>
      <w:r w:rsidRPr="009D33C3">
        <w:rPr>
          <w:rFonts w:ascii="Open Sans" w:hAnsi="Open Sans" w:cs="Open Sans"/>
          <w:sz w:val="20"/>
          <w:szCs w:val="20"/>
        </w:rPr>
        <w:lastRenderedPageBreak/>
        <w:t xml:space="preserve">investments. Such schemes are used to good </w:t>
      </w:r>
      <w:r w:rsidR="004D4CBC" w:rsidRPr="009D33C3">
        <w:rPr>
          <w:rFonts w:ascii="Open Sans" w:hAnsi="Open Sans" w:cs="Open Sans"/>
          <w:sz w:val="20"/>
          <w:szCs w:val="20"/>
        </w:rPr>
        <w:t>effect</w:t>
      </w:r>
      <w:r w:rsidRPr="009D33C3">
        <w:rPr>
          <w:rFonts w:ascii="Open Sans" w:hAnsi="Open Sans" w:cs="Open Sans"/>
          <w:sz w:val="20"/>
          <w:szCs w:val="20"/>
        </w:rPr>
        <w:t xml:space="preserve"> in other European </w:t>
      </w:r>
      <w:r w:rsidR="00F04BC2" w:rsidRPr="009D33C3">
        <w:rPr>
          <w:rFonts w:ascii="Open Sans" w:hAnsi="Open Sans" w:cs="Open Sans"/>
          <w:sz w:val="20"/>
          <w:szCs w:val="20"/>
        </w:rPr>
        <w:t>countries. In Italy,</w:t>
      </w:r>
      <w:r w:rsidRPr="009D33C3">
        <w:rPr>
          <w:rFonts w:ascii="Open Sans" w:hAnsi="Open Sans" w:cs="Open Sans"/>
          <w:sz w:val="20"/>
          <w:szCs w:val="20"/>
        </w:rPr>
        <w:t xml:space="preserve"> </w:t>
      </w:r>
      <w:r w:rsidR="00F04BC2" w:rsidRPr="009D33C3">
        <w:rPr>
          <w:rFonts w:ascii="Open Sans" w:hAnsi="Open Sans" w:cs="Open Sans"/>
          <w:sz w:val="20"/>
          <w:szCs w:val="20"/>
        </w:rPr>
        <w:t xml:space="preserve">people with renewable heat measures installed </w:t>
      </w:r>
      <w:r w:rsidR="00A277D6" w:rsidRPr="009D33C3">
        <w:rPr>
          <w:rFonts w:ascii="Open Sans" w:hAnsi="Open Sans" w:cs="Open Sans"/>
          <w:sz w:val="20"/>
          <w:szCs w:val="20"/>
        </w:rPr>
        <w:t>can</w:t>
      </w:r>
      <w:r w:rsidR="00F04BC2" w:rsidRPr="009D33C3">
        <w:rPr>
          <w:rFonts w:ascii="Open Sans" w:hAnsi="Open Sans" w:cs="Open Sans"/>
          <w:sz w:val="20"/>
          <w:szCs w:val="20"/>
        </w:rPr>
        <w:t xml:space="preserve"> take advantage of a 65% reduction in income tax due to an 'eco bonus’, with a maximum deductible limit of €60,000</w:t>
      </w:r>
      <w:r w:rsidR="00A277D6" w:rsidRPr="009D33C3">
        <w:rPr>
          <w:rFonts w:ascii="Open Sans" w:hAnsi="Open Sans" w:cs="Open Sans"/>
          <w:sz w:val="20"/>
          <w:szCs w:val="20"/>
        </w:rPr>
        <w:t xml:space="preserve"> a year</w:t>
      </w:r>
      <w:r w:rsidR="00F04BC2" w:rsidRPr="009D33C3">
        <w:rPr>
          <w:rFonts w:ascii="Open Sans" w:hAnsi="Open Sans" w:cs="Open Sans"/>
          <w:sz w:val="20"/>
          <w:szCs w:val="20"/>
        </w:rPr>
        <w:t xml:space="preserve">. </w:t>
      </w:r>
    </w:p>
    <w:p w14:paraId="4412461A" w14:textId="77777777" w:rsidR="00B25C81" w:rsidRPr="009D33C3" w:rsidRDefault="00414D3E" w:rsidP="00B25C81">
      <w:pPr>
        <w:rPr>
          <w:rFonts w:ascii="Open Sans" w:hAnsi="Open Sans" w:cs="Open Sans"/>
          <w:sz w:val="20"/>
          <w:szCs w:val="20"/>
        </w:rPr>
      </w:pPr>
      <w:r w:rsidRPr="009D33C3">
        <w:rPr>
          <w:rFonts w:ascii="Open Sans" w:hAnsi="Open Sans" w:cs="Open Sans"/>
          <w:sz w:val="20"/>
          <w:szCs w:val="20"/>
        </w:rPr>
        <w:t xml:space="preserve">5.6.2 The rebate could be time-limited to when high-carbon fossil fuel systems have been phased out. If combined with a carbon tax the scheme could be revenue-neutral. </w:t>
      </w:r>
      <w:r w:rsidR="00A277D6" w:rsidRPr="009D33C3">
        <w:rPr>
          <w:rFonts w:ascii="Open Sans" w:hAnsi="Open Sans" w:cs="Open Sans"/>
          <w:sz w:val="20"/>
          <w:szCs w:val="20"/>
        </w:rPr>
        <w:t>H</w:t>
      </w:r>
      <w:r w:rsidRPr="009D33C3">
        <w:rPr>
          <w:rFonts w:ascii="Open Sans" w:hAnsi="Open Sans" w:cs="Open Sans"/>
          <w:sz w:val="20"/>
          <w:szCs w:val="20"/>
        </w:rPr>
        <w:t>ouseholds making energy efficiency improvements would supply evidence (potentially in the form of an updated Energy Performance Certificate</w:t>
      </w:r>
      <w:r w:rsidR="00664306" w:rsidRPr="009D33C3">
        <w:rPr>
          <w:rFonts w:ascii="Open Sans" w:hAnsi="Open Sans" w:cs="Open Sans"/>
          <w:sz w:val="20"/>
          <w:szCs w:val="20"/>
        </w:rPr>
        <w:t xml:space="preserve"> or a Green Buildings Passport</w:t>
      </w:r>
      <w:r w:rsidRPr="009D33C3">
        <w:rPr>
          <w:rFonts w:ascii="Open Sans" w:hAnsi="Open Sans" w:cs="Open Sans"/>
          <w:sz w:val="20"/>
          <w:szCs w:val="20"/>
        </w:rPr>
        <w:t>) to demonstrate the change, and to apply for a reduction in their tax bill going forw</w:t>
      </w:r>
      <w:r w:rsidRPr="009D33C3">
        <w:rPr>
          <w:rFonts w:ascii="Open Sans" w:hAnsi="Open Sans" w:cs="Open Sans"/>
          <w:sz w:val="20"/>
          <w:szCs w:val="20"/>
        </w:rPr>
        <w:t xml:space="preserve">ard. </w:t>
      </w:r>
    </w:p>
    <w:p w14:paraId="0C181995" w14:textId="77777777" w:rsidR="00B25C81" w:rsidRPr="009D33C3" w:rsidRDefault="00414D3E" w:rsidP="00A277D6">
      <w:pPr>
        <w:pStyle w:val="ListParagraph"/>
        <w:numPr>
          <w:ilvl w:val="0"/>
          <w:numId w:val="2"/>
        </w:numPr>
        <w:rPr>
          <w:rFonts w:ascii="Open Sans" w:hAnsi="Open Sans" w:cs="Open Sans"/>
          <w:sz w:val="20"/>
          <w:szCs w:val="20"/>
          <w:u w:val="single"/>
        </w:rPr>
      </w:pPr>
      <w:r w:rsidRPr="009D33C3">
        <w:rPr>
          <w:rFonts w:ascii="Open Sans" w:hAnsi="Open Sans" w:cs="Open Sans"/>
          <w:sz w:val="20"/>
          <w:szCs w:val="20"/>
          <w:u w:val="single"/>
        </w:rPr>
        <w:t xml:space="preserve">5.7 Variable </w:t>
      </w:r>
      <w:r w:rsidR="0081585C">
        <w:rPr>
          <w:rFonts w:ascii="Open Sans" w:hAnsi="Open Sans" w:cs="Open Sans"/>
          <w:sz w:val="20"/>
          <w:szCs w:val="20"/>
          <w:u w:val="single"/>
        </w:rPr>
        <w:t>s</w:t>
      </w:r>
      <w:r w:rsidRPr="009D33C3">
        <w:rPr>
          <w:rFonts w:ascii="Open Sans" w:hAnsi="Open Sans" w:cs="Open Sans"/>
          <w:sz w:val="20"/>
          <w:szCs w:val="20"/>
          <w:u w:val="single"/>
        </w:rPr>
        <w:t xml:space="preserve">tamp </w:t>
      </w:r>
      <w:r w:rsidR="0081585C">
        <w:rPr>
          <w:rFonts w:ascii="Open Sans" w:hAnsi="Open Sans" w:cs="Open Sans"/>
          <w:sz w:val="20"/>
          <w:szCs w:val="20"/>
          <w:u w:val="single"/>
        </w:rPr>
        <w:t>d</w:t>
      </w:r>
      <w:r w:rsidRPr="009D33C3">
        <w:rPr>
          <w:rFonts w:ascii="Open Sans" w:hAnsi="Open Sans" w:cs="Open Sans"/>
          <w:sz w:val="20"/>
          <w:szCs w:val="20"/>
          <w:u w:val="single"/>
        </w:rPr>
        <w:t xml:space="preserve">uties and encouraging more </w:t>
      </w:r>
      <w:r w:rsidR="0081585C">
        <w:rPr>
          <w:rFonts w:ascii="Open Sans" w:hAnsi="Open Sans" w:cs="Open Sans"/>
          <w:sz w:val="20"/>
          <w:szCs w:val="20"/>
          <w:u w:val="single"/>
        </w:rPr>
        <w:t>g</w:t>
      </w:r>
      <w:r w:rsidRPr="009D33C3">
        <w:rPr>
          <w:rFonts w:ascii="Open Sans" w:hAnsi="Open Sans" w:cs="Open Sans"/>
          <w:sz w:val="20"/>
          <w:szCs w:val="20"/>
          <w:u w:val="single"/>
        </w:rPr>
        <w:t xml:space="preserve">reen </w:t>
      </w:r>
      <w:r w:rsidR="0081585C">
        <w:rPr>
          <w:rFonts w:ascii="Open Sans" w:hAnsi="Open Sans" w:cs="Open Sans"/>
          <w:sz w:val="20"/>
          <w:szCs w:val="20"/>
          <w:u w:val="single"/>
        </w:rPr>
        <w:t>m</w:t>
      </w:r>
      <w:r w:rsidRPr="009D33C3">
        <w:rPr>
          <w:rFonts w:ascii="Open Sans" w:hAnsi="Open Sans" w:cs="Open Sans"/>
          <w:sz w:val="20"/>
          <w:szCs w:val="20"/>
          <w:u w:val="single"/>
        </w:rPr>
        <w:t>ortgage products</w:t>
      </w:r>
    </w:p>
    <w:p w14:paraId="139A1D35" w14:textId="77777777" w:rsidR="00B25C81" w:rsidRPr="009D33C3" w:rsidRDefault="00414D3E" w:rsidP="00B25C81">
      <w:pPr>
        <w:rPr>
          <w:rFonts w:ascii="Open Sans" w:hAnsi="Open Sans" w:cs="Open Sans"/>
          <w:sz w:val="20"/>
          <w:szCs w:val="20"/>
        </w:rPr>
      </w:pPr>
      <w:r w:rsidRPr="009D33C3">
        <w:rPr>
          <w:rFonts w:ascii="Open Sans" w:hAnsi="Open Sans" w:cs="Open Sans"/>
          <w:sz w:val="20"/>
          <w:szCs w:val="20"/>
        </w:rPr>
        <w:t xml:space="preserve">5.7.1 </w:t>
      </w:r>
      <w:r w:rsidRPr="009D33C3">
        <w:rPr>
          <w:rFonts w:ascii="Open Sans" w:hAnsi="Open Sans" w:cs="Open Sans"/>
          <w:sz w:val="20"/>
          <w:szCs w:val="20"/>
        </w:rPr>
        <w:t>It is recognised that a significant proportion of home renovations take place at the point of sale, so while not addressing all properties, it is appropriate that polices are in place to encourage the decarbonisation of heat during the process of selling a</w:t>
      </w:r>
      <w:r w:rsidRPr="009D33C3">
        <w:rPr>
          <w:rFonts w:ascii="Open Sans" w:hAnsi="Open Sans" w:cs="Open Sans"/>
          <w:sz w:val="20"/>
          <w:szCs w:val="20"/>
        </w:rPr>
        <w:t xml:space="preserve"> house. </w:t>
      </w:r>
      <w:r w:rsidR="00A277D6" w:rsidRPr="009D33C3">
        <w:rPr>
          <w:rFonts w:ascii="Open Sans" w:hAnsi="Open Sans" w:cs="Open Sans"/>
          <w:sz w:val="20"/>
          <w:szCs w:val="20"/>
        </w:rPr>
        <w:t xml:space="preserve"> </w:t>
      </w:r>
      <w:r w:rsidRPr="009D33C3">
        <w:rPr>
          <w:rFonts w:ascii="Open Sans" w:hAnsi="Open Sans" w:cs="Open Sans"/>
          <w:sz w:val="20"/>
          <w:szCs w:val="20"/>
        </w:rPr>
        <w:t xml:space="preserve">Discounts to house buyers could be provided if a property is above a given energy efficiency standard or has renewable heating installed. The scheme would incentivise the retrofitting of heating </w:t>
      </w:r>
      <w:r w:rsidR="00A277D6" w:rsidRPr="009D33C3">
        <w:rPr>
          <w:rFonts w:ascii="Open Sans" w:hAnsi="Open Sans" w:cs="Open Sans"/>
          <w:sz w:val="20"/>
          <w:szCs w:val="20"/>
        </w:rPr>
        <w:t>systems and</w:t>
      </w:r>
      <w:r w:rsidRPr="009D33C3">
        <w:rPr>
          <w:rFonts w:ascii="Open Sans" w:hAnsi="Open Sans" w:cs="Open Sans"/>
          <w:sz w:val="20"/>
          <w:szCs w:val="20"/>
        </w:rPr>
        <w:t xml:space="preserve"> strengthen the link between energy effic</w:t>
      </w:r>
      <w:r w:rsidRPr="009D33C3">
        <w:rPr>
          <w:rFonts w:ascii="Open Sans" w:hAnsi="Open Sans" w:cs="Open Sans"/>
          <w:sz w:val="20"/>
          <w:szCs w:val="20"/>
        </w:rPr>
        <w:t xml:space="preserve">iency and house prices, at the point of sale - a time when a significant level of home renovations takes place. </w:t>
      </w:r>
    </w:p>
    <w:p w14:paraId="1A5F36F3" w14:textId="77777777" w:rsidR="00B25C81" w:rsidRPr="009D33C3" w:rsidRDefault="00414D3E" w:rsidP="00B25C81">
      <w:pPr>
        <w:rPr>
          <w:rFonts w:ascii="Open Sans" w:hAnsi="Open Sans" w:cs="Open Sans"/>
          <w:sz w:val="20"/>
          <w:szCs w:val="20"/>
        </w:rPr>
      </w:pPr>
      <w:r w:rsidRPr="009D33C3">
        <w:rPr>
          <w:rFonts w:ascii="Open Sans" w:hAnsi="Open Sans" w:cs="Open Sans"/>
          <w:sz w:val="20"/>
          <w:szCs w:val="20"/>
        </w:rPr>
        <w:t xml:space="preserve">5.7.2 The incentive can be designed so that properties in the 0 per cent Stamp Duty Land Tax band were not penalised for poor </w:t>
      </w:r>
      <w:r w:rsidRPr="009D33C3">
        <w:rPr>
          <w:rFonts w:ascii="Open Sans" w:hAnsi="Open Sans" w:cs="Open Sans"/>
          <w:sz w:val="20"/>
          <w:szCs w:val="20"/>
        </w:rPr>
        <w:t>performance, but given a benefit if they chose to move into better-performing properties or if they chose to undertake improvements after moving into a new home.</w:t>
      </w:r>
    </w:p>
    <w:p w14:paraId="51CBC0B3" w14:textId="77777777" w:rsidR="00B25C81" w:rsidRPr="009D33C3" w:rsidRDefault="00414D3E" w:rsidP="00B25C81">
      <w:pPr>
        <w:spacing w:before="120"/>
        <w:rPr>
          <w:rFonts w:ascii="Open Sans" w:hAnsi="Open Sans" w:cs="Open Sans"/>
          <w:sz w:val="20"/>
          <w:szCs w:val="20"/>
        </w:rPr>
      </w:pPr>
      <w:r w:rsidRPr="009D33C3">
        <w:rPr>
          <w:rFonts w:ascii="Open Sans" w:hAnsi="Open Sans" w:cs="Open Sans"/>
          <w:sz w:val="20"/>
          <w:szCs w:val="20"/>
        </w:rPr>
        <w:t xml:space="preserve">5.7.3 At the same time Government should continue to work with </w:t>
      </w:r>
      <w:r w:rsidR="00D50F88">
        <w:rPr>
          <w:rFonts w:ascii="Open Sans" w:hAnsi="Open Sans" w:cs="Open Sans"/>
          <w:sz w:val="20"/>
          <w:szCs w:val="20"/>
        </w:rPr>
        <w:t>b</w:t>
      </w:r>
      <w:r w:rsidRPr="009D33C3">
        <w:rPr>
          <w:rFonts w:ascii="Open Sans" w:hAnsi="Open Sans" w:cs="Open Sans"/>
          <w:sz w:val="20"/>
          <w:szCs w:val="20"/>
        </w:rPr>
        <w:t xml:space="preserve">anks to see more </w:t>
      </w:r>
      <w:r w:rsidR="00D50F88">
        <w:rPr>
          <w:rFonts w:ascii="Open Sans" w:hAnsi="Open Sans" w:cs="Open Sans"/>
          <w:sz w:val="20"/>
          <w:szCs w:val="20"/>
        </w:rPr>
        <w:t>g</w:t>
      </w:r>
      <w:r w:rsidRPr="009D33C3">
        <w:rPr>
          <w:rFonts w:ascii="Open Sans" w:hAnsi="Open Sans" w:cs="Open Sans"/>
          <w:sz w:val="20"/>
          <w:szCs w:val="20"/>
        </w:rPr>
        <w:t xml:space="preserve">reen </w:t>
      </w:r>
      <w:r w:rsidR="00D50F88">
        <w:rPr>
          <w:rFonts w:ascii="Open Sans" w:hAnsi="Open Sans" w:cs="Open Sans"/>
          <w:sz w:val="20"/>
          <w:szCs w:val="20"/>
        </w:rPr>
        <w:t>m</w:t>
      </w:r>
      <w:r w:rsidRPr="009D33C3">
        <w:rPr>
          <w:rFonts w:ascii="Open Sans" w:hAnsi="Open Sans" w:cs="Open Sans"/>
          <w:sz w:val="20"/>
          <w:szCs w:val="20"/>
        </w:rPr>
        <w:t>ortgag</w:t>
      </w:r>
      <w:r w:rsidRPr="009D33C3">
        <w:rPr>
          <w:rFonts w:ascii="Open Sans" w:hAnsi="Open Sans" w:cs="Open Sans"/>
          <w:sz w:val="20"/>
          <w:szCs w:val="20"/>
        </w:rPr>
        <w:t>e products become available in the market. These products recognise a link between those using renewable energy systems in higher energy efficient homes and lower levels of debt defaults, as such being able to offer more attractive interest rates. Such pro</w:t>
      </w:r>
      <w:r w:rsidRPr="009D33C3">
        <w:rPr>
          <w:rFonts w:ascii="Open Sans" w:hAnsi="Open Sans" w:cs="Open Sans"/>
          <w:sz w:val="20"/>
          <w:szCs w:val="20"/>
        </w:rPr>
        <w:t xml:space="preserve">ducts, based purely on private finance, again will drive demand for properties going onto the market to retrofit renewable heating systems allowing potential owners to benefit from better interest rates. </w:t>
      </w:r>
    </w:p>
    <w:p w14:paraId="10AC6441" w14:textId="77777777" w:rsidR="00AF6B9D" w:rsidRPr="009D33C3" w:rsidRDefault="00414D3E" w:rsidP="00AF6B9D">
      <w:pPr>
        <w:pStyle w:val="ListParagraph"/>
        <w:numPr>
          <w:ilvl w:val="0"/>
          <w:numId w:val="2"/>
        </w:numPr>
        <w:spacing w:before="120"/>
        <w:rPr>
          <w:rFonts w:ascii="Open Sans" w:hAnsi="Open Sans" w:cs="Open Sans"/>
          <w:sz w:val="20"/>
          <w:szCs w:val="20"/>
          <w:u w:val="single"/>
        </w:rPr>
      </w:pPr>
      <w:r w:rsidRPr="009D33C3">
        <w:rPr>
          <w:rFonts w:ascii="Open Sans" w:hAnsi="Open Sans" w:cs="Open Sans"/>
          <w:sz w:val="20"/>
          <w:szCs w:val="20"/>
          <w:u w:val="single"/>
        </w:rPr>
        <w:t xml:space="preserve">5.8 A clear </w:t>
      </w:r>
      <w:r w:rsidR="00D50F88">
        <w:rPr>
          <w:rFonts w:ascii="Open Sans" w:hAnsi="Open Sans" w:cs="Open Sans"/>
          <w:sz w:val="20"/>
          <w:szCs w:val="20"/>
          <w:u w:val="single"/>
        </w:rPr>
        <w:t>t</w:t>
      </w:r>
      <w:r w:rsidRPr="009D33C3">
        <w:rPr>
          <w:rFonts w:ascii="Open Sans" w:hAnsi="Open Sans" w:cs="Open Sans"/>
          <w:sz w:val="20"/>
          <w:szCs w:val="20"/>
          <w:u w:val="single"/>
        </w:rPr>
        <w:t xml:space="preserve">rajectory for escalating fuel duty </w:t>
      </w:r>
      <w:r w:rsidR="00664306" w:rsidRPr="009D33C3">
        <w:rPr>
          <w:rFonts w:ascii="Open Sans" w:hAnsi="Open Sans" w:cs="Open Sans"/>
          <w:sz w:val="20"/>
          <w:szCs w:val="20"/>
          <w:u w:val="single"/>
        </w:rPr>
        <w:t xml:space="preserve">or a carbon tax </w:t>
      </w:r>
      <w:r w:rsidRPr="009D33C3">
        <w:rPr>
          <w:rFonts w:ascii="Open Sans" w:hAnsi="Open Sans" w:cs="Open Sans"/>
          <w:sz w:val="20"/>
          <w:szCs w:val="20"/>
          <w:u w:val="single"/>
        </w:rPr>
        <w:t>on fossil fuels for heat</w:t>
      </w:r>
    </w:p>
    <w:p w14:paraId="408EC131" w14:textId="77777777" w:rsidR="00664306" w:rsidRPr="009D33C3" w:rsidRDefault="00414D3E" w:rsidP="00AF6B9D">
      <w:pPr>
        <w:rPr>
          <w:rFonts w:ascii="Open Sans" w:hAnsi="Open Sans" w:cs="Open Sans"/>
          <w:sz w:val="20"/>
          <w:szCs w:val="20"/>
        </w:rPr>
      </w:pPr>
      <w:r w:rsidRPr="009D33C3">
        <w:rPr>
          <w:rFonts w:ascii="Open Sans" w:hAnsi="Open Sans" w:cs="Open Sans"/>
          <w:sz w:val="20"/>
          <w:szCs w:val="20"/>
        </w:rPr>
        <w:t xml:space="preserve">5.8.1 A major barrier to the installation of renewable heating systems continues to be the </w:t>
      </w:r>
      <w:r w:rsidR="00D50F88">
        <w:rPr>
          <w:rFonts w:ascii="Open Sans" w:hAnsi="Open Sans" w:cs="Open Sans"/>
          <w:sz w:val="20"/>
          <w:szCs w:val="20"/>
        </w:rPr>
        <w:t xml:space="preserve">low </w:t>
      </w:r>
      <w:r w:rsidRPr="009D33C3">
        <w:rPr>
          <w:rFonts w:ascii="Open Sans" w:hAnsi="Open Sans" w:cs="Open Sans"/>
          <w:sz w:val="20"/>
          <w:szCs w:val="20"/>
        </w:rPr>
        <w:t xml:space="preserve">cost of </w:t>
      </w:r>
      <w:r w:rsidR="00D50F88">
        <w:rPr>
          <w:rFonts w:ascii="Open Sans" w:hAnsi="Open Sans" w:cs="Open Sans"/>
          <w:sz w:val="20"/>
          <w:szCs w:val="20"/>
        </w:rPr>
        <w:t xml:space="preserve">using </w:t>
      </w:r>
      <w:r w:rsidR="009B750C" w:rsidRPr="009D33C3">
        <w:rPr>
          <w:rFonts w:ascii="Open Sans" w:hAnsi="Open Sans" w:cs="Open Sans"/>
          <w:sz w:val="20"/>
          <w:szCs w:val="20"/>
        </w:rPr>
        <w:t>fossil fuels</w:t>
      </w:r>
      <w:r w:rsidR="00D50F88">
        <w:rPr>
          <w:rFonts w:ascii="Open Sans" w:hAnsi="Open Sans" w:cs="Open Sans"/>
          <w:sz w:val="20"/>
          <w:szCs w:val="20"/>
        </w:rPr>
        <w:t xml:space="preserve"> for heating</w:t>
      </w:r>
      <w:r w:rsidR="009B750C" w:rsidRPr="009D33C3">
        <w:rPr>
          <w:rFonts w:ascii="Open Sans" w:hAnsi="Open Sans" w:cs="Open Sans"/>
          <w:sz w:val="20"/>
          <w:szCs w:val="20"/>
        </w:rPr>
        <w:t>, in particular gas prices. BEIS statistics on quarterly energy prices</w:t>
      </w:r>
      <w:r w:rsidR="00D50F88">
        <w:rPr>
          <w:rFonts w:ascii="Open Sans" w:hAnsi="Open Sans" w:cs="Open Sans"/>
          <w:sz w:val="20"/>
          <w:szCs w:val="20"/>
        </w:rPr>
        <w:t xml:space="preserve"> (</w:t>
      </w:r>
      <w:r w:rsidR="009B750C" w:rsidRPr="009D33C3">
        <w:rPr>
          <w:rFonts w:ascii="Open Sans" w:hAnsi="Open Sans" w:cs="Open Sans"/>
          <w:sz w:val="20"/>
          <w:szCs w:val="20"/>
        </w:rPr>
        <w:t>see chart below [17]</w:t>
      </w:r>
      <w:r w:rsidR="00D50F88">
        <w:rPr>
          <w:rFonts w:ascii="Open Sans" w:hAnsi="Open Sans" w:cs="Open Sans"/>
          <w:sz w:val="20"/>
          <w:szCs w:val="20"/>
        </w:rPr>
        <w:t>)</w:t>
      </w:r>
      <w:r w:rsidR="009B750C" w:rsidRPr="009D33C3">
        <w:rPr>
          <w:rFonts w:ascii="Open Sans" w:hAnsi="Open Sans" w:cs="Open Sans"/>
          <w:sz w:val="20"/>
          <w:szCs w:val="20"/>
        </w:rPr>
        <w:t xml:space="preserve"> demonstrate that the UK has one of the cheapest </w:t>
      </w:r>
      <w:r w:rsidR="00D50F88">
        <w:rPr>
          <w:rFonts w:ascii="Open Sans" w:hAnsi="Open Sans" w:cs="Open Sans"/>
          <w:sz w:val="20"/>
          <w:szCs w:val="20"/>
        </w:rPr>
        <w:t xml:space="preserve">domestic </w:t>
      </w:r>
      <w:r w:rsidR="009B750C" w:rsidRPr="009D33C3">
        <w:rPr>
          <w:rFonts w:ascii="Open Sans" w:hAnsi="Open Sans" w:cs="Open Sans"/>
          <w:sz w:val="20"/>
          <w:szCs w:val="20"/>
        </w:rPr>
        <w:t xml:space="preserve">gas prices in Europe, compared to one of the highest electricity prices. As a result, it is very difficult to provide </w:t>
      </w:r>
      <w:r w:rsidR="00D50F88">
        <w:rPr>
          <w:rFonts w:ascii="Open Sans" w:hAnsi="Open Sans" w:cs="Open Sans"/>
          <w:sz w:val="20"/>
          <w:szCs w:val="20"/>
        </w:rPr>
        <w:t xml:space="preserve">an </w:t>
      </w:r>
      <w:r w:rsidR="00D50F88" w:rsidRPr="009D33C3">
        <w:rPr>
          <w:rFonts w:ascii="Open Sans" w:hAnsi="Open Sans" w:cs="Open Sans"/>
          <w:sz w:val="20"/>
          <w:szCs w:val="20"/>
        </w:rPr>
        <w:t>ongoing</w:t>
      </w:r>
      <w:r w:rsidR="009B750C" w:rsidRPr="009D33C3">
        <w:rPr>
          <w:rFonts w:ascii="Open Sans" w:hAnsi="Open Sans" w:cs="Open Sans"/>
          <w:sz w:val="20"/>
          <w:szCs w:val="20"/>
        </w:rPr>
        <w:t xml:space="preserve"> economic case for consumers to switch to a renewable heat system if their operational heating costs can be expected to significantly increase</w:t>
      </w:r>
      <w:r w:rsidR="002B06E6" w:rsidRPr="009D33C3">
        <w:rPr>
          <w:rFonts w:ascii="Open Sans" w:hAnsi="Open Sans" w:cs="Open Sans"/>
          <w:sz w:val="20"/>
          <w:szCs w:val="20"/>
        </w:rPr>
        <w:t xml:space="preserve">, switching from gas to electricity, or oil to biofuels. </w:t>
      </w:r>
    </w:p>
    <w:p w14:paraId="3F965BC1" w14:textId="77777777" w:rsidR="00FA75E9" w:rsidRPr="009D33C3" w:rsidRDefault="00414D3E" w:rsidP="00FA75E9">
      <w:pPr>
        <w:pStyle w:val="Caption"/>
        <w:keepNext/>
        <w:rPr>
          <w:rFonts w:ascii="Open Sans" w:hAnsi="Open Sans" w:cs="Open Sans"/>
          <w:sz w:val="20"/>
          <w:szCs w:val="20"/>
        </w:rPr>
      </w:pPr>
      <w:r w:rsidRPr="009D33C3">
        <w:rPr>
          <w:rFonts w:ascii="Open Sans" w:hAnsi="Open Sans" w:cs="Open Sans"/>
          <w:sz w:val="20"/>
          <w:szCs w:val="20"/>
        </w:rPr>
        <w:lastRenderedPageBreak/>
        <w:t>Figure 1 Industrial and Domestic Gas Prices (the UK and EU15) July-December 2019 [17]</w:t>
      </w:r>
    </w:p>
    <w:p w14:paraId="064AC49F" w14:textId="77777777" w:rsidR="00FA75E9" w:rsidRPr="009D33C3" w:rsidRDefault="00414D3E" w:rsidP="00AF6B9D">
      <w:pPr>
        <w:rPr>
          <w:rFonts w:ascii="Open Sans" w:hAnsi="Open Sans" w:cs="Open Sans"/>
          <w:sz w:val="20"/>
          <w:szCs w:val="20"/>
        </w:rPr>
      </w:pPr>
      <w:r w:rsidRPr="009D33C3">
        <w:rPr>
          <w:rFonts w:ascii="Open Sans" w:hAnsi="Open Sans" w:cs="Open Sans"/>
          <w:noProof/>
          <w:sz w:val="20"/>
          <w:szCs w:val="20"/>
        </w:rPr>
        <w:drawing>
          <wp:anchor distT="0" distB="0" distL="114300" distR="114300" simplePos="0" relativeHeight="251658240" behindDoc="0" locked="0" layoutInCell="1" allowOverlap="1" wp14:anchorId="716C7D9D" wp14:editId="6A1BF0C2">
            <wp:simplePos x="0" y="0"/>
            <wp:positionH relativeFrom="column">
              <wp:posOffset>0</wp:posOffset>
            </wp:positionH>
            <wp:positionV relativeFrom="paragraph">
              <wp:posOffset>164465</wp:posOffset>
            </wp:positionV>
            <wp:extent cx="5296535" cy="27178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52443" name=""/>
                    <pic:cNvPicPr/>
                  </pic:nvPicPr>
                  <pic:blipFill>
                    <a:blip r:embed="rId8" cstate="print">
                      <a:extLst>
                        <a:ext uri="{28A0092B-C50C-407E-A947-70E740481C1C}">
                          <a14:useLocalDpi xmlns:a14="http://schemas.microsoft.com/office/drawing/2010/main" val="0"/>
                        </a:ext>
                      </a:extLst>
                    </a:blip>
                    <a:srcRect t="6852"/>
                    <a:stretch>
                      <a:fillRect/>
                    </a:stretch>
                  </pic:blipFill>
                  <pic:spPr bwMode="auto">
                    <a:xfrm>
                      <a:off x="0" y="0"/>
                      <a:ext cx="5296535" cy="271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65C281" w14:textId="77777777" w:rsidR="00FA75E9" w:rsidRPr="009D33C3" w:rsidRDefault="00FA75E9" w:rsidP="00FA75E9">
      <w:pPr>
        <w:rPr>
          <w:rFonts w:ascii="Open Sans" w:hAnsi="Open Sans" w:cs="Open Sans"/>
          <w:sz w:val="20"/>
          <w:szCs w:val="20"/>
        </w:rPr>
      </w:pPr>
    </w:p>
    <w:p w14:paraId="43E3B84A" w14:textId="77777777" w:rsidR="00FA75E9" w:rsidRPr="009D33C3" w:rsidRDefault="00FA75E9" w:rsidP="00FA75E9">
      <w:pPr>
        <w:rPr>
          <w:rFonts w:ascii="Open Sans" w:hAnsi="Open Sans" w:cs="Open Sans"/>
          <w:sz w:val="20"/>
          <w:szCs w:val="20"/>
        </w:rPr>
      </w:pPr>
    </w:p>
    <w:p w14:paraId="1221B83E" w14:textId="77777777" w:rsidR="00FA75E9" w:rsidRPr="009D33C3" w:rsidRDefault="00FA75E9" w:rsidP="00FA75E9">
      <w:pPr>
        <w:rPr>
          <w:rFonts w:ascii="Open Sans" w:hAnsi="Open Sans" w:cs="Open Sans"/>
          <w:sz w:val="20"/>
          <w:szCs w:val="20"/>
        </w:rPr>
      </w:pPr>
    </w:p>
    <w:p w14:paraId="32A5CF55" w14:textId="77777777" w:rsidR="00FA75E9" w:rsidRPr="009D33C3" w:rsidRDefault="00FA75E9" w:rsidP="00FA75E9">
      <w:pPr>
        <w:rPr>
          <w:rFonts w:ascii="Open Sans" w:hAnsi="Open Sans" w:cs="Open Sans"/>
          <w:sz w:val="20"/>
          <w:szCs w:val="20"/>
        </w:rPr>
      </w:pPr>
    </w:p>
    <w:p w14:paraId="1E0FBB2F" w14:textId="77777777" w:rsidR="00FA75E9" w:rsidRPr="009D33C3" w:rsidRDefault="00FA75E9" w:rsidP="00AF6B9D">
      <w:pPr>
        <w:rPr>
          <w:rFonts w:ascii="Open Sans" w:hAnsi="Open Sans" w:cs="Open Sans"/>
          <w:sz w:val="20"/>
          <w:szCs w:val="20"/>
        </w:rPr>
      </w:pPr>
    </w:p>
    <w:p w14:paraId="5C8CC29A" w14:textId="77777777" w:rsidR="00FA75E9" w:rsidRPr="009D33C3" w:rsidRDefault="00FA75E9" w:rsidP="00FA75E9">
      <w:pPr>
        <w:pStyle w:val="Caption"/>
        <w:keepNext/>
        <w:rPr>
          <w:rFonts w:ascii="Open Sans" w:hAnsi="Open Sans" w:cs="Open Sans"/>
          <w:sz w:val="20"/>
          <w:szCs w:val="20"/>
        </w:rPr>
      </w:pPr>
    </w:p>
    <w:p w14:paraId="1F12878E" w14:textId="77777777" w:rsidR="00FA75E9" w:rsidRPr="009D33C3" w:rsidRDefault="00414D3E" w:rsidP="00FA75E9">
      <w:pPr>
        <w:pStyle w:val="Caption"/>
        <w:keepNext/>
        <w:rPr>
          <w:rFonts w:ascii="Open Sans" w:hAnsi="Open Sans" w:cs="Open Sans"/>
          <w:sz w:val="20"/>
          <w:szCs w:val="20"/>
        </w:rPr>
      </w:pPr>
      <w:r w:rsidRPr="009D33C3">
        <w:rPr>
          <w:rFonts w:ascii="Open Sans" w:hAnsi="Open Sans" w:cs="Open Sans"/>
          <w:sz w:val="20"/>
          <w:szCs w:val="20"/>
        </w:rPr>
        <w:t xml:space="preserve">Figure </w:t>
      </w:r>
      <w:r w:rsidRPr="009D33C3">
        <w:rPr>
          <w:rFonts w:ascii="Open Sans" w:hAnsi="Open Sans" w:cs="Open Sans"/>
          <w:sz w:val="20"/>
          <w:szCs w:val="20"/>
        </w:rPr>
        <w:fldChar w:fldCharType="begin"/>
      </w:r>
      <w:r w:rsidRPr="009D33C3">
        <w:rPr>
          <w:rFonts w:ascii="Open Sans" w:hAnsi="Open Sans" w:cs="Open Sans"/>
          <w:sz w:val="20"/>
          <w:szCs w:val="20"/>
        </w:rPr>
        <w:instrText xml:space="preserve"> SEQ Fig</w:instrText>
      </w:r>
      <w:r w:rsidRPr="009D33C3">
        <w:rPr>
          <w:rFonts w:ascii="Open Sans" w:hAnsi="Open Sans" w:cs="Open Sans"/>
          <w:sz w:val="20"/>
          <w:szCs w:val="20"/>
        </w:rPr>
        <w:instrText xml:space="preserve">ure \* ARABIC \s 1 </w:instrText>
      </w:r>
      <w:r w:rsidRPr="009D33C3">
        <w:rPr>
          <w:rFonts w:ascii="Open Sans" w:hAnsi="Open Sans" w:cs="Open Sans"/>
          <w:sz w:val="20"/>
          <w:szCs w:val="20"/>
        </w:rPr>
        <w:fldChar w:fldCharType="separate"/>
      </w:r>
      <w:r w:rsidRPr="009D33C3">
        <w:rPr>
          <w:rFonts w:ascii="Open Sans" w:hAnsi="Open Sans" w:cs="Open Sans"/>
          <w:noProof/>
          <w:sz w:val="20"/>
          <w:szCs w:val="20"/>
        </w:rPr>
        <w:t>2</w:t>
      </w:r>
      <w:r w:rsidRPr="009D33C3">
        <w:rPr>
          <w:rFonts w:ascii="Open Sans" w:hAnsi="Open Sans" w:cs="Open Sans"/>
          <w:sz w:val="20"/>
          <w:szCs w:val="20"/>
        </w:rPr>
        <w:fldChar w:fldCharType="end"/>
      </w:r>
      <w:r w:rsidRPr="009D33C3">
        <w:rPr>
          <w:rFonts w:ascii="Open Sans" w:hAnsi="Open Sans" w:cs="Open Sans"/>
          <w:sz w:val="20"/>
          <w:szCs w:val="20"/>
        </w:rPr>
        <w:t xml:space="preserve"> Industrial and Domestic Electricity Prices (UK and EU15), July-December 2019 [17]</w:t>
      </w:r>
    </w:p>
    <w:p w14:paraId="24E724DC" w14:textId="77777777" w:rsidR="00FA75E9" w:rsidRPr="009D33C3" w:rsidRDefault="00414D3E" w:rsidP="00AF6B9D">
      <w:pPr>
        <w:rPr>
          <w:rFonts w:ascii="Open Sans" w:hAnsi="Open Sans" w:cs="Open Sans"/>
          <w:sz w:val="20"/>
          <w:szCs w:val="20"/>
        </w:rPr>
      </w:pPr>
      <w:r w:rsidRPr="009D33C3">
        <w:rPr>
          <w:rFonts w:ascii="Open Sans" w:hAnsi="Open Sans" w:cs="Open Sans"/>
          <w:noProof/>
          <w:sz w:val="20"/>
          <w:szCs w:val="20"/>
        </w:rPr>
        <w:drawing>
          <wp:inline distT="0" distB="0" distL="0" distR="0" wp14:anchorId="4CF04513" wp14:editId="3896DABF">
            <wp:extent cx="4546600" cy="286064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15353" name=""/>
                    <pic:cNvPicPr/>
                  </pic:nvPicPr>
                  <pic:blipFill>
                    <a:blip r:embed="rId9"/>
                    <a:stretch>
                      <a:fillRect/>
                    </a:stretch>
                  </pic:blipFill>
                  <pic:spPr>
                    <a:xfrm>
                      <a:off x="0" y="0"/>
                      <a:ext cx="4650178" cy="2925811"/>
                    </a:xfrm>
                    <a:prstGeom prst="rect">
                      <a:avLst/>
                    </a:prstGeom>
                  </pic:spPr>
                </pic:pic>
              </a:graphicData>
            </a:graphic>
          </wp:inline>
        </w:drawing>
      </w:r>
    </w:p>
    <w:p w14:paraId="527DD055" w14:textId="77777777" w:rsidR="00AF6B9D" w:rsidRPr="009D33C3" w:rsidRDefault="00414D3E" w:rsidP="00AF6B9D">
      <w:pPr>
        <w:rPr>
          <w:rFonts w:ascii="Open Sans" w:hAnsi="Open Sans" w:cs="Open Sans"/>
          <w:sz w:val="20"/>
          <w:szCs w:val="20"/>
        </w:rPr>
      </w:pPr>
      <w:r w:rsidRPr="009D33C3">
        <w:rPr>
          <w:rFonts w:ascii="Open Sans" w:hAnsi="Open Sans" w:cs="Open Sans"/>
          <w:sz w:val="20"/>
          <w:szCs w:val="20"/>
        </w:rPr>
        <w:t xml:space="preserve">5.8.2 A trajectory for a gradually increasing </w:t>
      </w:r>
      <w:r w:rsidR="002B06E6" w:rsidRPr="009D33C3">
        <w:rPr>
          <w:rFonts w:ascii="Open Sans" w:hAnsi="Open Sans" w:cs="Open Sans"/>
          <w:sz w:val="20"/>
          <w:szCs w:val="20"/>
        </w:rPr>
        <w:t>the cost of using fossil fuel heating systems needs to be introduced. This could be through a carbon tax or an increase in the fuel duty levy. This</w:t>
      </w:r>
      <w:r w:rsidRPr="009D33C3">
        <w:rPr>
          <w:rFonts w:ascii="Open Sans" w:hAnsi="Open Sans" w:cs="Open Sans"/>
          <w:sz w:val="20"/>
          <w:szCs w:val="20"/>
        </w:rPr>
        <w:t xml:space="preserve"> would send an appropriate and strong price signal to the market for the use of renewable alternatives including biomass, heat pumps and bio</w:t>
      </w:r>
      <w:r w:rsidR="002B06E6" w:rsidRPr="009D33C3">
        <w:rPr>
          <w:rFonts w:ascii="Open Sans" w:hAnsi="Open Sans" w:cs="Open Sans"/>
          <w:sz w:val="20"/>
          <w:szCs w:val="20"/>
        </w:rPr>
        <w:t>fuels</w:t>
      </w:r>
      <w:r w:rsidRPr="009D33C3">
        <w:rPr>
          <w:rFonts w:ascii="Open Sans" w:hAnsi="Open Sans" w:cs="Open Sans"/>
          <w:sz w:val="20"/>
          <w:szCs w:val="20"/>
        </w:rPr>
        <w:t>. Having a clear trajectory in place, would in itself make users c</w:t>
      </w:r>
      <w:r w:rsidRPr="009D33C3">
        <w:rPr>
          <w:rFonts w:ascii="Open Sans" w:hAnsi="Open Sans" w:cs="Open Sans"/>
          <w:sz w:val="20"/>
          <w:szCs w:val="20"/>
        </w:rPr>
        <w:t xml:space="preserve">onsider the future costs of using fossil-based heating options when replacing heating systems and drive demand for renewable options in the early 2020s, even if the additional </w:t>
      </w:r>
      <w:r w:rsidR="002B06E6" w:rsidRPr="009D33C3">
        <w:rPr>
          <w:rFonts w:ascii="Open Sans" w:hAnsi="Open Sans" w:cs="Open Sans"/>
          <w:sz w:val="20"/>
          <w:szCs w:val="20"/>
        </w:rPr>
        <w:t>cost was minimal to start with</w:t>
      </w:r>
      <w:r w:rsidRPr="009D33C3">
        <w:rPr>
          <w:rFonts w:ascii="Open Sans" w:hAnsi="Open Sans" w:cs="Open Sans"/>
          <w:sz w:val="20"/>
          <w:szCs w:val="20"/>
        </w:rPr>
        <w:t xml:space="preserve">. </w:t>
      </w:r>
    </w:p>
    <w:p w14:paraId="3FAE2080" w14:textId="77777777" w:rsidR="00AF6B9D" w:rsidRPr="009D33C3" w:rsidRDefault="00414D3E" w:rsidP="00AF6B9D">
      <w:pPr>
        <w:rPr>
          <w:rFonts w:ascii="Open Sans" w:hAnsi="Open Sans" w:cs="Open Sans"/>
          <w:sz w:val="20"/>
          <w:szCs w:val="20"/>
        </w:rPr>
      </w:pPr>
      <w:r w:rsidRPr="009D33C3">
        <w:rPr>
          <w:rFonts w:ascii="Open Sans" w:hAnsi="Open Sans" w:cs="Open Sans"/>
          <w:sz w:val="20"/>
          <w:szCs w:val="20"/>
        </w:rPr>
        <w:t>5.8.3 It is</w:t>
      </w:r>
      <w:r w:rsidR="00FA75E9" w:rsidRPr="009D33C3">
        <w:rPr>
          <w:rFonts w:ascii="Open Sans" w:hAnsi="Open Sans" w:cs="Open Sans"/>
          <w:sz w:val="20"/>
          <w:szCs w:val="20"/>
        </w:rPr>
        <w:t xml:space="preserve"> </w:t>
      </w:r>
      <w:r w:rsidRPr="009D33C3">
        <w:rPr>
          <w:rFonts w:ascii="Open Sans" w:hAnsi="Open Sans" w:cs="Open Sans"/>
          <w:sz w:val="20"/>
          <w:szCs w:val="20"/>
        </w:rPr>
        <w:t xml:space="preserve">recognised that such a policy could negatively affect the fuel poor if introduced without appropriate protections.  </w:t>
      </w:r>
      <w:r w:rsidR="002B06E6" w:rsidRPr="009D33C3">
        <w:rPr>
          <w:rFonts w:ascii="Open Sans" w:hAnsi="Open Sans" w:cs="Open Sans"/>
          <w:sz w:val="20"/>
          <w:szCs w:val="20"/>
        </w:rPr>
        <w:t xml:space="preserve">Such households could be provided a rebate on such a tax and </w:t>
      </w:r>
      <w:r w:rsidR="00D50F88">
        <w:rPr>
          <w:rFonts w:ascii="Open Sans" w:hAnsi="Open Sans" w:cs="Open Sans"/>
          <w:sz w:val="20"/>
          <w:szCs w:val="20"/>
        </w:rPr>
        <w:t xml:space="preserve">tax </w:t>
      </w:r>
      <w:r w:rsidRPr="009D33C3">
        <w:rPr>
          <w:rFonts w:ascii="Open Sans" w:hAnsi="Open Sans" w:cs="Open Sans"/>
          <w:sz w:val="20"/>
          <w:szCs w:val="20"/>
        </w:rPr>
        <w:t xml:space="preserve">revenue raised should be directly spent on enabling </w:t>
      </w:r>
      <w:r w:rsidR="002B06E6" w:rsidRPr="009D33C3">
        <w:rPr>
          <w:rFonts w:ascii="Open Sans" w:hAnsi="Open Sans" w:cs="Open Sans"/>
          <w:sz w:val="20"/>
          <w:szCs w:val="20"/>
        </w:rPr>
        <w:t>fuel poor</w:t>
      </w:r>
      <w:r w:rsidRPr="009D33C3">
        <w:rPr>
          <w:rFonts w:ascii="Open Sans" w:hAnsi="Open Sans" w:cs="Open Sans"/>
          <w:sz w:val="20"/>
          <w:szCs w:val="20"/>
        </w:rPr>
        <w:t xml:space="preserve"> households to</w:t>
      </w:r>
      <w:r w:rsidRPr="009D33C3">
        <w:rPr>
          <w:rFonts w:ascii="Open Sans" w:hAnsi="Open Sans" w:cs="Open Sans"/>
          <w:sz w:val="20"/>
          <w:szCs w:val="20"/>
        </w:rPr>
        <w:t xml:space="preserve"> make the switch to renewable systems and increase energy efficiencies of off-gas grid properties. </w:t>
      </w:r>
      <w:r w:rsidR="002B06E6" w:rsidRPr="009D33C3">
        <w:rPr>
          <w:rFonts w:ascii="Open Sans" w:hAnsi="Open Sans" w:cs="Open Sans"/>
          <w:sz w:val="20"/>
          <w:szCs w:val="20"/>
        </w:rPr>
        <w:t xml:space="preserve"> </w:t>
      </w:r>
    </w:p>
    <w:p w14:paraId="16219D41" w14:textId="77777777" w:rsidR="002B06E6" w:rsidRPr="009D33C3" w:rsidRDefault="00414D3E" w:rsidP="00AF6B9D">
      <w:pPr>
        <w:rPr>
          <w:rFonts w:ascii="Open Sans" w:hAnsi="Open Sans" w:cs="Open Sans"/>
          <w:sz w:val="20"/>
          <w:szCs w:val="20"/>
        </w:rPr>
      </w:pPr>
      <w:r w:rsidRPr="009D33C3">
        <w:rPr>
          <w:rFonts w:ascii="Open Sans" w:hAnsi="Open Sans" w:cs="Open Sans"/>
          <w:sz w:val="20"/>
          <w:szCs w:val="20"/>
        </w:rPr>
        <w:lastRenderedPageBreak/>
        <w:t xml:space="preserve">5.8.4 Germany next year is set to introduce a new carbon tax across power, heat and transport fossil fuels. </w:t>
      </w:r>
      <w:r w:rsidR="00FA75E9" w:rsidRPr="009D33C3">
        <w:rPr>
          <w:rFonts w:ascii="Open Sans" w:hAnsi="Open Sans" w:cs="Open Sans"/>
          <w:sz w:val="20"/>
          <w:szCs w:val="20"/>
        </w:rPr>
        <w:t>The carbon tax on heat will start at €25/mt in 2021, rising each year to €55/mt by 2025. The tax is expected to lift heating fuel oil prices for consumers by €0.08/</w:t>
      </w:r>
      <w:r w:rsidR="00D50F88" w:rsidRPr="009D33C3">
        <w:rPr>
          <w:rFonts w:ascii="Open Sans" w:hAnsi="Open Sans" w:cs="Open Sans"/>
          <w:sz w:val="20"/>
          <w:szCs w:val="20"/>
        </w:rPr>
        <w:t>litre</w:t>
      </w:r>
      <w:r w:rsidR="00FA75E9" w:rsidRPr="009D33C3">
        <w:rPr>
          <w:rFonts w:ascii="Open Sans" w:hAnsi="Open Sans" w:cs="Open Sans"/>
          <w:sz w:val="20"/>
          <w:szCs w:val="20"/>
        </w:rPr>
        <w:t xml:space="preserve"> and natural gas by €5/MWh for end-consumers. The UK should </w:t>
      </w:r>
      <w:r w:rsidR="00D50F88" w:rsidRPr="009D33C3">
        <w:rPr>
          <w:rFonts w:ascii="Open Sans" w:hAnsi="Open Sans" w:cs="Open Sans"/>
          <w:sz w:val="20"/>
          <w:szCs w:val="20"/>
        </w:rPr>
        <w:t>assess</w:t>
      </w:r>
      <w:r w:rsidR="00FA75E9" w:rsidRPr="009D33C3">
        <w:rPr>
          <w:rFonts w:ascii="Open Sans" w:hAnsi="Open Sans" w:cs="Open Sans"/>
          <w:sz w:val="20"/>
          <w:szCs w:val="20"/>
        </w:rPr>
        <w:t xml:space="preserve"> the impact of this policy decision and consider similar implementation in the UK [18]. </w:t>
      </w:r>
    </w:p>
    <w:p w14:paraId="229A766B" w14:textId="77777777" w:rsidR="002C07FD" w:rsidRPr="009D33C3" w:rsidRDefault="00414D3E" w:rsidP="00EE0677">
      <w:pPr>
        <w:pStyle w:val="ListParagraph"/>
        <w:numPr>
          <w:ilvl w:val="0"/>
          <w:numId w:val="2"/>
        </w:numPr>
        <w:rPr>
          <w:rFonts w:ascii="Open Sans" w:hAnsi="Open Sans" w:cs="Open Sans"/>
          <w:sz w:val="20"/>
          <w:szCs w:val="20"/>
          <w:u w:val="single"/>
          <w:lang w:eastAsia="en-GB"/>
        </w:rPr>
      </w:pPr>
      <w:r w:rsidRPr="009D33C3">
        <w:rPr>
          <w:rFonts w:ascii="Open Sans" w:hAnsi="Open Sans" w:cs="Open Sans"/>
          <w:sz w:val="20"/>
          <w:szCs w:val="20"/>
          <w:u w:val="single"/>
          <w:lang w:eastAsia="en-GB"/>
        </w:rPr>
        <w:t xml:space="preserve">5.9 </w:t>
      </w:r>
      <w:r w:rsidR="00EE0677" w:rsidRPr="009D33C3">
        <w:rPr>
          <w:rFonts w:ascii="Open Sans" w:hAnsi="Open Sans" w:cs="Open Sans"/>
          <w:sz w:val="20"/>
          <w:szCs w:val="20"/>
          <w:u w:val="single"/>
          <w:lang w:eastAsia="en-GB"/>
        </w:rPr>
        <w:t>Updating Energy Performance Certificates and the Standard Assessment Procedure</w:t>
      </w:r>
    </w:p>
    <w:p w14:paraId="1ABDBC5E" w14:textId="77777777" w:rsidR="00EE0677" w:rsidRPr="009D33C3" w:rsidRDefault="00414D3E" w:rsidP="00EE0677">
      <w:pPr>
        <w:rPr>
          <w:rFonts w:ascii="Open Sans" w:hAnsi="Open Sans" w:cs="Open Sans"/>
          <w:sz w:val="20"/>
          <w:szCs w:val="20"/>
        </w:rPr>
      </w:pPr>
      <w:r w:rsidRPr="009D33C3">
        <w:rPr>
          <w:rFonts w:ascii="Open Sans" w:hAnsi="Open Sans" w:cs="Open Sans"/>
          <w:sz w:val="20"/>
          <w:szCs w:val="20"/>
        </w:rPr>
        <w:t>5.9.1 Energy Performance Certificate's (EPCs) are a tool which offers an A-G rating based on energy efficiency technologies and immoveable features in a</w:t>
      </w:r>
      <w:r w:rsidRPr="009D33C3">
        <w:rPr>
          <w:rFonts w:ascii="Open Sans" w:hAnsi="Open Sans" w:cs="Open Sans"/>
          <w:sz w:val="20"/>
          <w:szCs w:val="20"/>
        </w:rPr>
        <w:t xml:space="preserve"> building, such as insulation and boilers. They are used by a range of stakeholders, including consumers (to understand their expected energy bills and gain recommendations into how to upgrade their home), tenants (when choosing properties to rent), landlo</w:t>
      </w:r>
      <w:r w:rsidRPr="009D33C3">
        <w:rPr>
          <w:rFonts w:ascii="Open Sans" w:hAnsi="Open Sans" w:cs="Open Sans"/>
          <w:sz w:val="20"/>
          <w:szCs w:val="20"/>
        </w:rPr>
        <w:t xml:space="preserve">rds/investors (when undertaking due diligence on acquisitions), policymakers (for a holistic view of the quality of the UK's building stock), policy measures such as the minimum energy efficiency standards (MEES – which ban the letting of extremely energy </w:t>
      </w:r>
      <w:r w:rsidRPr="009D33C3">
        <w:rPr>
          <w:rFonts w:ascii="Open Sans" w:hAnsi="Open Sans" w:cs="Open Sans"/>
          <w:sz w:val="20"/>
          <w:szCs w:val="20"/>
        </w:rPr>
        <w:t>inefficient properties),  financial institutions (who are developing innovations in finance such as "green mortgages" rewarding those who choose to purchase more energy-efficient buildings) and more.</w:t>
      </w:r>
    </w:p>
    <w:p w14:paraId="7BF01F49" w14:textId="77777777" w:rsidR="00EE0677" w:rsidRPr="009D33C3" w:rsidRDefault="00414D3E" w:rsidP="00EE0677">
      <w:pPr>
        <w:rPr>
          <w:rFonts w:ascii="Open Sans" w:hAnsi="Open Sans" w:cs="Open Sans"/>
          <w:sz w:val="20"/>
          <w:szCs w:val="20"/>
        </w:rPr>
      </w:pPr>
      <w:r w:rsidRPr="009D33C3">
        <w:rPr>
          <w:rFonts w:ascii="Open Sans" w:hAnsi="Open Sans" w:cs="Open Sans"/>
          <w:sz w:val="20"/>
          <w:szCs w:val="20"/>
        </w:rPr>
        <w:t>5.9.2 However a major barrier to heat decarbonisation co</w:t>
      </w:r>
      <w:r w:rsidRPr="009D33C3">
        <w:rPr>
          <w:rFonts w:ascii="Open Sans" w:hAnsi="Open Sans" w:cs="Open Sans"/>
          <w:sz w:val="20"/>
          <w:szCs w:val="20"/>
        </w:rPr>
        <w:t xml:space="preserve">mes from the fact that Standard Assessment Procedure (SAP), which is used to calculate the EPC, does not use up to date figures on cost, efficiency, and carbon intensity.  Out of date efficiency calculations for renewable heat technologies within the SAP </w:t>
      </w:r>
      <w:r w:rsidR="00D50F88">
        <w:rPr>
          <w:rFonts w:ascii="Open Sans" w:hAnsi="Open Sans" w:cs="Open Sans"/>
          <w:sz w:val="20"/>
          <w:szCs w:val="20"/>
        </w:rPr>
        <w:t>regularly produces</w:t>
      </w:r>
      <w:r w:rsidRPr="009D33C3">
        <w:rPr>
          <w:rFonts w:ascii="Open Sans" w:hAnsi="Open Sans" w:cs="Open Sans"/>
          <w:sz w:val="20"/>
          <w:szCs w:val="20"/>
        </w:rPr>
        <w:t xml:space="preserve"> results that favour fossil fuel heating systems and fail to reward flexibility. </w:t>
      </w:r>
    </w:p>
    <w:p w14:paraId="45ED3C1D" w14:textId="77777777" w:rsidR="00EE0677" w:rsidRPr="009D33C3" w:rsidRDefault="00414D3E" w:rsidP="00EE0677">
      <w:pPr>
        <w:rPr>
          <w:rFonts w:ascii="Open Sans" w:hAnsi="Open Sans" w:cs="Open Sans"/>
          <w:sz w:val="20"/>
          <w:szCs w:val="20"/>
        </w:rPr>
      </w:pPr>
      <w:r w:rsidRPr="009D33C3">
        <w:rPr>
          <w:rFonts w:ascii="Open Sans" w:hAnsi="Open Sans" w:cs="Open Sans"/>
          <w:sz w:val="20"/>
          <w:szCs w:val="20"/>
        </w:rPr>
        <w:t xml:space="preserve">5.9.3 SAP </w:t>
      </w:r>
      <w:r w:rsidR="007D03BF" w:rsidRPr="009D33C3">
        <w:rPr>
          <w:rFonts w:ascii="Open Sans" w:hAnsi="Open Sans" w:cs="Open Sans"/>
          <w:sz w:val="20"/>
          <w:szCs w:val="20"/>
        </w:rPr>
        <w:t xml:space="preserve">2012 continue to be used for official assessments such as EPC’s using </w:t>
      </w:r>
      <w:r w:rsidR="00D50F88" w:rsidRPr="009D33C3">
        <w:rPr>
          <w:rFonts w:ascii="Open Sans" w:hAnsi="Open Sans" w:cs="Open Sans"/>
          <w:sz w:val="20"/>
          <w:szCs w:val="20"/>
        </w:rPr>
        <w:t>out of</w:t>
      </w:r>
      <w:r w:rsidR="007D03BF" w:rsidRPr="009D33C3">
        <w:rPr>
          <w:rFonts w:ascii="Open Sans" w:hAnsi="Open Sans" w:cs="Open Sans"/>
          <w:sz w:val="20"/>
          <w:szCs w:val="20"/>
        </w:rPr>
        <w:t xml:space="preserve"> date assumption about </w:t>
      </w:r>
      <w:r w:rsidR="00D50F88" w:rsidRPr="009D33C3">
        <w:rPr>
          <w:rFonts w:ascii="Open Sans" w:hAnsi="Open Sans" w:cs="Open Sans"/>
          <w:sz w:val="20"/>
          <w:szCs w:val="20"/>
        </w:rPr>
        <w:t>renewabl</w:t>
      </w:r>
      <w:r w:rsidR="00D50F88">
        <w:rPr>
          <w:rFonts w:ascii="Open Sans" w:hAnsi="Open Sans" w:cs="Open Sans"/>
          <w:sz w:val="20"/>
          <w:szCs w:val="20"/>
        </w:rPr>
        <w:t>e</w:t>
      </w:r>
      <w:r w:rsidR="00D50F88" w:rsidRPr="009D33C3">
        <w:rPr>
          <w:rFonts w:ascii="Open Sans" w:hAnsi="Open Sans" w:cs="Open Sans"/>
          <w:sz w:val="20"/>
          <w:szCs w:val="20"/>
        </w:rPr>
        <w:t>s.</w:t>
      </w:r>
      <w:r w:rsidR="007D03BF" w:rsidRPr="009D33C3">
        <w:rPr>
          <w:rFonts w:ascii="Open Sans" w:hAnsi="Open Sans" w:cs="Open Sans"/>
          <w:sz w:val="20"/>
          <w:szCs w:val="20"/>
        </w:rPr>
        <w:t xml:space="preserve"> M</w:t>
      </w:r>
      <w:r w:rsidRPr="009D33C3">
        <w:rPr>
          <w:rFonts w:ascii="Open Sans" w:hAnsi="Open Sans" w:cs="Open Sans"/>
          <w:sz w:val="20"/>
          <w:szCs w:val="20"/>
        </w:rPr>
        <w:t xml:space="preserve">ethodologies should be </w:t>
      </w:r>
      <w:r w:rsidRPr="009D33C3">
        <w:rPr>
          <w:rFonts w:ascii="Open Sans" w:hAnsi="Open Sans" w:cs="Open Sans"/>
          <w:sz w:val="20"/>
          <w:szCs w:val="20"/>
        </w:rPr>
        <w:t xml:space="preserve">updated as soon as possible so that renewable energy is the primary focus within the SAP calculation while taking into consideration the loss of that generated heat. This should create a more robust method which can keep up with technological advances and </w:t>
      </w:r>
      <w:r w:rsidRPr="009D33C3">
        <w:rPr>
          <w:rFonts w:ascii="Open Sans" w:hAnsi="Open Sans" w:cs="Open Sans"/>
          <w:sz w:val="20"/>
          <w:szCs w:val="20"/>
        </w:rPr>
        <w:t>fairly reflect the benefits of renewable energy and low carbon technologies and should be updated more frequently. Once complete, this should also be implemented with the introduction of this review of building regulations.</w:t>
      </w:r>
    </w:p>
    <w:p w14:paraId="39280378" w14:textId="77777777" w:rsidR="004C3842" w:rsidRPr="009D33C3" w:rsidRDefault="00414D3E" w:rsidP="0029576E">
      <w:pPr>
        <w:ind w:right="-46"/>
        <w:rPr>
          <w:rFonts w:ascii="Open Sans" w:eastAsia="Times New Roman" w:hAnsi="Open Sans" w:cs="Open Sans"/>
          <w:b/>
          <w:bCs/>
          <w:sz w:val="20"/>
          <w:szCs w:val="20"/>
          <w:lang w:eastAsia="en-GB"/>
        </w:rPr>
      </w:pPr>
      <w:r w:rsidRPr="009D33C3">
        <w:rPr>
          <w:rFonts w:ascii="Open Sans" w:eastAsia="Times New Roman" w:hAnsi="Open Sans" w:cs="Open Sans"/>
          <w:b/>
          <w:bCs/>
          <w:sz w:val="20"/>
          <w:szCs w:val="20"/>
          <w:lang w:eastAsia="en-GB"/>
        </w:rPr>
        <w:t xml:space="preserve">6. </w:t>
      </w:r>
      <w:r w:rsidR="00FA2C94" w:rsidRPr="009D33C3">
        <w:rPr>
          <w:rFonts w:ascii="Open Sans" w:eastAsia="Times New Roman" w:hAnsi="Open Sans" w:cs="Open Sans"/>
          <w:b/>
          <w:bCs/>
          <w:sz w:val="20"/>
          <w:szCs w:val="20"/>
          <w:lang w:eastAsia="en-GB"/>
        </w:rPr>
        <w:t>Where Should responsibility Lie for Delivery of Heat Decarbonisation</w:t>
      </w:r>
    </w:p>
    <w:p w14:paraId="4F19F1C1" w14:textId="77777777" w:rsidR="00AA1853" w:rsidRPr="009D33C3" w:rsidRDefault="00414D3E" w:rsidP="0029576E">
      <w:pPr>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 xml:space="preserve">6.1 </w:t>
      </w:r>
      <w:r w:rsidR="00FA2C94" w:rsidRPr="009D33C3">
        <w:rPr>
          <w:rFonts w:ascii="Open Sans" w:eastAsia="Times New Roman" w:hAnsi="Open Sans" w:cs="Open Sans"/>
          <w:sz w:val="20"/>
          <w:szCs w:val="20"/>
          <w:lang w:eastAsia="en-GB"/>
        </w:rPr>
        <w:t>The REA believe heat decarbonisation should continue to lie with BEIS, although stronger cross Whitehall coordination is required to ensure polices do not contradict on another</w:t>
      </w:r>
      <w:r w:rsidRPr="009D33C3">
        <w:rPr>
          <w:rFonts w:ascii="Open Sans" w:eastAsia="Times New Roman" w:hAnsi="Open Sans" w:cs="Open Sans"/>
          <w:sz w:val="20"/>
          <w:szCs w:val="20"/>
          <w:lang w:eastAsia="en-GB"/>
        </w:rPr>
        <w:t xml:space="preserve">. A dedicated heat </w:t>
      </w:r>
      <w:r w:rsidRPr="009D33C3">
        <w:rPr>
          <w:rFonts w:ascii="Open Sans" w:eastAsia="Times New Roman" w:hAnsi="Open Sans" w:cs="Open Sans"/>
          <w:sz w:val="20"/>
          <w:szCs w:val="20"/>
          <w:lang w:eastAsia="en-GB"/>
        </w:rPr>
        <w:t>decarbonisation team should also be established in Treasury, to ensure the issue is prioritised within public spending consideration.</w:t>
      </w:r>
    </w:p>
    <w:p w14:paraId="315C46D1" w14:textId="77777777" w:rsidR="00FA2C94" w:rsidRPr="009D33C3" w:rsidRDefault="00414D3E" w:rsidP="0029576E">
      <w:pPr>
        <w:ind w:right="-46"/>
        <w:rPr>
          <w:rFonts w:ascii="Open Sans" w:eastAsia="Times New Roman" w:hAnsi="Open Sans" w:cs="Open Sans"/>
          <w:sz w:val="20"/>
          <w:szCs w:val="20"/>
          <w:lang w:eastAsia="en-GB"/>
        </w:rPr>
      </w:pPr>
      <w:r w:rsidRPr="009D33C3">
        <w:rPr>
          <w:rFonts w:ascii="Open Sans" w:eastAsia="Times New Roman" w:hAnsi="Open Sans" w:cs="Open Sans"/>
          <w:sz w:val="20"/>
          <w:szCs w:val="20"/>
          <w:lang w:eastAsia="en-GB"/>
        </w:rPr>
        <w:t xml:space="preserve"> </w:t>
      </w:r>
      <w:r w:rsidR="00731ABD" w:rsidRPr="009D33C3">
        <w:rPr>
          <w:rFonts w:ascii="Open Sans" w:eastAsia="Times New Roman" w:hAnsi="Open Sans" w:cs="Open Sans"/>
          <w:sz w:val="20"/>
          <w:szCs w:val="20"/>
          <w:lang w:eastAsia="en-GB"/>
        </w:rPr>
        <w:t xml:space="preserve">6.2 </w:t>
      </w:r>
      <w:r w:rsidR="00AA1853" w:rsidRPr="009D33C3">
        <w:rPr>
          <w:rFonts w:ascii="Open Sans" w:eastAsia="Times New Roman" w:hAnsi="Open Sans" w:cs="Open Sans"/>
          <w:sz w:val="20"/>
          <w:szCs w:val="20"/>
          <w:lang w:eastAsia="en-GB"/>
        </w:rPr>
        <w:t>Also,</w:t>
      </w:r>
      <w:r w:rsidRPr="009D33C3">
        <w:rPr>
          <w:rFonts w:ascii="Open Sans" w:eastAsia="Times New Roman" w:hAnsi="Open Sans" w:cs="Open Sans"/>
          <w:sz w:val="20"/>
          <w:szCs w:val="20"/>
          <w:lang w:eastAsia="en-GB"/>
        </w:rPr>
        <w:t xml:space="preserve"> we would like to see the Regulator Ofgem</w:t>
      </w:r>
      <w:r w:rsidR="00AA1853" w:rsidRPr="009D33C3">
        <w:rPr>
          <w:rFonts w:ascii="Open Sans" w:eastAsia="Times New Roman" w:hAnsi="Open Sans" w:cs="Open Sans"/>
          <w:sz w:val="20"/>
          <w:szCs w:val="20"/>
          <w:lang w:eastAsia="en-GB"/>
        </w:rPr>
        <w:t>, along with the gas and power grid Code Administrators have clear decarbonisation objectives built into their</w:t>
      </w:r>
      <w:r w:rsidR="00D50F88">
        <w:rPr>
          <w:rFonts w:ascii="Open Sans" w:eastAsia="Times New Roman" w:hAnsi="Open Sans" w:cs="Open Sans"/>
          <w:sz w:val="20"/>
          <w:szCs w:val="20"/>
          <w:lang w:eastAsia="en-GB"/>
        </w:rPr>
        <w:t xml:space="preserve"> operational</w:t>
      </w:r>
      <w:r w:rsidR="00AA1853" w:rsidRPr="009D33C3">
        <w:rPr>
          <w:rFonts w:ascii="Open Sans" w:eastAsia="Times New Roman" w:hAnsi="Open Sans" w:cs="Open Sans"/>
          <w:sz w:val="20"/>
          <w:szCs w:val="20"/>
          <w:lang w:eastAsia="en-GB"/>
        </w:rPr>
        <w:t xml:space="preserve"> terms of reference. Currently, regulatory decisions do not always take into consideration decarbonisation. This needs to be rectified to ensure both policy and regulatory decisions </w:t>
      </w:r>
      <w:r w:rsidR="00D50F88">
        <w:rPr>
          <w:rFonts w:ascii="Open Sans" w:eastAsia="Times New Roman" w:hAnsi="Open Sans" w:cs="Open Sans"/>
          <w:sz w:val="20"/>
          <w:szCs w:val="20"/>
          <w:lang w:eastAsia="en-GB"/>
        </w:rPr>
        <w:t>do not undermine each other.</w:t>
      </w:r>
      <w:r w:rsidR="00AA1853" w:rsidRPr="009D33C3">
        <w:rPr>
          <w:rFonts w:ascii="Open Sans" w:eastAsia="Times New Roman" w:hAnsi="Open Sans" w:cs="Open Sans"/>
          <w:sz w:val="20"/>
          <w:szCs w:val="20"/>
          <w:lang w:eastAsia="en-GB"/>
        </w:rPr>
        <w:t xml:space="preserve">  </w:t>
      </w:r>
    </w:p>
    <w:p w14:paraId="3C158144" w14:textId="77777777" w:rsidR="00AA1853" w:rsidRPr="009D33C3" w:rsidRDefault="00414D3E" w:rsidP="0029576E">
      <w:pPr>
        <w:ind w:right="-46"/>
        <w:rPr>
          <w:rFonts w:ascii="Open Sans" w:eastAsia="Times New Roman" w:hAnsi="Open Sans" w:cs="Open Sans"/>
          <w:b/>
          <w:bCs/>
          <w:i/>
          <w:iCs/>
          <w:sz w:val="20"/>
          <w:szCs w:val="20"/>
          <w:lang w:eastAsia="en-GB"/>
        </w:rPr>
      </w:pPr>
      <w:r w:rsidRPr="009D33C3">
        <w:rPr>
          <w:rFonts w:ascii="Open Sans" w:eastAsia="Times New Roman" w:hAnsi="Open Sans" w:cs="Open Sans"/>
          <w:b/>
          <w:bCs/>
          <w:i/>
          <w:iCs/>
          <w:sz w:val="20"/>
          <w:szCs w:val="20"/>
          <w:lang w:eastAsia="en-GB"/>
        </w:rPr>
        <w:t>November 2020</w:t>
      </w:r>
    </w:p>
    <w:p w14:paraId="200CD02B" w14:textId="77777777" w:rsidR="009B25AD" w:rsidRPr="009D33C3" w:rsidRDefault="00414D3E" w:rsidP="0029576E">
      <w:pPr>
        <w:ind w:right="-46"/>
        <w:rPr>
          <w:rFonts w:ascii="Open Sans" w:eastAsia="Times New Roman" w:hAnsi="Open Sans" w:cs="Open Sans"/>
          <w:i/>
          <w:iCs/>
          <w:sz w:val="20"/>
          <w:szCs w:val="20"/>
          <w:lang w:eastAsia="en-GB"/>
        </w:rPr>
      </w:pPr>
      <w:r w:rsidRPr="009D33C3">
        <w:rPr>
          <w:rFonts w:ascii="Open Sans" w:eastAsia="Times New Roman" w:hAnsi="Open Sans" w:cs="Open Sans"/>
          <w:i/>
          <w:iCs/>
          <w:sz w:val="20"/>
          <w:szCs w:val="20"/>
          <w:lang w:eastAsia="en-GB"/>
        </w:rPr>
        <w:t>Footnotes and Sources:</w:t>
      </w:r>
    </w:p>
    <w:p w14:paraId="269AB985"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[1] BEIS (2020) RHI monthly deployment data: September 2020 (Quarterly edition) </w:t>
      </w:r>
      <w:hyperlink r:id="rId10" w:history="1">
        <w:r w:rsidRPr="009D33C3">
          <w:rPr>
            <w:rStyle w:val="Hyperlink"/>
            <w:rFonts w:ascii="Open Sans" w:hAnsi="Open Sans" w:cs="Open Sans"/>
            <w:i/>
            <w:iCs/>
            <w:sz w:val="20"/>
            <w:szCs w:val="20"/>
          </w:rPr>
          <w:t>https://w</w:t>
        </w:r>
        <w:r w:rsidRPr="009D33C3">
          <w:rPr>
            <w:rStyle w:val="Hyperlink"/>
            <w:rFonts w:ascii="Open Sans" w:hAnsi="Open Sans" w:cs="Open Sans"/>
            <w:i/>
            <w:iCs/>
            <w:sz w:val="20"/>
            <w:szCs w:val="20"/>
          </w:rPr>
          <w:t>ww.gov.uk/government/statistics/rhi-monthly-deployment-data-september-2020-quarterly-edition</w:t>
        </w:r>
      </w:hyperlink>
      <w:r w:rsidRPr="009D33C3">
        <w:rPr>
          <w:rFonts w:ascii="Open Sans" w:hAnsi="Open Sans" w:cs="Open Sans"/>
          <w:i/>
          <w:iCs/>
          <w:sz w:val="20"/>
          <w:szCs w:val="20"/>
        </w:rPr>
        <w:t xml:space="preserve"> </w:t>
      </w:r>
    </w:p>
    <w:p w14:paraId="18CBEA20"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[2] REA (2020) REviEW 2020 </w:t>
      </w:r>
      <w:hyperlink r:id="rId11" w:history="1">
        <w:r w:rsidRPr="009D33C3">
          <w:rPr>
            <w:rStyle w:val="Hyperlink"/>
            <w:rFonts w:ascii="Open Sans" w:hAnsi="Open Sans" w:cs="Open Sans"/>
            <w:i/>
            <w:iCs/>
            <w:sz w:val="20"/>
            <w:szCs w:val="20"/>
          </w:rPr>
          <w:t>https://www.r-e-a.net/resources/review-2020/</w:t>
        </w:r>
      </w:hyperlink>
      <w:r w:rsidRPr="009D33C3">
        <w:rPr>
          <w:rFonts w:ascii="Open Sans" w:hAnsi="Open Sans" w:cs="Open Sans"/>
          <w:i/>
          <w:iCs/>
          <w:sz w:val="20"/>
          <w:szCs w:val="20"/>
        </w:rPr>
        <w:t xml:space="preserve"> </w:t>
      </w:r>
    </w:p>
    <w:p w14:paraId="61E19A0D"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lastRenderedPageBreak/>
        <w:t xml:space="preserve">[3] BEIS (2020) Future Support for Low Carbon Heat, </w:t>
      </w:r>
      <w:hyperlink r:id="rId12" w:history="1">
        <w:r w:rsidRPr="009D33C3">
          <w:rPr>
            <w:rStyle w:val="Hyperlink"/>
            <w:rFonts w:ascii="Open Sans" w:hAnsi="Open Sans" w:cs="Open Sans"/>
            <w:i/>
            <w:iCs/>
            <w:sz w:val="20"/>
            <w:szCs w:val="20"/>
          </w:rPr>
          <w:t>https://www.gov.uk/government/consultations/future-support-for-</w:t>
        </w:r>
        <w:r w:rsidRPr="009D33C3">
          <w:rPr>
            <w:rStyle w:val="Hyperlink"/>
            <w:rFonts w:ascii="Open Sans" w:hAnsi="Open Sans" w:cs="Open Sans"/>
            <w:i/>
            <w:iCs/>
            <w:sz w:val="20"/>
            <w:szCs w:val="20"/>
          </w:rPr>
          <w:t>low-carbon-heat</w:t>
        </w:r>
      </w:hyperlink>
      <w:r w:rsidRPr="009D33C3">
        <w:rPr>
          <w:rFonts w:ascii="Open Sans" w:hAnsi="Open Sans" w:cs="Open Sans"/>
          <w:i/>
          <w:iCs/>
          <w:sz w:val="20"/>
          <w:szCs w:val="20"/>
        </w:rPr>
        <w:t xml:space="preserve"> </w:t>
      </w:r>
    </w:p>
    <w:p w14:paraId="26DFC90E"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[4] BEIS (2020) RHI monthly deployment data: December 2019 (Annual edition) </w:t>
      </w:r>
      <w:hyperlink r:id="rId13" w:history="1">
        <w:r w:rsidRPr="009D33C3">
          <w:rPr>
            <w:rStyle w:val="Hyperlink"/>
            <w:rFonts w:ascii="Open Sans" w:hAnsi="Open Sans" w:cs="Open Sans"/>
            <w:i/>
            <w:iCs/>
            <w:sz w:val="20"/>
            <w:szCs w:val="20"/>
          </w:rPr>
          <w:t>https://www.gov.uk/government/statistics/rhi-mont</w:t>
        </w:r>
        <w:r w:rsidRPr="009D33C3">
          <w:rPr>
            <w:rStyle w:val="Hyperlink"/>
            <w:rFonts w:ascii="Open Sans" w:hAnsi="Open Sans" w:cs="Open Sans"/>
            <w:i/>
            <w:iCs/>
            <w:sz w:val="20"/>
            <w:szCs w:val="20"/>
          </w:rPr>
          <w:t>hly-deployment-data-december-2019-annual-edition</w:t>
        </w:r>
      </w:hyperlink>
      <w:r w:rsidRPr="009D33C3">
        <w:rPr>
          <w:rFonts w:ascii="Open Sans" w:hAnsi="Open Sans" w:cs="Open Sans"/>
          <w:i/>
          <w:iCs/>
          <w:sz w:val="20"/>
          <w:szCs w:val="20"/>
        </w:rPr>
        <w:t xml:space="preserve"> </w:t>
      </w:r>
    </w:p>
    <w:p w14:paraId="7230D9E0"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[5] HMT (2019) Energy-saving materials and heating equipment (VAT Notice 708/6) </w:t>
      </w:r>
      <w:hyperlink r:id="rId14" w:history="1">
        <w:r w:rsidRPr="009D33C3">
          <w:rPr>
            <w:rStyle w:val="Hyperlink"/>
            <w:rFonts w:ascii="Open Sans" w:hAnsi="Open Sans" w:cs="Open Sans"/>
            <w:i/>
            <w:iCs/>
            <w:sz w:val="20"/>
            <w:szCs w:val="20"/>
          </w:rPr>
          <w:t>https://www.gov.u</w:t>
        </w:r>
        <w:r w:rsidRPr="009D33C3">
          <w:rPr>
            <w:rStyle w:val="Hyperlink"/>
            <w:rFonts w:ascii="Open Sans" w:hAnsi="Open Sans" w:cs="Open Sans"/>
            <w:i/>
            <w:iCs/>
            <w:sz w:val="20"/>
            <w:szCs w:val="20"/>
          </w:rPr>
          <w:t>k/guidance/vat-on-energy-saving-materials-and-heating-equipment-notice-7086</w:t>
        </w:r>
      </w:hyperlink>
      <w:r w:rsidRPr="009D33C3">
        <w:rPr>
          <w:rFonts w:ascii="Open Sans" w:hAnsi="Open Sans" w:cs="Open Sans"/>
          <w:i/>
          <w:iCs/>
          <w:sz w:val="20"/>
          <w:szCs w:val="20"/>
        </w:rPr>
        <w:t xml:space="preserve"> </w:t>
      </w:r>
    </w:p>
    <w:p w14:paraId="572364A1"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[6] BEIS (2020) Additional requirements around installation measures </w:t>
      </w:r>
      <w:hyperlink r:id="rId15" w:history="1">
        <w:r w:rsidRPr="009D33C3">
          <w:rPr>
            <w:rStyle w:val="Hyperlink"/>
            <w:rFonts w:ascii="Open Sans" w:hAnsi="Open Sans" w:cs="Open Sans"/>
            <w:i/>
            <w:iCs/>
            <w:sz w:val="20"/>
            <w:szCs w:val="20"/>
          </w:rPr>
          <w:t>https://assets.publishing.service.gov.uk/government/uploads/system/uploads/attachment_data/file/928174/green-home-grants-additional-requirements-insulation.odt</w:t>
        </w:r>
      </w:hyperlink>
      <w:r w:rsidRPr="009D33C3">
        <w:rPr>
          <w:rFonts w:ascii="Open Sans" w:hAnsi="Open Sans" w:cs="Open Sans"/>
          <w:i/>
          <w:iCs/>
          <w:sz w:val="20"/>
          <w:szCs w:val="20"/>
        </w:rPr>
        <w:t xml:space="preserve"> </w:t>
      </w:r>
    </w:p>
    <w:p w14:paraId="03D850E1"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[7] BEIS (2020) Future Suppor</w:t>
      </w:r>
      <w:r w:rsidRPr="009D33C3">
        <w:rPr>
          <w:rFonts w:ascii="Open Sans" w:hAnsi="Open Sans" w:cs="Open Sans"/>
          <w:i/>
          <w:iCs/>
          <w:sz w:val="20"/>
          <w:szCs w:val="20"/>
        </w:rPr>
        <w:t xml:space="preserve">t for Low Carbon Heat, Impact Assessment </w:t>
      </w:r>
      <w:hyperlink r:id="rId16" w:history="1">
        <w:r w:rsidRPr="009D33C3">
          <w:rPr>
            <w:rStyle w:val="Hyperlink"/>
            <w:rFonts w:ascii="Open Sans" w:hAnsi="Open Sans" w:cs="Open Sans"/>
            <w:i/>
            <w:iCs/>
            <w:sz w:val="20"/>
            <w:szCs w:val="20"/>
          </w:rPr>
          <w:t>https://assets.publishing.service.gov.u</w:t>
        </w:r>
        <w:r w:rsidRPr="009D33C3">
          <w:rPr>
            <w:rStyle w:val="Hyperlink"/>
            <w:rFonts w:ascii="Open Sans" w:hAnsi="Open Sans" w:cs="Open Sans"/>
            <w:i/>
            <w:iCs/>
            <w:sz w:val="20"/>
            <w:szCs w:val="20"/>
          </w:rPr>
          <w:t>k/government/uploads/system/uploads/attachment_data/file/881623/future-support-for-low-carbon-heat-impact-assessment.pdf</w:t>
        </w:r>
      </w:hyperlink>
      <w:r w:rsidRPr="009D33C3">
        <w:rPr>
          <w:rFonts w:ascii="Open Sans" w:hAnsi="Open Sans" w:cs="Open Sans"/>
          <w:i/>
          <w:iCs/>
          <w:sz w:val="20"/>
          <w:szCs w:val="20"/>
        </w:rPr>
        <w:t xml:space="preserve"> </w:t>
      </w:r>
    </w:p>
    <w:p w14:paraId="1CA379CB"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[8] BEIS (2019) Annual Domestic Energy Bills, </w:t>
      </w:r>
      <w:hyperlink r:id="rId17" w:history="1">
        <w:r w:rsidRPr="009D33C3">
          <w:rPr>
            <w:rStyle w:val="Hyperlink"/>
            <w:rFonts w:ascii="Open Sans" w:hAnsi="Open Sans" w:cs="Open Sans"/>
            <w:i/>
            <w:iCs/>
            <w:sz w:val="20"/>
            <w:szCs w:val="20"/>
          </w:rPr>
          <w:t>https://www.gov.uk/government/statistical-data-sets/annual-domestic-energy-price-statistics</w:t>
        </w:r>
      </w:hyperlink>
      <w:r w:rsidRPr="009D33C3">
        <w:rPr>
          <w:rFonts w:ascii="Open Sans" w:hAnsi="Open Sans" w:cs="Open Sans"/>
          <w:i/>
          <w:iCs/>
          <w:sz w:val="20"/>
          <w:szCs w:val="20"/>
        </w:rPr>
        <w:t xml:space="preserve"> </w:t>
      </w:r>
    </w:p>
    <w:p w14:paraId="4684211C"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[9] Werner (2017) District heating and cooling in Sweden, </w:t>
      </w:r>
      <w:hyperlink r:id="rId18" w:history="1">
        <w:r w:rsidRPr="009D33C3">
          <w:rPr>
            <w:rStyle w:val="Hyperlink"/>
            <w:rFonts w:ascii="Open Sans" w:hAnsi="Open Sans" w:cs="Open Sans"/>
            <w:i/>
            <w:iCs/>
            <w:sz w:val="20"/>
            <w:szCs w:val="20"/>
          </w:rPr>
          <w:t>https://www.sciencedirect.com/science/article/pii/S0360544217304140?via%3Dihub</w:t>
        </w:r>
      </w:hyperlink>
      <w:r w:rsidRPr="009D33C3">
        <w:rPr>
          <w:rFonts w:ascii="Open Sans" w:hAnsi="Open Sans" w:cs="Open Sans"/>
          <w:i/>
          <w:iCs/>
          <w:sz w:val="20"/>
          <w:szCs w:val="20"/>
        </w:rPr>
        <w:t xml:space="preserve"> </w:t>
      </w:r>
    </w:p>
    <w:p w14:paraId="55F70A22"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[10] BEIS and Delta EE (2019) Electric Heating in Rural Off-Gas Grid Dwellings: technical Feasibility, </w:t>
      </w:r>
      <w:hyperlink r:id="rId19" w:history="1">
        <w:r w:rsidRPr="009D33C3">
          <w:rPr>
            <w:rStyle w:val="Hyperlink"/>
            <w:rFonts w:ascii="Open Sans" w:hAnsi="Open Sans" w:cs="Open Sans"/>
            <w:i/>
            <w:iCs/>
            <w:sz w:val="20"/>
            <w:szCs w:val="20"/>
          </w:rPr>
          <w:t>https://www.gov.uk/government/publications/electric-heating-in-rural-off-gas-grid-dwellings-technical-feasibility</w:t>
        </w:r>
      </w:hyperlink>
      <w:r w:rsidRPr="009D33C3">
        <w:rPr>
          <w:rFonts w:ascii="Open Sans" w:hAnsi="Open Sans" w:cs="Open Sans"/>
          <w:i/>
          <w:iCs/>
          <w:sz w:val="20"/>
          <w:szCs w:val="20"/>
        </w:rPr>
        <w:t xml:space="preserve"> </w:t>
      </w:r>
    </w:p>
    <w:p w14:paraId="014CA7D3"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[11]  468,000 based on Delta-EE number that 64% of properties could be ele</w:t>
      </w:r>
      <w:r w:rsidRPr="009D33C3">
        <w:rPr>
          <w:rFonts w:ascii="Open Sans" w:hAnsi="Open Sans" w:cs="Open Sans"/>
          <w:i/>
          <w:iCs/>
          <w:sz w:val="20"/>
          <w:szCs w:val="20"/>
        </w:rPr>
        <w:t xml:space="preserve">ctrified if ground source heat pumps are the preferred technology in a 1-in-20 peak winter scenario. 36% of 1.3mn off-gas grid properties equals 468,000. </w:t>
      </w:r>
    </w:p>
    <w:p w14:paraId="74CF0B96"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[12] The RHI has deployed 16,954 accredited biomass boilers in the ND RHI and 9,418 accredited biomas</w:t>
      </w:r>
      <w:r w:rsidRPr="009D33C3">
        <w:rPr>
          <w:rFonts w:ascii="Open Sans" w:hAnsi="Open Sans" w:cs="Open Sans"/>
          <w:i/>
          <w:iCs/>
          <w:sz w:val="20"/>
          <w:szCs w:val="20"/>
        </w:rPr>
        <w:t>s boilers in the domestic RHI, totalling 26,372 as of May 2020</w:t>
      </w:r>
    </w:p>
    <w:p w14:paraId="45FC73B4"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[13] BEIS (2020)Renewable Heat Incentive: biomass combustion in urban areas - government response, </w:t>
      </w:r>
      <w:hyperlink r:id="rId20" w:history="1">
        <w:r w:rsidRPr="009D33C3">
          <w:rPr>
            <w:rStyle w:val="Hyperlink"/>
            <w:rFonts w:ascii="Open Sans" w:hAnsi="Open Sans" w:cs="Open Sans"/>
            <w:i/>
            <w:iCs/>
            <w:sz w:val="20"/>
            <w:szCs w:val="20"/>
          </w:rPr>
          <w:t>https://www.gov.uk/government/consultations/renewable-heat-incentive-biomass-combustion-in-urban-areas</w:t>
        </w:r>
      </w:hyperlink>
      <w:r w:rsidRPr="009D33C3">
        <w:rPr>
          <w:rFonts w:ascii="Open Sans" w:hAnsi="Open Sans" w:cs="Open Sans"/>
          <w:i/>
          <w:iCs/>
          <w:sz w:val="20"/>
          <w:szCs w:val="20"/>
        </w:rPr>
        <w:t xml:space="preserve"> </w:t>
      </w:r>
    </w:p>
    <w:p w14:paraId="00EF894D"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[14] WHA and REA response to BEIS RHI Consultation – Biomass Combustion in Urban Areas </w:t>
      </w:r>
      <w:hyperlink r:id="rId21" w:history="1">
        <w:r w:rsidRPr="009D33C3">
          <w:rPr>
            <w:rStyle w:val="Hyperlink"/>
            <w:rFonts w:ascii="Open Sans" w:hAnsi="Open Sans" w:cs="Open Sans"/>
            <w:i/>
            <w:iCs/>
            <w:sz w:val="20"/>
            <w:szCs w:val="20"/>
          </w:rPr>
          <w:t>https://www.r-e-a.net/resources/beis-rhi-consultation-biomass-combustion-in-urban-areas/</w:t>
        </w:r>
      </w:hyperlink>
      <w:r w:rsidRPr="009D33C3">
        <w:rPr>
          <w:rFonts w:ascii="Open Sans" w:hAnsi="Open Sans" w:cs="Open Sans"/>
          <w:i/>
          <w:iCs/>
          <w:sz w:val="20"/>
          <w:szCs w:val="20"/>
        </w:rPr>
        <w:t xml:space="preserve">   and Fuller et al. 2017, pg.</w:t>
      </w:r>
      <w:r w:rsidRPr="009D33C3">
        <w:rPr>
          <w:rFonts w:ascii="Open Sans" w:hAnsi="Open Sans" w:cs="Open Sans"/>
          <w:i/>
          <w:iCs/>
          <w:sz w:val="20"/>
          <w:szCs w:val="20"/>
        </w:rPr>
        <w:tab/>
        <w:t xml:space="preserve">4 </w:t>
      </w:r>
      <w:hyperlink r:id="rId22" w:history="1">
        <w:r w:rsidRPr="009D33C3">
          <w:rPr>
            <w:rStyle w:val="Hyperlink"/>
            <w:rFonts w:ascii="Open Sans" w:hAnsi="Open Sans" w:cs="Open Sans"/>
            <w:i/>
            <w:iCs/>
            <w:sz w:val="20"/>
            <w:szCs w:val="20"/>
          </w:rPr>
          <w:t>https://uk-air.defra.gov.uk/assets/documents/reports/cat05/1801301017_KCL_WoodBurningReport_2017_FINAL.pdf</w:t>
        </w:r>
      </w:hyperlink>
      <w:r w:rsidRPr="009D33C3">
        <w:rPr>
          <w:rFonts w:ascii="Open Sans" w:hAnsi="Open Sans" w:cs="Open Sans"/>
          <w:i/>
          <w:iCs/>
          <w:sz w:val="20"/>
          <w:szCs w:val="20"/>
        </w:rPr>
        <w:t xml:space="preserve">   </w:t>
      </w:r>
    </w:p>
    <w:p w14:paraId="0072F856"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[15] BEIS (2016)THE RENEWABLE HEAT INCENTIVE: A REFORME</w:t>
      </w:r>
      <w:r w:rsidRPr="009D33C3">
        <w:rPr>
          <w:rFonts w:ascii="Open Sans" w:hAnsi="Open Sans" w:cs="Open Sans"/>
          <w:i/>
          <w:iCs/>
          <w:sz w:val="20"/>
          <w:szCs w:val="20"/>
        </w:rPr>
        <w:t xml:space="preserve">D SCHEME </w:t>
      </w:r>
      <w:hyperlink r:id="rId23" w:history="1">
        <w:r w:rsidRPr="009D33C3">
          <w:rPr>
            <w:rStyle w:val="Hyperlink"/>
            <w:rFonts w:ascii="Open Sans" w:hAnsi="Open Sans" w:cs="Open Sans"/>
            <w:i/>
            <w:iCs/>
            <w:sz w:val="20"/>
            <w:szCs w:val="20"/>
          </w:rPr>
          <w:t>https://www.gov.uk/government/consultations/the-renewable-heat-incentive-a-reformed-and-refocused-scheme</w:t>
        </w:r>
      </w:hyperlink>
      <w:r w:rsidRPr="009D33C3">
        <w:rPr>
          <w:rFonts w:ascii="Open Sans" w:hAnsi="Open Sans" w:cs="Open Sans"/>
          <w:i/>
          <w:iCs/>
          <w:sz w:val="20"/>
          <w:szCs w:val="20"/>
        </w:rPr>
        <w:t xml:space="preserve"> </w:t>
      </w:r>
    </w:p>
    <w:p w14:paraId="55ADB8E9"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[16] Frontier Econom</w:t>
      </w:r>
      <w:r w:rsidRPr="009D33C3">
        <w:rPr>
          <w:rFonts w:ascii="Open Sans" w:hAnsi="Open Sans" w:cs="Open Sans"/>
          <w:i/>
          <w:iCs/>
          <w:sz w:val="20"/>
          <w:szCs w:val="20"/>
        </w:rPr>
        <w:t xml:space="preserve">ics (2020) Business models for low-carbon hydrogen production, </w:t>
      </w:r>
      <w:hyperlink r:id="rId24" w:history="1">
        <w:r w:rsidRPr="009D33C3">
          <w:rPr>
            <w:rStyle w:val="Hyperlink"/>
            <w:rFonts w:ascii="Open Sans" w:hAnsi="Open Sans" w:cs="Open Sans"/>
            <w:i/>
            <w:iCs/>
            <w:sz w:val="20"/>
            <w:szCs w:val="20"/>
          </w:rPr>
          <w:t>https://www.frontier-economics.com/media/4157/business-models-for-low-carbon</w:t>
        </w:r>
        <w:r w:rsidRPr="009D33C3">
          <w:rPr>
            <w:rStyle w:val="Hyperlink"/>
            <w:rFonts w:ascii="Open Sans" w:hAnsi="Open Sans" w:cs="Open Sans"/>
            <w:i/>
            <w:iCs/>
            <w:sz w:val="20"/>
            <w:szCs w:val="20"/>
          </w:rPr>
          <w:t>-hydrogen-production.pdf</w:t>
        </w:r>
      </w:hyperlink>
      <w:r w:rsidRPr="009D33C3">
        <w:rPr>
          <w:rFonts w:ascii="Open Sans" w:hAnsi="Open Sans" w:cs="Open Sans"/>
          <w:i/>
          <w:iCs/>
          <w:sz w:val="20"/>
          <w:szCs w:val="20"/>
        </w:rPr>
        <w:t xml:space="preserve">  </w:t>
      </w:r>
    </w:p>
    <w:p w14:paraId="049B946E"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[17] MHCLG (2019) The Future Homes Standard: changes to Part L and Part F of the Building Regulations for new dwellings </w:t>
      </w:r>
      <w:hyperlink r:id="rId25" w:history="1">
        <w:r w:rsidRPr="009D33C3">
          <w:rPr>
            <w:rStyle w:val="Hyperlink"/>
            <w:rFonts w:ascii="Open Sans" w:hAnsi="Open Sans" w:cs="Open Sans"/>
            <w:i/>
            <w:iCs/>
            <w:sz w:val="20"/>
            <w:szCs w:val="20"/>
          </w:rPr>
          <w:t>https://www.gov.uk/government/consultations/the-future-homes-standard-changes-to-part-l-and-part-f-of-the-building-regulations-for-new-dwellings</w:t>
        </w:r>
      </w:hyperlink>
      <w:r w:rsidRPr="009D33C3">
        <w:rPr>
          <w:rFonts w:ascii="Open Sans" w:hAnsi="Open Sans" w:cs="Open Sans"/>
          <w:i/>
          <w:iCs/>
          <w:sz w:val="20"/>
          <w:szCs w:val="20"/>
        </w:rPr>
        <w:t xml:space="preserve"> </w:t>
      </w:r>
    </w:p>
    <w:p w14:paraId="5F99F9A7" w14:textId="77777777" w:rsidR="009B25AD" w:rsidRPr="009D33C3"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t xml:space="preserve">[17] BEIS (2020) Quarterly Energy Prices: June 2020: </w:t>
      </w:r>
      <w:hyperlink r:id="rId26" w:history="1">
        <w:r w:rsidRPr="009D33C3">
          <w:rPr>
            <w:rStyle w:val="Hyperlink"/>
            <w:rFonts w:ascii="Open Sans" w:hAnsi="Open Sans" w:cs="Open Sans"/>
            <w:i/>
            <w:iCs/>
            <w:sz w:val="20"/>
            <w:szCs w:val="20"/>
          </w:rPr>
          <w:t>https://www.gov.uk/government/statistics/quarterly-energy-prices-june-2020</w:t>
        </w:r>
      </w:hyperlink>
      <w:r w:rsidRPr="009D33C3">
        <w:rPr>
          <w:rFonts w:ascii="Open Sans" w:hAnsi="Open Sans" w:cs="Open Sans"/>
          <w:i/>
          <w:iCs/>
          <w:sz w:val="20"/>
          <w:szCs w:val="20"/>
        </w:rPr>
        <w:t xml:space="preserve"> </w:t>
      </w:r>
    </w:p>
    <w:p w14:paraId="310B76A0" w14:textId="77777777" w:rsidR="009B25AD" w:rsidRDefault="00414D3E" w:rsidP="009B25AD">
      <w:pPr>
        <w:spacing w:line="240" w:lineRule="auto"/>
        <w:ind w:right="-45"/>
        <w:rPr>
          <w:rFonts w:ascii="Open Sans" w:hAnsi="Open Sans" w:cs="Open Sans"/>
          <w:i/>
          <w:iCs/>
          <w:sz w:val="20"/>
          <w:szCs w:val="20"/>
        </w:rPr>
      </w:pPr>
      <w:r w:rsidRPr="009D33C3">
        <w:rPr>
          <w:rFonts w:ascii="Open Sans" w:hAnsi="Open Sans" w:cs="Open Sans"/>
          <w:i/>
          <w:iCs/>
          <w:sz w:val="20"/>
          <w:szCs w:val="20"/>
        </w:rPr>
        <w:lastRenderedPageBreak/>
        <w:t xml:space="preserve">[18] S&amp;P Global (2020) Germany agrees Eur25/mt start to CO2 tax for transport, heating  </w:t>
      </w:r>
      <w:hyperlink r:id="rId27" w:history="1">
        <w:r w:rsidRPr="009D33C3">
          <w:rPr>
            <w:rStyle w:val="Hyperlink"/>
            <w:rFonts w:ascii="Open Sans" w:hAnsi="Open Sans" w:cs="Open Sans"/>
            <w:i/>
            <w:iCs/>
            <w:sz w:val="20"/>
            <w:szCs w:val="20"/>
          </w:rPr>
          <w:t>https://www.spglobal.com/platts/en/market-insights/latest-news/electric-power/052020-germany-agrees</w:t>
        </w:r>
        <w:r w:rsidRPr="009D33C3">
          <w:rPr>
            <w:rStyle w:val="Hyperlink"/>
            <w:rFonts w:ascii="Open Sans" w:hAnsi="Open Sans" w:cs="Open Sans"/>
            <w:i/>
            <w:iCs/>
            <w:sz w:val="20"/>
            <w:szCs w:val="20"/>
          </w:rPr>
          <w:t>-eur25mt-start-to-co2-tax-for-transport-heating</w:t>
        </w:r>
      </w:hyperlink>
      <w:r w:rsidRPr="009D33C3">
        <w:rPr>
          <w:rFonts w:ascii="Open Sans" w:hAnsi="Open Sans" w:cs="Open Sans"/>
          <w:i/>
          <w:iCs/>
          <w:sz w:val="20"/>
          <w:szCs w:val="20"/>
        </w:rPr>
        <w:t xml:space="preserve"> </w:t>
      </w:r>
    </w:p>
    <w:p w14:paraId="1FD2B4BD" w14:textId="77777777" w:rsidR="00D257AC" w:rsidRPr="00D257AC" w:rsidRDefault="00414D3E" w:rsidP="009B25AD">
      <w:pPr>
        <w:spacing w:line="240" w:lineRule="auto"/>
        <w:ind w:right="-45"/>
      </w:pPr>
      <w:r w:rsidRPr="00414FB5">
        <w:rPr>
          <w:rFonts w:cs="Open Sans"/>
          <w:i/>
          <w:iCs/>
          <w:sz w:val="20"/>
          <w:szCs w:val="20"/>
        </w:rPr>
        <w:t xml:space="preserve">[19] EGEC Geothermal (2019) </w:t>
      </w:r>
      <w:r w:rsidRPr="00414FB5">
        <w:rPr>
          <w:rFonts w:cs="Arial"/>
          <w:sz w:val="20"/>
          <w:szCs w:val="20"/>
        </w:rPr>
        <w:t xml:space="preserve">Geothermal Energy Use, Country Update for France, </w:t>
      </w:r>
      <w:hyperlink r:id="rId28" w:history="1">
        <w:r w:rsidRPr="00414FB5">
          <w:rPr>
            <w:rStyle w:val="Hyperlink"/>
            <w:rFonts w:cs="Arial"/>
            <w:sz w:val="20"/>
            <w:szCs w:val="20"/>
          </w:rPr>
          <w:t>http://www.afpg.asso.fr</w:t>
        </w:r>
        <w:r w:rsidRPr="00414FB5">
          <w:rPr>
            <w:rStyle w:val="Hyperlink"/>
            <w:rFonts w:cs="Arial"/>
            <w:sz w:val="20"/>
            <w:szCs w:val="20"/>
          </w:rPr>
          <w:t>/wp-content/uploads/2019/06/EGC-2019-Country-Update-For-France.pdf</w:t>
        </w:r>
      </w:hyperlink>
      <w:r>
        <w:rPr>
          <w:rFonts w:ascii="Arial" w:hAnsi="Arial" w:cs="Arial"/>
          <w:sz w:val="25"/>
          <w:szCs w:val="25"/>
        </w:rPr>
        <w:t xml:space="preserve">   </w:t>
      </w:r>
    </w:p>
    <w:sectPr w:rsidR="00D257AC" w:rsidRPr="00D257AC">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4F055" w14:textId="77777777" w:rsidR="00000000" w:rsidRDefault="00414D3E">
      <w:pPr>
        <w:spacing w:after="0" w:line="240" w:lineRule="auto"/>
      </w:pPr>
      <w:r>
        <w:separator/>
      </w:r>
    </w:p>
  </w:endnote>
  <w:endnote w:type="continuationSeparator" w:id="0">
    <w:p w14:paraId="320F112B" w14:textId="77777777" w:rsidR="00000000" w:rsidRDefault="0041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 garde">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299FF" w14:textId="77777777" w:rsidR="00000000" w:rsidRDefault="00414D3E">
      <w:pPr>
        <w:spacing w:after="0" w:line="240" w:lineRule="auto"/>
      </w:pPr>
      <w:r>
        <w:separator/>
      </w:r>
    </w:p>
  </w:footnote>
  <w:footnote w:type="continuationSeparator" w:id="0">
    <w:p w14:paraId="6C29AC8F" w14:textId="77777777" w:rsidR="00000000" w:rsidRDefault="00414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69D23" w14:textId="77777777" w:rsidR="00392AD0" w:rsidRDefault="00414D3E" w:rsidP="009D33C3">
    <w:pPr>
      <w:pStyle w:val="Header"/>
      <w:jc w:val="right"/>
    </w:pPr>
    <w:r>
      <w:rPr>
        <w:noProof/>
      </w:rPr>
      <w:drawing>
        <wp:inline distT="0" distB="0" distL="0" distR="0" wp14:anchorId="5AD20B9B" wp14:editId="47142BB9">
          <wp:extent cx="1181100" cy="614497"/>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68881"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289" cy="6197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73C5C"/>
    <w:multiLevelType w:val="hybridMultilevel"/>
    <w:tmpl w:val="5D82D532"/>
    <w:lvl w:ilvl="0" w:tplc="5568C6A2">
      <w:start w:val="1"/>
      <w:numFmt w:val="decimal"/>
      <w:lvlText w:val="%1."/>
      <w:lvlJc w:val="left"/>
      <w:pPr>
        <w:ind w:left="720" w:hanging="360"/>
      </w:pPr>
      <w:rPr>
        <w:rFonts w:hint="default"/>
      </w:rPr>
    </w:lvl>
    <w:lvl w:ilvl="1" w:tplc="E83AA53E" w:tentative="1">
      <w:start w:val="1"/>
      <w:numFmt w:val="lowerLetter"/>
      <w:lvlText w:val="%2."/>
      <w:lvlJc w:val="left"/>
      <w:pPr>
        <w:ind w:left="1440" w:hanging="360"/>
      </w:pPr>
    </w:lvl>
    <w:lvl w:ilvl="2" w:tplc="DADCDEDA" w:tentative="1">
      <w:start w:val="1"/>
      <w:numFmt w:val="lowerRoman"/>
      <w:lvlText w:val="%3."/>
      <w:lvlJc w:val="right"/>
      <w:pPr>
        <w:ind w:left="2160" w:hanging="180"/>
      </w:pPr>
    </w:lvl>
    <w:lvl w:ilvl="3" w:tplc="DBE68B76" w:tentative="1">
      <w:start w:val="1"/>
      <w:numFmt w:val="decimal"/>
      <w:lvlText w:val="%4."/>
      <w:lvlJc w:val="left"/>
      <w:pPr>
        <w:ind w:left="2880" w:hanging="360"/>
      </w:pPr>
    </w:lvl>
    <w:lvl w:ilvl="4" w:tplc="B386AE82" w:tentative="1">
      <w:start w:val="1"/>
      <w:numFmt w:val="lowerLetter"/>
      <w:lvlText w:val="%5."/>
      <w:lvlJc w:val="left"/>
      <w:pPr>
        <w:ind w:left="3600" w:hanging="360"/>
      </w:pPr>
    </w:lvl>
    <w:lvl w:ilvl="5" w:tplc="1E4ED8EA" w:tentative="1">
      <w:start w:val="1"/>
      <w:numFmt w:val="lowerRoman"/>
      <w:lvlText w:val="%6."/>
      <w:lvlJc w:val="right"/>
      <w:pPr>
        <w:ind w:left="4320" w:hanging="180"/>
      </w:pPr>
    </w:lvl>
    <w:lvl w:ilvl="6" w:tplc="1F3EE322" w:tentative="1">
      <w:start w:val="1"/>
      <w:numFmt w:val="decimal"/>
      <w:lvlText w:val="%7."/>
      <w:lvlJc w:val="left"/>
      <w:pPr>
        <w:ind w:left="5040" w:hanging="360"/>
      </w:pPr>
    </w:lvl>
    <w:lvl w:ilvl="7" w:tplc="149E6BFE" w:tentative="1">
      <w:start w:val="1"/>
      <w:numFmt w:val="lowerLetter"/>
      <w:lvlText w:val="%8."/>
      <w:lvlJc w:val="left"/>
      <w:pPr>
        <w:ind w:left="5760" w:hanging="360"/>
      </w:pPr>
    </w:lvl>
    <w:lvl w:ilvl="8" w:tplc="8070DFB4" w:tentative="1">
      <w:start w:val="1"/>
      <w:numFmt w:val="lowerRoman"/>
      <w:lvlText w:val="%9."/>
      <w:lvlJc w:val="right"/>
      <w:pPr>
        <w:ind w:left="6480" w:hanging="180"/>
      </w:pPr>
    </w:lvl>
  </w:abstractNum>
  <w:abstractNum w:abstractNumId="1" w15:restartNumberingAfterBreak="0">
    <w:nsid w:val="0C5A17E6"/>
    <w:multiLevelType w:val="hybridMultilevel"/>
    <w:tmpl w:val="16A4D632"/>
    <w:lvl w:ilvl="0" w:tplc="D06E9428">
      <w:start w:val="1"/>
      <w:numFmt w:val="bullet"/>
      <w:lvlText w:val=""/>
      <w:lvlJc w:val="left"/>
      <w:pPr>
        <w:ind w:left="780" w:hanging="360"/>
      </w:pPr>
      <w:rPr>
        <w:rFonts w:ascii="Symbol" w:hAnsi="Symbol" w:hint="default"/>
      </w:rPr>
    </w:lvl>
    <w:lvl w:ilvl="1" w:tplc="47DC3C60" w:tentative="1">
      <w:start w:val="1"/>
      <w:numFmt w:val="bullet"/>
      <w:lvlText w:val="o"/>
      <w:lvlJc w:val="left"/>
      <w:pPr>
        <w:ind w:left="1500" w:hanging="360"/>
      </w:pPr>
      <w:rPr>
        <w:rFonts w:ascii="Courier New" w:hAnsi="Courier New" w:cs="Courier New" w:hint="default"/>
      </w:rPr>
    </w:lvl>
    <w:lvl w:ilvl="2" w:tplc="BD840BF8" w:tentative="1">
      <w:start w:val="1"/>
      <w:numFmt w:val="bullet"/>
      <w:lvlText w:val=""/>
      <w:lvlJc w:val="left"/>
      <w:pPr>
        <w:ind w:left="2220" w:hanging="360"/>
      </w:pPr>
      <w:rPr>
        <w:rFonts w:ascii="Wingdings" w:hAnsi="Wingdings" w:hint="default"/>
      </w:rPr>
    </w:lvl>
    <w:lvl w:ilvl="3" w:tplc="99B65392" w:tentative="1">
      <w:start w:val="1"/>
      <w:numFmt w:val="bullet"/>
      <w:lvlText w:val=""/>
      <w:lvlJc w:val="left"/>
      <w:pPr>
        <w:ind w:left="2940" w:hanging="360"/>
      </w:pPr>
      <w:rPr>
        <w:rFonts w:ascii="Symbol" w:hAnsi="Symbol" w:hint="default"/>
      </w:rPr>
    </w:lvl>
    <w:lvl w:ilvl="4" w:tplc="A11EA5B0" w:tentative="1">
      <w:start w:val="1"/>
      <w:numFmt w:val="bullet"/>
      <w:lvlText w:val="o"/>
      <w:lvlJc w:val="left"/>
      <w:pPr>
        <w:ind w:left="3660" w:hanging="360"/>
      </w:pPr>
      <w:rPr>
        <w:rFonts w:ascii="Courier New" w:hAnsi="Courier New" w:cs="Courier New" w:hint="default"/>
      </w:rPr>
    </w:lvl>
    <w:lvl w:ilvl="5" w:tplc="D3CE101E" w:tentative="1">
      <w:start w:val="1"/>
      <w:numFmt w:val="bullet"/>
      <w:lvlText w:val=""/>
      <w:lvlJc w:val="left"/>
      <w:pPr>
        <w:ind w:left="4380" w:hanging="360"/>
      </w:pPr>
      <w:rPr>
        <w:rFonts w:ascii="Wingdings" w:hAnsi="Wingdings" w:hint="default"/>
      </w:rPr>
    </w:lvl>
    <w:lvl w:ilvl="6" w:tplc="A89CD568" w:tentative="1">
      <w:start w:val="1"/>
      <w:numFmt w:val="bullet"/>
      <w:lvlText w:val=""/>
      <w:lvlJc w:val="left"/>
      <w:pPr>
        <w:ind w:left="5100" w:hanging="360"/>
      </w:pPr>
      <w:rPr>
        <w:rFonts w:ascii="Symbol" w:hAnsi="Symbol" w:hint="default"/>
      </w:rPr>
    </w:lvl>
    <w:lvl w:ilvl="7" w:tplc="99FAB6CA" w:tentative="1">
      <w:start w:val="1"/>
      <w:numFmt w:val="bullet"/>
      <w:lvlText w:val="o"/>
      <w:lvlJc w:val="left"/>
      <w:pPr>
        <w:ind w:left="5820" w:hanging="360"/>
      </w:pPr>
      <w:rPr>
        <w:rFonts w:ascii="Courier New" w:hAnsi="Courier New" w:cs="Courier New" w:hint="default"/>
      </w:rPr>
    </w:lvl>
    <w:lvl w:ilvl="8" w:tplc="EAD0DFE2" w:tentative="1">
      <w:start w:val="1"/>
      <w:numFmt w:val="bullet"/>
      <w:lvlText w:val=""/>
      <w:lvlJc w:val="left"/>
      <w:pPr>
        <w:ind w:left="6540" w:hanging="360"/>
      </w:pPr>
      <w:rPr>
        <w:rFonts w:ascii="Wingdings" w:hAnsi="Wingdings" w:hint="default"/>
      </w:rPr>
    </w:lvl>
  </w:abstractNum>
  <w:abstractNum w:abstractNumId="2" w15:restartNumberingAfterBreak="0">
    <w:nsid w:val="0CC218AA"/>
    <w:multiLevelType w:val="hybridMultilevel"/>
    <w:tmpl w:val="42B6BE1A"/>
    <w:lvl w:ilvl="0" w:tplc="0D0030B0">
      <w:start w:val="1"/>
      <w:numFmt w:val="bullet"/>
      <w:lvlText w:val=""/>
      <w:lvlJc w:val="left"/>
      <w:pPr>
        <w:ind w:left="720" w:hanging="360"/>
      </w:pPr>
      <w:rPr>
        <w:rFonts w:ascii="Symbol" w:hAnsi="Symbol" w:cs="Symbol" w:hint="default"/>
      </w:rPr>
    </w:lvl>
    <w:lvl w:ilvl="1" w:tplc="3A486ED8" w:tentative="1">
      <w:start w:val="1"/>
      <w:numFmt w:val="bullet"/>
      <w:lvlText w:val="o"/>
      <w:lvlJc w:val="left"/>
      <w:pPr>
        <w:ind w:left="1440" w:hanging="360"/>
      </w:pPr>
      <w:rPr>
        <w:rFonts w:ascii="Courier New" w:hAnsi="Courier New" w:cs="Courier New" w:hint="default"/>
      </w:rPr>
    </w:lvl>
    <w:lvl w:ilvl="2" w:tplc="D17ADE46" w:tentative="1">
      <w:start w:val="1"/>
      <w:numFmt w:val="bullet"/>
      <w:lvlText w:val=""/>
      <w:lvlJc w:val="left"/>
      <w:pPr>
        <w:ind w:left="2160" w:hanging="360"/>
      </w:pPr>
      <w:rPr>
        <w:rFonts w:ascii="Wingdings" w:hAnsi="Wingdings" w:hint="default"/>
      </w:rPr>
    </w:lvl>
    <w:lvl w:ilvl="3" w:tplc="E15C3EF2" w:tentative="1">
      <w:start w:val="1"/>
      <w:numFmt w:val="bullet"/>
      <w:lvlText w:val=""/>
      <w:lvlJc w:val="left"/>
      <w:pPr>
        <w:ind w:left="2880" w:hanging="360"/>
      </w:pPr>
      <w:rPr>
        <w:rFonts w:ascii="Symbol" w:hAnsi="Symbol" w:hint="default"/>
      </w:rPr>
    </w:lvl>
    <w:lvl w:ilvl="4" w:tplc="583C47BA" w:tentative="1">
      <w:start w:val="1"/>
      <w:numFmt w:val="bullet"/>
      <w:lvlText w:val="o"/>
      <w:lvlJc w:val="left"/>
      <w:pPr>
        <w:ind w:left="3600" w:hanging="360"/>
      </w:pPr>
      <w:rPr>
        <w:rFonts w:ascii="Courier New" w:hAnsi="Courier New" w:cs="Courier New" w:hint="default"/>
      </w:rPr>
    </w:lvl>
    <w:lvl w:ilvl="5" w:tplc="310CF0C8" w:tentative="1">
      <w:start w:val="1"/>
      <w:numFmt w:val="bullet"/>
      <w:lvlText w:val=""/>
      <w:lvlJc w:val="left"/>
      <w:pPr>
        <w:ind w:left="4320" w:hanging="360"/>
      </w:pPr>
      <w:rPr>
        <w:rFonts w:ascii="Wingdings" w:hAnsi="Wingdings" w:hint="default"/>
      </w:rPr>
    </w:lvl>
    <w:lvl w:ilvl="6" w:tplc="D7764534" w:tentative="1">
      <w:start w:val="1"/>
      <w:numFmt w:val="bullet"/>
      <w:lvlText w:val=""/>
      <w:lvlJc w:val="left"/>
      <w:pPr>
        <w:ind w:left="5040" w:hanging="360"/>
      </w:pPr>
      <w:rPr>
        <w:rFonts w:ascii="Symbol" w:hAnsi="Symbol" w:hint="default"/>
      </w:rPr>
    </w:lvl>
    <w:lvl w:ilvl="7" w:tplc="592ECF06" w:tentative="1">
      <w:start w:val="1"/>
      <w:numFmt w:val="bullet"/>
      <w:lvlText w:val="o"/>
      <w:lvlJc w:val="left"/>
      <w:pPr>
        <w:ind w:left="5760" w:hanging="360"/>
      </w:pPr>
      <w:rPr>
        <w:rFonts w:ascii="Courier New" w:hAnsi="Courier New" w:cs="Courier New" w:hint="default"/>
      </w:rPr>
    </w:lvl>
    <w:lvl w:ilvl="8" w:tplc="D1D2EF7E" w:tentative="1">
      <w:start w:val="1"/>
      <w:numFmt w:val="bullet"/>
      <w:lvlText w:val=""/>
      <w:lvlJc w:val="left"/>
      <w:pPr>
        <w:ind w:left="6480" w:hanging="360"/>
      </w:pPr>
      <w:rPr>
        <w:rFonts w:ascii="Wingdings" w:hAnsi="Wingdings" w:hint="default"/>
      </w:rPr>
    </w:lvl>
  </w:abstractNum>
  <w:abstractNum w:abstractNumId="3" w15:restartNumberingAfterBreak="0">
    <w:nsid w:val="1BD0410D"/>
    <w:multiLevelType w:val="hybridMultilevel"/>
    <w:tmpl w:val="B3F69AA8"/>
    <w:lvl w:ilvl="0" w:tplc="28BCF9D6">
      <w:start w:val="1"/>
      <w:numFmt w:val="bullet"/>
      <w:lvlText w:val=""/>
      <w:lvlJc w:val="left"/>
      <w:pPr>
        <w:ind w:left="720" w:hanging="360"/>
      </w:pPr>
      <w:rPr>
        <w:rFonts w:ascii="Symbol" w:hAnsi="Symbol" w:hint="default"/>
      </w:rPr>
    </w:lvl>
    <w:lvl w:ilvl="1" w:tplc="427841F4" w:tentative="1">
      <w:start w:val="1"/>
      <w:numFmt w:val="bullet"/>
      <w:lvlText w:val="o"/>
      <w:lvlJc w:val="left"/>
      <w:pPr>
        <w:ind w:left="1440" w:hanging="360"/>
      </w:pPr>
      <w:rPr>
        <w:rFonts w:ascii="Courier New" w:hAnsi="Courier New" w:cs="Courier New" w:hint="default"/>
      </w:rPr>
    </w:lvl>
    <w:lvl w:ilvl="2" w:tplc="8EF2723A" w:tentative="1">
      <w:start w:val="1"/>
      <w:numFmt w:val="bullet"/>
      <w:lvlText w:val=""/>
      <w:lvlJc w:val="left"/>
      <w:pPr>
        <w:ind w:left="2160" w:hanging="360"/>
      </w:pPr>
      <w:rPr>
        <w:rFonts w:ascii="Wingdings" w:hAnsi="Wingdings" w:hint="default"/>
      </w:rPr>
    </w:lvl>
    <w:lvl w:ilvl="3" w:tplc="B2EE0B2E" w:tentative="1">
      <w:start w:val="1"/>
      <w:numFmt w:val="bullet"/>
      <w:lvlText w:val=""/>
      <w:lvlJc w:val="left"/>
      <w:pPr>
        <w:ind w:left="2880" w:hanging="360"/>
      </w:pPr>
      <w:rPr>
        <w:rFonts w:ascii="Symbol" w:hAnsi="Symbol" w:hint="default"/>
      </w:rPr>
    </w:lvl>
    <w:lvl w:ilvl="4" w:tplc="50AC4B54" w:tentative="1">
      <w:start w:val="1"/>
      <w:numFmt w:val="bullet"/>
      <w:lvlText w:val="o"/>
      <w:lvlJc w:val="left"/>
      <w:pPr>
        <w:ind w:left="3600" w:hanging="360"/>
      </w:pPr>
      <w:rPr>
        <w:rFonts w:ascii="Courier New" w:hAnsi="Courier New" w:cs="Courier New" w:hint="default"/>
      </w:rPr>
    </w:lvl>
    <w:lvl w:ilvl="5" w:tplc="2954E950" w:tentative="1">
      <w:start w:val="1"/>
      <w:numFmt w:val="bullet"/>
      <w:lvlText w:val=""/>
      <w:lvlJc w:val="left"/>
      <w:pPr>
        <w:ind w:left="4320" w:hanging="360"/>
      </w:pPr>
      <w:rPr>
        <w:rFonts w:ascii="Wingdings" w:hAnsi="Wingdings" w:hint="default"/>
      </w:rPr>
    </w:lvl>
    <w:lvl w:ilvl="6" w:tplc="39F4B886" w:tentative="1">
      <w:start w:val="1"/>
      <w:numFmt w:val="bullet"/>
      <w:lvlText w:val=""/>
      <w:lvlJc w:val="left"/>
      <w:pPr>
        <w:ind w:left="5040" w:hanging="360"/>
      </w:pPr>
      <w:rPr>
        <w:rFonts w:ascii="Symbol" w:hAnsi="Symbol" w:hint="default"/>
      </w:rPr>
    </w:lvl>
    <w:lvl w:ilvl="7" w:tplc="9C946682" w:tentative="1">
      <w:start w:val="1"/>
      <w:numFmt w:val="bullet"/>
      <w:lvlText w:val="o"/>
      <w:lvlJc w:val="left"/>
      <w:pPr>
        <w:ind w:left="5760" w:hanging="360"/>
      </w:pPr>
      <w:rPr>
        <w:rFonts w:ascii="Courier New" w:hAnsi="Courier New" w:cs="Courier New" w:hint="default"/>
      </w:rPr>
    </w:lvl>
    <w:lvl w:ilvl="8" w:tplc="E75A1E40" w:tentative="1">
      <w:start w:val="1"/>
      <w:numFmt w:val="bullet"/>
      <w:lvlText w:val=""/>
      <w:lvlJc w:val="left"/>
      <w:pPr>
        <w:ind w:left="6480" w:hanging="360"/>
      </w:pPr>
      <w:rPr>
        <w:rFonts w:ascii="Wingdings" w:hAnsi="Wingdings" w:hint="default"/>
      </w:rPr>
    </w:lvl>
  </w:abstractNum>
  <w:abstractNum w:abstractNumId="4" w15:restartNumberingAfterBreak="0">
    <w:nsid w:val="3A4704F3"/>
    <w:multiLevelType w:val="hybridMultilevel"/>
    <w:tmpl w:val="91782CD0"/>
    <w:lvl w:ilvl="0" w:tplc="298C3C8C">
      <w:numFmt w:val="bullet"/>
      <w:lvlText w:val="-"/>
      <w:lvlJc w:val="left"/>
      <w:pPr>
        <w:ind w:left="720" w:hanging="360"/>
      </w:pPr>
      <w:rPr>
        <w:rFonts w:ascii="Times New Roman" w:eastAsia="Times New Roman" w:hAnsi="Times New Roman" w:cs="Times New Roman" w:hint="default"/>
      </w:rPr>
    </w:lvl>
    <w:lvl w:ilvl="1" w:tplc="51B87A3E" w:tentative="1">
      <w:start w:val="1"/>
      <w:numFmt w:val="bullet"/>
      <w:lvlText w:val="o"/>
      <w:lvlJc w:val="left"/>
      <w:pPr>
        <w:ind w:left="1440" w:hanging="360"/>
      </w:pPr>
      <w:rPr>
        <w:rFonts w:ascii="Courier New" w:hAnsi="Courier New" w:cs="Courier New" w:hint="default"/>
      </w:rPr>
    </w:lvl>
    <w:lvl w:ilvl="2" w:tplc="0C6A8A9C" w:tentative="1">
      <w:start w:val="1"/>
      <w:numFmt w:val="bullet"/>
      <w:lvlText w:val=""/>
      <w:lvlJc w:val="left"/>
      <w:pPr>
        <w:ind w:left="2160" w:hanging="360"/>
      </w:pPr>
      <w:rPr>
        <w:rFonts w:ascii="Wingdings" w:hAnsi="Wingdings" w:hint="default"/>
      </w:rPr>
    </w:lvl>
    <w:lvl w:ilvl="3" w:tplc="ECFAD522" w:tentative="1">
      <w:start w:val="1"/>
      <w:numFmt w:val="bullet"/>
      <w:lvlText w:val=""/>
      <w:lvlJc w:val="left"/>
      <w:pPr>
        <w:ind w:left="2880" w:hanging="360"/>
      </w:pPr>
      <w:rPr>
        <w:rFonts w:ascii="Symbol" w:hAnsi="Symbol" w:hint="default"/>
      </w:rPr>
    </w:lvl>
    <w:lvl w:ilvl="4" w:tplc="2880001C" w:tentative="1">
      <w:start w:val="1"/>
      <w:numFmt w:val="bullet"/>
      <w:lvlText w:val="o"/>
      <w:lvlJc w:val="left"/>
      <w:pPr>
        <w:ind w:left="3600" w:hanging="360"/>
      </w:pPr>
      <w:rPr>
        <w:rFonts w:ascii="Courier New" w:hAnsi="Courier New" w:cs="Courier New" w:hint="default"/>
      </w:rPr>
    </w:lvl>
    <w:lvl w:ilvl="5" w:tplc="967E0056" w:tentative="1">
      <w:start w:val="1"/>
      <w:numFmt w:val="bullet"/>
      <w:lvlText w:val=""/>
      <w:lvlJc w:val="left"/>
      <w:pPr>
        <w:ind w:left="4320" w:hanging="360"/>
      </w:pPr>
      <w:rPr>
        <w:rFonts w:ascii="Wingdings" w:hAnsi="Wingdings" w:hint="default"/>
      </w:rPr>
    </w:lvl>
    <w:lvl w:ilvl="6" w:tplc="647EC8E2" w:tentative="1">
      <w:start w:val="1"/>
      <w:numFmt w:val="bullet"/>
      <w:lvlText w:val=""/>
      <w:lvlJc w:val="left"/>
      <w:pPr>
        <w:ind w:left="5040" w:hanging="360"/>
      </w:pPr>
      <w:rPr>
        <w:rFonts w:ascii="Symbol" w:hAnsi="Symbol" w:hint="default"/>
      </w:rPr>
    </w:lvl>
    <w:lvl w:ilvl="7" w:tplc="02E8D926" w:tentative="1">
      <w:start w:val="1"/>
      <w:numFmt w:val="bullet"/>
      <w:lvlText w:val="o"/>
      <w:lvlJc w:val="left"/>
      <w:pPr>
        <w:ind w:left="5760" w:hanging="360"/>
      </w:pPr>
      <w:rPr>
        <w:rFonts w:ascii="Courier New" w:hAnsi="Courier New" w:cs="Courier New" w:hint="default"/>
      </w:rPr>
    </w:lvl>
    <w:lvl w:ilvl="8" w:tplc="0BC84EB6" w:tentative="1">
      <w:start w:val="1"/>
      <w:numFmt w:val="bullet"/>
      <w:lvlText w:val=""/>
      <w:lvlJc w:val="left"/>
      <w:pPr>
        <w:ind w:left="6480" w:hanging="360"/>
      </w:pPr>
      <w:rPr>
        <w:rFonts w:ascii="Wingdings" w:hAnsi="Wingdings" w:hint="default"/>
      </w:rPr>
    </w:lvl>
  </w:abstractNum>
  <w:abstractNum w:abstractNumId="5" w15:restartNumberingAfterBreak="0">
    <w:nsid w:val="3C3B6161"/>
    <w:multiLevelType w:val="multilevel"/>
    <w:tmpl w:val="34F6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657E1"/>
    <w:multiLevelType w:val="hybridMultilevel"/>
    <w:tmpl w:val="CABE52B2"/>
    <w:lvl w:ilvl="0" w:tplc="756E58F6">
      <w:start w:val="1"/>
      <w:numFmt w:val="decimal"/>
      <w:lvlText w:val="%1."/>
      <w:lvlJc w:val="left"/>
      <w:pPr>
        <w:ind w:left="720" w:hanging="360"/>
      </w:pPr>
      <w:rPr>
        <w:rFonts w:hint="default"/>
      </w:rPr>
    </w:lvl>
    <w:lvl w:ilvl="1" w:tplc="3E56DBF6" w:tentative="1">
      <w:start w:val="1"/>
      <w:numFmt w:val="lowerLetter"/>
      <w:lvlText w:val="%2."/>
      <w:lvlJc w:val="left"/>
      <w:pPr>
        <w:ind w:left="1440" w:hanging="360"/>
      </w:pPr>
    </w:lvl>
    <w:lvl w:ilvl="2" w:tplc="18E45850" w:tentative="1">
      <w:start w:val="1"/>
      <w:numFmt w:val="lowerRoman"/>
      <w:lvlText w:val="%3."/>
      <w:lvlJc w:val="right"/>
      <w:pPr>
        <w:ind w:left="2160" w:hanging="180"/>
      </w:pPr>
    </w:lvl>
    <w:lvl w:ilvl="3" w:tplc="5560D336" w:tentative="1">
      <w:start w:val="1"/>
      <w:numFmt w:val="decimal"/>
      <w:lvlText w:val="%4."/>
      <w:lvlJc w:val="left"/>
      <w:pPr>
        <w:ind w:left="2880" w:hanging="360"/>
      </w:pPr>
    </w:lvl>
    <w:lvl w:ilvl="4" w:tplc="4F12C2E6" w:tentative="1">
      <w:start w:val="1"/>
      <w:numFmt w:val="lowerLetter"/>
      <w:lvlText w:val="%5."/>
      <w:lvlJc w:val="left"/>
      <w:pPr>
        <w:ind w:left="3600" w:hanging="360"/>
      </w:pPr>
    </w:lvl>
    <w:lvl w:ilvl="5" w:tplc="98569A56" w:tentative="1">
      <w:start w:val="1"/>
      <w:numFmt w:val="lowerRoman"/>
      <w:lvlText w:val="%6."/>
      <w:lvlJc w:val="right"/>
      <w:pPr>
        <w:ind w:left="4320" w:hanging="180"/>
      </w:pPr>
    </w:lvl>
    <w:lvl w:ilvl="6" w:tplc="836E7DC8" w:tentative="1">
      <w:start w:val="1"/>
      <w:numFmt w:val="decimal"/>
      <w:lvlText w:val="%7."/>
      <w:lvlJc w:val="left"/>
      <w:pPr>
        <w:ind w:left="5040" w:hanging="360"/>
      </w:pPr>
    </w:lvl>
    <w:lvl w:ilvl="7" w:tplc="C040E84A" w:tentative="1">
      <w:start w:val="1"/>
      <w:numFmt w:val="lowerLetter"/>
      <w:lvlText w:val="%8."/>
      <w:lvlJc w:val="left"/>
      <w:pPr>
        <w:ind w:left="5760" w:hanging="360"/>
      </w:pPr>
    </w:lvl>
    <w:lvl w:ilvl="8" w:tplc="238C3A12" w:tentative="1">
      <w:start w:val="1"/>
      <w:numFmt w:val="lowerRoman"/>
      <w:lvlText w:val="%9."/>
      <w:lvlJc w:val="right"/>
      <w:pPr>
        <w:ind w:left="6480" w:hanging="180"/>
      </w:pPr>
    </w:lvl>
  </w:abstractNum>
  <w:abstractNum w:abstractNumId="7" w15:restartNumberingAfterBreak="0">
    <w:nsid w:val="45551FA9"/>
    <w:multiLevelType w:val="hybridMultilevel"/>
    <w:tmpl w:val="AE06CF1C"/>
    <w:lvl w:ilvl="0" w:tplc="1D3834BA">
      <w:start w:val="1"/>
      <w:numFmt w:val="bullet"/>
      <w:lvlText w:val=""/>
      <w:lvlJc w:val="left"/>
      <w:pPr>
        <w:ind w:left="1080" w:hanging="360"/>
      </w:pPr>
      <w:rPr>
        <w:rFonts w:ascii="Symbol" w:hAnsi="Symbol" w:hint="default"/>
      </w:rPr>
    </w:lvl>
    <w:lvl w:ilvl="1" w:tplc="11E4C10C" w:tentative="1">
      <w:start w:val="1"/>
      <w:numFmt w:val="bullet"/>
      <w:lvlText w:val="o"/>
      <w:lvlJc w:val="left"/>
      <w:pPr>
        <w:ind w:left="1800" w:hanging="360"/>
      </w:pPr>
      <w:rPr>
        <w:rFonts w:ascii="Courier New" w:hAnsi="Courier New" w:cs="Courier New" w:hint="default"/>
      </w:rPr>
    </w:lvl>
    <w:lvl w:ilvl="2" w:tplc="6C5C8410" w:tentative="1">
      <w:start w:val="1"/>
      <w:numFmt w:val="bullet"/>
      <w:lvlText w:val=""/>
      <w:lvlJc w:val="left"/>
      <w:pPr>
        <w:ind w:left="2520" w:hanging="360"/>
      </w:pPr>
      <w:rPr>
        <w:rFonts w:ascii="Wingdings" w:hAnsi="Wingdings" w:hint="default"/>
      </w:rPr>
    </w:lvl>
    <w:lvl w:ilvl="3" w:tplc="D3BC670A" w:tentative="1">
      <w:start w:val="1"/>
      <w:numFmt w:val="bullet"/>
      <w:lvlText w:val=""/>
      <w:lvlJc w:val="left"/>
      <w:pPr>
        <w:ind w:left="3240" w:hanging="360"/>
      </w:pPr>
      <w:rPr>
        <w:rFonts w:ascii="Symbol" w:hAnsi="Symbol" w:hint="default"/>
      </w:rPr>
    </w:lvl>
    <w:lvl w:ilvl="4" w:tplc="5B7E87A0" w:tentative="1">
      <w:start w:val="1"/>
      <w:numFmt w:val="bullet"/>
      <w:lvlText w:val="o"/>
      <w:lvlJc w:val="left"/>
      <w:pPr>
        <w:ind w:left="3960" w:hanging="360"/>
      </w:pPr>
      <w:rPr>
        <w:rFonts w:ascii="Courier New" w:hAnsi="Courier New" w:cs="Courier New" w:hint="default"/>
      </w:rPr>
    </w:lvl>
    <w:lvl w:ilvl="5" w:tplc="694C2650" w:tentative="1">
      <w:start w:val="1"/>
      <w:numFmt w:val="bullet"/>
      <w:lvlText w:val=""/>
      <w:lvlJc w:val="left"/>
      <w:pPr>
        <w:ind w:left="4680" w:hanging="360"/>
      </w:pPr>
      <w:rPr>
        <w:rFonts w:ascii="Wingdings" w:hAnsi="Wingdings" w:hint="default"/>
      </w:rPr>
    </w:lvl>
    <w:lvl w:ilvl="6" w:tplc="11809714" w:tentative="1">
      <w:start w:val="1"/>
      <w:numFmt w:val="bullet"/>
      <w:lvlText w:val=""/>
      <w:lvlJc w:val="left"/>
      <w:pPr>
        <w:ind w:left="5400" w:hanging="360"/>
      </w:pPr>
      <w:rPr>
        <w:rFonts w:ascii="Symbol" w:hAnsi="Symbol" w:hint="default"/>
      </w:rPr>
    </w:lvl>
    <w:lvl w:ilvl="7" w:tplc="74BCF444" w:tentative="1">
      <w:start w:val="1"/>
      <w:numFmt w:val="bullet"/>
      <w:lvlText w:val="o"/>
      <w:lvlJc w:val="left"/>
      <w:pPr>
        <w:ind w:left="6120" w:hanging="360"/>
      </w:pPr>
      <w:rPr>
        <w:rFonts w:ascii="Courier New" w:hAnsi="Courier New" w:cs="Courier New" w:hint="default"/>
      </w:rPr>
    </w:lvl>
    <w:lvl w:ilvl="8" w:tplc="9CE6C560" w:tentative="1">
      <w:start w:val="1"/>
      <w:numFmt w:val="bullet"/>
      <w:lvlText w:val=""/>
      <w:lvlJc w:val="left"/>
      <w:pPr>
        <w:ind w:left="6840" w:hanging="360"/>
      </w:pPr>
      <w:rPr>
        <w:rFonts w:ascii="Wingdings" w:hAnsi="Wingdings" w:hint="default"/>
      </w:rPr>
    </w:lvl>
  </w:abstractNum>
  <w:abstractNum w:abstractNumId="8" w15:restartNumberingAfterBreak="0">
    <w:nsid w:val="48CE4D94"/>
    <w:multiLevelType w:val="hybridMultilevel"/>
    <w:tmpl w:val="B7CE10F0"/>
    <w:lvl w:ilvl="0" w:tplc="4628B958">
      <w:numFmt w:val="bullet"/>
      <w:lvlText w:val="-"/>
      <w:lvlJc w:val="left"/>
      <w:pPr>
        <w:ind w:left="720" w:hanging="360"/>
      </w:pPr>
      <w:rPr>
        <w:rFonts w:ascii="Times New Roman" w:eastAsia="Times New Roman" w:hAnsi="Times New Roman" w:cs="Times New Roman" w:hint="default"/>
      </w:rPr>
    </w:lvl>
    <w:lvl w:ilvl="1" w:tplc="F5A41F9A" w:tentative="1">
      <w:start w:val="1"/>
      <w:numFmt w:val="bullet"/>
      <w:lvlText w:val="o"/>
      <w:lvlJc w:val="left"/>
      <w:pPr>
        <w:ind w:left="1440" w:hanging="360"/>
      </w:pPr>
      <w:rPr>
        <w:rFonts w:ascii="Courier New" w:hAnsi="Courier New" w:cs="Courier New" w:hint="default"/>
      </w:rPr>
    </w:lvl>
    <w:lvl w:ilvl="2" w:tplc="CF4E7D6E" w:tentative="1">
      <w:start w:val="1"/>
      <w:numFmt w:val="bullet"/>
      <w:lvlText w:val=""/>
      <w:lvlJc w:val="left"/>
      <w:pPr>
        <w:ind w:left="2160" w:hanging="360"/>
      </w:pPr>
      <w:rPr>
        <w:rFonts w:ascii="Wingdings" w:hAnsi="Wingdings" w:hint="default"/>
      </w:rPr>
    </w:lvl>
    <w:lvl w:ilvl="3" w:tplc="8A14A244" w:tentative="1">
      <w:start w:val="1"/>
      <w:numFmt w:val="bullet"/>
      <w:lvlText w:val=""/>
      <w:lvlJc w:val="left"/>
      <w:pPr>
        <w:ind w:left="2880" w:hanging="360"/>
      </w:pPr>
      <w:rPr>
        <w:rFonts w:ascii="Symbol" w:hAnsi="Symbol" w:hint="default"/>
      </w:rPr>
    </w:lvl>
    <w:lvl w:ilvl="4" w:tplc="B6848D08" w:tentative="1">
      <w:start w:val="1"/>
      <w:numFmt w:val="bullet"/>
      <w:lvlText w:val="o"/>
      <w:lvlJc w:val="left"/>
      <w:pPr>
        <w:ind w:left="3600" w:hanging="360"/>
      </w:pPr>
      <w:rPr>
        <w:rFonts w:ascii="Courier New" w:hAnsi="Courier New" w:cs="Courier New" w:hint="default"/>
      </w:rPr>
    </w:lvl>
    <w:lvl w:ilvl="5" w:tplc="01E61AF4" w:tentative="1">
      <w:start w:val="1"/>
      <w:numFmt w:val="bullet"/>
      <w:lvlText w:val=""/>
      <w:lvlJc w:val="left"/>
      <w:pPr>
        <w:ind w:left="4320" w:hanging="360"/>
      </w:pPr>
      <w:rPr>
        <w:rFonts w:ascii="Wingdings" w:hAnsi="Wingdings" w:hint="default"/>
      </w:rPr>
    </w:lvl>
    <w:lvl w:ilvl="6" w:tplc="7C3A300C" w:tentative="1">
      <w:start w:val="1"/>
      <w:numFmt w:val="bullet"/>
      <w:lvlText w:val=""/>
      <w:lvlJc w:val="left"/>
      <w:pPr>
        <w:ind w:left="5040" w:hanging="360"/>
      </w:pPr>
      <w:rPr>
        <w:rFonts w:ascii="Symbol" w:hAnsi="Symbol" w:hint="default"/>
      </w:rPr>
    </w:lvl>
    <w:lvl w:ilvl="7" w:tplc="9070A890" w:tentative="1">
      <w:start w:val="1"/>
      <w:numFmt w:val="bullet"/>
      <w:lvlText w:val="o"/>
      <w:lvlJc w:val="left"/>
      <w:pPr>
        <w:ind w:left="5760" w:hanging="360"/>
      </w:pPr>
      <w:rPr>
        <w:rFonts w:ascii="Courier New" w:hAnsi="Courier New" w:cs="Courier New" w:hint="default"/>
      </w:rPr>
    </w:lvl>
    <w:lvl w:ilvl="8" w:tplc="4B2EB878" w:tentative="1">
      <w:start w:val="1"/>
      <w:numFmt w:val="bullet"/>
      <w:lvlText w:val=""/>
      <w:lvlJc w:val="left"/>
      <w:pPr>
        <w:ind w:left="6480" w:hanging="360"/>
      </w:pPr>
      <w:rPr>
        <w:rFonts w:ascii="Wingdings" w:hAnsi="Wingdings" w:hint="default"/>
      </w:rPr>
    </w:lvl>
  </w:abstractNum>
  <w:abstractNum w:abstractNumId="9" w15:restartNumberingAfterBreak="0">
    <w:nsid w:val="60AF67EA"/>
    <w:multiLevelType w:val="multilevel"/>
    <w:tmpl w:val="840E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466A1F"/>
    <w:multiLevelType w:val="hybridMultilevel"/>
    <w:tmpl w:val="02886E84"/>
    <w:lvl w:ilvl="0" w:tplc="99B2AD82">
      <w:start w:val="4"/>
      <w:numFmt w:val="decimal"/>
      <w:lvlText w:val="%1."/>
      <w:lvlJc w:val="left"/>
      <w:pPr>
        <w:ind w:left="720" w:hanging="360"/>
      </w:pPr>
      <w:rPr>
        <w:rFonts w:eastAsia="Times New Roman" w:hint="default"/>
      </w:rPr>
    </w:lvl>
    <w:lvl w:ilvl="1" w:tplc="D878EB88" w:tentative="1">
      <w:start w:val="1"/>
      <w:numFmt w:val="lowerLetter"/>
      <w:lvlText w:val="%2."/>
      <w:lvlJc w:val="left"/>
      <w:pPr>
        <w:ind w:left="1440" w:hanging="360"/>
      </w:pPr>
    </w:lvl>
    <w:lvl w:ilvl="2" w:tplc="416E8F7E" w:tentative="1">
      <w:start w:val="1"/>
      <w:numFmt w:val="lowerRoman"/>
      <w:lvlText w:val="%3."/>
      <w:lvlJc w:val="right"/>
      <w:pPr>
        <w:ind w:left="2160" w:hanging="180"/>
      </w:pPr>
    </w:lvl>
    <w:lvl w:ilvl="3" w:tplc="4D841066" w:tentative="1">
      <w:start w:val="1"/>
      <w:numFmt w:val="decimal"/>
      <w:lvlText w:val="%4."/>
      <w:lvlJc w:val="left"/>
      <w:pPr>
        <w:ind w:left="2880" w:hanging="360"/>
      </w:pPr>
    </w:lvl>
    <w:lvl w:ilvl="4" w:tplc="6FF6B2E0" w:tentative="1">
      <w:start w:val="1"/>
      <w:numFmt w:val="lowerLetter"/>
      <w:lvlText w:val="%5."/>
      <w:lvlJc w:val="left"/>
      <w:pPr>
        <w:ind w:left="3600" w:hanging="360"/>
      </w:pPr>
    </w:lvl>
    <w:lvl w:ilvl="5" w:tplc="D654DFC2" w:tentative="1">
      <w:start w:val="1"/>
      <w:numFmt w:val="lowerRoman"/>
      <w:lvlText w:val="%6."/>
      <w:lvlJc w:val="right"/>
      <w:pPr>
        <w:ind w:left="4320" w:hanging="180"/>
      </w:pPr>
    </w:lvl>
    <w:lvl w:ilvl="6" w:tplc="BABC3E7A" w:tentative="1">
      <w:start w:val="1"/>
      <w:numFmt w:val="decimal"/>
      <w:lvlText w:val="%7."/>
      <w:lvlJc w:val="left"/>
      <w:pPr>
        <w:ind w:left="5040" w:hanging="360"/>
      </w:pPr>
    </w:lvl>
    <w:lvl w:ilvl="7" w:tplc="3CD423AA" w:tentative="1">
      <w:start w:val="1"/>
      <w:numFmt w:val="lowerLetter"/>
      <w:lvlText w:val="%8."/>
      <w:lvlJc w:val="left"/>
      <w:pPr>
        <w:ind w:left="5760" w:hanging="360"/>
      </w:pPr>
    </w:lvl>
    <w:lvl w:ilvl="8" w:tplc="77B83170" w:tentative="1">
      <w:start w:val="1"/>
      <w:numFmt w:val="lowerRoman"/>
      <w:lvlText w:val="%9."/>
      <w:lvlJc w:val="right"/>
      <w:pPr>
        <w:ind w:left="6480" w:hanging="180"/>
      </w:pPr>
    </w:lvl>
  </w:abstractNum>
  <w:abstractNum w:abstractNumId="11" w15:restartNumberingAfterBreak="0">
    <w:nsid w:val="6B6F5254"/>
    <w:multiLevelType w:val="hybridMultilevel"/>
    <w:tmpl w:val="C2328834"/>
    <w:lvl w:ilvl="0" w:tplc="64F8F47C">
      <w:numFmt w:val="bullet"/>
      <w:lvlText w:val="-"/>
      <w:lvlJc w:val="left"/>
      <w:pPr>
        <w:ind w:left="720" w:hanging="360"/>
      </w:pPr>
      <w:rPr>
        <w:rFonts w:ascii="Times New Roman" w:eastAsia="Times New Roman" w:hAnsi="Times New Roman" w:cs="Times New Roman" w:hint="default"/>
      </w:rPr>
    </w:lvl>
    <w:lvl w:ilvl="1" w:tplc="C2828CEA" w:tentative="1">
      <w:start w:val="1"/>
      <w:numFmt w:val="bullet"/>
      <w:lvlText w:val="o"/>
      <w:lvlJc w:val="left"/>
      <w:pPr>
        <w:ind w:left="1440" w:hanging="360"/>
      </w:pPr>
      <w:rPr>
        <w:rFonts w:ascii="Courier New" w:hAnsi="Courier New" w:cs="Courier New" w:hint="default"/>
      </w:rPr>
    </w:lvl>
    <w:lvl w:ilvl="2" w:tplc="903CE3D2" w:tentative="1">
      <w:start w:val="1"/>
      <w:numFmt w:val="bullet"/>
      <w:lvlText w:val=""/>
      <w:lvlJc w:val="left"/>
      <w:pPr>
        <w:ind w:left="2160" w:hanging="360"/>
      </w:pPr>
      <w:rPr>
        <w:rFonts w:ascii="Wingdings" w:hAnsi="Wingdings" w:hint="default"/>
      </w:rPr>
    </w:lvl>
    <w:lvl w:ilvl="3" w:tplc="B56A1B02" w:tentative="1">
      <w:start w:val="1"/>
      <w:numFmt w:val="bullet"/>
      <w:lvlText w:val=""/>
      <w:lvlJc w:val="left"/>
      <w:pPr>
        <w:ind w:left="2880" w:hanging="360"/>
      </w:pPr>
      <w:rPr>
        <w:rFonts w:ascii="Symbol" w:hAnsi="Symbol" w:hint="default"/>
      </w:rPr>
    </w:lvl>
    <w:lvl w:ilvl="4" w:tplc="684EEBD6" w:tentative="1">
      <w:start w:val="1"/>
      <w:numFmt w:val="bullet"/>
      <w:lvlText w:val="o"/>
      <w:lvlJc w:val="left"/>
      <w:pPr>
        <w:ind w:left="3600" w:hanging="360"/>
      </w:pPr>
      <w:rPr>
        <w:rFonts w:ascii="Courier New" w:hAnsi="Courier New" w:cs="Courier New" w:hint="default"/>
      </w:rPr>
    </w:lvl>
    <w:lvl w:ilvl="5" w:tplc="0074D1C2" w:tentative="1">
      <w:start w:val="1"/>
      <w:numFmt w:val="bullet"/>
      <w:lvlText w:val=""/>
      <w:lvlJc w:val="left"/>
      <w:pPr>
        <w:ind w:left="4320" w:hanging="360"/>
      </w:pPr>
      <w:rPr>
        <w:rFonts w:ascii="Wingdings" w:hAnsi="Wingdings" w:hint="default"/>
      </w:rPr>
    </w:lvl>
    <w:lvl w:ilvl="6" w:tplc="AAC6D9A6" w:tentative="1">
      <w:start w:val="1"/>
      <w:numFmt w:val="bullet"/>
      <w:lvlText w:val=""/>
      <w:lvlJc w:val="left"/>
      <w:pPr>
        <w:ind w:left="5040" w:hanging="360"/>
      </w:pPr>
      <w:rPr>
        <w:rFonts w:ascii="Symbol" w:hAnsi="Symbol" w:hint="default"/>
      </w:rPr>
    </w:lvl>
    <w:lvl w:ilvl="7" w:tplc="32EAAA84" w:tentative="1">
      <w:start w:val="1"/>
      <w:numFmt w:val="bullet"/>
      <w:lvlText w:val="o"/>
      <w:lvlJc w:val="left"/>
      <w:pPr>
        <w:ind w:left="5760" w:hanging="360"/>
      </w:pPr>
      <w:rPr>
        <w:rFonts w:ascii="Courier New" w:hAnsi="Courier New" w:cs="Courier New" w:hint="default"/>
      </w:rPr>
    </w:lvl>
    <w:lvl w:ilvl="8" w:tplc="1924FC86" w:tentative="1">
      <w:start w:val="1"/>
      <w:numFmt w:val="bullet"/>
      <w:lvlText w:val=""/>
      <w:lvlJc w:val="left"/>
      <w:pPr>
        <w:ind w:left="6480" w:hanging="360"/>
      </w:pPr>
      <w:rPr>
        <w:rFonts w:ascii="Wingdings" w:hAnsi="Wingdings" w:hint="default"/>
      </w:rPr>
    </w:lvl>
  </w:abstractNum>
  <w:abstractNum w:abstractNumId="12" w15:restartNumberingAfterBreak="0">
    <w:nsid w:val="6C5709C4"/>
    <w:multiLevelType w:val="hybridMultilevel"/>
    <w:tmpl w:val="89FAC83C"/>
    <w:lvl w:ilvl="0" w:tplc="062ADBBA">
      <w:numFmt w:val="bullet"/>
      <w:lvlText w:val="-"/>
      <w:lvlJc w:val="left"/>
      <w:pPr>
        <w:ind w:left="720" w:hanging="360"/>
      </w:pPr>
      <w:rPr>
        <w:rFonts w:ascii="Open Sans" w:eastAsiaTheme="minorHAnsi" w:hAnsi="Open Sans" w:cs="Open Sans" w:hint="default"/>
      </w:rPr>
    </w:lvl>
    <w:lvl w:ilvl="1" w:tplc="32FC48C8" w:tentative="1">
      <w:start w:val="1"/>
      <w:numFmt w:val="bullet"/>
      <w:lvlText w:val="o"/>
      <w:lvlJc w:val="left"/>
      <w:pPr>
        <w:ind w:left="1440" w:hanging="360"/>
      </w:pPr>
      <w:rPr>
        <w:rFonts w:ascii="Courier New" w:hAnsi="Courier New" w:cs="Courier New" w:hint="default"/>
      </w:rPr>
    </w:lvl>
    <w:lvl w:ilvl="2" w:tplc="91363F28" w:tentative="1">
      <w:start w:val="1"/>
      <w:numFmt w:val="bullet"/>
      <w:lvlText w:val=""/>
      <w:lvlJc w:val="left"/>
      <w:pPr>
        <w:ind w:left="2160" w:hanging="360"/>
      </w:pPr>
      <w:rPr>
        <w:rFonts w:ascii="Wingdings" w:hAnsi="Wingdings" w:hint="default"/>
      </w:rPr>
    </w:lvl>
    <w:lvl w:ilvl="3" w:tplc="68481B14" w:tentative="1">
      <w:start w:val="1"/>
      <w:numFmt w:val="bullet"/>
      <w:lvlText w:val=""/>
      <w:lvlJc w:val="left"/>
      <w:pPr>
        <w:ind w:left="2880" w:hanging="360"/>
      </w:pPr>
      <w:rPr>
        <w:rFonts w:ascii="Symbol" w:hAnsi="Symbol" w:hint="default"/>
      </w:rPr>
    </w:lvl>
    <w:lvl w:ilvl="4" w:tplc="4B567DEE" w:tentative="1">
      <w:start w:val="1"/>
      <w:numFmt w:val="bullet"/>
      <w:lvlText w:val="o"/>
      <w:lvlJc w:val="left"/>
      <w:pPr>
        <w:ind w:left="3600" w:hanging="360"/>
      </w:pPr>
      <w:rPr>
        <w:rFonts w:ascii="Courier New" w:hAnsi="Courier New" w:cs="Courier New" w:hint="default"/>
      </w:rPr>
    </w:lvl>
    <w:lvl w:ilvl="5" w:tplc="A5AE9C48" w:tentative="1">
      <w:start w:val="1"/>
      <w:numFmt w:val="bullet"/>
      <w:lvlText w:val=""/>
      <w:lvlJc w:val="left"/>
      <w:pPr>
        <w:ind w:left="4320" w:hanging="360"/>
      </w:pPr>
      <w:rPr>
        <w:rFonts w:ascii="Wingdings" w:hAnsi="Wingdings" w:hint="default"/>
      </w:rPr>
    </w:lvl>
    <w:lvl w:ilvl="6" w:tplc="11C4F02E" w:tentative="1">
      <w:start w:val="1"/>
      <w:numFmt w:val="bullet"/>
      <w:lvlText w:val=""/>
      <w:lvlJc w:val="left"/>
      <w:pPr>
        <w:ind w:left="5040" w:hanging="360"/>
      </w:pPr>
      <w:rPr>
        <w:rFonts w:ascii="Symbol" w:hAnsi="Symbol" w:hint="default"/>
      </w:rPr>
    </w:lvl>
    <w:lvl w:ilvl="7" w:tplc="C5746756" w:tentative="1">
      <w:start w:val="1"/>
      <w:numFmt w:val="bullet"/>
      <w:lvlText w:val="o"/>
      <w:lvlJc w:val="left"/>
      <w:pPr>
        <w:ind w:left="5760" w:hanging="360"/>
      </w:pPr>
      <w:rPr>
        <w:rFonts w:ascii="Courier New" w:hAnsi="Courier New" w:cs="Courier New" w:hint="default"/>
      </w:rPr>
    </w:lvl>
    <w:lvl w:ilvl="8" w:tplc="DDE05498" w:tentative="1">
      <w:start w:val="1"/>
      <w:numFmt w:val="bullet"/>
      <w:lvlText w:val=""/>
      <w:lvlJc w:val="left"/>
      <w:pPr>
        <w:ind w:left="6480" w:hanging="360"/>
      </w:pPr>
      <w:rPr>
        <w:rFonts w:ascii="Wingdings" w:hAnsi="Wingdings" w:hint="default"/>
      </w:rPr>
    </w:lvl>
  </w:abstractNum>
  <w:abstractNum w:abstractNumId="13" w15:restartNumberingAfterBreak="0">
    <w:nsid w:val="7A141536"/>
    <w:multiLevelType w:val="hybridMultilevel"/>
    <w:tmpl w:val="FAA63D54"/>
    <w:lvl w:ilvl="0" w:tplc="95B2504A">
      <w:numFmt w:val="bullet"/>
      <w:lvlText w:val="-"/>
      <w:lvlJc w:val="left"/>
      <w:pPr>
        <w:ind w:left="720" w:hanging="360"/>
      </w:pPr>
      <w:rPr>
        <w:rFonts w:ascii="Open Sans" w:eastAsiaTheme="minorHAnsi" w:hAnsi="Open Sans" w:cs="Open Sans" w:hint="default"/>
      </w:rPr>
    </w:lvl>
    <w:lvl w:ilvl="1" w:tplc="AB2898AC" w:tentative="1">
      <w:start w:val="1"/>
      <w:numFmt w:val="bullet"/>
      <w:lvlText w:val="o"/>
      <w:lvlJc w:val="left"/>
      <w:pPr>
        <w:ind w:left="1440" w:hanging="360"/>
      </w:pPr>
      <w:rPr>
        <w:rFonts w:ascii="Courier New" w:hAnsi="Courier New" w:cs="Courier New" w:hint="default"/>
      </w:rPr>
    </w:lvl>
    <w:lvl w:ilvl="2" w:tplc="77C2BBAA" w:tentative="1">
      <w:start w:val="1"/>
      <w:numFmt w:val="bullet"/>
      <w:lvlText w:val=""/>
      <w:lvlJc w:val="left"/>
      <w:pPr>
        <w:ind w:left="2160" w:hanging="360"/>
      </w:pPr>
      <w:rPr>
        <w:rFonts w:ascii="Wingdings" w:hAnsi="Wingdings" w:hint="default"/>
      </w:rPr>
    </w:lvl>
    <w:lvl w:ilvl="3" w:tplc="F4A6419E" w:tentative="1">
      <w:start w:val="1"/>
      <w:numFmt w:val="bullet"/>
      <w:lvlText w:val=""/>
      <w:lvlJc w:val="left"/>
      <w:pPr>
        <w:ind w:left="2880" w:hanging="360"/>
      </w:pPr>
      <w:rPr>
        <w:rFonts w:ascii="Symbol" w:hAnsi="Symbol" w:hint="default"/>
      </w:rPr>
    </w:lvl>
    <w:lvl w:ilvl="4" w:tplc="D066968A" w:tentative="1">
      <w:start w:val="1"/>
      <w:numFmt w:val="bullet"/>
      <w:lvlText w:val="o"/>
      <w:lvlJc w:val="left"/>
      <w:pPr>
        <w:ind w:left="3600" w:hanging="360"/>
      </w:pPr>
      <w:rPr>
        <w:rFonts w:ascii="Courier New" w:hAnsi="Courier New" w:cs="Courier New" w:hint="default"/>
      </w:rPr>
    </w:lvl>
    <w:lvl w:ilvl="5" w:tplc="B3CC12BC" w:tentative="1">
      <w:start w:val="1"/>
      <w:numFmt w:val="bullet"/>
      <w:lvlText w:val=""/>
      <w:lvlJc w:val="left"/>
      <w:pPr>
        <w:ind w:left="4320" w:hanging="360"/>
      </w:pPr>
      <w:rPr>
        <w:rFonts w:ascii="Wingdings" w:hAnsi="Wingdings" w:hint="default"/>
      </w:rPr>
    </w:lvl>
    <w:lvl w:ilvl="6" w:tplc="2250A026" w:tentative="1">
      <w:start w:val="1"/>
      <w:numFmt w:val="bullet"/>
      <w:lvlText w:val=""/>
      <w:lvlJc w:val="left"/>
      <w:pPr>
        <w:ind w:left="5040" w:hanging="360"/>
      </w:pPr>
      <w:rPr>
        <w:rFonts w:ascii="Symbol" w:hAnsi="Symbol" w:hint="default"/>
      </w:rPr>
    </w:lvl>
    <w:lvl w:ilvl="7" w:tplc="4882F566" w:tentative="1">
      <w:start w:val="1"/>
      <w:numFmt w:val="bullet"/>
      <w:lvlText w:val="o"/>
      <w:lvlJc w:val="left"/>
      <w:pPr>
        <w:ind w:left="5760" w:hanging="360"/>
      </w:pPr>
      <w:rPr>
        <w:rFonts w:ascii="Courier New" w:hAnsi="Courier New" w:cs="Courier New" w:hint="default"/>
      </w:rPr>
    </w:lvl>
    <w:lvl w:ilvl="8" w:tplc="DE3649B4"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2"/>
  </w:num>
  <w:num w:numId="4">
    <w:abstractNumId w:val="13"/>
  </w:num>
  <w:num w:numId="5">
    <w:abstractNumId w:val="11"/>
  </w:num>
  <w:num w:numId="6">
    <w:abstractNumId w:val="5"/>
  </w:num>
  <w:num w:numId="7">
    <w:abstractNumId w:val="8"/>
  </w:num>
  <w:num w:numId="8">
    <w:abstractNumId w:val="6"/>
  </w:num>
  <w:num w:numId="9">
    <w:abstractNumId w:val="1"/>
  </w:num>
  <w:num w:numId="10">
    <w:abstractNumId w:val="2"/>
  </w:num>
  <w:num w:numId="11">
    <w:abstractNumId w:val="7"/>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7E"/>
    <w:rsid w:val="0006477E"/>
    <w:rsid w:val="0007059E"/>
    <w:rsid w:val="00071A67"/>
    <w:rsid w:val="0008126D"/>
    <w:rsid w:val="000B0942"/>
    <w:rsid w:val="000B49E4"/>
    <w:rsid w:val="000D3B34"/>
    <w:rsid w:val="000F5074"/>
    <w:rsid w:val="000F61D2"/>
    <w:rsid w:val="001034EB"/>
    <w:rsid w:val="00120A51"/>
    <w:rsid w:val="00146403"/>
    <w:rsid w:val="00176844"/>
    <w:rsid w:val="0018227B"/>
    <w:rsid w:val="002215ED"/>
    <w:rsid w:val="00245C40"/>
    <w:rsid w:val="0029576E"/>
    <w:rsid w:val="002B06E6"/>
    <w:rsid w:val="002B5785"/>
    <w:rsid w:val="002C07FD"/>
    <w:rsid w:val="002C2129"/>
    <w:rsid w:val="002E5704"/>
    <w:rsid w:val="00315576"/>
    <w:rsid w:val="00334928"/>
    <w:rsid w:val="00362415"/>
    <w:rsid w:val="00364422"/>
    <w:rsid w:val="00376F7E"/>
    <w:rsid w:val="00377054"/>
    <w:rsid w:val="00392AD0"/>
    <w:rsid w:val="003F2C9B"/>
    <w:rsid w:val="003F7788"/>
    <w:rsid w:val="004026A5"/>
    <w:rsid w:val="00414D3E"/>
    <w:rsid w:val="00414FB5"/>
    <w:rsid w:val="00427E56"/>
    <w:rsid w:val="0044784D"/>
    <w:rsid w:val="004A5A7C"/>
    <w:rsid w:val="004C3842"/>
    <w:rsid w:val="004D4CBC"/>
    <w:rsid w:val="004E7E07"/>
    <w:rsid w:val="004F72E8"/>
    <w:rsid w:val="00500D19"/>
    <w:rsid w:val="00580226"/>
    <w:rsid w:val="0058397A"/>
    <w:rsid w:val="005A1B49"/>
    <w:rsid w:val="005B723D"/>
    <w:rsid w:val="005C7C78"/>
    <w:rsid w:val="005D4594"/>
    <w:rsid w:val="005E136C"/>
    <w:rsid w:val="005E6738"/>
    <w:rsid w:val="005F24DE"/>
    <w:rsid w:val="005F44C8"/>
    <w:rsid w:val="006101FB"/>
    <w:rsid w:val="00622CA4"/>
    <w:rsid w:val="00656372"/>
    <w:rsid w:val="00664306"/>
    <w:rsid w:val="0069112A"/>
    <w:rsid w:val="00691FE3"/>
    <w:rsid w:val="006F4CE6"/>
    <w:rsid w:val="0071039F"/>
    <w:rsid w:val="00715E44"/>
    <w:rsid w:val="00731ABD"/>
    <w:rsid w:val="00744538"/>
    <w:rsid w:val="00776F77"/>
    <w:rsid w:val="007911C0"/>
    <w:rsid w:val="007A695C"/>
    <w:rsid w:val="007C0778"/>
    <w:rsid w:val="007D03BF"/>
    <w:rsid w:val="007D07BC"/>
    <w:rsid w:val="007E0996"/>
    <w:rsid w:val="007F1A6D"/>
    <w:rsid w:val="0081585C"/>
    <w:rsid w:val="00851AF4"/>
    <w:rsid w:val="0086232E"/>
    <w:rsid w:val="008654B5"/>
    <w:rsid w:val="008A02C5"/>
    <w:rsid w:val="008B4871"/>
    <w:rsid w:val="008C2A2F"/>
    <w:rsid w:val="008D593F"/>
    <w:rsid w:val="008F6CAE"/>
    <w:rsid w:val="00911AA2"/>
    <w:rsid w:val="00932563"/>
    <w:rsid w:val="00937D33"/>
    <w:rsid w:val="00950FEC"/>
    <w:rsid w:val="00955CB7"/>
    <w:rsid w:val="009612C5"/>
    <w:rsid w:val="00985507"/>
    <w:rsid w:val="009B25AD"/>
    <w:rsid w:val="009B750C"/>
    <w:rsid w:val="009D33C3"/>
    <w:rsid w:val="00A13885"/>
    <w:rsid w:val="00A277D6"/>
    <w:rsid w:val="00A73BFE"/>
    <w:rsid w:val="00AA1853"/>
    <w:rsid w:val="00AB56EC"/>
    <w:rsid w:val="00AD7D51"/>
    <w:rsid w:val="00AF6B9D"/>
    <w:rsid w:val="00AF6C93"/>
    <w:rsid w:val="00B004C9"/>
    <w:rsid w:val="00B02197"/>
    <w:rsid w:val="00B03F41"/>
    <w:rsid w:val="00B208C2"/>
    <w:rsid w:val="00B25C81"/>
    <w:rsid w:val="00B7332A"/>
    <w:rsid w:val="00B9001A"/>
    <w:rsid w:val="00B91268"/>
    <w:rsid w:val="00B969F6"/>
    <w:rsid w:val="00BC0230"/>
    <w:rsid w:val="00BD44A2"/>
    <w:rsid w:val="00BD5D83"/>
    <w:rsid w:val="00BF27CD"/>
    <w:rsid w:val="00BF4E5C"/>
    <w:rsid w:val="00C5189E"/>
    <w:rsid w:val="00C60824"/>
    <w:rsid w:val="00C608A3"/>
    <w:rsid w:val="00C60FEF"/>
    <w:rsid w:val="00C8482A"/>
    <w:rsid w:val="00CA22BD"/>
    <w:rsid w:val="00CA2F46"/>
    <w:rsid w:val="00CA622B"/>
    <w:rsid w:val="00CB3C45"/>
    <w:rsid w:val="00D1607A"/>
    <w:rsid w:val="00D257AC"/>
    <w:rsid w:val="00D50F88"/>
    <w:rsid w:val="00D90089"/>
    <w:rsid w:val="00D9233D"/>
    <w:rsid w:val="00DE15F9"/>
    <w:rsid w:val="00DF028F"/>
    <w:rsid w:val="00E00195"/>
    <w:rsid w:val="00E22604"/>
    <w:rsid w:val="00E26B9D"/>
    <w:rsid w:val="00E93B2A"/>
    <w:rsid w:val="00EA51A8"/>
    <w:rsid w:val="00ED0999"/>
    <w:rsid w:val="00EE0677"/>
    <w:rsid w:val="00F04BC2"/>
    <w:rsid w:val="00F24CAC"/>
    <w:rsid w:val="00F30CA5"/>
    <w:rsid w:val="00F437B2"/>
    <w:rsid w:val="00F47677"/>
    <w:rsid w:val="00F850FC"/>
    <w:rsid w:val="00FA2C94"/>
    <w:rsid w:val="00FA75E9"/>
    <w:rsid w:val="00FB753E"/>
    <w:rsid w:val="00FD1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4FD9"/>
  <w15:chartTrackingRefBased/>
  <w15:docId w15:val="{66C4DDD5-8872-427D-8DC7-A123904C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Colorful List - Accent 11,Dot pt,F5 List Paragraph,Indicator Text,List Paragraph Char Char Char,List Paragraph1,List Paragraph11,List Paragraph12,MAIN CONTENT,No Spacing1,Normal numbered,Numbered Para 1,OBC Bullet"/>
    <w:basedOn w:val="Normal"/>
    <w:link w:val="ListParagraphChar"/>
    <w:uiPriority w:val="34"/>
    <w:qFormat/>
    <w:rsid w:val="0006477E"/>
    <w:pPr>
      <w:ind w:left="720"/>
      <w:contextualSpacing/>
    </w:pPr>
  </w:style>
  <w:style w:type="paragraph" w:styleId="BalloonText">
    <w:name w:val="Balloon Text"/>
    <w:basedOn w:val="Normal"/>
    <w:link w:val="BalloonTextChar"/>
    <w:uiPriority w:val="99"/>
    <w:semiHidden/>
    <w:unhideWhenUsed/>
    <w:rsid w:val="00B90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01A"/>
    <w:rPr>
      <w:rFonts w:ascii="Segoe UI" w:hAnsi="Segoe UI" w:cs="Segoe UI"/>
      <w:sz w:val="18"/>
      <w:szCs w:val="18"/>
    </w:rPr>
  </w:style>
  <w:style w:type="table" w:styleId="TableGrid">
    <w:name w:val="Table Grid"/>
    <w:basedOn w:val="TableNormal"/>
    <w:uiPriority w:val="39"/>
    <w:rsid w:val="004F7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5ED"/>
    <w:rPr>
      <w:color w:val="0000FF"/>
      <w:u w:val="single"/>
    </w:rPr>
  </w:style>
  <w:style w:type="paragraph" w:styleId="FootnoteText">
    <w:name w:val="footnote text"/>
    <w:basedOn w:val="Normal"/>
    <w:link w:val="FootnoteTextChar"/>
    <w:uiPriority w:val="99"/>
    <w:rsid w:val="00376F7E"/>
    <w:pPr>
      <w:spacing w:after="0" w:line="240" w:lineRule="auto"/>
      <w:jc w:val="both"/>
    </w:pPr>
    <w:rPr>
      <w:rFonts w:ascii="avant garde" w:eastAsia="Times New Roman" w:hAnsi="avant garde" w:cs="Times New Roman"/>
      <w:sz w:val="20"/>
      <w:szCs w:val="20"/>
    </w:rPr>
  </w:style>
  <w:style w:type="character" w:customStyle="1" w:styleId="FootnoteTextChar">
    <w:name w:val="Footnote Text Char"/>
    <w:basedOn w:val="DefaultParagraphFont"/>
    <w:link w:val="FootnoteText"/>
    <w:uiPriority w:val="99"/>
    <w:rsid w:val="00376F7E"/>
    <w:rPr>
      <w:rFonts w:ascii="avant garde" w:eastAsia="Times New Roman" w:hAnsi="avant garde" w:cs="Times New Roman"/>
      <w:sz w:val="20"/>
      <w:szCs w:val="20"/>
    </w:rPr>
  </w:style>
  <w:style w:type="character" w:styleId="FootnoteReference">
    <w:name w:val="footnote reference"/>
    <w:basedOn w:val="DefaultParagraphFont"/>
    <w:uiPriority w:val="99"/>
    <w:rsid w:val="00376F7E"/>
    <w:rPr>
      <w:vertAlign w:val="superscript"/>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1 Char,List Paragraph12 Char"/>
    <w:basedOn w:val="DefaultParagraphFont"/>
    <w:link w:val="ListParagraph"/>
    <w:uiPriority w:val="34"/>
    <w:qFormat/>
    <w:locked/>
    <w:rsid w:val="00376F7E"/>
  </w:style>
  <w:style w:type="character" w:styleId="FollowedHyperlink">
    <w:name w:val="FollowedHyperlink"/>
    <w:basedOn w:val="DefaultParagraphFont"/>
    <w:uiPriority w:val="99"/>
    <w:semiHidden/>
    <w:unhideWhenUsed/>
    <w:rsid w:val="008654B5"/>
    <w:rPr>
      <w:color w:val="954F72" w:themeColor="followedHyperlink"/>
      <w:u w:val="single"/>
    </w:rPr>
  </w:style>
  <w:style w:type="paragraph" w:styleId="Caption">
    <w:name w:val="caption"/>
    <w:basedOn w:val="Normal"/>
    <w:next w:val="Normal"/>
    <w:uiPriority w:val="35"/>
    <w:semiHidden/>
    <w:unhideWhenUsed/>
    <w:qFormat/>
    <w:rsid w:val="00FA75E9"/>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9B25AD"/>
    <w:rPr>
      <w:color w:val="605E5C"/>
      <w:shd w:val="clear" w:color="auto" w:fill="E1DFDD"/>
    </w:rPr>
  </w:style>
  <w:style w:type="paragraph" w:styleId="Header">
    <w:name w:val="header"/>
    <w:basedOn w:val="Normal"/>
    <w:link w:val="HeaderChar"/>
    <w:uiPriority w:val="99"/>
    <w:unhideWhenUsed/>
    <w:rsid w:val="009D3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3C3"/>
  </w:style>
  <w:style w:type="paragraph" w:styleId="Footer">
    <w:name w:val="footer"/>
    <w:basedOn w:val="Normal"/>
    <w:link w:val="FooterChar"/>
    <w:uiPriority w:val="99"/>
    <w:unhideWhenUsed/>
    <w:rsid w:val="009D3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statistics/rhi-monthly-deployment-data-december-2019-annual-edition" TargetMode="External"/><Relationship Id="rId18" Type="http://schemas.openxmlformats.org/officeDocument/2006/relationships/hyperlink" Target="https://www.sciencedirect.com/science/article/pii/S0360544217304140?via%3Dihub" TargetMode="External"/><Relationship Id="rId26" Type="http://schemas.openxmlformats.org/officeDocument/2006/relationships/hyperlink" Target="https://www.gov.uk/government/statistics/quarterly-energy-prices-june-2020" TargetMode="External"/><Relationship Id="rId3" Type="http://schemas.openxmlformats.org/officeDocument/2006/relationships/styles" Target="styles.xml"/><Relationship Id="rId21" Type="http://schemas.openxmlformats.org/officeDocument/2006/relationships/hyperlink" Target="https://www.r-e-a.net/resources/beis-rhi-consultation-biomass-combustion-in-urban-areas/" TargetMode="External"/><Relationship Id="rId7" Type="http://schemas.openxmlformats.org/officeDocument/2006/relationships/endnotes" Target="endnotes.xml"/><Relationship Id="rId12" Type="http://schemas.openxmlformats.org/officeDocument/2006/relationships/hyperlink" Target="https://www.gov.uk/government/consultations/future-support-for-low-carbon-heat" TargetMode="External"/><Relationship Id="rId17" Type="http://schemas.openxmlformats.org/officeDocument/2006/relationships/hyperlink" Target="https://www.gov.uk/government/statistical-data-sets/annual-domestic-energy-price-statistics" TargetMode="External"/><Relationship Id="rId25" Type="http://schemas.openxmlformats.org/officeDocument/2006/relationships/hyperlink" Target="https://www.gov.uk/government/consultations/the-future-homes-standard-changes-to-part-l-and-part-f-of-the-building-regulations-for-new-dwellings"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881623/future-support-for-low-carbon-heat-impact-assessment.pdf" TargetMode="External"/><Relationship Id="rId20" Type="http://schemas.openxmlformats.org/officeDocument/2006/relationships/hyperlink" Target="https://www.gov.uk/government/consultations/renewable-heat-incentive-biomass-combustion-in-urban-area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net/resources/review-2020/" TargetMode="External"/><Relationship Id="rId24" Type="http://schemas.openxmlformats.org/officeDocument/2006/relationships/hyperlink" Target="https://www.frontier-economics.com/media/4157/business-models-for-low-carbon-hydrogen-production.pdf"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28174/green-home-grants-additional-requirements-insulation.odt" TargetMode="External"/><Relationship Id="rId23" Type="http://schemas.openxmlformats.org/officeDocument/2006/relationships/hyperlink" Target="https://www.gov.uk/government/consultations/the-renewable-heat-incentive-a-reformed-and-refocused-scheme" TargetMode="External"/><Relationship Id="rId28" Type="http://schemas.openxmlformats.org/officeDocument/2006/relationships/hyperlink" Target="http://www.afpg.asso.fr/wp-content/uploads/2019/06/EGC-2019-Country-Update-For-France.pdf" TargetMode="External"/><Relationship Id="rId10" Type="http://schemas.openxmlformats.org/officeDocument/2006/relationships/hyperlink" Target="https://www.gov.uk/government/statistics/rhi-monthly-deployment-data-september-2020-quarterly-edition" TargetMode="External"/><Relationship Id="rId19" Type="http://schemas.openxmlformats.org/officeDocument/2006/relationships/hyperlink" Target="https://www.gov.uk/government/publications/electric-heating-in-rural-off-gas-grid-dwellings-technical-feasibilit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uidance/vat-on-energy-saving-materials-and-heating-equipment-notice-7086" TargetMode="External"/><Relationship Id="rId22" Type="http://schemas.openxmlformats.org/officeDocument/2006/relationships/hyperlink" Target="https://uk-air.defra.gov.uk/assets/documents/reports/cat05/1801301017_KCL_WoodBurningReport_2017_FINAL.pdf" TargetMode="External"/><Relationship Id="rId27" Type="http://schemas.openxmlformats.org/officeDocument/2006/relationships/hyperlink" Target="https://www.spglobal.com/platts/en/market-insights/latest-news/electric-power/052020-germany-agrees-eur25mt-start-to-co2-tax-for-transport-heatin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A38A1-C9BD-41F1-B68E-BDF83F1B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15</Pages>
  <Words>7251</Words>
  <Characters>41335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Sommerfeld</dc:creator>
  <cp:lastModifiedBy>Mark Sommerfeld</cp:lastModifiedBy>
  <cp:revision>12</cp:revision>
  <dcterms:created xsi:type="dcterms:W3CDTF">2020-11-11T20:50:00Z</dcterms:created>
  <dcterms:modified xsi:type="dcterms:W3CDTF">2020-11-12T13:03:00Z</dcterms:modified>
</cp:coreProperties>
</file>