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64ED4" w14:textId="73D247BA" w:rsidR="00522481" w:rsidRDefault="00FC12C7" w:rsidP="00FC12C7">
      <w:pPr>
        <w:jc w:val="center"/>
        <w:rPr>
          <w:rFonts w:cs="Open Sans"/>
          <w:b/>
          <w:bCs/>
          <w:color w:val="06926B"/>
          <w:sz w:val="28"/>
          <w:szCs w:val="28"/>
        </w:rPr>
      </w:pPr>
      <w:r>
        <w:rPr>
          <w:rFonts w:cs="Open Sans"/>
          <w:b/>
          <w:bCs/>
          <w:color w:val="06926B"/>
          <w:sz w:val="28"/>
          <w:szCs w:val="28"/>
        </w:rPr>
        <w:t xml:space="preserve">REA </w:t>
      </w:r>
      <w:r w:rsidR="00435AEC">
        <w:rPr>
          <w:rFonts w:cs="Open Sans"/>
          <w:b/>
          <w:bCs/>
          <w:color w:val="06926B"/>
          <w:sz w:val="28"/>
          <w:szCs w:val="28"/>
        </w:rPr>
        <w:t>Energy Storage</w:t>
      </w:r>
      <w:r>
        <w:rPr>
          <w:rFonts w:cs="Open Sans"/>
          <w:b/>
          <w:bCs/>
          <w:color w:val="06926B"/>
          <w:sz w:val="28"/>
          <w:szCs w:val="28"/>
        </w:rPr>
        <w:t xml:space="preserve"> Forum –</w:t>
      </w:r>
      <w:r w:rsidR="00CD045A">
        <w:rPr>
          <w:rFonts w:cs="Open Sans"/>
          <w:b/>
          <w:bCs/>
          <w:color w:val="06926B"/>
          <w:sz w:val="28"/>
          <w:szCs w:val="28"/>
        </w:rPr>
        <w:t xml:space="preserve"> </w:t>
      </w:r>
      <w:r w:rsidR="00F007C0">
        <w:rPr>
          <w:rFonts w:cs="Open Sans"/>
          <w:b/>
          <w:bCs/>
          <w:color w:val="06926B"/>
          <w:sz w:val="28"/>
          <w:szCs w:val="28"/>
        </w:rPr>
        <w:t>Longer-Duration</w:t>
      </w:r>
      <w:r>
        <w:rPr>
          <w:rFonts w:cs="Open Sans"/>
          <w:b/>
          <w:bCs/>
          <w:color w:val="06926B"/>
          <w:sz w:val="28"/>
          <w:szCs w:val="28"/>
        </w:rPr>
        <w:t xml:space="preserve"> </w:t>
      </w:r>
      <w:r w:rsidR="00AC0185">
        <w:rPr>
          <w:rFonts w:cs="Open Sans"/>
          <w:b/>
          <w:bCs/>
          <w:color w:val="06926B"/>
          <w:sz w:val="28"/>
          <w:szCs w:val="28"/>
        </w:rPr>
        <w:t>E</w:t>
      </w:r>
      <w:r w:rsidR="008E7C11">
        <w:rPr>
          <w:rFonts w:cs="Open Sans"/>
          <w:b/>
          <w:bCs/>
          <w:color w:val="06926B"/>
          <w:sz w:val="28"/>
          <w:szCs w:val="28"/>
        </w:rPr>
        <w:t>nergy</w:t>
      </w:r>
      <w:r w:rsidR="00AC0185">
        <w:rPr>
          <w:rFonts w:cs="Open Sans"/>
          <w:b/>
          <w:bCs/>
          <w:color w:val="06926B"/>
          <w:sz w:val="28"/>
          <w:szCs w:val="28"/>
        </w:rPr>
        <w:t xml:space="preserve"> Storage </w:t>
      </w:r>
      <w:r>
        <w:rPr>
          <w:rFonts w:cs="Open Sans"/>
          <w:b/>
          <w:bCs/>
          <w:color w:val="06926B"/>
          <w:sz w:val="28"/>
          <w:szCs w:val="28"/>
        </w:rPr>
        <w:t xml:space="preserve">Work Group </w:t>
      </w:r>
      <w:r w:rsidR="00F33703">
        <w:rPr>
          <w:rFonts w:cs="Open Sans"/>
          <w:b/>
          <w:bCs/>
          <w:color w:val="06926B"/>
          <w:sz w:val="28"/>
          <w:szCs w:val="28"/>
        </w:rPr>
        <w:t xml:space="preserve">– Meeting </w:t>
      </w:r>
      <w:r w:rsidR="00F742FB">
        <w:rPr>
          <w:rFonts w:cs="Open Sans"/>
          <w:b/>
          <w:bCs/>
          <w:color w:val="06926B"/>
          <w:sz w:val="28"/>
          <w:szCs w:val="28"/>
        </w:rPr>
        <w:t>Not</w:t>
      </w:r>
      <w:r w:rsidR="00F33703">
        <w:rPr>
          <w:rFonts w:cs="Open Sans"/>
          <w:b/>
          <w:bCs/>
          <w:color w:val="06926B"/>
          <w:sz w:val="28"/>
          <w:szCs w:val="28"/>
        </w:rPr>
        <w:t>es</w:t>
      </w:r>
    </w:p>
    <w:p w14:paraId="730A571D" w14:textId="7980E7C3" w:rsidR="00FC12C7" w:rsidRPr="00C66AEF" w:rsidRDefault="008E7C11" w:rsidP="00FC12C7">
      <w:pPr>
        <w:jc w:val="center"/>
        <w:rPr>
          <w:rFonts w:cs="Open Sans"/>
          <w:b/>
          <w:bCs/>
          <w:color w:val="06926B"/>
          <w:sz w:val="22"/>
        </w:rPr>
      </w:pPr>
      <w:r>
        <w:rPr>
          <w:rFonts w:cs="Open Sans"/>
          <w:b/>
          <w:bCs/>
          <w:color w:val="06926B"/>
          <w:sz w:val="22"/>
        </w:rPr>
        <w:t>12 October</w:t>
      </w:r>
      <w:r w:rsidR="00F33703" w:rsidRPr="00C66AEF">
        <w:rPr>
          <w:rFonts w:cs="Open Sans"/>
          <w:b/>
          <w:bCs/>
          <w:color w:val="06926B"/>
          <w:sz w:val="22"/>
        </w:rPr>
        <w:t xml:space="preserve"> 2020</w:t>
      </w:r>
    </w:p>
    <w:p w14:paraId="65E358A1" w14:textId="1DDFDCC5" w:rsidR="00F33703" w:rsidRDefault="004F6408" w:rsidP="003A4C6C">
      <w:pPr>
        <w:pStyle w:val="NoSpacing"/>
        <w:rPr>
          <w:rFonts w:ascii="Open Sans" w:hAnsi="Open Sans" w:cs="Open Sans"/>
          <w:b/>
          <w:bCs/>
          <w:color w:val="06926B"/>
        </w:rPr>
      </w:pPr>
      <w:r>
        <w:rPr>
          <w:rFonts w:ascii="Open Sans" w:hAnsi="Open Sans" w:cs="Open Sans"/>
          <w:b/>
          <w:bCs/>
          <w:color w:val="06926B"/>
        </w:rPr>
        <w:t>Attendees</w:t>
      </w:r>
    </w:p>
    <w:p w14:paraId="74D16A09" w14:textId="77777777" w:rsidR="00F33703" w:rsidRDefault="00F33703" w:rsidP="003A4C6C">
      <w:pPr>
        <w:pStyle w:val="NoSpacing"/>
        <w:rPr>
          <w:rFonts w:ascii="Open Sans" w:hAnsi="Open Sans" w:cs="Open Sans"/>
          <w:b/>
          <w:bCs/>
          <w:color w:val="06926B"/>
        </w:rPr>
      </w:pPr>
    </w:p>
    <w:p w14:paraId="7B7E5403" w14:textId="55B85757" w:rsidR="00F33703" w:rsidRDefault="00F33703" w:rsidP="003A4C6C">
      <w:pPr>
        <w:pStyle w:val="NoSpacing"/>
        <w:rPr>
          <w:rFonts w:ascii="Open Sans" w:hAnsi="Open Sans" w:cs="Open Sans"/>
        </w:rPr>
      </w:pPr>
      <w:r>
        <w:rPr>
          <w:rFonts w:ascii="Open Sans" w:hAnsi="Open Sans" w:cs="Open Sans"/>
        </w:rPr>
        <w:t>Work Group Chair: Marcelo Torres (Drax)</w:t>
      </w:r>
    </w:p>
    <w:p w14:paraId="1BFB7D40" w14:textId="5C1CBE0B" w:rsidR="00F33703" w:rsidRDefault="00F33703" w:rsidP="003A4C6C">
      <w:pPr>
        <w:pStyle w:val="NoSpacing"/>
        <w:rPr>
          <w:rFonts w:ascii="Open Sans" w:hAnsi="Open Sans" w:cs="Open Sans"/>
        </w:rPr>
      </w:pPr>
      <w:r>
        <w:rPr>
          <w:rFonts w:ascii="Open Sans" w:hAnsi="Open Sans" w:cs="Open Sans"/>
        </w:rPr>
        <w:t>Energy Storage Forum Chair: Vijay Shinde</w:t>
      </w:r>
      <w:r w:rsidR="009A0419">
        <w:rPr>
          <w:rFonts w:ascii="Open Sans" w:hAnsi="Open Sans" w:cs="Open Sans"/>
        </w:rPr>
        <w:t xml:space="preserve"> (Harmony Energy)</w:t>
      </w:r>
    </w:p>
    <w:p w14:paraId="55B39079" w14:textId="130F4709" w:rsidR="004F6408" w:rsidRDefault="004F6408" w:rsidP="003A4C6C">
      <w:pPr>
        <w:pStyle w:val="NoSpacing"/>
        <w:rPr>
          <w:rFonts w:ascii="Open Sans" w:hAnsi="Open Sans" w:cs="Open Sans"/>
        </w:rPr>
      </w:pPr>
      <w:r>
        <w:rPr>
          <w:rFonts w:ascii="Open Sans" w:hAnsi="Open Sans" w:cs="Open Sans"/>
        </w:rPr>
        <w:t>REA: Daniel Brown, Frank Gordon, Isobel Morris.</w:t>
      </w:r>
    </w:p>
    <w:p w14:paraId="541D654E" w14:textId="06C445BE" w:rsidR="00F33703" w:rsidRDefault="00F33703" w:rsidP="003A4C6C">
      <w:pPr>
        <w:pStyle w:val="NoSpacing"/>
        <w:rPr>
          <w:rFonts w:ascii="Open Sans" w:hAnsi="Open Sans" w:cs="Open Sans"/>
        </w:rPr>
      </w:pPr>
    </w:p>
    <w:p w14:paraId="2EF41CC0" w14:textId="6BEE560D" w:rsidR="00332F37" w:rsidRDefault="008E7C11" w:rsidP="003A4C6C">
      <w:pPr>
        <w:pStyle w:val="NoSpacing"/>
        <w:rPr>
          <w:rFonts w:ascii="Open Sans" w:hAnsi="Open Sans" w:cs="Open Sans"/>
        </w:rPr>
      </w:pPr>
      <w:r>
        <w:rPr>
          <w:rFonts w:ascii="Open Sans" w:hAnsi="Open Sans" w:cs="Open Sans"/>
        </w:rPr>
        <w:t>A</w:t>
      </w:r>
      <w:r w:rsidR="009A0419">
        <w:rPr>
          <w:rFonts w:ascii="Open Sans" w:hAnsi="Open Sans" w:cs="Open Sans"/>
        </w:rPr>
        <w:t>ttendees:</w:t>
      </w:r>
      <w:r w:rsidR="00597D47">
        <w:rPr>
          <w:rFonts w:ascii="Open Sans" w:hAnsi="Open Sans" w:cs="Open Sans"/>
        </w:rPr>
        <w:t xml:space="preserve"> </w:t>
      </w:r>
      <w:r>
        <w:rPr>
          <w:rFonts w:ascii="Open Sans" w:hAnsi="Open Sans" w:cs="Open Sans"/>
        </w:rPr>
        <w:t xml:space="preserve">Bioenergy Infrastructure, Carter Jonas, Clarke Energy, </w:t>
      </w:r>
      <w:proofErr w:type="spellStart"/>
      <w:r>
        <w:rPr>
          <w:rFonts w:ascii="Open Sans" w:hAnsi="Open Sans" w:cs="Open Sans"/>
        </w:rPr>
        <w:t>Erova</w:t>
      </w:r>
      <w:proofErr w:type="spellEnd"/>
      <w:r>
        <w:rPr>
          <w:rFonts w:ascii="Open Sans" w:hAnsi="Open Sans" w:cs="Open Sans"/>
        </w:rPr>
        <w:t xml:space="preserve"> Energy, Highview Power, ITM Power, </w:t>
      </w:r>
      <w:proofErr w:type="spellStart"/>
      <w:r>
        <w:rPr>
          <w:rFonts w:ascii="Open Sans" w:hAnsi="Open Sans" w:cs="Open Sans"/>
        </w:rPr>
        <w:t>Renepower</w:t>
      </w:r>
      <w:proofErr w:type="spellEnd"/>
      <w:r>
        <w:rPr>
          <w:rFonts w:ascii="Open Sans" w:hAnsi="Open Sans" w:cs="Open Sans"/>
        </w:rPr>
        <w:t xml:space="preserve">, RWE Generation, Siemens Financial, Storelectric, </w:t>
      </w:r>
      <w:proofErr w:type="spellStart"/>
      <w:r>
        <w:rPr>
          <w:rFonts w:ascii="Open Sans" w:hAnsi="Open Sans" w:cs="Open Sans"/>
        </w:rPr>
        <w:t>Swanbarton</w:t>
      </w:r>
      <w:proofErr w:type="spellEnd"/>
      <w:r>
        <w:rPr>
          <w:rFonts w:ascii="Open Sans" w:hAnsi="Open Sans" w:cs="Open Sans"/>
        </w:rPr>
        <w:t xml:space="preserve">, Syzygy Renewables, </w:t>
      </w:r>
      <w:proofErr w:type="spellStart"/>
      <w:r>
        <w:rPr>
          <w:rFonts w:ascii="Open Sans" w:hAnsi="Open Sans" w:cs="Open Sans"/>
        </w:rPr>
        <w:t>Wattstor</w:t>
      </w:r>
      <w:proofErr w:type="spellEnd"/>
    </w:p>
    <w:p w14:paraId="053EF45E" w14:textId="77777777" w:rsidR="00F33703" w:rsidRPr="00F33703" w:rsidRDefault="00F33703" w:rsidP="003A4C6C">
      <w:pPr>
        <w:pStyle w:val="NoSpacing"/>
        <w:rPr>
          <w:rFonts w:ascii="Open Sans" w:hAnsi="Open Sans" w:cs="Open Sans"/>
        </w:rPr>
      </w:pPr>
    </w:p>
    <w:p w14:paraId="031BA168" w14:textId="77777777" w:rsidR="004F6408" w:rsidRDefault="004F6408" w:rsidP="004F6408">
      <w:pPr>
        <w:spacing w:after="160" w:line="259" w:lineRule="auto"/>
        <w:rPr>
          <w:rFonts w:cs="Open Sans"/>
          <w:b/>
          <w:bCs/>
          <w:color w:val="06926B"/>
          <w:sz w:val="22"/>
        </w:rPr>
      </w:pPr>
      <w:bookmarkStart w:id="0" w:name="_Hlk49958364"/>
      <w:r>
        <w:rPr>
          <w:rFonts w:cs="Open Sans"/>
          <w:b/>
          <w:bCs/>
          <w:color w:val="06926B"/>
          <w:sz w:val="22"/>
        </w:rPr>
        <w:t>Summary</w:t>
      </w:r>
    </w:p>
    <w:p w14:paraId="6667F98C" w14:textId="4DEC03E6" w:rsidR="000D6C39" w:rsidRDefault="00E05B26" w:rsidP="00E05B26">
      <w:pPr>
        <w:spacing w:after="160" w:line="259" w:lineRule="auto"/>
        <w:rPr>
          <w:rFonts w:cs="Open Sans"/>
          <w:sz w:val="22"/>
        </w:rPr>
      </w:pPr>
      <w:r>
        <w:rPr>
          <w:rFonts w:cs="Open Sans"/>
          <w:sz w:val="22"/>
        </w:rPr>
        <w:t xml:space="preserve">Agreed to: </w:t>
      </w:r>
    </w:p>
    <w:p w14:paraId="32EAE4D2" w14:textId="77777777" w:rsidR="00E05B26" w:rsidRDefault="00E05B26" w:rsidP="00E05B26">
      <w:pPr>
        <w:pStyle w:val="ListParagraph"/>
        <w:numPr>
          <w:ilvl w:val="0"/>
          <w:numId w:val="32"/>
        </w:numPr>
        <w:spacing w:after="160" w:line="259" w:lineRule="auto"/>
        <w:rPr>
          <w:rFonts w:cs="Open Sans"/>
          <w:sz w:val="22"/>
        </w:rPr>
      </w:pPr>
      <w:r>
        <w:rPr>
          <w:rFonts w:cs="Open Sans"/>
          <w:sz w:val="22"/>
        </w:rPr>
        <w:t>Consider the Imperial reports alongside FES. Write a paragraph acknowledging the flaws of FES.</w:t>
      </w:r>
    </w:p>
    <w:p w14:paraId="64040A1B" w14:textId="5E9B3A42" w:rsidR="00E05B26" w:rsidRDefault="00E05B26" w:rsidP="00E05B26">
      <w:pPr>
        <w:pStyle w:val="ListParagraph"/>
        <w:numPr>
          <w:ilvl w:val="0"/>
          <w:numId w:val="32"/>
        </w:numPr>
        <w:spacing w:after="160" w:line="259" w:lineRule="auto"/>
        <w:rPr>
          <w:rFonts w:cs="Open Sans"/>
          <w:sz w:val="22"/>
        </w:rPr>
      </w:pPr>
      <w:r>
        <w:rPr>
          <w:rFonts w:cs="Open Sans"/>
          <w:sz w:val="22"/>
        </w:rPr>
        <w:t>Extend the timeframe covered by categor</w:t>
      </w:r>
      <w:r w:rsidR="009C1AB5">
        <w:rPr>
          <w:rFonts w:cs="Open Sans"/>
          <w:sz w:val="22"/>
        </w:rPr>
        <w:t>y</w:t>
      </w:r>
      <w:r>
        <w:rPr>
          <w:rFonts w:cs="Open Sans"/>
          <w:sz w:val="22"/>
        </w:rPr>
        <w:t xml:space="preserve"> C</w:t>
      </w:r>
      <w:r w:rsidR="0003040D">
        <w:rPr>
          <w:rFonts w:cs="Open Sans"/>
          <w:sz w:val="22"/>
        </w:rPr>
        <w:t xml:space="preserve"> to two weeks</w:t>
      </w:r>
    </w:p>
    <w:p w14:paraId="725E7162" w14:textId="4C90A483" w:rsidR="00E05B26" w:rsidRPr="00E05B26" w:rsidRDefault="00E05B26" w:rsidP="00E05B26">
      <w:pPr>
        <w:pStyle w:val="ListParagraph"/>
        <w:numPr>
          <w:ilvl w:val="0"/>
          <w:numId w:val="32"/>
        </w:numPr>
        <w:spacing w:after="160" w:line="259" w:lineRule="auto"/>
        <w:rPr>
          <w:rFonts w:cs="Open Sans"/>
          <w:sz w:val="22"/>
        </w:rPr>
      </w:pPr>
      <w:r>
        <w:rPr>
          <w:rFonts w:cs="Open Sans"/>
          <w:sz w:val="22"/>
        </w:rPr>
        <w:t>Explore Cap &amp; Floor as a likely politically plausible option, while also examining the benefits of RAB</w:t>
      </w:r>
    </w:p>
    <w:p w14:paraId="636A71AE" w14:textId="560BBA7E" w:rsidR="004F6408" w:rsidRPr="00112A50" w:rsidRDefault="004F6408" w:rsidP="004F6408">
      <w:pPr>
        <w:spacing w:after="160" w:line="259" w:lineRule="auto"/>
        <w:rPr>
          <w:rFonts w:cs="Open Sans"/>
          <w:b/>
          <w:bCs/>
          <w:color w:val="06926B"/>
          <w:sz w:val="22"/>
        </w:rPr>
      </w:pPr>
      <w:r>
        <w:rPr>
          <w:rFonts w:cs="Open Sans"/>
          <w:b/>
          <w:bCs/>
          <w:color w:val="06926B"/>
          <w:sz w:val="22"/>
        </w:rPr>
        <w:t xml:space="preserve">Actions </w:t>
      </w:r>
    </w:p>
    <w:p w14:paraId="32BC9242" w14:textId="26287DD4" w:rsidR="004F6408" w:rsidRPr="00332F37" w:rsidRDefault="004F6408" w:rsidP="008E7C11">
      <w:pPr>
        <w:pStyle w:val="ListParagraph"/>
        <w:numPr>
          <w:ilvl w:val="0"/>
          <w:numId w:val="28"/>
        </w:numPr>
        <w:spacing w:after="160" w:line="259" w:lineRule="auto"/>
        <w:rPr>
          <w:rFonts w:cs="Open Sans"/>
          <w:sz w:val="22"/>
        </w:rPr>
      </w:pPr>
      <w:r w:rsidRPr="00332F37">
        <w:rPr>
          <w:rFonts w:cs="Open Sans"/>
          <w:sz w:val="22"/>
        </w:rPr>
        <w:t>Isobel</w:t>
      </w:r>
      <w:r>
        <w:rPr>
          <w:rFonts w:cs="Open Sans"/>
          <w:sz w:val="22"/>
        </w:rPr>
        <w:t xml:space="preserve"> </w:t>
      </w:r>
      <w:r w:rsidRPr="00332F37">
        <w:rPr>
          <w:rFonts w:cs="Open Sans"/>
          <w:sz w:val="22"/>
        </w:rPr>
        <w:t>to distribute minutes</w:t>
      </w:r>
    </w:p>
    <w:p w14:paraId="754E5C0B" w14:textId="2431695F" w:rsidR="004F6408" w:rsidRDefault="004F6408" w:rsidP="008E7C11">
      <w:pPr>
        <w:pStyle w:val="ListParagraph"/>
        <w:numPr>
          <w:ilvl w:val="0"/>
          <w:numId w:val="28"/>
        </w:numPr>
        <w:spacing w:after="160" w:line="259" w:lineRule="auto"/>
        <w:rPr>
          <w:rFonts w:cs="Open Sans"/>
          <w:sz w:val="22"/>
        </w:rPr>
      </w:pPr>
      <w:r w:rsidRPr="00332F37">
        <w:rPr>
          <w:rFonts w:cs="Open Sans"/>
          <w:sz w:val="22"/>
        </w:rPr>
        <w:t xml:space="preserve">REA and Marcelo (Drax) - to </w:t>
      </w:r>
      <w:r w:rsidR="008E7C11">
        <w:rPr>
          <w:rFonts w:cs="Open Sans"/>
          <w:sz w:val="22"/>
        </w:rPr>
        <w:t>review draft paper and distribute the second draft ahead of the next meeting</w:t>
      </w:r>
    </w:p>
    <w:p w14:paraId="7BB990CE" w14:textId="6B05F017" w:rsidR="008E7C11" w:rsidRPr="004F6408" w:rsidRDefault="008E7C11" w:rsidP="008E7C11">
      <w:pPr>
        <w:pStyle w:val="ListParagraph"/>
        <w:numPr>
          <w:ilvl w:val="0"/>
          <w:numId w:val="28"/>
        </w:numPr>
        <w:spacing w:after="160" w:line="259" w:lineRule="auto"/>
        <w:rPr>
          <w:rFonts w:cs="Open Sans"/>
          <w:sz w:val="22"/>
        </w:rPr>
      </w:pPr>
      <w:r>
        <w:rPr>
          <w:rFonts w:cs="Open Sans"/>
          <w:sz w:val="22"/>
        </w:rPr>
        <w:t xml:space="preserve">Isobel to organise the next meeting, proposed </w:t>
      </w:r>
      <w:r w:rsidR="003827D8">
        <w:rPr>
          <w:rFonts w:cs="Open Sans"/>
          <w:sz w:val="22"/>
        </w:rPr>
        <w:t>towards the end of N</w:t>
      </w:r>
      <w:r>
        <w:rPr>
          <w:rFonts w:cs="Open Sans"/>
          <w:sz w:val="22"/>
        </w:rPr>
        <w:t>ovember</w:t>
      </w:r>
    </w:p>
    <w:bookmarkEnd w:id="0"/>
    <w:p w14:paraId="1C9A3E3C" w14:textId="418F650F" w:rsidR="005F72DB" w:rsidRPr="00112A50" w:rsidRDefault="005F72DB" w:rsidP="005F72DB">
      <w:pPr>
        <w:spacing w:after="160" w:line="259" w:lineRule="auto"/>
        <w:rPr>
          <w:rFonts w:cs="Open Sans"/>
          <w:b/>
          <w:bCs/>
          <w:color w:val="06926B"/>
          <w:sz w:val="22"/>
        </w:rPr>
      </w:pPr>
      <w:r w:rsidRPr="00112A50">
        <w:rPr>
          <w:rFonts w:cs="Open Sans"/>
          <w:b/>
          <w:bCs/>
          <w:color w:val="06926B"/>
          <w:sz w:val="22"/>
        </w:rPr>
        <w:t>Discussion</w:t>
      </w:r>
    </w:p>
    <w:p w14:paraId="177218B4" w14:textId="7D965A45" w:rsidR="00E518D4" w:rsidRDefault="00E05B26" w:rsidP="00E05B26">
      <w:pPr>
        <w:spacing w:after="160" w:line="259" w:lineRule="auto"/>
        <w:rPr>
          <w:rFonts w:cs="Open Sans"/>
          <w:sz w:val="22"/>
        </w:rPr>
      </w:pPr>
      <w:r>
        <w:rPr>
          <w:rFonts w:cs="Open Sans"/>
          <w:sz w:val="22"/>
        </w:rPr>
        <w:t xml:space="preserve">Comment – look at Technology </w:t>
      </w:r>
      <w:r w:rsidR="00E518D4">
        <w:rPr>
          <w:rFonts w:cs="Open Sans"/>
          <w:sz w:val="22"/>
        </w:rPr>
        <w:t xml:space="preserve">&amp; </w:t>
      </w:r>
      <w:r>
        <w:rPr>
          <w:rFonts w:cs="Open Sans"/>
          <w:sz w:val="22"/>
        </w:rPr>
        <w:t xml:space="preserve">Innovation Needs Analysis </w:t>
      </w:r>
      <w:r w:rsidR="00E518D4">
        <w:rPr>
          <w:rFonts w:cs="Open Sans"/>
          <w:sz w:val="22"/>
        </w:rPr>
        <w:t xml:space="preserve">2017 – a government report. 27.4 GW new storage needed of an average of 5 hours. </w:t>
      </w:r>
    </w:p>
    <w:p w14:paraId="1816EA76" w14:textId="1AF4C54B" w:rsidR="00E518D4" w:rsidRDefault="00E518D4" w:rsidP="00E05B26">
      <w:pPr>
        <w:spacing w:after="160" w:line="259" w:lineRule="auto"/>
        <w:rPr>
          <w:rFonts w:cs="Open Sans"/>
          <w:sz w:val="22"/>
        </w:rPr>
      </w:pPr>
      <w:r>
        <w:rPr>
          <w:rFonts w:cs="Open Sans"/>
          <w:sz w:val="22"/>
        </w:rPr>
        <w:t xml:space="preserve">Comments on NG annual FES report - Every year the requirement for storage goes up. </w:t>
      </w:r>
      <w:proofErr w:type="gramStart"/>
      <w:r>
        <w:rPr>
          <w:rFonts w:cs="Open Sans"/>
          <w:sz w:val="22"/>
        </w:rPr>
        <w:t>NG &amp; all of</w:t>
      </w:r>
      <w:proofErr w:type="gramEnd"/>
      <w:r>
        <w:rPr>
          <w:rFonts w:cs="Open Sans"/>
          <w:sz w:val="22"/>
        </w:rPr>
        <w:t xml:space="preserve"> the reports are based on dispatch models. Dispatch models </w:t>
      </w:r>
      <w:r w:rsidR="0003040D">
        <w:rPr>
          <w:rFonts w:cs="Open Sans"/>
          <w:sz w:val="22"/>
        </w:rPr>
        <w:t xml:space="preserve">involve making </w:t>
      </w:r>
      <w:proofErr w:type="gramStart"/>
      <w:r w:rsidR="0003040D">
        <w:rPr>
          <w:rFonts w:cs="Open Sans"/>
          <w:sz w:val="22"/>
        </w:rPr>
        <w:t>a number of</w:t>
      </w:r>
      <w:proofErr w:type="gramEnd"/>
      <w:r w:rsidR="0003040D">
        <w:rPr>
          <w:rFonts w:cs="Open Sans"/>
          <w:sz w:val="22"/>
        </w:rPr>
        <w:t xml:space="preserve"> assumptions which may not be accurate.</w:t>
      </w:r>
      <w:r w:rsidR="00FB7664">
        <w:rPr>
          <w:rFonts w:cs="Open Sans"/>
          <w:sz w:val="22"/>
        </w:rPr>
        <w:t xml:space="preserve"> </w:t>
      </w:r>
      <w:r w:rsidR="0003040D">
        <w:rPr>
          <w:rFonts w:cs="Open Sans"/>
          <w:sz w:val="22"/>
        </w:rPr>
        <w:t xml:space="preserve"> Also, r</w:t>
      </w:r>
      <w:r>
        <w:rPr>
          <w:rFonts w:cs="Open Sans"/>
          <w:sz w:val="22"/>
        </w:rPr>
        <w:t xml:space="preserve">esults based on </w:t>
      </w:r>
      <w:r w:rsidR="0003040D">
        <w:rPr>
          <w:rFonts w:cs="Open Sans"/>
          <w:sz w:val="22"/>
        </w:rPr>
        <w:t xml:space="preserve">the </w:t>
      </w:r>
      <w:r>
        <w:rPr>
          <w:rFonts w:cs="Open Sans"/>
          <w:sz w:val="22"/>
        </w:rPr>
        <w:t>dispatch model</w:t>
      </w:r>
      <w:r w:rsidR="0003040D">
        <w:rPr>
          <w:rFonts w:cs="Open Sans"/>
          <w:sz w:val="22"/>
        </w:rPr>
        <w:t xml:space="preserve"> </w:t>
      </w:r>
      <w:proofErr w:type="gramStart"/>
      <w:r w:rsidR="0003040D">
        <w:rPr>
          <w:rFonts w:cs="Open Sans"/>
          <w:sz w:val="22"/>
        </w:rPr>
        <w:t>don’t</w:t>
      </w:r>
      <w:proofErr w:type="gramEnd"/>
      <w:r w:rsidR="0003040D">
        <w:rPr>
          <w:rFonts w:cs="Open Sans"/>
          <w:sz w:val="22"/>
        </w:rPr>
        <w:t xml:space="preserve"> </w:t>
      </w:r>
      <w:r>
        <w:rPr>
          <w:rFonts w:cs="Open Sans"/>
          <w:sz w:val="22"/>
        </w:rPr>
        <w:t xml:space="preserve">attribute value to system services. This is an issue with </w:t>
      </w:r>
      <w:r w:rsidR="0003040D">
        <w:rPr>
          <w:rFonts w:cs="Open Sans"/>
          <w:sz w:val="22"/>
        </w:rPr>
        <w:t xml:space="preserve">FES and </w:t>
      </w:r>
      <w:r>
        <w:rPr>
          <w:rFonts w:cs="Open Sans"/>
          <w:sz w:val="22"/>
        </w:rPr>
        <w:t xml:space="preserve">the Jacob’s piece– look at 2012 Strategic Value of Energy Storage, and 2016 (already referred to in draft). </w:t>
      </w:r>
      <w:proofErr w:type="gramStart"/>
      <w:r>
        <w:rPr>
          <w:rFonts w:cs="Open Sans"/>
          <w:sz w:val="22"/>
        </w:rPr>
        <w:t>Also</w:t>
      </w:r>
      <w:proofErr w:type="gramEnd"/>
      <w:r>
        <w:rPr>
          <w:rFonts w:cs="Open Sans"/>
          <w:sz w:val="22"/>
        </w:rPr>
        <w:t xml:space="preserve"> should examine gas infrastructure.</w:t>
      </w:r>
    </w:p>
    <w:p w14:paraId="7F773427" w14:textId="6982887D" w:rsidR="00E066C9" w:rsidRPr="00E066C9" w:rsidRDefault="00E066C9" w:rsidP="00E05B26">
      <w:pPr>
        <w:spacing w:after="160" w:line="259" w:lineRule="auto"/>
        <w:rPr>
          <w:rFonts w:cs="Open Sans"/>
          <w:sz w:val="22"/>
        </w:rPr>
      </w:pPr>
      <w:r>
        <w:rPr>
          <w:rFonts w:cs="Open Sans"/>
          <w:sz w:val="22"/>
        </w:rPr>
        <w:t xml:space="preserve">Comment (online chat) - </w:t>
      </w:r>
      <w:r w:rsidRPr="00E066C9">
        <w:rPr>
          <w:color w:val="000000"/>
          <w:sz w:val="22"/>
        </w:rPr>
        <w:t xml:space="preserve">let’s look at </w:t>
      </w:r>
      <w:proofErr w:type="gramStart"/>
      <w:r w:rsidRPr="00E066C9">
        <w:rPr>
          <w:color w:val="000000"/>
          <w:sz w:val="22"/>
        </w:rPr>
        <w:t>inertia;</w:t>
      </w:r>
      <w:proofErr w:type="gramEnd"/>
      <w:r w:rsidRPr="00E066C9">
        <w:rPr>
          <w:color w:val="000000"/>
          <w:sz w:val="22"/>
        </w:rPr>
        <w:t xml:space="preserve"> increasing storage per grid connection/reinforcement size, back up to distributed networks, constraint management, grid upgrade deferral. </w:t>
      </w:r>
    </w:p>
    <w:p w14:paraId="569154A9" w14:textId="29BEC5E3" w:rsidR="00E518D4" w:rsidRDefault="00E518D4" w:rsidP="00E05B26">
      <w:pPr>
        <w:spacing w:after="160" w:line="259" w:lineRule="auto"/>
        <w:rPr>
          <w:rFonts w:cs="Open Sans"/>
          <w:sz w:val="22"/>
        </w:rPr>
      </w:pPr>
      <w:r>
        <w:rPr>
          <w:rFonts w:cs="Open Sans"/>
          <w:sz w:val="22"/>
        </w:rPr>
        <w:t>Comment – Category C should be two weeks.</w:t>
      </w:r>
    </w:p>
    <w:p w14:paraId="16BA6FE8" w14:textId="10257EF7" w:rsidR="00E066C9" w:rsidRDefault="00E066C9" w:rsidP="00E05B26">
      <w:pPr>
        <w:spacing w:after="160" w:line="259" w:lineRule="auto"/>
        <w:rPr>
          <w:rFonts w:cs="Open Sans"/>
          <w:sz w:val="22"/>
        </w:rPr>
      </w:pPr>
      <w:r>
        <w:rPr>
          <w:rFonts w:cs="Open Sans"/>
          <w:sz w:val="22"/>
        </w:rPr>
        <w:lastRenderedPageBreak/>
        <w:t>Comment (online chat) – if you include hydrogen in this way, you risk excluding other forms of electricity storage.</w:t>
      </w:r>
    </w:p>
    <w:p w14:paraId="17F502A6" w14:textId="5730653C" w:rsidR="00E518D4" w:rsidRDefault="00E518D4" w:rsidP="00E05B26">
      <w:pPr>
        <w:spacing w:after="160" w:line="259" w:lineRule="auto"/>
        <w:rPr>
          <w:rFonts w:cs="Open Sans"/>
          <w:sz w:val="22"/>
        </w:rPr>
      </w:pPr>
      <w:r>
        <w:rPr>
          <w:rFonts w:cs="Open Sans"/>
          <w:sz w:val="22"/>
        </w:rPr>
        <w:t>Comment – REA did a report with BNEF in 2018 that would be useful.</w:t>
      </w:r>
    </w:p>
    <w:p w14:paraId="76A8A63B" w14:textId="7FA598D6" w:rsidR="00E518D4" w:rsidRDefault="00E518D4" w:rsidP="00E05B26">
      <w:pPr>
        <w:spacing w:after="160" w:line="259" w:lineRule="auto"/>
        <w:rPr>
          <w:rFonts w:cs="Open Sans"/>
          <w:sz w:val="22"/>
        </w:rPr>
      </w:pPr>
      <w:r>
        <w:rPr>
          <w:rFonts w:cs="Open Sans"/>
          <w:sz w:val="22"/>
        </w:rPr>
        <w:t xml:space="preserve">Comment – </w:t>
      </w:r>
      <w:proofErr w:type="spellStart"/>
      <w:r>
        <w:rPr>
          <w:rFonts w:cs="Open Sans"/>
          <w:sz w:val="22"/>
        </w:rPr>
        <w:t>lets</w:t>
      </w:r>
      <w:proofErr w:type="spellEnd"/>
      <w:r>
        <w:rPr>
          <w:rFonts w:cs="Open Sans"/>
          <w:sz w:val="22"/>
        </w:rPr>
        <w:t xml:space="preserve"> put in a section highlighting areas that have been missing so far. Inertia not considered in FES. </w:t>
      </w:r>
    </w:p>
    <w:p w14:paraId="0EE5399D" w14:textId="2A677574" w:rsidR="006C0936" w:rsidRDefault="006C0936" w:rsidP="00E05B26">
      <w:pPr>
        <w:spacing w:after="160" w:line="259" w:lineRule="auto"/>
        <w:rPr>
          <w:rFonts w:cs="Open Sans"/>
          <w:sz w:val="22"/>
        </w:rPr>
      </w:pPr>
      <w:r>
        <w:rPr>
          <w:rFonts w:cs="Open Sans"/>
          <w:sz w:val="22"/>
        </w:rPr>
        <w:t xml:space="preserve">Comment – meeting with FES modellers would be useful. To comment on the granularity. </w:t>
      </w:r>
    </w:p>
    <w:p w14:paraId="5E119DBC" w14:textId="76D276F0" w:rsidR="006C0936" w:rsidRDefault="006C0936" w:rsidP="00E05B26">
      <w:pPr>
        <w:spacing w:after="160" w:line="259" w:lineRule="auto"/>
        <w:rPr>
          <w:rFonts w:cs="Open Sans"/>
          <w:sz w:val="22"/>
        </w:rPr>
      </w:pPr>
      <w:r>
        <w:rPr>
          <w:rFonts w:cs="Open Sans"/>
          <w:sz w:val="22"/>
        </w:rPr>
        <w:t>Comment – dispatch models are a matrix of assumptions.</w:t>
      </w:r>
    </w:p>
    <w:p w14:paraId="0329CEF3" w14:textId="735A1569" w:rsidR="006C0936" w:rsidRDefault="006C0936" w:rsidP="00E05B26">
      <w:pPr>
        <w:spacing w:after="160" w:line="259" w:lineRule="auto"/>
        <w:rPr>
          <w:rFonts w:cs="Open Sans"/>
          <w:sz w:val="22"/>
        </w:rPr>
      </w:pPr>
      <w:r>
        <w:rPr>
          <w:rFonts w:cs="Open Sans"/>
          <w:sz w:val="22"/>
        </w:rPr>
        <w:t>Comment – ESO is an REA member and will be keen to engage on this piece.</w:t>
      </w:r>
    </w:p>
    <w:p w14:paraId="61F4424C" w14:textId="5F75B5B3" w:rsidR="006C0936" w:rsidRDefault="006C0936" w:rsidP="00E05B26">
      <w:pPr>
        <w:spacing w:after="160" w:line="259" w:lineRule="auto"/>
        <w:rPr>
          <w:rFonts w:cs="Open Sans"/>
          <w:sz w:val="22"/>
        </w:rPr>
      </w:pPr>
      <w:r>
        <w:rPr>
          <w:rFonts w:cs="Open Sans"/>
          <w:sz w:val="22"/>
        </w:rPr>
        <w:t xml:space="preserve">Comment – </w:t>
      </w:r>
      <w:r w:rsidR="0003040D">
        <w:rPr>
          <w:rFonts w:cs="Open Sans"/>
          <w:sz w:val="22"/>
        </w:rPr>
        <w:t xml:space="preserve">enabling </w:t>
      </w:r>
      <w:r>
        <w:rPr>
          <w:rFonts w:cs="Open Sans"/>
          <w:sz w:val="22"/>
        </w:rPr>
        <w:t>flexibility is not the focus</w:t>
      </w:r>
      <w:r w:rsidR="0003040D">
        <w:rPr>
          <w:rFonts w:cs="Open Sans"/>
          <w:sz w:val="22"/>
        </w:rPr>
        <w:t xml:space="preserve"> of the current market desig</w:t>
      </w:r>
      <w:r w:rsidR="00FB7664">
        <w:rPr>
          <w:rFonts w:cs="Open Sans"/>
          <w:sz w:val="22"/>
        </w:rPr>
        <w:t>n</w:t>
      </w:r>
      <w:r>
        <w:rPr>
          <w:rFonts w:cs="Open Sans"/>
          <w:sz w:val="22"/>
        </w:rPr>
        <w:t xml:space="preserve">. </w:t>
      </w:r>
      <w:r w:rsidR="0003040D">
        <w:rPr>
          <w:rFonts w:cs="Open Sans"/>
          <w:sz w:val="22"/>
        </w:rPr>
        <w:t>EMR instruments (</w:t>
      </w:r>
      <w:proofErr w:type="spellStart"/>
      <w:r w:rsidR="0003040D">
        <w:rPr>
          <w:rFonts w:cs="Open Sans"/>
          <w:sz w:val="22"/>
        </w:rPr>
        <w:t>CfD</w:t>
      </w:r>
      <w:proofErr w:type="spellEnd"/>
      <w:r w:rsidR="0003040D">
        <w:rPr>
          <w:rFonts w:cs="Open Sans"/>
          <w:sz w:val="22"/>
        </w:rPr>
        <w:t xml:space="preserve"> and </w:t>
      </w:r>
      <w:r>
        <w:rPr>
          <w:rFonts w:cs="Open Sans"/>
          <w:sz w:val="22"/>
        </w:rPr>
        <w:t>CM</w:t>
      </w:r>
      <w:r w:rsidR="0003040D">
        <w:rPr>
          <w:rFonts w:cs="Open Sans"/>
          <w:sz w:val="22"/>
        </w:rPr>
        <w:t>) do</w:t>
      </w:r>
      <w:r>
        <w:rPr>
          <w:rFonts w:cs="Open Sans"/>
          <w:sz w:val="22"/>
        </w:rPr>
        <w:t xml:space="preserve"> not cater for flexibility.</w:t>
      </w:r>
    </w:p>
    <w:p w14:paraId="0768CA8D" w14:textId="0638A4D4" w:rsidR="006C0936" w:rsidRDefault="006C0936" w:rsidP="00E05B26">
      <w:pPr>
        <w:spacing w:after="160" w:line="259" w:lineRule="auto"/>
        <w:rPr>
          <w:rFonts w:cs="Open Sans"/>
          <w:sz w:val="22"/>
        </w:rPr>
      </w:pPr>
      <w:r>
        <w:rPr>
          <w:rFonts w:cs="Open Sans"/>
          <w:sz w:val="22"/>
        </w:rPr>
        <w:t>Comment – BM – dispatch. Worth highlighting this issue. Some of the issues are with skip rates erodes confidence in skip rates.</w:t>
      </w:r>
    </w:p>
    <w:p w14:paraId="4E0E9E21" w14:textId="31C7AA54" w:rsidR="00E066C9" w:rsidRPr="00E066C9" w:rsidRDefault="00E066C9" w:rsidP="00E066C9">
      <w:pPr>
        <w:pStyle w:val="NormalWeb"/>
        <w:rPr>
          <w:rFonts w:ascii="Open Sans" w:hAnsi="Open Sans" w:cs="Open Sans"/>
          <w:color w:val="000000"/>
        </w:rPr>
      </w:pPr>
      <w:r w:rsidRPr="00E066C9">
        <w:rPr>
          <w:rFonts w:ascii="Open Sans" w:hAnsi="Open Sans" w:cs="Open Sans"/>
        </w:rPr>
        <w:t>Comment (online chat) –</w:t>
      </w:r>
      <w:r w:rsidRPr="00E066C9">
        <w:rPr>
          <w:rFonts w:ascii="Open Sans" w:hAnsi="Open Sans" w:cs="Open Sans"/>
          <w:color w:val="000000"/>
        </w:rPr>
        <w:t xml:space="preserve"> suggest section 3 covers debate over definition of storage as a subset of generation, short-duration contracts, salami-sliced contracts </w:t>
      </w:r>
      <w:proofErr w:type="spellStart"/>
      <w:r w:rsidRPr="00E066C9">
        <w:rPr>
          <w:rFonts w:ascii="Open Sans" w:hAnsi="Open Sans" w:cs="Open Sans"/>
          <w:color w:val="000000"/>
        </w:rPr>
        <w:t>disadavantage</w:t>
      </w:r>
      <w:proofErr w:type="spellEnd"/>
      <w:r w:rsidRPr="00E066C9">
        <w:rPr>
          <w:rFonts w:ascii="Open Sans" w:hAnsi="Open Sans" w:cs="Open Sans"/>
          <w:color w:val="000000"/>
        </w:rPr>
        <w:t xml:space="preserve"> plant with broad capabilities, Short time between contract win and delivery, prevents new plants with new transmission grid connections, CM T-4 is subverted as a second bite as the T-1 cherry instead of supporting new plant, Over 50% of energy bills being non-energy costs reduces the incentives that provide return on investment for storage, lack of consideration of emissions in letting contract, lack of consideration of intermittency in most contracts, failure to adjust OFTO definition to enable offshore wind to benefit from storage, Failure to incentivise the introduction of new technologies (especially at large scale) on the grid</w:t>
      </w:r>
      <w:r w:rsidR="0073095F">
        <w:rPr>
          <w:rFonts w:ascii="Open Sans" w:hAnsi="Open Sans" w:cs="Open Sans"/>
          <w:color w:val="000000"/>
        </w:rPr>
        <w:t>.</w:t>
      </w:r>
    </w:p>
    <w:p w14:paraId="2DBB3B44" w14:textId="77777777" w:rsidR="00E066C9" w:rsidRPr="00E066C9" w:rsidRDefault="00E066C9" w:rsidP="00E066C9">
      <w:pPr>
        <w:pStyle w:val="NormalWeb"/>
        <w:rPr>
          <w:rFonts w:ascii="Open Sans" w:hAnsi="Open Sans" w:cs="Open Sans"/>
          <w:color w:val="000000"/>
        </w:rPr>
      </w:pPr>
    </w:p>
    <w:p w14:paraId="0B356A2E" w14:textId="1B371133" w:rsidR="009D7D00" w:rsidRDefault="009D7D00" w:rsidP="00E05B26">
      <w:pPr>
        <w:spacing w:after="160" w:line="259" w:lineRule="auto"/>
        <w:rPr>
          <w:rFonts w:cs="Open Sans"/>
          <w:sz w:val="22"/>
        </w:rPr>
      </w:pPr>
      <w:r>
        <w:rPr>
          <w:rFonts w:cs="Open Sans"/>
          <w:sz w:val="22"/>
        </w:rPr>
        <w:t>Discussion on structure and scope of work and how the C&amp;F works for generation. Discussion on contract lengths.</w:t>
      </w:r>
    </w:p>
    <w:p w14:paraId="38E20866" w14:textId="730B151A" w:rsidR="009D7D00" w:rsidRDefault="009D7D00" w:rsidP="00E05B26">
      <w:pPr>
        <w:spacing w:after="160" w:line="259" w:lineRule="auto"/>
        <w:rPr>
          <w:rFonts w:cs="Open Sans"/>
          <w:sz w:val="22"/>
        </w:rPr>
      </w:pPr>
      <w:r>
        <w:rPr>
          <w:rFonts w:cs="Open Sans"/>
          <w:sz w:val="22"/>
        </w:rPr>
        <w:t>Discussion on the benefits of whole systems redesign vs making continued tweaks to the existing regulatory system.</w:t>
      </w:r>
    </w:p>
    <w:p w14:paraId="720F4781" w14:textId="0EA99F94" w:rsidR="00E066C9" w:rsidRDefault="00E066C9" w:rsidP="00FB7664">
      <w:pPr>
        <w:pStyle w:val="NormalWeb"/>
      </w:pPr>
    </w:p>
    <w:p w14:paraId="01373699" w14:textId="72E9415B" w:rsidR="00E066C9" w:rsidRDefault="00E066C9" w:rsidP="00E066C9">
      <w:pPr>
        <w:spacing w:after="160" w:line="259" w:lineRule="auto"/>
        <w:rPr>
          <w:rFonts w:cs="Open Sans"/>
          <w:sz w:val="22"/>
        </w:rPr>
      </w:pPr>
      <w:r>
        <w:rPr>
          <w:rFonts w:cs="Open Sans"/>
          <w:sz w:val="22"/>
        </w:rPr>
        <w:t xml:space="preserve">Comment – </w:t>
      </w:r>
      <w:r w:rsidR="0086536B">
        <w:rPr>
          <w:rFonts w:cs="Open Sans"/>
          <w:sz w:val="22"/>
        </w:rPr>
        <w:t xml:space="preserve">agreement that </w:t>
      </w:r>
      <w:r>
        <w:rPr>
          <w:rFonts w:cs="Open Sans"/>
          <w:sz w:val="22"/>
        </w:rPr>
        <w:t xml:space="preserve">whole system reform </w:t>
      </w:r>
      <w:r w:rsidR="0086536B">
        <w:rPr>
          <w:rFonts w:cs="Open Sans"/>
          <w:sz w:val="22"/>
        </w:rPr>
        <w:t xml:space="preserve">(fundamental redesign of the market) is </w:t>
      </w:r>
      <w:r>
        <w:rPr>
          <w:rFonts w:cs="Open Sans"/>
          <w:sz w:val="22"/>
        </w:rPr>
        <w:t>not in scope</w:t>
      </w:r>
      <w:r w:rsidR="0086536B">
        <w:rPr>
          <w:rFonts w:cs="Open Sans"/>
          <w:sz w:val="22"/>
        </w:rPr>
        <w:t xml:space="preserve"> of the paper</w:t>
      </w:r>
      <w:r>
        <w:rPr>
          <w:rFonts w:cs="Open Sans"/>
          <w:sz w:val="22"/>
        </w:rPr>
        <w:t>.</w:t>
      </w:r>
    </w:p>
    <w:p w14:paraId="797D30C0" w14:textId="278735CE" w:rsidR="009D7D00" w:rsidRDefault="009D7D00" w:rsidP="00E066C9">
      <w:pPr>
        <w:spacing w:after="160" w:line="259" w:lineRule="auto"/>
        <w:rPr>
          <w:rFonts w:cs="Open Sans"/>
          <w:sz w:val="22"/>
        </w:rPr>
      </w:pPr>
      <w:r>
        <w:rPr>
          <w:rFonts w:cs="Open Sans"/>
          <w:sz w:val="22"/>
        </w:rPr>
        <w:t xml:space="preserve">Discussion on strengths a RAB vs a CAF model from an </w:t>
      </w:r>
      <w:proofErr w:type="gramStart"/>
      <w:r>
        <w:rPr>
          <w:rFonts w:cs="Open Sans"/>
          <w:sz w:val="22"/>
        </w:rPr>
        <w:t>investors</w:t>
      </w:r>
      <w:proofErr w:type="gramEnd"/>
      <w:r>
        <w:rPr>
          <w:rFonts w:cs="Open Sans"/>
          <w:sz w:val="22"/>
        </w:rPr>
        <w:t xml:space="preserve"> perspective. Discussion on who would administer a potential C&amp;F mechanism and the size of projects it could be open to.</w:t>
      </w:r>
    </w:p>
    <w:p w14:paraId="1A9F6D88" w14:textId="77777777" w:rsidR="009D7D00" w:rsidRDefault="00E066C9" w:rsidP="0073095F">
      <w:pPr>
        <w:pStyle w:val="NormalWeb"/>
        <w:rPr>
          <w:rFonts w:cs="Open Sans"/>
        </w:rPr>
      </w:pPr>
      <w:r w:rsidRPr="009D7D00">
        <w:rPr>
          <w:rFonts w:ascii="Open Sans" w:hAnsi="Open Sans" w:cs="Open Sans"/>
        </w:rPr>
        <w:t>Comment –</w:t>
      </w:r>
      <w:r w:rsidRPr="009D7D00">
        <w:rPr>
          <w:rFonts w:cs="Open Sans"/>
        </w:rPr>
        <w:t>Not in principle opposed to C&amp;F</w:t>
      </w:r>
      <w:r w:rsidR="0086536B" w:rsidRPr="009D7D00">
        <w:rPr>
          <w:rFonts w:cs="Open Sans"/>
        </w:rPr>
        <w:t xml:space="preserve">, assuming </w:t>
      </w:r>
      <w:proofErr w:type="gramStart"/>
      <w:r w:rsidRPr="009D7D00">
        <w:rPr>
          <w:rFonts w:cs="Open Sans"/>
        </w:rPr>
        <w:t>there’s</w:t>
      </w:r>
      <w:proofErr w:type="gramEnd"/>
      <w:r w:rsidRPr="009D7D00">
        <w:rPr>
          <w:rFonts w:cs="Open Sans"/>
        </w:rPr>
        <w:t xml:space="preserve"> no more radical </w:t>
      </w:r>
      <w:r w:rsidR="0086536B" w:rsidRPr="009D7D00">
        <w:rPr>
          <w:rFonts w:cs="Open Sans"/>
        </w:rPr>
        <w:t xml:space="preserve">market design </w:t>
      </w:r>
      <w:r w:rsidRPr="009D7D00">
        <w:rPr>
          <w:rFonts w:cs="Open Sans"/>
        </w:rPr>
        <w:t xml:space="preserve">reform. </w:t>
      </w:r>
    </w:p>
    <w:p w14:paraId="4E6B9647" w14:textId="77777777" w:rsidR="009D7D00" w:rsidRDefault="009D7D00" w:rsidP="0073095F">
      <w:pPr>
        <w:pStyle w:val="NormalWeb"/>
        <w:rPr>
          <w:rFonts w:cs="Open Sans"/>
        </w:rPr>
      </w:pPr>
    </w:p>
    <w:p w14:paraId="5855708F" w14:textId="7139B898" w:rsidR="009D7D00" w:rsidRPr="009D7D00" w:rsidRDefault="009D7D00" w:rsidP="0073095F">
      <w:pPr>
        <w:pStyle w:val="NormalWeb"/>
        <w:rPr>
          <w:rFonts w:ascii="Open Sans" w:hAnsi="Open Sans" w:cs="Open Sans"/>
        </w:rPr>
      </w:pPr>
      <w:r>
        <w:rPr>
          <w:rFonts w:ascii="Open Sans" w:hAnsi="Open Sans" w:cs="Open Sans"/>
        </w:rPr>
        <w:t>General agreement that C&amp;F and RAB both have strengths and weaknesses and should continue to be explored.</w:t>
      </w:r>
    </w:p>
    <w:p w14:paraId="02355C04" w14:textId="77777777" w:rsidR="00E066C9" w:rsidRPr="00E05B26" w:rsidRDefault="00E066C9" w:rsidP="00E05B26">
      <w:pPr>
        <w:spacing w:after="160" w:line="259" w:lineRule="auto"/>
        <w:rPr>
          <w:rFonts w:cs="Open Sans"/>
          <w:sz w:val="22"/>
        </w:rPr>
      </w:pPr>
    </w:p>
    <w:sectPr w:rsidR="00E066C9" w:rsidRPr="00E05B26" w:rsidSect="007D69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DB8E2" w14:textId="77777777" w:rsidR="00F75E21" w:rsidRDefault="00F75E21" w:rsidP="003A4C6C">
      <w:pPr>
        <w:spacing w:after="0" w:line="240" w:lineRule="auto"/>
      </w:pPr>
      <w:r>
        <w:separator/>
      </w:r>
    </w:p>
  </w:endnote>
  <w:endnote w:type="continuationSeparator" w:id="0">
    <w:p w14:paraId="5D0680EE" w14:textId="77777777" w:rsidR="00F75E21" w:rsidRDefault="00F75E21" w:rsidP="003A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8BA28" w14:textId="77777777" w:rsidR="005F72DB" w:rsidRDefault="005F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DF82" w14:textId="6E6FC5D7" w:rsidR="00435AEC" w:rsidRDefault="00802C00" w:rsidP="005F72DB">
    <w:pPr>
      <w:pStyle w:val="Footer"/>
      <w:jc w:val="right"/>
    </w:pPr>
    <w:r>
      <w:t>Confidential for REA member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0865" w14:textId="77777777" w:rsidR="005F72DB" w:rsidRDefault="005F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0F16" w14:textId="77777777" w:rsidR="00F75E21" w:rsidRDefault="00F75E21" w:rsidP="003A4C6C">
      <w:pPr>
        <w:spacing w:after="0" w:line="240" w:lineRule="auto"/>
      </w:pPr>
      <w:r>
        <w:separator/>
      </w:r>
    </w:p>
  </w:footnote>
  <w:footnote w:type="continuationSeparator" w:id="0">
    <w:p w14:paraId="65334F3B" w14:textId="77777777" w:rsidR="00F75E21" w:rsidRDefault="00F75E21" w:rsidP="003A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37E0" w14:textId="77777777" w:rsidR="005F72DB" w:rsidRDefault="005F7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57000" w14:textId="208E33CB" w:rsidR="003A4C6C" w:rsidRDefault="00435AEC">
    <w:pPr>
      <w:pStyle w:val="Header"/>
    </w:pPr>
    <w:r>
      <w:rPr>
        <w:rFonts w:cs="Open Sans"/>
        <w:i/>
        <w:iCs/>
        <w:noProof/>
      </w:rPr>
      <w:drawing>
        <wp:anchor distT="0" distB="0" distL="114300" distR="114300" simplePos="0" relativeHeight="251658240" behindDoc="1" locked="0" layoutInCell="1" allowOverlap="1" wp14:anchorId="27E23DC3" wp14:editId="26447FEE">
          <wp:simplePos x="0" y="0"/>
          <wp:positionH relativeFrom="column">
            <wp:posOffset>4356708</wp:posOffset>
          </wp:positionH>
          <wp:positionV relativeFrom="paragraph">
            <wp:posOffset>-195607</wp:posOffset>
          </wp:positionV>
          <wp:extent cx="1788795" cy="532765"/>
          <wp:effectExtent l="0" t="0" r="1905" b="635"/>
          <wp:wrapTight wrapText="bothSides">
            <wp:wrapPolygon edited="0">
              <wp:start x="0" y="0"/>
              <wp:lineTo x="0" y="20853"/>
              <wp:lineTo x="21393" y="20853"/>
              <wp:lineTo x="21393" y="0"/>
              <wp:lineTo x="0" y="0"/>
            </wp:wrapPolygon>
          </wp:wrapTight>
          <wp:docPr id="2" name="Picture 2"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RGY STORAGE.jpg"/>
                  <pic:cNvPicPr/>
                </pic:nvPicPr>
                <pic:blipFill>
                  <a:blip r:embed="rId1">
                    <a:extLst>
                      <a:ext uri="{28A0092B-C50C-407E-A947-70E740481C1C}">
                        <a14:useLocalDpi xmlns:a14="http://schemas.microsoft.com/office/drawing/2010/main" val="0"/>
                      </a:ext>
                    </a:extLst>
                  </a:blip>
                  <a:stretch>
                    <a:fillRect/>
                  </a:stretch>
                </pic:blipFill>
                <pic:spPr>
                  <a:xfrm>
                    <a:off x="0" y="0"/>
                    <a:ext cx="1788795" cy="532765"/>
                  </a:xfrm>
                  <a:prstGeom prst="rect">
                    <a:avLst/>
                  </a:prstGeom>
                </pic:spPr>
              </pic:pic>
            </a:graphicData>
          </a:graphic>
          <wp14:sizeRelH relativeFrom="margin">
            <wp14:pctWidth>0</wp14:pctWidth>
          </wp14:sizeRelH>
          <wp14:sizeRelV relativeFrom="margin">
            <wp14:pctHeight>0</wp14:pctHeight>
          </wp14:sizeRelV>
        </wp:anchor>
      </w:drawing>
    </w:r>
    <w:r w:rsidR="009C4F3B">
      <w:t>October</w:t>
    </w:r>
    <w:r w:rsidR="009C4F3B">
      <w:t xml:space="preserve"> </w:t>
    </w:r>
    <w:r w:rsidR="003A4C6C">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0A826" w14:textId="77777777" w:rsidR="005F72DB" w:rsidRDefault="005F7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31B0"/>
    <w:multiLevelType w:val="hybridMultilevel"/>
    <w:tmpl w:val="F7C27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77AF8"/>
    <w:multiLevelType w:val="hybridMultilevel"/>
    <w:tmpl w:val="A6E2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471F"/>
    <w:multiLevelType w:val="hybridMultilevel"/>
    <w:tmpl w:val="65B6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A7E7A"/>
    <w:multiLevelType w:val="hybridMultilevel"/>
    <w:tmpl w:val="C07A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446C"/>
    <w:multiLevelType w:val="hybridMultilevel"/>
    <w:tmpl w:val="A8D45790"/>
    <w:lvl w:ilvl="0" w:tplc="4490CF2E">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64177"/>
    <w:multiLevelType w:val="hybridMultilevel"/>
    <w:tmpl w:val="7C72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6159"/>
    <w:multiLevelType w:val="hybridMultilevel"/>
    <w:tmpl w:val="D04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5229F"/>
    <w:multiLevelType w:val="hybridMultilevel"/>
    <w:tmpl w:val="A79C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856C2"/>
    <w:multiLevelType w:val="hybridMultilevel"/>
    <w:tmpl w:val="13E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04E98"/>
    <w:multiLevelType w:val="hybridMultilevel"/>
    <w:tmpl w:val="1F6A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B503A"/>
    <w:multiLevelType w:val="hybridMultilevel"/>
    <w:tmpl w:val="EAB8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3774B"/>
    <w:multiLevelType w:val="hybridMultilevel"/>
    <w:tmpl w:val="799C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D19D7"/>
    <w:multiLevelType w:val="hybridMultilevel"/>
    <w:tmpl w:val="26D2A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79239A"/>
    <w:multiLevelType w:val="hybridMultilevel"/>
    <w:tmpl w:val="4B520934"/>
    <w:lvl w:ilvl="0" w:tplc="D6A27CE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03556"/>
    <w:multiLevelType w:val="hybridMultilevel"/>
    <w:tmpl w:val="C782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C5A0B"/>
    <w:multiLevelType w:val="hybridMultilevel"/>
    <w:tmpl w:val="7A68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23E86"/>
    <w:multiLevelType w:val="hybridMultilevel"/>
    <w:tmpl w:val="C338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3068C"/>
    <w:multiLevelType w:val="hybridMultilevel"/>
    <w:tmpl w:val="C07E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9573BE"/>
    <w:multiLevelType w:val="hybridMultilevel"/>
    <w:tmpl w:val="0D8A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B09C2"/>
    <w:multiLevelType w:val="hybridMultilevel"/>
    <w:tmpl w:val="215E8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7439EC"/>
    <w:multiLevelType w:val="hybridMultilevel"/>
    <w:tmpl w:val="869CB896"/>
    <w:lvl w:ilvl="0" w:tplc="06DEED36">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DD6859"/>
    <w:multiLevelType w:val="hybridMultilevel"/>
    <w:tmpl w:val="C8923356"/>
    <w:lvl w:ilvl="0" w:tplc="06DEED3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D33DB"/>
    <w:multiLevelType w:val="hybridMultilevel"/>
    <w:tmpl w:val="2F64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D5AF1"/>
    <w:multiLevelType w:val="hybridMultilevel"/>
    <w:tmpl w:val="34A8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F551C"/>
    <w:multiLevelType w:val="hybridMultilevel"/>
    <w:tmpl w:val="93C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905D9"/>
    <w:multiLevelType w:val="hybridMultilevel"/>
    <w:tmpl w:val="AC4207C8"/>
    <w:lvl w:ilvl="0" w:tplc="DCEC0CF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A1197D"/>
    <w:multiLevelType w:val="hybridMultilevel"/>
    <w:tmpl w:val="2A66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CB244EA">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F339A"/>
    <w:multiLevelType w:val="hybridMultilevel"/>
    <w:tmpl w:val="B4AC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B7E42"/>
    <w:multiLevelType w:val="hybridMultilevel"/>
    <w:tmpl w:val="92927B8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B17BC5"/>
    <w:multiLevelType w:val="hybridMultilevel"/>
    <w:tmpl w:val="2328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8"/>
  </w:num>
  <w:num w:numId="4">
    <w:abstractNumId w:val="28"/>
  </w:num>
  <w:num w:numId="5">
    <w:abstractNumId w:val="28"/>
  </w:num>
  <w:num w:numId="6">
    <w:abstractNumId w:val="23"/>
  </w:num>
  <w:num w:numId="7">
    <w:abstractNumId w:val="11"/>
  </w:num>
  <w:num w:numId="8">
    <w:abstractNumId w:val="10"/>
  </w:num>
  <w:num w:numId="9">
    <w:abstractNumId w:val="7"/>
  </w:num>
  <w:num w:numId="10">
    <w:abstractNumId w:val="16"/>
  </w:num>
  <w:num w:numId="11">
    <w:abstractNumId w:val="5"/>
  </w:num>
  <w:num w:numId="12">
    <w:abstractNumId w:val="6"/>
  </w:num>
  <w:num w:numId="13">
    <w:abstractNumId w:val="29"/>
  </w:num>
  <w:num w:numId="14">
    <w:abstractNumId w:val="27"/>
  </w:num>
  <w:num w:numId="15">
    <w:abstractNumId w:val="8"/>
  </w:num>
  <w:num w:numId="16">
    <w:abstractNumId w:val="27"/>
  </w:num>
  <w:num w:numId="17">
    <w:abstractNumId w:val="21"/>
  </w:num>
  <w:num w:numId="18">
    <w:abstractNumId w:val="20"/>
  </w:num>
  <w:num w:numId="19">
    <w:abstractNumId w:val="19"/>
  </w:num>
  <w:num w:numId="20">
    <w:abstractNumId w:val="0"/>
  </w:num>
  <w:num w:numId="21">
    <w:abstractNumId w:val="15"/>
  </w:num>
  <w:num w:numId="22">
    <w:abstractNumId w:val="12"/>
  </w:num>
  <w:num w:numId="23">
    <w:abstractNumId w:val="17"/>
  </w:num>
  <w:num w:numId="24">
    <w:abstractNumId w:val="4"/>
  </w:num>
  <w:num w:numId="25">
    <w:abstractNumId w:val="1"/>
  </w:num>
  <w:num w:numId="26">
    <w:abstractNumId w:val="3"/>
  </w:num>
  <w:num w:numId="27">
    <w:abstractNumId w:val="25"/>
  </w:num>
  <w:num w:numId="28">
    <w:abstractNumId w:val="24"/>
  </w:num>
  <w:num w:numId="29">
    <w:abstractNumId w:val="14"/>
  </w:num>
  <w:num w:numId="30">
    <w:abstractNumId w:val="2"/>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27"/>
    <w:rsid w:val="0003040D"/>
    <w:rsid w:val="000316C1"/>
    <w:rsid w:val="0005161E"/>
    <w:rsid w:val="000550D1"/>
    <w:rsid w:val="000777A0"/>
    <w:rsid w:val="000B0A93"/>
    <w:rsid w:val="000C0EAD"/>
    <w:rsid w:val="000C5E5D"/>
    <w:rsid w:val="000D6C39"/>
    <w:rsid w:val="000E3682"/>
    <w:rsid w:val="000F1A10"/>
    <w:rsid w:val="00112A50"/>
    <w:rsid w:val="00113A1F"/>
    <w:rsid w:val="00120F03"/>
    <w:rsid w:val="001252F2"/>
    <w:rsid w:val="0016312F"/>
    <w:rsid w:val="0017785D"/>
    <w:rsid w:val="00190D92"/>
    <w:rsid w:val="00196ACC"/>
    <w:rsid w:val="001A226D"/>
    <w:rsid w:val="001C780D"/>
    <w:rsid w:val="00215A0C"/>
    <w:rsid w:val="00234022"/>
    <w:rsid w:val="002639BE"/>
    <w:rsid w:val="002C7288"/>
    <w:rsid w:val="002D44E9"/>
    <w:rsid w:val="002D6772"/>
    <w:rsid w:val="002E2A19"/>
    <w:rsid w:val="0031085B"/>
    <w:rsid w:val="00311075"/>
    <w:rsid w:val="00313A3E"/>
    <w:rsid w:val="00332F37"/>
    <w:rsid w:val="00334EBB"/>
    <w:rsid w:val="0035429B"/>
    <w:rsid w:val="00355547"/>
    <w:rsid w:val="00361473"/>
    <w:rsid w:val="00370E66"/>
    <w:rsid w:val="003720EE"/>
    <w:rsid w:val="00381B56"/>
    <w:rsid w:val="003827D8"/>
    <w:rsid w:val="00387956"/>
    <w:rsid w:val="003A194B"/>
    <w:rsid w:val="003A4C6C"/>
    <w:rsid w:val="003B3F32"/>
    <w:rsid w:val="00422608"/>
    <w:rsid w:val="00435AEC"/>
    <w:rsid w:val="004B6D23"/>
    <w:rsid w:val="004E3DAD"/>
    <w:rsid w:val="004F4FFE"/>
    <w:rsid w:val="004F6408"/>
    <w:rsid w:val="0050343E"/>
    <w:rsid w:val="00522481"/>
    <w:rsid w:val="005424D0"/>
    <w:rsid w:val="00546F28"/>
    <w:rsid w:val="00551767"/>
    <w:rsid w:val="00597D47"/>
    <w:rsid w:val="005B6683"/>
    <w:rsid w:val="005B7A28"/>
    <w:rsid w:val="005C0065"/>
    <w:rsid w:val="005F72DB"/>
    <w:rsid w:val="00605248"/>
    <w:rsid w:val="00614319"/>
    <w:rsid w:val="006A280D"/>
    <w:rsid w:val="006C0936"/>
    <w:rsid w:val="007037FD"/>
    <w:rsid w:val="007128EC"/>
    <w:rsid w:val="007201EF"/>
    <w:rsid w:val="00724D20"/>
    <w:rsid w:val="0073095F"/>
    <w:rsid w:val="007403C1"/>
    <w:rsid w:val="00746174"/>
    <w:rsid w:val="00760D90"/>
    <w:rsid w:val="00775B29"/>
    <w:rsid w:val="00782D7A"/>
    <w:rsid w:val="00783425"/>
    <w:rsid w:val="007A0E3D"/>
    <w:rsid w:val="007C6134"/>
    <w:rsid w:val="007D6996"/>
    <w:rsid w:val="007E7032"/>
    <w:rsid w:val="00802C00"/>
    <w:rsid w:val="008101E3"/>
    <w:rsid w:val="0082122B"/>
    <w:rsid w:val="0082222C"/>
    <w:rsid w:val="00827F56"/>
    <w:rsid w:val="00846613"/>
    <w:rsid w:val="0086536B"/>
    <w:rsid w:val="00870E27"/>
    <w:rsid w:val="00876FC6"/>
    <w:rsid w:val="00882833"/>
    <w:rsid w:val="008D41CD"/>
    <w:rsid w:val="008E41E5"/>
    <w:rsid w:val="008E7C11"/>
    <w:rsid w:val="0091659F"/>
    <w:rsid w:val="00925A00"/>
    <w:rsid w:val="00926E30"/>
    <w:rsid w:val="00931BF3"/>
    <w:rsid w:val="009326AD"/>
    <w:rsid w:val="0093428A"/>
    <w:rsid w:val="009504DF"/>
    <w:rsid w:val="00966CC9"/>
    <w:rsid w:val="00974D6B"/>
    <w:rsid w:val="009834E3"/>
    <w:rsid w:val="009A0419"/>
    <w:rsid w:val="009A090C"/>
    <w:rsid w:val="009B7176"/>
    <w:rsid w:val="009B7179"/>
    <w:rsid w:val="009B7670"/>
    <w:rsid w:val="009C1AB5"/>
    <w:rsid w:val="009C4F3B"/>
    <w:rsid w:val="009D7D00"/>
    <w:rsid w:val="009F506A"/>
    <w:rsid w:val="00A016F9"/>
    <w:rsid w:val="00A054D2"/>
    <w:rsid w:val="00A06B09"/>
    <w:rsid w:val="00A56065"/>
    <w:rsid w:val="00A63E5E"/>
    <w:rsid w:val="00A8491A"/>
    <w:rsid w:val="00A90793"/>
    <w:rsid w:val="00AA7A95"/>
    <w:rsid w:val="00AC0185"/>
    <w:rsid w:val="00AC7159"/>
    <w:rsid w:val="00AE12A0"/>
    <w:rsid w:val="00B07212"/>
    <w:rsid w:val="00B20AA8"/>
    <w:rsid w:val="00B24E0A"/>
    <w:rsid w:val="00B26DF2"/>
    <w:rsid w:val="00B55D6E"/>
    <w:rsid w:val="00B83CE4"/>
    <w:rsid w:val="00B97899"/>
    <w:rsid w:val="00BD2399"/>
    <w:rsid w:val="00C07E54"/>
    <w:rsid w:val="00C36192"/>
    <w:rsid w:val="00C56665"/>
    <w:rsid w:val="00C66AEF"/>
    <w:rsid w:val="00C80316"/>
    <w:rsid w:val="00C8296A"/>
    <w:rsid w:val="00C84B28"/>
    <w:rsid w:val="00CB22CF"/>
    <w:rsid w:val="00CC25D7"/>
    <w:rsid w:val="00CD045A"/>
    <w:rsid w:val="00CD5B2C"/>
    <w:rsid w:val="00CE2832"/>
    <w:rsid w:val="00CF064E"/>
    <w:rsid w:val="00D0550A"/>
    <w:rsid w:val="00D16CC9"/>
    <w:rsid w:val="00D3521C"/>
    <w:rsid w:val="00D9230E"/>
    <w:rsid w:val="00D9544D"/>
    <w:rsid w:val="00DA68DF"/>
    <w:rsid w:val="00DA6F2C"/>
    <w:rsid w:val="00DE4E9A"/>
    <w:rsid w:val="00DF1DA1"/>
    <w:rsid w:val="00E04379"/>
    <w:rsid w:val="00E05B26"/>
    <w:rsid w:val="00E066C9"/>
    <w:rsid w:val="00E2484A"/>
    <w:rsid w:val="00E46EDB"/>
    <w:rsid w:val="00E518D4"/>
    <w:rsid w:val="00E63A5D"/>
    <w:rsid w:val="00E96619"/>
    <w:rsid w:val="00EB4BB1"/>
    <w:rsid w:val="00EC64A7"/>
    <w:rsid w:val="00ED03E2"/>
    <w:rsid w:val="00EE3B79"/>
    <w:rsid w:val="00F00532"/>
    <w:rsid w:val="00F007C0"/>
    <w:rsid w:val="00F04515"/>
    <w:rsid w:val="00F060B7"/>
    <w:rsid w:val="00F33703"/>
    <w:rsid w:val="00F5426D"/>
    <w:rsid w:val="00F72653"/>
    <w:rsid w:val="00F728FE"/>
    <w:rsid w:val="00F73424"/>
    <w:rsid w:val="00F742FB"/>
    <w:rsid w:val="00F75E21"/>
    <w:rsid w:val="00F96F11"/>
    <w:rsid w:val="00FB7664"/>
    <w:rsid w:val="00FC12C7"/>
    <w:rsid w:val="00FF2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12838"/>
  <w15:chartTrackingRefBased/>
  <w15:docId w15:val="{2BF69455-CC46-44A1-823D-CFC3F276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6C"/>
    <w:pPr>
      <w:spacing w:after="200" w:line="276" w:lineRule="auto"/>
    </w:pPr>
    <w:rPr>
      <w:rFonts w:ascii="Open Sans" w:hAnsi="Open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E27"/>
    <w:pPr>
      <w:spacing w:after="0" w:line="240" w:lineRule="auto"/>
    </w:pPr>
  </w:style>
  <w:style w:type="character" w:styleId="Hyperlink">
    <w:name w:val="Hyperlink"/>
    <w:basedOn w:val="DefaultParagraphFont"/>
    <w:uiPriority w:val="99"/>
    <w:unhideWhenUsed/>
    <w:rsid w:val="003A4C6C"/>
    <w:rPr>
      <w:color w:val="0563C1" w:themeColor="hyperlink"/>
      <w:u w:val="single"/>
    </w:rPr>
  </w:style>
  <w:style w:type="paragraph" w:styleId="ListParagraph">
    <w:name w:val="List Paragraph"/>
    <w:basedOn w:val="Normal"/>
    <w:uiPriority w:val="34"/>
    <w:qFormat/>
    <w:rsid w:val="003A4C6C"/>
    <w:pPr>
      <w:ind w:left="720"/>
      <w:contextualSpacing/>
    </w:pPr>
  </w:style>
  <w:style w:type="paragraph" w:styleId="Header">
    <w:name w:val="header"/>
    <w:basedOn w:val="Normal"/>
    <w:link w:val="HeaderChar"/>
    <w:uiPriority w:val="99"/>
    <w:unhideWhenUsed/>
    <w:rsid w:val="003A4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C6C"/>
    <w:rPr>
      <w:rFonts w:ascii="Open Sans" w:hAnsi="Open Sans"/>
      <w:sz w:val="20"/>
    </w:rPr>
  </w:style>
  <w:style w:type="paragraph" w:styleId="Footer">
    <w:name w:val="footer"/>
    <w:basedOn w:val="Normal"/>
    <w:link w:val="FooterChar"/>
    <w:uiPriority w:val="99"/>
    <w:unhideWhenUsed/>
    <w:rsid w:val="003A4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C6C"/>
    <w:rPr>
      <w:rFonts w:ascii="Open Sans" w:hAnsi="Open Sans"/>
      <w:sz w:val="20"/>
    </w:rPr>
  </w:style>
  <w:style w:type="character" w:styleId="UnresolvedMention">
    <w:name w:val="Unresolved Mention"/>
    <w:basedOn w:val="DefaultParagraphFont"/>
    <w:uiPriority w:val="99"/>
    <w:semiHidden/>
    <w:unhideWhenUsed/>
    <w:rsid w:val="007D6996"/>
    <w:rPr>
      <w:color w:val="605E5C"/>
      <w:shd w:val="clear" w:color="auto" w:fill="E1DFDD"/>
    </w:rPr>
  </w:style>
  <w:style w:type="character" w:styleId="CommentReference">
    <w:name w:val="annotation reference"/>
    <w:basedOn w:val="DefaultParagraphFont"/>
    <w:uiPriority w:val="99"/>
    <w:semiHidden/>
    <w:unhideWhenUsed/>
    <w:rsid w:val="00783425"/>
    <w:rPr>
      <w:sz w:val="16"/>
      <w:szCs w:val="16"/>
    </w:rPr>
  </w:style>
  <w:style w:type="paragraph" w:styleId="CommentText">
    <w:name w:val="annotation text"/>
    <w:basedOn w:val="Normal"/>
    <w:link w:val="CommentTextChar"/>
    <w:uiPriority w:val="99"/>
    <w:semiHidden/>
    <w:unhideWhenUsed/>
    <w:rsid w:val="00783425"/>
    <w:pPr>
      <w:spacing w:line="240" w:lineRule="auto"/>
    </w:pPr>
    <w:rPr>
      <w:szCs w:val="20"/>
    </w:rPr>
  </w:style>
  <w:style w:type="character" w:customStyle="1" w:styleId="CommentTextChar">
    <w:name w:val="Comment Text Char"/>
    <w:basedOn w:val="DefaultParagraphFont"/>
    <w:link w:val="CommentText"/>
    <w:uiPriority w:val="99"/>
    <w:semiHidden/>
    <w:rsid w:val="00783425"/>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783425"/>
    <w:rPr>
      <w:b/>
      <w:bCs/>
    </w:rPr>
  </w:style>
  <w:style w:type="character" w:customStyle="1" w:styleId="CommentSubjectChar">
    <w:name w:val="Comment Subject Char"/>
    <w:basedOn w:val="CommentTextChar"/>
    <w:link w:val="CommentSubject"/>
    <w:uiPriority w:val="99"/>
    <w:semiHidden/>
    <w:rsid w:val="00783425"/>
    <w:rPr>
      <w:rFonts w:ascii="Open Sans" w:hAnsi="Open Sans"/>
      <w:b/>
      <w:bCs/>
      <w:sz w:val="20"/>
      <w:szCs w:val="20"/>
    </w:rPr>
  </w:style>
  <w:style w:type="paragraph" w:styleId="BalloonText">
    <w:name w:val="Balloon Text"/>
    <w:basedOn w:val="Normal"/>
    <w:link w:val="BalloonTextChar"/>
    <w:uiPriority w:val="99"/>
    <w:semiHidden/>
    <w:unhideWhenUsed/>
    <w:rsid w:val="0078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425"/>
    <w:rPr>
      <w:rFonts w:ascii="Segoe UI" w:hAnsi="Segoe UI" w:cs="Segoe UI"/>
      <w:sz w:val="18"/>
      <w:szCs w:val="18"/>
    </w:rPr>
  </w:style>
  <w:style w:type="paragraph" w:styleId="Revision">
    <w:name w:val="Revision"/>
    <w:hidden/>
    <w:uiPriority w:val="99"/>
    <w:semiHidden/>
    <w:rsid w:val="00746174"/>
    <w:pPr>
      <w:spacing w:after="0" w:line="240" w:lineRule="auto"/>
    </w:pPr>
    <w:rPr>
      <w:rFonts w:ascii="Open Sans" w:hAnsi="Open Sans"/>
      <w:sz w:val="20"/>
    </w:rPr>
  </w:style>
  <w:style w:type="paragraph" w:styleId="NormalWeb">
    <w:name w:val="Normal (Web)"/>
    <w:basedOn w:val="Normal"/>
    <w:uiPriority w:val="99"/>
    <w:unhideWhenUsed/>
    <w:rsid w:val="00E066C9"/>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1176">
      <w:bodyDiv w:val="1"/>
      <w:marLeft w:val="0"/>
      <w:marRight w:val="0"/>
      <w:marTop w:val="0"/>
      <w:marBottom w:val="0"/>
      <w:divBdr>
        <w:top w:val="none" w:sz="0" w:space="0" w:color="auto"/>
        <w:left w:val="none" w:sz="0" w:space="0" w:color="auto"/>
        <w:bottom w:val="none" w:sz="0" w:space="0" w:color="auto"/>
        <w:right w:val="none" w:sz="0" w:space="0" w:color="auto"/>
      </w:divBdr>
    </w:div>
    <w:div w:id="1044059491">
      <w:bodyDiv w:val="1"/>
      <w:marLeft w:val="0"/>
      <w:marRight w:val="0"/>
      <w:marTop w:val="0"/>
      <w:marBottom w:val="0"/>
      <w:divBdr>
        <w:top w:val="none" w:sz="0" w:space="0" w:color="auto"/>
        <w:left w:val="none" w:sz="0" w:space="0" w:color="auto"/>
        <w:bottom w:val="none" w:sz="0" w:space="0" w:color="auto"/>
        <w:right w:val="none" w:sz="0" w:space="0" w:color="auto"/>
      </w:divBdr>
    </w:div>
    <w:div w:id="1379015577">
      <w:bodyDiv w:val="1"/>
      <w:marLeft w:val="0"/>
      <w:marRight w:val="0"/>
      <w:marTop w:val="0"/>
      <w:marBottom w:val="0"/>
      <w:divBdr>
        <w:top w:val="none" w:sz="0" w:space="0" w:color="auto"/>
        <w:left w:val="none" w:sz="0" w:space="0" w:color="auto"/>
        <w:bottom w:val="none" w:sz="0" w:space="0" w:color="auto"/>
        <w:right w:val="none" w:sz="0" w:space="0" w:color="auto"/>
      </w:divBdr>
    </w:div>
    <w:div w:id="1514763859">
      <w:bodyDiv w:val="1"/>
      <w:marLeft w:val="0"/>
      <w:marRight w:val="0"/>
      <w:marTop w:val="0"/>
      <w:marBottom w:val="0"/>
      <w:divBdr>
        <w:top w:val="none" w:sz="0" w:space="0" w:color="auto"/>
        <w:left w:val="none" w:sz="0" w:space="0" w:color="auto"/>
        <w:bottom w:val="none" w:sz="0" w:space="0" w:color="auto"/>
        <w:right w:val="none" w:sz="0" w:space="0" w:color="auto"/>
      </w:divBdr>
    </w:div>
    <w:div w:id="1527600925">
      <w:bodyDiv w:val="1"/>
      <w:marLeft w:val="0"/>
      <w:marRight w:val="0"/>
      <w:marTop w:val="0"/>
      <w:marBottom w:val="0"/>
      <w:divBdr>
        <w:top w:val="none" w:sz="0" w:space="0" w:color="auto"/>
        <w:left w:val="none" w:sz="0" w:space="0" w:color="auto"/>
        <w:bottom w:val="none" w:sz="0" w:space="0" w:color="auto"/>
        <w:right w:val="none" w:sz="0" w:space="0" w:color="auto"/>
      </w:divBdr>
    </w:div>
    <w:div w:id="1573927646">
      <w:bodyDiv w:val="1"/>
      <w:marLeft w:val="0"/>
      <w:marRight w:val="0"/>
      <w:marTop w:val="0"/>
      <w:marBottom w:val="0"/>
      <w:divBdr>
        <w:top w:val="none" w:sz="0" w:space="0" w:color="auto"/>
        <w:left w:val="none" w:sz="0" w:space="0" w:color="auto"/>
        <w:bottom w:val="none" w:sz="0" w:space="0" w:color="auto"/>
        <w:right w:val="none" w:sz="0" w:space="0" w:color="auto"/>
      </w:divBdr>
    </w:div>
    <w:div w:id="17225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BE04E4361DF4CBC59676CA157A6AD" ma:contentTypeVersion="10" ma:contentTypeDescription="Create a new document." ma:contentTypeScope="" ma:versionID="12e20f36d5a3f4a62db0d5cc4f10b27c">
  <xsd:schema xmlns:xsd="http://www.w3.org/2001/XMLSchema" xmlns:xs="http://www.w3.org/2001/XMLSchema" xmlns:p="http://schemas.microsoft.com/office/2006/metadata/properties" xmlns:ns3="d23297a4-45ec-4a79-bacf-c99cdcce0cd8" targetNamespace="http://schemas.microsoft.com/office/2006/metadata/properties" ma:root="true" ma:fieldsID="462c9d47ddfddcc0628be0c01f512624" ns3:_="">
    <xsd:import namespace="d23297a4-45ec-4a79-bacf-c99cdcce0c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297a4-45ec-4a79-bacf-c99cdcce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8143-A0DC-454F-885A-C39D71BC5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2A542-5BE0-4964-96B1-56A9676EA5AA}">
  <ds:schemaRefs>
    <ds:schemaRef ds:uri="http://schemas.microsoft.com/sharepoint/v3/contenttype/forms"/>
  </ds:schemaRefs>
</ds:datastoreItem>
</file>

<file path=customXml/itemProps3.xml><?xml version="1.0" encoding="utf-8"?>
<ds:datastoreItem xmlns:ds="http://schemas.openxmlformats.org/officeDocument/2006/customXml" ds:itemID="{18E39624-6DAD-440A-9F0D-C9F10950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297a4-45ec-4a79-bacf-c99cdcce0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D313D-A3A4-4E76-B62E-68B5AB00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Brown</dc:creator>
  <cp:keywords/>
  <dc:description/>
  <cp:lastModifiedBy>Isobel Morris</cp:lastModifiedBy>
  <cp:revision>2</cp:revision>
  <dcterms:created xsi:type="dcterms:W3CDTF">2020-11-02T22:19:00Z</dcterms:created>
  <dcterms:modified xsi:type="dcterms:W3CDTF">2020-11-02T22:19:00Z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0x010100080BE04E4361DF4CBC59676CA157A6AD</vt:lpwstr>
  </property>
</Properties>
</file>