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Open Sans" w:cs="Open Sans" w:eastAsia="Open Sans" w:hAnsi="Open Sans"/>
          <w:b w:val="1"/>
          <w:sz w:val="29"/>
          <w:szCs w:val="29"/>
        </w:rPr>
      </w:pPr>
      <w:r w:rsidDel="00000000" w:rsidR="00000000" w:rsidRPr="00000000">
        <w:rPr>
          <w:rFonts w:ascii="Open Sans" w:cs="Open Sans" w:eastAsia="Open Sans" w:hAnsi="Open Sans"/>
          <w:b w:val="1"/>
          <w:sz w:val="29"/>
          <w:szCs w:val="29"/>
          <w:rtl w:val="0"/>
        </w:rPr>
        <w:t xml:space="preserve">Agenda for April Member Policy Webinar</w:t>
      </w:r>
    </w:p>
    <w:p w:rsidR="00000000" w:rsidDel="00000000" w:rsidP="00000000" w:rsidRDefault="00000000" w:rsidRPr="00000000" w14:paraId="00000002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25 March 2022 –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10.30 start. 12.00 finish. Online: Microsoft Teams Platform</w:t>
      </w:r>
    </w:p>
    <w:tbl>
      <w:tblPr>
        <w:tblStyle w:val="Table1"/>
        <w:tblW w:w="13815.0" w:type="dxa"/>
        <w:jc w:val="left"/>
        <w:tblInd w:w="-15.0" w:type="dxa"/>
        <w:tblLayout w:type="fixed"/>
        <w:tblLook w:val="0400"/>
      </w:tblPr>
      <w:tblGrid>
        <w:gridCol w:w="11220"/>
        <w:gridCol w:w="2595"/>
        <w:tblGridChange w:id="0">
          <w:tblGrid>
            <w:gridCol w:w="11220"/>
            <w:gridCol w:w="2595"/>
          </w:tblGrid>
        </w:tblGridChange>
      </w:tblGrid>
      <w:tr>
        <w:trPr>
          <w:cantSplit w:val="0"/>
          <w:trHeight w:val="537" w:hRule="atLeast"/>
          <w:tblHeader w:val="0"/>
        </w:trPr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660000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spacing w:line="276" w:lineRule="auto"/>
              <w:rPr>
                <w:rFonts w:ascii="Open Sans" w:cs="Open Sans" w:eastAsia="Open Sans" w:hAnsi="Open Sans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ffffff"/>
                <w:rtl w:val="0"/>
              </w:rPr>
              <w:t xml:space="preserve">Item</w:t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660000" w:val="clear"/>
          </w:tcPr>
          <w:p w:rsidR="00000000" w:rsidDel="00000000" w:rsidP="00000000" w:rsidRDefault="00000000" w:rsidRPr="00000000" w14:paraId="00000004">
            <w:pPr>
              <w:rPr>
                <w:rFonts w:ascii="Open Sans" w:cs="Open Sans" w:eastAsia="Open Sans" w:hAnsi="Open Sans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ffffff"/>
                <w:rtl w:val="0"/>
              </w:rPr>
              <w:t xml:space="preserve">Timings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line="276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Welcome from Nina Skorupska, CEO</w:t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</w:tcPr>
          <w:p w:rsidR="00000000" w:rsidDel="00000000" w:rsidP="00000000" w:rsidRDefault="00000000" w:rsidRPr="00000000" w14:paraId="00000006">
            <w:pPr>
              <w:spacing w:line="276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10.30 (5 min)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line="276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Energy Security Strategy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Frank Gordon, Policy Director</w:t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</w:tcPr>
          <w:p w:rsidR="00000000" w:rsidDel="00000000" w:rsidP="00000000" w:rsidRDefault="00000000" w:rsidRPr="00000000" w14:paraId="00000009">
            <w:pPr>
              <w:spacing w:line="276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10.35 (10 min)</w:t>
            </w:r>
          </w:p>
        </w:tc>
      </w:tr>
      <w:tr>
        <w:trPr>
          <w:cantSplit w:val="0"/>
          <w:trHeight w:val="696" w:hRule="atLeast"/>
          <w:tblHeader w:val="0"/>
        </w:trPr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Review of Energy Market Arrangements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Mark Sommerfeld, Head of Power and Flexibility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</w:tcPr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10.45 (10 min)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Hydrogen Support Package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5"/>
              </w:numPr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Kiara Zennaro, Head of Heat</w:t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</w:tcPr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10.55 (10 min)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EV Infrastructure Strategy and EV Energy Taskforce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Jacob Roberts, Transport Policy Manager</w:t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</w:tcPr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11.05 (10 min)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REA Policy Wins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6"/>
              </w:numPr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Pablo John, Policy Analyst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6"/>
              </w:numPr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Boiler Upgrade scheme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6"/>
              </w:numPr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VAT reduction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6"/>
              </w:numPr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Business Rates changes </w:t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11.15 (10 min)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Discussion and feedback with members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7"/>
              </w:numPr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Nina Skorupska, CEO</w:t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</w:tcPr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11.25 (20 min)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Follow up Steps &amp; Political Engagement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ind w:left="72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Amy MacConnachie, Director of External Affairs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11.45 (10 min)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Close and Thanks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4"/>
              </w:numPr>
              <w:ind w:left="72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Nina Skorupska, CEO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11.55 (5 min)</w:t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 END</w:t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12.00</w:t>
            </w:r>
          </w:p>
        </w:tc>
      </w:tr>
    </w:tbl>
    <w:p w:rsidR="00000000" w:rsidDel="00000000" w:rsidP="00000000" w:rsidRDefault="00000000" w:rsidRPr="00000000" w14:paraId="00000024">
      <w:pPr>
        <w:widowControl w:val="0"/>
        <w:ind w:left="-142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1900" w:w="16820" w:orient="landscape"/>
      <w:pgMar w:bottom="993" w:top="1135" w:left="1440" w:right="1440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Calibri"/>
  <w:font w:name="Courier New"/>
  <w:font w:name="Noto Sans Symbols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spacing w:line="276" w:lineRule="auto"/>
      <w:jc w:val="right"/>
      <w:rPr>
        <w:color w:val="000000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1462878" cy="60102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62878" cy="6010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8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