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4470A" w14:textId="77777777" w:rsidR="00DF21BA" w:rsidRPr="00707E01" w:rsidRDefault="009F4B75" w:rsidP="00DF21BA">
      <w:pPr>
        <w:spacing w:after="0" w:line="240" w:lineRule="auto"/>
        <w:jc w:val="center"/>
        <w:rPr>
          <w:rFonts w:ascii="Open Sans" w:hAnsi="Open Sans" w:cs="Open Sans"/>
          <w:b/>
          <w:bCs/>
          <w:color w:val="06926B"/>
          <w:sz w:val="32"/>
          <w:szCs w:val="32"/>
        </w:rPr>
      </w:pPr>
      <w:r w:rsidRPr="00707E01">
        <w:rPr>
          <w:rFonts w:ascii="Open Sans" w:hAnsi="Open Sans" w:cs="Open Sans"/>
          <w:b/>
          <w:bCs/>
          <w:color w:val="06926B"/>
          <w:sz w:val="32"/>
          <w:szCs w:val="32"/>
        </w:rPr>
        <w:t xml:space="preserve">Non-Tariff Guarantee Extension Applications – </w:t>
      </w:r>
    </w:p>
    <w:p w14:paraId="0A562620" w14:textId="77777777" w:rsidR="004C3842" w:rsidRPr="00707E01" w:rsidRDefault="009F4B75" w:rsidP="00DF21BA">
      <w:pPr>
        <w:spacing w:after="0" w:line="240" w:lineRule="auto"/>
        <w:jc w:val="center"/>
        <w:rPr>
          <w:rFonts w:ascii="Open Sans" w:hAnsi="Open Sans" w:cs="Open Sans"/>
          <w:b/>
          <w:bCs/>
          <w:color w:val="06926B"/>
          <w:sz w:val="32"/>
          <w:szCs w:val="32"/>
        </w:rPr>
      </w:pPr>
      <w:r w:rsidRPr="00707E01">
        <w:rPr>
          <w:rFonts w:ascii="Open Sans" w:hAnsi="Open Sans" w:cs="Open Sans"/>
          <w:b/>
          <w:bCs/>
          <w:color w:val="06926B"/>
          <w:sz w:val="32"/>
          <w:szCs w:val="32"/>
        </w:rPr>
        <w:t>Notes on Draft Ofgem Guidance</w:t>
      </w:r>
    </w:p>
    <w:p w14:paraId="260144C9" w14:textId="77777777" w:rsidR="00DF21BA" w:rsidRPr="00F841DF" w:rsidRDefault="00DF21BA" w:rsidP="00C00A6A">
      <w:pPr>
        <w:rPr>
          <w:rFonts w:ascii="Open Sans" w:hAnsi="Open Sans" w:cs="Open Sans"/>
        </w:rPr>
      </w:pPr>
    </w:p>
    <w:p w14:paraId="19B89E7A" w14:textId="327089EE" w:rsidR="00C00A6A" w:rsidRPr="00F841DF" w:rsidRDefault="009F4B75" w:rsidP="00C00A6A">
      <w:pPr>
        <w:rPr>
          <w:rFonts w:ascii="Open Sans" w:hAnsi="Open Sans" w:cs="Open Sans"/>
        </w:rPr>
      </w:pPr>
      <w:r w:rsidRPr="00F841DF">
        <w:rPr>
          <w:rFonts w:ascii="Open Sans" w:hAnsi="Open Sans" w:cs="Open Sans"/>
        </w:rPr>
        <w:t>The Association for Renewable Energy &amp; Clean Technologies (REA) is pleased to submit this response to the above draft Ofgem guidance. The REA represents a wide variety of organisations, including generators, project developers, fuel and power suppliers, investors, equipment producers and service providers. Members range in size from major multinationals to sole traders. There are over 5</w:t>
      </w:r>
      <w:r w:rsidR="002C14B9">
        <w:rPr>
          <w:rFonts w:ascii="Open Sans" w:hAnsi="Open Sans" w:cs="Open Sans"/>
        </w:rPr>
        <w:t>0</w:t>
      </w:r>
      <w:r w:rsidRPr="00F841DF">
        <w:rPr>
          <w:rFonts w:ascii="Open Sans" w:hAnsi="Open Sans" w:cs="Open Sans"/>
        </w:rPr>
        <w:t xml:space="preserve">0 corporate members of the REA, making it the largest renewable energy trade association in the UK. </w:t>
      </w:r>
    </w:p>
    <w:p w14:paraId="5AA45E6C" w14:textId="77777777" w:rsidR="00C00A6A" w:rsidRPr="00F841DF" w:rsidRDefault="009F4B75" w:rsidP="00C00A6A">
      <w:pPr>
        <w:rPr>
          <w:rFonts w:ascii="Open Sans" w:hAnsi="Open Sans" w:cs="Open Sans"/>
          <w:b/>
          <w:bCs/>
        </w:rPr>
      </w:pPr>
      <w:r w:rsidRPr="00F841DF">
        <w:rPr>
          <w:rFonts w:ascii="Open Sans" w:hAnsi="Open Sans" w:cs="Open Sans"/>
          <w:b/>
          <w:bCs/>
        </w:rPr>
        <w:t>General Comments</w:t>
      </w:r>
    </w:p>
    <w:p w14:paraId="6EC74699" w14:textId="16AB56D2" w:rsidR="00C26E08" w:rsidRPr="00F841DF" w:rsidRDefault="009F4B75">
      <w:pPr>
        <w:rPr>
          <w:rFonts w:ascii="Open Sans" w:hAnsi="Open Sans" w:cs="Open Sans"/>
        </w:rPr>
      </w:pPr>
      <w:r w:rsidRPr="00F841DF">
        <w:rPr>
          <w:rFonts w:ascii="Open Sans" w:hAnsi="Open Sans" w:cs="Open Sans"/>
        </w:rPr>
        <w:t xml:space="preserve">As expressed in </w:t>
      </w:r>
      <w:r w:rsidR="00DF21BA" w:rsidRPr="00F841DF">
        <w:rPr>
          <w:rFonts w:ascii="Open Sans" w:hAnsi="Open Sans" w:cs="Open Sans"/>
        </w:rPr>
        <w:t>our</w:t>
      </w:r>
      <w:r w:rsidRPr="00F841DF">
        <w:rPr>
          <w:rFonts w:ascii="Open Sans" w:hAnsi="Open Sans" w:cs="Open Sans"/>
        </w:rPr>
        <w:t xml:space="preserve"> response </w:t>
      </w:r>
      <w:r w:rsidR="00030E2E" w:rsidRPr="00F841DF">
        <w:rPr>
          <w:rFonts w:ascii="Open Sans" w:hAnsi="Open Sans" w:cs="Open Sans"/>
        </w:rPr>
        <w:t xml:space="preserve">to </w:t>
      </w:r>
      <w:r w:rsidRPr="00F841DF">
        <w:rPr>
          <w:rFonts w:ascii="Open Sans" w:hAnsi="Open Sans" w:cs="Open Sans"/>
        </w:rPr>
        <w:t xml:space="preserve">BEIS, </w:t>
      </w:r>
      <w:r w:rsidR="00DF21BA" w:rsidRPr="00F841DF">
        <w:rPr>
          <w:rFonts w:ascii="Open Sans" w:hAnsi="Open Sans" w:cs="Open Sans"/>
        </w:rPr>
        <w:t>the REA</w:t>
      </w:r>
      <w:r w:rsidRPr="00F841DF">
        <w:rPr>
          <w:rFonts w:ascii="Open Sans" w:hAnsi="Open Sans" w:cs="Open Sans"/>
        </w:rPr>
        <w:t xml:space="preserve"> </w:t>
      </w:r>
      <w:r w:rsidR="004C286D" w:rsidRPr="00F841DF">
        <w:rPr>
          <w:rFonts w:ascii="Open Sans" w:hAnsi="Open Sans" w:cs="Open Sans"/>
        </w:rPr>
        <w:t xml:space="preserve">are very </w:t>
      </w:r>
      <w:r w:rsidRPr="00F841DF">
        <w:rPr>
          <w:rFonts w:ascii="Open Sans" w:hAnsi="Open Sans" w:cs="Open Sans"/>
        </w:rPr>
        <w:t>support</w:t>
      </w:r>
      <w:r w:rsidR="004C286D" w:rsidRPr="00F841DF">
        <w:rPr>
          <w:rFonts w:ascii="Open Sans" w:hAnsi="Open Sans" w:cs="Open Sans"/>
        </w:rPr>
        <w:t>ive of the provisions to allow delayed non-domestic RHI project</w:t>
      </w:r>
      <w:r w:rsidR="00DF21BA" w:rsidRPr="00F841DF">
        <w:rPr>
          <w:rFonts w:ascii="Open Sans" w:hAnsi="Open Sans" w:cs="Open Sans"/>
        </w:rPr>
        <w:t xml:space="preserve">s, which do not qualify for tariff </w:t>
      </w:r>
      <w:r w:rsidR="009D09A0" w:rsidRPr="00F841DF">
        <w:rPr>
          <w:rFonts w:ascii="Open Sans" w:hAnsi="Open Sans" w:cs="Open Sans"/>
        </w:rPr>
        <w:t xml:space="preserve">guarantees, an extended </w:t>
      </w:r>
      <w:r w:rsidR="00DF21BA" w:rsidRPr="00F841DF">
        <w:rPr>
          <w:rFonts w:ascii="Open Sans" w:hAnsi="Open Sans" w:cs="Open Sans"/>
        </w:rPr>
        <w:t>commissioning period</w:t>
      </w:r>
      <w:r w:rsidR="004C286D" w:rsidRPr="00F841DF">
        <w:rPr>
          <w:rFonts w:ascii="Open Sans" w:hAnsi="Open Sans" w:cs="Open Sans"/>
        </w:rPr>
        <w:t xml:space="preserve">. </w:t>
      </w:r>
      <w:r w:rsidR="00DF21BA" w:rsidRPr="00F841DF">
        <w:rPr>
          <w:rFonts w:ascii="Open Sans" w:hAnsi="Open Sans" w:cs="Open Sans"/>
        </w:rPr>
        <w:t>Overall,</w:t>
      </w:r>
      <w:r w:rsidR="004C286D" w:rsidRPr="00F841DF">
        <w:rPr>
          <w:rFonts w:ascii="Open Sans" w:hAnsi="Open Sans" w:cs="Open Sans"/>
        </w:rPr>
        <w:t xml:space="preserve"> we </w:t>
      </w:r>
      <w:r w:rsidR="002C14B9">
        <w:rPr>
          <w:rFonts w:ascii="Open Sans" w:hAnsi="Open Sans" w:cs="Open Sans"/>
        </w:rPr>
        <w:t>believe</w:t>
      </w:r>
      <w:r w:rsidR="002C14B9" w:rsidRPr="00F841DF">
        <w:rPr>
          <w:rFonts w:ascii="Open Sans" w:hAnsi="Open Sans" w:cs="Open Sans"/>
        </w:rPr>
        <w:t xml:space="preserve"> </w:t>
      </w:r>
      <w:r w:rsidR="004C286D" w:rsidRPr="00F841DF">
        <w:rPr>
          <w:rFonts w:ascii="Open Sans" w:hAnsi="Open Sans" w:cs="Open Sans"/>
        </w:rPr>
        <w:t xml:space="preserve">the draft guidance provided by Ofgem </w:t>
      </w:r>
      <w:r w:rsidR="002C14B9">
        <w:rPr>
          <w:rFonts w:ascii="Open Sans" w:hAnsi="Open Sans" w:cs="Open Sans"/>
        </w:rPr>
        <w:t>is</w:t>
      </w:r>
      <w:r w:rsidR="002C14B9" w:rsidRPr="00F841DF">
        <w:rPr>
          <w:rFonts w:ascii="Open Sans" w:hAnsi="Open Sans" w:cs="Open Sans"/>
        </w:rPr>
        <w:t xml:space="preserve"> </w:t>
      </w:r>
      <w:r w:rsidR="004C286D" w:rsidRPr="00F841DF">
        <w:rPr>
          <w:rFonts w:ascii="Open Sans" w:hAnsi="Open Sans" w:cs="Open Sans"/>
        </w:rPr>
        <w:t>clear, although we raise a few issues below</w:t>
      </w:r>
      <w:r w:rsidR="009D09A0" w:rsidRPr="00F841DF">
        <w:rPr>
          <w:rFonts w:ascii="Open Sans" w:hAnsi="Open Sans" w:cs="Open Sans"/>
        </w:rPr>
        <w:t xml:space="preserve"> where guidance could be expanded to address common issues applicants </w:t>
      </w:r>
      <w:r w:rsidR="00272449">
        <w:rPr>
          <w:rFonts w:ascii="Open Sans" w:hAnsi="Open Sans" w:cs="Open Sans"/>
        </w:rPr>
        <w:t xml:space="preserve">come across </w:t>
      </w:r>
      <w:r w:rsidR="009D09A0" w:rsidRPr="00F841DF">
        <w:rPr>
          <w:rFonts w:ascii="Open Sans" w:hAnsi="Open Sans" w:cs="Open Sans"/>
        </w:rPr>
        <w:t xml:space="preserve">and help ensure high-quality applications are submitted within the limited application window. </w:t>
      </w:r>
      <w:r w:rsidR="004C286D" w:rsidRPr="00F841DF">
        <w:rPr>
          <w:rFonts w:ascii="Open Sans" w:hAnsi="Open Sans" w:cs="Open Sans"/>
        </w:rPr>
        <w:t xml:space="preserve"> </w:t>
      </w:r>
    </w:p>
    <w:p w14:paraId="6DEC54F7" w14:textId="77777777" w:rsidR="00DD1C12" w:rsidRDefault="009F4B75">
      <w:pPr>
        <w:rPr>
          <w:rFonts w:ascii="Open Sans" w:hAnsi="Open Sans" w:cs="Open Sans"/>
        </w:rPr>
      </w:pPr>
      <w:r w:rsidRPr="00F841DF">
        <w:rPr>
          <w:rFonts w:ascii="Open Sans" w:hAnsi="Open Sans" w:cs="Open Sans"/>
        </w:rPr>
        <w:t>We also stress that</w:t>
      </w:r>
      <w:r w:rsidR="009D09A0" w:rsidRPr="00F841DF">
        <w:rPr>
          <w:rFonts w:ascii="Open Sans" w:hAnsi="Open Sans" w:cs="Open Sans"/>
        </w:rPr>
        <w:t xml:space="preserve">, </w:t>
      </w:r>
      <w:r w:rsidRPr="00F841DF">
        <w:rPr>
          <w:rFonts w:ascii="Open Sans" w:hAnsi="Open Sans" w:cs="Open Sans"/>
        </w:rPr>
        <w:t xml:space="preserve">while the </w:t>
      </w:r>
      <w:r w:rsidR="009D09A0" w:rsidRPr="00F841DF">
        <w:rPr>
          <w:rFonts w:ascii="Open Sans" w:hAnsi="Open Sans" w:cs="Open Sans"/>
        </w:rPr>
        <w:t>g</w:t>
      </w:r>
      <w:r w:rsidRPr="00F841DF">
        <w:rPr>
          <w:rFonts w:ascii="Open Sans" w:hAnsi="Open Sans" w:cs="Open Sans"/>
        </w:rPr>
        <w:t>uidance is strong</w:t>
      </w:r>
      <w:r w:rsidR="00272449" w:rsidRPr="00F841DF">
        <w:rPr>
          <w:rFonts w:ascii="Open Sans" w:hAnsi="Open Sans" w:cs="Open Sans"/>
        </w:rPr>
        <w:t>, it</w:t>
      </w:r>
      <w:r w:rsidR="009D09A0" w:rsidRPr="00F841DF">
        <w:rPr>
          <w:rFonts w:ascii="Open Sans" w:hAnsi="Open Sans" w:cs="Open Sans"/>
        </w:rPr>
        <w:t xml:space="preserve"> cannot</w:t>
      </w:r>
      <w:r w:rsidRPr="00F841DF">
        <w:rPr>
          <w:rFonts w:ascii="Open Sans" w:hAnsi="Open Sans" w:cs="Open Sans"/>
        </w:rPr>
        <w:t xml:space="preserve"> be expected to cover all possible circumstances that applicants may face when completing a</w:t>
      </w:r>
      <w:r w:rsidR="00030E2E" w:rsidRPr="00F841DF">
        <w:rPr>
          <w:rFonts w:ascii="Open Sans" w:hAnsi="Open Sans" w:cs="Open Sans"/>
        </w:rPr>
        <w:t xml:space="preserve">n </w:t>
      </w:r>
      <w:r w:rsidRPr="00F841DF">
        <w:rPr>
          <w:rFonts w:ascii="Open Sans" w:hAnsi="Open Sans" w:cs="Open Sans"/>
        </w:rPr>
        <w:t>extension application.</w:t>
      </w:r>
      <w:r w:rsidR="00030E2E" w:rsidRPr="00F841DF">
        <w:rPr>
          <w:rFonts w:ascii="Open Sans" w:hAnsi="Open Sans" w:cs="Open Sans"/>
        </w:rPr>
        <w:t xml:space="preserve"> As such, we stress the importance of Ofgem maintaining strong</w:t>
      </w:r>
      <w:r w:rsidR="005B6802" w:rsidRPr="00F841DF">
        <w:rPr>
          <w:rFonts w:ascii="Open Sans" w:hAnsi="Open Sans" w:cs="Open Sans"/>
        </w:rPr>
        <w:t xml:space="preserve"> </w:t>
      </w:r>
      <w:r w:rsidR="009D09A0" w:rsidRPr="00F841DF">
        <w:rPr>
          <w:rFonts w:ascii="Open Sans" w:hAnsi="Open Sans" w:cs="Open Sans"/>
        </w:rPr>
        <w:t xml:space="preserve">communication </w:t>
      </w:r>
      <w:r w:rsidR="00030E2E" w:rsidRPr="00F841DF">
        <w:rPr>
          <w:rFonts w:ascii="Open Sans" w:hAnsi="Open Sans" w:cs="Open Sans"/>
        </w:rPr>
        <w:t>helplines, either via phone or email, to answer applicant questions</w:t>
      </w:r>
      <w:r w:rsidR="009D09A0" w:rsidRPr="00F841DF">
        <w:rPr>
          <w:rFonts w:ascii="Open Sans" w:hAnsi="Open Sans" w:cs="Open Sans"/>
        </w:rPr>
        <w:t xml:space="preserve"> during the application window.</w:t>
      </w:r>
      <w:r w:rsidR="00272449">
        <w:rPr>
          <w:rFonts w:ascii="Open Sans" w:hAnsi="Open Sans" w:cs="Open Sans"/>
        </w:rPr>
        <w:t xml:space="preserve"> This will be particularly important for smaller-scale independent applicants who may lack the experience or personnel to</w:t>
      </w:r>
      <w:r>
        <w:rPr>
          <w:rFonts w:ascii="Open Sans" w:hAnsi="Open Sans" w:cs="Open Sans"/>
        </w:rPr>
        <w:t xml:space="preserve"> easily</w:t>
      </w:r>
      <w:r w:rsidR="00272449">
        <w:rPr>
          <w:rFonts w:ascii="Open Sans" w:hAnsi="Open Sans" w:cs="Open Sans"/>
        </w:rPr>
        <w:t xml:space="preserve"> complete a properly made </w:t>
      </w:r>
      <w:r>
        <w:rPr>
          <w:rFonts w:ascii="Open Sans" w:hAnsi="Open Sans" w:cs="Open Sans"/>
        </w:rPr>
        <w:t xml:space="preserve">application, and where assistance may be crucial in seeing them complete an application in time. </w:t>
      </w:r>
    </w:p>
    <w:p w14:paraId="1E846B76" w14:textId="23413EE7" w:rsidR="009D09A0" w:rsidRPr="00F841DF" w:rsidRDefault="009F4B75">
      <w:pPr>
        <w:rPr>
          <w:rFonts w:ascii="Open Sans" w:hAnsi="Open Sans" w:cs="Open Sans"/>
        </w:rPr>
      </w:pPr>
      <w:r w:rsidRPr="00F841DF">
        <w:rPr>
          <w:rFonts w:ascii="Open Sans" w:hAnsi="Open Sans" w:cs="Open Sans"/>
        </w:rPr>
        <w:t>The</w:t>
      </w:r>
      <w:r w:rsidR="00030E2E" w:rsidRPr="00F841DF">
        <w:rPr>
          <w:rFonts w:ascii="Open Sans" w:hAnsi="Open Sans" w:cs="Open Sans"/>
        </w:rPr>
        <w:t xml:space="preserve"> REA are also happy to assist, where appropriate, in helping Ofgem disseminate information to its members, such as answers to </w:t>
      </w:r>
      <w:r w:rsidR="00A91C53">
        <w:rPr>
          <w:rFonts w:ascii="Open Sans" w:hAnsi="Open Sans" w:cs="Open Sans"/>
        </w:rPr>
        <w:t>f</w:t>
      </w:r>
      <w:r w:rsidR="00030E2E" w:rsidRPr="00F841DF">
        <w:rPr>
          <w:rFonts w:ascii="Open Sans" w:hAnsi="Open Sans" w:cs="Open Sans"/>
        </w:rPr>
        <w:t xml:space="preserve">requently </w:t>
      </w:r>
      <w:r w:rsidR="00A91C53">
        <w:rPr>
          <w:rFonts w:ascii="Open Sans" w:hAnsi="Open Sans" w:cs="Open Sans"/>
        </w:rPr>
        <w:t>a</w:t>
      </w:r>
      <w:r w:rsidR="00030E2E" w:rsidRPr="00F841DF">
        <w:rPr>
          <w:rFonts w:ascii="Open Sans" w:hAnsi="Open Sans" w:cs="Open Sans"/>
        </w:rPr>
        <w:t xml:space="preserve">sked </w:t>
      </w:r>
      <w:r w:rsidR="00A91C53">
        <w:rPr>
          <w:rFonts w:ascii="Open Sans" w:hAnsi="Open Sans" w:cs="Open Sans"/>
        </w:rPr>
        <w:t>q</w:t>
      </w:r>
      <w:r w:rsidR="00030E2E" w:rsidRPr="00F841DF">
        <w:rPr>
          <w:rFonts w:ascii="Open Sans" w:hAnsi="Open Sans" w:cs="Open Sans"/>
        </w:rPr>
        <w:t xml:space="preserve">uestions or </w:t>
      </w:r>
      <w:r w:rsidRPr="00F841DF">
        <w:rPr>
          <w:rFonts w:ascii="Open Sans" w:hAnsi="Open Sans" w:cs="Open Sans"/>
        </w:rPr>
        <w:t xml:space="preserve">other </w:t>
      </w:r>
      <w:r w:rsidR="00030E2E" w:rsidRPr="00F841DF">
        <w:rPr>
          <w:rFonts w:ascii="Open Sans" w:hAnsi="Open Sans" w:cs="Open Sans"/>
        </w:rPr>
        <w:t>scheme developments</w:t>
      </w:r>
      <w:r w:rsidRPr="00F841DF">
        <w:rPr>
          <w:rFonts w:ascii="Open Sans" w:hAnsi="Open Sans" w:cs="Open Sans"/>
        </w:rPr>
        <w:t xml:space="preserve"> during March. </w:t>
      </w:r>
    </w:p>
    <w:p w14:paraId="591B5EB7" w14:textId="77777777" w:rsidR="00030E2E" w:rsidRPr="00F841DF" w:rsidRDefault="009F4B75">
      <w:pPr>
        <w:rPr>
          <w:rFonts w:ascii="Open Sans" w:hAnsi="Open Sans" w:cs="Open Sans"/>
          <w:b/>
          <w:bCs/>
        </w:rPr>
      </w:pPr>
      <w:r w:rsidRPr="00F841DF">
        <w:rPr>
          <w:rFonts w:ascii="Open Sans" w:hAnsi="Open Sans" w:cs="Open Sans"/>
          <w:b/>
          <w:bCs/>
        </w:rPr>
        <w:t xml:space="preserve">Specific Issues Raised concerning the Draft Guidance. </w:t>
      </w:r>
    </w:p>
    <w:p w14:paraId="0A0D6BF3" w14:textId="77777777" w:rsidR="00030E2E" w:rsidRPr="00F841DF" w:rsidRDefault="009F4B75" w:rsidP="009D09A0">
      <w:pPr>
        <w:pStyle w:val="ListParagraph"/>
        <w:numPr>
          <w:ilvl w:val="0"/>
          <w:numId w:val="1"/>
        </w:numPr>
        <w:rPr>
          <w:rFonts w:ascii="Open Sans" w:hAnsi="Open Sans" w:cs="Open Sans"/>
          <w:b/>
          <w:bCs/>
          <w:i/>
          <w:iCs/>
        </w:rPr>
      </w:pPr>
      <w:r w:rsidRPr="00F841DF">
        <w:rPr>
          <w:rFonts w:ascii="Open Sans" w:hAnsi="Open Sans" w:cs="Open Sans"/>
          <w:b/>
          <w:bCs/>
          <w:i/>
          <w:iCs/>
        </w:rPr>
        <w:t>Greater c</w:t>
      </w:r>
      <w:r w:rsidR="00C36182" w:rsidRPr="00F841DF">
        <w:rPr>
          <w:rFonts w:ascii="Open Sans" w:hAnsi="Open Sans" w:cs="Open Sans"/>
          <w:b/>
          <w:bCs/>
          <w:i/>
          <w:iCs/>
        </w:rPr>
        <w:t>larity on</w:t>
      </w:r>
      <w:r w:rsidRPr="00F841DF">
        <w:rPr>
          <w:rFonts w:ascii="Open Sans" w:hAnsi="Open Sans" w:cs="Open Sans"/>
          <w:b/>
          <w:bCs/>
          <w:i/>
          <w:iCs/>
        </w:rPr>
        <w:t xml:space="preserve"> evidence requirements for</w:t>
      </w:r>
      <w:r w:rsidR="00C36182" w:rsidRPr="00F841DF">
        <w:rPr>
          <w:rFonts w:ascii="Open Sans" w:hAnsi="Open Sans" w:cs="Open Sans"/>
          <w:b/>
          <w:bCs/>
          <w:i/>
          <w:iCs/>
        </w:rPr>
        <w:t xml:space="preserve"> </w:t>
      </w:r>
      <w:r w:rsidRPr="00F841DF">
        <w:rPr>
          <w:rFonts w:ascii="Open Sans" w:hAnsi="Open Sans" w:cs="Open Sans"/>
          <w:b/>
          <w:bCs/>
          <w:i/>
          <w:iCs/>
        </w:rPr>
        <w:t xml:space="preserve">dates and </w:t>
      </w:r>
      <w:r w:rsidR="00C36182" w:rsidRPr="00F841DF">
        <w:rPr>
          <w:rFonts w:ascii="Open Sans" w:hAnsi="Open Sans" w:cs="Open Sans"/>
          <w:b/>
          <w:bCs/>
          <w:i/>
          <w:iCs/>
        </w:rPr>
        <w:t>s</w:t>
      </w:r>
      <w:r w:rsidRPr="00F841DF">
        <w:rPr>
          <w:rFonts w:ascii="Open Sans" w:hAnsi="Open Sans" w:cs="Open Sans"/>
          <w:b/>
          <w:bCs/>
          <w:i/>
          <w:iCs/>
        </w:rPr>
        <w:t>ignatures</w:t>
      </w:r>
      <w:r w:rsidR="001318DA" w:rsidRPr="00F841DF">
        <w:rPr>
          <w:rFonts w:ascii="Open Sans" w:hAnsi="Open Sans" w:cs="Open Sans"/>
          <w:b/>
          <w:bCs/>
          <w:i/>
          <w:iCs/>
        </w:rPr>
        <w:t>.</w:t>
      </w:r>
    </w:p>
    <w:p w14:paraId="3FF2F81C" w14:textId="77777777" w:rsidR="00030E2E" w:rsidRPr="00F841DF" w:rsidRDefault="009F4B75">
      <w:pPr>
        <w:rPr>
          <w:rFonts w:ascii="Open Sans" w:hAnsi="Open Sans" w:cs="Open Sans"/>
        </w:rPr>
      </w:pPr>
      <w:r w:rsidRPr="00F841DF">
        <w:rPr>
          <w:rFonts w:ascii="Open Sans" w:hAnsi="Open Sans" w:cs="Open Sans"/>
        </w:rPr>
        <w:t xml:space="preserve">Paragraphs 6.3 and 6.7 read </w:t>
      </w:r>
      <w:r w:rsidRPr="00F841DF">
        <w:rPr>
          <w:rFonts w:ascii="Open Sans" w:hAnsi="Open Sans" w:cs="Open Sans"/>
          <w:i/>
          <w:iCs/>
        </w:rPr>
        <w:t>“All primary [or secondary] evidence must be dated on or before 17 August 2020. This means evidence must be both signed and dated on or before 17 August 2020.”</w:t>
      </w:r>
    </w:p>
    <w:p w14:paraId="672511CD" w14:textId="462C9A67" w:rsidR="005B6802" w:rsidRPr="00F841DF" w:rsidRDefault="009F4B75">
      <w:pPr>
        <w:rPr>
          <w:rFonts w:ascii="Open Sans" w:hAnsi="Open Sans" w:cs="Open Sans"/>
        </w:rPr>
      </w:pPr>
      <w:r w:rsidRPr="00F841DF">
        <w:rPr>
          <w:rFonts w:ascii="Open Sans" w:hAnsi="Open Sans" w:cs="Open Sans"/>
        </w:rPr>
        <w:t xml:space="preserve">The repetition of the date in these </w:t>
      </w:r>
      <w:r w:rsidR="001318DA" w:rsidRPr="00F841DF">
        <w:rPr>
          <w:rFonts w:ascii="Open Sans" w:hAnsi="Open Sans" w:cs="Open Sans"/>
        </w:rPr>
        <w:t>statements</w:t>
      </w:r>
      <w:r w:rsidRPr="00F841DF">
        <w:rPr>
          <w:rFonts w:ascii="Open Sans" w:hAnsi="Open Sans" w:cs="Open Sans"/>
        </w:rPr>
        <w:t xml:space="preserve"> </w:t>
      </w:r>
      <w:r w:rsidR="001318DA" w:rsidRPr="00F841DF">
        <w:rPr>
          <w:rFonts w:ascii="Open Sans" w:hAnsi="Open Sans" w:cs="Open Sans"/>
        </w:rPr>
        <w:t>makes it unclear as to whether the</w:t>
      </w:r>
      <w:r w:rsidRPr="00F841DF">
        <w:rPr>
          <w:rFonts w:ascii="Open Sans" w:hAnsi="Open Sans" w:cs="Open Sans"/>
        </w:rPr>
        <w:t xml:space="preserve"> signature itself must be dated</w:t>
      </w:r>
      <w:r w:rsidR="001318DA" w:rsidRPr="00F841DF">
        <w:rPr>
          <w:rFonts w:ascii="Open Sans" w:hAnsi="Open Sans" w:cs="Open Sans"/>
        </w:rPr>
        <w:t xml:space="preserve">. Suitable and qualifying evidence may have both a date and a signature, but the actual signature </w:t>
      </w:r>
      <w:r w:rsidR="00BC3BB6">
        <w:rPr>
          <w:rFonts w:ascii="Open Sans" w:hAnsi="Open Sans" w:cs="Open Sans"/>
        </w:rPr>
        <w:t xml:space="preserve">may </w:t>
      </w:r>
      <w:r w:rsidR="001318DA" w:rsidRPr="00F841DF">
        <w:rPr>
          <w:rFonts w:ascii="Open Sans" w:hAnsi="Open Sans" w:cs="Open Sans"/>
        </w:rPr>
        <w:t xml:space="preserve">not </w:t>
      </w:r>
      <w:r w:rsidR="00BC3BB6">
        <w:rPr>
          <w:rFonts w:ascii="Open Sans" w:hAnsi="Open Sans" w:cs="Open Sans"/>
        </w:rPr>
        <w:t xml:space="preserve">itself </w:t>
      </w:r>
      <w:r w:rsidR="001318DA" w:rsidRPr="00F841DF">
        <w:rPr>
          <w:rFonts w:ascii="Open Sans" w:hAnsi="Open Sans" w:cs="Open Sans"/>
        </w:rPr>
        <w:t>be dated</w:t>
      </w:r>
      <w:r w:rsidR="009D09A0" w:rsidRPr="00F841DF">
        <w:rPr>
          <w:rFonts w:ascii="Open Sans" w:hAnsi="Open Sans" w:cs="Open Sans"/>
        </w:rPr>
        <w:t xml:space="preserve"> on the page</w:t>
      </w:r>
      <w:r w:rsidR="001318DA" w:rsidRPr="00F841DF">
        <w:rPr>
          <w:rFonts w:ascii="Open Sans" w:hAnsi="Open Sans" w:cs="Open Sans"/>
        </w:rPr>
        <w:t xml:space="preserve">. This should not be a reason for rejecting suitable evidence.  </w:t>
      </w:r>
      <w:r w:rsidRPr="00F841DF">
        <w:rPr>
          <w:rFonts w:ascii="Open Sans" w:hAnsi="Open Sans" w:cs="Open Sans"/>
        </w:rPr>
        <w:t xml:space="preserve">It should be made clear that </w:t>
      </w:r>
      <w:r w:rsidR="001318DA" w:rsidRPr="00F841DF">
        <w:rPr>
          <w:rFonts w:ascii="Open Sans" w:hAnsi="Open Sans" w:cs="Open Sans"/>
        </w:rPr>
        <w:t xml:space="preserve">the intention is that a document is dated before the </w:t>
      </w:r>
      <w:r w:rsidR="00DD1C12" w:rsidRPr="00F841DF">
        <w:rPr>
          <w:rFonts w:ascii="Open Sans" w:hAnsi="Open Sans" w:cs="Open Sans"/>
        </w:rPr>
        <w:t>17</w:t>
      </w:r>
      <w:r w:rsidR="00DD1C12" w:rsidRPr="00F841DF">
        <w:rPr>
          <w:rFonts w:ascii="Open Sans" w:hAnsi="Open Sans" w:cs="Open Sans"/>
          <w:vertAlign w:val="superscript"/>
        </w:rPr>
        <w:t>th</w:t>
      </w:r>
      <w:r w:rsidR="00DD1C12">
        <w:rPr>
          <w:rFonts w:ascii="Open Sans" w:hAnsi="Open Sans" w:cs="Open Sans"/>
          <w:vertAlign w:val="superscript"/>
        </w:rPr>
        <w:t xml:space="preserve"> </w:t>
      </w:r>
      <w:r w:rsidR="001318DA" w:rsidRPr="00F841DF">
        <w:rPr>
          <w:rFonts w:ascii="Open Sans" w:hAnsi="Open Sans" w:cs="Open Sans"/>
        </w:rPr>
        <w:t>August and</w:t>
      </w:r>
      <w:r w:rsidR="009D09A0" w:rsidRPr="00F841DF">
        <w:rPr>
          <w:rFonts w:ascii="Open Sans" w:hAnsi="Open Sans" w:cs="Open Sans"/>
        </w:rPr>
        <w:t xml:space="preserve">, </w:t>
      </w:r>
      <w:r w:rsidR="001318DA" w:rsidRPr="00F841DF">
        <w:rPr>
          <w:rFonts w:ascii="Open Sans" w:hAnsi="Open Sans" w:cs="Open Sans"/>
        </w:rPr>
        <w:t xml:space="preserve">as </w:t>
      </w:r>
      <w:r w:rsidR="009D09A0" w:rsidRPr="00F841DF">
        <w:rPr>
          <w:rFonts w:ascii="Open Sans" w:hAnsi="Open Sans" w:cs="Open Sans"/>
        </w:rPr>
        <w:t>stipulated</w:t>
      </w:r>
      <w:r w:rsidR="001318DA" w:rsidRPr="00F841DF">
        <w:rPr>
          <w:rFonts w:ascii="Open Sans" w:hAnsi="Open Sans" w:cs="Open Sans"/>
        </w:rPr>
        <w:t xml:space="preserve"> by the criteria in </w:t>
      </w:r>
      <w:r w:rsidR="00DD1C12">
        <w:rPr>
          <w:rFonts w:ascii="Open Sans" w:hAnsi="Open Sans" w:cs="Open Sans"/>
        </w:rPr>
        <w:t>F</w:t>
      </w:r>
      <w:r w:rsidR="001318DA" w:rsidRPr="00F841DF">
        <w:rPr>
          <w:rFonts w:ascii="Open Sans" w:hAnsi="Open Sans" w:cs="Open Sans"/>
        </w:rPr>
        <w:t>igures 1-4</w:t>
      </w:r>
      <w:r w:rsidR="00DD1C12">
        <w:rPr>
          <w:rFonts w:ascii="Open Sans" w:hAnsi="Open Sans" w:cs="Open Sans"/>
        </w:rPr>
        <w:t xml:space="preserve"> within the guidance</w:t>
      </w:r>
      <w:r w:rsidR="009D09A0" w:rsidRPr="00F841DF">
        <w:rPr>
          <w:rFonts w:ascii="Open Sans" w:hAnsi="Open Sans" w:cs="Open Sans"/>
        </w:rPr>
        <w:t xml:space="preserve">, </w:t>
      </w:r>
      <w:r w:rsidR="001318DA" w:rsidRPr="00F841DF">
        <w:rPr>
          <w:rFonts w:ascii="Open Sans" w:hAnsi="Open Sans" w:cs="Open Sans"/>
        </w:rPr>
        <w:t>some evidence will also need to be signed for authenticity.</w:t>
      </w:r>
    </w:p>
    <w:p w14:paraId="1428D831" w14:textId="77777777" w:rsidR="00030E2E" w:rsidRPr="00F841DF" w:rsidRDefault="009F4B75" w:rsidP="009D09A0">
      <w:pPr>
        <w:pStyle w:val="ListParagraph"/>
        <w:numPr>
          <w:ilvl w:val="0"/>
          <w:numId w:val="1"/>
        </w:numPr>
        <w:rPr>
          <w:rFonts w:ascii="Open Sans" w:hAnsi="Open Sans" w:cs="Open Sans"/>
          <w:b/>
          <w:bCs/>
          <w:i/>
          <w:iCs/>
        </w:rPr>
      </w:pPr>
      <w:r w:rsidRPr="00F841DF">
        <w:rPr>
          <w:rFonts w:ascii="Open Sans" w:hAnsi="Open Sans" w:cs="Open Sans"/>
          <w:b/>
          <w:bCs/>
          <w:i/>
          <w:iCs/>
        </w:rPr>
        <w:t>Discrepancies</w:t>
      </w:r>
      <w:r w:rsidR="009D09A0" w:rsidRPr="00F841DF">
        <w:rPr>
          <w:rFonts w:ascii="Open Sans" w:hAnsi="Open Sans" w:cs="Open Sans"/>
          <w:b/>
          <w:bCs/>
          <w:i/>
          <w:iCs/>
        </w:rPr>
        <w:t xml:space="preserve"> in project details</w:t>
      </w:r>
      <w:r w:rsidRPr="00F841DF">
        <w:rPr>
          <w:rFonts w:ascii="Open Sans" w:hAnsi="Open Sans" w:cs="Open Sans"/>
          <w:b/>
          <w:bCs/>
          <w:i/>
          <w:iCs/>
        </w:rPr>
        <w:t xml:space="preserve"> between evidence and applications</w:t>
      </w:r>
    </w:p>
    <w:p w14:paraId="7DFA86CB" w14:textId="77777777" w:rsidR="00030E2E" w:rsidRPr="00F841DF" w:rsidRDefault="009F4B75">
      <w:pPr>
        <w:rPr>
          <w:rFonts w:ascii="Open Sans" w:hAnsi="Open Sans" w:cs="Open Sans"/>
        </w:rPr>
      </w:pPr>
      <w:r w:rsidRPr="00F841DF">
        <w:rPr>
          <w:rFonts w:ascii="Open Sans" w:hAnsi="Open Sans" w:cs="Open Sans"/>
        </w:rPr>
        <w:lastRenderedPageBreak/>
        <w:t xml:space="preserve">Some members have raised concerns </w:t>
      </w:r>
      <w:r w:rsidR="00C715CF" w:rsidRPr="00F841DF">
        <w:rPr>
          <w:rFonts w:ascii="Open Sans" w:hAnsi="Open Sans" w:cs="Open Sans"/>
        </w:rPr>
        <w:t xml:space="preserve">that they expect </w:t>
      </w:r>
      <w:r w:rsidR="00BF312B" w:rsidRPr="00F841DF">
        <w:rPr>
          <w:rFonts w:ascii="Open Sans" w:hAnsi="Open Sans" w:cs="Open Sans"/>
        </w:rPr>
        <w:t>there</w:t>
      </w:r>
      <w:r w:rsidR="00C715CF" w:rsidRPr="00F841DF">
        <w:rPr>
          <w:rFonts w:ascii="Open Sans" w:hAnsi="Open Sans" w:cs="Open Sans"/>
        </w:rPr>
        <w:t xml:space="preserve"> could be </w:t>
      </w:r>
      <w:r w:rsidRPr="00F841DF">
        <w:rPr>
          <w:rFonts w:ascii="Open Sans" w:hAnsi="Open Sans" w:cs="Open Sans"/>
        </w:rPr>
        <w:t>discrepancies in</w:t>
      </w:r>
      <w:r w:rsidR="00C715CF" w:rsidRPr="00F841DF">
        <w:rPr>
          <w:rFonts w:ascii="Open Sans" w:hAnsi="Open Sans" w:cs="Open Sans"/>
        </w:rPr>
        <w:t xml:space="preserve"> their application between </w:t>
      </w:r>
      <w:r w:rsidR="00DD1C12">
        <w:rPr>
          <w:rFonts w:ascii="Open Sans" w:hAnsi="Open Sans" w:cs="Open Sans"/>
        </w:rPr>
        <w:t xml:space="preserve">a </w:t>
      </w:r>
      <w:r w:rsidR="00DD1C12" w:rsidRPr="00F841DF">
        <w:rPr>
          <w:rFonts w:ascii="Open Sans" w:hAnsi="Open Sans" w:cs="Open Sans"/>
        </w:rPr>
        <w:t>project’s</w:t>
      </w:r>
      <w:r w:rsidR="00652DCC" w:rsidRPr="00F841DF">
        <w:rPr>
          <w:rFonts w:ascii="Open Sans" w:hAnsi="Open Sans" w:cs="Open Sans"/>
        </w:rPr>
        <w:t xml:space="preserve"> details </w:t>
      </w:r>
      <w:r w:rsidR="009D09A0" w:rsidRPr="00F841DF">
        <w:rPr>
          <w:rFonts w:ascii="Open Sans" w:hAnsi="Open Sans" w:cs="Open Sans"/>
        </w:rPr>
        <w:t>in their</w:t>
      </w:r>
      <w:r w:rsidR="00BF312B" w:rsidRPr="00F841DF">
        <w:rPr>
          <w:rFonts w:ascii="Open Sans" w:hAnsi="Open Sans" w:cs="Open Sans"/>
        </w:rPr>
        <w:t xml:space="preserve"> </w:t>
      </w:r>
      <w:r w:rsidRPr="00F841DF">
        <w:rPr>
          <w:rFonts w:ascii="Open Sans" w:hAnsi="Open Sans" w:cs="Open Sans"/>
        </w:rPr>
        <w:t>evidence and the</w:t>
      </w:r>
      <w:r w:rsidR="00C715CF" w:rsidRPr="00F841DF">
        <w:rPr>
          <w:rFonts w:ascii="Open Sans" w:hAnsi="Open Sans" w:cs="Open Sans"/>
        </w:rPr>
        <w:t xml:space="preserve"> details they</w:t>
      </w:r>
      <w:r w:rsidR="00BF312B" w:rsidRPr="00F841DF">
        <w:rPr>
          <w:rFonts w:ascii="Open Sans" w:hAnsi="Open Sans" w:cs="Open Sans"/>
        </w:rPr>
        <w:t xml:space="preserve"> provide in the </w:t>
      </w:r>
      <w:r w:rsidR="00C715CF" w:rsidRPr="00F841DF">
        <w:rPr>
          <w:rFonts w:ascii="Open Sans" w:hAnsi="Open Sans" w:cs="Open Sans"/>
        </w:rPr>
        <w:t>RHI extension application. Details in the design of the project</w:t>
      </w:r>
      <w:r w:rsidR="00DD1C12">
        <w:rPr>
          <w:rFonts w:ascii="Open Sans" w:hAnsi="Open Sans" w:cs="Open Sans"/>
        </w:rPr>
        <w:t xml:space="preserve"> </w:t>
      </w:r>
      <w:r w:rsidR="00C715CF" w:rsidRPr="00F841DF">
        <w:rPr>
          <w:rFonts w:ascii="Open Sans" w:hAnsi="Open Sans" w:cs="Open Sans"/>
        </w:rPr>
        <w:t>may have changed since the original evidence was produced, for example, developers since the 17</w:t>
      </w:r>
      <w:r w:rsidR="00C715CF" w:rsidRPr="00F841DF">
        <w:rPr>
          <w:rFonts w:ascii="Open Sans" w:hAnsi="Open Sans" w:cs="Open Sans"/>
          <w:vertAlign w:val="superscript"/>
        </w:rPr>
        <w:t>th</w:t>
      </w:r>
      <w:r w:rsidR="00C715CF" w:rsidRPr="00F841DF">
        <w:rPr>
          <w:rFonts w:ascii="Open Sans" w:hAnsi="Open Sans" w:cs="Open Sans"/>
        </w:rPr>
        <w:t xml:space="preserve"> August may have decided to change the capacity</w:t>
      </w:r>
      <w:r w:rsidR="00F841DF" w:rsidRPr="00F841DF">
        <w:rPr>
          <w:rFonts w:ascii="Open Sans" w:hAnsi="Open Sans" w:cs="Open Sans"/>
        </w:rPr>
        <w:t xml:space="preserve"> or scheme design to simplify it </w:t>
      </w:r>
      <w:r w:rsidR="00BF312B" w:rsidRPr="00F841DF">
        <w:rPr>
          <w:rFonts w:ascii="Open Sans" w:hAnsi="Open Sans" w:cs="Open Sans"/>
        </w:rPr>
        <w:t>as</w:t>
      </w:r>
      <w:r w:rsidR="00652DCC" w:rsidRPr="00F841DF">
        <w:rPr>
          <w:rFonts w:ascii="Open Sans" w:hAnsi="Open Sans" w:cs="Open Sans"/>
        </w:rPr>
        <w:t xml:space="preserve"> </w:t>
      </w:r>
      <w:r w:rsidR="00F841DF" w:rsidRPr="00F841DF">
        <w:rPr>
          <w:rFonts w:ascii="Open Sans" w:hAnsi="Open Sans" w:cs="Open Sans"/>
        </w:rPr>
        <w:t>a response to c</w:t>
      </w:r>
      <w:r w:rsidR="00C715CF" w:rsidRPr="00F841DF">
        <w:rPr>
          <w:rFonts w:ascii="Open Sans" w:hAnsi="Open Sans" w:cs="Open Sans"/>
        </w:rPr>
        <w:t>ovid</w:t>
      </w:r>
      <w:r w:rsidR="00BF312B" w:rsidRPr="00F841DF">
        <w:rPr>
          <w:rFonts w:ascii="Open Sans" w:hAnsi="Open Sans" w:cs="Open Sans"/>
        </w:rPr>
        <w:t xml:space="preserve"> </w:t>
      </w:r>
      <w:r w:rsidR="00C715CF" w:rsidRPr="00F841DF">
        <w:rPr>
          <w:rFonts w:ascii="Open Sans" w:hAnsi="Open Sans" w:cs="Open Sans"/>
        </w:rPr>
        <w:t>delays.  The guidance should make clear that applicants must be able to demonstrate that the evidence provided does relate to the project for which the extension application is being sough</w:t>
      </w:r>
      <w:r w:rsidR="00BF312B" w:rsidRPr="00F841DF">
        <w:rPr>
          <w:rFonts w:ascii="Open Sans" w:hAnsi="Open Sans" w:cs="Open Sans"/>
        </w:rPr>
        <w:t>t,</w:t>
      </w:r>
      <w:r w:rsidR="00C715CF" w:rsidRPr="00F841DF">
        <w:rPr>
          <w:rFonts w:ascii="Open Sans" w:hAnsi="Open Sans" w:cs="Open Sans"/>
        </w:rPr>
        <w:t xml:space="preserve"> but that</w:t>
      </w:r>
      <w:r w:rsidR="00BF312B" w:rsidRPr="00F841DF">
        <w:rPr>
          <w:rFonts w:ascii="Open Sans" w:hAnsi="Open Sans" w:cs="Open Sans"/>
        </w:rPr>
        <w:t xml:space="preserve"> </w:t>
      </w:r>
      <w:r w:rsidR="00652DCC" w:rsidRPr="00F841DF">
        <w:rPr>
          <w:rFonts w:ascii="Open Sans" w:hAnsi="Open Sans" w:cs="Open Sans"/>
        </w:rPr>
        <w:t xml:space="preserve">the </w:t>
      </w:r>
      <w:r w:rsidR="00BF312B" w:rsidRPr="00F841DF">
        <w:rPr>
          <w:rFonts w:ascii="Open Sans" w:hAnsi="Open Sans" w:cs="Open Sans"/>
        </w:rPr>
        <w:t xml:space="preserve">final project details </w:t>
      </w:r>
      <w:r w:rsidR="00652DCC" w:rsidRPr="00F841DF">
        <w:rPr>
          <w:rFonts w:ascii="Open Sans" w:hAnsi="Open Sans" w:cs="Open Sans"/>
        </w:rPr>
        <w:t xml:space="preserve">will be taken as what is stated within the </w:t>
      </w:r>
      <w:r w:rsidR="00BF312B" w:rsidRPr="00F841DF">
        <w:rPr>
          <w:rFonts w:ascii="Open Sans" w:hAnsi="Open Sans" w:cs="Open Sans"/>
        </w:rPr>
        <w:t>extension application and not what is described in the evidence provided.  I</w:t>
      </w:r>
      <w:r w:rsidR="00C715CF" w:rsidRPr="00F841DF">
        <w:rPr>
          <w:rFonts w:ascii="Open Sans" w:hAnsi="Open Sans" w:cs="Open Sans"/>
        </w:rPr>
        <w:t xml:space="preserve">t is </w:t>
      </w:r>
      <w:r w:rsidR="00BF312B" w:rsidRPr="00F841DF">
        <w:rPr>
          <w:rFonts w:ascii="Open Sans" w:hAnsi="Open Sans" w:cs="Open Sans"/>
        </w:rPr>
        <w:t>then understood that</w:t>
      </w:r>
      <w:r w:rsidR="00C715CF" w:rsidRPr="00F841DF">
        <w:rPr>
          <w:rFonts w:ascii="Open Sans" w:hAnsi="Open Sans" w:cs="Open Sans"/>
        </w:rPr>
        <w:t xml:space="preserve"> the final commissioned project must me</w:t>
      </w:r>
      <w:r w:rsidR="00BF312B" w:rsidRPr="00F841DF">
        <w:rPr>
          <w:rFonts w:ascii="Open Sans" w:hAnsi="Open Sans" w:cs="Open Sans"/>
        </w:rPr>
        <w:t>e</w:t>
      </w:r>
      <w:r w:rsidR="00C715CF" w:rsidRPr="00F841DF">
        <w:rPr>
          <w:rFonts w:ascii="Open Sans" w:hAnsi="Open Sans" w:cs="Open Sans"/>
        </w:rPr>
        <w:t xml:space="preserve">t what </w:t>
      </w:r>
      <w:r w:rsidR="00BF312B" w:rsidRPr="00F841DF">
        <w:rPr>
          <w:rFonts w:ascii="Open Sans" w:hAnsi="Open Sans" w:cs="Open Sans"/>
        </w:rPr>
        <w:t xml:space="preserve">was </w:t>
      </w:r>
      <w:r w:rsidR="00C715CF" w:rsidRPr="00F841DF">
        <w:rPr>
          <w:rFonts w:ascii="Open Sans" w:hAnsi="Open Sans" w:cs="Open Sans"/>
        </w:rPr>
        <w:t>described in the extension application</w:t>
      </w:r>
      <w:r w:rsidR="00F841DF" w:rsidRPr="00F841DF">
        <w:rPr>
          <w:rFonts w:ascii="Open Sans" w:hAnsi="Open Sans" w:cs="Open Sans"/>
        </w:rPr>
        <w:t xml:space="preserve"> itself</w:t>
      </w:r>
      <w:r w:rsidR="00C715CF" w:rsidRPr="00F841DF">
        <w:rPr>
          <w:rFonts w:ascii="Open Sans" w:hAnsi="Open Sans" w:cs="Open Sans"/>
        </w:rPr>
        <w:t xml:space="preserve">, within the allowed variances provided by the legislation. </w:t>
      </w:r>
    </w:p>
    <w:p w14:paraId="0F122664" w14:textId="77777777" w:rsidR="00030E2E" w:rsidRPr="00BC3BB6" w:rsidRDefault="009F4B75" w:rsidP="00F841DF">
      <w:pPr>
        <w:pStyle w:val="ListParagraph"/>
        <w:numPr>
          <w:ilvl w:val="0"/>
          <w:numId w:val="1"/>
        </w:numPr>
        <w:rPr>
          <w:rFonts w:ascii="Open Sans" w:hAnsi="Open Sans" w:cs="Open Sans"/>
          <w:b/>
          <w:bCs/>
          <w:i/>
          <w:iCs/>
        </w:rPr>
      </w:pPr>
      <w:r w:rsidRPr="00BC3BB6">
        <w:rPr>
          <w:rFonts w:ascii="Open Sans" w:hAnsi="Open Sans" w:cs="Open Sans"/>
          <w:b/>
          <w:bCs/>
          <w:i/>
          <w:iCs/>
        </w:rPr>
        <w:t>Communications</w:t>
      </w:r>
      <w:r w:rsidR="00F841DF" w:rsidRPr="00BC3BB6">
        <w:rPr>
          <w:rFonts w:ascii="Open Sans" w:hAnsi="Open Sans" w:cs="Open Sans"/>
          <w:b/>
          <w:bCs/>
          <w:i/>
          <w:iCs/>
        </w:rPr>
        <w:t xml:space="preserve"> should reiterate that </w:t>
      </w:r>
      <w:r w:rsidRPr="00BC3BB6">
        <w:rPr>
          <w:rFonts w:ascii="Open Sans" w:hAnsi="Open Sans" w:cs="Open Sans"/>
          <w:b/>
          <w:bCs/>
          <w:i/>
          <w:iCs/>
        </w:rPr>
        <w:t xml:space="preserve">those who can commission </w:t>
      </w:r>
      <w:r w:rsidR="00F841DF" w:rsidRPr="00BC3BB6">
        <w:rPr>
          <w:rFonts w:ascii="Open Sans" w:hAnsi="Open Sans" w:cs="Open Sans"/>
          <w:b/>
          <w:bCs/>
          <w:i/>
          <w:iCs/>
        </w:rPr>
        <w:t xml:space="preserve">by the end of March 2021 should do so </w:t>
      </w:r>
      <w:r w:rsidR="00707E01" w:rsidRPr="00BC3BB6">
        <w:rPr>
          <w:rFonts w:ascii="Open Sans" w:hAnsi="Open Sans" w:cs="Open Sans"/>
          <w:b/>
          <w:bCs/>
          <w:i/>
          <w:iCs/>
        </w:rPr>
        <w:t>to</w:t>
      </w:r>
      <w:r w:rsidR="00F841DF" w:rsidRPr="00BC3BB6">
        <w:rPr>
          <w:rFonts w:ascii="Open Sans" w:hAnsi="Open Sans" w:cs="Open Sans"/>
          <w:b/>
          <w:bCs/>
          <w:i/>
          <w:iCs/>
        </w:rPr>
        <w:t xml:space="preserve"> protect the e</w:t>
      </w:r>
      <w:r w:rsidR="00951339" w:rsidRPr="00BC3BB6">
        <w:rPr>
          <w:rFonts w:ascii="Open Sans" w:hAnsi="Open Sans" w:cs="Open Sans"/>
          <w:b/>
          <w:bCs/>
          <w:i/>
          <w:iCs/>
        </w:rPr>
        <w:t xml:space="preserve">xtension </w:t>
      </w:r>
      <w:r w:rsidR="00F841DF" w:rsidRPr="00BC3BB6">
        <w:rPr>
          <w:rFonts w:ascii="Open Sans" w:hAnsi="Open Sans" w:cs="Open Sans"/>
          <w:b/>
          <w:bCs/>
          <w:i/>
          <w:iCs/>
        </w:rPr>
        <w:t>budget.</w:t>
      </w:r>
    </w:p>
    <w:p w14:paraId="46577B8E" w14:textId="77777777" w:rsidR="00951339" w:rsidRPr="00F841DF" w:rsidRDefault="009F4B75">
      <w:pPr>
        <w:rPr>
          <w:rFonts w:ascii="Open Sans" w:hAnsi="Open Sans" w:cs="Open Sans"/>
          <w:b/>
          <w:bCs/>
        </w:rPr>
      </w:pPr>
      <w:r w:rsidRPr="00F841DF">
        <w:rPr>
          <w:rFonts w:ascii="Open Sans" w:hAnsi="Open Sans" w:cs="Open Sans"/>
        </w:rPr>
        <w:t>It is recognised that the budget for extension applications is limited. Efforts should be made to actively encourage those who can commission in March 202</w:t>
      </w:r>
      <w:r w:rsidR="00652DCC" w:rsidRPr="00F841DF">
        <w:rPr>
          <w:rFonts w:ascii="Open Sans" w:hAnsi="Open Sans" w:cs="Open Sans"/>
        </w:rPr>
        <w:t>1</w:t>
      </w:r>
      <w:r w:rsidRPr="00F841DF">
        <w:rPr>
          <w:rFonts w:ascii="Open Sans" w:hAnsi="Open Sans" w:cs="Open Sans"/>
        </w:rPr>
        <w:t xml:space="preserve"> to do </w:t>
      </w:r>
      <w:r w:rsidR="001668C4" w:rsidRPr="00F841DF">
        <w:rPr>
          <w:rFonts w:ascii="Open Sans" w:hAnsi="Open Sans" w:cs="Open Sans"/>
        </w:rPr>
        <w:t>so to avoid budget being reserved where it is not needed.  To do so</w:t>
      </w:r>
      <w:r w:rsidR="00F841DF" w:rsidRPr="00F841DF">
        <w:rPr>
          <w:rFonts w:ascii="Open Sans" w:hAnsi="Open Sans" w:cs="Open Sans"/>
        </w:rPr>
        <w:t xml:space="preserve">, </w:t>
      </w:r>
      <w:r w:rsidR="001668C4" w:rsidRPr="00F841DF">
        <w:rPr>
          <w:rFonts w:ascii="Open Sans" w:hAnsi="Open Sans" w:cs="Open Sans"/>
        </w:rPr>
        <w:t>Ofgem should reiterate</w:t>
      </w:r>
      <w:r w:rsidR="00F841DF" w:rsidRPr="00F841DF">
        <w:rPr>
          <w:rFonts w:ascii="Open Sans" w:hAnsi="Open Sans" w:cs="Open Sans"/>
        </w:rPr>
        <w:t xml:space="preserve"> in the guidance</w:t>
      </w:r>
      <w:r w:rsidR="001668C4" w:rsidRPr="00F841DF">
        <w:rPr>
          <w:rFonts w:ascii="Open Sans" w:hAnsi="Open Sans" w:cs="Open Sans"/>
        </w:rPr>
        <w:t xml:space="preserve"> that it remains possible for projects to complete a full application right up until the 31</w:t>
      </w:r>
      <w:r w:rsidR="001668C4" w:rsidRPr="00F841DF">
        <w:rPr>
          <w:rFonts w:ascii="Open Sans" w:hAnsi="Open Sans" w:cs="Open Sans"/>
          <w:vertAlign w:val="superscript"/>
        </w:rPr>
        <w:t>st</w:t>
      </w:r>
      <w:r w:rsidR="001668C4" w:rsidRPr="00F841DF">
        <w:rPr>
          <w:rFonts w:ascii="Open Sans" w:hAnsi="Open Sans" w:cs="Open Sans"/>
        </w:rPr>
        <w:t xml:space="preserve"> March </w:t>
      </w:r>
      <w:r w:rsidR="00652DCC" w:rsidRPr="00F841DF">
        <w:rPr>
          <w:rFonts w:ascii="Open Sans" w:hAnsi="Open Sans" w:cs="Open Sans"/>
        </w:rPr>
        <w:t>2021</w:t>
      </w:r>
      <w:r w:rsidR="001668C4" w:rsidRPr="00F841DF">
        <w:rPr>
          <w:rFonts w:ascii="Open Sans" w:hAnsi="Open Sans" w:cs="Open Sans"/>
        </w:rPr>
        <w:t xml:space="preserve"> and that Ofgem has the </w:t>
      </w:r>
      <w:r w:rsidR="00F841DF" w:rsidRPr="00F841DF">
        <w:rPr>
          <w:rFonts w:ascii="Open Sans" w:hAnsi="Open Sans" w:cs="Open Sans"/>
        </w:rPr>
        <w:t xml:space="preserve">separate </w:t>
      </w:r>
      <w:r w:rsidR="001668C4" w:rsidRPr="00F841DF">
        <w:rPr>
          <w:rFonts w:ascii="Open Sans" w:hAnsi="Open Sans" w:cs="Open Sans"/>
        </w:rPr>
        <w:t>resources to deal with these applications</w:t>
      </w:r>
      <w:r w:rsidR="00707E01">
        <w:rPr>
          <w:rFonts w:ascii="Open Sans" w:hAnsi="Open Sans" w:cs="Open Sans"/>
        </w:rPr>
        <w:t>. This will help make c</w:t>
      </w:r>
      <w:r w:rsidR="001668C4" w:rsidRPr="00F841DF">
        <w:rPr>
          <w:rFonts w:ascii="Open Sans" w:hAnsi="Open Sans" w:cs="Open Sans"/>
        </w:rPr>
        <w:t>lear that in such</w:t>
      </w:r>
      <w:r w:rsidR="006545D5">
        <w:rPr>
          <w:rFonts w:ascii="Open Sans" w:hAnsi="Open Sans" w:cs="Open Sans"/>
        </w:rPr>
        <w:t xml:space="preserve"> a</w:t>
      </w:r>
      <w:r w:rsidR="001668C4" w:rsidRPr="00F841DF">
        <w:rPr>
          <w:rFonts w:ascii="Open Sans" w:hAnsi="Open Sans" w:cs="Open Sans"/>
        </w:rPr>
        <w:t xml:space="preserve"> </w:t>
      </w:r>
      <w:r w:rsidR="006545D5" w:rsidRPr="00F841DF">
        <w:rPr>
          <w:rFonts w:ascii="Open Sans" w:hAnsi="Open Sans" w:cs="Open Sans"/>
        </w:rPr>
        <w:t>situation</w:t>
      </w:r>
      <w:r w:rsidR="001668C4" w:rsidRPr="00F841DF">
        <w:rPr>
          <w:rFonts w:ascii="Open Sans" w:hAnsi="Open Sans" w:cs="Open Sans"/>
        </w:rPr>
        <w:t xml:space="preserve"> there is no need to then apply for an extension application. </w:t>
      </w:r>
    </w:p>
    <w:p w14:paraId="252BDD64" w14:textId="77777777" w:rsidR="00C85602" w:rsidRPr="00BC3BB6" w:rsidRDefault="009F4B75" w:rsidP="00F841DF">
      <w:pPr>
        <w:pStyle w:val="ListParagraph"/>
        <w:numPr>
          <w:ilvl w:val="0"/>
          <w:numId w:val="1"/>
        </w:numPr>
        <w:rPr>
          <w:rFonts w:ascii="Open Sans" w:hAnsi="Open Sans" w:cs="Open Sans"/>
          <w:b/>
          <w:bCs/>
          <w:i/>
          <w:iCs/>
        </w:rPr>
      </w:pPr>
      <w:r w:rsidRPr="00BC3BB6">
        <w:rPr>
          <w:rFonts w:ascii="Open Sans" w:hAnsi="Open Sans" w:cs="Open Sans"/>
          <w:b/>
          <w:bCs/>
          <w:i/>
          <w:iCs/>
        </w:rPr>
        <w:t xml:space="preserve">Clear timelines of granting </w:t>
      </w:r>
      <w:r w:rsidR="00F841DF" w:rsidRPr="00BC3BB6">
        <w:rPr>
          <w:rFonts w:ascii="Open Sans" w:hAnsi="Open Sans" w:cs="Open Sans"/>
          <w:b/>
          <w:bCs/>
          <w:i/>
          <w:iCs/>
        </w:rPr>
        <w:t>e</w:t>
      </w:r>
      <w:r w:rsidRPr="00BC3BB6">
        <w:rPr>
          <w:rFonts w:ascii="Open Sans" w:hAnsi="Open Sans" w:cs="Open Sans"/>
          <w:b/>
          <w:bCs/>
          <w:i/>
          <w:iCs/>
        </w:rPr>
        <w:t xml:space="preserve">xtension </w:t>
      </w:r>
      <w:r w:rsidR="00F841DF" w:rsidRPr="00BC3BB6">
        <w:rPr>
          <w:rFonts w:ascii="Open Sans" w:hAnsi="Open Sans" w:cs="Open Sans"/>
          <w:b/>
          <w:bCs/>
          <w:i/>
          <w:iCs/>
        </w:rPr>
        <w:t>a</w:t>
      </w:r>
      <w:r w:rsidR="00592F7F" w:rsidRPr="00BC3BB6">
        <w:rPr>
          <w:rFonts w:ascii="Open Sans" w:hAnsi="Open Sans" w:cs="Open Sans"/>
          <w:b/>
          <w:bCs/>
          <w:i/>
          <w:iCs/>
        </w:rPr>
        <w:t>pplication</w:t>
      </w:r>
      <w:r w:rsidR="00F841DF" w:rsidRPr="00BC3BB6">
        <w:rPr>
          <w:rFonts w:ascii="Open Sans" w:hAnsi="Open Sans" w:cs="Open Sans"/>
          <w:b/>
          <w:bCs/>
          <w:i/>
          <w:iCs/>
        </w:rPr>
        <w:t>s and submission of</w:t>
      </w:r>
      <w:r w:rsidR="00592F7F" w:rsidRPr="00BC3BB6">
        <w:rPr>
          <w:rFonts w:ascii="Open Sans" w:hAnsi="Open Sans" w:cs="Open Sans"/>
          <w:b/>
          <w:bCs/>
          <w:i/>
          <w:iCs/>
        </w:rPr>
        <w:t xml:space="preserve"> a full </w:t>
      </w:r>
      <w:r w:rsidR="00333DA2" w:rsidRPr="00BC3BB6">
        <w:rPr>
          <w:rFonts w:ascii="Open Sans" w:hAnsi="Open Sans" w:cs="Open Sans"/>
          <w:b/>
          <w:bCs/>
          <w:i/>
          <w:iCs/>
        </w:rPr>
        <w:t>application.</w:t>
      </w:r>
    </w:p>
    <w:p w14:paraId="1ED900E6" w14:textId="77777777" w:rsidR="00C85602" w:rsidRPr="00F841DF" w:rsidRDefault="009F4B75" w:rsidP="00592F7F">
      <w:pPr>
        <w:spacing w:after="0" w:line="240" w:lineRule="auto"/>
        <w:rPr>
          <w:rFonts w:ascii="Open Sans" w:eastAsia="Times New Roman" w:hAnsi="Open Sans" w:cs="Open Sans"/>
          <w:lang w:eastAsia="en-GB"/>
        </w:rPr>
      </w:pPr>
      <w:r w:rsidRPr="00F841DF">
        <w:rPr>
          <w:rFonts w:ascii="Open Sans" w:eastAsia="Times New Roman" w:hAnsi="Open Sans" w:cs="Open Sans"/>
          <w:lang w:eastAsia="en-GB"/>
        </w:rPr>
        <w:t xml:space="preserve">The </w:t>
      </w:r>
      <w:r w:rsidR="00F841DF" w:rsidRPr="00F841DF">
        <w:rPr>
          <w:rFonts w:ascii="Open Sans" w:eastAsia="Times New Roman" w:hAnsi="Open Sans" w:cs="Open Sans"/>
          <w:lang w:eastAsia="en-GB"/>
        </w:rPr>
        <w:t>g</w:t>
      </w:r>
      <w:r w:rsidRPr="00F841DF">
        <w:rPr>
          <w:rFonts w:ascii="Open Sans" w:eastAsia="Times New Roman" w:hAnsi="Open Sans" w:cs="Open Sans"/>
          <w:lang w:eastAsia="en-GB"/>
        </w:rPr>
        <w:t xml:space="preserve">uidance should </w:t>
      </w:r>
      <w:r w:rsidR="00F841DF" w:rsidRPr="00F841DF">
        <w:rPr>
          <w:rFonts w:ascii="Open Sans" w:eastAsia="Times New Roman" w:hAnsi="Open Sans" w:cs="Open Sans"/>
          <w:lang w:eastAsia="en-GB"/>
        </w:rPr>
        <w:t>provide indicative t</w:t>
      </w:r>
      <w:r w:rsidRPr="00F841DF">
        <w:rPr>
          <w:rFonts w:ascii="Open Sans" w:eastAsia="Times New Roman" w:hAnsi="Open Sans" w:cs="Open Sans"/>
          <w:lang w:eastAsia="en-GB"/>
        </w:rPr>
        <w:t>imescales for receiving confirmation of being granted a</w:t>
      </w:r>
      <w:r w:rsidR="00592F7F" w:rsidRPr="00F841DF">
        <w:rPr>
          <w:rFonts w:ascii="Open Sans" w:eastAsia="Times New Roman" w:hAnsi="Open Sans" w:cs="Open Sans"/>
          <w:lang w:eastAsia="en-GB"/>
        </w:rPr>
        <w:t xml:space="preserve">n </w:t>
      </w:r>
      <w:r w:rsidRPr="00F841DF">
        <w:rPr>
          <w:rFonts w:ascii="Open Sans" w:eastAsia="Times New Roman" w:hAnsi="Open Sans" w:cs="Open Sans"/>
          <w:lang w:eastAsia="en-GB"/>
        </w:rPr>
        <w:t>extension application. There is concern that where a</w:t>
      </w:r>
      <w:r w:rsidR="00592F7F" w:rsidRPr="00F841DF">
        <w:rPr>
          <w:rFonts w:ascii="Open Sans" w:eastAsia="Times New Roman" w:hAnsi="Open Sans" w:cs="Open Sans"/>
          <w:lang w:eastAsia="en-GB"/>
        </w:rPr>
        <w:t>n</w:t>
      </w:r>
      <w:r w:rsidRPr="00F841DF">
        <w:rPr>
          <w:rFonts w:ascii="Open Sans" w:eastAsia="Times New Roman" w:hAnsi="Open Sans" w:cs="Open Sans"/>
          <w:lang w:eastAsia="en-GB"/>
        </w:rPr>
        <w:t xml:space="preserve"> extension application has been applied fo</w:t>
      </w:r>
      <w:r w:rsidR="00AF5BBB" w:rsidRPr="00F841DF">
        <w:rPr>
          <w:rFonts w:ascii="Open Sans" w:eastAsia="Times New Roman" w:hAnsi="Open Sans" w:cs="Open Sans"/>
          <w:lang w:eastAsia="en-GB"/>
        </w:rPr>
        <w:t>r</w:t>
      </w:r>
      <w:r w:rsidR="006545D5">
        <w:rPr>
          <w:rFonts w:ascii="Open Sans" w:eastAsia="Times New Roman" w:hAnsi="Open Sans" w:cs="Open Sans"/>
          <w:lang w:eastAsia="en-GB"/>
        </w:rPr>
        <w:t>, and not yet confirmed, that a project could be delayed in submitting a full application in the weeks following the 31</w:t>
      </w:r>
      <w:r w:rsidR="006545D5" w:rsidRPr="006545D5">
        <w:rPr>
          <w:rFonts w:ascii="Open Sans" w:eastAsia="Times New Roman" w:hAnsi="Open Sans" w:cs="Open Sans"/>
          <w:vertAlign w:val="superscript"/>
          <w:lang w:eastAsia="en-GB"/>
        </w:rPr>
        <w:t>st</w:t>
      </w:r>
      <w:r w:rsidR="006545D5">
        <w:rPr>
          <w:rFonts w:ascii="Open Sans" w:eastAsia="Times New Roman" w:hAnsi="Open Sans" w:cs="Open Sans"/>
          <w:lang w:eastAsia="en-GB"/>
        </w:rPr>
        <w:t xml:space="preserve"> March. For example,</w:t>
      </w:r>
      <w:r w:rsidR="00AF5BBB" w:rsidRPr="00F841DF">
        <w:rPr>
          <w:rFonts w:ascii="Open Sans" w:eastAsia="Times New Roman" w:hAnsi="Open Sans" w:cs="Open Sans"/>
          <w:lang w:eastAsia="en-GB"/>
        </w:rPr>
        <w:t xml:space="preserve"> </w:t>
      </w:r>
      <w:r w:rsidR="006545D5">
        <w:rPr>
          <w:rFonts w:ascii="Open Sans" w:eastAsia="Times New Roman" w:hAnsi="Open Sans" w:cs="Open Sans"/>
          <w:lang w:eastAsia="en-GB"/>
        </w:rPr>
        <w:t>g</w:t>
      </w:r>
      <w:r w:rsidR="006545D5" w:rsidRPr="00F841DF">
        <w:rPr>
          <w:rFonts w:ascii="Open Sans" w:eastAsia="Times New Roman" w:hAnsi="Open Sans" w:cs="Open Sans"/>
          <w:lang w:eastAsia="en-GB"/>
        </w:rPr>
        <w:t xml:space="preserve">iven applications are expected to be dealt with in the order they are </w:t>
      </w:r>
      <w:r w:rsidR="006545D5">
        <w:rPr>
          <w:rFonts w:ascii="Open Sans" w:eastAsia="Times New Roman" w:hAnsi="Open Sans" w:cs="Open Sans"/>
          <w:lang w:eastAsia="en-GB"/>
        </w:rPr>
        <w:t>received</w:t>
      </w:r>
      <w:r w:rsidR="006545D5" w:rsidRPr="00F841DF">
        <w:rPr>
          <w:rFonts w:ascii="Open Sans" w:eastAsia="Times New Roman" w:hAnsi="Open Sans" w:cs="Open Sans"/>
          <w:lang w:eastAsia="en-GB"/>
        </w:rPr>
        <w:t xml:space="preserve"> to the queue, there is concern that any delays in the queue may delay a project from receiving a green light on their extension application and </w:t>
      </w:r>
      <w:r w:rsidR="006545D5">
        <w:rPr>
          <w:rFonts w:ascii="Open Sans" w:eastAsia="Times New Roman" w:hAnsi="Open Sans" w:cs="Open Sans"/>
          <w:lang w:eastAsia="en-GB"/>
        </w:rPr>
        <w:t>stop</w:t>
      </w:r>
      <w:r w:rsidR="006545D5" w:rsidRPr="00F841DF">
        <w:rPr>
          <w:rFonts w:ascii="Open Sans" w:eastAsia="Times New Roman" w:hAnsi="Open Sans" w:cs="Open Sans"/>
          <w:lang w:eastAsia="en-GB"/>
        </w:rPr>
        <w:t xml:space="preserve"> them from submitting a full application </w:t>
      </w:r>
      <w:r w:rsidR="006545D5">
        <w:rPr>
          <w:rFonts w:ascii="Open Sans" w:eastAsia="Times New Roman" w:hAnsi="Open Sans" w:cs="Open Sans"/>
          <w:lang w:eastAsia="en-GB"/>
        </w:rPr>
        <w:t>if ready to do so by m</w:t>
      </w:r>
      <w:r w:rsidRPr="00F841DF">
        <w:rPr>
          <w:rFonts w:ascii="Open Sans" w:eastAsia="Times New Roman" w:hAnsi="Open Sans" w:cs="Open Sans"/>
          <w:lang w:eastAsia="en-GB"/>
        </w:rPr>
        <w:t>id</w:t>
      </w:r>
      <w:r w:rsidR="00F841DF" w:rsidRPr="00F841DF">
        <w:rPr>
          <w:rFonts w:ascii="Open Sans" w:eastAsia="Times New Roman" w:hAnsi="Open Sans" w:cs="Open Sans"/>
          <w:lang w:eastAsia="en-GB"/>
        </w:rPr>
        <w:t>-</w:t>
      </w:r>
      <w:r w:rsidRPr="00F841DF">
        <w:rPr>
          <w:rFonts w:ascii="Open Sans" w:eastAsia="Times New Roman" w:hAnsi="Open Sans" w:cs="Open Sans"/>
          <w:lang w:eastAsia="en-GB"/>
        </w:rPr>
        <w:t>May 2021</w:t>
      </w:r>
      <w:r w:rsidR="006545D5">
        <w:rPr>
          <w:rFonts w:ascii="Open Sans" w:eastAsia="Times New Roman" w:hAnsi="Open Sans" w:cs="Open Sans"/>
          <w:lang w:eastAsia="en-GB"/>
        </w:rPr>
        <w:t xml:space="preserve">. </w:t>
      </w:r>
      <w:r w:rsidR="00592F7F" w:rsidRPr="00F841DF">
        <w:rPr>
          <w:rFonts w:ascii="Open Sans" w:eastAsia="Times New Roman" w:hAnsi="Open Sans" w:cs="Open Sans"/>
          <w:lang w:eastAsia="en-GB"/>
        </w:rPr>
        <w:t>Where possible sites</w:t>
      </w:r>
      <w:r w:rsidR="00AF5BBB" w:rsidRPr="00F841DF">
        <w:rPr>
          <w:rFonts w:ascii="Open Sans" w:eastAsia="Times New Roman" w:hAnsi="Open Sans" w:cs="Open Sans"/>
          <w:lang w:eastAsia="en-GB"/>
        </w:rPr>
        <w:t xml:space="preserve"> who have </w:t>
      </w:r>
      <w:r w:rsidR="006545D5">
        <w:rPr>
          <w:rFonts w:ascii="Open Sans" w:eastAsia="Times New Roman" w:hAnsi="Open Sans" w:cs="Open Sans"/>
          <w:lang w:eastAsia="en-GB"/>
        </w:rPr>
        <w:t xml:space="preserve">applied for an </w:t>
      </w:r>
      <w:r w:rsidR="00AF5BBB" w:rsidRPr="00F841DF">
        <w:rPr>
          <w:rFonts w:ascii="Open Sans" w:eastAsia="Times New Roman" w:hAnsi="Open Sans" w:cs="Open Sans"/>
          <w:lang w:eastAsia="en-GB"/>
        </w:rPr>
        <w:t>extension application</w:t>
      </w:r>
      <w:r w:rsidR="00592F7F" w:rsidRPr="00F841DF">
        <w:rPr>
          <w:rFonts w:ascii="Open Sans" w:eastAsia="Times New Roman" w:hAnsi="Open Sans" w:cs="Open Sans"/>
          <w:lang w:eastAsia="en-GB"/>
        </w:rPr>
        <w:t xml:space="preserve"> should be enabled to submit a full commissioned application as soon as they can after the 31</w:t>
      </w:r>
      <w:r w:rsidR="00592F7F" w:rsidRPr="00F841DF">
        <w:rPr>
          <w:rFonts w:ascii="Open Sans" w:eastAsia="Times New Roman" w:hAnsi="Open Sans" w:cs="Open Sans"/>
          <w:vertAlign w:val="superscript"/>
          <w:lang w:eastAsia="en-GB"/>
        </w:rPr>
        <w:t>st</w:t>
      </w:r>
      <w:r w:rsidR="00592F7F" w:rsidRPr="00F841DF">
        <w:rPr>
          <w:rFonts w:ascii="Open Sans" w:eastAsia="Times New Roman" w:hAnsi="Open Sans" w:cs="Open Sans"/>
          <w:lang w:eastAsia="en-GB"/>
        </w:rPr>
        <w:t xml:space="preserve"> March. </w:t>
      </w:r>
    </w:p>
    <w:p w14:paraId="06043A8B" w14:textId="77777777" w:rsidR="00592F7F" w:rsidRPr="00F841DF" w:rsidRDefault="00592F7F" w:rsidP="00592F7F">
      <w:pPr>
        <w:spacing w:after="0" w:line="240" w:lineRule="auto"/>
        <w:rPr>
          <w:rFonts w:ascii="Open Sans" w:hAnsi="Open Sans" w:cs="Open Sans"/>
          <w:b/>
          <w:bCs/>
        </w:rPr>
      </w:pPr>
    </w:p>
    <w:p w14:paraId="6B46A8CE" w14:textId="77777777" w:rsidR="00C85602" w:rsidRPr="00BC3BB6" w:rsidRDefault="009F4B75" w:rsidP="00F841DF">
      <w:pPr>
        <w:pStyle w:val="ListParagraph"/>
        <w:numPr>
          <w:ilvl w:val="0"/>
          <w:numId w:val="1"/>
        </w:numPr>
        <w:rPr>
          <w:rFonts w:ascii="Open Sans" w:hAnsi="Open Sans" w:cs="Open Sans"/>
          <w:b/>
          <w:bCs/>
          <w:i/>
          <w:iCs/>
        </w:rPr>
      </w:pPr>
      <w:r w:rsidRPr="00BC3BB6">
        <w:rPr>
          <w:rFonts w:ascii="Open Sans" w:hAnsi="Open Sans" w:cs="Open Sans"/>
          <w:b/>
          <w:bCs/>
          <w:i/>
          <w:iCs/>
        </w:rPr>
        <w:t xml:space="preserve">Planning </w:t>
      </w:r>
      <w:r w:rsidR="00AF5BBB" w:rsidRPr="00BC3BB6">
        <w:rPr>
          <w:rFonts w:ascii="Open Sans" w:hAnsi="Open Sans" w:cs="Open Sans"/>
          <w:b/>
          <w:bCs/>
          <w:i/>
          <w:iCs/>
        </w:rPr>
        <w:t>Permission</w:t>
      </w:r>
      <w:r w:rsidRPr="00BC3BB6">
        <w:rPr>
          <w:rFonts w:ascii="Open Sans" w:hAnsi="Open Sans" w:cs="Open Sans"/>
          <w:b/>
          <w:bCs/>
          <w:i/>
          <w:iCs/>
        </w:rPr>
        <w:t xml:space="preserve"> </w:t>
      </w:r>
      <w:r w:rsidR="00821606" w:rsidRPr="00BC3BB6">
        <w:rPr>
          <w:rFonts w:ascii="Open Sans" w:hAnsi="Open Sans" w:cs="Open Sans"/>
          <w:b/>
          <w:bCs/>
          <w:i/>
          <w:iCs/>
        </w:rPr>
        <w:t>a</w:t>
      </w:r>
      <w:r w:rsidRPr="00BC3BB6">
        <w:rPr>
          <w:rFonts w:ascii="Open Sans" w:hAnsi="Open Sans" w:cs="Open Sans"/>
          <w:b/>
          <w:bCs/>
          <w:i/>
          <w:iCs/>
        </w:rPr>
        <w:t xml:space="preserve">nd </w:t>
      </w:r>
      <w:r w:rsidR="00821606" w:rsidRPr="00BC3BB6">
        <w:rPr>
          <w:rFonts w:ascii="Open Sans" w:hAnsi="Open Sans" w:cs="Open Sans"/>
          <w:b/>
          <w:bCs/>
          <w:i/>
          <w:iCs/>
        </w:rPr>
        <w:t>Environmental</w:t>
      </w:r>
      <w:r w:rsidRPr="00BC3BB6">
        <w:rPr>
          <w:rFonts w:ascii="Open Sans" w:hAnsi="Open Sans" w:cs="Open Sans"/>
          <w:b/>
          <w:bCs/>
          <w:i/>
          <w:iCs/>
        </w:rPr>
        <w:t xml:space="preserve"> Permits</w:t>
      </w:r>
      <w:r w:rsidR="00F841DF" w:rsidRPr="00BC3BB6">
        <w:rPr>
          <w:rFonts w:ascii="Open Sans" w:hAnsi="Open Sans" w:cs="Open Sans"/>
          <w:b/>
          <w:bCs/>
          <w:i/>
          <w:iCs/>
        </w:rPr>
        <w:t xml:space="preserve"> only required for the full </w:t>
      </w:r>
      <w:r w:rsidR="00707E01" w:rsidRPr="00BC3BB6">
        <w:rPr>
          <w:rFonts w:ascii="Open Sans" w:hAnsi="Open Sans" w:cs="Open Sans"/>
          <w:b/>
          <w:bCs/>
          <w:i/>
          <w:iCs/>
        </w:rPr>
        <w:t>application.</w:t>
      </w:r>
    </w:p>
    <w:p w14:paraId="10C6DD87" w14:textId="77777777" w:rsidR="00394037" w:rsidRPr="00F841DF" w:rsidRDefault="009F4B75" w:rsidP="00C85602">
      <w:pPr>
        <w:spacing w:after="0" w:line="240" w:lineRule="auto"/>
        <w:rPr>
          <w:rFonts w:ascii="Open Sans" w:eastAsia="Times New Roman" w:hAnsi="Open Sans" w:cs="Open Sans"/>
          <w:lang w:eastAsia="en-GB"/>
        </w:rPr>
      </w:pPr>
      <w:r w:rsidRPr="00F841DF">
        <w:rPr>
          <w:rFonts w:ascii="Open Sans" w:eastAsia="Times New Roman" w:hAnsi="Open Sans" w:cs="Open Sans"/>
          <w:lang w:eastAsia="en-GB"/>
        </w:rPr>
        <w:t>Delays relating to receiving planning permissions and environmental permits</w:t>
      </w:r>
      <w:r w:rsidR="00F841DF" w:rsidRPr="00F841DF">
        <w:rPr>
          <w:rFonts w:ascii="Open Sans" w:eastAsia="Times New Roman" w:hAnsi="Open Sans" w:cs="Open Sans"/>
          <w:lang w:eastAsia="en-GB"/>
        </w:rPr>
        <w:t xml:space="preserve"> from the relevant </w:t>
      </w:r>
      <w:r w:rsidR="00707E01" w:rsidRPr="00F841DF">
        <w:rPr>
          <w:rFonts w:ascii="Open Sans" w:eastAsia="Times New Roman" w:hAnsi="Open Sans" w:cs="Open Sans"/>
          <w:lang w:eastAsia="en-GB"/>
        </w:rPr>
        <w:t>authorities</w:t>
      </w:r>
      <w:r w:rsidR="00A13BA5">
        <w:rPr>
          <w:rFonts w:ascii="Open Sans" w:eastAsia="Times New Roman" w:hAnsi="Open Sans" w:cs="Open Sans"/>
          <w:lang w:eastAsia="en-GB"/>
        </w:rPr>
        <w:t xml:space="preserve"> have been a major reason why extension applications are required,</w:t>
      </w:r>
      <w:r w:rsidR="00707E01" w:rsidRPr="00F841DF">
        <w:rPr>
          <w:rFonts w:ascii="Open Sans" w:eastAsia="Times New Roman" w:hAnsi="Open Sans" w:cs="Open Sans"/>
          <w:lang w:eastAsia="en-GB"/>
        </w:rPr>
        <w:t xml:space="preserve"> </w:t>
      </w:r>
      <w:r w:rsidR="00707E01">
        <w:rPr>
          <w:rFonts w:ascii="Open Sans" w:eastAsia="Times New Roman" w:hAnsi="Open Sans" w:cs="Open Sans"/>
          <w:lang w:eastAsia="en-GB"/>
        </w:rPr>
        <w:t xml:space="preserve">as these authorities have also been adversely affected </w:t>
      </w:r>
      <w:r w:rsidR="00F841DF" w:rsidRPr="00F841DF">
        <w:rPr>
          <w:rFonts w:ascii="Open Sans" w:eastAsia="Times New Roman" w:hAnsi="Open Sans" w:cs="Open Sans"/>
          <w:lang w:eastAsia="en-GB"/>
        </w:rPr>
        <w:t xml:space="preserve">by Covid-19 delays. Both these items are required criteria for a </w:t>
      </w:r>
      <w:r w:rsidRPr="00F841DF">
        <w:rPr>
          <w:rFonts w:ascii="Open Sans" w:eastAsia="Times New Roman" w:hAnsi="Open Sans" w:cs="Open Sans"/>
          <w:lang w:eastAsia="en-GB"/>
        </w:rPr>
        <w:t xml:space="preserve">full application under the Non-Domestic RHI. The </w:t>
      </w:r>
      <w:r w:rsidR="00707E01">
        <w:rPr>
          <w:rFonts w:ascii="Open Sans" w:eastAsia="Times New Roman" w:hAnsi="Open Sans" w:cs="Open Sans"/>
          <w:lang w:eastAsia="en-GB"/>
        </w:rPr>
        <w:t>e</w:t>
      </w:r>
      <w:r w:rsidRPr="00F841DF">
        <w:rPr>
          <w:rFonts w:ascii="Open Sans" w:eastAsia="Times New Roman" w:hAnsi="Open Sans" w:cs="Open Sans"/>
          <w:lang w:eastAsia="en-GB"/>
        </w:rPr>
        <w:t xml:space="preserve">xtension </w:t>
      </w:r>
      <w:r w:rsidR="00707E01">
        <w:rPr>
          <w:rFonts w:ascii="Open Sans" w:eastAsia="Times New Roman" w:hAnsi="Open Sans" w:cs="Open Sans"/>
          <w:lang w:eastAsia="en-GB"/>
        </w:rPr>
        <w:t>a</w:t>
      </w:r>
      <w:r w:rsidRPr="00F841DF">
        <w:rPr>
          <w:rFonts w:ascii="Open Sans" w:eastAsia="Times New Roman" w:hAnsi="Open Sans" w:cs="Open Sans"/>
          <w:lang w:eastAsia="en-GB"/>
        </w:rPr>
        <w:t xml:space="preserve">pplication </w:t>
      </w:r>
      <w:r w:rsidR="00707E01">
        <w:rPr>
          <w:rFonts w:ascii="Open Sans" w:eastAsia="Times New Roman" w:hAnsi="Open Sans" w:cs="Open Sans"/>
          <w:lang w:eastAsia="en-GB"/>
        </w:rPr>
        <w:t>g</w:t>
      </w:r>
      <w:r w:rsidRPr="00F841DF">
        <w:rPr>
          <w:rFonts w:ascii="Open Sans" w:eastAsia="Times New Roman" w:hAnsi="Open Sans" w:cs="Open Sans"/>
          <w:lang w:eastAsia="en-GB"/>
        </w:rPr>
        <w:t xml:space="preserve">uidance should make clear that planning permission and relevant environmental permits </w:t>
      </w:r>
      <w:r w:rsidR="00F841DF" w:rsidRPr="00F841DF">
        <w:rPr>
          <w:rFonts w:ascii="Open Sans" w:eastAsia="Times New Roman" w:hAnsi="Open Sans" w:cs="Open Sans"/>
          <w:lang w:eastAsia="en-GB"/>
        </w:rPr>
        <w:t>are</w:t>
      </w:r>
      <w:r w:rsidRPr="00F841DF">
        <w:rPr>
          <w:rFonts w:ascii="Open Sans" w:eastAsia="Times New Roman" w:hAnsi="Open Sans" w:cs="Open Sans"/>
          <w:lang w:eastAsia="en-GB"/>
        </w:rPr>
        <w:t xml:space="preserve"> not required at the point of getting an extension </w:t>
      </w:r>
      <w:r w:rsidR="00A13BA5" w:rsidRPr="00F841DF">
        <w:rPr>
          <w:rFonts w:ascii="Open Sans" w:eastAsia="Times New Roman" w:hAnsi="Open Sans" w:cs="Open Sans"/>
          <w:lang w:eastAsia="en-GB"/>
        </w:rPr>
        <w:t>application but</w:t>
      </w:r>
      <w:r w:rsidRPr="00F841DF">
        <w:rPr>
          <w:rFonts w:ascii="Open Sans" w:eastAsia="Times New Roman" w:hAnsi="Open Sans" w:cs="Open Sans"/>
          <w:lang w:eastAsia="en-GB"/>
        </w:rPr>
        <w:t xml:space="preserve"> will be required </w:t>
      </w:r>
      <w:r w:rsidR="00A13BA5" w:rsidRPr="00F841DF">
        <w:rPr>
          <w:rFonts w:ascii="Open Sans" w:eastAsia="Times New Roman" w:hAnsi="Open Sans" w:cs="Open Sans"/>
          <w:lang w:eastAsia="en-GB"/>
        </w:rPr>
        <w:t>to</w:t>
      </w:r>
      <w:r w:rsidRPr="00F841DF">
        <w:rPr>
          <w:rFonts w:ascii="Open Sans" w:eastAsia="Times New Roman" w:hAnsi="Open Sans" w:cs="Open Sans"/>
          <w:lang w:eastAsia="en-GB"/>
        </w:rPr>
        <w:t xml:space="preserve"> submit a full application</w:t>
      </w:r>
      <w:r w:rsidR="00F841DF" w:rsidRPr="00F841DF">
        <w:rPr>
          <w:rFonts w:ascii="Open Sans" w:eastAsia="Times New Roman" w:hAnsi="Open Sans" w:cs="Open Sans"/>
          <w:lang w:eastAsia="en-GB"/>
        </w:rPr>
        <w:t>.</w:t>
      </w:r>
    </w:p>
    <w:p w14:paraId="382D2CBB" w14:textId="77777777" w:rsidR="00AF5BBB" w:rsidRPr="00F841DF" w:rsidRDefault="00AF5BBB" w:rsidP="00C85602">
      <w:pPr>
        <w:spacing w:after="0" w:line="240" w:lineRule="auto"/>
        <w:rPr>
          <w:rFonts w:ascii="Open Sans" w:eastAsia="Times New Roman" w:hAnsi="Open Sans" w:cs="Open Sans"/>
          <w:lang w:eastAsia="en-GB"/>
        </w:rPr>
      </w:pPr>
    </w:p>
    <w:p w14:paraId="3819CD9D" w14:textId="77777777" w:rsidR="00394037" w:rsidRPr="00BC3BB6" w:rsidRDefault="009F4B75" w:rsidP="0034475B">
      <w:pPr>
        <w:pStyle w:val="ListParagraph"/>
        <w:numPr>
          <w:ilvl w:val="0"/>
          <w:numId w:val="1"/>
        </w:numPr>
        <w:spacing w:after="0" w:line="240" w:lineRule="auto"/>
        <w:rPr>
          <w:rFonts w:ascii="Open Sans" w:eastAsia="Times New Roman" w:hAnsi="Open Sans" w:cs="Open Sans"/>
          <w:i/>
          <w:iCs/>
          <w:lang w:eastAsia="en-GB"/>
        </w:rPr>
      </w:pPr>
      <w:r w:rsidRPr="00BC3BB6">
        <w:rPr>
          <w:rFonts w:ascii="Open Sans" w:eastAsia="Times New Roman" w:hAnsi="Open Sans" w:cs="Open Sans"/>
          <w:b/>
          <w:bCs/>
          <w:i/>
          <w:iCs/>
          <w:lang w:eastAsia="en-GB"/>
        </w:rPr>
        <w:t xml:space="preserve">Guidance to include </w:t>
      </w:r>
      <w:r w:rsidR="00707E01" w:rsidRPr="00BC3BB6">
        <w:rPr>
          <w:rFonts w:ascii="Open Sans" w:eastAsia="Times New Roman" w:hAnsi="Open Sans" w:cs="Open Sans"/>
          <w:b/>
          <w:bCs/>
          <w:i/>
          <w:iCs/>
          <w:lang w:eastAsia="en-GB"/>
        </w:rPr>
        <w:t>applicant’s</w:t>
      </w:r>
      <w:r w:rsidRPr="00BC3BB6">
        <w:rPr>
          <w:rFonts w:ascii="Open Sans" w:eastAsia="Times New Roman" w:hAnsi="Open Sans" w:cs="Open Sans"/>
          <w:b/>
          <w:bCs/>
          <w:i/>
          <w:iCs/>
          <w:lang w:eastAsia="en-GB"/>
        </w:rPr>
        <w:t xml:space="preserve"> ability to withdraw a</w:t>
      </w:r>
      <w:r w:rsidR="00707E01" w:rsidRPr="00BC3BB6">
        <w:rPr>
          <w:rFonts w:ascii="Open Sans" w:eastAsia="Times New Roman" w:hAnsi="Open Sans" w:cs="Open Sans"/>
          <w:b/>
          <w:bCs/>
          <w:i/>
          <w:iCs/>
          <w:lang w:eastAsia="en-GB"/>
        </w:rPr>
        <w:t xml:space="preserve">n </w:t>
      </w:r>
      <w:r w:rsidRPr="00BC3BB6">
        <w:rPr>
          <w:rFonts w:ascii="Open Sans" w:eastAsia="Times New Roman" w:hAnsi="Open Sans" w:cs="Open Sans"/>
          <w:b/>
          <w:bCs/>
          <w:i/>
          <w:iCs/>
          <w:lang w:eastAsia="en-GB"/>
        </w:rPr>
        <w:t xml:space="preserve">incorrect </w:t>
      </w:r>
      <w:r w:rsidR="00A13BA5" w:rsidRPr="00BC3BB6">
        <w:rPr>
          <w:rFonts w:ascii="Open Sans" w:eastAsia="Times New Roman" w:hAnsi="Open Sans" w:cs="Open Sans"/>
          <w:b/>
          <w:bCs/>
          <w:i/>
          <w:iCs/>
          <w:lang w:eastAsia="en-GB"/>
        </w:rPr>
        <w:t>application.</w:t>
      </w:r>
    </w:p>
    <w:p w14:paraId="50F1C50B" w14:textId="77777777" w:rsidR="00FB383A" w:rsidRPr="00FB383A" w:rsidRDefault="00FB383A" w:rsidP="00FB383A">
      <w:pPr>
        <w:pStyle w:val="ListParagraph"/>
        <w:spacing w:after="0" w:line="240" w:lineRule="auto"/>
        <w:rPr>
          <w:rFonts w:ascii="Open Sans" w:eastAsia="Times New Roman" w:hAnsi="Open Sans" w:cs="Open Sans"/>
          <w:lang w:eastAsia="en-GB"/>
        </w:rPr>
      </w:pPr>
    </w:p>
    <w:p w14:paraId="66211BFF" w14:textId="77777777" w:rsidR="00333DA2" w:rsidRPr="00F841DF" w:rsidRDefault="009F4B75" w:rsidP="00C85602">
      <w:pPr>
        <w:spacing w:after="0" w:line="240" w:lineRule="auto"/>
        <w:rPr>
          <w:rFonts w:ascii="Open Sans" w:eastAsia="Times New Roman" w:hAnsi="Open Sans" w:cs="Open Sans"/>
          <w:lang w:eastAsia="en-GB"/>
        </w:rPr>
      </w:pPr>
      <w:r w:rsidRPr="00F841DF">
        <w:rPr>
          <w:rFonts w:ascii="Open Sans" w:eastAsia="Times New Roman" w:hAnsi="Open Sans" w:cs="Open Sans"/>
          <w:lang w:eastAsia="en-GB"/>
        </w:rPr>
        <w:t xml:space="preserve">The guidance should </w:t>
      </w:r>
      <w:r w:rsidR="00A13BA5">
        <w:rPr>
          <w:rFonts w:ascii="Open Sans" w:eastAsia="Times New Roman" w:hAnsi="Open Sans" w:cs="Open Sans"/>
          <w:lang w:eastAsia="en-GB"/>
        </w:rPr>
        <w:t xml:space="preserve">expand 6.11 to </w:t>
      </w:r>
      <w:r w:rsidR="00652DCC" w:rsidRPr="00F841DF">
        <w:rPr>
          <w:rFonts w:ascii="Open Sans" w:eastAsia="Times New Roman" w:hAnsi="Open Sans" w:cs="Open Sans"/>
          <w:lang w:eastAsia="en-GB"/>
        </w:rPr>
        <w:t xml:space="preserve">inform </w:t>
      </w:r>
      <w:r w:rsidRPr="00F841DF">
        <w:rPr>
          <w:rFonts w:ascii="Open Sans" w:eastAsia="Times New Roman" w:hAnsi="Open Sans" w:cs="Open Sans"/>
          <w:lang w:eastAsia="en-GB"/>
        </w:rPr>
        <w:t>applicants o</w:t>
      </w:r>
      <w:r w:rsidR="00652DCC" w:rsidRPr="00F841DF">
        <w:rPr>
          <w:rFonts w:ascii="Open Sans" w:eastAsia="Times New Roman" w:hAnsi="Open Sans" w:cs="Open Sans"/>
          <w:lang w:eastAsia="en-GB"/>
        </w:rPr>
        <w:t>f</w:t>
      </w:r>
      <w:r w:rsidRPr="00F841DF">
        <w:rPr>
          <w:rFonts w:ascii="Open Sans" w:eastAsia="Times New Roman" w:hAnsi="Open Sans" w:cs="Open Sans"/>
          <w:lang w:eastAsia="en-GB"/>
        </w:rPr>
        <w:t xml:space="preserve"> their</w:t>
      </w:r>
      <w:r w:rsidR="00AF5BBB" w:rsidRPr="00F841DF">
        <w:rPr>
          <w:rFonts w:ascii="Open Sans" w:eastAsia="Times New Roman" w:hAnsi="Open Sans" w:cs="Open Sans"/>
          <w:lang w:eastAsia="en-GB"/>
        </w:rPr>
        <w:t xml:space="preserve"> ability to </w:t>
      </w:r>
      <w:r w:rsidR="00652DCC" w:rsidRPr="00F841DF">
        <w:rPr>
          <w:rFonts w:ascii="Open Sans" w:eastAsia="Times New Roman" w:hAnsi="Open Sans" w:cs="Open Sans"/>
          <w:lang w:eastAsia="en-GB"/>
        </w:rPr>
        <w:t xml:space="preserve">withdraw an application where an error has been made and </w:t>
      </w:r>
      <w:r w:rsidR="00FB383A">
        <w:rPr>
          <w:rFonts w:ascii="Open Sans" w:eastAsia="Times New Roman" w:hAnsi="Open Sans" w:cs="Open Sans"/>
          <w:lang w:eastAsia="en-GB"/>
        </w:rPr>
        <w:t xml:space="preserve">then </w:t>
      </w:r>
      <w:r w:rsidR="00652DCC" w:rsidRPr="00F841DF">
        <w:rPr>
          <w:rFonts w:ascii="Open Sans" w:eastAsia="Times New Roman" w:hAnsi="Open Sans" w:cs="Open Sans"/>
          <w:lang w:eastAsia="en-GB"/>
        </w:rPr>
        <w:t>submit a new application during the March 2021 application window. It should be made clear how this will affect that applicants position in the queue and how Ofgem will then review the new application</w:t>
      </w:r>
      <w:r w:rsidR="00FB383A">
        <w:rPr>
          <w:rFonts w:ascii="Open Sans" w:eastAsia="Times New Roman" w:hAnsi="Open Sans" w:cs="Open Sans"/>
          <w:lang w:eastAsia="en-GB"/>
        </w:rPr>
        <w:t xml:space="preserve">. </w:t>
      </w:r>
      <w:r w:rsidR="00A13BA5">
        <w:rPr>
          <w:rFonts w:ascii="Open Sans" w:eastAsia="Times New Roman" w:hAnsi="Open Sans" w:cs="Open Sans"/>
          <w:lang w:eastAsia="en-GB"/>
        </w:rPr>
        <w:t>Also,</w:t>
      </w:r>
      <w:r w:rsidR="00FB383A">
        <w:rPr>
          <w:rFonts w:ascii="Open Sans" w:eastAsia="Times New Roman" w:hAnsi="Open Sans" w:cs="Open Sans"/>
          <w:lang w:eastAsia="en-GB"/>
        </w:rPr>
        <w:t xml:space="preserve"> </w:t>
      </w:r>
      <w:r w:rsidR="00707E01">
        <w:rPr>
          <w:rFonts w:ascii="Open Sans" w:eastAsia="Times New Roman" w:hAnsi="Open Sans" w:cs="Open Sans"/>
          <w:lang w:eastAsia="en-GB"/>
        </w:rPr>
        <w:t>the</w:t>
      </w:r>
      <w:r w:rsidR="00FB383A">
        <w:rPr>
          <w:rFonts w:ascii="Open Sans" w:eastAsia="Times New Roman" w:hAnsi="Open Sans" w:cs="Open Sans"/>
          <w:lang w:eastAsia="en-GB"/>
        </w:rPr>
        <w:t xml:space="preserve"> guidance should aim to reassure others</w:t>
      </w:r>
      <w:r w:rsidR="00652DCC" w:rsidRPr="00F841DF">
        <w:rPr>
          <w:rFonts w:ascii="Open Sans" w:eastAsia="Times New Roman" w:hAnsi="Open Sans" w:cs="Open Sans"/>
          <w:lang w:eastAsia="en-GB"/>
        </w:rPr>
        <w:t xml:space="preserve"> that applicants doing this will not </w:t>
      </w:r>
      <w:r w:rsidR="00FB383A">
        <w:rPr>
          <w:rFonts w:ascii="Open Sans" w:eastAsia="Times New Roman" w:hAnsi="Open Sans" w:cs="Open Sans"/>
          <w:lang w:eastAsia="en-GB"/>
        </w:rPr>
        <w:t xml:space="preserve">result in the </w:t>
      </w:r>
      <w:r w:rsidR="00652DCC" w:rsidRPr="00F841DF">
        <w:rPr>
          <w:rFonts w:ascii="Open Sans" w:eastAsia="Times New Roman" w:hAnsi="Open Sans" w:cs="Open Sans"/>
          <w:lang w:eastAsia="en-GB"/>
        </w:rPr>
        <w:t xml:space="preserve">budget </w:t>
      </w:r>
      <w:r w:rsidR="00FB383A">
        <w:rPr>
          <w:rFonts w:ascii="Open Sans" w:eastAsia="Times New Roman" w:hAnsi="Open Sans" w:cs="Open Sans"/>
          <w:lang w:eastAsia="en-GB"/>
        </w:rPr>
        <w:t xml:space="preserve">being </w:t>
      </w:r>
      <w:r w:rsidR="00652DCC" w:rsidRPr="00F841DF">
        <w:rPr>
          <w:rFonts w:ascii="Open Sans" w:eastAsia="Times New Roman" w:hAnsi="Open Sans" w:cs="Open Sans"/>
          <w:lang w:eastAsia="en-GB"/>
        </w:rPr>
        <w:t xml:space="preserve">reserved for withdrawn applications. </w:t>
      </w:r>
    </w:p>
    <w:p w14:paraId="1F3C0026" w14:textId="77777777" w:rsidR="00F841DF" w:rsidRDefault="00F841DF">
      <w:pPr>
        <w:rPr>
          <w:rFonts w:ascii="Open Sans" w:hAnsi="Open Sans" w:cs="Open Sans"/>
          <w:b/>
          <w:bCs/>
        </w:rPr>
      </w:pPr>
    </w:p>
    <w:p w14:paraId="5BDE649B" w14:textId="77777777" w:rsidR="00652DCC" w:rsidRPr="00BC3BB6" w:rsidRDefault="009F4B75" w:rsidP="00FB383A">
      <w:pPr>
        <w:pStyle w:val="ListParagraph"/>
        <w:numPr>
          <w:ilvl w:val="0"/>
          <w:numId w:val="1"/>
        </w:numPr>
        <w:rPr>
          <w:rFonts w:ascii="Open Sans" w:hAnsi="Open Sans" w:cs="Open Sans"/>
          <w:b/>
          <w:bCs/>
          <w:i/>
          <w:iCs/>
        </w:rPr>
      </w:pPr>
      <w:r w:rsidRPr="00BC3BB6">
        <w:rPr>
          <w:rFonts w:ascii="Open Sans" w:hAnsi="Open Sans" w:cs="Open Sans"/>
          <w:b/>
          <w:bCs/>
          <w:i/>
          <w:iCs/>
        </w:rPr>
        <w:t>Make HC</w:t>
      </w:r>
      <w:r w:rsidR="00A13BA5" w:rsidRPr="00BC3BB6">
        <w:rPr>
          <w:rFonts w:ascii="Open Sans" w:hAnsi="Open Sans" w:cs="Open Sans"/>
          <w:b/>
          <w:bCs/>
          <w:i/>
          <w:iCs/>
        </w:rPr>
        <w:t xml:space="preserve"> </w:t>
      </w:r>
      <w:r w:rsidRPr="00BC3BB6">
        <w:rPr>
          <w:rFonts w:ascii="Open Sans" w:hAnsi="Open Sans" w:cs="Open Sans"/>
          <w:b/>
          <w:bCs/>
          <w:i/>
          <w:iCs/>
        </w:rPr>
        <w:t xml:space="preserve">120 questions available in advance of the </w:t>
      </w:r>
      <w:proofErr w:type="gramStart"/>
      <w:r w:rsidRPr="00BC3BB6">
        <w:rPr>
          <w:rFonts w:ascii="Open Sans" w:hAnsi="Open Sans" w:cs="Open Sans"/>
          <w:b/>
          <w:bCs/>
          <w:i/>
          <w:iCs/>
        </w:rPr>
        <w:t>1</w:t>
      </w:r>
      <w:r w:rsidRPr="00BC3BB6">
        <w:rPr>
          <w:rFonts w:ascii="Open Sans" w:hAnsi="Open Sans" w:cs="Open Sans"/>
          <w:b/>
          <w:bCs/>
          <w:i/>
          <w:iCs/>
          <w:vertAlign w:val="superscript"/>
        </w:rPr>
        <w:t>st</w:t>
      </w:r>
      <w:proofErr w:type="gramEnd"/>
      <w:r w:rsidRPr="00BC3BB6">
        <w:rPr>
          <w:rFonts w:ascii="Open Sans" w:hAnsi="Open Sans" w:cs="Open Sans"/>
          <w:b/>
          <w:bCs/>
          <w:i/>
          <w:iCs/>
        </w:rPr>
        <w:t xml:space="preserve"> March 2021</w:t>
      </w:r>
    </w:p>
    <w:p w14:paraId="7DC66DFD" w14:textId="77777777" w:rsidR="00535A9B" w:rsidRDefault="009F4B75">
      <w:pPr>
        <w:rPr>
          <w:rFonts w:ascii="Open Sans" w:hAnsi="Open Sans" w:cs="Open Sans"/>
        </w:rPr>
      </w:pPr>
      <w:r w:rsidRPr="00F841DF">
        <w:rPr>
          <w:rFonts w:ascii="Open Sans" w:hAnsi="Open Sans" w:cs="Open Sans"/>
        </w:rPr>
        <w:t xml:space="preserve">In the annexe of the extension application guidance, Ofgem should include the exact questions that the online form </w:t>
      </w:r>
      <w:r w:rsidR="00FB383A">
        <w:rPr>
          <w:rFonts w:ascii="Open Sans" w:hAnsi="Open Sans" w:cs="Open Sans"/>
        </w:rPr>
        <w:t xml:space="preserve">will include in </w:t>
      </w:r>
      <w:r w:rsidRPr="00F841DF">
        <w:rPr>
          <w:rFonts w:ascii="Open Sans" w:hAnsi="Open Sans" w:cs="Open Sans"/>
        </w:rPr>
        <w:t xml:space="preserve">section HC120, relating to the extension application. This will allow applicants to draft their responses in advance of the application window opening and enable applicants to get their applications </w:t>
      </w:r>
      <w:r w:rsidR="00FB383A">
        <w:rPr>
          <w:rFonts w:ascii="Open Sans" w:hAnsi="Open Sans" w:cs="Open Sans"/>
        </w:rPr>
        <w:t>submitted as</w:t>
      </w:r>
      <w:r w:rsidRPr="00F841DF">
        <w:rPr>
          <w:rFonts w:ascii="Open Sans" w:hAnsi="Open Sans" w:cs="Open Sans"/>
        </w:rPr>
        <w:t xml:space="preserve"> early as possible. </w:t>
      </w:r>
    </w:p>
    <w:p w14:paraId="40768164" w14:textId="77777777" w:rsidR="00FB383A" w:rsidRDefault="00FB383A">
      <w:pPr>
        <w:rPr>
          <w:rFonts w:ascii="Open Sans" w:hAnsi="Open Sans" w:cs="Open Sans"/>
        </w:rPr>
      </w:pPr>
    </w:p>
    <w:p w14:paraId="1D4EA42F" w14:textId="77777777" w:rsidR="00FB383A" w:rsidRPr="00FB383A" w:rsidRDefault="009F4B75" w:rsidP="00FB383A">
      <w:pPr>
        <w:jc w:val="right"/>
        <w:rPr>
          <w:rFonts w:ascii="Open Sans" w:hAnsi="Open Sans" w:cs="Open Sans"/>
          <w:b/>
          <w:bCs/>
        </w:rPr>
      </w:pPr>
      <w:r w:rsidRPr="00FB383A">
        <w:rPr>
          <w:rFonts w:ascii="Open Sans" w:hAnsi="Open Sans" w:cs="Open Sans"/>
          <w:b/>
          <w:bCs/>
        </w:rPr>
        <w:t>February 2021</w:t>
      </w:r>
    </w:p>
    <w:p w14:paraId="6CFD6428" w14:textId="77777777" w:rsidR="00535A9B" w:rsidRPr="00F841DF" w:rsidRDefault="00535A9B">
      <w:pPr>
        <w:rPr>
          <w:rFonts w:ascii="Open Sans" w:hAnsi="Open Sans" w:cs="Open Sans"/>
          <w:b/>
          <w:bCs/>
        </w:rPr>
      </w:pPr>
    </w:p>
    <w:p w14:paraId="4FF83E81" w14:textId="77777777" w:rsidR="00C85602" w:rsidRPr="00F841DF" w:rsidRDefault="00C85602" w:rsidP="00FB383A">
      <w:pPr>
        <w:jc w:val="center"/>
        <w:rPr>
          <w:rFonts w:ascii="Open Sans" w:hAnsi="Open Sans" w:cs="Open Sans"/>
          <w:b/>
          <w:bCs/>
        </w:rPr>
      </w:pPr>
    </w:p>
    <w:p w14:paraId="0182AAF7" w14:textId="77777777" w:rsidR="00C85602" w:rsidRPr="00F841DF" w:rsidRDefault="00C85602">
      <w:pPr>
        <w:rPr>
          <w:rFonts w:ascii="Open Sans" w:hAnsi="Open Sans" w:cs="Open Sans"/>
          <w:b/>
          <w:bCs/>
        </w:rPr>
      </w:pPr>
    </w:p>
    <w:p w14:paraId="0CE57FE1" w14:textId="77777777" w:rsidR="00030E2E" w:rsidRPr="00F841DF" w:rsidRDefault="00030E2E">
      <w:pPr>
        <w:rPr>
          <w:rFonts w:ascii="Open Sans" w:hAnsi="Open Sans" w:cs="Open Sans"/>
        </w:rPr>
      </w:pPr>
    </w:p>
    <w:sectPr w:rsidR="00030E2E" w:rsidRPr="00F841D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4D872" w14:textId="77777777" w:rsidR="007E5F11" w:rsidRDefault="007E5F11">
      <w:pPr>
        <w:spacing w:after="0" w:line="240" w:lineRule="auto"/>
      </w:pPr>
      <w:r>
        <w:separator/>
      </w:r>
    </w:p>
  </w:endnote>
  <w:endnote w:type="continuationSeparator" w:id="0">
    <w:p w14:paraId="433194B9" w14:textId="77777777" w:rsidR="007E5F11" w:rsidRDefault="007E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122824"/>
      <w:docPartObj>
        <w:docPartGallery w:val="Page Numbers (Bottom of Page)"/>
        <w:docPartUnique/>
      </w:docPartObj>
    </w:sdtPr>
    <w:sdtContent>
      <w:p w14:paraId="0674F1AB" w14:textId="60B28D26" w:rsidR="00D52B6D" w:rsidRDefault="00D52B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3CF36BF" w14:textId="77777777" w:rsidR="00D52B6D" w:rsidRDefault="00D5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46B6" w14:textId="77777777" w:rsidR="007E5F11" w:rsidRDefault="007E5F11">
      <w:pPr>
        <w:spacing w:after="0" w:line="240" w:lineRule="auto"/>
      </w:pPr>
      <w:r>
        <w:separator/>
      </w:r>
    </w:p>
  </w:footnote>
  <w:footnote w:type="continuationSeparator" w:id="0">
    <w:p w14:paraId="0B51B975" w14:textId="77777777" w:rsidR="007E5F11" w:rsidRDefault="007E5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EE17D" w14:textId="77777777" w:rsidR="00DF21BA" w:rsidRDefault="009F4B75">
    <w:pPr>
      <w:pStyle w:val="Header"/>
    </w:pPr>
    <w:r w:rsidRPr="00EA423D">
      <w:rPr>
        <w:i/>
        <w:iCs/>
        <w:noProof/>
        <w:highlight w:val="yellow"/>
      </w:rPr>
      <w:drawing>
        <wp:anchor distT="0" distB="0" distL="114300" distR="114300" simplePos="0" relativeHeight="251658240" behindDoc="0" locked="0" layoutInCell="1" allowOverlap="1" wp14:anchorId="32F15EE4" wp14:editId="70D22977">
          <wp:simplePos x="0" y="0"/>
          <wp:positionH relativeFrom="margin">
            <wp:posOffset>4700270</wp:posOffset>
          </wp:positionH>
          <wp:positionV relativeFrom="paragraph">
            <wp:posOffset>-248285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0530"/>
    <w:multiLevelType w:val="hybridMultilevel"/>
    <w:tmpl w:val="4EAED386"/>
    <w:lvl w:ilvl="0" w:tplc="FF946714">
      <w:start w:val="1"/>
      <w:numFmt w:val="bullet"/>
      <w:lvlText w:val=""/>
      <w:lvlJc w:val="left"/>
      <w:pPr>
        <w:ind w:left="720" w:hanging="360"/>
      </w:pPr>
      <w:rPr>
        <w:rFonts w:ascii="Symbol" w:hAnsi="Symbol" w:hint="default"/>
      </w:rPr>
    </w:lvl>
    <w:lvl w:ilvl="1" w:tplc="EA068D72" w:tentative="1">
      <w:start w:val="1"/>
      <w:numFmt w:val="bullet"/>
      <w:lvlText w:val="o"/>
      <w:lvlJc w:val="left"/>
      <w:pPr>
        <w:ind w:left="1440" w:hanging="360"/>
      </w:pPr>
      <w:rPr>
        <w:rFonts w:ascii="Courier New" w:hAnsi="Courier New" w:cs="Courier New" w:hint="default"/>
      </w:rPr>
    </w:lvl>
    <w:lvl w:ilvl="2" w:tplc="F2149910" w:tentative="1">
      <w:start w:val="1"/>
      <w:numFmt w:val="bullet"/>
      <w:lvlText w:val=""/>
      <w:lvlJc w:val="left"/>
      <w:pPr>
        <w:ind w:left="2160" w:hanging="360"/>
      </w:pPr>
      <w:rPr>
        <w:rFonts w:ascii="Wingdings" w:hAnsi="Wingdings" w:hint="default"/>
      </w:rPr>
    </w:lvl>
    <w:lvl w:ilvl="3" w:tplc="7EECB266" w:tentative="1">
      <w:start w:val="1"/>
      <w:numFmt w:val="bullet"/>
      <w:lvlText w:val=""/>
      <w:lvlJc w:val="left"/>
      <w:pPr>
        <w:ind w:left="2880" w:hanging="360"/>
      </w:pPr>
      <w:rPr>
        <w:rFonts w:ascii="Symbol" w:hAnsi="Symbol" w:hint="default"/>
      </w:rPr>
    </w:lvl>
    <w:lvl w:ilvl="4" w:tplc="A0A0836C" w:tentative="1">
      <w:start w:val="1"/>
      <w:numFmt w:val="bullet"/>
      <w:lvlText w:val="o"/>
      <w:lvlJc w:val="left"/>
      <w:pPr>
        <w:ind w:left="3600" w:hanging="360"/>
      </w:pPr>
      <w:rPr>
        <w:rFonts w:ascii="Courier New" w:hAnsi="Courier New" w:cs="Courier New" w:hint="default"/>
      </w:rPr>
    </w:lvl>
    <w:lvl w:ilvl="5" w:tplc="5F5A9A86" w:tentative="1">
      <w:start w:val="1"/>
      <w:numFmt w:val="bullet"/>
      <w:lvlText w:val=""/>
      <w:lvlJc w:val="left"/>
      <w:pPr>
        <w:ind w:left="4320" w:hanging="360"/>
      </w:pPr>
      <w:rPr>
        <w:rFonts w:ascii="Wingdings" w:hAnsi="Wingdings" w:hint="default"/>
      </w:rPr>
    </w:lvl>
    <w:lvl w:ilvl="6" w:tplc="B62AD8DC" w:tentative="1">
      <w:start w:val="1"/>
      <w:numFmt w:val="bullet"/>
      <w:lvlText w:val=""/>
      <w:lvlJc w:val="left"/>
      <w:pPr>
        <w:ind w:left="5040" w:hanging="360"/>
      </w:pPr>
      <w:rPr>
        <w:rFonts w:ascii="Symbol" w:hAnsi="Symbol" w:hint="default"/>
      </w:rPr>
    </w:lvl>
    <w:lvl w:ilvl="7" w:tplc="2E946D84" w:tentative="1">
      <w:start w:val="1"/>
      <w:numFmt w:val="bullet"/>
      <w:lvlText w:val="o"/>
      <w:lvlJc w:val="left"/>
      <w:pPr>
        <w:ind w:left="5760" w:hanging="360"/>
      </w:pPr>
      <w:rPr>
        <w:rFonts w:ascii="Courier New" w:hAnsi="Courier New" w:cs="Courier New" w:hint="default"/>
      </w:rPr>
    </w:lvl>
    <w:lvl w:ilvl="8" w:tplc="E850CBF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08"/>
    <w:rsid w:val="00030E2E"/>
    <w:rsid w:val="001318DA"/>
    <w:rsid w:val="001668C4"/>
    <w:rsid w:val="00272449"/>
    <w:rsid w:val="002C14B9"/>
    <w:rsid w:val="00317D3C"/>
    <w:rsid w:val="00333DA2"/>
    <w:rsid w:val="0034475B"/>
    <w:rsid w:val="00394037"/>
    <w:rsid w:val="004C286D"/>
    <w:rsid w:val="004C3842"/>
    <w:rsid w:val="00535A9B"/>
    <w:rsid w:val="00592F7F"/>
    <w:rsid w:val="005B6802"/>
    <w:rsid w:val="00652DCC"/>
    <w:rsid w:val="006545D5"/>
    <w:rsid w:val="0070028F"/>
    <w:rsid w:val="00707E01"/>
    <w:rsid w:val="00734CD0"/>
    <w:rsid w:val="007C2234"/>
    <w:rsid w:val="007E5F11"/>
    <w:rsid w:val="00821606"/>
    <w:rsid w:val="008A731D"/>
    <w:rsid w:val="00951339"/>
    <w:rsid w:val="009D09A0"/>
    <w:rsid w:val="009F4B75"/>
    <w:rsid w:val="00A13BA5"/>
    <w:rsid w:val="00A91C53"/>
    <w:rsid w:val="00AF5BBB"/>
    <w:rsid w:val="00BC3BB6"/>
    <w:rsid w:val="00BD5D83"/>
    <w:rsid w:val="00BF312B"/>
    <w:rsid w:val="00C00A6A"/>
    <w:rsid w:val="00C26E08"/>
    <w:rsid w:val="00C36182"/>
    <w:rsid w:val="00C715CF"/>
    <w:rsid w:val="00C85602"/>
    <w:rsid w:val="00D52B6D"/>
    <w:rsid w:val="00DD1C12"/>
    <w:rsid w:val="00DF21BA"/>
    <w:rsid w:val="00DF53C1"/>
    <w:rsid w:val="00F841DF"/>
    <w:rsid w:val="00FB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AE09"/>
  <w15:chartTrackingRefBased/>
  <w15:docId w15:val="{598B8F14-8064-4B77-AFDF-B6A054DA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1BA"/>
  </w:style>
  <w:style w:type="paragraph" w:styleId="Footer">
    <w:name w:val="footer"/>
    <w:basedOn w:val="Normal"/>
    <w:link w:val="FooterChar"/>
    <w:uiPriority w:val="99"/>
    <w:unhideWhenUsed/>
    <w:rsid w:val="00DF2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1BA"/>
  </w:style>
  <w:style w:type="paragraph" w:styleId="ListParagraph">
    <w:name w:val="List Paragraph"/>
    <w:basedOn w:val="Normal"/>
    <w:uiPriority w:val="34"/>
    <w:qFormat/>
    <w:rsid w:val="009D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Mark Sommerfeld</cp:lastModifiedBy>
  <cp:revision>3</cp:revision>
  <dcterms:created xsi:type="dcterms:W3CDTF">2021-02-16T10:54:00Z</dcterms:created>
  <dcterms:modified xsi:type="dcterms:W3CDTF">2021-02-16T10:56:00Z</dcterms:modified>
</cp:coreProperties>
</file>