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534BB" w:rsidRPr="00416A29" w:rsidP="00416A29" w14:paraId="60887763" w14:textId="50722028">
      <w:pPr>
        <w:spacing w:after="0" w:line="240" w:lineRule="auto"/>
        <w:ind w:left="142" w:hanging="568"/>
        <w:jc w:val="center"/>
        <w:rPr>
          <w:rFonts w:ascii="Open Sans" w:eastAsia="Times New Roman" w:hAnsi="Open Sans" w:cs="Open Sans"/>
          <w:b/>
          <w:bCs/>
          <w:color w:val="06926B"/>
          <w:sz w:val="36"/>
          <w:szCs w:val="36"/>
          <w:lang w:eastAsia="en-GB"/>
        </w:rPr>
      </w:pPr>
      <w:r w:rsidRPr="00416A29">
        <w:rPr>
          <w:rFonts w:ascii="Open Sans" w:eastAsia="Times New Roman" w:hAnsi="Open Sans" w:cs="Open Sans"/>
          <w:b/>
          <w:bCs/>
          <w:color w:val="06926B"/>
          <w:sz w:val="36"/>
          <w:szCs w:val="36"/>
          <w:lang w:eastAsia="en-GB"/>
        </w:rPr>
        <w:t>R</w:t>
      </w:r>
      <w:r w:rsidRPr="00416A29">
        <w:rPr>
          <w:rFonts w:ascii="Open Sans" w:eastAsia="Times New Roman" w:hAnsi="Open Sans" w:cs="Open Sans"/>
          <w:b/>
          <w:bCs/>
          <w:color w:val="06926B"/>
          <w:sz w:val="36"/>
          <w:szCs w:val="36"/>
          <w:lang w:eastAsia="en-GB"/>
        </w:rPr>
        <w:t xml:space="preserve">EA Response to </w:t>
      </w:r>
      <w:r w:rsidRPr="00416A29">
        <w:rPr>
          <w:rFonts w:ascii="Open Sans" w:eastAsia="Times New Roman" w:hAnsi="Open Sans" w:cs="Open Sans"/>
          <w:b/>
          <w:bCs/>
          <w:color w:val="06926B"/>
          <w:sz w:val="36"/>
          <w:szCs w:val="36"/>
          <w:lang w:eastAsia="en-GB"/>
        </w:rPr>
        <w:t xml:space="preserve">BEIS </w:t>
      </w:r>
      <w:r w:rsidRPr="00416A29">
        <w:rPr>
          <w:rFonts w:ascii="Open Sans" w:eastAsia="Times New Roman" w:hAnsi="Open Sans" w:cs="Open Sans"/>
          <w:b/>
          <w:bCs/>
          <w:color w:val="06926B"/>
          <w:sz w:val="36"/>
          <w:szCs w:val="36"/>
          <w:lang w:eastAsia="en-GB"/>
        </w:rPr>
        <w:t xml:space="preserve">Green Gas Removal </w:t>
      </w:r>
      <w:r w:rsidRPr="00416A29">
        <w:rPr>
          <w:rFonts w:ascii="Open Sans" w:eastAsia="Times New Roman" w:hAnsi="Open Sans" w:cs="Open Sans"/>
          <w:b/>
          <w:bCs/>
          <w:color w:val="06926B"/>
          <w:sz w:val="36"/>
          <w:szCs w:val="36"/>
          <w:lang w:eastAsia="en-GB"/>
        </w:rPr>
        <w:t xml:space="preserve">(GGRs) </w:t>
      </w:r>
      <w:r w:rsidRPr="00416A29">
        <w:rPr>
          <w:rFonts w:ascii="Open Sans" w:eastAsia="Times New Roman" w:hAnsi="Open Sans" w:cs="Open Sans"/>
          <w:b/>
          <w:bCs/>
          <w:color w:val="06926B"/>
          <w:sz w:val="36"/>
          <w:szCs w:val="36"/>
          <w:lang w:eastAsia="en-GB"/>
        </w:rPr>
        <w:t>Technology Call for Evidence</w:t>
      </w:r>
    </w:p>
    <w:p w:rsidR="00A534BB" w:rsidRPr="00416A29" w:rsidP="00A534BB" w14:paraId="663FDAF8" w14:textId="2B8AE528">
      <w:pPr>
        <w:spacing w:after="0" w:line="240" w:lineRule="auto"/>
        <w:ind w:left="142" w:hanging="568"/>
        <w:rPr>
          <w:rFonts w:ascii="Open Sans" w:eastAsia="Times New Roman" w:hAnsi="Open Sans" w:cs="Open Sans"/>
          <w:b/>
          <w:bCs/>
          <w:i/>
          <w:iCs/>
          <w:color w:val="4472C4" w:themeColor="accent1"/>
          <w:lang w:eastAsia="en-GB"/>
        </w:rPr>
      </w:pPr>
    </w:p>
    <w:p w:rsidR="00393917" w:rsidRPr="00416A29" w:rsidP="00A534BB" w14:paraId="6127A254" w14:textId="77777777">
      <w:pPr>
        <w:spacing w:after="0" w:line="240" w:lineRule="auto"/>
        <w:ind w:left="142" w:hanging="568"/>
        <w:rPr>
          <w:rFonts w:ascii="Open Sans" w:eastAsia="Times New Roman" w:hAnsi="Open Sans" w:cs="Open Sans"/>
          <w:lang w:eastAsia="en-GB"/>
        </w:rPr>
      </w:pPr>
    </w:p>
    <w:p w:rsidR="00CA2ED1" w:rsidRPr="00416A29" w:rsidP="00A534BB" w14:paraId="32AA8E3A" w14:textId="6E58F870">
      <w:pPr>
        <w:spacing w:after="0" w:line="240" w:lineRule="auto"/>
        <w:ind w:left="142" w:hanging="568"/>
        <w:rPr>
          <w:rFonts w:ascii="Open Sans" w:eastAsia="Times New Roman" w:hAnsi="Open Sans" w:cs="Open Sans"/>
          <w:b/>
          <w:bCs/>
          <w:i/>
          <w:iCs/>
          <w:lang w:eastAsia="en-GB"/>
        </w:rPr>
      </w:pPr>
      <w:r w:rsidRPr="00416A29">
        <w:rPr>
          <w:rFonts w:ascii="Open Sans" w:eastAsia="Times New Roman" w:hAnsi="Open Sans" w:cs="Open Sans"/>
          <w:b/>
          <w:bCs/>
          <w:i/>
          <w:iCs/>
          <w:lang w:eastAsia="en-GB"/>
        </w:rPr>
        <w:t> 1. Do you give permission for your evidence to be shared with third party contractors for the purpose of analysis?</w:t>
      </w:r>
    </w:p>
    <w:p w:rsidR="00CA2ED1" w:rsidRPr="00416A29" w:rsidP="00A534BB" w14:paraId="541F2781" w14:textId="77777777">
      <w:pPr>
        <w:spacing w:after="0" w:line="240" w:lineRule="auto"/>
        <w:rPr>
          <w:rFonts w:ascii="Open Sans" w:eastAsia="Times New Roman" w:hAnsi="Open Sans" w:cs="Open Sans"/>
          <w:b/>
          <w:bCs/>
          <w:i/>
          <w:iCs/>
          <w:lang w:eastAsia="en-GB"/>
        </w:rPr>
      </w:pPr>
    </w:p>
    <w:p w:rsidR="00CA2ED1" w:rsidRPr="00416A29" w:rsidP="00A534BB" w14:paraId="609CCF31" w14:textId="77777777">
      <w:pPr>
        <w:spacing w:after="0" w:line="240" w:lineRule="auto"/>
        <w:rPr>
          <w:rFonts w:ascii="Open Sans" w:eastAsia="Times New Roman" w:hAnsi="Open Sans" w:cs="Open Sans"/>
          <w:i/>
          <w:iCs/>
          <w:lang w:eastAsia="en-GB"/>
        </w:rPr>
      </w:pPr>
      <w:r w:rsidRPr="00416A29">
        <w:rPr>
          <w:rFonts w:ascii="Open Sans" w:eastAsia="Times New Roman" w:hAnsi="Open Sans" w:cs="Open Sans"/>
          <w:i/>
          <w:iCs/>
          <w:lang w:eastAsia="en-GB"/>
        </w:rPr>
        <w:t>Yes</w:t>
      </w:r>
    </w:p>
    <w:p w:rsidR="004709F3" w:rsidRPr="00416A29" w:rsidP="004F28FC" w14:paraId="09F2AC32" w14:textId="275E09EF">
      <w:pPr>
        <w:pStyle w:val="ListParagraph"/>
        <w:numPr>
          <w:ilvl w:val="0"/>
          <w:numId w:val="5"/>
        </w:numPr>
        <w:spacing w:before="100" w:beforeAutospacing="1" w:after="100" w:afterAutospacing="1" w:line="240" w:lineRule="auto"/>
        <w:ind w:left="0"/>
        <w:rPr>
          <w:rFonts w:ascii="Open Sans" w:eastAsia="Times New Roman" w:hAnsi="Open Sans" w:cs="Open Sans"/>
          <w:b/>
          <w:bCs/>
          <w:i/>
          <w:iCs/>
          <w:lang w:eastAsia="en-GB"/>
        </w:rPr>
      </w:pPr>
      <w:r w:rsidRPr="00416A29">
        <w:rPr>
          <w:rFonts w:ascii="Open Sans" w:eastAsia="Times New Roman" w:hAnsi="Open Sans" w:cs="Open Sans"/>
          <w:b/>
          <w:bCs/>
          <w:i/>
          <w:iCs/>
          <w:lang w:eastAsia="en-GB"/>
        </w:rPr>
        <w:t>Do you agree that some GGRs will be required to achieve the UK's net-zero target by 2050? What are your views on the suitability and mix of different technologies in supporting the delivery of net-zero?</w:t>
      </w:r>
    </w:p>
    <w:p w:rsidR="004B4F01" w:rsidP="004709F3" w14:paraId="5CF9C5AF" w14:textId="5E81CE72">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The REA </w:t>
      </w:r>
      <w:r w:rsidRPr="00416A29" w:rsidR="00D62010">
        <w:rPr>
          <w:rFonts w:ascii="Open Sans" w:eastAsia="Times New Roman" w:hAnsi="Open Sans" w:cs="Open Sans"/>
          <w:lang w:eastAsia="en-GB"/>
        </w:rPr>
        <w:t xml:space="preserve">agree that a wide range of both engineering-based and </w:t>
      </w:r>
      <w:r w:rsidRPr="00416A29" w:rsidR="009A4EE6">
        <w:rPr>
          <w:rFonts w:ascii="Open Sans" w:eastAsia="Times New Roman" w:hAnsi="Open Sans" w:cs="Open Sans"/>
          <w:lang w:eastAsia="en-GB"/>
        </w:rPr>
        <w:t>n</w:t>
      </w:r>
      <w:r w:rsidRPr="00416A29" w:rsidR="00D62010">
        <w:rPr>
          <w:rFonts w:ascii="Open Sans" w:eastAsia="Times New Roman" w:hAnsi="Open Sans" w:cs="Open Sans"/>
          <w:lang w:eastAsia="en-GB"/>
        </w:rPr>
        <w:t>ature-based GGRs will be required to meet the UK's net-zero targets.</w:t>
      </w:r>
      <w:r w:rsidRPr="00416A29">
        <w:rPr>
          <w:rFonts w:ascii="Open Sans" w:eastAsia="Times New Roman" w:hAnsi="Open Sans" w:cs="Open Sans"/>
          <w:lang w:eastAsia="en-GB"/>
        </w:rPr>
        <w:t xml:space="preserve"> </w:t>
      </w:r>
      <w:r w:rsidRPr="00416A29" w:rsidR="00F11D1E">
        <w:rPr>
          <w:rFonts w:ascii="Open Sans" w:eastAsia="Times New Roman" w:hAnsi="Open Sans" w:cs="Open Sans"/>
          <w:lang w:eastAsia="en-GB"/>
        </w:rPr>
        <w:t>Energy s</w:t>
      </w:r>
      <w:r w:rsidRPr="00416A29">
        <w:rPr>
          <w:rFonts w:ascii="Open Sans" w:eastAsia="Times New Roman" w:hAnsi="Open Sans" w:cs="Open Sans"/>
          <w:lang w:eastAsia="en-GB"/>
        </w:rPr>
        <w:t xml:space="preserve">cenarios set out by the </w:t>
      </w:r>
      <w:r w:rsidRPr="00416A29" w:rsidR="00D30E95">
        <w:rPr>
          <w:rFonts w:ascii="Open Sans" w:eastAsia="Times New Roman" w:hAnsi="Open Sans" w:cs="Open Sans"/>
          <w:lang w:eastAsia="en-GB"/>
        </w:rPr>
        <w:t>C</w:t>
      </w:r>
      <w:r w:rsidRPr="00416A29">
        <w:rPr>
          <w:rFonts w:ascii="Open Sans" w:eastAsia="Times New Roman" w:hAnsi="Open Sans" w:cs="Open Sans"/>
          <w:lang w:eastAsia="en-GB"/>
        </w:rPr>
        <w:t xml:space="preserve">limate </w:t>
      </w:r>
      <w:r w:rsidRPr="00416A29" w:rsidR="00D30E95">
        <w:rPr>
          <w:rFonts w:ascii="Open Sans" w:eastAsia="Times New Roman" w:hAnsi="Open Sans" w:cs="Open Sans"/>
          <w:lang w:eastAsia="en-GB"/>
        </w:rPr>
        <w:t>C</w:t>
      </w:r>
      <w:r w:rsidRPr="00416A29">
        <w:rPr>
          <w:rFonts w:ascii="Open Sans" w:eastAsia="Times New Roman" w:hAnsi="Open Sans" w:cs="Open Sans"/>
          <w:lang w:eastAsia="en-GB"/>
        </w:rPr>
        <w:t>hange Committee</w:t>
      </w:r>
      <w:r w:rsidRPr="00416A29" w:rsidR="00D30E95">
        <w:rPr>
          <w:rFonts w:ascii="Open Sans" w:eastAsia="Times New Roman" w:hAnsi="Open Sans" w:cs="Open Sans"/>
          <w:lang w:eastAsia="en-GB"/>
        </w:rPr>
        <w:t xml:space="preserve">, National Grid ESO Future Energy Scenarios and the REA's Bioenergy Strategy (2019) all demonstrate the need for negative emissions for delivering the UK's </w:t>
      </w:r>
      <w:r w:rsidR="00CF6CF2">
        <w:rPr>
          <w:rFonts w:ascii="Open Sans" w:eastAsia="Times New Roman" w:hAnsi="Open Sans" w:cs="Open Sans"/>
          <w:lang w:eastAsia="en-GB"/>
        </w:rPr>
        <w:t>n</w:t>
      </w:r>
      <w:r w:rsidRPr="00416A29" w:rsidR="00D30E95">
        <w:rPr>
          <w:rFonts w:ascii="Open Sans" w:eastAsia="Times New Roman" w:hAnsi="Open Sans" w:cs="Open Sans"/>
          <w:lang w:eastAsia="en-GB"/>
        </w:rPr>
        <w:t>et</w:t>
      </w:r>
      <w:r w:rsidR="00CF6CF2">
        <w:rPr>
          <w:rFonts w:ascii="Open Sans" w:eastAsia="Times New Roman" w:hAnsi="Open Sans" w:cs="Open Sans"/>
          <w:lang w:eastAsia="en-GB"/>
        </w:rPr>
        <w:t>-z</w:t>
      </w:r>
      <w:r w:rsidRPr="00416A29" w:rsidR="00D30E95">
        <w:rPr>
          <w:rFonts w:ascii="Open Sans" w:eastAsia="Times New Roman" w:hAnsi="Open Sans" w:cs="Open Sans"/>
          <w:lang w:eastAsia="en-GB"/>
        </w:rPr>
        <w:t xml:space="preserve">ero </w:t>
      </w:r>
      <w:r w:rsidR="00CF6CF2">
        <w:rPr>
          <w:rFonts w:ascii="Open Sans" w:eastAsia="Times New Roman" w:hAnsi="Open Sans" w:cs="Open Sans"/>
          <w:lang w:eastAsia="en-GB"/>
        </w:rPr>
        <w:t xml:space="preserve">emissions </w:t>
      </w:r>
      <w:r w:rsidRPr="00416A29" w:rsidR="00D30E95">
        <w:rPr>
          <w:rFonts w:ascii="Open Sans" w:eastAsia="Times New Roman" w:hAnsi="Open Sans" w:cs="Open Sans"/>
          <w:lang w:eastAsia="en-GB"/>
        </w:rPr>
        <w:t>target.</w:t>
      </w:r>
    </w:p>
    <w:p w:rsidR="00416A29" w:rsidRPr="00416A29" w:rsidP="004709F3" w14:paraId="416E87CF" w14:textId="77777777">
      <w:pPr>
        <w:spacing w:after="0" w:line="240" w:lineRule="auto"/>
        <w:rPr>
          <w:rFonts w:ascii="Open Sans" w:eastAsia="Times New Roman" w:hAnsi="Open Sans" w:cs="Open Sans"/>
          <w:lang w:eastAsia="en-GB"/>
        </w:rPr>
      </w:pPr>
    </w:p>
    <w:p w:rsidR="00D30E95" w:rsidRPr="00416A29" w:rsidP="004709F3" w14:paraId="3DA68EF0" w14:textId="5945708F">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Bioenergy with </w:t>
      </w:r>
      <w:r w:rsidRPr="00416A29" w:rsidR="00F11D1E">
        <w:rPr>
          <w:rFonts w:ascii="Open Sans" w:eastAsia="Times New Roman" w:hAnsi="Open Sans" w:cs="Open Sans"/>
          <w:lang w:eastAsia="en-GB"/>
        </w:rPr>
        <w:t>c</w:t>
      </w:r>
      <w:r w:rsidRPr="00416A29">
        <w:rPr>
          <w:rFonts w:ascii="Open Sans" w:eastAsia="Times New Roman" w:hAnsi="Open Sans" w:cs="Open Sans"/>
          <w:lang w:eastAsia="en-GB"/>
        </w:rPr>
        <w:t xml:space="preserve">arbon </w:t>
      </w:r>
      <w:r w:rsidRPr="00416A29" w:rsidR="00F11D1E">
        <w:rPr>
          <w:rFonts w:ascii="Open Sans" w:eastAsia="Times New Roman" w:hAnsi="Open Sans" w:cs="Open Sans"/>
          <w:lang w:eastAsia="en-GB"/>
        </w:rPr>
        <w:t>c</w:t>
      </w:r>
      <w:r w:rsidRPr="00416A29">
        <w:rPr>
          <w:rFonts w:ascii="Open Sans" w:eastAsia="Times New Roman" w:hAnsi="Open Sans" w:cs="Open Sans"/>
          <w:lang w:eastAsia="en-GB"/>
        </w:rPr>
        <w:t xml:space="preserve">apture and storage </w:t>
      </w:r>
      <w:r w:rsidRPr="00416A29" w:rsidR="00F11D1E">
        <w:rPr>
          <w:rFonts w:ascii="Open Sans" w:eastAsia="Times New Roman" w:hAnsi="Open Sans" w:cs="Open Sans"/>
          <w:lang w:eastAsia="en-GB"/>
        </w:rPr>
        <w:t>(BECCS) is seen as of critical strategic importance within the CCC sixth carbon budget, identifying the need for it to provide approximately 53 MtCO</w:t>
      </w:r>
      <w:r w:rsidRPr="00416A29" w:rsidR="00F11D1E">
        <w:rPr>
          <w:rFonts w:ascii="Open Sans" w:eastAsia="Times New Roman" w:hAnsi="Open Sans" w:cs="Open Sans"/>
          <w:vertAlign w:val="subscript"/>
          <w:lang w:eastAsia="en-GB"/>
        </w:rPr>
        <w:t>2</w:t>
      </w:r>
      <w:r w:rsidRPr="00416A29" w:rsidR="00F11D1E">
        <w:rPr>
          <w:rFonts w:ascii="Open Sans" w:eastAsia="Times New Roman" w:hAnsi="Open Sans" w:cs="Open Sans"/>
          <w:lang w:eastAsia="en-GB"/>
        </w:rPr>
        <w:t xml:space="preserve"> </w:t>
      </w:r>
      <w:r w:rsidRPr="00416A29" w:rsidR="00547F88">
        <w:rPr>
          <w:rFonts w:ascii="Open Sans" w:eastAsia="Times New Roman" w:hAnsi="Open Sans" w:cs="Open Sans"/>
          <w:lang w:eastAsia="en-GB"/>
        </w:rPr>
        <w:t xml:space="preserve">by </w:t>
      </w:r>
      <w:r w:rsidRPr="00416A29" w:rsidR="00F11D1E">
        <w:rPr>
          <w:rFonts w:ascii="Open Sans" w:eastAsia="Times New Roman" w:hAnsi="Open Sans" w:cs="Open Sans"/>
          <w:lang w:eastAsia="en-GB"/>
        </w:rPr>
        <w:t xml:space="preserve">2050 across a mix of biomass power, waste-to-energy, industrial heat, biohydrogen, </w:t>
      </w:r>
      <w:r w:rsidRPr="00416A29" w:rsidR="00F11D1E">
        <w:rPr>
          <w:rFonts w:ascii="Open Sans" w:eastAsia="Times New Roman" w:hAnsi="Open Sans" w:cs="Open Sans"/>
          <w:lang w:eastAsia="en-GB"/>
        </w:rPr>
        <w:t>biojet</w:t>
      </w:r>
      <w:r w:rsidRPr="00416A29" w:rsidR="00F11D1E">
        <w:rPr>
          <w:rFonts w:ascii="Open Sans" w:eastAsia="Times New Roman" w:hAnsi="Open Sans" w:cs="Open Sans"/>
          <w:lang w:eastAsia="en-GB"/>
        </w:rPr>
        <w:t xml:space="preserve"> and other biofuel &amp; biomethane facilities.  </w:t>
      </w:r>
      <w:r w:rsidRPr="00416A29" w:rsidR="000512FD">
        <w:rPr>
          <w:rFonts w:ascii="Open Sans" w:eastAsia="Times New Roman" w:hAnsi="Open Sans" w:cs="Open Sans"/>
          <w:lang w:eastAsia="en-GB"/>
        </w:rPr>
        <w:t>It</w:t>
      </w:r>
      <w:r w:rsidRPr="00416A29" w:rsidR="009A4EE6">
        <w:rPr>
          <w:rFonts w:ascii="Open Sans" w:eastAsia="Times New Roman" w:hAnsi="Open Sans" w:cs="Open Sans"/>
          <w:lang w:eastAsia="en-GB"/>
        </w:rPr>
        <w:t xml:space="preserve">, </w:t>
      </w:r>
      <w:r w:rsidRPr="00416A29" w:rsidR="004F28FC">
        <w:rPr>
          <w:rFonts w:ascii="Open Sans" w:eastAsia="Times New Roman" w:hAnsi="Open Sans" w:cs="Open Sans"/>
          <w:lang w:eastAsia="en-GB"/>
        </w:rPr>
        <w:t>therefore</w:t>
      </w:r>
      <w:r w:rsidRPr="00416A29" w:rsidR="009A4EE6">
        <w:rPr>
          <w:rFonts w:ascii="Open Sans" w:eastAsia="Times New Roman" w:hAnsi="Open Sans" w:cs="Open Sans"/>
          <w:lang w:eastAsia="en-GB"/>
        </w:rPr>
        <w:t>,</w:t>
      </w:r>
      <w:r w:rsidRPr="00416A29" w:rsidR="004F28FC">
        <w:rPr>
          <w:rFonts w:ascii="Open Sans" w:eastAsia="Times New Roman" w:hAnsi="Open Sans" w:cs="Open Sans"/>
          <w:lang w:eastAsia="en-GB"/>
        </w:rPr>
        <w:t xml:space="preserve"> </w:t>
      </w:r>
      <w:r w:rsidRPr="00416A29" w:rsidR="000512FD">
        <w:rPr>
          <w:rFonts w:ascii="Open Sans" w:eastAsia="Times New Roman" w:hAnsi="Open Sans" w:cs="Open Sans"/>
          <w:lang w:eastAsia="en-GB"/>
        </w:rPr>
        <w:t>must be recognised that the delivery of BECCS is dependent on the continued growth and development of existing energy sectors</w:t>
      </w:r>
      <w:r w:rsidRPr="00416A29" w:rsidR="004F28FC">
        <w:rPr>
          <w:rFonts w:ascii="Open Sans" w:eastAsia="Times New Roman" w:hAnsi="Open Sans" w:cs="Open Sans"/>
          <w:lang w:eastAsia="en-GB"/>
        </w:rPr>
        <w:t>.  As BEIS will be aware</w:t>
      </w:r>
      <w:r w:rsidRPr="00416A29" w:rsidR="009A4EE6">
        <w:rPr>
          <w:rFonts w:ascii="Open Sans" w:eastAsia="Times New Roman" w:hAnsi="Open Sans" w:cs="Open Sans"/>
          <w:lang w:eastAsia="en-GB"/>
        </w:rPr>
        <w:t>,</w:t>
      </w:r>
      <w:r w:rsidRPr="00416A29" w:rsidR="004F28FC">
        <w:rPr>
          <w:rFonts w:ascii="Open Sans" w:eastAsia="Times New Roman" w:hAnsi="Open Sans" w:cs="Open Sans"/>
          <w:lang w:eastAsia="en-GB"/>
        </w:rPr>
        <w:t xml:space="preserve"> the biomass power sector is already pioneering demonstration projects in BECCS, while </w:t>
      </w:r>
      <w:r w:rsidRPr="00416A29" w:rsidR="009A4EE6">
        <w:rPr>
          <w:rFonts w:ascii="Open Sans" w:eastAsia="Times New Roman" w:hAnsi="Open Sans" w:cs="Open Sans"/>
          <w:lang w:eastAsia="en-GB"/>
        </w:rPr>
        <w:t>a</w:t>
      </w:r>
      <w:r w:rsidRPr="00416A29" w:rsidR="004F28FC">
        <w:rPr>
          <w:rFonts w:ascii="Open Sans" w:eastAsia="Times New Roman" w:hAnsi="Open Sans" w:cs="Open Sans"/>
          <w:lang w:eastAsia="en-GB"/>
        </w:rPr>
        <w:t>naerobic</w:t>
      </w:r>
      <w:r w:rsidRPr="00416A29" w:rsidR="000512FD">
        <w:rPr>
          <w:rFonts w:ascii="Open Sans" w:eastAsia="Times New Roman" w:hAnsi="Open Sans" w:cs="Open Sans"/>
          <w:lang w:eastAsia="en-GB"/>
        </w:rPr>
        <w:t xml:space="preserve"> digestion</w:t>
      </w:r>
      <w:r w:rsidRPr="00416A29" w:rsidR="000512FD">
        <w:rPr>
          <w:rFonts w:ascii="Open Sans" w:hAnsi="Open Sans" w:cs="Open Sans"/>
          <w:color w:val="010101"/>
        </w:rPr>
        <w:t xml:space="preserve"> and bioethanol plants are </w:t>
      </w:r>
      <w:r w:rsidRPr="00416A29" w:rsidR="004F28FC">
        <w:rPr>
          <w:rFonts w:ascii="Open Sans" w:hAnsi="Open Sans" w:cs="Open Sans"/>
          <w:color w:val="010101"/>
        </w:rPr>
        <w:t xml:space="preserve">also </w:t>
      </w:r>
      <w:r w:rsidRPr="00416A29" w:rsidR="000512FD">
        <w:rPr>
          <w:rFonts w:ascii="Open Sans" w:hAnsi="Open Sans" w:cs="Open Sans"/>
          <w:color w:val="010101"/>
        </w:rPr>
        <w:t>already capturing carbon dioxide for use in the food</w:t>
      </w:r>
      <w:r w:rsidRPr="00416A29" w:rsidR="004013A4">
        <w:rPr>
          <w:rFonts w:ascii="Open Sans" w:hAnsi="Open Sans" w:cs="Open Sans"/>
          <w:color w:val="010101"/>
        </w:rPr>
        <w:t xml:space="preserve"> and drinks</w:t>
      </w:r>
      <w:r w:rsidRPr="00416A29" w:rsidR="000512FD">
        <w:rPr>
          <w:rFonts w:ascii="Open Sans" w:hAnsi="Open Sans" w:cs="Open Sans"/>
          <w:color w:val="010101"/>
        </w:rPr>
        <w:t xml:space="preserve"> industry</w:t>
      </w:r>
      <w:r w:rsidRPr="00416A29" w:rsidR="009A4EE6">
        <w:rPr>
          <w:rFonts w:ascii="Open Sans" w:hAnsi="Open Sans" w:cs="Open Sans"/>
          <w:color w:val="010101"/>
        </w:rPr>
        <w:t>,</w:t>
      </w:r>
      <w:r w:rsidRPr="00416A29" w:rsidR="004013A4">
        <w:rPr>
          <w:rFonts w:ascii="Open Sans" w:hAnsi="Open Sans" w:cs="Open Sans"/>
          <w:color w:val="010101"/>
        </w:rPr>
        <w:t xml:space="preserve"> replacing imports</w:t>
      </w:r>
      <w:r w:rsidRPr="00416A29" w:rsidR="004F28FC">
        <w:rPr>
          <w:rFonts w:ascii="Open Sans" w:hAnsi="Open Sans" w:cs="Open Sans"/>
          <w:color w:val="010101"/>
        </w:rPr>
        <w:t>.  Further bioenergy industries are also starting to think about how the retrofitting of CCS on existing infrastructure may be achieve</w:t>
      </w:r>
      <w:r w:rsidRPr="00416A29" w:rsidR="009A4EE6">
        <w:rPr>
          <w:rFonts w:ascii="Open Sans" w:hAnsi="Open Sans" w:cs="Open Sans"/>
          <w:color w:val="010101"/>
        </w:rPr>
        <w:t>d</w:t>
      </w:r>
      <w:r w:rsidRPr="00416A29" w:rsidR="004F28FC">
        <w:rPr>
          <w:rFonts w:ascii="Open Sans" w:hAnsi="Open Sans" w:cs="Open Sans"/>
          <w:color w:val="010101"/>
        </w:rPr>
        <w:t xml:space="preserve"> sometime in the 2030s, following the CCC's sixth carbon budget</w:t>
      </w:r>
      <w:r w:rsidRPr="00416A29" w:rsidR="000512FD">
        <w:rPr>
          <w:rFonts w:ascii="Open Sans" w:hAnsi="Open Sans" w:cs="Open Sans"/>
          <w:color w:val="010101"/>
        </w:rPr>
        <w:t>.</w:t>
      </w:r>
      <w:r w:rsidRPr="00416A29" w:rsidR="00F11D1E">
        <w:rPr>
          <w:rFonts w:ascii="Open Sans" w:eastAsia="Times New Roman" w:hAnsi="Open Sans" w:cs="Open Sans"/>
          <w:lang w:eastAsia="en-GB"/>
        </w:rPr>
        <w:t xml:space="preserve"> As</w:t>
      </w:r>
      <w:r w:rsidRPr="00416A29" w:rsidR="004F28FC">
        <w:rPr>
          <w:rFonts w:ascii="Open Sans" w:eastAsia="Times New Roman" w:hAnsi="Open Sans" w:cs="Open Sans"/>
          <w:lang w:eastAsia="en-GB"/>
        </w:rPr>
        <w:t xml:space="preserve"> such,</w:t>
      </w:r>
      <w:r w:rsidRPr="00416A29" w:rsidR="000512FD">
        <w:rPr>
          <w:rFonts w:ascii="Open Sans" w:eastAsia="Times New Roman" w:hAnsi="Open Sans" w:cs="Open Sans"/>
          <w:lang w:eastAsia="en-GB"/>
        </w:rPr>
        <w:t xml:space="preserve"> policy design for the </w:t>
      </w:r>
      <w:r w:rsidRPr="00416A29" w:rsidR="00F11D1E">
        <w:rPr>
          <w:rFonts w:ascii="Open Sans" w:eastAsia="Times New Roman" w:hAnsi="Open Sans" w:cs="Open Sans"/>
          <w:lang w:eastAsia="en-GB"/>
        </w:rPr>
        <w:t xml:space="preserve">delivery of BECCS, and other GGRs, </w:t>
      </w:r>
      <w:r w:rsidRPr="00416A29" w:rsidR="000512FD">
        <w:rPr>
          <w:rFonts w:ascii="Open Sans" w:eastAsia="Times New Roman" w:hAnsi="Open Sans" w:cs="Open Sans"/>
          <w:lang w:eastAsia="en-GB"/>
        </w:rPr>
        <w:t xml:space="preserve">must </w:t>
      </w:r>
      <w:r w:rsidRPr="00416A29" w:rsidR="004F28FC">
        <w:rPr>
          <w:rFonts w:ascii="Open Sans" w:eastAsia="Times New Roman" w:hAnsi="Open Sans" w:cs="Open Sans"/>
          <w:lang w:eastAsia="en-GB"/>
        </w:rPr>
        <w:t xml:space="preserve">consider existing bioenergy industries as their starting point, with the continued growth and transition of these sectors being crucial to the delivery of GGR at the scales required. </w:t>
      </w:r>
      <w:r w:rsidRPr="00416A29" w:rsidR="00547F88">
        <w:rPr>
          <w:rFonts w:ascii="Open Sans" w:eastAsia="Times New Roman" w:hAnsi="Open Sans" w:cs="Open Sans"/>
          <w:lang w:eastAsia="en-GB"/>
        </w:rPr>
        <w:t xml:space="preserve"> </w:t>
      </w:r>
    </w:p>
    <w:p w:rsidR="000512FD" w:rsidRPr="00416A29" w:rsidP="004709F3" w14:paraId="4404E82A" w14:textId="0B4B5EA4">
      <w:pPr>
        <w:spacing w:after="0" w:line="240" w:lineRule="auto"/>
        <w:rPr>
          <w:rFonts w:ascii="Open Sans" w:eastAsia="Times New Roman" w:hAnsi="Open Sans" w:cs="Open Sans"/>
          <w:lang w:eastAsia="en-GB"/>
        </w:rPr>
      </w:pPr>
    </w:p>
    <w:p w:rsidR="000512FD" w:rsidRPr="00416A29" w:rsidP="004709F3" w14:paraId="657A62B6" w14:textId="0E11AC5A">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Similarly,</w:t>
      </w:r>
      <w:r w:rsidRPr="00416A29">
        <w:rPr>
          <w:rFonts w:ascii="Open Sans" w:eastAsia="Times New Roman" w:hAnsi="Open Sans" w:cs="Open Sans"/>
          <w:lang w:eastAsia="en-GB"/>
        </w:rPr>
        <w:t xml:space="preserve"> we</w:t>
      </w:r>
      <w:r w:rsidRPr="00416A29" w:rsidR="004013A4">
        <w:rPr>
          <w:rFonts w:ascii="Open Sans" w:eastAsia="Times New Roman" w:hAnsi="Open Sans" w:cs="Open Sans"/>
          <w:lang w:eastAsia="en-GB"/>
        </w:rPr>
        <w:t xml:space="preserve"> </w:t>
      </w:r>
      <w:r w:rsidRPr="00416A29">
        <w:rPr>
          <w:rFonts w:ascii="Open Sans" w:eastAsia="Times New Roman" w:hAnsi="Open Sans" w:cs="Open Sans"/>
          <w:lang w:eastAsia="en-GB"/>
        </w:rPr>
        <w:t xml:space="preserve">strongly support carbon sequestration </w:t>
      </w:r>
      <w:r w:rsidRPr="00416A29" w:rsidR="004F28FC">
        <w:rPr>
          <w:rFonts w:ascii="Open Sans" w:eastAsia="Times New Roman" w:hAnsi="Open Sans" w:cs="Open Sans"/>
          <w:lang w:eastAsia="en-GB"/>
        </w:rPr>
        <w:t xml:space="preserve">through environmental land management </w:t>
      </w:r>
      <w:r w:rsidRPr="00416A29">
        <w:rPr>
          <w:rFonts w:ascii="Open Sans" w:eastAsia="Times New Roman" w:hAnsi="Open Sans" w:cs="Open Sans"/>
          <w:lang w:eastAsia="en-GB"/>
        </w:rPr>
        <w:t xml:space="preserve">methods including </w:t>
      </w:r>
      <w:r w:rsidRPr="00416A29">
        <w:rPr>
          <w:rFonts w:ascii="Open Sans" w:eastAsia="Times New Roman" w:hAnsi="Open Sans" w:cs="Open Sans"/>
          <w:lang w:eastAsia="en-GB"/>
        </w:rPr>
        <w:t xml:space="preserve">agriculture, forestry, agroforestry, energy crops and </w:t>
      </w:r>
      <w:r w:rsidRPr="00416A29">
        <w:rPr>
          <w:rFonts w:ascii="Open Sans" w:eastAsia="Times New Roman" w:hAnsi="Open Sans" w:cs="Open Sans"/>
          <w:lang w:eastAsia="en-GB"/>
        </w:rPr>
        <w:t>peatland</w:t>
      </w:r>
      <w:r w:rsidRPr="00416A29">
        <w:rPr>
          <w:rFonts w:ascii="Open Sans" w:eastAsia="Times New Roman" w:hAnsi="Open Sans" w:cs="Open Sans"/>
          <w:lang w:eastAsia="en-GB"/>
        </w:rPr>
        <w:t xml:space="preserve"> restoration</w:t>
      </w:r>
      <w:r w:rsidRPr="00416A29">
        <w:rPr>
          <w:rFonts w:ascii="Open Sans" w:eastAsia="Times New Roman" w:hAnsi="Open Sans" w:cs="Open Sans"/>
          <w:lang w:eastAsia="en-GB"/>
        </w:rPr>
        <w:t xml:space="preserve">. </w:t>
      </w:r>
      <w:r w:rsidRPr="00416A29" w:rsidR="009B4E2A">
        <w:rPr>
          <w:rFonts w:ascii="Open Sans" w:eastAsia="Times New Roman" w:hAnsi="Open Sans" w:cs="Open Sans"/>
          <w:lang w:eastAsia="en-GB"/>
        </w:rPr>
        <w:t xml:space="preserve">The CCC </w:t>
      </w:r>
      <w:r w:rsidRPr="00416A29">
        <w:rPr>
          <w:rFonts w:ascii="Open Sans" w:eastAsia="Times New Roman" w:hAnsi="Open Sans" w:cs="Open Sans"/>
          <w:lang w:eastAsia="en-GB"/>
        </w:rPr>
        <w:t>identify an estimated 52 MtCO</w:t>
      </w:r>
      <w:r w:rsidRPr="00416A29">
        <w:rPr>
          <w:rFonts w:ascii="Open Sans" w:eastAsia="Times New Roman" w:hAnsi="Open Sans" w:cs="Open Sans"/>
          <w:vertAlign w:val="subscript"/>
          <w:lang w:eastAsia="en-GB"/>
        </w:rPr>
        <w:t>2</w:t>
      </w:r>
      <w:r w:rsidRPr="00416A29">
        <w:rPr>
          <w:rFonts w:ascii="Open Sans" w:eastAsia="Times New Roman" w:hAnsi="Open Sans" w:cs="Open Sans"/>
          <w:lang w:eastAsia="en-GB"/>
        </w:rPr>
        <w:t xml:space="preserve"> of greenhouse gas savings that could come from these measures alone. As such, the delivery of nature-based solutions should be considered </w:t>
      </w:r>
      <w:r w:rsidRPr="00416A29" w:rsidR="002D4DA4">
        <w:rPr>
          <w:rFonts w:ascii="Open Sans" w:eastAsia="Times New Roman" w:hAnsi="Open Sans" w:cs="Open Sans"/>
          <w:lang w:eastAsia="en-GB"/>
        </w:rPr>
        <w:t>of</w:t>
      </w:r>
      <w:r w:rsidRPr="00416A29">
        <w:rPr>
          <w:rFonts w:ascii="Open Sans" w:eastAsia="Times New Roman" w:hAnsi="Open Sans" w:cs="Open Sans"/>
          <w:lang w:eastAsia="en-GB"/>
        </w:rPr>
        <w:t xml:space="preserve"> equal</w:t>
      </w:r>
      <w:r w:rsidRPr="00416A29" w:rsidR="004013A4">
        <w:rPr>
          <w:rFonts w:ascii="Open Sans" w:eastAsia="Times New Roman" w:hAnsi="Open Sans" w:cs="Open Sans"/>
          <w:lang w:eastAsia="en-GB"/>
        </w:rPr>
        <w:t xml:space="preserve"> </w:t>
      </w:r>
      <w:r w:rsidRPr="00416A29">
        <w:rPr>
          <w:rFonts w:ascii="Open Sans" w:eastAsia="Times New Roman" w:hAnsi="Open Sans" w:cs="Open Sans"/>
          <w:lang w:eastAsia="en-GB"/>
        </w:rPr>
        <w:t>importan</w:t>
      </w:r>
      <w:r w:rsidRPr="00416A29" w:rsidR="004013A4">
        <w:rPr>
          <w:rFonts w:ascii="Open Sans" w:eastAsia="Times New Roman" w:hAnsi="Open Sans" w:cs="Open Sans"/>
          <w:lang w:eastAsia="en-GB"/>
        </w:rPr>
        <w:t>ce</w:t>
      </w:r>
      <w:r w:rsidRPr="00416A29">
        <w:rPr>
          <w:rFonts w:ascii="Open Sans" w:eastAsia="Times New Roman" w:hAnsi="Open Sans" w:cs="Open Sans"/>
          <w:lang w:eastAsia="en-GB"/>
        </w:rPr>
        <w:t xml:space="preserve"> alongside engineering-based </w:t>
      </w:r>
      <w:r w:rsidRPr="00416A29" w:rsidR="002D4DA4">
        <w:rPr>
          <w:rFonts w:ascii="Open Sans" w:eastAsia="Times New Roman" w:hAnsi="Open Sans" w:cs="Open Sans"/>
          <w:lang w:eastAsia="en-GB"/>
        </w:rPr>
        <w:t>solutions and</w:t>
      </w:r>
      <w:r w:rsidRPr="00416A29">
        <w:rPr>
          <w:rFonts w:ascii="Open Sans" w:eastAsia="Times New Roman" w:hAnsi="Open Sans" w:cs="Open Sans"/>
          <w:lang w:eastAsia="en-GB"/>
        </w:rPr>
        <w:t xml:space="preserve"> will likely require </w:t>
      </w:r>
      <w:r w:rsidRPr="00416A29" w:rsidR="002D4DA4">
        <w:rPr>
          <w:rFonts w:ascii="Open Sans" w:eastAsia="Times New Roman" w:hAnsi="Open Sans" w:cs="Open Sans"/>
          <w:lang w:eastAsia="en-GB"/>
        </w:rPr>
        <w:t>separate policy approaches</w:t>
      </w:r>
      <w:r w:rsidRPr="00416A29">
        <w:rPr>
          <w:rFonts w:ascii="Open Sans" w:eastAsia="Times New Roman" w:hAnsi="Open Sans" w:cs="Open Sans"/>
          <w:lang w:eastAsia="en-GB"/>
        </w:rPr>
        <w:t xml:space="preserve"> to see them delivered. </w:t>
      </w:r>
      <w:r w:rsidRPr="00416A29" w:rsidR="004013A4">
        <w:rPr>
          <w:rFonts w:ascii="Open Sans" w:eastAsia="Times New Roman" w:hAnsi="Open Sans" w:cs="Open Sans"/>
          <w:lang w:eastAsia="en-GB"/>
        </w:rPr>
        <w:t xml:space="preserve"> Also, we</w:t>
      </w:r>
      <w:r w:rsidRPr="00416A29" w:rsidR="002D4DA4">
        <w:rPr>
          <w:rFonts w:ascii="Open Sans" w:eastAsia="Times New Roman" w:hAnsi="Open Sans" w:cs="Open Sans"/>
          <w:lang w:eastAsia="en-GB"/>
        </w:rPr>
        <w:t xml:space="preserve"> stress the </w:t>
      </w:r>
      <w:r w:rsidRPr="00416A29">
        <w:rPr>
          <w:rFonts w:ascii="Open Sans" w:eastAsia="Times New Roman" w:hAnsi="Open Sans" w:cs="Open Sans"/>
          <w:lang w:eastAsia="en-GB"/>
        </w:rPr>
        <w:t xml:space="preserve">link between </w:t>
      </w:r>
      <w:r w:rsidRPr="00416A29" w:rsidR="002D4DA4">
        <w:rPr>
          <w:rFonts w:ascii="Open Sans" w:eastAsia="Times New Roman" w:hAnsi="Open Sans" w:cs="Open Sans"/>
          <w:lang w:eastAsia="en-GB"/>
        </w:rPr>
        <w:t>land use</w:t>
      </w:r>
      <w:r w:rsidRPr="00416A29">
        <w:rPr>
          <w:rFonts w:ascii="Open Sans" w:eastAsia="Times New Roman" w:hAnsi="Open Sans" w:cs="Open Sans"/>
          <w:lang w:eastAsia="en-GB"/>
        </w:rPr>
        <w:t xml:space="preserve"> and bioenergy carbon capture and storage that must also be considered, with </w:t>
      </w:r>
      <w:r w:rsidRPr="00416A29" w:rsidR="004F28FC">
        <w:rPr>
          <w:rFonts w:ascii="Open Sans" w:eastAsia="Times New Roman" w:hAnsi="Open Sans" w:cs="Open Sans"/>
          <w:lang w:eastAsia="en-GB"/>
        </w:rPr>
        <w:t xml:space="preserve">policies that promote GGR through bioenergy and environmental land management having co-benefits to the broader </w:t>
      </w:r>
      <w:r w:rsidRPr="00416A29" w:rsidR="002D4DA4">
        <w:rPr>
          <w:rFonts w:ascii="Open Sans" w:eastAsia="Times New Roman" w:hAnsi="Open Sans" w:cs="Open Sans"/>
          <w:lang w:eastAsia="en-GB"/>
        </w:rPr>
        <w:t>bioeconomy, supporting</w:t>
      </w:r>
      <w:r w:rsidRPr="00416A29" w:rsidR="004F28FC">
        <w:rPr>
          <w:rFonts w:ascii="Open Sans" w:eastAsia="Times New Roman" w:hAnsi="Open Sans" w:cs="Open Sans"/>
          <w:lang w:eastAsia="en-GB"/>
        </w:rPr>
        <w:t xml:space="preserve"> the delivery of each sector. </w:t>
      </w:r>
    </w:p>
    <w:p w:rsidR="004B4F01" w:rsidRPr="00416A29" w:rsidP="004709F3" w14:paraId="2700A46E" w14:textId="77777777">
      <w:pPr>
        <w:spacing w:after="0" w:line="240" w:lineRule="auto"/>
        <w:rPr>
          <w:rFonts w:ascii="Open Sans" w:eastAsia="Times New Roman" w:hAnsi="Open Sans" w:cs="Open Sans"/>
          <w:lang w:eastAsia="en-GB"/>
        </w:rPr>
      </w:pPr>
    </w:p>
    <w:p w:rsidR="00D62010" w:rsidRPr="00416A29" w:rsidP="004709F3" w14:paraId="386F5A72" w14:textId="2A95C6B6">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REA members are</w:t>
      </w:r>
      <w:r w:rsidRPr="00416A29" w:rsidR="002D4DA4">
        <w:rPr>
          <w:rFonts w:ascii="Open Sans" w:eastAsia="Times New Roman" w:hAnsi="Open Sans" w:cs="Open Sans"/>
          <w:lang w:eastAsia="en-GB"/>
        </w:rPr>
        <w:t xml:space="preserve"> currently</w:t>
      </w:r>
      <w:r w:rsidRPr="00416A29">
        <w:rPr>
          <w:rFonts w:ascii="Open Sans" w:eastAsia="Times New Roman" w:hAnsi="Open Sans" w:cs="Open Sans"/>
          <w:lang w:eastAsia="en-GB"/>
        </w:rPr>
        <w:t xml:space="preserve"> involved in the following GGR technologies</w:t>
      </w:r>
      <w:r w:rsidRPr="00416A29" w:rsidR="00547F88">
        <w:rPr>
          <w:rFonts w:ascii="Open Sans" w:eastAsia="Times New Roman" w:hAnsi="Open Sans" w:cs="Open Sans"/>
          <w:lang w:eastAsia="en-GB"/>
        </w:rPr>
        <w:t xml:space="preserve"> and are therefore the focu</w:t>
      </w:r>
      <w:r w:rsidRPr="00416A29" w:rsidR="002D4DA4">
        <w:rPr>
          <w:rFonts w:ascii="Open Sans" w:eastAsia="Times New Roman" w:hAnsi="Open Sans" w:cs="Open Sans"/>
          <w:lang w:eastAsia="en-GB"/>
        </w:rPr>
        <w:t>s</w:t>
      </w:r>
      <w:r w:rsidRPr="00416A29" w:rsidR="00547F88">
        <w:rPr>
          <w:rFonts w:ascii="Open Sans" w:eastAsia="Times New Roman" w:hAnsi="Open Sans" w:cs="Open Sans"/>
          <w:lang w:eastAsia="en-GB"/>
        </w:rPr>
        <w:t xml:space="preserve"> of our response.</w:t>
      </w:r>
      <w:r w:rsidRPr="00416A29">
        <w:rPr>
          <w:rFonts w:ascii="Open Sans" w:eastAsia="Times New Roman" w:hAnsi="Open Sans" w:cs="Open Sans"/>
          <w:lang w:eastAsia="en-GB"/>
        </w:rPr>
        <w:t xml:space="preserve"> </w:t>
      </w:r>
    </w:p>
    <w:p w:rsidR="00D62010" w:rsidRPr="00416A29" w:rsidP="00D62010" w14:paraId="220559AE" w14:textId="5722E62C">
      <w:pPr>
        <w:pStyle w:val="ListParagraph"/>
        <w:numPr>
          <w:ilvl w:val="0"/>
          <w:numId w:val="3"/>
        </w:num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Bioenergy Carbon Capture and Storage (BECCS)</w:t>
      </w:r>
      <w:r w:rsidR="00A40BEF">
        <w:rPr>
          <w:rFonts w:ascii="Open Sans" w:eastAsia="Times New Roman" w:hAnsi="Open Sans" w:cs="Open Sans"/>
          <w:lang w:eastAsia="en-GB"/>
        </w:rPr>
        <w:t xml:space="preserve"> – including on non-biomass power applications such as anaerobic digestion.</w:t>
      </w:r>
    </w:p>
    <w:p w:rsidR="00547F88" w:rsidRPr="00416A29" w:rsidP="00547F88" w14:paraId="6FF1D6E4" w14:textId="3A7BC93D">
      <w:pPr>
        <w:pStyle w:val="ListParagraph"/>
        <w:numPr>
          <w:ilvl w:val="0"/>
          <w:numId w:val="3"/>
        </w:num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Biochar</w:t>
      </w:r>
    </w:p>
    <w:p w:rsidR="00D62010" w:rsidRPr="00416A29" w:rsidP="00D62010" w14:paraId="4D86FBE2" w14:textId="676BEDA7">
      <w:pPr>
        <w:pStyle w:val="ListParagraph"/>
        <w:numPr>
          <w:ilvl w:val="0"/>
          <w:numId w:val="3"/>
        </w:num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Afforestation</w:t>
      </w:r>
    </w:p>
    <w:p w:rsidR="00D62010" w:rsidRPr="00416A29" w:rsidP="00D62010" w14:paraId="32891648" w14:textId="7CEFDD84">
      <w:pPr>
        <w:pStyle w:val="ListParagraph"/>
        <w:numPr>
          <w:ilvl w:val="0"/>
          <w:numId w:val="3"/>
        </w:num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Habitat</w:t>
      </w:r>
      <w:r w:rsidRPr="00416A29">
        <w:rPr>
          <w:rFonts w:ascii="Open Sans" w:eastAsia="Times New Roman" w:hAnsi="Open Sans" w:cs="Open Sans"/>
          <w:lang w:eastAsia="en-GB"/>
        </w:rPr>
        <w:t xml:space="preserve"> Restoration </w:t>
      </w:r>
    </w:p>
    <w:p w:rsidR="00D62010" w:rsidRPr="00416A29" w:rsidP="00D62010" w14:paraId="561EAFEE" w14:textId="2EE763A2">
      <w:pPr>
        <w:pStyle w:val="ListParagraph"/>
        <w:numPr>
          <w:ilvl w:val="0"/>
          <w:numId w:val="3"/>
        </w:num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Soil Carbon </w:t>
      </w:r>
      <w:r w:rsidRPr="00416A29" w:rsidR="002D4DA4">
        <w:rPr>
          <w:rFonts w:ascii="Open Sans" w:eastAsia="Times New Roman" w:hAnsi="Open Sans" w:cs="Open Sans"/>
          <w:lang w:eastAsia="en-GB"/>
        </w:rPr>
        <w:t>Sequestration</w:t>
      </w:r>
    </w:p>
    <w:p w:rsidR="002D4DA4" w:rsidRPr="00416A29" w:rsidP="00547F88" w14:paraId="63AD8E59" w14:textId="77777777">
      <w:pPr>
        <w:spacing w:after="0" w:line="240" w:lineRule="auto"/>
        <w:rPr>
          <w:rFonts w:ascii="Open Sans" w:eastAsia="Times New Roman" w:hAnsi="Open Sans" w:cs="Open Sans"/>
          <w:lang w:eastAsia="en-GB"/>
        </w:rPr>
      </w:pPr>
    </w:p>
    <w:p w:rsidR="00547F88" w:rsidRPr="00416A29" w:rsidP="00547F88" w14:paraId="453A8664" w14:textId="18A05488">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T</w:t>
      </w:r>
      <w:r w:rsidRPr="00416A29">
        <w:rPr>
          <w:rFonts w:ascii="Open Sans" w:eastAsia="Times New Roman" w:hAnsi="Open Sans" w:cs="Open Sans"/>
          <w:lang w:eastAsia="en-GB"/>
        </w:rPr>
        <w:t>he REA are also members of the Coalition for Negative Emissions and are supportive of other GGR technologies</w:t>
      </w:r>
      <w:r w:rsidRPr="00416A29" w:rsidR="002D4DA4">
        <w:rPr>
          <w:rFonts w:ascii="Open Sans" w:eastAsia="Times New Roman" w:hAnsi="Open Sans" w:cs="Open Sans"/>
          <w:lang w:eastAsia="en-GB"/>
        </w:rPr>
        <w:t>, as identified within their submission to this call for evidence, where</w:t>
      </w:r>
      <w:r w:rsidRPr="00416A29">
        <w:rPr>
          <w:rFonts w:ascii="Open Sans" w:eastAsia="Times New Roman" w:hAnsi="Open Sans" w:cs="Open Sans"/>
          <w:lang w:eastAsia="en-GB"/>
        </w:rPr>
        <w:t xml:space="preserve"> powered by renewable energy </w:t>
      </w:r>
      <w:r w:rsidRPr="00416A29" w:rsidR="002D4DA4">
        <w:rPr>
          <w:rFonts w:ascii="Open Sans" w:eastAsia="Times New Roman" w:hAnsi="Open Sans" w:cs="Open Sans"/>
          <w:lang w:eastAsia="en-GB"/>
        </w:rPr>
        <w:t>sources.</w:t>
      </w:r>
    </w:p>
    <w:p w:rsidR="00721058" w:rsidRPr="00416A29" w:rsidP="005314B6" w14:paraId="79E07985" w14:textId="7E1334B0">
      <w:pPr>
        <w:numPr>
          <w:ilvl w:val="0"/>
          <w:numId w:val="2"/>
        </w:numPr>
        <w:spacing w:before="100" w:beforeAutospacing="1" w:after="100" w:afterAutospacing="1" w:line="240" w:lineRule="auto"/>
        <w:ind w:left="0"/>
        <w:rPr>
          <w:rFonts w:ascii="Open Sans" w:eastAsia="Times New Roman" w:hAnsi="Open Sans" w:cs="Open Sans"/>
          <w:b/>
          <w:bCs/>
          <w:i/>
          <w:iCs/>
          <w:lang w:eastAsia="en-GB"/>
        </w:rPr>
      </w:pPr>
      <w:r w:rsidRPr="00416A29">
        <w:rPr>
          <w:rFonts w:ascii="Open Sans" w:eastAsia="Times New Roman" w:hAnsi="Open Sans" w:cs="Open Sans"/>
          <w:b/>
          <w:bCs/>
          <w:i/>
          <w:iCs/>
          <w:lang w:eastAsia="en-GB"/>
        </w:rPr>
        <w:t>Concerning the GGRs listed in Figure 1 (except afforestation, habitat restoration and wood in construction), is there new evidence that you can submit in relation to any of the following:</w:t>
      </w:r>
    </w:p>
    <w:p w:rsidR="00CA2ED1" w:rsidRPr="00416A29" w:rsidP="00CA2ED1" w14:paraId="10CDDFA7"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w:t>
      </w:r>
      <w:r w:rsidRPr="00416A29">
        <w:rPr>
          <w:rFonts w:ascii="Open Sans" w:eastAsia="Times New Roman" w:hAnsi="Open Sans" w:cs="Open Sans"/>
          <w:b/>
          <w:bCs/>
          <w:i/>
          <w:iCs/>
          <w:lang w:eastAsia="en-GB"/>
        </w:rPr>
        <w:t>i</w:t>
      </w:r>
      <w:r w:rsidRPr="00416A29">
        <w:rPr>
          <w:rFonts w:ascii="Open Sans" w:eastAsia="Times New Roman" w:hAnsi="Open Sans" w:cs="Open Sans"/>
          <w:b/>
          <w:bCs/>
          <w:i/>
          <w:iCs/>
          <w:lang w:eastAsia="en-GB"/>
        </w:rPr>
        <w:t>) technology readiness levels</w:t>
      </w:r>
    </w:p>
    <w:p w:rsidR="00CA2ED1" w:rsidRPr="00416A29" w:rsidP="00CA2ED1" w14:paraId="4509D0DA"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(ii) scale-up potential (in the UK and/or globally)</w:t>
      </w:r>
    </w:p>
    <w:p w:rsidR="00CA2ED1" w:rsidRPr="00416A29" w:rsidP="00CA2ED1" w14:paraId="249E041A"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xml:space="preserve">(iii) costs per tonne of CO2 removed, including any additional information about cost savings per tonne for removals “in bulk” (where possible, please provide evidence for cost breakdowns across the various elements </w:t>
      </w:r>
      <w:r w:rsidRPr="00416A29">
        <w:rPr>
          <w:rFonts w:ascii="Open Sans" w:eastAsia="Times New Roman" w:hAnsi="Open Sans" w:cs="Open Sans"/>
          <w:b/>
          <w:bCs/>
          <w:i/>
          <w:iCs/>
          <w:lang w:eastAsia="en-GB"/>
        </w:rPr>
        <w:t>e.g.</w:t>
      </w:r>
      <w:r w:rsidRPr="00416A29">
        <w:rPr>
          <w:rFonts w:ascii="Open Sans" w:eastAsia="Times New Roman" w:hAnsi="Open Sans" w:cs="Open Sans"/>
          <w:b/>
          <w:bCs/>
          <w:i/>
          <w:iCs/>
          <w:lang w:eastAsia="en-GB"/>
        </w:rPr>
        <w:t xml:space="preserve"> capture costs, transport and storage costs)</w:t>
      </w:r>
    </w:p>
    <w:p w:rsidR="00CA2ED1" w:rsidRPr="00416A29" w:rsidP="00CA2ED1" w14:paraId="5D10292B"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(iv) constraints to deployment</w:t>
      </w:r>
    </w:p>
    <w:p w:rsidR="00CA2ED1" w:rsidRPr="00416A29" w:rsidP="00CA2ED1" w14:paraId="50083AA6"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(v) ability to verify removals, taking into account considerations of permanence of removal (</w:t>
      </w:r>
      <w:r w:rsidRPr="00416A29">
        <w:rPr>
          <w:rFonts w:ascii="Open Sans" w:eastAsia="Times New Roman" w:hAnsi="Open Sans" w:cs="Open Sans"/>
          <w:b/>
          <w:bCs/>
          <w:i/>
          <w:iCs/>
          <w:lang w:eastAsia="en-GB"/>
        </w:rPr>
        <w:t>i.e.</w:t>
      </w:r>
      <w:r w:rsidRPr="00416A29">
        <w:rPr>
          <w:rFonts w:ascii="Open Sans" w:eastAsia="Times New Roman" w:hAnsi="Open Sans" w:cs="Open Sans"/>
          <w:b/>
          <w:bCs/>
          <w:i/>
          <w:iCs/>
          <w:lang w:eastAsia="en-GB"/>
        </w:rPr>
        <w:t xml:space="preserve"> how accurately can you measure the amount of CO2 removed and stored by this method)</w:t>
      </w:r>
    </w:p>
    <w:p w:rsidR="00CA2ED1" w:rsidRPr="00416A29" w:rsidP="00CA2ED1" w14:paraId="66BEDEF3"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(vi) lifecycle emissions for these methods in the UK (please specify any assumptions as part of this calculation, for example the carbon intensity of the electricity being used. If you are assuming a lower carbon intensity than the modern grid, why?)</w:t>
      </w:r>
    </w:p>
    <w:p w:rsidR="0091038C" w:rsidRPr="00416A29" w:rsidP="00CA2ED1" w14:paraId="35781E0B"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(vii) wider environmental impacts and risks.</w:t>
      </w:r>
    </w:p>
    <w:p w:rsidR="0091038C" w:rsidRPr="00416A29" w:rsidP="00CA2ED1" w14:paraId="1FF4A91C" w14:textId="77777777">
      <w:pPr>
        <w:spacing w:after="0" w:line="240" w:lineRule="auto"/>
        <w:rPr>
          <w:rFonts w:ascii="Open Sans" w:eastAsia="Times New Roman" w:hAnsi="Open Sans" w:cs="Open Sans"/>
          <w:b/>
          <w:bCs/>
          <w:i/>
          <w:iCs/>
          <w:lang w:eastAsia="en-GB"/>
        </w:rPr>
      </w:pPr>
    </w:p>
    <w:p w:rsidR="002D4DA4" w:rsidP="00CA2ED1" w14:paraId="0C6E202B" w14:textId="699F6C02">
      <w:pPr>
        <w:spacing w:after="0" w:line="240" w:lineRule="auto"/>
        <w:rPr>
          <w:rFonts w:ascii="Open Sans" w:eastAsia="Times New Roman" w:hAnsi="Open Sans" w:cs="Open Sans"/>
          <w:lang w:eastAsia="en-GB"/>
        </w:rPr>
      </w:pPr>
      <w:r>
        <w:rPr>
          <w:rFonts w:ascii="Open Sans" w:eastAsia="Times New Roman" w:hAnsi="Open Sans" w:cs="Open Sans"/>
          <w:lang w:eastAsia="en-GB"/>
        </w:rPr>
        <w:t xml:space="preserve">Given the </w:t>
      </w:r>
      <w:r w:rsidR="006D7421">
        <w:rPr>
          <w:rFonts w:ascii="Open Sans" w:eastAsia="Times New Roman" w:hAnsi="Open Sans" w:cs="Open Sans"/>
          <w:lang w:eastAsia="en-GB"/>
        </w:rPr>
        <w:t>breadth</w:t>
      </w:r>
      <w:r>
        <w:rPr>
          <w:rFonts w:ascii="Open Sans" w:eastAsia="Times New Roman" w:hAnsi="Open Sans" w:cs="Open Sans"/>
          <w:lang w:eastAsia="en-GB"/>
        </w:rPr>
        <w:t xml:space="preserve"> of technologies represented by the REA, it is difficult for us to provide a detailed answer to this question and leave it to individual technology </w:t>
      </w:r>
      <w:r w:rsidR="008E46FC">
        <w:rPr>
          <w:rFonts w:ascii="Open Sans" w:eastAsia="Times New Roman" w:hAnsi="Open Sans" w:cs="Open Sans"/>
          <w:lang w:eastAsia="en-GB"/>
        </w:rPr>
        <w:t>developers</w:t>
      </w:r>
      <w:r>
        <w:rPr>
          <w:rFonts w:ascii="Open Sans" w:eastAsia="Times New Roman" w:hAnsi="Open Sans" w:cs="Open Sans"/>
          <w:lang w:eastAsia="en-GB"/>
        </w:rPr>
        <w:t xml:space="preserve"> to provide estimate</w:t>
      </w:r>
      <w:r w:rsidR="000A690F">
        <w:rPr>
          <w:rFonts w:ascii="Open Sans" w:eastAsia="Times New Roman" w:hAnsi="Open Sans" w:cs="Open Sans"/>
          <w:lang w:eastAsia="en-GB"/>
        </w:rPr>
        <w:t>d</w:t>
      </w:r>
      <w:r>
        <w:rPr>
          <w:rFonts w:ascii="Open Sans" w:eastAsia="Times New Roman" w:hAnsi="Open Sans" w:cs="Open Sans"/>
          <w:lang w:eastAsia="en-GB"/>
        </w:rPr>
        <w:t xml:space="preserve"> costs. </w:t>
      </w:r>
      <w:r w:rsidR="000A690F">
        <w:rPr>
          <w:rFonts w:ascii="Open Sans" w:eastAsia="Times New Roman" w:hAnsi="Open Sans" w:cs="Open Sans"/>
          <w:lang w:eastAsia="en-GB"/>
        </w:rPr>
        <w:t>However,</w:t>
      </w:r>
      <w:r>
        <w:rPr>
          <w:rFonts w:ascii="Open Sans" w:eastAsia="Times New Roman" w:hAnsi="Open Sans" w:cs="Open Sans"/>
          <w:lang w:eastAsia="en-GB"/>
        </w:rPr>
        <w:t xml:space="preserve"> in general, we highlight that the main costs of </w:t>
      </w:r>
      <w:r w:rsidR="008E46FC">
        <w:rPr>
          <w:rFonts w:ascii="Open Sans" w:eastAsia="Times New Roman" w:hAnsi="Open Sans" w:cs="Open Sans"/>
          <w:lang w:eastAsia="en-GB"/>
        </w:rPr>
        <w:t>engineer based</w:t>
      </w:r>
      <w:r>
        <w:rPr>
          <w:rFonts w:ascii="Open Sans" w:eastAsia="Times New Roman" w:hAnsi="Open Sans" w:cs="Open Sans"/>
          <w:lang w:eastAsia="en-GB"/>
        </w:rPr>
        <w:t xml:space="preserve"> GGRs include:</w:t>
      </w:r>
    </w:p>
    <w:p w:rsidR="008E46FC" w:rsidP="00CA2ED1" w14:paraId="23FF8A34" w14:textId="77777777">
      <w:pPr>
        <w:spacing w:after="0" w:line="240" w:lineRule="auto"/>
        <w:rPr>
          <w:rFonts w:ascii="Open Sans" w:eastAsia="Times New Roman" w:hAnsi="Open Sans" w:cs="Open Sans"/>
          <w:lang w:eastAsia="en-GB"/>
        </w:rPr>
      </w:pPr>
    </w:p>
    <w:p w:rsidR="00F06593" w:rsidP="00F06593" w14:paraId="0089848F" w14:textId="669CAAB5">
      <w:pPr>
        <w:pStyle w:val="ListParagraph"/>
        <w:numPr>
          <w:ilvl w:val="0"/>
          <w:numId w:val="7"/>
        </w:numPr>
        <w:spacing w:after="0" w:line="240" w:lineRule="auto"/>
        <w:rPr>
          <w:rFonts w:ascii="Open Sans" w:eastAsia="Times New Roman" w:hAnsi="Open Sans" w:cs="Open Sans"/>
          <w:lang w:eastAsia="en-GB"/>
        </w:rPr>
      </w:pPr>
      <w:r>
        <w:rPr>
          <w:rFonts w:ascii="Open Sans" w:eastAsia="Times New Roman" w:hAnsi="Open Sans" w:cs="Open Sans"/>
          <w:lang w:eastAsia="en-GB"/>
        </w:rPr>
        <w:t>Feedstock conversion into a</w:t>
      </w:r>
      <w:r w:rsidR="006D7421">
        <w:rPr>
          <w:rFonts w:ascii="Open Sans" w:eastAsia="Times New Roman" w:hAnsi="Open Sans" w:cs="Open Sans"/>
          <w:lang w:eastAsia="en-GB"/>
        </w:rPr>
        <w:t>n</w:t>
      </w:r>
      <w:r>
        <w:rPr>
          <w:rFonts w:ascii="Open Sans" w:eastAsia="Times New Roman" w:hAnsi="Open Sans" w:cs="Open Sans"/>
          <w:lang w:eastAsia="en-GB"/>
        </w:rPr>
        <w:t xml:space="preserve"> energy/CO</w:t>
      </w:r>
      <w:r w:rsidRPr="006D7421">
        <w:rPr>
          <w:rFonts w:ascii="Open Sans" w:eastAsia="Times New Roman" w:hAnsi="Open Sans" w:cs="Open Sans"/>
          <w:vertAlign w:val="subscript"/>
          <w:lang w:eastAsia="en-GB"/>
        </w:rPr>
        <w:t xml:space="preserve">2 </w:t>
      </w:r>
      <w:r w:rsidR="006D7421">
        <w:rPr>
          <w:rFonts w:ascii="Open Sans" w:eastAsia="Times New Roman" w:hAnsi="Open Sans" w:cs="Open Sans"/>
          <w:lang w:eastAsia="en-GB"/>
        </w:rPr>
        <w:t>mixture</w:t>
      </w:r>
      <w:r>
        <w:rPr>
          <w:rFonts w:ascii="Open Sans" w:eastAsia="Times New Roman" w:hAnsi="Open Sans" w:cs="Open Sans"/>
          <w:lang w:eastAsia="en-GB"/>
        </w:rPr>
        <w:t xml:space="preserve"> (</w:t>
      </w:r>
      <w:r>
        <w:rPr>
          <w:rFonts w:ascii="Open Sans" w:eastAsia="Times New Roman" w:hAnsi="Open Sans" w:cs="Open Sans"/>
          <w:lang w:eastAsia="en-GB"/>
        </w:rPr>
        <w:t>E.g.</w:t>
      </w:r>
      <w:r>
        <w:rPr>
          <w:rFonts w:ascii="Open Sans" w:eastAsia="Times New Roman" w:hAnsi="Open Sans" w:cs="Open Sans"/>
          <w:lang w:eastAsia="en-GB"/>
        </w:rPr>
        <w:t xml:space="preserve"> Biomass being </w:t>
      </w:r>
      <w:r w:rsidR="006D7421">
        <w:rPr>
          <w:rFonts w:ascii="Open Sans" w:eastAsia="Times New Roman" w:hAnsi="Open Sans" w:cs="Open Sans"/>
          <w:lang w:eastAsia="en-GB"/>
        </w:rPr>
        <w:t>converted to</w:t>
      </w:r>
      <w:r>
        <w:rPr>
          <w:rFonts w:ascii="Open Sans" w:eastAsia="Times New Roman" w:hAnsi="Open Sans" w:cs="Open Sans"/>
          <w:lang w:eastAsia="en-GB"/>
        </w:rPr>
        <w:t xml:space="preserve"> electricity</w:t>
      </w:r>
      <w:r w:rsidR="006D7421">
        <w:rPr>
          <w:rFonts w:ascii="Open Sans" w:eastAsia="Times New Roman" w:hAnsi="Open Sans" w:cs="Open Sans"/>
          <w:lang w:eastAsia="en-GB"/>
        </w:rPr>
        <w:t>)</w:t>
      </w:r>
    </w:p>
    <w:p w:rsidR="006D7421" w:rsidP="00F06593" w14:paraId="2F175B29" w14:textId="36CB696E">
      <w:pPr>
        <w:pStyle w:val="ListParagraph"/>
        <w:numPr>
          <w:ilvl w:val="0"/>
          <w:numId w:val="7"/>
        </w:numPr>
        <w:spacing w:after="0" w:line="240" w:lineRule="auto"/>
        <w:rPr>
          <w:rFonts w:ascii="Open Sans" w:eastAsia="Times New Roman" w:hAnsi="Open Sans" w:cs="Open Sans"/>
          <w:lang w:eastAsia="en-GB"/>
        </w:rPr>
      </w:pPr>
      <w:r>
        <w:rPr>
          <w:rFonts w:ascii="Open Sans" w:eastAsia="Times New Roman" w:hAnsi="Open Sans" w:cs="Open Sans"/>
          <w:lang w:eastAsia="en-GB"/>
        </w:rPr>
        <w:t xml:space="preserve">The capture of </w:t>
      </w:r>
      <w:r>
        <w:rPr>
          <w:rFonts w:ascii="Open Sans" w:eastAsia="Times New Roman" w:hAnsi="Open Sans" w:cs="Open Sans"/>
          <w:lang w:eastAsia="en-GB"/>
        </w:rPr>
        <w:t>CO</w:t>
      </w:r>
      <w:r>
        <w:rPr>
          <w:rFonts w:ascii="Open Sans" w:eastAsia="Times New Roman" w:hAnsi="Open Sans" w:cs="Open Sans"/>
          <w:vertAlign w:val="subscript"/>
          <w:lang w:eastAsia="en-GB"/>
        </w:rPr>
        <w:t>2</w:t>
      </w:r>
      <w:r>
        <w:rPr>
          <w:rFonts w:ascii="Open Sans" w:eastAsia="Times New Roman" w:hAnsi="Open Sans" w:cs="Open Sans"/>
          <w:lang w:eastAsia="en-GB"/>
        </w:rPr>
        <w:t xml:space="preserve">  -</w:t>
      </w:r>
      <w:r>
        <w:rPr>
          <w:rFonts w:ascii="Open Sans" w:eastAsia="Times New Roman" w:hAnsi="Open Sans" w:cs="Open Sans"/>
          <w:lang w:eastAsia="en-GB"/>
        </w:rPr>
        <w:t xml:space="preserve"> the cost of this can vary significantly depending on the technology. For </w:t>
      </w:r>
      <w:r>
        <w:rPr>
          <w:rFonts w:ascii="Open Sans" w:eastAsia="Times New Roman" w:hAnsi="Open Sans" w:cs="Open Sans"/>
          <w:lang w:eastAsia="en-GB"/>
        </w:rPr>
        <w:t>example</w:t>
      </w:r>
      <w:r>
        <w:rPr>
          <w:rFonts w:ascii="Open Sans" w:eastAsia="Times New Roman" w:hAnsi="Open Sans" w:cs="Open Sans"/>
          <w:lang w:eastAsia="en-GB"/>
        </w:rPr>
        <w:t xml:space="preserve"> relatively low for bioethanol/ AD </w:t>
      </w:r>
    </w:p>
    <w:p w:rsidR="006D7421" w:rsidP="00F06593" w14:paraId="35A02333" w14:textId="3F0CDDE2">
      <w:pPr>
        <w:pStyle w:val="ListParagraph"/>
        <w:numPr>
          <w:ilvl w:val="0"/>
          <w:numId w:val="7"/>
        </w:numPr>
        <w:spacing w:after="0" w:line="240" w:lineRule="auto"/>
        <w:rPr>
          <w:rFonts w:ascii="Open Sans" w:eastAsia="Times New Roman" w:hAnsi="Open Sans" w:cs="Open Sans"/>
          <w:lang w:eastAsia="en-GB"/>
        </w:rPr>
      </w:pPr>
      <w:r>
        <w:rPr>
          <w:rFonts w:ascii="Open Sans" w:eastAsia="Times New Roman" w:hAnsi="Open Sans" w:cs="Open Sans"/>
          <w:lang w:eastAsia="en-GB"/>
        </w:rPr>
        <w:t>Compression/liquefaction of CO</w:t>
      </w:r>
      <w:r>
        <w:rPr>
          <w:rFonts w:ascii="Open Sans" w:eastAsia="Times New Roman" w:hAnsi="Open Sans" w:cs="Open Sans"/>
          <w:vertAlign w:val="subscript"/>
          <w:lang w:eastAsia="en-GB"/>
        </w:rPr>
        <w:t>2</w:t>
      </w:r>
      <w:r>
        <w:rPr>
          <w:rFonts w:ascii="Open Sans" w:eastAsia="Times New Roman" w:hAnsi="Open Sans" w:cs="Open Sans"/>
          <w:lang w:eastAsia="en-GB"/>
        </w:rPr>
        <w:t xml:space="preserve"> – the cost of which is the same for all technologies. </w:t>
      </w:r>
    </w:p>
    <w:p w:rsidR="006D7421" w:rsidP="00F06593" w14:paraId="46BDF12A" w14:textId="74F64C1D">
      <w:pPr>
        <w:pStyle w:val="ListParagraph"/>
        <w:numPr>
          <w:ilvl w:val="0"/>
          <w:numId w:val="7"/>
        </w:numPr>
        <w:spacing w:after="0" w:line="240" w:lineRule="auto"/>
        <w:rPr>
          <w:rFonts w:ascii="Open Sans" w:eastAsia="Times New Roman" w:hAnsi="Open Sans" w:cs="Open Sans"/>
          <w:lang w:eastAsia="en-GB"/>
        </w:rPr>
      </w:pPr>
      <w:r>
        <w:rPr>
          <w:rFonts w:ascii="Open Sans" w:eastAsia="Times New Roman" w:hAnsi="Open Sans" w:cs="Open Sans"/>
          <w:lang w:eastAsia="en-GB"/>
        </w:rPr>
        <w:t>Transport of CO</w:t>
      </w:r>
      <w:r>
        <w:rPr>
          <w:rFonts w:ascii="Open Sans" w:eastAsia="Times New Roman" w:hAnsi="Open Sans" w:cs="Open Sans"/>
          <w:vertAlign w:val="subscript"/>
          <w:lang w:eastAsia="en-GB"/>
        </w:rPr>
        <w:t>2</w:t>
      </w:r>
      <w:r>
        <w:rPr>
          <w:rFonts w:ascii="Open Sans" w:eastAsia="Times New Roman" w:hAnsi="Open Sans" w:cs="Open Sans"/>
          <w:lang w:eastAsia="en-GB"/>
        </w:rPr>
        <w:t xml:space="preserve"> – the cost of which depends on the method of transportation, being injected into a grid vs being tinkered and dependent on location and distances involved. </w:t>
      </w:r>
    </w:p>
    <w:p w:rsidR="006D7421" w:rsidP="00F06593" w14:paraId="6DFF763D" w14:textId="515FA97A">
      <w:pPr>
        <w:pStyle w:val="ListParagraph"/>
        <w:numPr>
          <w:ilvl w:val="0"/>
          <w:numId w:val="7"/>
        </w:numPr>
        <w:spacing w:after="0" w:line="240" w:lineRule="auto"/>
        <w:rPr>
          <w:rFonts w:ascii="Open Sans" w:eastAsia="Times New Roman" w:hAnsi="Open Sans" w:cs="Open Sans"/>
          <w:lang w:eastAsia="en-GB"/>
        </w:rPr>
      </w:pPr>
      <w:r>
        <w:rPr>
          <w:rFonts w:ascii="Open Sans" w:eastAsia="Times New Roman" w:hAnsi="Open Sans" w:cs="Open Sans"/>
          <w:lang w:eastAsia="en-GB"/>
        </w:rPr>
        <w:t>Sequestration of CO</w:t>
      </w:r>
      <w:r>
        <w:rPr>
          <w:rFonts w:ascii="Open Sans" w:eastAsia="Times New Roman" w:hAnsi="Open Sans" w:cs="Open Sans"/>
          <w:vertAlign w:val="subscript"/>
          <w:lang w:eastAsia="en-GB"/>
        </w:rPr>
        <w:t>2</w:t>
      </w:r>
      <w:r>
        <w:rPr>
          <w:rFonts w:ascii="Open Sans" w:eastAsia="Times New Roman" w:hAnsi="Open Sans" w:cs="Open Sans"/>
          <w:lang w:eastAsia="en-GB"/>
        </w:rPr>
        <w:t xml:space="preserve"> – cost again depending on method and location. </w:t>
      </w:r>
    </w:p>
    <w:p w:rsidR="006D7421" w:rsidP="006D7421" w14:paraId="5DF57E2B" w14:textId="093178B8">
      <w:pPr>
        <w:spacing w:after="0" w:line="240" w:lineRule="auto"/>
        <w:rPr>
          <w:rFonts w:ascii="Open Sans" w:eastAsia="Times New Roman" w:hAnsi="Open Sans" w:cs="Open Sans"/>
          <w:lang w:eastAsia="en-GB"/>
        </w:rPr>
      </w:pPr>
    </w:p>
    <w:p w:rsidR="006D7421" w:rsidP="006D7421" w14:paraId="49F0DC12" w14:textId="38378557">
      <w:pPr>
        <w:spacing w:after="0" w:line="240" w:lineRule="auto"/>
        <w:rPr>
          <w:rFonts w:ascii="Open Sans" w:eastAsia="Times New Roman" w:hAnsi="Open Sans" w:cs="Open Sans"/>
          <w:lang w:eastAsia="en-GB"/>
        </w:rPr>
      </w:pPr>
    </w:p>
    <w:p w:rsidR="008E46FC" w:rsidP="006D7421" w14:paraId="7D396187" w14:textId="63CDCDE1">
      <w:pPr>
        <w:spacing w:after="0" w:line="240" w:lineRule="auto"/>
        <w:rPr>
          <w:rFonts w:ascii="Open Sans" w:eastAsia="Times New Roman" w:hAnsi="Open Sans" w:cs="Open Sans"/>
          <w:lang w:eastAsia="en-GB"/>
        </w:rPr>
      </w:pPr>
      <w:r>
        <w:rPr>
          <w:rFonts w:ascii="Open Sans" w:eastAsia="Times New Roman" w:hAnsi="Open Sans" w:cs="Open Sans"/>
          <w:lang w:eastAsia="en-GB"/>
        </w:rPr>
        <w:t xml:space="preserve">Any future framework </w:t>
      </w:r>
      <w:r w:rsidR="000A690F">
        <w:rPr>
          <w:rFonts w:ascii="Open Sans" w:eastAsia="Times New Roman" w:hAnsi="Open Sans" w:cs="Open Sans"/>
          <w:lang w:eastAsia="en-GB"/>
        </w:rPr>
        <w:t>must</w:t>
      </w:r>
      <w:r>
        <w:rPr>
          <w:rFonts w:ascii="Open Sans" w:eastAsia="Times New Roman" w:hAnsi="Open Sans" w:cs="Open Sans"/>
          <w:lang w:eastAsia="en-GB"/>
        </w:rPr>
        <w:t xml:space="preserve"> consider these costs </w:t>
      </w:r>
      <w:r w:rsidR="000A690F">
        <w:rPr>
          <w:rFonts w:ascii="Open Sans" w:eastAsia="Times New Roman" w:hAnsi="Open Sans" w:cs="Open Sans"/>
          <w:lang w:eastAsia="en-GB"/>
        </w:rPr>
        <w:t xml:space="preserve">and how any support mechanism helps cover them. Cost 1, is likely covered by an existing support mechanism such as the CfD, RHI or RTFO.  Cost 2, however, is where GGR support needs to focus </w:t>
      </w:r>
      <w:r>
        <w:rPr>
          <w:rFonts w:ascii="Open Sans" w:eastAsia="Times New Roman" w:hAnsi="Open Sans" w:cs="Open Sans"/>
          <w:lang w:eastAsia="en-GB"/>
        </w:rPr>
        <w:t>to</w:t>
      </w:r>
      <w:r w:rsidR="000A690F">
        <w:rPr>
          <w:rFonts w:ascii="Open Sans" w:eastAsia="Times New Roman" w:hAnsi="Open Sans" w:cs="Open Sans"/>
          <w:lang w:eastAsia="en-GB"/>
        </w:rPr>
        <w:t xml:space="preserve"> provide a revenue stream for negative emission production. Cost 3-4 are associated costs around transport and storage that </w:t>
      </w:r>
      <w:r>
        <w:rPr>
          <w:rFonts w:ascii="Open Sans" w:eastAsia="Times New Roman" w:hAnsi="Open Sans" w:cs="Open Sans"/>
          <w:lang w:eastAsia="en-GB"/>
        </w:rPr>
        <w:t>are relevant to G</w:t>
      </w:r>
      <w:r w:rsidR="000A690F">
        <w:rPr>
          <w:rFonts w:ascii="Open Sans" w:eastAsia="Times New Roman" w:hAnsi="Open Sans" w:cs="Open Sans"/>
          <w:lang w:eastAsia="en-GB"/>
        </w:rPr>
        <w:t xml:space="preserve">GRs and therefore </w:t>
      </w:r>
      <w:r>
        <w:rPr>
          <w:rFonts w:ascii="Open Sans" w:eastAsia="Times New Roman" w:hAnsi="Open Sans" w:cs="Open Sans"/>
          <w:lang w:eastAsia="en-GB"/>
        </w:rPr>
        <w:t>should also</w:t>
      </w:r>
      <w:r w:rsidR="000A690F">
        <w:rPr>
          <w:rFonts w:ascii="Open Sans" w:eastAsia="Times New Roman" w:hAnsi="Open Sans" w:cs="Open Sans"/>
          <w:lang w:eastAsia="en-GB"/>
        </w:rPr>
        <w:t xml:space="preserve"> be considered within </w:t>
      </w:r>
      <w:r>
        <w:rPr>
          <w:rFonts w:ascii="Open Sans" w:eastAsia="Times New Roman" w:hAnsi="Open Sans" w:cs="Open Sans"/>
          <w:lang w:eastAsia="en-GB"/>
        </w:rPr>
        <w:t xml:space="preserve">the design of any support mechanism. </w:t>
      </w:r>
    </w:p>
    <w:p w:rsidR="008E46FC" w:rsidP="006D7421" w14:paraId="4573954F" w14:textId="7E33D116">
      <w:pPr>
        <w:spacing w:after="0" w:line="240" w:lineRule="auto"/>
        <w:rPr>
          <w:rFonts w:ascii="Open Sans" w:eastAsia="Times New Roman" w:hAnsi="Open Sans" w:cs="Open Sans"/>
          <w:lang w:eastAsia="en-GB"/>
        </w:rPr>
      </w:pPr>
    </w:p>
    <w:p w:rsidR="000A690F" w:rsidP="006D7421" w14:paraId="5CB55930" w14:textId="470F8A1D">
      <w:pPr>
        <w:spacing w:after="0" w:line="240" w:lineRule="auto"/>
        <w:rPr>
          <w:rFonts w:ascii="Open Sans" w:eastAsia="Times New Roman" w:hAnsi="Open Sans" w:cs="Open Sans"/>
          <w:lang w:eastAsia="en-GB"/>
        </w:rPr>
      </w:pPr>
      <w:r>
        <w:rPr>
          <w:rFonts w:ascii="Open Sans" w:eastAsia="Times New Roman" w:hAnsi="Open Sans" w:cs="Open Sans"/>
          <w:lang w:eastAsia="en-GB"/>
        </w:rPr>
        <w:t xml:space="preserve">We would also like to direct BEIS’s attention to the REA Report </w:t>
      </w:r>
      <w:r w:rsidRPr="008E46FC">
        <w:rPr>
          <w:rFonts w:ascii="Open Sans" w:eastAsia="Times New Roman" w:hAnsi="Open Sans" w:cs="Open Sans"/>
          <w:i/>
          <w:iCs/>
          <w:lang w:eastAsia="en-GB"/>
        </w:rPr>
        <w:t>“Going Negative: Policy Proposals for UK Bioenergy with Carbon Capture and Storage”</w:t>
      </w:r>
      <w:r>
        <w:rPr>
          <w:rFonts w:ascii="Open Sans" w:eastAsia="Times New Roman" w:hAnsi="Open Sans" w:cs="Open Sans"/>
          <w:lang w:eastAsia="en-GB"/>
        </w:rPr>
        <w:t xml:space="preserve">. Produced in 2019, this report examines how UK carbon price could be used to support BECCS, in conjunction with existing policies like the CfD. The report can be read here: </w:t>
      </w:r>
      <w:hyperlink r:id="rId5" w:history="1">
        <w:r w:rsidRPr="00756052">
          <w:rPr>
            <w:rStyle w:val="Hyperlink"/>
            <w:rFonts w:ascii="Open Sans" w:eastAsia="Times New Roman" w:hAnsi="Open Sans" w:cs="Open Sans"/>
            <w:lang w:eastAsia="en-GB"/>
          </w:rPr>
          <w:t>https://www.r-e-a.net/resources/going-negative-policy-proposals-for-uk-bioenergy-with-carbon-capture-and-storage-beccs/</w:t>
        </w:r>
      </w:hyperlink>
      <w:r>
        <w:rPr>
          <w:rFonts w:ascii="Open Sans" w:eastAsia="Times New Roman" w:hAnsi="Open Sans" w:cs="Open Sans"/>
          <w:lang w:eastAsia="en-GB"/>
        </w:rPr>
        <w:t xml:space="preserve"> </w:t>
      </w:r>
    </w:p>
    <w:p w:rsidR="000A690F" w:rsidRPr="006D7421" w:rsidP="006D7421" w14:paraId="0249B0BE" w14:textId="77777777">
      <w:pPr>
        <w:spacing w:after="0" w:line="240" w:lineRule="auto"/>
        <w:rPr>
          <w:rFonts w:ascii="Open Sans" w:eastAsia="Times New Roman" w:hAnsi="Open Sans" w:cs="Open Sans"/>
          <w:lang w:eastAsia="en-GB"/>
        </w:rPr>
      </w:pPr>
    </w:p>
    <w:p w:rsidR="00F06593" w:rsidRPr="00416A29" w:rsidP="00CA2ED1" w14:paraId="777F67BE" w14:textId="77777777">
      <w:pPr>
        <w:spacing w:after="0" w:line="240" w:lineRule="auto"/>
        <w:rPr>
          <w:rFonts w:ascii="Open Sans" w:eastAsia="Times New Roman" w:hAnsi="Open Sans" w:cs="Open Sans"/>
          <w:lang w:eastAsia="en-GB"/>
        </w:rPr>
      </w:pPr>
    </w:p>
    <w:p w:rsidR="00CA2ED1" w:rsidRPr="00416A29" w:rsidP="002D4DA4" w14:paraId="21B5C338" w14:textId="7C8E3AA8">
      <w:pPr>
        <w:pStyle w:val="ListParagraph"/>
        <w:numPr>
          <w:ilvl w:val="0"/>
          <w:numId w:val="2"/>
        </w:numPr>
        <w:tabs>
          <w:tab w:val="num" w:pos="0"/>
          <w:tab w:val="clear" w:pos="720"/>
        </w:tabs>
        <w:spacing w:after="0" w:line="240" w:lineRule="auto"/>
        <w:ind w:left="0" w:hanging="284"/>
        <w:rPr>
          <w:rFonts w:ascii="Open Sans" w:eastAsia="Times New Roman" w:hAnsi="Open Sans" w:cs="Open Sans"/>
          <w:lang w:eastAsia="en-GB"/>
        </w:rPr>
      </w:pPr>
      <w:r w:rsidRPr="00416A29">
        <w:rPr>
          <w:rFonts w:ascii="Open Sans" w:eastAsia="Times New Roman" w:hAnsi="Open Sans" w:cs="Open Sans"/>
          <w:b/>
          <w:bCs/>
          <w:i/>
          <w:iCs/>
          <w:lang w:eastAsia="en-GB"/>
        </w:rPr>
        <w:t>Is there any evidence you would like to submit in relation to other nascent GGR methods not outlined in Figure 1? If so, please provide a clear description of the method and the evidence available in respect to the categories listed above, including deployment potential in the UK. If evidence is not available, please outline why and when it might become available.</w:t>
      </w:r>
      <w:r w:rsidRPr="00416A29" w:rsidR="008C1657">
        <w:rPr>
          <w:rFonts w:ascii="Open Sans" w:eastAsia="Times New Roman" w:hAnsi="Open Sans" w:cs="Open Sans"/>
          <w:b/>
          <w:bCs/>
          <w:i/>
          <w:iCs/>
          <w:lang w:eastAsia="en-GB"/>
        </w:rPr>
        <w:t xml:space="preserve"> </w:t>
      </w:r>
      <w:r w:rsidRPr="00416A29">
        <w:rPr>
          <w:rFonts w:ascii="Open Sans" w:eastAsia="Times New Roman" w:hAnsi="Open Sans" w:cs="Open Sans"/>
          <w:b/>
          <w:bCs/>
          <w:i/>
          <w:iCs/>
          <w:lang w:eastAsia="en-GB"/>
        </w:rPr>
        <w:t xml:space="preserve">Please ensure that you cite the appropriate sources and publications in relation to evidence submitted, if relevant, as BEIS will seek commercial and engineering support in considering stakeholder </w:t>
      </w:r>
      <w:r w:rsidRPr="00416A29">
        <w:rPr>
          <w:rFonts w:ascii="Open Sans" w:eastAsia="Times New Roman" w:hAnsi="Open Sans" w:cs="Open Sans"/>
          <w:b/>
          <w:bCs/>
          <w:i/>
          <w:iCs/>
          <w:lang w:eastAsia="en-GB"/>
        </w:rPr>
        <w:t>responses</w:t>
      </w:r>
    </w:p>
    <w:p w:rsidR="00CA2ED1" w:rsidRPr="00416A29" w:rsidP="00CA2ED1" w14:paraId="550F0586" w14:textId="6B96D0FB">
      <w:pPr>
        <w:spacing w:after="0" w:line="240" w:lineRule="auto"/>
        <w:rPr>
          <w:rFonts w:ascii="Open Sans" w:eastAsia="Times New Roman" w:hAnsi="Open Sans" w:cs="Open Sans"/>
          <w:b/>
          <w:bCs/>
          <w:i/>
          <w:iCs/>
          <w:lang w:eastAsia="en-GB"/>
        </w:rPr>
      </w:pPr>
    </w:p>
    <w:p w:rsidR="008C1657" w:rsidRPr="00416A29" w:rsidP="008C1657" w14:paraId="78C646C0" w14:textId="0AA3CE82">
      <w:pPr>
        <w:spacing w:after="0" w:line="240" w:lineRule="auto"/>
        <w:rPr>
          <w:rFonts w:ascii="Open Sans" w:hAnsi="Open Sans" w:cs="Open Sans"/>
        </w:rPr>
      </w:pPr>
      <w:bookmarkStart w:id="0" w:name="_Hlk63874814"/>
      <w:r w:rsidRPr="00416A29">
        <w:rPr>
          <w:rFonts w:ascii="Open Sans" w:hAnsi="Open Sans" w:cs="Open Sans"/>
        </w:rPr>
        <w:t xml:space="preserve">In addition to the GGR methods highlighted in Figure 1 we also highlight the possibilities for GGR </w:t>
      </w:r>
      <w:r w:rsidRPr="00416A29" w:rsidR="004013A4">
        <w:rPr>
          <w:rFonts w:ascii="Open Sans" w:hAnsi="Open Sans" w:cs="Open Sans"/>
        </w:rPr>
        <w:t>using</w:t>
      </w:r>
      <w:r w:rsidRPr="00416A29">
        <w:rPr>
          <w:rFonts w:ascii="Open Sans" w:hAnsi="Open Sans" w:cs="Open Sans"/>
        </w:rPr>
        <w:t>:</w:t>
      </w:r>
    </w:p>
    <w:p w:rsidR="004013A4" w:rsidRPr="00416A29" w:rsidP="008C1657" w14:paraId="3F6CE3A3" w14:textId="3A744B2C">
      <w:pPr>
        <w:spacing w:after="0" w:line="240" w:lineRule="auto"/>
        <w:rPr>
          <w:rFonts w:ascii="Open Sans" w:hAnsi="Open Sans" w:cs="Open Sans"/>
        </w:rPr>
      </w:pPr>
    </w:p>
    <w:p w:rsidR="004013A4" w:rsidRPr="00416A29" w:rsidP="008C1657" w14:paraId="1A74A822" w14:textId="4392DF41">
      <w:pPr>
        <w:spacing w:after="0" w:line="240" w:lineRule="auto"/>
        <w:rPr>
          <w:rFonts w:ascii="Open Sans" w:hAnsi="Open Sans" w:cs="Open Sans"/>
          <w:b/>
          <w:bCs/>
          <w:i/>
          <w:iCs/>
        </w:rPr>
      </w:pPr>
      <w:r w:rsidRPr="00416A29">
        <w:rPr>
          <w:rFonts w:ascii="Open Sans" w:hAnsi="Open Sans" w:cs="Open Sans"/>
          <w:b/>
          <w:bCs/>
          <w:i/>
          <w:iCs/>
        </w:rPr>
        <w:t>Perennial Energy Crops</w:t>
      </w:r>
    </w:p>
    <w:p w:rsidR="000D00CD" w:rsidRPr="00416A29" w:rsidP="004013A4" w14:paraId="514ADD81" w14:textId="7A40BC53">
      <w:pPr>
        <w:spacing w:after="0" w:line="240" w:lineRule="auto"/>
        <w:rPr>
          <w:rFonts w:ascii="Open Sans" w:hAnsi="Open Sans" w:cs="Open Sans"/>
        </w:rPr>
      </w:pPr>
      <w:r w:rsidRPr="00416A29">
        <w:rPr>
          <w:rFonts w:ascii="Open Sans" w:hAnsi="Open Sans" w:cs="Open Sans"/>
        </w:rPr>
        <w:t>Perennial</w:t>
      </w:r>
      <w:r w:rsidRPr="00416A29" w:rsidR="00E86318">
        <w:rPr>
          <w:rFonts w:ascii="Open Sans" w:hAnsi="Open Sans" w:cs="Open Sans"/>
        </w:rPr>
        <w:t xml:space="preserve"> </w:t>
      </w:r>
      <w:r w:rsidRPr="00416A29" w:rsidR="008C1657">
        <w:rPr>
          <w:rFonts w:ascii="Open Sans" w:hAnsi="Open Sans" w:cs="Open Sans"/>
        </w:rPr>
        <w:t>Energy Crops</w:t>
      </w:r>
      <w:r w:rsidRPr="00416A29" w:rsidR="00E86318">
        <w:rPr>
          <w:rFonts w:ascii="Open Sans" w:hAnsi="Open Sans" w:cs="Open Sans"/>
        </w:rPr>
        <w:t xml:space="preserve"> incorporating Short Rotation Coppice (SRC) e.g. willow</w:t>
      </w:r>
      <w:r w:rsidRPr="00416A29" w:rsidR="002A0B6A">
        <w:rPr>
          <w:rFonts w:ascii="Open Sans" w:hAnsi="Open Sans" w:cs="Open Sans"/>
        </w:rPr>
        <w:t xml:space="preserve"> </w:t>
      </w:r>
      <w:r w:rsidRPr="00416A29" w:rsidR="002A0B6A">
        <w:rPr>
          <w:rFonts w:ascii="Open Sans" w:hAnsi="Open Sans" w:cs="Open Sans"/>
        </w:rPr>
        <w:t xml:space="preserve">and </w:t>
      </w:r>
      <w:r w:rsidRPr="00416A29" w:rsidR="00E86318">
        <w:rPr>
          <w:rFonts w:ascii="Open Sans" w:hAnsi="Open Sans" w:cs="Open Sans"/>
        </w:rPr>
        <w:t xml:space="preserve"> Miscanthus</w:t>
      </w:r>
      <w:r w:rsidRPr="00416A29" w:rsidR="00E86318">
        <w:rPr>
          <w:rFonts w:ascii="Open Sans" w:hAnsi="Open Sans" w:cs="Open Sans"/>
        </w:rPr>
        <w:t>, have significant potential to sequester carbon</w:t>
      </w:r>
      <w:r w:rsidRPr="00416A29">
        <w:rPr>
          <w:rFonts w:ascii="Open Sans" w:hAnsi="Open Sans" w:cs="Open Sans"/>
        </w:rPr>
        <w:t xml:space="preserve"> in root systems. Miscanthus has been shown to carbon fix up-to 2 tonnes of carbon per hect</w:t>
      </w:r>
      <w:r w:rsidRPr="00416A29" w:rsidR="008E25DC">
        <w:rPr>
          <w:rFonts w:ascii="Open Sans" w:hAnsi="Open Sans" w:cs="Open Sans"/>
        </w:rPr>
        <w:t>a</w:t>
      </w:r>
      <w:r w:rsidRPr="00416A29">
        <w:rPr>
          <w:rFonts w:ascii="Open Sans" w:hAnsi="Open Sans" w:cs="Open Sans"/>
        </w:rPr>
        <w:t>r</w:t>
      </w:r>
      <w:r w:rsidRPr="00416A29" w:rsidR="008E25DC">
        <w:rPr>
          <w:rFonts w:ascii="Open Sans" w:hAnsi="Open Sans" w:cs="Open Sans"/>
        </w:rPr>
        <w:t>e</w:t>
      </w:r>
      <w:r w:rsidRPr="00416A29">
        <w:rPr>
          <w:rFonts w:ascii="Open Sans" w:hAnsi="Open Sans" w:cs="Open Sans"/>
        </w:rPr>
        <w:t xml:space="preserve"> per year.</w:t>
      </w:r>
    </w:p>
    <w:p w:rsidR="004013A4" w:rsidRPr="00416A29" w:rsidP="004013A4" w14:paraId="6C3B4FE1" w14:textId="77777777">
      <w:pPr>
        <w:spacing w:after="0" w:line="240" w:lineRule="auto"/>
        <w:rPr>
          <w:rFonts w:ascii="Open Sans" w:hAnsi="Open Sans" w:cs="Open Sans"/>
        </w:rPr>
      </w:pPr>
    </w:p>
    <w:p w:rsidR="004013A4" w:rsidRPr="00416A29" w:rsidP="004013A4" w14:paraId="280224B9" w14:textId="284B2154">
      <w:pPr>
        <w:spacing w:after="0" w:line="240" w:lineRule="auto"/>
        <w:rPr>
          <w:rFonts w:ascii="Open Sans" w:hAnsi="Open Sans" w:cs="Open Sans"/>
          <w:b/>
          <w:bCs/>
          <w:i/>
          <w:iCs/>
        </w:rPr>
      </w:pPr>
      <w:r w:rsidRPr="00416A29">
        <w:rPr>
          <w:rFonts w:ascii="Open Sans" w:hAnsi="Open Sans" w:cs="Open Sans"/>
          <w:b/>
          <w:bCs/>
          <w:i/>
          <w:iCs/>
        </w:rPr>
        <w:t>Bioplastics and Biobased Carbon Fibres</w:t>
      </w:r>
    </w:p>
    <w:p w:rsidR="00393917" w:rsidRPr="00416A29" w:rsidP="004013A4" w14:paraId="4ABE3FDD" w14:textId="654A5CDE">
      <w:pPr>
        <w:spacing w:after="0" w:line="240" w:lineRule="auto"/>
        <w:rPr>
          <w:rFonts w:ascii="Open Sans" w:hAnsi="Open Sans" w:cs="Open Sans"/>
        </w:rPr>
      </w:pPr>
      <w:r w:rsidRPr="00416A29">
        <w:rPr>
          <w:rFonts w:ascii="Open Sans" w:hAnsi="Open Sans" w:cs="Open Sans"/>
        </w:rPr>
        <w:t xml:space="preserve">GHG removals </w:t>
      </w:r>
      <w:r w:rsidRPr="00416A29" w:rsidR="000D00CD">
        <w:rPr>
          <w:rFonts w:ascii="Open Sans" w:hAnsi="Open Sans" w:cs="Open Sans"/>
        </w:rPr>
        <w:t xml:space="preserve">are also possible </w:t>
      </w:r>
      <w:r w:rsidRPr="00416A29">
        <w:rPr>
          <w:rFonts w:ascii="Open Sans" w:hAnsi="Open Sans" w:cs="Open Sans"/>
        </w:rPr>
        <w:t>through agricultural feedstocks converted into long-lived bio-based products</w:t>
      </w:r>
      <w:r w:rsidRPr="00416A29" w:rsidR="000D00CD">
        <w:rPr>
          <w:rFonts w:ascii="Open Sans" w:hAnsi="Open Sans" w:cs="Open Sans"/>
        </w:rPr>
        <w:t xml:space="preserve"> such as </w:t>
      </w:r>
      <w:r w:rsidRPr="00416A29">
        <w:rPr>
          <w:rFonts w:ascii="Open Sans" w:hAnsi="Open Sans" w:cs="Open Sans"/>
        </w:rPr>
        <w:t>bioplastics</w:t>
      </w:r>
      <w:r w:rsidRPr="00416A29" w:rsidR="000D00CD">
        <w:rPr>
          <w:rFonts w:ascii="Open Sans" w:hAnsi="Open Sans" w:cs="Open Sans"/>
        </w:rPr>
        <w:t xml:space="preserve"> and</w:t>
      </w:r>
      <w:r w:rsidRPr="00416A29">
        <w:rPr>
          <w:rFonts w:ascii="Open Sans" w:hAnsi="Open Sans" w:cs="Open Sans"/>
        </w:rPr>
        <w:t xml:space="preserve"> bio-based carbon </w:t>
      </w:r>
      <w:r w:rsidRPr="00416A29" w:rsidR="000D00CD">
        <w:rPr>
          <w:rFonts w:ascii="Open Sans" w:hAnsi="Open Sans" w:cs="Open Sans"/>
        </w:rPr>
        <w:t xml:space="preserve">fibre </w:t>
      </w:r>
      <w:r w:rsidRPr="00416A29">
        <w:rPr>
          <w:rFonts w:ascii="Open Sans" w:hAnsi="Open Sans" w:cs="Open Sans"/>
        </w:rPr>
        <w:t>as well as fibre-based insulation and decorative products</w:t>
      </w:r>
      <w:r w:rsidRPr="00416A29" w:rsidR="004013A4">
        <w:rPr>
          <w:rFonts w:ascii="Open Sans" w:hAnsi="Open Sans" w:cs="Open Sans"/>
        </w:rPr>
        <w:t xml:space="preserve">, </w:t>
      </w:r>
      <w:r w:rsidRPr="00416A29">
        <w:rPr>
          <w:rFonts w:ascii="Open Sans" w:hAnsi="Open Sans" w:cs="Open Sans"/>
        </w:rPr>
        <w:t xml:space="preserve">many of which are substitutes for durable goods of petrochemical origin.  </w:t>
      </w:r>
      <w:r w:rsidRPr="00416A29" w:rsidR="008E25DC">
        <w:rPr>
          <w:rFonts w:ascii="Open Sans" w:hAnsi="Open Sans" w:cs="Open Sans"/>
        </w:rPr>
        <w:t xml:space="preserve">Bioplastics in product forms such as lightweight carrier bags and liners for kitchen caddies and food waste bins, which are designed to be compostable in their </w:t>
      </w:r>
      <w:r w:rsidRPr="00416A29" w:rsidR="004013A4">
        <w:rPr>
          <w:rFonts w:ascii="Open Sans" w:hAnsi="Open Sans" w:cs="Open Sans"/>
        </w:rPr>
        <w:t>end-of-life</w:t>
      </w:r>
      <w:r w:rsidRPr="00416A29" w:rsidR="008E25DC">
        <w:rPr>
          <w:rFonts w:ascii="Open Sans" w:hAnsi="Open Sans" w:cs="Open Sans"/>
        </w:rPr>
        <w:t xml:space="preserve"> phase</w:t>
      </w:r>
      <w:r w:rsidRPr="00416A29" w:rsidR="00B82405">
        <w:rPr>
          <w:rFonts w:ascii="Open Sans" w:hAnsi="Open Sans" w:cs="Open Sans"/>
        </w:rPr>
        <w:t>,</w:t>
      </w:r>
      <w:r w:rsidRPr="00416A29" w:rsidR="008E25DC">
        <w:rPr>
          <w:rFonts w:ascii="Open Sans" w:hAnsi="Open Sans" w:cs="Open Sans"/>
        </w:rPr>
        <w:t xml:space="preserve"> help to maximise and support the efficient separate collection of biodegradable waste arisings from household and other municipal sources, particularly food waste.</w:t>
      </w:r>
      <w:r w:rsidRPr="00416A29" w:rsidR="00DE4ED0">
        <w:rPr>
          <w:rFonts w:ascii="Open Sans" w:hAnsi="Open Sans" w:cs="Open Sans"/>
        </w:rPr>
        <w:t xml:space="preserve">  This represents a valuable contribution to the biological cycling of biodegradable materials, as the industrially produced composts and digestates – made from society’s food, </w:t>
      </w:r>
      <w:r w:rsidRPr="00416A29" w:rsidR="004013A4">
        <w:rPr>
          <w:rFonts w:ascii="Open Sans" w:hAnsi="Open Sans" w:cs="Open Sans"/>
        </w:rPr>
        <w:t>garden,</w:t>
      </w:r>
      <w:r w:rsidRPr="00416A29" w:rsidR="00DE4ED0">
        <w:rPr>
          <w:rFonts w:ascii="Open Sans" w:hAnsi="Open Sans" w:cs="Open Sans"/>
        </w:rPr>
        <w:t xml:space="preserve"> and other plant wastes - return valuable nutrients, organic matter (including carbon) and beneficial microbes to soils (agricultural soils are the main market in which composts and digestates are used).</w:t>
      </w:r>
      <w:r w:rsidRPr="00416A29" w:rsidR="008E25DC">
        <w:rPr>
          <w:rFonts w:ascii="Open Sans" w:hAnsi="Open Sans" w:cs="Open Sans"/>
        </w:rPr>
        <w:t xml:space="preserve"> </w:t>
      </w:r>
    </w:p>
    <w:p w:rsidR="00416A29" w:rsidP="00B82405" w14:paraId="52487D32" w14:textId="77777777">
      <w:pPr>
        <w:spacing w:after="0" w:line="240" w:lineRule="auto"/>
        <w:rPr>
          <w:rFonts w:ascii="Open Sans" w:hAnsi="Open Sans" w:cs="Open Sans"/>
          <w:b/>
          <w:bCs/>
          <w:i/>
          <w:iCs/>
        </w:rPr>
      </w:pPr>
    </w:p>
    <w:p w:rsidR="00B82405" w:rsidRPr="00416A29" w:rsidP="00B82405" w14:paraId="69629860" w14:textId="2B89A3A4">
      <w:pPr>
        <w:spacing w:after="0" w:line="240" w:lineRule="auto"/>
        <w:rPr>
          <w:rFonts w:ascii="Open Sans" w:hAnsi="Open Sans" w:cs="Open Sans"/>
          <w:b/>
          <w:bCs/>
          <w:i/>
          <w:iCs/>
        </w:rPr>
      </w:pPr>
      <w:r w:rsidRPr="00416A29">
        <w:rPr>
          <w:rFonts w:ascii="Open Sans" w:hAnsi="Open Sans" w:cs="Open Sans"/>
          <w:b/>
          <w:bCs/>
          <w:i/>
          <w:iCs/>
        </w:rPr>
        <w:t>Anaerobic Digestion</w:t>
      </w:r>
      <w:r w:rsidR="00F06593">
        <w:rPr>
          <w:rFonts w:ascii="Open Sans" w:hAnsi="Open Sans" w:cs="Open Sans"/>
          <w:b/>
          <w:bCs/>
          <w:i/>
          <w:iCs/>
        </w:rPr>
        <w:t xml:space="preserve"> and Bioethanol Plants</w:t>
      </w:r>
    </w:p>
    <w:p w:rsidR="000D00CD" w:rsidRPr="00416A29" w:rsidP="00B82405" w14:paraId="48165DF1" w14:textId="4782AA4B">
      <w:pPr>
        <w:spacing w:after="0" w:line="240" w:lineRule="auto"/>
        <w:rPr>
          <w:rFonts w:ascii="Open Sans" w:hAnsi="Open Sans" w:cs="Open Sans"/>
        </w:rPr>
      </w:pPr>
      <w:r>
        <w:rPr>
          <w:rFonts w:ascii="Open Sans" w:eastAsia="Times New Roman" w:hAnsi="Open Sans" w:cs="Open Sans"/>
          <w:lang w:eastAsia="en-GB"/>
        </w:rPr>
        <w:t>T</w:t>
      </w:r>
      <w:r w:rsidRPr="00416A29">
        <w:rPr>
          <w:rFonts w:ascii="Open Sans" w:eastAsia="Times New Roman" w:hAnsi="Open Sans" w:cs="Open Sans"/>
          <w:lang w:eastAsia="en-GB"/>
        </w:rPr>
        <w:t xml:space="preserve">here is </w:t>
      </w:r>
      <w:r w:rsidRPr="00416A29" w:rsidR="008A1896">
        <w:rPr>
          <w:rFonts w:ascii="Open Sans" w:hAnsi="Open Sans" w:cs="Open Sans"/>
        </w:rPr>
        <w:t xml:space="preserve">potential for investment in AD </w:t>
      </w:r>
      <w:r>
        <w:rPr>
          <w:rFonts w:ascii="Open Sans" w:hAnsi="Open Sans" w:cs="Open Sans"/>
        </w:rPr>
        <w:t xml:space="preserve">and bioethanol </w:t>
      </w:r>
      <w:r w:rsidRPr="00416A29" w:rsidR="008A1896">
        <w:rPr>
          <w:rFonts w:ascii="Open Sans" w:hAnsi="Open Sans" w:cs="Open Sans"/>
        </w:rPr>
        <w:t>plants that are optimised for net GHG removal and the possibility of Small Scale BECCS/BECCUS</w:t>
      </w:r>
      <w:bookmarkEnd w:id="0"/>
      <w:r w:rsidRPr="00416A29" w:rsidR="008A1896">
        <w:rPr>
          <w:rFonts w:ascii="Open Sans" w:hAnsi="Open Sans" w:cs="Open Sans"/>
        </w:rPr>
        <w:t xml:space="preserve">.  </w:t>
      </w:r>
      <w:r w:rsidRPr="00416A29">
        <w:rPr>
          <w:rFonts w:ascii="Open Sans" w:hAnsi="Open Sans" w:cs="Open Sans"/>
          <w:color w:val="010101"/>
        </w:rPr>
        <w:t>AD and bioethanol plants are already capturing carbon dioxide for use in the food industry. All AD plants have a stream of CO2 that is easy to capture and compress/liquefy. This represents some low hanging fruit for GGR.</w:t>
      </w:r>
      <w:r w:rsidRPr="00416A29" w:rsidR="00B368BD">
        <w:rPr>
          <w:rFonts w:ascii="Open Sans" w:hAnsi="Open Sans" w:cs="Open Sans"/>
          <w:color w:val="010101"/>
        </w:rPr>
        <w:t xml:space="preserve"> </w:t>
      </w:r>
      <w:r w:rsidRPr="00416A29" w:rsidR="004013A4">
        <w:rPr>
          <w:rFonts w:ascii="Open Sans" w:hAnsi="Open Sans" w:cs="Open Sans"/>
          <w:color w:val="010101"/>
        </w:rPr>
        <w:t xml:space="preserve">In </w:t>
      </w:r>
      <w:r w:rsidRPr="00416A29">
        <w:rPr>
          <w:rFonts w:ascii="Open Sans" w:hAnsi="Open Sans" w:cs="Open Sans"/>
          <w:color w:val="010101"/>
        </w:rPr>
        <w:t>addition,</w:t>
      </w:r>
      <w:r w:rsidRPr="00416A29" w:rsidR="004013A4">
        <w:rPr>
          <w:rFonts w:ascii="Open Sans" w:hAnsi="Open Sans" w:cs="Open Sans"/>
          <w:color w:val="010101"/>
        </w:rPr>
        <w:t xml:space="preserve"> there</w:t>
      </w:r>
      <w:r w:rsidRPr="00416A29" w:rsidR="00B368BD">
        <w:rPr>
          <w:rFonts w:ascii="Open Sans" w:hAnsi="Open Sans" w:cs="Open Sans"/>
          <w:color w:val="010101"/>
        </w:rPr>
        <w:t xml:space="preserve"> are a variety of technologies for processing digestates in ways that reduce ammonia emissions; government should support their deployment and any necessary updates to waste management regulations and the Quality </w:t>
      </w:r>
      <w:r w:rsidRPr="00416A29">
        <w:rPr>
          <w:rFonts w:ascii="Open Sans" w:hAnsi="Open Sans" w:cs="Open Sans"/>
          <w:color w:val="010101"/>
        </w:rPr>
        <w:t>Protocol</w:t>
      </w:r>
      <w:r w:rsidRPr="00416A29" w:rsidR="00B368BD">
        <w:rPr>
          <w:rFonts w:ascii="Open Sans" w:hAnsi="Open Sans" w:cs="Open Sans"/>
          <w:color w:val="010101"/>
        </w:rPr>
        <w:t xml:space="preserve"> for Anaerobic Digestates.</w:t>
      </w:r>
    </w:p>
    <w:p w:rsidR="007B0825" w:rsidRPr="00416A29" w:rsidP="00B82405" w14:paraId="59DC6F91" w14:textId="55108D3E">
      <w:pPr>
        <w:spacing w:after="0" w:line="240" w:lineRule="auto"/>
        <w:rPr>
          <w:rFonts w:ascii="Open Sans" w:hAnsi="Open Sans" w:cs="Open Sans"/>
        </w:rPr>
      </w:pPr>
    </w:p>
    <w:p w:rsidR="00B82405" w:rsidRPr="00416A29" w:rsidP="00B82405" w14:paraId="4C0694DB" w14:textId="01D79327">
      <w:pPr>
        <w:spacing w:after="0" w:line="240" w:lineRule="auto"/>
        <w:rPr>
          <w:rFonts w:ascii="Open Sans" w:hAnsi="Open Sans" w:cs="Open Sans"/>
          <w:b/>
          <w:bCs/>
          <w:i/>
          <w:iCs/>
        </w:rPr>
      </w:pPr>
      <w:r w:rsidRPr="00416A29">
        <w:rPr>
          <w:rFonts w:ascii="Open Sans" w:hAnsi="Open Sans" w:cs="Open Sans"/>
          <w:b/>
          <w:bCs/>
          <w:i/>
          <w:iCs/>
        </w:rPr>
        <w:t xml:space="preserve">Sequential or Double Cropping - </w:t>
      </w:r>
      <w:r w:rsidRPr="00416A29">
        <w:rPr>
          <w:rFonts w:ascii="Open Sans" w:hAnsi="Open Sans" w:cs="Open Sans"/>
          <w:b/>
          <w:bCs/>
          <w:i/>
          <w:iCs/>
        </w:rPr>
        <w:t>Biogasdoneright</w:t>
      </w:r>
      <w:r w:rsidRPr="00416A29">
        <w:rPr>
          <w:rFonts w:ascii="Open Sans" w:hAnsi="Open Sans" w:cs="Open Sans"/>
          <w:b/>
          <w:bCs/>
          <w:i/>
          <w:iCs/>
        </w:rPr>
        <w:t>®</w:t>
      </w:r>
    </w:p>
    <w:p w:rsidR="00B82405" w:rsidRPr="00416A29" w:rsidP="00B82405" w14:paraId="3C5F33E0" w14:textId="77777777">
      <w:pPr>
        <w:spacing w:after="0" w:line="240" w:lineRule="auto"/>
        <w:rPr>
          <w:rFonts w:ascii="Open Sans" w:hAnsi="Open Sans" w:cs="Open Sans"/>
        </w:rPr>
      </w:pPr>
      <w:r w:rsidRPr="00416A29">
        <w:rPr>
          <w:rFonts w:ascii="Open Sans" w:hAnsi="Open Sans" w:cs="Open Sans"/>
        </w:rPr>
        <w:t xml:space="preserve">The government should also consider the merit and potential role of sequential or double cropping in the UK. There may be some parts of the UK where this approach, or one adapted to our climate, can be adopted. This approach has been developed mostly in Southern Europe, pioneered by the </w:t>
      </w:r>
      <w:r w:rsidRPr="00416A29">
        <w:rPr>
          <w:rFonts w:ascii="Open Sans" w:hAnsi="Open Sans" w:cs="Open Sans"/>
        </w:rPr>
        <w:t>Consorzio</w:t>
      </w:r>
      <w:r w:rsidRPr="00416A29">
        <w:rPr>
          <w:rFonts w:ascii="Open Sans" w:hAnsi="Open Sans" w:cs="Open Sans"/>
        </w:rPr>
        <w:t xml:space="preserve"> </w:t>
      </w:r>
      <w:r w:rsidRPr="00416A29">
        <w:rPr>
          <w:rFonts w:ascii="Open Sans" w:hAnsi="Open Sans" w:cs="Open Sans"/>
        </w:rPr>
        <w:t>Italiano</w:t>
      </w:r>
      <w:r w:rsidRPr="00416A29">
        <w:rPr>
          <w:rFonts w:ascii="Open Sans" w:hAnsi="Open Sans" w:cs="Open Sans"/>
        </w:rPr>
        <w:t xml:space="preserve"> Biogas (CIB) to integrate anaerobic digestion with </w:t>
      </w:r>
      <w:r w:rsidRPr="00416A29">
        <w:rPr>
          <w:rFonts w:ascii="Open Sans" w:hAnsi="Open Sans" w:cs="Open Sans"/>
        </w:rPr>
        <w:t>agro</w:t>
      </w:r>
      <w:r w:rsidRPr="00416A29">
        <w:rPr>
          <w:rFonts w:ascii="Open Sans" w:hAnsi="Open Sans" w:cs="Open Sans"/>
        </w:rPr>
        <w:t xml:space="preserve">-ecology. It is a highly sustainable model that has proven to deliver a significant reduction in GHG emissions from agriculture and carbon sequestration, as well as to restore soil health and organic matter. CIB has called it </w:t>
      </w:r>
      <w:r w:rsidRPr="00416A29">
        <w:rPr>
          <w:rFonts w:ascii="Open Sans" w:hAnsi="Open Sans" w:cs="Open Sans"/>
        </w:rPr>
        <w:t>Biogasdoneright</w:t>
      </w:r>
      <w:r w:rsidRPr="00416A29">
        <w:rPr>
          <w:rFonts w:ascii="Open Sans" w:hAnsi="Open Sans" w:cs="Open Sans"/>
        </w:rPr>
        <w:t xml:space="preserve">® model (BDR), which describes a set of practices that link biogas production to sustainable agriculture and is being implemented on a large scale in Italy. </w:t>
      </w:r>
    </w:p>
    <w:p w:rsidR="00B82405" w:rsidRPr="00416A29" w:rsidP="00B82405" w14:paraId="2B55FFDB" w14:textId="77777777">
      <w:pPr>
        <w:spacing w:after="0" w:line="240" w:lineRule="auto"/>
        <w:rPr>
          <w:rFonts w:ascii="Open Sans" w:hAnsi="Open Sans" w:cs="Open Sans"/>
        </w:rPr>
      </w:pPr>
    </w:p>
    <w:p w:rsidR="00B82405" w:rsidRPr="00416A29" w:rsidP="00B82405" w14:paraId="1D452D95" w14:textId="77777777">
      <w:pPr>
        <w:spacing w:after="0" w:line="240" w:lineRule="auto"/>
        <w:rPr>
          <w:rFonts w:ascii="Open Sans" w:hAnsi="Open Sans" w:cs="Open Sans"/>
        </w:rPr>
      </w:pPr>
      <w:r w:rsidRPr="00416A29">
        <w:rPr>
          <w:rFonts w:ascii="Open Sans" w:hAnsi="Open Sans" w:cs="Open Sans"/>
        </w:rPr>
        <w:t xml:space="preserve">Under BDR, food production is not adversely affected by double crops as these are typically grown in seasons when most food cropland is fallow. Therefore, food and feed production are not displaced when producers adopt sequential cropping. The ‘energy crops’ represent ‘additional carbon’ – that is carbon removed from the atmosphere by the BDR cropping system above and beyond the carbon fixed by current agricultural practices. </w:t>
      </w:r>
    </w:p>
    <w:p w:rsidR="00B82405" w:rsidRPr="00416A29" w:rsidP="00B82405" w14:paraId="01F26960" w14:textId="77777777">
      <w:pPr>
        <w:spacing w:after="0" w:line="240" w:lineRule="auto"/>
        <w:rPr>
          <w:rFonts w:ascii="Open Sans" w:hAnsi="Open Sans" w:cs="Open Sans"/>
        </w:rPr>
      </w:pPr>
    </w:p>
    <w:p w:rsidR="00B82405" w:rsidRPr="00416A29" w:rsidP="00B82405" w14:paraId="4BC13CD9" w14:textId="77777777">
      <w:pPr>
        <w:spacing w:after="0" w:line="240" w:lineRule="auto"/>
        <w:rPr>
          <w:rFonts w:ascii="Open Sans" w:hAnsi="Open Sans" w:cs="Open Sans"/>
        </w:rPr>
      </w:pPr>
      <w:r w:rsidRPr="00416A29">
        <w:rPr>
          <w:rFonts w:ascii="Open Sans" w:hAnsi="Open Sans" w:cs="Open Sans"/>
        </w:rPr>
        <w:t xml:space="preserve">The EBA’s position on sequential cropping and the associated benefits can be found </w:t>
      </w:r>
      <w:hyperlink r:id="rId6" w:history="1">
        <w:r w:rsidRPr="00416A29">
          <w:rPr>
            <w:rStyle w:val="Hyperlink"/>
            <w:rFonts w:ascii="Open Sans" w:hAnsi="Open Sans" w:cs="Open Sans"/>
          </w:rPr>
          <w:t>here</w:t>
        </w:r>
      </w:hyperlink>
      <w:r w:rsidRPr="00416A29">
        <w:rPr>
          <w:rFonts w:ascii="Open Sans" w:hAnsi="Open Sans" w:cs="Open Sans"/>
        </w:rPr>
        <w:t xml:space="preserve">. ‘EBA collected from the biogas sector shows that proper biogas production based on sequential cropping is a sustainable activity. On top of that, it is a powerful solution leading to decreased greenhouse gas (GHG) emissions, protection of biodiversity and restoration of soil quality through </w:t>
      </w:r>
      <w:r w:rsidRPr="00416A29">
        <w:rPr>
          <w:rFonts w:ascii="Open Sans" w:hAnsi="Open Sans" w:cs="Open Sans"/>
        </w:rPr>
        <w:t>agro</w:t>
      </w:r>
      <w:r w:rsidRPr="00416A29">
        <w:rPr>
          <w:rFonts w:ascii="Open Sans" w:hAnsi="Open Sans" w:cs="Open Sans"/>
        </w:rPr>
        <w:t>ecological innovation and organic fertilization.'</w:t>
      </w:r>
    </w:p>
    <w:p w:rsidR="00B82405" w:rsidRPr="00416A29" w:rsidP="00B82405" w14:paraId="4F483AC8" w14:textId="77777777">
      <w:pPr>
        <w:pStyle w:val="ListParagraph"/>
        <w:spacing w:after="0" w:line="240" w:lineRule="auto"/>
        <w:rPr>
          <w:rFonts w:ascii="Open Sans" w:hAnsi="Open Sans" w:cs="Open Sans"/>
        </w:rPr>
      </w:pPr>
    </w:p>
    <w:p w:rsidR="00B82405" w:rsidRPr="00416A29" w:rsidP="00B82405" w14:paraId="2103F55B" w14:textId="77777777">
      <w:pPr>
        <w:spacing w:after="0" w:line="240" w:lineRule="auto"/>
        <w:rPr>
          <w:rFonts w:ascii="Open Sans" w:hAnsi="Open Sans" w:cs="Open Sans"/>
        </w:rPr>
      </w:pPr>
      <w:r w:rsidRPr="00416A29">
        <w:rPr>
          <w:rFonts w:ascii="Open Sans" w:hAnsi="Open Sans" w:cs="Open Sans"/>
        </w:rPr>
        <w:t xml:space="preserve">Further information can be found </w:t>
      </w:r>
      <w:hyperlink r:id="rId7" w:history="1">
        <w:r w:rsidRPr="00416A29">
          <w:rPr>
            <w:rStyle w:val="Hyperlink"/>
            <w:rFonts w:ascii="Open Sans" w:hAnsi="Open Sans" w:cs="Open Sans"/>
          </w:rPr>
          <w:t>here.</w:t>
        </w:r>
      </w:hyperlink>
      <w:r w:rsidRPr="00416A29">
        <w:rPr>
          <w:rFonts w:ascii="Open Sans" w:hAnsi="Open Sans" w:cs="Open Sans"/>
        </w:rPr>
        <w:t xml:space="preserve"> </w:t>
      </w:r>
    </w:p>
    <w:p w:rsidR="00B82405" w:rsidRPr="00416A29" w:rsidP="00B82405" w14:paraId="2FE870B6" w14:textId="77777777">
      <w:pPr>
        <w:spacing w:after="0" w:line="240" w:lineRule="auto"/>
        <w:rPr>
          <w:rFonts w:ascii="Open Sans" w:hAnsi="Open Sans" w:cs="Open Sans"/>
        </w:rPr>
      </w:pPr>
    </w:p>
    <w:p w:rsidR="00B82405" w:rsidRPr="00416A29" w14:paraId="074BE0F9" w14:textId="77777777">
      <w:pPr>
        <w:spacing w:after="0" w:line="240" w:lineRule="auto"/>
        <w:rPr>
          <w:rFonts w:ascii="Open Sans" w:hAnsi="Open Sans" w:cs="Open Sans"/>
        </w:rPr>
      </w:pPr>
      <w:r w:rsidRPr="00416A29">
        <w:rPr>
          <w:rFonts w:ascii="Open Sans" w:hAnsi="Open Sans" w:cs="Open Sans"/>
        </w:rPr>
        <w:t>More research needs to be carried out in the UK to understand whether double cropping is possible and could be adopted in the UK given the different climate.</w:t>
      </w:r>
    </w:p>
    <w:p w:rsidR="00B82405" w:rsidRPr="00416A29" w:rsidP="00B82405" w14:paraId="47B23A24" w14:textId="77777777">
      <w:pPr>
        <w:spacing w:after="0" w:line="240" w:lineRule="auto"/>
        <w:rPr>
          <w:rFonts w:ascii="Open Sans" w:hAnsi="Open Sans" w:cs="Open Sans"/>
        </w:rPr>
      </w:pPr>
    </w:p>
    <w:p w:rsidR="00B82405" w:rsidRPr="00416A29" w:rsidP="00B82405" w14:paraId="21297DD9" w14:textId="05026390">
      <w:pPr>
        <w:spacing w:after="0" w:line="240" w:lineRule="auto"/>
        <w:rPr>
          <w:rFonts w:ascii="Open Sans" w:hAnsi="Open Sans" w:cs="Open Sans"/>
        </w:rPr>
      </w:pPr>
      <w:r w:rsidRPr="00416A29">
        <w:rPr>
          <w:rFonts w:ascii="Open Sans" w:hAnsi="Open Sans" w:cs="Open Sans"/>
          <w:b/>
          <w:bCs/>
          <w:i/>
          <w:iCs/>
          <w:color w:val="010101"/>
        </w:rPr>
        <w:t>Industrial composting with one or more enclosed phases</w:t>
      </w:r>
    </w:p>
    <w:p w:rsidR="00416A29" w:rsidP="00B82405" w14:paraId="58A8958D" w14:textId="77777777">
      <w:pPr>
        <w:spacing w:after="0" w:line="240" w:lineRule="auto"/>
        <w:rPr>
          <w:rFonts w:ascii="Open Sans" w:hAnsi="Open Sans" w:cs="Open Sans"/>
          <w:color w:val="010101"/>
        </w:rPr>
      </w:pPr>
    </w:p>
    <w:p w:rsidR="00BF3235" w:rsidRPr="00416A29" w:rsidP="00B82405" w14:paraId="620D3FA6" w14:textId="5593A958">
      <w:pPr>
        <w:spacing w:after="0" w:line="240" w:lineRule="auto"/>
        <w:rPr>
          <w:rFonts w:ascii="Open Sans" w:hAnsi="Open Sans" w:cs="Open Sans"/>
        </w:rPr>
      </w:pPr>
      <w:r w:rsidRPr="00416A29">
        <w:rPr>
          <w:rFonts w:ascii="Open Sans" w:hAnsi="Open Sans" w:cs="Open Sans"/>
          <w:color w:val="010101"/>
        </w:rPr>
        <w:t>T</w:t>
      </w:r>
      <w:r w:rsidRPr="00416A29">
        <w:rPr>
          <w:rFonts w:ascii="Open Sans" w:hAnsi="Open Sans" w:cs="Open Sans"/>
          <w:color w:val="010101"/>
        </w:rPr>
        <w:t>he UK has approximately 45 facilities of this kind which are approved for treating ‘animal by-products’, some categories of which are catering (food) wastes from domestic and C&amp;I sources.  The gaseous emissions from the wastes while being composted are captured and treated using a variety of simple through to more complex treatment systems</w:t>
      </w:r>
      <w:r w:rsidRPr="00416A29" w:rsidR="007B0825">
        <w:rPr>
          <w:rFonts w:ascii="Open Sans" w:hAnsi="Open Sans" w:cs="Open Sans"/>
          <w:color w:val="010101"/>
        </w:rPr>
        <w:t xml:space="preserve"> for gaseous emissions</w:t>
      </w:r>
      <w:r w:rsidRPr="00416A29">
        <w:rPr>
          <w:rFonts w:ascii="Open Sans" w:hAnsi="Open Sans" w:cs="Open Sans"/>
          <w:color w:val="010101"/>
        </w:rPr>
        <w:t>.  This industry</w:t>
      </w:r>
      <w:r w:rsidRPr="00416A29" w:rsidR="007B0825">
        <w:rPr>
          <w:rFonts w:ascii="Open Sans" w:hAnsi="Open Sans" w:cs="Open Sans"/>
          <w:color w:val="010101"/>
        </w:rPr>
        <w:t xml:space="preserve"> (and the AD industry)</w:t>
      </w:r>
      <w:r w:rsidRPr="00416A29">
        <w:rPr>
          <w:rFonts w:ascii="Open Sans" w:hAnsi="Open Sans" w:cs="Open Sans"/>
          <w:color w:val="010101"/>
        </w:rPr>
        <w:t xml:space="preserve"> is adjusting to </w:t>
      </w:r>
      <w:r w:rsidRPr="00416A29" w:rsidR="007B0825">
        <w:rPr>
          <w:rFonts w:ascii="Open Sans" w:hAnsi="Open Sans" w:cs="Open Sans"/>
          <w:color w:val="010101"/>
        </w:rPr>
        <w:t xml:space="preserve">implement Best Available Techniques so the suitability of DACCS technologies should be considered for abatement of their gaseous emissions.  </w:t>
      </w:r>
    </w:p>
    <w:p w:rsidR="00E17984" w:rsidRPr="00416A29" w:rsidP="00E17984" w14:paraId="51770925" w14:textId="472AC065">
      <w:pPr>
        <w:spacing w:after="0" w:line="240" w:lineRule="auto"/>
        <w:rPr>
          <w:rFonts w:ascii="Open Sans" w:hAnsi="Open Sans" w:cs="Open Sans"/>
        </w:rPr>
      </w:pPr>
    </w:p>
    <w:p w:rsidR="00B82405" w:rsidRPr="00416A29" w:rsidP="00E17984" w14:paraId="4E23C8BE" w14:textId="4DD909FF">
      <w:pPr>
        <w:spacing w:after="0" w:line="240" w:lineRule="auto"/>
        <w:rPr>
          <w:rFonts w:ascii="Open Sans" w:hAnsi="Open Sans" w:cs="Open Sans"/>
        </w:rPr>
      </w:pPr>
    </w:p>
    <w:p w:rsidR="00CA2ED1" w:rsidRPr="00416A29" w:rsidP="00CA2ED1" w14:paraId="3C53B8C7"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5. What do you consider to be the main barriers to the development and deployment of GGRs?</w:t>
      </w:r>
    </w:p>
    <w:p w:rsidR="000D00CD" w:rsidRPr="00416A29" w:rsidP="00CA2ED1" w14:paraId="7EA353B6" w14:textId="77777777">
      <w:pPr>
        <w:spacing w:after="0" w:line="240" w:lineRule="auto"/>
        <w:rPr>
          <w:rFonts w:ascii="Open Sans" w:eastAsia="Times New Roman" w:hAnsi="Open Sans" w:cs="Open Sans"/>
          <w:lang w:eastAsia="en-GB"/>
        </w:rPr>
      </w:pPr>
    </w:p>
    <w:p w:rsidR="000A50D3" w:rsidRPr="00416A29" w:rsidP="00CA2ED1" w14:paraId="168E8836" w14:textId="77777777">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Primary barriers to deployment are currently commercial and lack of dedicated policy support</w:t>
      </w:r>
      <w:r w:rsidRPr="00416A29">
        <w:rPr>
          <w:rFonts w:ascii="Open Sans" w:eastAsia="Times New Roman" w:hAnsi="Open Sans" w:cs="Open Sans"/>
          <w:lang w:eastAsia="en-GB"/>
        </w:rPr>
        <w:t xml:space="preserve"> for the foundational industries from where GGRs are going to be delivered</w:t>
      </w:r>
      <w:r w:rsidRPr="00416A29">
        <w:rPr>
          <w:rFonts w:ascii="Open Sans" w:eastAsia="Times New Roman" w:hAnsi="Open Sans" w:cs="Open Sans"/>
          <w:lang w:eastAsia="en-GB"/>
        </w:rPr>
        <w:t>.</w:t>
      </w:r>
    </w:p>
    <w:p w:rsidR="000A50D3" w:rsidRPr="00416A29" w:rsidP="00CA2ED1" w14:paraId="70F6E70B" w14:textId="77777777">
      <w:pPr>
        <w:spacing w:after="0" w:line="240" w:lineRule="auto"/>
        <w:rPr>
          <w:rFonts w:ascii="Open Sans" w:eastAsia="Times New Roman" w:hAnsi="Open Sans" w:cs="Open Sans"/>
          <w:lang w:eastAsia="en-GB"/>
        </w:rPr>
      </w:pPr>
    </w:p>
    <w:p w:rsidR="000D00CD" w:rsidRPr="00416A29" w:rsidP="00CA2ED1" w14:paraId="639BC95C" w14:textId="275261E2">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The development of a market price for negative emissions is seen as </w:t>
      </w:r>
      <w:r w:rsidRPr="00416A29" w:rsidR="00B82405">
        <w:rPr>
          <w:rFonts w:ascii="Open Sans" w:eastAsia="Times New Roman" w:hAnsi="Open Sans" w:cs="Open Sans"/>
          <w:lang w:eastAsia="en-GB"/>
        </w:rPr>
        <w:t>critical</w:t>
      </w:r>
      <w:r w:rsidRPr="00416A29">
        <w:rPr>
          <w:rFonts w:ascii="Open Sans" w:eastAsia="Times New Roman" w:hAnsi="Open Sans" w:cs="Open Sans"/>
          <w:lang w:eastAsia="en-GB"/>
        </w:rPr>
        <w:t xml:space="preserve"> for building the commercial case for GGR technologies. </w:t>
      </w:r>
      <w:r w:rsidRPr="00416A29" w:rsidR="00C43A5F">
        <w:rPr>
          <w:rFonts w:ascii="Open Sans" w:eastAsia="Times New Roman" w:hAnsi="Open Sans" w:cs="Open Sans"/>
          <w:lang w:eastAsia="en-GB"/>
        </w:rPr>
        <w:t>C</w:t>
      </w:r>
      <w:r w:rsidRPr="00416A29">
        <w:rPr>
          <w:rFonts w:ascii="Open Sans" w:eastAsia="Times New Roman" w:hAnsi="Open Sans" w:cs="Open Sans"/>
          <w:lang w:eastAsia="en-GB"/>
        </w:rPr>
        <w:t xml:space="preserve">arbon pricing in its current form </w:t>
      </w:r>
      <w:r w:rsidRPr="00416A29" w:rsidR="00C43A5F">
        <w:rPr>
          <w:rFonts w:ascii="Open Sans" w:eastAsia="Times New Roman" w:hAnsi="Open Sans" w:cs="Open Sans"/>
          <w:lang w:eastAsia="en-GB"/>
        </w:rPr>
        <w:t xml:space="preserve">does not reward negative emission and will need to be reformed if there is to be a tradeable carbon market in which GGRs can </w:t>
      </w:r>
      <w:r w:rsidRPr="00416A29" w:rsidR="00A34A2E">
        <w:rPr>
          <w:rFonts w:ascii="Open Sans" w:eastAsia="Times New Roman" w:hAnsi="Open Sans" w:cs="Open Sans"/>
          <w:lang w:eastAsia="en-GB"/>
        </w:rPr>
        <w:t>participate</w:t>
      </w:r>
      <w:r w:rsidRPr="00416A29" w:rsidR="00C43A5F">
        <w:rPr>
          <w:rFonts w:ascii="Open Sans" w:eastAsia="Times New Roman" w:hAnsi="Open Sans" w:cs="Open Sans"/>
          <w:lang w:eastAsia="en-GB"/>
        </w:rPr>
        <w:t xml:space="preserve"> and </w:t>
      </w:r>
      <w:r w:rsidRPr="00416A29" w:rsidR="00393C5D">
        <w:rPr>
          <w:rFonts w:ascii="Open Sans" w:eastAsia="Times New Roman" w:hAnsi="Open Sans" w:cs="Open Sans"/>
          <w:lang w:eastAsia="en-GB"/>
        </w:rPr>
        <w:t xml:space="preserve">realise meaningful revenue streams. </w:t>
      </w:r>
      <w:r w:rsidRPr="00416A29" w:rsidR="00C43A5F">
        <w:rPr>
          <w:rFonts w:ascii="Open Sans" w:eastAsia="Times New Roman" w:hAnsi="Open Sans" w:cs="Open Sans"/>
          <w:lang w:eastAsia="en-GB"/>
        </w:rPr>
        <w:t xml:space="preserve"> </w:t>
      </w:r>
    </w:p>
    <w:p w:rsidR="00C43A5F" w:rsidRPr="00416A29" w:rsidP="00CA2ED1" w14:paraId="0AF90B21" w14:textId="0F2CABE3">
      <w:pPr>
        <w:spacing w:after="0" w:line="240" w:lineRule="auto"/>
        <w:rPr>
          <w:rFonts w:ascii="Open Sans" w:eastAsia="Times New Roman" w:hAnsi="Open Sans" w:cs="Open Sans"/>
          <w:lang w:eastAsia="en-GB"/>
        </w:rPr>
      </w:pPr>
    </w:p>
    <w:p w:rsidR="00C43A5F" w:rsidRPr="00416A29" w:rsidP="00CA2ED1" w14:paraId="3FCACE19" w14:textId="5846089B">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As identified in question 2, in many cases GGR’s are a</w:t>
      </w:r>
      <w:r w:rsidRPr="00416A29" w:rsidR="000A50D3">
        <w:rPr>
          <w:rFonts w:ascii="Open Sans" w:eastAsia="Times New Roman" w:hAnsi="Open Sans" w:cs="Open Sans"/>
          <w:lang w:eastAsia="en-GB"/>
        </w:rPr>
        <w:t xml:space="preserve"> potential</w:t>
      </w:r>
      <w:r w:rsidRPr="00416A29">
        <w:rPr>
          <w:rFonts w:ascii="Open Sans" w:eastAsia="Times New Roman" w:hAnsi="Open Sans" w:cs="Open Sans"/>
          <w:lang w:eastAsia="en-GB"/>
        </w:rPr>
        <w:t xml:space="preserve"> </w:t>
      </w:r>
      <w:r w:rsidRPr="00416A29" w:rsidR="000A50D3">
        <w:rPr>
          <w:rFonts w:ascii="Open Sans" w:eastAsia="Times New Roman" w:hAnsi="Open Sans" w:cs="Open Sans"/>
          <w:lang w:eastAsia="en-GB"/>
        </w:rPr>
        <w:t>additional commercial activity for existing</w:t>
      </w:r>
      <w:r w:rsidRPr="00416A29">
        <w:rPr>
          <w:rFonts w:ascii="Open Sans" w:eastAsia="Times New Roman" w:hAnsi="Open Sans" w:cs="Open Sans"/>
          <w:lang w:eastAsia="en-GB"/>
        </w:rPr>
        <w:t xml:space="preserve"> sector</w:t>
      </w:r>
      <w:r w:rsidRPr="00416A29" w:rsidR="00393C5D">
        <w:rPr>
          <w:rFonts w:ascii="Open Sans" w:eastAsia="Times New Roman" w:hAnsi="Open Sans" w:cs="Open Sans"/>
          <w:lang w:eastAsia="en-GB"/>
        </w:rPr>
        <w:t>s</w:t>
      </w:r>
      <w:r w:rsidRPr="00416A29">
        <w:rPr>
          <w:rFonts w:ascii="Open Sans" w:eastAsia="Times New Roman" w:hAnsi="Open Sans" w:cs="Open Sans"/>
          <w:lang w:eastAsia="en-GB"/>
        </w:rPr>
        <w:t>. In such cases, both the primary activity must</w:t>
      </w:r>
      <w:r w:rsidRPr="00416A29" w:rsidR="000A50D3">
        <w:rPr>
          <w:rFonts w:ascii="Open Sans" w:eastAsia="Times New Roman" w:hAnsi="Open Sans" w:cs="Open Sans"/>
          <w:lang w:eastAsia="en-GB"/>
        </w:rPr>
        <w:t xml:space="preserve"> continue to</w:t>
      </w:r>
      <w:r w:rsidRPr="00416A29">
        <w:rPr>
          <w:rFonts w:ascii="Open Sans" w:eastAsia="Times New Roman" w:hAnsi="Open Sans" w:cs="Open Sans"/>
          <w:lang w:eastAsia="en-GB"/>
        </w:rPr>
        <w:t xml:space="preserve"> have a market</w:t>
      </w:r>
      <w:r w:rsidRPr="00416A29" w:rsidR="000A50D3">
        <w:rPr>
          <w:rFonts w:ascii="Open Sans" w:eastAsia="Times New Roman" w:hAnsi="Open Sans" w:cs="Open Sans"/>
          <w:lang w:eastAsia="en-GB"/>
        </w:rPr>
        <w:t xml:space="preserve"> if they are to build on</w:t>
      </w:r>
      <w:r w:rsidRPr="00416A29" w:rsidR="00393C5D">
        <w:rPr>
          <w:rFonts w:ascii="Open Sans" w:eastAsia="Times New Roman" w:hAnsi="Open Sans" w:cs="Open Sans"/>
          <w:lang w:eastAsia="en-GB"/>
        </w:rPr>
        <w:t xml:space="preserve"> existing </w:t>
      </w:r>
      <w:r w:rsidRPr="00416A29" w:rsidR="000A50D3">
        <w:rPr>
          <w:rFonts w:ascii="Open Sans" w:eastAsia="Times New Roman" w:hAnsi="Open Sans" w:cs="Open Sans"/>
          <w:lang w:eastAsia="en-GB"/>
        </w:rPr>
        <w:t xml:space="preserve">supply chains and knowledge to deliver innovative GGR technologies. The </w:t>
      </w:r>
      <w:r w:rsidRPr="00416A29">
        <w:rPr>
          <w:rFonts w:ascii="Open Sans" w:eastAsia="Times New Roman" w:hAnsi="Open Sans" w:cs="Open Sans"/>
          <w:lang w:eastAsia="en-GB"/>
        </w:rPr>
        <w:t>additional</w:t>
      </w:r>
      <w:r w:rsidRPr="00416A29" w:rsidR="000A50D3">
        <w:rPr>
          <w:rFonts w:ascii="Open Sans" w:eastAsia="Times New Roman" w:hAnsi="Open Sans" w:cs="Open Sans"/>
          <w:lang w:eastAsia="en-GB"/>
        </w:rPr>
        <w:t xml:space="preserve"> investment to deliver GGRs </w:t>
      </w:r>
      <w:r w:rsidRPr="00416A29">
        <w:rPr>
          <w:rFonts w:ascii="Open Sans" w:eastAsia="Times New Roman" w:hAnsi="Open Sans" w:cs="Open Sans"/>
          <w:lang w:eastAsia="en-GB"/>
        </w:rPr>
        <w:t xml:space="preserve">technologies </w:t>
      </w:r>
      <w:r w:rsidRPr="00416A29" w:rsidR="000A50D3">
        <w:rPr>
          <w:rFonts w:ascii="Open Sans" w:eastAsia="Times New Roman" w:hAnsi="Open Sans" w:cs="Open Sans"/>
          <w:lang w:eastAsia="en-GB"/>
        </w:rPr>
        <w:t xml:space="preserve">in these sectors must therefore be regarded as part of stackable revenue </w:t>
      </w:r>
      <w:r w:rsidRPr="00416A29" w:rsidR="00B82405">
        <w:rPr>
          <w:rFonts w:ascii="Open Sans" w:eastAsia="Times New Roman" w:hAnsi="Open Sans" w:cs="Open Sans"/>
          <w:lang w:eastAsia="en-GB"/>
        </w:rPr>
        <w:t>streams</w:t>
      </w:r>
      <w:r w:rsidRPr="00416A29" w:rsidR="000A50D3">
        <w:rPr>
          <w:rFonts w:ascii="Open Sans" w:eastAsia="Times New Roman" w:hAnsi="Open Sans" w:cs="Open Sans"/>
          <w:lang w:eastAsia="en-GB"/>
        </w:rPr>
        <w:t xml:space="preserve">. </w:t>
      </w:r>
      <w:r w:rsidRPr="00416A29">
        <w:rPr>
          <w:rFonts w:ascii="Open Sans" w:eastAsia="Times New Roman" w:hAnsi="Open Sans" w:cs="Open Sans"/>
          <w:lang w:eastAsia="en-GB"/>
        </w:rPr>
        <w:t xml:space="preserve">In the case of BECCS, </w:t>
      </w:r>
      <w:r w:rsidRPr="00416A29" w:rsidR="000A50D3">
        <w:rPr>
          <w:rFonts w:ascii="Open Sans" w:eastAsia="Times New Roman" w:hAnsi="Open Sans" w:cs="Open Sans"/>
          <w:lang w:eastAsia="en-GB"/>
        </w:rPr>
        <w:t xml:space="preserve">this includes </w:t>
      </w:r>
      <w:r w:rsidRPr="00416A29" w:rsidR="00AD326F">
        <w:rPr>
          <w:rFonts w:ascii="Open Sans" w:eastAsia="Times New Roman" w:hAnsi="Open Sans" w:cs="Open Sans"/>
          <w:lang w:eastAsia="en-GB"/>
        </w:rPr>
        <w:t xml:space="preserve">being appropriately rewarded for </w:t>
      </w:r>
      <w:r w:rsidRPr="00416A29" w:rsidR="000A50D3">
        <w:rPr>
          <w:rFonts w:ascii="Open Sans" w:eastAsia="Times New Roman" w:hAnsi="Open Sans" w:cs="Open Sans"/>
          <w:lang w:eastAsia="en-GB"/>
        </w:rPr>
        <w:t>dispatchable renewable power, contributing to energy security and grid flexibilit</w:t>
      </w:r>
      <w:r w:rsidRPr="00416A29" w:rsidR="00A34A2E">
        <w:rPr>
          <w:rFonts w:ascii="Open Sans" w:eastAsia="Times New Roman" w:hAnsi="Open Sans" w:cs="Open Sans"/>
          <w:lang w:eastAsia="en-GB"/>
        </w:rPr>
        <w:t xml:space="preserve">y. </w:t>
      </w:r>
      <w:r w:rsidRPr="00416A29" w:rsidR="000A50D3">
        <w:rPr>
          <w:rFonts w:ascii="Open Sans" w:eastAsia="Times New Roman" w:hAnsi="Open Sans" w:cs="Open Sans"/>
          <w:lang w:eastAsia="en-GB"/>
        </w:rPr>
        <w:t xml:space="preserve">In the case of </w:t>
      </w:r>
      <w:r w:rsidRPr="00416A29" w:rsidR="00AD326F">
        <w:rPr>
          <w:rFonts w:ascii="Open Sans" w:eastAsia="Times New Roman" w:hAnsi="Open Sans" w:cs="Open Sans"/>
          <w:lang w:eastAsia="en-GB"/>
        </w:rPr>
        <w:t>nature-based</w:t>
      </w:r>
      <w:r w:rsidRPr="00416A29" w:rsidR="000A50D3">
        <w:rPr>
          <w:rFonts w:ascii="Open Sans" w:eastAsia="Times New Roman" w:hAnsi="Open Sans" w:cs="Open Sans"/>
          <w:lang w:eastAsia="en-GB"/>
        </w:rPr>
        <w:t xml:space="preserve"> solutions, largely resulting from land management sectors, the benefits of GGRs need to be suitably rewarded as part of the </w:t>
      </w:r>
      <w:r w:rsidRPr="00416A29" w:rsidR="00A34A2E">
        <w:rPr>
          <w:rFonts w:ascii="Open Sans" w:eastAsia="Times New Roman" w:hAnsi="Open Sans" w:cs="Open Sans"/>
          <w:lang w:eastAsia="en-GB"/>
        </w:rPr>
        <w:t>broader agriculture payment</w:t>
      </w:r>
      <w:r w:rsidRPr="00416A29" w:rsidR="00393C5D">
        <w:rPr>
          <w:rFonts w:ascii="Open Sans" w:eastAsia="Times New Roman" w:hAnsi="Open Sans" w:cs="Open Sans"/>
          <w:lang w:eastAsia="en-GB"/>
        </w:rPr>
        <w:t>s</w:t>
      </w:r>
      <w:r w:rsidRPr="00416A29" w:rsidR="00A34A2E">
        <w:rPr>
          <w:rFonts w:ascii="Open Sans" w:eastAsia="Times New Roman" w:hAnsi="Open Sans" w:cs="Open Sans"/>
          <w:lang w:eastAsia="en-GB"/>
        </w:rPr>
        <w:t>. As such</w:t>
      </w:r>
      <w:r w:rsidRPr="00416A29" w:rsidR="00393C5D">
        <w:rPr>
          <w:rFonts w:ascii="Open Sans" w:eastAsia="Times New Roman" w:hAnsi="Open Sans" w:cs="Open Sans"/>
          <w:lang w:eastAsia="en-GB"/>
        </w:rPr>
        <w:t xml:space="preserve">, </w:t>
      </w:r>
      <w:r w:rsidRPr="00416A29" w:rsidR="00A34A2E">
        <w:rPr>
          <w:rFonts w:ascii="Open Sans" w:eastAsia="Times New Roman" w:hAnsi="Open Sans" w:cs="Open Sans"/>
          <w:lang w:eastAsia="en-GB"/>
        </w:rPr>
        <w:t xml:space="preserve">ensuring GGRs </w:t>
      </w:r>
      <w:r w:rsidRPr="00416A29" w:rsidR="00AD326F">
        <w:rPr>
          <w:rFonts w:ascii="Open Sans" w:eastAsia="Times New Roman" w:hAnsi="Open Sans" w:cs="Open Sans"/>
          <w:lang w:eastAsia="en-GB"/>
        </w:rPr>
        <w:t>are strategically</w:t>
      </w:r>
      <w:r w:rsidRPr="00416A29" w:rsidR="00A34A2E">
        <w:rPr>
          <w:rFonts w:ascii="Open Sans" w:eastAsia="Times New Roman" w:hAnsi="Open Sans" w:cs="Open Sans"/>
          <w:lang w:eastAsia="en-GB"/>
        </w:rPr>
        <w:t xml:space="preserve"> considered as part of</w:t>
      </w:r>
      <w:r w:rsidRPr="00416A29" w:rsidR="00393C5D">
        <w:rPr>
          <w:rFonts w:ascii="Open Sans" w:eastAsia="Times New Roman" w:hAnsi="Open Sans" w:cs="Open Sans"/>
          <w:lang w:eastAsia="en-GB"/>
        </w:rPr>
        <w:t xml:space="preserve"> current</w:t>
      </w:r>
      <w:r w:rsidRPr="00416A29" w:rsidR="00A34A2E">
        <w:rPr>
          <w:rFonts w:ascii="Open Sans" w:eastAsia="Times New Roman" w:hAnsi="Open Sans" w:cs="Open Sans"/>
          <w:lang w:eastAsia="en-GB"/>
        </w:rPr>
        <w:t xml:space="preserve"> wider policy proposals</w:t>
      </w:r>
      <w:r w:rsidRPr="00416A29" w:rsidR="00393C5D">
        <w:rPr>
          <w:rFonts w:ascii="Open Sans" w:eastAsia="Times New Roman" w:hAnsi="Open Sans" w:cs="Open Sans"/>
          <w:lang w:eastAsia="en-GB"/>
        </w:rPr>
        <w:t xml:space="preserve"> </w:t>
      </w:r>
      <w:r w:rsidRPr="00416A29" w:rsidR="00AD326F">
        <w:rPr>
          <w:rFonts w:ascii="Open Sans" w:eastAsia="Times New Roman" w:hAnsi="Open Sans" w:cs="Open Sans"/>
          <w:lang w:eastAsia="en-GB"/>
        </w:rPr>
        <w:t xml:space="preserve">is crucial to avoiding barriers to deployment of the foundational technologies from which GGRs </w:t>
      </w:r>
      <w:r w:rsidRPr="00416A29" w:rsidR="00B82405">
        <w:rPr>
          <w:rFonts w:ascii="Open Sans" w:eastAsia="Times New Roman" w:hAnsi="Open Sans" w:cs="Open Sans"/>
          <w:lang w:eastAsia="en-GB"/>
        </w:rPr>
        <w:t>are attainted</w:t>
      </w:r>
      <w:r w:rsidRPr="00416A29" w:rsidR="00AD326F">
        <w:rPr>
          <w:rFonts w:ascii="Open Sans" w:eastAsia="Times New Roman" w:hAnsi="Open Sans" w:cs="Open Sans"/>
          <w:lang w:eastAsia="en-GB"/>
        </w:rPr>
        <w:t xml:space="preserve">. In terms of current Government workstreams this means GGRs being incorporated </w:t>
      </w:r>
      <w:r w:rsidRPr="00416A29" w:rsidR="00393C5D">
        <w:rPr>
          <w:rFonts w:ascii="Open Sans" w:eastAsia="Times New Roman" w:hAnsi="Open Sans" w:cs="Open Sans"/>
          <w:lang w:eastAsia="en-GB"/>
        </w:rPr>
        <w:t xml:space="preserve">into </w:t>
      </w:r>
      <w:r w:rsidRPr="00416A29" w:rsidR="00AD326F">
        <w:rPr>
          <w:rFonts w:ascii="Open Sans" w:eastAsia="Times New Roman" w:hAnsi="Open Sans" w:cs="Open Sans"/>
          <w:lang w:eastAsia="en-GB"/>
        </w:rPr>
        <w:t xml:space="preserve">such policy proposals as the </w:t>
      </w:r>
      <w:r w:rsidRPr="00416A29" w:rsidR="00A34A2E">
        <w:rPr>
          <w:rFonts w:ascii="Open Sans" w:eastAsia="Times New Roman" w:hAnsi="Open Sans" w:cs="Open Sans"/>
          <w:lang w:eastAsia="en-GB"/>
        </w:rPr>
        <w:t xml:space="preserve">reforms to the </w:t>
      </w:r>
      <w:r w:rsidRPr="00416A29" w:rsidR="00AD326F">
        <w:rPr>
          <w:rFonts w:ascii="Open Sans" w:eastAsia="Times New Roman" w:hAnsi="Open Sans" w:cs="Open Sans"/>
          <w:lang w:eastAsia="en-GB"/>
        </w:rPr>
        <w:t xml:space="preserve">CfD, the </w:t>
      </w:r>
      <w:r w:rsidRPr="00416A29" w:rsidR="00B82405">
        <w:rPr>
          <w:rFonts w:ascii="Open Sans" w:eastAsia="Times New Roman" w:hAnsi="Open Sans" w:cs="Open Sans"/>
          <w:lang w:eastAsia="en-GB"/>
        </w:rPr>
        <w:t>B</w:t>
      </w:r>
      <w:r w:rsidRPr="00416A29" w:rsidR="00AD326F">
        <w:rPr>
          <w:rFonts w:ascii="Open Sans" w:eastAsia="Times New Roman" w:hAnsi="Open Sans" w:cs="Open Sans"/>
          <w:lang w:eastAsia="en-GB"/>
        </w:rPr>
        <w:t xml:space="preserve">iomass </w:t>
      </w:r>
      <w:r w:rsidRPr="00416A29" w:rsidR="00B82405">
        <w:rPr>
          <w:rFonts w:ascii="Open Sans" w:eastAsia="Times New Roman" w:hAnsi="Open Sans" w:cs="Open Sans"/>
          <w:lang w:eastAsia="en-GB"/>
        </w:rPr>
        <w:t>S</w:t>
      </w:r>
      <w:r w:rsidRPr="00416A29" w:rsidR="00AD326F">
        <w:rPr>
          <w:rFonts w:ascii="Open Sans" w:eastAsia="Times New Roman" w:hAnsi="Open Sans" w:cs="Open Sans"/>
          <w:lang w:eastAsia="en-GB"/>
        </w:rPr>
        <w:t xml:space="preserve">trategy, the </w:t>
      </w:r>
      <w:r w:rsidRPr="00416A29" w:rsidR="00B82405">
        <w:rPr>
          <w:rFonts w:ascii="Open Sans" w:eastAsia="Times New Roman" w:hAnsi="Open Sans" w:cs="Open Sans"/>
          <w:lang w:eastAsia="en-GB"/>
        </w:rPr>
        <w:t>H</w:t>
      </w:r>
      <w:r w:rsidRPr="00416A29" w:rsidR="00AD326F">
        <w:rPr>
          <w:rFonts w:ascii="Open Sans" w:eastAsia="Times New Roman" w:hAnsi="Open Sans" w:cs="Open Sans"/>
          <w:lang w:eastAsia="en-GB"/>
        </w:rPr>
        <w:t xml:space="preserve">eat and </w:t>
      </w:r>
      <w:r w:rsidRPr="00416A29" w:rsidR="00B82405">
        <w:rPr>
          <w:rFonts w:ascii="Open Sans" w:eastAsia="Times New Roman" w:hAnsi="Open Sans" w:cs="Open Sans"/>
          <w:lang w:eastAsia="en-GB"/>
        </w:rPr>
        <w:t>B</w:t>
      </w:r>
      <w:r w:rsidRPr="00416A29" w:rsidR="00AD326F">
        <w:rPr>
          <w:rFonts w:ascii="Open Sans" w:eastAsia="Times New Roman" w:hAnsi="Open Sans" w:cs="Open Sans"/>
          <w:lang w:eastAsia="en-GB"/>
        </w:rPr>
        <w:t xml:space="preserve">uildings strategy, the </w:t>
      </w:r>
      <w:r w:rsidRPr="00416A29" w:rsidR="00B82405">
        <w:rPr>
          <w:rFonts w:ascii="Open Sans" w:eastAsia="Times New Roman" w:hAnsi="Open Sans" w:cs="Open Sans"/>
          <w:lang w:eastAsia="en-GB"/>
        </w:rPr>
        <w:t>H</w:t>
      </w:r>
      <w:r w:rsidRPr="00416A29" w:rsidR="00AD326F">
        <w:rPr>
          <w:rFonts w:ascii="Open Sans" w:eastAsia="Times New Roman" w:hAnsi="Open Sans" w:cs="Open Sans"/>
          <w:lang w:eastAsia="en-GB"/>
        </w:rPr>
        <w:t xml:space="preserve">ydrogen </w:t>
      </w:r>
      <w:r w:rsidRPr="00416A29" w:rsidR="00B82405">
        <w:rPr>
          <w:rFonts w:ascii="Open Sans" w:eastAsia="Times New Roman" w:hAnsi="Open Sans" w:cs="Open Sans"/>
          <w:lang w:eastAsia="en-GB"/>
        </w:rPr>
        <w:t>S</w:t>
      </w:r>
      <w:r w:rsidRPr="00416A29" w:rsidR="00AD326F">
        <w:rPr>
          <w:rFonts w:ascii="Open Sans" w:eastAsia="Times New Roman" w:hAnsi="Open Sans" w:cs="Open Sans"/>
          <w:lang w:eastAsia="en-GB"/>
        </w:rPr>
        <w:t xml:space="preserve">trategy, the </w:t>
      </w:r>
      <w:r w:rsidRPr="00416A29" w:rsidR="00A34A2E">
        <w:rPr>
          <w:rFonts w:ascii="Open Sans" w:eastAsia="Times New Roman" w:hAnsi="Open Sans" w:cs="Open Sans"/>
          <w:lang w:eastAsia="en-GB"/>
        </w:rPr>
        <w:t xml:space="preserve">England Tree </w:t>
      </w:r>
      <w:r w:rsidRPr="00416A29" w:rsidR="00D02C9D">
        <w:rPr>
          <w:rFonts w:ascii="Open Sans" w:eastAsia="Times New Roman" w:hAnsi="Open Sans" w:cs="Open Sans"/>
          <w:lang w:eastAsia="en-GB"/>
        </w:rPr>
        <w:t>Strategy,</w:t>
      </w:r>
      <w:r w:rsidRPr="00416A29" w:rsidR="00AD326F">
        <w:rPr>
          <w:rFonts w:ascii="Open Sans" w:eastAsia="Times New Roman" w:hAnsi="Open Sans" w:cs="Open Sans"/>
          <w:lang w:eastAsia="en-GB"/>
        </w:rPr>
        <w:t xml:space="preserve"> </w:t>
      </w:r>
      <w:r w:rsidRPr="00416A29" w:rsidR="00D02C9D">
        <w:rPr>
          <w:rFonts w:ascii="Open Sans" w:eastAsia="Times New Roman" w:hAnsi="Open Sans" w:cs="Open Sans"/>
          <w:lang w:eastAsia="en-GB"/>
        </w:rPr>
        <w:t xml:space="preserve">reforms to the </w:t>
      </w:r>
      <w:r w:rsidRPr="00416A29" w:rsidR="00B82405">
        <w:rPr>
          <w:rFonts w:ascii="Open Sans" w:eastAsia="Times New Roman" w:hAnsi="Open Sans" w:cs="Open Sans"/>
          <w:lang w:eastAsia="en-GB"/>
        </w:rPr>
        <w:t>R</w:t>
      </w:r>
      <w:r w:rsidRPr="00416A29" w:rsidR="00D02C9D">
        <w:rPr>
          <w:rFonts w:ascii="Open Sans" w:eastAsia="Times New Roman" w:hAnsi="Open Sans" w:cs="Open Sans"/>
          <w:lang w:eastAsia="en-GB"/>
        </w:rPr>
        <w:t xml:space="preserve">enewable </w:t>
      </w:r>
      <w:r w:rsidRPr="00416A29" w:rsidR="00B82405">
        <w:rPr>
          <w:rFonts w:ascii="Open Sans" w:eastAsia="Times New Roman" w:hAnsi="Open Sans" w:cs="Open Sans"/>
          <w:lang w:eastAsia="en-GB"/>
        </w:rPr>
        <w:t>T</w:t>
      </w:r>
      <w:r w:rsidRPr="00416A29" w:rsidR="00D02C9D">
        <w:rPr>
          <w:rFonts w:ascii="Open Sans" w:eastAsia="Times New Roman" w:hAnsi="Open Sans" w:cs="Open Sans"/>
          <w:lang w:eastAsia="en-GB"/>
        </w:rPr>
        <w:t xml:space="preserve">ransport </w:t>
      </w:r>
      <w:r w:rsidRPr="00416A29" w:rsidR="00B82405">
        <w:rPr>
          <w:rFonts w:ascii="Open Sans" w:eastAsia="Times New Roman" w:hAnsi="Open Sans" w:cs="Open Sans"/>
          <w:lang w:eastAsia="en-GB"/>
        </w:rPr>
        <w:t>F</w:t>
      </w:r>
      <w:r w:rsidRPr="00416A29" w:rsidR="00D02C9D">
        <w:rPr>
          <w:rFonts w:ascii="Open Sans" w:eastAsia="Times New Roman" w:hAnsi="Open Sans" w:cs="Open Sans"/>
          <w:lang w:eastAsia="en-GB"/>
        </w:rPr>
        <w:t xml:space="preserve">uel </w:t>
      </w:r>
      <w:r w:rsidRPr="00416A29" w:rsidR="00B82405">
        <w:rPr>
          <w:rFonts w:ascii="Open Sans" w:eastAsia="Times New Roman" w:hAnsi="Open Sans" w:cs="Open Sans"/>
          <w:lang w:eastAsia="en-GB"/>
        </w:rPr>
        <w:t>O</w:t>
      </w:r>
      <w:r w:rsidRPr="00416A29" w:rsidR="00D02C9D">
        <w:rPr>
          <w:rFonts w:ascii="Open Sans" w:eastAsia="Times New Roman" w:hAnsi="Open Sans" w:cs="Open Sans"/>
          <w:lang w:eastAsia="en-GB"/>
        </w:rPr>
        <w:t xml:space="preserve">bligation </w:t>
      </w:r>
      <w:r w:rsidRPr="00416A29" w:rsidR="00AD326F">
        <w:rPr>
          <w:rFonts w:ascii="Open Sans" w:eastAsia="Times New Roman" w:hAnsi="Open Sans" w:cs="Open Sans"/>
          <w:lang w:eastAsia="en-GB"/>
        </w:rPr>
        <w:t xml:space="preserve">and the </w:t>
      </w:r>
      <w:r w:rsidRPr="00416A29" w:rsidR="00B82405">
        <w:rPr>
          <w:rFonts w:ascii="Open Sans" w:eastAsia="Times New Roman" w:hAnsi="Open Sans" w:cs="Open Sans"/>
          <w:lang w:eastAsia="en-GB"/>
        </w:rPr>
        <w:t>E</w:t>
      </w:r>
      <w:r w:rsidRPr="00416A29" w:rsidR="00A34A2E">
        <w:rPr>
          <w:rFonts w:ascii="Open Sans" w:eastAsia="Times New Roman" w:hAnsi="Open Sans" w:cs="Open Sans"/>
          <w:lang w:eastAsia="en-GB"/>
        </w:rPr>
        <w:t xml:space="preserve">nvironmental </w:t>
      </w:r>
      <w:r w:rsidRPr="00416A29" w:rsidR="00B82405">
        <w:rPr>
          <w:rFonts w:ascii="Open Sans" w:eastAsia="Times New Roman" w:hAnsi="Open Sans" w:cs="Open Sans"/>
          <w:lang w:eastAsia="en-GB"/>
        </w:rPr>
        <w:t>L</w:t>
      </w:r>
      <w:r w:rsidRPr="00416A29" w:rsidR="00A34A2E">
        <w:rPr>
          <w:rFonts w:ascii="Open Sans" w:eastAsia="Times New Roman" w:hAnsi="Open Sans" w:cs="Open Sans"/>
          <w:lang w:eastAsia="en-GB"/>
        </w:rPr>
        <w:t xml:space="preserve">and Management </w:t>
      </w:r>
      <w:r w:rsidRPr="00416A29" w:rsidR="00B82405">
        <w:rPr>
          <w:rFonts w:ascii="Open Sans" w:eastAsia="Times New Roman" w:hAnsi="Open Sans" w:cs="Open Sans"/>
          <w:lang w:eastAsia="en-GB"/>
        </w:rPr>
        <w:t>S</w:t>
      </w:r>
      <w:r w:rsidRPr="00416A29" w:rsidR="00A34A2E">
        <w:rPr>
          <w:rFonts w:ascii="Open Sans" w:eastAsia="Times New Roman" w:hAnsi="Open Sans" w:cs="Open Sans"/>
          <w:lang w:eastAsia="en-GB"/>
        </w:rPr>
        <w:t>cheme</w:t>
      </w:r>
      <w:r w:rsidRPr="00416A29" w:rsidR="00393C5D">
        <w:rPr>
          <w:rFonts w:ascii="Open Sans" w:eastAsia="Times New Roman" w:hAnsi="Open Sans" w:cs="Open Sans"/>
          <w:lang w:eastAsia="en-GB"/>
        </w:rPr>
        <w:t xml:space="preserve">, </w:t>
      </w:r>
      <w:r w:rsidRPr="00416A29" w:rsidR="00AD326F">
        <w:rPr>
          <w:rFonts w:ascii="Open Sans" w:eastAsia="Times New Roman" w:hAnsi="Open Sans" w:cs="Open Sans"/>
          <w:lang w:eastAsia="en-GB"/>
        </w:rPr>
        <w:t xml:space="preserve">amongst others. </w:t>
      </w:r>
    </w:p>
    <w:p w:rsidR="00AD326F" w:rsidRPr="00416A29" w:rsidP="00CA2ED1" w14:paraId="1A1C972C" w14:textId="55E028DB">
      <w:pPr>
        <w:spacing w:after="0" w:line="240" w:lineRule="auto"/>
        <w:rPr>
          <w:rFonts w:ascii="Open Sans" w:eastAsia="Times New Roman" w:hAnsi="Open Sans" w:cs="Open Sans"/>
          <w:lang w:eastAsia="en-GB"/>
        </w:rPr>
      </w:pPr>
    </w:p>
    <w:p w:rsidR="00AD326F" w:rsidRPr="00416A29" w:rsidP="00AD326F" w14:paraId="138C4A67" w14:textId="14E5D7B2">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The deployment rate of GGRs will also depend on the availability of infrastructure. As part of the Government strategic thinking on infrastructure priorities, there must be a focus on areas such as addressing capacity constraints on the gas network to allow for increased injection of </w:t>
      </w:r>
      <w:r w:rsidRPr="00416A29" w:rsidR="00393C5D">
        <w:rPr>
          <w:rFonts w:ascii="Open Sans" w:eastAsia="Times New Roman" w:hAnsi="Open Sans" w:cs="Open Sans"/>
          <w:lang w:eastAsia="en-GB"/>
        </w:rPr>
        <w:t>green gasses</w:t>
      </w:r>
      <w:r w:rsidRPr="00416A29">
        <w:rPr>
          <w:rFonts w:ascii="Open Sans" w:eastAsia="Times New Roman" w:hAnsi="Open Sans" w:cs="Open Sans"/>
          <w:lang w:eastAsia="en-GB"/>
        </w:rPr>
        <w:t xml:space="preserve"> or identifying carbon storage regions within the</w:t>
      </w:r>
      <w:r w:rsidRPr="00416A29" w:rsidR="00393C5D">
        <w:rPr>
          <w:rFonts w:ascii="Open Sans" w:eastAsia="Times New Roman" w:hAnsi="Open Sans" w:cs="Open Sans"/>
          <w:lang w:eastAsia="en-GB"/>
        </w:rPr>
        <w:t xml:space="preserve"> </w:t>
      </w:r>
      <w:r w:rsidRPr="00416A29">
        <w:rPr>
          <w:rFonts w:ascii="Open Sans" w:eastAsia="Times New Roman" w:hAnsi="Open Sans" w:cs="Open Sans"/>
          <w:lang w:eastAsia="en-GB"/>
        </w:rPr>
        <w:t>UK</w:t>
      </w:r>
      <w:r w:rsidRPr="00416A29" w:rsidR="00393C5D">
        <w:rPr>
          <w:rFonts w:ascii="Open Sans" w:eastAsia="Times New Roman" w:hAnsi="Open Sans" w:cs="Open Sans"/>
          <w:lang w:eastAsia="en-GB"/>
        </w:rPr>
        <w:t>.</w:t>
      </w:r>
    </w:p>
    <w:p w:rsidR="00AD326F" w:rsidRPr="00416A29" w:rsidP="00AD326F" w14:paraId="71176A87" w14:textId="2A5EBD9F">
      <w:pPr>
        <w:spacing w:after="0" w:line="240" w:lineRule="auto"/>
        <w:rPr>
          <w:rFonts w:ascii="Open Sans" w:eastAsia="Times New Roman" w:hAnsi="Open Sans" w:cs="Open Sans"/>
          <w:lang w:eastAsia="en-GB"/>
        </w:rPr>
      </w:pPr>
    </w:p>
    <w:p w:rsidR="00393C5D" w:rsidRPr="00416A29" w:rsidP="00AD326F" w14:paraId="55351AE6" w14:textId="226092F4">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Regulatory barriers must also avoid being a factor. Early engagement with authorities like the Environment Agency will be crucial to ensure the development of a </w:t>
      </w:r>
      <w:r w:rsidRPr="00416A29">
        <w:rPr>
          <w:rFonts w:ascii="Open Sans" w:eastAsia="Times New Roman" w:hAnsi="Open Sans" w:cs="Open Sans"/>
          <w:lang w:eastAsia="en-GB"/>
        </w:rPr>
        <w:t>suitable</w:t>
      </w:r>
      <w:r w:rsidRPr="00416A29">
        <w:rPr>
          <w:rFonts w:ascii="Open Sans" w:eastAsia="Times New Roman" w:hAnsi="Open Sans" w:cs="Open Sans"/>
          <w:lang w:eastAsia="en-GB"/>
        </w:rPr>
        <w:t xml:space="preserve"> </w:t>
      </w:r>
      <w:r w:rsidRPr="00416A29">
        <w:rPr>
          <w:rFonts w:ascii="Open Sans" w:eastAsia="Times New Roman" w:hAnsi="Open Sans" w:cs="Open Sans"/>
          <w:lang w:eastAsia="en-GB"/>
        </w:rPr>
        <w:t>regulatory</w:t>
      </w:r>
      <w:r w:rsidRPr="00416A29">
        <w:rPr>
          <w:rFonts w:ascii="Open Sans" w:eastAsia="Times New Roman" w:hAnsi="Open Sans" w:cs="Open Sans"/>
          <w:lang w:eastAsia="en-GB"/>
        </w:rPr>
        <w:t xml:space="preserve"> environment that </w:t>
      </w:r>
      <w:r w:rsidRPr="00416A29">
        <w:rPr>
          <w:rFonts w:ascii="Open Sans" w:eastAsia="Times New Roman" w:hAnsi="Open Sans" w:cs="Open Sans"/>
          <w:lang w:eastAsia="en-GB"/>
        </w:rPr>
        <w:t>enables</w:t>
      </w:r>
      <w:r w:rsidRPr="00416A29">
        <w:rPr>
          <w:rFonts w:ascii="Open Sans" w:eastAsia="Times New Roman" w:hAnsi="Open Sans" w:cs="Open Sans"/>
          <w:lang w:eastAsia="en-GB"/>
        </w:rPr>
        <w:t xml:space="preserve"> the deployment of GGR technologies</w:t>
      </w:r>
      <w:r w:rsidRPr="00416A29">
        <w:rPr>
          <w:rFonts w:ascii="Open Sans" w:eastAsia="Times New Roman" w:hAnsi="Open Sans" w:cs="Open Sans"/>
          <w:lang w:eastAsia="en-GB"/>
        </w:rPr>
        <w:t>, and appropriate accounting for negative emissions, while</w:t>
      </w:r>
      <w:r w:rsidRPr="00416A29">
        <w:rPr>
          <w:rFonts w:ascii="Open Sans" w:eastAsia="Times New Roman" w:hAnsi="Open Sans" w:cs="Open Sans"/>
          <w:lang w:eastAsia="en-GB"/>
        </w:rPr>
        <w:t xml:space="preserve"> also ensuring mitigation </w:t>
      </w:r>
      <w:r w:rsidRPr="00416A29">
        <w:rPr>
          <w:rFonts w:ascii="Open Sans" w:eastAsia="Times New Roman" w:hAnsi="Open Sans" w:cs="Open Sans"/>
          <w:lang w:eastAsia="en-GB"/>
        </w:rPr>
        <w:t xml:space="preserve">of any environmental risks posed if GGRs are done badly. </w:t>
      </w:r>
    </w:p>
    <w:p w:rsidR="00393C5D" w:rsidRPr="00416A29" w:rsidP="00AD326F" w14:paraId="023B8B1C" w14:textId="77777777">
      <w:pPr>
        <w:spacing w:after="0" w:line="240" w:lineRule="auto"/>
        <w:rPr>
          <w:rFonts w:ascii="Open Sans" w:eastAsia="Times New Roman" w:hAnsi="Open Sans" w:cs="Open Sans"/>
          <w:lang w:eastAsia="en-GB"/>
        </w:rPr>
      </w:pPr>
    </w:p>
    <w:p w:rsidR="00AD326F" w:rsidRPr="00416A29" w:rsidP="00CA2ED1" w14:paraId="0F96F990" w14:textId="50908F5F">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Finally, in the immediate term, commercialisation is likely to be the biggest barrier to GGR deployment. Different GGR technologies are at different technology readiness levels, with many not yet being commercially viable. Dedicated bespoke support, to different GGR solutions, will be required to see the establishment of these technologies and sectors, building developer and investor confidence. This can be done to move towards more market based, and technology-neutral, delivery solutions in the long run. </w:t>
      </w:r>
      <w:r w:rsidRPr="00416A29">
        <w:rPr>
          <w:rFonts w:ascii="Open Sans" w:eastAsia="Times New Roman" w:hAnsi="Open Sans" w:cs="Open Sans"/>
          <w:lang w:eastAsia="en-GB"/>
        </w:rPr>
        <w:t xml:space="preserve"> </w:t>
      </w:r>
    </w:p>
    <w:p w:rsidR="002A0B6A" w:rsidRPr="00416A29" w:rsidP="00CA2ED1" w14:paraId="678C2B39" w14:textId="77777777">
      <w:pPr>
        <w:spacing w:after="0" w:line="240" w:lineRule="auto"/>
        <w:rPr>
          <w:rFonts w:ascii="Open Sans" w:eastAsia="Times New Roman" w:hAnsi="Open Sans" w:cs="Open Sans"/>
          <w:lang w:eastAsia="en-GB"/>
        </w:rPr>
      </w:pPr>
    </w:p>
    <w:p w:rsidR="008A1896" w:rsidRPr="00416A29" w:rsidP="00CA2ED1" w14:paraId="3AA68F30" w14:textId="77777777">
      <w:pPr>
        <w:spacing w:after="0" w:line="240" w:lineRule="auto"/>
        <w:rPr>
          <w:rFonts w:ascii="Open Sans" w:eastAsia="Times New Roman" w:hAnsi="Open Sans" w:cs="Open Sans"/>
          <w:b/>
          <w:bCs/>
          <w:lang w:eastAsia="en-GB"/>
        </w:rPr>
      </w:pPr>
    </w:p>
    <w:p w:rsidR="00CA2ED1" w:rsidRPr="00416A29" w:rsidP="00CA2ED1" w14:paraId="4074E324" w14:textId="37636D7E">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6. What principles would you like to see included in a framework for incentivisation of greenhouse gas removals?</w:t>
      </w:r>
    </w:p>
    <w:p w:rsidR="00B366D2" w:rsidRPr="00416A29" w:rsidP="00CA2ED1" w14:paraId="126058E6" w14:textId="77777777">
      <w:pPr>
        <w:spacing w:after="0" w:line="240" w:lineRule="auto"/>
        <w:rPr>
          <w:rFonts w:ascii="Open Sans" w:eastAsia="Times New Roman" w:hAnsi="Open Sans" w:cs="Open Sans"/>
          <w:lang w:eastAsia="en-GB"/>
        </w:rPr>
      </w:pPr>
    </w:p>
    <w:p w:rsidR="00D02C9D" w:rsidRPr="00416A29" w:rsidP="00CA2ED1" w14:paraId="7C6C3A62" w14:textId="4F6C8CBF">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The REA suggest the following principles should be considered to ensure confidence in a GGR framework: </w:t>
      </w:r>
    </w:p>
    <w:p w:rsidR="00D02C9D" w:rsidRPr="00416A29" w:rsidP="00CA2ED1" w14:paraId="0EF42ABC" w14:textId="77777777">
      <w:pPr>
        <w:spacing w:after="0" w:line="240" w:lineRule="auto"/>
        <w:rPr>
          <w:rFonts w:ascii="Open Sans" w:eastAsia="Times New Roman" w:hAnsi="Open Sans" w:cs="Open Sans"/>
          <w:lang w:eastAsia="en-GB"/>
        </w:rPr>
      </w:pPr>
    </w:p>
    <w:p w:rsidR="00526298" w:rsidRPr="00F06593" w:rsidP="002C2EA1" w14:paraId="7F6CA850" w14:textId="2FD42BF4">
      <w:pPr>
        <w:pStyle w:val="ListParagraph"/>
        <w:numPr>
          <w:ilvl w:val="0"/>
          <w:numId w:val="6"/>
        </w:numPr>
        <w:spacing w:after="0" w:line="240" w:lineRule="auto"/>
        <w:rPr>
          <w:rFonts w:ascii="Open Sans" w:eastAsia="Times New Roman" w:hAnsi="Open Sans" w:cs="Open Sans"/>
          <w:lang w:eastAsia="en-GB"/>
        </w:rPr>
      </w:pPr>
      <w:r w:rsidRPr="00F06593">
        <w:rPr>
          <w:rFonts w:ascii="Open Sans" w:eastAsia="Times New Roman" w:hAnsi="Open Sans" w:cs="Open Sans"/>
          <w:b/>
          <w:bCs/>
          <w:lang w:eastAsia="en-GB"/>
        </w:rPr>
        <w:t>Verification of removals</w:t>
      </w:r>
      <w:r w:rsidRPr="00F06593" w:rsidR="00D02C9D">
        <w:rPr>
          <w:rFonts w:ascii="Open Sans" w:eastAsia="Times New Roman" w:hAnsi="Open Sans" w:cs="Open Sans"/>
          <w:lang w:eastAsia="en-GB"/>
        </w:rPr>
        <w:t xml:space="preserve">: having a transparent and </w:t>
      </w:r>
      <w:r w:rsidRPr="00F06593">
        <w:rPr>
          <w:rFonts w:ascii="Open Sans" w:eastAsia="Times New Roman" w:hAnsi="Open Sans" w:cs="Open Sans"/>
          <w:lang w:eastAsia="en-GB"/>
        </w:rPr>
        <w:t>agreed method</w:t>
      </w:r>
      <w:r w:rsidRPr="00F06593" w:rsidR="00D02C9D">
        <w:rPr>
          <w:rFonts w:ascii="Open Sans" w:eastAsia="Times New Roman" w:hAnsi="Open Sans" w:cs="Open Sans"/>
          <w:lang w:eastAsia="en-GB"/>
        </w:rPr>
        <w:t xml:space="preserve"> of accounting for GHG </w:t>
      </w:r>
      <w:r w:rsidRPr="00F06593">
        <w:rPr>
          <w:rFonts w:ascii="Open Sans" w:eastAsia="Times New Roman" w:hAnsi="Open Sans" w:cs="Open Sans"/>
          <w:lang w:eastAsia="en-GB"/>
        </w:rPr>
        <w:t>emissions is essential. Much of this work can be based on existing accounting methods in current support schemes</w:t>
      </w:r>
      <w:r w:rsidRPr="00F06593" w:rsidR="00F06593">
        <w:rPr>
          <w:rFonts w:ascii="Open Sans" w:eastAsia="Times New Roman" w:hAnsi="Open Sans" w:cs="Open Sans"/>
          <w:lang w:eastAsia="en-GB"/>
        </w:rPr>
        <w:t>.</w:t>
      </w:r>
      <w:r w:rsidRPr="00F06593">
        <w:rPr>
          <w:rFonts w:ascii="Open Sans" w:eastAsia="Times New Roman" w:hAnsi="Open Sans" w:cs="Open Sans"/>
          <w:lang w:eastAsia="en-GB"/>
        </w:rPr>
        <w:t xml:space="preserve"> </w:t>
      </w:r>
      <w:r w:rsidRPr="00F06593" w:rsidR="00F06593">
        <w:rPr>
          <w:rFonts w:ascii="Open Sans" w:eastAsia="Times New Roman" w:hAnsi="Open Sans" w:cs="Open Sans"/>
          <w:lang w:eastAsia="en-GB"/>
        </w:rPr>
        <w:t>For example</w:t>
      </w:r>
      <w:r w:rsidR="00F06593">
        <w:rPr>
          <w:rFonts w:ascii="Open Sans" w:eastAsia="Times New Roman" w:hAnsi="Open Sans" w:cs="Open Sans"/>
          <w:lang w:eastAsia="en-GB"/>
        </w:rPr>
        <w:t xml:space="preserve">. </w:t>
      </w:r>
      <w:r w:rsidRPr="00F06593" w:rsidR="00F06593">
        <w:rPr>
          <w:rFonts w:ascii="Open Sans" w:eastAsia="Times New Roman" w:hAnsi="Open Sans" w:cs="Open Sans"/>
          <w:lang w:eastAsia="en-GB"/>
        </w:rPr>
        <w:t xml:space="preserve">The </w:t>
      </w:r>
      <w:r w:rsidR="00F06593">
        <w:rPr>
          <w:rFonts w:ascii="Open Sans" w:eastAsia="Times New Roman" w:hAnsi="Open Sans" w:cs="Open Sans"/>
          <w:lang w:eastAsia="en-GB"/>
        </w:rPr>
        <w:t xml:space="preserve">Renewable Energy Directive (RED) </w:t>
      </w:r>
      <w:r w:rsidRPr="00F06593" w:rsidR="00F06593">
        <w:rPr>
          <w:rFonts w:ascii="Open Sans" w:eastAsia="Times New Roman" w:hAnsi="Open Sans" w:cs="Open Sans"/>
          <w:lang w:eastAsia="en-GB"/>
        </w:rPr>
        <w:t xml:space="preserve">methodology used to assess GHG emissions from transport fuels under the RTFO </w:t>
      </w:r>
      <w:r w:rsidR="00F06593">
        <w:rPr>
          <w:rFonts w:ascii="Open Sans" w:eastAsia="Times New Roman" w:hAnsi="Open Sans" w:cs="Open Sans"/>
          <w:lang w:eastAsia="en-GB"/>
        </w:rPr>
        <w:t xml:space="preserve">could be </w:t>
      </w:r>
      <w:r w:rsidRPr="00F06593" w:rsidR="00F06593">
        <w:rPr>
          <w:rFonts w:ascii="Open Sans" w:eastAsia="Times New Roman" w:hAnsi="Open Sans" w:cs="Open Sans"/>
          <w:lang w:eastAsia="en-GB"/>
        </w:rPr>
        <w:t>adapted to assess negative emissions</w:t>
      </w:r>
      <w:r w:rsidR="00F06593">
        <w:rPr>
          <w:rFonts w:ascii="Open Sans" w:eastAsia="Times New Roman" w:hAnsi="Open Sans" w:cs="Open Sans"/>
          <w:lang w:eastAsia="en-GB"/>
        </w:rPr>
        <w:t xml:space="preserve">. Further accounting methods are also found within the </w:t>
      </w:r>
      <w:r w:rsidRPr="00F06593">
        <w:rPr>
          <w:rFonts w:ascii="Open Sans" w:eastAsia="Times New Roman" w:hAnsi="Open Sans" w:cs="Open Sans"/>
          <w:lang w:eastAsia="en-GB"/>
        </w:rPr>
        <w:t xml:space="preserve">renewable heat incentive or contract for difference. It is recognised that different GGR approaches between engineered or nature-based solutions may require different approaches, but these should be comparable. </w:t>
      </w:r>
    </w:p>
    <w:p w:rsidR="00621337" w:rsidRPr="00416A29" w:rsidP="005B0D53" w14:paraId="39B50B32" w14:textId="4E42F1A5">
      <w:pPr>
        <w:pStyle w:val="ListParagraph"/>
        <w:numPr>
          <w:ilvl w:val="0"/>
          <w:numId w:val="6"/>
        </w:numPr>
        <w:spacing w:after="0" w:line="240" w:lineRule="auto"/>
        <w:rPr>
          <w:rFonts w:ascii="Open Sans" w:eastAsia="Times New Roman" w:hAnsi="Open Sans" w:cs="Open Sans"/>
          <w:lang w:eastAsia="en-GB"/>
        </w:rPr>
      </w:pPr>
      <w:r w:rsidRPr="00416A29">
        <w:rPr>
          <w:rFonts w:ascii="Open Sans" w:eastAsia="Times New Roman" w:hAnsi="Open Sans" w:cs="Open Sans"/>
          <w:b/>
          <w:bCs/>
          <w:lang w:eastAsia="en-GB"/>
        </w:rPr>
        <w:t>Sustainability governance</w:t>
      </w:r>
      <w:r w:rsidRPr="00416A29" w:rsidR="00526298">
        <w:rPr>
          <w:rFonts w:ascii="Open Sans" w:eastAsia="Times New Roman" w:hAnsi="Open Sans" w:cs="Open Sans"/>
          <w:lang w:eastAsia="en-GB"/>
        </w:rPr>
        <w:t xml:space="preserve">: the UK already has world-leading sustainability governance arrangements for bioenergy. These need to be maintained and considered in light of other GGR solutions. </w:t>
      </w:r>
    </w:p>
    <w:p w:rsidR="00621337" w:rsidRPr="00416A29" w:rsidP="005B0D53" w14:paraId="40A9F940" w14:textId="1D7C97D4">
      <w:pPr>
        <w:pStyle w:val="ListParagraph"/>
        <w:numPr>
          <w:ilvl w:val="0"/>
          <w:numId w:val="6"/>
        </w:numPr>
        <w:spacing w:after="0" w:line="240" w:lineRule="auto"/>
        <w:rPr>
          <w:rFonts w:ascii="Open Sans" w:eastAsia="Times New Roman" w:hAnsi="Open Sans" w:cs="Open Sans"/>
          <w:lang w:eastAsia="en-GB"/>
        </w:rPr>
      </w:pPr>
      <w:r w:rsidRPr="00416A29">
        <w:rPr>
          <w:rFonts w:ascii="Open Sans" w:eastAsia="Times New Roman" w:hAnsi="Open Sans" w:cs="Open Sans"/>
          <w:b/>
          <w:bCs/>
          <w:lang w:eastAsia="en-GB"/>
        </w:rPr>
        <w:t>Investor confidence</w:t>
      </w:r>
      <w:r w:rsidRPr="00416A29" w:rsidR="007F0A72">
        <w:rPr>
          <w:rFonts w:ascii="Open Sans" w:eastAsia="Times New Roman" w:hAnsi="Open Sans" w:cs="Open Sans"/>
          <w:b/>
          <w:bCs/>
          <w:lang w:eastAsia="en-GB"/>
        </w:rPr>
        <w:t>:</w:t>
      </w:r>
      <w:r w:rsidRPr="00416A29" w:rsidR="007F0A72">
        <w:rPr>
          <w:rFonts w:ascii="Open Sans" w:eastAsia="Times New Roman" w:hAnsi="Open Sans" w:cs="Open Sans"/>
          <w:lang w:eastAsia="en-GB"/>
        </w:rPr>
        <w:t xml:space="preserve"> new market frameworks must </w:t>
      </w:r>
      <w:r w:rsidRPr="00416A29" w:rsidR="00834BB7">
        <w:rPr>
          <w:rFonts w:ascii="Open Sans" w:eastAsia="Times New Roman" w:hAnsi="Open Sans" w:cs="Open Sans"/>
          <w:lang w:eastAsia="en-GB"/>
        </w:rPr>
        <w:t xml:space="preserve">be suitably bankable </w:t>
      </w:r>
      <w:r w:rsidRPr="00416A29" w:rsidR="007F0A72">
        <w:rPr>
          <w:rFonts w:ascii="Open Sans" w:eastAsia="Times New Roman" w:hAnsi="Open Sans" w:cs="Open Sans"/>
          <w:lang w:eastAsia="en-GB"/>
        </w:rPr>
        <w:t xml:space="preserve">for </w:t>
      </w:r>
      <w:r w:rsidRPr="00416A29" w:rsidR="00A44981">
        <w:rPr>
          <w:rFonts w:ascii="Open Sans" w:eastAsia="Times New Roman" w:hAnsi="Open Sans" w:cs="Open Sans"/>
          <w:lang w:eastAsia="en-GB"/>
        </w:rPr>
        <w:t>investors and</w:t>
      </w:r>
      <w:r w:rsidRPr="00416A29" w:rsidR="00834BB7">
        <w:rPr>
          <w:rFonts w:ascii="Open Sans" w:eastAsia="Times New Roman" w:hAnsi="Open Sans" w:cs="Open Sans"/>
          <w:lang w:eastAsia="en-GB"/>
        </w:rPr>
        <w:t xml:space="preserve"> consider </w:t>
      </w:r>
      <w:r w:rsidRPr="00416A29" w:rsidR="00A44981">
        <w:rPr>
          <w:rFonts w:ascii="Open Sans" w:eastAsia="Times New Roman" w:hAnsi="Open Sans" w:cs="Open Sans"/>
          <w:lang w:eastAsia="en-GB"/>
        </w:rPr>
        <w:t xml:space="preserve">the </w:t>
      </w:r>
      <w:r w:rsidRPr="00416A29" w:rsidR="007F0A72">
        <w:rPr>
          <w:rFonts w:ascii="Open Sans" w:eastAsia="Times New Roman" w:hAnsi="Open Sans" w:cs="Open Sans"/>
          <w:lang w:eastAsia="en-GB"/>
        </w:rPr>
        <w:t xml:space="preserve">likely higher risk profiles that early investors may consider they are taking on. In conjunction, existing investments </w:t>
      </w:r>
      <w:r w:rsidRPr="00416A29" w:rsidR="00834BB7">
        <w:rPr>
          <w:rFonts w:ascii="Open Sans" w:eastAsia="Times New Roman" w:hAnsi="Open Sans" w:cs="Open Sans"/>
          <w:lang w:eastAsia="en-GB"/>
        </w:rPr>
        <w:t xml:space="preserve">within existing sectors, such as biomass power or anaerobic digestion, must not be undermined </w:t>
      </w:r>
      <w:r w:rsidRPr="00416A29" w:rsidR="00A01D19">
        <w:rPr>
          <w:rFonts w:ascii="Open Sans" w:eastAsia="Times New Roman" w:hAnsi="Open Sans" w:cs="Open Sans"/>
          <w:lang w:eastAsia="en-GB"/>
        </w:rPr>
        <w:t>to</w:t>
      </w:r>
      <w:r w:rsidRPr="00416A29" w:rsidR="00834BB7">
        <w:rPr>
          <w:rFonts w:ascii="Open Sans" w:eastAsia="Times New Roman" w:hAnsi="Open Sans" w:cs="Open Sans"/>
          <w:lang w:eastAsia="en-GB"/>
        </w:rPr>
        <w:t xml:space="preserve"> maintain investor confidence in </w:t>
      </w:r>
      <w:r w:rsidRPr="00416A29" w:rsidR="00A44981">
        <w:rPr>
          <w:rFonts w:ascii="Open Sans" w:eastAsia="Times New Roman" w:hAnsi="Open Sans" w:cs="Open Sans"/>
          <w:lang w:eastAsia="en-GB"/>
        </w:rPr>
        <w:t>the existing</w:t>
      </w:r>
      <w:r w:rsidRPr="00416A29" w:rsidR="00834BB7">
        <w:rPr>
          <w:rFonts w:ascii="Open Sans" w:eastAsia="Times New Roman" w:hAnsi="Open Sans" w:cs="Open Sans"/>
          <w:lang w:eastAsia="en-GB"/>
        </w:rPr>
        <w:t xml:space="preserve"> policy.  </w:t>
      </w:r>
    </w:p>
    <w:p w:rsidR="00D02C9D" w:rsidRPr="00416A29" w:rsidP="005B0D53" w14:paraId="56ACCA34" w14:textId="38583C5C">
      <w:pPr>
        <w:pStyle w:val="ListParagraph"/>
        <w:numPr>
          <w:ilvl w:val="0"/>
          <w:numId w:val="6"/>
        </w:numPr>
        <w:spacing w:after="0" w:line="240" w:lineRule="auto"/>
        <w:rPr>
          <w:rFonts w:ascii="Open Sans" w:eastAsia="Times New Roman" w:hAnsi="Open Sans" w:cs="Open Sans"/>
          <w:lang w:eastAsia="en-GB"/>
        </w:rPr>
      </w:pPr>
      <w:r w:rsidRPr="00416A29">
        <w:rPr>
          <w:rFonts w:ascii="Open Sans" w:eastAsia="Times New Roman" w:hAnsi="Open Sans" w:cs="Open Sans"/>
          <w:b/>
          <w:bCs/>
          <w:lang w:eastAsia="en-GB"/>
        </w:rPr>
        <w:t xml:space="preserve">Fair </w:t>
      </w:r>
      <w:r w:rsidRPr="00416A29" w:rsidR="00A01D19">
        <w:rPr>
          <w:rFonts w:ascii="Open Sans" w:eastAsia="Times New Roman" w:hAnsi="Open Sans" w:cs="Open Sans"/>
          <w:b/>
          <w:bCs/>
          <w:lang w:eastAsia="en-GB"/>
        </w:rPr>
        <w:t>c</w:t>
      </w:r>
      <w:r w:rsidRPr="00416A29">
        <w:rPr>
          <w:rFonts w:ascii="Open Sans" w:eastAsia="Times New Roman" w:hAnsi="Open Sans" w:cs="Open Sans"/>
          <w:b/>
          <w:bCs/>
          <w:lang w:eastAsia="en-GB"/>
        </w:rPr>
        <w:t>ost</w:t>
      </w:r>
      <w:r w:rsidRPr="00416A29" w:rsidR="00A01D19">
        <w:rPr>
          <w:rFonts w:ascii="Open Sans" w:eastAsia="Times New Roman" w:hAnsi="Open Sans" w:cs="Open Sans"/>
          <w:b/>
          <w:bCs/>
          <w:lang w:eastAsia="en-GB"/>
        </w:rPr>
        <w:t>-s</w:t>
      </w:r>
      <w:r w:rsidRPr="00416A29">
        <w:rPr>
          <w:rFonts w:ascii="Open Sans" w:eastAsia="Times New Roman" w:hAnsi="Open Sans" w:cs="Open Sans"/>
          <w:b/>
          <w:bCs/>
          <w:lang w:eastAsia="en-GB"/>
        </w:rPr>
        <w:t>haring</w:t>
      </w:r>
      <w:r w:rsidRPr="00416A29" w:rsidR="00526298">
        <w:rPr>
          <w:rFonts w:ascii="Open Sans" w:eastAsia="Times New Roman" w:hAnsi="Open Sans" w:cs="Open Sans"/>
          <w:b/>
          <w:bCs/>
          <w:lang w:eastAsia="en-GB"/>
        </w:rPr>
        <w:t>:</w:t>
      </w:r>
      <w:r w:rsidRPr="00416A29" w:rsidR="00526298">
        <w:rPr>
          <w:rFonts w:ascii="Open Sans" w:eastAsia="Times New Roman" w:hAnsi="Open Sans" w:cs="Open Sans"/>
          <w:lang w:eastAsia="en-GB"/>
        </w:rPr>
        <w:t xml:space="preserve"> there are expected to be some significant costs involved in the establishment of the GGR sectors and different technologies. Ensuring both costs and benefits of the technologies are shared across the industrial and domestic sectors will be important. This is combined with ensuring value for money, with a market-based mechanism</w:t>
      </w:r>
      <w:r w:rsidRPr="00416A29" w:rsidR="00A44981">
        <w:rPr>
          <w:rFonts w:ascii="Open Sans" w:eastAsia="Times New Roman" w:hAnsi="Open Sans" w:cs="Open Sans"/>
          <w:lang w:eastAsia="en-GB"/>
        </w:rPr>
        <w:t xml:space="preserve">, in the longer term, </w:t>
      </w:r>
      <w:r w:rsidRPr="00416A29" w:rsidR="00526298">
        <w:rPr>
          <w:rFonts w:ascii="Open Sans" w:eastAsia="Times New Roman" w:hAnsi="Open Sans" w:cs="Open Sans"/>
          <w:lang w:eastAsia="en-GB"/>
        </w:rPr>
        <w:t xml:space="preserve">being used to ensure costs are </w:t>
      </w:r>
      <w:r w:rsidRPr="00416A29" w:rsidR="00A44981">
        <w:rPr>
          <w:rFonts w:ascii="Open Sans" w:eastAsia="Times New Roman" w:hAnsi="Open Sans" w:cs="Open Sans"/>
          <w:lang w:eastAsia="en-GB"/>
        </w:rPr>
        <w:t>encouraged to decrease</w:t>
      </w:r>
      <w:r w:rsidRPr="00416A29" w:rsidR="00526298">
        <w:rPr>
          <w:rFonts w:ascii="Open Sans" w:eastAsia="Times New Roman" w:hAnsi="Open Sans" w:cs="Open Sans"/>
          <w:lang w:eastAsia="en-GB"/>
        </w:rPr>
        <w:t xml:space="preserve">. </w:t>
      </w:r>
    </w:p>
    <w:p w:rsidR="00D02C9D" w:rsidRPr="00416A29" w:rsidP="005B0D53" w14:paraId="7C39F4EC" w14:textId="47E76604">
      <w:pPr>
        <w:pStyle w:val="ListParagraph"/>
        <w:numPr>
          <w:ilvl w:val="0"/>
          <w:numId w:val="6"/>
        </w:numPr>
        <w:spacing w:after="0" w:line="240" w:lineRule="auto"/>
        <w:rPr>
          <w:rFonts w:ascii="Open Sans" w:eastAsia="Times New Roman" w:hAnsi="Open Sans" w:cs="Open Sans"/>
          <w:lang w:eastAsia="en-GB"/>
        </w:rPr>
      </w:pPr>
      <w:r w:rsidRPr="00416A29">
        <w:rPr>
          <w:rFonts w:ascii="Open Sans" w:eastAsia="Times New Roman" w:hAnsi="Open Sans" w:cs="Open Sans"/>
          <w:b/>
          <w:bCs/>
          <w:lang w:eastAsia="en-GB"/>
        </w:rPr>
        <w:t>Permanence and scalability</w:t>
      </w:r>
      <w:r w:rsidRPr="00416A29" w:rsidR="00834BB7">
        <w:rPr>
          <w:rFonts w:ascii="Open Sans" w:eastAsia="Times New Roman" w:hAnsi="Open Sans" w:cs="Open Sans"/>
          <w:b/>
          <w:bCs/>
          <w:lang w:eastAsia="en-GB"/>
        </w:rPr>
        <w:t>:</w:t>
      </w:r>
      <w:r w:rsidRPr="00416A29" w:rsidR="00834BB7">
        <w:rPr>
          <w:rFonts w:ascii="Open Sans" w:eastAsia="Times New Roman" w:hAnsi="Open Sans" w:cs="Open Sans"/>
          <w:lang w:eastAsia="en-GB"/>
        </w:rPr>
        <w:t xml:space="preserve"> </w:t>
      </w:r>
      <w:r w:rsidRPr="00416A29" w:rsidR="00697F83">
        <w:rPr>
          <w:rFonts w:ascii="Open Sans" w:eastAsia="Times New Roman" w:hAnsi="Open Sans" w:cs="Open Sans"/>
          <w:lang w:eastAsia="en-GB"/>
        </w:rPr>
        <w:t>frameworks will need to provide long term stable support, likely over the lifetime of the plant. In some cases, h</w:t>
      </w:r>
      <w:r w:rsidRPr="00416A29" w:rsidR="00697F83">
        <w:rPr>
          <w:rFonts w:ascii="Open Sans" w:hAnsi="Open Sans" w:cs="Open Sans"/>
          <w:color w:val="010101"/>
        </w:rPr>
        <w:t>igher support in the early years</w:t>
      </w:r>
      <w:r w:rsidRPr="00416A29" w:rsidR="009014E4">
        <w:rPr>
          <w:rFonts w:ascii="Open Sans" w:hAnsi="Open Sans" w:cs="Open Sans"/>
          <w:color w:val="010101"/>
        </w:rPr>
        <w:t xml:space="preserve"> will be needed</w:t>
      </w:r>
      <w:r w:rsidRPr="00416A29" w:rsidR="00697F83">
        <w:rPr>
          <w:rFonts w:ascii="Open Sans" w:hAnsi="Open Sans" w:cs="Open Sans"/>
          <w:color w:val="010101"/>
        </w:rPr>
        <w:t xml:space="preserve"> to cover the cost of capital</w:t>
      </w:r>
      <w:r w:rsidRPr="00416A29" w:rsidR="009014E4">
        <w:rPr>
          <w:rFonts w:ascii="Open Sans" w:hAnsi="Open Sans" w:cs="Open Sans"/>
          <w:color w:val="010101"/>
        </w:rPr>
        <w:t xml:space="preserve">, and ongoing revenue support required </w:t>
      </w:r>
      <w:r w:rsidRPr="00416A29" w:rsidR="00697F83">
        <w:rPr>
          <w:rFonts w:ascii="Open Sans" w:hAnsi="Open Sans" w:cs="Open Sans"/>
          <w:color w:val="010101"/>
        </w:rPr>
        <w:t>to cover the marginal costs of production</w:t>
      </w:r>
      <w:r w:rsidRPr="00416A29" w:rsidR="009014E4">
        <w:rPr>
          <w:rFonts w:ascii="Open Sans" w:hAnsi="Open Sans" w:cs="Open Sans"/>
          <w:color w:val="010101"/>
        </w:rPr>
        <w:t xml:space="preserve"> in the longer term</w:t>
      </w:r>
      <w:r w:rsidRPr="00416A29" w:rsidR="00697F83">
        <w:rPr>
          <w:rFonts w:ascii="Open Sans" w:hAnsi="Open Sans" w:cs="Open Sans"/>
          <w:color w:val="010101"/>
        </w:rPr>
        <w:t xml:space="preserve">. </w:t>
      </w:r>
      <w:r w:rsidRPr="00416A29" w:rsidR="009014E4">
        <w:rPr>
          <w:rFonts w:ascii="Open Sans" w:hAnsi="Open Sans" w:cs="Open Sans"/>
          <w:color w:val="010101"/>
        </w:rPr>
        <w:t xml:space="preserve">A combined approach is therefore needed, with a carbon price that rewards negative emissions, along with a CfD like structure to see projects deployed and allow technologies to mature and lead to scalability.  </w:t>
      </w:r>
    </w:p>
    <w:p w:rsidR="00D02C9D" w:rsidRPr="00416A29" w:rsidP="005B0D53" w14:paraId="167AA69B" w14:textId="532B8703">
      <w:pPr>
        <w:pStyle w:val="ListParagraph"/>
        <w:numPr>
          <w:ilvl w:val="0"/>
          <w:numId w:val="6"/>
        </w:numPr>
        <w:spacing w:after="0" w:line="240" w:lineRule="auto"/>
        <w:rPr>
          <w:rFonts w:ascii="Open Sans" w:eastAsia="Times New Roman" w:hAnsi="Open Sans" w:cs="Open Sans"/>
          <w:lang w:eastAsia="en-GB"/>
        </w:rPr>
      </w:pPr>
      <w:r w:rsidRPr="00416A29">
        <w:rPr>
          <w:rFonts w:ascii="Open Sans" w:eastAsia="Times New Roman" w:hAnsi="Open Sans" w:cs="Open Sans"/>
          <w:b/>
          <w:bCs/>
          <w:lang w:eastAsia="en-GB"/>
        </w:rPr>
        <w:t>Moving towards a market-based approach</w:t>
      </w:r>
      <w:r w:rsidRPr="00416A29" w:rsidR="00A01D19">
        <w:rPr>
          <w:rFonts w:ascii="Open Sans" w:eastAsia="Times New Roman" w:hAnsi="Open Sans" w:cs="Open Sans"/>
          <w:b/>
          <w:bCs/>
          <w:lang w:eastAsia="en-GB"/>
        </w:rPr>
        <w:t>:</w:t>
      </w:r>
      <w:r w:rsidRPr="00416A29" w:rsidR="00A01D19">
        <w:rPr>
          <w:rFonts w:ascii="Open Sans" w:eastAsia="Times New Roman" w:hAnsi="Open Sans" w:cs="Open Sans"/>
          <w:lang w:eastAsia="en-GB"/>
        </w:rPr>
        <w:t xml:space="preserve"> in the immediate term bespoke support for different GGR solutions will likely be required to establish sector, however, </w:t>
      </w:r>
      <w:r w:rsidRPr="00416A29" w:rsidR="009D36A4">
        <w:rPr>
          <w:rFonts w:ascii="Open Sans" w:eastAsia="Times New Roman" w:hAnsi="Open Sans" w:cs="Open Sans"/>
          <w:lang w:eastAsia="en-GB"/>
        </w:rPr>
        <w:t>longer-term</w:t>
      </w:r>
      <w:r w:rsidRPr="00416A29" w:rsidR="00A01D19">
        <w:rPr>
          <w:rFonts w:ascii="Open Sans" w:eastAsia="Times New Roman" w:hAnsi="Open Sans" w:cs="Open Sans"/>
          <w:lang w:eastAsia="en-GB"/>
        </w:rPr>
        <w:t xml:space="preserve"> ambitions should be to see the establishment of </w:t>
      </w:r>
      <w:r w:rsidRPr="00416A29" w:rsidR="00A01D19">
        <w:rPr>
          <w:rFonts w:ascii="Open Sans" w:eastAsia="Times New Roman" w:hAnsi="Open Sans" w:cs="Open Sans"/>
          <w:lang w:eastAsia="en-GB"/>
        </w:rPr>
        <w:t>a market-based</w:t>
      </w:r>
      <w:r w:rsidRPr="00416A29" w:rsidR="00A01D19">
        <w:rPr>
          <w:rFonts w:ascii="Open Sans" w:eastAsia="Times New Roman" w:hAnsi="Open Sans" w:cs="Open Sans"/>
          <w:lang w:eastAsia="en-GB"/>
        </w:rPr>
        <w:t xml:space="preserve"> mechanism that suitably rewards negative emissions. </w:t>
      </w:r>
    </w:p>
    <w:p w:rsidR="00CA2ED1" w:rsidRPr="00416A29" w:rsidP="00CA2ED1" w14:paraId="5F3AAF06" w14:textId="77777777">
      <w:pPr>
        <w:spacing w:after="0" w:line="240" w:lineRule="auto"/>
        <w:rPr>
          <w:rFonts w:ascii="Open Sans" w:eastAsia="Times New Roman" w:hAnsi="Open Sans" w:cs="Open Sans"/>
          <w:b/>
          <w:bCs/>
          <w:i/>
          <w:iCs/>
          <w:lang w:eastAsia="en-GB"/>
        </w:rPr>
      </w:pPr>
    </w:p>
    <w:p w:rsidR="00CA2ED1" w:rsidRPr="00416A29" w:rsidP="00CA2ED1" w14:paraId="695955F0" w14:textId="0AC60D30">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xml:space="preserve">7.What specific policy mechanisms could the government consider </w:t>
      </w:r>
      <w:r w:rsidRPr="00416A29">
        <w:rPr>
          <w:rFonts w:ascii="Open Sans" w:eastAsia="Times New Roman" w:hAnsi="Open Sans" w:cs="Open Sans"/>
          <w:b/>
          <w:bCs/>
          <w:i/>
          <w:iCs/>
          <w:lang w:eastAsia="en-GB"/>
        </w:rPr>
        <w:t>to incentivise</w:t>
      </w:r>
      <w:r w:rsidRPr="00416A29">
        <w:rPr>
          <w:rFonts w:ascii="Open Sans" w:eastAsia="Times New Roman" w:hAnsi="Open Sans" w:cs="Open Sans"/>
          <w:b/>
          <w:bCs/>
          <w:i/>
          <w:iCs/>
          <w:lang w:eastAsia="en-GB"/>
        </w:rPr>
        <w:t xml:space="preserve"> (a) innovation and (b) initial deployment? Could any of the policy options outlined above be designed in a way that stimulates investment in innovation, including pilots and demonstrators for less mature technologies?</w:t>
      </w:r>
    </w:p>
    <w:p w:rsidR="00621337" w:rsidRPr="00416A29" w:rsidP="00CA2ED1" w14:paraId="6AF48E7A" w14:textId="4A3FF5FA">
      <w:pPr>
        <w:spacing w:after="0" w:line="240" w:lineRule="auto"/>
        <w:rPr>
          <w:rFonts w:ascii="Open Sans" w:eastAsia="Times New Roman" w:hAnsi="Open Sans" w:cs="Open Sans"/>
          <w:i/>
          <w:iCs/>
          <w:lang w:eastAsia="en-GB"/>
        </w:rPr>
      </w:pPr>
    </w:p>
    <w:p w:rsidR="0008399D" w:rsidRPr="00416A29" w:rsidP="00CA2ED1" w14:paraId="39B233B9" w14:textId="0C565AEE">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We generally agree with the policy leavers i</w:t>
      </w:r>
      <w:r w:rsidRPr="00416A29" w:rsidR="000F2909">
        <w:rPr>
          <w:rFonts w:ascii="Open Sans" w:eastAsia="Times New Roman" w:hAnsi="Open Sans" w:cs="Open Sans"/>
          <w:lang w:eastAsia="en-GB"/>
        </w:rPr>
        <w:t>d</w:t>
      </w:r>
      <w:r w:rsidRPr="00416A29">
        <w:rPr>
          <w:rFonts w:ascii="Open Sans" w:eastAsia="Times New Roman" w:hAnsi="Open Sans" w:cs="Open Sans"/>
          <w:lang w:eastAsia="en-GB"/>
        </w:rPr>
        <w:t>entified in figure two</w:t>
      </w:r>
      <w:r w:rsidRPr="00416A29" w:rsidR="000F2909">
        <w:rPr>
          <w:rFonts w:ascii="Open Sans" w:eastAsia="Times New Roman" w:hAnsi="Open Sans" w:cs="Open Sans"/>
          <w:lang w:eastAsia="en-GB"/>
        </w:rPr>
        <w:t xml:space="preserve">. The nature of different sectors will need to be considered to ensure the appropriate </w:t>
      </w:r>
      <w:r w:rsidRPr="00416A29">
        <w:rPr>
          <w:rFonts w:ascii="Open Sans" w:eastAsia="Times New Roman" w:hAnsi="Open Sans" w:cs="Open Sans"/>
          <w:lang w:eastAsia="en-GB"/>
        </w:rPr>
        <w:t xml:space="preserve">use of these leavers </w:t>
      </w:r>
      <w:r w:rsidRPr="00416A29" w:rsidR="00293524">
        <w:rPr>
          <w:rFonts w:ascii="Open Sans" w:eastAsia="Times New Roman" w:hAnsi="Open Sans" w:cs="Open Sans"/>
          <w:lang w:eastAsia="en-GB"/>
        </w:rPr>
        <w:t>to</w:t>
      </w:r>
      <w:r w:rsidRPr="00416A29">
        <w:rPr>
          <w:rFonts w:ascii="Open Sans" w:eastAsia="Times New Roman" w:hAnsi="Open Sans" w:cs="Open Sans"/>
          <w:lang w:eastAsia="en-GB"/>
        </w:rPr>
        <w:t xml:space="preserve"> realise the </w:t>
      </w:r>
      <w:r w:rsidRPr="00416A29">
        <w:rPr>
          <w:rFonts w:ascii="Open Sans" w:eastAsia="Times New Roman" w:hAnsi="Open Sans" w:cs="Open Sans"/>
          <w:lang w:eastAsia="en-GB"/>
        </w:rPr>
        <w:t xml:space="preserve">deployment of different GGR sectors. </w:t>
      </w:r>
      <w:r w:rsidRPr="00416A29" w:rsidR="000F2909">
        <w:rPr>
          <w:rFonts w:ascii="Open Sans" w:eastAsia="Times New Roman" w:hAnsi="Open Sans" w:cs="Open Sans"/>
          <w:lang w:eastAsia="en-GB"/>
        </w:rPr>
        <w:t xml:space="preserve"> For example, regulatory methods might well have </w:t>
      </w:r>
      <w:r w:rsidRPr="00416A29" w:rsidR="00293524">
        <w:rPr>
          <w:rFonts w:ascii="Open Sans" w:eastAsia="Times New Roman" w:hAnsi="Open Sans" w:cs="Open Sans"/>
          <w:lang w:eastAsia="en-GB"/>
        </w:rPr>
        <w:t xml:space="preserve">a </w:t>
      </w:r>
      <w:r w:rsidRPr="00416A29" w:rsidR="000F2909">
        <w:rPr>
          <w:rFonts w:ascii="Open Sans" w:eastAsia="Times New Roman" w:hAnsi="Open Sans" w:cs="Open Sans"/>
          <w:lang w:eastAsia="en-GB"/>
        </w:rPr>
        <w:t xml:space="preserve">strong role to play in </w:t>
      </w:r>
      <w:r w:rsidRPr="00416A29" w:rsidR="00A16338">
        <w:rPr>
          <w:rFonts w:ascii="Open Sans" w:eastAsia="Times New Roman" w:hAnsi="Open Sans" w:cs="Open Sans"/>
          <w:lang w:eastAsia="en-GB"/>
        </w:rPr>
        <w:t>nature-based</w:t>
      </w:r>
      <w:r w:rsidRPr="00416A29" w:rsidR="000F2909">
        <w:rPr>
          <w:rFonts w:ascii="Open Sans" w:eastAsia="Times New Roman" w:hAnsi="Open Sans" w:cs="Open Sans"/>
          <w:lang w:eastAsia="en-GB"/>
        </w:rPr>
        <w:t xml:space="preserve"> solutions, </w:t>
      </w:r>
      <w:r w:rsidRPr="00416A29">
        <w:rPr>
          <w:rFonts w:ascii="Open Sans" w:eastAsia="Times New Roman" w:hAnsi="Open Sans" w:cs="Open Sans"/>
          <w:lang w:eastAsia="en-GB"/>
        </w:rPr>
        <w:t>determining environmental land management</w:t>
      </w:r>
      <w:r w:rsidRPr="00416A29" w:rsidR="00F41705">
        <w:rPr>
          <w:rFonts w:ascii="Open Sans" w:eastAsia="Times New Roman" w:hAnsi="Open Sans" w:cs="Open Sans"/>
          <w:lang w:eastAsia="en-GB"/>
        </w:rPr>
        <w:t xml:space="preserve"> practices</w:t>
      </w:r>
      <w:r w:rsidRPr="00416A29" w:rsidR="009D36A4">
        <w:rPr>
          <w:rFonts w:ascii="Open Sans" w:eastAsia="Times New Roman" w:hAnsi="Open Sans" w:cs="Open Sans"/>
          <w:lang w:eastAsia="en-GB"/>
        </w:rPr>
        <w:t xml:space="preserve"> or the use of bioplastics</w:t>
      </w:r>
      <w:r w:rsidRPr="00416A29">
        <w:rPr>
          <w:rFonts w:ascii="Open Sans" w:eastAsia="Times New Roman" w:hAnsi="Open Sans" w:cs="Open Sans"/>
          <w:lang w:eastAsia="en-GB"/>
        </w:rPr>
        <w:t xml:space="preserve">, </w:t>
      </w:r>
      <w:r w:rsidRPr="00416A29" w:rsidR="000F2909">
        <w:rPr>
          <w:rFonts w:ascii="Open Sans" w:eastAsia="Times New Roman" w:hAnsi="Open Sans" w:cs="Open Sans"/>
          <w:lang w:eastAsia="en-GB"/>
        </w:rPr>
        <w:t xml:space="preserve">while payment and service </w:t>
      </w:r>
      <w:r w:rsidRPr="00416A29" w:rsidR="00A16338">
        <w:rPr>
          <w:rFonts w:ascii="Open Sans" w:eastAsia="Times New Roman" w:hAnsi="Open Sans" w:cs="Open Sans"/>
          <w:lang w:eastAsia="en-GB"/>
        </w:rPr>
        <w:t>contracts</w:t>
      </w:r>
      <w:r w:rsidRPr="00416A29" w:rsidR="000F2909">
        <w:rPr>
          <w:rFonts w:ascii="Open Sans" w:eastAsia="Times New Roman" w:hAnsi="Open Sans" w:cs="Open Sans"/>
          <w:lang w:eastAsia="en-GB"/>
        </w:rPr>
        <w:t xml:space="preserve"> </w:t>
      </w:r>
      <w:r w:rsidRPr="00416A29">
        <w:rPr>
          <w:rFonts w:ascii="Open Sans" w:eastAsia="Times New Roman" w:hAnsi="Open Sans" w:cs="Open Sans"/>
          <w:lang w:eastAsia="en-GB"/>
        </w:rPr>
        <w:t xml:space="preserve">may also </w:t>
      </w:r>
      <w:r w:rsidRPr="00416A29" w:rsidR="00F41705">
        <w:rPr>
          <w:rFonts w:ascii="Open Sans" w:eastAsia="Times New Roman" w:hAnsi="Open Sans" w:cs="Open Sans"/>
          <w:lang w:eastAsia="en-GB"/>
        </w:rPr>
        <w:t>have a strong role to play in</w:t>
      </w:r>
      <w:r w:rsidRPr="00416A29">
        <w:rPr>
          <w:rFonts w:ascii="Open Sans" w:eastAsia="Times New Roman" w:hAnsi="Open Sans" w:cs="Open Sans"/>
          <w:lang w:eastAsia="en-GB"/>
        </w:rPr>
        <w:t xml:space="preserve"> engineering-based solutions.  </w:t>
      </w:r>
      <w:r w:rsidRPr="00416A29" w:rsidR="00F41705">
        <w:rPr>
          <w:rFonts w:ascii="Open Sans" w:eastAsia="Times New Roman" w:hAnsi="Open Sans" w:cs="Open Sans"/>
          <w:lang w:eastAsia="en-GB"/>
        </w:rPr>
        <w:t>I</w:t>
      </w:r>
      <w:r w:rsidRPr="00416A29">
        <w:rPr>
          <w:rFonts w:ascii="Open Sans" w:eastAsia="Times New Roman" w:hAnsi="Open Sans" w:cs="Open Sans"/>
          <w:lang w:eastAsia="en-GB"/>
        </w:rPr>
        <w:t>n the immediate term</w:t>
      </w:r>
      <w:r w:rsidRPr="00416A29" w:rsidR="009D36A4">
        <w:rPr>
          <w:rFonts w:ascii="Open Sans" w:eastAsia="Times New Roman" w:hAnsi="Open Sans" w:cs="Open Sans"/>
          <w:lang w:eastAsia="en-GB"/>
        </w:rPr>
        <w:t>,</w:t>
      </w:r>
      <w:r w:rsidRPr="00416A29">
        <w:rPr>
          <w:rFonts w:ascii="Open Sans" w:eastAsia="Times New Roman" w:hAnsi="Open Sans" w:cs="Open Sans"/>
          <w:lang w:eastAsia="en-GB"/>
        </w:rPr>
        <w:t xml:space="preserve"> we are supportive of bespoke mechanisms being designed</w:t>
      </w:r>
      <w:r w:rsidRPr="00416A29" w:rsidR="00F41705">
        <w:rPr>
          <w:rFonts w:ascii="Open Sans" w:eastAsia="Times New Roman" w:hAnsi="Open Sans" w:cs="Open Sans"/>
          <w:lang w:eastAsia="en-GB"/>
        </w:rPr>
        <w:t xml:space="preserve"> for different GGR technologies, recognising different te</w:t>
      </w:r>
      <w:r w:rsidRPr="00416A29" w:rsidR="00293524">
        <w:rPr>
          <w:rFonts w:ascii="Open Sans" w:eastAsia="Times New Roman" w:hAnsi="Open Sans" w:cs="Open Sans"/>
          <w:lang w:eastAsia="en-GB"/>
        </w:rPr>
        <w:t>chnology readiness level</w:t>
      </w:r>
      <w:r w:rsidRPr="00416A29" w:rsidR="00F41705">
        <w:rPr>
          <w:rFonts w:ascii="Open Sans" w:eastAsia="Times New Roman" w:hAnsi="Open Sans" w:cs="Open Sans"/>
          <w:lang w:eastAsia="en-GB"/>
        </w:rPr>
        <w:t>s</w:t>
      </w:r>
      <w:r w:rsidRPr="00416A29" w:rsidR="00293524">
        <w:rPr>
          <w:rFonts w:ascii="Open Sans" w:eastAsia="Times New Roman" w:hAnsi="Open Sans" w:cs="Open Sans"/>
          <w:lang w:eastAsia="en-GB"/>
        </w:rPr>
        <w:t xml:space="preserve"> or </w:t>
      </w:r>
      <w:r w:rsidRPr="00416A29" w:rsidR="00F41705">
        <w:rPr>
          <w:rFonts w:ascii="Open Sans" w:eastAsia="Times New Roman" w:hAnsi="Open Sans" w:cs="Open Sans"/>
          <w:lang w:eastAsia="en-GB"/>
        </w:rPr>
        <w:t xml:space="preserve">the status of the </w:t>
      </w:r>
      <w:r w:rsidRPr="00416A29" w:rsidR="00293524">
        <w:rPr>
          <w:rFonts w:ascii="Open Sans" w:eastAsia="Times New Roman" w:hAnsi="Open Sans" w:cs="Open Sans"/>
          <w:lang w:eastAsia="en-GB"/>
        </w:rPr>
        <w:t>sectors</w:t>
      </w:r>
      <w:r w:rsidRPr="00416A29" w:rsidR="00F41705">
        <w:rPr>
          <w:rFonts w:ascii="Open Sans" w:eastAsia="Times New Roman" w:hAnsi="Open Sans" w:cs="Open Sans"/>
          <w:lang w:eastAsia="en-GB"/>
        </w:rPr>
        <w:t xml:space="preserve"> in which they are being implemented. </w:t>
      </w:r>
      <w:r w:rsidRPr="00416A29" w:rsidR="00293524">
        <w:rPr>
          <w:rFonts w:ascii="Open Sans" w:eastAsia="Times New Roman" w:hAnsi="Open Sans" w:cs="Open Sans"/>
          <w:lang w:eastAsia="en-GB"/>
        </w:rPr>
        <w:t xml:space="preserve"> Less mature technologies,</w:t>
      </w:r>
      <w:r w:rsidRPr="00416A29" w:rsidR="00F41705">
        <w:rPr>
          <w:rFonts w:ascii="Open Sans" w:eastAsia="Times New Roman" w:hAnsi="Open Sans" w:cs="Open Sans"/>
          <w:lang w:eastAsia="en-GB"/>
        </w:rPr>
        <w:t xml:space="preserve"> including those</w:t>
      </w:r>
      <w:r w:rsidRPr="00416A29" w:rsidR="00293524">
        <w:rPr>
          <w:rFonts w:ascii="Open Sans" w:eastAsia="Times New Roman" w:hAnsi="Open Sans" w:cs="Open Sans"/>
          <w:lang w:eastAsia="en-GB"/>
        </w:rPr>
        <w:t xml:space="preserve"> that could be adopted by land managers or the agricultural </w:t>
      </w:r>
      <w:r w:rsidRPr="00416A29" w:rsidR="00293524">
        <w:rPr>
          <w:rFonts w:ascii="Open Sans" w:eastAsia="Times New Roman" w:hAnsi="Open Sans" w:cs="Open Sans"/>
          <w:lang w:eastAsia="en-GB"/>
        </w:rPr>
        <w:t>sector</w:t>
      </w:r>
      <w:r w:rsidRPr="00416A29" w:rsidR="006168DF">
        <w:rPr>
          <w:rFonts w:ascii="Open Sans" w:eastAsia="Times New Roman" w:hAnsi="Open Sans" w:cs="Open Sans"/>
          <w:lang w:eastAsia="en-GB"/>
        </w:rPr>
        <w:t xml:space="preserve">,  </w:t>
      </w:r>
      <w:r w:rsidRPr="00416A29" w:rsidR="00293524">
        <w:rPr>
          <w:rFonts w:ascii="Open Sans" w:eastAsia="Times New Roman" w:hAnsi="Open Sans" w:cs="Open Sans"/>
          <w:lang w:eastAsia="en-GB"/>
        </w:rPr>
        <w:t>will</w:t>
      </w:r>
      <w:r w:rsidRPr="00416A29" w:rsidR="00293524">
        <w:rPr>
          <w:rFonts w:ascii="Open Sans" w:eastAsia="Times New Roman" w:hAnsi="Open Sans" w:cs="Open Sans"/>
          <w:lang w:eastAsia="en-GB"/>
        </w:rPr>
        <w:t xml:space="preserve"> need </w:t>
      </w:r>
      <w:r w:rsidRPr="00416A29" w:rsidR="00F41705">
        <w:rPr>
          <w:rFonts w:ascii="Open Sans" w:eastAsia="Times New Roman" w:hAnsi="Open Sans" w:cs="Open Sans"/>
          <w:lang w:eastAsia="en-GB"/>
        </w:rPr>
        <w:t>longer-term support</w:t>
      </w:r>
      <w:r w:rsidRPr="00416A29" w:rsidR="002E3953">
        <w:rPr>
          <w:rFonts w:ascii="Open Sans" w:eastAsia="Times New Roman" w:hAnsi="Open Sans" w:cs="Open Sans"/>
          <w:lang w:eastAsia="en-GB"/>
        </w:rPr>
        <w:t xml:space="preserve"> in the form of commercialisation grants to get</w:t>
      </w:r>
      <w:r w:rsidRPr="00416A29" w:rsidR="00F41705">
        <w:rPr>
          <w:rFonts w:ascii="Open Sans" w:eastAsia="Times New Roman" w:hAnsi="Open Sans" w:cs="Open Sans"/>
          <w:lang w:eastAsia="en-GB"/>
        </w:rPr>
        <w:t xml:space="preserve"> beyond </w:t>
      </w:r>
      <w:r w:rsidRPr="00416A29" w:rsidR="002E3953">
        <w:rPr>
          <w:rFonts w:ascii="Open Sans" w:eastAsia="Times New Roman" w:hAnsi="Open Sans" w:cs="Open Sans"/>
          <w:lang w:eastAsia="en-GB"/>
        </w:rPr>
        <w:t xml:space="preserve">initial field studies and realise commercialisation. </w:t>
      </w:r>
    </w:p>
    <w:p w:rsidR="0008399D" w:rsidRPr="00416A29" w:rsidP="00CA2ED1" w14:paraId="689F2AFC" w14:textId="77777777">
      <w:pPr>
        <w:spacing w:after="0" w:line="240" w:lineRule="auto"/>
        <w:rPr>
          <w:rFonts w:ascii="Open Sans" w:eastAsia="Times New Roman" w:hAnsi="Open Sans" w:cs="Open Sans"/>
          <w:lang w:eastAsia="en-GB"/>
        </w:rPr>
      </w:pPr>
    </w:p>
    <w:p w:rsidR="003E2D89" w:rsidRPr="00416A29" w:rsidP="00CA2ED1" w14:paraId="13E03395" w14:textId="1DA16134">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In the case </w:t>
      </w:r>
      <w:r w:rsidRPr="00416A29" w:rsidR="006168DF">
        <w:rPr>
          <w:rFonts w:ascii="Open Sans" w:eastAsia="Times New Roman" w:hAnsi="Open Sans" w:cs="Open Sans"/>
          <w:lang w:eastAsia="en-GB"/>
        </w:rPr>
        <w:t xml:space="preserve">of technologies where demonstration projects are more advanced, such as BECCS, we are supportive of market-based leavers that reward both the </w:t>
      </w:r>
      <w:r w:rsidRPr="00416A29" w:rsidR="004E5466">
        <w:rPr>
          <w:rFonts w:ascii="Open Sans" w:eastAsia="Times New Roman" w:hAnsi="Open Sans" w:cs="Open Sans"/>
          <w:lang w:eastAsia="en-GB"/>
        </w:rPr>
        <w:t xml:space="preserve">energy </w:t>
      </w:r>
      <w:r w:rsidRPr="00416A29" w:rsidR="006168DF">
        <w:rPr>
          <w:rFonts w:ascii="Open Sans" w:eastAsia="Times New Roman" w:hAnsi="Open Sans" w:cs="Open Sans"/>
          <w:lang w:eastAsia="en-GB"/>
        </w:rPr>
        <w:t xml:space="preserve">production, along with a payment for the negative emissions achieved. A CfD based mechanism that includes BECCS would allow </w:t>
      </w:r>
      <w:r w:rsidRPr="00416A29" w:rsidR="004E5466">
        <w:rPr>
          <w:rFonts w:ascii="Open Sans" w:eastAsia="Times New Roman" w:hAnsi="Open Sans" w:cs="Open Sans"/>
          <w:lang w:eastAsia="en-GB"/>
        </w:rPr>
        <w:t xml:space="preserve">biomass power or energy from waste </w:t>
      </w:r>
      <w:r w:rsidRPr="00416A29" w:rsidR="006168DF">
        <w:rPr>
          <w:rFonts w:ascii="Open Sans" w:eastAsia="Times New Roman" w:hAnsi="Open Sans" w:cs="Open Sans"/>
          <w:lang w:eastAsia="en-GB"/>
        </w:rPr>
        <w:t xml:space="preserve">projects to receive a reliable revenue for the </w:t>
      </w:r>
      <w:r w:rsidRPr="00416A29" w:rsidR="004E5466">
        <w:rPr>
          <w:rFonts w:ascii="Open Sans" w:eastAsia="Times New Roman" w:hAnsi="Open Sans" w:cs="Open Sans"/>
          <w:lang w:eastAsia="en-GB"/>
        </w:rPr>
        <w:t xml:space="preserve">power generated, along with any additional benefit for services provided to the grid. A separate carbon payment is then provided to reward negative emissions. Set at a £/tonne level </w:t>
      </w:r>
      <w:r w:rsidRPr="00416A29">
        <w:rPr>
          <w:rFonts w:ascii="Open Sans" w:eastAsia="Times New Roman" w:hAnsi="Open Sans" w:cs="Open Sans"/>
          <w:lang w:eastAsia="en-GB"/>
        </w:rPr>
        <w:t xml:space="preserve">the payment will need </w:t>
      </w:r>
      <w:r w:rsidRPr="00416A29" w:rsidR="002E3953">
        <w:rPr>
          <w:rFonts w:ascii="Open Sans" w:eastAsia="Times New Roman" w:hAnsi="Open Sans" w:cs="Open Sans"/>
          <w:lang w:eastAsia="en-GB"/>
        </w:rPr>
        <w:t>to cover</w:t>
      </w:r>
      <w:r w:rsidRPr="00416A29" w:rsidR="004E5466">
        <w:rPr>
          <w:rFonts w:ascii="Open Sans" w:eastAsia="Times New Roman" w:hAnsi="Open Sans" w:cs="Open Sans"/>
          <w:lang w:eastAsia="en-GB"/>
        </w:rPr>
        <w:t xml:space="preserve"> both the operational costs of capturing carbon, along with transporting and storing it.</w:t>
      </w:r>
      <w:r w:rsidRPr="00416A29">
        <w:rPr>
          <w:rFonts w:ascii="Open Sans" w:eastAsia="Times New Roman" w:hAnsi="Open Sans" w:cs="Open Sans"/>
          <w:lang w:eastAsia="en-GB"/>
        </w:rPr>
        <w:t xml:space="preserve"> Over time, assuming the UK ETS </w:t>
      </w:r>
      <w:r w:rsidRPr="00416A29" w:rsidR="002E3953">
        <w:rPr>
          <w:rFonts w:ascii="Open Sans" w:eastAsia="Times New Roman" w:hAnsi="Open Sans" w:cs="Open Sans"/>
          <w:lang w:eastAsia="en-GB"/>
        </w:rPr>
        <w:t xml:space="preserve">matures </w:t>
      </w:r>
      <w:r w:rsidRPr="00416A29">
        <w:rPr>
          <w:rFonts w:ascii="Open Sans" w:eastAsia="Times New Roman" w:hAnsi="Open Sans" w:cs="Open Sans"/>
          <w:lang w:eastAsia="en-GB"/>
        </w:rPr>
        <w:t>successfully, the carbon payment will likely be able to transition to a straight market-based price that ensures ongoing revenue for negative emission production.</w:t>
      </w:r>
    </w:p>
    <w:p w:rsidR="003E2D89" w:rsidRPr="00416A29" w:rsidP="00CA2ED1" w14:paraId="5900D1AF" w14:textId="77777777">
      <w:pPr>
        <w:spacing w:after="0" w:line="240" w:lineRule="auto"/>
        <w:rPr>
          <w:rFonts w:ascii="Open Sans" w:eastAsia="Times New Roman" w:hAnsi="Open Sans" w:cs="Open Sans"/>
          <w:lang w:eastAsia="en-GB"/>
        </w:rPr>
      </w:pPr>
    </w:p>
    <w:p w:rsidR="002E3953" w:rsidRPr="00416A29" w:rsidP="00CA2ED1" w14:paraId="115E3EFC" w14:textId="3443FA7E">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Such a payment also has the advantage of being adaptable to other </w:t>
      </w:r>
      <w:r w:rsidRPr="00416A29">
        <w:rPr>
          <w:rFonts w:ascii="Open Sans" w:eastAsia="Times New Roman" w:hAnsi="Open Sans" w:cs="Open Sans"/>
          <w:lang w:eastAsia="en-GB"/>
        </w:rPr>
        <w:t xml:space="preserve">foundational </w:t>
      </w:r>
      <w:r w:rsidRPr="00416A29">
        <w:rPr>
          <w:rFonts w:ascii="Open Sans" w:eastAsia="Times New Roman" w:hAnsi="Open Sans" w:cs="Open Sans"/>
          <w:lang w:eastAsia="en-GB"/>
        </w:rPr>
        <w:t xml:space="preserve">technologies, operating in conjunction with other support mechanisms that deliver different renewable energy supplies such as the RTFO, RHI or future mechanism aimed at </w:t>
      </w:r>
      <w:r w:rsidRPr="00416A29">
        <w:rPr>
          <w:rFonts w:ascii="Open Sans" w:eastAsia="Times New Roman" w:hAnsi="Open Sans" w:cs="Open Sans"/>
          <w:lang w:eastAsia="en-GB"/>
        </w:rPr>
        <w:t>hydrogen production</w:t>
      </w:r>
      <w:r w:rsidRPr="00416A29">
        <w:rPr>
          <w:rFonts w:ascii="Open Sans" w:eastAsia="Times New Roman" w:hAnsi="Open Sans" w:cs="Open Sans"/>
          <w:lang w:eastAsia="en-GB"/>
        </w:rPr>
        <w:t>. Equall</w:t>
      </w:r>
      <w:r w:rsidRPr="00416A29">
        <w:rPr>
          <w:rFonts w:ascii="Open Sans" w:eastAsia="Times New Roman" w:hAnsi="Open Sans" w:cs="Open Sans"/>
          <w:lang w:eastAsia="en-GB"/>
        </w:rPr>
        <w:t>y,</w:t>
      </w:r>
      <w:r w:rsidRPr="00416A29">
        <w:rPr>
          <w:rFonts w:ascii="Open Sans" w:eastAsia="Times New Roman" w:hAnsi="Open Sans" w:cs="Open Sans"/>
          <w:lang w:eastAsia="en-GB"/>
        </w:rPr>
        <w:t xml:space="preserve"> existing infrastructure</w:t>
      </w:r>
      <w:r w:rsidRPr="00416A29">
        <w:rPr>
          <w:rFonts w:ascii="Open Sans" w:eastAsia="Times New Roman" w:hAnsi="Open Sans" w:cs="Open Sans"/>
          <w:lang w:eastAsia="en-GB"/>
        </w:rPr>
        <w:t xml:space="preserve">, such as AD sites or other bioenergy producers, </w:t>
      </w:r>
      <w:r w:rsidRPr="00416A29">
        <w:rPr>
          <w:rFonts w:ascii="Open Sans" w:eastAsia="Times New Roman" w:hAnsi="Open Sans" w:cs="Open Sans"/>
          <w:lang w:eastAsia="en-GB"/>
        </w:rPr>
        <w:t>could utilise the carbon payment</w:t>
      </w:r>
      <w:r w:rsidRPr="00416A29">
        <w:rPr>
          <w:rFonts w:ascii="Open Sans" w:eastAsia="Times New Roman" w:hAnsi="Open Sans" w:cs="Open Sans"/>
          <w:lang w:eastAsia="en-GB"/>
        </w:rPr>
        <w:t xml:space="preserve">s </w:t>
      </w:r>
      <w:r w:rsidRPr="00416A29">
        <w:rPr>
          <w:rFonts w:ascii="Open Sans" w:eastAsia="Times New Roman" w:hAnsi="Open Sans" w:cs="Open Sans"/>
          <w:lang w:eastAsia="en-GB"/>
        </w:rPr>
        <w:t>to enable further investment for the retrofitting of CCS technologies</w:t>
      </w:r>
      <w:r w:rsidRPr="00416A29" w:rsidR="003E2D89">
        <w:rPr>
          <w:rFonts w:ascii="Open Sans" w:eastAsia="Times New Roman" w:hAnsi="Open Sans" w:cs="Open Sans"/>
          <w:lang w:eastAsia="en-GB"/>
        </w:rPr>
        <w:t xml:space="preserve"> as the CCC identify as required by the mid-2030s. </w:t>
      </w:r>
    </w:p>
    <w:p w:rsidR="00CA2ED1" w:rsidRPr="00416A29" w:rsidP="00CA2ED1" w14:paraId="2342D372" w14:textId="77777777">
      <w:pPr>
        <w:spacing w:after="0" w:line="240" w:lineRule="auto"/>
        <w:rPr>
          <w:rFonts w:ascii="Open Sans" w:eastAsia="Times New Roman" w:hAnsi="Open Sans" w:cs="Open Sans"/>
          <w:b/>
          <w:bCs/>
          <w:i/>
          <w:iCs/>
          <w:lang w:eastAsia="en-GB"/>
        </w:rPr>
      </w:pPr>
    </w:p>
    <w:p w:rsidR="00CA2ED1" w:rsidRPr="00416A29" w:rsidP="00CA2ED1" w14:paraId="55B68E89"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8. How could government best contribute to establishing optimum market conditions for GGRs to be developed and deployed at a large scale?  </w:t>
      </w:r>
    </w:p>
    <w:p w:rsidR="00CA2ED1" w:rsidRPr="00416A29" w:rsidP="00CA2ED1" w14:paraId="5786FA9B" w14:textId="2EED84FF">
      <w:pPr>
        <w:spacing w:after="0" w:line="240" w:lineRule="auto"/>
        <w:rPr>
          <w:rFonts w:ascii="Open Sans" w:eastAsia="Times New Roman" w:hAnsi="Open Sans" w:cs="Open Sans"/>
          <w:b/>
          <w:bCs/>
          <w:i/>
          <w:iCs/>
          <w:lang w:eastAsia="en-GB"/>
        </w:rPr>
      </w:pPr>
    </w:p>
    <w:p w:rsidR="002E3953" w:rsidRPr="00416A29" w:rsidP="00CA2ED1" w14:paraId="7092A059" w14:textId="3F27C256">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As identified in question 7, in the immediate term we are supportive of technology-specific mechanisms being designed for different GGR technologies, recognising different readiness levels or the status of the sectors in which they are being implemented. Bespoke grants will likely be required </w:t>
      </w:r>
      <w:r w:rsidRPr="00416A29" w:rsidR="002710CB">
        <w:rPr>
          <w:rFonts w:ascii="Open Sans" w:eastAsia="Times New Roman" w:hAnsi="Open Sans" w:cs="Open Sans"/>
          <w:lang w:eastAsia="en-GB"/>
        </w:rPr>
        <w:t>to</w:t>
      </w:r>
      <w:r w:rsidRPr="00416A29">
        <w:rPr>
          <w:rFonts w:ascii="Open Sans" w:eastAsia="Times New Roman" w:hAnsi="Open Sans" w:cs="Open Sans"/>
          <w:lang w:eastAsia="en-GB"/>
        </w:rPr>
        <w:t xml:space="preserve"> drive appropriate levels of research, development, and deployment as appropriate to the specific sector to get to </w:t>
      </w:r>
      <w:r w:rsidRPr="00416A29" w:rsidR="002710CB">
        <w:rPr>
          <w:rFonts w:ascii="Open Sans" w:eastAsia="Times New Roman" w:hAnsi="Open Sans" w:cs="Open Sans"/>
          <w:lang w:eastAsia="en-GB"/>
        </w:rPr>
        <w:t xml:space="preserve">a </w:t>
      </w:r>
      <w:r w:rsidRPr="00416A29">
        <w:rPr>
          <w:rFonts w:ascii="Open Sans" w:eastAsia="Times New Roman" w:hAnsi="Open Sans" w:cs="Open Sans"/>
          <w:lang w:eastAsia="en-GB"/>
        </w:rPr>
        <w:t xml:space="preserve">level of commercialisation that enables more </w:t>
      </w:r>
      <w:r w:rsidRPr="00416A29" w:rsidR="002710CB">
        <w:rPr>
          <w:rFonts w:ascii="Open Sans" w:eastAsia="Times New Roman" w:hAnsi="Open Sans" w:cs="Open Sans"/>
          <w:lang w:eastAsia="en-GB"/>
        </w:rPr>
        <w:t>market-based</w:t>
      </w:r>
      <w:r w:rsidRPr="00416A29">
        <w:rPr>
          <w:rFonts w:ascii="Open Sans" w:eastAsia="Times New Roman" w:hAnsi="Open Sans" w:cs="Open Sans"/>
          <w:lang w:eastAsia="en-GB"/>
        </w:rPr>
        <w:t xml:space="preserve"> approache</w:t>
      </w:r>
      <w:r w:rsidRPr="00416A29" w:rsidR="002710CB">
        <w:rPr>
          <w:rFonts w:ascii="Open Sans" w:eastAsia="Times New Roman" w:hAnsi="Open Sans" w:cs="Open Sans"/>
          <w:lang w:eastAsia="en-GB"/>
        </w:rPr>
        <w:t>s</w:t>
      </w:r>
      <w:r w:rsidRPr="00416A29">
        <w:rPr>
          <w:rFonts w:ascii="Open Sans" w:eastAsia="Times New Roman" w:hAnsi="Open Sans" w:cs="Open Sans"/>
          <w:lang w:eastAsia="en-GB"/>
        </w:rPr>
        <w:t xml:space="preserve"> to operate. </w:t>
      </w:r>
    </w:p>
    <w:p w:rsidR="00533D95" w:rsidRPr="00416A29" w:rsidP="00CA2ED1" w14:paraId="7A036B08" w14:textId="41919276">
      <w:pPr>
        <w:spacing w:after="0" w:line="240" w:lineRule="auto"/>
        <w:rPr>
          <w:rFonts w:ascii="Open Sans" w:eastAsia="Times New Roman" w:hAnsi="Open Sans" w:cs="Open Sans"/>
          <w:lang w:eastAsia="en-GB"/>
        </w:rPr>
      </w:pPr>
    </w:p>
    <w:p w:rsidR="00533D95" w:rsidRPr="00416A29" w:rsidP="00CA2ED1" w14:paraId="08AC86B9" w14:textId="33FF2F5F">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Much of the regulatory or infrastructure requirements for carbon transport and storage will also need to be developed in parallel.</w:t>
      </w:r>
      <w:r w:rsidRPr="00416A29" w:rsidR="002710CB">
        <w:rPr>
          <w:rFonts w:ascii="Open Sans" w:eastAsia="Times New Roman" w:hAnsi="Open Sans" w:cs="Open Sans"/>
          <w:lang w:eastAsia="en-GB"/>
        </w:rPr>
        <w:t xml:space="preserve">  As part of the Government strategic thinking on GGRs, there must be a focus on areas such as addressing capacity constraints on the gas network to allow for increased injection of green gasses or identifying carbon storage regions within the UK. On the regulatory side, thought should also be given to the development of suitable accounting methodologies for negative emissions of different sectors so that the establishment of a market-based mechanism can be successfully developed.</w:t>
      </w:r>
      <w:r w:rsidR="00F06593">
        <w:rPr>
          <w:rFonts w:ascii="Open Sans" w:eastAsia="Times New Roman" w:hAnsi="Open Sans" w:cs="Open Sans"/>
          <w:lang w:eastAsia="en-GB"/>
        </w:rPr>
        <w:t xml:space="preserve"> For example, t</w:t>
      </w:r>
      <w:r w:rsidRPr="00F06593" w:rsidR="00F06593">
        <w:rPr>
          <w:rFonts w:ascii="Open Sans" w:eastAsia="Times New Roman" w:hAnsi="Open Sans" w:cs="Open Sans"/>
          <w:lang w:eastAsia="en-GB"/>
        </w:rPr>
        <w:t xml:space="preserve">he RED methodology used to assess GHG emissions from transport fuels under the RTFO </w:t>
      </w:r>
      <w:r w:rsidR="00F06593">
        <w:rPr>
          <w:rFonts w:ascii="Open Sans" w:eastAsia="Times New Roman" w:hAnsi="Open Sans" w:cs="Open Sans"/>
          <w:lang w:eastAsia="en-GB"/>
        </w:rPr>
        <w:t xml:space="preserve">could </w:t>
      </w:r>
      <w:r w:rsidRPr="00F06593" w:rsidR="00F06593">
        <w:rPr>
          <w:rFonts w:ascii="Open Sans" w:eastAsia="Times New Roman" w:hAnsi="Open Sans" w:cs="Open Sans"/>
          <w:lang w:eastAsia="en-GB"/>
        </w:rPr>
        <w:t xml:space="preserve">be adapted to assess negative </w:t>
      </w:r>
      <w:r w:rsidRPr="00F06593" w:rsidR="00F06593">
        <w:rPr>
          <w:rFonts w:ascii="Open Sans" w:eastAsia="Times New Roman" w:hAnsi="Open Sans" w:cs="Open Sans"/>
          <w:lang w:eastAsia="en-GB"/>
        </w:rPr>
        <w:t>emissions.</w:t>
      </w:r>
    </w:p>
    <w:p w:rsidR="002710CB" w:rsidRPr="00416A29" w:rsidP="00CA2ED1" w14:paraId="361D0546" w14:textId="12600EA5">
      <w:pPr>
        <w:spacing w:after="0" w:line="240" w:lineRule="auto"/>
        <w:rPr>
          <w:rFonts w:ascii="Open Sans" w:eastAsia="Times New Roman" w:hAnsi="Open Sans" w:cs="Open Sans"/>
          <w:lang w:eastAsia="en-GB"/>
        </w:rPr>
      </w:pPr>
    </w:p>
    <w:p w:rsidR="002710CB" w:rsidRPr="00416A29" w:rsidP="002710CB" w14:paraId="1BDADA37" w14:textId="6C15AAEF">
      <w:pPr>
        <w:spacing w:after="0" w:line="240" w:lineRule="auto"/>
        <w:rPr>
          <w:rFonts w:ascii="Open Sans" w:eastAsia="Times New Roman" w:hAnsi="Open Sans" w:cs="Open Sans"/>
          <w:lang w:eastAsia="en-GB"/>
        </w:rPr>
      </w:pPr>
      <w:r w:rsidRPr="00416A29">
        <w:rPr>
          <w:rFonts w:ascii="Open Sans" w:hAnsi="Open Sans" w:cs="Open Sans"/>
        </w:rPr>
        <w:t>In addition, the government must recognise the importance of maintaining the foundational industries for different GGR technologies. It is the established sectors, such as the bioenergy sector, that have developed the knowledge, supply chains and skills necessary to see these GGR innovations delivered. This is equally true for building on existing investor confidence, private funders will not be encouraged to invest in new technologies if their existing investments in UK industries are undermined. If Government lets these foundational industries contract, rather than enabling them to transition, then delivering the innovation and commercialisation required will become harder</w:t>
      </w:r>
      <w:r w:rsidRPr="00416A29">
        <w:rPr>
          <w:rFonts w:ascii="Open Sans" w:hAnsi="Open Sans" w:cs="Open Sans"/>
          <w:i/>
          <w:iCs/>
        </w:rPr>
        <w:t xml:space="preserve">. </w:t>
      </w:r>
      <w:r w:rsidRPr="00416A29">
        <w:rPr>
          <w:rFonts w:ascii="Open Sans" w:hAnsi="Open Sans" w:cs="Open Sans"/>
        </w:rPr>
        <w:t>As such</w:t>
      </w:r>
      <w:r w:rsidRPr="00416A29" w:rsidR="009D36A4">
        <w:rPr>
          <w:rFonts w:ascii="Open Sans" w:hAnsi="Open Sans" w:cs="Open Sans"/>
        </w:rPr>
        <w:t xml:space="preserve">, </w:t>
      </w:r>
      <w:r w:rsidRPr="00416A29">
        <w:rPr>
          <w:rFonts w:ascii="Open Sans" w:hAnsi="Open Sans" w:cs="Open Sans"/>
        </w:rPr>
        <w:t xml:space="preserve">GGR priorities must start to be built into existing government workstreams, with the potential for technologies deploying today being able to contribute to negative emissions in the future. </w:t>
      </w:r>
    </w:p>
    <w:p w:rsidR="00533D95" w:rsidRPr="00416A29" w:rsidP="00CA2ED1" w14:paraId="2FB0ADFE" w14:textId="77777777">
      <w:pPr>
        <w:spacing w:after="0" w:line="240" w:lineRule="auto"/>
        <w:rPr>
          <w:rFonts w:ascii="Open Sans" w:eastAsia="Times New Roman" w:hAnsi="Open Sans" w:cs="Open Sans"/>
          <w:lang w:eastAsia="en-GB"/>
        </w:rPr>
      </w:pPr>
    </w:p>
    <w:p w:rsidR="00621337" w:rsidRPr="00416A29" w:rsidP="00CA2ED1" w14:paraId="593FD401" w14:textId="77777777">
      <w:pPr>
        <w:spacing w:after="0" w:line="240" w:lineRule="auto"/>
        <w:rPr>
          <w:rFonts w:ascii="Open Sans" w:eastAsia="Times New Roman" w:hAnsi="Open Sans" w:cs="Open Sans"/>
          <w:b/>
          <w:bCs/>
          <w:i/>
          <w:iCs/>
          <w:lang w:eastAsia="en-GB"/>
        </w:rPr>
      </w:pPr>
    </w:p>
    <w:p w:rsidR="00CA2ED1" w:rsidRPr="00416A29" w:rsidP="00CA2ED1" w14:paraId="7048E82B" w14:textId="672F2C16">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9.  How might the role of the government change overtime to bring GGR technologies to market and encourage their deployment up to 2050?</w:t>
      </w:r>
    </w:p>
    <w:p w:rsidR="00795D58" w:rsidRPr="00416A29" w:rsidP="00CA2ED1" w14:paraId="17BB432D" w14:textId="060CE081">
      <w:pPr>
        <w:spacing w:after="0" w:line="240" w:lineRule="auto"/>
        <w:rPr>
          <w:rFonts w:ascii="Open Sans" w:eastAsia="Times New Roman" w:hAnsi="Open Sans" w:cs="Open Sans"/>
          <w:b/>
          <w:bCs/>
          <w:i/>
          <w:iCs/>
          <w:lang w:eastAsia="en-GB"/>
        </w:rPr>
      </w:pPr>
    </w:p>
    <w:p w:rsidR="00CA2ED1" w:rsidRPr="00416A29" w:rsidP="00CA2ED1" w14:paraId="37FFADFC" w14:textId="3B67A116">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The role of the Government will change as </w:t>
      </w:r>
      <w:r w:rsidRPr="00416A29" w:rsidR="00AF3024">
        <w:rPr>
          <w:rFonts w:ascii="Open Sans" w:eastAsia="Times New Roman" w:hAnsi="Open Sans" w:cs="Open Sans"/>
          <w:lang w:eastAsia="en-GB"/>
        </w:rPr>
        <w:t xml:space="preserve">GGR technologies become more commercially established. Once achieved it is appropriate that the Government facilitate a move to more market-based solutions, that drives competition between technologies and drives down costs. This is likely to be achieved through the maturing of a cross-sector carbon price, potentially through the UK ETS, which rewards negative emissions. However, given the range of technologies that will be required and the need to get them all to successful commercialisation, such a technology-neutral policy role should be considered a medium to long-term policy objective. </w:t>
      </w:r>
    </w:p>
    <w:p w:rsidR="00AF3024" w:rsidRPr="00416A29" w:rsidP="00CA2ED1" w14:paraId="119B8BAE" w14:textId="174A5F04">
      <w:pPr>
        <w:spacing w:after="0" w:line="240" w:lineRule="auto"/>
        <w:rPr>
          <w:rFonts w:ascii="Open Sans" w:eastAsia="Times New Roman" w:hAnsi="Open Sans" w:cs="Open Sans"/>
          <w:lang w:eastAsia="en-GB"/>
        </w:rPr>
      </w:pPr>
    </w:p>
    <w:p w:rsidR="00AF3024" w:rsidRPr="00416A29" w:rsidP="00CA2ED1" w14:paraId="1B2BD6E6" w14:textId="53B97B28">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It is also </w:t>
      </w:r>
      <w:r w:rsidRPr="00416A29" w:rsidR="00C33F5F">
        <w:rPr>
          <w:rFonts w:ascii="Open Sans" w:eastAsia="Times New Roman" w:hAnsi="Open Sans" w:cs="Open Sans"/>
          <w:lang w:eastAsia="en-GB"/>
        </w:rPr>
        <w:t>worth</w:t>
      </w:r>
      <w:r w:rsidRPr="00416A29">
        <w:rPr>
          <w:rFonts w:ascii="Open Sans" w:eastAsia="Times New Roman" w:hAnsi="Open Sans" w:cs="Open Sans"/>
          <w:lang w:eastAsia="en-GB"/>
        </w:rPr>
        <w:t xml:space="preserve"> noting, that at some point </w:t>
      </w:r>
      <w:r w:rsidRPr="00416A29" w:rsidR="00C33F5F">
        <w:rPr>
          <w:rFonts w:ascii="Open Sans" w:eastAsia="Times New Roman" w:hAnsi="Open Sans" w:cs="Open Sans"/>
          <w:lang w:eastAsia="en-GB"/>
        </w:rPr>
        <w:t>governments</w:t>
      </w:r>
      <w:r w:rsidRPr="00416A29">
        <w:rPr>
          <w:rFonts w:ascii="Open Sans" w:eastAsia="Times New Roman" w:hAnsi="Open Sans" w:cs="Open Sans"/>
          <w:lang w:eastAsia="en-GB"/>
        </w:rPr>
        <w:t xml:space="preserve"> role will also change from facilitati</w:t>
      </w:r>
      <w:r w:rsidRPr="00416A29" w:rsidR="00C33F5F">
        <w:rPr>
          <w:rFonts w:ascii="Open Sans" w:eastAsia="Times New Roman" w:hAnsi="Open Sans" w:cs="Open Sans"/>
          <w:lang w:eastAsia="en-GB"/>
        </w:rPr>
        <w:t>ng</w:t>
      </w:r>
      <w:r w:rsidRPr="00416A29">
        <w:rPr>
          <w:rFonts w:ascii="Open Sans" w:eastAsia="Times New Roman" w:hAnsi="Open Sans" w:cs="Open Sans"/>
          <w:lang w:eastAsia="en-GB"/>
        </w:rPr>
        <w:t xml:space="preserve"> the innovation and </w:t>
      </w:r>
      <w:r w:rsidRPr="00416A29" w:rsidR="00C33F5F">
        <w:rPr>
          <w:rFonts w:ascii="Open Sans" w:eastAsia="Times New Roman" w:hAnsi="Open Sans" w:cs="Open Sans"/>
          <w:lang w:eastAsia="en-GB"/>
        </w:rPr>
        <w:t>commercialisation</w:t>
      </w:r>
      <w:r w:rsidRPr="00416A29">
        <w:rPr>
          <w:rFonts w:ascii="Open Sans" w:eastAsia="Times New Roman" w:hAnsi="Open Sans" w:cs="Open Sans"/>
          <w:lang w:eastAsia="en-GB"/>
        </w:rPr>
        <w:t xml:space="preserve"> of GGRs to ensuring the</w:t>
      </w:r>
      <w:r w:rsidRPr="00416A29" w:rsidR="00C33F5F">
        <w:rPr>
          <w:rFonts w:ascii="Open Sans" w:eastAsia="Times New Roman" w:hAnsi="Open Sans" w:cs="Open Sans"/>
          <w:lang w:eastAsia="en-GB"/>
        </w:rPr>
        <w:t xml:space="preserve">ir </w:t>
      </w:r>
      <w:r w:rsidRPr="00416A29">
        <w:rPr>
          <w:rFonts w:ascii="Open Sans" w:eastAsia="Times New Roman" w:hAnsi="Open Sans" w:cs="Open Sans"/>
          <w:lang w:eastAsia="en-GB"/>
        </w:rPr>
        <w:t xml:space="preserve">ongoing deployment and retrofitting of the technologies. This </w:t>
      </w:r>
      <w:r w:rsidRPr="00416A29" w:rsidR="00C33F5F">
        <w:rPr>
          <w:rFonts w:ascii="Open Sans" w:eastAsia="Times New Roman" w:hAnsi="Open Sans" w:cs="Open Sans"/>
          <w:lang w:eastAsia="en-GB"/>
        </w:rPr>
        <w:t>change</w:t>
      </w:r>
      <w:r w:rsidRPr="00416A29">
        <w:rPr>
          <w:rFonts w:ascii="Open Sans" w:eastAsia="Times New Roman" w:hAnsi="Open Sans" w:cs="Open Sans"/>
          <w:lang w:eastAsia="en-GB"/>
        </w:rPr>
        <w:t xml:space="preserve"> may require the Government to </w:t>
      </w:r>
      <w:r w:rsidRPr="00416A29" w:rsidR="00C33F5F">
        <w:rPr>
          <w:rFonts w:ascii="Open Sans" w:eastAsia="Times New Roman" w:hAnsi="Open Sans" w:cs="Open Sans"/>
          <w:lang w:eastAsia="en-GB"/>
        </w:rPr>
        <w:t xml:space="preserve">review initial approaches and make appropriate </w:t>
      </w:r>
      <w:r w:rsidRPr="00416A29" w:rsidR="00736FF4">
        <w:rPr>
          <w:rFonts w:ascii="Open Sans" w:eastAsia="Times New Roman" w:hAnsi="Open Sans" w:cs="Open Sans"/>
          <w:lang w:eastAsia="en-GB"/>
        </w:rPr>
        <w:t>changes,</w:t>
      </w:r>
      <w:r w:rsidRPr="00416A29" w:rsidR="00C33F5F">
        <w:rPr>
          <w:rFonts w:ascii="Open Sans" w:eastAsia="Times New Roman" w:hAnsi="Open Sans" w:cs="Open Sans"/>
          <w:lang w:eastAsia="en-GB"/>
        </w:rPr>
        <w:t xml:space="preserve"> likely within the 2030s. </w:t>
      </w:r>
      <w:r w:rsidRPr="00416A29">
        <w:rPr>
          <w:rFonts w:ascii="Open Sans" w:eastAsia="Times New Roman" w:hAnsi="Open Sans" w:cs="Open Sans"/>
          <w:lang w:eastAsia="en-GB"/>
        </w:rPr>
        <w:t xml:space="preserve"> </w:t>
      </w:r>
    </w:p>
    <w:p w:rsidR="00220B3B" w:rsidRPr="00416A29" w:rsidP="00CA2ED1" w14:paraId="0DB69FCD" w14:textId="77777777">
      <w:pPr>
        <w:spacing w:after="0" w:line="240" w:lineRule="auto"/>
        <w:rPr>
          <w:rFonts w:ascii="Open Sans" w:eastAsia="Times New Roman" w:hAnsi="Open Sans" w:cs="Open Sans"/>
          <w:lang w:eastAsia="en-GB"/>
        </w:rPr>
      </w:pPr>
    </w:p>
    <w:p w:rsidR="00AF3024" w:rsidRPr="00416A29" w:rsidP="00CA2ED1" w14:paraId="2C5CBE04" w14:textId="1CA79D00">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Aside from any policy changes</w:t>
      </w:r>
      <w:r w:rsidRPr="00416A29" w:rsidR="00220B3B">
        <w:rPr>
          <w:rFonts w:ascii="Open Sans" w:eastAsia="Times New Roman" w:hAnsi="Open Sans" w:cs="Open Sans"/>
          <w:lang w:eastAsia="en-GB"/>
        </w:rPr>
        <w:t xml:space="preserve">, </w:t>
      </w:r>
      <w:r w:rsidRPr="00416A29">
        <w:rPr>
          <w:rFonts w:ascii="Open Sans" w:eastAsia="Times New Roman" w:hAnsi="Open Sans" w:cs="Open Sans"/>
          <w:lang w:eastAsia="en-GB"/>
        </w:rPr>
        <w:t>the Government must</w:t>
      </w:r>
      <w:r w:rsidRPr="00416A29">
        <w:rPr>
          <w:rFonts w:ascii="Open Sans" w:eastAsia="Times New Roman" w:hAnsi="Open Sans" w:cs="Open Sans"/>
          <w:lang w:eastAsia="en-GB"/>
        </w:rPr>
        <w:t xml:space="preserve"> still maintain regulatory clarity and consistent direction of travel to maintain investor confidence and enable long-term planning for projects. </w:t>
      </w:r>
    </w:p>
    <w:p w:rsidR="00B655F3" w:rsidRPr="00416A29" w:rsidP="00CA2ED1" w14:paraId="30B7D324" w14:textId="77777777">
      <w:pPr>
        <w:spacing w:after="0" w:line="240" w:lineRule="auto"/>
        <w:rPr>
          <w:rFonts w:ascii="Open Sans" w:eastAsia="Times New Roman" w:hAnsi="Open Sans" w:cs="Open Sans"/>
          <w:b/>
          <w:bCs/>
          <w:lang w:eastAsia="en-GB"/>
        </w:rPr>
      </w:pPr>
    </w:p>
    <w:p w:rsidR="00CA2ED1" w:rsidRPr="00416A29" w:rsidP="00CA2ED1" w14:paraId="66C279D5" w14:textId="4054DF6D">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10. Which factors should be considered when assessing the suitability of different policy options for businesses?</w:t>
      </w:r>
    </w:p>
    <w:p w:rsidR="00F457C7" w:rsidRPr="00416A29" w:rsidP="00CA2ED1" w14:paraId="79CAEB6F" w14:textId="5F5B0389">
      <w:pPr>
        <w:spacing w:after="0" w:line="240" w:lineRule="auto"/>
        <w:rPr>
          <w:rFonts w:ascii="Open Sans" w:eastAsia="Times New Roman" w:hAnsi="Open Sans" w:cs="Open Sans"/>
          <w:b/>
          <w:bCs/>
          <w:i/>
          <w:iCs/>
          <w:lang w:eastAsia="en-GB"/>
        </w:rPr>
      </w:pPr>
    </w:p>
    <w:p w:rsidR="00F457C7" w:rsidRPr="00416A29" w:rsidP="00CA2ED1" w14:paraId="41A37B62" w14:textId="33ABCA5B">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Considerations should include:</w:t>
      </w:r>
    </w:p>
    <w:p w:rsidR="00F864EB" w:rsidRPr="00416A29" w:rsidP="00CA2ED1" w14:paraId="607ECEB6" w14:textId="77777777">
      <w:pPr>
        <w:spacing w:after="0" w:line="240" w:lineRule="auto"/>
        <w:rPr>
          <w:rFonts w:ascii="Open Sans" w:eastAsia="Times New Roman" w:hAnsi="Open Sans" w:cs="Open Sans"/>
          <w:lang w:eastAsia="en-GB"/>
        </w:rPr>
      </w:pPr>
    </w:p>
    <w:p w:rsidR="00F457C7" w:rsidRPr="00416A29" w:rsidP="00F457C7" w14:paraId="6EB20045" w14:textId="771ECB4D">
      <w:pPr>
        <w:pStyle w:val="ListParagraph"/>
        <w:numPr>
          <w:ilvl w:val="0"/>
          <w:numId w:val="3"/>
        </w:numPr>
        <w:spacing w:after="0" w:line="240" w:lineRule="auto"/>
        <w:rPr>
          <w:rFonts w:ascii="Open Sans" w:eastAsia="Times New Roman" w:hAnsi="Open Sans" w:cs="Open Sans"/>
          <w:lang w:eastAsia="en-GB"/>
        </w:rPr>
      </w:pPr>
      <w:r w:rsidRPr="00416A29">
        <w:rPr>
          <w:rFonts w:ascii="Open Sans" w:eastAsia="Times New Roman" w:hAnsi="Open Sans" w:cs="Open Sans"/>
          <w:b/>
          <w:bCs/>
          <w:i/>
          <w:iCs/>
          <w:lang w:eastAsia="en-GB"/>
        </w:rPr>
        <w:t xml:space="preserve">Bankability </w:t>
      </w:r>
      <w:r w:rsidRPr="00416A29">
        <w:rPr>
          <w:rFonts w:ascii="Open Sans" w:eastAsia="Times New Roman" w:hAnsi="Open Sans" w:cs="Open Sans"/>
          <w:lang w:eastAsia="en-GB"/>
        </w:rPr>
        <w:t xml:space="preserve">– the ability for developers to build a viable business case that will enable financiers to invest in the project. </w:t>
      </w:r>
    </w:p>
    <w:p w:rsidR="00F457C7" w:rsidRPr="00416A29" w:rsidP="00F457C7" w14:paraId="736A467A" w14:textId="0E42D308">
      <w:pPr>
        <w:pStyle w:val="ListParagraph"/>
        <w:numPr>
          <w:ilvl w:val="0"/>
          <w:numId w:val="3"/>
        </w:numPr>
        <w:spacing w:after="0" w:line="240" w:lineRule="auto"/>
        <w:rPr>
          <w:rFonts w:ascii="Open Sans" w:eastAsia="Times New Roman" w:hAnsi="Open Sans" w:cs="Open Sans"/>
          <w:lang w:eastAsia="en-GB"/>
        </w:rPr>
      </w:pPr>
      <w:r w:rsidRPr="00416A29">
        <w:rPr>
          <w:rFonts w:ascii="Open Sans" w:eastAsia="Times New Roman" w:hAnsi="Open Sans" w:cs="Open Sans"/>
          <w:b/>
          <w:bCs/>
          <w:i/>
          <w:iCs/>
          <w:lang w:eastAsia="en-GB"/>
        </w:rPr>
        <w:t>Fair cost-sharing and value for money</w:t>
      </w:r>
      <w:r w:rsidRPr="00416A29">
        <w:rPr>
          <w:rFonts w:ascii="Open Sans" w:eastAsia="Times New Roman" w:hAnsi="Open Sans" w:cs="Open Sans"/>
          <w:lang w:eastAsia="en-GB"/>
        </w:rPr>
        <w:t xml:space="preserve"> – costs need to be shared appropriately across beneficiaries, including the additional products from GGR activities, for example, BEECS producing both negative emissions and renewable energy, or nature-based solutions providing further environmental benefits.  </w:t>
      </w:r>
    </w:p>
    <w:p w:rsidR="00F457C7" w:rsidRPr="00416A29" w:rsidP="00F457C7" w14:paraId="70C89FB4" w14:textId="64450334">
      <w:pPr>
        <w:pStyle w:val="ListParagraph"/>
        <w:numPr>
          <w:ilvl w:val="0"/>
          <w:numId w:val="3"/>
        </w:numPr>
        <w:spacing w:after="0" w:line="240" w:lineRule="auto"/>
        <w:rPr>
          <w:rFonts w:ascii="Open Sans" w:eastAsia="Times New Roman" w:hAnsi="Open Sans" w:cs="Open Sans"/>
          <w:i/>
          <w:iCs/>
          <w:lang w:eastAsia="en-GB"/>
        </w:rPr>
      </w:pPr>
      <w:r w:rsidRPr="00416A29">
        <w:rPr>
          <w:rFonts w:ascii="Open Sans" w:eastAsia="Times New Roman" w:hAnsi="Open Sans" w:cs="Open Sans"/>
          <w:b/>
          <w:bCs/>
          <w:i/>
          <w:iCs/>
          <w:lang w:eastAsia="en-GB"/>
        </w:rPr>
        <w:t>Ability to enable existing sectors to transition</w:t>
      </w:r>
      <w:r w:rsidRPr="00416A29">
        <w:rPr>
          <w:rFonts w:ascii="Open Sans" w:eastAsia="Times New Roman" w:hAnsi="Open Sans" w:cs="Open Sans"/>
          <w:lang w:eastAsia="en-GB"/>
        </w:rPr>
        <w:t xml:space="preserve"> – GGR delivery will depend on existing </w:t>
      </w:r>
      <w:r w:rsidRPr="00416A29" w:rsidR="00B655F3">
        <w:rPr>
          <w:rFonts w:ascii="Open Sans" w:eastAsia="Times New Roman" w:hAnsi="Open Sans" w:cs="Open Sans"/>
          <w:lang w:eastAsia="en-GB"/>
        </w:rPr>
        <w:t xml:space="preserve">supply chains, </w:t>
      </w:r>
      <w:r w:rsidRPr="00416A29">
        <w:rPr>
          <w:rFonts w:ascii="Open Sans" w:eastAsia="Times New Roman" w:hAnsi="Open Sans" w:cs="Open Sans"/>
          <w:lang w:eastAsia="en-GB"/>
        </w:rPr>
        <w:t>knowledge,</w:t>
      </w:r>
      <w:r w:rsidRPr="00416A29" w:rsidR="00B655F3">
        <w:rPr>
          <w:rFonts w:ascii="Open Sans" w:eastAsia="Times New Roman" w:hAnsi="Open Sans" w:cs="Open Sans"/>
          <w:lang w:eastAsia="en-GB"/>
        </w:rPr>
        <w:t xml:space="preserve"> existing investor confidence.</w:t>
      </w:r>
      <w:r w:rsidRPr="00416A29">
        <w:rPr>
          <w:rFonts w:ascii="Open Sans" w:eastAsia="Times New Roman" w:hAnsi="Open Sans" w:cs="Open Sans"/>
          <w:lang w:eastAsia="en-GB"/>
        </w:rPr>
        <w:t xml:space="preserve"> Any new framework </w:t>
      </w:r>
      <w:r w:rsidRPr="00416A29">
        <w:rPr>
          <w:rFonts w:ascii="Open Sans" w:eastAsia="Times New Roman" w:hAnsi="Open Sans" w:cs="Open Sans"/>
          <w:lang w:eastAsia="en-GB"/>
        </w:rPr>
        <w:t>should aim to also support these foundational sectors and avoid contraction. This means being able to both deliver innovation and see existing sectors adopt that innovation.</w:t>
      </w:r>
    </w:p>
    <w:p w:rsidR="00B655F3" w:rsidRPr="00416A29" w:rsidP="00CA2ED1" w14:paraId="63BDD7ED" w14:textId="653ED31A">
      <w:pPr>
        <w:pStyle w:val="ListParagraph"/>
        <w:numPr>
          <w:ilvl w:val="0"/>
          <w:numId w:val="3"/>
        </w:numPr>
        <w:spacing w:after="0" w:line="240" w:lineRule="auto"/>
        <w:rPr>
          <w:rFonts w:ascii="Open Sans" w:eastAsia="Times New Roman" w:hAnsi="Open Sans" w:cs="Open Sans"/>
          <w:i/>
          <w:iCs/>
          <w:lang w:eastAsia="en-GB"/>
        </w:rPr>
      </w:pPr>
      <w:r w:rsidRPr="00416A29">
        <w:rPr>
          <w:rFonts w:ascii="Open Sans" w:eastAsia="Times New Roman" w:hAnsi="Open Sans" w:cs="Open Sans"/>
          <w:b/>
          <w:bCs/>
          <w:i/>
          <w:iCs/>
          <w:lang w:eastAsia="en-GB"/>
        </w:rPr>
        <w:t>Long term stability</w:t>
      </w:r>
      <w:r w:rsidRPr="00416A29">
        <w:rPr>
          <w:rFonts w:ascii="Open Sans" w:eastAsia="Times New Roman" w:hAnsi="Open Sans" w:cs="Open Sans"/>
          <w:lang w:eastAsia="en-GB"/>
        </w:rPr>
        <w:t xml:space="preserve"> – as seen with the CfD, investors are favourable to long term predictable contracts. This helps manage and allocate risks appropriately. This needs to be replicated in future GGR policy frameworks.</w:t>
      </w:r>
    </w:p>
    <w:p w:rsidR="00F457C7" w:rsidRPr="00416A29" w:rsidP="00CA2ED1" w14:paraId="6E411144" w14:textId="00E953BD">
      <w:pPr>
        <w:pStyle w:val="ListParagraph"/>
        <w:numPr>
          <w:ilvl w:val="0"/>
          <w:numId w:val="3"/>
        </w:numPr>
        <w:spacing w:after="0" w:line="240" w:lineRule="auto"/>
        <w:rPr>
          <w:rFonts w:ascii="Open Sans" w:eastAsia="Times New Roman" w:hAnsi="Open Sans" w:cs="Open Sans"/>
          <w:i/>
          <w:iCs/>
          <w:lang w:eastAsia="en-GB"/>
        </w:rPr>
      </w:pPr>
      <w:r w:rsidRPr="00416A29">
        <w:rPr>
          <w:rFonts w:ascii="Open Sans" w:eastAsia="Times New Roman" w:hAnsi="Open Sans" w:cs="Open Sans"/>
          <w:b/>
          <w:bCs/>
          <w:i/>
          <w:iCs/>
          <w:lang w:eastAsia="en-GB"/>
        </w:rPr>
        <w:t>F</w:t>
      </w:r>
      <w:r w:rsidRPr="00416A29">
        <w:rPr>
          <w:rFonts w:ascii="Open Sans" w:eastAsia="Times New Roman" w:hAnsi="Open Sans" w:cs="Open Sans"/>
          <w:b/>
          <w:bCs/>
          <w:i/>
          <w:iCs/>
          <w:lang w:eastAsia="en-GB"/>
        </w:rPr>
        <w:t>requency of support</w:t>
      </w:r>
      <w:r w:rsidRPr="00416A29">
        <w:rPr>
          <w:rFonts w:ascii="Open Sans" w:eastAsia="Times New Roman" w:hAnsi="Open Sans" w:cs="Open Sans"/>
          <w:lang w:eastAsia="en-GB"/>
        </w:rPr>
        <w:t xml:space="preserve"> – if using a mechanism </w:t>
      </w:r>
      <w:r w:rsidRPr="00416A29" w:rsidR="009D36A4">
        <w:rPr>
          <w:rFonts w:ascii="Open Sans" w:eastAsia="Times New Roman" w:hAnsi="Open Sans" w:cs="Open Sans"/>
          <w:lang w:eastAsia="en-GB"/>
        </w:rPr>
        <w:t xml:space="preserve">based on allocation windows, </w:t>
      </w:r>
      <w:r w:rsidRPr="00416A29">
        <w:rPr>
          <w:rFonts w:ascii="Open Sans" w:eastAsia="Times New Roman" w:hAnsi="Open Sans" w:cs="Open Sans"/>
          <w:lang w:eastAsia="en-GB"/>
        </w:rPr>
        <w:t xml:space="preserve">a clear timetable for future allocations should be set well in advance allowing </w:t>
      </w:r>
      <w:r w:rsidRPr="00416A29">
        <w:rPr>
          <w:rFonts w:ascii="Open Sans" w:eastAsia="Times New Roman" w:hAnsi="Open Sans" w:cs="Open Sans"/>
          <w:lang w:eastAsia="en-GB"/>
        </w:rPr>
        <w:t>developers</w:t>
      </w:r>
      <w:r w:rsidRPr="00416A29">
        <w:rPr>
          <w:rFonts w:ascii="Open Sans" w:eastAsia="Times New Roman" w:hAnsi="Open Sans" w:cs="Open Sans"/>
          <w:lang w:eastAsia="en-GB"/>
        </w:rPr>
        <w:t xml:space="preserve"> to </w:t>
      </w:r>
      <w:r w:rsidRPr="00416A29">
        <w:rPr>
          <w:rFonts w:ascii="Open Sans" w:eastAsia="Times New Roman" w:hAnsi="Open Sans" w:cs="Open Sans"/>
          <w:lang w:eastAsia="en-GB"/>
        </w:rPr>
        <w:t>plan a pipeline of projects. Current arrangements of the CfD happening every two years are both too vague</w:t>
      </w:r>
      <w:r w:rsidRPr="00416A29" w:rsidR="009D36A4">
        <w:rPr>
          <w:rFonts w:ascii="Open Sans" w:eastAsia="Times New Roman" w:hAnsi="Open Sans" w:cs="Open Sans"/>
          <w:lang w:eastAsia="en-GB"/>
        </w:rPr>
        <w:t xml:space="preserve"> </w:t>
      </w:r>
      <w:r w:rsidRPr="00416A29">
        <w:rPr>
          <w:rFonts w:ascii="Open Sans" w:eastAsia="Times New Roman" w:hAnsi="Open Sans" w:cs="Open Sans"/>
          <w:lang w:eastAsia="en-GB"/>
        </w:rPr>
        <w:t xml:space="preserve">and </w:t>
      </w:r>
      <w:r w:rsidRPr="00416A29" w:rsidR="009D36A4">
        <w:rPr>
          <w:rFonts w:ascii="Open Sans" w:eastAsia="Times New Roman" w:hAnsi="Open Sans" w:cs="Open Sans"/>
          <w:lang w:eastAsia="en-GB"/>
        </w:rPr>
        <w:t>too infrequent</w:t>
      </w:r>
      <w:r w:rsidRPr="00416A29">
        <w:rPr>
          <w:rFonts w:ascii="Open Sans" w:eastAsia="Times New Roman" w:hAnsi="Open Sans" w:cs="Open Sans"/>
          <w:lang w:eastAsia="en-GB"/>
        </w:rPr>
        <w:t xml:space="preserve">. </w:t>
      </w:r>
    </w:p>
    <w:p w:rsidR="00F864EB" w:rsidRPr="00416A29" w:rsidP="00CA2ED1" w14:paraId="1E153745" w14:textId="6C0F90C4">
      <w:pPr>
        <w:pStyle w:val="ListParagraph"/>
        <w:numPr>
          <w:ilvl w:val="0"/>
          <w:numId w:val="3"/>
        </w:numPr>
        <w:spacing w:after="0" w:line="240" w:lineRule="auto"/>
        <w:rPr>
          <w:rFonts w:ascii="Open Sans" w:eastAsia="Times New Roman" w:hAnsi="Open Sans" w:cs="Open Sans"/>
          <w:i/>
          <w:iCs/>
          <w:lang w:eastAsia="en-GB"/>
        </w:rPr>
      </w:pPr>
      <w:r w:rsidRPr="00416A29">
        <w:rPr>
          <w:rFonts w:ascii="Open Sans" w:eastAsia="Times New Roman" w:hAnsi="Open Sans" w:cs="Open Sans"/>
          <w:b/>
          <w:bCs/>
          <w:i/>
          <w:iCs/>
          <w:lang w:eastAsia="en-GB"/>
        </w:rPr>
        <w:t>Transparency</w:t>
      </w:r>
      <w:r w:rsidRPr="00416A29">
        <w:rPr>
          <w:rFonts w:ascii="Open Sans" w:eastAsia="Times New Roman" w:hAnsi="Open Sans" w:cs="Open Sans"/>
          <w:lang w:eastAsia="en-GB"/>
        </w:rPr>
        <w:t xml:space="preserve"> – any awarding process for support must be transparent and then increasingly competitive to help drive down costs. </w:t>
      </w:r>
    </w:p>
    <w:p w:rsidR="00F864EB" w:rsidRPr="00416A29" w:rsidP="00CA2ED1" w14:paraId="1860B7E2" w14:textId="777C529A">
      <w:pPr>
        <w:pStyle w:val="ListParagraph"/>
        <w:numPr>
          <w:ilvl w:val="0"/>
          <w:numId w:val="3"/>
        </w:numPr>
        <w:spacing w:after="0" w:line="240" w:lineRule="auto"/>
        <w:rPr>
          <w:rFonts w:ascii="Open Sans" w:eastAsia="Times New Roman" w:hAnsi="Open Sans" w:cs="Open Sans"/>
          <w:i/>
          <w:iCs/>
          <w:lang w:eastAsia="en-GB"/>
        </w:rPr>
      </w:pPr>
      <w:r w:rsidRPr="00416A29">
        <w:rPr>
          <w:rFonts w:ascii="Open Sans" w:eastAsia="Times New Roman" w:hAnsi="Open Sans" w:cs="Open Sans"/>
          <w:b/>
          <w:bCs/>
          <w:i/>
          <w:iCs/>
          <w:lang w:eastAsia="en-GB"/>
        </w:rPr>
        <w:t>Transition to a market-based approach</w:t>
      </w:r>
      <w:r w:rsidRPr="00416A29">
        <w:rPr>
          <w:rFonts w:ascii="Open Sans" w:eastAsia="Times New Roman" w:hAnsi="Open Sans" w:cs="Open Sans"/>
          <w:lang w:eastAsia="en-GB"/>
        </w:rPr>
        <w:t xml:space="preserve"> – Government intentions and target dates should be set for the industry to deliver against when the government aim to see a full transition to a market-based mechanism. </w:t>
      </w:r>
      <w:r w:rsidRPr="00416A29" w:rsidR="00305C44">
        <w:rPr>
          <w:rFonts w:ascii="Open Sans" w:eastAsia="Times New Roman" w:hAnsi="Open Sans" w:cs="Open Sans"/>
          <w:lang w:eastAsia="en-GB"/>
        </w:rPr>
        <w:t>Such targets should have suitable review periods built into them.</w:t>
      </w:r>
    </w:p>
    <w:p w:rsidR="00F457C7" w:rsidRPr="00416A29" w:rsidP="00F457C7" w14:paraId="7D41B8CA" w14:textId="4F74ABD1">
      <w:pPr>
        <w:spacing w:after="0" w:line="240" w:lineRule="auto"/>
        <w:ind w:left="360"/>
        <w:rPr>
          <w:rFonts w:ascii="Open Sans" w:eastAsia="Times New Roman" w:hAnsi="Open Sans" w:cs="Open Sans"/>
          <w:i/>
          <w:iCs/>
          <w:lang w:eastAsia="en-GB"/>
        </w:rPr>
      </w:pPr>
    </w:p>
    <w:p w:rsidR="00CA2ED1" w:rsidRPr="00416A29" w:rsidP="00CA2ED1" w14:paraId="296E9E94" w14:textId="1CC5F8EB">
      <w:pPr>
        <w:spacing w:after="0" w:line="240" w:lineRule="auto"/>
        <w:rPr>
          <w:rFonts w:ascii="Open Sans" w:eastAsia="Times New Roman" w:hAnsi="Open Sans" w:cs="Open Sans"/>
          <w:b/>
          <w:bCs/>
          <w:lang w:eastAsia="en-GB"/>
        </w:rPr>
      </w:pPr>
      <w:r w:rsidRPr="00416A29">
        <w:rPr>
          <w:rFonts w:ascii="Open Sans" w:eastAsia="Times New Roman" w:hAnsi="Open Sans" w:cs="Open Sans"/>
          <w:b/>
          <w:bCs/>
          <w:i/>
          <w:iCs/>
          <w:lang w:eastAsia="en-GB"/>
        </w:rPr>
        <w:t xml:space="preserve">11. Are there any existing business models in other sectors – such as power, industry, </w:t>
      </w:r>
      <w:r w:rsidRPr="00416A29">
        <w:rPr>
          <w:rFonts w:ascii="Open Sans" w:eastAsia="Times New Roman" w:hAnsi="Open Sans" w:cs="Open Sans"/>
          <w:b/>
          <w:bCs/>
          <w:i/>
          <w:iCs/>
          <w:lang w:eastAsia="en-GB"/>
        </w:rPr>
        <w:t>transport</w:t>
      </w:r>
      <w:r w:rsidRPr="00416A29">
        <w:rPr>
          <w:rFonts w:ascii="Open Sans" w:eastAsia="Times New Roman" w:hAnsi="Open Sans" w:cs="Open Sans"/>
          <w:b/>
          <w:bCs/>
          <w:i/>
          <w:iCs/>
          <w:lang w:eastAsia="en-GB"/>
        </w:rPr>
        <w:t xml:space="preserve"> or land use – that could complement new schemes to incentivise GGRs?</w:t>
      </w:r>
    </w:p>
    <w:p w:rsidR="009A4577" w:rsidRPr="00416A29" w:rsidP="00CA2ED1" w14:paraId="71EB1B0C" w14:textId="7BCD0B28">
      <w:pPr>
        <w:spacing w:after="0" w:line="240" w:lineRule="auto"/>
        <w:rPr>
          <w:rFonts w:ascii="Open Sans" w:eastAsia="Times New Roman" w:hAnsi="Open Sans" w:cs="Open Sans"/>
          <w:b/>
          <w:bCs/>
          <w:lang w:eastAsia="en-GB"/>
        </w:rPr>
      </w:pPr>
    </w:p>
    <w:p w:rsidR="00F864EB" w:rsidRPr="00416A29" w:rsidP="00F864EB" w14:paraId="2B802642" w14:textId="6828A7A4">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Within the bioenergy sector, there are current support mechanisms that could be adapted to also reward negative emissions. As discussed, we believe a CfD based mechanism for BECCS, to reward renewable power production, combined with a separate carbon payment for negative emissions is a useful combination for delivering biomass power projects with CCS.  Such a payment also has the advantage of being adaptable to other foundational technologies, operating in conjunction with other support mechanisms that deliver different renewable energy supplies such as the RTFO, RHI or future mechanism aimed at hydrogen production. Equally, existing infrastructure, such as AD sites or other bioenergy producers, could utilise the carbon payments to enable further investment for the retrofitting of CCS technologies as the CCC identify as required by the mid-2030s. </w:t>
      </w:r>
    </w:p>
    <w:p w:rsidR="00F864EB" w:rsidRPr="00416A29" w:rsidP="00CA2ED1" w14:paraId="04320515" w14:textId="4AE7EC40">
      <w:pPr>
        <w:spacing w:after="0" w:line="240" w:lineRule="auto"/>
        <w:rPr>
          <w:rFonts w:ascii="Open Sans" w:eastAsia="Times New Roman" w:hAnsi="Open Sans" w:cs="Open Sans"/>
          <w:lang w:eastAsia="en-GB"/>
        </w:rPr>
      </w:pPr>
    </w:p>
    <w:p w:rsidR="00BF571B" w:rsidRPr="00416A29" w:rsidP="00BF571B" w14:paraId="627FF1FA" w14:textId="77777777">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Over time, assuming the UK ETS matures successfully, the carbon payment will likely be able to transition to a straight market-based price that ensures ongoing revenue for negative emission production.</w:t>
      </w:r>
    </w:p>
    <w:p w:rsidR="00BF571B" w:rsidRPr="00416A29" w:rsidP="00CA2ED1" w14:paraId="3E5F20F3" w14:textId="6172ECA5">
      <w:pPr>
        <w:spacing w:after="0" w:line="240" w:lineRule="auto"/>
        <w:rPr>
          <w:rFonts w:ascii="Open Sans" w:eastAsia="Times New Roman" w:hAnsi="Open Sans" w:cs="Open Sans"/>
          <w:lang w:eastAsia="en-GB"/>
        </w:rPr>
      </w:pPr>
    </w:p>
    <w:p w:rsidR="00BF571B" w:rsidRPr="00416A29" w:rsidP="00CA2ED1" w14:paraId="10ED5434" w14:textId="602749D0">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In the agriculture and forestry sectors, consideration should be given to how direct payments such as those being developed within the Environmental Land Management Scheme and England Tree Strategy could also be used to deliver nature-based GGRs by rewarding carbon-fixing in soils, tree growth and habitat restoration. </w:t>
      </w:r>
    </w:p>
    <w:p w:rsidR="00CA2ED1" w:rsidRPr="00416A29" w:rsidP="00CA2ED1" w14:paraId="13C64CDD" w14:textId="77777777">
      <w:pPr>
        <w:spacing w:after="0" w:line="240" w:lineRule="auto"/>
        <w:rPr>
          <w:rFonts w:ascii="Open Sans" w:eastAsia="Times New Roman" w:hAnsi="Open Sans" w:cs="Open Sans"/>
          <w:b/>
          <w:bCs/>
          <w:i/>
          <w:iCs/>
          <w:lang w:eastAsia="en-GB"/>
        </w:rPr>
      </w:pPr>
    </w:p>
    <w:p w:rsidR="009A4577" w:rsidRPr="00416A29" w:rsidP="00CA2ED1" w14:paraId="648294BA" w14:textId="5E47A78C">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12. Are price instruments or quantity instruments likely to be more effective in encouraging and sustaining the deployment of GGRs? Or will a combination be required?</w:t>
      </w:r>
    </w:p>
    <w:p w:rsidR="00BF571B" w:rsidRPr="00416A29" w:rsidP="00CA2ED1" w14:paraId="7DF39C3E" w14:textId="05BDF66E">
      <w:pPr>
        <w:spacing w:after="0" w:line="240" w:lineRule="auto"/>
        <w:rPr>
          <w:rFonts w:ascii="Open Sans" w:eastAsia="Times New Roman" w:hAnsi="Open Sans" w:cs="Open Sans"/>
          <w:b/>
          <w:bCs/>
          <w:i/>
          <w:iCs/>
          <w:lang w:eastAsia="en-GB"/>
        </w:rPr>
      </w:pPr>
    </w:p>
    <w:p w:rsidR="00BF571B" w:rsidRPr="00416A29" w:rsidP="00CA2ED1" w14:paraId="63A38FD5" w14:textId="2635E4BA">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A combination of both is likely required to ensure a variety of options are commercialised. Quantity based instruments might be important in establishing sectors, while cost-based metrics will help sustain deployment and drive down costs. Support must both address the capital expenditure and ongoing operational costs of realising negative emissions. As such a </w:t>
      </w:r>
      <w:r w:rsidRPr="00416A29">
        <w:rPr>
          <w:rFonts w:ascii="Open Sans" w:eastAsia="Times New Roman" w:hAnsi="Open Sans" w:cs="Open Sans"/>
          <w:lang w:eastAsia="en-GB"/>
        </w:rPr>
        <w:t xml:space="preserve">quantitative approach may see significant early deployment but a price instrument will be needed to sustain the industry in the longer term. </w:t>
      </w:r>
    </w:p>
    <w:p w:rsidR="00B700DD" w:rsidRPr="00416A29" w:rsidP="00CA2ED1" w14:paraId="7284C7D4" w14:textId="6AF306A0">
      <w:pPr>
        <w:spacing w:after="0" w:line="240" w:lineRule="auto"/>
        <w:rPr>
          <w:rFonts w:ascii="Open Sans" w:eastAsia="Times New Roman" w:hAnsi="Open Sans" w:cs="Open Sans"/>
          <w:lang w:eastAsia="en-GB"/>
        </w:rPr>
      </w:pPr>
    </w:p>
    <w:p w:rsidR="009A4577" w:rsidRPr="00416A29" w:rsidP="00B700DD" w14:paraId="58AFD390" w14:textId="3C6D8150">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Lessons can be learned from other sectors.</w:t>
      </w:r>
      <w:r w:rsidRPr="00416A29">
        <w:rPr>
          <w:rFonts w:ascii="Open Sans" w:eastAsia="Times New Roman" w:hAnsi="Open Sans" w:cs="Open Sans"/>
          <w:b/>
          <w:bCs/>
          <w:lang w:eastAsia="en-GB"/>
        </w:rPr>
        <w:t xml:space="preserve"> </w:t>
      </w:r>
      <w:r w:rsidRPr="00416A29">
        <w:rPr>
          <w:rFonts w:ascii="Open Sans" w:eastAsia="Times New Roman" w:hAnsi="Open Sans" w:cs="Open Sans"/>
          <w:lang w:eastAsia="en-GB"/>
        </w:rPr>
        <w:t xml:space="preserve">While predominantly a price-based instrument, the early days of the renewable heat incentive were focused on driving the number of renewable heat systems. In many cases, it did so at the cost of quality and did not effectively drive down costs in a sustainable fashion. This has had led to long term legacy issues for the renewable heat sector, </w:t>
      </w:r>
      <w:r w:rsidRPr="00416A29" w:rsidR="00305C44">
        <w:rPr>
          <w:rFonts w:ascii="Open Sans" w:eastAsia="Times New Roman" w:hAnsi="Open Sans" w:cs="Open Sans"/>
          <w:lang w:eastAsia="en-GB"/>
        </w:rPr>
        <w:t xml:space="preserve">now resolved, </w:t>
      </w:r>
      <w:r w:rsidRPr="00416A29">
        <w:rPr>
          <w:rFonts w:ascii="Open Sans" w:eastAsia="Times New Roman" w:hAnsi="Open Sans" w:cs="Open Sans"/>
          <w:lang w:eastAsia="en-GB"/>
        </w:rPr>
        <w:t>requiring better standards and better-focused price instruments to be introduced to deliver a sustainable sector today. As such</w:t>
      </w:r>
      <w:r w:rsidRPr="00416A29" w:rsidR="00305C44">
        <w:rPr>
          <w:rFonts w:ascii="Open Sans" w:eastAsia="Times New Roman" w:hAnsi="Open Sans" w:cs="Open Sans"/>
          <w:lang w:eastAsia="en-GB"/>
        </w:rPr>
        <w:t xml:space="preserve">, </w:t>
      </w:r>
      <w:r w:rsidRPr="00416A29">
        <w:rPr>
          <w:rFonts w:ascii="Open Sans" w:eastAsia="Times New Roman" w:hAnsi="Open Sans" w:cs="Open Sans"/>
          <w:lang w:eastAsia="en-GB"/>
        </w:rPr>
        <w:t xml:space="preserve">the focus must be on strong support system design, with quality standards in place from the start. </w:t>
      </w:r>
    </w:p>
    <w:p w:rsidR="00CA2ED1" w:rsidRPr="00416A29" w:rsidP="00CA2ED1" w14:paraId="6AFE485A" w14:textId="77777777">
      <w:pPr>
        <w:spacing w:after="0" w:line="240" w:lineRule="auto"/>
        <w:rPr>
          <w:rFonts w:ascii="Open Sans" w:eastAsia="Times New Roman" w:hAnsi="Open Sans" w:cs="Open Sans"/>
          <w:b/>
          <w:bCs/>
          <w:i/>
          <w:iCs/>
          <w:lang w:eastAsia="en-GB"/>
        </w:rPr>
      </w:pPr>
    </w:p>
    <w:p w:rsidR="00CA2ED1" w:rsidRPr="00416A29" w:rsidP="00CA2ED1" w14:paraId="382A8F05" w14:textId="2C0BD458">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xml:space="preserve">13. How far should a policy framework aspire to be </w:t>
      </w:r>
      <w:r w:rsidRPr="00416A29" w:rsidR="00B5597E">
        <w:rPr>
          <w:rFonts w:ascii="Open Sans" w:eastAsia="Times New Roman" w:hAnsi="Open Sans" w:cs="Open Sans"/>
          <w:b/>
          <w:bCs/>
          <w:i/>
          <w:iCs/>
          <w:lang w:eastAsia="en-GB"/>
        </w:rPr>
        <w:t>technology-neutral</w:t>
      </w:r>
      <w:r w:rsidRPr="00416A29">
        <w:rPr>
          <w:rFonts w:ascii="Open Sans" w:eastAsia="Times New Roman" w:hAnsi="Open Sans" w:cs="Open Sans"/>
          <w:b/>
          <w:bCs/>
          <w:i/>
          <w:iCs/>
          <w:lang w:eastAsia="en-GB"/>
        </w:rPr>
        <w:t xml:space="preserve"> between different GGR options?</w:t>
      </w:r>
    </w:p>
    <w:p w:rsidR="00CA2ED1" w:rsidRPr="00416A29" w:rsidP="00CA2ED1" w14:paraId="53BD8310" w14:textId="78EB4E19">
      <w:pPr>
        <w:spacing w:after="0" w:line="240" w:lineRule="auto"/>
        <w:rPr>
          <w:rFonts w:ascii="Open Sans" w:eastAsia="Times New Roman" w:hAnsi="Open Sans" w:cs="Open Sans"/>
          <w:i/>
          <w:iCs/>
          <w:lang w:eastAsia="en-GB"/>
        </w:rPr>
      </w:pPr>
    </w:p>
    <w:p w:rsidR="00B700DD" w:rsidRPr="00416A29" w:rsidP="00CA2ED1" w14:paraId="76201847" w14:textId="3B59AEAF">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Given the </w:t>
      </w:r>
      <w:r w:rsidRPr="00416A29" w:rsidR="00B5597E">
        <w:rPr>
          <w:rFonts w:ascii="Open Sans" w:eastAsia="Times New Roman" w:hAnsi="Open Sans" w:cs="Open Sans"/>
          <w:lang w:eastAsia="en-GB"/>
        </w:rPr>
        <w:t>breadth</w:t>
      </w:r>
      <w:r w:rsidRPr="00416A29">
        <w:rPr>
          <w:rFonts w:ascii="Open Sans" w:eastAsia="Times New Roman" w:hAnsi="Open Sans" w:cs="Open Sans"/>
          <w:lang w:eastAsia="en-GB"/>
        </w:rPr>
        <w:t xml:space="preserve"> of GGR technologies, operating across a wide range of different sectors, we believe </w:t>
      </w:r>
      <w:r w:rsidRPr="00416A29" w:rsidR="00B5597E">
        <w:rPr>
          <w:rFonts w:ascii="Open Sans" w:eastAsia="Times New Roman" w:hAnsi="Open Sans" w:cs="Open Sans"/>
          <w:lang w:eastAsia="en-GB"/>
        </w:rPr>
        <w:t xml:space="preserve">a technology-neutral approach should be a longer-term ambition for policymakers, enabled by the successful establishment of a carbon market for negative emissions in the future. In the immediate term more bespoke mechanisms are going to be required, that take into consideration, both the different technology readiness levels of technologies and the status of the foundational sectors into which they are being introduced. </w:t>
      </w:r>
    </w:p>
    <w:p w:rsidR="00B5597E" w:rsidRPr="00416A29" w:rsidP="00CA2ED1" w14:paraId="7D9C955C" w14:textId="77777777">
      <w:pPr>
        <w:spacing w:after="0" w:line="240" w:lineRule="auto"/>
        <w:rPr>
          <w:rFonts w:ascii="Open Sans" w:eastAsia="Times New Roman" w:hAnsi="Open Sans" w:cs="Open Sans"/>
          <w:b/>
          <w:bCs/>
          <w:lang w:eastAsia="en-GB"/>
        </w:rPr>
      </w:pPr>
    </w:p>
    <w:p w:rsidR="00CA2ED1" w:rsidRPr="00416A29" w:rsidP="00CA2ED1" w14:paraId="1CA312C7" w14:textId="514CF433">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14</w:t>
      </w:r>
      <w:r w:rsidRPr="00416A29">
        <w:rPr>
          <w:rFonts w:ascii="Open Sans" w:eastAsia="Times New Roman" w:hAnsi="Open Sans" w:cs="Open Sans"/>
          <w:b/>
          <w:bCs/>
          <w:i/>
          <w:iCs/>
          <w:lang w:eastAsia="en-GB"/>
        </w:rPr>
        <w:t>. Could wider support for GGRs have any unintended effects on the development and commercialisation of technologies in other sectors, and how could this be mitigated?</w:t>
      </w:r>
    </w:p>
    <w:p w:rsidR="00CA2ED1" w:rsidRPr="00416A29" w:rsidP="00CA2ED1" w14:paraId="371420EE" w14:textId="77777777">
      <w:pPr>
        <w:spacing w:after="0" w:line="240" w:lineRule="auto"/>
        <w:rPr>
          <w:rFonts w:ascii="Open Sans" w:eastAsia="Times New Roman" w:hAnsi="Open Sans" w:cs="Open Sans"/>
          <w:b/>
          <w:bCs/>
          <w:i/>
          <w:iCs/>
          <w:lang w:eastAsia="en-GB"/>
        </w:rPr>
      </w:pPr>
    </w:p>
    <w:p w:rsidR="00CA2ED1" w:rsidRPr="00416A29" w:rsidP="00CA2ED1" w14:paraId="26311883" w14:textId="31816959">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The deployment of GGRs should complement, and not replace, methods for decarbonisation, eliminating carbon emissions in the first place. However, as evidence from the CCC has demonstrated, GGRs are going to be required to achieve net-zero. As such government should focus on delivering decarbonisation strategies across the UK economy that prioritises decarbonisation while also ensuring GGRs can play their role in delivering negative emissions. Having an effective carbon market will play an important role in seeing this realised by firstly incentivising emission reduction and then by</w:t>
      </w:r>
      <w:r w:rsidRPr="00416A29" w:rsidR="00460476">
        <w:rPr>
          <w:rFonts w:ascii="Open Sans" w:eastAsia="Times New Roman" w:hAnsi="Open Sans" w:cs="Open Sans"/>
          <w:lang w:eastAsia="en-GB"/>
        </w:rPr>
        <w:t>,</w:t>
      </w:r>
      <w:r w:rsidRPr="00416A29">
        <w:rPr>
          <w:rFonts w:ascii="Open Sans" w:eastAsia="Times New Roman" w:hAnsi="Open Sans" w:cs="Open Sans"/>
          <w:lang w:eastAsia="en-GB"/>
        </w:rPr>
        <w:t xml:space="preserve"> secondly</w:t>
      </w:r>
      <w:r w:rsidRPr="00416A29" w:rsidR="00460476">
        <w:rPr>
          <w:rFonts w:ascii="Open Sans" w:eastAsia="Times New Roman" w:hAnsi="Open Sans" w:cs="Open Sans"/>
          <w:lang w:eastAsia="en-GB"/>
        </w:rPr>
        <w:t>,</w:t>
      </w:r>
      <w:r w:rsidRPr="00416A29">
        <w:rPr>
          <w:rFonts w:ascii="Open Sans" w:eastAsia="Times New Roman" w:hAnsi="Open Sans" w:cs="Open Sans"/>
          <w:lang w:eastAsia="en-GB"/>
        </w:rPr>
        <w:t xml:space="preserve"> rewarding negative emission from GGRs. </w:t>
      </w:r>
    </w:p>
    <w:p w:rsidR="003F21FD" w:rsidRPr="00416A29" w:rsidP="00CA2ED1" w14:paraId="53ACDA35" w14:textId="77777777">
      <w:pPr>
        <w:spacing w:after="0" w:line="240" w:lineRule="auto"/>
        <w:rPr>
          <w:rFonts w:ascii="Open Sans" w:eastAsia="Times New Roman" w:hAnsi="Open Sans" w:cs="Open Sans"/>
          <w:lang w:eastAsia="en-GB"/>
        </w:rPr>
      </w:pPr>
    </w:p>
    <w:p w:rsidR="00CA2ED1" w:rsidRPr="00416A29" w:rsidP="00CA2ED1" w14:paraId="448630E2" w14:textId="12042BB8">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15. Are there any international examples that have proved effective at incentivising GGRs? Why were they effective, and are there any barriers to taking similar action in the UK? Are there examples of international approaches that have not worked well?</w:t>
      </w:r>
    </w:p>
    <w:p w:rsidR="009A4577" w:rsidRPr="00416A29" w:rsidP="00CA2ED1" w14:paraId="450DE8C4" w14:textId="383249C2">
      <w:pPr>
        <w:spacing w:after="0" w:line="240" w:lineRule="auto"/>
        <w:rPr>
          <w:rFonts w:ascii="Open Sans" w:eastAsia="Times New Roman" w:hAnsi="Open Sans" w:cs="Open Sans"/>
          <w:b/>
          <w:bCs/>
          <w:lang w:eastAsia="en-GB"/>
        </w:rPr>
      </w:pPr>
      <w:r w:rsidRPr="00416A29">
        <w:rPr>
          <w:rFonts w:ascii="Open Sans" w:eastAsia="Times New Roman" w:hAnsi="Open Sans" w:cs="Open Sans"/>
          <w:b/>
          <w:bCs/>
          <w:lang w:eastAsia="en-GB"/>
        </w:rPr>
        <w:t xml:space="preserve"> - </w:t>
      </w:r>
      <w:r w:rsidRPr="00416A29">
        <w:rPr>
          <w:rFonts w:ascii="Open Sans" w:eastAsia="Times New Roman" w:hAnsi="Open Sans" w:cs="Open Sans"/>
          <w:lang w:eastAsia="en-GB"/>
        </w:rPr>
        <w:t>No REA Response intended</w:t>
      </w:r>
    </w:p>
    <w:p w:rsidR="00CA2ED1" w:rsidRPr="00416A29" w:rsidP="00CA2ED1" w14:paraId="6B0E1907" w14:textId="77777777">
      <w:pPr>
        <w:spacing w:after="0" w:line="240" w:lineRule="auto"/>
        <w:rPr>
          <w:rFonts w:ascii="Open Sans" w:eastAsia="Times New Roman" w:hAnsi="Open Sans" w:cs="Open Sans"/>
          <w:b/>
          <w:bCs/>
          <w:i/>
          <w:iCs/>
          <w:lang w:eastAsia="en-GB"/>
        </w:rPr>
      </w:pPr>
    </w:p>
    <w:p w:rsidR="00CA2ED1" w:rsidRPr="00416A29" w:rsidP="00CA2ED1" w14:paraId="16E313F6"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16. Should the government introduce a tax credit, and if so, how should this be designed? Should it be provided only for specific GGR technologies or a broad range of methods? Would multiple, specific rates be effective at incentivising as much investment as possible?</w:t>
      </w:r>
    </w:p>
    <w:p w:rsidR="00393917" w:rsidRPr="00416A29" w:rsidP="00CA2ED1" w14:paraId="616A9D30" w14:textId="77777777">
      <w:pPr>
        <w:spacing w:after="0" w:line="240" w:lineRule="auto"/>
        <w:rPr>
          <w:rFonts w:ascii="Open Sans" w:eastAsia="Times New Roman" w:hAnsi="Open Sans" w:cs="Open Sans"/>
          <w:b/>
          <w:bCs/>
          <w:lang w:eastAsia="en-GB"/>
        </w:rPr>
      </w:pPr>
    </w:p>
    <w:p w:rsidR="00CA2ED1" w:rsidRPr="00416A29" w:rsidP="00CA2ED1" w14:paraId="208185EF" w14:textId="15603021">
      <w:pPr>
        <w:spacing w:after="0" w:line="240" w:lineRule="auto"/>
        <w:rPr>
          <w:rFonts w:ascii="Open Sans" w:hAnsi="Open Sans" w:cs="Open Sans"/>
        </w:rPr>
      </w:pPr>
      <w:r w:rsidRPr="00416A29">
        <w:rPr>
          <w:rFonts w:ascii="Open Sans" w:hAnsi="Open Sans" w:cs="Open Sans"/>
        </w:rPr>
        <w:t>Tax credits should be used to incentivise the uptake of GGRs</w:t>
      </w:r>
      <w:r w:rsidRPr="00416A29" w:rsidR="003F21FD">
        <w:rPr>
          <w:rFonts w:ascii="Open Sans" w:hAnsi="Open Sans" w:cs="Open Sans"/>
        </w:rPr>
        <w:t xml:space="preserve">. The use of enhanced capital allowances and tax rebates have played a role in enhancing </w:t>
      </w:r>
      <w:r w:rsidRPr="00416A29" w:rsidR="00072814">
        <w:rPr>
          <w:rFonts w:ascii="Open Sans" w:hAnsi="Open Sans" w:cs="Open Sans"/>
        </w:rPr>
        <w:t>revenue</w:t>
      </w:r>
      <w:r w:rsidRPr="00416A29" w:rsidR="003F21FD">
        <w:rPr>
          <w:rFonts w:ascii="Open Sans" w:hAnsi="Open Sans" w:cs="Open Sans"/>
        </w:rPr>
        <w:t xml:space="preserve"> streams from renewables projects, which has helped bring in investors and </w:t>
      </w:r>
      <w:r w:rsidRPr="00416A29" w:rsidR="00072814">
        <w:rPr>
          <w:rFonts w:ascii="Open Sans" w:hAnsi="Open Sans" w:cs="Open Sans"/>
        </w:rPr>
        <w:t>reinforce business models.  However, by themselves tax credits will not address the current lack of revenue for negative emissions</w:t>
      </w:r>
      <w:r w:rsidRPr="00416A29" w:rsidR="00460476">
        <w:rPr>
          <w:rFonts w:ascii="Open Sans" w:hAnsi="Open Sans" w:cs="Open Sans"/>
        </w:rPr>
        <w:t>,</w:t>
      </w:r>
      <w:r w:rsidRPr="00416A29" w:rsidR="00072814">
        <w:rPr>
          <w:rFonts w:ascii="Open Sans" w:hAnsi="Open Sans" w:cs="Open Sans"/>
        </w:rPr>
        <w:t xml:space="preserve"> so a wider </w:t>
      </w:r>
      <w:r w:rsidRPr="00416A29" w:rsidR="00072814">
        <w:rPr>
          <w:rFonts w:ascii="Open Sans" w:hAnsi="Open Sans" w:cs="Open Sans"/>
        </w:rPr>
        <w:t xml:space="preserve">policy mechanism will be required.  Any tax credits introduce must also be consistent and </w:t>
      </w:r>
      <w:r w:rsidRPr="00416A29" w:rsidR="00460476">
        <w:rPr>
          <w:rFonts w:ascii="Open Sans" w:hAnsi="Open Sans" w:cs="Open Sans"/>
        </w:rPr>
        <w:t>avoid regular</w:t>
      </w:r>
      <w:r w:rsidRPr="00416A29" w:rsidR="00072814">
        <w:rPr>
          <w:rFonts w:ascii="Open Sans" w:hAnsi="Open Sans" w:cs="Open Sans"/>
        </w:rPr>
        <w:t xml:space="preserve"> political review within each government budget. </w:t>
      </w:r>
    </w:p>
    <w:p w:rsidR="001904BD" w:rsidRPr="00416A29" w:rsidP="00CA2ED1" w14:paraId="50EF8B21" w14:textId="77777777">
      <w:pPr>
        <w:spacing w:after="0" w:line="240" w:lineRule="auto"/>
        <w:rPr>
          <w:rFonts w:ascii="Open Sans" w:eastAsia="Times New Roman" w:hAnsi="Open Sans" w:cs="Open Sans"/>
          <w:b/>
          <w:bCs/>
          <w:lang w:eastAsia="en-GB"/>
        </w:rPr>
      </w:pPr>
    </w:p>
    <w:p w:rsidR="00CA2ED1" w:rsidRPr="00416A29" w:rsidP="00CA2ED1" w14:paraId="23FBD2D4" w14:textId="10B9583E">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17. Should participants from specific sectors with historical carbon emissions be eligible to apply for the credit or should the credit be economy-wide?</w:t>
      </w:r>
    </w:p>
    <w:p w:rsidR="001904BD" w:rsidRPr="00416A29" w:rsidP="00CA2ED1" w14:paraId="317B018A" w14:textId="56F6DBC1">
      <w:pPr>
        <w:spacing w:after="0" w:line="240" w:lineRule="auto"/>
        <w:rPr>
          <w:rFonts w:ascii="Open Sans" w:eastAsia="Times New Roman" w:hAnsi="Open Sans" w:cs="Open Sans"/>
          <w:b/>
          <w:bCs/>
          <w:i/>
          <w:iCs/>
          <w:lang w:eastAsia="en-GB"/>
        </w:rPr>
      </w:pPr>
    </w:p>
    <w:p w:rsidR="001904BD" w:rsidRPr="00416A29" w:rsidP="00072814" w14:paraId="57596609" w14:textId="2B840866">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Given the range of GGR technologies and sectors involved it is likely it will need to be economy-wide to deliver significant levels of GGRs.</w:t>
      </w:r>
    </w:p>
    <w:p w:rsidR="00CA2ED1" w:rsidRPr="00416A29" w:rsidP="00CA2ED1" w14:paraId="0ED3E0EA" w14:textId="77777777">
      <w:pPr>
        <w:spacing w:after="0" w:line="240" w:lineRule="auto"/>
        <w:rPr>
          <w:rFonts w:ascii="Open Sans" w:eastAsia="Times New Roman" w:hAnsi="Open Sans" w:cs="Open Sans"/>
          <w:b/>
          <w:bCs/>
          <w:i/>
          <w:iCs/>
          <w:lang w:eastAsia="en-GB"/>
        </w:rPr>
      </w:pPr>
    </w:p>
    <w:p w:rsidR="00CA2ED1" w:rsidRPr="00416A29" w:rsidP="00CA2ED1" w14:paraId="716838F0" w14:textId="217E47B2">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18. If the government were to introduce a GGR obligation scheme, which businesses and emitting sectors could this cover? How could such a scheme be designed to minimise competitiveness impacts and regressive passed-through costs (</w:t>
      </w:r>
      <w:r w:rsidRPr="00416A29">
        <w:rPr>
          <w:rFonts w:ascii="Open Sans" w:eastAsia="Times New Roman" w:hAnsi="Open Sans" w:cs="Open Sans"/>
          <w:b/>
          <w:bCs/>
          <w:i/>
          <w:iCs/>
          <w:lang w:eastAsia="en-GB"/>
        </w:rPr>
        <w:t>e.g.</w:t>
      </w:r>
      <w:r w:rsidRPr="00416A29">
        <w:rPr>
          <w:rFonts w:ascii="Open Sans" w:eastAsia="Times New Roman" w:hAnsi="Open Sans" w:cs="Open Sans"/>
          <w:b/>
          <w:bCs/>
          <w:i/>
          <w:iCs/>
          <w:lang w:eastAsia="en-GB"/>
        </w:rPr>
        <w:t xml:space="preserve"> to consumers and bill-payers)?</w:t>
      </w:r>
    </w:p>
    <w:p w:rsidR="001904BD" w:rsidRPr="00416A29" w:rsidP="00CA2ED1" w14:paraId="04912C0B" w14:textId="50535433">
      <w:pPr>
        <w:spacing w:after="0" w:line="240" w:lineRule="auto"/>
        <w:rPr>
          <w:rFonts w:ascii="Open Sans" w:eastAsia="Times New Roman" w:hAnsi="Open Sans" w:cs="Open Sans"/>
          <w:b/>
          <w:bCs/>
          <w:i/>
          <w:iCs/>
          <w:lang w:eastAsia="en-GB"/>
        </w:rPr>
      </w:pPr>
    </w:p>
    <w:p w:rsidR="00B95897" w:rsidRPr="00416A29" w:rsidP="00CA2ED1" w14:paraId="2A4B49FB" w14:textId="7D296F07">
      <w:pPr>
        <w:spacing w:after="0" w:line="240" w:lineRule="auto"/>
        <w:rPr>
          <w:rFonts w:ascii="Open Sans" w:hAnsi="Open Sans" w:cs="Open Sans"/>
          <w:lang w:eastAsia="en-GB"/>
        </w:rPr>
      </w:pPr>
      <w:r w:rsidRPr="00416A29">
        <w:rPr>
          <w:rFonts w:ascii="Open Sans" w:hAnsi="Open Sans" w:cs="Open Sans"/>
          <w:lang w:eastAsia="en-GB"/>
        </w:rPr>
        <w:t>Obligations could be applied to the</w:t>
      </w:r>
      <w:r w:rsidRPr="00416A29">
        <w:rPr>
          <w:rFonts w:ascii="Open Sans" w:hAnsi="Open Sans" w:cs="Open Sans"/>
          <w:lang w:eastAsia="en-GB"/>
        </w:rPr>
        <w:t xml:space="preserve"> highest emitting sectors including areas like agriculture, transport, waste, and power production. However, this will need to be done carefully to avoid increased costs for consumers. It is noted that obligations have worked effectively in the power </w:t>
      </w:r>
      <w:r w:rsidRPr="00416A29" w:rsidR="00460476">
        <w:rPr>
          <w:rFonts w:ascii="Open Sans" w:hAnsi="Open Sans" w:cs="Open Sans"/>
          <w:lang w:eastAsia="en-GB"/>
        </w:rPr>
        <w:t xml:space="preserve">(RO) </w:t>
      </w:r>
      <w:r w:rsidRPr="00416A29">
        <w:rPr>
          <w:rFonts w:ascii="Open Sans" w:hAnsi="Open Sans" w:cs="Open Sans"/>
          <w:lang w:eastAsia="en-GB"/>
        </w:rPr>
        <w:t>and transport sectors</w:t>
      </w:r>
      <w:r w:rsidRPr="00416A29" w:rsidR="00460476">
        <w:rPr>
          <w:rFonts w:ascii="Open Sans" w:hAnsi="Open Sans" w:cs="Open Sans"/>
          <w:lang w:eastAsia="en-GB"/>
        </w:rPr>
        <w:t xml:space="preserve"> (RTFO)</w:t>
      </w:r>
      <w:r w:rsidRPr="00416A29">
        <w:rPr>
          <w:rFonts w:ascii="Open Sans" w:hAnsi="Open Sans" w:cs="Open Sans"/>
          <w:lang w:eastAsia="en-GB"/>
        </w:rPr>
        <w:t>, where lessons can be learned in relation to keeping prices low and avoiding negative impacts</w:t>
      </w:r>
      <w:r w:rsidRPr="00416A29" w:rsidR="00460476">
        <w:rPr>
          <w:rFonts w:ascii="Open Sans" w:hAnsi="Open Sans" w:cs="Open Sans"/>
          <w:lang w:eastAsia="en-GB"/>
        </w:rPr>
        <w:t>.</w:t>
      </w:r>
      <w:r w:rsidRPr="00416A29">
        <w:rPr>
          <w:rFonts w:ascii="Open Sans" w:hAnsi="Open Sans" w:cs="Open Sans"/>
          <w:lang w:eastAsia="en-GB"/>
        </w:rPr>
        <w:t xml:space="preserve"> </w:t>
      </w:r>
    </w:p>
    <w:p w:rsidR="00B95897" w:rsidRPr="00416A29" w:rsidP="00CA2ED1" w14:paraId="2C479A46" w14:textId="51F627DA">
      <w:pPr>
        <w:spacing w:after="0" w:line="240" w:lineRule="auto"/>
        <w:rPr>
          <w:rFonts w:ascii="Open Sans" w:hAnsi="Open Sans" w:cs="Open Sans"/>
          <w:lang w:eastAsia="en-GB"/>
        </w:rPr>
      </w:pPr>
    </w:p>
    <w:p w:rsidR="00B95897" w:rsidRPr="00416A29" w:rsidP="00CA2ED1" w14:paraId="24D083CB" w14:textId="340542DC">
      <w:pPr>
        <w:spacing w:after="0" w:line="240" w:lineRule="auto"/>
        <w:rPr>
          <w:rFonts w:ascii="Open Sans" w:hAnsi="Open Sans" w:cs="Open Sans"/>
          <w:lang w:eastAsia="en-GB"/>
        </w:rPr>
      </w:pPr>
      <w:r w:rsidRPr="00416A29">
        <w:rPr>
          <w:rFonts w:ascii="Open Sans" w:hAnsi="Open Sans" w:cs="Open Sans"/>
          <w:lang w:eastAsia="en-GB"/>
        </w:rPr>
        <w:t xml:space="preserve">Obligations could also be considered regarding driving domestic supply chains, for example </w:t>
      </w:r>
      <w:r w:rsidRPr="00416A29" w:rsidR="00460476">
        <w:rPr>
          <w:rFonts w:ascii="Open Sans" w:hAnsi="Open Sans" w:cs="Open Sans"/>
          <w:lang w:eastAsia="en-GB"/>
        </w:rPr>
        <w:t>regarding</w:t>
      </w:r>
      <w:r w:rsidRPr="00416A29">
        <w:rPr>
          <w:rFonts w:ascii="Open Sans" w:hAnsi="Open Sans" w:cs="Open Sans"/>
          <w:lang w:eastAsia="en-GB"/>
        </w:rPr>
        <w:t xml:space="preserve"> biomass fuel stocks. Obligating lower fossil fuel use could drive demand for renewable fuel alternatives, helping to further establish these domestic markets. </w:t>
      </w:r>
    </w:p>
    <w:p w:rsidR="00B95897" w:rsidRPr="00416A29" w:rsidP="00CA2ED1" w14:paraId="7A1D0875" w14:textId="77777777">
      <w:pPr>
        <w:spacing w:after="0" w:line="240" w:lineRule="auto"/>
        <w:rPr>
          <w:rFonts w:ascii="Open Sans" w:hAnsi="Open Sans" w:cs="Open Sans"/>
          <w:lang w:eastAsia="en-GB"/>
        </w:rPr>
      </w:pPr>
    </w:p>
    <w:p w:rsidR="00CA2ED1" w:rsidRPr="00416A29" w:rsidP="00CA2ED1" w14:paraId="0123AA77"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19. What other regulatory approaches could government explore to incentivise GGR deployment?</w:t>
      </w:r>
    </w:p>
    <w:p w:rsidR="00393917" w:rsidRPr="00416A29" w:rsidP="00393917" w14:paraId="292486BE" w14:textId="3B16541D">
      <w:pPr>
        <w:spacing w:after="0" w:line="240" w:lineRule="auto"/>
        <w:rPr>
          <w:rFonts w:ascii="Open Sans" w:eastAsia="Times New Roman" w:hAnsi="Open Sans" w:cs="Open Sans"/>
          <w:b/>
          <w:bCs/>
          <w:lang w:eastAsia="en-GB"/>
        </w:rPr>
      </w:pPr>
    </w:p>
    <w:p w:rsidR="00F90F65" w:rsidRPr="00416A29" w:rsidP="00393917" w14:paraId="6382ACFD" w14:textId="5B00094C">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Regulatory approaches </w:t>
      </w:r>
      <w:r w:rsidRPr="00416A29" w:rsidR="00612992">
        <w:rPr>
          <w:rFonts w:ascii="Open Sans" w:eastAsia="Times New Roman" w:hAnsi="Open Sans" w:cs="Open Sans"/>
          <w:lang w:eastAsia="en-GB"/>
        </w:rPr>
        <w:t>can be</w:t>
      </w:r>
      <w:r w:rsidRPr="00416A29">
        <w:rPr>
          <w:rFonts w:ascii="Open Sans" w:eastAsia="Times New Roman" w:hAnsi="Open Sans" w:cs="Open Sans"/>
          <w:lang w:eastAsia="en-GB"/>
        </w:rPr>
        <w:t xml:space="preserve"> effective in delivering </w:t>
      </w:r>
      <w:r w:rsidRPr="00416A29" w:rsidR="00612992">
        <w:rPr>
          <w:rFonts w:ascii="Open Sans" w:eastAsia="Times New Roman" w:hAnsi="Open Sans" w:cs="Open Sans"/>
          <w:lang w:eastAsia="en-GB"/>
        </w:rPr>
        <w:t>nature-based</w:t>
      </w:r>
      <w:r w:rsidRPr="00416A29">
        <w:rPr>
          <w:rFonts w:ascii="Open Sans" w:eastAsia="Times New Roman" w:hAnsi="Open Sans" w:cs="Open Sans"/>
          <w:lang w:eastAsia="en-GB"/>
        </w:rPr>
        <w:t xml:space="preserve"> solutions</w:t>
      </w:r>
      <w:r w:rsidRPr="00416A29" w:rsidR="00612992">
        <w:rPr>
          <w:rFonts w:ascii="Open Sans" w:eastAsia="Times New Roman" w:hAnsi="Open Sans" w:cs="Open Sans"/>
          <w:lang w:eastAsia="en-GB"/>
        </w:rPr>
        <w:t xml:space="preserve">. For example, bans on the use of </w:t>
      </w:r>
      <w:r w:rsidRPr="00416A29" w:rsidR="00422A04">
        <w:rPr>
          <w:rFonts w:ascii="Open Sans" w:eastAsia="Times New Roman" w:hAnsi="Open Sans" w:cs="Open Sans"/>
          <w:lang w:eastAsia="en-GB"/>
        </w:rPr>
        <w:t xml:space="preserve">domestic-source and imported </w:t>
      </w:r>
      <w:r w:rsidRPr="00416A29" w:rsidR="00612992">
        <w:rPr>
          <w:rFonts w:ascii="Open Sans" w:eastAsia="Times New Roman" w:hAnsi="Open Sans" w:cs="Open Sans"/>
          <w:lang w:eastAsia="en-GB"/>
        </w:rPr>
        <w:t xml:space="preserve">peat within </w:t>
      </w:r>
      <w:r w:rsidRPr="00416A29" w:rsidR="00B368BD">
        <w:rPr>
          <w:rFonts w:ascii="Open Sans" w:eastAsia="Times New Roman" w:hAnsi="Open Sans" w:cs="Open Sans"/>
          <w:lang w:eastAsia="en-GB"/>
        </w:rPr>
        <w:t xml:space="preserve">soil improvers and, where the </w:t>
      </w:r>
      <w:r w:rsidRPr="00416A29" w:rsidR="00422A04">
        <w:rPr>
          <w:rFonts w:ascii="Open Sans" w:eastAsia="Times New Roman" w:hAnsi="Open Sans" w:cs="Open Sans"/>
          <w:lang w:eastAsia="en-GB"/>
        </w:rPr>
        <w:t xml:space="preserve">adequate technical performance of alternatives has been proven, in growing </w:t>
      </w:r>
      <w:r w:rsidRPr="00416A29" w:rsidR="00422A04">
        <w:rPr>
          <w:rFonts w:ascii="Open Sans" w:eastAsia="Times New Roman" w:hAnsi="Open Sans" w:cs="Open Sans"/>
          <w:lang w:eastAsia="en-GB"/>
        </w:rPr>
        <w:t>media</w:t>
      </w:r>
      <w:r w:rsidRPr="00416A29" w:rsidR="00612992">
        <w:rPr>
          <w:rFonts w:ascii="Open Sans" w:eastAsia="Times New Roman" w:hAnsi="Open Sans" w:cs="Open Sans"/>
          <w:lang w:eastAsia="en-GB"/>
        </w:rPr>
        <w:t xml:space="preserve"> would</w:t>
      </w:r>
      <w:r w:rsidRPr="00416A29" w:rsidR="00612992">
        <w:rPr>
          <w:rFonts w:ascii="Open Sans" w:eastAsia="Times New Roman" w:hAnsi="Open Sans" w:cs="Open Sans"/>
          <w:lang w:eastAsia="en-GB"/>
        </w:rPr>
        <w:t xml:space="preserve"> drive down demand and contribute to </w:t>
      </w:r>
      <w:r w:rsidRPr="00416A29" w:rsidR="00422A04">
        <w:rPr>
          <w:rFonts w:ascii="Open Sans" w:eastAsia="Times New Roman" w:hAnsi="Open Sans" w:cs="Open Sans"/>
          <w:lang w:eastAsia="en-GB"/>
        </w:rPr>
        <w:t xml:space="preserve">peat </w:t>
      </w:r>
      <w:r w:rsidRPr="00416A29" w:rsidR="00612992">
        <w:rPr>
          <w:rFonts w:ascii="Open Sans" w:eastAsia="Times New Roman" w:hAnsi="Open Sans" w:cs="Open Sans"/>
          <w:lang w:eastAsia="en-GB"/>
        </w:rPr>
        <w:t>habitat restoration</w:t>
      </w:r>
      <w:r w:rsidRPr="00416A29" w:rsidR="00422A04">
        <w:rPr>
          <w:rFonts w:ascii="Open Sans" w:eastAsia="Times New Roman" w:hAnsi="Open Sans" w:cs="Open Sans"/>
          <w:lang w:eastAsia="en-GB"/>
        </w:rPr>
        <w:t xml:space="preserve">. </w:t>
      </w:r>
      <w:r w:rsidRPr="00416A29" w:rsidR="002567C6">
        <w:rPr>
          <w:rFonts w:ascii="Open Sans" w:eastAsia="Times New Roman" w:hAnsi="Open Sans" w:cs="Open Sans"/>
          <w:lang w:eastAsia="en-GB"/>
        </w:rPr>
        <w:t xml:space="preserve"> To date, composted plant wastes (‘green compost’) and composted plant and food wastes (‘</w:t>
      </w:r>
      <w:r w:rsidRPr="00416A29" w:rsidR="002567C6">
        <w:rPr>
          <w:rFonts w:ascii="Open Sans" w:eastAsia="Times New Roman" w:hAnsi="Open Sans" w:cs="Open Sans"/>
          <w:lang w:eastAsia="en-GB"/>
        </w:rPr>
        <w:t>green+food</w:t>
      </w:r>
      <w:r w:rsidRPr="00416A29" w:rsidR="002567C6">
        <w:rPr>
          <w:rFonts w:ascii="Open Sans" w:eastAsia="Times New Roman" w:hAnsi="Open Sans" w:cs="Open Sans"/>
          <w:lang w:eastAsia="en-GB"/>
        </w:rPr>
        <w:t xml:space="preserve"> compost') have a successful track record as a partial replacement material for peat substrates in growing media and as the sole material in a range of soil improver products.  The major growing media manufacturers in the UK and Ireland </w:t>
      </w:r>
      <w:r w:rsidRPr="00416A29" w:rsidR="00740B8F">
        <w:rPr>
          <w:rFonts w:ascii="Open Sans" w:eastAsia="Times New Roman" w:hAnsi="Open Sans" w:cs="Open Sans"/>
          <w:lang w:eastAsia="en-GB"/>
        </w:rPr>
        <w:t xml:space="preserve">reported producing 2.79 MT of growing media and soil improver products in 2017, of/in which nearly 227 kt was </w:t>
      </w:r>
      <w:r w:rsidRPr="00416A29" w:rsidR="002567C6">
        <w:rPr>
          <w:rFonts w:ascii="Open Sans" w:eastAsia="Times New Roman" w:hAnsi="Open Sans" w:cs="Open Sans"/>
          <w:lang w:eastAsia="en-GB"/>
        </w:rPr>
        <w:t xml:space="preserve">Green compost </w:t>
      </w:r>
      <w:r w:rsidRPr="00416A29" w:rsidR="00740B8F">
        <w:rPr>
          <w:rFonts w:ascii="Open Sans" w:eastAsia="Times New Roman" w:hAnsi="Open Sans" w:cs="Open Sans"/>
          <w:lang w:eastAsia="en-GB"/>
        </w:rPr>
        <w:t>(</w:t>
      </w:r>
      <w:r w:rsidRPr="00416A29" w:rsidR="002567C6">
        <w:rPr>
          <w:rFonts w:ascii="Open Sans" w:eastAsia="Times New Roman" w:hAnsi="Open Sans" w:cs="Open Sans"/>
          <w:lang w:eastAsia="en-GB"/>
        </w:rPr>
        <w:t>8.1 %</w:t>
      </w:r>
      <w:r w:rsidRPr="00416A29" w:rsidR="00740B8F">
        <w:rPr>
          <w:rFonts w:ascii="Open Sans" w:eastAsia="Times New Roman" w:hAnsi="Open Sans" w:cs="Open Sans"/>
          <w:lang w:eastAsia="en-GB"/>
        </w:rPr>
        <w:t xml:space="preserve">).  The UK’s waste-derived compost </w:t>
      </w:r>
      <w:r w:rsidRPr="00416A29" w:rsidR="00740B8F">
        <w:rPr>
          <w:rFonts w:ascii="Open Sans" w:eastAsia="Times New Roman" w:hAnsi="Open Sans" w:cs="Open Sans"/>
          <w:lang w:eastAsia="en-GB"/>
        </w:rPr>
        <w:t>producers</w:t>
      </w:r>
      <w:r w:rsidRPr="00416A29" w:rsidR="00740B8F">
        <w:rPr>
          <w:rFonts w:ascii="Open Sans" w:eastAsia="Times New Roman" w:hAnsi="Open Sans" w:cs="Open Sans"/>
          <w:lang w:eastAsia="en-GB"/>
        </w:rPr>
        <w:t xml:space="preserve"> annual production, based on figures reported at the end of 2018, was 954 kt Green compost and 446 kt </w:t>
      </w:r>
      <w:r w:rsidRPr="00416A29" w:rsidR="00740B8F">
        <w:rPr>
          <w:rFonts w:ascii="Open Sans" w:eastAsia="Times New Roman" w:hAnsi="Open Sans" w:cs="Open Sans"/>
          <w:lang w:eastAsia="en-GB"/>
        </w:rPr>
        <w:t>Green+Food</w:t>
      </w:r>
      <w:r w:rsidRPr="00416A29" w:rsidR="00740B8F">
        <w:rPr>
          <w:rFonts w:ascii="Open Sans" w:eastAsia="Times New Roman" w:hAnsi="Open Sans" w:cs="Open Sans"/>
          <w:lang w:eastAsia="en-GB"/>
        </w:rPr>
        <w:t xml:space="preserve"> compost, and with tonnages expected to rise as a result of likely requirements in England for separate collections of food and garden wastes from 2023</w:t>
      </w:r>
      <w:r w:rsidRPr="00416A29" w:rsidR="00612992">
        <w:rPr>
          <w:rFonts w:ascii="Open Sans" w:eastAsia="Times New Roman" w:hAnsi="Open Sans" w:cs="Open Sans"/>
          <w:lang w:eastAsia="en-GB"/>
        </w:rPr>
        <w:t>,</w:t>
      </w:r>
      <w:r w:rsidRPr="00416A29" w:rsidR="00740B8F">
        <w:rPr>
          <w:rFonts w:ascii="Open Sans" w:eastAsia="Times New Roman" w:hAnsi="Open Sans" w:cs="Open Sans"/>
          <w:lang w:eastAsia="en-GB"/>
        </w:rPr>
        <w:t xml:space="preserve"> production of this renewable resource is expected to rise considerably. </w:t>
      </w:r>
      <w:r w:rsidRPr="00416A29" w:rsidR="00612992">
        <w:rPr>
          <w:rFonts w:ascii="Open Sans" w:eastAsia="Times New Roman" w:hAnsi="Open Sans" w:cs="Open Sans"/>
          <w:lang w:eastAsia="en-GB"/>
        </w:rPr>
        <w:t xml:space="preserve"> </w:t>
      </w:r>
    </w:p>
    <w:p w:rsidR="00F90F65" w:rsidRPr="00416A29" w:rsidP="00393917" w14:paraId="75FEA4F3" w14:textId="77777777">
      <w:pPr>
        <w:spacing w:after="0" w:line="240" w:lineRule="auto"/>
        <w:rPr>
          <w:rFonts w:ascii="Open Sans" w:eastAsia="Times New Roman" w:hAnsi="Open Sans" w:cs="Open Sans"/>
          <w:lang w:eastAsia="en-GB"/>
        </w:rPr>
      </w:pPr>
    </w:p>
    <w:p w:rsidR="00460476" w:rsidRPr="00416A29" w:rsidP="00393917" w14:paraId="3DF7FD4D" w14:textId="4088DAB4">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The government should </w:t>
      </w:r>
      <w:r w:rsidRPr="00416A29" w:rsidR="00612992">
        <w:rPr>
          <w:rFonts w:ascii="Open Sans" w:eastAsia="Times New Roman" w:hAnsi="Open Sans" w:cs="Open Sans"/>
          <w:lang w:eastAsia="en-GB"/>
        </w:rPr>
        <w:t>encourage the use of organic recycling process</w:t>
      </w:r>
      <w:r w:rsidRPr="00416A29">
        <w:rPr>
          <w:rFonts w:ascii="Open Sans" w:eastAsia="Times New Roman" w:hAnsi="Open Sans" w:cs="Open Sans"/>
          <w:lang w:eastAsia="en-GB"/>
        </w:rPr>
        <w:t xml:space="preserve">es,  because of waste-derived composts’ further potential as an alternative to peat (in combination with other alternative bulky substrates) in growing media, their use in greater tonnages use as soil improvers in a range of markets (aiding carbon storage and cycling in agricultural soils for example), </w:t>
      </w:r>
      <w:r w:rsidRPr="00416A29" w:rsidR="00F90F65">
        <w:rPr>
          <w:rFonts w:ascii="Open Sans" w:eastAsia="Times New Roman" w:hAnsi="Open Sans" w:cs="Open Sans"/>
          <w:lang w:eastAsia="en-GB"/>
        </w:rPr>
        <w:t xml:space="preserve">and because of the potential for using solid digestates in a range of applications </w:t>
      </w:r>
      <w:r w:rsidRPr="00416A29" w:rsidR="00F90F65">
        <w:rPr>
          <w:rFonts w:ascii="Open Sans" w:eastAsia="Times New Roman" w:hAnsi="Open Sans" w:cs="Open Sans"/>
          <w:lang w:eastAsia="en-GB"/>
        </w:rPr>
        <w:t xml:space="preserve">and for further use of liquid digestates in applications where the supply of plant-available nutrients is important. </w:t>
      </w:r>
      <w:r w:rsidRPr="00416A29">
        <w:rPr>
          <w:rFonts w:ascii="Open Sans" w:eastAsia="Times New Roman" w:hAnsi="Open Sans" w:cs="Open Sans"/>
          <w:lang w:eastAsia="en-GB"/>
        </w:rPr>
        <w:t xml:space="preserve">  </w:t>
      </w:r>
    </w:p>
    <w:p w:rsidR="00460476" w:rsidRPr="00416A29" w:rsidP="00393917" w14:paraId="0EE89F64" w14:textId="77777777">
      <w:pPr>
        <w:spacing w:after="0" w:line="240" w:lineRule="auto"/>
        <w:rPr>
          <w:rFonts w:ascii="Open Sans" w:eastAsia="Times New Roman" w:hAnsi="Open Sans" w:cs="Open Sans"/>
          <w:lang w:eastAsia="en-GB"/>
        </w:rPr>
      </w:pPr>
    </w:p>
    <w:p w:rsidR="00B95897" w:rsidRPr="00416A29" w:rsidP="00393917" w14:paraId="62A59E78" w14:textId="5D3AFE56">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Regulatory measures that ensure quality or drive down poor agricultural practices will help in promoting GGR nature-based solutions. These will need to be carefully designed to avoid any unintended consequences for the broader agricultural sector. </w:t>
      </w:r>
      <w:r w:rsidRPr="00416A29" w:rsidR="00F90F65">
        <w:rPr>
          <w:rFonts w:ascii="Open Sans" w:eastAsia="Times New Roman" w:hAnsi="Open Sans" w:cs="Open Sans"/>
          <w:lang w:eastAsia="en-GB"/>
        </w:rPr>
        <w:t xml:space="preserve"> We are aware Defra has supported research into Soil Quality Indicators, including measures of soil organic carbon.  In responding to Defra's consultation on their Environment and Land Management Scheme we suggested that in the short term it financially rewards land managers for actions that support soil health (</w:t>
      </w:r>
      <w:r w:rsidRPr="00416A29" w:rsidR="00F90F65">
        <w:rPr>
          <w:rFonts w:ascii="Open Sans" w:eastAsia="Times New Roman" w:hAnsi="Open Sans" w:cs="Open Sans"/>
          <w:lang w:eastAsia="en-GB"/>
        </w:rPr>
        <w:t>e.g.</w:t>
      </w:r>
      <w:r w:rsidRPr="00416A29" w:rsidR="00F90F65">
        <w:rPr>
          <w:rFonts w:ascii="Open Sans" w:eastAsia="Times New Roman" w:hAnsi="Open Sans" w:cs="Open Sans"/>
          <w:lang w:eastAsia="en-GB"/>
        </w:rPr>
        <w:t xml:space="preserve"> applying compost or </w:t>
      </w:r>
      <w:r w:rsidRPr="00416A29" w:rsidR="00F90F65">
        <w:rPr>
          <w:rFonts w:ascii="Open Sans" w:eastAsia="Times New Roman" w:hAnsi="Open Sans" w:cs="Open Sans"/>
          <w:lang w:eastAsia="en-GB"/>
        </w:rPr>
        <w:t>digstate</w:t>
      </w:r>
      <w:r w:rsidRPr="00416A29" w:rsidR="00F90F65">
        <w:rPr>
          <w:rFonts w:ascii="Open Sans" w:eastAsia="Times New Roman" w:hAnsi="Open Sans" w:cs="Open Sans"/>
          <w:lang w:eastAsia="en-GB"/>
        </w:rPr>
        <w:t xml:space="preserve"> in accordance with good agricultural practice), then move to evidence-based payments after the soil health metrics and monitoring programmes have been sufficiently developed. </w:t>
      </w:r>
    </w:p>
    <w:p w:rsidR="002567C6" w:rsidRPr="00416A29" w:rsidP="00604255" w14:paraId="4A23D1B4" w14:textId="01FD4EC3">
      <w:pPr>
        <w:autoSpaceDE w:val="0"/>
        <w:autoSpaceDN w:val="0"/>
        <w:rPr>
          <w:rFonts w:ascii="Open Sans" w:eastAsia="Times New Roman" w:hAnsi="Open Sans" w:cs="Open Sans"/>
          <w:color w:val="4472C4" w:themeColor="accent1"/>
          <w:shd w:val="clear" w:color="auto" w:fill="FFFFFF"/>
          <w:lang w:val="en-US"/>
        </w:rPr>
      </w:pPr>
    </w:p>
    <w:p w:rsidR="00CA2ED1" w:rsidRPr="00416A29" w:rsidP="00CA2ED1" w14:paraId="0A541190" w14:textId="5EC5F7D1">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20. What are the merits and risks of introducing payment schemes for GGRs, potentially involving up-front grants or payments for each tonne of CO2 stored? Which GGRs would be suitable for a payment scheme</w:t>
      </w:r>
    </w:p>
    <w:p w:rsidR="001904BD" w:rsidRPr="00416A29" w:rsidP="00CA2ED1" w14:paraId="6BC105A2" w14:textId="67020997">
      <w:pPr>
        <w:spacing w:after="0" w:line="240" w:lineRule="auto"/>
        <w:rPr>
          <w:rFonts w:ascii="Open Sans" w:eastAsia="Times New Roman" w:hAnsi="Open Sans" w:cs="Open Sans"/>
          <w:b/>
          <w:bCs/>
          <w:lang w:eastAsia="en-GB"/>
        </w:rPr>
      </w:pPr>
    </w:p>
    <w:p w:rsidR="001904BD" w:rsidRPr="00416A29" w:rsidP="00CA2ED1" w14:paraId="5436DBDE" w14:textId="7EF55EE9">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Grants could have a strong role to play in field studies and enabling research and development of GGR technologies, as well as helping commercialisation of the first few projects to build sector confidence. However, grants fail to address operational costs without providing an ongoing revenue stream to produce negative emissions. This in turn will not help deliver a market-based sector. As such grants, while helpful in the short term, should not be considered a long-term solution for establishing a negative emissions market. </w:t>
      </w:r>
    </w:p>
    <w:p w:rsidR="00CA2ED1" w:rsidRPr="00416A29" w:rsidP="00CA2ED1" w14:paraId="563280ED" w14:textId="77777777">
      <w:pPr>
        <w:spacing w:after="0" w:line="240" w:lineRule="auto"/>
        <w:rPr>
          <w:rFonts w:ascii="Open Sans" w:eastAsia="Times New Roman" w:hAnsi="Open Sans" w:cs="Open Sans"/>
          <w:b/>
          <w:bCs/>
          <w:i/>
          <w:iCs/>
          <w:lang w:eastAsia="en-GB"/>
        </w:rPr>
      </w:pPr>
    </w:p>
    <w:p w:rsidR="00CA2ED1" w:rsidRPr="00416A29" w:rsidP="00CA2ED1" w14:paraId="20F063C4" w14:textId="72F5E7AE">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w:t>
      </w:r>
      <w:r w:rsidRPr="00416A29" w:rsidR="001904BD">
        <w:rPr>
          <w:rFonts w:ascii="Open Sans" w:eastAsia="Times New Roman" w:hAnsi="Open Sans" w:cs="Open Sans"/>
          <w:b/>
          <w:bCs/>
          <w:i/>
          <w:iCs/>
          <w:lang w:eastAsia="en-GB"/>
        </w:rPr>
        <w:t xml:space="preserve">21. </w:t>
      </w:r>
      <w:r w:rsidRPr="00416A29">
        <w:rPr>
          <w:rFonts w:ascii="Open Sans" w:eastAsia="Times New Roman" w:hAnsi="Open Sans" w:cs="Open Sans"/>
          <w:b/>
          <w:bCs/>
          <w:i/>
          <w:iCs/>
          <w:lang w:eastAsia="en-GB"/>
        </w:rPr>
        <w:t xml:space="preserve">Could a contract scheme be effective in incentivising GGRs such as DACCS and BECCS? What would be the main challenges and limitations of such a mechanism, and how could it be designed to maximise its </w:t>
      </w:r>
      <w:r w:rsidRPr="00416A29">
        <w:rPr>
          <w:rFonts w:ascii="Open Sans" w:eastAsia="Times New Roman" w:hAnsi="Open Sans" w:cs="Open Sans"/>
          <w:b/>
          <w:bCs/>
          <w:i/>
          <w:iCs/>
          <w:lang w:eastAsia="en-GB"/>
        </w:rPr>
        <w:t>effectiveness</w:t>
      </w:r>
    </w:p>
    <w:p w:rsidR="00CA2ED1" w:rsidRPr="00416A29" w:rsidP="00CA2ED1" w14:paraId="41301465" w14:textId="77777777">
      <w:pPr>
        <w:spacing w:after="0" w:line="240" w:lineRule="auto"/>
        <w:rPr>
          <w:rFonts w:ascii="Open Sans" w:eastAsia="Times New Roman" w:hAnsi="Open Sans" w:cs="Open Sans"/>
          <w:b/>
          <w:bCs/>
          <w:i/>
          <w:iCs/>
          <w:lang w:eastAsia="en-GB"/>
        </w:rPr>
      </w:pPr>
    </w:p>
    <w:p w:rsidR="009F09A8" w:rsidRPr="00416A29" w:rsidP="009F09A8" w14:paraId="43F83ABC" w14:textId="5B6DD3FE">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We believe a CfD based mechanism for BECCS, to reward renewable power production, combined with a separate carbon payment for negative emissions is a useful combination for delivering biomass power projects with CCS.  Such a payment also has the advantage of being adaptable to other foundational technologies, operating in conjunction with other support mechanisms that deliver different renewable energy supplies such as the RTFO, RHI or future mechanism aimed at hydrogen production. Equally, existing infrastructure, such as AD sites or other bioenergy producers, could utilise the carbon payments to enable further investment for the retrofitting of CCS technologies as the CCC identify as required by the mid-2030s. </w:t>
      </w:r>
    </w:p>
    <w:p w:rsidR="009F09A8" w:rsidRPr="00416A29" w:rsidP="009F09A8" w14:paraId="1F6AA532" w14:textId="5950348C">
      <w:pPr>
        <w:spacing w:after="0" w:line="240" w:lineRule="auto"/>
        <w:rPr>
          <w:rFonts w:ascii="Open Sans" w:eastAsia="Times New Roman" w:hAnsi="Open Sans" w:cs="Open Sans"/>
          <w:lang w:eastAsia="en-GB"/>
        </w:rPr>
      </w:pPr>
    </w:p>
    <w:p w:rsidR="009F09A8" w:rsidRPr="00416A29" w:rsidP="009F09A8" w14:paraId="74FCC057" w14:textId="75A8B420">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Lessons can be learned from the existing CfD mechanism especially in considering the success of the CfD in driving down costs within the offshore wind sector. </w:t>
      </w:r>
    </w:p>
    <w:p w:rsidR="001904BD" w:rsidRPr="00416A29" w:rsidP="00CA2ED1" w14:paraId="06B98746"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w:t>
      </w:r>
    </w:p>
    <w:p w:rsidR="00CA2ED1" w:rsidRPr="00416A29" w:rsidP="00CA2ED1" w14:paraId="1DB828FF" w14:textId="63DC1A31">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xml:space="preserve">22. </w:t>
      </w:r>
      <w:r w:rsidRPr="00416A29">
        <w:rPr>
          <w:rFonts w:ascii="Open Sans" w:eastAsia="Times New Roman" w:hAnsi="Open Sans" w:cs="Open Sans"/>
          <w:b/>
          <w:bCs/>
          <w:i/>
          <w:iCs/>
          <w:lang w:eastAsia="en-GB"/>
        </w:rPr>
        <w:t xml:space="preserve">What could a </w:t>
      </w:r>
      <w:r w:rsidRPr="00416A29">
        <w:rPr>
          <w:rFonts w:ascii="Open Sans" w:eastAsia="Times New Roman" w:hAnsi="Open Sans" w:cs="Open Sans"/>
          <w:b/>
          <w:bCs/>
          <w:i/>
          <w:iCs/>
          <w:lang w:eastAsia="en-GB"/>
        </w:rPr>
        <w:t>cap and trade</w:t>
      </w:r>
      <w:r w:rsidRPr="00416A29">
        <w:rPr>
          <w:rFonts w:ascii="Open Sans" w:eastAsia="Times New Roman" w:hAnsi="Open Sans" w:cs="Open Sans"/>
          <w:b/>
          <w:bCs/>
          <w:i/>
          <w:iCs/>
          <w:lang w:eastAsia="en-GB"/>
        </w:rPr>
        <w:t xml:space="preserve"> scheme for negative emissions look like, and which sectors would you propose to be included in such a market?</w:t>
      </w:r>
    </w:p>
    <w:p w:rsidR="00CA2ED1" w:rsidRPr="00416A29" w:rsidP="00CA2ED1" w14:paraId="3D098585" w14:textId="1167927B">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w:t>
      </w:r>
    </w:p>
    <w:p w:rsidR="001904BD" w:rsidRPr="00416A29" w:rsidP="001904BD" w14:paraId="66F3761D" w14:textId="39C5E652">
      <w:pPr>
        <w:rPr>
          <w:rFonts w:ascii="Open Sans" w:hAnsi="Open Sans" w:cs="Open Sans"/>
        </w:rPr>
      </w:pPr>
      <w:r w:rsidRPr="00416A29">
        <w:rPr>
          <w:rFonts w:ascii="Open Sans" w:hAnsi="Open Sans" w:cs="Open Sans"/>
        </w:rPr>
        <w:t xml:space="preserve">The development of a </w:t>
      </w:r>
      <w:r w:rsidRPr="00416A29" w:rsidR="00831BDB">
        <w:rPr>
          <w:rFonts w:ascii="Open Sans" w:hAnsi="Open Sans" w:cs="Open Sans"/>
        </w:rPr>
        <w:t>cap-and-trade</w:t>
      </w:r>
      <w:r w:rsidRPr="00416A29">
        <w:rPr>
          <w:rFonts w:ascii="Open Sans" w:hAnsi="Open Sans" w:cs="Open Sans"/>
        </w:rPr>
        <w:t xml:space="preserve"> scheme should be a </w:t>
      </w:r>
      <w:r w:rsidRPr="00416A29" w:rsidR="00831BDB">
        <w:rPr>
          <w:rFonts w:ascii="Open Sans" w:hAnsi="Open Sans" w:cs="Open Sans"/>
        </w:rPr>
        <w:t>longer-term</w:t>
      </w:r>
      <w:r w:rsidRPr="00416A29">
        <w:rPr>
          <w:rFonts w:ascii="Open Sans" w:hAnsi="Open Sans" w:cs="Open Sans"/>
        </w:rPr>
        <w:t xml:space="preserve"> ambition, with </w:t>
      </w:r>
      <w:r w:rsidRPr="00416A29" w:rsidR="00831BDB">
        <w:rPr>
          <w:rFonts w:ascii="Open Sans" w:hAnsi="Open Sans" w:cs="Open Sans"/>
        </w:rPr>
        <w:t xml:space="preserve">negative emissions being introduced into the development of the UK ETS. However, a market </w:t>
      </w:r>
      <w:r w:rsidRPr="00416A29" w:rsidR="00831BDB">
        <w:rPr>
          <w:rFonts w:ascii="Open Sans" w:hAnsi="Open Sans" w:cs="Open Sans"/>
        </w:rPr>
        <w:t>for negative emissions will need to be established first, requiring a dedicated payment to be in place</w:t>
      </w:r>
      <w:r w:rsidRPr="00416A29" w:rsidR="00220B3B">
        <w:rPr>
          <w:rFonts w:ascii="Open Sans" w:hAnsi="Open Sans" w:cs="Open Sans"/>
        </w:rPr>
        <w:t xml:space="preserve"> </w:t>
      </w:r>
      <w:r w:rsidRPr="00416A29" w:rsidR="00831BDB">
        <w:rPr>
          <w:rFonts w:ascii="Open Sans" w:hAnsi="Open Sans" w:cs="Open Sans"/>
        </w:rPr>
        <w:t xml:space="preserve">and this to transition into a market-based cap and trade mechanism. </w:t>
      </w:r>
    </w:p>
    <w:p w:rsidR="001904BD" w:rsidRPr="00416A29" w:rsidP="00CA2ED1" w14:paraId="0DFE301D" w14:textId="6F272944">
      <w:pPr>
        <w:spacing w:after="0" w:line="240" w:lineRule="auto"/>
        <w:rPr>
          <w:rFonts w:ascii="Open Sans" w:eastAsia="Times New Roman" w:hAnsi="Open Sans" w:cs="Open Sans"/>
          <w:b/>
          <w:bCs/>
          <w:i/>
          <w:iCs/>
          <w:lang w:eastAsia="en-GB"/>
        </w:rPr>
      </w:pPr>
    </w:p>
    <w:p w:rsidR="00CA2ED1" w:rsidRPr="00416A29" w:rsidP="00CA2ED1" w14:paraId="315412B6" w14:textId="7989D3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xml:space="preserve">23. </w:t>
      </w:r>
      <w:r w:rsidRPr="00416A29">
        <w:rPr>
          <w:rFonts w:ascii="Open Sans" w:eastAsia="Times New Roman" w:hAnsi="Open Sans" w:cs="Open Sans"/>
          <w:b/>
          <w:bCs/>
          <w:i/>
          <w:iCs/>
          <w:lang w:eastAsia="en-GB"/>
        </w:rPr>
        <w:t xml:space="preserve">The costs of different GGR technologies vary significantly. How could a </w:t>
      </w:r>
      <w:r w:rsidRPr="00416A29">
        <w:rPr>
          <w:rFonts w:ascii="Open Sans" w:eastAsia="Times New Roman" w:hAnsi="Open Sans" w:cs="Open Sans"/>
          <w:b/>
          <w:bCs/>
          <w:i/>
          <w:iCs/>
          <w:lang w:eastAsia="en-GB"/>
        </w:rPr>
        <w:t>cap and trade</w:t>
      </w:r>
      <w:r w:rsidRPr="00416A29">
        <w:rPr>
          <w:rFonts w:ascii="Open Sans" w:eastAsia="Times New Roman" w:hAnsi="Open Sans" w:cs="Open Sans"/>
          <w:b/>
          <w:bCs/>
          <w:i/>
          <w:iCs/>
          <w:lang w:eastAsia="en-GB"/>
        </w:rPr>
        <w:t xml:space="preserve"> system address these differences? How could a </w:t>
      </w:r>
      <w:r w:rsidRPr="00416A29">
        <w:rPr>
          <w:rFonts w:ascii="Open Sans" w:eastAsia="Times New Roman" w:hAnsi="Open Sans" w:cs="Open Sans"/>
          <w:b/>
          <w:bCs/>
          <w:i/>
          <w:iCs/>
          <w:lang w:eastAsia="en-GB"/>
        </w:rPr>
        <w:t>cap and trade</w:t>
      </w:r>
      <w:r w:rsidRPr="00416A29">
        <w:rPr>
          <w:rFonts w:ascii="Open Sans" w:eastAsia="Times New Roman" w:hAnsi="Open Sans" w:cs="Open Sans"/>
          <w:b/>
          <w:bCs/>
          <w:i/>
          <w:iCs/>
          <w:lang w:eastAsia="en-GB"/>
        </w:rPr>
        <w:t xml:space="preserve"> system be used to incentivise initial investment in any future emerging GGR technologies over a long-term trajectory?</w:t>
      </w:r>
    </w:p>
    <w:p w:rsidR="00CA2ED1" w:rsidRPr="00416A29" w:rsidP="00CA2ED1" w14:paraId="015EB054" w14:textId="77777777">
      <w:pPr>
        <w:spacing w:after="0" w:line="240" w:lineRule="auto"/>
        <w:rPr>
          <w:rFonts w:ascii="Open Sans" w:eastAsia="Times New Roman" w:hAnsi="Open Sans" w:cs="Open Sans"/>
          <w:b/>
          <w:bCs/>
          <w:i/>
          <w:iCs/>
          <w:lang w:eastAsia="en-GB"/>
        </w:rPr>
      </w:pPr>
    </w:p>
    <w:p w:rsidR="00CA2ED1" w:rsidRPr="00416A29" w:rsidP="00CA2ED1" w14:paraId="00CE07F3" w14:textId="7D207B35">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As mentioned, more bespoke mechanisms that recognise the situation of individual GGRs will be needed in the short to medium term to both establish commercial sectors and a market for negative emissions. Over time this will deliver a more even playing field in terms of costs and enable the establishment of a cap-and-trade scheme that ensures continued deployment of established GGR sectors. </w:t>
      </w:r>
    </w:p>
    <w:p w:rsidR="001904BD" w:rsidRPr="00416A29" w:rsidP="00CA2ED1" w14:paraId="37F90F0C" w14:textId="77777777">
      <w:pPr>
        <w:spacing w:after="0" w:line="240" w:lineRule="auto"/>
        <w:rPr>
          <w:rFonts w:ascii="Open Sans" w:eastAsia="Times New Roman" w:hAnsi="Open Sans" w:cs="Open Sans"/>
          <w:b/>
          <w:bCs/>
          <w:lang w:eastAsia="en-GB"/>
        </w:rPr>
      </w:pPr>
    </w:p>
    <w:p w:rsidR="00CA2ED1" w:rsidRPr="00416A29" w:rsidP="00CA2ED1" w14:paraId="7B13A21E"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24. What role can government play in encouraging more companies to make voluntary commitments to invest in GGR technologies in the UK? To what extent can this support innovation in, and deployment of, these technologies?</w:t>
      </w:r>
    </w:p>
    <w:p w:rsidR="00CA2ED1" w:rsidRPr="00416A29" w:rsidP="00CA2ED1" w14:paraId="3B3F613B" w14:textId="20340F19">
      <w:pPr>
        <w:spacing w:after="0" w:line="240" w:lineRule="auto"/>
        <w:rPr>
          <w:rFonts w:ascii="Open Sans" w:eastAsia="Times New Roman" w:hAnsi="Open Sans" w:cs="Open Sans"/>
          <w:b/>
          <w:bCs/>
          <w:i/>
          <w:iCs/>
          <w:lang w:eastAsia="en-GB"/>
        </w:rPr>
      </w:pPr>
    </w:p>
    <w:p w:rsidR="00A534BB" w:rsidRPr="00416A29" w:rsidP="00CA2ED1" w14:paraId="0834069B" w14:textId="51DEDB01">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Use of government investment through </w:t>
      </w:r>
      <w:r w:rsidRPr="00416A29" w:rsidR="00393917">
        <w:rPr>
          <w:rFonts w:ascii="Open Sans" w:eastAsia="Times New Roman" w:hAnsi="Open Sans" w:cs="Open Sans"/>
          <w:lang w:eastAsia="en-GB"/>
        </w:rPr>
        <w:t>an</w:t>
      </w:r>
      <w:r w:rsidRPr="00416A29">
        <w:rPr>
          <w:rFonts w:ascii="Open Sans" w:eastAsia="Times New Roman" w:hAnsi="Open Sans" w:cs="Open Sans"/>
          <w:lang w:eastAsia="en-GB"/>
        </w:rPr>
        <w:t xml:space="preserve"> infrastructure bank</w:t>
      </w:r>
      <w:r w:rsidRPr="00416A29" w:rsidR="00831BDB">
        <w:rPr>
          <w:rFonts w:ascii="Open Sans" w:eastAsia="Times New Roman" w:hAnsi="Open Sans" w:cs="Open Sans"/>
          <w:lang w:eastAsia="en-GB"/>
        </w:rPr>
        <w:t xml:space="preserve">, invested into new GGR technologies, </w:t>
      </w:r>
      <w:r w:rsidRPr="00416A29">
        <w:rPr>
          <w:rFonts w:ascii="Open Sans" w:eastAsia="Times New Roman" w:hAnsi="Open Sans" w:cs="Open Sans"/>
          <w:lang w:eastAsia="en-GB"/>
        </w:rPr>
        <w:t xml:space="preserve">would help encourage private investment into the sector on a more voluntary basis. </w:t>
      </w:r>
      <w:r w:rsidRPr="00416A29" w:rsidR="00831BDB">
        <w:rPr>
          <w:rFonts w:ascii="Open Sans" w:eastAsia="Times New Roman" w:hAnsi="Open Sans" w:cs="Open Sans"/>
          <w:lang w:eastAsia="en-GB"/>
        </w:rPr>
        <w:t xml:space="preserve">Lessons can be learned from what </w:t>
      </w:r>
      <w:r w:rsidRPr="00416A29" w:rsidR="00E27CE5">
        <w:rPr>
          <w:rFonts w:ascii="Open Sans" w:eastAsia="Times New Roman" w:hAnsi="Open Sans" w:cs="Open Sans"/>
          <w:lang w:eastAsia="en-GB"/>
        </w:rPr>
        <w:t xml:space="preserve">was </w:t>
      </w:r>
      <w:r w:rsidRPr="00416A29" w:rsidR="00831BDB">
        <w:rPr>
          <w:rFonts w:ascii="Open Sans" w:eastAsia="Times New Roman" w:hAnsi="Open Sans" w:cs="Open Sans"/>
          <w:lang w:eastAsia="en-GB"/>
        </w:rPr>
        <w:t xml:space="preserve">achieved through the public Green Investment Bank and their </w:t>
      </w:r>
      <w:r w:rsidRPr="00416A29" w:rsidR="00E27CE5">
        <w:rPr>
          <w:rFonts w:ascii="Open Sans" w:eastAsia="Times New Roman" w:hAnsi="Open Sans" w:cs="Open Sans"/>
          <w:lang w:eastAsia="en-GB"/>
        </w:rPr>
        <w:t>focus on</w:t>
      </w:r>
      <w:r w:rsidRPr="00416A29" w:rsidR="00831BDB">
        <w:rPr>
          <w:rFonts w:ascii="Open Sans" w:eastAsia="Times New Roman" w:hAnsi="Open Sans" w:cs="Open Sans"/>
          <w:lang w:eastAsia="en-GB"/>
        </w:rPr>
        <w:t xml:space="preserve"> higher risk renewable energy projects, which saw significant levels of private investment</w:t>
      </w:r>
      <w:r w:rsidRPr="00416A29" w:rsidR="00E27CE5">
        <w:rPr>
          <w:rFonts w:ascii="Open Sans" w:eastAsia="Times New Roman" w:hAnsi="Open Sans" w:cs="Open Sans"/>
          <w:lang w:eastAsia="en-GB"/>
        </w:rPr>
        <w:t xml:space="preserve"> then</w:t>
      </w:r>
      <w:r w:rsidRPr="00416A29" w:rsidR="00831BDB">
        <w:rPr>
          <w:rFonts w:ascii="Open Sans" w:eastAsia="Times New Roman" w:hAnsi="Open Sans" w:cs="Open Sans"/>
          <w:lang w:eastAsia="en-GB"/>
        </w:rPr>
        <w:t xml:space="preserve"> enter the market. </w:t>
      </w:r>
    </w:p>
    <w:p w:rsidR="00831BDB" w:rsidRPr="00416A29" w:rsidP="00CA2ED1" w14:paraId="3DB49843" w14:textId="1429BB2D">
      <w:pPr>
        <w:spacing w:after="0" w:line="240" w:lineRule="auto"/>
        <w:rPr>
          <w:rFonts w:ascii="Open Sans" w:eastAsia="Times New Roman" w:hAnsi="Open Sans" w:cs="Open Sans"/>
          <w:lang w:eastAsia="en-GB"/>
        </w:rPr>
      </w:pPr>
    </w:p>
    <w:p w:rsidR="00B83674" w:rsidRPr="00416A29" w:rsidP="00CA2ED1" w14:paraId="1FFE6ADE" w14:textId="2F45FB76">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There could also be a significant role for voluntary carbon markets in enabling investment in GGRs, however</w:t>
      </w:r>
      <w:r w:rsidRPr="00416A29" w:rsidR="00E27CE5">
        <w:rPr>
          <w:rFonts w:ascii="Open Sans" w:eastAsia="Times New Roman" w:hAnsi="Open Sans" w:cs="Open Sans"/>
          <w:lang w:eastAsia="en-GB"/>
        </w:rPr>
        <w:t>,</w:t>
      </w:r>
      <w:r w:rsidRPr="00416A29">
        <w:rPr>
          <w:rFonts w:ascii="Open Sans" w:eastAsia="Times New Roman" w:hAnsi="Open Sans" w:cs="Open Sans"/>
          <w:lang w:eastAsia="en-GB"/>
        </w:rPr>
        <w:t xml:space="preserve"> this would need to be carefully considered especially </w:t>
      </w:r>
      <w:r w:rsidRPr="00416A29" w:rsidR="00E27CE5">
        <w:rPr>
          <w:rFonts w:ascii="Open Sans" w:eastAsia="Times New Roman" w:hAnsi="Open Sans" w:cs="Open Sans"/>
          <w:lang w:eastAsia="en-GB"/>
        </w:rPr>
        <w:t>regard</w:t>
      </w:r>
      <w:r w:rsidRPr="00416A29">
        <w:rPr>
          <w:rFonts w:ascii="Open Sans" w:eastAsia="Times New Roman" w:hAnsi="Open Sans" w:cs="Open Sans"/>
          <w:lang w:eastAsia="en-GB"/>
        </w:rPr>
        <w:t xml:space="preserve">ing interactions with any mandated traded schemes. </w:t>
      </w:r>
    </w:p>
    <w:p w:rsidR="00B83674" w:rsidRPr="00416A29" w:rsidP="00CA2ED1" w14:paraId="52AEBA31" w14:textId="77777777">
      <w:pPr>
        <w:spacing w:after="0" w:line="240" w:lineRule="auto"/>
        <w:rPr>
          <w:rFonts w:ascii="Open Sans" w:eastAsia="Times New Roman" w:hAnsi="Open Sans" w:cs="Open Sans"/>
          <w:lang w:eastAsia="en-GB"/>
        </w:rPr>
      </w:pPr>
    </w:p>
    <w:p w:rsidR="00831BDB" w:rsidRPr="00416A29" w:rsidP="00CA2ED1" w14:paraId="6A29B472" w14:textId="4E5F6BBA">
      <w:pPr>
        <w:spacing w:after="0" w:line="240" w:lineRule="auto"/>
        <w:rPr>
          <w:rFonts w:ascii="Open Sans" w:eastAsia="Times New Roman" w:hAnsi="Open Sans" w:cs="Open Sans"/>
          <w:lang w:eastAsia="en-GB"/>
        </w:rPr>
      </w:pPr>
      <w:r w:rsidRPr="00416A29">
        <w:rPr>
          <w:rFonts w:ascii="Open Sans" w:eastAsia="Times New Roman" w:hAnsi="Open Sans" w:cs="Open Sans"/>
          <w:lang w:eastAsia="en-GB"/>
        </w:rPr>
        <w:t xml:space="preserve">The REA would also be happy to help facilitate discussions with our Finance Forum, with whom the government would be able to explore different framework ideas and understand what would help release private investment in this sector. </w:t>
      </w:r>
    </w:p>
    <w:p w:rsidR="00A534BB" w:rsidRPr="00416A29" w:rsidP="00CA2ED1" w14:paraId="6B3AE378" w14:textId="77777777">
      <w:pPr>
        <w:spacing w:after="0" w:line="240" w:lineRule="auto"/>
        <w:rPr>
          <w:rFonts w:ascii="Open Sans" w:eastAsia="Times New Roman" w:hAnsi="Open Sans" w:cs="Open Sans"/>
          <w:lang w:eastAsia="en-GB"/>
        </w:rPr>
      </w:pPr>
    </w:p>
    <w:p w:rsidR="00B83674" w:rsidRPr="00416A29" w:rsidP="00CA2ED1" w14:paraId="2DDC9A93" w14:textId="77777777">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xml:space="preserve">25. What are your views on the government's intention to coordinate the deployment of GGR technologies such as DACCS and BECCS in line with our stated CCUS ambitions, and how could </w:t>
      </w:r>
      <w:r w:rsidRPr="00416A29">
        <w:rPr>
          <w:rFonts w:ascii="Open Sans" w:eastAsia="Times New Roman" w:hAnsi="Open Sans" w:cs="Open Sans"/>
          <w:b/>
          <w:bCs/>
          <w:i/>
          <w:iCs/>
          <w:lang w:eastAsia="en-GB"/>
        </w:rPr>
        <w:t>we</w:t>
      </w:r>
      <w:r w:rsidRPr="00416A29">
        <w:rPr>
          <w:rFonts w:ascii="Open Sans" w:eastAsia="Times New Roman" w:hAnsi="Open Sans" w:cs="Open Sans"/>
          <w:b/>
          <w:bCs/>
          <w:i/>
          <w:iCs/>
          <w:lang w:eastAsia="en-GB"/>
        </w:rPr>
        <w:t xml:space="preserve"> </w:t>
      </w:r>
    </w:p>
    <w:p w:rsidR="00CA2ED1" w:rsidRPr="00416A29" w:rsidP="00CA2ED1" w14:paraId="0981F9AA" w14:textId="6BDA397E">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 xml:space="preserve">best do </w:t>
      </w:r>
      <w:r w:rsidRPr="00416A29">
        <w:rPr>
          <w:rFonts w:ascii="Open Sans" w:eastAsia="Times New Roman" w:hAnsi="Open Sans" w:cs="Open Sans"/>
          <w:b/>
          <w:bCs/>
          <w:i/>
          <w:iCs/>
          <w:lang w:eastAsia="en-GB"/>
        </w:rPr>
        <w:t>this?</w:t>
      </w:r>
    </w:p>
    <w:p w:rsidR="00E27CE5" w:rsidRPr="00416A29" w:rsidP="00B83674" w14:paraId="0AE14A3B" w14:textId="77777777">
      <w:pPr>
        <w:rPr>
          <w:rFonts w:ascii="Open Sans" w:hAnsi="Open Sans" w:cs="Open Sans"/>
        </w:rPr>
      </w:pPr>
    </w:p>
    <w:p w:rsidR="00B83674" w:rsidRPr="00416A29" w:rsidP="00B83674" w14:paraId="776FB126" w14:textId="32F6A0CE">
      <w:pPr>
        <w:rPr>
          <w:rFonts w:ascii="Open Sans" w:hAnsi="Open Sans" w:cs="Open Sans"/>
        </w:rPr>
      </w:pPr>
      <w:r w:rsidRPr="00416A29">
        <w:rPr>
          <w:rFonts w:ascii="Open Sans" w:hAnsi="Open Sans" w:cs="Open Sans"/>
        </w:rPr>
        <w:t>The REA supports the government’s overall aim to develop industrial clusters with GGR infrastructure for large-scale technologies. These will be important for establishing the GGR sector and delivering commercial scale GGR application. However, this should be done in parallel to exploring smaller scale BECCS applications, along with support for nature-based solutions</w:t>
      </w:r>
      <w:r w:rsidRPr="00416A29" w:rsidR="009D76C3">
        <w:rPr>
          <w:rFonts w:ascii="Open Sans" w:hAnsi="Open Sans" w:cs="Open Sans"/>
        </w:rPr>
        <w:t>.</w:t>
      </w:r>
    </w:p>
    <w:p w:rsidR="00B83674" w:rsidRPr="00416A29" w:rsidP="00CA2ED1" w14:paraId="673A63C9" w14:textId="4071D692">
      <w:pPr>
        <w:spacing w:after="0" w:line="240" w:lineRule="auto"/>
        <w:rPr>
          <w:rFonts w:ascii="Open Sans" w:eastAsia="Times New Roman" w:hAnsi="Open Sans" w:cs="Open Sans"/>
          <w:b/>
          <w:bCs/>
          <w:lang w:eastAsia="en-GB"/>
        </w:rPr>
      </w:pPr>
      <w:r w:rsidRPr="00416A29">
        <w:rPr>
          <w:rFonts w:ascii="Open Sans" w:eastAsia="Times New Roman" w:hAnsi="Open Sans" w:cs="Open Sans"/>
          <w:lang w:eastAsia="en-GB"/>
        </w:rPr>
        <w:t xml:space="preserve"> </w:t>
      </w:r>
    </w:p>
    <w:p w:rsidR="00CA2ED1" w:rsidRPr="00416A29" w:rsidP="00CA2ED1" w14:paraId="57CB2F37" w14:textId="14B1DC9E">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26. What principles would you wish to see in any accreditation scheme for negative emissions? How should the government regulate this? Any evidence relating to the best practice of existing negative emissions MRV is welcomed.</w:t>
      </w:r>
    </w:p>
    <w:p w:rsidR="00A534BB" w:rsidRPr="00416A29" w:rsidP="00CA2ED1" w14:paraId="06695CC3" w14:textId="131863A2">
      <w:pPr>
        <w:spacing w:after="0" w:line="240" w:lineRule="auto"/>
        <w:rPr>
          <w:rFonts w:ascii="Open Sans" w:eastAsia="Times New Roman" w:hAnsi="Open Sans" w:cs="Open Sans"/>
          <w:b/>
          <w:bCs/>
          <w:i/>
          <w:iCs/>
          <w:lang w:eastAsia="en-GB"/>
        </w:rPr>
      </w:pPr>
    </w:p>
    <w:p w:rsidR="00CA2ED1" w:rsidRPr="00416A29" w:rsidP="00CA2ED1" w14:paraId="28DF31CA" w14:textId="7DF29329">
      <w:pPr>
        <w:spacing w:after="0" w:line="240" w:lineRule="auto"/>
        <w:rPr>
          <w:rFonts w:ascii="Open Sans" w:eastAsia="Times New Roman" w:hAnsi="Open Sans" w:cs="Open Sans"/>
          <w:i/>
          <w:iCs/>
          <w:lang w:eastAsia="en-GB"/>
        </w:rPr>
      </w:pPr>
      <w:r w:rsidRPr="00416A29">
        <w:rPr>
          <w:rFonts w:ascii="Open Sans" w:eastAsia="Times New Roman" w:hAnsi="Open Sans" w:cs="Open Sans"/>
          <w:b/>
          <w:bCs/>
          <w:i/>
          <w:iCs/>
          <w:lang w:eastAsia="en-GB"/>
        </w:rPr>
        <w:t xml:space="preserve"> </w:t>
      </w:r>
      <w:r w:rsidRPr="00416A29">
        <w:rPr>
          <w:rFonts w:ascii="Open Sans" w:eastAsia="Times New Roman" w:hAnsi="Open Sans" w:cs="Open Sans"/>
          <w:i/>
          <w:iCs/>
          <w:highlight w:val="yellow"/>
          <w:lang w:eastAsia="en-GB"/>
        </w:rPr>
        <w:t>Further member input required.</w:t>
      </w:r>
    </w:p>
    <w:p w:rsidR="00B83674" w:rsidRPr="00416A29" w:rsidP="00CA2ED1" w14:paraId="614802BB" w14:textId="77777777">
      <w:pPr>
        <w:spacing w:after="0" w:line="240" w:lineRule="auto"/>
        <w:rPr>
          <w:rFonts w:ascii="Open Sans" w:eastAsia="Times New Roman" w:hAnsi="Open Sans" w:cs="Open Sans"/>
          <w:b/>
          <w:bCs/>
          <w:i/>
          <w:iCs/>
          <w:lang w:eastAsia="en-GB"/>
        </w:rPr>
      </w:pPr>
    </w:p>
    <w:p w:rsidR="00CA2ED1" w:rsidRPr="00416A29" w:rsidP="00CA2ED1" w14:paraId="1585DFF0" w14:textId="2CBDB492">
      <w:pPr>
        <w:spacing w:after="0" w:line="240" w:lineRule="auto"/>
        <w:rPr>
          <w:rFonts w:ascii="Open Sans" w:eastAsia="Times New Roman" w:hAnsi="Open Sans" w:cs="Open Sans"/>
          <w:b/>
          <w:bCs/>
          <w:i/>
          <w:iCs/>
          <w:lang w:eastAsia="en-GB"/>
        </w:rPr>
      </w:pPr>
      <w:r w:rsidRPr="00416A29">
        <w:rPr>
          <w:rFonts w:ascii="Open Sans" w:eastAsia="Times New Roman" w:hAnsi="Open Sans" w:cs="Open Sans"/>
          <w:b/>
          <w:bCs/>
          <w:i/>
          <w:iCs/>
          <w:lang w:eastAsia="en-GB"/>
        </w:rPr>
        <w:t>27. What are the most significant barriers to developing robust monitoring, reporting and verification system for GGRs?</w:t>
      </w:r>
    </w:p>
    <w:p w:rsidR="00B83674" w:rsidRPr="00416A29" w:rsidP="00B83674" w14:paraId="4BD961D4" w14:textId="77777777">
      <w:pPr>
        <w:spacing w:after="0" w:line="240" w:lineRule="auto"/>
        <w:rPr>
          <w:rFonts w:ascii="Open Sans" w:eastAsia="Times New Roman" w:hAnsi="Open Sans" w:cs="Open Sans"/>
          <w:b/>
          <w:bCs/>
          <w:i/>
          <w:iCs/>
          <w:lang w:eastAsia="en-GB"/>
        </w:rPr>
      </w:pPr>
    </w:p>
    <w:p w:rsidR="00416A29" w:rsidP="009D76C3" w14:paraId="0D9C50EA" w14:textId="77777777">
      <w:pPr>
        <w:spacing w:after="0" w:line="240" w:lineRule="auto"/>
        <w:rPr>
          <w:rFonts w:ascii="Open Sans" w:hAnsi="Open Sans" w:cs="Open Sans"/>
          <w:iCs/>
        </w:rPr>
      </w:pPr>
      <w:r w:rsidRPr="00416A29">
        <w:rPr>
          <w:rFonts w:ascii="Open Sans" w:eastAsia="Times New Roman" w:hAnsi="Open Sans" w:cs="Open Sans"/>
          <w:i/>
          <w:iCs/>
          <w:lang w:eastAsia="en-GB"/>
        </w:rPr>
        <w:t xml:space="preserve">A </w:t>
      </w:r>
      <w:r w:rsidRPr="00416A29" w:rsidR="00A534BB">
        <w:rPr>
          <w:rFonts w:ascii="Open Sans" w:hAnsi="Open Sans" w:cs="Open Sans"/>
          <w:iCs/>
        </w:rPr>
        <w:t>variety of MRV systems may be required for GGR, consistent with existing international guidelines – to include government-led auditing, self-</w:t>
      </w:r>
      <w:r w:rsidRPr="00416A29" w:rsidR="00A534BB">
        <w:rPr>
          <w:rFonts w:ascii="Open Sans" w:hAnsi="Open Sans" w:cs="Open Sans"/>
          <w:iCs/>
        </w:rPr>
        <w:t>reporting</w:t>
      </w:r>
      <w:r w:rsidRPr="00416A29" w:rsidR="00A534BB">
        <w:rPr>
          <w:rFonts w:ascii="Open Sans" w:hAnsi="Open Sans" w:cs="Open Sans"/>
          <w:iCs/>
        </w:rPr>
        <w:t xml:space="preserve"> and the use of independent data sources such as remote sensing.</w:t>
      </w:r>
      <w:r w:rsidRPr="00416A29">
        <w:rPr>
          <w:rFonts w:ascii="Open Sans" w:hAnsi="Open Sans" w:cs="Open Sans"/>
          <w:iCs/>
        </w:rPr>
        <w:t xml:space="preserve"> Different sectors might require different approaches. </w:t>
      </w:r>
      <w:r w:rsidRPr="00416A29" w:rsidR="009D76C3">
        <w:rPr>
          <w:rFonts w:ascii="Open Sans" w:hAnsi="Open Sans" w:cs="Open Sans"/>
          <w:iCs/>
        </w:rPr>
        <w:t xml:space="preserve">            </w:t>
      </w:r>
    </w:p>
    <w:p w:rsidR="00416A29" w:rsidP="009D76C3" w14:paraId="59428BE2" w14:textId="77777777">
      <w:pPr>
        <w:spacing w:after="0" w:line="240" w:lineRule="auto"/>
        <w:rPr>
          <w:rFonts w:ascii="Open Sans" w:hAnsi="Open Sans" w:cs="Open Sans"/>
          <w:iCs/>
        </w:rPr>
      </w:pPr>
    </w:p>
    <w:p w:rsidR="005B0D53" w:rsidRPr="00416A29" w:rsidP="009D76C3" w14:paraId="5961CB9C" w14:textId="40D8D3CF">
      <w:pPr>
        <w:spacing w:after="0" w:line="240" w:lineRule="auto"/>
        <w:rPr>
          <w:rFonts w:ascii="Open Sans" w:hAnsi="Open Sans" w:cs="Open Sans"/>
          <w:b/>
          <w:bCs/>
        </w:rPr>
      </w:pPr>
      <w:r w:rsidRPr="00416A29">
        <w:rPr>
          <w:rFonts w:ascii="Open Sans" w:hAnsi="Open Sans" w:cs="Open Sans"/>
          <w:b/>
          <w:bCs/>
        </w:rPr>
        <w:t>February 2021</w:t>
      </w:r>
    </w:p>
    <w:sectPr>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4472077"/>
      <w:docPartObj>
        <w:docPartGallery w:val="Page Numbers (Bottom of Page)"/>
        <w:docPartUnique/>
      </w:docPartObj>
    </w:sdtPr>
    <w:sdtContent>
      <w:p w:rsidR="00416A29" w14:paraId="0822CAFC" w14:textId="443D18C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416A29" w14:paraId="340BF8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A29" w14:paraId="29E8866E" w14:textId="56DF737B">
    <w:pPr>
      <w:pStyle w:val="Header"/>
    </w:pPr>
    <w:r w:rsidRPr="00EA423D">
      <w:rPr>
        <w:i/>
        <w:iCs/>
        <w:noProof/>
        <w:highlight w:val="yellow"/>
      </w:rPr>
      <w:drawing>
        <wp:anchor distT="0" distB="0" distL="114300" distR="114300" simplePos="0" relativeHeight="251658240" behindDoc="0" locked="0" layoutInCell="1" allowOverlap="1">
          <wp:simplePos x="0" y="0"/>
          <wp:positionH relativeFrom="margin">
            <wp:posOffset>4800600</wp:posOffset>
          </wp:positionH>
          <wp:positionV relativeFrom="paragraph">
            <wp:posOffset>-267335</wp:posOffset>
          </wp:positionV>
          <wp:extent cx="1242060" cy="646430"/>
          <wp:effectExtent l="0" t="0" r="0" b="0"/>
          <wp:wrapSquare wrapText="bothSides"/>
          <wp:docPr id="29" name="Picture 2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A_logo_rgb_HR_cropped sm.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00253C"/>
    <w:multiLevelType w:val="hybridMultilevel"/>
    <w:tmpl w:val="0C6624D2"/>
    <w:lvl w:ilvl="0">
      <w:start w:val="2"/>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5B0030"/>
    <w:multiLevelType w:val="hybridMultilevel"/>
    <w:tmpl w:val="58E606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843B56"/>
    <w:multiLevelType w:val="multilevel"/>
    <w:tmpl w:val="257427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310BA1"/>
    <w:multiLevelType w:val="hybridMultilevel"/>
    <w:tmpl w:val="BE3A697A"/>
    <w:lvl w:ilvl="0">
      <w:start w:val="0"/>
      <w:numFmt w:val="bullet"/>
      <w:lvlText w:val="-"/>
      <w:lvlJc w:val="left"/>
      <w:pPr>
        <w:ind w:left="720" w:hanging="360"/>
      </w:pPr>
      <w:rPr>
        <w:rFonts w:ascii="Calibri" w:eastAsia="Times New Roman" w:hAnsi="Calibri" w:cs="Calibri"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E095C16"/>
    <w:multiLevelType w:val="hybridMultilevel"/>
    <w:tmpl w:val="70DC38C0"/>
    <w:lvl w:ilvl="0">
      <w:start w:val="0"/>
      <w:numFmt w:val="bullet"/>
      <w:lvlText w:val="-"/>
      <w:lvlJc w:val="left"/>
      <w:pPr>
        <w:ind w:left="720" w:hanging="360"/>
      </w:pPr>
      <w:rPr>
        <w:rFonts w:ascii="Calibri" w:eastAsia="Times New Roman" w:hAnsi="Calibri" w:cs="Calibri"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804483"/>
    <w:multiLevelType w:val="hybridMultilevel"/>
    <w:tmpl w:val="748C7D34"/>
    <w:lvl w:ilvl="0">
      <w:start w:val="19"/>
      <w:numFmt w:val="bullet"/>
      <w:lvlJc w:val="left"/>
      <w:pPr>
        <w:ind w:left="720" w:hanging="360"/>
      </w:pPr>
      <w:rPr>
        <w:rFonts w:ascii="Calibri" w:eastAsia="Times New Roman" w:hAnsi="Calibr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7905660"/>
    <w:multiLevelType w:val="multilevel"/>
    <w:tmpl w:val="DC82E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D1"/>
    <w:rsid w:val="000512FD"/>
    <w:rsid w:val="00072814"/>
    <w:rsid w:val="000838A3"/>
    <w:rsid w:val="0008399D"/>
    <w:rsid w:val="000A50D3"/>
    <w:rsid w:val="000A690F"/>
    <w:rsid w:val="000D00CD"/>
    <w:rsid w:val="000D5C4C"/>
    <w:rsid w:val="000F2909"/>
    <w:rsid w:val="001904BD"/>
    <w:rsid w:val="001F2E30"/>
    <w:rsid w:val="00220B3B"/>
    <w:rsid w:val="00230FA3"/>
    <w:rsid w:val="002567C6"/>
    <w:rsid w:val="002710CB"/>
    <w:rsid w:val="00293524"/>
    <w:rsid w:val="002A0B6A"/>
    <w:rsid w:val="002B59B9"/>
    <w:rsid w:val="002C2EA1"/>
    <w:rsid w:val="002D4DA4"/>
    <w:rsid w:val="002E3953"/>
    <w:rsid w:val="00305C44"/>
    <w:rsid w:val="00393917"/>
    <w:rsid w:val="00393C5D"/>
    <w:rsid w:val="003E2D89"/>
    <w:rsid w:val="003F21FD"/>
    <w:rsid w:val="004013A4"/>
    <w:rsid w:val="00416A29"/>
    <w:rsid w:val="00422A04"/>
    <w:rsid w:val="00460476"/>
    <w:rsid w:val="004709F3"/>
    <w:rsid w:val="004B4F01"/>
    <w:rsid w:val="004C3842"/>
    <w:rsid w:val="004E5466"/>
    <w:rsid w:val="004F28FC"/>
    <w:rsid w:val="00526298"/>
    <w:rsid w:val="005314B6"/>
    <w:rsid w:val="00533D95"/>
    <w:rsid w:val="00547F88"/>
    <w:rsid w:val="00594FD6"/>
    <w:rsid w:val="00596CE0"/>
    <w:rsid w:val="005B0D53"/>
    <w:rsid w:val="00604255"/>
    <w:rsid w:val="00612992"/>
    <w:rsid w:val="006168DF"/>
    <w:rsid w:val="00621337"/>
    <w:rsid w:val="00697F83"/>
    <w:rsid w:val="006D7421"/>
    <w:rsid w:val="00721058"/>
    <w:rsid w:val="00736FF4"/>
    <w:rsid w:val="00740B8F"/>
    <w:rsid w:val="00756052"/>
    <w:rsid w:val="00795D58"/>
    <w:rsid w:val="007A0AD6"/>
    <w:rsid w:val="007B0825"/>
    <w:rsid w:val="007F0A72"/>
    <w:rsid w:val="00831BDB"/>
    <w:rsid w:val="00834BB7"/>
    <w:rsid w:val="008431F2"/>
    <w:rsid w:val="008A1896"/>
    <w:rsid w:val="008C1657"/>
    <w:rsid w:val="008E25DC"/>
    <w:rsid w:val="008E46FC"/>
    <w:rsid w:val="009014E4"/>
    <w:rsid w:val="0091038C"/>
    <w:rsid w:val="009A4577"/>
    <w:rsid w:val="009A4EE6"/>
    <w:rsid w:val="009B4E2A"/>
    <w:rsid w:val="009D36A4"/>
    <w:rsid w:val="009D76C3"/>
    <w:rsid w:val="009E67B0"/>
    <w:rsid w:val="009F09A8"/>
    <w:rsid w:val="00A01D19"/>
    <w:rsid w:val="00A16338"/>
    <w:rsid w:val="00A34A2E"/>
    <w:rsid w:val="00A40BEF"/>
    <w:rsid w:val="00A44981"/>
    <w:rsid w:val="00A534BB"/>
    <w:rsid w:val="00A95478"/>
    <w:rsid w:val="00AD326F"/>
    <w:rsid w:val="00AD3303"/>
    <w:rsid w:val="00AF3024"/>
    <w:rsid w:val="00B366D2"/>
    <w:rsid w:val="00B368BD"/>
    <w:rsid w:val="00B5597E"/>
    <w:rsid w:val="00B655F3"/>
    <w:rsid w:val="00B700DD"/>
    <w:rsid w:val="00B82405"/>
    <w:rsid w:val="00B83674"/>
    <w:rsid w:val="00B95897"/>
    <w:rsid w:val="00BD5D83"/>
    <w:rsid w:val="00BE3706"/>
    <w:rsid w:val="00BF3235"/>
    <w:rsid w:val="00BF571B"/>
    <w:rsid w:val="00C33F5F"/>
    <w:rsid w:val="00C43A5F"/>
    <w:rsid w:val="00CA2ED1"/>
    <w:rsid w:val="00CF6CF2"/>
    <w:rsid w:val="00D02C9D"/>
    <w:rsid w:val="00D30E95"/>
    <w:rsid w:val="00D62010"/>
    <w:rsid w:val="00D83950"/>
    <w:rsid w:val="00DE4ED0"/>
    <w:rsid w:val="00E17984"/>
    <w:rsid w:val="00E27CE5"/>
    <w:rsid w:val="00E86318"/>
    <w:rsid w:val="00F06593"/>
    <w:rsid w:val="00F11D1E"/>
    <w:rsid w:val="00F41705"/>
    <w:rsid w:val="00F457C7"/>
    <w:rsid w:val="00F864EB"/>
    <w:rsid w:val="00F90F65"/>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EB7B976"/>
  <w15:chartTrackingRefBased/>
  <w15:docId w15:val="{419296F4-42F1-4464-8251-B45EA495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38C"/>
    <w:pPr>
      <w:ind w:left="720"/>
      <w:contextualSpacing/>
    </w:pPr>
  </w:style>
  <w:style w:type="character" w:styleId="Hyperlink">
    <w:name w:val="Hyperlink"/>
    <w:basedOn w:val="DefaultParagraphFont"/>
    <w:uiPriority w:val="99"/>
    <w:unhideWhenUsed/>
    <w:rsid w:val="00E17984"/>
    <w:rPr>
      <w:color w:val="0563C1" w:themeColor="hyperlink"/>
      <w:u w:val="single"/>
    </w:rPr>
  </w:style>
  <w:style w:type="character" w:customStyle="1" w:styleId="UnresolvedMention">
    <w:name w:val="Unresolved Mention"/>
    <w:basedOn w:val="DefaultParagraphFont"/>
    <w:uiPriority w:val="99"/>
    <w:semiHidden/>
    <w:unhideWhenUsed/>
    <w:rsid w:val="00E17984"/>
    <w:rPr>
      <w:color w:val="605E5C"/>
      <w:shd w:val="clear" w:color="auto" w:fill="E1DFDD"/>
    </w:rPr>
  </w:style>
  <w:style w:type="character" w:styleId="CommentReference">
    <w:name w:val="annotation reference"/>
    <w:basedOn w:val="DefaultParagraphFont"/>
    <w:uiPriority w:val="99"/>
    <w:semiHidden/>
    <w:unhideWhenUsed/>
    <w:rsid w:val="00604255"/>
    <w:rPr>
      <w:sz w:val="16"/>
      <w:szCs w:val="16"/>
    </w:rPr>
  </w:style>
  <w:style w:type="paragraph" w:styleId="CommentText">
    <w:name w:val="annotation text"/>
    <w:basedOn w:val="Normal"/>
    <w:link w:val="CommentTextChar"/>
    <w:uiPriority w:val="99"/>
    <w:semiHidden/>
    <w:unhideWhenUsed/>
    <w:rsid w:val="00604255"/>
    <w:pPr>
      <w:spacing w:line="240" w:lineRule="auto"/>
    </w:pPr>
    <w:rPr>
      <w:sz w:val="20"/>
      <w:szCs w:val="20"/>
    </w:rPr>
  </w:style>
  <w:style w:type="character" w:customStyle="1" w:styleId="CommentTextChar">
    <w:name w:val="Comment Text Char"/>
    <w:basedOn w:val="DefaultParagraphFont"/>
    <w:link w:val="CommentText"/>
    <w:uiPriority w:val="99"/>
    <w:semiHidden/>
    <w:rsid w:val="00604255"/>
    <w:rPr>
      <w:sz w:val="20"/>
      <w:szCs w:val="20"/>
    </w:rPr>
  </w:style>
  <w:style w:type="paragraph" w:styleId="CommentSubject">
    <w:name w:val="annotation subject"/>
    <w:basedOn w:val="CommentText"/>
    <w:next w:val="CommentText"/>
    <w:link w:val="CommentSubjectChar"/>
    <w:uiPriority w:val="99"/>
    <w:semiHidden/>
    <w:unhideWhenUsed/>
    <w:rsid w:val="00604255"/>
    <w:rPr>
      <w:b/>
      <w:bCs/>
    </w:rPr>
  </w:style>
  <w:style w:type="character" w:customStyle="1" w:styleId="CommentSubjectChar">
    <w:name w:val="Comment Subject Char"/>
    <w:basedOn w:val="CommentTextChar"/>
    <w:link w:val="CommentSubject"/>
    <w:uiPriority w:val="99"/>
    <w:semiHidden/>
    <w:rsid w:val="00604255"/>
    <w:rPr>
      <w:b/>
      <w:bCs/>
      <w:sz w:val="20"/>
      <w:szCs w:val="20"/>
    </w:rPr>
  </w:style>
  <w:style w:type="paragraph" w:styleId="Header">
    <w:name w:val="header"/>
    <w:basedOn w:val="Normal"/>
    <w:link w:val="HeaderChar"/>
    <w:uiPriority w:val="99"/>
    <w:unhideWhenUsed/>
    <w:rsid w:val="00416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A29"/>
  </w:style>
  <w:style w:type="paragraph" w:styleId="Footer">
    <w:name w:val="footer"/>
    <w:basedOn w:val="Normal"/>
    <w:link w:val="FooterChar"/>
    <w:uiPriority w:val="99"/>
    <w:unhideWhenUsed/>
    <w:rsid w:val="00416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a.net/resources/going-negative-policy-proposals-for-uk-bioenergy-with-carbon-capture-and-storage-beccs/" TargetMode="External" /><Relationship Id="rId6" Type="http://schemas.openxmlformats.org/officeDocument/2006/relationships/hyperlink" Target="https://www.europeanbiogas.eu/evidence-collected-by-eba-shows-positive-impact-of-sequential-cropping-on-ghg-reductions-biodiversity-and-soil-quality/" TargetMode="External" /><Relationship Id="rId7" Type="http://schemas.openxmlformats.org/officeDocument/2006/relationships/hyperlink" Target="https://www.europeanbiogas.eu/wp-content/uploads/2018/10/Biogas-done-Right-extended-2.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D7F32-EB7D-4564-9EE0-488B4321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5</cp:revision>
  <dcterms:created xsi:type="dcterms:W3CDTF">2021-02-22T20:59:00Z</dcterms:created>
  <dcterms:modified xsi:type="dcterms:W3CDTF">2021-02-23T09:54:00Z</dcterms:modified>
</cp:coreProperties>
</file>