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DAD48" w14:textId="77777777" w:rsidR="00D60134" w:rsidRDefault="00824905" w:rsidP="00054B74">
      <w:pPr>
        <w:jc w:val="center"/>
        <w:rPr>
          <w:rFonts w:ascii="Futura PT Book" w:eastAsia="Times New Roman" w:hAnsi="Futura PT Book" w:cs="Arial"/>
          <w:b/>
          <w:color w:val="06926B"/>
          <w:sz w:val="32"/>
          <w:szCs w:val="32"/>
          <w:bdr w:val="none" w:sz="0" w:space="0" w:color="auto" w:frame="1"/>
          <w:lang w:eastAsia="en-GB"/>
        </w:rPr>
      </w:pPr>
      <w:r>
        <w:rPr>
          <w:noProof/>
        </w:rPr>
        <w:drawing>
          <wp:inline distT="0" distB="0" distL="0" distR="0" wp14:anchorId="4FBF6A0A" wp14:editId="7D53DCBE">
            <wp:extent cx="4849610" cy="111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57" b="14188"/>
                    <a:stretch/>
                  </pic:blipFill>
                  <pic:spPr bwMode="auto">
                    <a:xfrm>
                      <a:off x="0" y="0"/>
                      <a:ext cx="4883223" cy="1125346"/>
                    </a:xfrm>
                    <a:prstGeom prst="rect">
                      <a:avLst/>
                    </a:prstGeom>
                    <a:noFill/>
                    <a:ln>
                      <a:noFill/>
                    </a:ln>
                    <a:extLst>
                      <a:ext uri="{53640926-AAD7-44D8-BBD7-CCE9431645EC}">
                        <a14:shadowObscured xmlns:a14="http://schemas.microsoft.com/office/drawing/2010/main"/>
                      </a:ext>
                    </a:extLst>
                  </pic:spPr>
                </pic:pic>
              </a:graphicData>
            </a:graphic>
          </wp:inline>
        </w:drawing>
      </w:r>
    </w:p>
    <w:p w14:paraId="319719C1" w14:textId="0708D540" w:rsidR="00D60134" w:rsidRDefault="00C10A47" w:rsidP="00054B74">
      <w:pPr>
        <w:jc w:val="center"/>
        <w:rPr>
          <w:rFonts w:ascii="Futura PT Book" w:eastAsia="Times New Roman" w:hAnsi="Futura PT Book" w:cs="Arial"/>
          <w:b/>
          <w:color w:val="06926B"/>
          <w:sz w:val="32"/>
          <w:szCs w:val="32"/>
          <w:bdr w:val="none" w:sz="0" w:space="0" w:color="auto" w:frame="1"/>
          <w:lang w:eastAsia="en-GB"/>
        </w:rPr>
      </w:pPr>
      <w:r>
        <w:rPr>
          <w:noProof/>
        </w:rPr>
        <w:drawing>
          <wp:inline distT="0" distB="0" distL="0" distR="0" wp14:anchorId="587186A7" wp14:editId="2CE85373">
            <wp:extent cx="5731510" cy="584940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31510" cy="5849404"/>
                    </a:xfrm>
                    <a:prstGeom prst="rect">
                      <a:avLst/>
                    </a:prstGeom>
                    <a:noFill/>
                    <a:ln>
                      <a:noFill/>
                    </a:ln>
                  </pic:spPr>
                </pic:pic>
              </a:graphicData>
            </a:graphic>
          </wp:inline>
        </w:drawing>
      </w:r>
    </w:p>
    <w:p w14:paraId="5A4F5A0E" w14:textId="22166DFE" w:rsidR="00054B74" w:rsidRPr="00054B74" w:rsidRDefault="0023663E" w:rsidP="00054B74">
      <w:pPr>
        <w:jc w:val="center"/>
      </w:pPr>
      <w:r>
        <w:rPr>
          <w:rFonts w:ascii="Futura PT Book" w:eastAsia="Times New Roman" w:hAnsi="Futura PT Book" w:cs="Arial"/>
          <w:b/>
          <w:color w:val="06926B"/>
          <w:sz w:val="32"/>
          <w:szCs w:val="32"/>
          <w:bdr w:val="none" w:sz="0" w:space="0" w:color="auto" w:frame="1"/>
          <w:lang w:eastAsia="en-GB"/>
        </w:rPr>
        <w:t>Longer-Duration Energy Storage: The missing piece to a Net Zero, reliable and low-cost energy future</w:t>
      </w:r>
    </w:p>
    <w:p w14:paraId="103227B5" w14:textId="102F86D2" w:rsidR="000C62A9" w:rsidRDefault="00D12069" w:rsidP="006C1DC3">
      <w:pPr>
        <w:shd w:val="clear" w:color="auto" w:fill="FFFFFF"/>
        <w:spacing w:after="0" w:line="240" w:lineRule="auto"/>
        <w:jc w:val="center"/>
        <w:textAlignment w:val="baseline"/>
        <w:rPr>
          <w:rFonts w:ascii="Futura PT Book" w:eastAsia="Times New Roman" w:hAnsi="Futura PT Book" w:cs="Arial"/>
          <w:b/>
          <w:i/>
          <w:iCs/>
          <w:color w:val="06926B"/>
          <w:sz w:val="32"/>
          <w:szCs w:val="32"/>
          <w:bdr w:val="none" w:sz="0" w:space="0" w:color="auto" w:frame="1"/>
          <w:lang w:eastAsia="en-GB"/>
        </w:rPr>
      </w:pPr>
      <w:r>
        <w:rPr>
          <w:rFonts w:ascii="Futura PT Book" w:eastAsia="Times New Roman" w:hAnsi="Futura PT Book" w:cs="Arial"/>
          <w:b/>
          <w:i/>
          <w:iCs/>
          <w:color w:val="06926B"/>
          <w:sz w:val="32"/>
          <w:szCs w:val="32"/>
          <w:bdr w:val="none" w:sz="0" w:space="0" w:color="auto" w:frame="1"/>
          <w:lang w:eastAsia="en-GB"/>
        </w:rPr>
        <w:t>S</w:t>
      </w:r>
      <w:r w:rsidRPr="00D12069">
        <w:rPr>
          <w:rFonts w:ascii="Futura PT Book" w:eastAsia="Times New Roman" w:hAnsi="Futura PT Book" w:cs="Arial"/>
          <w:b/>
          <w:i/>
          <w:iCs/>
          <w:color w:val="06926B"/>
          <w:sz w:val="32"/>
          <w:szCs w:val="32"/>
          <w:bdr w:val="none" w:sz="0" w:space="0" w:color="auto" w:frame="1"/>
          <w:lang w:eastAsia="en-GB"/>
        </w:rPr>
        <w:t xml:space="preserve">upporting Green Jobs </w:t>
      </w:r>
    </w:p>
    <w:p w14:paraId="42A04E85" w14:textId="77777777" w:rsidR="00D60134" w:rsidRPr="00834567" w:rsidRDefault="00D60134" w:rsidP="006C1DC3">
      <w:pPr>
        <w:shd w:val="clear" w:color="auto" w:fill="FFFFFF"/>
        <w:spacing w:after="0" w:line="240" w:lineRule="auto"/>
        <w:jc w:val="center"/>
        <w:textAlignment w:val="baseline"/>
        <w:rPr>
          <w:rFonts w:ascii="Futura PT Book" w:eastAsia="Times New Roman" w:hAnsi="Futura PT Book" w:cs="Arial"/>
          <w:b/>
          <w:i/>
          <w:iCs/>
          <w:color w:val="06926B"/>
          <w:sz w:val="28"/>
          <w:bdr w:val="none" w:sz="0" w:space="0" w:color="auto" w:frame="1"/>
          <w:lang w:eastAsia="en-GB"/>
        </w:rPr>
      </w:pPr>
    </w:p>
    <w:p w14:paraId="0BC6D09D" w14:textId="5CB95A0A" w:rsidR="00054B74" w:rsidRPr="00EC3083" w:rsidRDefault="003D2462" w:rsidP="00054B74">
      <w:pPr>
        <w:jc w:val="center"/>
        <w:rPr>
          <w:rFonts w:ascii="Open Sans" w:hAnsi="Open Sans" w:cs="Open Sans"/>
        </w:rPr>
      </w:pPr>
      <w:r>
        <w:rPr>
          <w:noProof/>
        </w:rPr>
        <mc:AlternateContent>
          <mc:Choice Requires="wps">
            <w:drawing>
              <wp:anchor distT="0" distB="0" distL="114300" distR="114300" simplePos="0" relativeHeight="251685888" behindDoc="0" locked="0" layoutInCell="1" allowOverlap="1" wp14:anchorId="111B57E8" wp14:editId="77DE55D4">
                <wp:simplePos x="0" y="0"/>
                <wp:positionH relativeFrom="margin">
                  <wp:posOffset>5537835</wp:posOffset>
                </wp:positionH>
                <wp:positionV relativeFrom="paragraph">
                  <wp:posOffset>256540</wp:posOffset>
                </wp:positionV>
                <wp:extent cx="352425" cy="32385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352425" cy="32385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F4AEB" id="Rectangle 196" o:spid="_x0000_s1026" style="position:absolute;margin-left:436.05pt;margin-top:20.2pt;width:27.75pt;height:25.5pt;z-index:2516858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" fillcolor="window" strokecolor="window" strokeweight="1pt">
                <w10:wrap anchorx="margin"/>
              </v:rect>
            </w:pict>
          </mc:Fallback>
        </mc:AlternateContent>
      </w:r>
      <w:r w:rsidR="00921FE8">
        <w:rPr>
          <w:rFonts w:ascii="Open Sans" w:hAnsi="Open Sans" w:cs="Open Sans"/>
          <w:noProof/>
        </w:rPr>
        <mc:AlternateContent>
          <mc:Choice Requires="wps">
            <w:drawing>
              <wp:anchor distT="0" distB="0" distL="114300" distR="114300" simplePos="0" relativeHeight="251686912" behindDoc="0" locked="0" layoutInCell="1" allowOverlap="1" wp14:anchorId="5D6DBE34" wp14:editId="385DF12C">
                <wp:simplePos x="0" y="0"/>
                <wp:positionH relativeFrom="column">
                  <wp:posOffset>5632450</wp:posOffset>
                </wp:positionH>
                <wp:positionV relativeFrom="paragraph">
                  <wp:posOffset>556260</wp:posOffset>
                </wp:positionV>
                <wp:extent cx="247650" cy="22225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247650" cy="222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CD7AD3" id="Rectangle 4" o:spid="_x0000_s1026" style="position:absolute;margin-left:443.5pt;margin-top:43.8pt;width:19.5pt;height:17.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" fillcolor="white [3212]" strokecolor="white [3212]" strokeweight="1pt"/>
            </w:pict>
          </mc:Fallback>
        </mc:AlternateContent>
      </w:r>
      <w:r w:rsidR="00054B74" w:rsidRPr="00EC3083">
        <w:rPr>
          <w:rFonts w:ascii="Open Sans" w:hAnsi="Open Sans" w:cs="Open Sans"/>
        </w:rPr>
        <w:t xml:space="preserve">Prepared by the REA’s Energy Storage Forum – </w:t>
      </w:r>
      <w:r w:rsidR="0023663E">
        <w:rPr>
          <w:rFonts w:ascii="Open Sans" w:hAnsi="Open Sans" w:cs="Open Sans"/>
        </w:rPr>
        <w:t>Longer-Duration Energy Storage</w:t>
      </w:r>
      <w:r w:rsidR="00054B74">
        <w:rPr>
          <w:rFonts w:ascii="Open Sans" w:hAnsi="Open Sans" w:cs="Open Sans"/>
        </w:rPr>
        <w:t xml:space="preserve"> </w:t>
      </w:r>
      <w:r w:rsidR="000A0EDC">
        <w:rPr>
          <w:rFonts w:ascii="Open Sans" w:hAnsi="Open Sans" w:cs="Open Sans"/>
        </w:rPr>
        <w:t>W</w:t>
      </w:r>
      <w:r w:rsidR="00054B74" w:rsidRPr="00EC3083">
        <w:rPr>
          <w:rFonts w:ascii="Open Sans" w:hAnsi="Open Sans" w:cs="Open Sans"/>
        </w:rPr>
        <w:t xml:space="preserve">orking </w:t>
      </w:r>
      <w:r w:rsidR="000A0EDC">
        <w:rPr>
          <w:rFonts w:ascii="Open Sans" w:hAnsi="Open Sans" w:cs="Open Sans"/>
        </w:rPr>
        <w:t>G</w:t>
      </w:r>
      <w:r w:rsidR="00054B74" w:rsidRPr="00EC3083">
        <w:rPr>
          <w:rFonts w:ascii="Open Sans" w:hAnsi="Open Sans" w:cs="Open Sans"/>
        </w:rPr>
        <w:t>roup</w:t>
      </w:r>
    </w:p>
    <w:p w14:paraId="622A1D3E" w14:textId="52331E93" w:rsidR="00D12069" w:rsidRPr="00D60134" w:rsidRDefault="00D12069" w:rsidP="00D60134">
      <w:pPr>
        <w:jc w:val="center"/>
        <w:rPr>
          <w:rFonts w:ascii="Open Sans" w:hAnsi="Open Sans" w:cs="Open Sans"/>
        </w:rPr>
      </w:pPr>
    </w:p>
    <w:p w14:paraId="664C8EE8" w14:textId="65BFB8DD" w:rsidR="00D12069" w:rsidRPr="00E50700" w:rsidRDefault="00D12069" w:rsidP="008B78E0">
      <w:pPr>
        <w:jc w:val="center"/>
        <w:rPr>
          <w:rFonts w:ascii="Futura PT Medium" w:eastAsia="Calibri" w:hAnsi="Futura PT Medium" w:cs="Open Sans"/>
          <w:b/>
          <w:color w:val="06926B"/>
          <w:sz w:val="32"/>
          <w:szCs w:val="32"/>
          <w:u w:val="single"/>
        </w:rPr>
      </w:pPr>
      <w:r w:rsidRPr="00E50700">
        <w:rPr>
          <w:rFonts w:ascii="Futura PT Medium" w:eastAsia="Calibri" w:hAnsi="Futura PT Medium" w:cs="Open Sans"/>
          <w:b/>
          <w:color w:val="06926B"/>
          <w:sz w:val="32"/>
          <w:szCs w:val="32"/>
          <w:u w:val="single"/>
        </w:rPr>
        <w:lastRenderedPageBreak/>
        <w:t>Contents</w:t>
      </w:r>
    </w:p>
    <w:p w14:paraId="69F37299" w14:textId="4315C8CF" w:rsidR="00D3242C" w:rsidRPr="006F3916" w:rsidRDefault="006F3916" w:rsidP="006F3916">
      <w:pPr>
        <w:outlineLvl w:val="0"/>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22"/>
        <w:gridCol w:w="804"/>
      </w:tblGrid>
      <w:tr w:rsidR="006F3916" w14:paraId="606A3414" w14:textId="77777777" w:rsidTr="00360D1A">
        <w:tc>
          <w:tcPr>
            <w:tcW w:w="8222" w:type="dxa"/>
          </w:tcPr>
          <w:p w14:paraId="3921751C" w14:textId="65A917D5" w:rsidR="006F3916" w:rsidRDefault="006F3916" w:rsidP="006F3916">
            <w:pPr>
              <w:spacing w:line="360" w:lineRule="auto"/>
              <w:textAlignment w:val="baseline"/>
              <w:rPr>
                <w:rFonts w:ascii="Futura PT Medium" w:eastAsia="Calibri" w:hAnsi="Futura PT Medium" w:cs="Open Sans"/>
                <w:b/>
                <w:color w:val="06926B"/>
                <w:sz w:val="28"/>
                <w:szCs w:val="28"/>
              </w:rPr>
            </w:pPr>
            <w:r w:rsidRPr="00BE3ADE">
              <w:rPr>
                <w:rFonts w:ascii="Futura PT Medium" w:eastAsia="Calibri" w:hAnsi="Futura PT Medium" w:cs="Open Sans"/>
                <w:b/>
                <w:color w:val="06926B"/>
                <w:sz w:val="28"/>
                <w:szCs w:val="28"/>
              </w:rPr>
              <w:t>Executive Summary</w:t>
            </w:r>
            <w:r>
              <w:rPr>
                <w:rFonts w:ascii="Futura PT Medium" w:eastAsia="Calibri" w:hAnsi="Futura PT Medium" w:cs="Open Sans"/>
                <w:b/>
                <w:color w:val="06926B"/>
                <w:sz w:val="28"/>
                <w:szCs w:val="28"/>
              </w:rPr>
              <w:t>………</w:t>
            </w:r>
            <w:r w:rsidR="00C4380B">
              <w:rPr>
                <w:rFonts w:ascii="Futura PT Medium" w:eastAsia="Calibri" w:hAnsi="Futura PT Medium" w:cs="Open Sans"/>
                <w:b/>
                <w:color w:val="06926B"/>
                <w:sz w:val="28"/>
                <w:szCs w:val="28"/>
              </w:rPr>
              <w:t>….</w:t>
            </w:r>
            <w:r>
              <w:rPr>
                <w:rFonts w:ascii="Futura PT Medium" w:eastAsia="Calibri" w:hAnsi="Futura PT Medium" w:cs="Open Sans"/>
                <w:b/>
                <w:color w:val="06926B"/>
                <w:sz w:val="28"/>
                <w:szCs w:val="28"/>
              </w:rPr>
              <w:t>………………………………….…</w:t>
            </w:r>
          </w:p>
          <w:p w14:paraId="0676DD43" w14:textId="23044250" w:rsidR="0023663E" w:rsidRDefault="006F3916" w:rsidP="006F3916">
            <w:pPr>
              <w:spacing w:line="360" w:lineRule="auto"/>
              <w:textAlignment w:val="baseline"/>
              <w:rPr>
                <w:rFonts w:ascii="Futura PT Medium" w:eastAsia="Calibri" w:hAnsi="Futura PT Medium" w:cs="Open Sans"/>
                <w:b/>
                <w:color w:val="06926B"/>
                <w:sz w:val="28"/>
                <w:szCs w:val="28"/>
              </w:rPr>
            </w:pPr>
            <w:r w:rsidRPr="00BE3ADE">
              <w:rPr>
                <w:rFonts w:ascii="Futura PT Medium" w:eastAsia="Calibri" w:hAnsi="Futura PT Medium" w:cs="Open Sans"/>
                <w:b/>
                <w:color w:val="06926B"/>
                <w:sz w:val="28"/>
                <w:szCs w:val="28"/>
              </w:rPr>
              <w:t>Introduction</w:t>
            </w:r>
            <w:r w:rsidR="0023663E">
              <w:rPr>
                <w:rFonts w:ascii="Futura PT Medium" w:eastAsia="Calibri" w:hAnsi="Futura PT Medium" w:cs="Open Sans"/>
                <w:b/>
                <w:color w:val="06926B"/>
                <w:sz w:val="28"/>
                <w:szCs w:val="28"/>
              </w:rPr>
              <w:t>...</w:t>
            </w:r>
            <w:r w:rsidR="00C80FC9">
              <w:rPr>
                <w:rFonts w:ascii="Futura PT Medium" w:eastAsia="Calibri" w:hAnsi="Futura PT Medium" w:cs="Open Sans"/>
                <w:b/>
                <w:color w:val="06926B"/>
                <w:sz w:val="28"/>
                <w:szCs w:val="28"/>
              </w:rPr>
              <w:t>..............................................................................</w:t>
            </w:r>
          </w:p>
          <w:p w14:paraId="23917608" w14:textId="27137AF8" w:rsidR="006F3916" w:rsidRDefault="006F3916" w:rsidP="006F3916">
            <w:pPr>
              <w:spacing w:line="360" w:lineRule="auto"/>
              <w:textAlignment w:val="baseline"/>
              <w:rPr>
                <w:rFonts w:ascii="Futura PT Medium" w:eastAsia="Calibri" w:hAnsi="Futura PT Medium" w:cs="Open Sans"/>
                <w:b/>
                <w:color w:val="06926B"/>
                <w:sz w:val="28"/>
                <w:szCs w:val="28"/>
              </w:rPr>
            </w:pPr>
            <w:r w:rsidRPr="00BE3ADE">
              <w:rPr>
                <w:rFonts w:ascii="Futura PT Medium" w:eastAsia="Calibri" w:hAnsi="Futura PT Medium" w:cs="Open Sans"/>
                <w:b/>
                <w:color w:val="06926B"/>
                <w:sz w:val="28"/>
                <w:szCs w:val="28"/>
              </w:rPr>
              <w:t xml:space="preserve">The </w:t>
            </w:r>
            <w:r w:rsidR="0023663E">
              <w:rPr>
                <w:rFonts w:ascii="Futura PT Medium" w:eastAsia="Calibri" w:hAnsi="Futura PT Medium" w:cs="Open Sans"/>
                <w:b/>
                <w:color w:val="06926B"/>
                <w:sz w:val="28"/>
                <w:szCs w:val="28"/>
              </w:rPr>
              <w:t xml:space="preserve">need for longer-duration energy storage </w:t>
            </w:r>
            <w:r>
              <w:rPr>
                <w:rFonts w:ascii="Futura PT Medium" w:eastAsia="Calibri" w:hAnsi="Futura PT Medium" w:cs="Open Sans"/>
                <w:b/>
                <w:color w:val="06926B"/>
                <w:sz w:val="28"/>
                <w:szCs w:val="28"/>
              </w:rPr>
              <w:t>………</w:t>
            </w:r>
            <w:r w:rsidR="00360D1A">
              <w:rPr>
                <w:rFonts w:ascii="Futura PT Medium" w:eastAsia="Calibri" w:hAnsi="Futura PT Medium" w:cs="Open Sans"/>
                <w:b/>
                <w:color w:val="06926B"/>
                <w:sz w:val="28"/>
                <w:szCs w:val="28"/>
              </w:rPr>
              <w:t>...</w:t>
            </w:r>
            <w:r w:rsidR="0023663E">
              <w:rPr>
                <w:rFonts w:ascii="Futura PT Medium" w:eastAsia="Calibri" w:hAnsi="Futura PT Medium" w:cs="Open Sans"/>
                <w:b/>
                <w:color w:val="06926B"/>
                <w:sz w:val="28"/>
                <w:szCs w:val="28"/>
              </w:rPr>
              <w:t>.......</w:t>
            </w:r>
            <w:r>
              <w:rPr>
                <w:rFonts w:ascii="Futura PT Medium" w:eastAsia="Calibri" w:hAnsi="Futura PT Medium" w:cs="Open Sans"/>
                <w:b/>
                <w:color w:val="06926B"/>
                <w:sz w:val="28"/>
                <w:szCs w:val="28"/>
              </w:rPr>
              <w:t>…</w:t>
            </w:r>
          </w:p>
          <w:p w14:paraId="0D7C940F" w14:textId="00C96519" w:rsidR="006F3916" w:rsidRDefault="0023663E" w:rsidP="006F3916">
            <w:pPr>
              <w:spacing w:line="360" w:lineRule="auto"/>
              <w:textAlignment w:val="baseline"/>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Barriers</w:t>
            </w:r>
            <w:r w:rsidR="005C2765">
              <w:rPr>
                <w:rFonts w:ascii="Futura PT Medium" w:eastAsia="Calibri" w:hAnsi="Futura PT Medium" w:cs="Open Sans"/>
                <w:b/>
                <w:color w:val="06926B"/>
                <w:sz w:val="28"/>
                <w:szCs w:val="28"/>
              </w:rPr>
              <w:t xml:space="preserve"> to deployment</w:t>
            </w:r>
            <w:r>
              <w:rPr>
                <w:rFonts w:ascii="Futura PT Medium" w:eastAsia="Calibri" w:hAnsi="Futura PT Medium" w:cs="Open Sans"/>
                <w:b/>
                <w:color w:val="06926B"/>
                <w:sz w:val="28"/>
                <w:szCs w:val="28"/>
              </w:rPr>
              <w:t xml:space="preserve"> </w:t>
            </w:r>
            <w:r w:rsidR="006F3916">
              <w:rPr>
                <w:rFonts w:ascii="Futura PT Medium" w:eastAsia="Calibri" w:hAnsi="Futura PT Medium" w:cs="Open Sans"/>
                <w:b/>
                <w:color w:val="06926B"/>
                <w:sz w:val="28"/>
                <w:szCs w:val="28"/>
              </w:rPr>
              <w:t>…</w:t>
            </w:r>
            <w:r w:rsidR="00360D1A">
              <w:rPr>
                <w:rFonts w:ascii="Futura PT Medium" w:eastAsia="Calibri" w:hAnsi="Futura PT Medium" w:cs="Open Sans"/>
                <w:b/>
                <w:color w:val="06926B"/>
                <w:sz w:val="28"/>
                <w:szCs w:val="28"/>
              </w:rPr>
              <w:t>…….</w:t>
            </w:r>
            <w:r w:rsidR="006F3916">
              <w:rPr>
                <w:rFonts w:ascii="Futura PT Medium" w:eastAsia="Calibri" w:hAnsi="Futura PT Medium" w:cs="Open Sans"/>
                <w:b/>
                <w:color w:val="06926B"/>
                <w:sz w:val="28"/>
                <w:szCs w:val="28"/>
              </w:rPr>
              <w:t>………….……</w:t>
            </w:r>
            <w:r w:rsidR="00C80FC9">
              <w:rPr>
                <w:rFonts w:ascii="Futura PT Medium" w:eastAsia="Calibri" w:hAnsi="Futura PT Medium" w:cs="Open Sans"/>
                <w:b/>
                <w:color w:val="06926B"/>
                <w:sz w:val="28"/>
                <w:szCs w:val="28"/>
              </w:rPr>
              <w:t>………………</w:t>
            </w:r>
            <w:proofErr w:type="gramStart"/>
            <w:r w:rsidR="00C80FC9">
              <w:rPr>
                <w:rFonts w:ascii="Futura PT Medium" w:eastAsia="Calibri" w:hAnsi="Futura PT Medium" w:cs="Open Sans"/>
                <w:b/>
                <w:color w:val="06926B"/>
                <w:sz w:val="28"/>
                <w:szCs w:val="28"/>
              </w:rPr>
              <w:t>…..</w:t>
            </w:r>
            <w:proofErr w:type="gramEnd"/>
          </w:p>
          <w:p w14:paraId="4766EEBA" w14:textId="1BA7DEBF" w:rsidR="006F3916" w:rsidRDefault="0023663E" w:rsidP="006F3916">
            <w:pPr>
              <w:spacing w:line="360" w:lineRule="auto"/>
              <w:textAlignment w:val="baseline"/>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Enabling investment</w:t>
            </w:r>
            <w:r w:rsidR="005C2765">
              <w:rPr>
                <w:rFonts w:ascii="Futura PT Medium" w:eastAsia="Calibri" w:hAnsi="Futura PT Medium" w:cs="Open Sans"/>
                <w:b/>
                <w:color w:val="06926B"/>
                <w:sz w:val="28"/>
                <w:szCs w:val="28"/>
              </w:rPr>
              <w:t xml:space="preserve"> in longer-duration storag</w:t>
            </w:r>
            <w:r w:rsidR="00C80FC9">
              <w:rPr>
                <w:rFonts w:ascii="Futura PT Medium" w:eastAsia="Calibri" w:hAnsi="Futura PT Medium" w:cs="Open Sans"/>
                <w:b/>
                <w:color w:val="06926B"/>
                <w:sz w:val="28"/>
                <w:szCs w:val="28"/>
              </w:rPr>
              <w:t>e……………...</w:t>
            </w:r>
          </w:p>
          <w:p w14:paraId="1C6C3004" w14:textId="12190035" w:rsidR="006F3916" w:rsidRDefault="0023663E" w:rsidP="006F3916">
            <w:pPr>
              <w:spacing w:line="360" w:lineRule="auto"/>
              <w:textAlignment w:val="baseline"/>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Conclusion</w:t>
            </w:r>
            <w:r w:rsidR="00C80FC9">
              <w:rPr>
                <w:rFonts w:ascii="Futura PT Medium" w:eastAsia="Calibri" w:hAnsi="Futura PT Medium" w:cs="Open Sans"/>
                <w:b/>
                <w:color w:val="06926B"/>
                <w:sz w:val="28"/>
                <w:szCs w:val="28"/>
              </w:rPr>
              <w:t>s</w:t>
            </w:r>
            <w:r w:rsidR="006F3916">
              <w:rPr>
                <w:rFonts w:ascii="Futura PT Medium" w:eastAsia="Calibri" w:hAnsi="Futura PT Medium" w:cs="Open Sans"/>
                <w:b/>
                <w:color w:val="06926B"/>
                <w:sz w:val="28"/>
                <w:szCs w:val="28"/>
              </w:rPr>
              <w:t>……………………</w:t>
            </w:r>
            <w:r w:rsidR="00360D1A">
              <w:rPr>
                <w:rFonts w:ascii="Futura PT Medium" w:eastAsia="Calibri" w:hAnsi="Futura PT Medium" w:cs="Open Sans"/>
                <w:b/>
                <w:color w:val="06926B"/>
                <w:sz w:val="28"/>
                <w:szCs w:val="28"/>
              </w:rPr>
              <w:t>..</w:t>
            </w:r>
            <w:r w:rsidR="006F3916">
              <w:rPr>
                <w:rFonts w:ascii="Futura PT Medium" w:eastAsia="Calibri" w:hAnsi="Futura PT Medium" w:cs="Open Sans"/>
                <w:b/>
                <w:color w:val="06926B"/>
                <w:sz w:val="28"/>
                <w:szCs w:val="28"/>
              </w:rPr>
              <w:t>.……</w:t>
            </w:r>
            <w:r>
              <w:rPr>
                <w:rFonts w:ascii="Futura PT Medium" w:eastAsia="Calibri" w:hAnsi="Futura PT Medium" w:cs="Open Sans"/>
                <w:b/>
                <w:color w:val="06926B"/>
                <w:sz w:val="28"/>
                <w:szCs w:val="28"/>
              </w:rPr>
              <w:t>…………………………</w:t>
            </w:r>
            <w:r w:rsidR="00C4380B">
              <w:rPr>
                <w:rFonts w:ascii="Futura PT Medium" w:eastAsia="Calibri" w:hAnsi="Futura PT Medium" w:cs="Open Sans"/>
                <w:b/>
                <w:color w:val="06926B"/>
                <w:sz w:val="28"/>
                <w:szCs w:val="28"/>
              </w:rPr>
              <w:t>….</w:t>
            </w:r>
          </w:p>
          <w:p w14:paraId="4D521719" w14:textId="60EDF377" w:rsidR="006F3916" w:rsidRDefault="006F3916" w:rsidP="006F3916">
            <w:pPr>
              <w:spacing w:line="360" w:lineRule="auto"/>
              <w:textAlignment w:val="baseline"/>
              <w:rPr>
                <w:rFonts w:ascii="Futura PT Book" w:eastAsia="Times New Roman" w:hAnsi="Futura PT Book" w:cs="Arial"/>
                <w:b/>
                <w:bCs/>
                <w:color w:val="4E5053"/>
                <w:sz w:val="28"/>
                <w:szCs w:val="28"/>
                <w:bdr w:val="none" w:sz="0" w:space="0" w:color="auto" w:frame="1"/>
                <w:lang w:eastAsia="en-GB"/>
              </w:rPr>
            </w:pPr>
            <w:r w:rsidRPr="00BE3ADE">
              <w:rPr>
                <w:rFonts w:ascii="Futura PT Medium" w:eastAsia="Calibri" w:hAnsi="Futura PT Medium" w:cs="Open Sans"/>
                <w:b/>
                <w:color w:val="06926B"/>
                <w:sz w:val="28"/>
                <w:szCs w:val="28"/>
              </w:rPr>
              <w:t>Source</w:t>
            </w:r>
            <w:r>
              <w:rPr>
                <w:rFonts w:ascii="Futura PT Medium" w:eastAsia="Calibri" w:hAnsi="Futura PT Medium" w:cs="Open Sans"/>
                <w:b/>
                <w:color w:val="06926B"/>
                <w:sz w:val="28"/>
                <w:szCs w:val="28"/>
              </w:rPr>
              <w:t>s………</w:t>
            </w:r>
            <w:r w:rsidR="00360D1A">
              <w:rPr>
                <w:rFonts w:ascii="Futura PT Medium" w:eastAsia="Calibri" w:hAnsi="Futura PT Medium" w:cs="Open Sans"/>
                <w:b/>
                <w:color w:val="06926B"/>
                <w:sz w:val="28"/>
                <w:szCs w:val="28"/>
              </w:rPr>
              <w:t>.</w:t>
            </w:r>
            <w:r>
              <w:rPr>
                <w:rFonts w:ascii="Futura PT Medium" w:eastAsia="Calibri" w:hAnsi="Futura PT Medium" w:cs="Open Sans"/>
                <w:b/>
                <w:color w:val="06926B"/>
                <w:sz w:val="28"/>
                <w:szCs w:val="28"/>
              </w:rPr>
              <w:t>……………………………………………………….</w:t>
            </w:r>
          </w:p>
        </w:tc>
        <w:tc>
          <w:tcPr>
            <w:tcW w:w="804" w:type="dxa"/>
          </w:tcPr>
          <w:p w14:paraId="163137DB" w14:textId="1D5A110B" w:rsidR="006F3916" w:rsidRDefault="00505725" w:rsidP="006F3916">
            <w:pPr>
              <w:spacing w:line="360" w:lineRule="auto"/>
              <w:textAlignment w:val="baseline"/>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3</w:t>
            </w:r>
          </w:p>
          <w:p w14:paraId="4E4EE282" w14:textId="4DA6B566" w:rsidR="0023663E" w:rsidRDefault="00EC35D6" w:rsidP="006F3916">
            <w:pPr>
              <w:spacing w:line="360" w:lineRule="auto"/>
              <w:textAlignment w:val="baseline"/>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5</w:t>
            </w:r>
          </w:p>
          <w:p w14:paraId="17D140E3" w14:textId="3231A0EF" w:rsidR="0023663E" w:rsidRDefault="008D1E25" w:rsidP="006F3916">
            <w:pPr>
              <w:spacing w:line="360" w:lineRule="auto"/>
              <w:textAlignment w:val="baseline"/>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8</w:t>
            </w:r>
          </w:p>
          <w:p w14:paraId="34901E1A" w14:textId="34F7BEAD" w:rsidR="006F3916" w:rsidRDefault="00157D8B" w:rsidP="006F3916">
            <w:pPr>
              <w:spacing w:line="360" w:lineRule="auto"/>
              <w:outlineLvl w:val="0"/>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1</w:t>
            </w:r>
            <w:r w:rsidR="008D1E25">
              <w:rPr>
                <w:rFonts w:ascii="Futura PT Medium" w:eastAsia="Calibri" w:hAnsi="Futura PT Medium" w:cs="Open Sans"/>
                <w:b/>
                <w:color w:val="06926B"/>
                <w:sz w:val="28"/>
                <w:szCs w:val="28"/>
              </w:rPr>
              <w:t>1</w:t>
            </w:r>
          </w:p>
          <w:p w14:paraId="14699F5C" w14:textId="1F5AC220" w:rsidR="006F3916" w:rsidRDefault="00157D8B" w:rsidP="006F3916">
            <w:pPr>
              <w:spacing w:line="360" w:lineRule="auto"/>
              <w:outlineLvl w:val="0"/>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1</w:t>
            </w:r>
            <w:r w:rsidR="008D1E25">
              <w:rPr>
                <w:rFonts w:ascii="Futura PT Medium" w:eastAsia="Calibri" w:hAnsi="Futura PT Medium" w:cs="Open Sans"/>
                <w:b/>
                <w:color w:val="06926B"/>
                <w:sz w:val="28"/>
                <w:szCs w:val="28"/>
              </w:rPr>
              <w:t>5</w:t>
            </w:r>
          </w:p>
          <w:p w14:paraId="6233E25B" w14:textId="7A687EAD" w:rsidR="006F3916" w:rsidRDefault="00157D8B" w:rsidP="006F3916">
            <w:pPr>
              <w:spacing w:line="360" w:lineRule="auto"/>
              <w:outlineLvl w:val="0"/>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21</w:t>
            </w:r>
          </w:p>
          <w:p w14:paraId="4C91F9A2" w14:textId="15D0B108" w:rsidR="006F3916" w:rsidRDefault="00157D8B" w:rsidP="006F3916">
            <w:pPr>
              <w:spacing w:line="360" w:lineRule="auto"/>
              <w:outlineLvl w:val="0"/>
              <w:rPr>
                <w:rFonts w:ascii="Futura PT Medium" w:eastAsia="Calibri" w:hAnsi="Futura PT Medium" w:cs="Open Sans"/>
                <w:b/>
                <w:color w:val="06926B"/>
                <w:sz w:val="28"/>
                <w:szCs w:val="28"/>
              </w:rPr>
            </w:pPr>
            <w:r>
              <w:rPr>
                <w:rFonts w:ascii="Futura PT Medium" w:eastAsia="Calibri" w:hAnsi="Futura PT Medium" w:cs="Open Sans"/>
                <w:b/>
                <w:color w:val="06926B"/>
                <w:sz w:val="28"/>
                <w:szCs w:val="28"/>
              </w:rPr>
              <w:t>22</w:t>
            </w:r>
          </w:p>
          <w:p w14:paraId="5D70C802" w14:textId="54EA175A" w:rsidR="006F3916" w:rsidRDefault="006F3916" w:rsidP="006F3916">
            <w:pPr>
              <w:spacing w:line="360" w:lineRule="auto"/>
              <w:outlineLvl w:val="0"/>
              <w:rPr>
                <w:rFonts w:ascii="Futura PT Medium" w:eastAsia="Calibri" w:hAnsi="Futura PT Medium" w:cs="Open Sans"/>
                <w:b/>
                <w:color w:val="06926B"/>
                <w:sz w:val="28"/>
                <w:szCs w:val="28"/>
              </w:rPr>
            </w:pPr>
          </w:p>
          <w:p w14:paraId="614CF545" w14:textId="03B0CCC8" w:rsidR="006F3916" w:rsidRDefault="006F3916" w:rsidP="006F3916">
            <w:pPr>
              <w:spacing w:line="360" w:lineRule="auto"/>
              <w:outlineLvl w:val="0"/>
              <w:rPr>
                <w:rFonts w:ascii="Futura PT Book" w:eastAsia="Times New Roman" w:hAnsi="Futura PT Book" w:cs="Arial"/>
                <w:b/>
                <w:bCs/>
                <w:color w:val="4E5053"/>
                <w:sz w:val="28"/>
                <w:szCs w:val="28"/>
                <w:bdr w:val="none" w:sz="0" w:space="0" w:color="auto" w:frame="1"/>
                <w:lang w:eastAsia="en-GB"/>
              </w:rPr>
            </w:pPr>
          </w:p>
        </w:tc>
      </w:tr>
    </w:tbl>
    <w:p w14:paraId="79AACA36" w14:textId="395D27CD"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45CCB718" w14:textId="5998E278"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5934EBC3" w14:textId="5E456D55"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28803963" w14:textId="5A2646D5"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978383E" w14:textId="64125459"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2E3AD285" w14:textId="21AAF948"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372A0524" w14:textId="62140294"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34B3D310" w14:textId="71B4EAD8"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44A25F19" w14:textId="24271B06"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B447FF6" w14:textId="5DEDBE7B"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4B164C8" w14:textId="2473F5F2"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FAEFB9D" w14:textId="46F78070"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200730B1" w14:textId="4EE3AE46"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FA18135" w14:textId="41E6968F"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462AD0A7" w14:textId="4637AAE9"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60A47C37" w14:textId="213E4670" w:rsidR="001E04B2" w:rsidRDefault="001E04B2">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6D210536" w14:textId="26D1D03F" w:rsidR="001E04B2" w:rsidRDefault="001E04B2">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5A2EBC74" w14:textId="4E00977D" w:rsidR="001E04B2" w:rsidRDefault="001E04B2">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7C07F17" w14:textId="77777777" w:rsidR="001E04B2" w:rsidRDefault="001E04B2">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7B07F49E" w14:textId="7B405618"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6E33CAEE" w14:textId="1E2B8386" w:rsidR="00D02F24" w:rsidRDefault="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06617E7B" w14:textId="653DDD25" w:rsidR="00C4380B" w:rsidRDefault="00C4380B">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6DA52B64" w14:textId="77777777" w:rsidR="008728EB" w:rsidRDefault="008728EB" w:rsidP="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271B5ECC" w14:textId="650E38C8" w:rsidR="00D02F24" w:rsidRPr="003E2DE0" w:rsidRDefault="00D02F24" w:rsidP="00D02F24">
      <w:pPr>
        <w:shd w:val="clear" w:color="auto" w:fill="FFFFFF" w:themeFill="background1"/>
        <w:spacing w:after="0" w:line="240" w:lineRule="auto"/>
        <w:textAlignment w:val="baseline"/>
        <w:rPr>
          <w:rFonts w:ascii="Futura PT Book" w:eastAsia="Times New Roman" w:hAnsi="Futura PT Book" w:cs="Arial"/>
          <w:b/>
          <w:bCs/>
          <w:sz w:val="28"/>
          <w:szCs w:val="28"/>
          <w:bdr w:val="none" w:sz="0" w:space="0" w:color="auto" w:frame="1"/>
          <w:lang w:eastAsia="en-GB"/>
        </w:rPr>
      </w:pPr>
      <w:r w:rsidRPr="003E2DE0">
        <w:rPr>
          <w:rFonts w:ascii="Futura PT Book" w:eastAsia="Times New Roman" w:hAnsi="Futura PT Book" w:cs="Arial"/>
          <w:b/>
          <w:bCs/>
          <w:sz w:val="28"/>
          <w:szCs w:val="28"/>
          <w:bdr w:val="none" w:sz="0" w:space="0" w:color="auto" w:frame="1"/>
          <w:lang w:eastAsia="en-GB"/>
        </w:rPr>
        <w:lastRenderedPageBreak/>
        <w:t>Executive Summary</w:t>
      </w:r>
    </w:p>
    <w:p w14:paraId="6010801D" w14:textId="77777777" w:rsidR="00D02F24" w:rsidRPr="00054B74" w:rsidRDefault="00D02F24" w:rsidP="00D02F24">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497F768B" w14:textId="77777777" w:rsidR="00673848" w:rsidRPr="00673848" w:rsidRDefault="00673848" w:rsidP="00673848">
      <w:pPr>
        <w:pBdr>
          <w:top w:val="single" w:sz="24" w:space="1" w:color="06926B"/>
          <w:left w:val="single" w:sz="24" w:space="4" w:color="06926B"/>
          <w:bottom w:val="single" w:sz="24" w:space="1" w:color="06926B"/>
          <w:right w:val="single" w:sz="24" w:space="4" w:color="06926B"/>
        </w:pBdr>
        <w:spacing w:after="0" w:line="240" w:lineRule="auto"/>
        <w:textAlignment w:val="baseline"/>
        <w:rPr>
          <w:rFonts w:ascii="Open Sans" w:eastAsia="Times New Roman" w:hAnsi="Open Sans" w:cs="Open Sans"/>
          <w:color w:val="4E5053"/>
          <w:lang w:eastAsia="en-GB"/>
        </w:rPr>
      </w:pPr>
    </w:p>
    <w:p w14:paraId="610E6086" w14:textId="21368C44" w:rsidR="00C80FC9" w:rsidRPr="00C4380B" w:rsidRDefault="00505725" w:rsidP="00C4380B">
      <w:pPr>
        <w:pStyle w:val="ListParagraph"/>
        <w:numPr>
          <w:ilvl w:val="0"/>
          <w:numId w:val="5"/>
        </w:numPr>
        <w:pBdr>
          <w:top w:val="single" w:sz="24" w:space="1" w:color="06926B"/>
          <w:left w:val="single" w:sz="24" w:space="4" w:color="06926B"/>
          <w:bottom w:val="single" w:sz="24" w:space="1" w:color="06926B"/>
          <w:right w:val="single" w:sz="24" w:space="4" w:color="06926B"/>
        </w:pBdr>
        <w:ind w:left="567" w:hanging="567"/>
        <w:textAlignment w:val="baseline"/>
        <w:rPr>
          <w:rFonts w:ascii="Open Sans" w:eastAsia="Times New Roman" w:hAnsi="Open Sans" w:cs="Open Sans"/>
          <w:color w:val="4E5053"/>
          <w:lang w:eastAsia="en-GB"/>
        </w:rPr>
      </w:pPr>
      <w:r>
        <w:rPr>
          <w:rFonts w:ascii="Open Sans" w:eastAsia="Times New Roman" w:hAnsi="Open Sans" w:cs="Open Sans"/>
          <w:color w:val="4E5053"/>
          <w:lang w:eastAsia="en-GB"/>
        </w:rPr>
        <w:t xml:space="preserve">An energy system powered in the main by variable sources </w:t>
      </w:r>
      <w:r w:rsidR="007A5D0A" w:rsidRPr="007A5D0A">
        <w:rPr>
          <w:rFonts w:ascii="Open Sans" w:eastAsia="Times New Roman" w:hAnsi="Open Sans" w:cs="Open Sans"/>
          <w:color w:val="4E5053"/>
          <w:lang w:eastAsia="en-GB"/>
        </w:rPr>
        <w:t xml:space="preserve">will require drastically increased provision of energy storage at all scales. </w:t>
      </w:r>
      <w:r w:rsidR="00C80FC9">
        <w:rPr>
          <w:rFonts w:ascii="Open Sans" w:eastAsia="Times New Roman" w:hAnsi="Open Sans" w:cs="Open Sans"/>
          <w:color w:val="4E5053"/>
          <w:lang w:eastAsia="en-GB"/>
        </w:rPr>
        <w:t>F</w:t>
      </w:r>
      <w:r w:rsidR="00442C03" w:rsidRPr="00C4380B">
        <w:rPr>
          <w:rFonts w:ascii="Open Sans" w:eastAsia="Times New Roman" w:hAnsi="Open Sans" w:cs="Open Sans"/>
          <w:color w:val="4E5053"/>
          <w:lang w:eastAsia="en-GB"/>
        </w:rPr>
        <w:t xml:space="preserve">lexibility markets are presently dominated in the UK by fossil fuel assets, and the recent encouraging take-up of short-duration energy storage technologies has not been matched by growth in longer-duration technologies. </w:t>
      </w:r>
      <w:r w:rsidR="00C80FC9">
        <w:rPr>
          <w:rFonts w:ascii="Open Sans" w:eastAsia="Times New Roman" w:hAnsi="Open Sans" w:cs="Open Sans"/>
          <w:color w:val="4E5053"/>
          <w:lang w:eastAsia="en-GB"/>
        </w:rPr>
        <w:br/>
      </w:r>
    </w:p>
    <w:p w14:paraId="763E01F7" w14:textId="78ED65F3" w:rsidR="007A5D0A" w:rsidRPr="00C4380B" w:rsidRDefault="00442C03" w:rsidP="00C4380B">
      <w:pPr>
        <w:pStyle w:val="ListParagraph"/>
        <w:numPr>
          <w:ilvl w:val="0"/>
          <w:numId w:val="5"/>
        </w:numPr>
        <w:pBdr>
          <w:top w:val="single" w:sz="24" w:space="1" w:color="06926B"/>
          <w:left w:val="single" w:sz="24" w:space="4" w:color="06926B"/>
          <w:bottom w:val="single" w:sz="24" w:space="1" w:color="06926B"/>
          <w:right w:val="single" w:sz="24" w:space="4" w:color="06926B"/>
        </w:pBdr>
        <w:ind w:left="567" w:hanging="567"/>
        <w:textAlignment w:val="baseline"/>
        <w:rPr>
          <w:rFonts w:ascii="Open Sans" w:eastAsia="Times New Roman" w:hAnsi="Open Sans" w:cs="Open Sans"/>
          <w:color w:val="4E5053"/>
          <w:lang w:eastAsia="en-GB"/>
        </w:rPr>
      </w:pPr>
      <w:r w:rsidRPr="00C4380B">
        <w:rPr>
          <w:rFonts w:ascii="Open Sans" w:eastAsia="Times New Roman" w:hAnsi="Open Sans" w:cs="Open Sans"/>
          <w:color w:val="4E5053"/>
          <w:lang w:eastAsia="en-GB"/>
        </w:rPr>
        <w:t>Currently</w:t>
      </w:r>
      <w:r w:rsidR="007A5D0A" w:rsidRPr="00C4380B">
        <w:rPr>
          <w:rFonts w:ascii="Open Sans" w:eastAsia="Times New Roman" w:hAnsi="Open Sans" w:cs="Open Sans"/>
          <w:color w:val="4E5053"/>
          <w:lang w:eastAsia="en-GB"/>
        </w:rPr>
        <w:t xml:space="preserve">, the UK has 2.8GW of Pumped Hydro energy storage and a </w:t>
      </w:r>
      <w:r w:rsidR="00C4380B">
        <w:rPr>
          <w:rFonts w:ascii="Open Sans" w:eastAsia="Times New Roman" w:hAnsi="Open Sans" w:cs="Open Sans"/>
          <w:color w:val="4E5053"/>
          <w:lang w:eastAsia="en-GB"/>
        </w:rPr>
        <w:t>limited</w:t>
      </w:r>
      <w:r w:rsidR="00C4380B" w:rsidRPr="00C4380B">
        <w:rPr>
          <w:rFonts w:ascii="Open Sans" w:eastAsia="Times New Roman" w:hAnsi="Open Sans" w:cs="Open Sans"/>
          <w:color w:val="4E5053"/>
          <w:lang w:eastAsia="en-GB"/>
        </w:rPr>
        <w:t xml:space="preserve"> </w:t>
      </w:r>
      <w:r w:rsidR="007A5D0A" w:rsidRPr="00C4380B">
        <w:rPr>
          <w:rFonts w:ascii="Open Sans" w:eastAsia="Times New Roman" w:hAnsi="Open Sans" w:cs="Open Sans"/>
          <w:color w:val="4E5053"/>
          <w:lang w:eastAsia="en-GB"/>
        </w:rPr>
        <w:t xml:space="preserve">number of Compressed Air Energy Storage and Liquid Air Energy Storage sites in development. By contrast, </w:t>
      </w:r>
      <w:r w:rsidRPr="00C4380B">
        <w:rPr>
          <w:rFonts w:ascii="Open Sans" w:eastAsia="Times New Roman" w:hAnsi="Open Sans" w:cs="Open Sans"/>
          <w:color w:val="4E5053"/>
          <w:lang w:eastAsia="en-GB"/>
        </w:rPr>
        <w:t xml:space="preserve">several </w:t>
      </w:r>
      <w:r w:rsidR="007A5D0A" w:rsidRPr="00C4380B">
        <w:rPr>
          <w:rFonts w:ascii="Open Sans" w:eastAsia="Times New Roman" w:hAnsi="Open Sans" w:cs="Open Sans"/>
          <w:color w:val="4E5053"/>
          <w:lang w:eastAsia="en-GB"/>
        </w:rPr>
        <w:t xml:space="preserve">major studies that have been published in the last few years on the need for longer-duration energy storage in the UK estimate at least 20GW-40GW </w:t>
      </w:r>
      <w:r w:rsidR="00C4380B">
        <w:rPr>
          <w:rFonts w:ascii="Open Sans" w:eastAsia="Times New Roman" w:hAnsi="Open Sans" w:cs="Open Sans"/>
          <w:color w:val="4E5053"/>
          <w:lang w:eastAsia="en-GB"/>
        </w:rPr>
        <w:t xml:space="preserve">(exceeding </w:t>
      </w:r>
      <w:r w:rsidR="00C4380B" w:rsidRPr="00C4380B">
        <w:rPr>
          <w:rFonts w:ascii="Open Sans" w:eastAsia="Times New Roman" w:hAnsi="Open Sans" w:cs="Open Sans"/>
          <w:color w:val="4E5053"/>
          <w:lang w:eastAsia="en-GB"/>
        </w:rPr>
        <w:t>2</w:t>
      </w:r>
      <w:r w:rsidR="00C4380B">
        <w:rPr>
          <w:rFonts w:ascii="Open Sans" w:eastAsia="Times New Roman" w:hAnsi="Open Sans" w:cs="Open Sans"/>
          <w:color w:val="4E5053"/>
          <w:lang w:eastAsia="en-GB"/>
        </w:rPr>
        <w:t>00</w:t>
      </w:r>
      <w:r w:rsidR="00C4380B" w:rsidRPr="00C4380B">
        <w:rPr>
          <w:rFonts w:ascii="Open Sans" w:eastAsia="Times New Roman" w:hAnsi="Open Sans" w:cs="Open Sans"/>
          <w:color w:val="4E5053"/>
          <w:lang w:eastAsia="en-GB"/>
        </w:rPr>
        <w:t>GWh</w:t>
      </w:r>
      <w:r w:rsidR="00C4380B">
        <w:rPr>
          <w:rFonts w:ascii="Open Sans" w:eastAsia="Times New Roman" w:hAnsi="Open Sans" w:cs="Open Sans"/>
          <w:color w:val="4E5053"/>
          <w:lang w:eastAsia="en-GB"/>
        </w:rPr>
        <w:t xml:space="preserve">) </w:t>
      </w:r>
      <w:r w:rsidR="007A5D0A" w:rsidRPr="00C4380B">
        <w:rPr>
          <w:rFonts w:ascii="Open Sans" w:eastAsia="Times New Roman" w:hAnsi="Open Sans" w:cs="Open Sans"/>
          <w:color w:val="4E5053"/>
          <w:lang w:eastAsia="en-GB"/>
        </w:rPr>
        <w:t>will be required. These estimates could change, but if they do, are likely to increase rather than decrease as the energy transition accelerates.</w:t>
      </w:r>
      <w:r w:rsidR="006E6C74" w:rsidRPr="00C4380B">
        <w:rPr>
          <w:rFonts w:ascii="Open Sans" w:eastAsia="Times New Roman" w:hAnsi="Open Sans" w:cs="Open Sans"/>
          <w:color w:val="4E5053"/>
          <w:lang w:eastAsia="en-GB"/>
        </w:rPr>
        <w:br/>
      </w:r>
    </w:p>
    <w:p w14:paraId="48BCEBF2" w14:textId="6E409F2C" w:rsidR="00C80FC9" w:rsidRPr="00C4380B" w:rsidRDefault="00C80FC9" w:rsidP="00C4380B">
      <w:pPr>
        <w:pStyle w:val="ListParagraph"/>
        <w:numPr>
          <w:ilvl w:val="0"/>
          <w:numId w:val="5"/>
        </w:numPr>
        <w:pBdr>
          <w:top w:val="single" w:sz="24" w:space="1" w:color="06926B"/>
          <w:left w:val="single" w:sz="24" w:space="4" w:color="06926B"/>
          <w:bottom w:val="single" w:sz="24" w:space="1" w:color="06926B"/>
          <w:right w:val="single" w:sz="24" w:space="4" w:color="06926B"/>
        </w:pBdr>
        <w:spacing w:after="0"/>
        <w:ind w:left="567" w:hanging="567"/>
        <w:textAlignment w:val="baseline"/>
        <w:rPr>
          <w:rFonts w:ascii="Open Sans" w:eastAsia="Times New Roman" w:hAnsi="Open Sans" w:cs="Open Sans"/>
          <w:color w:val="4E5053"/>
          <w:lang w:eastAsia="en-GB"/>
        </w:rPr>
      </w:pPr>
      <w:r>
        <w:rPr>
          <w:rFonts w:ascii="Open Sans" w:eastAsia="Times New Roman" w:hAnsi="Open Sans" w:cs="Open Sans"/>
          <w:color w:val="4E5053"/>
          <w:lang w:eastAsia="en-GB"/>
        </w:rPr>
        <w:t>Clean forms of s</w:t>
      </w:r>
      <w:r w:rsidRPr="007A5D0A">
        <w:rPr>
          <w:rFonts w:ascii="Open Sans" w:eastAsia="Times New Roman" w:hAnsi="Open Sans" w:cs="Open Sans"/>
          <w:color w:val="4E5053"/>
          <w:lang w:eastAsia="en-GB"/>
        </w:rPr>
        <w:t>ynchronous longer-duration storage can play a greater role in addressing the growing challenges associated with system</w:t>
      </w:r>
      <w:r>
        <w:rPr>
          <w:rFonts w:ascii="Open Sans" w:eastAsia="Times New Roman" w:hAnsi="Open Sans" w:cs="Open Sans"/>
          <w:color w:val="4E5053"/>
          <w:lang w:eastAsia="en-GB"/>
        </w:rPr>
        <w:t xml:space="preserve"> </w:t>
      </w:r>
      <w:r w:rsidRPr="007A5D0A">
        <w:rPr>
          <w:rFonts w:ascii="Open Sans" w:eastAsia="Times New Roman" w:hAnsi="Open Sans" w:cs="Open Sans"/>
          <w:color w:val="4E5053"/>
          <w:lang w:eastAsia="en-GB"/>
        </w:rPr>
        <w:t>stability and network constraints</w:t>
      </w:r>
      <w:r>
        <w:rPr>
          <w:rFonts w:ascii="Open Sans" w:eastAsia="Times New Roman" w:hAnsi="Open Sans" w:cs="Open Sans"/>
          <w:color w:val="4E5053"/>
          <w:lang w:eastAsia="en-GB"/>
        </w:rPr>
        <w:t xml:space="preserve">. </w:t>
      </w:r>
      <w:r w:rsidRPr="007A5D0A">
        <w:rPr>
          <w:rFonts w:ascii="Open Sans" w:eastAsia="Times New Roman" w:hAnsi="Open Sans" w:cs="Open Sans"/>
          <w:color w:val="4E5053"/>
          <w:lang w:eastAsia="en-GB"/>
        </w:rPr>
        <w:t xml:space="preserve">The paper </w:t>
      </w:r>
      <w:r>
        <w:rPr>
          <w:rFonts w:ascii="Open Sans" w:eastAsia="Times New Roman" w:hAnsi="Open Sans" w:cs="Open Sans"/>
          <w:color w:val="4E5053"/>
          <w:lang w:eastAsia="en-GB"/>
        </w:rPr>
        <w:t>discusses</w:t>
      </w:r>
      <w:r w:rsidRPr="007A5D0A">
        <w:rPr>
          <w:rFonts w:ascii="Open Sans" w:eastAsia="Times New Roman" w:hAnsi="Open Sans" w:cs="Open Sans"/>
          <w:color w:val="4E5053"/>
          <w:lang w:eastAsia="en-GB"/>
        </w:rPr>
        <w:t xml:space="preserve"> </w:t>
      </w:r>
      <w:r>
        <w:rPr>
          <w:rFonts w:ascii="Open Sans" w:eastAsia="Times New Roman" w:hAnsi="Open Sans" w:cs="Open Sans"/>
          <w:color w:val="4E5053"/>
          <w:lang w:eastAsia="en-GB"/>
        </w:rPr>
        <w:t>a</w:t>
      </w:r>
      <w:r w:rsidRPr="007A5D0A">
        <w:rPr>
          <w:rFonts w:ascii="Open Sans" w:eastAsia="Times New Roman" w:hAnsi="Open Sans" w:cs="Open Sans"/>
          <w:color w:val="4E5053"/>
          <w:lang w:eastAsia="en-GB"/>
        </w:rPr>
        <w:t xml:space="preserve"> range of clean technologies with duration of more than 4 hours, with some of them reaching up to 24 hours, though arguments made may also have some relevance to energy storage solutions capable of providing an even longer duration, such as hydrogen.</w:t>
      </w:r>
    </w:p>
    <w:p w14:paraId="31004B57" w14:textId="77777777" w:rsidR="00C80FC9" w:rsidRPr="00C4380B" w:rsidRDefault="00C80FC9" w:rsidP="00C4380B">
      <w:pPr>
        <w:pBdr>
          <w:top w:val="single" w:sz="24" w:space="1" w:color="06926B"/>
          <w:left w:val="single" w:sz="24" w:space="4" w:color="06926B"/>
          <w:bottom w:val="single" w:sz="24" w:space="1" w:color="06926B"/>
          <w:right w:val="single" w:sz="24" w:space="4" w:color="06926B"/>
        </w:pBdr>
        <w:spacing w:after="0"/>
        <w:textAlignment w:val="baseline"/>
        <w:rPr>
          <w:rFonts w:ascii="Open Sans" w:eastAsia="Times New Roman" w:hAnsi="Open Sans" w:cs="Open Sans"/>
          <w:color w:val="4E5053"/>
          <w:lang w:eastAsia="en-GB"/>
        </w:rPr>
      </w:pPr>
    </w:p>
    <w:p w14:paraId="40B8F8CC" w14:textId="7329CF61" w:rsidR="00442C03" w:rsidRPr="00C4380B" w:rsidRDefault="00C80FC9" w:rsidP="00C4380B">
      <w:pPr>
        <w:pStyle w:val="ListParagraph"/>
        <w:numPr>
          <w:ilvl w:val="0"/>
          <w:numId w:val="5"/>
        </w:numPr>
        <w:pBdr>
          <w:top w:val="single" w:sz="24" w:space="1" w:color="06926B"/>
          <w:left w:val="single" w:sz="24" w:space="4" w:color="06926B"/>
          <w:bottom w:val="single" w:sz="24" w:space="1" w:color="06926B"/>
          <w:right w:val="single" w:sz="24" w:space="4" w:color="06926B"/>
        </w:pBdr>
        <w:spacing w:after="0"/>
        <w:ind w:left="567" w:hanging="567"/>
        <w:textAlignment w:val="baseline"/>
        <w:rPr>
          <w:rFonts w:ascii="Open Sans" w:eastAsia="Times New Roman" w:hAnsi="Open Sans" w:cs="Open Sans"/>
          <w:color w:val="4E5053"/>
          <w:lang w:eastAsia="en-GB"/>
        </w:rPr>
      </w:pPr>
      <w:r>
        <w:rPr>
          <w:rFonts w:ascii="Open Sans" w:eastAsia="Times New Roman" w:hAnsi="Open Sans" w:cs="Open Sans"/>
          <w:color w:val="4E5053"/>
          <w:lang w:eastAsia="en-GB"/>
        </w:rPr>
        <w:t>The e</w:t>
      </w:r>
      <w:r w:rsidR="00442C03" w:rsidRPr="007A5D0A">
        <w:rPr>
          <w:rFonts w:ascii="Open Sans" w:eastAsia="Times New Roman" w:hAnsi="Open Sans" w:cs="Open Sans"/>
          <w:color w:val="4E5053"/>
          <w:lang w:eastAsia="en-GB"/>
        </w:rPr>
        <w:t>xisting market framework provides investors in longer-duration storage with very low certainty of income, which disincentivises deployment when viewed in context of the high Capex cost of such projects, which are typically on a large scale.</w:t>
      </w:r>
      <w:r>
        <w:rPr>
          <w:rFonts w:ascii="Open Sans" w:eastAsia="Times New Roman" w:hAnsi="Open Sans" w:cs="Open Sans"/>
          <w:color w:val="4E5053"/>
          <w:lang w:eastAsia="en-GB"/>
        </w:rPr>
        <w:t xml:space="preserve"> </w:t>
      </w:r>
      <w:r w:rsidR="00442C03" w:rsidRPr="007A5D0A">
        <w:rPr>
          <w:rFonts w:ascii="Open Sans" w:eastAsia="Times New Roman" w:hAnsi="Open Sans" w:cs="Open Sans"/>
          <w:color w:val="4E5053"/>
          <w:lang w:eastAsia="en-GB"/>
        </w:rPr>
        <w:t xml:space="preserve"> </w:t>
      </w:r>
    </w:p>
    <w:p w14:paraId="57D22BCC" w14:textId="77777777" w:rsidR="007A5D0A" w:rsidRPr="003E2DE0" w:rsidRDefault="007A5D0A" w:rsidP="003E2DE0">
      <w:pPr>
        <w:pBdr>
          <w:top w:val="single" w:sz="24" w:space="1" w:color="06926B"/>
          <w:left w:val="single" w:sz="24" w:space="4" w:color="06926B"/>
          <w:bottom w:val="single" w:sz="24" w:space="1" w:color="06926B"/>
          <w:right w:val="single" w:sz="24" w:space="4" w:color="06926B"/>
        </w:pBdr>
        <w:spacing w:after="0"/>
        <w:textAlignment w:val="baseline"/>
        <w:rPr>
          <w:rFonts w:ascii="Open Sans" w:eastAsia="Times New Roman" w:hAnsi="Open Sans" w:cs="Open Sans"/>
          <w:color w:val="4E5053"/>
          <w:lang w:eastAsia="en-GB"/>
        </w:rPr>
      </w:pPr>
    </w:p>
    <w:p w14:paraId="685826E1" w14:textId="4A30E36B" w:rsidR="00EC35D6" w:rsidRDefault="007A5D0A" w:rsidP="003E2DE0">
      <w:pPr>
        <w:pStyle w:val="ListParagraph"/>
        <w:numPr>
          <w:ilvl w:val="0"/>
          <w:numId w:val="5"/>
        </w:numPr>
        <w:pBdr>
          <w:top w:val="single" w:sz="24" w:space="1" w:color="06926B"/>
          <w:left w:val="single" w:sz="24" w:space="4" w:color="06926B"/>
          <w:bottom w:val="single" w:sz="24" w:space="1" w:color="06926B"/>
          <w:right w:val="single" w:sz="24" w:space="4" w:color="06926B"/>
        </w:pBdr>
        <w:spacing w:after="0"/>
        <w:ind w:left="567" w:hanging="567"/>
        <w:textAlignment w:val="baseline"/>
        <w:rPr>
          <w:rFonts w:ascii="Open Sans" w:eastAsia="Times New Roman" w:hAnsi="Open Sans" w:cs="Open Sans"/>
          <w:color w:val="4E5053"/>
          <w:lang w:eastAsia="en-GB"/>
        </w:rPr>
      </w:pPr>
      <w:r w:rsidRPr="007A5D0A">
        <w:rPr>
          <w:rFonts w:ascii="Open Sans" w:eastAsia="Times New Roman" w:hAnsi="Open Sans" w:cs="Open Sans"/>
          <w:color w:val="4E5053"/>
          <w:lang w:eastAsia="en-GB"/>
        </w:rPr>
        <w:t xml:space="preserve">The paper clarifies why existing market mechanisms are not unlocking investment in longer-duration storage technologies and outlines some of the options the UK could consider </w:t>
      </w:r>
      <w:proofErr w:type="gramStart"/>
      <w:r w:rsidRPr="007A5D0A">
        <w:rPr>
          <w:rFonts w:ascii="Open Sans" w:eastAsia="Times New Roman" w:hAnsi="Open Sans" w:cs="Open Sans"/>
          <w:color w:val="4E5053"/>
          <w:lang w:eastAsia="en-GB"/>
        </w:rPr>
        <w:t>to enable</w:t>
      </w:r>
      <w:proofErr w:type="gramEnd"/>
      <w:r w:rsidRPr="007A5D0A">
        <w:rPr>
          <w:rFonts w:ascii="Open Sans" w:eastAsia="Times New Roman" w:hAnsi="Open Sans" w:cs="Open Sans"/>
          <w:color w:val="4E5053"/>
          <w:lang w:eastAsia="en-GB"/>
        </w:rPr>
        <w:t xml:space="preserve"> deployment of these technologies, including an Income Floor and a Regulated Asset Base model.</w:t>
      </w:r>
    </w:p>
    <w:p w14:paraId="50915643" w14:textId="77777777" w:rsidR="00EC35D6" w:rsidRPr="00C63C71" w:rsidRDefault="00EC35D6" w:rsidP="003E2DE0">
      <w:pPr>
        <w:pBdr>
          <w:top w:val="single" w:sz="24" w:space="1" w:color="06926B"/>
          <w:left w:val="single" w:sz="24" w:space="4" w:color="06926B"/>
          <w:bottom w:val="single" w:sz="24" w:space="1" w:color="06926B"/>
          <w:right w:val="single" w:sz="24" w:space="4" w:color="06926B"/>
        </w:pBdr>
        <w:spacing w:after="0"/>
        <w:textAlignment w:val="baseline"/>
        <w:rPr>
          <w:rFonts w:ascii="Open Sans" w:eastAsia="Times New Roman" w:hAnsi="Open Sans" w:cs="Open Sans"/>
          <w:b/>
          <w:bCs/>
          <w:color w:val="4E5053"/>
          <w:lang w:eastAsia="en-GB"/>
        </w:rPr>
      </w:pPr>
    </w:p>
    <w:p w14:paraId="5CA32E15" w14:textId="1BA9E2D3" w:rsidR="00850F34" w:rsidRDefault="007A5D0A" w:rsidP="00C4380B">
      <w:pPr>
        <w:pStyle w:val="ListParagraph"/>
        <w:numPr>
          <w:ilvl w:val="0"/>
          <w:numId w:val="5"/>
        </w:numPr>
        <w:pBdr>
          <w:top w:val="single" w:sz="24" w:space="1" w:color="06926B"/>
          <w:left w:val="single" w:sz="24" w:space="4" w:color="06926B"/>
          <w:bottom w:val="single" w:sz="24" w:space="1" w:color="06926B"/>
          <w:right w:val="single" w:sz="24" w:space="4" w:color="06926B"/>
        </w:pBdr>
        <w:spacing w:after="0" w:line="240" w:lineRule="auto"/>
        <w:ind w:left="567" w:hanging="567"/>
        <w:textAlignment w:val="baseline"/>
        <w:rPr>
          <w:lang w:eastAsia="en-GB"/>
        </w:rPr>
      </w:pPr>
      <w:r w:rsidRPr="00C50290">
        <w:rPr>
          <w:rFonts w:ascii="Open Sans" w:eastAsia="Times New Roman" w:hAnsi="Open Sans" w:cs="Open Sans"/>
          <w:color w:val="4E5053"/>
          <w:lang w:eastAsia="en-GB"/>
        </w:rPr>
        <w:t xml:space="preserve">The REA calls the Department for Business, </w:t>
      </w:r>
      <w:proofErr w:type="gramStart"/>
      <w:r w:rsidRPr="00C50290">
        <w:rPr>
          <w:rFonts w:ascii="Open Sans" w:eastAsia="Times New Roman" w:hAnsi="Open Sans" w:cs="Open Sans"/>
          <w:color w:val="4E5053"/>
          <w:lang w:eastAsia="en-GB"/>
        </w:rPr>
        <w:t>Energy</w:t>
      </w:r>
      <w:proofErr w:type="gramEnd"/>
      <w:r w:rsidRPr="00C50290">
        <w:rPr>
          <w:rFonts w:ascii="Open Sans" w:eastAsia="Times New Roman" w:hAnsi="Open Sans" w:cs="Open Sans"/>
          <w:color w:val="4E5053"/>
          <w:lang w:eastAsia="en-GB"/>
        </w:rPr>
        <w:t xml:space="preserve"> and Industrial Strategy (BEIS) </w:t>
      </w:r>
      <w:r w:rsidR="00416F93" w:rsidRPr="00C50290">
        <w:rPr>
          <w:rFonts w:ascii="Open Sans" w:eastAsia="Times New Roman" w:hAnsi="Open Sans" w:cs="Open Sans"/>
          <w:color w:val="4E5053"/>
          <w:lang w:eastAsia="en-GB"/>
        </w:rPr>
        <w:t xml:space="preserve">and Ofgem </w:t>
      </w:r>
      <w:r w:rsidRPr="00C50290">
        <w:rPr>
          <w:rFonts w:ascii="Open Sans" w:eastAsia="Times New Roman" w:hAnsi="Open Sans" w:cs="Open Sans"/>
          <w:color w:val="4E5053"/>
          <w:lang w:eastAsia="en-GB"/>
        </w:rPr>
        <w:t xml:space="preserve">to </w:t>
      </w:r>
      <w:r w:rsidR="00416F93" w:rsidRPr="00C50290">
        <w:rPr>
          <w:rFonts w:ascii="Open Sans" w:eastAsia="Times New Roman" w:hAnsi="Open Sans" w:cs="Open Sans"/>
          <w:color w:val="4E5053"/>
          <w:lang w:eastAsia="en-GB"/>
        </w:rPr>
        <w:t xml:space="preserve">issue </w:t>
      </w:r>
      <w:r w:rsidRPr="00C50290">
        <w:rPr>
          <w:rFonts w:ascii="Open Sans" w:eastAsia="Times New Roman" w:hAnsi="Open Sans" w:cs="Open Sans"/>
          <w:color w:val="4E5053"/>
          <w:lang w:eastAsia="en-GB"/>
        </w:rPr>
        <w:t xml:space="preserve">a </w:t>
      </w:r>
      <w:r w:rsidR="00C63C71" w:rsidRPr="00C50290">
        <w:rPr>
          <w:rFonts w:ascii="Open Sans" w:eastAsia="Times New Roman" w:hAnsi="Open Sans" w:cs="Open Sans"/>
          <w:color w:val="4E5053"/>
          <w:lang w:eastAsia="en-GB"/>
        </w:rPr>
        <w:t xml:space="preserve">joint </w:t>
      </w:r>
      <w:r w:rsidRPr="00C50290">
        <w:rPr>
          <w:rFonts w:ascii="Open Sans" w:eastAsia="Times New Roman" w:hAnsi="Open Sans" w:cs="Open Sans"/>
          <w:color w:val="4E5053"/>
          <w:lang w:eastAsia="en-GB"/>
        </w:rPr>
        <w:t xml:space="preserve">Call for Evidence </w:t>
      </w:r>
      <w:r w:rsidR="00C63C71" w:rsidRPr="00C50290">
        <w:rPr>
          <w:rFonts w:ascii="Open Sans" w:eastAsia="Times New Roman" w:hAnsi="Open Sans" w:cs="Open Sans"/>
          <w:color w:val="4E5053"/>
          <w:lang w:eastAsia="en-GB"/>
        </w:rPr>
        <w:t xml:space="preserve">on longer-duration storage </w:t>
      </w:r>
      <w:r w:rsidRPr="00C50290">
        <w:rPr>
          <w:rFonts w:ascii="Open Sans" w:eastAsia="Times New Roman" w:hAnsi="Open Sans" w:cs="Open Sans"/>
          <w:color w:val="4E5053"/>
          <w:lang w:eastAsia="en-GB"/>
        </w:rPr>
        <w:t>alongside the forthcoming update to the Smart Systems and Flexibility Plan</w:t>
      </w:r>
      <w:r w:rsidR="006E6C74">
        <w:rPr>
          <w:rFonts w:ascii="Open Sans" w:eastAsia="Times New Roman" w:hAnsi="Open Sans" w:cs="Open Sans"/>
          <w:color w:val="4E5053"/>
          <w:lang w:eastAsia="en-GB"/>
        </w:rPr>
        <w:t>:</w:t>
      </w:r>
    </w:p>
    <w:p w14:paraId="57FFE134" w14:textId="0E6F6721" w:rsidR="00850F34" w:rsidRDefault="00850F34" w:rsidP="00850F34">
      <w:pPr>
        <w:pBdr>
          <w:top w:val="single" w:sz="24" w:space="1" w:color="06926B"/>
          <w:left w:val="single" w:sz="24" w:space="4" w:color="06926B"/>
          <w:bottom w:val="single" w:sz="24" w:space="1" w:color="06926B"/>
          <w:right w:val="single" w:sz="24" w:space="4" w:color="06926B"/>
        </w:pBdr>
        <w:spacing w:after="0" w:line="240" w:lineRule="auto"/>
        <w:textAlignment w:val="baseline"/>
        <w:rPr>
          <w:rFonts w:ascii="Open Sans" w:eastAsia="Times New Roman" w:hAnsi="Open Sans" w:cs="Open Sans"/>
          <w:color w:val="4E5053"/>
          <w:lang w:eastAsia="en-GB"/>
        </w:rPr>
      </w:pPr>
    </w:p>
    <w:p w14:paraId="5B1A39AB" w14:textId="39D02901" w:rsidR="00850F34" w:rsidRPr="00850F34" w:rsidRDefault="00C50290" w:rsidP="00EE46A4">
      <w:pPr>
        <w:pBdr>
          <w:top w:val="single" w:sz="24" w:space="1" w:color="06926B"/>
          <w:left w:val="single" w:sz="24" w:space="4" w:color="06926B"/>
          <w:bottom w:val="single" w:sz="24" w:space="1" w:color="06926B"/>
          <w:right w:val="single" w:sz="24" w:space="4" w:color="06926B"/>
        </w:pBdr>
        <w:spacing w:after="0" w:line="240" w:lineRule="auto"/>
        <w:jc w:val="right"/>
        <w:textAlignment w:val="baseline"/>
        <w:rPr>
          <w:rFonts w:ascii="Open Sans" w:eastAsia="Times New Roman" w:hAnsi="Open Sans" w:cs="Open Sans"/>
          <w:color w:val="4E5053"/>
          <w:lang w:eastAsia="en-GB"/>
        </w:rPr>
      </w:pPr>
      <w:r>
        <w:rPr>
          <w:rFonts w:ascii="Open Sans" w:eastAsia="Times New Roman" w:hAnsi="Open Sans" w:cs="Open Sans"/>
          <w:color w:val="4E5053"/>
          <w:lang w:eastAsia="en-GB"/>
        </w:rPr>
        <w:t xml:space="preserve">- </w:t>
      </w:r>
      <w:r w:rsidR="00850F34" w:rsidRPr="00850F34">
        <w:rPr>
          <w:rFonts w:ascii="Open Sans" w:eastAsia="Times New Roman" w:hAnsi="Open Sans" w:cs="Open Sans"/>
          <w:color w:val="4E5053"/>
          <w:lang w:eastAsia="en-GB"/>
        </w:rPr>
        <w:t>Seek</w:t>
      </w:r>
      <w:r w:rsidR="00C80FC9">
        <w:rPr>
          <w:rFonts w:ascii="Open Sans" w:eastAsia="Times New Roman" w:hAnsi="Open Sans" w:cs="Open Sans"/>
          <w:color w:val="4E5053"/>
          <w:lang w:eastAsia="en-GB"/>
        </w:rPr>
        <w:t>ing</w:t>
      </w:r>
      <w:r w:rsidR="00850F34" w:rsidRPr="00850F34">
        <w:rPr>
          <w:rFonts w:ascii="Open Sans" w:eastAsia="Times New Roman" w:hAnsi="Open Sans" w:cs="Open Sans"/>
          <w:color w:val="4E5053"/>
          <w:lang w:eastAsia="en-GB"/>
        </w:rPr>
        <w:t xml:space="preserve"> input from National Grid ESO, the wider industry, and academia on how much electricity storage will be required in a Net Zero energy system across different </w:t>
      </w:r>
      <w:proofErr w:type="gramStart"/>
      <w:r w:rsidR="00850F34" w:rsidRPr="00850F34">
        <w:rPr>
          <w:rFonts w:ascii="Open Sans" w:eastAsia="Times New Roman" w:hAnsi="Open Sans" w:cs="Open Sans"/>
          <w:color w:val="4E5053"/>
          <w:lang w:eastAsia="en-GB"/>
        </w:rPr>
        <w:t>timescales;</w:t>
      </w:r>
      <w:proofErr w:type="gramEnd"/>
    </w:p>
    <w:p w14:paraId="18234C1C" w14:textId="5F6F739F" w:rsidR="00850F34" w:rsidRPr="00850F34" w:rsidRDefault="00C50290" w:rsidP="00EE46A4">
      <w:pPr>
        <w:pBdr>
          <w:top w:val="single" w:sz="24" w:space="1" w:color="06926B"/>
          <w:left w:val="single" w:sz="24" w:space="4" w:color="06926B"/>
          <w:bottom w:val="single" w:sz="24" w:space="1" w:color="06926B"/>
          <w:right w:val="single" w:sz="24" w:space="4" w:color="06926B"/>
        </w:pBdr>
        <w:spacing w:after="0" w:line="240" w:lineRule="auto"/>
        <w:jc w:val="right"/>
        <w:textAlignment w:val="baseline"/>
        <w:rPr>
          <w:rFonts w:ascii="Open Sans" w:eastAsia="Times New Roman" w:hAnsi="Open Sans" w:cs="Open Sans"/>
          <w:color w:val="4E5053"/>
          <w:lang w:eastAsia="en-GB"/>
        </w:rPr>
      </w:pPr>
      <w:r>
        <w:rPr>
          <w:rFonts w:ascii="Open Sans" w:eastAsia="Times New Roman" w:hAnsi="Open Sans" w:cs="Open Sans"/>
          <w:color w:val="4E5053"/>
          <w:lang w:eastAsia="en-GB"/>
        </w:rPr>
        <w:t xml:space="preserve">- </w:t>
      </w:r>
      <w:r w:rsidR="00850F34" w:rsidRPr="00850F34">
        <w:rPr>
          <w:rFonts w:ascii="Open Sans" w:eastAsia="Times New Roman" w:hAnsi="Open Sans" w:cs="Open Sans"/>
          <w:color w:val="4E5053"/>
          <w:lang w:eastAsia="en-GB"/>
        </w:rPr>
        <w:t>Look</w:t>
      </w:r>
      <w:r w:rsidR="00C80FC9">
        <w:rPr>
          <w:rFonts w:ascii="Open Sans" w:eastAsia="Times New Roman" w:hAnsi="Open Sans" w:cs="Open Sans"/>
          <w:color w:val="4E5053"/>
          <w:lang w:eastAsia="en-GB"/>
        </w:rPr>
        <w:t>ing</w:t>
      </w:r>
      <w:r w:rsidR="00850F34" w:rsidRPr="00850F34">
        <w:rPr>
          <w:rFonts w:ascii="Open Sans" w:eastAsia="Times New Roman" w:hAnsi="Open Sans" w:cs="Open Sans"/>
          <w:color w:val="4E5053"/>
          <w:lang w:eastAsia="en-GB"/>
        </w:rPr>
        <w:t xml:space="preserve"> into the challenges of capital-intensive, large scale flexibility projects with long construction periods and explor</w:t>
      </w:r>
      <w:r w:rsidR="00C4380B">
        <w:rPr>
          <w:rFonts w:ascii="Open Sans" w:eastAsia="Times New Roman" w:hAnsi="Open Sans" w:cs="Open Sans"/>
          <w:color w:val="4E5053"/>
          <w:lang w:eastAsia="en-GB"/>
        </w:rPr>
        <w:t>ing</w:t>
      </w:r>
      <w:r w:rsidR="00850F34" w:rsidRPr="00850F34">
        <w:rPr>
          <w:rFonts w:ascii="Open Sans" w:eastAsia="Times New Roman" w:hAnsi="Open Sans" w:cs="Open Sans"/>
          <w:color w:val="4E5053"/>
          <w:lang w:eastAsia="en-GB"/>
        </w:rPr>
        <w:t xml:space="preserve"> possible options to enable their deployment; and</w:t>
      </w:r>
    </w:p>
    <w:p w14:paraId="14A29738" w14:textId="38FE4C23" w:rsidR="00850F34" w:rsidRDefault="00C50290" w:rsidP="00EE46A4">
      <w:pPr>
        <w:pBdr>
          <w:top w:val="single" w:sz="24" w:space="1" w:color="06926B"/>
          <w:left w:val="single" w:sz="24" w:space="4" w:color="06926B"/>
          <w:bottom w:val="single" w:sz="24" w:space="1" w:color="06926B"/>
          <w:right w:val="single" w:sz="24" w:space="4" w:color="06926B"/>
        </w:pBdr>
        <w:spacing w:after="0" w:line="240" w:lineRule="auto"/>
        <w:jc w:val="right"/>
        <w:textAlignment w:val="baseline"/>
        <w:rPr>
          <w:rFonts w:ascii="Open Sans" w:eastAsia="Times New Roman" w:hAnsi="Open Sans" w:cs="Open Sans"/>
          <w:color w:val="4E5053"/>
          <w:lang w:eastAsia="en-GB"/>
        </w:rPr>
      </w:pPr>
      <w:r>
        <w:rPr>
          <w:rFonts w:ascii="Open Sans" w:eastAsia="Times New Roman" w:hAnsi="Open Sans" w:cs="Open Sans"/>
          <w:color w:val="4E5053"/>
          <w:lang w:eastAsia="en-GB"/>
        </w:rPr>
        <w:t xml:space="preserve">- </w:t>
      </w:r>
      <w:r w:rsidR="00850F34" w:rsidRPr="00850F34">
        <w:rPr>
          <w:rFonts w:ascii="Open Sans" w:eastAsia="Times New Roman" w:hAnsi="Open Sans" w:cs="Open Sans"/>
          <w:color w:val="4E5053"/>
          <w:lang w:eastAsia="en-GB"/>
        </w:rPr>
        <w:t>Assess</w:t>
      </w:r>
      <w:r w:rsidR="00C4380B">
        <w:rPr>
          <w:rFonts w:ascii="Open Sans" w:eastAsia="Times New Roman" w:hAnsi="Open Sans" w:cs="Open Sans"/>
          <w:color w:val="4E5053"/>
          <w:lang w:eastAsia="en-GB"/>
        </w:rPr>
        <w:t>ing</w:t>
      </w:r>
      <w:r w:rsidR="00850F34" w:rsidRPr="00850F34">
        <w:rPr>
          <w:rFonts w:ascii="Open Sans" w:eastAsia="Times New Roman" w:hAnsi="Open Sans" w:cs="Open Sans"/>
          <w:color w:val="4E5053"/>
          <w:lang w:eastAsia="en-GB"/>
        </w:rPr>
        <w:t xml:space="preserve"> how existing barriers to wider deployment of longer-duration energy storage can be removed and an appropriate market framework put in place.</w:t>
      </w:r>
    </w:p>
    <w:p w14:paraId="0EBBBE99" w14:textId="77777777" w:rsidR="00C4380B" w:rsidRPr="00850F34" w:rsidRDefault="00C4380B" w:rsidP="00EE46A4">
      <w:pPr>
        <w:pBdr>
          <w:top w:val="single" w:sz="24" w:space="1" w:color="06926B"/>
          <w:left w:val="single" w:sz="24" w:space="4" w:color="06926B"/>
          <w:bottom w:val="single" w:sz="24" w:space="1" w:color="06926B"/>
          <w:right w:val="single" w:sz="24" w:space="4" w:color="06926B"/>
        </w:pBdr>
        <w:spacing w:after="0" w:line="240" w:lineRule="auto"/>
        <w:jc w:val="right"/>
        <w:textAlignment w:val="baseline"/>
        <w:rPr>
          <w:rFonts w:ascii="Open Sans" w:eastAsia="Times New Roman" w:hAnsi="Open Sans" w:cs="Open Sans"/>
          <w:color w:val="4E5053"/>
          <w:lang w:eastAsia="en-GB"/>
        </w:rPr>
      </w:pPr>
    </w:p>
    <w:p w14:paraId="3BBEE576" w14:textId="77777777" w:rsidR="008728EB" w:rsidRDefault="008728EB" w:rsidP="008B78E0">
      <w:pPr>
        <w:shd w:val="clear" w:color="auto" w:fill="FFFFFF" w:themeFill="background1"/>
        <w:spacing w:after="0" w:line="240" w:lineRule="auto"/>
        <w:textAlignment w:val="baseline"/>
        <w:rPr>
          <w:rFonts w:ascii="Futura PT Book" w:eastAsia="Times New Roman" w:hAnsi="Futura PT Book" w:cs="Arial"/>
          <w:b/>
          <w:bCs/>
          <w:color w:val="4E5053"/>
          <w:sz w:val="28"/>
          <w:szCs w:val="28"/>
          <w:bdr w:val="none" w:sz="0" w:space="0" w:color="auto" w:frame="1"/>
          <w:lang w:eastAsia="en-GB"/>
        </w:rPr>
      </w:pPr>
    </w:p>
    <w:p w14:paraId="57818F1F" w14:textId="25E0CA55" w:rsidR="000C62A9" w:rsidRPr="003E2DE0" w:rsidRDefault="653DE8A5" w:rsidP="008B78E0">
      <w:pPr>
        <w:shd w:val="clear" w:color="auto" w:fill="FFFFFF" w:themeFill="background1"/>
        <w:spacing w:after="0" w:line="240" w:lineRule="auto"/>
        <w:textAlignment w:val="baseline"/>
        <w:rPr>
          <w:rFonts w:ascii="Futura PT Book" w:eastAsia="Times New Roman" w:hAnsi="Futura PT Book" w:cs="Arial"/>
          <w:sz w:val="28"/>
          <w:szCs w:val="28"/>
          <w:bdr w:val="none" w:sz="0" w:space="0" w:color="auto" w:frame="1"/>
          <w:lang w:eastAsia="en-GB"/>
        </w:rPr>
      </w:pPr>
      <w:r w:rsidRPr="003E2DE0">
        <w:rPr>
          <w:rFonts w:ascii="Futura PT Book" w:eastAsia="Times New Roman" w:hAnsi="Futura PT Book" w:cs="Arial"/>
          <w:b/>
          <w:bCs/>
          <w:sz w:val="28"/>
          <w:szCs w:val="28"/>
          <w:bdr w:val="none" w:sz="0" w:space="0" w:color="auto" w:frame="1"/>
          <w:lang w:eastAsia="en-GB"/>
        </w:rPr>
        <w:lastRenderedPageBreak/>
        <w:t>Introduction</w:t>
      </w:r>
    </w:p>
    <w:p w14:paraId="166C8113" w14:textId="77777777" w:rsidR="00614DF8" w:rsidRPr="00614DF8" w:rsidRDefault="00614DF8" w:rsidP="00614DF8">
      <w:pPr>
        <w:shd w:val="clear" w:color="auto" w:fill="FFFFFF" w:themeFill="background1"/>
        <w:spacing w:after="0" w:line="240" w:lineRule="auto"/>
        <w:ind w:left="360"/>
        <w:textAlignment w:val="baseline"/>
        <w:rPr>
          <w:rFonts w:ascii="Futura PT Book" w:eastAsia="Times New Roman" w:hAnsi="Futura PT Book" w:cs="Arial"/>
          <w:color w:val="4E5053"/>
          <w:sz w:val="28"/>
          <w:szCs w:val="28"/>
          <w:bdr w:val="none" w:sz="0" w:space="0" w:color="auto" w:frame="1"/>
          <w:lang w:eastAsia="en-GB"/>
        </w:rPr>
      </w:pPr>
    </w:p>
    <w:p w14:paraId="2CB3F391" w14:textId="6D01FD4D" w:rsidR="007A5D0A" w:rsidRPr="003E2DE0" w:rsidRDefault="007A5D0A" w:rsidP="007A5D0A">
      <w:pPr>
        <w:rPr>
          <w:rFonts w:ascii="Open Sans" w:hAnsi="Open Sans" w:cs="Open Sans"/>
          <w:bCs/>
        </w:rPr>
      </w:pPr>
      <w:r w:rsidRPr="003E2DE0">
        <w:rPr>
          <w:rFonts w:ascii="Open Sans" w:hAnsi="Open Sans" w:cs="Open Sans"/>
          <w:bCs/>
        </w:rPr>
        <w:t xml:space="preserve">All pathways to Net Zero have one thing in common: they require large amounts of flexibility in our energy system to support </w:t>
      </w:r>
      <w:r w:rsidRPr="003E2DE0">
        <w:rPr>
          <w:rFonts w:ascii="Open Sans" w:hAnsi="Open Sans" w:cs="Open Sans"/>
        </w:rPr>
        <w:t xml:space="preserve">high levels of variable renewable generation coupled with changes in consumer behaviour. </w:t>
      </w:r>
      <w:r w:rsidR="00A90BDC">
        <w:rPr>
          <w:rFonts w:ascii="Open Sans" w:hAnsi="Open Sans" w:cs="Open Sans"/>
        </w:rPr>
        <w:t>In the Sixth Carbon Budget, the Committee on Climate Change noted that ‘storage will be important to manage variable output’ from an electricity system based on renewables.</w:t>
      </w:r>
      <w:r w:rsidR="00A90BDC">
        <w:rPr>
          <w:rStyle w:val="FootnoteReference"/>
          <w:rFonts w:ascii="Open Sans" w:hAnsi="Open Sans" w:cs="Open Sans"/>
        </w:rPr>
        <w:footnoteReference w:id="1"/>
      </w:r>
      <w:r w:rsidR="00A90BDC">
        <w:rPr>
          <w:rFonts w:ascii="Open Sans" w:hAnsi="Open Sans" w:cs="Open Sans"/>
        </w:rPr>
        <w:t xml:space="preserve"> </w:t>
      </w:r>
      <w:r w:rsidRPr="003E2DE0">
        <w:rPr>
          <w:rFonts w:ascii="Open Sans" w:hAnsi="Open Sans" w:cs="Open Sans"/>
        </w:rPr>
        <w:t>Managing an energy system predominately powered by renewables and with greater flexibility will lower the cost of the energy transition and enable the electrification of heat and transport.</w:t>
      </w:r>
    </w:p>
    <w:p w14:paraId="0623468E" w14:textId="7A65032C" w:rsidR="00EC35D6" w:rsidRDefault="007A5D0A" w:rsidP="003E2DE0">
      <w:pPr>
        <w:rPr>
          <w:rFonts w:ascii="Open Sans" w:hAnsi="Open Sans" w:cs="Open Sans"/>
          <w:bCs/>
        </w:rPr>
      </w:pPr>
      <w:r w:rsidRPr="003E2DE0">
        <w:rPr>
          <w:rFonts w:ascii="Open Sans" w:hAnsi="Open Sans" w:cs="Open Sans"/>
          <w:bCs/>
        </w:rPr>
        <w:t>Several independent organisations have published studies on the future role of flexibility in Great Britain’s electricity system. The findings are clear - flexibility will be critical for solving the future challenges of a decarbonised electricity system that relies on variable generation, delivering ne</w:t>
      </w:r>
      <w:r w:rsidR="00D9157A">
        <w:rPr>
          <w:rFonts w:ascii="Open Sans" w:hAnsi="Open Sans" w:cs="Open Sans"/>
          <w:bCs/>
        </w:rPr>
        <w:t xml:space="preserve">t </w:t>
      </w:r>
      <w:r w:rsidR="00D9157A" w:rsidRPr="00D9157A">
        <w:rPr>
          <w:rFonts w:ascii="Open Sans" w:hAnsi="Open Sans" w:cs="Open Sans"/>
          <w:bCs/>
        </w:rPr>
        <w:t>benefits in the order of billions of pounds per year.</w:t>
      </w:r>
    </w:p>
    <w:p w14:paraId="4CF2847B" w14:textId="77777777" w:rsidR="00D9157A" w:rsidRPr="00D9157A" w:rsidRDefault="00D9157A" w:rsidP="00D9157A">
      <w:pPr>
        <w:jc w:val="center"/>
        <w:rPr>
          <w:rFonts w:ascii="Open Sans" w:hAnsi="Open Sans" w:cs="Open Sans"/>
          <w:bCs/>
        </w:rPr>
      </w:pPr>
    </w:p>
    <w:p w14:paraId="22AC41A5" w14:textId="3B469026" w:rsidR="00EC35D6" w:rsidRDefault="00EC35D6" w:rsidP="00D9157A">
      <w:pPr>
        <w:jc w:val="center"/>
        <w:rPr>
          <w:rFonts w:ascii="Open Sans" w:hAnsi="Open Sans" w:cs="Open Sans"/>
          <w:bCs/>
        </w:rPr>
      </w:pPr>
      <w:r w:rsidRPr="003E2DE0">
        <w:rPr>
          <w:rFonts w:ascii="Open Sans" w:hAnsi="Open Sans" w:cs="Open Sans"/>
          <w:noProof/>
        </w:rPr>
        <mc:AlternateContent>
          <mc:Choice Requires="wps">
            <w:drawing>
              <wp:inline distT="0" distB="0" distL="0" distR="0" wp14:anchorId="608BB095" wp14:editId="6F297DA6">
                <wp:extent cx="4610100" cy="1403985"/>
                <wp:effectExtent l="0" t="0" r="0" b="190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14:paraId="55F5CAA3" w14:textId="77777777" w:rsidR="007476E6" w:rsidRPr="003E2DE0" w:rsidRDefault="007476E6" w:rsidP="007A5D0A">
                            <w:pPr>
                              <w:pBdr>
                                <w:top w:val="single" w:sz="24" w:space="8" w:color="4472C4" w:themeColor="accent1"/>
                                <w:bottom w:val="single" w:sz="24" w:space="8" w:color="4472C4" w:themeColor="accent1"/>
                              </w:pBdr>
                              <w:spacing w:after="0"/>
                              <w:jc w:val="center"/>
                              <w:rPr>
                                <w:rFonts w:ascii="Open Sans" w:hAnsi="Open Sans" w:cs="Open Sans"/>
                                <w:color w:val="4472C4" w:themeColor="accent1"/>
                                <w:sz w:val="24"/>
                              </w:rPr>
                            </w:pPr>
                            <w:r w:rsidRPr="003E2DE0">
                              <w:rPr>
                                <w:rFonts w:ascii="Open Sans" w:hAnsi="Open Sans" w:cs="Open Sans"/>
                                <w:bCs/>
                                <w:i/>
                                <w:iCs/>
                                <w:color w:val="4472C4" w:themeColor="accent1"/>
                                <w:sz w:val="24"/>
                                <w:szCs w:val="24"/>
                              </w:rPr>
                              <w:t xml:space="preserve">A lack of greater system flexibility could further increase system costs by more than £16 billion per </w:t>
                            </w:r>
                            <w:proofErr w:type="gramStart"/>
                            <w:r w:rsidRPr="003E2DE0">
                              <w:rPr>
                                <w:rFonts w:ascii="Open Sans" w:hAnsi="Open Sans" w:cs="Open Sans"/>
                                <w:bCs/>
                                <w:i/>
                                <w:iCs/>
                                <w:color w:val="4472C4" w:themeColor="accent1"/>
                                <w:sz w:val="24"/>
                                <w:szCs w:val="24"/>
                              </w:rPr>
                              <w:t>year</w:t>
                            </w:r>
                            <w:proofErr w:type="gramEnd"/>
                            <w:r w:rsidRPr="003E2DE0">
                              <w:rPr>
                                <w:rFonts w:ascii="Open Sans" w:hAnsi="Open Sans" w:cs="Open Sans"/>
                                <w:bCs/>
                                <w:i/>
                                <w:iCs/>
                                <w:color w:val="4472C4" w:themeColor="accent1"/>
                                <w:sz w:val="24"/>
                                <w:szCs w:val="24"/>
                              </w:rPr>
                              <w:t xml:space="preserve"> </w:t>
                            </w:r>
                          </w:p>
                        </w:txbxContent>
                      </wps:txbx>
                      <wps:bodyPr rot="0" vert="horz" wrap="square" lIns="91440" tIns="45720" rIns="91440" bIns="45720" anchor="t" anchorCtr="0">
                        <a:spAutoFit/>
                      </wps:bodyPr>
                    </wps:wsp>
                  </a:graphicData>
                </a:graphic>
              </wp:inline>
            </w:drawing>
          </mc:Choice>
          <mc:Fallback>
            <w:pict>
              <v:shapetype w14:anchorId="608BB095" id="_x0000_t202" coordsize="21600,21600" o:spt="202" path="m,l,21600r21600,l21600,xe">
                <v:stroke joinstyle="miter"/>
                <v:path gradientshapeok="t" o:connecttype="rect"/>
              </v:shapetype>
              <v:shape id="Text Box 2" o:spid="_x0000_s1026" type="#_x0000_t202" style="width:363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" filled="f" stroked="f">
                <v:textbox style="mso-fit-shape-to-text:t">
                  <w:txbxContent>
                    <w:p w14:paraId="55F5CAA3" w14:textId="77777777" w:rsidR="007476E6" w:rsidRPr="003E2DE0" w:rsidRDefault="007476E6" w:rsidP="007A5D0A">
                      <w:pPr>
                        <w:pBdr>
                          <w:top w:val="single" w:sz="24" w:space="8" w:color="4472C4" w:themeColor="accent1"/>
                          <w:bottom w:val="single" w:sz="24" w:space="8" w:color="4472C4" w:themeColor="accent1"/>
                        </w:pBdr>
                        <w:spacing w:after="0"/>
                        <w:jc w:val="center"/>
                        <w:rPr>
                          <w:rFonts w:ascii="Open Sans" w:hAnsi="Open Sans" w:cs="Open Sans"/>
                          <w:color w:val="4472C4" w:themeColor="accent1"/>
                          <w:sz w:val="24"/>
                        </w:rPr>
                      </w:pPr>
                      <w:r w:rsidRPr="003E2DE0">
                        <w:rPr>
                          <w:rFonts w:ascii="Open Sans" w:hAnsi="Open Sans" w:cs="Open Sans"/>
                          <w:bCs/>
                          <w:i/>
                          <w:iCs/>
                          <w:color w:val="4472C4" w:themeColor="accent1"/>
                          <w:sz w:val="24"/>
                          <w:szCs w:val="24"/>
                        </w:rPr>
                        <w:t xml:space="preserve">A lack of greater system flexibility could further increase system costs by more than £16 billion per </w:t>
                      </w:r>
                      <w:proofErr w:type="gramStart"/>
                      <w:r w:rsidRPr="003E2DE0">
                        <w:rPr>
                          <w:rFonts w:ascii="Open Sans" w:hAnsi="Open Sans" w:cs="Open Sans"/>
                          <w:bCs/>
                          <w:i/>
                          <w:iCs/>
                          <w:color w:val="4472C4" w:themeColor="accent1"/>
                          <w:sz w:val="24"/>
                          <w:szCs w:val="24"/>
                        </w:rPr>
                        <w:t>year</w:t>
                      </w:r>
                      <w:proofErr w:type="gramEnd"/>
                      <w:r w:rsidRPr="003E2DE0">
                        <w:rPr>
                          <w:rFonts w:ascii="Open Sans" w:hAnsi="Open Sans" w:cs="Open Sans"/>
                          <w:bCs/>
                          <w:i/>
                          <w:iCs/>
                          <w:color w:val="4472C4" w:themeColor="accent1"/>
                          <w:sz w:val="24"/>
                          <w:szCs w:val="24"/>
                        </w:rPr>
                        <w:t xml:space="preserve"> </w:t>
                      </w:r>
                    </w:p>
                  </w:txbxContent>
                </v:textbox>
                <w10:anchorlock/>
              </v:shape>
            </w:pict>
          </mc:Fallback>
        </mc:AlternateContent>
      </w:r>
    </w:p>
    <w:p w14:paraId="455F0B17" w14:textId="3EB7AB1C" w:rsidR="00EC35D6" w:rsidRPr="0021137D" w:rsidRDefault="00EC35D6" w:rsidP="00EC35D6">
      <w:pPr>
        <w:rPr>
          <w:rFonts w:ascii="Open Sans" w:hAnsi="Open Sans" w:cs="Open Sans"/>
          <w:bCs/>
        </w:rPr>
      </w:pPr>
      <w:r w:rsidRPr="0021137D">
        <w:rPr>
          <w:rStyle w:val="IntenseQuoteChar"/>
          <w:rFonts w:ascii="Open Sans" w:hAnsi="Open Sans" w:cs="Open Sans"/>
          <w:b/>
          <w:bCs/>
        </w:rPr>
        <w:t xml:space="preserve">Imperial College London, report commissioned by the Committee </w:t>
      </w:r>
      <w:r w:rsidR="00A90BDC">
        <w:rPr>
          <w:rStyle w:val="IntenseQuoteChar"/>
          <w:rFonts w:ascii="Open Sans" w:hAnsi="Open Sans" w:cs="Open Sans"/>
          <w:b/>
          <w:bCs/>
        </w:rPr>
        <w:t>on</w:t>
      </w:r>
      <w:r w:rsidRPr="0021137D">
        <w:rPr>
          <w:rStyle w:val="IntenseQuoteChar"/>
          <w:rFonts w:ascii="Open Sans" w:hAnsi="Open Sans" w:cs="Open Sans"/>
          <w:b/>
          <w:bCs/>
        </w:rPr>
        <w:t xml:space="preserve"> Climate Change (CCC)</w:t>
      </w:r>
      <w:r w:rsidRPr="0021137D">
        <w:rPr>
          <w:rFonts w:ascii="Open Sans" w:hAnsi="Open Sans" w:cs="Open Sans"/>
          <w:bCs/>
          <w:vertAlign w:val="superscript"/>
        </w:rPr>
        <w:t xml:space="preserve"> </w:t>
      </w:r>
      <w:r w:rsidRPr="0021137D">
        <w:rPr>
          <w:rFonts w:ascii="Open Sans" w:hAnsi="Open Sans" w:cs="Open Sans"/>
          <w:b/>
          <w:bCs/>
          <w:color w:val="4472C4" w:themeColor="accent1"/>
          <w:vertAlign w:val="superscript"/>
        </w:rPr>
        <w:footnoteReference w:id="2"/>
      </w:r>
      <w:r w:rsidRPr="0021137D">
        <w:rPr>
          <w:rFonts w:ascii="Open Sans" w:hAnsi="Open Sans" w:cs="Open Sans"/>
          <w:bCs/>
          <w:vertAlign w:val="superscript"/>
        </w:rPr>
        <w:br/>
      </w:r>
    </w:p>
    <w:p w14:paraId="6A395B60" w14:textId="77777777" w:rsidR="00EC35D6" w:rsidRPr="0021137D" w:rsidRDefault="00EC35D6" w:rsidP="00EC35D6">
      <w:pPr>
        <w:pStyle w:val="07NumberedBodySubheading"/>
        <w:jc w:val="both"/>
        <w:rPr>
          <w:rFonts w:ascii="Open Sans" w:hAnsi="Open Sans" w:cs="Open Sans"/>
          <w:b w:val="0"/>
          <w:sz w:val="22"/>
        </w:rPr>
      </w:pPr>
      <w:r w:rsidRPr="0021137D">
        <w:rPr>
          <w:rFonts w:ascii="Open Sans" w:hAnsi="Open Sans" w:cs="Open Sans"/>
          <w:b w:val="0"/>
          <w:sz w:val="22"/>
        </w:rPr>
        <w:t xml:space="preserve">As illustrated in the figure below from National Grid Electricity System Operator’s 2020 Future Energy Scenarios (FES), flexibility can be provided by a host of different technologies, both from the demand and the supply side. </w:t>
      </w:r>
    </w:p>
    <w:p w14:paraId="357372E7" w14:textId="77777777" w:rsidR="00EC35D6" w:rsidRPr="0021137D" w:rsidRDefault="00EC35D6" w:rsidP="00EC35D6">
      <w:pPr>
        <w:pStyle w:val="07NumberedBodySubheading"/>
        <w:jc w:val="both"/>
        <w:rPr>
          <w:rFonts w:ascii="Open Sans" w:hAnsi="Open Sans" w:cs="Open Sans"/>
          <w:b w:val="0"/>
          <w:sz w:val="22"/>
        </w:rPr>
      </w:pPr>
    </w:p>
    <w:p w14:paraId="290BD984" w14:textId="77777777" w:rsidR="00EC35D6" w:rsidRPr="0021137D" w:rsidRDefault="00EC35D6" w:rsidP="00EC35D6">
      <w:pPr>
        <w:pStyle w:val="07NumberedBodySubheading"/>
        <w:jc w:val="both"/>
        <w:rPr>
          <w:rFonts w:ascii="Open Sans" w:hAnsi="Open Sans" w:cs="Open Sans"/>
          <w:b w:val="0"/>
          <w:sz w:val="22"/>
        </w:rPr>
      </w:pPr>
      <w:r w:rsidRPr="0021137D">
        <w:rPr>
          <w:rFonts w:ascii="Open Sans" w:hAnsi="Open Sans" w:cs="Open Sans"/>
          <w:b w:val="0"/>
          <w:sz w:val="22"/>
        </w:rPr>
        <w:t>Flexibility can also be supplied by overseas providers through interconnectors, as well as through synergies with hydrogen and various forms of gas, including green gas</w:t>
      </w:r>
      <w:r w:rsidRPr="0021137D">
        <w:rPr>
          <w:rStyle w:val="FootnoteReference"/>
          <w:rFonts w:ascii="Open Sans" w:hAnsi="Open Sans" w:cs="Open Sans"/>
          <w:b w:val="0"/>
          <w:sz w:val="22"/>
        </w:rPr>
        <w:footnoteReference w:id="3"/>
      </w:r>
      <w:r w:rsidRPr="0021137D">
        <w:rPr>
          <w:rFonts w:ascii="Open Sans" w:hAnsi="Open Sans" w:cs="Open Sans"/>
          <w:b w:val="0"/>
          <w:sz w:val="22"/>
        </w:rPr>
        <w:t>.</w:t>
      </w:r>
    </w:p>
    <w:p w14:paraId="77DA2156" w14:textId="77777777" w:rsidR="00157D8B" w:rsidRDefault="00157D8B" w:rsidP="00EC35D6">
      <w:pPr>
        <w:pStyle w:val="07NumberedBodySubheading"/>
        <w:jc w:val="both"/>
        <w:rPr>
          <w:rFonts w:ascii="Open Sans" w:hAnsi="Open Sans" w:cs="Open Sans"/>
          <w:bCs/>
          <w:i/>
          <w:iCs/>
          <w:sz w:val="22"/>
        </w:rPr>
      </w:pPr>
    </w:p>
    <w:p w14:paraId="0DCCF344" w14:textId="77777777" w:rsidR="00157D8B" w:rsidRDefault="00157D8B" w:rsidP="00EC35D6">
      <w:pPr>
        <w:pStyle w:val="07NumberedBodySubheading"/>
        <w:jc w:val="both"/>
        <w:rPr>
          <w:rFonts w:ascii="Open Sans" w:hAnsi="Open Sans" w:cs="Open Sans"/>
          <w:bCs/>
          <w:i/>
          <w:iCs/>
          <w:sz w:val="22"/>
        </w:rPr>
      </w:pPr>
    </w:p>
    <w:p w14:paraId="5B92AA97" w14:textId="77777777" w:rsidR="008E36C6" w:rsidRDefault="008E36C6" w:rsidP="00EC35D6">
      <w:pPr>
        <w:pStyle w:val="07NumberedBodySubheading"/>
        <w:jc w:val="both"/>
        <w:rPr>
          <w:rFonts w:ascii="Open Sans" w:hAnsi="Open Sans" w:cs="Open Sans"/>
          <w:bCs/>
          <w:i/>
          <w:iCs/>
          <w:sz w:val="22"/>
        </w:rPr>
      </w:pPr>
    </w:p>
    <w:p w14:paraId="410970BB" w14:textId="77777777" w:rsidR="008E36C6" w:rsidRDefault="008E36C6" w:rsidP="00EC35D6">
      <w:pPr>
        <w:pStyle w:val="07NumberedBodySubheading"/>
        <w:jc w:val="both"/>
        <w:rPr>
          <w:rFonts w:ascii="Open Sans" w:hAnsi="Open Sans" w:cs="Open Sans"/>
          <w:bCs/>
          <w:i/>
          <w:iCs/>
          <w:sz w:val="22"/>
        </w:rPr>
      </w:pPr>
    </w:p>
    <w:p w14:paraId="2098833A" w14:textId="77777777" w:rsidR="008E36C6" w:rsidRDefault="008E36C6" w:rsidP="00EC35D6">
      <w:pPr>
        <w:pStyle w:val="07NumberedBodySubheading"/>
        <w:jc w:val="both"/>
        <w:rPr>
          <w:rFonts w:ascii="Open Sans" w:hAnsi="Open Sans" w:cs="Open Sans"/>
          <w:bCs/>
          <w:i/>
          <w:iCs/>
          <w:sz w:val="22"/>
        </w:rPr>
      </w:pPr>
    </w:p>
    <w:p w14:paraId="0ED59D46" w14:textId="77777777" w:rsidR="008E36C6" w:rsidRDefault="008E36C6" w:rsidP="00EC35D6">
      <w:pPr>
        <w:pStyle w:val="07NumberedBodySubheading"/>
        <w:jc w:val="both"/>
        <w:rPr>
          <w:rFonts w:ascii="Open Sans" w:hAnsi="Open Sans" w:cs="Open Sans"/>
          <w:bCs/>
          <w:i/>
          <w:iCs/>
          <w:sz w:val="22"/>
        </w:rPr>
      </w:pPr>
    </w:p>
    <w:p w14:paraId="6082D4C8" w14:textId="77777777" w:rsidR="008E36C6" w:rsidRDefault="008E36C6" w:rsidP="00EC35D6">
      <w:pPr>
        <w:pStyle w:val="07NumberedBodySubheading"/>
        <w:jc w:val="both"/>
        <w:rPr>
          <w:rFonts w:ascii="Open Sans" w:hAnsi="Open Sans" w:cs="Open Sans"/>
          <w:bCs/>
          <w:i/>
          <w:iCs/>
          <w:sz w:val="22"/>
        </w:rPr>
      </w:pPr>
    </w:p>
    <w:p w14:paraId="5EF6CDB8" w14:textId="77777777" w:rsidR="008E36C6" w:rsidRDefault="008E36C6" w:rsidP="00EC35D6">
      <w:pPr>
        <w:pStyle w:val="07NumberedBodySubheading"/>
        <w:jc w:val="both"/>
        <w:rPr>
          <w:rFonts w:ascii="Open Sans" w:hAnsi="Open Sans" w:cs="Open Sans"/>
          <w:bCs/>
          <w:i/>
          <w:iCs/>
          <w:sz w:val="22"/>
        </w:rPr>
      </w:pPr>
    </w:p>
    <w:p w14:paraId="347F13E6" w14:textId="77777777" w:rsidR="008E36C6" w:rsidRDefault="008E36C6" w:rsidP="00EC35D6">
      <w:pPr>
        <w:pStyle w:val="07NumberedBodySubheading"/>
        <w:jc w:val="both"/>
        <w:rPr>
          <w:rFonts w:ascii="Open Sans" w:hAnsi="Open Sans" w:cs="Open Sans"/>
          <w:bCs/>
          <w:i/>
          <w:iCs/>
          <w:sz w:val="22"/>
        </w:rPr>
      </w:pPr>
    </w:p>
    <w:p w14:paraId="42C6B372" w14:textId="77777777" w:rsidR="008E36C6" w:rsidRDefault="008E36C6" w:rsidP="00EC35D6">
      <w:pPr>
        <w:pStyle w:val="07NumberedBodySubheading"/>
        <w:jc w:val="both"/>
        <w:rPr>
          <w:rFonts w:ascii="Open Sans" w:hAnsi="Open Sans" w:cs="Open Sans"/>
          <w:bCs/>
          <w:i/>
          <w:iCs/>
          <w:sz w:val="22"/>
        </w:rPr>
      </w:pPr>
    </w:p>
    <w:p w14:paraId="6067A2F4" w14:textId="77777777" w:rsidR="00F273A2" w:rsidRDefault="00F273A2" w:rsidP="00EC35D6">
      <w:pPr>
        <w:pStyle w:val="07NumberedBodySubheading"/>
        <w:jc w:val="both"/>
        <w:rPr>
          <w:rFonts w:ascii="Open Sans" w:hAnsi="Open Sans" w:cs="Open Sans"/>
          <w:bCs/>
          <w:i/>
          <w:iCs/>
          <w:sz w:val="22"/>
        </w:rPr>
      </w:pPr>
    </w:p>
    <w:p w14:paraId="153D9CB0" w14:textId="6334171D" w:rsidR="00EC35D6" w:rsidRDefault="00EC35D6" w:rsidP="00EC35D6">
      <w:pPr>
        <w:pStyle w:val="07NumberedBodySubheading"/>
        <w:jc w:val="both"/>
        <w:rPr>
          <w:rFonts w:ascii="Open Sans" w:hAnsi="Open Sans" w:cs="Open Sans"/>
          <w:bCs/>
          <w:i/>
          <w:iCs/>
          <w:sz w:val="22"/>
        </w:rPr>
      </w:pPr>
      <w:r w:rsidRPr="0021137D">
        <w:rPr>
          <w:rFonts w:ascii="Open Sans" w:hAnsi="Open Sans" w:cs="Open Sans"/>
          <w:bCs/>
          <w:i/>
          <w:iCs/>
          <w:sz w:val="22"/>
        </w:rPr>
        <w:t xml:space="preserve">Figure 1. System Flexibility: </w:t>
      </w:r>
    </w:p>
    <w:p w14:paraId="1212FEE0" w14:textId="77777777" w:rsidR="008E36C6" w:rsidRPr="0021137D" w:rsidRDefault="008E36C6" w:rsidP="00EC35D6">
      <w:pPr>
        <w:pStyle w:val="07NumberedBodySubheading"/>
        <w:jc w:val="both"/>
        <w:rPr>
          <w:rFonts w:ascii="Open Sans" w:hAnsi="Open Sans" w:cs="Open Sans"/>
          <w:bCs/>
          <w:i/>
          <w:iCs/>
          <w:sz w:val="22"/>
        </w:rPr>
      </w:pPr>
    </w:p>
    <w:p w14:paraId="77B0DBA8" w14:textId="77777777" w:rsidR="00EC35D6" w:rsidRPr="0021137D" w:rsidRDefault="00EC35D6" w:rsidP="00EC35D6">
      <w:pPr>
        <w:pStyle w:val="07NumberedBodySubheading"/>
        <w:jc w:val="both"/>
        <w:rPr>
          <w:rFonts w:ascii="Open Sans" w:hAnsi="Open Sans" w:cs="Open Sans"/>
          <w:b w:val="0"/>
          <w:sz w:val="22"/>
        </w:rPr>
      </w:pPr>
      <w:r w:rsidRPr="0021137D">
        <w:rPr>
          <w:rFonts w:ascii="Open Sans" w:hAnsi="Open Sans" w:cs="Open Sans"/>
          <w:noProof/>
        </w:rPr>
        <w:drawing>
          <wp:inline distT="0" distB="0" distL="0" distR="0" wp14:anchorId="3807CE3D" wp14:editId="21C37A8C">
            <wp:extent cx="6188710" cy="2910840"/>
            <wp:effectExtent l="0" t="0" r="254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8710" cy="2910840"/>
                    </a:xfrm>
                    <a:prstGeom prst="rect">
                      <a:avLst/>
                    </a:prstGeom>
                  </pic:spPr>
                </pic:pic>
              </a:graphicData>
            </a:graphic>
          </wp:inline>
        </w:drawing>
      </w:r>
    </w:p>
    <w:tbl>
      <w:tblPr>
        <w:tblpPr w:leftFromText="180" w:rightFromText="180" w:vertAnchor="text" w:tblpX="-107" w:tblpY="97"/>
        <w:tblW w:w="0" w:type="auto"/>
        <w:tblLook w:val="0000" w:firstRow="0" w:lastRow="0" w:firstColumn="0" w:lastColumn="0" w:noHBand="0" w:noVBand="0"/>
      </w:tblPr>
      <w:tblGrid>
        <w:gridCol w:w="9634"/>
      </w:tblGrid>
      <w:tr w:rsidR="00EC35D6" w:rsidRPr="0021137D" w14:paraId="14B409F5" w14:textId="77777777" w:rsidTr="000D11DC">
        <w:trPr>
          <w:trHeight w:val="216"/>
        </w:trPr>
        <w:tc>
          <w:tcPr>
            <w:tcW w:w="9634" w:type="dxa"/>
          </w:tcPr>
          <w:p w14:paraId="56E7C66C" w14:textId="77777777" w:rsidR="00EC35D6" w:rsidRPr="0021137D" w:rsidRDefault="00EC35D6" w:rsidP="000D11DC">
            <w:pPr>
              <w:pStyle w:val="07NumberedBodySubheading"/>
              <w:jc w:val="both"/>
              <w:rPr>
                <w:rFonts w:ascii="Open Sans" w:hAnsi="Open Sans" w:cs="Open Sans"/>
                <w:b w:val="0"/>
                <w:bCs/>
                <w:i/>
                <w:iCs/>
                <w:sz w:val="22"/>
              </w:rPr>
            </w:pPr>
            <w:r w:rsidRPr="0021137D">
              <w:rPr>
                <w:rFonts w:ascii="Open Sans" w:hAnsi="Open Sans" w:cs="Open Sans"/>
                <w:b w:val="0"/>
                <w:bCs/>
                <w:i/>
                <w:iCs/>
                <w:sz w:val="22"/>
              </w:rPr>
              <w:t>Future Energy Scenarios 2020, National Grid ESO</w:t>
            </w:r>
            <w:r w:rsidRPr="0021137D">
              <w:rPr>
                <w:rStyle w:val="FootnoteReference"/>
                <w:rFonts w:ascii="Open Sans" w:hAnsi="Open Sans" w:cs="Open Sans"/>
                <w:b w:val="0"/>
                <w:bCs/>
                <w:i/>
                <w:iCs/>
                <w:sz w:val="22"/>
              </w:rPr>
              <w:footnoteReference w:id="4"/>
            </w:r>
            <w:r w:rsidRPr="0021137D">
              <w:rPr>
                <w:rFonts w:ascii="Open Sans" w:hAnsi="Open Sans" w:cs="Open Sans"/>
                <w:b w:val="0"/>
                <w:bCs/>
                <w:i/>
                <w:iCs/>
                <w:sz w:val="22"/>
              </w:rPr>
              <w:t xml:space="preserve"> </w:t>
            </w:r>
          </w:p>
        </w:tc>
      </w:tr>
    </w:tbl>
    <w:p w14:paraId="59EEC4FC" w14:textId="77777777" w:rsidR="00EC35D6" w:rsidRPr="0021137D" w:rsidRDefault="00EC35D6" w:rsidP="00EC35D6">
      <w:pPr>
        <w:pStyle w:val="07NumberedBodySubheading"/>
        <w:jc w:val="both"/>
        <w:rPr>
          <w:rFonts w:ascii="Open Sans" w:hAnsi="Open Sans" w:cs="Open Sans"/>
          <w:b w:val="0"/>
          <w:bCs/>
          <w:sz w:val="22"/>
        </w:rPr>
      </w:pPr>
    </w:p>
    <w:p w14:paraId="26AE7A4E" w14:textId="77777777" w:rsidR="007A5D0A" w:rsidRPr="003E2DE0" w:rsidRDefault="007A5D0A" w:rsidP="007A5D0A">
      <w:pPr>
        <w:pStyle w:val="07NumberedBodySubheading"/>
        <w:jc w:val="both"/>
        <w:rPr>
          <w:rFonts w:ascii="Open Sans" w:hAnsi="Open Sans" w:cs="Open Sans"/>
          <w:b w:val="0"/>
          <w:bCs/>
          <w:sz w:val="22"/>
        </w:rPr>
      </w:pPr>
    </w:p>
    <w:p w14:paraId="4AD7868D" w14:textId="11BCE75B"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bCs/>
          <w:sz w:val="22"/>
        </w:rPr>
        <w:t>Despite an increase in the number of low carbon technologies, GB flexibility markets remain dominated by</w:t>
      </w:r>
      <w:r w:rsidR="00D9157A">
        <w:rPr>
          <w:rFonts w:ascii="Open Sans" w:hAnsi="Open Sans" w:cs="Open Sans"/>
          <w:b w:val="0"/>
          <w:sz w:val="22"/>
        </w:rPr>
        <w:t xml:space="preserve"> </w:t>
      </w:r>
      <w:r w:rsidRPr="003E2DE0">
        <w:rPr>
          <w:rFonts w:ascii="Open Sans" w:hAnsi="Open Sans" w:cs="Open Sans"/>
          <w:b w:val="0"/>
          <w:bCs/>
          <w:sz w:val="22"/>
        </w:rPr>
        <w:t xml:space="preserve">higher carbon assets today. According to analysis from the Department for Business, </w:t>
      </w:r>
      <w:proofErr w:type="gramStart"/>
      <w:r w:rsidRPr="003E2DE0">
        <w:rPr>
          <w:rFonts w:ascii="Open Sans" w:hAnsi="Open Sans" w:cs="Open Sans"/>
          <w:b w:val="0"/>
          <w:bCs/>
          <w:sz w:val="22"/>
        </w:rPr>
        <w:t>Energy</w:t>
      </w:r>
      <w:proofErr w:type="gramEnd"/>
      <w:r w:rsidRPr="003E2DE0">
        <w:rPr>
          <w:rFonts w:ascii="Open Sans" w:hAnsi="Open Sans" w:cs="Open Sans"/>
          <w:b w:val="0"/>
          <w:bCs/>
          <w:sz w:val="22"/>
        </w:rPr>
        <w:t xml:space="preserve"> and Industrial Strategy (BEIS), </w:t>
      </w:r>
      <w:r w:rsidRPr="003E2DE0">
        <w:rPr>
          <w:rFonts w:ascii="Open Sans" w:hAnsi="Open Sans" w:cs="Open Sans"/>
          <w:b w:val="0"/>
          <w:sz w:val="22"/>
        </w:rPr>
        <w:t xml:space="preserve">during the early COVID-19 lockdown period (April-May 2020) emissions from Balancing Mechanism (BM) actions made up between 15-25% of total power sector emissions. </w:t>
      </w:r>
    </w:p>
    <w:p w14:paraId="4951A803" w14:textId="77777777" w:rsidR="007A5D0A" w:rsidRPr="003E2DE0" w:rsidRDefault="007A5D0A" w:rsidP="007A5D0A">
      <w:pPr>
        <w:pStyle w:val="07NumberedBodySubheading"/>
        <w:jc w:val="both"/>
        <w:rPr>
          <w:rFonts w:ascii="Open Sans" w:hAnsi="Open Sans" w:cs="Open Sans"/>
          <w:b w:val="0"/>
          <w:sz w:val="22"/>
        </w:rPr>
      </w:pPr>
    </w:p>
    <w:p w14:paraId="5CA75E4B" w14:textId="77777777" w:rsidR="007A5D0A" w:rsidRPr="003E2DE0" w:rsidRDefault="007A5D0A" w:rsidP="007A5D0A">
      <w:pPr>
        <w:pStyle w:val="07NumberedBodySubheading"/>
        <w:jc w:val="both"/>
        <w:rPr>
          <w:rFonts w:ascii="Open Sans" w:hAnsi="Open Sans" w:cs="Open Sans"/>
          <w:bCs/>
          <w:i/>
          <w:iCs/>
          <w:sz w:val="22"/>
        </w:rPr>
      </w:pPr>
      <w:r w:rsidRPr="003E2DE0">
        <w:rPr>
          <w:rFonts w:ascii="Open Sans" w:hAnsi="Open Sans" w:cs="Open Sans"/>
          <w:bCs/>
          <w:i/>
          <w:iCs/>
          <w:sz w:val="22"/>
        </w:rPr>
        <w:t>Figure 2. Balancing mechanism emissions as a proportion of total electricity sector emissions</w:t>
      </w:r>
    </w:p>
    <w:p w14:paraId="1BD94FF8" w14:textId="77777777" w:rsidR="007A5D0A" w:rsidRPr="003E2DE0" w:rsidRDefault="007A5D0A" w:rsidP="007A5D0A">
      <w:pPr>
        <w:pStyle w:val="07NumberedBodySubheading"/>
        <w:jc w:val="both"/>
        <w:rPr>
          <w:rFonts w:ascii="Open Sans" w:hAnsi="Open Sans" w:cs="Open Sans"/>
          <w:b w:val="0"/>
          <w:sz w:val="22"/>
        </w:rPr>
      </w:pPr>
    </w:p>
    <w:p w14:paraId="7ADDA612" w14:textId="77777777" w:rsidR="007A5D0A" w:rsidRPr="003E2DE0" w:rsidRDefault="007A5D0A" w:rsidP="007A5D0A">
      <w:pPr>
        <w:pStyle w:val="07NumberedBodySubheading"/>
        <w:jc w:val="both"/>
        <w:rPr>
          <w:rFonts w:ascii="Open Sans" w:hAnsi="Open Sans" w:cs="Open Sans"/>
          <w:b w:val="0"/>
          <w:sz w:val="22"/>
        </w:rPr>
      </w:pPr>
    </w:p>
    <w:p w14:paraId="2438FD99" w14:textId="77777777" w:rsidR="007A5D0A" w:rsidRPr="003E2DE0" w:rsidRDefault="007A5D0A" w:rsidP="007A5D0A">
      <w:pPr>
        <w:pStyle w:val="07NumberedBodySubheading"/>
        <w:jc w:val="both"/>
        <w:rPr>
          <w:rFonts w:ascii="Open Sans" w:hAnsi="Open Sans" w:cs="Open Sans"/>
          <w:b w:val="0"/>
          <w:bCs/>
          <w:sz w:val="22"/>
        </w:rPr>
      </w:pPr>
      <w:r w:rsidRPr="003E2DE0">
        <w:rPr>
          <w:rFonts w:ascii="Open Sans" w:hAnsi="Open Sans" w:cs="Open Sans"/>
          <w:b w:val="0"/>
          <w:bCs/>
          <w:noProof/>
          <w:sz w:val="22"/>
        </w:rPr>
        <w:lastRenderedPageBreak/>
        <w:drawing>
          <wp:inline distT="0" distB="0" distL="0" distR="0" wp14:anchorId="65FF7078" wp14:editId="24ACD41E">
            <wp:extent cx="5788660" cy="2887203"/>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8660" cy="2887203"/>
                    </a:xfrm>
                    <a:prstGeom prst="rect">
                      <a:avLst/>
                    </a:prstGeom>
                  </pic:spPr>
                </pic:pic>
              </a:graphicData>
            </a:graphic>
          </wp:inline>
        </w:drawing>
      </w:r>
    </w:p>
    <w:p w14:paraId="39659034" w14:textId="77777777" w:rsidR="007A5D0A" w:rsidRPr="003E2DE0" w:rsidRDefault="007A5D0A" w:rsidP="007A5D0A">
      <w:pPr>
        <w:pStyle w:val="07NumberedBodySubheading"/>
        <w:jc w:val="both"/>
        <w:rPr>
          <w:rFonts w:ascii="Open Sans" w:hAnsi="Open Sans" w:cs="Open Sans"/>
          <w:b w:val="0"/>
          <w:bCs/>
          <w:sz w:val="22"/>
        </w:rPr>
      </w:pPr>
    </w:p>
    <w:p w14:paraId="0859E885" w14:textId="77777777" w:rsidR="007A5D0A" w:rsidRPr="003E2DE0" w:rsidRDefault="007A5D0A" w:rsidP="007A5D0A">
      <w:pPr>
        <w:pStyle w:val="07NumberedBodySubheading"/>
        <w:jc w:val="both"/>
        <w:rPr>
          <w:rFonts w:ascii="Open Sans" w:hAnsi="Open Sans" w:cs="Open Sans"/>
          <w:b w:val="0"/>
          <w:bCs/>
          <w:i/>
          <w:iCs/>
          <w:sz w:val="22"/>
        </w:rPr>
      </w:pPr>
    </w:p>
    <w:p w14:paraId="7C39F0AF" w14:textId="77777777" w:rsidR="007A5D0A" w:rsidRPr="003E2DE0" w:rsidRDefault="007A5D0A" w:rsidP="007A5D0A">
      <w:pPr>
        <w:pStyle w:val="07NumberedBodySubheading"/>
        <w:jc w:val="both"/>
        <w:rPr>
          <w:rFonts w:ascii="Open Sans" w:hAnsi="Open Sans" w:cs="Open Sans"/>
          <w:b w:val="0"/>
          <w:bCs/>
          <w:i/>
          <w:iCs/>
          <w:sz w:val="22"/>
        </w:rPr>
      </w:pPr>
      <w:r w:rsidRPr="003E2DE0">
        <w:rPr>
          <w:rFonts w:ascii="Open Sans" w:hAnsi="Open Sans" w:cs="Open Sans"/>
          <w:b w:val="0"/>
          <w:bCs/>
          <w:i/>
          <w:iCs/>
          <w:sz w:val="22"/>
        </w:rPr>
        <w:t>Department for Business, Energy and Industrial Strategy, Carbon in Flexibility Markets Workshop (October 2020)</w:t>
      </w:r>
      <w:r w:rsidRPr="003E2DE0">
        <w:rPr>
          <w:rStyle w:val="FootnoteReference"/>
          <w:rFonts w:ascii="Open Sans" w:hAnsi="Open Sans" w:cs="Open Sans"/>
          <w:b w:val="0"/>
          <w:bCs/>
          <w:i/>
          <w:iCs/>
          <w:sz w:val="22"/>
        </w:rPr>
        <w:footnoteReference w:id="5"/>
      </w:r>
    </w:p>
    <w:p w14:paraId="27AB0A5A" w14:textId="77777777" w:rsidR="007A5D0A" w:rsidRPr="003E2DE0" w:rsidRDefault="007A5D0A" w:rsidP="007A5D0A">
      <w:pPr>
        <w:pStyle w:val="07NumberedBodySubheading"/>
        <w:jc w:val="both"/>
        <w:rPr>
          <w:rFonts w:ascii="Open Sans" w:hAnsi="Open Sans" w:cs="Open Sans"/>
          <w:b w:val="0"/>
          <w:bCs/>
          <w:sz w:val="22"/>
        </w:rPr>
      </w:pPr>
    </w:p>
    <w:p w14:paraId="67B8F6F5"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bCs/>
          <w:sz w:val="22"/>
        </w:rPr>
        <w:t xml:space="preserve">Increasing the amount of flexibility on the system is not the only challenge ahead of us. Ensuring that flexibility comes from the lowest possible carbon sources will be essential to reaching Net Zero. </w:t>
      </w:r>
      <w:r w:rsidRPr="003E2DE0">
        <w:rPr>
          <w:rFonts w:ascii="Open Sans" w:hAnsi="Open Sans" w:cs="Open Sans"/>
          <w:b w:val="0"/>
          <w:sz w:val="22"/>
        </w:rPr>
        <w:t>To this end, it is important that the market framework sends clear price signals to drive investments in clean flexible technologies, including energy storage.</w:t>
      </w:r>
    </w:p>
    <w:p w14:paraId="3DE71428" w14:textId="77777777" w:rsidR="007A5D0A" w:rsidRPr="003E2DE0" w:rsidRDefault="007A5D0A" w:rsidP="007A5D0A">
      <w:pPr>
        <w:spacing w:after="0" w:line="240" w:lineRule="auto"/>
        <w:jc w:val="both"/>
        <w:rPr>
          <w:rFonts w:ascii="Open Sans" w:hAnsi="Open Sans" w:cs="Open Sans"/>
          <w:b/>
        </w:rPr>
      </w:pPr>
    </w:p>
    <w:p w14:paraId="64FD25BC"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Cs/>
          <w:sz w:val="22"/>
        </w:rPr>
        <w:t>Energy Storage</w:t>
      </w:r>
      <w:r w:rsidRPr="003E2DE0">
        <w:rPr>
          <w:rFonts w:ascii="Open Sans" w:hAnsi="Open Sans" w:cs="Open Sans"/>
          <w:b w:val="0"/>
          <w:sz w:val="22"/>
        </w:rPr>
        <w:t xml:space="preserve"> is one of the most important sources of low-carbon flexibility</w:t>
      </w:r>
      <w:r w:rsidRPr="003E2DE0">
        <w:rPr>
          <w:rStyle w:val="FootnoteReference"/>
          <w:rFonts w:ascii="Open Sans" w:hAnsi="Open Sans" w:cs="Open Sans"/>
          <w:b w:val="0"/>
        </w:rPr>
        <w:footnoteReference w:id="6"/>
      </w:r>
      <w:r w:rsidRPr="003E2DE0">
        <w:rPr>
          <w:rFonts w:ascii="Open Sans" w:hAnsi="Open Sans" w:cs="Open Sans"/>
          <w:b w:val="0"/>
          <w:sz w:val="22"/>
        </w:rPr>
        <w:t>, delivering multiple consumer and environmental benefits:</w:t>
      </w:r>
    </w:p>
    <w:p w14:paraId="5E9D8A04" w14:textId="77777777" w:rsidR="007A5D0A" w:rsidRPr="003E2DE0" w:rsidRDefault="007A5D0A" w:rsidP="007A5D0A">
      <w:pPr>
        <w:pStyle w:val="07NumberedBodySubheading"/>
        <w:jc w:val="both"/>
        <w:rPr>
          <w:rFonts w:ascii="Open Sans" w:hAnsi="Open Sans" w:cs="Open Sans"/>
          <w:b w:val="0"/>
          <w:sz w:val="22"/>
        </w:rPr>
      </w:pPr>
    </w:p>
    <w:p w14:paraId="5CC4AACC" w14:textId="77777777" w:rsidR="007A5D0A" w:rsidRPr="003E2DE0" w:rsidRDefault="007A5D0A" w:rsidP="007A5D0A">
      <w:pPr>
        <w:pStyle w:val="07NumberedBodySubheading"/>
        <w:numPr>
          <w:ilvl w:val="0"/>
          <w:numId w:val="26"/>
        </w:numPr>
        <w:jc w:val="both"/>
        <w:rPr>
          <w:rFonts w:ascii="Open Sans" w:hAnsi="Open Sans" w:cs="Open Sans"/>
          <w:b w:val="0"/>
          <w:sz w:val="22"/>
        </w:rPr>
      </w:pPr>
      <w:r w:rsidRPr="003E2DE0">
        <w:rPr>
          <w:rFonts w:ascii="Open Sans" w:hAnsi="Open Sans" w:cs="Open Sans"/>
          <w:b w:val="0"/>
          <w:sz w:val="22"/>
        </w:rPr>
        <w:t xml:space="preserve">reduces the amount of costlier investment in other dispatchable backup generation with lower efficiencies, whilst contributing to security of </w:t>
      </w:r>
      <w:proofErr w:type="gramStart"/>
      <w:r w:rsidRPr="003E2DE0">
        <w:rPr>
          <w:rFonts w:ascii="Open Sans" w:hAnsi="Open Sans" w:cs="Open Sans"/>
          <w:b w:val="0"/>
          <w:sz w:val="22"/>
        </w:rPr>
        <w:t>supply;</w:t>
      </w:r>
      <w:proofErr w:type="gramEnd"/>
    </w:p>
    <w:p w14:paraId="7FD92ACC" w14:textId="77777777" w:rsidR="007A5D0A" w:rsidRPr="003E2DE0" w:rsidRDefault="007A5D0A" w:rsidP="007A5D0A">
      <w:pPr>
        <w:pStyle w:val="07NumberedBodySubheading"/>
        <w:numPr>
          <w:ilvl w:val="0"/>
          <w:numId w:val="26"/>
        </w:numPr>
        <w:jc w:val="both"/>
        <w:rPr>
          <w:rFonts w:ascii="Open Sans" w:hAnsi="Open Sans" w:cs="Open Sans"/>
          <w:b w:val="0"/>
          <w:sz w:val="22"/>
        </w:rPr>
      </w:pPr>
      <w:r w:rsidRPr="003E2DE0">
        <w:rPr>
          <w:rFonts w:ascii="Open Sans" w:hAnsi="Open Sans" w:cs="Open Sans"/>
          <w:b w:val="0"/>
          <w:sz w:val="22"/>
        </w:rPr>
        <w:t xml:space="preserve">Provides a range of ancillary services at reduced cost to consumers, increasing system stability and </w:t>
      </w:r>
      <w:proofErr w:type="gramStart"/>
      <w:r w:rsidRPr="003E2DE0">
        <w:rPr>
          <w:rFonts w:ascii="Open Sans" w:hAnsi="Open Sans" w:cs="Open Sans"/>
          <w:b w:val="0"/>
          <w:sz w:val="22"/>
        </w:rPr>
        <w:t>resilience;</w:t>
      </w:r>
      <w:proofErr w:type="gramEnd"/>
    </w:p>
    <w:p w14:paraId="494BDA61" w14:textId="77777777" w:rsidR="007A5D0A" w:rsidRPr="003E2DE0" w:rsidRDefault="007A5D0A" w:rsidP="007A5D0A">
      <w:pPr>
        <w:pStyle w:val="07NumberedBodySubheading"/>
        <w:numPr>
          <w:ilvl w:val="0"/>
          <w:numId w:val="26"/>
        </w:numPr>
        <w:jc w:val="both"/>
        <w:rPr>
          <w:rFonts w:ascii="Open Sans" w:hAnsi="Open Sans" w:cs="Open Sans"/>
          <w:b w:val="0"/>
          <w:sz w:val="22"/>
        </w:rPr>
      </w:pPr>
      <w:r w:rsidRPr="003E2DE0">
        <w:rPr>
          <w:rFonts w:ascii="Open Sans" w:hAnsi="Open Sans" w:cs="Open Sans"/>
          <w:b w:val="0"/>
          <w:sz w:val="22"/>
        </w:rPr>
        <w:t xml:space="preserve">Reduces the need for investment in transmission capacity and </w:t>
      </w:r>
      <w:proofErr w:type="gramStart"/>
      <w:r w:rsidRPr="003E2DE0">
        <w:rPr>
          <w:rFonts w:ascii="Open Sans" w:hAnsi="Open Sans" w:cs="Open Sans"/>
          <w:b w:val="0"/>
          <w:sz w:val="22"/>
        </w:rPr>
        <w:t>interconnection;</w:t>
      </w:r>
      <w:proofErr w:type="gramEnd"/>
      <w:r w:rsidRPr="003E2DE0">
        <w:rPr>
          <w:rFonts w:ascii="Open Sans" w:hAnsi="Open Sans" w:cs="Open Sans"/>
          <w:b w:val="0"/>
          <w:sz w:val="22"/>
        </w:rPr>
        <w:t xml:space="preserve"> </w:t>
      </w:r>
    </w:p>
    <w:p w14:paraId="7E05A841" w14:textId="77777777" w:rsidR="007A5D0A" w:rsidRPr="003E2DE0" w:rsidRDefault="007A5D0A" w:rsidP="007A5D0A">
      <w:pPr>
        <w:pStyle w:val="07NumberedBodySubheading"/>
        <w:numPr>
          <w:ilvl w:val="0"/>
          <w:numId w:val="26"/>
        </w:numPr>
        <w:jc w:val="both"/>
        <w:rPr>
          <w:rFonts w:ascii="Open Sans" w:hAnsi="Open Sans" w:cs="Open Sans"/>
          <w:b w:val="0"/>
          <w:sz w:val="22"/>
        </w:rPr>
      </w:pPr>
      <w:r w:rsidRPr="003E2DE0">
        <w:rPr>
          <w:rFonts w:ascii="Open Sans" w:hAnsi="Open Sans" w:cs="Open Sans"/>
          <w:b w:val="0"/>
          <w:sz w:val="22"/>
        </w:rPr>
        <w:t>Distributed storage can reduce the need for distribution network reinforcement; and</w:t>
      </w:r>
    </w:p>
    <w:p w14:paraId="3A14D0D5" w14:textId="77777777" w:rsidR="007A5D0A" w:rsidRPr="003E2DE0" w:rsidRDefault="007A5D0A" w:rsidP="007A5D0A">
      <w:pPr>
        <w:pStyle w:val="07NumberedBodySubheading"/>
        <w:numPr>
          <w:ilvl w:val="0"/>
          <w:numId w:val="26"/>
        </w:numPr>
        <w:jc w:val="both"/>
        <w:rPr>
          <w:rFonts w:ascii="Open Sans" w:hAnsi="Open Sans" w:cs="Open Sans"/>
          <w:b w:val="0"/>
          <w:sz w:val="22"/>
        </w:rPr>
      </w:pPr>
      <w:r w:rsidRPr="003E2DE0">
        <w:rPr>
          <w:rFonts w:ascii="Open Sans" w:hAnsi="Open Sans" w:cs="Open Sans"/>
          <w:b w:val="0"/>
          <w:sz w:val="22"/>
        </w:rPr>
        <w:t>Enables greater utilisation of renewables by reducing the need to curtail wind output to manage constraints.</w:t>
      </w:r>
    </w:p>
    <w:p w14:paraId="4B9C41BC" w14:textId="77777777" w:rsidR="007A5D0A" w:rsidRPr="003E2DE0" w:rsidRDefault="007A5D0A" w:rsidP="007A5D0A">
      <w:pPr>
        <w:pStyle w:val="07NumberedBodySubheading"/>
        <w:jc w:val="both"/>
        <w:rPr>
          <w:rFonts w:ascii="Open Sans" w:hAnsi="Open Sans" w:cs="Open Sans"/>
          <w:b w:val="0"/>
          <w:sz w:val="22"/>
        </w:rPr>
      </w:pPr>
    </w:p>
    <w:p w14:paraId="4492B8A4"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Energy storage systems provide a wide array of technological approaches to managing our power supply </w:t>
      </w:r>
      <w:proofErr w:type="gramStart"/>
      <w:r w:rsidRPr="003E2DE0">
        <w:rPr>
          <w:rFonts w:ascii="Open Sans" w:hAnsi="Open Sans" w:cs="Open Sans"/>
          <w:b w:val="0"/>
          <w:sz w:val="22"/>
        </w:rPr>
        <w:t>in order to</w:t>
      </w:r>
      <w:proofErr w:type="gramEnd"/>
      <w:r w:rsidRPr="003E2DE0">
        <w:rPr>
          <w:rFonts w:ascii="Open Sans" w:hAnsi="Open Sans" w:cs="Open Sans"/>
          <w:b w:val="0"/>
          <w:sz w:val="22"/>
        </w:rPr>
        <w:t xml:space="preserve"> create a more resilient energy infrastructure and bring cost savings to consumers. They can be classified into five broad categories:</w:t>
      </w:r>
    </w:p>
    <w:p w14:paraId="4BC24245" w14:textId="77777777" w:rsidR="007A5D0A" w:rsidRPr="003E2DE0" w:rsidRDefault="007A5D0A" w:rsidP="007A5D0A">
      <w:pPr>
        <w:pStyle w:val="07NumberedBodySubheading"/>
        <w:jc w:val="both"/>
        <w:rPr>
          <w:rFonts w:ascii="Open Sans" w:hAnsi="Open Sans" w:cs="Open Sans"/>
          <w:b w:val="0"/>
          <w:sz w:val="22"/>
        </w:rPr>
      </w:pPr>
    </w:p>
    <w:p w14:paraId="767530F9" w14:textId="77777777" w:rsidR="007A5D0A" w:rsidRPr="003E2DE0" w:rsidRDefault="007A5D0A" w:rsidP="007A5D0A">
      <w:pPr>
        <w:pStyle w:val="07NumberedBodySubheading"/>
        <w:numPr>
          <w:ilvl w:val="0"/>
          <w:numId w:val="25"/>
        </w:numPr>
        <w:jc w:val="both"/>
        <w:rPr>
          <w:rFonts w:ascii="Open Sans" w:hAnsi="Open Sans" w:cs="Open Sans"/>
          <w:b w:val="0"/>
          <w:sz w:val="22"/>
        </w:rPr>
      </w:pPr>
      <w:r w:rsidRPr="003E2DE0">
        <w:rPr>
          <w:rFonts w:ascii="Open Sans" w:hAnsi="Open Sans" w:cs="Open Sans"/>
          <w:bCs/>
          <w:sz w:val="22"/>
        </w:rPr>
        <w:t>Mechanical</w:t>
      </w:r>
      <w:r w:rsidRPr="003E2DE0">
        <w:rPr>
          <w:rFonts w:ascii="Open Sans" w:hAnsi="Open Sans" w:cs="Open Sans"/>
          <w:b w:val="0"/>
          <w:sz w:val="22"/>
        </w:rPr>
        <w:t xml:space="preserve">, including Pumped Hydro, Compressed Air Energy Storage (CAES) </w:t>
      </w:r>
    </w:p>
    <w:p w14:paraId="08E4AD7B" w14:textId="77777777" w:rsidR="007A5D0A" w:rsidRPr="003E2DE0" w:rsidRDefault="007A5D0A" w:rsidP="007A5D0A">
      <w:pPr>
        <w:pStyle w:val="07NumberedBodySubheading"/>
        <w:numPr>
          <w:ilvl w:val="0"/>
          <w:numId w:val="25"/>
        </w:numPr>
        <w:jc w:val="both"/>
        <w:rPr>
          <w:rFonts w:ascii="Open Sans" w:hAnsi="Open Sans" w:cs="Open Sans"/>
          <w:b w:val="0"/>
          <w:sz w:val="22"/>
        </w:rPr>
      </w:pPr>
      <w:r w:rsidRPr="003E2DE0">
        <w:rPr>
          <w:rFonts w:ascii="Open Sans" w:hAnsi="Open Sans" w:cs="Open Sans"/>
          <w:bCs/>
          <w:sz w:val="22"/>
        </w:rPr>
        <w:t xml:space="preserve">Electrochemical, </w:t>
      </w:r>
      <w:r w:rsidRPr="003E2DE0">
        <w:rPr>
          <w:rFonts w:ascii="Open Sans" w:hAnsi="Open Sans" w:cs="Open Sans"/>
          <w:b w:val="0"/>
          <w:sz w:val="22"/>
        </w:rPr>
        <w:t>including</w:t>
      </w:r>
      <w:r w:rsidRPr="003E2DE0">
        <w:rPr>
          <w:rFonts w:ascii="Open Sans" w:hAnsi="Open Sans" w:cs="Open Sans"/>
          <w:bCs/>
          <w:sz w:val="22"/>
        </w:rPr>
        <w:t xml:space="preserve"> </w:t>
      </w:r>
      <w:r w:rsidRPr="003E2DE0">
        <w:rPr>
          <w:rFonts w:ascii="Open Sans" w:hAnsi="Open Sans" w:cs="Open Sans"/>
          <w:b w:val="0"/>
          <w:sz w:val="22"/>
        </w:rPr>
        <w:t xml:space="preserve">Lithium-ion Batteries, Flow </w:t>
      </w:r>
      <w:proofErr w:type="gramStart"/>
      <w:r w:rsidRPr="003E2DE0">
        <w:rPr>
          <w:rFonts w:ascii="Open Sans" w:hAnsi="Open Sans" w:cs="Open Sans"/>
          <w:b w:val="0"/>
          <w:sz w:val="22"/>
        </w:rPr>
        <w:t>Batteries;</w:t>
      </w:r>
      <w:proofErr w:type="gramEnd"/>
    </w:p>
    <w:p w14:paraId="47E00640" w14:textId="77777777" w:rsidR="007A5D0A" w:rsidRPr="003E2DE0" w:rsidRDefault="007A5D0A" w:rsidP="007A5D0A">
      <w:pPr>
        <w:pStyle w:val="07NumberedBodySubheading"/>
        <w:numPr>
          <w:ilvl w:val="0"/>
          <w:numId w:val="25"/>
        </w:numPr>
        <w:jc w:val="both"/>
        <w:rPr>
          <w:rFonts w:ascii="Open Sans" w:hAnsi="Open Sans" w:cs="Open Sans"/>
          <w:b w:val="0"/>
          <w:sz w:val="22"/>
        </w:rPr>
      </w:pPr>
      <w:r w:rsidRPr="003E2DE0">
        <w:rPr>
          <w:rFonts w:ascii="Open Sans" w:hAnsi="Open Sans" w:cs="Open Sans"/>
          <w:bCs/>
          <w:sz w:val="22"/>
        </w:rPr>
        <w:lastRenderedPageBreak/>
        <w:t>Electrical</w:t>
      </w:r>
      <w:r w:rsidRPr="003E2DE0">
        <w:rPr>
          <w:rFonts w:ascii="Open Sans" w:hAnsi="Open Sans" w:cs="Open Sans"/>
          <w:b w:val="0"/>
          <w:sz w:val="22"/>
        </w:rPr>
        <w:t xml:space="preserve">, including Superconducting Magnetic Energy Storage (SMES) and </w:t>
      </w:r>
      <w:proofErr w:type="gramStart"/>
      <w:r w:rsidRPr="003E2DE0">
        <w:rPr>
          <w:rFonts w:ascii="Open Sans" w:hAnsi="Open Sans" w:cs="Open Sans"/>
          <w:b w:val="0"/>
          <w:sz w:val="22"/>
        </w:rPr>
        <w:t>Supercapacitors;</w:t>
      </w:r>
      <w:proofErr w:type="gramEnd"/>
    </w:p>
    <w:p w14:paraId="785C926C" w14:textId="77777777" w:rsidR="007A5D0A" w:rsidRPr="003E2DE0" w:rsidRDefault="007A5D0A" w:rsidP="007A5D0A">
      <w:pPr>
        <w:pStyle w:val="07NumberedBodySubheading"/>
        <w:numPr>
          <w:ilvl w:val="0"/>
          <w:numId w:val="25"/>
        </w:numPr>
        <w:jc w:val="both"/>
        <w:rPr>
          <w:rFonts w:ascii="Open Sans" w:hAnsi="Open Sans" w:cs="Open Sans"/>
          <w:b w:val="0"/>
          <w:sz w:val="22"/>
        </w:rPr>
      </w:pPr>
      <w:r w:rsidRPr="003E2DE0">
        <w:rPr>
          <w:rFonts w:ascii="Open Sans" w:hAnsi="Open Sans" w:cs="Open Sans"/>
          <w:bCs/>
          <w:sz w:val="22"/>
        </w:rPr>
        <w:t>Chemical</w:t>
      </w:r>
      <w:r w:rsidRPr="003E2DE0">
        <w:rPr>
          <w:rFonts w:ascii="Open Sans" w:hAnsi="Open Sans" w:cs="Open Sans"/>
          <w:b w:val="0"/>
          <w:sz w:val="22"/>
        </w:rPr>
        <w:t>, including Power to Hydrogen and Power to Methane; and</w:t>
      </w:r>
    </w:p>
    <w:p w14:paraId="126A3CE3" w14:textId="77777777" w:rsidR="007A5D0A" w:rsidRPr="003E2DE0" w:rsidRDefault="007A5D0A" w:rsidP="007A5D0A">
      <w:pPr>
        <w:pStyle w:val="07NumberedBodySubheading"/>
        <w:numPr>
          <w:ilvl w:val="0"/>
          <w:numId w:val="25"/>
        </w:numPr>
        <w:jc w:val="both"/>
        <w:rPr>
          <w:rFonts w:ascii="Open Sans" w:hAnsi="Open Sans" w:cs="Open Sans"/>
          <w:b w:val="0"/>
          <w:sz w:val="22"/>
        </w:rPr>
      </w:pPr>
      <w:r w:rsidRPr="003E2DE0">
        <w:rPr>
          <w:rFonts w:ascii="Open Sans" w:hAnsi="Open Sans" w:cs="Open Sans"/>
          <w:bCs/>
          <w:sz w:val="22"/>
        </w:rPr>
        <w:t xml:space="preserve">Thermal, </w:t>
      </w:r>
      <w:r w:rsidRPr="003E2DE0">
        <w:rPr>
          <w:rFonts w:ascii="Open Sans" w:hAnsi="Open Sans" w:cs="Open Sans"/>
          <w:b w:val="0"/>
          <w:sz w:val="22"/>
        </w:rPr>
        <w:t>including Molten Salts, Pumped-Heat, and Liquid Air Energy Storage (LAES</w:t>
      </w:r>
      <w:proofErr w:type="gramStart"/>
      <w:r w:rsidRPr="003E2DE0">
        <w:rPr>
          <w:rFonts w:ascii="Open Sans" w:hAnsi="Open Sans" w:cs="Open Sans"/>
          <w:b w:val="0"/>
          <w:sz w:val="22"/>
        </w:rPr>
        <w:t>);</w:t>
      </w:r>
      <w:proofErr w:type="gramEnd"/>
    </w:p>
    <w:p w14:paraId="3C4C6531" w14:textId="59D2ECAE" w:rsidR="00157D8B" w:rsidRDefault="00157D8B" w:rsidP="00D9157A">
      <w:pPr>
        <w:pStyle w:val="07NumberedBodySubheading"/>
        <w:jc w:val="both"/>
        <w:rPr>
          <w:rFonts w:ascii="Open Sans" w:hAnsi="Open Sans" w:cs="Open Sans"/>
        </w:rPr>
      </w:pPr>
    </w:p>
    <w:p w14:paraId="5177BB71" w14:textId="02E35F4F" w:rsidR="008728EB" w:rsidRDefault="008728EB" w:rsidP="007A5D0A">
      <w:pPr>
        <w:pStyle w:val="07NumberedBodySubheading"/>
        <w:ind w:left="1080"/>
        <w:jc w:val="both"/>
        <w:rPr>
          <w:rFonts w:ascii="Open Sans" w:hAnsi="Open Sans" w:cs="Open Sans"/>
        </w:rPr>
      </w:pPr>
    </w:p>
    <w:p w14:paraId="67CC060E" w14:textId="1911354F" w:rsidR="00F273A2" w:rsidRDefault="00F273A2" w:rsidP="007A5D0A">
      <w:pPr>
        <w:pStyle w:val="07NumberedBodySubheading"/>
        <w:ind w:left="1080"/>
        <w:jc w:val="both"/>
        <w:rPr>
          <w:rFonts w:ascii="Open Sans" w:hAnsi="Open Sans" w:cs="Open Sans"/>
        </w:rPr>
      </w:pPr>
    </w:p>
    <w:p w14:paraId="4436E999" w14:textId="09AC5A84" w:rsidR="00F273A2" w:rsidRDefault="00F273A2" w:rsidP="007A5D0A">
      <w:pPr>
        <w:pStyle w:val="07NumberedBodySubheading"/>
        <w:ind w:left="1080"/>
        <w:jc w:val="both"/>
        <w:rPr>
          <w:rFonts w:ascii="Open Sans" w:hAnsi="Open Sans" w:cs="Open Sans"/>
        </w:rPr>
      </w:pPr>
    </w:p>
    <w:p w14:paraId="34193BD1" w14:textId="47188DCD" w:rsidR="00F273A2" w:rsidRDefault="00F273A2" w:rsidP="007A5D0A">
      <w:pPr>
        <w:pStyle w:val="07NumberedBodySubheading"/>
        <w:ind w:left="1080"/>
        <w:jc w:val="both"/>
        <w:rPr>
          <w:rFonts w:ascii="Open Sans" w:hAnsi="Open Sans" w:cs="Open Sans"/>
        </w:rPr>
      </w:pPr>
    </w:p>
    <w:p w14:paraId="1404D940" w14:textId="190F35AF" w:rsidR="00F273A2" w:rsidRDefault="00F273A2" w:rsidP="007A5D0A">
      <w:pPr>
        <w:pStyle w:val="07NumberedBodySubheading"/>
        <w:ind w:left="1080"/>
        <w:jc w:val="both"/>
        <w:rPr>
          <w:rFonts w:ascii="Open Sans" w:hAnsi="Open Sans" w:cs="Open Sans"/>
        </w:rPr>
      </w:pPr>
    </w:p>
    <w:p w14:paraId="778B2E59" w14:textId="317DF9E1" w:rsidR="00F273A2" w:rsidRDefault="00F273A2" w:rsidP="007A5D0A">
      <w:pPr>
        <w:pStyle w:val="07NumberedBodySubheading"/>
        <w:ind w:left="1080"/>
        <w:jc w:val="both"/>
        <w:rPr>
          <w:rFonts w:ascii="Open Sans" w:hAnsi="Open Sans" w:cs="Open Sans"/>
        </w:rPr>
      </w:pPr>
    </w:p>
    <w:p w14:paraId="48E7F5CB" w14:textId="05CD4A69" w:rsidR="00F273A2" w:rsidRDefault="00F273A2" w:rsidP="007A5D0A">
      <w:pPr>
        <w:pStyle w:val="07NumberedBodySubheading"/>
        <w:ind w:left="1080"/>
        <w:jc w:val="both"/>
        <w:rPr>
          <w:rFonts w:ascii="Open Sans" w:hAnsi="Open Sans" w:cs="Open Sans"/>
        </w:rPr>
      </w:pPr>
    </w:p>
    <w:p w14:paraId="2FAC5392" w14:textId="010ECF13" w:rsidR="00F273A2" w:rsidRDefault="00F273A2" w:rsidP="007A5D0A">
      <w:pPr>
        <w:pStyle w:val="07NumberedBodySubheading"/>
        <w:ind w:left="1080"/>
        <w:jc w:val="both"/>
        <w:rPr>
          <w:rFonts w:ascii="Open Sans" w:hAnsi="Open Sans" w:cs="Open Sans"/>
        </w:rPr>
      </w:pPr>
    </w:p>
    <w:p w14:paraId="302AC6DF" w14:textId="741C30FA" w:rsidR="00F273A2" w:rsidRDefault="00F273A2" w:rsidP="007A5D0A">
      <w:pPr>
        <w:pStyle w:val="07NumberedBodySubheading"/>
        <w:ind w:left="1080"/>
        <w:jc w:val="both"/>
        <w:rPr>
          <w:rFonts w:ascii="Open Sans" w:hAnsi="Open Sans" w:cs="Open Sans"/>
        </w:rPr>
      </w:pPr>
    </w:p>
    <w:p w14:paraId="788FD599" w14:textId="41025108" w:rsidR="00F273A2" w:rsidRDefault="00F273A2" w:rsidP="007A5D0A">
      <w:pPr>
        <w:pStyle w:val="07NumberedBodySubheading"/>
        <w:ind w:left="1080"/>
        <w:jc w:val="both"/>
        <w:rPr>
          <w:rFonts w:ascii="Open Sans" w:hAnsi="Open Sans" w:cs="Open Sans"/>
        </w:rPr>
      </w:pPr>
    </w:p>
    <w:p w14:paraId="10EB82E4" w14:textId="36091648" w:rsidR="00F273A2" w:rsidRDefault="00F273A2" w:rsidP="007A5D0A">
      <w:pPr>
        <w:pStyle w:val="07NumberedBodySubheading"/>
        <w:ind w:left="1080"/>
        <w:jc w:val="both"/>
        <w:rPr>
          <w:rFonts w:ascii="Open Sans" w:hAnsi="Open Sans" w:cs="Open Sans"/>
        </w:rPr>
      </w:pPr>
    </w:p>
    <w:p w14:paraId="15A89D81" w14:textId="00AF0D13" w:rsidR="00F273A2" w:rsidRDefault="00F273A2" w:rsidP="007A5D0A">
      <w:pPr>
        <w:pStyle w:val="07NumberedBodySubheading"/>
        <w:ind w:left="1080"/>
        <w:jc w:val="both"/>
        <w:rPr>
          <w:rFonts w:ascii="Open Sans" w:hAnsi="Open Sans" w:cs="Open Sans"/>
        </w:rPr>
      </w:pPr>
    </w:p>
    <w:p w14:paraId="41DBBA35" w14:textId="77777777" w:rsidR="00F273A2" w:rsidRPr="003E2DE0" w:rsidRDefault="00F273A2" w:rsidP="007A5D0A">
      <w:pPr>
        <w:pStyle w:val="07NumberedBodySubheading"/>
        <w:ind w:left="1080"/>
        <w:jc w:val="both"/>
        <w:rPr>
          <w:rFonts w:ascii="Open Sans" w:hAnsi="Open Sans" w:cs="Open Sans"/>
        </w:rPr>
      </w:pPr>
    </w:p>
    <w:p w14:paraId="4C6CAE01" w14:textId="77777777" w:rsidR="007A5D0A" w:rsidRPr="003E2DE0" w:rsidRDefault="007A5D0A" w:rsidP="007A5D0A">
      <w:pPr>
        <w:pStyle w:val="07NumberedBodySubheading"/>
        <w:jc w:val="both"/>
        <w:rPr>
          <w:rFonts w:ascii="Open Sans" w:hAnsi="Open Sans" w:cs="Open Sans"/>
          <w:bCs/>
          <w:i/>
          <w:iCs/>
          <w:sz w:val="22"/>
        </w:rPr>
      </w:pPr>
      <w:r w:rsidRPr="003E2DE0">
        <w:rPr>
          <w:rFonts w:ascii="Open Sans" w:hAnsi="Open Sans" w:cs="Open Sans"/>
          <w:bCs/>
          <w:i/>
          <w:iCs/>
          <w:sz w:val="22"/>
        </w:rPr>
        <w:t>Figure 3. The five key forms of energy storage and the main technologies</w:t>
      </w:r>
    </w:p>
    <w:p w14:paraId="005C4651" w14:textId="77777777" w:rsidR="007A5D0A" w:rsidRPr="003E2DE0" w:rsidRDefault="007A5D0A" w:rsidP="007A5D0A">
      <w:pPr>
        <w:pStyle w:val="07NumberedBodySubheading"/>
        <w:jc w:val="both"/>
        <w:rPr>
          <w:rFonts w:ascii="Open Sans" w:hAnsi="Open Sans" w:cs="Open Sans"/>
          <w:b w:val="0"/>
          <w:sz w:val="22"/>
        </w:rPr>
      </w:pPr>
    </w:p>
    <w:p w14:paraId="6F023EC1"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noProof/>
        </w:rPr>
        <w:drawing>
          <wp:inline distT="0" distB="0" distL="0" distR="0" wp14:anchorId="45D451FC" wp14:editId="7D5A11F3">
            <wp:extent cx="6191250" cy="2675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7281" cy="2691289"/>
                    </a:xfrm>
                    <a:prstGeom prst="rect">
                      <a:avLst/>
                    </a:prstGeom>
                  </pic:spPr>
                </pic:pic>
              </a:graphicData>
            </a:graphic>
          </wp:inline>
        </w:drawing>
      </w:r>
    </w:p>
    <w:p w14:paraId="442E6E32" w14:textId="77777777" w:rsidR="007A5D0A" w:rsidRPr="003E2DE0" w:rsidRDefault="007A5D0A" w:rsidP="007A5D0A">
      <w:pPr>
        <w:spacing w:after="0" w:line="240" w:lineRule="auto"/>
        <w:jc w:val="both"/>
        <w:rPr>
          <w:rFonts w:ascii="Open Sans" w:hAnsi="Open Sans" w:cs="Open Sans"/>
          <w:bCs/>
          <w:i/>
          <w:iCs/>
        </w:rPr>
      </w:pPr>
    </w:p>
    <w:p w14:paraId="44465499" w14:textId="77777777" w:rsidR="007A5D0A" w:rsidRPr="003E2DE0" w:rsidRDefault="007A5D0A" w:rsidP="007A5D0A">
      <w:pPr>
        <w:spacing w:after="0" w:line="240" w:lineRule="auto"/>
        <w:jc w:val="both"/>
        <w:rPr>
          <w:rFonts w:ascii="Open Sans" w:hAnsi="Open Sans" w:cs="Open Sans"/>
          <w:bCs/>
          <w:i/>
          <w:iCs/>
        </w:rPr>
      </w:pPr>
      <w:r w:rsidRPr="003E2DE0">
        <w:rPr>
          <w:rFonts w:ascii="Open Sans" w:hAnsi="Open Sans" w:cs="Open Sans"/>
          <w:bCs/>
          <w:i/>
          <w:iCs/>
        </w:rPr>
        <w:t>Drax Electric Insights Quarterly (Q3 2019)</w:t>
      </w:r>
      <w:r w:rsidRPr="003E2DE0">
        <w:rPr>
          <w:rStyle w:val="FootnoteReference"/>
          <w:rFonts w:ascii="Open Sans" w:hAnsi="Open Sans" w:cs="Open Sans"/>
          <w:bCs/>
          <w:i/>
          <w:iCs/>
        </w:rPr>
        <w:t xml:space="preserve"> </w:t>
      </w:r>
      <w:r w:rsidRPr="003E2DE0">
        <w:rPr>
          <w:rStyle w:val="FootnoteReference"/>
          <w:rFonts w:ascii="Open Sans" w:hAnsi="Open Sans" w:cs="Open Sans"/>
          <w:bCs/>
          <w:i/>
          <w:iCs/>
        </w:rPr>
        <w:footnoteReference w:id="7"/>
      </w:r>
    </w:p>
    <w:p w14:paraId="592842A7" w14:textId="77777777" w:rsidR="007A5D0A" w:rsidRPr="003E2DE0" w:rsidRDefault="007A5D0A" w:rsidP="007A5D0A">
      <w:pPr>
        <w:spacing w:after="0" w:line="240" w:lineRule="auto"/>
        <w:jc w:val="both"/>
        <w:rPr>
          <w:rFonts w:ascii="Open Sans" w:hAnsi="Open Sans" w:cs="Open Sans"/>
          <w:bCs/>
          <w:i/>
          <w:iCs/>
        </w:rPr>
      </w:pPr>
    </w:p>
    <w:p w14:paraId="35E9CA9A" w14:textId="77777777" w:rsidR="008728EB" w:rsidRDefault="008728EB" w:rsidP="007A5D0A">
      <w:pPr>
        <w:spacing w:after="0" w:line="240" w:lineRule="auto"/>
        <w:jc w:val="both"/>
        <w:rPr>
          <w:rFonts w:ascii="Open Sans" w:hAnsi="Open Sans" w:cs="Open Sans"/>
          <w:bCs/>
        </w:rPr>
      </w:pPr>
    </w:p>
    <w:p w14:paraId="7891EF09" w14:textId="302048FB" w:rsidR="007A5D0A" w:rsidRPr="003E2DE0" w:rsidRDefault="007A5D0A" w:rsidP="007A5D0A">
      <w:pPr>
        <w:spacing w:after="0" w:line="240" w:lineRule="auto"/>
        <w:jc w:val="both"/>
        <w:rPr>
          <w:rFonts w:ascii="Open Sans" w:hAnsi="Open Sans" w:cs="Open Sans"/>
          <w:bCs/>
        </w:rPr>
      </w:pPr>
      <w:r w:rsidRPr="003E2DE0">
        <w:rPr>
          <w:rFonts w:ascii="Open Sans" w:hAnsi="Open Sans" w:cs="Open Sans"/>
          <w:bCs/>
        </w:rPr>
        <w:t>The pandemic has brought forward pressures on our electricity system that were anticipated to occur in a few years’ time. The lack of dispatchable synchronous resources at times of low residual demand increased the system operability challenges. Furthermore, extreme weather events are occurring at a higher frequency and intensity than previously forecast by climate change scientists for this period. Storage technologies can provide cost-efficient solutions to system stability and resilience.</w:t>
      </w:r>
      <w:r w:rsidR="000B190D">
        <w:rPr>
          <w:rFonts w:ascii="Open Sans" w:hAnsi="Open Sans" w:cs="Open Sans"/>
          <w:bCs/>
        </w:rPr>
        <w:t xml:space="preserve"> A new report from Imperial College for SSE Renewables estimates that by 2050 up to £411m per year could be saved ‘in a highly flexible GB system (a high level of distributed demand-side response is available)’ by </w:t>
      </w:r>
      <w:r w:rsidR="009A7CEF">
        <w:rPr>
          <w:rFonts w:ascii="Open Sans" w:hAnsi="Open Sans" w:cs="Open Sans"/>
          <w:bCs/>
        </w:rPr>
        <w:t xml:space="preserve">just 2GW of </w:t>
      </w:r>
      <w:r w:rsidR="000B190D">
        <w:rPr>
          <w:rFonts w:ascii="Open Sans" w:hAnsi="Open Sans" w:cs="Open Sans"/>
          <w:bCs/>
        </w:rPr>
        <w:t xml:space="preserve">new long-duration pumped hydro storage plants, while up to £511m savings could be made </w:t>
      </w:r>
      <w:proofErr w:type="spellStart"/>
      <w:r w:rsidR="000B190D">
        <w:rPr>
          <w:rFonts w:ascii="Open Sans" w:hAnsi="Open Sans" w:cs="Open Sans"/>
          <w:bCs/>
        </w:rPr>
        <w:t>ina</w:t>
      </w:r>
      <w:proofErr w:type="spellEnd"/>
      <w:r w:rsidR="000B190D">
        <w:rPr>
          <w:rFonts w:ascii="Open Sans" w:hAnsi="Open Sans" w:cs="Open Sans"/>
          <w:bCs/>
        </w:rPr>
        <w:t xml:space="preserve">  less flexible system.</w:t>
      </w:r>
      <w:r w:rsidR="000B190D">
        <w:rPr>
          <w:rStyle w:val="FootnoteReference"/>
          <w:rFonts w:ascii="Open Sans" w:hAnsi="Open Sans" w:cs="Open Sans"/>
          <w:bCs/>
        </w:rPr>
        <w:footnoteReference w:id="8"/>
      </w:r>
      <w:r w:rsidR="000B190D">
        <w:rPr>
          <w:rFonts w:ascii="Open Sans" w:hAnsi="Open Sans" w:cs="Open Sans"/>
          <w:bCs/>
        </w:rPr>
        <w:t xml:space="preserve"> The authors of this report, however, argue that even more could be saved and further system stability could be secured with </w:t>
      </w:r>
      <w:r w:rsidR="009A7CEF">
        <w:rPr>
          <w:rFonts w:ascii="Open Sans" w:hAnsi="Open Sans" w:cs="Open Sans"/>
          <w:bCs/>
        </w:rPr>
        <w:t xml:space="preserve">much more capacity introduced </w:t>
      </w:r>
      <w:r w:rsidR="00936EDA">
        <w:rPr>
          <w:rFonts w:ascii="Open Sans" w:hAnsi="Open Sans" w:cs="Open Sans"/>
          <w:bCs/>
        </w:rPr>
        <w:t xml:space="preserve">from </w:t>
      </w:r>
      <w:r w:rsidR="000B190D">
        <w:rPr>
          <w:rFonts w:ascii="Open Sans" w:hAnsi="Open Sans" w:cs="Open Sans"/>
          <w:bCs/>
        </w:rPr>
        <w:t xml:space="preserve">new plants </w:t>
      </w:r>
      <w:r w:rsidR="00936EDA">
        <w:rPr>
          <w:rFonts w:ascii="Open Sans" w:hAnsi="Open Sans" w:cs="Open Sans"/>
          <w:bCs/>
        </w:rPr>
        <w:t>using</w:t>
      </w:r>
      <w:r w:rsidR="000B190D">
        <w:rPr>
          <w:rFonts w:ascii="Open Sans" w:hAnsi="Open Sans" w:cs="Open Sans"/>
          <w:bCs/>
        </w:rPr>
        <w:t xml:space="preserve"> a diverse range of longer-duration energy storage technologies. </w:t>
      </w:r>
    </w:p>
    <w:p w14:paraId="118C1B77" w14:textId="77777777" w:rsidR="007A5D0A" w:rsidRPr="003E2DE0" w:rsidRDefault="007A5D0A" w:rsidP="007A5D0A">
      <w:pPr>
        <w:spacing w:after="0" w:line="240" w:lineRule="auto"/>
        <w:jc w:val="both"/>
        <w:rPr>
          <w:rFonts w:ascii="Open Sans" w:hAnsi="Open Sans" w:cs="Open Sans"/>
          <w:bCs/>
        </w:rPr>
      </w:pPr>
    </w:p>
    <w:p w14:paraId="79073C4B" w14:textId="77777777" w:rsidR="00157D8B" w:rsidRDefault="00157D8B" w:rsidP="00EC35D6">
      <w:pPr>
        <w:pStyle w:val="07NumberedBodySubheading"/>
        <w:jc w:val="both"/>
        <w:rPr>
          <w:rFonts w:ascii="Futura PT Book" w:eastAsiaTheme="majorEastAsia" w:hAnsi="Futura PT Book" w:cs="Open Sans"/>
          <w:bCs/>
          <w:sz w:val="28"/>
          <w:szCs w:val="28"/>
        </w:rPr>
      </w:pPr>
    </w:p>
    <w:p w14:paraId="2C61E4A2" w14:textId="77777777" w:rsidR="00157D8B" w:rsidRDefault="00157D8B" w:rsidP="00EC35D6">
      <w:pPr>
        <w:pStyle w:val="07NumberedBodySubheading"/>
        <w:jc w:val="both"/>
        <w:rPr>
          <w:rFonts w:ascii="Futura PT Book" w:eastAsiaTheme="majorEastAsia" w:hAnsi="Futura PT Book" w:cs="Open Sans"/>
          <w:bCs/>
          <w:sz w:val="28"/>
          <w:szCs w:val="28"/>
        </w:rPr>
      </w:pPr>
    </w:p>
    <w:p w14:paraId="5EB9A6B5" w14:textId="77777777" w:rsidR="008728EB" w:rsidRDefault="008728EB" w:rsidP="00EC35D6">
      <w:pPr>
        <w:pStyle w:val="07NumberedBodySubheading"/>
        <w:jc w:val="both"/>
        <w:rPr>
          <w:rFonts w:ascii="Futura PT Book" w:eastAsiaTheme="majorEastAsia" w:hAnsi="Futura PT Book" w:cs="Open Sans"/>
          <w:bCs/>
          <w:sz w:val="28"/>
          <w:szCs w:val="28"/>
        </w:rPr>
      </w:pPr>
    </w:p>
    <w:p w14:paraId="14DB6A90" w14:textId="77777777" w:rsidR="00157D8B" w:rsidRDefault="00157D8B" w:rsidP="00EC35D6">
      <w:pPr>
        <w:pStyle w:val="07NumberedBodySubheading"/>
        <w:jc w:val="both"/>
        <w:rPr>
          <w:rFonts w:ascii="Futura PT Book" w:eastAsiaTheme="majorEastAsia" w:hAnsi="Futura PT Book" w:cs="Open Sans"/>
          <w:bCs/>
          <w:sz w:val="28"/>
          <w:szCs w:val="28"/>
        </w:rPr>
      </w:pPr>
    </w:p>
    <w:p w14:paraId="03435E71" w14:textId="77777777" w:rsidR="00157D8B" w:rsidRDefault="00157D8B" w:rsidP="00EC35D6">
      <w:pPr>
        <w:pStyle w:val="07NumberedBodySubheading"/>
        <w:jc w:val="both"/>
        <w:rPr>
          <w:rFonts w:ascii="Futura PT Book" w:eastAsiaTheme="majorEastAsia" w:hAnsi="Futura PT Book" w:cs="Open Sans"/>
          <w:bCs/>
          <w:sz w:val="28"/>
          <w:szCs w:val="28"/>
        </w:rPr>
      </w:pPr>
    </w:p>
    <w:p w14:paraId="4B77BAFB" w14:textId="77777777" w:rsidR="00157D8B" w:rsidRDefault="00157D8B" w:rsidP="00EC35D6">
      <w:pPr>
        <w:pStyle w:val="07NumberedBodySubheading"/>
        <w:jc w:val="both"/>
        <w:rPr>
          <w:rFonts w:ascii="Futura PT Book" w:eastAsiaTheme="majorEastAsia" w:hAnsi="Futura PT Book" w:cs="Open Sans"/>
          <w:bCs/>
          <w:sz w:val="28"/>
          <w:szCs w:val="28"/>
        </w:rPr>
      </w:pPr>
    </w:p>
    <w:p w14:paraId="66966EE2" w14:textId="77777777" w:rsidR="00157D8B" w:rsidRDefault="00157D8B" w:rsidP="00EC35D6">
      <w:pPr>
        <w:pStyle w:val="07NumberedBodySubheading"/>
        <w:jc w:val="both"/>
        <w:rPr>
          <w:rFonts w:ascii="Futura PT Book" w:eastAsiaTheme="majorEastAsia" w:hAnsi="Futura PT Book" w:cs="Open Sans"/>
          <w:bCs/>
          <w:sz w:val="28"/>
          <w:szCs w:val="28"/>
        </w:rPr>
      </w:pPr>
    </w:p>
    <w:p w14:paraId="78F3D99A" w14:textId="77777777" w:rsidR="008728EB" w:rsidRDefault="008728EB">
      <w:pPr>
        <w:rPr>
          <w:rFonts w:ascii="Futura PT Book" w:eastAsiaTheme="majorEastAsia" w:hAnsi="Futura PT Book" w:cs="Open Sans"/>
          <w:b/>
          <w:bCs/>
          <w:sz w:val="28"/>
          <w:szCs w:val="28"/>
        </w:rPr>
      </w:pPr>
      <w:r>
        <w:rPr>
          <w:rFonts w:ascii="Futura PT Book" w:eastAsiaTheme="majorEastAsia" w:hAnsi="Futura PT Book" w:cs="Open Sans"/>
          <w:bCs/>
          <w:sz w:val="28"/>
          <w:szCs w:val="28"/>
        </w:rPr>
        <w:br w:type="page"/>
      </w:r>
    </w:p>
    <w:p w14:paraId="47066CFC" w14:textId="63922720" w:rsidR="007A5D0A" w:rsidRPr="003E2DE0" w:rsidRDefault="007A5D0A" w:rsidP="003E2DE0">
      <w:pPr>
        <w:pStyle w:val="07NumberedBodySubheading"/>
        <w:jc w:val="both"/>
        <w:rPr>
          <w:rFonts w:ascii="Futura PT Book" w:eastAsiaTheme="majorEastAsia" w:hAnsi="Futura PT Book" w:cs="Open Sans"/>
          <w:bCs/>
          <w:color w:val="4472C4" w:themeColor="accent1"/>
          <w:sz w:val="28"/>
          <w:szCs w:val="28"/>
        </w:rPr>
      </w:pPr>
      <w:r w:rsidRPr="003E2DE0">
        <w:rPr>
          <w:rFonts w:ascii="Futura PT Book" w:eastAsiaTheme="majorEastAsia" w:hAnsi="Futura PT Book" w:cs="Open Sans"/>
          <w:bCs/>
          <w:sz w:val="28"/>
          <w:szCs w:val="28"/>
        </w:rPr>
        <w:lastRenderedPageBreak/>
        <w:t>The need for longer-duration storage</w:t>
      </w:r>
    </w:p>
    <w:p w14:paraId="5C8FE7B2" w14:textId="77777777" w:rsidR="007A5D0A" w:rsidRPr="003E2DE0" w:rsidRDefault="007A5D0A" w:rsidP="007A5D0A">
      <w:pPr>
        <w:spacing w:after="0" w:line="240" w:lineRule="auto"/>
        <w:jc w:val="both"/>
        <w:rPr>
          <w:rFonts w:ascii="Open Sans" w:hAnsi="Open Sans" w:cs="Open Sans"/>
          <w:bCs/>
        </w:rPr>
      </w:pPr>
    </w:p>
    <w:p w14:paraId="17B883F0" w14:textId="77777777" w:rsidR="007A5D0A" w:rsidRPr="003E2DE0" w:rsidRDefault="007A5D0A" w:rsidP="007A5D0A">
      <w:pPr>
        <w:spacing w:after="0" w:line="240" w:lineRule="auto"/>
        <w:jc w:val="both"/>
        <w:rPr>
          <w:rFonts w:ascii="Open Sans" w:hAnsi="Open Sans" w:cs="Open Sans"/>
          <w:bCs/>
        </w:rPr>
      </w:pPr>
      <w:r w:rsidRPr="003E2DE0">
        <w:rPr>
          <w:rFonts w:ascii="Open Sans" w:hAnsi="Open Sans" w:cs="Open Sans"/>
          <w:bCs/>
        </w:rPr>
        <w:t xml:space="preserve">In a power system dominated by variable renewables, the scale and the duration of our flexibility needs will be determined by weather patterns. Bulk energy storage from a variety of sources will be needed to ensure the lights stay on when the wind is not </w:t>
      </w:r>
      <w:proofErr w:type="gramStart"/>
      <w:r w:rsidRPr="003E2DE0">
        <w:rPr>
          <w:rFonts w:ascii="Open Sans" w:hAnsi="Open Sans" w:cs="Open Sans"/>
          <w:bCs/>
        </w:rPr>
        <w:t>blowing</w:t>
      </w:r>
      <w:proofErr w:type="gramEnd"/>
      <w:r w:rsidRPr="003E2DE0">
        <w:rPr>
          <w:rFonts w:ascii="Open Sans" w:hAnsi="Open Sans" w:cs="Open Sans"/>
          <w:bCs/>
        </w:rPr>
        <w:t xml:space="preserve"> and the sun is not shining. Storage will be equally crucial for absorbing excess renewable generation at times when supply exceeds demand.</w:t>
      </w:r>
    </w:p>
    <w:p w14:paraId="1CAA53B9" w14:textId="77777777" w:rsidR="007A5D0A" w:rsidRPr="003E2DE0" w:rsidRDefault="007A5D0A" w:rsidP="007A5D0A">
      <w:pPr>
        <w:spacing w:after="0" w:line="240" w:lineRule="auto"/>
        <w:jc w:val="both"/>
        <w:rPr>
          <w:rFonts w:ascii="Open Sans" w:eastAsiaTheme="majorEastAsia" w:hAnsi="Open Sans" w:cs="Open Sans"/>
        </w:rPr>
      </w:pPr>
    </w:p>
    <w:p w14:paraId="4D5AA943" w14:textId="410CA23C" w:rsidR="007A5D0A" w:rsidRPr="00A90BDC" w:rsidRDefault="007A5D0A" w:rsidP="007A5D0A">
      <w:pPr>
        <w:spacing w:after="0" w:line="240" w:lineRule="auto"/>
        <w:jc w:val="both"/>
        <w:rPr>
          <w:rFonts w:ascii="Open Sans" w:hAnsi="Open Sans" w:cs="Open Sans"/>
          <w:bCs/>
        </w:rPr>
      </w:pPr>
      <w:r w:rsidRPr="003E2DE0">
        <w:rPr>
          <w:rFonts w:ascii="Open Sans" w:hAnsi="Open Sans" w:cs="Open Sans"/>
          <w:bCs/>
        </w:rPr>
        <w:t>There is not yet a universally agreed definition of long-duration energy storage, hence why this paper chooses the term ‘longer-duration storage’ to reflect the fact that a very wide range of technologies may be defined as providing longer-duration storage</w:t>
      </w:r>
      <w:r w:rsidR="00A90BDC">
        <w:rPr>
          <w:rFonts w:ascii="Open Sans" w:hAnsi="Open Sans" w:cs="Open Sans"/>
          <w:bCs/>
        </w:rPr>
        <w:t xml:space="preserve">, </w:t>
      </w:r>
      <w:r w:rsidR="00A90BDC" w:rsidRPr="00EE46A4">
        <w:rPr>
          <w:rFonts w:ascii="Open Sans" w:hAnsi="Open Sans" w:cs="Open Sans"/>
          <w:bCs/>
        </w:rPr>
        <w:t xml:space="preserve">and to highlight the current situation in deployment where short-duration storage (and not medium or long-duration energy storage) technologies currently </w:t>
      </w:r>
      <w:proofErr w:type="gramStart"/>
      <w:r w:rsidR="00A90BDC" w:rsidRPr="00EE46A4">
        <w:rPr>
          <w:rFonts w:ascii="Open Sans" w:hAnsi="Open Sans" w:cs="Open Sans"/>
          <w:bCs/>
        </w:rPr>
        <w:t>are seen as</w:t>
      </w:r>
      <w:proofErr w:type="gramEnd"/>
      <w:r w:rsidR="00A90BDC" w:rsidRPr="00EE46A4">
        <w:rPr>
          <w:rFonts w:ascii="Open Sans" w:hAnsi="Open Sans" w:cs="Open Sans"/>
          <w:bCs/>
        </w:rPr>
        <w:t xml:space="preserve"> more investable in terms of returns on investment.</w:t>
      </w:r>
      <w:r w:rsidR="00A90BDC" w:rsidRPr="00EE46A4">
        <w:rPr>
          <w:rStyle w:val="FootnoteReference"/>
          <w:rFonts w:ascii="Open Sans" w:hAnsi="Open Sans" w:cs="Open Sans"/>
          <w:bCs/>
        </w:rPr>
        <w:footnoteReference w:id="9"/>
      </w:r>
      <w:r w:rsidR="00A90BDC" w:rsidRPr="00EE46A4">
        <w:rPr>
          <w:rFonts w:ascii="Open Sans" w:hAnsi="Open Sans" w:cs="Open Sans"/>
          <w:bCs/>
        </w:rPr>
        <w:t xml:space="preserve"> </w:t>
      </w:r>
    </w:p>
    <w:p w14:paraId="2A1C4D00" w14:textId="77777777" w:rsidR="007A5D0A" w:rsidRPr="003E2DE0" w:rsidRDefault="007A5D0A" w:rsidP="007A5D0A">
      <w:pPr>
        <w:spacing w:after="0" w:line="240" w:lineRule="auto"/>
        <w:jc w:val="both"/>
        <w:rPr>
          <w:rFonts w:ascii="Open Sans" w:hAnsi="Open Sans" w:cs="Open Sans"/>
          <w:bCs/>
        </w:rPr>
      </w:pPr>
    </w:p>
    <w:p w14:paraId="1AC2D4CA" w14:textId="77777777" w:rsidR="007A5D0A" w:rsidRPr="003E2DE0" w:rsidRDefault="007A5D0A" w:rsidP="007A5D0A">
      <w:pPr>
        <w:spacing w:after="0" w:line="240" w:lineRule="auto"/>
        <w:jc w:val="both"/>
        <w:rPr>
          <w:rFonts w:ascii="Open Sans" w:eastAsiaTheme="majorEastAsia" w:hAnsi="Open Sans" w:cs="Open Sans"/>
          <w:bCs/>
          <w:color w:val="4472C4" w:themeColor="accent1"/>
          <w:u w:val="single"/>
        </w:rPr>
      </w:pPr>
      <w:r w:rsidRPr="003E2DE0">
        <w:rPr>
          <w:rFonts w:ascii="Open Sans" w:hAnsi="Open Sans" w:cs="Open Sans"/>
          <w:bCs/>
        </w:rPr>
        <w:t>Energy storage technologies can be classified in the following groups with respect to duration:</w:t>
      </w:r>
    </w:p>
    <w:p w14:paraId="3F6A106A" w14:textId="77777777" w:rsidR="007A5D0A" w:rsidRPr="003E2DE0" w:rsidRDefault="007A5D0A" w:rsidP="007A5D0A">
      <w:pPr>
        <w:pStyle w:val="07NumberedBodySubheading"/>
        <w:jc w:val="both"/>
        <w:rPr>
          <w:rFonts w:ascii="Open Sans" w:hAnsi="Open Sans" w:cs="Open Sans"/>
          <w:b w:val="0"/>
          <w:sz w:val="22"/>
        </w:rPr>
      </w:pPr>
    </w:p>
    <w:p w14:paraId="630493D6" w14:textId="77777777" w:rsidR="007A5D0A" w:rsidRPr="003E2DE0" w:rsidRDefault="007A5D0A" w:rsidP="007A5D0A">
      <w:pPr>
        <w:pStyle w:val="07NumberedBodySubheading"/>
        <w:numPr>
          <w:ilvl w:val="0"/>
          <w:numId w:val="23"/>
        </w:numPr>
        <w:jc w:val="both"/>
        <w:rPr>
          <w:rFonts w:ascii="Open Sans" w:hAnsi="Open Sans" w:cs="Open Sans"/>
          <w:b w:val="0"/>
          <w:sz w:val="22"/>
        </w:rPr>
      </w:pPr>
      <w:r w:rsidRPr="003E2DE0">
        <w:rPr>
          <w:rFonts w:ascii="Open Sans" w:hAnsi="Open Sans" w:cs="Open Sans"/>
          <w:b w:val="0"/>
          <w:sz w:val="22"/>
        </w:rPr>
        <w:t xml:space="preserve">Providing energy up to four hours </w:t>
      </w:r>
    </w:p>
    <w:p w14:paraId="41A87712" w14:textId="77777777" w:rsidR="007A5D0A" w:rsidRPr="003E2DE0" w:rsidRDefault="007A5D0A" w:rsidP="007A5D0A">
      <w:pPr>
        <w:pStyle w:val="07NumberedBodySubheading"/>
        <w:numPr>
          <w:ilvl w:val="0"/>
          <w:numId w:val="23"/>
        </w:numPr>
        <w:jc w:val="both"/>
        <w:rPr>
          <w:rFonts w:ascii="Open Sans" w:hAnsi="Open Sans" w:cs="Open Sans"/>
          <w:b w:val="0"/>
          <w:sz w:val="22"/>
        </w:rPr>
      </w:pPr>
      <w:r w:rsidRPr="003E2DE0">
        <w:rPr>
          <w:rFonts w:ascii="Open Sans" w:hAnsi="Open Sans" w:cs="Open Sans"/>
          <w:b w:val="0"/>
          <w:sz w:val="22"/>
        </w:rPr>
        <w:t>Providing energy up to 24 hours</w:t>
      </w:r>
    </w:p>
    <w:p w14:paraId="76ECD0D1" w14:textId="77777777" w:rsidR="007A5D0A" w:rsidRPr="003E2DE0" w:rsidRDefault="007A5D0A" w:rsidP="007A5D0A">
      <w:pPr>
        <w:pStyle w:val="07NumberedBodySubheading"/>
        <w:numPr>
          <w:ilvl w:val="0"/>
          <w:numId w:val="23"/>
        </w:numPr>
        <w:jc w:val="both"/>
        <w:rPr>
          <w:rFonts w:ascii="Open Sans" w:hAnsi="Open Sans" w:cs="Open Sans"/>
          <w:b w:val="0"/>
          <w:sz w:val="22"/>
        </w:rPr>
      </w:pPr>
      <w:r w:rsidRPr="003E2DE0">
        <w:rPr>
          <w:rFonts w:ascii="Open Sans" w:hAnsi="Open Sans" w:cs="Open Sans"/>
          <w:b w:val="0"/>
          <w:sz w:val="22"/>
        </w:rPr>
        <w:t>Providing energy up to two weeks</w:t>
      </w:r>
    </w:p>
    <w:p w14:paraId="7613D59D" w14:textId="77777777" w:rsidR="007A5D0A" w:rsidRPr="003E2DE0" w:rsidRDefault="007A5D0A" w:rsidP="007A5D0A">
      <w:pPr>
        <w:pStyle w:val="07NumberedBodySubheading"/>
        <w:numPr>
          <w:ilvl w:val="0"/>
          <w:numId w:val="23"/>
        </w:numPr>
        <w:jc w:val="both"/>
        <w:rPr>
          <w:rFonts w:ascii="Open Sans" w:hAnsi="Open Sans" w:cs="Open Sans"/>
          <w:b w:val="0"/>
          <w:sz w:val="22"/>
        </w:rPr>
      </w:pPr>
      <w:r w:rsidRPr="003E2DE0">
        <w:rPr>
          <w:rFonts w:ascii="Open Sans" w:hAnsi="Open Sans" w:cs="Open Sans"/>
          <w:b w:val="0"/>
          <w:sz w:val="22"/>
        </w:rPr>
        <w:t xml:space="preserve">Inter-seasonal </w:t>
      </w:r>
    </w:p>
    <w:p w14:paraId="71F6D341" w14:textId="77777777" w:rsidR="007A5D0A" w:rsidRPr="003E2DE0" w:rsidRDefault="007A5D0A" w:rsidP="007A5D0A">
      <w:pPr>
        <w:spacing w:after="0" w:line="240" w:lineRule="auto"/>
        <w:jc w:val="both"/>
        <w:rPr>
          <w:rFonts w:ascii="Open Sans" w:hAnsi="Open Sans" w:cs="Open Sans"/>
          <w:bCs/>
        </w:rPr>
      </w:pPr>
      <w:r w:rsidRPr="003E2DE0">
        <w:rPr>
          <w:rFonts w:ascii="Open Sans" w:hAnsi="Open Sans" w:cs="Open Sans"/>
          <w:bCs/>
        </w:rPr>
        <w:t xml:space="preserve"> </w:t>
      </w:r>
    </w:p>
    <w:p w14:paraId="2513621F" w14:textId="399D4A27" w:rsidR="007A5D0A" w:rsidRPr="003E2DE0" w:rsidRDefault="007A5D0A" w:rsidP="007A5D0A">
      <w:pPr>
        <w:spacing w:after="0" w:line="240" w:lineRule="auto"/>
        <w:jc w:val="both"/>
        <w:rPr>
          <w:rFonts w:ascii="Open Sans" w:hAnsi="Open Sans" w:cs="Open Sans"/>
          <w:bCs/>
        </w:rPr>
      </w:pPr>
      <w:r w:rsidRPr="003E2DE0">
        <w:rPr>
          <w:rFonts w:ascii="Open Sans" w:hAnsi="Open Sans" w:cs="Open Sans"/>
        </w:rPr>
        <w:t>We have chosen these four categories because technologies that fall into each have different needs and provide varying services. For instance, lithium-ion batteries, which fall into category A in terms of duration, are relatively easy to build,</w:t>
      </w:r>
      <w:r w:rsidRPr="003E2DE0">
        <w:rPr>
          <w:rFonts w:ascii="Open Sans" w:hAnsi="Open Sans" w:cs="Open Sans"/>
          <w:b/>
        </w:rPr>
        <w:t xml:space="preserve"> </w:t>
      </w:r>
      <w:r w:rsidRPr="003E2DE0">
        <w:rPr>
          <w:rFonts w:ascii="Open Sans" w:hAnsi="Open Sans" w:cs="Open Sans"/>
          <w:bCs/>
        </w:rPr>
        <w:t>have a shorter lifetime and are less capital intensive compared to large scale long-duration storage projects (</w:t>
      </w:r>
      <w:proofErr w:type="gramStart"/>
      <w:r w:rsidRPr="003E2DE0">
        <w:rPr>
          <w:rFonts w:ascii="Open Sans" w:hAnsi="Open Sans" w:cs="Open Sans"/>
          <w:bCs/>
        </w:rPr>
        <w:t>e.g.</w:t>
      </w:r>
      <w:proofErr w:type="gramEnd"/>
      <w:r w:rsidRPr="003E2DE0">
        <w:rPr>
          <w:rFonts w:ascii="Open Sans" w:hAnsi="Open Sans" w:cs="Open Sans"/>
          <w:bCs/>
        </w:rPr>
        <w:t xml:space="preserve"> Pumped Hydro).</w:t>
      </w:r>
      <w:r w:rsidR="00D36409">
        <w:rPr>
          <w:rFonts w:ascii="Open Sans" w:hAnsi="Open Sans" w:cs="Open Sans"/>
          <w:bCs/>
        </w:rPr>
        <w:t xml:space="preserve"> </w:t>
      </w:r>
      <w:r w:rsidR="00D36409" w:rsidRPr="00EE46A4">
        <w:rPr>
          <w:rFonts w:ascii="Open Sans" w:eastAsiaTheme="majorEastAsia" w:hAnsi="Open Sans" w:cs="Open Sans"/>
        </w:rPr>
        <w:t>Longer and shorter-duration technologies face arguably different challenges and this paper focusses on the larger scale as that segment generally receives less attention in regulatory efforts at present.</w:t>
      </w:r>
    </w:p>
    <w:p w14:paraId="73A7FC53" w14:textId="6D6F8820" w:rsidR="007A5D0A" w:rsidRPr="003E2DE0" w:rsidRDefault="007A5D0A" w:rsidP="007A5D0A">
      <w:pPr>
        <w:pStyle w:val="07NumberedBodySubheading"/>
        <w:jc w:val="both"/>
        <w:rPr>
          <w:rFonts w:ascii="Open Sans" w:hAnsi="Open Sans" w:cs="Open Sans"/>
          <w:b w:val="0"/>
          <w:sz w:val="22"/>
        </w:rPr>
      </w:pPr>
    </w:p>
    <w:p w14:paraId="0E87FDC8"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This paper will look primarily at category B, with some relevance to C and D. Category B includes (but is not exclusive to) the following technologies</w:t>
      </w:r>
      <w:r w:rsidRPr="003E2DE0">
        <w:rPr>
          <w:rStyle w:val="FootnoteReference"/>
          <w:rFonts w:ascii="Open Sans" w:hAnsi="Open Sans" w:cs="Open Sans"/>
          <w:b w:val="0"/>
          <w:sz w:val="22"/>
        </w:rPr>
        <w:footnoteReference w:id="10"/>
      </w:r>
      <w:r w:rsidRPr="003E2DE0">
        <w:rPr>
          <w:rFonts w:ascii="Open Sans" w:hAnsi="Open Sans" w:cs="Open Sans"/>
          <w:b w:val="0"/>
          <w:sz w:val="22"/>
        </w:rPr>
        <w:t>:</w:t>
      </w:r>
    </w:p>
    <w:p w14:paraId="121F9E6D" w14:textId="77777777" w:rsidR="007A5D0A" w:rsidRPr="003E2DE0" w:rsidRDefault="007A5D0A" w:rsidP="007A5D0A">
      <w:pPr>
        <w:pStyle w:val="07NumberedBodySubheading"/>
        <w:jc w:val="both"/>
        <w:rPr>
          <w:rFonts w:ascii="Open Sans" w:hAnsi="Open Sans" w:cs="Open Sans"/>
          <w:b w:val="0"/>
          <w:sz w:val="22"/>
        </w:rPr>
      </w:pPr>
    </w:p>
    <w:p w14:paraId="620D7AFC" w14:textId="77777777" w:rsidR="007A5D0A" w:rsidRPr="003E2DE0" w:rsidRDefault="007A5D0A" w:rsidP="007A5D0A">
      <w:pPr>
        <w:pStyle w:val="07NumberedBodySubheading"/>
        <w:numPr>
          <w:ilvl w:val="0"/>
          <w:numId w:val="31"/>
        </w:numPr>
        <w:rPr>
          <w:rFonts w:ascii="Open Sans" w:hAnsi="Open Sans" w:cs="Open Sans"/>
          <w:b w:val="0"/>
          <w:sz w:val="22"/>
        </w:rPr>
      </w:pPr>
      <w:r w:rsidRPr="003E2DE0">
        <w:rPr>
          <w:rFonts w:ascii="Open Sans" w:hAnsi="Open Sans" w:cs="Open Sans"/>
          <w:b w:val="0"/>
          <w:sz w:val="22"/>
        </w:rPr>
        <w:t>Compressed Air Energy Storage (CAES</w:t>
      </w:r>
      <w:proofErr w:type="gramStart"/>
      <w:r w:rsidRPr="003E2DE0">
        <w:rPr>
          <w:rFonts w:ascii="Open Sans" w:hAnsi="Open Sans" w:cs="Open Sans"/>
          <w:b w:val="0"/>
          <w:sz w:val="22"/>
        </w:rPr>
        <w:t>);</w:t>
      </w:r>
      <w:proofErr w:type="gramEnd"/>
    </w:p>
    <w:p w14:paraId="3A340903" w14:textId="77777777" w:rsidR="007A5D0A" w:rsidRPr="003E2DE0" w:rsidRDefault="007A5D0A" w:rsidP="007A5D0A">
      <w:pPr>
        <w:pStyle w:val="07NumberedBodySubheading"/>
        <w:numPr>
          <w:ilvl w:val="0"/>
          <w:numId w:val="31"/>
        </w:numPr>
        <w:rPr>
          <w:rFonts w:ascii="Open Sans" w:hAnsi="Open Sans" w:cs="Open Sans"/>
          <w:b w:val="0"/>
          <w:sz w:val="22"/>
        </w:rPr>
      </w:pPr>
      <w:r w:rsidRPr="003E2DE0">
        <w:rPr>
          <w:rFonts w:ascii="Open Sans" w:hAnsi="Open Sans" w:cs="Open Sans"/>
          <w:b w:val="0"/>
          <w:sz w:val="22"/>
        </w:rPr>
        <w:t>Liquid Air Energy Storage (LAES</w:t>
      </w:r>
      <w:proofErr w:type="gramStart"/>
      <w:r w:rsidRPr="003E2DE0">
        <w:rPr>
          <w:rFonts w:ascii="Open Sans" w:hAnsi="Open Sans" w:cs="Open Sans"/>
          <w:b w:val="0"/>
          <w:sz w:val="22"/>
        </w:rPr>
        <w:t>);</w:t>
      </w:r>
      <w:proofErr w:type="gramEnd"/>
    </w:p>
    <w:p w14:paraId="794A8E67" w14:textId="77777777" w:rsidR="007A5D0A" w:rsidRPr="003E2DE0" w:rsidRDefault="007A5D0A" w:rsidP="007A5D0A">
      <w:pPr>
        <w:pStyle w:val="07NumberedBodySubheading"/>
        <w:numPr>
          <w:ilvl w:val="0"/>
          <w:numId w:val="31"/>
        </w:numPr>
        <w:rPr>
          <w:rFonts w:ascii="Open Sans" w:hAnsi="Open Sans" w:cs="Open Sans"/>
          <w:b w:val="0"/>
          <w:sz w:val="22"/>
        </w:rPr>
      </w:pPr>
      <w:r w:rsidRPr="003E2DE0">
        <w:rPr>
          <w:rFonts w:ascii="Open Sans" w:hAnsi="Open Sans" w:cs="Open Sans"/>
          <w:b w:val="0"/>
          <w:sz w:val="22"/>
        </w:rPr>
        <w:t xml:space="preserve">Pumped hydro energy </w:t>
      </w:r>
      <w:proofErr w:type="gramStart"/>
      <w:r w:rsidRPr="003E2DE0">
        <w:rPr>
          <w:rFonts w:ascii="Open Sans" w:hAnsi="Open Sans" w:cs="Open Sans"/>
          <w:b w:val="0"/>
          <w:sz w:val="22"/>
        </w:rPr>
        <w:t>storage;</w:t>
      </w:r>
      <w:proofErr w:type="gramEnd"/>
    </w:p>
    <w:p w14:paraId="3C460F36" w14:textId="77777777" w:rsidR="007A5D0A" w:rsidRPr="003E2DE0" w:rsidRDefault="007A5D0A" w:rsidP="007A5D0A">
      <w:pPr>
        <w:pStyle w:val="07NumberedBodySubheading"/>
        <w:numPr>
          <w:ilvl w:val="0"/>
          <w:numId w:val="31"/>
        </w:numPr>
        <w:rPr>
          <w:rFonts w:ascii="Open Sans" w:hAnsi="Open Sans" w:cs="Open Sans"/>
          <w:b w:val="0"/>
          <w:sz w:val="22"/>
        </w:rPr>
      </w:pPr>
      <w:r w:rsidRPr="003E2DE0">
        <w:rPr>
          <w:rFonts w:ascii="Open Sans" w:hAnsi="Open Sans" w:cs="Open Sans"/>
          <w:b w:val="0"/>
          <w:sz w:val="22"/>
        </w:rPr>
        <w:t xml:space="preserve">Gravity </w:t>
      </w:r>
      <w:proofErr w:type="gramStart"/>
      <w:r w:rsidRPr="003E2DE0">
        <w:rPr>
          <w:rFonts w:ascii="Open Sans" w:hAnsi="Open Sans" w:cs="Open Sans"/>
          <w:b w:val="0"/>
          <w:sz w:val="22"/>
        </w:rPr>
        <w:t>batteries;</w:t>
      </w:r>
      <w:proofErr w:type="gramEnd"/>
    </w:p>
    <w:p w14:paraId="66C265F4" w14:textId="77777777" w:rsidR="007A5D0A" w:rsidRPr="003E2DE0" w:rsidRDefault="007A5D0A" w:rsidP="007A5D0A">
      <w:pPr>
        <w:pStyle w:val="07NumberedBodySubheading"/>
        <w:numPr>
          <w:ilvl w:val="0"/>
          <w:numId w:val="31"/>
        </w:numPr>
        <w:rPr>
          <w:rFonts w:ascii="Open Sans" w:hAnsi="Open Sans" w:cs="Open Sans"/>
          <w:b w:val="0"/>
          <w:sz w:val="22"/>
        </w:rPr>
      </w:pPr>
      <w:r w:rsidRPr="003E2DE0">
        <w:rPr>
          <w:rFonts w:ascii="Open Sans" w:hAnsi="Open Sans" w:cs="Open Sans"/>
          <w:b w:val="0"/>
          <w:sz w:val="22"/>
        </w:rPr>
        <w:t xml:space="preserve">Flow </w:t>
      </w:r>
      <w:proofErr w:type="gramStart"/>
      <w:r w:rsidRPr="003E2DE0">
        <w:rPr>
          <w:rFonts w:ascii="Open Sans" w:hAnsi="Open Sans" w:cs="Open Sans"/>
          <w:b w:val="0"/>
          <w:sz w:val="22"/>
        </w:rPr>
        <w:t>batteries;</w:t>
      </w:r>
      <w:proofErr w:type="gramEnd"/>
    </w:p>
    <w:p w14:paraId="4ACE2B97" w14:textId="77777777" w:rsidR="007A5D0A" w:rsidRPr="003E2DE0" w:rsidRDefault="007A5D0A" w:rsidP="007A5D0A">
      <w:pPr>
        <w:pStyle w:val="07NumberedBodySubheading"/>
        <w:jc w:val="both"/>
        <w:rPr>
          <w:rFonts w:ascii="Open Sans" w:hAnsi="Open Sans" w:cs="Open Sans"/>
          <w:b w:val="0"/>
          <w:sz w:val="22"/>
        </w:rPr>
      </w:pPr>
    </w:p>
    <w:p w14:paraId="626B138C" w14:textId="27101715" w:rsidR="007A5D0A" w:rsidRPr="003E2DE0" w:rsidRDefault="007A5D0A" w:rsidP="007A5D0A">
      <w:pPr>
        <w:spacing w:after="0" w:line="240" w:lineRule="auto"/>
        <w:jc w:val="both"/>
        <w:rPr>
          <w:rFonts w:ascii="Open Sans" w:eastAsiaTheme="majorEastAsia" w:hAnsi="Open Sans" w:cs="Open Sans"/>
        </w:rPr>
      </w:pPr>
      <w:r w:rsidRPr="003E2DE0">
        <w:rPr>
          <w:rFonts w:ascii="Open Sans" w:eastAsiaTheme="majorEastAsia" w:hAnsi="Open Sans" w:cs="Open Sans"/>
        </w:rPr>
        <w:t xml:space="preserve">There are two main reasons why the paper focusses on </w:t>
      </w:r>
      <w:r w:rsidR="00FB3F6B">
        <w:rPr>
          <w:rFonts w:ascii="Open Sans" w:eastAsiaTheme="majorEastAsia" w:hAnsi="Open Sans" w:cs="Open Sans"/>
        </w:rPr>
        <w:t>C</w:t>
      </w:r>
      <w:r w:rsidRPr="003E2DE0">
        <w:rPr>
          <w:rFonts w:ascii="Open Sans" w:eastAsiaTheme="majorEastAsia" w:hAnsi="Open Sans" w:cs="Open Sans"/>
        </w:rPr>
        <w:t xml:space="preserve">ategory B. First, because an evidence base is being formed highlighting that GB will need considerable amount of additional longer duration storage operational by 2030. The second reason is that although several technologies within this category are readily available for commercial deployment, the current market framework acts as a barrier to investment in them. </w:t>
      </w:r>
      <w:r w:rsidR="00D36409">
        <w:rPr>
          <w:rFonts w:ascii="Open Sans" w:eastAsiaTheme="majorEastAsia" w:hAnsi="Open Sans" w:cs="Open Sans"/>
        </w:rPr>
        <w:t>Categories C and D remain emerging and therefore face different challenges.</w:t>
      </w:r>
      <w:r w:rsidR="00FB3F6B">
        <w:rPr>
          <w:rFonts w:ascii="Open Sans" w:eastAsiaTheme="majorEastAsia" w:hAnsi="Open Sans" w:cs="Open Sans"/>
        </w:rPr>
        <w:t xml:space="preserve"> It is important to note, however, that other technologies may join Category B and that </w:t>
      </w:r>
      <w:r w:rsidR="00FB3F6B">
        <w:rPr>
          <w:rFonts w:ascii="Open Sans" w:eastAsiaTheme="majorEastAsia" w:hAnsi="Open Sans" w:cs="Open Sans"/>
        </w:rPr>
        <w:lastRenderedPageBreak/>
        <w:t>some of those listed as ‘Category B’ may in time evolve to be capable of providing energy for an even longer period.</w:t>
      </w:r>
    </w:p>
    <w:p w14:paraId="40D9DDF1" w14:textId="77777777" w:rsidR="007A5D0A" w:rsidRPr="003E2DE0" w:rsidRDefault="007A5D0A" w:rsidP="007A5D0A">
      <w:pPr>
        <w:spacing w:after="0" w:line="240" w:lineRule="auto"/>
        <w:jc w:val="both"/>
        <w:rPr>
          <w:rFonts w:ascii="Open Sans" w:eastAsiaTheme="majorEastAsia" w:hAnsi="Open Sans" w:cs="Open Sans"/>
        </w:rPr>
      </w:pPr>
    </w:p>
    <w:p w14:paraId="0124389A" w14:textId="77777777" w:rsidR="007A5D0A" w:rsidRPr="003E2DE0" w:rsidRDefault="007A5D0A" w:rsidP="007A5D0A">
      <w:pPr>
        <w:spacing w:after="0" w:line="240" w:lineRule="auto"/>
        <w:jc w:val="both"/>
        <w:rPr>
          <w:rFonts w:ascii="Open Sans" w:eastAsiaTheme="majorEastAsia" w:hAnsi="Open Sans" w:cs="Open Sans"/>
        </w:rPr>
      </w:pPr>
      <w:r w:rsidRPr="003E2DE0">
        <w:rPr>
          <w:rFonts w:ascii="Open Sans" w:hAnsi="Open Sans" w:cs="Open Sans"/>
        </w:rPr>
        <w:t>In the latest FES publication, National Grid ESO estimated that in 2050 total electricity energy storage will range from 110GWh to 200GWh, corresponding to total capacity ranging from approximately 20GW to 40GW</w:t>
      </w:r>
      <w:r w:rsidRPr="003E2DE0">
        <w:rPr>
          <w:rStyle w:val="FootnoteReference"/>
          <w:rFonts w:ascii="Open Sans" w:hAnsi="Open Sans" w:cs="Open Sans"/>
        </w:rPr>
        <w:footnoteReference w:id="11"/>
      </w:r>
      <w:r w:rsidRPr="003E2DE0">
        <w:rPr>
          <w:rFonts w:ascii="Open Sans" w:hAnsi="Open Sans" w:cs="Open Sans"/>
        </w:rPr>
        <w:t xml:space="preserve">. National Grid ESO expect a significant share of this to come from longer-duration technologies, such as Pumped Hydro, CAES and LAES.  </w:t>
      </w:r>
    </w:p>
    <w:p w14:paraId="659C1B73" w14:textId="77777777" w:rsidR="007A5D0A" w:rsidRPr="003E2DE0" w:rsidRDefault="007A5D0A" w:rsidP="007A5D0A">
      <w:pPr>
        <w:spacing w:after="0" w:line="240" w:lineRule="auto"/>
        <w:jc w:val="both"/>
        <w:rPr>
          <w:rFonts w:ascii="Open Sans" w:hAnsi="Open Sans" w:cs="Open Sans"/>
          <w:bCs/>
        </w:rPr>
      </w:pPr>
    </w:p>
    <w:p w14:paraId="31B71C96" w14:textId="2DEB2790" w:rsidR="007A5D0A" w:rsidRPr="003E2DE0" w:rsidRDefault="00EC35D6" w:rsidP="007A5D0A">
      <w:pPr>
        <w:pStyle w:val="07NumberedBodySubheading"/>
        <w:jc w:val="both"/>
        <w:rPr>
          <w:rFonts w:ascii="Open Sans" w:hAnsi="Open Sans" w:cs="Open Sans"/>
          <w:b w:val="0"/>
          <w:sz w:val="22"/>
        </w:rPr>
      </w:pPr>
      <w:r w:rsidRPr="003E2DE0">
        <w:rPr>
          <w:rFonts w:ascii="Open Sans" w:hAnsi="Open Sans" w:cs="Open Sans"/>
          <w:i/>
          <w:iCs/>
          <w:noProof/>
        </w:rPr>
        <mc:AlternateContent>
          <mc:Choice Requires="wps">
            <w:drawing>
              <wp:anchor distT="91440" distB="91440" distL="114300" distR="114300" simplePos="0" relativeHeight="251696128" behindDoc="0" locked="0" layoutInCell="1" allowOverlap="1" wp14:anchorId="1D3080D9" wp14:editId="41A6B2D2">
                <wp:simplePos x="0" y="0"/>
                <wp:positionH relativeFrom="margin">
                  <wp:posOffset>1005840</wp:posOffset>
                </wp:positionH>
                <wp:positionV relativeFrom="paragraph">
                  <wp:posOffset>1251585</wp:posOffset>
                </wp:positionV>
                <wp:extent cx="4610100" cy="1403985"/>
                <wp:effectExtent l="0" t="0" r="0" b="381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1403985"/>
                        </a:xfrm>
                        <a:prstGeom prst="rect">
                          <a:avLst/>
                        </a:prstGeom>
                        <a:noFill/>
                        <a:ln w="9525">
                          <a:noFill/>
                          <a:miter lim="800000"/>
                          <a:headEnd/>
                          <a:tailEnd/>
                        </a:ln>
                      </wps:spPr>
                      <wps:txbx>
                        <w:txbxContent>
                          <w:p w14:paraId="33DA28A1" w14:textId="5F5CA277" w:rsidR="007476E6" w:rsidRPr="003E2DE0" w:rsidRDefault="007476E6" w:rsidP="003E2DE0">
                            <w:pPr>
                              <w:pBdr>
                                <w:top w:val="single" w:sz="24" w:space="14" w:color="4472C4" w:themeColor="accent1"/>
                                <w:bottom w:val="single" w:sz="24" w:space="8" w:color="4472C4" w:themeColor="accent1"/>
                              </w:pBdr>
                              <w:spacing w:after="0"/>
                              <w:jc w:val="center"/>
                              <w:rPr>
                                <w:rFonts w:ascii="Open Sans" w:hAnsi="Open Sans" w:cs="Open Sans"/>
                                <w:color w:val="4472C4" w:themeColor="accent1"/>
                                <w:sz w:val="24"/>
                              </w:rPr>
                            </w:pPr>
                            <w:r>
                              <w:rPr>
                                <w:rFonts w:ascii="Open Sans" w:hAnsi="Open Sans" w:cs="Open Sans"/>
                                <w:bCs/>
                                <w:i/>
                                <w:iCs/>
                                <w:color w:val="4472C4" w:themeColor="accent1"/>
                                <w:sz w:val="24"/>
                                <w:szCs w:val="24"/>
                              </w:rPr>
                              <w:t xml:space="preserve">“it will be necessary to develop large-scale storage with longer durations to support the decarbonisation of the power </w:t>
                            </w:r>
                            <w:proofErr w:type="gramStart"/>
                            <w:r>
                              <w:rPr>
                                <w:rFonts w:ascii="Open Sans" w:hAnsi="Open Sans" w:cs="Open Sans"/>
                                <w:bCs/>
                                <w:i/>
                                <w:iCs/>
                                <w:color w:val="4472C4" w:themeColor="accent1"/>
                                <w:sz w:val="24"/>
                                <w:szCs w:val="24"/>
                              </w:rPr>
                              <w:t>system”</w:t>
                            </w:r>
                            <w:proofErr w:type="gramEnd"/>
                            <w:r w:rsidRPr="003E2DE0">
                              <w:rPr>
                                <w:rFonts w:ascii="Open Sans" w:hAnsi="Open Sans" w:cs="Open Sans"/>
                                <w:bCs/>
                                <w:i/>
                                <w:iCs/>
                                <w:color w:val="4472C4" w:themeColor="accen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3080D9" id="_x0000_s1027" type="#_x0000_t202" style="position:absolute;left:0;text-align:left;margin-left:79.2pt;margin-top:98.55pt;width:363pt;height:110.55pt;z-index:251696128;visibility:visible;mso-wrap-style:square;mso-width-percent:0;mso-height-percent:200;mso-wrap-distance-left:9pt;mso-wrap-distance-top:7.2pt;mso-wrap-distance-right:9pt;mso-wrap-distance-bottom:7.2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" filled="f" stroked="f">
                <v:textbox style="mso-fit-shape-to-text:t">
                  <w:txbxContent>
                    <w:p w14:paraId="33DA28A1" w14:textId="5F5CA277" w:rsidR="007476E6" w:rsidRPr="003E2DE0" w:rsidRDefault="007476E6" w:rsidP="003E2DE0">
                      <w:pPr>
                        <w:pBdr>
                          <w:top w:val="single" w:sz="24" w:space="14" w:color="4472C4" w:themeColor="accent1"/>
                          <w:bottom w:val="single" w:sz="24" w:space="8" w:color="4472C4" w:themeColor="accent1"/>
                        </w:pBdr>
                        <w:spacing w:after="0"/>
                        <w:jc w:val="center"/>
                        <w:rPr>
                          <w:rFonts w:ascii="Open Sans" w:hAnsi="Open Sans" w:cs="Open Sans"/>
                          <w:color w:val="4472C4" w:themeColor="accent1"/>
                          <w:sz w:val="24"/>
                        </w:rPr>
                      </w:pPr>
                      <w:r>
                        <w:rPr>
                          <w:rFonts w:ascii="Open Sans" w:hAnsi="Open Sans" w:cs="Open Sans"/>
                          <w:bCs/>
                          <w:i/>
                          <w:iCs/>
                          <w:color w:val="4472C4" w:themeColor="accent1"/>
                          <w:sz w:val="24"/>
                          <w:szCs w:val="24"/>
                        </w:rPr>
                        <w:t xml:space="preserve">“it will be necessary to develop large-scale storage with longer durations to support the decarbonisation of the power </w:t>
                      </w:r>
                      <w:proofErr w:type="gramStart"/>
                      <w:r>
                        <w:rPr>
                          <w:rFonts w:ascii="Open Sans" w:hAnsi="Open Sans" w:cs="Open Sans"/>
                          <w:bCs/>
                          <w:i/>
                          <w:iCs/>
                          <w:color w:val="4472C4" w:themeColor="accent1"/>
                          <w:sz w:val="24"/>
                          <w:szCs w:val="24"/>
                        </w:rPr>
                        <w:t>system”</w:t>
                      </w:r>
                      <w:proofErr w:type="gramEnd"/>
                      <w:r w:rsidRPr="003E2DE0">
                        <w:rPr>
                          <w:rFonts w:ascii="Open Sans" w:hAnsi="Open Sans" w:cs="Open Sans"/>
                          <w:bCs/>
                          <w:i/>
                          <w:iCs/>
                          <w:color w:val="4472C4" w:themeColor="accent1"/>
                          <w:sz w:val="24"/>
                          <w:szCs w:val="24"/>
                        </w:rPr>
                        <w:t xml:space="preserve"> </w:t>
                      </w:r>
                    </w:p>
                  </w:txbxContent>
                </v:textbox>
                <w10:wrap type="topAndBottom" anchorx="margin"/>
              </v:shape>
            </w:pict>
          </mc:Fallback>
        </mc:AlternateContent>
      </w:r>
      <w:r w:rsidR="007A5D0A" w:rsidRPr="003E2DE0">
        <w:rPr>
          <w:rFonts w:ascii="Open Sans" w:hAnsi="Open Sans" w:cs="Open Sans"/>
          <w:b w:val="0"/>
          <w:sz w:val="22"/>
        </w:rPr>
        <w:t>Some consider that National Grid ESO’s modelling approach in FES relies upon a series of assumptions that may not be sufficiently robust, thereby underestimating the amount of storage required, however we consider this debate to be beyond the scope of this paper. Indeed, it is likely that even FES’ most ambitious scenario (‘Leading the Way’) underestimates the role storage could play, as it doesn’t consider the system’s stability requirements (</w:t>
      </w:r>
      <w:proofErr w:type="gramStart"/>
      <w:r w:rsidR="007A5D0A" w:rsidRPr="003E2DE0">
        <w:rPr>
          <w:rFonts w:ascii="Open Sans" w:hAnsi="Open Sans" w:cs="Open Sans"/>
          <w:b w:val="0"/>
          <w:sz w:val="22"/>
        </w:rPr>
        <w:t>i.e.</w:t>
      </w:r>
      <w:proofErr w:type="gramEnd"/>
      <w:r w:rsidR="007A5D0A" w:rsidRPr="003E2DE0">
        <w:rPr>
          <w:rFonts w:ascii="Open Sans" w:hAnsi="Open Sans" w:cs="Open Sans"/>
          <w:b w:val="0"/>
          <w:sz w:val="22"/>
        </w:rPr>
        <w:t xml:space="preserve"> need for ancillary services) or thermal network constraints. Therefore, it does not capture the full value that storage could deliver to the system. </w:t>
      </w:r>
    </w:p>
    <w:p w14:paraId="4F8AC910" w14:textId="5A669EE9" w:rsidR="007A5D0A" w:rsidRPr="003E2DE0" w:rsidRDefault="007A5D0A" w:rsidP="003E2DE0">
      <w:pPr>
        <w:pStyle w:val="07NumberedBodySubheading"/>
        <w:jc w:val="center"/>
        <w:rPr>
          <w:rFonts w:ascii="Open Sans" w:hAnsi="Open Sans" w:cs="Open Sans"/>
          <w:bCs/>
          <w:i/>
          <w:iCs/>
          <w:color w:val="4472C4" w:themeColor="accent1"/>
          <w:sz w:val="22"/>
        </w:rPr>
      </w:pPr>
      <w:r w:rsidRPr="003E2DE0">
        <w:rPr>
          <w:rFonts w:ascii="Open Sans" w:hAnsi="Open Sans" w:cs="Open Sans"/>
          <w:bCs/>
          <w:i/>
          <w:iCs/>
          <w:color w:val="4472C4" w:themeColor="accent1"/>
          <w:sz w:val="22"/>
        </w:rPr>
        <w:t>National Grid ESO, Future Energy Scenarios 2020</w:t>
      </w:r>
      <w:r w:rsidRPr="003E2DE0">
        <w:rPr>
          <w:rStyle w:val="FootnoteReference"/>
          <w:rFonts w:ascii="Open Sans" w:hAnsi="Open Sans" w:cs="Open Sans"/>
          <w:bCs/>
          <w:i/>
          <w:iCs/>
          <w:color w:val="4472C4" w:themeColor="accent1"/>
          <w:sz w:val="22"/>
        </w:rPr>
        <w:footnoteReference w:id="12"/>
      </w:r>
    </w:p>
    <w:p w14:paraId="1A504507" w14:textId="77777777" w:rsidR="007A5D0A" w:rsidRPr="003E2DE0" w:rsidRDefault="007A5D0A" w:rsidP="007A5D0A">
      <w:pPr>
        <w:pStyle w:val="07NumberedBodySubheading"/>
        <w:jc w:val="both"/>
        <w:rPr>
          <w:rFonts w:ascii="Open Sans" w:hAnsi="Open Sans" w:cs="Open Sans"/>
          <w:b w:val="0"/>
          <w:sz w:val="22"/>
        </w:rPr>
      </w:pPr>
    </w:p>
    <w:p w14:paraId="1474EBB2" w14:textId="77777777" w:rsidR="007A5D0A" w:rsidRPr="003E2DE0" w:rsidRDefault="007A5D0A" w:rsidP="007A5D0A">
      <w:pPr>
        <w:pStyle w:val="07NumberedBodySubheading"/>
        <w:jc w:val="both"/>
        <w:rPr>
          <w:rFonts w:ascii="Open Sans" w:hAnsi="Open Sans" w:cs="Open Sans"/>
          <w:b w:val="0"/>
          <w:sz w:val="22"/>
        </w:rPr>
      </w:pPr>
    </w:p>
    <w:p w14:paraId="6482D072" w14:textId="39A6500A" w:rsidR="007A5D0A" w:rsidRPr="003E2DE0" w:rsidRDefault="009A7CEF" w:rsidP="007A5D0A">
      <w:pPr>
        <w:pStyle w:val="07NumberedBodySubheading"/>
        <w:jc w:val="both"/>
        <w:rPr>
          <w:rFonts w:ascii="Open Sans" w:hAnsi="Open Sans" w:cs="Open Sans"/>
          <w:b w:val="0"/>
          <w:sz w:val="22"/>
        </w:rPr>
      </w:pPr>
      <w:r>
        <w:rPr>
          <w:rFonts w:ascii="Open Sans" w:hAnsi="Open Sans" w:cs="Open Sans"/>
          <w:b w:val="0"/>
          <w:sz w:val="22"/>
        </w:rPr>
        <w:t>Two major</w:t>
      </w:r>
      <w:r w:rsidR="00EE46A4">
        <w:rPr>
          <w:rFonts w:ascii="Open Sans" w:hAnsi="Open Sans" w:cs="Open Sans"/>
          <w:b w:val="0"/>
          <w:sz w:val="22"/>
        </w:rPr>
        <w:t xml:space="preserve"> </w:t>
      </w:r>
      <w:r w:rsidR="00F00D77">
        <w:rPr>
          <w:rFonts w:ascii="Open Sans" w:hAnsi="Open Sans" w:cs="Open Sans"/>
          <w:b w:val="0"/>
          <w:sz w:val="22"/>
        </w:rPr>
        <w:t>industry reports</w:t>
      </w:r>
      <w:r w:rsidR="00F00D77" w:rsidRPr="003E2DE0">
        <w:rPr>
          <w:rFonts w:ascii="Open Sans" w:hAnsi="Open Sans" w:cs="Open Sans"/>
          <w:b w:val="0"/>
          <w:sz w:val="22"/>
        </w:rPr>
        <w:t xml:space="preserve"> </w:t>
      </w:r>
      <w:r w:rsidR="007A5D0A" w:rsidRPr="003E2DE0">
        <w:rPr>
          <w:rFonts w:ascii="Open Sans" w:hAnsi="Open Sans" w:cs="Open Sans"/>
          <w:b w:val="0"/>
          <w:sz w:val="22"/>
        </w:rPr>
        <w:t>have recently assessed the need for long-duration storage</w:t>
      </w:r>
      <w:r w:rsidR="00F00D77">
        <w:rPr>
          <w:rFonts w:ascii="Open Sans" w:hAnsi="Open Sans" w:cs="Open Sans"/>
          <w:b w:val="0"/>
          <w:sz w:val="22"/>
        </w:rPr>
        <w:t xml:space="preserve"> and have argued a need for up to 40GW</w:t>
      </w:r>
      <w:r w:rsidR="007A5D0A" w:rsidRPr="003E2DE0">
        <w:rPr>
          <w:rFonts w:ascii="Open Sans" w:hAnsi="Open Sans" w:cs="Open Sans"/>
          <w:b w:val="0"/>
          <w:sz w:val="22"/>
        </w:rPr>
        <w:t>. Aurora estimates that by 2050, daily storage needs will reach 216GWh corresponding to 30GW of capacity</w:t>
      </w:r>
      <w:r w:rsidR="007A5D0A" w:rsidRPr="003E2DE0">
        <w:rPr>
          <w:rStyle w:val="FootnoteReference"/>
          <w:rFonts w:ascii="Open Sans" w:hAnsi="Open Sans" w:cs="Open Sans"/>
          <w:b w:val="0"/>
          <w:sz w:val="22"/>
        </w:rPr>
        <w:footnoteReference w:id="13"/>
      </w:r>
      <w:r w:rsidR="007A5D0A" w:rsidRPr="003E2DE0">
        <w:rPr>
          <w:rFonts w:ascii="Open Sans" w:hAnsi="Open Sans" w:cs="Open Sans"/>
          <w:b w:val="0"/>
          <w:sz w:val="22"/>
        </w:rPr>
        <w:t xml:space="preserve">, and it projects a weekly back-up capacity need of 21GW. Jacobs </w:t>
      </w:r>
      <w:r w:rsidR="00A95F02">
        <w:rPr>
          <w:rFonts w:ascii="Open Sans" w:hAnsi="Open Sans" w:cs="Open Sans"/>
          <w:b w:val="0"/>
          <w:sz w:val="22"/>
        </w:rPr>
        <w:t xml:space="preserve">argues that </w:t>
      </w:r>
      <w:r w:rsidR="00A95F02" w:rsidRPr="00A95F02">
        <w:rPr>
          <w:rFonts w:ascii="Open Sans" w:hAnsi="Open Sans" w:cs="Open Sans"/>
          <w:b w:val="0"/>
          <w:sz w:val="22"/>
        </w:rPr>
        <w:t>‘</w:t>
      </w:r>
      <w:r w:rsidR="00A95F02" w:rsidRPr="00EE46A4">
        <w:rPr>
          <w:rFonts w:ascii="Open Sans" w:eastAsia="Times New Roman" w:hAnsi="Open Sans" w:cs="Open Sans"/>
          <w:b w:val="0"/>
          <w:sz w:val="22"/>
        </w:rPr>
        <w:t>our analyses show that there is a compelling case for developing a further 40 GW of long-term storage, with a storage capacity of some 5,000 GWh’</w:t>
      </w:r>
      <w:r w:rsidR="00A95F02" w:rsidRPr="00EE46A4">
        <w:rPr>
          <w:rFonts w:ascii="Open Sans" w:eastAsia="Times New Roman" w:hAnsi="Open Sans" w:cs="Open Sans"/>
          <w:b w:val="0"/>
          <w:i/>
          <w:iCs/>
          <w:sz w:val="22"/>
        </w:rPr>
        <w:t>.</w:t>
      </w:r>
      <w:r w:rsidR="00A95F02" w:rsidRPr="00EE46A4">
        <w:rPr>
          <w:rStyle w:val="FootnoteReference"/>
          <w:rFonts w:ascii="Open Sans" w:eastAsia="Times New Roman" w:hAnsi="Open Sans" w:cs="Open Sans"/>
          <w:b w:val="0"/>
          <w:sz w:val="22"/>
        </w:rPr>
        <w:footnoteReference w:id="14"/>
      </w:r>
      <w:r w:rsidR="00A95F02">
        <w:rPr>
          <w:rFonts w:eastAsia="Times New Roman" w:cs="Arial"/>
          <w:i/>
          <w:iCs/>
        </w:rPr>
        <w:t xml:space="preserve"> </w:t>
      </w:r>
      <w:r w:rsidR="00A95F02">
        <w:rPr>
          <w:rFonts w:ascii="Open Sans" w:hAnsi="Open Sans" w:cs="Open Sans"/>
          <w:b w:val="0"/>
          <w:sz w:val="22"/>
        </w:rPr>
        <w:t xml:space="preserve">Jacobs </w:t>
      </w:r>
      <w:r w:rsidR="007A5D0A" w:rsidRPr="003E2DE0">
        <w:rPr>
          <w:rFonts w:ascii="Open Sans" w:hAnsi="Open Sans" w:cs="Open Sans"/>
          <w:b w:val="0"/>
          <w:sz w:val="22"/>
        </w:rPr>
        <w:t>estimates that</w:t>
      </w:r>
      <w:r w:rsidR="00A95F02">
        <w:rPr>
          <w:rFonts w:ascii="Open Sans" w:hAnsi="Open Sans" w:cs="Open Sans"/>
          <w:b w:val="0"/>
          <w:sz w:val="22"/>
        </w:rPr>
        <w:t xml:space="preserve"> even its lower end scenario of 30GW of new-build long-duration storage needed would be </w:t>
      </w:r>
      <w:r w:rsidR="007A5D0A" w:rsidRPr="003E2DE0">
        <w:rPr>
          <w:rFonts w:ascii="Open Sans" w:hAnsi="Open Sans" w:cs="Open Sans"/>
          <w:b w:val="0"/>
          <w:sz w:val="22"/>
        </w:rPr>
        <w:t>more than a tenfold increase compared to current levels</w:t>
      </w:r>
      <w:r w:rsidR="007A5D0A" w:rsidRPr="003E2DE0">
        <w:rPr>
          <w:rStyle w:val="FootnoteReference"/>
          <w:rFonts w:ascii="Open Sans" w:hAnsi="Open Sans" w:cs="Open Sans"/>
          <w:b w:val="0"/>
          <w:sz w:val="22"/>
        </w:rPr>
        <w:footnoteReference w:id="15"/>
      </w:r>
      <w:r w:rsidR="007A5D0A" w:rsidRPr="003E2DE0">
        <w:rPr>
          <w:rFonts w:ascii="Open Sans" w:hAnsi="Open Sans" w:cs="Open Sans"/>
          <w:b w:val="0"/>
          <w:sz w:val="22"/>
        </w:rPr>
        <w:t xml:space="preserve">. </w:t>
      </w:r>
      <w:r w:rsidR="00A95F02">
        <w:rPr>
          <w:rFonts w:ascii="Open Sans" w:hAnsi="Open Sans" w:cs="Open Sans"/>
          <w:b w:val="0"/>
          <w:sz w:val="22"/>
        </w:rPr>
        <w:t>A</w:t>
      </w:r>
      <w:r w:rsidR="007A5D0A" w:rsidRPr="003E2DE0">
        <w:rPr>
          <w:rFonts w:ascii="Open Sans" w:hAnsi="Open Sans" w:cs="Open Sans"/>
          <w:b w:val="0"/>
          <w:sz w:val="22"/>
        </w:rPr>
        <w:t>chieving this objective w</w:t>
      </w:r>
      <w:r w:rsidR="00A95F02">
        <w:rPr>
          <w:rFonts w:ascii="Open Sans" w:hAnsi="Open Sans" w:cs="Open Sans"/>
          <w:b w:val="0"/>
          <w:sz w:val="22"/>
        </w:rPr>
        <w:t>ould</w:t>
      </w:r>
      <w:r w:rsidR="007A5D0A" w:rsidRPr="003E2DE0">
        <w:rPr>
          <w:rFonts w:ascii="Open Sans" w:hAnsi="Open Sans" w:cs="Open Sans"/>
          <w:b w:val="0"/>
          <w:sz w:val="22"/>
        </w:rPr>
        <w:t xml:space="preserve"> require a major development programme for longer-duration storage comprising Pumped Hydro, CAES, LAES and hydrogen storage, implemented in 10 GW stages between now and 2050, with the first stage being implemented by 2030. </w:t>
      </w:r>
    </w:p>
    <w:p w14:paraId="09839BE1" w14:textId="77777777" w:rsidR="007A5D0A" w:rsidRPr="003E2DE0" w:rsidRDefault="007A5D0A" w:rsidP="007A5D0A">
      <w:pPr>
        <w:pStyle w:val="07NumberedBodySubheading"/>
        <w:jc w:val="both"/>
        <w:rPr>
          <w:rFonts w:ascii="Open Sans" w:hAnsi="Open Sans" w:cs="Open Sans"/>
          <w:b w:val="0"/>
          <w:sz w:val="22"/>
        </w:rPr>
      </w:pPr>
    </w:p>
    <w:p w14:paraId="18FFC0E3" w14:textId="4BD4484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Currently, the UK currently has a capacity of c.2.8GW of Pumped Hydro, and an unknown amount of CAES and LAES storage (likely into the 100s of MW) is in development.</w:t>
      </w:r>
      <w:r w:rsidRPr="003E2DE0">
        <w:rPr>
          <w:rStyle w:val="FootnoteReference"/>
          <w:rFonts w:ascii="Open Sans" w:hAnsi="Open Sans" w:cs="Open Sans"/>
          <w:b w:val="0"/>
          <w:sz w:val="22"/>
        </w:rPr>
        <w:footnoteReference w:id="16"/>
      </w:r>
      <w:r w:rsidRPr="003E2DE0">
        <w:rPr>
          <w:rFonts w:ascii="Open Sans" w:hAnsi="Open Sans" w:cs="Open Sans"/>
          <w:b w:val="0"/>
          <w:sz w:val="22"/>
        </w:rPr>
        <w:t xml:space="preserve"> Trial projects for gravity batteries and other innovative technologies also exist.</w:t>
      </w:r>
      <w:r w:rsidR="00530372">
        <w:rPr>
          <w:rFonts w:ascii="Open Sans" w:hAnsi="Open Sans" w:cs="Open Sans"/>
          <w:b w:val="0"/>
          <w:sz w:val="22"/>
        </w:rPr>
        <w:t xml:space="preserve"> </w:t>
      </w:r>
      <w:r w:rsidR="00BB0989">
        <w:rPr>
          <w:rFonts w:ascii="Open Sans" w:hAnsi="Open Sans" w:cs="Open Sans"/>
          <w:b w:val="0"/>
          <w:sz w:val="22"/>
        </w:rPr>
        <w:t>However, the</w:t>
      </w:r>
      <w:r w:rsidRPr="003E2DE0">
        <w:rPr>
          <w:rFonts w:ascii="Open Sans" w:hAnsi="Open Sans" w:cs="Open Sans"/>
          <w:b w:val="0"/>
          <w:sz w:val="22"/>
        </w:rPr>
        <w:t xml:space="preserve"> current level of capacity leaves the UK very far short of all the major forecast requirements for longer-duration energy storage.</w:t>
      </w:r>
    </w:p>
    <w:p w14:paraId="26977625" w14:textId="77777777" w:rsidR="007A5D0A" w:rsidRPr="003E2DE0" w:rsidRDefault="007A5D0A" w:rsidP="007A5D0A">
      <w:pPr>
        <w:pStyle w:val="07NumberedBodySubheading"/>
        <w:jc w:val="both"/>
        <w:rPr>
          <w:rFonts w:ascii="Open Sans" w:hAnsi="Open Sans" w:cs="Open Sans"/>
          <w:b w:val="0"/>
          <w:sz w:val="22"/>
        </w:rPr>
      </w:pPr>
    </w:p>
    <w:p w14:paraId="7AC291DA" w14:textId="62328FF6" w:rsidR="008E36C6" w:rsidRDefault="007A5D0A" w:rsidP="007A5D0A">
      <w:pPr>
        <w:tabs>
          <w:tab w:val="left" w:pos="2268"/>
        </w:tabs>
        <w:spacing w:after="0" w:line="240" w:lineRule="atLeast"/>
        <w:jc w:val="both"/>
        <w:rPr>
          <w:rFonts w:ascii="Open Sans" w:eastAsia="Times New Roman" w:hAnsi="Open Sans" w:cs="Open Sans"/>
          <w:sz w:val="20"/>
          <w:szCs w:val="20"/>
          <w:lang w:eastAsia="en-GB"/>
        </w:rPr>
      </w:pPr>
      <w:r w:rsidRPr="003E2DE0">
        <w:rPr>
          <w:rFonts w:ascii="Open Sans" w:eastAsia="Calibri" w:hAnsi="Open Sans" w:cs="Open Sans"/>
        </w:rPr>
        <w:t xml:space="preserve">We acknowledge however that all forecasts must make assumptions in their modelling, and that these models incorporate some assumptions as to which technologies (including electricity via </w:t>
      </w:r>
      <w:r w:rsidRPr="003E2DE0">
        <w:rPr>
          <w:rFonts w:ascii="Open Sans" w:eastAsia="Calibri" w:hAnsi="Open Sans" w:cs="Open Sans"/>
        </w:rPr>
        <w:lastRenderedPageBreak/>
        <w:t>interconnectors) will be available at what cost – these factors are likely to change in the future. There are a range of views within the industry on how the modelling could be further advanced, however the authors of this paper are of the view that while a close forecast for the ‘need’ for long-duration storage in the long-term is still under debate, the scale of the ‘need’ by comparison to the level of longer-duration storage we currently have, is indisputable.</w:t>
      </w:r>
      <w:r w:rsidRPr="003E2DE0">
        <w:rPr>
          <w:rFonts w:ascii="Open Sans" w:hAnsi="Open Sans" w:cs="Open Sans"/>
        </w:rPr>
        <w:t xml:space="preserve"> </w:t>
      </w:r>
      <w:r w:rsidRPr="003E2DE0">
        <w:rPr>
          <w:rFonts w:ascii="Open Sans" w:eastAsia="Calibri" w:hAnsi="Open Sans" w:cs="Open Sans"/>
        </w:rPr>
        <w:t>We would welcome the Future Energy Scenarios modelling to take a more in-depth look at the role for longer duration storage in its future iterations.</w:t>
      </w:r>
    </w:p>
    <w:p w14:paraId="752BBDBC" w14:textId="77777777" w:rsidR="008E36C6" w:rsidRPr="003E2DE0" w:rsidRDefault="008E36C6" w:rsidP="007A5D0A">
      <w:pPr>
        <w:tabs>
          <w:tab w:val="left" w:pos="2268"/>
        </w:tabs>
        <w:spacing w:after="0" w:line="240" w:lineRule="atLeast"/>
        <w:jc w:val="both"/>
        <w:rPr>
          <w:rFonts w:ascii="Open Sans" w:eastAsia="Times New Roman" w:hAnsi="Open Sans" w:cs="Open Sans"/>
          <w:sz w:val="20"/>
          <w:szCs w:val="20"/>
          <w:lang w:eastAsia="en-GB"/>
        </w:rPr>
      </w:pPr>
    </w:p>
    <w:p w14:paraId="02CB009A" w14:textId="77777777" w:rsidR="007A5D0A" w:rsidRPr="003E2DE0" w:rsidRDefault="007A5D0A" w:rsidP="007A5D0A">
      <w:pPr>
        <w:tabs>
          <w:tab w:val="left" w:pos="2268"/>
        </w:tabs>
        <w:spacing w:after="0" w:line="240" w:lineRule="atLeast"/>
        <w:jc w:val="both"/>
        <w:rPr>
          <w:rFonts w:ascii="Open Sans" w:eastAsia="Calibri" w:hAnsi="Open Sans" w:cs="Open Sans"/>
          <w:b/>
          <w:bCs/>
          <w:i/>
          <w:iCs/>
        </w:rPr>
      </w:pPr>
      <w:r w:rsidRPr="003E2DE0">
        <w:rPr>
          <w:rFonts w:ascii="Open Sans" w:eastAsia="Calibri" w:hAnsi="Open Sans" w:cs="Open Sans"/>
          <w:b/>
          <w:bCs/>
          <w:i/>
          <w:iCs/>
        </w:rPr>
        <w:t xml:space="preserve">Figure 4. Evolution of flexibility </w:t>
      </w:r>
      <w:proofErr w:type="gramStart"/>
      <w:r w:rsidRPr="003E2DE0">
        <w:rPr>
          <w:rFonts w:ascii="Open Sans" w:eastAsia="Calibri" w:hAnsi="Open Sans" w:cs="Open Sans"/>
          <w:b/>
          <w:bCs/>
          <w:i/>
          <w:iCs/>
        </w:rPr>
        <w:t>needs</w:t>
      </w:r>
      <w:proofErr w:type="gramEnd"/>
      <w:r w:rsidRPr="003E2DE0">
        <w:rPr>
          <w:rFonts w:ascii="Open Sans" w:eastAsia="Calibri" w:hAnsi="Open Sans" w:cs="Open Sans"/>
          <w:b/>
          <w:bCs/>
          <w:i/>
          <w:iCs/>
        </w:rPr>
        <w:t xml:space="preserve"> </w:t>
      </w:r>
    </w:p>
    <w:p w14:paraId="40E2B55D" w14:textId="77777777" w:rsidR="007A5D0A" w:rsidRPr="003E2DE0" w:rsidRDefault="007A5D0A" w:rsidP="007A5D0A">
      <w:pPr>
        <w:tabs>
          <w:tab w:val="left" w:pos="2268"/>
        </w:tabs>
        <w:spacing w:after="0" w:line="240" w:lineRule="atLeast"/>
        <w:jc w:val="both"/>
        <w:rPr>
          <w:rFonts w:ascii="Open Sans" w:hAnsi="Open Sans" w:cs="Open Sans"/>
        </w:rPr>
      </w:pPr>
    </w:p>
    <w:p w14:paraId="54548B13" w14:textId="77777777" w:rsidR="007A5D0A" w:rsidRPr="003E2DE0" w:rsidRDefault="007A5D0A" w:rsidP="007A5D0A">
      <w:pPr>
        <w:tabs>
          <w:tab w:val="left" w:pos="2268"/>
        </w:tabs>
        <w:spacing w:after="0" w:line="240" w:lineRule="atLeast"/>
        <w:jc w:val="both"/>
        <w:rPr>
          <w:rFonts w:ascii="Open Sans" w:hAnsi="Open Sans" w:cs="Open Sans"/>
        </w:rPr>
      </w:pPr>
    </w:p>
    <w:p w14:paraId="4A684406"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noProof/>
        </w:rPr>
        <w:drawing>
          <wp:inline distT="0" distB="0" distL="0" distR="0" wp14:anchorId="036F9C94" wp14:editId="6BD692A2">
            <wp:extent cx="6115050" cy="279494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200" cy="2812382"/>
                    </a:xfrm>
                    <a:prstGeom prst="rect">
                      <a:avLst/>
                    </a:prstGeom>
                    <a:noFill/>
                  </pic:spPr>
                </pic:pic>
              </a:graphicData>
            </a:graphic>
          </wp:inline>
        </w:drawing>
      </w:r>
    </w:p>
    <w:p w14:paraId="1D067824" w14:textId="77777777" w:rsidR="007A5D0A" w:rsidRPr="003E2DE0" w:rsidRDefault="007A5D0A" w:rsidP="007A5D0A">
      <w:pPr>
        <w:pStyle w:val="07NumberedBodySubheading"/>
        <w:jc w:val="both"/>
        <w:rPr>
          <w:rFonts w:ascii="Open Sans" w:hAnsi="Open Sans" w:cs="Open Sans"/>
          <w:b w:val="0"/>
          <w:sz w:val="22"/>
        </w:rPr>
      </w:pPr>
    </w:p>
    <w:p w14:paraId="1C3BCE61" w14:textId="77777777" w:rsidR="007A5D0A" w:rsidRPr="003E2DE0" w:rsidRDefault="007A5D0A" w:rsidP="007A5D0A">
      <w:pPr>
        <w:pStyle w:val="07NumberedBodySubheading"/>
        <w:jc w:val="both"/>
        <w:rPr>
          <w:rFonts w:ascii="Open Sans" w:hAnsi="Open Sans" w:cs="Open Sans"/>
          <w:b w:val="0"/>
          <w:i/>
          <w:iCs/>
          <w:sz w:val="22"/>
        </w:rPr>
      </w:pPr>
      <w:r w:rsidRPr="003E2DE0">
        <w:rPr>
          <w:rFonts w:ascii="Open Sans" w:hAnsi="Open Sans" w:cs="Open Sans"/>
          <w:b w:val="0"/>
          <w:i/>
          <w:iCs/>
          <w:sz w:val="22"/>
        </w:rPr>
        <w:t xml:space="preserve">Aurora (2019), The Road to 2050: The need for flexibility in a high </w:t>
      </w:r>
      <w:proofErr w:type="gramStart"/>
      <w:r w:rsidRPr="003E2DE0">
        <w:rPr>
          <w:rFonts w:ascii="Open Sans" w:hAnsi="Open Sans" w:cs="Open Sans"/>
          <w:b w:val="0"/>
          <w:i/>
          <w:iCs/>
          <w:sz w:val="22"/>
        </w:rPr>
        <w:t>renewables</w:t>
      </w:r>
      <w:proofErr w:type="gramEnd"/>
      <w:r w:rsidRPr="003E2DE0">
        <w:rPr>
          <w:rFonts w:ascii="Open Sans" w:hAnsi="Open Sans" w:cs="Open Sans"/>
          <w:b w:val="0"/>
          <w:i/>
          <w:iCs/>
          <w:sz w:val="22"/>
        </w:rPr>
        <w:t xml:space="preserve"> world</w:t>
      </w:r>
    </w:p>
    <w:p w14:paraId="3D6915C9" w14:textId="77777777" w:rsidR="007A5D0A" w:rsidRPr="003E2DE0" w:rsidRDefault="007A5D0A" w:rsidP="007A5D0A">
      <w:pPr>
        <w:pStyle w:val="07NumberedBodySubheading"/>
        <w:jc w:val="both"/>
        <w:rPr>
          <w:rFonts w:ascii="Open Sans" w:hAnsi="Open Sans" w:cs="Open Sans"/>
          <w:b w:val="0"/>
          <w:sz w:val="22"/>
        </w:rPr>
      </w:pPr>
    </w:p>
    <w:p w14:paraId="6945B073"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5C38321F"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3F5FD8D0"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2DA24056"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200843BD"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4F3DBD74"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3FBBD0D3"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74C1F69A"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38730B8E"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7E62E130"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0B27BF43"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6F894E84"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741038BB"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700B77C7"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11BB2715" w14:textId="77777777" w:rsidR="00157D8B" w:rsidRDefault="00157D8B" w:rsidP="00157D8B">
      <w:pPr>
        <w:spacing w:after="0" w:line="240" w:lineRule="auto"/>
        <w:jc w:val="both"/>
        <w:rPr>
          <w:rFonts w:ascii="Futura PT Book" w:eastAsiaTheme="majorEastAsia" w:hAnsi="Futura PT Book" w:cs="Open Sans"/>
          <w:b/>
          <w:bCs/>
          <w:sz w:val="28"/>
          <w:szCs w:val="28"/>
        </w:rPr>
      </w:pPr>
    </w:p>
    <w:p w14:paraId="0375A2DB" w14:textId="778EA81E" w:rsidR="007A5D0A" w:rsidRPr="003E2DE0" w:rsidRDefault="00157D8B" w:rsidP="003E2DE0">
      <w:pPr>
        <w:spacing w:after="0" w:line="240" w:lineRule="auto"/>
        <w:jc w:val="both"/>
        <w:rPr>
          <w:rFonts w:ascii="Futura PT Book" w:eastAsiaTheme="majorEastAsia" w:hAnsi="Futura PT Book" w:cs="Open Sans"/>
          <w:b/>
          <w:bCs/>
          <w:sz w:val="28"/>
          <w:szCs w:val="28"/>
        </w:rPr>
      </w:pPr>
      <w:r w:rsidRPr="003E2DE0">
        <w:rPr>
          <w:rFonts w:ascii="Futura PT Book" w:eastAsiaTheme="majorEastAsia" w:hAnsi="Futura PT Book" w:cs="Open Sans"/>
          <w:b/>
          <w:bCs/>
          <w:sz w:val="28"/>
          <w:szCs w:val="28"/>
        </w:rPr>
        <w:t>Barriers to deployment</w:t>
      </w:r>
    </w:p>
    <w:p w14:paraId="52F54F13" w14:textId="77777777" w:rsidR="007A5D0A" w:rsidRPr="003E2DE0" w:rsidRDefault="007A5D0A" w:rsidP="007A5D0A">
      <w:pPr>
        <w:pStyle w:val="ListParagraph"/>
        <w:spacing w:after="0" w:line="240" w:lineRule="auto"/>
        <w:jc w:val="both"/>
        <w:rPr>
          <w:rFonts w:ascii="Open Sans" w:eastAsiaTheme="majorEastAsia" w:hAnsi="Open Sans" w:cs="Open Sans"/>
          <w:color w:val="4472C4" w:themeColor="accent1"/>
          <w:u w:val="single"/>
        </w:rPr>
      </w:pPr>
    </w:p>
    <w:p w14:paraId="27E7697D"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Although there is clear evidence that Longer-Duration Storage delivers substantial benefits to GB consumers, development of new projects has been limited in the last few decades. Below we explore some of the reasons why the current market structures and incentives do not provide a favourable environment for investment in existing or new longer-duration storage technologies:</w:t>
      </w:r>
    </w:p>
    <w:p w14:paraId="73C6B53A" w14:textId="77777777" w:rsidR="007A5D0A" w:rsidRPr="003E2DE0" w:rsidRDefault="007A5D0A" w:rsidP="007A5D0A">
      <w:pPr>
        <w:pStyle w:val="07NumberedBodySubheading"/>
        <w:jc w:val="both"/>
        <w:rPr>
          <w:rFonts w:ascii="Open Sans" w:hAnsi="Open Sans" w:cs="Open Sans"/>
          <w:b w:val="0"/>
          <w:sz w:val="22"/>
        </w:rPr>
      </w:pPr>
    </w:p>
    <w:p w14:paraId="4F190263" w14:textId="02AC8408" w:rsidR="000D11DC" w:rsidRDefault="007A5D0A" w:rsidP="000D11DC">
      <w:pPr>
        <w:numPr>
          <w:ilvl w:val="0"/>
          <w:numId w:val="24"/>
        </w:numPr>
        <w:spacing w:after="0" w:line="240" w:lineRule="auto"/>
        <w:jc w:val="both"/>
        <w:rPr>
          <w:rFonts w:ascii="Open Sans" w:eastAsia="Calibri" w:hAnsi="Open Sans" w:cs="Open Sans"/>
        </w:rPr>
      </w:pPr>
      <w:r w:rsidRPr="000D11DC">
        <w:rPr>
          <w:rFonts w:ascii="Open Sans" w:eastAsia="Calibri" w:hAnsi="Open Sans" w:cs="Open Sans"/>
          <w:b/>
          <w:bCs/>
        </w:rPr>
        <w:t>Wholesale Market:</w:t>
      </w:r>
      <w:r w:rsidRPr="000D11DC">
        <w:rPr>
          <w:rFonts w:ascii="Open Sans" w:eastAsia="Calibri" w:hAnsi="Open Sans" w:cs="Open Sans"/>
        </w:rPr>
        <w:t xml:space="preserve"> revenues derived from net-energy sales through arbitrage payments do not currently provide bankable and adequate investment signals</w:t>
      </w:r>
      <w:r w:rsidR="00C27997" w:rsidRPr="000D11DC">
        <w:rPr>
          <w:rFonts w:ascii="Open Sans" w:eastAsia="Calibri" w:hAnsi="Open Sans" w:cs="Open Sans"/>
        </w:rPr>
        <w:t xml:space="preserve"> </w:t>
      </w:r>
      <w:r w:rsidR="000D11DC" w:rsidRPr="000D11DC">
        <w:rPr>
          <w:rFonts w:ascii="Open Sans" w:eastAsia="Calibri" w:hAnsi="Open Sans" w:cs="Open Sans"/>
        </w:rPr>
        <w:t>due to the price uncertainty involved and their short-te</w:t>
      </w:r>
      <w:r w:rsidR="000D11DC" w:rsidRPr="00C07D5F">
        <w:rPr>
          <w:rFonts w:ascii="Open Sans" w:eastAsia="Calibri" w:hAnsi="Open Sans" w:cs="Open Sans"/>
        </w:rPr>
        <w:t>rm nature</w:t>
      </w:r>
      <w:r w:rsidR="000D11DC" w:rsidRPr="008E497E">
        <w:rPr>
          <w:rFonts w:ascii="Open Sans" w:eastAsia="Calibri" w:hAnsi="Open Sans" w:cs="Open Sans"/>
        </w:rPr>
        <w:t>.</w:t>
      </w:r>
      <w:r w:rsidR="000D11DC" w:rsidRPr="00EF0635">
        <w:rPr>
          <w:rFonts w:ascii="Open Sans" w:eastAsia="Calibri" w:hAnsi="Open Sans" w:cs="Open Sans"/>
        </w:rPr>
        <w:t xml:space="preserve"> Longer-term bilateral contracts between</w:t>
      </w:r>
      <w:r w:rsidR="000D11DC" w:rsidRPr="00AA2875">
        <w:rPr>
          <w:rFonts w:ascii="Open Sans" w:eastAsia="Calibri" w:hAnsi="Open Sans" w:cs="Open Sans"/>
        </w:rPr>
        <w:t xml:space="preserve"> market</w:t>
      </w:r>
      <w:r w:rsidR="000D11DC" w:rsidRPr="008728EB">
        <w:rPr>
          <w:rFonts w:ascii="Open Sans" w:eastAsia="Calibri" w:hAnsi="Open Sans" w:cs="Open Sans"/>
        </w:rPr>
        <w:t xml:space="preserve"> participants (</w:t>
      </w:r>
      <w:proofErr w:type="gramStart"/>
      <w:r w:rsidR="000D11DC" w:rsidRPr="008728EB">
        <w:rPr>
          <w:rFonts w:ascii="Open Sans" w:eastAsia="Calibri" w:hAnsi="Open Sans" w:cs="Open Sans"/>
        </w:rPr>
        <w:t>e.g.</w:t>
      </w:r>
      <w:proofErr w:type="gramEnd"/>
      <w:r w:rsidR="000D11DC" w:rsidRPr="008728EB">
        <w:rPr>
          <w:rFonts w:ascii="Open Sans" w:eastAsia="Calibri" w:hAnsi="Open Sans" w:cs="Open Sans"/>
        </w:rPr>
        <w:t xml:space="preserve"> </w:t>
      </w:r>
      <w:r w:rsidR="000D11DC" w:rsidRPr="000D11DC">
        <w:rPr>
          <w:rFonts w:ascii="Open Sans" w:eastAsia="Calibri" w:hAnsi="Open Sans" w:cs="Open Sans"/>
        </w:rPr>
        <w:t>suppliers or renewable energy generators) and flexibility providers may be further developed in the future, but it is unlikely that these would deliver the scale of investment required in longer-duration storage, especially considering the high capital requirements and long consultation times involved (e.g. 5-8 years for Pumped Hydro).</w:t>
      </w:r>
      <w:r w:rsidR="00FD59AB">
        <w:rPr>
          <w:rFonts w:ascii="Open Sans" w:eastAsia="Calibri" w:hAnsi="Open Sans" w:cs="Open Sans"/>
        </w:rPr>
        <w:t xml:space="preserve"> Much of the value provided by energy storage comes from its capacity, balancing, ancillary, stability and other services, benefits which are not recognised by Power Purchase Agreements.</w:t>
      </w:r>
    </w:p>
    <w:p w14:paraId="33EB4C23" w14:textId="77777777" w:rsidR="00EF0635" w:rsidRDefault="00EF0635" w:rsidP="00EF0635">
      <w:pPr>
        <w:spacing w:after="0" w:line="240" w:lineRule="auto"/>
        <w:ind w:left="720"/>
        <w:jc w:val="both"/>
        <w:rPr>
          <w:rFonts w:ascii="Open Sans" w:eastAsia="Calibri" w:hAnsi="Open Sans" w:cs="Open Sans"/>
        </w:rPr>
      </w:pPr>
    </w:p>
    <w:p w14:paraId="005AC124" w14:textId="69FBEA6D" w:rsidR="007A5D0A" w:rsidRPr="000D11DC" w:rsidRDefault="007A5D0A" w:rsidP="000D11DC">
      <w:pPr>
        <w:numPr>
          <w:ilvl w:val="0"/>
          <w:numId w:val="24"/>
        </w:numPr>
        <w:spacing w:after="0" w:line="240" w:lineRule="auto"/>
        <w:jc w:val="both"/>
        <w:rPr>
          <w:rFonts w:ascii="Open Sans" w:eastAsia="Calibri" w:hAnsi="Open Sans" w:cs="Open Sans"/>
        </w:rPr>
      </w:pPr>
      <w:r w:rsidRPr="000D11DC">
        <w:rPr>
          <w:rFonts w:ascii="Open Sans" w:eastAsia="Calibri" w:hAnsi="Open Sans" w:cs="Open Sans"/>
          <w:b/>
          <w:bCs/>
        </w:rPr>
        <w:t>Capacity Market (CM):</w:t>
      </w:r>
      <w:r w:rsidRPr="000D11DC">
        <w:rPr>
          <w:rFonts w:ascii="Open Sans" w:eastAsia="Calibri" w:hAnsi="Open Sans" w:cs="Open Sans"/>
        </w:rPr>
        <w:t xml:space="preserve">  the CM aims at ensuring resource adequacy at the lowest cost</w:t>
      </w:r>
      <w:r w:rsidR="008E36C6" w:rsidRPr="000D11DC">
        <w:rPr>
          <w:rFonts w:ascii="Open Sans" w:eastAsia="Calibri" w:hAnsi="Open Sans" w:cs="Open Sans"/>
        </w:rPr>
        <w:t>;</w:t>
      </w:r>
      <w:r w:rsidRPr="000D11DC">
        <w:rPr>
          <w:rFonts w:ascii="Open Sans" w:eastAsia="Calibri" w:hAnsi="Open Sans" w:cs="Open Sans"/>
        </w:rPr>
        <w:t xml:space="preserve"> </w:t>
      </w:r>
      <w:bookmarkStart w:id="3" w:name="_Hlk56876758"/>
      <w:r w:rsidR="00C07D5F" w:rsidRPr="000D11DC">
        <w:rPr>
          <w:rFonts w:ascii="Open Sans" w:eastAsia="Calibri" w:hAnsi="Open Sans" w:cs="Open Sans"/>
        </w:rPr>
        <w:t>as currently designed, it does not send clear</w:t>
      </w:r>
      <w:r w:rsidR="00C07D5F">
        <w:rPr>
          <w:rFonts w:ascii="Open Sans" w:eastAsia="Calibri" w:hAnsi="Open Sans" w:cs="Open Sans"/>
        </w:rPr>
        <w:t xml:space="preserve"> investment</w:t>
      </w:r>
      <w:r w:rsidR="00C07D5F" w:rsidRPr="000D11DC">
        <w:rPr>
          <w:rFonts w:ascii="Open Sans" w:eastAsia="Calibri" w:hAnsi="Open Sans" w:cs="Open Sans"/>
        </w:rPr>
        <w:t xml:space="preserve"> signals </w:t>
      </w:r>
      <w:r w:rsidR="00C07D5F">
        <w:rPr>
          <w:rFonts w:ascii="Open Sans" w:eastAsia="Calibri" w:hAnsi="Open Sans" w:cs="Open Sans"/>
        </w:rPr>
        <w:t>to support the deployment of</w:t>
      </w:r>
      <w:r w:rsidR="00C07D5F" w:rsidRPr="000D11DC">
        <w:rPr>
          <w:rFonts w:ascii="Open Sans" w:eastAsia="Calibri" w:hAnsi="Open Sans" w:cs="Open Sans"/>
        </w:rPr>
        <w:t xml:space="preserve"> large-scale, low-carbon flexibility. Critically, the CM does not acknowledge the key </w:t>
      </w:r>
      <w:r w:rsidR="00C07D5F">
        <w:rPr>
          <w:rFonts w:ascii="Open Sans" w:eastAsia="Calibri" w:hAnsi="Open Sans" w:cs="Open Sans"/>
        </w:rPr>
        <w:t>benefits that</w:t>
      </w:r>
      <w:r w:rsidR="00C07D5F" w:rsidRPr="000D11DC">
        <w:rPr>
          <w:rFonts w:ascii="Open Sans" w:eastAsia="Calibri" w:hAnsi="Open Sans" w:cs="Open Sans"/>
        </w:rPr>
        <w:t xml:space="preserve"> longer-duration storage technologies deliver</w:t>
      </w:r>
      <w:r w:rsidR="00C07D5F">
        <w:rPr>
          <w:rFonts w:ascii="Open Sans" w:eastAsia="Calibri" w:hAnsi="Open Sans" w:cs="Open Sans"/>
        </w:rPr>
        <w:t xml:space="preserve"> to the system</w:t>
      </w:r>
      <w:r w:rsidR="00C07D5F" w:rsidRPr="000D11DC">
        <w:rPr>
          <w:rFonts w:ascii="Open Sans" w:eastAsia="Calibri" w:hAnsi="Open Sans" w:cs="Open Sans"/>
        </w:rPr>
        <w:t xml:space="preserve">, </w:t>
      </w:r>
      <w:r w:rsidR="00C07D5F">
        <w:rPr>
          <w:rFonts w:ascii="Open Sans" w:eastAsia="Calibri" w:hAnsi="Open Sans" w:cs="Open Sans"/>
        </w:rPr>
        <w:t xml:space="preserve">in areas </w:t>
      </w:r>
      <w:r w:rsidR="00C07D5F" w:rsidRPr="000D11DC">
        <w:rPr>
          <w:rFonts w:ascii="Open Sans" w:eastAsia="Calibri" w:hAnsi="Open Sans" w:cs="Open Sans"/>
        </w:rPr>
        <w:t>such as network constraint management</w:t>
      </w:r>
      <w:r w:rsidR="00C07D5F">
        <w:rPr>
          <w:rFonts w:ascii="Open Sans" w:eastAsia="Calibri" w:hAnsi="Open Sans" w:cs="Open Sans"/>
        </w:rPr>
        <w:t>,</w:t>
      </w:r>
      <w:r w:rsidR="00C07D5F" w:rsidRPr="000D11DC">
        <w:rPr>
          <w:rFonts w:ascii="Open Sans" w:eastAsia="Calibri" w:hAnsi="Open Sans" w:cs="Open Sans"/>
        </w:rPr>
        <w:t xml:space="preserve"> frequency and voltage regulation, </w:t>
      </w:r>
      <w:r w:rsidR="00C07D5F">
        <w:rPr>
          <w:rFonts w:ascii="Open Sans" w:eastAsia="Calibri" w:hAnsi="Open Sans" w:cs="Open Sans"/>
        </w:rPr>
        <w:t xml:space="preserve">system </w:t>
      </w:r>
      <w:r w:rsidR="00C07D5F" w:rsidRPr="000D11DC">
        <w:rPr>
          <w:rFonts w:ascii="Open Sans" w:eastAsia="Calibri" w:hAnsi="Open Sans" w:cs="Open Sans"/>
        </w:rPr>
        <w:t xml:space="preserve">stability, </w:t>
      </w:r>
      <w:r w:rsidR="00C07D5F">
        <w:rPr>
          <w:rFonts w:ascii="Open Sans" w:eastAsia="Calibri" w:hAnsi="Open Sans" w:cs="Open Sans"/>
        </w:rPr>
        <w:t xml:space="preserve">and </w:t>
      </w:r>
      <w:r w:rsidR="00C07D5F" w:rsidRPr="000D11DC">
        <w:rPr>
          <w:rFonts w:ascii="Open Sans" w:eastAsia="Calibri" w:hAnsi="Open Sans" w:cs="Open Sans"/>
        </w:rPr>
        <w:t>restoration</w:t>
      </w:r>
      <w:r w:rsidR="00C07D5F">
        <w:rPr>
          <w:rFonts w:ascii="Open Sans" w:eastAsia="Calibri" w:hAnsi="Open Sans" w:cs="Open Sans"/>
        </w:rPr>
        <w:t xml:space="preserve"> (Black Start)</w:t>
      </w:r>
      <w:r w:rsidR="00C07D5F" w:rsidRPr="000D11DC">
        <w:rPr>
          <w:rFonts w:ascii="Open Sans" w:eastAsia="Calibri" w:hAnsi="Open Sans" w:cs="Open Sans"/>
        </w:rPr>
        <w:t xml:space="preserve">. </w:t>
      </w:r>
      <w:bookmarkEnd w:id="3"/>
      <w:r w:rsidR="00C07D5F" w:rsidRPr="000D11DC">
        <w:rPr>
          <w:rFonts w:ascii="Open Sans" w:eastAsia="Calibri" w:hAnsi="Open Sans" w:cs="Open Sans"/>
        </w:rPr>
        <w:t>These are procured separately by National Grid ESO, in a fragmented manner and in shorter timescales</w:t>
      </w:r>
      <w:r w:rsidR="00C07D5F">
        <w:rPr>
          <w:rFonts w:ascii="Open Sans" w:eastAsia="Calibri" w:hAnsi="Open Sans" w:cs="Open Sans"/>
        </w:rPr>
        <w:t>, involving income uncertainty</w:t>
      </w:r>
      <w:r w:rsidR="00C07D5F" w:rsidRPr="000D11DC">
        <w:rPr>
          <w:rFonts w:ascii="Open Sans" w:eastAsia="Calibri" w:hAnsi="Open Sans" w:cs="Open Sans"/>
        </w:rPr>
        <w:t xml:space="preserve">. </w:t>
      </w:r>
      <w:r w:rsidR="00C07D5F">
        <w:rPr>
          <w:rFonts w:ascii="Open Sans" w:eastAsia="Calibri" w:hAnsi="Open Sans" w:cs="Open Sans"/>
        </w:rPr>
        <w:t>As result, developers do not see</w:t>
      </w:r>
      <w:r w:rsidR="00C07D5F" w:rsidRPr="000D11DC">
        <w:rPr>
          <w:rFonts w:ascii="Open Sans" w:eastAsia="Calibri" w:hAnsi="Open Sans" w:cs="Open Sans"/>
        </w:rPr>
        <w:t xml:space="preserve"> </w:t>
      </w:r>
      <w:r w:rsidR="00C07D5F">
        <w:rPr>
          <w:rFonts w:ascii="Open Sans" w:eastAsia="Calibri" w:hAnsi="Open Sans" w:cs="Open Sans"/>
        </w:rPr>
        <w:t>a combined, reliable, long-term price signal that would allow them to attract funding at a reasonable cost of capital</w:t>
      </w:r>
      <w:r w:rsidR="00C07D5F" w:rsidRPr="000D11DC">
        <w:rPr>
          <w:rFonts w:ascii="Open Sans" w:eastAsia="Calibri" w:hAnsi="Open Sans" w:cs="Open Sans"/>
        </w:rPr>
        <w:t>.</w:t>
      </w:r>
      <w:r w:rsidR="00C07D5F">
        <w:rPr>
          <w:rFonts w:ascii="Open Sans" w:eastAsia="Calibri" w:hAnsi="Open Sans" w:cs="Open Sans"/>
        </w:rPr>
        <w:t xml:space="preserve"> </w:t>
      </w:r>
      <w:r w:rsidRPr="000D11DC">
        <w:rPr>
          <w:rFonts w:ascii="Open Sans" w:eastAsia="Calibri" w:hAnsi="Open Sans" w:cs="Open Sans"/>
        </w:rPr>
        <w:t xml:space="preserve">Also, the CM </w:t>
      </w:r>
      <w:r w:rsidR="00C07D5F">
        <w:rPr>
          <w:rFonts w:ascii="Open Sans" w:eastAsia="Calibri" w:hAnsi="Open Sans" w:cs="Open Sans"/>
        </w:rPr>
        <w:t xml:space="preserve">does not </w:t>
      </w:r>
      <w:r w:rsidR="00852387">
        <w:rPr>
          <w:rFonts w:ascii="Open Sans" w:eastAsia="Calibri" w:hAnsi="Open Sans" w:cs="Open Sans"/>
        </w:rPr>
        <w:t>facilitate</w:t>
      </w:r>
      <w:r w:rsidR="00852387" w:rsidRPr="000D11DC">
        <w:rPr>
          <w:rFonts w:ascii="Open Sans" w:eastAsia="Calibri" w:hAnsi="Open Sans" w:cs="Open Sans"/>
        </w:rPr>
        <w:t xml:space="preserve"> </w:t>
      </w:r>
      <w:r w:rsidRPr="000D11DC">
        <w:rPr>
          <w:rFonts w:ascii="Open Sans" w:eastAsia="Calibri" w:hAnsi="Open Sans" w:cs="Open Sans"/>
        </w:rPr>
        <w:t xml:space="preserve">projects with construction periods </w:t>
      </w:r>
      <w:proofErr w:type="gramStart"/>
      <w:r w:rsidRPr="000D11DC">
        <w:rPr>
          <w:rFonts w:ascii="Open Sans" w:eastAsia="Calibri" w:hAnsi="Open Sans" w:cs="Open Sans"/>
        </w:rPr>
        <w:t>in excess of</w:t>
      </w:r>
      <w:proofErr w:type="gramEnd"/>
      <w:r w:rsidRPr="000D11DC">
        <w:rPr>
          <w:rFonts w:ascii="Open Sans" w:eastAsia="Calibri" w:hAnsi="Open Sans" w:cs="Open Sans"/>
        </w:rPr>
        <w:t xml:space="preserve"> four years, such as Pumped Hydro, as the CM auctions take place four years (T-4) and one year (T-1) ahead of the delivery year.</w:t>
      </w:r>
      <w:r w:rsidR="00852387">
        <w:rPr>
          <w:rFonts w:ascii="Open Sans" w:eastAsia="Calibri" w:hAnsi="Open Sans" w:cs="Open Sans"/>
        </w:rPr>
        <w:t xml:space="preserve"> While technically, a developer could start building a project and then bid when four years of construction time remains, this is not a feasible way of developing any project and would be close-to impossible to finance.</w:t>
      </w:r>
    </w:p>
    <w:p w14:paraId="34B0291E" w14:textId="77777777" w:rsidR="007A5D0A" w:rsidRPr="003E2DE0" w:rsidRDefault="007A5D0A" w:rsidP="007A5D0A">
      <w:pPr>
        <w:spacing w:after="0" w:line="240" w:lineRule="auto"/>
        <w:ind w:left="720"/>
        <w:jc w:val="both"/>
        <w:rPr>
          <w:rFonts w:ascii="Open Sans" w:eastAsia="Calibri" w:hAnsi="Open Sans" w:cs="Open Sans"/>
        </w:rPr>
      </w:pPr>
    </w:p>
    <w:p w14:paraId="65262FBA" w14:textId="739FBA49" w:rsidR="007A5D0A" w:rsidRPr="003E2DE0" w:rsidRDefault="007A5D0A" w:rsidP="007A5D0A">
      <w:pPr>
        <w:numPr>
          <w:ilvl w:val="0"/>
          <w:numId w:val="24"/>
        </w:numPr>
        <w:spacing w:after="0" w:line="240" w:lineRule="auto"/>
        <w:jc w:val="both"/>
        <w:rPr>
          <w:rFonts w:ascii="Open Sans" w:eastAsia="Calibri" w:hAnsi="Open Sans" w:cs="Open Sans"/>
        </w:rPr>
      </w:pPr>
      <w:r w:rsidRPr="003E2DE0">
        <w:rPr>
          <w:rFonts w:ascii="Open Sans" w:eastAsia="Calibri" w:hAnsi="Open Sans" w:cs="Open Sans"/>
          <w:b/>
          <w:bCs/>
        </w:rPr>
        <w:t>Contracts-for-Difference (</w:t>
      </w:r>
      <w:proofErr w:type="spellStart"/>
      <w:r w:rsidRPr="003E2DE0">
        <w:rPr>
          <w:rFonts w:ascii="Open Sans" w:eastAsia="Calibri" w:hAnsi="Open Sans" w:cs="Open Sans"/>
          <w:b/>
          <w:bCs/>
        </w:rPr>
        <w:t>CfD</w:t>
      </w:r>
      <w:proofErr w:type="spellEnd"/>
      <w:r w:rsidRPr="003E2DE0">
        <w:rPr>
          <w:rFonts w:ascii="Open Sans" w:eastAsia="Calibri" w:hAnsi="Open Sans" w:cs="Open Sans"/>
          <w:b/>
          <w:bCs/>
        </w:rPr>
        <w:t>)</w:t>
      </w:r>
      <w:r w:rsidRPr="003E2DE0">
        <w:rPr>
          <w:rFonts w:ascii="Open Sans" w:eastAsia="Calibri" w:hAnsi="Open Sans" w:cs="Open Sans"/>
        </w:rPr>
        <w:t xml:space="preserve">: the </w:t>
      </w:r>
      <w:proofErr w:type="spellStart"/>
      <w:r w:rsidRPr="003E2DE0">
        <w:rPr>
          <w:rFonts w:ascii="Open Sans" w:eastAsia="Calibri" w:hAnsi="Open Sans" w:cs="Open Sans"/>
        </w:rPr>
        <w:t>CfD</w:t>
      </w:r>
      <w:proofErr w:type="spellEnd"/>
      <w:r w:rsidRPr="003E2DE0">
        <w:rPr>
          <w:rFonts w:ascii="Open Sans" w:eastAsia="Calibri" w:hAnsi="Open Sans" w:cs="Open Sans"/>
        </w:rPr>
        <w:t xml:space="preserve"> scheme is the government’s main instrument to support investment in low-carbon and renewable generation (</w:t>
      </w:r>
      <w:proofErr w:type="gramStart"/>
      <w:r w:rsidRPr="003E2DE0">
        <w:rPr>
          <w:rFonts w:ascii="Open Sans" w:eastAsia="Calibri" w:hAnsi="Open Sans" w:cs="Open Sans"/>
        </w:rPr>
        <w:t>e.g.</w:t>
      </w:r>
      <w:proofErr w:type="gramEnd"/>
      <w:r w:rsidRPr="003E2DE0">
        <w:rPr>
          <w:rFonts w:ascii="Open Sans" w:eastAsia="Calibri" w:hAnsi="Open Sans" w:cs="Open Sans"/>
        </w:rPr>
        <w:t xml:space="preserve"> wind, solar, nuclear</w:t>
      </w:r>
      <w:r w:rsidR="00C07D5F">
        <w:rPr>
          <w:rFonts w:ascii="Open Sans" w:eastAsia="Calibri" w:hAnsi="Open Sans" w:cs="Open Sans"/>
        </w:rPr>
        <w:t>,</w:t>
      </w:r>
      <w:r w:rsidRPr="003E2DE0">
        <w:rPr>
          <w:rFonts w:ascii="Open Sans" w:eastAsia="Calibri" w:hAnsi="Open Sans" w:cs="Open Sans"/>
        </w:rPr>
        <w:t xml:space="preserve"> etc.). Enhancing investment in flexible capacity is not its main objective. The </w:t>
      </w:r>
      <w:proofErr w:type="spellStart"/>
      <w:r w:rsidRPr="003E2DE0">
        <w:rPr>
          <w:rFonts w:ascii="Open Sans" w:eastAsia="Calibri" w:hAnsi="Open Sans" w:cs="Open Sans"/>
        </w:rPr>
        <w:t>CfD</w:t>
      </w:r>
      <w:proofErr w:type="spellEnd"/>
      <w:r w:rsidRPr="003E2DE0">
        <w:rPr>
          <w:rFonts w:ascii="Open Sans" w:eastAsia="Calibri" w:hAnsi="Open Sans" w:cs="Open Sans"/>
        </w:rPr>
        <w:t xml:space="preserve"> model incentivises generators to produce as much electricity as possible. As such, it is not appropriate for </w:t>
      </w:r>
      <w:r w:rsidRPr="003E2DE0">
        <w:rPr>
          <w:rFonts w:ascii="Open Sans" w:eastAsia="Calibri" w:hAnsi="Open Sans" w:cs="Open Sans"/>
        </w:rPr>
        <w:lastRenderedPageBreak/>
        <w:t>stimulating investment in flexible technologies, which bring value by operating at specific times, responding to market conditions and system requirements.</w:t>
      </w:r>
    </w:p>
    <w:p w14:paraId="0501D3E8" w14:textId="77777777" w:rsidR="007A5D0A" w:rsidRPr="003E2DE0" w:rsidRDefault="007A5D0A" w:rsidP="007A5D0A">
      <w:pPr>
        <w:spacing w:after="0" w:line="240" w:lineRule="auto"/>
        <w:jc w:val="both"/>
        <w:rPr>
          <w:rFonts w:ascii="Open Sans" w:eastAsia="Calibri" w:hAnsi="Open Sans" w:cs="Open Sans"/>
        </w:rPr>
      </w:pPr>
    </w:p>
    <w:p w14:paraId="322B1CE3" w14:textId="77777777" w:rsidR="007A5D0A" w:rsidRPr="003E2DE0" w:rsidRDefault="007A5D0A" w:rsidP="007A5D0A">
      <w:pPr>
        <w:pStyle w:val="ListParagraph"/>
        <w:numPr>
          <w:ilvl w:val="0"/>
          <w:numId w:val="24"/>
        </w:numPr>
        <w:spacing w:after="160" w:line="259" w:lineRule="auto"/>
        <w:rPr>
          <w:rFonts w:ascii="Open Sans" w:eastAsia="Calibri" w:hAnsi="Open Sans" w:cs="Open Sans"/>
        </w:rPr>
      </w:pPr>
      <w:r w:rsidRPr="003E2DE0">
        <w:rPr>
          <w:rFonts w:ascii="Open Sans" w:eastAsia="Calibri" w:hAnsi="Open Sans" w:cs="Open Sans"/>
          <w:b/>
          <w:bCs/>
        </w:rPr>
        <w:t>Balancing &amp; Ancillary Services</w:t>
      </w:r>
      <w:r w:rsidRPr="003E2DE0">
        <w:rPr>
          <w:rFonts w:ascii="Open Sans" w:eastAsia="Calibri" w:hAnsi="Open Sans" w:cs="Open Sans"/>
        </w:rPr>
        <w:t xml:space="preserve">: </w:t>
      </w:r>
    </w:p>
    <w:p w14:paraId="3AFFED62" w14:textId="77777777" w:rsidR="007A5D0A" w:rsidRPr="003E2DE0" w:rsidRDefault="007A5D0A" w:rsidP="007A5D0A">
      <w:pPr>
        <w:pStyle w:val="ListParagraph"/>
        <w:rPr>
          <w:rFonts w:ascii="Open Sans" w:eastAsia="Calibri" w:hAnsi="Open Sans" w:cs="Open Sans"/>
        </w:rPr>
      </w:pPr>
    </w:p>
    <w:p w14:paraId="074295EE" w14:textId="6322992C"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eastAsia="Calibri" w:hAnsi="Open Sans" w:cs="Open Sans"/>
        </w:rPr>
        <w:t>The contract duration is short (</w:t>
      </w:r>
      <w:proofErr w:type="gramStart"/>
      <w:r w:rsidRPr="003E2DE0">
        <w:rPr>
          <w:rFonts w:ascii="Open Sans" w:eastAsia="Calibri" w:hAnsi="Open Sans" w:cs="Open Sans"/>
        </w:rPr>
        <w:t>e.g.</w:t>
      </w:r>
      <w:proofErr w:type="gramEnd"/>
      <w:r w:rsidRPr="003E2DE0">
        <w:rPr>
          <w:rFonts w:ascii="Open Sans" w:eastAsia="Calibri" w:hAnsi="Open Sans" w:cs="Open Sans"/>
        </w:rPr>
        <w:t xml:space="preserve"> one day, one week or one month). Yet investments in large scale infrastructure projects depreciate over many years (</w:t>
      </w:r>
      <w:proofErr w:type="gramStart"/>
      <w:r w:rsidRPr="003E2DE0">
        <w:rPr>
          <w:rFonts w:ascii="Open Sans" w:eastAsia="Calibri" w:hAnsi="Open Sans" w:cs="Open Sans"/>
        </w:rPr>
        <w:t>e.g.</w:t>
      </w:r>
      <w:proofErr w:type="gramEnd"/>
      <w:r w:rsidRPr="003E2DE0">
        <w:rPr>
          <w:rFonts w:ascii="Open Sans" w:eastAsia="Calibri" w:hAnsi="Open Sans" w:cs="Open Sans"/>
        </w:rPr>
        <w:t xml:space="preserve"> 15-25 years) in order to reflect their operational lifetime, which can</w:t>
      </w:r>
      <w:r w:rsidR="00C07D5F">
        <w:rPr>
          <w:rFonts w:ascii="Open Sans" w:eastAsia="Calibri" w:hAnsi="Open Sans" w:cs="Open Sans"/>
        </w:rPr>
        <w:t xml:space="preserve"> in certain cases</w:t>
      </w:r>
      <w:r w:rsidRPr="003E2DE0">
        <w:rPr>
          <w:rFonts w:ascii="Open Sans" w:eastAsia="Calibri" w:hAnsi="Open Sans" w:cs="Open Sans"/>
        </w:rPr>
        <w:t xml:space="preserve"> exceed 50 years (e.g. Pumped Hydro).</w:t>
      </w:r>
    </w:p>
    <w:p w14:paraId="207E9053" w14:textId="7C635289"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eastAsia="Calibri" w:hAnsi="Open Sans" w:cs="Open Sans"/>
        </w:rPr>
        <w:t>Different ancillary services are procured separately and contracts from various services cannot always be stacked effectively. This fails to send a clear price signal for investment in technologies with superior technical characteristics that could provide several services at a lower cost overall.</w:t>
      </w:r>
      <w:r w:rsidR="008776F2">
        <w:rPr>
          <w:rFonts w:ascii="Open Sans" w:eastAsia="Calibri" w:hAnsi="Open Sans" w:cs="Open Sans"/>
        </w:rPr>
        <w:t xml:space="preserve"> Some separately-procured services cannot be provided separately by longer-duration energy storage plants – for instance, all provide inertia. If, for instance, a plant wins a contract for one service but not another, and the services cannot be separated out, the plant will not be fully renumerated for the services it provides. This also puts the System Operator in a difficult position.</w:t>
      </w:r>
    </w:p>
    <w:p w14:paraId="327370DB" w14:textId="77777777"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eastAsia="Calibri" w:hAnsi="Open Sans" w:cs="Open Sans"/>
        </w:rPr>
        <w:t>Unlike the wholesale energy market, ancillary services markets are relatively shallow and illiquid. They are often location-specific (</w:t>
      </w:r>
      <w:proofErr w:type="gramStart"/>
      <w:r w:rsidRPr="003E2DE0">
        <w:rPr>
          <w:rFonts w:ascii="Open Sans" w:eastAsia="Calibri" w:hAnsi="Open Sans" w:cs="Open Sans"/>
        </w:rPr>
        <w:t>e.g.</w:t>
      </w:r>
      <w:proofErr w:type="gramEnd"/>
      <w:r w:rsidRPr="003E2DE0">
        <w:rPr>
          <w:rFonts w:ascii="Open Sans" w:eastAsia="Calibri" w:hAnsi="Open Sans" w:cs="Open Sans"/>
        </w:rPr>
        <w:t xml:space="preserve"> reactive power) and come with specific technical requirements set by National Grid ESO. This means investors cannot estimate with confidence how their value will evolve over long horizons. </w:t>
      </w:r>
    </w:p>
    <w:p w14:paraId="11BD5DF3" w14:textId="77777777"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eastAsia="Calibri" w:hAnsi="Open Sans" w:cs="Open Sans"/>
        </w:rPr>
        <w:t>The ancillary services market has been under review for several years. Constant change makes it difficult for investors to predict what is the value that can be extracted from these services through the course of a lifetime of an asset.</w:t>
      </w:r>
    </w:p>
    <w:p w14:paraId="28C9E555" w14:textId="77777777" w:rsidR="007A5D0A" w:rsidRPr="00EE46A4"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eastAsia="Calibri" w:hAnsi="Open Sans" w:cs="Open Sans"/>
        </w:rPr>
        <w:t>Contracts do not account for long construction lead-times that some longer-duration storage technologies require (</w:t>
      </w:r>
      <w:proofErr w:type="gramStart"/>
      <w:r w:rsidRPr="003E2DE0">
        <w:rPr>
          <w:rFonts w:ascii="Open Sans" w:eastAsia="Calibri" w:hAnsi="Open Sans" w:cs="Open Sans"/>
        </w:rPr>
        <w:t>e.g.</w:t>
      </w:r>
      <w:proofErr w:type="gramEnd"/>
      <w:r w:rsidRPr="003E2DE0">
        <w:rPr>
          <w:rFonts w:ascii="Open Sans" w:eastAsia="Calibri" w:hAnsi="Open Sans" w:cs="Open Sans"/>
        </w:rPr>
        <w:t xml:space="preserve"> 6-8yrs for Pumped Hydro). Therefore, no value from ancillary services can be secured at the point of final investment decision in new </w:t>
      </w:r>
      <w:r w:rsidRPr="00EE46A4">
        <w:rPr>
          <w:rFonts w:ascii="Open Sans" w:eastAsia="Calibri" w:hAnsi="Open Sans" w:cs="Open Sans"/>
        </w:rPr>
        <w:t xml:space="preserve">capital-intensive assets. Uncertainty over returns makes these projects less attractive to investors and drives up the cost of capital. </w:t>
      </w:r>
    </w:p>
    <w:p w14:paraId="646FAE3E" w14:textId="1CB8A952" w:rsidR="007A5D0A" w:rsidRPr="00F273A2" w:rsidRDefault="007A5D0A" w:rsidP="007A5D0A">
      <w:pPr>
        <w:pStyle w:val="ListParagraph"/>
        <w:numPr>
          <w:ilvl w:val="1"/>
          <w:numId w:val="24"/>
        </w:numPr>
        <w:spacing w:after="0" w:line="259" w:lineRule="auto"/>
        <w:rPr>
          <w:rFonts w:ascii="Open Sans" w:eastAsia="Calibri" w:hAnsi="Open Sans" w:cs="Open Sans"/>
        </w:rPr>
      </w:pPr>
      <w:r w:rsidRPr="00F273A2">
        <w:rPr>
          <w:rFonts w:ascii="Open Sans" w:eastAsia="Calibri" w:hAnsi="Open Sans" w:cs="Open Sans"/>
        </w:rPr>
        <w:t>Stability services (currently under Pathfinders)</w:t>
      </w:r>
      <w:r w:rsidR="008776F2" w:rsidRPr="00F273A2">
        <w:rPr>
          <w:rFonts w:ascii="Open Sans" w:eastAsia="Calibri" w:hAnsi="Open Sans" w:cs="Open Sans"/>
        </w:rPr>
        <w:t>:</w:t>
      </w:r>
      <w:r w:rsidR="00F273A2">
        <w:rPr>
          <w:rFonts w:ascii="Open Sans" w:eastAsia="Calibri" w:hAnsi="Open Sans" w:cs="Open Sans"/>
        </w:rPr>
        <w:t xml:space="preserve"> </w:t>
      </w:r>
      <w:r w:rsidRPr="00F273A2">
        <w:rPr>
          <w:rFonts w:ascii="Open Sans" w:eastAsia="Calibri" w:hAnsi="Open Sans" w:cs="Open Sans"/>
        </w:rPr>
        <w:t xml:space="preserve">based on real inertia but including inertia, reactive power / </w:t>
      </w:r>
      <w:proofErr w:type="gramStart"/>
      <w:r w:rsidRPr="00F273A2">
        <w:rPr>
          <w:rFonts w:ascii="Open Sans" w:eastAsia="Calibri" w:hAnsi="Open Sans" w:cs="Open Sans"/>
        </w:rPr>
        <w:t>load</w:t>
      </w:r>
      <w:proofErr w:type="gramEnd"/>
      <w:r w:rsidRPr="00F273A2">
        <w:rPr>
          <w:rFonts w:ascii="Open Sans" w:eastAsia="Calibri" w:hAnsi="Open Sans" w:cs="Open Sans"/>
        </w:rPr>
        <w:t xml:space="preserve"> and frequency / voltage control.</w:t>
      </w:r>
      <w:r w:rsidR="008776F2" w:rsidRPr="00F273A2">
        <w:rPr>
          <w:rFonts w:ascii="Open Sans" w:eastAsia="Calibri" w:hAnsi="Open Sans" w:cs="Open Sans"/>
        </w:rPr>
        <w:t xml:space="preserve"> Energy storage plants are currently not renumerated for the inertia they provide.</w:t>
      </w:r>
    </w:p>
    <w:p w14:paraId="2B7C5B7D" w14:textId="07E97E02" w:rsidR="007A5D0A" w:rsidRPr="00F273A2" w:rsidRDefault="007A5D0A" w:rsidP="007A5D0A">
      <w:pPr>
        <w:numPr>
          <w:ilvl w:val="1"/>
          <w:numId w:val="24"/>
        </w:numPr>
        <w:spacing w:after="0"/>
        <w:contextualSpacing/>
        <w:rPr>
          <w:rFonts w:ascii="Open Sans" w:eastAsia="Calibri" w:hAnsi="Open Sans" w:cs="Open Sans"/>
        </w:rPr>
      </w:pPr>
      <w:r w:rsidRPr="00F273A2">
        <w:rPr>
          <w:rFonts w:ascii="Open Sans" w:eastAsia="Calibri" w:hAnsi="Open Sans" w:cs="Open Sans"/>
        </w:rPr>
        <w:t>Black Start</w:t>
      </w:r>
      <w:r w:rsidR="00F93EA2" w:rsidRPr="00F273A2">
        <w:rPr>
          <w:rFonts w:ascii="Open Sans" w:eastAsia="Calibri" w:hAnsi="Open Sans" w:cs="Open Sans"/>
        </w:rPr>
        <w:t xml:space="preserve">/ Distributed </w:t>
      </w:r>
      <w:proofErr w:type="spellStart"/>
      <w:r w:rsidR="00F93EA2" w:rsidRPr="00F273A2">
        <w:rPr>
          <w:rFonts w:ascii="Open Sans" w:eastAsia="Calibri" w:hAnsi="Open Sans" w:cs="Open Sans"/>
        </w:rPr>
        <w:t>ReStart</w:t>
      </w:r>
      <w:proofErr w:type="spellEnd"/>
      <w:r w:rsidR="00F93EA2" w:rsidRPr="00F273A2">
        <w:rPr>
          <w:rFonts w:ascii="Open Sans" w:eastAsia="Calibri" w:hAnsi="Open Sans" w:cs="Open Sans"/>
        </w:rPr>
        <w:t xml:space="preserve"> </w:t>
      </w:r>
      <w:proofErr w:type="gramStart"/>
      <w:r w:rsidR="00F93EA2" w:rsidRPr="00F273A2">
        <w:rPr>
          <w:rFonts w:ascii="Open Sans" w:eastAsia="Calibri" w:hAnsi="Open Sans" w:cs="Open Sans"/>
        </w:rPr>
        <w:t>project</w:t>
      </w:r>
      <w:r w:rsidRPr="00F273A2">
        <w:rPr>
          <w:rFonts w:ascii="Open Sans" w:eastAsia="Calibri" w:hAnsi="Open Sans" w:cs="Open Sans"/>
        </w:rPr>
        <w:t>(</w:t>
      </w:r>
      <w:proofErr w:type="gramEnd"/>
      <w:r w:rsidRPr="00F273A2">
        <w:rPr>
          <w:rFonts w:ascii="Open Sans" w:eastAsia="Calibri" w:hAnsi="Open Sans" w:cs="Open Sans"/>
        </w:rPr>
        <w:t xml:space="preserve">currently under Pathfinders), </w:t>
      </w:r>
      <w:r w:rsidR="007476E6" w:rsidRPr="00F273A2">
        <w:rPr>
          <w:rFonts w:ascii="Open Sans" w:eastAsia="Calibri" w:hAnsi="Open Sans" w:cs="Open Sans"/>
        </w:rPr>
        <w:t>is currently difficult for some longer-duration energy storage technologies to access</w:t>
      </w:r>
      <w:r w:rsidR="00F93EA2" w:rsidRPr="00F273A2">
        <w:rPr>
          <w:rFonts w:ascii="Open Sans" w:eastAsia="Calibri" w:hAnsi="Open Sans" w:cs="Open Sans"/>
        </w:rPr>
        <w:t xml:space="preserve"> as there is a lack of clarity over whether energy storage is considered the primary plant or the main plant, with each having different requirements.  </w:t>
      </w:r>
    </w:p>
    <w:p w14:paraId="5E535A75" w14:textId="4E273FF9" w:rsidR="007A5D0A" w:rsidRPr="00EF0635" w:rsidRDefault="007A5D0A" w:rsidP="00EF0635">
      <w:pPr>
        <w:pStyle w:val="ListParagraph"/>
        <w:numPr>
          <w:ilvl w:val="1"/>
          <w:numId w:val="24"/>
        </w:numPr>
        <w:spacing w:after="160" w:line="259" w:lineRule="auto"/>
        <w:rPr>
          <w:rFonts w:ascii="Open Sans" w:eastAsia="Calibri" w:hAnsi="Open Sans" w:cs="Open Sans"/>
        </w:rPr>
      </w:pPr>
      <w:r w:rsidRPr="00EE46A4">
        <w:rPr>
          <w:rFonts w:ascii="Open Sans" w:hAnsi="Open Sans" w:cs="Open Sans"/>
        </w:rPr>
        <w:t>Some of the ancillary services, such as inertia and reactive power</w:t>
      </w:r>
      <w:r w:rsidRPr="00FA7326">
        <w:rPr>
          <w:rFonts w:ascii="Open Sans" w:hAnsi="Open Sans" w:cs="Open Sans"/>
        </w:rPr>
        <w:t xml:space="preserve">, which </w:t>
      </w:r>
      <w:r w:rsidRPr="003E2DE0">
        <w:rPr>
          <w:rFonts w:ascii="Open Sans" w:hAnsi="Open Sans" w:cs="Open Sans"/>
          <w:bCs/>
        </w:rPr>
        <w:t>are essential for secure system operation are not</w:t>
      </w:r>
      <w:r w:rsidRPr="003E2DE0">
        <w:rPr>
          <w:rFonts w:ascii="Open Sans" w:hAnsi="Open Sans" w:cs="Open Sans"/>
        </w:rPr>
        <w:t xml:space="preserve"> ascribed the correct economic value today. </w:t>
      </w:r>
      <w:r w:rsidRPr="003E2DE0">
        <w:rPr>
          <w:rFonts w:ascii="Open Sans" w:hAnsi="Open Sans" w:cs="Open Sans"/>
          <w:bCs/>
        </w:rPr>
        <w:t xml:space="preserve">For example, the inherent </w:t>
      </w:r>
      <w:r w:rsidRPr="003E2DE0">
        <w:rPr>
          <w:rFonts w:ascii="Open Sans" w:hAnsi="Open Sans" w:cs="Open Sans"/>
        </w:rPr>
        <w:t xml:space="preserve">inertia produced by power plants and synchronous longer-duration storage technologies, is not </w:t>
      </w:r>
      <w:proofErr w:type="gramStart"/>
      <w:r w:rsidRPr="003E2DE0">
        <w:rPr>
          <w:rFonts w:ascii="Open Sans" w:hAnsi="Open Sans" w:cs="Open Sans"/>
        </w:rPr>
        <w:t>appraised</w:t>
      </w:r>
      <w:proofErr w:type="gramEnd"/>
      <w:r w:rsidRPr="003E2DE0">
        <w:rPr>
          <w:rFonts w:ascii="Open Sans" w:hAnsi="Open Sans" w:cs="Open Sans"/>
        </w:rPr>
        <w:t xml:space="preserve"> or rewarded separately, so is effectively </w:t>
      </w:r>
      <w:r w:rsidR="00BB379D">
        <w:rPr>
          <w:rFonts w:ascii="Open Sans" w:hAnsi="Open Sans" w:cs="Open Sans"/>
        </w:rPr>
        <w:t>provided</w:t>
      </w:r>
      <w:r w:rsidRPr="003E2DE0">
        <w:rPr>
          <w:rFonts w:ascii="Open Sans" w:hAnsi="Open Sans" w:cs="Open Sans"/>
        </w:rPr>
        <w:t xml:space="preserve"> for free, alongside energy. </w:t>
      </w:r>
      <w:proofErr w:type="gramStart"/>
      <w:r w:rsidRPr="003E2DE0">
        <w:rPr>
          <w:rFonts w:ascii="Open Sans" w:hAnsi="Open Sans" w:cs="Open Sans"/>
        </w:rPr>
        <w:t>Thus</w:t>
      </w:r>
      <w:proofErr w:type="gramEnd"/>
      <w:r w:rsidRPr="003E2DE0">
        <w:rPr>
          <w:rFonts w:ascii="Open Sans" w:hAnsi="Open Sans" w:cs="Open Sans"/>
        </w:rPr>
        <w:t xml:space="preserve"> it is significantly </w:t>
      </w:r>
      <w:proofErr w:type="spellStart"/>
      <w:r w:rsidRPr="003E2DE0">
        <w:rPr>
          <w:rFonts w:ascii="Open Sans" w:hAnsi="Open Sans" w:cs="Open Sans"/>
        </w:rPr>
        <w:t>underpriced</w:t>
      </w:r>
      <w:proofErr w:type="spellEnd"/>
      <w:r w:rsidRPr="003E2DE0">
        <w:rPr>
          <w:rFonts w:ascii="Open Sans" w:hAnsi="Open Sans" w:cs="Open Sans"/>
        </w:rPr>
        <w:t>, which belies its value to the system’s stability. Also, most reactive power is currently compensated under a regulated price which does not reflect its true value to the system.</w:t>
      </w:r>
    </w:p>
    <w:p w14:paraId="66B4D7DA" w14:textId="77777777" w:rsidR="00EF0635" w:rsidRPr="00EF0635" w:rsidRDefault="00EF0635" w:rsidP="00EF0635">
      <w:pPr>
        <w:pStyle w:val="ListParagraph"/>
        <w:spacing w:after="160" w:line="259" w:lineRule="auto"/>
        <w:ind w:left="1440"/>
        <w:rPr>
          <w:rFonts w:ascii="Open Sans" w:eastAsia="Calibri" w:hAnsi="Open Sans" w:cs="Open Sans"/>
        </w:rPr>
      </w:pPr>
    </w:p>
    <w:p w14:paraId="3EC21E3C" w14:textId="53D70261" w:rsidR="007A5D0A" w:rsidRPr="003E2DE0" w:rsidRDefault="007A5D0A" w:rsidP="007A5D0A">
      <w:pPr>
        <w:pStyle w:val="ListParagraph"/>
        <w:numPr>
          <w:ilvl w:val="0"/>
          <w:numId w:val="24"/>
        </w:numPr>
        <w:spacing w:after="160" w:line="259" w:lineRule="auto"/>
        <w:rPr>
          <w:rFonts w:ascii="Open Sans" w:eastAsia="Calibri" w:hAnsi="Open Sans" w:cs="Open Sans"/>
        </w:rPr>
      </w:pPr>
      <w:r w:rsidRPr="003E2DE0">
        <w:rPr>
          <w:rFonts w:ascii="Open Sans" w:eastAsia="Calibri" w:hAnsi="Open Sans" w:cs="Open Sans"/>
          <w:b/>
          <w:bCs/>
        </w:rPr>
        <w:t>Network Constraints:</w:t>
      </w:r>
      <w:r w:rsidRPr="003E2DE0">
        <w:rPr>
          <w:rFonts w:ascii="Open Sans" w:hAnsi="Open Sans" w:cs="Open Sans"/>
          <w:bCs/>
        </w:rPr>
        <w:t xml:space="preserve"> </w:t>
      </w:r>
    </w:p>
    <w:p w14:paraId="7A833474" w14:textId="77777777" w:rsidR="00157D8B" w:rsidRPr="003E2DE0" w:rsidRDefault="00157D8B" w:rsidP="003E2DE0">
      <w:pPr>
        <w:pStyle w:val="ListParagraph"/>
        <w:spacing w:after="160" w:line="259" w:lineRule="auto"/>
        <w:rPr>
          <w:rFonts w:ascii="Open Sans" w:eastAsia="Calibri" w:hAnsi="Open Sans" w:cs="Open Sans"/>
        </w:rPr>
      </w:pPr>
    </w:p>
    <w:p w14:paraId="380EB492" w14:textId="77777777"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hAnsi="Open Sans" w:cs="Open Sans"/>
          <w:bCs/>
        </w:rPr>
        <w:t>The transmission system and distribution systems need to transfer large amounts of energy from the generation areas to major load centres. Network constraints limit the amount of power that can be transferred from where it is generated to where it is consumed. The prime example of this in GB is the Scottish-English border where at times of high wind generation more power is generated in Scotland than can be carried to the large demand centres in England. Where this is the case, National Grid ESO uses the Balancing Mechanism (BM) to redispatch plants from the market schedule to a profile which can be delivered given the network constraints.</w:t>
      </w:r>
    </w:p>
    <w:p w14:paraId="27321789" w14:textId="52CE1730"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hAnsi="Open Sans" w:cs="Open Sans"/>
          <w:bCs/>
        </w:rPr>
        <w:t>The potential for storage to reduce the cost of managing network constraints, by deferring or avoiding the need for network reinforcement where efficient to do so, remains largely untapped, as the current market provides limited price signals to reflect this. National Grid ESO’s efforts to explore the role that storage could play in addressing network constraints is welcome.</w:t>
      </w:r>
      <w:r w:rsidRPr="003E2DE0">
        <w:rPr>
          <w:rStyle w:val="FootnoteReference"/>
          <w:rFonts w:ascii="Open Sans" w:hAnsi="Open Sans" w:cs="Open Sans"/>
          <w:bCs/>
        </w:rPr>
        <w:footnoteReference w:id="17"/>
      </w:r>
      <w:r w:rsidRPr="003E2DE0">
        <w:rPr>
          <w:rFonts w:ascii="Open Sans" w:hAnsi="Open Sans" w:cs="Open Sans"/>
          <w:bCs/>
        </w:rPr>
        <w:t xml:space="preserve"> However, effective competition between network and commercial service providers can only happen if there is </w:t>
      </w:r>
      <w:r w:rsidR="00852387">
        <w:rPr>
          <w:rFonts w:ascii="Open Sans" w:hAnsi="Open Sans" w:cs="Open Sans"/>
          <w:bCs/>
        </w:rPr>
        <w:t>a level playing field.</w:t>
      </w:r>
    </w:p>
    <w:p w14:paraId="47BDBC15" w14:textId="77777777" w:rsidR="007A5D0A" w:rsidRPr="003E2DE0" w:rsidRDefault="007A5D0A" w:rsidP="007A5D0A">
      <w:pPr>
        <w:pStyle w:val="ListParagraph"/>
        <w:numPr>
          <w:ilvl w:val="1"/>
          <w:numId w:val="24"/>
        </w:numPr>
        <w:spacing w:after="160" w:line="259" w:lineRule="auto"/>
        <w:rPr>
          <w:rFonts w:ascii="Open Sans" w:eastAsia="Calibri" w:hAnsi="Open Sans" w:cs="Open Sans"/>
        </w:rPr>
      </w:pPr>
      <w:r w:rsidRPr="003E2DE0">
        <w:rPr>
          <w:rFonts w:ascii="Open Sans" w:hAnsi="Open Sans" w:cs="Open Sans"/>
        </w:rPr>
        <w:t>While certain components that make up network charges could be charged in a more dynamic and cost-reflective manner to incentivise flexibility, these signals alone would most likely be insufficient (</w:t>
      </w:r>
      <w:proofErr w:type="gramStart"/>
      <w:r w:rsidRPr="003E2DE0">
        <w:rPr>
          <w:rFonts w:ascii="Open Sans" w:hAnsi="Open Sans" w:cs="Open Sans"/>
        </w:rPr>
        <w:t>i.e.</w:t>
      </w:r>
      <w:proofErr w:type="gramEnd"/>
      <w:r w:rsidRPr="003E2DE0">
        <w:rPr>
          <w:rFonts w:ascii="Open Sans" w:hAnsi="Open Sans" w:cs="Open Sans"/>
        </w:rPr>
        <w:t xml:space="preserve"> they would not provide an adequate and bankable revenue stream to incentivise investment in capital-intensive projects). </w:t>
      </w:r>
    </w:p>
    <w:p w14:paraId="7E83EA1F" w14:textId="475C5D36"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Together the factors set out above create an onerous environment for investment in longer-duration storage projects. Some of the barriers detailed above, such as the lack of certainty over returns, can be particularly</w:t>
      </w:r>
      <w:r w:rsidR="00C07D5F">
        <w:rPr>
          <w:rFonts w:ascii="Open Sans" w:hAnsi="Open Sans" w:cs="Open Sans"/>
          <w:b w:val="0"/>
          <w:sz w:val="22"/>
        </w:rPr>
        <w:t xml:space="preserve"> </w:t>
      </w:r>
      <w:r w:rsidRPr="003E2DE0">
        <w:rPr>
          <w:rFonts w:ascii="Open Sans" w:hAnsi="Open Sans" w:cs="Open Sans"/>
          <w:b w:val="0"/>
          <w:sz w:val="22"/>
        </w:rPr>
        <w:t>difficult to overcome where projects involve high Capex requirements and long lead-time before they begin operation (</w:t>
      </w:r>
      <w:proofErr w:type="gramStart"/>
      <w:r w:rsidRPr="003E2DE0">
        <w:rPr>
          <w:rFonts w:ascii="Open Sans" w:hAnsi="Open Sans" w:cs="Open Sans"/>
          <w:b w:val="0"/>
          <w:sz w:val="22"/>
        </w:rPr>
        <w:t>e.g.</w:t>
      </w:r>
      <w:proofErr w:type="gramEnd"/>
      <w:r w:rsidRPr="003E2DE0">
        <w:rPr>
          <w:rFonts w:ascii="Open Sans" w:hAnsi="Open Sans" w:cs="Open Sans"/>
          <w:b w:val="0"/>
          <w:sz w:val="22"/>
        </w:rPr>
        <w:t xml:space="preserve"> 6-8 years). </w:t>
      </w:r>
      <w:r w:rsidR="00BB0989">
        <w:rPr>
          <w:rFonts w:ascii="Open Sans" w:hAnsi="Open Sans" w:cs="Open Sans"/>
          <w:b w:val="0"/>
          <w:sz w:val="22"/>
        </w:rPr>
        <w:t>The barriers that inhibit all large-scale, longer-duration energy storage projects present a strong risk for investors looking to aid the development of full-scale plants using new or partially new technology.</w:t>
      </w:r>
    </w:p>
    <w:p w14:paraId="71456767" w14:textId="77777777" w:rsidR="00157D8B" w:rsidRDefault="00157D8B" w:rsidP="007A5D0A">
      <w:pPr>
        <w:rPr>
          <w:rStyle w:val="CommentReference"/>
        </w:rPr>
      </w:pPr>
    </w:p>
    <w:p w14:paraId="71C52CF3" w14:textId="287D7D87" w:rsidR="007A5D0A" w:rsidRPr="003E2DE0" w:rsidRDefault="007A5D0A" w:rsidP="007A5D0A">
      <w:pPr>
        <w:rPr>
          <w:rFonts w:ascii="Open Sans" w:hAnsi="Open Sans" w:cs="Open Sans"/>
          <w:b/>
          <w:bCs/>
          <w:i/>
          <w:iCs/>
        </w:rPr>
      </w:pPr>
      <w:r w:rsidRPr="003E2DE0">
        <w:rPr>
          <w:rFonts w:ascii="Open Sans" w:hAnsi="Open Sans" w:cs="Open Sans"/>
          <w:b/>
          <w:bCs/>
          <w:i/>
          <w:iCs/>
        </w:rPr>
        <w:t>Case study of barriers to deployment: A proposed CAES facility in Cheshire</w:t>
      </w:r>
    </w:p>
    <w:p w14:paraId="345A5C4A" w14:textId="77777777" w:rsidR="007A5D0A" w:rsidRPr="003E2DE0" w:rsidRDefault="007A5D0A" w:rsidP="007A5D0A">
      <w:pPr>
        <w:rPr>
          <w:rFonts w:ascii="Open Sans" w:hAnsi="Open Sans" w:cs="Open Sans"/>
        </w:rPr>
      </w:pPr>
      <w:r w:rsidRPr="003E2DE0">
        <w:rPr>
          <w:rFonts w:ascii="Open Sans" w:hAnsi="Open Sans" w:cs="Open Sans"/>
        </w:rPr>
        <w:t xml:space="preserve">This case study concerns </w:t>
      </w:r>
      <w:proofErr w:type="spellStart"/>
      <w:r w:rsidRPr="003E2DE0">
        <w:rPr>
          <w:rFonts w:ascii="Open Sans" w:hAnsi="Open Sans" w:cs="Open Sans"/>
        </w:rPr>
        <w:t>Storelectric’s</w:t>
      </w:r>
      <w:proofErr w:type="spellEnd"/>
      <w:r w:rsidRPr="003E2DE0">
        <w:rPr>
          <w:rFonts w:ascii="Open Sans" w:hAnsi="Open Sans" w:cs="Open Sans"/>
        </w:rPr>
        <w:t xml:space="preserve"> proposals for a 40-100MW CAES facility providing around 5 hours of energy storage duration, including the potential application of Thermal Energy Storage (TES) which could be run with green hydrogen, with a high level of grid-to-grid efficiency.</w:t>
      </w:r>
      <w:r w:rsidRPr="003E2DE0">
        <w:rPr>
          <w:rStyle w:val="FootnoteReference"/>
          <w:rFonts w:ascii="Open Sans" w:hAnsi="Open Sans" w:cs="Open Sans"/>
        </w:rPr>
        <w:footnoteReference w:id="18"/>
      </w:r>
    </w:p>
    <w:p w14:paraId="09936006" w14:textId="77777777" w:rsidR="007A5D0A" w:rsidRPr="003E2DE0" w:rsidRDefault="007A5D0A" w:rsidP="007A5D0A">
      <w:pPr>
        <w:rPr>
          <w:rFonts w:ascii="Open Sans" w:hAnsi="Open Sans" w:cs="Open Sans"/>
        </w:rPr>
      </w:pPr>
      <w:proofErr w:type="spellStart"/>
      <w:r w:rsidRPr="003E2DE0">
        <w:rPr>
          <w:rFonts w:ascii="Open Sans" w:hAnsi="Open Sans" w:cs="Open Sans"/>
        </w:rPr>
        <w:t>Storelectric’s</w:t>
      </w:r>
      <w:proofErr w:type="spellEnd"/>
      <w:r w:rsidRPr="003E2DE0">
        <w:rPr>
          <w:rFonts w:ascii="Open Sans" w:hAnsi="Open Sans" w:cs="Open Sans"/>
        </w:rPr>
        <w:t xml:space="preserve"> proposals concern several salt caverns which are man-made and pre-existing, in an area where there is active solution mining of salt as a feedstock for the chemical industry; though elsewhere, salt caverns can be created specifically for this purpose. </w:t>
      </w:r>
    </w:p>
    <w:p w14:paraId="75D77130" w14:textId="77777777" w:rsidR="007A5D0A" w:rsidRPr="003E2DE0" w:rsidRDefault="007A5D0A" w:rsidP="007A5D0A">
      <w:pPr>
        <w:rPr>
          <w:rFonts w:ascii="Open Sans" w:hAnsi="Open Sans" w:cs="Open Sans"/>
        </w:rPr>
      </w:pPr>
      <w:r w:rsidRPr="003E2DE0">
        <w:rPr>
          <w:rFonts w:ascii="Open Sans" w:hAnsi="Open Sans" w:cs="Open Sans"/>
        </w:rPr>
        <w:t xml:space="preserve">CAES systems can provide a range of services to national and local electricity grid operators, which will be vital to help manage the grid as we progress towards Net Zero, including natural inertia (in </w:t>
      </w:r>
      <w:r w:rsidRPr="003E2DE0">
        <w:rPr>
          <w:rFonts w:ascii="Open Sans" w:hAnsi="Open Sans" w:cs="Open Sans"/>
        </w:rPr>
        <w:lastRenderedPageBreak/>
        <w:t xml:space="preserve">this case, delivered 24/7), stability, voltage/frequency control, imbalance pricing and arbitrage hedging services, Black Start, Power Purchase Agreements, and other services. </w:t>
      </w:r>
    </w:p>
    <w:p w14:paraId="651E2251" w14:textId="77777777" w:rsidR="007A5D0A" w:rsidRPr="003E2DE0" w:rsidRDefault="007A5D0A" w:rsidP="007A5D0A">
      <w:pPr>
        <w:rPr>
          <w:rFonts w:ascii="Open Sans" w:hAnsi="Open Sans" w:cs="Open Sans"/>
        </w:rPr>
      </w:pPr>
      <w:r w:rsidRPr="003E2DE0">
        <w:rPr>
          <w:rFonts w:ascii="Open Sans" w:hAnsi="Open Sans" w:cs="Open Sans"/>
        </w:rPr>
        <w:t xml:space="preserve">Moreover, there are a very wide range of viable salt cavern location sites in the UK, with potential for far greater deployment. These often coincide with areas of intensive former industrial activity and with coastal areas close to wind farms, where the grid is currently heavily constrained. Pressure on the grid will only increase as the energy transition progresses. Co- location of storage and wind farms can help reduce capital costs and help deliver both balancing and stability services where the grid most needs them. Development of these sites would therefore fit with the Government’s ‘levelling up’ agenda which seeks to regenerate post-industrial regions, and they would also take up little space above ground. They also support the government’s green agenda, enabling the cost-effective, </w:t>
      </w:r>
      <w:proofErr w:type="gramStart"/>
      <w:r w:rsidRPr="003E2DE0">
        <w:rPr>
          <w:rFonts w:ascii="Open Sans" w:hAnsi="Open Sans" w:cs="Open Sans"/>
        </w:rPr>
        <w:t>reliable</w:t>
      </w:r>
      <w:proofErr w:type="gramEnd"/>
      <w:r w:rsidRPr="003E2DE0">
        <w:rPr>
          <w:rFonts w:ascii="Open Sans" w:hAnsi="Open Sans" w:cs="Open Sans"/>
        </w:rPr>
        <w:t xml:space="preserve"> and resilient decarbonisation of the grid.</w:t>
      </w:r>
    </w:p>
    <w:p w14:paraId="50175C36" w14:textId="77777777" w:rsidR="007A5D0A" w:rsidRPr="003E2DE0" w:rsidRDefault="007A5D0A" w:rsidP="007A5D0A">
      <w:pPr>
        <w:rPr>
          <w:rFonts w:ascii="Open Sans" w:hAnsi="Open Sans" w:cs="Open Sans"/>
        </w:rPr>
      </w:pPr>
      <w:r w:rsidRPr="003E2DE0">
        <w:rPr>
          <w:rFonts w:ascii="Open Sans" w:hAnsi="Open Sans" w:cs="Open Sans"/>
        </w:rPr>
        <w:t xml:space="preserve">Many of the key requirements to make this site viable are in place. Planning authorities and the local populace are supportive of salt cavern development and use in the area. Contractors who are interested in supplying the equipment, and system operators for the long-term management of the facility, have provided written statements of intent in the project and in other potential sites for development. </w:t>
      </w:r>
    </w:p>
    <w:p w14:paraId="2B3954D7" w14:textId="77777777" w:rsidR="007A5D0A" w:rsidRPr="003E2DE0" w:rsidRDefault="007A5D0A" w:rsidP="007A5D0A">
      <w:pPr>
        <w:rPr>
          <w:rFonts w:ascii="Open Sans" w:hAnsi="Open Sans" w:cs="Open Sans"/>
        </w:rPr>
      </w:pPr>
      <w:r w:rsidRPr="003E2DE0">
        <w:rPr>
          <w:rFonts w:ascii="Open Sans" w:hAnsi="Open Sans" w:cs="Open Sans"/>
        </w:rPr>
        <w:t>While these projects have been appraised by third parties as economically viable there does however, remain one major barrier to the development of the proposals – longer term security of returns for investors. As a pioneering project for a technology which is proven but which has not yet been deployed in this version, investors cannot currently have full confidence about the levels of long-term returns on the project.</w:t>
      </w:r>
    </w:p>
    <w:p w14:paraId="5FC8F19D" w14:textId="77777777" w:rsidR="00F273A2" w:rsidRDefault="008776F2" w:rsidP="007A5D0A">
      <w:pPr>
        <w:rPr>
          <w:rFonts w:ascii="Open Sans" w:hAnsi="Open Sans" w:cs="Open Sans"/>
        </w:rPr>
      </w:pPr>
      <w:r>
        <w:rPr>
          <w:rFonts w:ascii="Open Sans" w:hAnsi="Open Sans" w:cs="Open Sans"/>
        </w:rPr>
        <w:t>For first-of-a-kind plants such as that outlined in this case study, the absence of a long-term contract</w:t>
      </w:r>
      <w:r w:rsidR="00FD3E48">
        <w:rPr>
          <w:rFonts w:ascii="Open Sans" w:hAnsi="Open Sans" w:cs="Open Sans"/>
        </w:rPr>
        <w:t xml:space="preserve"> prior to construction, and planning consent,</w:t>
      </w:r>
      <w:r>
        <w:rPr>
          <w:rFonts w:ascii="Open Sans" w:hAnsi="Open Sans" w:cs="Open Sans"/>
        </w:rPr>
        <w:t xml:space="preserve"> can present an insurmountable risk for investors. </w:t>
      </w:r>
      <w:r w:rsidR="007A5D0A" w:rsidRPr="003E2DE0">
        <w:rPr>
          <w:rFonts w:ascii="Open Sans" w:hAnsi="Open Sans" w:cs="Open Sans"/>
        </w:rPr>
        <w:t xml:space="preserve">The short lengths of contracts for energy storage are a particular barrier for such projects, which require several years to develop and will be operational for many years beyond the short contracts on offer, along with the lack of financial reward for providing important services to the grid such as inertia. Contracts for services tend to have a short period between the contract being tendered and agreed, and the commencement of services, which further hinders the development of assets, due to the long construction time and length of time required to undertake grid connection works. Though not a perfect solution, the development of Enhanced Frequency Response contracts, with a term around half the life of a battery was an important step in increasing the deployment of batteries as it provided greater certainty for investors than before. </w:t>
      </w:r>
    </w:p>
    <w:p w14:paraId="5178920C" w14:textId="2AA73F84" w:rsidR="007A5D0A" w:rsidRDefault="007A5D0A" w:rsidP="007A5D0A">
      <w:pPr>
        <w:rPr>
          <w:rFonts w:ascii="Open Sans" w:hAnsi="Open Sans" w:cs="Open Sans"/>
        </w:rPr>
      </w:pPr>
      <w:r w:rsidRPr="003E2DE0">
        <w:rPr>
          <w:rFonts w:ascii="Open Sans" w:hAnsi="Open Sans" w:cs="Open Sans"/>
        </w:rPr>
        <w:t xml:space="preserve">The salami slicing of services, where different services have separate contracts, also complicates navigating the market for larger, longer-duration assets which </w:t>
      </w:r>
      <w:proofErr w:type="gramStart"/>
      <w:r w:rsidRPr="003E2DE0">
        <w:rPr>
          <w:rFonts w:ascii="Open Sans" w:hAnsi="Open Sans" w:cs="Open Sans"/>
        </w:rPr>
        <w:t>are able to</w:t>
      </w:r>
      <w:proofErr w:type="gramEnd"/>
      <w:r w:rsidRPr="003E2DE0">
        <w:rPr>
          <w:rFonts w:ascii="Open Sans" w:hAnsi="Open Sans" w:cs="Open Sans"/>
        </w:rPr>
        <w:t xml:space="preserve"> provide a range of services, as investors need to be confident of gaining several different services contracts to make the business model viable. </w:t>
      </w:r>
    </w:p>
    <w:p w14:paraId="6D3C66D2" w14:textId="41416526" w:rsidR="00F273A2" w:rsidRDefault="00F273A2" w:rsidP="007A5D0A">
      <w:pPr>
        <w:rPr>
          <w:rFonts w:ascii="Open Sans" w:hAnsi="Open Sans" w:cs="Open Sans"/>
        </w:rPr>
      </w:pPr>
    </w:p>
    <w:p w14:paraId="04D23B26" w14:textId="1033DA34" w:rsidR="00F273A2" w:rsidRDefault="00F273A2" w:rsidP="007A5D0A">
      <w:pPr>
        <w:rPr>
          <w:rFonts w:ascii="Open Sans" w:hAnsi="Open Sans" w:cs="Open Sans"/>
        </w:rPr>
      </w:pPr>
    </w:p>
    <w:p w14:paraId="3046B59D" w14:textId="23B20EC5" w:rsidR="00F273A2" w:rsidRDefault="00F273A2" w:rsidP="007A5D0A">
      <w:pPr>
        <w:rPr>
          <w:rFonts w:ascii="Open Sans" w:hAnsi="Open Sans" w:cs="Open Sans"/>
        </w:rPr>
      </w:pPr>
    </w:p>
    <w:p w14:paraId="00ED6107" w14:textId="0B3B4336" w:rsidR="00F273A2" w:rsidRDefault="00F273A2" w:rsidP="007A5D0A">
      <w:pPr>
        <w:rPr>
          <w:rFonts w:ascii="Open Sans" w:hAnsi="Open Sans" w:cs="Open Sans"/>
        </w:rPr>
      </w:pPr>
    </w:p>
    <w:p w14:paraId="7B8E2A7B" w14:textId="1800B5E9" w:rsidR="00F273A2" w:rsidRDefault="00F273A2" w:rsidP="007A5D0A">
      <w:pPr>
        <w:rPr>
          <w:rFonts w:ascii="Open Sans" w:hAnsi="Open Sans" w:cs="Open Sans"/>
        </w:rPr>
      </w:pPr>
    </w:p>
    <w:p w14:paraId="6E4F5D9F" w14:textId="75C77C84" w:rsidR="00F273A2" w:rsidRDefault="00F273A2" w:rsidP="007A5D0A">
      <w:pPr>
        <w:rPr>
          <w:rFonts w:ascii="Open Sans" w:hAnsi="Open Sans" w:cs="Open Sans"/>
        </w:rPr>
      </w:pPr>
    </w:p>
    <w:p w14:paraId="0100D98E" w14:textId="18A6CAF8" w:rsidR="00F273A2" w:rsidRDefault="00F273A2" w:rsidP="007A5D0A">
      <w:pPr>
        <w:rPr>
          <w:rFonts w:ascii="Open Sans" w:hAnsi="Open Sans" w:cs="Open Sans"/>
        </w:rPr>
      </w:pPr>
    </w:p>
    <w:p w14:paraId="51C55047" w14:textId="77777777" w:rsidR="00F273A2" w:rsidRDefault="00F273A2" w:rsidP="007A5D0A">
      <w:pPr>
        <w:rPr>
          <w:rFonts w:ascii="Open Sans" w:hAnsi="Open Sans" w:cs="Open Sans"/>
        </w:rPr>
      </w:pPr>
    </w:p>
    <w:p w14:paraId="55BB0145" w14:textId="022C9AFC" w:rsidR="00F273A2" w:rsidRDefault="00F273A2" w:rsidP="007A5D0A">
      <w:pPr>
        <w:rPr>
          <w:rFonts w:ascii="Open Sans" w:hAnsi="Open Sans" w:cs="Open Sans"/>
        </w:rPr>
      </w:pPr>
    </w:p>
    <w:p w14:paraId="0442685A" w14:textId="02A9FE06" w:rsidR="00F273A2" w:rsidRDefault="00F273A2" w:rsidP="007A5D0A">
      <w:pPr>
        <w:rPr>
          <w:rFonts w:ascii="Open Sans" w:hAnsi="Open Sans" w:cs="Open Sans"/>
        </w:rPr>
      </w:pPr>
    </w:p>
    <w:p w14:paraId="4E82CE90" w14:textId="77777777" w:rsidR="00F273A2" w:rsidRPr="003E2DE0" w:rsidRDefault="00F273A2" w:rsidP="007A5D0A">
      <w:pPr>
        <w:rPr>
          <w:rFonts w:ascii="Open Sans" w:hAnsi="Open Sans" w:cs="Open Sans"/>
        </w:rPr>
      </w:pPr>
    </w:p>
    <w:p w14:paraId="07766F92" w14:textId="5A4BEEC4" w:rsidR="007A5D0A" w:rsidRPr="003E2DE0" w:rsidRDefault="007A5D0A" w:rsidP="003E2DE0">
      <w:pPr>
        <w:spacing w:after="0" w:line="240" w:lineRule="auto"/>
        <w:jc w:val="both"/>
        <w:rPr>
          <w:rFonts w:ascii="Futura PT Book" w:eastAsiaTheme="majorEastAsia" w:hAnsi="Futura PT Book" w:cs="Open Sans"/>
          <w:b/>
          <w:bCs/>
          <w:sz w:val="28"/>
          <w:szCs w:val="28"/>
        </w:rPr>
      </w:pPr>
      <w:r w:rsidRPr="003E2DE0">
        <w:rPr>
          <w:rFonts w:ascii="Futura PT Book" w:eastAsiaTheme="majorEastAsia" w:hAnsi="Futura PT Book" w:cs="Open Sans"/>
          <w:b/>
          <w:bCs/>
          <w:sz w:val="28"/>
          <w:szCs w:val="28"/>
        </w:rPr>
        <w:t xml:space="preserve">Enabling investment in Longer-Duration Energy Storage Projects </w:t>
      </w:r>
    </w:p>
    <w:p w14:paraId="65A2EEC8" w14:textId="77777777" w:rsidR="007A5D0A" w:rsidRPr="008E497E" w:rsidRDefault="007A5D0A" w:rsidP="008E497E">
      <w:pPr>
        <w:spacing w:after="0" w:line="240" w:lineRule="auto"/>
        <w:jc w:val="both"/>
        <w:rPr>
          <w:rFonts w:ascii="Open Sans" w:eastAsiaTheme="majorEastAsia" w:hAnsi="Open Sans" w:cs="Open Sans"/>
          <w:color w:val="4472C4" w:themeColor="accent1"/>
          <w:u w:val="single"/>
        </w:rPr>
      </w:pPr>
    </w:p>
    <w:p w14:paraId="36AF5815"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The </w:t>
      </w:r>
      <w:bookmarkStart w:id="5" w:name="_Hlk56937222"/>
      <w:r w:rsidRPr="003E2DE0">
        <w:rPr>
          <w:rFonts w:ascii="Open Sans" w:hAnsi="Open Sans" w:cs="Open Sans"/>
          <w:b w:val="0"/>
          <w:sz w:val="22"/>
        </w:rPr>
        <w:t>current merchant model presents a significant barrier to the development of large-scale, longer-duration energy storage projects</w:t>
      </w:r>
      <w:bookmarkEnd w:id="5"/>
      <w:r w:rsidRPr="003E2DE0">
        <w:rPr>
          <w:rFonts w:ascii="Open Sans" w:hAnsi="Open Sans" w:cs="Open Sans"/>
          <w:b w:val="0"/>
          <w:sz w:val="22"/>
        </w:rPr>
        <w:t xml:space="preserve">. Given the long construction period of large infrastructure projects, and the time that will be required for consenting and procurement, </w:t>
      </w:r>
      <w:r w:rsidRPr="003E2DE0">
        <w:rPr>
          <w:rFonts w:ascii="Open Sans" w:hAnsi="Open Sans" w:cs="Open Sans"/>
          <w:bCs/>
          <w:sz w:val="22"/>
        </w:rPr>
        <w:t>action needs to be taken now</w:t>
      </w:r>
      <w:r w:rsidRPr="003E2DE0">
        <w:rPr>
          <w:rFonts w:ascii="Open Sans" w:hAnsi="Open Sans" w:cs="Open Sans"/>
          <w:b w:val="0"/>
          <w:sz w:val="22"/>
        </w:rPr>
        <w:t xml:space="preserve"> if we are to see the first batch of new longer-duration storage commissioned by 2030. Therefore, while a more fundamental review of the market design may be desirable, we believe that government, supported by Ofgem, should aim to </w:t>
      </w:r>
      <w:r w:rsidRPr="003E2DE0">
        <w:rPr>
          <w:rFonts w:ascii="Open Sans" w:hAnsi="Open Sans" w:cs="Open Sans"/>
          <w:bCs/>
          <w:sz w:val="22"/>
        </w:rPr>
        <w:t xml:space="preserve">establish a future-proof income stabilisation mechanism to de-risk investment in longer-duration energy storage, building on the existing market arrangements. </w:t>
      </w:r>
      <w:r w:rsidRPr="003E2DE0">
        <w:rPr>
          <w:rFonts w:ascii="Open Sans" w:hAnsi="Open Sans" w:cs="Open Sans"/>
          <w:b w:val="0"/>
          <w:sz w:val="22"/>
        </w:rPr>
        <w:t xml:space="preserve"> This would enable longer-duration energy storage projects to truly compete with smaller-scale and shorter-duration technologies that require a much smaller Capex but target the same revenue streams. Such a mechanism would be a significant and ‘no regrets’ step towards setting the UK on track to achieve Net Zero target by 2050.</w:t>
      </w:r>
    </w:p>
    <w:p w14:paraId="7FD2E6E8" w14:textId="77777777" w:rsidR="007A5D0A" w:rsidRPr="003E2DE0" w:rsidRDefault="007A5D0A" w:rsidP="007A5D0A">
      <w:pPr>
        <w:pStyle w:val="07NumberedBodySubheading"/>
        <w:jc w:val="both"/>
        <w:rPr>
          <w:rFonts w:ascii="Open Sans" w:hAnsi="Open Sans" w:cs="Open Sans"/>
          <w:b w:val="0"/>
          <w:sz w:val="22"/>
        </w:rPr>
      </w:pPr>
    </w:p>
    <w:p w14:paraId="58F144D8"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The REA considers it important that the mechanism should meet the following criteria:</w:t>
      </w:r>
    </w:p>
    <w:p w14:paraId="3AEB0855" w14:textId="77777777" w:rsidR="007A5D0A" w:rsidRPr="003E2DE0" w:rsidRDefault="007A5D0A" w:rsidP="007A5D0A">
      <w:pPr>
        <w:pStyle w:val="07NumberedBodySubheading"/>
        <w:jc w:val="both"/>
        <w:rPr>
          <w:rFonts w:ascii="Open Sans" w:hAnsi="Open Sans" w:cs="Open Sans"/>
          <w:b w:val="0"/>
          <w:sz w:val="22"/>
        </w:rPr>
      </w:pPr>
    </w:p>
    <w:p w14:paraId="65AB7400" w14:textId="77777777" w:rsidR="007A5D0A" w:rsidRPr="003E2DE0" w:rsidRDefault="007A5D0A" w:rsidP="007A5D0A">
      <w:pPr>
        <w:pStyle w:val="07NumberedBodySubheading"/>
        <w:numPr>
          <w:ilvl w:val="0"/>
          <w:numId w:val="27"/>
        </w:numPr>
        <w:jc w:val="both"/>
        <w:rPr>
          <w:rFonts w:ascii="Open Sans" w:hAnsi="Open Sans" w:cs="Open Sans"/>
          <w:b w:val="0"/>
          <w:sz w:val="22"/>
        </w:rPr>
      </w:pPr>
      <w:r w:rsidRPr="003E2DE0">
        <w:rPr>
          <w:rFonts w:ascii="Open Sans" w:hAnsi="Open Sans" w:cs="Open Sans"/>
          <w:b w:val="0"/>
          <w:sz w:val="22"/>
        </w:rPr>
        <w:t xml:space="preserve">Compatible with the operational profile of storage, incentivising efficient dispatch through price </w:t>
      </w:r>
      <w:proofErr w:type="gramStart"/>
      <w:r w:rsidRPr="003E2DE0">
        <w:rPr>
          <w:rFonts w:ascii="Open Sans" w:hAnsi="Open Sans" w:cs="Open Sans"/>
          <w:b w:val="0"/>
          <w:sz w:val="22"/>
        </w:rPr>
        <w:t>signals</w:t>
      </w:r>
      <w:proofErr w:type="gramEnd"/>
      <w:r w:rsidRPr="003E2DE0">
        <w:rPr>
          <w:rFonts w:ascii="Open Sans" w:hAnsi="Open Sans" w:cs="Open Sans"/>
          <w:b w:val="0"/>
          <w:sz w:val="22"/>
        </w:rPr>
        <w:t xml:space="preserve"> </w:t>
      </w:r>
    </w:p>
    <w:p w14:paraId="7D8E1D01" w14:textId="77777777" w:rsidR="007A5D0A" w:rsidRPr="003E2DE0" w:rsidRDefault="007A5D0A" w:rsidP="007A5D0A">
      <w:pPr>
        <w:pStyle w:val="07NumberedBodySubheading"/>
        <w:numPr>
          <w:ilvl w:val="0"/>
          <w:numId w:val="27"/>
        </w:numPr>
        <w:jc w:val="both"/>
        <w:rPr>
          <w:rFonts w:ascii="Open Sans" w:hAnsi="Open Sans" w:cs="Open Sans"/>
          <w:b w:val="0"/>
          <w:sz w:val="22"/>
        </w:rPr>
      </w:pPr>
      <w:r w:rsidRPr="003E2DE0">
        <w:rPr>
          <w:rFonts w:ascii="Open Sans" w:hAnsi="Open Sans" w:cs="Open Sans"/>
          <w:b w:val="0"/>
          <w:sz w:val="22"/>
        </w:rPr>
        <w:t>De-risks investments effectively, reducing the cost of capital, while protecting consumers from undue risks and excessive costs.</w:t>
      </w:r>
    </w:p>
    <w:p w14:paraId="4FFBBCFA" w14:textId="7D0B6616" w:rsidR="007A5D0A" w:rsidRPr="003E2DE0" w:rsidRDefault="007A5D0A" w:rsidP="007A5D0A">
      <w:pPr>
        <w:pStyle w:val="07NumberedBodySubheading"/>
        <w:numPr>
          <w:ilvl w:val="0"/>
          <w:numId w:val="27"/>
        </w:numPr>
        <w:jc w:val="both"/>
        <w:rPr>
          <w:rFonts w:ascii="Open Sans" w:hAnsi="Open Sans" w:cs="Open Sans"/>
          <w:b w:val="0"/>
          <w:sz w:val="22"/>
        </w:rPr>
      </w:pPr>
      <w:r w:rsidRPr="003E2DE0">
        <w:rPr>
          <w:rFonts w:ascii="Open Sans" w:hAnsi="Open Sans" w:cs="Open Sans"/>
          <w:b w:val="0"/>
          <w:sz w:val="22"/>
        </w:rPr>
        <w:t>Enables participation from a range of technologies,</w:t>
      </w:r>
      <w:r w:rsidR="00FD3E48">
        <w:rPr>
          <w:rFonts w:ascii="Open Sans" w:hAnsi="Open Sans" w:cs="Open Sans"/>
          <w:b w:val="0"/>
          <w:sz w:val="22"/>
        </w:rPr>
        <w:t xml:space="preserve"> including emerging ones,</w:t>
      </w:r>
      <w:r w:rsidRPr="003E2DE0">
        <w:rPr>
          <w:rFonts w:ascii="Open Sans" w:hAnsi="Open Sans" w:cs="Open Sans"/>
          <w:b w:val="0"/>
          <w:sz w:val="22"/>
        </w:rPr>
        <w:t xml:space="preserve"> ensuring </w:t>
      </w:r>
      <w:bookmarkStart w:id="6" w:name="_Hlk62552270"/>
      <w:r w:rsidRPr="003E2DE0">
        <w:rPr>
          <w:rFonts w:ascii="Open Sans" w:hAnsi="Open Sans" w:cs="Open Sans"/>
          <w:b w:val="0"/>
          <w:sz w:val="22"/>
        </w:rPr>
        <w:t xml:space="preserve">effective competition in the </w:t>
      </w:r>
      <w:proofErr w:type="gramStart"/>
      <w:r w:rsidRPr="003E2DE0">
        <w:rPr>
          <w:rFonts w:ascii="Open Sans" w:hAnsi="Open Sans" w:cs="Open Sans"/>
          <w:b w:val="0"/>
          <w:sz w:val="22"/>
        </w:rPr>
        <w:t>process</w:t>
      </w:r>
      <w:proofErr w:type="gramEnd"/>
      <w:r w:rsidRPr="003E2DE0">
        <w:rPr>
          <w:rFonts w:ascii="Open Sans" w:hAnsi="Open Sans" w:cs="Open Sans"/>
          <w:b w:val="0"/>
          <w:sz w:val="22"/>
        </w:rPr>
        <w:t xml:space="preserve"> and encouraging </w:t>
      </w:r>
      <w:bookmarkEnd w:id="6"/>
      <w:r w:rsidRPr="003E2DE0">
        <w:rPr>
          <w:rFonts w:ascii="Open Sans" w:hAnsi="Open Sans" w:cs="Open Sans"/>
          <w:b w:val="0"/>
          <w:sz w:val="22"/>
        </w:rPr>
        <w:t xml:space="preserve">growth of new technologies. </w:t>
      </w:r>
    </w:p>
    <w:p w14:paraId="078DA85A" w14:textId="77777777" w:rsidR="007A5D0A" w:rsidRPr="003E2DE0" w:rsidRDefault="007A5D0A" w:rsidP="007A5D0A">
      <w:pPr>
        <w:pStyle w:val="07NumberedBodySubheading"/>
        <w:ind w:left="720"/>
        <w:jc w:val="both"/>
        <w:rPr>
          <w:rFonts w:ascii="Open Sans" w:hAnsi="Open Sans" w:cs="Open Sans"/>
          <w:b w:val="0"/>
          <w:sz w:val="22"/>
        </w:rPr>
      </w:pPr>
    </w:p>
    <w:p w14:paraId="60803CE4"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Meeting these criteria will be necessary to ensure the growth in deployment of longer-duration energy storage technologies.</w:t>
      </w:r>
    </w:p>
    <w:p w14:paraId="32ACD983" w14:textId="77777777" w:rsidR="007A5D0A" w:rsidRPr="003E2DE0" w:rsidRDefault="007A5D0A" w:rsidP="007A5D0A">
      <w:pPr>
        <w:pStyle w:val="07NumberedBodySubheading"/>
        <w:jc w:val="both"/>
        <w:rPr>
          <w:rFonts w:ascii="Open Sans" w:hAnsi="Open Sans" w:cs="Open Sans"/>
          <w:b w:val="0"/>
          <w:sz w:val="22"/>
        </w:rPr>
      </w:pPr>
    </w:p>
    <w:p w14:paraId="2C213289"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Below </w:t>
      </w:r>
      <w:r w:rsidRPr="000526D3">
        <w:rPr>
          <w:rFonts w:ascii="Open Sans" w:hAnsi="Open Sans" w:cs="Open Sans"/>
          <w:b w:val="0"/>
          <w:sz w:val="22"/>
        </w:rPr>
        <w:t>we use a ‘</w:t>
      </w:r>
      <w:r w:rsidRPr="00F273A2">
        <w:rPr>
          <w:rFonts w:ascii="Open Sans" w:hAnsi="Open Sans" w:cs="Open Sans"/>
          <w:b w:val="0"/>
          <w:sz w:val="22"/>
        </w:rPr>
        <w:t>traffic light’ (green, amber, red</w:t>
      </w:r>
      <w:r w:rsidRPr="000526D3">
        <w:rPr>
          <w:rFonts w:ascii="Open Sans" w:hAnsi="Open Sans" w:cs="Open Sans"/>
          <w:b w:val="0"/>
          <w:sz w:val="22"/>
        </w:rPr>
        <w:t>) scoring approach to illustrate how four different approaches to revenue stabilisation would meet these</w:t>
      </w:r>
      <w:r w:rsidRPr="003E2DE0">
        <w:rPr>
          <w:rFonts w:ascii="Open Sans" w:hAnsi="Open Sans" w:cs="Open Sans"/>
          <w:b w:val="0"/>
          <w:sz w:val="22"/>
        </w:rPr>
        <w:t xml:space="preserve"> criteria when applied to longer-duration storage projects. We recognise that the extent to which the different mechanisms meet certain criteria is largely contingent on their detailed design, which may vary. </w:t>
      </w:r>
    </w:p>
    <w:p w14:paraId="109C713D" w14:textId="77777777" w:rsidR="007A5D0A" w:rsidRPr="003E2DE0" w:rsidRDefault="007A5D0A" w:rsidP="007A5D0A">
      <w:pPr>
        <w:pStyle w:val="07NumberedBodySubheading"/>
        <w:jc w:val="both"/>
        <w:rPr>
          <w:rFonts w:ascii="Open Sans" w:hAnsi="Open Sans" w:cs="Open Sans"/>
          <w:b w:val="0"/>
          <w:sz w:val="22"/>
        </w:rPr>
      </w:pPr>
    </w:p>
    <w:p w14:paraId="5CB0DEDD" w14:textId="7777777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The mechanisms assessed are:</w:t>
      </w:r>
    </w:p>
    <w:p w14:paraId="0862BCD9" w14:textId="77777777" w:rsidR="007A5D0A" w:rsidRPr="003E2DE0" w:rsidRDefault="007A5D0A" w:rsidP="007A5D0A">
      <w:pPr>
        <w:pStyle w:val="07NumberedBodySubheading"/>
        <w:jc w:val="both"/>
        <w:rPr>
          <w:rFonts w:ascii="Open Sans" w:hAnsi="Open Sans" w:cs="Open Sans"/>
          <w:b w:val="0"/>
          <w:sz w:val="22"/>
        </w:rPr>
      </w:pPr>
    </w:p>
    <w:p w14:paraId="4EF38E46" w14:textId="77777777" w:rsidR="007A5D0A" w:rsidRPr="003E2DE0" w:rsidRDefault="007A5D0A" w:rsidP="007A5D0A">
      <w:pPr>
        <w:pStyle w:val="07NumberedBodySubheading"/>
        <w:numPr>
          <w:ilvl w:val="0"/>
          <w:numId w:val="28"/>
        </w:numPr>
        <w:jc w:val="both"/>
        <w:rPr>
          <w:rFonts w:ascii="Open Sans" w:hAnsi="Open Sans" w:cs="Open Sans"/>
          <w:b w:val="0"/>
          <w:sz w:val="22"/>
        </w:rPr>
      </w:pPr>
      <w:r w:rsidRPr="003E2DE0">
        <w:rPr>
          <w:rFonts w:ascii="Open Sans" w:hAnsi="Open Sans" w:cs="Open Sans"/>
          <w:b w:val="0"/>
          <w:sz w:val="22"/>
        </w:rPr>
        <w:t xml:space="preserve">Income </w:t>
      </w:r>
      <w:proofErr w:type="gramStart"/>
      <w:r w:rsidRPr="003E2DE0">
        <w:rPr>
          <w:rFonts w:ascii="Open Sans" w:hAnsi="Open Sans" w:cs="Open Sans"/>
          <w:b w:val="0"/>
          <w:sz w:val="22"/>
        </w:rPr>
        <w:t>Floor;</w:t>
      </w:r>
      <w:proofErr w:type="gramEnd"/>
    </w:p>
    <w:p w14:paraId="70A5EB2B" w14:textId="7989C527" w:rsidR="007A5D0A" w:rsidRPr="003E2DE0" w:rsidRDefault="007A5D0A" w:rsidP="007A5D0A">
      <w:pPr>
        <w:pStyle w:val="07NumberedBodySubheading"/>
        <w:numPr>
          <w:ilvl w:val="0"/>
          <w:numId w:val="28"/>
        </w:numPr>
        <w:jc w:val="both"/>
        <w:rPr>
          <w:rFonts w:ascii="Open Sans" w:hAnsi="Open Sans" w:cs="Open Sans"/>
          <w:b w:val="0"/>
          <w:sz w:val="22"/>
        </w:rPr>
      </w:pPr>
      <w:r w:rsidRPr="003E2DE0">
        <w:rPr>
          <w:rFonts w:ascii="Open Sans" w:hAnsi="Open Sans" w:cs="Open Sans"/>
          <w:b w:val="0"/>
          <w:sz w:val="22"/>
        </w:rPr>
        <w:t>Regulatory Asset Base (RAB</w:t>
      </w:r>
      <w:proofErr w:type="gramStart"/>
      <w:r w:rsidR="00EF0635">
        <w:rPr>
          <w:rFonts w:ascii="Open Sans" w:hAnsi="Open Sans" w:cs="Open Sans"/>
          <w:b w:val="0"/>
          <w:sz w:val="22"/>
        </w:rPr>
        <w:t>)</w:t>
      </w:r>
      <w:r w:rsidRPr="003E2DE0">
        <w:rPr>
          <w:rFonts w:ascii="Open Sans" w:hAnsi="Open Sans" w:cs="Open Sans"/>
          <w:b w:val="0"/>
          <w:sz w:val="22"/>
        </w:rPr>
        <w:t>;</w:t>
      </w:r>
      <w:proofErr w:type="gramEnd"/>
    </w:p>
    <w:p w14:paraId="283BC55C" w14:textId="77777777" w:rsidR="007A5D0A" w:rsidRPr="003E2DE0" w:rsidRDefault="007A5D0A" w:rsidP="007A5D0A">
      <w:pPr>
        <w:pStyle w:val="07NumberedBodySubheading"/>
        <w:numPr>
          <w:ilvl w:val="0"/>
          <w:numId w:val="28"/>
        </w:numPr>
        <w:jc w:val="both"/>
        <w:rPr>
          <w:rFonts w:ascii="Open Sans" w:hAnsi="Open Sans" w:cs="Open Sans"/>
          <w:b w:val="0"/>
          <w:sz w:val="22"/>
        </w:rPr>
      </w:pPr>
      <w:r w:rsidRPr="003E2DE0">
        <w:rPr>
          <w:rFonts w:ascii="Open Sans" w:hAnsi="Open Sans" w:cs="Open Sans"/>
          <w:b w:val="0"/>
          <w:sz w:val="22"/>
        </w:rPr>
        <w:t>Capacity Market (CM</w:t>
      </w:r>
      <w:proofErr w:type="gramStart"/>
      <w:r w:rsidRPr="003E2DE0">
        <w:rPr>
          <w:rFonts w:ascii="Open Sans" w:hAnsi="Open Sans" w:cs="Open Sans"/>
          <w:b w:val="0"/>
          <w:sz w:val="22"/>
        </w:rPr>
        <w:t>);</w:t>
      </w:r>
      <w:proofErr w:type="gramEnd"/>
    </w:p>
    <w:p w14:paraId="3C96BBA6" w14:textId="0CB07B34" w:rsidR="007A5D0A" w:rsidRPr="003E2DE0" w:rsidRDefault="007A5D0A" w:rsidP="003E2DE0">
      <w:pPr>
        <w:pStyle w:val="07NumberedBodySubheading"/>
        <w:numPr>
          <w:ilvl w:val="0"/>
          <w:numId w:val="28"/>
        </w:numPr>
        <w:jc w:val="both"/>
        <w:rPr>
          <w:rFonts w:ascii="Open Sans" w:hAnsi="Open Sans" w:cs="Open Sans"/>
          <w:b w:val="0"/>
          <w:sz w:val="22"/>
        </w:rPr>
        <w:sectPr w:rsidR="007A5D0A" w:rsidRPr="003E2DE0" w:rsidSect="000D11DC">
          <w:footerReference w:type="default" r:id="rId17"/>
          <w:pgSz w:w="11906" w:h="16838"/>
          <w:pgMar w:top="1440" w:right="1080" w:bottom="1440" w:left="1080" w:header="708" w:footer="708" w:gutter="0"/>
          <w:cols w:space="708"/>
          <w:docGrid w:linePitch="360"/>
        </w:sectPr>
      </w:pPr>
      <w:r w:rsidRPr="003E2DE0">
        <w:rPr>
          <w:rFonts w:ascii="Open Sans" w:hAnsi="Open Sans" w:cs="Open Sans"/>
          <w:b w:val="0"/>
          <w:sz w:val="22"/>
        </w:rPr>
        <w:t>Contracts for Difference (</w:t>
      </w:r>
      <w:proofErr w:type="spellStart"/>
      <w:r w:rsidRPr="003E2DE0">
        <w:rPr>
          <w:rFonts w:ascii="Open Sans" w:hAnsi="Open Sans" w:cs="Open Sans"/>
          <w:b w:val="0"/>
          <w:sz w:val="22"/>
        </w:rPr>
        <w:t>CfD</w:t>
      </w:r>
      <w:proofErr w:type="spellEnd"/>
      <w:r w:rsidRPr="003E2DE0">
        <w:rPr>
          <w:rFonts w:ascii="Open Sans" w:hAnsi="Open Sans" w:cs="Open Sans"/>
          <w:b w:val="0"/>
          <w:sz w:val="22"/>
        </w:rPr>
        <w:t>).</w:t>
      </w:r>
    </w:p>
    <w:p w14:paraId="7DA9A372" w14:textId="77777777" w:rsidR="007A5D0A" w:rsidRPr="003E2DE0" w:rsidRDefault="007A5D0A" w:rsidP="007A5D0A">
      <w:pPr>
        <w:pStyle w:val="07NumberedBodySubheading"/>
        <w:rPr>
          <w:rFonts w:ascii="Open Sans" w:hAnsi="Open Sans" w:cs="Open Sans"/>
          <w:b w:val="0"/>
          <w:sz w:val="22"/>
        </w:rPr>
      </w:pPr>
    </w:p>
    <w:tbl>
      <w:tblPr>
        <w:tblStyle w:val="TableGrid"/>
        <w:tblW w:w="14232" w:type="dxa"/>
        <w:tblLook w:val="04A0" w:firstRow="1" w:lastRow="0" w:firstColumn="1" w:lastColumn="0" w:noHBand="0" w:noVBand="1"/>
      </w:tblPr>
      <w:tblGrid>
        <w:gridCol w:w="2391"/>
        <w:gridCol w:w="2342"/>
        <w:gridCol w:w="2492"/>
        <w:gridCol w:w="2976"/>
        <w:gridCol w:w="4031"/>
      </w:tblGrid>
      <w:tr w:rsidR="007A5D0A" w:rsidRPr="003E2DE0" w14:paraId="1BB70575" w14:textId="77777777" w:rsidTr="008728EB">
        <w:trPr>
          <w:trHeight w:val="387"/>
        </w:trPr>
        <w:tc>
          <w:tcPr>
            <w:tcW w:w="2391" w:type="dxa"/>
            <w:shd w:val="clear" w:color="auto" w:fill="D9E2F3" w:themeFill="accent1" w:themeFillTint="33"/>
          </w:tcPr>
          <w:p w14:paraId="6FF04BF0" w14:textId="77777777" w:rsidR="007A5D0A" w:rsidRPr="003E2DE0" w:rsidRDefault="007A5D0A" w:rsidP="000D11DC">
            <w:pPr>
              <w:pStyle w:val="07NumberedBodySubheading"/>
              <w:rPr>
                <w:rFonts w:ascii="Open Sans" w:hAnsi="Open Sans" w:cs="Open Sans"/>
                <w:sz w:val="22"/>
              </w:rPr>
            </w:pPr>
            <w:r w:rsidRPr="003E2DE0">
              <w:rPr>
                <w:rFonts w:ascii="Open Sans" w:hAnsi="Open Sans" w:cs="Open Sans"/>
              </w:rPr>
              <w:t>Criteria</w:t>
            </w:r>
          </w:p>
        </w:tc>
        <w:tc>
          <w:tcPr>
            <w:tcW w:w="2342" w:type="dxa"/>
            <w:shd w:val="clear" w:color="auto" w:fill="D9E2F3" w:themeFill="accent1" w:themeFillTint="33"/>
          </w:tcPr>
          <w:p w14:paraId="709E3C62" w14:textId="77777777" w:rsidR="007A5D0A" w:rsidRPr="003E2DE0" w:rsidRDefault="007A5D0A" w:rsidP="000D11DC">
            <w:pPr>
              <w:pStyle w:val="07NumberedBodySubheading"/>
              <w:rPr>
                <w:rFonts w:ascii="Open Sans" w:hAnsi="Open Sans" w:cs="Open Sans"/>
                <w:sz w:val="22"/>
              </w:rPr>
            </w:pPr>
            <w:r w:rsidRPr="003E2DE0">
              <w:rPr>
                <w:rFonts w:ascii="Open Sans" w:hAnsi="Open Sans" w:cs="Open Sans"/>
              </w:rPr>
              <w:t>Income Floor</w:t>
            </w:r>
            <w:r w:rsidRPr="003E2DE0">
              <w:rPr>
                <w:rFonts w:ascii="Open Sans" w:hAnsi="Open Sans" w:cs="Open Sans"/>
              </w:rPr>
              <w:br/>
            </w:r>
          </w:p>
        </w:tc>
        <w:tc>
          <w:tcPr>
            <w:tcW w:w="2492" w:type="dxa"/>
            <w:shd w:val="clear" w:color="auto" w:fill="D9E2F3" w:themeFill="accent1" w:themeFillTint="33"/>
          </w:tcPr>
          <w:p w14:paraId="017F61BC" w14:textId="77777777" w:rsidR="007A5D0A" w:rsidRPr="003E2DE0" w:rsidRDefault="007A5D0A" w:rsidP="000D11DC">
            <w:pPr>
              <w:pStyle w:val="07NumberedBodySubheading"/>
              <w:rPr>
                <w:rFonts w:ascii="Open Sans" w:hAnsi="Open Sans" w:cs="Open Sans"/>
                <w:sz w:val="22"/>
              </w:rPr>
            </w:pPr>
            <w:r w:rsidRPr="003E2DE0">
              <w:rPr>
                <w:rFonts w:ascii="Open Sans" w:hAnsi="Open Sans" w:cs="Open Sans"/>
              </w:rPr>
              <w:t>Regulated Asset Base (RAB)</w:t>
            </w:r>
          </w:p>
        </w:tc>
        <w:tc>
          <w:tcPr>
            <w:tcW w:w="2976" w:type="dxa"/>
            <w:tcBorders>
              <w:bottom w:val="single" w:sz="4" w:space="0" w:color="auto"/>
            </w:tcBorders>
            <w:shd w:val="clear" w:color="auto" w:fill="D9E2F3" w:themeFill="accent1" w:themeFillTint="33"/>
          </w:tcPr>
          <w:p w14:paraId="0ED50C97" w14:textId="77777777" w:rsidR="007A5D0A" w:rsidRPr="003E2DE0" w:rsidRDefault="007A5D0A" w:rsidP="000D11DC">
            <w:pPr>
              <w:pStyle w:val="07NumberedBodySubheading"/>
              <w:rPr>
                <w:rFonts w:ascii="Open Sans" w:hAnsi="Open Sans" w:cs="Open Sans"/>
                <w:sz w:val="22"/>
              </w:rPr>
            </w:pPr>
            <w:r w:rsidRPr="003E2DE0">
              <w:rPr>
                <w:rFonts w:ascii="Open Sans" w:hAnsi="Open Sans" w:cs="Open Sans"/>
              </w:rPr>
              <w:t>Capacity Market (CM)</w:t>
            </w:r>
          </w:p>
        </w:tc>
        <w:tc>
          <w:tcPr>
            <w:tcW w:w="4031" w:type="dxa"/>
            <w:tcBorders>
              <w:bottom w:val="single" w:sz="4" w:space="0" w:color="auto"/>
            </w:tcBorders>
            <w:shd w:val="clear" w:color="auto" w:fill="D9E2F3" w:themeFill="accent1" w:themeFillTint="33"/>
          </w:tcPr>
          <w:p w14:paraId="1E50C58A" w14:textId="77777777" w:rsidR="007A5D0A" w:rsidRPr="003E2DE0" w:rsidRDefault="007A5D0A" w:rsidP="000D11DC">
            <w:pPr>
              <w:pStyle w:val="07NumberedBodySubheading"/>
              <w:rPr>
                <w:rFonts w:ascii="Open Sans" w:hAnsi="Open Sans" w:cs="Open Sans"/>
                <w:sz w:val="22"/>
              </w:rPr>
            </w:pPr>
            <w:r w:rsidRPr="003E2DE0">
              <w:rPr>
                <w:rFonts w:ascii="Open Sans" w:hAnsi="Open Sans" w:cs="Open Sans"/>
              </w:rPr>
              <w:t>Contracts for Difference (</w:t>
            </w:r>
            <w:proofErr w:type="spellStart"/>
            <w:r w:rsidRPr="003E2DE0">
              <w:rPr>
                <w:rFonts w:ascii="Open Sans" w:hAnsi="Open Sans" w:cs="Open Sans"/>
              </w:rPr>
              <w:t>CfD</w:t>
            </w:r>
            <w:proofErr w:type="spellEnd"/>
            <w:r w:rsidRPr="003E2DE0">
              <w:rPr>
                <w:rFonts w:ascii="Open Sans" w:hAnsi="Open Sans" w:cs="Open Sans"/>
              </w:rPr>
              <w:t>)</w:t>
            </w:r>
          </w:p>
        </w:tc>
      </w:tr>
      <w:tr w:rsidR="007A5D0A" w:rsidRPr="003E2DE0" w14:paraId="258A3E73" w14:textId="77777777" w:rsidTr="008728EB">
        <w:trPr>
          <w:trHeight w:val="2381"/>
        </w:trPr>
        <w:tc>
          <w:tcPr>
            <w:tcW w:w="2391" w:type="dxa"/>
            <w:shd w:val="clear" w:color="auto" w:fill="D9E2F3" w:themeFill="accent1" w:themeFillTint="33"/>
          </w:tcPr>
          <w:p w14:paraId="57590BD1" w14:textId="77777777" w:rsidR="007A5D0A" w:rsidRPr="003E2DE0" w:rsidRDefault="007A5D0A" w:rsidP="000D11DC">
            <w:pPr>
              <w:pStyle w:val="07NumberedBodySubheading"/>
              <w:rPr>
                <w:rFonts w:ascii="Open Sans" w:hAnsi="Open Sans" w:cs="Open Sans"/>
                <w:bCs/>
                <w:i/>
                <w:iCs/>
                <w:szCs w:val="20"/>
              </w:rPr>
            </w:pPr>
            <w:r w:rsidRPr="003E2DE0">
              <w:rPr>
                <w:rFonts w:ascii="Open Sans" w:hAnsi="Open Sans" w:cs="Open Sans"/>
                <w:bCs/>
                <w:i/>
                <w:iCs/>
                <w:szCs w:val="20"/>
              </w:rPr>
              <w:t>1) Compatible with the operational profile of storage, incentivising efficient dispatch through price signals</w:t>
            </w:r>
          </w:p>
        </w:tc>
        <w:tc>
          <w:tcPr>
            <w:tcW w:w="2342" w:type="dxa"/>
            <w:shd w:val="clear" w:color="auto" w:fill="A8D08D" w:themeFill="accent6" w:themeFillTint="99"/>
          </w:tcPr>
          <w:p w14:paraId="0E273CDD" w14:textId="05EF3156"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t>Under the Income Floor model, dispatch decisions would still be driven by price signals (</w:t>
            </w:r>
            <w:proofErr w:type="gramStart"/>
            <w:r w:rsidRPr="003E2DE0">
              <w:rPr>
                <w:rFonts w:ascii="Open Sans" w:hAnsi="Open Sans" w:cs="Open Sans"/>
                <w:b w:val="0"/>
                <w:szCs w:val="20"/>
              </w:rPr>
              <w:t>e.g.</w:t>
            </w:r>
            <w:proofErr w:type="gramEnd"/>
            <w:r w:rsidRPr="003E2DE0">
              <w:rPr>
                <w:rFonts w:ascii="Open Sans" w:hAnsi="Open Sans" w:cs="Open Sans"/>
                <w:b w:val="0"/>
                <w:szCs w:val="20"/>
              </w:rPr>
              <w:t xml:space="preserve"> wholesale market, balancing market, ancillary services).</w:t>
            </w:r>
            <w:r w:rsidR="00FD3E48">
              <w:rPr>
                <w:rFonts w:ascii="Open Sans" w:hAnsi="Open Sans" w:cs="Open Sans"/>
                <w:b w:val="0"/>
                <w:szCs w:val="20"/>
              </w:rPr>
              <w:t xml:space="preserve"> An Income Floor model would </w:t>
            </w:r>
            <w:r w:rsidR="00FE0A9E">
              <w:rPr>
                <w:rFonts w:ascii="Open Sans" w:hAnsi="Open Sans" w:cs="Open Sans"/>
                <w:b w:val="0"/>
                <w:szCs w:val="20"/>
              </w:rPr>
              <w:t>give energy storage providers an incentive to maximise the commercial value of plant operation, a benefit to consumers also.</w:t>
            </w:r>
          </w:p>
        </w:tc>
        <w:tc>
          <w:tcPr>
            <w:tcW w:w="2492" w:type="dxa"/>
            <w:shd w:val="clear" w:color="auto" w:fill="FFD966" w:themeFill="accent4" w:themeFillTint="99"/>
          </w:tcPr>
          <w:p w14:paraId="1256A3AF" w14:textId="77777777"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t>Would involve complex design to incentivise efficient operation though price signals, but theoretically it could be possible.</w:t>
            </w:r>
          </w:p>
        </w:tc>
        <w:tc>
          <w:tcPr>
            <w:tcW w:w="2976" w:type="dxa"/>
            <w:shd w:val="clear" w:color="auto" w:fill="FFD966" w:themeFill="accent4" w:themeFillTint="99"/>
          </w:tcPr>
          <w:p w14:paraId="6007060C" w14:textId="61B30430" w:rsidR="007A5D0A" w:rsidRPr="003E2DE0" w:rsidRDefault="007A5D0A" w:rsidP="000D11DC">
            <w:pPr>
              <w:pStyle w:val="07NumberedBodySubheading"/>
              <w:rPr>
                <w:rFonts w:ascii="Open Sans" w:hAnsi="Open Sans" w:cs="Open Sans"/>
                <w:b w:val="0"/>
                <w:color w:val="000000" w:themeColor="text1"/>
                <w:szCs w:val="20"/>
              </w:rPr>
            </w:pPr>
            <w:r w:rsidRPr="003E2DE0">
              <w:rPr>
                <w:rFonts w:ascii="Open Sans" w:hAnsi="Open Sans" w:cs="Open Sans"/>
                <w:b w:val="0"/>
                <w:color w:val="000000" w:themeColor="text1"/>
                <w:szCs w:val="20"/>
              </w:rPr>
              <w:t>As currently designed, the CM does not incentivise flexibility or consider other system needs that longer-duration storage can address (</w:t>
            </w:r>
            <w:proofErr w:type="gramStart"/>
            <w:r w:rsidRPr="003E2DE0">
              <w:rPr>
                <w:rFonts w:ascii="Open Sans" w:hAnsi="Open Sans" w:cs="Open Sans"/>
                <w:b w:val="0"/>
                <w:color w:val="000000" w:themeColor="text1"/>
                <w:szCs w:val="20"/>
              </w:rPr>
              <w:t>e.g.</w:t>
            </w:r>
            <w:proofErr w:type="gramEnd"/>
            <w:r w:rsidRPr="003E2DE0">
              <w:rPr>
                <w:rFonts w:ascii="Open Sans" w:hAnsi="Open Sans" w:cs="Open Sans"/>
                <w:b w:val="0"/>
                <w:color w:val="000000" w:themeColor="text1"/>
                <w:szCs w:val="20"/>
              </w:rPr>
              <w:t xml:space="preserve"> ancillary services).</w:t>
            </w:r>
          </w:p>
        </w:tc>
        <w:tc>
          <w:tcPr>
            <w:tcW w:w="4031" w:type="dxa"/>
            <w:shd w:val="clear" w:color="auto" w:fill="F6573C"/>
          </w:tcPr>
          <w:p w14:paraId="06166E18" w14:textId="3D70B31D" w:rsidR="007A5D0A" w:rsidRPr="00EF0635" w:rsidRDefault="007A5D0A" w:rsidP="00EF0635">
            <w:pPr>
              <w:pStyle w:val="07NumberedBodySubheading"/>
              <w:rPr>
                <w:rFonts w:ascii="Open Sans" w:hAnsi="Open Sans" w:cs="Open Sans"/>
                <w:b w:val="0"/>
                <w:color w:val="000000" w:themeColor="text1"/>
                <w:szCs w:val="20"/>
              </w:rPr>
            </w:pPr>
            <w:r w:rsidRPr="003E2DE0">
              <w:rPr>
                <w:rFonts w:ascii="Open Sans" w:hAnsi="Open Sans" w:cs="Open Sans"/>
                <w:b w:val="0"/>
                <w:color w:val="000000" w:themeColor="text1"/>
                <w:szCs w:val="20"/>
              </w:rPr>
              <w:t>Incentivises plant to maximise their energy production (guaranteed price per MWh produced). This is incompatible with the operational profile of storage which should be incentivised to import electricity when prices are low and export at times of scarcity</w:t>
            </w:r>
            <w:r w:rsidR="00FD3E48">
              <w:rPr>
                <w:rFonts w:ascii="Open Sans" w:hAnsi="Open Sans" w:cs="Open Sans"/>
                <w:b w:val="0"/>
                <w:color w:val="000000" w:themeColor="text1"/>
                <w:szCs w:val="20"/>
              </w:rPr>
              <w:t>, and to maximise delivery of value-added services.</w:t>
            </w:r>
          </w:p>
        </w:tc>
      </w:tr>
      <w:tr w:rsidR="007A5D0A" w:rsidRPr="003E2DE0" w14:paraId="4539407E" w14:textId="77777777" w:rsidTr="008728EB">
        <w:trPr>
          <w:trHeight w:val="270"/>
        </w:trPr>
        <w:tc>
          <w:tcPr>
            <w:tcW w:w="2391" w:type="dxa"/>
            <w:shd w:val="clear" w:color="auto" w:fill="D9E2F3" w:themeFill="accent1" w:themeFillTint="33"/>
          </w:tcPr>
          <w:p w14:paraId="438A904D" w14:textId="77777777" w:rsidR="007A5D0A" w:rsidRPr="003E2DE0" w:rsidRDefault="007A5D0A" w:rsidP="000D11DC">
            <w:pPr>
              <w:pStyle w:val="07NumberedBodySubheading"/>
              <w:rPr>
                <w:rFonts w:ascii="Open Sans" w:hAnsi="Open Sans" w:cs="Open Sans"/>
                <w:bCs/>
                <w:i/>
                <w:iCs/>
                <w:szCs w:val="20"/>
              </w:rPr>
            </w:pPr>
            <w:r w:rsidRPr="003E2DE0">
              <w:rPr>
                <w:rFonts w:ascii="Open Sans" w:hAnsi="Open Sans" w:cs="Open Sans"/>
                <w:bCs/>
                <w:i/>
                <w:iCs/>
                <w:szCs w:val="20"/>
              </w:rPr>
              <w:t>2) De-risks investments effectively, reducing the cost of capital, while protecting consumers from undue risks and higher costs.</w:t>
            </w:r>
          </w:p>
        </w:tc>
        <w:tc>
          <w:tcPr>
            <w:tcW w:w="2342" w:type="dxa"/>
            <w:shd w:val="clear" w:color="auto" w:fill="A8D08D" w:themeFill="accent6" w:themeFillTint="99"/>
          </w:tcPr>
          <w:p w14:paraId="35CEC199" w14:textId="0AFCD977" w:rsidR="007A5D0A" w:rsidRDefault="007A5D0A" w:rsidP="000D11DC">
            <w:pPr>
              <w:pStyle w:val="07NumberedBodySubheading"/>
              <w:rPr>
                <w:rFonts w:ascii="Open Sans" w:hAnsi="Open Sans" w:cs="Open Sans"/>
                <w:b w:val="0"/>
                <w:szCs w:val="20"/>
              </w:rPr>
            </w:pPr>
            <w:r w:rsidRPr="003E2DE0">
              <w:rPr>
                <w:rFonts w:ascii="Open Sans" w:hAnsi="Open Sans" w:cs="Open Sans"/>
                <w:b w:val="0"/>
                <w:szCs w:val="20"/>
              </w:rPr>
              <w:t>The Income Floor model would de-risk all revenue streams (</w:t>
            </w:r>
            <w:proofErr w:type="gramStart"/>
            <w:r w:rsidRPr="003E2DE0">
              <w:rPr>
                <w:rFonts w:ascii="Open Sans" w:hAnsi="Open Sans" w:cs="Open Sans"/>
                <w:b w:val="0"/>
                <w:szCs w:val="20"/>
              </w:rPr>
              <w:t>i.e.</w:t>
            </w:r>
            <w:proofErr w:type="gramEnd"/>
            <w:r w:rsidRPr="003E2DE0">
              <w:rPr>
                <w:rFonts w:ascii="Open Sans" w:hAnsi="Open Sans" w:cs="Open Sans"/>
                <w:b w:val="0"/>
                <w:szCs w:val="20"/>
              </w:rPr>
              <w:t xml:space="preserve"> energy, capacity and ancillary services), providing long-term certainty (e.g. 20 years) to investors. This should reduce the cost of capital, benefiting investors and consumers. </w:t>
            </w:r>
          </w:p>
          <w:p w14:paraId="212F7396" w14:textId="347214AA" w:rsidR="000526D3" w:rsidRDefault="000526D3" w:rsidP="000D11DC">
            <w:pPr>
              <w:pStyle w:val="07NumberedBodySubheading"/>
              <w:rPr>
                <w:rFonts w:ascii="Open Sans" w:hAnsi="Open Sans" w:cs="Open Sans"/>
                <w:b w:val="0"/>
                <w:szCs w:val="20"/>
              </w:rPr>
            </w:pPr>
          </w:p>
          <w:p w14:paraId="178F8910" w14:textId="5DB04CB8" w:rsidR="000526D3" w:rsidRPr="003E2DE0" w:rsidRDefault="000526D3" w:rsidP="000D11DC">
            <w:pPr>
              <w:pStyle w:val="07NumberedBodySubheading"/>
              <w:rPr>
                <w:rFonts w:ascii="Open Sans" w:hAnsi="Open Sans" w:cs="Open Sans"/>
                <w:b w:val="0"/>
                <w:szCs w:val="20"/>
              </w:rPr>
            </w:pPr>
            <w:r>
              <w:rPr>
                <w:rFonts w:ascii="Open Sans" w:hAnsi="Open Sans" w:cs="Open Sans"/>
                <w:b w:val="0"/>
                <w:szCs w:val="20"/>
              </w:rPr>
              <w:t xml:space="preserve">REA acknowledges that the Government may consider including a ‘cap’ as part of an </w:t>
            </w:r>
            <w:r>
              <w:rPr>
                <w:rFonts w:ascii="Open Sans" w:hAnsi="Open Sans" w:cs="Open Sans"/>
                <w:b w:val="0"/>
                <w:szCs w:val="20"/>
              </w:rPr>
              <w:lastRenderedPageBreak/>
              <w:t>income floor mechanism – in which instance a high cap should be used to avoid disincentivising investment. Revenue above the cap could be used to support a wide shared across funding pots for a wide range of energy storage technologies.</w:t>
            </w:r>
          </w:p>
          <w:p w14:paraId="57E5EC70" w14:textId="77777777" w:rsidR="007A5D0A" w:rsidRPr="003E2DE0" w:rsidRDefault="007A5D0A" w:rsidP="000D11DC">
            <w:pPr>
              <w:pStyle w:val="07NumberedBodySubheading"/>
              <w:rPr>
                <w:rFonts w:ascii="Open Sans" w:hAnsi="Open Sans" w:cs="Open Sans"/>
                <w:b w:val="0"/>
                <w:szCs w:val="20"/>
              </w:rPr>
            </w:pPr>
          </w:p>
          <w:p w14:paraId="2AAC6712" w14:textId="77777777"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t xml:space="preserve">Construction risks would sit with the developer, removing exposure of consumers. However, this could make it more difficult for emerging technologies to attract investor support. </w:t>
            </w:r>
          </w:p>
        </w:tc>
        <w:tc>
          <w:tcPr>
            <w:tcW w:w="2492" w:type="dxa"/>
            <w:shd w:val="clear" w:color="auto" w:fill="A8D08D" w:themeFill="accent6" w:themeFillTint="99"/>
          </w:tcPr>
          <w:p w14:paraId="32FAE3F9" w14:textId="77777777"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lastRenderedPageBreak/>
              <w:t>The traditional RAB approach regulates returns fully, de-risking the investment more than the other mechanisms.</w:t>
            </w:r>
          </w:p>
          <w:p w14:paraId="5E089767" w14:textId="77777777"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br/>
              <w:t xml:space="preserve">Investors benefit from high levels of protection from risks, including during the construction phase. From an investor perspective, this is favourable when considering investment in technologies that are </w:t>
            </w:r>
            <w:r w:rsidRPr="003E2DE0">
              <w:rPr>
                <w:rFonts w:ascii="Open Sans" w:hAnsi="Open Sans" w:cs="Open Sans"/>
                <w:b w:val="0"/>
                <w:szCs w:val="20"/>
              </w:rPr>
              <w:lastRenderedPageBreak/>
              <w:t>relatively new to the energy market.</w:t>
            </w:r>
          </w:p>
          <w:p w14:paraId="0AA5435B" w14:textId="77777777"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t xml:space="preserve">However, this means customers may face risks from cost overruns (depending on the detailed methodology set by the regulator). </w:t>
            </w:r>
          </w:p>
        </w:tc>
        <w:tc>
          <w:tcPr>
            <w:tcW w:w="2976" w:type="dxa"/>
            <w:tcBorders>
              <w:bottom w:val="nil"/>
            </w:tcBorders>
            <w:shd w:val="clear" w:color="auto" w:fill="F6573C"/>
          </w:tcPr>
          <w:p w14:paraId="0115B3FB" w14:textId="1C265986" w:rsidR="007A5D0A" w:rsidRPr="003E2DE0" w:rsidRDefault="007A5D0A" w:rsidP="000D11DC">
            <w:pPr>
              <w:pStyle w:val="07NumberedBodySubheading"/>
              <w:rPr>
                <w:rFonts w:ascii="Open Sans" w:hAnsi="Open Sans" w:cs="Open Sans"/>
                <w:b w:val="0"/>
                <w:color w:val="000000" w:themeColor="text1"/>
                <w:szCs w:val="20"/>
              </w:rPr>
            </w:pPr>
            <w:r w:rsidRPr="003E2DE0">
              <w:rPr>
                <w:rFonts w:ascii="Open Sans" w:hAnsi="Open Sans" w:cs="Open Sans"/>
                <w:b w:val="0"/>
                <w:color w:val="000000" w:themeColor="text1"/>
                <w:szCs w:val="20"/>
              </w:rPr>
              <w:lastRenderedPageBreak/>
              <w:t xml:space="preserve">The CM leaves investors exposed to merchant risk from </w:t>
            </w:r>
            <w:r w:rsidR="00EF0635">
              <w:rPr>
                <w:rFonts w:ascii="Open Sans" w:hAnsi="Open Sans" w:cs="Open Sans"/>
                <w:b w:val="0"/>
                <w:color w:val="000000" w:themeColor="text1"/>
                <w:szCs w:val="20"/>
              </w:rPr>
              <w:t>energy arbitrage and system support</w:t>
            </w:r>
            <w:r w:rsidRPr="003E2DE0">
              <w:rPr>
                <w:rFonts w:ascii="Open Sans" w:hAnsi="Open Sans" w:cs="Open Sans"/>
                <w:b w:val="0"/>
                <w:color w:val="000000" w:themeColor="text1"/>
                <w:szCs w:val="20"/>
              </w:rPr>
              <w:t xml:space="preserve"> services.</w:t>
            </w:r>
          </w:p>
          <w:p w14:paraId="43D1BD69" w14:textId="77777777" w:rsidR="00EF0635" w:rsidRPr="003E2DE0" w:rsidRDefault="00EF0635" w:rsidP="000D11DC">
            <w:pPr>
              <w:pStyle w:val="07NumberedBodySubheading"/>
              <w:rPr>
                <w:rFonts w:ascii="Open Sans" w:hAnsi="Open Sans" w:cs="Open Sans"/>
                <w:b w:val="0"/>
                <w:color w:val="000000" w:themeColor="text1"/>
                <w:szCs w:val="20"/>
              </w:rPr>
            </w:pPr>
          </w:p>
          <w:p w14:paraId="62D68509" w14:textId="46C7C7B1" w:rsidR="00EF0635" w:rsidRPr="003E2DE0" w:rsidRDefault="00AA2875" w:rsidP="000D11DC">
            <w:pPr>
              <w:pStyle w:val="07NumberedBodySubheading"/>
              <w:rPr>
                <w:rFonts w:ascii="Open Sans" w:hAnsi="Open Sans" w:cs="Open Sans"/>
                <w:b w:val="0"/>
                <w:color w:val="000000" w:themeColor="text1"/>
                <w:szCs w:val="20"/>
              </w:rPr>
            </w:pPr>
            <w:r>
              <w:rPr>
                <w:rFonts w:ascii="Open Sans" w:hAnsi="Open Sans" w:cs="Open Sans"/>
                <w:b w:val="0"/>
                <w:color w:val="000000" w:themeColor="text1"/>
                <w:szCs w:val="20"/>
              </w:rPr>
              <w:t xml:space="preserve">In </w:t>
            </w:r>
            <w:r w:rsidR="009F693C">
              <w:rPr>
                <w:rFonts w:ascii="Open Sans" w:hAnsi="Open Sans" w:cs="Open Sans"/>
                <w:b w:val="0"/>
                <w:color w:val="000000" w:themeColor="text1"/>
                <w:szCs w:val="20"/>
              </w:rPr>
              <w:t>i</w:t>
            </w:r>
            <w:r w:rsidR="007A5D0A" w:rsidRPr="003E2DE0">
              <w:rPr>
                <w:rFonts w:ascii="Open Sans" w:hAnsi="Open Sans" w:cs="Open Sans"/>
                <w:b w:val="0"/>
                <w:color w:val="000000" w:themeColor="text1"/>
                <w:szCs w:val="20"/>
              </w:rPr>
              <w:t>ts current form</w:t>
            </w:r>
            <w:r>
              <w:rPr>
                <w:rFonts w:ascii="Open Sans" w:hAnsi="Open Sans" w:cs="Open Sans"/>
                <w:b w:val="0"/>
                <w:color w:val="000000" w:themeColor="text1"/>
                <w:szCs w:val="20"/>
              </w:rPr>
              <w:t xml:space="preserve"> (which </w:t>
            </w:r>
            <w:proofErr w:type="gramStart"/>
            <w:r w:rsidR="008728EB">
              <w:rPr>
                <w:rFonts w:ascii="Open Sans" w:hAnsi="Open Sans" w:cs="Open Sans"/>
                <w:b w:val="0"/>
                <w:color w:val="000000" w:themeColor="text1"/>
                <w:szCs w:val="20"/>
              </w:rPr>
              <w:t>doesn’t</w:t>
            </w:r>
            <w:proofErr w:type="gramEnd"/>
            <w:r w:rsidR="008728EB">
              <w:rPr>
                <w:rFonts w:ascii="Open Sans" w:hAnsi="Open Sans" w:cs="Open Sans"/>
                <w:b w:val="0"/>
                <w:color w:val="000000" w:themeColor="text1"/>
                <w:szCs w:val="20"/>
              </w:rPr>
              <w:t xml:space="preserve"> consider system support capabilities, CO2 emissions, etc)</w:t>
            </w:r>
            <w:r w:rsidR="007A5D0A" w:rsidRPr="003E2DE0">
              <w:rPr>
                <w:rFonts w:ascii="Open Sans" w:hAnsi="Open Sans" w:cs="Open Sans"/>
                <w:b w:val="0"/>
                <w:color w:val="000000" w:themeColor="text1"/>
                <w:szCs w:val="20"/>
              </w:rPr>
              <w:t>,</w:t>
            </w:r>
            <w:r w:rsidR="009F693C">
              <w:rPr>
                <w:rFonts w:ascii="Open Sans" w:hAnsi="Open Sans" w:cs="Open Sans"/>
                <w:b w:val="0"/>
                <w:color w:val="000000" w:themeColor="text1"/>
                <w:szCs w:val="20"/>
              </w:rPr>
              <w:t xml:space="preserve"> it</w:t>
            </w:r>
            <w:r w:rsidR="007A5D0A" w:rsidRPr="003E2DE0">
              <w:rPr>
                <w:rFonts w:ascii="Open Sans" w:hAnsi="Open Sans" w:cs="Open Sans"/>
                <w:b w:val="0"/>
                <w:color w:val="000000" w:themeColor="text1"/>
                <w:szCs w:val="20"/>
              </w:rPr>
              <w:t xml:space="preserve"> is unlikely to result in sufficient revenues to </w:t>
            </w:r>
            <w:r w:rsidR="008728EB">
              <w:rPr>
                <w:rFonts w:ascii="Open Sans" w:hAnsi="Open Sans" w:cs="Open Sans"/>
                <w:b w:val="0"/>
                <w:color w:val="000000" w:themeColor="text1"/>
                <w:szCs w:val="20"/>
              </w:rPr>
              <w:t>enable</w:t>
            </w:r>
            <w:r w:rsidR="008728EB" w:rsidRPr="003E2DE0">
              <w:rPr>
                <w:rFonts w:ascii="Open Sans" w:hAnsi="Open Sans" w:cs="Open Sans"/>
                <w:b w:val="0"/>
                <w:color w:val="000000" w:themeColor="text1"/>
                <w:szCs w:val="20"/>
              </w:rPr>
              <w:t xml:space="preserve"> </w:t>
            </w:r>
            <w:r w:rsidR="007A5D0A" w:rsidRPr="003E2DE0">
              <w:rPr>
                <w:rFonts w:ascii="Open Sans" w:hAnsi="Open Sans" w:cs="Open Sans"/>
                <w:b w:val="0"/>
                <w:color w:val="000000" w:themeColor="text1"/>
                <w:szCs w:val="20"/>
              </w:rPr>
              <w:t>investment in capital-intensive longer-duration energy storage projects.</w:t>
            </w:r>
          </w:p>
        </w:tc>
        <w:tc>
          <w:tcPr>
            <w:tcW w:w="4031" w:type="dxa"/>
            <w:tcBorders>
              <w:bottom w:val="nil"/>
            </w:tcBorders>
            <w:shd w:val="clear" w:color="auto" w:fill="F6573C"/>
          </w:tcPr>
          <w:p w14:paraId="5ABAA42D" w14:textId="77777777" w:rsidR="007A5D0A" w:rsidRPr="003E2DE0" w:rsidRDefault="007A5D0A" w:rsidP="000D11DC">
            <w:pPr>
              <w:pStyle w:val="07NumberedBodySubheading"/>
              <w:rPr>
                <w:rFonts w:ascii="Open Sans" w:hAnsi="Open Sans" w:cs="Open Sans"/>
                <w:b w:val="0"/>
                <w:color w:val="000000" w:themeColor="text1"/>
                <w:szCs w:val="20"/>
              </w:rPr>
            </w:pPr>
            <w:bookmarkStart w:id="7" w:name="_Hlk64104124"/>
            <w:r w:rsidRPr="003E2DE0">
              <w:rPr>
                <w:rFonts w:ascii="Open Sans" w:hAnsi="Open Sans" w:cs="Open Sans"/>
                <w:b w:val="0"/>
                <w:color w:val="000000" w:themeColor="text1"/>
                <w:szCs w:val="20"/>
              </w:rPr>
              <w:t xml:space="preserve">The </w:t>
            </w:r>
            <w:proofErr w:type="spellStart"/>
            <w:r w:rsidRPr="003E2DE0">
              <w:rPr>
                <w:rFonts w:ascii="Open Sans" w:hAnsi="Open Sans" w:cs="Open Sans"/>
                <w:b w:val="0"/>
                <w:color w:val="000000" w:themeColor="text1"/>
                <w:szCs w:val="20"/>
              </w:rPr>
              <w:t>CfD</w:t>
            </w:r>
            <w:proofErr w:type="spellEnd"/>
            <w:r w:rsidRPr="003E2DE0">
              <w:rPr>
                <w:rFonts w:ascii="Open Sans" w:hAnsi="Open Sans" w:cs="Open Sans"/>
                <w:b w:val="0"/>
                <w:color w:val="000000" w:themeColor="text1"/>
                <w:szCs w:val="20"/>
              </w:rPr>
              <w:t xml:space="preserve"> has been successful in improving the bankability of low carbon and renewable energy projects, as illustrated by the high uptake and investment over the years in some of the technologies supported by it. However, it would not de-risk investment in longer-duration energy projects effectively. This is because it applies only to energy </w:t>
            </w:r>
            <w:proofErr w:type="gramStart"/>
            <w:r w:rsidRPr="003E2DE0">
              <w:rPr>
                <w:rFonts w:ascii="Open Sans" w:hAnsi="Open Sans" w:cs="Open Sans"/>
                <w:b w:val="0"/>
                <w:color w:val="000000" w:themeColor="text1"/>
                <w:szCs w:val="20"/>
              </w:rPr>
              <w:t>revenues, and</w:t>
            </w:r>
            <w:proofErr w:type="gramEnd"/>
            <w:r w:rsidRPr="003E2DE0">
              <w:rPr>
                <w:rFonts w:ascii="Open Sans" w:hAnsi="Open Sans" w:cs="Open Sans"/>
                <w:b w:val="0"/>
                <w:color w:val="000000" w:themeColor="text1"/>
                <w:szCs w:val="20"/>
              </w:rPr>
              <w:t xml:space="preserve"> does not secure possible additional income from balancing and ancillary services, vital to the profitability of energy storage. </w:t>
            </w:r>
            <w:bookmarkEnd w:id="7"/>
            <w:r w:rsidRPr="003E2DE0">
              <w:rPr>
                <w:rFonts w:ascii="Open Sans" w:hAnsi="Open Sans" w:cs="Open Sans"/>
                <w:b w:val="0"/>
                <w:color w:val="000000" w:themeColor="text1"/>
                <w:szCs w:val="20"/>
              </w:rPr>
              <w:t>This leaves investors exposed to merchant risk from balancing and ancillary services and could discourage investment.</w:t>
            </w:r>
          </w:p>
        </w:tc>
      </w:tr>
      <w:tr w:rsidR="007A5D0A" w:rsidRPr="003E2DE0" w14:paraId="6236C2CA" w14:textId="77777777" w:rsidTr="008728EB">
        <w:trPr>
          <w:trHeight w:val="1248"/>
        </w:trPr>
        <w:tc>
          <w:tcPr>
            <w:tcW w:w="2391" w:type="dxa"/>
            <w:shd w:val="clear" w:color="auto" w:fill="D9E2F3" w:themeFill="accent1" w:themeFillTint="33"/>
          </w:tcPr>
          <w:p w14:paraId="406BFC10" w14:textId="77777777" w:rsidR="007A5D0A" w:rsidRPr="003E2DE0" w:rsidRDefault="007A5D0A" w:rsidP="000D11DC">
            <w:pPr>
              <w:pStyle w:val="07NumberedBodySubheading"/>
              <w:rPr>
                <w:rFonts w:ascii="Open Sans" w:hAnsi="Open Sans" w:cs="Open Sans"/>
                <w:bCs/>
                <w:i/>
                <w:iCs/>
                <w:szCs w:val="20"/>
              </w:rPr>
            </w:pPr>
            <w:r w:rsidRPr="003E2DE0">
              <w:rPr>
                <w:rFonts w:ascii="Open Sans" w:hAnsi="Open Sans" w:cs="Open Sans"/>
                <w:bCs/>
                <w:i/>
                <w:iCs/>
                <w:szCs w:val="20"/>
              </w:rPr>
              <w:t>3) Enables participation from a range of technologies, ensuring competitive tension in the award process.</w:t>
            </w:r>
          </w:p>
        </w:tc>
        <w:tc>
          <w:tcPr>
            <w:tcW w:w="2342" w:type="dxa"/>
            <w:shd w:val="clear" w:color="auto" w:fill="A8D08D" w:themeFill="accent6" w:themeFillTint="99"/>
          </w:tcPr>
          <w:p w14:paraId="09B1C6EF" w14:textId="279438DA"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t>Income Floor(s) could be awarded to projects following competitive tender processes, which would involve participation from a range of technologies.</w:t>
            </w:r>
          </w:p>
        </w:tc>
        <w:tc>
          <w:tcPr>
            <w:tcW w:w="2492" w:type="dxa"/>
            <w:shd w:val="clear" w:color="auto" w:fill="FFD966" w:themeFill="accent4" w:themeFillTint="99"/>
          </w:tcPr>
          <w:p w14:paraId="78CCB518" w14:textId="29531151" w:rsidR="007A5D0A" w:rsidRDefault="00EF0635" w:rsidP="000D11DC">
            <w:pPr>
              <w:pStyle w:val="07NumberedBodySubheading"/>
              <w:rPr>
                <w:rFonts w:ascii="Open Sans" w:hAnsi="Open Sans" w:cs="Open Sans"/>
                <w:b w:val="0"/>
                <w:szCs w:val="20"/>
              </w:rPr>
            </w:pPr>
            <w:r>
              <w:rPr>
                <w:rFonts w:ascii="Open Sans" w:hAnsi="Open Sans" w:cs="Open Sans"/>
                <w:b w:val="0"/>
                <w:szCs w:val="20"/>
              </w:rPr>
              <w:t>Could involve competitive pressure in the award process</w:t>
            </w:r>
            <w:r w:rsidR="00EF49EB">
              <w:rPr>
                <w:rFonts w:ascii="Open Sans" w:hAnsi="Open Sans" w:cs="Open Sans"/>
                <w:b w:val="0"/>
                <w:szCs w:val="20"/>
              </w:rPr>
              <w:t xml:space="preserve">, but possibly less </w:t>
            </w:r>
            <w:r w:rsidR="00AA2875">
              <w:rPr>
                <w:rFonts w:ascii="Open Sans" w:hAnsi="Open Sans" w:cs="Open Sans"/>
                <w:b w:val="0"/>
                <w:szCs w:val="20"/>
              </w:rPr>
              <w:t>compared to</w:t>
            </w:r>
            <w:r w:rsidR="00EF49EB">
              <w:rPr>
                <w:rFonts w:ascii="Open Sans" w:hAnsi="Open Sans" w:cs="Open Sans"/>
                <w:b w:val="0"/>
                <w:szCs w:val="20"/>
              </w:rPr>
              <w:t xml:space="preserve"> </w:t>
            </w:r>
            <w:r w:rsidR="00AA2875">
              <w:rPr>
                <w:rFonts w:ascii="Open Sans" w:hAnsi="Open Sans" w:cs="Open Sans"/>
                <w:b w:val="0"/>
                <w:szCs w:val="20"/>
              </w:rPr>
              <w:t xml:space="preserve">the </w:t>
            </w:r>
            <w:r w:rsidR="00EF49EB">
              <w:rPr>
                <w:rFonts w:ascii="Open Sans" w:hAnsi="Open Sans" w:cs="Open Sans"/>
                <w:b w:val="0"/>
                <w:szCs w:val="20"/>
              </w:rPr>
              <w:t xml:space="preserve">Income Floor as </w:t>
            </w:r>
            <w:r w:rsidR="00AA2875">
              <w:rPr>
                <w:rFonts w:ascii="Open Sans" w:hAnsi="Open Sans" w:cs="Open Sans"/>
                <w:b w:val="0"/>
                <w:szCs w:val="20"/>
              </w:rPr>
              <w:t>may</w:t>
            </w:r>
            <w:r w:rsidR="00EF49EB">
              <w:rPr>
                <w:rFonts w:ascii="Open Sans" w:hAnsi="Open Sans" w:cs="Open Sans"/>
                <w:b w:val="0"/>
                <w:szCs w:val="20"/>
              </w:rPr>
              <w:t xml:space="preserve"> require a regulatory regime to be developed for each project separately</w:t>
            </w:r>
            <w:r w:rsidR="00AA2875">
              <w:rPr>
                <w:rFonts w:ascii="Open Sans" w:hAnsi="Open Sans" w:cs="Open Sans"/>
                <w:b w:val="0"/>
                <w:szCs w:val="20"/>
              </w:rPr>
              <w:t xml:space="preserve"> – a resource intensive exercise that may not be easily delivered for many </w:t>
            </w:r>
            <w:r w:rsidR="00AA2875">
              <w:rPr>
                <w:rFonts w:ascii="Open Sans" w:hAnsi="Open Sans" w:cs="Open Sans"/>
                <w:b w:val="0"/>
                <w:szCs w:val="20"/>
              </w:rPr>
              <w:lastRenderedPageBreak/>
              <w:t>projects at the same time.</w:t>
            </w:r>
          </w:p>
          <w:p w14:paraId="04297F7E" w14:textId="19AF6545" w:rsidR="00EF49EB" w:rsidRPr="003E2DE0" w:rsidRDefault="00EF49EB" w:rsidP="000D11DC">
            <w:pPr>
              <w:pStyle w:val="07NumberedBodySubheading"/>
              <w:rPr>
                <w:rFonts w:ascii="Open Sans" w:hAnsi="Open Sans" w:cs="Open Sans"/>
                <w:b w:val="0"/>
                <w:szCs w:val="20"/>
              </w:rPr>
            </w:pPr>
          </w:p>
        </w:tc>
        <w:tc>
          <w:tcPr>
            <w:tcW w:w="2976" w:type="dxa"/>
            <w:tcBorders>
              <w:top w:val="nil"/>
            </w:tcBorders>
            <w:shd w:val="clear" w:color="auto" w:fill="FFD966" w:themeFill="accent4" w:themeFillTint="99"/>
          </w:tcPr>
          <w:p w14:paraId="61B682BE" w14:textId="7944AA33" w:rsidR="00AA2875" w:rsidRDefault="007A5D0A" w:rsidP="000D11DC">
            <w:pPr>
              <w:pStyle w:val="07NumberedBodySubheading"/>
              <w:rPr>
                <w:rFonts w:ascii="Open Sans" w:hAnsi="Open Sans" w:cs="Open Sans"/>
                <w:b w:val="0"/>
                <w:color w:val="000000" w:themeColor="text1"/>
                <w:szCs w:val="20"/>
              </w:rPr>
            </w:pPr>
            <w:r w:rsidRPr="003E2DE0">
              <w:rPr>
                <w:rFonts w:ascii="Open Sans" w:hAnsi="Open Sans" w:cs="Open Sans"/>
                <w:b w:val="0"/>
                <w:szCs w:val="20"/>
              </w:rPr>
              <w:lastRenderedPageBreak/>
              <w:t xml:space="preserve">As currently designed, </w:t>
            </w:r>
            <w:r w:rsidR="00AA2875">
              <w:rPr>
                <w:rFonts w:ascii="Open Sans" w:hAnsi="Open Sans" w:cs="Open Sans"/>
                <w:b w:val="0"/>
                <w:szCs w:val="20"/>
              </w:rPr>
              <w:t>the CM</w:t>
            </w:r>
            <w:r w:rsidR="00AA2875" w:rsidRPr="003E2DE0">
              <w:rPr>
                <w:rFonts w:ascii="Open Sans" w:hAnsi="Open Sans" w:cs="Open Sans"/>
                <w:b w:val="0"/>
                <w:szCs w:val="20"/>
              </w:rPr>
              <w:t xml:space="preserve"> </w:t>
            </w:r>
            <w:r w:rsidR="00AA2875" w:rsidRPr="003E2DE0">
              <w:rPr>
                <w:rFonts w:ascii="Open Sans" w:hAnsi="Open Sans" w:cs="Open Sans"/>
                <w:b w:val="0"/>
                <w:color w:val="000000" w:themeColor="text1"/>
                <w:szCs w:val="20"/>
              </w:rPr>
              <w:t xml:space="preserve">favours low Capex/ high </w:t>
            </w:r>
            <w:proofErr w:type="spellStart"/>
            <w:r w:rsidR="00AA2875" w:rsidRPr="003E2DE0">
              <w:rPr>
                <w:rFonts w:ascii="Open Sans" w:hAnsi="Open Sans" w:cs="Open Sans"/>
                <w:b w:val="0"/>
                <w:color w:val="000000" w:themeColor="text1"/>
                <w:szCs w:val="20"/>
              </w:rPr>
              <w:t>Opex</w:t>
            </w:r>
            <w:proofErr w:type="spellEnd"/>
            <w:r w:rsidR="00AA2875" w:rsidRPr="003E2DE0">
              <w:rPr>
                <w:rFonts w:ascii="Open Sans" w:hAnsi="Open Sans" w:cs="Open Sans"/>
                <w:b w:val="0"/>
                <w:color w:val="000000" w:themeColor="text1"/>
                <w:szCs w:val="20"/>
              </w:rPr>
              <w:t xml:space="preserve"> projects (</w:t>
            </w:r>
            <w:proofErr w:type="gramStart"/>
            <w:r w:rsidR="00AA2875" w:rsidRPr="003E2DE0">
              <w:rPr>
                <w:rFonts w:ascii="Open Sans" w:hAnsi="Open Sans" w:cs="Open Sans"/>
                <w:b w:val="0"/>
                <w:color w:val="000000" w:themeColor="text1"/>
                <w:szCs w:val="20"/>
              </w:rPr>
              <w:t>e.g.</w:t>
            </w:r>
            <w:proofErr w:type="gramEnd"/>
            <w:r w:rsidR="00AA2875" w:rsidRPr="003E2DE0">
              <w:rPr>
                <w:rFonts w:ascii="Open Sans" w:hAnsi="Open Sans" w:cs="Open Sans"/>
                <w:b w:val="0"/>
                <w:color w:val="000000" w:themeColor="text1"/>
                <w:szCs w:val="20"/>
              </w:rPr>
              <w:t xml:space="preserve"> OCGTs over CCGTs).</w:t>
            </w:r>
          </w:p>
          <w:p w14:paraId="13D8BB76" w14:textId="77777777" w:rsidR="00AA2875" w:rsidRDefault="00AA2875" w:rsidP="000D11DC">
            <w:pPr>
              <w:pStyle w:val="07NumberedBodySubheading"/>
              <w:rPr>
                <w:rFonts w:ascii="Open Sans" w:hAnsi="Open Sans" w:cs="Open Sans"/>
                <w:b w:val="0"/>
                <w:color w:val="000000" w:themeColor="text1"/>
                <w:szCs w:val="20"/>
              </w:rPr>
            </w:pPr>
          </w:p>
          <w:p w14:paraId="4F1BE792" w14:textId="2F571CC0" w:rsidR="007A5D0A" w:rsidRDefault="00AA2875" w:rsidP="000D11DC">
            <w:pPr>
              <w:pStyle w:val="07NumberedBodySubheading"/>
              <w:rPr>
                <w:rFonts w:ascii="Open Sans" w:hAnsi="Open Sans" w:cs="Open Sans"/>
                <w:b w:val="0"/>
                <w:szCs w:val="20"/>
              </w:rPr>
            </w:pPr>
            <w:proofErr w:type="gramStart"/>
            <w:r>
              <w:rPr>
                <w:rFonts w:ascii="Open Sans" w:hAnsi="Open Sans" w:cs="Open Sans"/>
                <w:b w:val="0"/>
                <w:color w:val="000000" w:themeColor="text1"/>
                <w:szCs w:val="20"/>
              </w:rPr>
              <w:t>Also</w:t>
            </w:r>
            <w:proofErr w:type="gramEnd"/>
            <w:r>
              <w:rPr>
                <w:rFonts w:ascii="Open Sans" w:hAnsi="Open Sans" w:cs="Open Sans"/>
                <w:b w:val="0"/>
                <w:color w:val="000000" w:themeColor="text1"/>
                <w:szCs w:val="20"/>
              </w:rPr>
              <w:t xml:space="preserve"> it</w:t>
            </w:r>
            <w:r w:rsidRPr="003E2DE0">
              <w:rPr>
                <w:rFonts w:ascii="Open Sans" w:hAnsi="Open Sans" w:cs="Open Sans"/>
                <w:b w:val="0"/>
                <w:color w:val="000000" w:themeColor="text1"/>
                <w:szCs w:val="20"/>
              </w:rPr>
              <w:t xml:space="preserve"> </w:t>
            </w:r>
            <w:r w:rsidR="007A5D0A" w:rsidRPr="003E2DE0">
              <w:rPr>
                <w:rFonts w:ascii="Open Sans" w:hAnsi="Open Sans" w:cs="Open Sans"/>
                <w:b w:val="0"/>
                <w:szCs w:val="20"/>
              </w:rPr>
              <w:t>isn’t suitable for new build technologies with construction time in excess of four years (T-4), such as Pumped Hydro.</w:t>
            </w:r>
          </w:p>
          <w:p w14:paraId="470CAEE2" w14:textId="735620F9" w:rsidR="00AA2875" w:rsidRPr="003E2DE0" w:rsidRDefault="00AA2875" w:rsidP="000D11DC">
            <w:pPr>
              <w:pStyle w:val="07NumberedBodySubheading"/>
              <w:rPr>
                <w:rFonts w:ascii="Open Sans" w:hAnsi="Open Sans" w:cs="Open Sans"/>
                <w:b w:val="0"/>
                <w:szCs w:val="20"/>
              </w:rPr>
            </w:pPr>
            <w:r w:rsidRPr="003E2DE0">
              <w:rPr>
                <w:rFonts w:ascii="Open Sans" w:hAnsi="Open Sans" w:cs="Open Sans"/>
                <w:b w:val="0"/>
                <w:color w:val="000000" w:themeColor="text1"/>
                <w:szCs w:val="20"/>
              </w:rPr>
              <w:t xml:space="preserve"> </w:t>
            </w:r>
          </w:p>
        </w:tc>
        <w:tc>
          <w:tcPr>
            <w:tcW w:w="4031" w:type="dxa"/>
            <w:tcBorders>
              <w:top w:val="nil"/>
            </w:tcBorders>
            <w:shd w:val="clear" w:color="auto" w:fill="A8D08D" w:themeFill="accent6" w:themeFillTint="99"/>
          </w:tcPr>
          <w:p w14:paraId="4C9DF116" w14:textId="77777777" w:rsidR="007A5D0A" w:rsidRPr="003E2DE0" w:rsidRDefault="007A5D0A" w:rsidP="000D11DC">
            <w:pPr>
              <w:pStyle w:val="07NumberedBodySubheading"/>
              <w:rPr>
                <w:rFonts w:ascii="Open Sans" w:hAnsi="Open Sans" w:cs="Open Sans"/>
                <w:b w:val="0"/>
                <w:szCs w:val="20"/>
              </w:rPr>
            </w:pPr>
            <w:r w:rsidRPr="003E2DE0">
              <w:rPr>
                <w:rFonts w:ascii="Open Sans" w:hAnsi="Open Sans" w:cs="Open Sans"/>
                <w:b w:val="0"/>
                <w:szCs w:val="20"/>
              </w:rPr>
              <w:t xml:space="preserve">The </w:t>
            </w:r>
            <w:proofErr w:type="spellStart"/>
            <w:r w:rsidRPr="003E2DE0">
              <w:rPr>
                <w:rFonts w:ascii="Open Sans" w:hAnsi="Open Sans" w:cs="Open Sans"/>
                <w:b w:val="0"/>
                <w:szCs w:val="20"/>
              </w:rPr>
              <w:t>CfD</w:t>
            </w:r>
            <w:proofErr w:type="spellEnd"/>
            <w:r w:rsidRPr="003E2DE0">
              <w:rPr>
                <w:rFonts w:ascii="Open Sans" w:hAnsi="Open Sans" w:cs="Open Sans"/>
                <w:b w:val="0"/>
                <w:szCs w:val="20"/>
              </w:rPr>
              <w:t xml:space="preserve"> has been effective in enabling competition between projects. It can also enable competition between different technologies, (depending on the chosen pot structure).</w:t>
            </w:r>
          </w:p>
        </w:tc>
      </w:tr>
    </w:tbl>
    <w:p w14:paraId="69DBAB81" w14:textId="77777777" w:rsidR="007A5D0A" w:rsidRPr="003E2DE0" w:rsidRDefault="007A5D0A" w:rsidP="007A5D0A">
      <w:pPr>
        <w:pStyle w:val="07NumberedBodySubheading"/>
        <w:rPr>
          <w:rFonts w:ascii="Open Sans" w:hAnsi="Open Sans" w:cs="Open Sans"/>
          <w:b w:val="0"/>
          <w:sz w:val="22"/>
        </w:rPr>
      </w:pPr>
    </w:p>
    <w:p w14:paraId="2B4F51D3" w14:textId="77777777" w:rsidR="007A5D0A" w:rsidRPr="003E2DE0" w:rsidRDefault="007A5D0A" w:rsidP="007A5D0A">
      <w:pPr>
        <w:pStyle w:val="07NumberedBodySubheading"/>
        <w:jc w:val="both"/>
        <w:rPr>
          <w:rFonts w:ascii="Open Sans" w:hAnsi="Open Sans" w:cs="Open Sans"/>
          <w:b w:val="0"/>
          <w:sz w:val="22"/>
        </w:rPr>
      </w:pPr>
    </w:p>
    <w:p w14:paraId="1D02DCF4" w14:textId="77777777" w:rsidR="007A5D0A" w:rsidRPr="003E2DE0" w:rsidRDefault="007A5D0A" w:rsidP="007A5D0A">
      <w:pPr>
        <w:pStyle w:val="07NumberedBodySubheading"/>
        <w:jc w:val="both"/>
        <w:rPr>
          <w:rFonts w:ascii="Open Sans" w:hAnsi="Open Sans" w:cs="Open Sans"/>
          <w:b w:val="0"/>
          <w:sz w:val="22"/>
        </w:rPr>
      </w:pPr>
    </w:p>
    <w:p w14:paraId="11E33331" w14:textId="77777777" w:rsidR="007A5D0A" w:rsidRPr="003E2DE0" w:rsidRDefault="007A5D0A" w:rsidP="007A5D0A">
      <w:pPr>
        <w:pStyle w:val="07NumberedBodySubheading"/>
        <w:jc w:val="both"/>
        <w:rPr>
          <w:rFonts w:ascii="Open Sans" w:hAnsi="Open Sans" w:cs="Open Sans"/>
          <w:b w:val="0"/>
          <w:sz w:val="22"/>
        </w:rPr>
      </w:pPr>
    </w:p>
    <w:p w14:paraId="073967B3" w14:textId="77777777" w:rsidR="007A5D0A" w:rsidRPr="003E2DE0" w:rsidRDefault="007A5D0A" w:rsidP="007A5D0A">
      <w:pPr>
        <w:pStyle w:val="07NumberedBodySubheading"/>
        <w:jc w:val="both"/>
        <w:rPr>
          <w:rFonts w:ascii="Open Sans" w:hAnsi="Open Sans" w:cs="Open Sans"/>
          <w:b w:val="0"/>
          <w:sz w:val="22"/>
        </w:rPr>
      </w:pPr>
    </w:p>
    <w:p w14:paraId="404BEAAF" w14:textId="77777777" w:rsidR="007A5D0A" w:rsidRPr="003E2DE0" w:rsidRDefault="007A5D0A" w:rsidP="007A5D0A">
      <w:pPr>
        <w:pStyle w:val="07NumberedBodySubheading"/>
        <w:jc w:val="both"/>
        <w:rPr>
          <w:rFonts w:ascii="Open Sans" w:hAnsi="Open Sans" w:cs="Open Sans"/>
          <w:b w:val="0"/>
          <w:sz w:val="22"/>
        </w:rPr>
      </w:pPr>
    </w:p>
    <w:p w14:paraId="3B771F4E" w14:textId="77777777" w:rsidR="007A5D0A" w:rsidRPr="003E2DE0" w:rsidRDefault="007A5D0A" w:rsidP="007A5D0A">
      <w:pPr>
        <w:pStyle w:val="07NumberedBodySubheading"/>
        <w:jc w:val="both"/>
        <w:rPr>
          <w:rFonts w:ascii="Open Sans" w:hAnsi="Open Sans" w:cs="Open Sans"/>
          <w:b w:val="0"/>
          <w:sz w:val="22"/>
        </w:rPr>
      </w:pPr>
    </w:p>
    <w:p w14:paraId="63F8C41B" w14:textId="77777777" w:rsidR="007A5D0A" w:rsidRPr="003E2DE0" w:rsidRDefault="007A5D0A" w:rsidP="007A5D0A">
      <w:pPr>
        <w:pStyle w:val="07NumberedBodySubheading"/>
        <w:jc w:val="both"/>
        <w:rPr>
          <w:rFonts w:ascii="Open Sans" w:hAnsi="Open Sans" w:cs="Open Sans"/>
          <w:b w:val="0"/>
          <w:sz w:val="22"/>
        </w:rPr>
      </w:pPr>
    </w:p>
    <w:p w14:paraId="598838AB" w14:textId="77777777" w:rsidR="007A5D0A" w:rsidRPr="003E2DE0" w:rsidRDefault="007A5D0A" w:rsidP="007A5D0A">
      <w:pPr>
        <w:pStyle w:val="07NumberedBodySubheading"/>
        <w:jc w:val="both"/>
        <w:rPr>
          <w:rFonts w:ascii="Open Sans" w:hAnsi="Open Sans" w:cs="Open Sans"/>
          <w:b w:val="0"/>
          <w:sz w:val="22"/>
        </w:rPr>
      </w:pPr>
    </w:p>
    <w:p w14:paraId="59F2D16F" w14:textId="77777777" w:rsidR="007A5D0A" w:rsidRPr="003E2DE0" w:rsidRDefault="007A5D0A" w:rsidP="007A5D0A">
      <w:pPr>
        <w:rPr>
          <w:rFonts w:ascii="Open Sans" w:eastAsia="Calibri" w:hAnsi="Open Sans" w:cs="Open Sans"/>
        </w:rPr>
        <w:sectPr w:rsidR="007A5D0A" w:rsidRPr="003E2DE0" w:rsidSect="000D11DC">
          <w:pgSz w:w="16838" w:h="11906" w:orient="landscape"/>
          <w:pgMar w:top="1080" w:right="1440" w:bottom="1080" w:left="1440" w:header="708" w:footer="708" w:gutter="0"/>
          <w:cols w:space="708"/>
          <w:docGrid w:linePitch="360"/>
        </w:sectPr>
      </w:pPr>
      <w:r w:rsidRPr="003E2DE0">
        <w:rPr>
          <w:rFonts w:ascii="Open Sans" w:hAnsi="Open Sans" w:cs="Open Sans"/>
          <w:b/>
        </w:rPr>
        <w:br w:type="page"/>
      </w:r>
    </w:p>
    <w:p w14:paraId="53597CF2" w14:textId="77777777" w:rsidR="007A5D0A" w:rsidRPr="003E2DE0" w:rsidRDefault="007A5D0A" w:rsidP="007A5D0A">
      <w:pPr>
        <w:pStyle w:val="07NumberedBodySubheading"/>
        <w:jc w:val="both"/>
        <w:rPr>
          <w:rFonts w:ascii="Open Sans" w:hAnsi="Open Sans" w:cs="Open Sans"/>
          <w:b w:val="0"/>
          <w:sz w:val="22"/>
        </w:rPr>
      </w:pPr>
    </w:p>
    <w:p w14:paraId="2B1B1FCA" w14:textId="77777777" w:rsidR="007A5D0A" w:rsidRPr="003E2DE0" w:rsidRDefault="007A5D0A" w:rsidP="007A5D0A">
      <w:pPr>
        <w:pStyle w:val="07NumberedBodySubheading"/>
        <w:jc w:val="both"/>
        <w:rPr>
          <w:rFonts w:ascii="Open Sans" w:hAnsi="Open Sans" w:cs="Open Sans"/>
          <w:b w:val="0"/>
          <w:sz w:val="22"/>
        </w:rPr>
      </w:pPr>
    </w:p>
    <w:p w14:paraId="4A9F53FC" w14:textId="77777777" w:rsidR="007A5D0A" w:rsidRPr="003E2DE0" w:rsidRDefault="007A5D0A" w:rsidP="007A5D0A">
      <w:pPr>
        <w:pStyle w:val="07NumberedBodySubheading"/>
        <w:numPr>
          <w:ilvl w:val="0"/>
          <w:numId w:val="29"/>
        </w:numPr>
        <w:jc w:val="both"/>
        <w:rPr>
          <w:rFonts w:ascii="Open Sans" w:hAnsi="Open Sans" w:cs="Open Sans"/>
          <w:bCs/>
          <w:i/>
          <w:iCs/>
          <w:sz w:val="22"/>
        </w:rPr>
      </w:pPr>
      <w:r w:rsidRPr="003E2DE0">
        <w:rPr>
          <w:rFonts w:ascii="Open Sans" w:hAnsi="Open Sans" w:cs="Open Sans"/>
          <w:bCs/>
          <w:i/>
          <w:iCs/>
          <w:sz w:val="22"/>
        </w:rPr>
        <w:t xml:space="preserve">Compatible with the operational profile of storage, incentivising efficient dispatch through price </w:t>
      </w:r>
      <w:proofErr w:type="gramStart"/>
      <w:r w:rsidRPr="003E2DE0">
        <w:rPr>
          <w:rFonts w:ascii="Open Sans" w:hAnsi="Open Sans" w:cs="Open Sans"/>
          <w:bCs/>
          <w:i/>
          <w:iCs/>
          <w:sz w:val="22"/>
        </w:rPr>
        <w:t>signals</w:t>
      </w:r>
      <w:proofErr w:type="gramEnd"/>
      <w:r w:rsidRPr="003E2DE0">
        <w:rPr>
          <w:rFonts w:ascii="Open Sans" w:hAnsi="Open Sans" w:cs="Open Sans"/>
          <w:bCs/>
          <w:i/>
          <w:iCs/>
          <w:sz w:val="22"/>
        </w:rPr>
        <w:t xml:space="preserve"> </w:t>
      </w:r>
    </w:p>
    <w:p w14:paraId="5D65CEF3" w14:textId="77777777" w:rsidR="007A5D0A" w:rsidRPr="003E2DE0" w:rsidRDefault="007A5D0A" w:rsidP="007A5D0A">
      <w:pPr>
        <w:pStyle w:val="07NumberedBodySubheading"/>
        <w:jc w:val="both"/>
        <w:rPr>
          <w:rFonts w:ascii="Open Sans" w:hAnsi="Open Sans" w:cs="Open Sans"/>
          <w:b w:val="0"/>
          <w:sz w:val="22"/>
        </w:rPr>
      </w:pPr>
    </w:p>
    <w:p w14:paraId="5B96621B" w14:textId="77777777" w:rsidR="00764FDC"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The Income Floor model appears the most compatible with the operational profile of storage, which focusses on the provision of flexibility and ancillary services. Under the Income Floor approach, dispatch decisions would be driven by market price signals (</w:t>
      </w:r>
      <w:proofErr w:type="gramStart"/>
      <w:r w:rsidRPr="003E2DE0">
        <w:rPr>
          <w:rFonts w:ascii="Open Sans" w:hAnsi="Open Sans" w:cs="Open Sans"/>
          <w:b w:val="0"/>
          <w:sz w:val="22"/>
        </w:rPr>
        <w:t>e.g.</w:t>
      </w:r>
      <w:proofErr w:type="gramEnd"/>
      <w:r w:rsidRPr="003E2DE0">
        <w:rPr>
          <w:rFonts w:ascii="Open Sans" w:hAnsi="Open Sans" w:cs="Open Sans"/>
          <w:b w:val="0"/>
          <w:sz w:val="22"/>
        </w:rPr>
        <w:t xml:space="preserve"> wholesale market, balancing market, ancillary services).</w:t>
      </w:r>
    </w:p>
    <w:p w14:paraId="7EED7DE6" w14:textId="77777777" w:rsidR="00764FDC" w:rsidRDefault="00764FDC" w:rsidP="007A5D0A">
      <w:pPr>
        <w:pStyle w:val="07NumberedBodySubheading"/>
        <w:jc w:val="both"/>
        <w:rPr>
          <w:rFonts w:ascii="Open Sans" w:hAnsi="Open Sans" w:cs="Open Sans"/>
          <w:b w:val="0"/>
          <w:sz w:val="22"/>
        </w:rPr>
      </w:pPr>
    </w:p>
    <w:p w14:paraId="25C12967" w14:textId="33C0B4E7"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The RAB could be compatible with the operational profile of storage, but incentives would need to be carefully designed to avoid potential </w:t>
      </w:r>
      <w:r w:rsidR="00BB379D">
        <w:rPr>
          <w:rFonts w:ascii="Open Sans" w:hAnsi="Open Sans" w:cs="Open Sans"/>
          <w:b w:val="0"/>
          <w:sz w:val="22"/>
        </w:rPr>
        <w:t xml:space="preserve">market </w:t>
      </w:r>
      <w:r w:rsidRPr="003E2DE0">
        <w:rPr>
          <w:rFonts w:ascii="Open Sans" w:hAnsi="Open Sans" w:cs="Open Sans"/>
          <w:b w:val="0"/>
          <w:sz w:val="22"/>
        </w:rPr>
        <w:t xml:space="preserve">distortions. </w:t>
      </w:r>
    </w:p>
    <w:p w14:paraId="7E5E282F" w14:textId="77777777" w:rsidR="007A5D0A" w:rsidRPr="003E2DE0" w:rsidRDefault="007A5D0A" w:rsidP="007A5D0A">
      <w:pPr>
        <w:pStyle w:val="07NumberedBodySubheading"/>
        <w:jc w:val="both"/>
        <w:rPr>
          <w:rFonts w:ascii="Open Sans" w:hAnsi="Open Sans" w:cs="Open Sans"/>
          <w:b w:val="0"/>
          <w:sz w:val="22"/>
        </w:rPr>
      </w:pPr>
    </w:p>
    <w:p w14:paraId="0E4E3E6B" w14:textId="4085C471" w:rsidR="00764FDC"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The CM, as currently designed, aims at ensuring system adequacy at the lowest cost. It does not incentivise</w:t>
      </w:r>
      <w:r w:rsidR="00EF49EB">
        <w:rPr>
          <w:rFonts w:ascii="Open Sans" w:hAnsi="Open Sans" w:cs="Open Sans"/>
          <w:b w:val="0"/>
          <w:sz w:val="22"/>
        </w:rPr>
        <w:t xml:space="preserve"> low-carbon</w:t>
      </w:r>
      <w:r w:rsidRPr="003E2DE0">
        <w:rPr>
          <w:rFonts w:ascii="Open Sans" w:hAnsi="Open Sans" w:cs="Open Sans"/>
          <w:b w:val="0"/>
          <w:sz w:val="22"/>
        </w:rPr>
        <w:t xml:space="preserve"> flexibility or consider </w:t>
      </w:r>
      <w:r w:rsidR="00EF49EB">
        <w:rPr>
          <w:rFonts w:ascii="Open Sans" w:hAnsi="Open Sans" w:cs="Open Sans"/>
          <w:b w:val="0"/>
          <w:sz w:val="22"/>
        </w:rPr>
        <w:t>system stability and resilience</w:t>
      </w:r>
      <w:r w:rsidRPr="003E2DE0">
        <w:rPr>
          <w:rFonts w:ascii="Open Sans" w:hAnsi="Open Sans" w:cs="Open Sans"/>
          <w:b w:val="0"/>
          <w:sz w:val="22"/>
        </w:rPr>
        <w:t xml:space="preserve"> needs. </w:t>
      </w:r>
    </w:p>
    <w:p w14:paraId="7C75C1AB" w14:textId="77777777" w:rsidR="00764FDC" w:rsidRDefault="00764FDC" w:rsidP="007A5D0A">
      <w:pPr>
        <w:pStyle w:val="07NumberedBodySubheading"/>
        <w:jc w:val="both"/>
        <w:rPr>
          <w:rFonts w:ascii="Open Sans" w:hAnsi="Open Sans" w:cs="Open Sans"/>
          <w:b w:val="0"/>
          <w:sz w:val="22"/>
        </w:rPr>
      </w:pPr>
    </w:p>
    <w:p w14:paraId="7D38961F" w14:textId="6ABD5514"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The </w:t>
      </w:r>
      <w:proofErr w:type="spellStart"/>
      <w:r w:rsidRPr="003E2DE0">
        <w:rPr>
          <w:rFonts w:ascii="Open Sans" w:hAnsi="Open Sans" w:cs="Open Sans"/>
          <w:b w:val="0"/>
          <w:sz w:val="22"/>
        </w:rPr>
        <w:t>CfD</w:t>
      </w:r>
      <w:proofErr w:type="spellEnd"/>
      <w:r w:rsidRPr="003E2DE0">
        <w:rPr>
          <w:rFonts w:ascii="Open Sans" w:hAnsi="Open Sans" w:cs="Open Sans"/>
          <w:b w:val="0"/>
          <w:sz w:val="22"/>
        </w:rPr>
        <w:t xml:space="preserve"> model, if applied to storage, would likely lead to inefficient dispatch decisions, distorting market operation. This is because the </w:t>
      </w:r>
      <w:proofErr w:type="spellStart"/>
      <w:r w:rsidRPr="003E2DE0">
        <w:rPr>
          <w:rFonts w:ascii="Open Sans" w:hAnsi="Open Sans" w:cs="Open Sans"/>
          <w:b w:val="0"/>
          <w:sz w:val="22"/>
        </w:rPr>
        <w:t>CfD</w:t>
      </w:r>
      <w:proofErr w:type="spellEnd"/>
      <w:r w:rsidRPr="003E2DE0">
        <w:rPr>
          <w:rFonts w:ascii="Open Sans" w:hAnsi="Open Sans" w:cs="Open Sans"/>
          <w:b w:val="0"/>
          <w:sz w:val="22"/>
        </w:rPr>
        <w:t xml:space="preserve"> incentivises assets to maximise their energy production, by guaranteeing a fixed price per MWh produced. This is incompatible with the operational profile and value of storage, which should be incentivised to import when prices are low and generate at times of scarcity, rather than maximise its output.</w:t>
      </w:r>
    </w:p>
    <w:p w14:paraId="7EE4179F" w14:textId="77777777" w:rsidR="007A5D0A" w:rsidRPr="003E2DE0" w:rsidRDefault="007A5D0A" w:rsidP="007A5D0A">
      <w:pPr>
        <w:pStyle w:val="07NumberedBodySubheading"/>
        <w:jc w:val="both"/>
        <w:rPr>
          <w:rFonts w:ascii="Open Sans" w:hAnsi="Open Sans" w:cs="Open Sans"/>
          <w:b w:val="0"/>
          <w:sz w:val="22"/>
        </w:rPr>
      </w:pPr>
    </w:p>
    <w:p w14:paraId="0F6B326A" w14:textId="77777777" w:rsidR="007A5D0A" w:rsidRPr="003E2DE0" w:rsidRDefault="007A5D0A" w:rsidP="007A5D0A">
      <w:pPr>
        <w:pStyle w:val="07NumberedBodySubheading"/>
        <w:numPr>
          <w:ilvl w:val="0"/>
          <w:numId w:val="29"/>
        </w:numPr>
        <w:jc w:val="both"/>
        <w:rPr>
          <w:rFonts w:ascii="Open Sans" w:hAnsi="Open Sans" w:cs="Open Sans"/>
          <w:bCs/>
          <w:i/>
          <w:iCs/>
          <w:sz w:val="22"/>
        </w:rPr>
      </w:pPr>
      <w:r w:rsidRPr="003E2DE0">
        <w:rPr>
          <w:rFonts w:ascii="Open Sans" w:hAnsi="Open Sans" w:cs="Open Sans"/>
          <w:bCs/>
          <w:i/>
          <w:iCs/>
          <w:sz w:val="22"/>
        </w:rPr>
        <w:t>De-risks investments effectively, reducing the cost of capital, while protecting consumers from undue risks and excessive costs.</w:t>
      </w:r>
    </w:p>
    <w:p w14:paraId="1E79C588" w14:textId="77777777" w:rsidR="007A5D0A" w:rsidRPr="003E2DE0" w:rsidRDefault="007A5D0A" w:rsidP="007A5D0A">
      <w:pPr>
        <w:pStyle w:val="07NumberedBodySubheading"/>
        <w:jc w:val="both"/>
        <w:rPr>
          <w:rFonts w:ascii="Open Sans" w:hAnsi="Open Sans" w:cs="Open Sans"/>
          <w:b w:val="0"/>
          <w:sz w:val="22"/>
        </w:rPr>
      </w:pPr>
    </w:p>
    <w:p w14:paraId="445FCBDA" w14:textId="66CDFDB6" w:rsidR="00764FDC"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Both the </w:t>
      </w:r>
      <w:r w:rsidR="00A57949">
        <w:rPr>
          <w:rFonts w:ascii="Open Sans" w:hAnsi="Open Sans" w:cs="Open Sans"/>
          <w:b w:val="0"/>
          <w:sz w:val="22"/>
        </w:rPr>
        <w:t>Income Floor</w:t>
      </w:r>
      <w:r w:rsidRPr="003E2DE0">
        <w:rPr>
          <w:rFonts w:ascii="Open Sans" w:hAnsi="Open Sans" w:cs="Open Sans"/>
          <w:b w:val="0"/>
          <w:sz w:val="22"/>
        </w:rPr>
        <w:t xml:space="preserve"> and the RAB could de-risk investments in long-duration energy storage projects effectively. </w:t>
      </w:r>
    </w:p>
    <w:p w14:paraId="193CE103" w14:textId="77777777" w:rsidR="00764FDC" w:rsidRDefault="00764FDC" w:rsidP="007A5D0A">
      <w:pPr>
        <w:pStyle w:val="07NumberedBodySubheading"/>
        <w:jc w:val="both"/>
        <w:rPr>
          <w:rFonts w:ascii="Open Sans" w:hAnsi="Open Sans" w:cs="Open Sans"/>
          <w:b w:val="0"/>
          <w:sz w:val="22"/>
        </w:rPr>
      </w:pPr>
    </w:p>
    <w:p w14:paraId="409BAEA6" w14:textId="2A1C42D6"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The RAB provides fully regulated returns, providing the highest level of certainty to investors compared to the other mechanisms. Under the RAB approach, payments can be made from consumers to developers during the construction phase. This may also involve consumers facing construction risks (</w:t>
      </w:r>
      <w:proofErr w:type="gramStart"/>
      <w:r w:rsidRPr="003E2DE0">
        <w:rPr>
          <w:rFonts w:ascii="Open Sans" w:hAnsi="Open Sans" w:cs="Open Sans"/>
          <w:b w:val="0"/>
          <w:sz w:val="22"/>
        </w:rPr>
        <w:t>e.g.</w:t>
      </w:r>
      <w:proofErr w:type="gramEnd"/>
      <w:r w:rsidRPr="003E2DE0">
        <w:rPr>
          <w:rFonts w:ascii="Open Sans" w:hAnsi="Open Sans" w:cs="Open Sans"/>
          <w:b w:val="0"/>
          <w:sz w:val="22"/>
        </w:rPr>
        <w:t xml:space="preserve"> cost overruns) depending on the detailed arrangements set out by the regulator. </w:t>
      </w:r>
    </w:p>
    <w:p w14:paraId="2F87F1A5" w14:textId="77777777" w:rsidR="007A5D0A" w:rsidRPr="003E2DE0" w:rsidRDefault="007A5D0A" w:rsidP="007A5D0A">
      <w:pPr>
        <w:pStyle w:val="07NumberedBodySubheading"/>
        <w:jc w:val="both"/>
        <w:rPr>
          <w:rFonts w:ascii="Open Sans" w:hAnsi="Open Sans" w:cs="Open Sans"/>
          <w:b w:val="0"/>
          <w:sz w:val="22"/>
        </w:rPr>
      </w:pPr>
    </w:p>
    <w:p w14:paraId="0D4E0A88" w14:textId="7C55CA73" w:rsidR="007A5D0A" w:rsidRPr="003E2DE0"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Under the </w:t>
      </w:r>
      <w:r w:rsidR="00A57949">
        <w:rPr>
          <w:rFonts w:ascii="Open Sans" w:hAnsi="Open Sans" w:cs="Open Sans"/>
          <w:b w:val="0"/>
          <w:sz w:val="22"/>
        </w:rPr>
        <w:t>Income</w:t>
      </w:r>
      <w:r w:rsidRPr="003E2DE0">
        <w:rPr>
          <w:rFonts w:ascii="Open Sans" w:hAnsi="Open Sans" w:cs="Open Sans"/>
          <w:b w:val="0"/>
          <w:sz w:val="22"/>
        </w:rPr>
        <w:t xml:space="preserve"> Floor</w:t>
      </w:r>
      <w:r w:rsidR="00EF49EB">
        <w:rPr>
          <w:rFonts w:ascii="Open Sans" w:hAnsi="Open Sans" w:cs="Open Sans"/>
          <w:b w:val="0"/>
          <w:sz w:val="22"/>
        </w:rPr>
        <w:t xml:space="preserve"> </w:t>
      </w:r>
      <w:r w:rsidR="00764FDC">
        <w:rPr>
          <w:rFonts w:ascii="Open Sans" w:hAnsi="Open Sans" w:cs="Open Sans"/>
          <w:b w:val="0"/>
          <w:sz w:val="22"/>
        </w:rPr>
        <w:t>a</w:t>
      </w:r>
      <w:r w:rsidRPr="003E2DE0">
        <w:rPr>
          <w:rFonts w:ascii="Open Sans" w:hAnsi="Open Sans" w:cs="Open Sans"/>
          <w:b w:val="0"/>
          <w:sz w:val="22"/>
        </w:rPr>
        <w:t>ll revenue streams (</w:t>
      </w:r>
      <w:proofErr w:type="gramStart"/>
      <w:r w:rsidRPr="003E2DE0">
        <w:rPr>
          <w:rFonts w:ascii="Open Sans" w:hAnsi="Open Sans" w:cs="Open Sans"/>
          <w:b w:val="0"/>
          <w:sz w:val="22"/>
        </w:rPr>
        <w:t>i.e.</w:t>
      </w:r>
      <w:proofErr w:type="gramEnd"/>
      <w:r w:rsidRPr="003E2DE0">
        <w:rPr>
          <w:rFonts w:ascii="Open Sans" w:hAnsi="Open Sans" w:cs="Open Sans"/>
          <w:b w:val="0"/>
          <w:sz w:val="22"/>
        </w:rPr>
        <w:t xml:space="preserve"> energy</w:t>
      </w:r>
      <w:r w:rsidR="00764FDC">
        <w:rPr>
          <w:rFonts w:ascii="Open Sans" w:hAnsi="Open Sans" w:cs="Open Sans"/>
          <w:b w:val="0"/>
          <w:sz w:val="22"/>
        </w:rPr>
        <w:t xml:space="preserve"> market arbitrage</w:t>
      </w:r>
      <w:r w:rsidRPr="003E2DE0">
        <w:rPr>
          <w:rFonts w:ascii="Open Sans" w:hAnsi="Open Sans" w:cs="Open Sans"/>
          <w:b w:val="0"/>
          <w:sz w:val="22"/>
        </w:rPr>
        <w:t>, capacity</w:t>
      </w:r>
      <w:r w:rsidR="00764FDC">
        <w:rPr>
          <w:rFonts w:ascii="Open Sans" w:hAnsi="Open Sans" w:cs="Open Sans"/>
          <w:b w:val="0"/>
          <w:sz w:val="22"/>
        </w:rPr>
        <w:t xml:space="preserve"> market</w:t>
      </w:r>
      <w:r w:rsidRPr="003E2DE0">
        <w:rPr>
          <w:rFonts w:ascii="Open Sans" w:hAnsi="Open Sans" w:cs="Open Sans"/>
          <w:b w:val="0"/>
          <w:sz w:val="22"/>
        </w:rPr>
        <w:t xml:space="preserve"> and ancillary services) are taken into account in determining whether </w:t>
      </w:r>
      <w:r w:rsidR="00BB379D">
        <w:rPr>
          <w:rFonts w:ascii="Open Sans" w:hAnsi="Open Sans" w:cs="Open Sans"/>
          <w:b w:val="0"/>
          <w:sz w:val="22"/>
        </w:rPr>
        <w:t>returns (gross margin)</w:t>
      </w:r>
      <w:r w:rsidR="00BB379D" w:rsidRPr="003E2DE0">
        <w:rPr>
          <w:rFonts w:ascii="Open Sans" w:hAnsi="Open Sans" w:cs="Open Sans"/>
          <w:b w:val="0"/>
          <w:sz w:val="22"/>
        </w:rPr>
        <w:t xml:space="preserve"> </w:t>
      </w:r>
      <w:r w:rsidRPr="003E2DE0">
        <w:rPr>
          <w:rFonts w:ascii="Open Sans" w:hAnsi="Open Sans" w:cs="Open Sans"/>
          <w:b w:val="0"/>
          <w:sz w:val="22"/>
        </w:rPr>
        <w:t>are below the Floor.</w:t>
      </w:r>
      <w:r w:rsidR="00EF49EB">
        <w:rPr>
          <w:rFonts w:ascii="Open Sans" w:hAnsi="Open Sans" w:cs="Open Sans"/>
          <w:b w:val="0"/>
          <w:sz w:val="22"/>
        </w:rPr>
        <w:t xml:space="preserve"> T</w:t>
      </w:r>
      <w:r w:rsidR="00EF49EB" w:rsidRPr="00EF49EB">
        <w:rPr>
          <w:rFonts w:ascii="Open Sans" w:hAnsi="Open Sans" w:cs="Open Sans"/>
          <w:b w:val="0"/>
          <w:sz w:val="22"/>
        </w:rPr>
        <w:t>he contract would be for an annual income floor value in £/MW terms, conditional upon the availability of flexibility resources</w:t>
      </w:r>
      <w:r w:rsidR="00EF49EB">
        <w:rPr>
          <w:rFonts w:ascii="Open Sans" w:hAnsi="Open Sans" w:cs="Open Sans"/>
          <w:b w:val="0"/>
          <w:sz w:val="22"/>
        </w:rPr>
        <w:t>,</w:t>
      </w:r>
      <w:r w:rsidR="00EF49EB" w:rsidRPr="00EF49EB">
        <w:rPr>
          <w:rFonts w:ascii="Open Sans" w:hAnsi="Open Sans" w:cs="Open Sans"/>
          <w:b w:val="0"/>
          <w:sz w:val="22"/>
        </w:rPr>
        <w:t xml:space="preserve"> including MWhs of storage, </w:t>
      </w:r>
      <w:proofErr w:type="spellStart"/>
      <w:r w:rsidR="00EF49EB" w:rsidRPr="00EF49EB">
        <w:rPr>
          <w:rFonts w:ascii="Open Sans" w:hAnsi="Open Sans" w:cs="Open Sans"/>
          <w:b w:val="0"/>
          <w:sz w:val="22"/>
        </w:rPr>
        <w:t>MVArs</w:t>
      </w:r>
      <w:proofErr w:type="spellEnd"/>
      <w:r w:rsidR="00EF49EB" w:rsidRPr="00EF49EB">
        <w:rPr>
          <w:rFonts w:ascii="Open Sans" w:hAnsi="Open Sans" w:cs="Open Sans"/>
          <w:b w:val="0"/>
          <w:sz w:val="22"/>
        </w:rPr>
        <w:t xml:space="preserve"> of reactive power, and a frequency response/inertia capability. </w:t>
      </w:r>
      <w:r w:rsidRPr="003E2DE0">
        <w:rPr>
          <w:rFonts w:ascii="Open Sans" w:hAnsi="Open Sans" w:cs="Open Sans"/>
          <w:b w:val="0"/>
          <w:sz w:val="22"/>
        </w:rPr>
        <w:t xml:space="preserve">Under the </w:t>
      </w:r>
      <w:r w:rsidR="00764FDC">
        <w:rPr>
          <w:rFonts w:ascii="Open Sans" w:hAnsi="Open Sans" w:cs="Open Sans"/>
          <w:b w:val="0"/>
          <w:sz w:val="22"/>
        </w:rPr>
        <w:t xml:space="preserve">Income </w:t>
      </w:r>
      <w:r w:rsidRPr="003E2DE0">
        <w:rPr>
          <w:rFonts w:ascii="Open Sans" w:hAnsi="Open Sans" w:cs="Open Sans"/>
          <w:b w:val="0"/>
          <w:sz w:val="22"/>
        </w:rPr>
        <w:t>Floor, construction risks are borne entirely by investors, which may be appropriate for more mature technologies, such as Pumped Hydro.</w:t>
      </w:r>
    </w:p>
    <w:p w14:paraId="05F6B0BE" w14:textId="77777777" w:rsidR="007A5D0A" w:rsidRPr="003E2DE0" w:rsidRDefault="007A5D0A" w:rsidP="007A5D0A">
      <w:pPr>
        <w:pStyle w:val="07NumberedBodySubheading"/>
        <w:jc w:val="both"/>
        <w:rPr>
          <w:rFonts w:ascii="Open Sans" w:hAnsi="Open Sans" w:cs="Open Sans"/>
          <w:b w:val="0"/>
          <w:sz w:val="22"/>
        </w:rPr>
      </w:pPr>
    </w:p>
    <w:p w14:paraId="63E71860" w14:textId="3D1B62CD" w:rsidR="007A5D0A"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The CM would leave investors exposed to merchant risk from electricity trading, balancing and ancillary services, failing to drive lower cost of capital for investment in longer-duration energy storage projects. </w:t>
      </w:r>
    </w:p>
    <w:p w14:paraId="59503EF2" w14:textId="768BABD8" w:rsidR="00764FDC" w:rsidRDefault="00764FDC" w:rsidP="007A5D0A">
      <w:pPr>
        <w:pStyle w:val="07NumberedBodySubheading"/>
        <w:jc w:val="both"/>
        <w:rPr>
          <w:rFonts w:ascii="Open Sans" w:hAnsi="Open Sans" w:cs="Open Sans"/>
          <w:b w:val="0"/>
          <w:sz w:val="22"/>
        </w:rPr>
      </w:pPr>
    </w:p>
    <w:p w14:paraId="674C66D1" w14:textId="115B5DF2" w:rsidR="00764FDC" w:rsidRPr="003E2DE0" w:rsidRDefault="001658E4" w:rsidP="007A5D0A">
      <w:pPr>
        <w:pStyle w:val="07NumberedBodySubheading"/>
        <w:jc w:val="both"/>
        <w:rPr>
          <w:rFonts w:ascii="Open Sans" w:hAnsi="Open Sans" w:cs="Open Sans"/>
          <w:b w:val="0"/>
          <w:sz w:val="22"/>
        </w:rPr>
      </w:pPr>
      <w:r>
        <w:rPr>
          <w:rFonts w:ascii="Open Sans" w:hAnsi="Open Sans" w:cs="Open Sans"/>
          <w:b w:val="0"/>
          <w:sz w:val="22"/>
        </w:rPr>
        <w:lastRenderedPageBreak/>
        <w:t xml:space="preserve">While </w:t>
      </w:r>
      <w:r w:rsidRPr="001658E4">
        <w:rPr>
          <w:rFonts w:ascii="Open Sans" w:hAnsi="Open Sans" w:cs="Open Sans"/>
          <w:b w:val="0"/>
          <w:sz w:val="22"/>
        </w:rPr>
        <w:t xml:space="preserve">successful in improving the bankability of low carbon and renewable energy projects, </w:t>
      </w:r>
      <w:r>
        <w:rPr>
          <w:rFonts w:ascii="Open Sans" w:hAnsi="Open Sans" w:cs="Open Sans"/>
          <w:b w:val="0"/>
          <w:sz w:val="22"/>
        </w:rPr>
        <w:t xml:space="preserve">the </w:t>
      </w:r>
      <w:proofErr w:type="spellStart"/>
      <w:r>
        <w:rPr>
          <w:rFonts w:ascii="Open Sans" w:hAnsi="Open Sans" w:cs="Open Sans"/>
          <w:b w:val="0"/>
          <w:sz w:val="22"/>
        </w:rPr>
        <w:t>CfD</w:t>
      </w:r>
      <w:proofErr w:type="spellEnd"/>
      <w:r>
        <w:rPr>
          <w:rFonts w:ascii="Open Sans" w:hAnsi="Open Sans" w:cs="Open Sans"/>
          <w:b w:val="0"/>
          <w:sz w:val="22"/>
        </w:rPr>
        <w:t xml:space="preserve"> </w:t>
      </w:r>
      <w:r w:rsidRPr="001658E4">
        <w:rPr>
          <w:rFonts w:ascii="Open Sans" w:hAnsi="Open Sans" w:cs="Open Sans"/>
          <w:b w:val="0"/>
          <w:sz w:val="22"/>
        </w:rPr>
        <w:t xml:space="preserve">would not de-risk investment in longer-duration energy projects effectively. This is because it applies only to energy </w:t>
      </w:r>
      <w:proofErr w:type="gramStart"/>
      <w:r w:rsidRPr="001658E4">
        <w:rPr>
          <w:rFonts w:ascii="Open Sans" w:hAnsi="Open Sans" w:cs="Open Sans"/>
          <w:b w:val="0"/>
          <w:sz w:val="22"/>
        </w:rPr>
        <w:t>revenues, and</w:t>
      </w:r>
      <w:proofErr w:type="gramEnd"/>
      <w:r w:rsidRPr="001658E4">
        <w:rPr>
          <w:rFonts w:ascii="Open Sans" w:hAnsi="Open Sans" w:cs="Open Sans"/>
          <w:b w:val="0"/>
          <w:sz w:val="22"/>
        </w:rPr>
        <w:t xml:space="preserve"> does not secure possible additional income from balancing and ancillary services, vital to the profitability of energy storage.</w:t>
      </w:r>
    </w:p>
    <w:p w14:paraId="339F1349" w14:textId="77777777" w:rsidR="007A5D0A" w:rsidRPr="003E2DE0" w:rsidRDefault="007A5D0A" w:rsidP="007A5D0A">
      <w:pPr>
        <w:pStyle w:val="07NumberedBodySubheading"/>
        <w:jc w:val="both"/>
        <w:rPr>
          <w:rFonts w:ascii="Open Sans" w:hAnsi="Open Sans" w:cs="Open Sans"/>
          <w:b w:val="0"/>
          <w:sz w:val="22"/>
        </w:rPr>
      </w:pPr>
    </w:p>
    <w:p w14:paraId="78B3AD62" w14:textId="77777777" w:rsidR="007A5D0A" w:rsidRPr="003E2DE0" w:rsidRDefault="007A5D0A" w:rsidP="007A5D0A">
      <w:pPr>
        <w:pStyle w:val="07NumberedBodySubheading"/>
        <w:numPr>
          <w:ilvl w:val="0"/>
          <w:numId w:val="29"/>
        </w:numPr>
        <w:jc w:val="both"/>
        <w:rPr>
          <w:rFonts w:ascii="Open Sans" w:hAnsi="Open Sans" w:cs="Open Sans"/>
          <w:bCs/>
          <w:i/>
          <w:iCs/>
          <w:sz w:val="22"/>
        </w:rPr>
      </w:pPr>
      <w:r w:rsidRPr="003E2DE0">
        <w:rPr>
          <w:rFonts w:ascii="Open Sans" w:hAnsi="Open Sans" w:cs="Open Sans"/>
          <w:bCs/>
          <w:i/>
          <w:iCs/>
          <w:sz w:val="22"/>
        </w:rPr>
        <w:t xml:space="preserve">Enables and encourages participation from a range of technologies, ensuring effective competition in the </w:t>
      </w:r>
      <w:proofErr w:type="gramStart"/>
      <w:r w:rsidRPr="003E2DE0">
        <w:rPr>
          <w:rFonts w:ascii="Open Sans" w:hAnsi="Open Sans" w:cs="Open Sans"/>
          <w:bCs/>
          <w:i/>
          <w:iCs/>
          <w:sz w:val="22"/>
        </w:rPr>
        <w:t>process</w:t>
      </w:r>
      <w:proofErr w:type="gramEnd"/>
      <w:r w:rsidRPr="003E2DE0">
        <w:rPr>
          <w:rFonts w:ascii="Open Sans" w:hAnsi="Open Sans" w:cs="Open Sans"/>
          <w:bCs/>
          <w:i/>
          <w:iCs/>
          <w:sz w:val="22"/>
        </w:rPr>
        <w:t xml:space="preserve"> </w:t>
      </w:r>
    </w:p>
    <w:p w14:paraId="200F8EF3" w14:textId="77777777" w:rsidR="007A5D0A" w:rsidRPr="003E2DE0" w:rsidRDefault="007A5D0A" w:rsidP="007A5D0A">
      <w:pPr>
        <w:pStyle w:val="07NumberedBodySubheading"/>
        <w:jc w:val="both"/>
        <w:rPr>
          <w:rFonts w:ascii="Open Sans" w:hAnsi="Open Sans" w:cs="Open Sans"/>
          <w:bCs/>
          <w:i/>
          <w:iCs/>
          <w:sz w:val="22"/>
        </w:rPr>
      </w:pPr>
    </w:p>
    <w:p w14:paraId="6DCCD42A" w14:textId="5EAA221F" w:rsidR="008E4DF6"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Both the </w:t>
      </w:r>
      <w:r w:rsidR="00A57949">
        <w:rPr>
          <w:rFonts w:ascii="Open Sans" w:hAnsi="Open Sans" w:cs="Open Sans"/>
          <w:b w:val="0"/>
          <w:sz w:val="22"/>
        </w:rPr>
        <w:t>Income</w:t>
      </w:r>
      <w:r w:rsidRPr="003E2DE0">
        <w:rPr>
          <w:rFonts w:ascii="Open Sans" w:hAnsi="Open Sans" w:cs="Open Sans"/>
          <w:b w:val="0"/>
          <w:sz w:val="22"/>
        </w:rPr>
        <w:t xml:space="preserve"> Floor and the RAB approaches could be designed around system needs rather than around specific projects or technologies. Successful projects and allowed returns could be set through a competitive tender process, involving participation from a range of technologies.</w:t>
      </w:r>
    </w:p>
    <w:p w14:paraId="12885074" w14:textId="77777777" w:rsidR="008E4DF6" w:rsidRDefault="008E4DF6" w:rsidP="007A5D0A">
      <w:pPr>
        <w:pStyle w:val="07NumberedBodySubheading"/>
        <w:jc w:val="both"/>
        <w:rPr>
          <w:rFonts w:ascii="Open Sans" w:hAnsi="Open Sans" w:cs="Open Sans"/>
          <w:b w:val="0"/>
          <w:sz w:val="22"/>
        </w:rPr>
      </w:pPr>
    </w:p>
    <w:p w14:paraId="0FEBCDFB" w14:textId="02449405" w:rsidR="007A5D0A" w:rsidRPr="003E2DE0" w:rsidRDefault="00EF49EB" w:rsidP="007A5D0A">
      <w:pPr>
        <w:pStyle w:val="07NumberedBodySubheading"/>
        <w:jc w:val="both"/>
        <w:rPr>
          <w:rFonts w:ascii="Open Sans" w:hAnsi="Open Sans" w:cs="Open Sans"/>
          <w:b w:val="0"/>
          <w:sz w:val="22"/>
        </w:rPr>
      </w:pPr>
      <w:r w:rsidRPr="00EF49EB">
        <w:rPr>
          <w:rFonts w:ascii="Open Sans" w:hAnsi="Open Sans" w:cs="Open Sans"/>
          <w:b w:val="0"/>
          <w:sz w:val="22"/>
        </w:rPr>
        <w:t xml:space="preserve">Due to the scale and lead-time associated with these assets, the number of participants in tender or gateway processes may be limited.  If this is the case, then it may be appropriate for a floor value to be set by BEIS or Ofgem through an administrative process.   </w:t>
      </w:r>
    </w:p>
    <w:p w14:paraId="6449D785" w14:textId="77777777" w:rsidR="007A5D0A" w:rsidRPr="003E2DE0" w:rsidRDefault="007A5D0A" w:rsidP="007A5D0A">
      <w:pPr>
        <w:pStyle w:val="07NumberedBodySubheading"/>
        <w:jc w:val="both"/>
        <w:rPr>
          <w:rFonts w:ascii="Open Sans" w:hAnsi="Open Sans" w:cs="Open Sans"/>
          <w:b w:val="0"/>
          <w:sz w:val="22"/>
        </w:rPr>
      </w:pPr>
    </w:p>
    <w:p w14:paraId="4D0A6747" w14:textId="1BEF2935" w:rsidR="008E4DF6" w:rsidRPr="008728EB"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The CM, as currently designed, </w:t>
      </w:r>
      <w:r w:rsidR="008E4DF6">
        <w:rPr>
          <w:rFonts w:ascii="Open Sans" w:hAnsi="Open Sans" w:cs="Open Sans"/>
          <w:b w:val="0"/>
          <w:sz w:val="22"/>
        </w:rPr>
        <w:t>does not enable</w:t>
      </w:r>
      <w:r w:rsidR="008E4DF6" w:rsidRPr="003E2DE0">
        <w:rPr>
          <w:rFonts w:ascii="Open Sans" w:hAnsi="Open Sans" w:cs="Open Sans"/>
          <w:b w:val="0"/>
          <w:sz w:val="22"/>
        </w:rPr>
        <w:t xml:space="preserve"> </w:t>
      </w:r>
      <w:r w:rsidRPr="003E2DE0">
        <w:rPr>
          <w:rFonts w:ascii="Open Sans" w:hAnsi="Open Sans" w:cs="Open Sans"/>
          <w:b w:val="0"/>
          <w:sz w:val="22"/>
        </w:rPr>
        <w:t xml:space="preserve">new build longer-duration storage technologies with construction times </w:t>
      </w:r>
      <w:proofErr w:type="gramStart"/>
      <w:r w:rsidRPr="003E2DE0">
        <w:rPr>
          <w:rFonts w:ascii="Open Sans" w:hAnsi="Open Sans" w:cs="Open Sans"/>
          <w:b w:val="0"/>
          <w:sz w:val="22"/>
        </w:rPr>
        <w:t>in excess of</w:t>
      </w:r>
      <w:proofErr w:type="gramEnd"/>
      <w:r w:rsidRPr="003E2DE0">
        <w:rPr>
          <w:rFonts w:ascii="Open Sans" w:hAnsi="Open Sans" w:cs="Open Sans"/>
          <w:b w:val="0"/>
          <w:sz w:val="22"/>
        </w:rPr>
        <w:t xml:space="preserve"> four years (T-4), </w:t>
      </w:r>
      <w:r w:rsidRPr="00AA2875">
        <w:rPr>
          <w:rFonts w:ascii="Open Sans" w:hAnsi="Open Sans" w:cs="Open Sans"/>
          <w:b w:val="0"/>
          <w:sz w:val="22"/>
        </w:rPr>
        <w:t>such as Pumped Hydro.</w:t>
      </w:r>
      <w:r w:rsidRPr="008728EB">
        <w:rPr>
          <w:rFonts w:ascii="Open Sans" w:hAnsi="Open Sans" w:cs="Open Sans"/>
          <w:b w:val="0"/>
        </w:rPr>
        <w:t xml:space="preserve"> </w:t>
      </w:r>
      <w:r w:rsidR="008E4DF6" w:rsidRPr="008728EB">
        <w:rPr>
          <w:rFonts w:ascii="Open Sans" w:hAnsi="Open Sans" w:cs="Open Sans"/>
          <w:b w:val="0"/>
          <w:sz w:val="22"/>
        </w:rPr>
        <w:t xml:space="preserve">It also favours </w:t>
      </w:r>
      <w:r w:rsidR="00AA2875" w:rsidRPr="008728EB">
        <w:rPr>
          <w:rFonts w:ascii="Open Sans" w:hAnsi="Open Sans" w:cs="Open Sans"/>
          <w:b w:val="0"/>
          <w:sz w:val="22"/>
        </w:rPr>
        <w:t xml:space="preserve">low Capex/ high </w:t>
      </w:r>
      <w:proofErr w:type="spellStart"/>
      <w:r w:rsidR="00AA2875" w:rsidRPr="008728EB">
        <w:rPr>
          <w:rFonts w:ascii="Open Sans" w:hAnsi="Open Sans" w:cs="Open Sans"/>
          <w:b w:val="0"/>
          <w:sz w:val="22"/>
        </w:rPr>
        <w:t>Opex</w:t>
      </w:r>
      <w:proofErr w:type="spellEnd"/>
      <w:r w:rsidR="00AA2875" w:rsidRPr="008728EB">
        <w:rPr>
          <w:rFonts w:ascii="Open Sans" w:hAnsi="Open Sans" w:cs="Open Sans"/>
          <w:b w:val="0"/>
          <w:sz w:val="22"/>
        </w:rPr>
        <w:t xml:space="preserve"> projects (</w:t>
      </w:r>
      <w:proofErr w:type="gramStart"/>
      <w:r w:rsidR="00AA2875" w:rsidRPr="008728EB">
        <w:rPr>
          <w:rFonts w:ascii="Open Sans" w:hAnsi="Open Sans" w:cs="Open Sans"/>
          <w:b w:val="0"/>
          <w:sz w:val="22"/>
        </w:rPr>
        <w:t>e.g.</w:t>
      </w:r>
      <w:proofErr w:type="gramEnd"/>
      <w:r w:rsidR="00AA2875" w:rsidRPr="008728EB">
        <w:rPr>
          <w:rFonts w:ascii="Open Sans" w:hAnsi="Open Sans" w:cs="Open Sans"/>
          <w:b w:val="0"/>
          <w:sz w:val="22"/>
        </w:rPr>
        <w:t xml:space="preserve"> OCGTs over CCGTs). Therefore, in its current form, it is unlikely to </w:t>
      </w:r>
      <w:r w:rsidR="00AA2875">
        <w:rPr>
          <w:rFonts w:ascii="Open Sans" w:hAnsi="Open Sans" w:cs="Open Sans"/>
          <w:b w:val="0"/>
          <w:sz w:val="22"/>
        </w:rPr>
        <w:t>enable competition from</w:t>
      </w:r>
      <w:r w:rsidR="00AA2875" w:rsidRPr="008728EB">
        <w:rPr>
          <w:rFonts w:ascii="Open Sans" w:hAnsi="Open Sans" w:cs="Open Sans"/>
          <w:b w:val="0"/>
          <w:sz w:val="22"/>
        </w:rPr>
        <w:t xml:space="preserve"> capital-intensive longer-duration energy storage projects.</w:t>
      </w:r>
    </w:p>
    <w:p w14:paraId="719FB579" w14:textId="77777777" w:rsidR="008E4DF6" w:rsidRPr="008728EB" w:rsidRDefault="008E4DF6" w:rsidP="007A5D0A">
      <w:pPr>
        <w:pStyle w:val="07NumberedBodySubheading"/>
        <w:jc w:val="both"/>
        <w:rPr>
          <w:rFonts w:ascii="Open Sans" w:hAnsi="Open Sans" w:cs="Open Sans"/>
          <w:b w:val="0"/>
        </w:rPr>
      </w:pPr>
    </w:p>
    <w:p w14:paraId="65121D92" w14:textId="68A6BB4C" w:rsidR="00157D8B" w:rsidRPr="008728EB" w:rsidRDefault="007A5D0A" w:rsidP="007A5D0A">
      <w:pPr>
        <w:pStyle w:val="07NumberedBodySubheading"/>
        <w:jc w:val="both"/>
        <w:rPr>
          <w:rFonts w:ascii="Open Sans" w:hAnsi="Open Sans" w:cs="Open Sans"/>
          <w:b w:val="0"/>
          <w:sz w:val="22"/>
        </w:rPr>
      </w:pPr>
      <w:r w:rsidRPr="003E2DE0">
        <w:rPr>
          <w:rFonts w:ascii="Open Sans" w:hAnsi="Open Sans" w:cs="Open Sans"/>
          <w:b w:val="0"/>
          <w:sz w:val="22"/>
        </w:rPr>
        <w:t xml:space="preserve">The </w:t>
      </w:r>
      <w:proofErr w:type="spellStart"/>
      <w:r w:rsidRPr="003E2DE0">
        <w:rPr>
          <w:rFonts w:ascii="Open Sans" w:hAnsi="Open Sans" w:cs="Open Sans"/>
          <w:b w:val="0"/>
          <w:sz w:val="22"/>
        </w:rPr>
        <w:t>CfD</w:t>
      </w:r>
      <w:proofErr w:type="spellEnd"/>
      <w:r w:rsidRPr="003E2DE0">
        <w:rPr>
          <w:rFonts w:ascii="Open Sans" w:hAnsi="Open Sans" w:cs="Open Sans"/>
          <w:b w:val="0"/>
          <w:sz w:val="22"/>
        </w:rPr>
        <w:t xml:space="preserve"> has been effective in making use of competition between projects and technologies to drive costs down. However, as discussed above, the </w:t>
      </w:r>
      <w:proofErr w:type="spellStart"/>
      <w:r w:rsidRPr="003E2DE0">
        <w:rPr>
          <w:rFonts w:ascii="Open Sans" w:hAnsi="Open Sans" w:cs="Open Sans"/>
          <w:b w:val="0"/>
          <w:sz w:val="22"/>
        </w:rPr>
        <w:t>CfD</w:t>
      </w:r>
      <w:proofErr w:type="spellEnd"/>
      <w:r w:rsidRPr="003E2DE0">
        <w:rPr>
          <w:rFonts w:ascii="Open Sans" w:hAnsi="Open Sans" w:cs="Open Sans"/>
          <w:b w:val="0"/>
          <w:sz w:val="22"/>
        </w:rPr>
        <w:t xml:space="preserve"> </w:t>
      </w:r>
      <w:proofErr w:type="gramStart"/>
      <w:r w:rsidRPr="003E2DE0">
        <w:rPr>
          <w:rFonts w:ascii="Open Sans" w:hAnsi="Open Sans" w:cs="Open Sans"/>
          <w:b w:val="0"/>
          <w:sz w:val="22"/>
        </w:rPr>
        <w:t>isn’t</w:t>
      </w:r>
      <w:proofErr w:type="gramEnd"/>
      <w:r w:rsidRPr="003E2DE0">
        <w:rPr>
          <w:rFonts w:ascii="Open Sans" w:hAnsi="Open Sans" w:cs="Open Sans"/>
          <w:b w:val="0"/>
          <w:sz w:val="22"/>
        </w:rPr>
        <w:t xml:space="preserve"> a suitable mechanism given the operational characteristics of longer-duration storage.</w:t>
      </w:r>
    </w:p>
    <w:p w14:paraId="759B298F" w14:textId="4881B8E1" w:rsidR="007A5D0A" w:rsidRPr="008728EB" w:rsidRDefault="00AA2875" w:rsidP="008728EB">
      <w:pPr>
        <w:spacing w:after="0" w:line="240" w:lineRule="auto"/>
        <w:jc w:val="both"/>
        <w:rPr>
          <w:rFonts w:ascii="Futura PT Book" w:eastAsia="Calibri" w:hAnsi="Futura PT Book" w:cs="Open Sans"/>
          <w:b/>
          <w:bCs/>
          <w:sz w:val="28"/>
          <w:szCs w:val="28"/>
        </w:rPr>
      </w:pPr>
      <w:r>
        <w:rPr>
          <w:rFonts w:ascii="Futura PT Book" w:hAnsi="Futura PT Book" w:cs="Open Sans"/>
          <w:bCs/>
          <w:sz w:val="28"/>
          <w:szCs w:val="28"/>
        </w:rPr>
        <w:br w:type="page"/>
      </w:r>
      <w:r w:rsidR="007A5D0A" w:rsidRPr="008728EB">
        <w:rPr>
          <w:rFonts w:ascii="Futura PT Book" w:eastAsiaTheme="majorEastAsia" w:hAnsi="Futura PT Book" w:cs="Open Sans"/>
          <w:b/>
          <w:bCs/>
          <w:sz w:val="28"/>
          <w:szCs w:val="28"/>
        </w:rPr>
        <w:lastRenderedPageBreak/>
        <w:t>Conclusion</w:t>
      </w:r>
    </w:p>
    <w:p w14:paraId="5C9653AD" w14:textId="77777777" w:rsidR="007A5D0A" w:rsidRPr="003E2DE0" w:rsidRDefault="007A5D0A" w:rsidP="007A5D0A">
      <w:pPr>
        <w:pStyle w:val="07NumberedBodySubheading"/>
        <w:jc w:val="both"/>
        <w:rPr>
          <w:rFonts w:ascii="Open Sans" w:hAnsi="Open Sans" w:cs="Open Sans"/>
          <w:b w:val="0"/>
          <w:sz w:val="22"/>
        </w:rPr>
      </w:pPr>
    </w:p>
    <w:p w14:paraId="0A9EEF0D" w14:textId="77777777" w:rsidR="00A57949" w:rsidRDefault="00A57949" w:rsidP="007A5D0A">
      <w:pPr>
        <w:pStyle w:val="07NumberedBodySubheading"/>
        <w:jc w:val="both"/>
        <w:rPr>
          <w:rFonts w:ascii="Open Sans" w:hAnsi="Open Sans" w:cs="Open Sans"/>
          <w:b w:val="0"/>
          <w:sz w:val="22"/>
        </w:rPr>
      </w:pPr>
    </w:p>
    <w:p w14:paraId="2F7D7238" w14:textId="6D0CE014" w:rsidR="00327C31" w:rsidRDefault="00A45653" w:rsidP="007A5D0A">
      <w:pPr>
        <w:pStyle w:val="07NumberedBodySubheading"/>
        <w:jc w:val="both"/>
        <w:rPr>
          <w:rFonts w:ascii="Open Sans" w:hAnsi="Open Sans" w:cs="Open Sans"/>
          <w:b w:val="0"/>
          <w:sz w:val="22"/>
        </w:rPr>
      </w:pPr>
      <w:r>
        <w:rPr>
          <w:rFonts w:ascii="Open Sans" w:hAnsi="Open Sans" w:cs="Open Sans"/>
          <w:b w:val="0"/>
          <w:sz w:val="22"/>
        </w:rPr>
        <w:t xml:space="preserve">Increasing the development of longer-duration energy storage projects is a necessary step to managing a grid powered by high levels of variable generation and therefore is vital to Net Zero. </w:t>
      </w:r>
      <w:r w:rsidR="00A31652">
        <w:rPr>
          <w:rFonts w:ascii="Open Sans" w:hAnsi="Open Sans" w:cs="Open Sans"/>
          <w:b w:val="0"/>
          <w:sz w:val="22"/>
        </w:rPr>
        <w:t xml:space="preserve">As other analyses also show, increasing the amounts of new longer-duration energy storage plants coming onto our electricity system also has significant cost-saving benefits. </w:t>
      </w:r>
    </w:p>
    <w:p w14:paraId="0949B70F" w14:textId="77777777" w:rsidR="00327C31" w:rsidRDefault="00327C31" w:rsidP="007A5D0A">
      <w:pPr>
        <w:pStyle w:val="07NumberedBodySubheading"/>
        <w:jc w:val="both"/>
        <w:rPr>
          <w:rFonts w:ascii="Open Sans" w:hAnsi="Open Sans" w:cs="Open Sans"/>
          <w:b w:val="0"/>
          <w:sz w:val="22"/>
        </w:rPr>
      </w:pPr>
    </w:p>
    <w:p w14:paraId="466F79BE" w14:textId="075EDC87" w:rsidR="00A57949" w:rsidRPr="003E2DE0" w:rsidRDefault="00CE08E0" w:rsidP="007A5D0A">
      <w:pPr>
        <w:pStyle w:val="07NumberedBodySubheading"/>
        <w:jc w:val="both"/>
        <w:rPr>
          <w:rFonts w:ascii="Open Sans" w:hAnsi="Open Sans" w:cs="Open Sans"/>
          <w:b w:val="0"/>
          <w:sz w:val="22"/>
        </w:rPr>
      </w:pPr>
      <w:r>
        <w:rPr>
          <w:rFonts w:ascii="Open Sans" w:hAnsi="Open Sans" w:cs="Open Sans"/>
          <w:b w:val="0"/>
          <w:sz w:val="22"/>
        </w:rPr>
        <w:t>There is a</w:t>
      </w:r>
      <w:r w:rsidR="00A31652">
        <w:rPr>
          <w:rFonts w:ascii="Open Sans" w:hAnsi="Open Sans" w:cs="Open Sans"/>
          <w:b w:val="0"/>
          <w:sz w:val="22"/>
        </w:rPr>
        <w:t xml:space="preserve">nother </w:t>
      </w:r>
      <w:r>
        <w:rPr>
          <w:rFonts w:ascii="Open Sans" w:hAnsi="Open Sans" w:cs="Open Sans"/>
          <w:b w:val="0"/>
          <w:sz w:val="22"/>
        </w:rPr>
        <w:t>indisputable and overarching benefit to consumers from wider deployment of longer-duration energy storage – a more stable energy supply and cushioning from price volatility.</w:t>
      </w:r>
      <w:r w:rsidR="00F93EA2">
        <w:rPr>
          <w:rFonts w:ascii="Open Sans" w:hAnsi="Open Sans" w:cs="Open Sans"/>
          <w:b w:val="0"/>
          <w:sz w:val="22"/>
        </w:rPr>
        <w:t xml:space="preserve"> </w:t>
      </w:r>
      <w:r w:rsidR="00A31652">
        <w:rPr>
          <w:rFonts w:ascii="Open Sans" w:hAnsi="Open Sans" w:cs="Open Sans"/>
          <w:b w:val="0"/>
          <w:sz w:val="22"/>
        </w:rPr>
        <w:t>A</w:t>
      </w:r>
      <w:r w:rsidR="00F93EA2">
        <w:rPr>
          <w:rFonts w:ascii="Open Sans" w:hAnsi="Open Sans" w:cs="Open Sans"/>
          <w:b w:val="0"/>
          <w:sz w:val="22"/>
        </w:rPr>
        <w:t xml:space="preserve"> larger, and diverse, portfolio of longer-duration storage projects in the UK</w:t>
      </w:r>
      <w:r w:rsidR="00A31652">
        <w:rPr>
          <w:rFonts w:ascii="Open Sans" w:hAnsi="Open Sans" w:cs="Open Sans"/>
          <w:b w:val="0"/>
          <w:sz w:val="22"/>
        </w:rPr>
        <w:t xml:space="preserve"> would also provide greater security of supply</w:t>
      </w:r>
      <w:r w:rsidR="00F93EA2">
        <w:rPr>
          <w:rFonts w:ascii="Open Sans" w:hAnsi="Open Sans" w:cs="Open Sans"/>
          <w:b w:val="0"/>
          <w:sz w:val="22"/>
        </w:rPr>
        <w:t>. As Britain’s neighbours gradually increase the proportion of variable generation powering their grids, there will likely be periods where Britain and its neighbours experience system stress at the same time due to the impacts of weather on renewable energy outputs.</w:t>
      </w:r>
    </w:p>
    <w:p w14:paraId="7D310558" w14:textId="4789943D" w:rsidR="007A5D0A" w:rsidRDefault="007A5D0A" w:rsidP="007A5D0A">
      <w:pPr>
        <w:pStyle w:val="07NumberedBodySubheading"/>
        <w:jc w:val="both"/>
        <w:rPr>
          <w:rFonts w:ascii="Open Sans" w:hAnsi="Open Sans" w:cs="Open Sans"/>
          <w:b w:val="0"/>
          <w:sz w:val="22"/>
        </w:rPr>
      </w:pPr>
    </w:p>
    <w:p w14:paraId="72413AF3" w14:textId="77777777" w:rsidR="00A45653" w:rsidRDefault="00A45653" w:rsidP="00A45653">
      <w:pPr>
        <w:pStyle w:val="07NumberedBodySubheading"/>
        <w:jc w:val="both"/>
        <w:rPr>
          <w:rFonts w:ascii="Open Sans" w:hAnsi="Open Sans" w:cs="Open Sans"/>
          <w:b w:val="0"/>
          <w:sz w:val="22"/>
        </w:rPr>
      </w:pPr>
      <w:r>
        <w:rPr>
          <w:rFonts w:ascii="Open Sans" w:hAnsi="Open Sans" w:cs="Open Sans"/>
          <w:b w:val="0"/>
          <w:sz w:val="22"/>
        </w:rPr>
        <w:t xml:space="preserve">Our analysis suggests that the two models currently used to incentivise investment in renewable generation and ensure security of supply, the Capacity Market and Contracts for Difference, would not be appropriate tools for encouraging investment in longer-duration energy storage due to their inability adequately help de-risk earnings from balancing and ancillary services. </w:t>
      </w:r>
    </w:p>
    <w:p w14:paraId="4B7F6C38" w14:textId="77777777" w:rsidR="00A45653" w:rsidRDefault="00A45653" w:rsidP="00A45653">
      <w:pPr>
        <w:pStyle w:val="07NumberedBodySubheading"/>
        <w:jc w:val="both"/>
        <w:rPr>
          <w:rFonts w:ascii="Open Sans" w:hAnsi="Open Sans" w:cs="Open Sans"/>
          <w:b w:val="0"/>
          <w:sz w:val="22"/>
        </w:rPr>
      </w:pPr>
    </w:p>
    <w:p w14:paraId="72678891" w14:textId="2E5B9210" w:rsidR="00A45653" w:rsidRDefault="00A45653" w:rsidP="00A45653">
      <w:pPr>
        <w:pStyle w:val="07NumberedBodySubheading"/>
        <w:jc w:val="both"/>
        <w:rPr>
          <w:rFonts w:ascii="Open Sans" w:hAnsi="Open Sans" w:cs="Open Sans"/>
          <w:b w:val="0"/>
          <w:sz w:val="22"/>
        </w:rPr>
      </w:pPr>
      <w:r>
        <w:rPr>
          <w:rFonts w:ascii="Open Sans" w:hAnsi="Open Sans" w:cs="Open Sans"/>
          <w:b w:val="0"/>
          <w:sz w:val="22"/>
        </w:rPr>
        <w:t>There are therefore two options that could offer appropriate solutions: Income Floor, and RAB. An Income Floor could be the most simple mechanism</w:t>
      </w:r>
      <w:r w:rsidR="00A31652">
        <w:rPr>
          <w:rFonts w:ascii="Open Sans" w:hAnsi="Open Sans" w:cs="Open Sans"/>
          <w:b w:val="0"/>
          <w:sz w:val="22"/>
        </w:rPr>
        <w:t xml:space="preserve"> for incentivising investment, ensuring that dispatch models continue to be driven by price signals, and encouraging plant operators to maximise the value of the plant for themselves and for </w:t>
      </w:r>
      <w:proofErr w:type="gramStart"/>
      <w:r w:rsidR="00A31652">
        <w:rPr>
          <w:rFonts w:ascii="Open Sans" w:hAnsi="Open Sans" w:cs="Open Sans"/>
          <w:b w:val="0"/>
          <w:sz w:val="22"/>
        </w:rPr>
        <w:t>consumers</w:t>
      </w:r>
      <w:r>
        <w:rPr>
          <w:rFonts w:ascii="Open Sans" w:hAnsi="Open Sans" w:cs="Open Sans"/>
          <w:b w:val="0"/>
          <w:sz w:val="22"/>
        </w:rPr>
        <w:t>,  however</w:t>
      </w:r>
      <w:proofErr w:type="gramEnd"/>
      <w:r>
        <w:rPr>
          <w:rFonts w:ascii="Open Sans" w:hAnsi="Open Sans" w:cs="Open Sans"/>
          <w:b w:val="0"/>
          <w:sz w:val="22"/>
        </w:rPr>
        <w:t xml:space="preserve"> REA appreciates that it would require very careful design</w:t>
      </w:r>
      <w:r w:rsidR="00A31652">
        <w:rPr>
          <w:rFonts w:ascii="Open Sans" w:hAnsi="Open Sans" w:cs="Open Sans"/>
          <w:b w:val="0"/>
          <w:sz w:val="22"/>
        </w:rPr>
        <w:t>.</w:t>
      </w:r>
    </w:p>
    <w:p w14:paraId="3670F33B" w14:textId="77777777" w:rsidR="00A45653" w:rsidRDefault="00A45653" w:rsidP="007A5D0A">
      <w:pPr>
        <w:pStyle w:val="07NumberedBodySubheading"/>
        <w:jc w:val="both"/>
        <w:rPr>
          <w:rFonts w:ascii="Open Sans" w:hAnsi="Open Sans" w:cs="Open Sans"/>
          <w:b w:val="0"/>
          <w:sz w:val="22"/>
        </w:rPr>
      </w:pPr>
    </w:p>
    <w:p w14:paraId="0408C095" w14:textId="18F0525B" w:rsidR="00FB3F6B" w:rsidRPr="003E2DE0" w:rsidRDefault="00FB3F6B" w:rsidP="007A5D0A">
      <w:pPr>
        <w:pStyle w:val="07NumberedBodySubheading"/>
        <w:jc w:val="both"/>
        <w:rPr>
          <w:rFonts w:ascii="Open Sans" w:hAnsi="Open Sans" w:cs="Open Sans"/>
          <w:b w:val="0"/>
          <w:sz w:val="22"/>
        </w:rPr>
      </w:pPr>
      <w:r>
        <w:rPr>
          <w:rFonts w:ascii="Open Sans" w:hAnsi="Open Sans" w:cs="Open Sans"/>
          <w:b w:val="0"/>
          <w:sz w:val="22"/>
        </w:rPr>
        <w:t xml:space="preserve">The REA therefore calls on the Department for Business, </w:t>
      </w:r>
      <w:proofErr w:type="gramStart"/>
      <w:r>
        <w:rPr>
          <w:rFonts w:ascii="Open Sans" w:hAnsi="Open Sans" w:cs="Open Sans"/>
          <w:b w:val="0"/>
          <w:sz w:val="22"/>
        </w:rPr>
        <w:t>Energy</w:t>
      </w:r>
      <w:proofErr w:type="gramEnd"/>
      <w:r>
        <w:rPr>
          <w:rFonts w:ascii="Open Sans" w:hAnsi="Open Sans" w:cs="Open Sans"/>
          <w:b w:val="0"/>
          <w:sz w:val="22"/>
        </w:rPr>
        <w:t xml:space="preserve"> and Industrial Strategy to issue a Call for Evidence on how the barriers inhibiting wider development of longer-duration energy storage projects can be removed</w:t>
      </w:r>
      <w:r w:rsidR="00A45653">
        <w:rPr>
          <w:rFonts w:ascii="Open Sans" w:hAnsi="Open Sans" w:cs="Open Sans"/>
          <w:b w:val="0"/>
          <w:sz w:val="22"/>
        </w:rPr>
        <w:t xml:space="preserve">. </w:t>
      </w:r>
      <w:r>
        <w:rPr>
          <w:rFonts w:ascii="Open Sans" w:hAnsi="Open Sans" w:cs="Open Sans"/>
          <w:b w:val="0"/>
          <w:sz w:val="22"/>
        </w:rPr>
        <w:t xml:space="preserve">This could be issued alongside the updated Smart Systems &amp; Flexibility </w:t>
      </w:r>
      <w:proofErr w:type="gramStart"/>
      <w:r>
        <w:rPr>
          <w:rFonts w:ascii="Open Sans" w:hAnsi="Open Sans" w:cs="Open Sans"/>
          <w:b w:val="0"/>
          <w:sz w:val="22"/>
        </w:rPr>
        <w:t>Plan</w:t>
      </w:r>
      <w:r w:rsidR="007476E6">
        <w:rPr>
          <w:rFonts w:ascii="Open Sans" w:hAnsi="Open Sans" w:cs="Open Sans"/>
          <w:b w:val="0"/>
          <w:sz w:val="22"/>
        </w:rPr>
        <w:t>,</w:t>
      </w:r>
      <w:proofErr w:type="gramEnd"/>
      <w:r w:rsidR="007476E6">
        <w:rPr>
          <w:rFonts w:ascii="Open Sans" w:hAnsi="Open Sans" w:cs="Open Sans"/>
          <w:b w:val="0"/>
          <w:sz w:val="22"/>
        </w:rPr>
        <w:t xml:space="preserve"> however the Government should also explore whether there are any options for removing some of the regulatory barriers to longer-duration energy storage in the interim period while developing a permanent market mechanism.</w:t>
      </w:r>
    </w:p>
    <w:p w14:paraId="5CA6F747" w14:textId="77777777" w:rsidR="007A5D0A" w:rsidRPr="003E2DE0" w:rsidRDefault="007A5D0A" w:rsidP="007A5D0A">
      <w:pPr>
        <w:pStyle w:val="07NumberedBodySubheading"/>
        <w:jc w:val="both"/>
        <w:rPr>
          <w:rFonts w:ascii="Open Sans" w:hAnsi="Open Sans" w:cs="Open Sans"/>
          <w:b w:val="0"/>
          <w:sz w:val="22"/>
        </w:rPr>
      </w:pPr>
    </w:p>
    <w:p w14:paraId="0C6957CE" w14:textId="77777777" w:rsidR="007A5D0A" w:rsidRPr="003E2DE0" w:rsidRDefault="007A5D0A" w:rsidP="007A5D0A">
      <w:pPr>
        <w:pStyle w:val="07NumberedBodySubheading"/>
        <w:jc w:val="both"/>
        <w:rPr>
          <w:rFonts w:ascii="Open Sans" w:hAnsi="Open Sans" w:cs="Open Sans"/>
          <w:b w:val="0"/>
          <w:sz w:val="22"/>
        </w:rPr>
      </w:pPr>
    </w:p>
    <w:p w14:paraId="405A3AB9" w14:textId="77777777" w:rsidR="007A5D0A" w:rsidRPr="003E2DE0" w:rsidRDefault="007A5D0A" w:rsidP="007A5D0A">
      <w:pPr>
        <w:pStyle w:val="07NumberedBodySubheading"/>
        <w:jc w:val="both"/>
        <w:rPr>
          <w:rFonts w:ascii="Open Sans" w:hAnsi="Open Sans" w:cs="Open Sans"/>
          <w:b w:val="0"/>
          <w:sz w:val="22"/>
        </w:rPr>
      </w:pPr>
    </w:p>
    <w:p w14:paraId="01612AD3" w14:textId="019884E5" w:rsidR="008728EB" w:rsidRDefault="008728EB">
      <w:pPr>
        <w:rPr>
          <w:rFonts w:ascii="Open Sans" w:eastAsia="Times New Roman" w:hAnsi="Open Sans" w:cs="Open Sans"/>
          <w:b/>
          <w:bCs/>
          <w:color w:val="4E5053"/>
          <w:sz w:val="28"/>
          <w:szCs w:val="28"/>
          <w:bdr w:val="none" w:sz="0" w:space="0" w:color="auto" w:frame="1"/>
          <w:lang w:eastAsia="en-GB"/>
        </w:rPr>
      </w:pPr>
      <w:bookmarkStart w:id="8" w:name="_Hlk43729262"/>
    </w:p>
    <w:p w14:paraId="532EF0F3" w14:textId="4ADE771D" w:rsidR="0056783F" w:rsidRDefault="0056783F">
      <w:pPr>
        <w:rPr>
          <w:rFonts w:ascii="Open Sans" w:eastAsia="Times New Roman" w:hAnsi="Open Sans" w:cs="Open Sans"/>
          <w:b/>
          <w:bCs/>
          <w:color w:val="4E5053"/>
          <w:sz w:val="28"/>
          <w:szCs w:val="28"/>
          <w:bdr w:val="none" w:sz="0" w:space="0" w:color="auto" w:frame="1"/>
          <w:lang w:eastAsia="en-GB"/>
        </w:rPr>
      </w:pPr>
    </w:p>
    <w:p w14:paraId="538C7ADC" w14:textId="2526C2FA" w:rsidR="0056783F" w:rsidRDefault="0056783F">
      <w:pPr>
        <w:rPr>
          <w:rFonts w:ascii="Open Sans" w:eastAsia="Times New Roman" w:hAnsi="Open Sans" w:cs="Open Sans"/>
          <w:b/>
          <w:bCs/>
          <w:color w:val="4E5053"/>
          <w:sz w:val="28"/>
          <w:szCs w:val="28"/>
          <w:bdr w:val="none" w:sz="0" w:space="0" w:color="auto" w:frame="1"/>
          <w:lang w:eastAsia="en-GB"/>
        </w:rPr>
      </w:pPr>
    </w:p>
    <w:p w14:paraId="3D794444" w14:textId="703CB0D4" w:rsidR="0056783F" w:rsidRDefault="0056783F">
      <w:pPr>
        <w:rPr>
          <w:rFonts w:ascii="Open Sans" w:eastAsia="Times New Roman" w:hAnsi="Open Sans" w:cs="Open Sans"/>
          <w:b/>
          <w:bCs/>
          <w:color w:val="4E5053"/>
          <w:sz w:val="28"/>
          <w:szCs w:val="28"/>
          <w:bdr w:val="none" w:sz="0" w:space="0" w:color="auto" w:frame="1"/>
          <w:lang w:eastAsia="en-GB"/>
        </w:rPr>
      </w:pPr>
    </w:p>
    <w:p w14:paraId="6358A3D5" w14:textId="77777777" w:rsidR="0056783F" w:rsidRDefault="0056783F">
      <w:pPr>
        <w:rPr>
          <w:rFonts w:ascii="Futura PT Book" w:eastAsia="Times New Roman" w:hAnsi="Futura PT Book" w:cs="Arial"/>
          <w:b/>
          <w:bCs/>
          <w:color w:val="4E5053"/>
          <w:sz w:val="28"/>
          <w:szCs w:val="28"/>
          <w:bdr w:val="none" w:sz="0" w:space="0" w:color="auto" w:frame="1"/>
          <w:lang w:eastAsia="en-GB"/>
        </w:rPr>
      </w:pPr>
    </w:p>
    <w:p w14:paraId="663000E8" w14:textId="573402ED" w:rsidR="00AB77FD" w:rsidRPr="008728EB" w:rsidRDefault="00D235C9" w:rsidP="008728EB">
      <w:pPr>
        <w:spacing w:after="0" w:line="240" w:lineRule="auto"/>
        <w:jc w:val="both"/>
        <w:rPr>
          <w:rFonts w:ascii="Futura PT Book" w:eastAsiaTheme="majorEastAsia" w:hAnsi="Futura PT Book" w:cs="Open Sans"/>
          <w:b/>
          <w:bCs/>
          <w:sz w:val="28"/>
          <w:szCs w:val="28"/>
        </w:rPr>
      </w:pPr>
      <w:r w:rsidRPr="008728EB">
        <w:rPr>
          <w:rFonts w:ascii="Futura PT Book" w:eastAsiaTheme="majorEastAsia" w:hAnsi="Futura PT Book" w:cs="Open Sans"/>
          <w:b/>
          <w:bCs/>
          <w:sz w:val="28"/>
          <w:szCs w:val="28"/>
        </w:rPr>
        <w:t>Sources:</w:t>
      </w:r>
    </w:p>
    <w:bookmarkEnd w:id="8"/>
    <w:p w14:paraId="43646655" w14:textId="7DB6A936" w:rsidR="00D3242C" w:rsidRDefault="00D3242C" w:rsidP="001347A9">
      <w:pPr>
        <w:spacing w:after="0" w:line="240" w:lineRule="auto"/>
        <w:rPr>
          <w:rFonts w:ascii="Open Sans" w:eastAsia="Calibri" w:hAnsi="Open Sans" w:cs="Open Sans"/>
          <w:color w:val="4E5053"/>
        </w:rPr>
      </w:pPr>
    </w:p>
    <w:p w14:paraId="46DFC889" w14:textId="37871AAA" w:rsidR="0077200B" w:rsidRPr="00046E18" w:rsidRDefault="0077200B" w:rsidP="00046E18">
      <w:pPr>
        <w:pStyle w:val="FootnoteText"/>
        <w:numPr>
          <w:ilvl w:val="0"/>
          <w:numId w:val="35"/>
        </w:numPr>
        <w:spacing w:line="360" w:lineRule="auto"/>
        <w:rPr>
          <w:rFonts w:ascii="Open Sans" w:hAnsi="Open Sans" w:cs="Open Sans"/>
          <w:i/>
          <w:iCs/>
          <w:color w:val="0563C1" w:themeColor="hyperlink"/>
          <w:sz w:val="22"/>
          <w:szCs w:val="22"/>
          <w:u w:val="single"/>
        </w:rPr>
      </w:pPr>
      <w:r w:rsidRPr="00046E18">
        <w:rPr>
          <w:rFonts w:ascii="Open Sans" w:hAnsi="Open Sans" w:cs="Open Sans"/>
          <w:sz w:val="22"/>
          <w:szCs w:val="22"/>
        </w:rPr>
        <w:t xml:space="preserve">Aurora (2019) </w:t>
      </w:r>
      <w:r w:rsidRPr="00046E18">
        <w:rPr>
          <w:rStyle w:val="Hyperlink"/>
          <w:rFonts w:ascii="Open Sans" w:hAnsi="Open Sans" w:cs="Open Sans"/>
          <w:i/>
          <w:iCs/>
          <w:sz w:val="22"/>
          <w:szCs w:val="22"/>
        </w:rPr>
        <w:t xml:space="preserve">The road to 2050: The need for flexibility in a high </w:t>
      </w:r>
      <w:proofErr w:type="gramStart"/>
      <w:r w:rsidRPr="00046E18">
        <w:rPr>
          <w:rStyle w:val="Hyperlink"/>
          <w:rFonts w:ascii="Open Sans" w:hAnsi="Open Sans" w:cs="Open Sans"/>
          <w:i/>
          <w:iCs/>
          <w:sz w:val="22"/>
          <w:szCs w:val="22"/>
        </w:rPr>
        <w:t>renewables</w:t>
      </w:r>
      <w:proofErr w:type="gramEnd"/>
      <w:r w:rsidRPr="00046E18">
        <w:rPr>
          <w:rStyle w:val="Hyperlink"/>
          <w:rFonts w:ascii="Open Sans" w:hAnsi="Open Sans" w:cs="Open Sans"/>
          <w:i/>
          <w:iCs/>
          <w:sz w:val="22"/>
          <w:szCs w:val="22"/>
        </w:rPr>
        <w:t xml:space="preserve"> world</w:t>
      </w:r>
      <w:r w:rsidR="00046E18" w:rsidRPr="00046E18">
        <w:rPr>
          <w:rStyle w:val="Hyperlink"/>
          <w:rFonts w:ascii="Open Sans" w:hAnsi="Open Sans" w:cs="Open Sans"/>
          <w:i/>
          <w:iCs/>
          <w:sz w:val="22"/>
          <w:szCs w:val="22"/>
        </w:rPr>
        <w:t>.</w:t>
      </w:r>
    </w:p>
    <w:p w14:paraId="53681E3B" w14:textId="356C17E1" w:rsidR="00A90BDC" w:rsidRPr="00EE46A4" w:rsidRDefault="00A90BDC" w:rsidP="00046E18">
      <w:pPr>
        <w:pStyle w:val="FootnoteText"/>
        <w:numPr>
          <w:ilvl w:val="0"/>
          <w:numId w:val="35"/>
        </w:numPr>
        <w:spacing w:line="360" w:lineRule="auto"/>
        <w:rPr>
          <w:rFonts w:ascii="Open Sans" w:hAnsi="Open Sans" w:cs="Open Sans"/>
          <w:i/>
          <w:iCs/>
          <w:sz w:val="22"/>
          <w:szCs w:val="22"/>
        </w:rPr>
      </w:pPr>
      <w:r w:rsidRPr="00EE46A4">
        <w:rPr>
          <w:rFonts w:ascii="Open Sans" w:hAnsi="Open Sans" w:cs="Open Sans"/>
          <w:sz w:val="22"/>
          <w:szCs w:val="22"/>
        </w:rPr>
        <w:t xml:space="preserve">Committee on Climate Change (2020) </w:t>
      </w:r>
      <w:hyperlink r:id="rId18" w:history="1">
        <w:r w:rsidRPr="00EE46A4">
          <w:rPr>
            <w:rStyle w:val="Hyperlink"/>
            <w:rFonts w:ascii="Open Sans" w:hAnsi="Open Sans" w:cs="Open Sans"/>
            <w:i/>
            <w:iCs/>
            <w:sz w:val="22"/>
            <w:szCs w:val="22"/>
          </w:rPr>
          <w:t>Sixth Carbon Budget – Electricity Generation</w:t>
        </w:r>
      </w:hyperlink>
      <w:r w:rsidRPr="00EE46A4">
        <w:rPr>
          <w:rFonts w:ascii="Open Sans" w:hAnsi="Open Sans" w:cs="Open Sans"/>
          <w:i/>
          <w:iCs/>
          <w:sz w:val="22"/>
          <w:szCs w:val="22"/>
        </w:rPr>
        <w:t>.</w:t>
      </w:r>
      <w:r w:rsidRPr="00A90BDC">
        <w:rPr>
          <w:rFonts w:ascii="Open Sans" w:hAnsi="Open Sans" w:cs="Open Sans"/>
          <w:sz w:val="22"/>
          <w:szCs w:val="22"/>
        </w:rPr>
        <w:t xml:space="preserve"> </w:t>
      </w:r>
    </w:p>
    <w:p w14:paraId="121D08F0" w14:textId="20BB7AF0" w:rsidR="0077200B" w:rsidRPr="00046E18" w:rsidRDefault="0077200B" w:rsidP="00046E18">
      <w:pPr>
        <w:pStyle w:val="FootnoteText"/>
        <w:numPr>
          <w:ilvl w:val="0"/>
          <w:numId w:val="35"/>
        </w:numPr>
        <w:spacing w:line="360" w:lineRule="auto"/>
        <w:rPr>
          <w:rFonts w:ascii="Open Sans" w:hAnsi="Open Sans" w:cs="Open Sans"/>
          <w:i/>
          <w:iCs/>
          <w:sz w:val="22"/>
          <w:szCs w:val="22"/>
        </w:rPr>
      </w:pPr>
      <w:r w:rsidRPr="00046E18">
        <w:rPr>
          <w:rFonts w:ascii="Open Sans" w:hAnsi="Open Sans" w:cs="Open Sans"/>
          <w:sz w:val="22"/>
          <w:szCs w:val="22"/>
        </w:rPr>
        <w:t xml:space="preserve">Department for Business (2020), Energy and Industrial Strategy, </w:t>
      </w:r>
      <w:r w:rsidRPr="00046E18">
        <w:rPr>
          <w:rFonts w:ascii="Open Sans" w:hAnsi="Open Sans" w:cs="Open Sans"/>
          <w:i/>
          <w:iCs/>
          <w:sz w:val="22"/>
          <w:szCs w:val="22"/>
        </w:rPr>
        <w:t>Carbon in Flexibility Markets Workshop</w:t>
      </w:r>
      <w:r w:rsidR="00046E18" w:rsidRPr="00046E18">
        <w:rPr>
          <w:rFonts w:ascii="Open Sans" w:hAnsi="Open Sans" w:cs="Open Sans"/>
          <w:i/>
          <w:iCs/>
          <w:sz w:val="22"/>
          <w:szCs w:val="22"/>
        </w:rPr>
        <w:t>.</w:t>
      </w:r>
    </w:p>
    <w:p w14:paraId="7EEC9881" w14:textId="2A13EEB7" w:rsidR="0077200B" w:rsidRPr="00046E18" w:rsidRDefault="008D1E25" w:rsidP="00046E18">
      <w:pPr>
        <w:pStyle w:val="ListParagraph"/>
        <w:numPr>
          <w:ilvl w:val="0"/>
          <w:numId w:val="35"/>
        </w:numPr>
        <w:shd w:val="clear" w:color="auto" w:fill="FFFFFF" w:themeFill="background1"/>
        <w:spacing w:after="0" w:line="360" w:lineRule="auto"/>
        <w:textAlignment w:val="baseline"/>
        <w:rPr>
          <w:rFonts w:ascii="Open Sans" w:eastAsia="Calibri" w:hAnsi="Open Sans" w:cs="Open Sans"/>
          <w:b/>
          <w:bCs/>
          <w:color w:val="4E5053"/>
        </w:rPr>
      </w:pPr>
      <w:hyperlink r:id="rId19" w:history="1">
        <w:r w:rsidR="00046E18">
          <w:rPr>
            <w:rStyle w:val="Hyperlink"/>
            <w:rFonts w:ascii="Open Sans" w:hAnsi="Open Sans" w:cs="Open Sans"/>
          </w:rPr>
          <w:t xml:space="preserve">Drax (Q.3 2019) </w:t>
        </w:r>
        <w:r w:rsidR="00046E18" w:rsidRPr="00046E18">
          <w:rPr>
            <w:rStyle w:val="Hyperlink"/>
            <w:rFonts w:ascii="Open Sans" w:hAnsi="Open Sans" w:cs="Open Sans"/>
            <w:i/>
            <w:iCs/>
          </w:rPr>
          <w:t>Electric Insights Quarterly</w:t>
        </w:r>
      </w:hyperlink>
      <w:r w:rsidR="00046E18" w:rsidRPr="00046E18">
        <w:rPr>
          <w:rStyle w:val="Hyperlink"/>
          <w:rFonts w:ascii="Open Sans" w:hAnsi="Open Sans" w:cs="Open Sans"/>
        </w:rPr>
        <w:t>.</w:t>
      </w:r>
    </w:p>
    <w:p w14:paraId="7122DF83" w14:textId="77777777" w:rsidR="004337AD" w:rsidRPr="00EE46A4" w:rsidRDefault="004337AD" w:rsidP="00046E18">
      <w:pPr>
        <w:pStyle w:val="ListParagraph"/>
        <w:numPr>
          <w:ilvl w:val="0"/>
          <w:numId w:val="35"/>
        </w:numPr>
        <w:shd w:val="clear" w:color="auto" w:fill="FFFFFF" w:themeFill="background1"/>
        <w:spacing w:after="0" w:line="360" w:lineRule="auto"/>
        <w:textAlignment w:val="baseline"/>
        <w:rPr>
          <w:rFonts w:ascii="Open Sans" w:eastAsia="Calibri" w:hAnsi="Open Sans" w:cs="Open Sans"/>
          <w:b/>
          <w:bCs/>
          <w:color w:val="4E5053"/>
        </w:rPr>
      </w:pPr>
      <w:r w:rsidRPr="00EE46A4">
        <w:rPr>
          <w:rFonts w:ascii="Open Sans" w:hAnsi="Open Sans" w:cs="Open Sans"/>
        </w:rPr>
        <w:t xml:space="preserve">Greentech Media (2020), </w:t>
      </w:r>
      <w:hyperlink r:id="rId20" w:history="1">
        <w:r w:rsidRPr="00EE46A4">
          <w:rPr>
            <w:rStyle w:val="Hyperlink"/>
            <w:rFonts w:ascii="Open Sans" w:hAnsi="Open Sans" w:cs="Open Sans"/>
          </w:rPr>
          <w:t>‘So, what exactly is Long-duration Energy Storage?’</w:t>
        </w:r>
      </w:hyperlink>
    </w:p>
    <w:p w14:paraId="55A38B57" w14:textId="1BD5B8E5" w:rsidR="0077200B" w:rsidRPr="00046E18" w:rsidRDefault="008D1E25" w:rsidP="00046E18">
      <w:pPr>
        <w:pStyle w:val="ListParagraph"/>
        <w:numPr>
          <w:ilvl w:val="0"/>
          <w:numId w:val="35"/>
        </w:numPr>
        <w:shd w:val="clear" w:color="auto" w:fill="FFFFFF" w:themeFill="background1"/>
        <w:spacing w:after="0" w:line="360" w:lineRule="auto"/>
        <w:textAlignment w:val="baseline"/>
        <w:rPr>
          <w:rFonts w:ascii="Open Sans" w:eastAsia="Calibri" w:hAnsi="Open Sans" w:cs="Open Sans"/>
          <w:b/>
          <w:bCs/>
          <w:color w:val="4E5053"/>
        </w:rPr>
      </w:pPr>
      <w:hyperlink r:id="rId21" w:history="1">
        <w:r w:rsidR="0077200B" w:rsidRPr="00046E18">
          <w:rPr>
            <w:rStyle w:val="Hyperlink"/>
            <w:rFonts w:ascii="Open Sans" w:hAnsi="Open Sans" w:cs="Open Sans"/>
          </w:rPr>
          <w:t xml:space="preserve">Imperial College and Carbon Trust (2016) </w:t>
        </w:r>
        <w:r w:rsidR="0077200B" w:rsidRPr="00046E18">
          <w:rPr>
            <w:rStyle w:val="Hyperlink"/>
            <w:rFonts w:ascii="Open Sans" w:hAnsi="Open Sans" w:cs="Open Sans"/>
            <w:i/>
            <w:iCs/>
          </w:rPr>
          <w:t>Can storage help reduce the cost of a future UK electricity system?</w:t>
        </w:r>
      </w:hyperlink>
    </w:p>
    <w:p w14:paraId="7E2579D2" w14:textId="7AB2B0FD" w:rsidR="0077200B" w:rsidRPr="00046E18" w:rsidRDefault="0077200B" w:rsidP="00046E18">
      <w:pPr>
        <w:pStyle w:val="ListParagraph"/>
        <w:numPr>
          <w:ilvl w:val="0"/>
          <w:numId w:val="35"/>
        </w:numPr>
        <w:spacing w:after="0" w:line="360" w:lineRule="auto"/>
        <w:rPr>
          <w:rFonts w:ascii="Open Sans" w:eastAsia="Calibri" w:hAnsi="Open Sans" w:cs="Open Sans"/>
          <w:color w:val="4E5053"/>
        </w:rPr>
      </w:pPr>
      <w:r w:rsidRPr="00046E18">
        <w:rPr>
          <w:rFonts w:ascii="Open Sans" w:hAnsi="Open Sans" w:cs="Open Sans"/>
        </w:rPr>
        <w:lastRenderedPageBreak/>
        <w:t xml:space="preserve">Imperial College for the CCC (2018) </w:t>
      </w:r>
      <w:hyperlink r:id="rId22" w:history="1">
        <w:r w:rsidRPr="007C67A2">
          <w:rPr>
            <w:rStyle w:val="Hyperlink"/>
            <w:rFonts w:ascii="Open Sans" w:hAnsi="Open Sans" w:cs="Open Sans"/>
            <w:i/>
            <w:iCs/>
          </w:rPr>
          <w:t>Analysis of alternative heat decarbonisation pathway</w:t>
        </w:r>
      </w:hyperlink>
      <w:r w:rsidRPr="00046E18">
        <w:rPr>
          <w:rFonts w:ascii="Open Sans" w:hAnsi="Open Sans" w:cs="Open Sans"/>
        </w:rPr>
        <w:t xml:space="preserve">. See also: Imperial College for the CCC (2015) </w:t>
      </w:r>
      <w:hyperlink r:id="rId23" w:history="1">
        <w:r w:rsidRPr="007C67A2">
          <w:rPr>
            <w:rStyle w:val="Hyperlink"/>
            <w:rFonts w:ascii="Open Sans" w:hAnsi="Open Sans" w:cs="Open Sans"/>
            <w:i/>
            <w:iCs/>
          </w:rPr>
          <w:t>Value of flexibility in a decarbonised grid and system externalities of low carbon generation technologies</w:t>
        </w:r>
      </w:hyperlink>
      <w:r w:rsidRPr="00046E18">
        <w:rPr>
          <w:rFonts w:ascii="Open Sans" w:hAnsi="Open Sans" w:cs="Open Sans"/>
        </w:rPr>
        <w:t>.</w:t>
      </w:r>
    </w:p>
    <w:p w14:paraId="697DD3BF" w14:textId="77777777" w:rsidR="00D36409" w:rsidRPr="00EE46A4" w:rsidRDefault="004337AD" w:rsidP="00046E18">
      <w:pPr>
        <w:pStyle w:val="ListParagraph"/>
        <w:numPr>
          <w:ilvl w:val="0"/>
          <w:numId w:val="35"/>
        </w:numPr>
        <w:shd w:val="clear" w:color="auto" w:fill="FFFFFF" w:themeFill="background1"/>
        <w:spacing w:after="0" w:line="360" w:lineRule="auto"/>
        <w:textAlignment w:val="baseline"/>
        <w:rPr>
          <w:rFonts w:ascii="Open Sans" w:hAnsi="Open Sans" w:cs="Open Sans"/>
          <w:color w:val="0000FF"/>
          <w:u w:val="single"/>
        </w:rPr>
      </w:pPr>
      <w:bookmarkStart w:id="9" w:name="_Hlk65223524"/>
      <w:r>
        <w:rPr>
          <w:rFonts w:ascii="Open Sans" w:hAnsi="Open Sans" w:cs="Open Sans"/>
        </w:rPr>
        <w:t xml:space="preserve">Imperial College for SSE Renewables (2021) </w:t>
      </w:r>
      <w:hyperlink r:id="rId24" w:history="1">
        <w:r w:rsidRPr="00EE46A4">
          <w:rPr>
            <w:rStyle w:val="Hyperlink"/>
            <w:i/>
            <w:iCs/>
          </w:rPr>
          <w:t xml:space="preserve">Whole-System Value of Long-Duration Energy Storage </w:t>
        </w:r>
        <w:r w:rsidR="00D36409" w:rsidRPr="00EE46A4">
          <w:rPr>
            <w:rStyle w:val="Hyperlink"/>
            <w:i/>
            <w:iCs/>
          </w:rPr>
          <w:t>in a Net-Zero Emission Energy System for Great Britain</w:t>
        </w:r>
      </w:hyperlink>
      <w:r w:rsidR="00D36409">
        <w:rPr>
          <w:rFonts w:ascii="Open Sans" w:hAnsi="Open Sans" w:cs="Open Sans"/>
          <w:i/>
          <w:iCs/>
        </w:rPr>
        <w:t>.</w:t>
      </w:r>
    </w:p>
    <w:bookmarkEnd w:id="9"/>
    <w:p w14:paraId="7EBF58BC" w14:textId="1B3126F9" w:rsidR="0077200B" w:rsidRPr="00046E18" w:rsidRDefault="0077200B" w:rsidP="00046E18">
      <w:pPr>
        <w:pStyle w:val="ListParagraph"/>
        <w:numPr>
          <w:ilvl w:val="0"/>
          <w:numId w:val="35"/>
        </w:numPr>
        <w:shd w:val="clear" w:color="auto" w:fill="FFFFFF" w:themeFill="background1"/>
        <w:spacing w:after="0" w:line="360" w:lineRule="auto"/>
        <w:textAlignment w:val="baseline"/>
        <w:rPr>
          <w:rStyle w:val="Hyperlink"/>
          <w:rFonts w:ascii="Open Sans" w:hAnsi="Open Sans" w:cs="Open Sans"/>
        </w:rPr>
      </w:pPr>
      <w:r w:rsidRPr="00046E18">
        <w:rPr>
          <w:rFonts w:ascii="Open Sans" w:hAnsi="Open Sans" w:cs="Open Sans"/>
        </w:rPr>
        <w:t xml:space="preserve">International Hydropower Association (2018) </w:t>
      </w:r>
      <w:hyperlink r:id="rId25" w:history="1">
        <w:r w:rsidRPr="00046E18">
          <w:rPr>
            <w:rStyle w:val="Hyperlink"/>
            <w:rFonts w:ascii="Open Sans" w:hAnsi="Open Sans" w:cs="Open Sans"/>
            <w:i/>
            <w:iCs/>
          </w:rPr>
          <w:t>Country profile – United Kingdom</w:t>
        </w:r>
      </w:hyperlink>
      <w:r w:rsidR="00D36409">
        <w:rPr>
          <w:rStyle w:val="Hyperlink"/>
          <w:rFonts w:ascii="Open Sans" w:hAnsi="Open Sans" w:cs="Open Sans"/>
          <w:i/>
          <w:iCs/>
        </w:rPr>
        <w:t>.</w:t>
      </w:r>
    </w:p>
    <w:p w14:paraId="0DBC106C" w14:textId="0D5BA62B" w:rsidR="0077200B" w:rsidRPr="00046E18" w:rsidRDefault="0077200B" w:rsidP="00046E18">
      <w:pPr>
        <w:pStyle w:val="FootnoteText"/>
        <w:numPr>
          <w:ilvl w:val="0"/>
          <w:numId w:val="35"/>
        </w:numPr>
        <w:spacing w:line="360" w:lineRule="auto"/>
        <w:rPr>
          <w:rFonts w:ascii="Open Sans" w:hAnsi="Open Sans" w:cs="Open Sans"/>
          <w:sz w:val="22"/>
          <w:szCs w:val="22"/>
        </w:rPr>
      </w:pPr>
      <w:r w:rsidRPr="00046E18">
        <w:rPr>
          <w:rFonts w:ascii="Open Sans" w:hAnsi="Open Sans" w:cs="Open Sans"/>
          <w:sz w:val="22"/>
          <w:szCs w:val="22"/>
        </w:rPr>
        <w:t xml:space="preserve">Jacobs (2020) </w:t>
      </w:r>
      <w:hyperlink r:id="rId26" w:history="1">
        <w:r w:rsidRPr="007C67A2">
          <w:rPr>
            <w:rStyle w:val="Hyperlink"/>
            <w:rFonts w:ascii="Open Sans" w:hAnsi="Open Sans" w:cs="Open Sans"/>
            <w:i/>
            <w:iCs/>
            <w:sz w:val="22"/>
            <w:szCs w:val="22"/>
          </w:rPr>
          <w:t>Strategy for Long-Term Energy Storage in the UK</w:t>
        </w:r>
      </w:hyperlink>
      <w:r w:rsidR="00046E18" w:rsidRPr="00046E18">
        <w:rPr>
          <w:rFonts w:ascii="Open Sans" w:hAnsi="Open Sans" w:cs="Open Sans"/>
          <w:sz w:val="22"/>
          <w:szCs w:val="22"/>
        </w:rPr>
        <w:t>.</w:t>
      </w:r>
    </w:p>
    <w:p w14:paraId="4F4BBA8C" w14:textId="48BFAFBC" w:rsidR="0077200B" w:rsidRPr="00046E18" w:rsidRDefault="008D1E25" w:rsidP="00046E18">
      <w:pPr>
        <w:pStyle w:val="ListParagraph"/>
        <w:numPr>
          <w:ilvl w:val="0"/>
          <w:numId w:val="35"/>
        </w:numPr>
        <w:shd w:val="clear" w:color="auto" w:fill="FFFFFF" w:themeFill="background1"/>
        <w:spacing w:after="0" w:line="360" w:lineRule="auto"/>
        <w:textAlignment w:val="baseline"/>
        <w:rPr>
          <w:rFonts w:ascii="Open Sans" w:eastAsia="Calibri" w:hAnsi="Open Sans" w:cs="Open Sans"/>
          <w:b/>
          <w:bCs/>
          <w:color w:val="4E5053"/>
        </w:rPr>
      </w:pPr>
      <w:hyperlink r:id="rId27" w:history="1">
        <w:r w:rsidR="0077200B" w:rsidRPr="00046E18">
          <w:rPr>
            <w:rStyle w:val="Hyperlink"/>
            <w:rFonts w:ascii="Open Sans" w:hAnsi="Open Sans" w:cs="Open Sans"/>
          </w:rPr>
          <w:t>National Grid ESO (2020) Future Energy Scenarios</w:t>
        </w:r>
      </w:hyperlink>
      <w:r w:rsidR="00046E18" w:rsidRPr="00046E18">
        <w:rPr>
          <w:rStyle w:val="Hyperlink"/>
          <w:rFonts w:ascii="Open Sans" w:hAnsi="Open Sans" w:cs="Open Sans"/>
        </w:rPr>
        <w:t>.</w:t>
      </w:r>
    </w:p>
    <w:p w14:paraId="6C888B83" w14:textId="345E309A" w:rsidR="0077200B" w:rsidRPr="00046E18" w:rsidRDefault="0077200B" w:rsidP="00046E18">
      <w:pPr>
        <w:pStyle w:val="ListParagraph"/>
        <w:numPr>
          <w:ilvl w:val="0"/>
          <w:numId w:val="35"/>
        </w:numPr>
        <w:shd w:val="clear" w:color="auto" w:fill="FFFFFF" w:themeFill="background1"/>
        <w:spacing w:after="0" w:line="360" w:lineRule="auto"/>
        <w:textAlignment w:val="baseline"/>
        <w:rPr>
          <w:rFonts w:ascii="Open Sans" w:eastAsia="Calibri" w:hAnsi="Open Sans" w:cs="Open Sans"/>
          <w:b/>
          <w:bCs/>
          <w:color w:val="4E5053"/>
        </w:rPr>
      </w:pPr>
      <w:r w:rsidRPr="00046E18">
        <w:rPr>
          <w:rFonts w:ascii="Open Sans" w:hAnsi="Open Sans" w:cs="Open Sans"/>
        </w:rPr>
        <w:t xml:space="preserve">National Grid ESO (2021) </w:t>
      </w:r>
      <w:hyperlink r:id="rId28" w:history="1">
        <w:r w:rsidRPr="00046E18">
          <w:rPr>
            <w:rStyle w:val="Hyperlink"/>
            <w:rFonts w:ascii="Open Sans" w:hAnsi="Open Sans" w:cs="Open Sans"/>
            <w:bCs/>
          </w:rPr>
          <w:t>Network Options Assessment (NOA)</w:t>
        </w:r>
      </w:hyperlink>
      <w:r w:rsidR="00046E18" w:rsidRPr="00046E18">
        <w:rPr>
          <w:rStyle w:val="Hyperlink"/>
          <w:rFonts w:ascii="Open Sans" w:hAnsi="Open Sans" w:cs="Open Sans"/>
          <w:bCs/>
        </w:rPr>
        <w:t>.</w:t>
      </w:r>
    </w:p>
    <w:p w14:paraId="4D5D043E" w14:textId="3644292B" w:rsidR="0077200B" w:rsidRPr="00046E18" w:rsidRDefault="0077200B" w:rsidP="00046E18">
      <w:pPr>
        <w:pStyle w:val="FootnoteText"/>
        <w:numPr>
          <w:ilvl w:val="0"/>
          <w:numId w:val="35"/>
        </w:numPr>
        <w:spacing w:line="360" w:lineRule="auto"/>
        <w:rPr>
          <w:rFonts w:ascii="Open Sans" w:hAnsi="Open Sans" w:cs="Open Sans"/>
          <w:sz w:val="22"/>
          <w:szCs w:val="22"/>
        </w:rPr>
      </w:pPr>
      <w:r w:rsidRPr="00046E18">
        <w:rPr>
          <w:rFonts w:ascii="Open Sans" w:hAnsi="Open Sans" w:cs="Open Sans"/>
          <w:sz w:val="22"/>
          <w:szCs w:val="22"/>
        </w:rPr>
        <w:t xml:space="preserve">REA (2016) </w:t>
      </w:r>
      <w:hyperlink r:id="rId29" w:history="1">
        <w:r w:rsidRPr="00046E18">
          <w:rPr>
            <w:rStyle w:val="Hyperlink"/>
            <w:rFonts w:ascii="Open Sans" w:hAnsi="Open Sans" w:cs="Open Sans"/>
            <w:sz w:val="22"/>
            <w:szCs w:val="22"/>
          </w:rPr>
          <w:t>Energy Storage in the UK: An Overview</w:t>
        </w:r>
      </w:hyperlink>
      <w:r w:rsidR="00046E18" w:rsidRPr="00046E18">
        <w:rPr>
          <w:rFonts w:ascii="Open Sans" w:hAnsi="Open Sans" w:cs="Open Sans"/>
          <w:sz w:val="22"/>
          <w:szCs w:val="22"/>
        </w:rPr>
        <w:t>.</w:t>
      </w:r>
    </w:p>
    <w:p w14:paraId="0478AED8" w14:textId="39088AA7" w:rsidR="0077200B" w:rsidRPr="00046E18" w:rsidRDefault="008D1E25" w:rsidP="00046E18">
      <w:pPr>
        <w:pStyle w:val="ListParagraph"/>
        <w:numPr>
          <w:ilvl w:val="0"/>
          <w:numId w:val="35"/>
        </w:numPr>
        <w:shd w:val="clear" w:color="auto" w:fill="FFFFFF" w:themeFill="background1"/>
        <w:spacing w:after="0" w:line="360" w:lineRule="auto"/>
        <w:textAlignment w:val="baseline"/>
        <w:rPr>
          <w:rFonts w:ascii="Open Sans" w:eastAsia="Calibri" w:hAnsi="Open Sans" w:cs="Open Sans"/>
          <w:b/>
          <w:bCs/>
          <w:color w:val="4E5053"/>
        </w:rPr>
      </w:pPr>
      <w:hyperlink r:id="rId30" w:history="1">
        <w:r w:rsidR="0077200B" w:rsidRPr="00046E18">
          <w:rPr>
            <w:rStyle w:val="Hyperlink"/>
            <w:rFonts w:ascii="Open Sans" w:hAnsi="Open Sans" w:cs="Open Sans"/>
          </w:rPr>
          <w:t>Zhou et al</w:t>
        </w:r>
        <w:r w:rsidR="00046E18" w:rsidRPr="00046E18">
          <w:rPr>
            <w:rStyle w:val="Hyperlink"/>
            <w:rFonts w:ascii="Open Sans" w:hAnsi="Open Sans" w:cs="Open Sans"/>
          </w:rPr>
          <w:t xml:space="preserve"> (2019),</w:t>
        </w:r>
        <w:r w:rsidR="0077200B" w:rsidRPr="00046E18">
          <w:rPr>
            <w:rStyle w:val="Hyperlink"/>
            <w:rFonts w:ascii="Open Sans" w:hAnsi="Open Sans" w:cs="Open Sans"/>
          </w:rPr>
          <w:t xml:space="preserve"> ‘A review of thermal energy storage in compressed air energy storage system’, </w:t>
        </w:r>
        <w:r w:rsidR="0077200B" w:rsidRPr="00046E18">
          <w:rPr>
            <w:rStyle w:val="Hyperlink"/>
            <w:rFonts w:ascii="Open Sans" w:hAnsi="Open Sans" w:cs="Open Sans"/>
            <w:i/>
            <w:iCs/>
          </w:rPr>
          <w:t>Energy</w:t>
        </w:r>
        <w:r w:rsidR="0077200B" w:rsidRPr="00046E18">
          <w:rPr>
            <w:rStyle w:val="Hyperlink"/>
            <w:rFonts w:ascii="Open Sans" w:hAnsi="Open Sans" w:cs="Open Sans"/>
          </w:rPr>
          <w:t xml:space="preserve"> Vol.188.</w:t>
        </w:r>
      </w:hyperlink>
    </w:p>
    <w:p w14:paraId="723827E8" w14:textId="4CEF2B2D" w:rsidR="00673848" w:rsidRDefault="00673848"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5B3BBD12" w14:textId="1DD13934" w:rsidR="00990D4D" w:rsidRDefault="00990D4D" w:rsidP="008728EB">
      <w:pPr>
        <w:shd w:val="clear" w:color="auto" w:fill="FFFFFF" w:themeFill="background1"/>
        <w:spacing w:after="0" w:line="240" w:lineRule="auto"/>
        <w:textAlignment w:val="baseline"/>
        <w:rPr>
          <w:rFonts w:ascii="Futura PT Book" w:eastAsia="Calibri" w:hAnsi="Futura PT Book" w:cs="Open Sans"/>
          <w:b/>
          <w:bCs/>
          <w:color w:val="4E5053"/>
          <w:sz w:val="28"/>
          <w:szCs w:val="28"/>
        </w:rPr>
      </w:pPr>
    </w:p>
    <w:p w14:paraId="7E8C3550" w14:textId="63E62B75" w:rsidR="00990D4D" w:rsidRDefault="00990D4D"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101E08D7" w14:textId="77777777" w:rsidR="00990D4D" w:rsidRDefault="00990D4D"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58E48DBE" w14:textId="531E92C1" w:rsidR="00673848" w:rsidRDefault="00673848"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56F0E30F" w14:textId="0F3ECBA6" w:rsidR="00673848" w:rsidRDefault="00673848"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77176895" w14:textId="58140EB1"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1484922A" w14:textId="3CE82462"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30C89640" w14:textId="1A38D624"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117BE219" w14:textId="589D8357"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2DC48B88" w14:textId="68299B99"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1F432975" w14:textId="6E9A1E0E"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297FF3E7" w14:textId="2CBC9F4A"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5B37A077" w14:textId="0013D31F"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1396F03B" w14:textId="208AC21B"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06454F90" w14:textId="2C09E8BB"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0FF370AF" w14:textId="093693B0" w:rsidR="00F273A2" w:rsidRDefault="00F273A2" w:rsidP="008D1E25">
      <w:pPr>
        <w:shd w:val="clear" w:color="auto" w:fill="FFFFFF" w:themeFill="background1"/>
        <w:spacing w:after="0" w:line="240" w:lineRule="auto"/>
        <w:textAlignment w:val="baseline"/>
        <w:rPr>
          <w:rFonts w:ascii="Futura PT Book" w:eastAsia="Calibri" w:hAnsi="Futura PT Book" w:cs="Open Sans"/>
          <w:b/>
          <w:bCs/>
          <w:color w:val="4E5053"/>
          <w:sz w:val="28"/>
          <w:szCs w:val="28"/>
        </w:rPr>
      </w:pPr>
    </w:p>
    <w:p w14:paraId="0DCC7D90" w14:textId="78F9C0BF"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20644B83" w14:textId="42B19843"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322B1A9B" w14:textId="3AA88519"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6E06F349" w14:textId="1BB0243E"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4F6B2794" w14:textId="5CDA366D"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3A66CF63" w14:textId="152ED000"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3FEE4AF8" w14:textId="253ED57D"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7690E0E4" w14:textId="2F108BC8" w:rsidR="008D1E25" w:rsidRDefault="008D1E25"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28CF425D" w14:textId="77777777" w:rsidR="008D1E25" w:rsidRDefault="008D1E25"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3D3FF6BB" w14:textId="59E93142"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62139C32" w14:textId="255C2799"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55E88AA3" w14:textId="77777777" w:rsidR="00F273A2" w:rsidRDefault="00F273A2"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p>
    <w:p w14:paraId="6F2ED24F" w14:textId="3066C8F5" w:rsidR="001347A9" w:rsidRPr="004E443E" w:rsidRDefault="001347A9" w:rsidP="00673848">
      <w:pPr>
        <w:shd w:val="clear" w:color="auto" w:fill="FFFFFF" w:themeFill="background1"/>
        <w:spacing w:after="0" w:line="240" w:lineRule="auto"/>
        <w:jc w:val="right"/>
        <w:textAlignment w:val="baseline"/>
        <w:rPr>
          <w:rFonts w:ascii="Futura PT Book" w:eastAsia="Calibri" w:hAnsi="Futura PT Book" w:cs="Open Sans"/>
          <w:b/>
          <w:bCs/>
          <w:color w:val="4E5053"/>
          <w:sz w:val="28"/>
          <w:szCs w:val="28"/>
        </w:rPr>
      </w:pPr>
      <w:r w:rsidRPr="004E443E">
        <w:rPr>
          <w:rFonts w:ascii="Futura PT Book" w:eastAsia="Calibri" w:hAnsi="Futura PT Book" w:cs="Open Sans"/>
          <w:b/>
          <w:bCs/>
          <w:color w:val="4E5053"/>
          <w:sz w:val="28"/>
          <w:szCs w:val="28"/>
        </w:rPr>
        <w:t>Find Out More and Support the Sector</w:t>
      </w:r>
    </w:p>
    <w:p w14:paraId="72471FB3" w14:textId="77777777" w:rsidR="001347A9" w:rsidRPr="004E443E" w:rsidRDefault="001347A9" w:rsidP="00673848">
      <w:pPr>
        <w:spacing w:after="0" w:line="240" w:lineRule="auto"/>
        <w:jc w:val="right"/>
        <w:rPr>
          <w:rFonts w:ascii="Open Sans" w:eastAsia="Calibri" w:hAnsi="Open Sans" w:cs="Open Sans"/>
          <w:b/>
          <w:bCs/>
          <w:color w:val="4E5053"/>
        </w:rPr>
      </w:pPr>
    </w:p>
    <w:p w14:paraId="2D9811BC" w14:textId="0894B35B" w:rsidR="001347A9" w:rsidRPr="004E443E" w:rsidRDefault="001347A9" w:rsidP="00673848">
      <w:pPr>
        <w:spacing w:after="0" w:line="240" w:lineRule="auto"/>
        <w:jc w:val="right"/>
        <w:rPr>
          <w:rFonts w:ascii="Open Sans" w:eastAsia="Calibri" w:hAnsi="Open Sans" w:cs="Open Sans"/>
          <w:bCs/>
          <w:color w:val="4E5053"/>
        </w:rPr>
      </w:pPr>
      <w:r w:rsidRPr="004E443E">
        <w:rPr>
          <w:rFonts w:ascii="Open Sans" w:eastAsia="Calibri" w:hAnsi="Open Sans" w:cs="Open Sans"/>
          <w:bCs/>
          <w:color w:val="4E5053"/>
        </w:rPr>
        <w:t xml:space="preserve">The report </w:t>
      </w:r>
      <w:r w:rsidR="00A01A8D">
        <w:rPr>
          <w:rFonts w:ascii="Open Sans" w:eastAsia="Calibri" w:hAnsi="Open Sans" w:cs="Open Sans"/>
          <w:bCs/>
          <w:color w:val="4E5053"/>
        </w:rPr>
        <w:t xml:space="preserve">is </w:t>
      </w:r>
      <w:r w:rsidRPr="004E443E">
        <w:rPr>
          <w:rFonts w:ascii="Open Sans" w:eastAsia="Calibri" w:hAnsi="Open Sans" w:cs="Open Sans"/>
          <w:bCs/>
          <w:color w:val="4E5053"/>
        </w:rPr>
        <w:t>available on the REA website, here:</w:t>
      </w:r>
      <w:r w:rsidRPr="004E443E">
        <w:rPr>
          <w:rFonts w:ascii="Open Sans" w:eastAsia="Calibri" w:hAnsi="Open Sans" w:cs="Open Sans"/>
          <w:noProof/>
          <w:color w:val="4E5053"/>
          <w:lang w:eastAsia="en-GB"/>
        </w:rPr>
        <w:t xml:space="preserve"> </w:t>
      </w:r>
    </w:p>
    <w:p w14:paraId="3DED2EF1" w14:textId="77777777" w:rsidR="001347A9" w:rsidRPr="001347A9" w:rsidRDefault="008D1E25" w:rsidP="00673848">
      <w:pPr>
        <w:spacing w:after="0" w:line="240" w:lineRule="auto"/>
        <w:jc w:val="right"/>
        <w:rPr>
          <w:rFonts w:ascii="Open Sans" w:eastAsia="Calibri" w:hAnsi="Open Sans" w:cs="Open Sans"/>
        </w:rPr>
      </w:pPr>
      <w:hyperlink r:id="rId31" w:history="1">
        <w:r w:rsidR="001347A9" w:rsidRPr="001347A9">
          <w:rPr>
            <w:rFonts w:ascii="Open Sans" w:eastAsia="Calibri" w:hAnsi="Open Sans" w:cs="Open Sans"/>
            <w:color w:val="0000FF"/>
            <w:u w:val="single"/>
          </w:rPr>
          <w:t>https://www.r-e-a.net/our-resources/</w:t>
        </w:r>
      </w:hyperlink>
      <w:r w:rsidR="001347A9" w:rsidRPr="001347A9">
        <w:rPr>
          <w:rFonts w:ascii="Open Sans" w:eastAsia="Calibri" w:hAnsi="Open Sans" w:cs="Open Sans"/>
        </w:rPr>
        <w:t xml:space="preserve"> </w:t>
      </w:r>
    </w:p>
    <w:p w14:paraId="4F2E9EA1" w14:textId="77777777" w:rsidR="001347A9" w:rsidRPr="001347A9" w:rsidRDefault="001347A9" w:rsidP="00673848">
      <w:pPr>
        <w:spacing w:after="0" w:line="240" w:lineRule="auto"/>
        <w:jc w:val="right"/>
        <w:rPr>
          <w:rFonts w:ascii="Open Sans" w:eastAsia="Calibri" w:hAnsi="Open Sans" w:cs="Open Sans"/>
        </w:rPr>
      </w:pPr>
    </w:p>
    <w:p w14:paraId="4A88607A" w14:textId="66ED64C4" w:rsidR="001347A9" w:rsidRPr="004E443E" w:rsidRDefault="653DE8A5" w:rsidP="00673848">
      <w:pPr>
        <w:spacing w:after="200" w:line="276" w:lineRule="auto"/>
        <w:jc w:val="right"/>
        <w:rPr>
          <w:rFonts w:ascii="Open Sans" w:eastAsia="Calibri" w:hAnsi="Open Sans" w:cs="Open Sans"/>
          <w:i/>
          <w:color w:val="4E5053"/>
        </w:rPr>
      </w:pPr>
      <w:r w:rsidRPr="004E443E">
        <w:rPr>
          <w:rFonts w:ascii="Open Sans" w:eastAsia="Calibri" w:hAnsi="Open Sans" w:cs="Open Sans"/>
          <w:i/>
          <w:iCs/>
          <w:color w:val="4E5053"/>
        </w:rPr>
        <w:t>Follow us on Twitter: @</w:t>
      </w:r>
      <w:proofErr w:type="gramStart"/>
      <w:r w:rsidRPr="004E443E">
        <w:rPr>
          <w:rFonts w:ascii="Open Sans" w:eastAsia="Calibri" w:hAnsi="Open Sans" w:cs="Open Sans"/>
          <w:i/>
          <w:iCs/>
          <w:color w:val="4E5053"/>
        </w:rPr>
        <w:t>REAssociation</w:t>
      </w:r>
      <w:proofErr w:type="gramEnd"/>
      <w:r w:rsidRPr="004E443E">
        <w:rPr>
          <w:rFonts w:ascii="Open Sans" w:eastAsia="Calibri" w:hAnsi="Open Sans" w:cs="Open Sans"/>
          <w:i/>
          <w:iCs/>
          <w:color w:val="4E5053"/>
        </w:rPr>
        <w:t xml:space="preserve"> </w:t>
      </w:r>
    </w:p>
    <w:p w14:paraId="247CC92F" w14:textId="6F35DB58" w:rsidR="6AECE9B5" w:rsidRDefault="6AECE9B5" w:rsidP="00673848">
      <w:pPr>
        <w:shd w:val="clear" w:color="auto" w:fill="FFFFFF" w:themeFill="background1"/>
        <w:spacing w:after="0" w:line="240" w:lineRule="auto"/>
        <w:jc w:val="right"/>
        <w:rPr>
          <w:rFonts w:ascii="Open Sans" w:eastAsia="Times New Roman" w:hAnsi="Open Sans" w:cs="Open Sans"/>
          <w:b/>
          <w:bCs/>
          <w:i/>
          <w:iCs/>
          <w:color w:val="4E5053"/>
          <w:lang w:eastAsia="en-GB"/>
        </w:rPr>
      </w:pPr>
    </w:p>
    <w:p w14:paraId="6CEA07ED" w14:textId="2FA84ADC" w:rsidR="001347A9" w:rsidRPr="004E443E" w:rsidRDefault="653DE8A5" w:rsidP="00673848">
      <w:pPr>
        <w:shd w:val="clear" w:color="auto" w:fill="FFFFFF" w:themeFill="background1"/>
        <w:spacing w:after="0" w:line="240" w:lineRule="auto"/>
        <w:jc w:val="right"/>
        <w:textAlignment w:val="baseline"/>
        <w:rPr>
          <w:rFonts w:ascii="Open Sans" w:eastAsia="Times New Roman" w:hAnsi="Open Sans" w:cs="Open Sans"/>
          <w:b/>
          <w:bCs/>
          <w:i/>
          <w:iCs/>
          <w:color w:val="4E5053"/>
          <w:bdr w:val="none" w:sz="0" w:space="0" w:color="auto" w:frame="1"/>
          <w:lang w:eastAsia="en-GB"/>
        </w:rPr>
      </w:pPr>
      <w:r w:rsidRPr="004E443E">
        <w:rPr>
          <w:rFonts w:ascii="Open Sans" w:eastAsia="Times New Roman" w:hAnsi="Open Sans" w:cs="Open Sans"/>
          <w:b/>
          <w:bCs/>
          <w:i/>
          <w:iCs/>
          <w:color w:val="4E5053"/>
          <w:bdr w:val="none" w:sz="0" w:space="0" w:color="auto" w:frame="1"/>
          <w:lang w:eastAsia="en-GB"/>
        </w:rPr>
        <w:t>For further information</w:t>
      </w:r>
      <w:r w:rsidR="00A01A8D">
        <w:rPr>
          <w:rFonts w:ascii="Open Sans" w:eastAsia="Times New Roman" w:hAnsi="Open Sans" w:cs="Open Sans"/>
          <w:b/>
          <w:bCs/>
          <w:i/>
          <w:iCs/>
          <w:color w:val="4E5053"/>
          <w:bdr w:val="none" w:sz="0" w:space="0" w:color="auto" w:frame="1"/>
          <w:lang w:eastAsia="en-GB"/>
        </w:rPr>
        <w:t>,</w:t>
      </w:r>
      <w:r w:rsidRPr="004E443E">
        <w:rPr>
          <w:rFonts w:ascii="Open Sans" w:eastAsia="Times New Roman" w:hAnsi="Open Sans" w:cs="Open Sans"/>
          <w:b/>
          <w:bCs/>
          <w:i/>
          <w:iCs/>
          <w:color w:val="4E5053"/>
          <w:bdr w:val="none" w:sz="0" w:space="0" w:color="auto" w:frame="1"/>
          <w:lang w:eastAsia="en-GB"/>
        </w:rPr>
        <w:t xml:space="preserve"> please contact:</w:t>
      </w:r>
    </w:p>
    <w:p w14:paraId="4D9C2213" w14:textId="3E06586F" w:rsidR="6AECE9B5" w:rsidRPr="004E443E" w:rsidRDefault="6AECE9B5" w:rsidP="00673848">
      <w:pPr>
        <w:shd w:val="clear" w:color="auto" w:fill="FFFFFF" w:themeFill="background1"/>
        <w:spacing w:after="0" w:line="240" w:lineRule="auto"/>
        <w:jc w:val="right"/>
        <w:rPr>
          <w:rFonts w:ascii="Open Sans" w:eastAsia="Times New Roman" w:hAnsi="Open Sans" w:cs="Open Sans"/>
          <w:b/>
          <w:bCs/>
          <w:i/>
          <w:iCs/>
          <w:color w:val="4E5053"/>
          <w:lang w:eastAsia="en-GB"/>
        </w:rPr>
      </w:pPr>
    </w:p>
    <w:p w14:paraId="693F069B" w14:textId="1DCE1A7D" w:rsidR="001347A9" w:rsidRPr="004E443E" w:rsidRDefault="00D12069"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r>
        <w:rPr>
          <w:rFonts w:ascii="Open Sans" w:eastAsia="Times New Roman" w:hAnsi="Open Sans" w:cs="Open Sans"/>
          <w:color w:val="4E5053"/>
          <w:bdr w:val="none" w:sz="0" w:space="0" w:color="auto" w:frame="1"/>
          <w:lang w:eastAsia="en-GB"/>
        </w:rPr>
        <w:t>Isobel Morris</w:t>
      </w:r>
      <w:r w:rsidR="000170FE">
        <w:rPr>
          <w:rFonts w:ascii="Open Sans" w:eastAsia="Times New Roman" w:hAnsi="Open Sans" w:cs="Open Sans"/>
          <w:color w:val="4E5053"/>
          <w:bdr w:val="none" w:sz="0" w:space="0" w:color="auto" w:frame="1"/>
          <w:lang w:eastAsia="en-GB"/>
        </w:rPr>
        <w:t xml:space="preserve"> </w:t>
      </w:r>
      <w:r>
        <w:rPr>
          <w:rFonts w:ascii="Open Sans" w:eastAsia="Times New Roman" w:hAnsi="Open Sans" w:cs="Open Sans"/>
          <w:color w:val="4E5053"/>
          <w:bdr w:val="none" w:sz="0" w:space="0" w:color="auto" w:frame="1"/>
          <w:lang w:eastAsia="en-GB"/>
        </w:rPr>
        <w:t>–</w:t>
      </w:r>
      <w:r w:rsidR="001347A9" w:rsidRPr="004E443E">
        <w:rPr>
          <w:rFonts w:ascii="Open Sans" w:eastAsia="Times New Roman" w:hAnsi="Open Sans" w:cs="Open Sans"/>
          <w:color w:val="4E5053"/>
          <w:bdr w:val="none" w:sz="0" w:space="0" w:color="auto" w:frame="1"/>
          <w:lang w:eastAsia="en-GB"/>
        </w:rPr>
        <w:t xml:space="preserve"> </w:t>
      </w:r>
      <w:r>
        <w:rPr>
          <w:rFonts w:ascii="Open Sans" w:eastAsia="Times New Roman" w:hAnsi="Open Sans" w:cs="Open Sans"/>
          <w:color w:val="4E5053"/>
          <w:bdr w:val="none" w:sz="0" w:space="0" w:color="auto" w:frame="1"/>
          <w:lang w:eastAsia="en-GB"/>
        </w:rPr>
        <w:t>Policy Analyst</w:t>
      </w:r>
      <w:r w:rsidR="001347A9" w:rsidRPr="004E443E">
        <w:rPr>
          <w:rFonts w:ascii="Open Sans" w:eastAsia="Times New Roman" w:hAnsi="Open Sans" w:cs="Open Sans"/>
          <w:color w:val="4E5053"/>
          <w:bdr w:val="none" w:sz="0" w:space="0" w:color="auto" w:frame="1"/>
          <w:lang w:eastAsia="en-GB"/>
        </w:rPr>
        <w:t>, REA</w:t>
      </w:r>
    </w:p>
    <w:p w14:paraId="31ED5DB9" w14:textId="384DD30A" w:rsidR="001347A9" w:rsidRPr="001347A9" w:rsidRDefault="008D1E25" w:rsidP="00673848">
      <w:pPr>
        <w:shd w:val="clear" w:color="auto" w:fill="FFFFFF"/>
        <w:spacing w:after="0" w:line="240" w:lineRule="auto"/>
        <w:jc w:val="right"/>
        <w:textAlignment w:val="baseline"/>
        <w:rPr>
          <w:rFonts w:ascii="Open Sans" w:eastAsia="Times New Roman" w:hAnsi="Open Sans" w:cs="Open Sans"/>
          <w:color w:val="000000"/>
          <w:bdr w:val="none" w:sz="0" w:space="0" w:color="auto" w:frame="1"/>
          <w:lang w:eastAsia="en-GB"/>
        </w:rPr>
      </w:pPr>
      <w:hyperlink r:id="rId32" w:history="1">
        <w:r w:rsidR="00990D4D" w:rsidRPr="008A1D27">
          <w:rPr>
            <w:rStyle w:val="Hyperlink"/>
            <w:rFonts w:ascii="Open Sans" w:eastAsia="Times New Roman" w:hAnsi="Open Sans" w:cs="Open Sans"/>
            <w:bdr w:val="none" w:sz="0" w:space="0" w:color="auto" w:frame="1"/>
            <w:lang w:eastAsia="en-GB"/>
          </w:rPr>
          <w:t>imorris@r-e-a.net</w:t>
        </w:r>
      </w:hyperlink>
      <w:r w:rsidR="00990D4D">
        <w:rPr>
          <w:rFonts w:ascii="Open Sans" w:eastAsia="Times New Roman" w:hAnsi="Open Sans" w:cs="Open Sans"/>
          <w:color w:val="4E5053"/>
          <w:bdr w:val="none" w:sz="0" w:space="0" w:color="auto" w:frame="1"/>
          <w:lang w:eastAsia="en-GB"/>
        </w:rPr>
        <w:t xml:space="preserve"> </w:t>
      </w:r>
      <w:r w:rsidR="000170FE">
        <w:rPr>
          <w:rFonts w:ascii="Open Sans" w:eastAsia="Times New Roman" w:hAnsi="Open Sans" w:cs="Open Sans"/>
          <w:color w:val="4E5053"/>
          <w:bdr w:val="none" w:sz="0" w:space="0" w:color="auto" w:frame="1"/>
          <w:lang w:eastAsia="en-GB"/>
        </w:rPr>
        <w:t xml:space="preserve"> </w:t>
      </w:r>
    </w:p>
    <w:p w14:paraId="7A314DE2" w14:textId="0E00E6D1" w:rsidR="001347A9" w:rsidRPr="001347A9" w:rsidRDefault="001347A9"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p>
    <w:p w14:paraId="63689944" w14:textId="0A90982F" w:rsidR="003F41B5" w:rsidRDefault="003F41B5"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r>
        <w:rPr>
          <w:rFonts w:ascii="Open Sans" w:eastAsia="Times New Roman" w:hAnsi="Open Sans" w:cs="Open Sans"/>
          <w:color w:val="4E5053"/>
          <w:bdr w:val="none" w:sz="0" w:space="0" w:color="auto" w:frame="1"/>
          <w:lang w:eastAsia="en-GB"/>
        </w:rPr>
        <w:t>Jack Abbott – Public Relations and Communications Manager, REA</w:t>
      </w:r>
    </w:p>
    <w:p w14:paraId="5C0C1F97" w14:textId="76DBBE82" w:rsidR="003F41B5" w:rsidRDefault="008D1E25"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hyperlink r:id="rId33" w:history="1">
        <w:r w:rsidR="003F41B5" w:rsidRPr="004652E1">
          <w:rPr>
            <w:rStyle w:val="Hyperlink"/>
            <w:rFonts w:ascii="Open Sans" w:eastAsia="Times New Roman" w:hAnsi="Open Sans" w:cs="Open Sans"/>
            <w:bdr w:val="none" w:sz="0" w:space="0" w:color="auto" w:frame="1"/>
            <w:lang w:eastAsia="en-GB"/>
          </w:rPr>
          <w:t>jabbott@r-e-a.net</w:t>
        </w:r>
      </w:hyperlink>
      <w:r w:rsidR="003F41B5">
        <w:rPr>
          <w:rFonts w:ascii="Open Sans" w:eastAsia="Times New Roman" w:hAnsi="Open Sans" w:cs="Open Sans"/>
          <w:color w:val="4E5053"/>
          <w:bdr w:val="none" w:sz="0" w:space="0" w:color="auto" w:frame="1"/>
          <w:lang w:eastAsia="en-GB"/>
        </w:rPr>
        <w:t xml:space="preserve"> </w:t>
      </w:r>
    </w:p>
    <w:p w14:paraId="672868ED" w14:textId="77777777" w:rsidR="003F41B5" w:rsidRDefault="003F41B5"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p>
    <w:p w14:paraId="51113F30" w14:textId="42F798A8" w:rsidR="00A01A8D" w:rsidRPr="00A01A8D" w:rsidRDefault="00A01A8D" w:rsidP="00673848">
      <w:pPr>
        <w:shd w:val="clear" w:color="auto" w:fill="FFFFFF"/>
        <w:spacing w:after="0" w:line="240" w:lineRule="auto"/>
        <w:jc w:val="right"/>
        <w:textAlignment w:val="baseline"/>
        <w:rPr>
          <w:rFonts w:ascii="Open Sans" w:eastAsia="Times New Roman" w:hAnsi="Open Sans" w:cs="Open Sans"/>
          <w:b/>
          <w:bCs/>
          <w:i/>
          <w:iCs/>
          <w:color w:val="4E5053"/>
          <w:bdr w:val="none" w:sz="0" w:space="0" w:color="auto" w:frame="1"/>
          <w:lang w:eastAsia="en-GB"/>
        </w:rPr>
      </w:pPr>
      <w:r w:rsidRPr="00A01A8D">
        <w:rPr>
          <w:rFonts w:ascii="Open Sans" w:eastAsia="Times New Roman" w:hAnsi="Open Sans" w:cs="Open Sans"/>
          <w:b/>
          <w:bCs/>
          <w:i/>
          <w:iCs/>
          <w:color w:val="4E5053"/>
          <w:bdr w:val="none" w:sz="0" w:space="0" w:color="auto" w:frame="1"/>
          <w:lang w:eastAsia="en-GB"/>
        </w:rPr>
        <w:t xml:space="preserve">If you’re interested in </w:t>
      </w:r>
      <w:r>
        <w:rPr>
          <w:rFonts w:ascii="Open Sans" w:eastAsia="Times New Roman" w:hAnsi="Open Sans" w:cs="Open Sans"/>
          <w:b/>
          <w:bCs/>
          <w:i/>
          <w:iCs/>
          <w:color w:val="4E5053"/>
          <w:bdr w:val="none" w:sz="0" w:space="0" w:color="auto" w:frame="1"/>
          <w:lang w:eastAsia="en-GB"/>
        </w:rPr>
        <w:t xml:space="preserve">REA </w:t>
      </w:r>
      <w:r w:rsidRPr="00A01A8D">
        <w:rPr>
          <w:rFonts w:ascii="Open Sans" w:eastAsia="Times New Roman" w:hAnsi="Open Sans" w:cs="Open Sans"/>
          <w:b/>
          <w:bCs/>
          <w:i/>
          <w:iCs/>
          <w:color w:val="4E5053"/>
          <w:bdr w:val="none" w:sz="0" w:space="0" w:color="auto" w:frame="1"/>
          <w:lang w:eastAsia="en-GB"/>
        </w:rPr>
        <w:t xml:space="preserve">membership, please </w:t>
      </w:r>
      <w:proofErr w:type="gramStart"/>
      <w:r w:rsidRPr="00A01A8D">
        <w:rPr>
          <w:rFonts w:ascii="Open Sans" w:eastAsia="Times New Roman" w:hAnsi="Open Sans" w:cs="Open Sans"/>
          <w:b/>
          <w:bCs/>
          <w:i/>
          <w:iCs/>
          <w:color w:val="4E5053"/>
          <w:bdr w:val="none" w:sz="0" w:space="0" w:color="auto" w:frame="1"/>
          <w:lang w:eastAsia="en-GB"/>
        </w:rPr>
        <w:t>contact</w:t>
      </w:r>
      <w:proofErr w:type="gramEnd"/>
    </w:p>
    <w:p w14:paraId="0D353903" w14:textId="77777777" w:rsidR="00A01A8D" w:rsidRDefault="00A01A8D"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p>
    <w:p w14:paraId="036BCBD7" w14:textId="2E9B1BA5" w:rsidR="00A01A8D" w:rsidRPr="004E443E" w:rsidRDefault="00A01A8D"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r>
        <w:rPr>
          <w:rFonts w:ascii="Open Sans" w:eastAsia="Times New Roman" w:hAnsi="Open Sans" w:cs="Open Sans"/>
          <w:color w:val="4E5053"/>
          <w:bdr w:val="none" w:sz="0" w:space="0" w:color="auto" w:frame="1"/>
          <w:lang w:eastAsia="en-GB"/>
        </w:rPr>
        <w:t>Lindsay Barnett</w:t>
      </w:r>
      <w:r w:rsidRPr="004E443E">
        <w:rPr>
          <w:rFonts w:ascii="Open Sans" w:eastAsia="Times New Roman" w:hAnsi="Open Sans" w:cs="Open Sans"/>
          <w:color w:val="4E5053"/>
          <w:bdr w:val="none" w:sz="0" w:space="0" w:color="auto" w:frame="1"/>
          <w:lang w:eastAsia="en-GB"/>
        </w:rPr>
        <w:t xml:space="preserve">, </w:t>
      </w:r>
      <w:r>
        <w:rPr>
          <w:rFonts w:ascii="Open Sans" w:eastAsia="Times New Roman" w:hAnsi="Open Sans" w:cs="Open Sans"/>
          <w:color w:val="4E5053"/>
          <w:bdr w:val="none" w:sz="0" w:space="0" w:color="auto" w:frame="1"/>
          <w:lang w:eastAsia="en-GB"/>
        </w:rPr>
        <w:t>Head of Membership, Marketing &amp; Events</w:t>
      </w:r>
      <w:r w:rsidRPr="004E443E">
        <w:rPr>
          <w:rFonts w:ascii="Open Sans" w:eastAsia="Times New Roman" w:hAnsi="Open Sans" w:cs="Open Sans"/>
          <w:color w:val="4E5053"/>
          <w:bdr w:val="none" w:sz="0" w:space="0" w:color="auto" w:frame="1"/>
          <w:lang w:eastAsia="en-GB"/>
        </w:rPr>
        <w:t>, REA</w:t>
      </w:r>
    </w:p>
    <w:p w14:paraId="5977AA5B" w14:textId="0A57B2CA" w:rsidR="00A01A8D" w:rsidRPr="001347A9" w:rsidRDefault="008D1E25" w:rsidP="00673848">
      <w:pPr>
        <w:shd w:val="clear" w:color="auto" w:fill="FFFFFF"/>
        <w:spacing w:after="0" w:line="240" w:lineRule="auto"/>
        <w:jc w:val="right"/>
        <w:textAlignment w:val="baseline"/>
        <w:rPr>
          <w:rFonts w:ascii="Open Sans" w:eastAsia="Times New Roman" w:hAnsi="Open Sans" w:cs="Open Sans"/>
          <w:color w:val="000000"/>
          <w:bdr w:val="none" w:sz="0" w:space="0" w:color="auto" w:frame="1"/>
          <w:lang w:eastAsia="en-GB"/>
        </w:rPr>
      </w:pPr>
      <w:hyperlink r:id="rId34" w:history="1">
        <w:r w:rsidR="00990D4D" w:rsidRPr="008A1D27">
          <w:rPr>
            <w:rStyle w:val="Hyperlink"/>
            <w:rFonts w:ascii="Open Sans" w:eastAsia="Times New Roman" w:hAnsi="Open Sans" w:cs="Open Sans"/>
            <w:bdr w:val="none" w:sz="0" w:space="0" w:color="auto" w:frame="1"/>
            <w:lang w:eastAsia="en-GB"/>
          </w:rPr>
          <w:t>lbarnett@r-e-a.net</w:t>
        </w:r>
      </w:hyperlink>
      <w:r w:rsidR="00990D4D">
        <w:rPr>
          <w:rFonts w:ascii="Open Sans" w:eastAsia="Times New Roman" w:hAnsi="Open Sans" w:cs="Open Sans"/>
          <w:color w:val="4E5053"/>
          <w:bdr w:val="none" w:sz="0" w:space="0" w:color="auto" w:frame="1"/>
          <w:lang w:eastAsia="en-GB"/>
        </w:rPr>
        <w:t xml:space="preserve"> </w:t>
      </w:r>
    </w:p>
    <w:p w14:paraId="52C7B9F5" w14:textId="5335CF6F" w:rsidR="0076018C" w:rsidRDefault="0076018C"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p>
    <w:p w14:paraId="5263B096" w14:textId="557A4D79" w:rsidR="0076018C" w:rsidRDefault="0076018C" w:rsidP="00673848">
      <w:pPr>
        <w:shd w:val="clear" w:color="auto" w:fill="FFFFFF"/>
        <w:spacing w:after="0" w:line="240" w:lineRule="auto"/>
        <w:jc w:val="right"/>
        <w:textAlignment w:val="baseline"/>
        <w:rPr>
          <w:rFonts w:ascii="Open Sans" w:eastAsia="Times New Roman" w:hAnsi="Open Sans" w:cs="Open Sans"/>
          <w:color w:val="4E5053"/>
          <w:bdr w:val="none" w:sz="0" w:space="0" w:color="auto" w:frame="1"/>
          <w:lang w:eastAsia="en-GB"/>
        </w:rPr>
      </w:pPr>
    </w:p>
    <w:bookmarkStart w:id="10" w:name="_Hlk57805547"/>
    <w:p w14:paraId="4B9E3ADF" w14:textId="278CAB02" w:rsidR="006C3862" w:rsidRDefault="006C3862" w:rsidP="006C3862">
      <w:pPr>
        <w:pStyle w:val="BodyText"/>
        <w:ind w:hanging="284"/>
      </w:pPr>
      <w:r>
        <w:rPr>
          <w:noProof/>
          <w:lang w:eastAsia="en-GB"/>
        </w:rPr>
        <w:lastRenderedPageBreak/>
        <mc:AlternateContent>
          <mc:Choice Requires="wpg">
            <w:drawing>
              <wp:inline distT="0" distB="0" distL="0" distR="0" wp14:anchorId="1416C509" wp14:editId="5EE8613A">
                <wp:extent cx="6060440" cy="15875"/>
                <wp:effectExtent l="9525" t="9525" r="16510" b="3175"/>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0440" cy="15875"/>
                          <a:chOff x="0" y="0"/>
                          <a:chExt cx="9544" cy="25"/>
                        </a:xfrm>
                      </wpg:grpSpPr>
                      <wps:wsp>
                        <wps:cNvPr id="194" name="Line 2"/>
                        <wps:cNvCnPr/>
                        <wps:spPr bwMode="auto">
                          <a:xfrm>
                            <a:off x="0" y="12"/>
                            <a:ext cx="9544" cy="0"/>
                          </a:xfrm>
                          <a:prstGeom prst="line">
                            <a:avLst/>
                          </a:prstGeom>
                          <a:noFill/>
                          <a:ln w="15672">
                            <a:solidFill>
                              <a:srgbClr val="41906D"/>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4C7E9B" id="Group 193" o:spid="_x0000_s1026" style="width:477.2pt;height:1.25pt;mso-position-horizontal-relative:char;mso-position-vertical-relative:line" coordsize="9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">
                <v:line id="Line 2" o:spid="_x0000_s1027" style="position:absolute;visibility:visible;mso-wrap-style:square" from="0,12" to="95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" strokecolor="#41906d" strokeweight=".43533mm"/>
                <w10:anchorlock/>
              </v:group>
            </w:pict>
          </mc:Fallback>
        </mc:AlternateContent>
      </w:r>
    </w:p>
    <w:p w14:paraId="104569D0" w14:textId="23AC6E37" w:rsidR="006C3862" w:rsidRPr="0096171A" w:rsidRDefault="006C3862" w:rsidP="006C3862">
      <w:pPr>
        <w:pStyle w:val="BodyText"/>
        <w:jc w:val="center"/>
      </w:pPr>
      <w:r w:rsidRPr="0096171A">
        <w:t>THE ASSOCIATION FOR RENEWABLE ENERGY AND CLEAN TECHNOLOGY</w:t>
      </w:r>
    </w:p>
    <w:p w14:paraId="51F8FA26" w14:textId="1AE591F4" w:rsidR="006C3862" w:rsidRDefault="006C3862" w:rsidP="006C3862">
      <w:pPr>
        <w:pStyle w:val="BodyText"/>
        <w:jc w:val="center"/>
      </w:pPr>
      <w:proofErr w:type="spellStart"/>
      <w:r>
        <w:t>Brettenham</w:t>
      </w:r>
      <w:proofErr w:type="spellEnd"/>
      <w:r>
        <w:t xml:space="preserve"> House, 2-19 Lancaster Place, London, WC2E 7EN</w:t>
      </w:r>
    </w:p>
    <w:p w14:paraId="57A15660" w14:textId="3B702BCC" w:rsidR="006C3862" w:rsidRDefault="006C3862" w:rsidP="006C3862">
      <w:pPr>
        <w:pStyle w:val="BodyText"/>
        <w:jc w:val="center"/>
        <w:rPr>
          <w:color w:val="06926B"/>
          <w:sz w:val="18"/>
          <w:szCs w:val="18"/>
        </w:rPr>
      </w:pPr>
      <w:r w:rsidRPr="0096171A">
        <w:rPr>
          <w:rFonts w:ascii="FuturaPT-Book"/>
          <w:color w:val="06926B"/>
          <w:sz w:val="18"/>
          <w:szCs w:val="18"/>
        </w:rPr>
        <w:t xml:space="preserve">Tel: </w:t>
      </w:r>
      <w:r w:rsidRPr="0096171A">
        <w:rPr>
          <w:color w:val="06926B"/>
          <w:sz w:val="18"/>
          <w:szCs w:val="18"/>
        </w:rPr>
        <w:t xml:space="preserve">+44 (0)20 7925 3570 </w:t>
      </w:r>
      <w:r w:rsidRPr="0096171A">
        <w:rPr>
          <w:rFonts w:ascii="FuturaPT-Book"/>
          <w:color w:val="06926B"/>
          <w:sz w:val="18"/>
          <w:szCs w:val="18"/>
        </w:rPr>
        <w:t xml:space="preserve">Email: </w:t>
      </w:r>
      <w:hyperlink r:id="rId35">
        <w:r w:rsidRPr="0096171A">
          <w:rPr>
            <w:color w:val="06926B"/>
            <w:sz w:val="18"/>
            <w:szCs w:val="18"/>
          </w:rPr>
          <w:t>info@r-e-a.net</w:t>
        </w:r>
      </w:hyperlink>
      <w:r w:rsidRPr="0096171A">
        <w:rPr>
          <w:color w:val="06926B"/>
          <w:sz w:val="18"/>
          <w:szCs w:val="18"/>
        </w:rPr>
        <w:t xml:space="preserve"> </w:t>
      </w:r>
      <w:r w:rsidRPr="0096171A">
        <w:rPr>
          <w:rFonts w:ascii="FuturaPT-Book"/>
          <w:color w:val="06926B"/>
          <w:sz w:val="18"/>
          <w:szCs w:val="18"/>
        </w:rPr>
        <w:t xml:space="preserve">Web: </w:t>
      </w:r>
      <w:hyperlink r:id="rId36">
        <w:r w:rsidRPr="0096171A">
          <w:rPr>
            <w:color w:val="06926B"/>
            <w:sz w:val="18"/>
            <w:szCs w:val="18"/>
          </w:rPr>
          <w:t>www.r-e-a.net</w:t>
        </w:r>
      </w:hyperlink>
    </w:p>
    <w:p w14:paraId="1842D31C" w14:textId="6F5FE55E" w:rsidR="006C3862" w:rsidRPr="00A06E31" w:rsidRDefault="006C3862" w:rsidP="00673848">
      <w:pPr>
        <w:pStyle w:val="BodyText"/>
        <w:jc w:val="center"/>
      </w:pPr>
      <w:r w:rsidRPr="00041FFC">
        <w:t>Company no: 04241430</w:t>
      </w:r>
      <w:r>
        <w:t xml:space="preserve"> Registered in England and Wales</w:t>
      </w:r>
      <w:bookmarkEnd w:id="10"/>
      <w:r w:rsidR="00673848">
        <w:rPr>
          <w:noProof/>
        </w:rPr>
        <mc:AlternateContent>
          <mc:Choice Requires="wps">
            <w:drawing>
              <wp:anchor distT="0" distB="0" distL="114300" distR="114300" simplePos="0" relativeHeight="251660288" behindDoc="0" locked="0" layoutInCell="1" allowOverlap="1" wp14:anchorId="72D9A79C" wp14:editId="205C7E82">
                <wp:simplePos x="0" y="0"/>
                <wp:positionH relativeFrom="margin">
                  <wp:posOffset>5398135</wp:posOffset>
                </wp:positionH>
                <wp:positionV relativeFrom="paragraph">
                  <wp:posOffset>168910</wp:posOffset>
                </wp:positionV>
                <wp:extent cx="352425" cy="323850"/>
                <wp:effectExtent l="0" t="0" r="28575" b="19050"/>
                <wp:wrapNone/>
                <wp:docPr id="195" name="Rectangle 195"/>
                <wp:cNvGraphicFramePr/>
                <a:graphic xmlns:a="http://schemas.openxmlformats.org/drawingml/2006/main">
                  <a:graphicData uri="http://schemas.microsoft.com/office/word/2010/wordprocessingShape">
                    <wps:wsp>
                      <wps:cNvSpPr/>
                      <wps:spPr>
                        <a:xfrm>
                          <a:off x="0" y="0"/>
                          <a:ext cx="35242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AF3F2" id="Rectangle 195" o:spid="_x0000_s1026" style="position:absolute;margin-left:425.05pt;margin-top:13.3pt;width:27.75pt;height:25.5pt;z-index:2516602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" fillcolor="white [3212]" strokecolor="white [3212]" strokeweight="1pt">
                <w10:wrap anchorx="margin"/>
              </v:rect>
            </w:pict>
          </mc:Fallback>
        </mc:AlternateContent>
      </w:r>
      <w:r w:rsidRPr="00D12069">
        <w:rPr>
          <w:rFonts w:ascii="Futura PT Book" w:eastAsia="Times New Roman" w:hAnsi="Futura PT Book" w:cs="Arial"/>
          <w:b/>
          <w:noProof/>
          <w:color w:val="4E5053"/>
          <w:sz w:val="28"/>
          <w:szCs w:val="28"/>
          <w:bdr w:val="none" w:sz="0" w:space="0" w:color="auto" w:frame="1"/>
          <w:lang w:eastAsia="en-GB"/>
        </w:rPr>
        <mc:AlternateContent>
          <mc:Choice Requires="wps">
            <w:drawing>
              <wp:anchor distT="0" distB="0" distL="114300" distR="114300" simplePos="0" relativeHeight="251659264" behindDoc="0" locked="0" layoutInCell="1" allowOverlap="1" wp14:anchorId="1FE22D86" wp14:editId="4F49EA14">
                <wp:simplePos x="0" y="0"/>
                <wp:positionH relativeFrom="column">
                  <wp:posOffset>5581650</wp:posOffset>
                </wp:positionH>
                <wp:positionV relativeFrom="paragraph">
                  <wp:posOffset>8963025</wp:posOffset>
                </wp:positionV>
                <wp:extent cx="323850" cy="23812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323850" cy="238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D72DFA" id="Rectangle 192" o:spid="_x0000_s1026" style="position:absolute;margin-left:439.5pt;margin-top:705.75pt;width:25.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" fillcolor="white [3212]" strokecolor="white [3212]" strokeweight="1pt"/>
            </w:pict>
          </mc:Fallback>
        </mc:AlternateContent>
      </w:r>
    </w:p>
    <w:sectPr w:rsidR="006C3862" w:rsidRPr="00A06E31" w:rsidSect="00921FE8">
      <w:headerReference w:type="default"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6446FE" w14:textId="77777777" w:rsidR="007476E6" w:rsidRDefault="007476E6" w:rsidP="00D75E5D">
      <w:pPr>
        <w:spacing w:after="0" w:line="240" w:lineRule="auto"/>
      </w:pPr>
      <w:r>
        <w:separator/>
      </w:r>
    </w:p>
  </w:endnote>
  <w:endnote w:type="continuationSeparator" w:id="0">
    <w:p w14:paraId="384869A7" w14:textId="77777777" w:rsidR="007476E6" w:rsidRDefault="007476E6" w:rsidP="00D75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FuturaPT-Light">
    <w:altName w:val="Century Gothic"/>
    <w:charset w:val="00"/>
    <w:family w:val="swiss"/>
    <w:pitch w:val="variable"/>
  </w:font>
  <w:font w:name="Yu Mincho">
    <w:charset w:val="80"/>
    <w:family w:val="roman"/>
    <w:pitch w:val="variable"/>
    <w:sig w:usb0="800002E7" w:usb1="2AC7FCFF" w:usb2="00000012" w:usb3="00000000" w:csb0="0002009F" w:csb1="00000000"/>
  </w:font>
  <w:font w:name="Jacobs Chronos">
    <w:altName w:val="Calibri"/>
    <w:panose1 w:val="00000000000000000000"/>
    <w:charset w:val="00"/>
    <w:family w:val="swiss"/>
    <w:notTrueType/>
    <w:pitch w:val="default"/>
    <w:sig w:usb0="00000003" w:usb1="00000000" w:usb2="00000000" w:usb3="00000000" w:csb0="00000001" w:csb1="00000000"/>
  </w:font>
  <w:font w:name="Futura PT Book">
    <w:altName w:val="Century Gothic"/>
    <w:panose1 w:val="00000000000000000000"/>
    <w:charset w:val="00"/>
    <w:family w:val="swiss"/>
    <w:notTrueType/>
    <w:pitch w:val="variable"/>
    <w:sig w:usb0="A00002FF" w:usb1="5000204B" w:usb2="00000000" w:usb3="00000000" w:csb0="00000097" w:csb1="00000000"/>
  </w:font>
  <w:font w:name="Open Sans">
    <w:altName w:val="Segoe UI"/>
    <w:charset w:val="00"/>
    <w:family w:val="swiss"/>
    <w:pitch w:val="variable"/>
    <w:sig w:usb0="E00002EF" w:usb1="4000205B" w:usb2="00000028" w:usb3="00000000" w:csb0="0000019F" w:csb1="00000000"/>
  </w:font>
  <w:font w:name="Futura PT Medium">
    <w:altName w:val="Century Gothic"/>
    <w:panose1 w:val="00000000000000000000"/>
    <w:charset w:val="00"/>
    <w:family w:val="swiss"/>
    <w:notTrueType/>
    <w:pitch w:val="variable"/>
    <w:sig w:usb0="A00002FF" w:usb1="5000204B" w:usb2="00000000" w:usb3="00000000" w:csb0="00000097" w:csb1="00000000"/>
  </w:font>
  <w:font w:name="FuturaPT-Book">
    <w:altName w:val="Century Gothic"/>
    <w:charset w:val="00"/>
    <w:family w:val="swiss"/>
    <w:pitch w:val="variable"/>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3611597"/>
      <w:docPartObj>
        <w:docPartGallery w:val="Page Numbers (Bottom of Page)"/>
        <w:docPartUnique/>
      </w:docPartObj>
    </w:sdtPr>
    <w:sdtEndPr>
      <w:rPr>
        <w:noProof/>
      </w:rPr>
    </w:sdtEndPr>
    <w:sdtContent>
      <w:p w14:paraId="43A6215C" w14:textId="4A9D9DB1" w:rsidR="007476E6" w:rsidRDefault="007476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850680F" w14:textId="77777777" w:rsidR="007476E6" w:rsidRDefault="007476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92810" w14:textId="4E1125A8" w:rsidR="007476E6" w:rsidRPr="003F2142" w:rsidRDefault="007476E6" w:rsidP="6AECE9B5">
    <w:pPr>
      <w:pStyle w:val="Footer"/>
      <w:jc w:val="right"/>
      <w:rPr>
        <w:rFonts w:ascii="Futura PT Book" w:hAnsi="Futura PT Book"/>
      </w:rPr>
    </w:pPr>
    <w:r w:rsidRPr="003F2142">
      <w:rPr>
        <w:rFonts w:ascii="Futura PT Book" w:hAnsi="Futura PT Book"/>
      </w:rPr>
      <w:fldChar w:fldCharType="begin"/>
    </w:r>
    <w:r w:rsidRPr="003F2142">
      <w:rPr>
        <w:rFonts w:ascii="Futura PT Book" w:hAnsi="Futura PT Book"/>
      </w:rPr>
      <w:instrText>PAGE</w:instrText>
    </w:r>
    <w:r w:rsidRPr="003F2142">
      <w:rPr>
        <w:rFonts w:ascii="Futura PT Book" w:hAnsi="Futura PT Book"/>
      </w:rPr>
      <w:fldChar w:fldCharType="separate"/>
    </w:r>
    <w:r w:rsidRPr="003F2142">
      <w:rPr>
        <w:rFonts w:ascii="Futura PT Book" w:hAnsi="Futura PT Book"/>
        <w:noProof/>
      </w:rPr>
      <w:t>1</w:t>
    </w:r>
    <w:r w:rsidRPr="003F2142">
      <w:rPr>
        <w:rFonts w:ascii="Futura PT Book" w:hAnsi="Futura PT Book"/>
      </w:rPr>
      <w:fldChar w:fldCharType="end"/>
    </w:r>
  </w:p>
  <w:p w14:paraId="0232658E" w14:textId="3AF9B6DF" w:rsidR="007476E6" w:rsidRDefault="007476E6">
    <w:pPr>
      <w:pStyle w:val="Footer"/>
    </w:pPr>
    <w:r w:rsidRPr="001868B9">
      <w:rPr>
        <w:noProof/>
      </w:rPr>
      <mc:AlternateContent>
        <mc:Choice Requires="wps">
          <w:drawing>
            <wp:anchor distT="0" distB="0" distL="114300" distR="114300" simplePos="0" relativeHeight="251663360" behindDoc="0" locked="0" layoutInCell="1" allowOverlap="1" wp14:anchorId="204E8811" wp14:editId="0D55D947">
              <wp:simplePos x="0" y="0"/>
              <wp:positionH relativeFrom="margin">
                <wp:posOffset>3693160</wp:posOffset>
              </wp:positionH>
              <wp:positionV relativeFrom="paragraph">
                <wp:posOffset>128270</wp:posOffset>
              </wp:positionV>
              <wp:extent cx="2035175" cy="288290"/>
              <wp:effectExtent l="0" t="0" r="3175" b="0"/>
              <wp:wrapNone/>
              <wp:docPr id="10" name="TextBox 17"/>
              <wp:cNvGraphicFramePr/>
              <a:graphic xmlns:a="http://schemas.openxmlformats.org/drawingml/2006/main">
                <a:graphicData uri="http://schemas.microsoft.com/office/word/2010/wordprocessingShape">
                  <wps:wsp>
                    <wps:cNvSpPr txBox="1"/>
                    <wps:spPr>
                      <a:xfrm>
                        <a:off x="0" y="0"/>
                        <a:ext cx="2035175" cy="288290"/>
                      </a:xfrm>
                      <a:prstGeom prst="rect">
                        <a:avLst/>
                      </a:prstGeom>
                      <a:solidFill>
                        <a:srgbClr val="1E1E1E"/>
                      </a:solidFill>
                    </wps:spPr>
                    <wps:txbx>
                      <w:txbxContent>
                        <w:p w14:paraId="24E1FE5D" w14:textId="77777777" w:rsidR="007476E6" w:rsidRPr="0018161C" w:rsidRDefault="007476E6" w:rsidP="001868B9">
                          <w:pPr>
                            <w:spacing w:after="0"/>
                            <w:jc w:val="right"/>
                          </w:pPr>
                          <w:r w:rsidRPr="0018161C">
                            <w:rPr>
                              <w:rFonts w:ascii="Helvetica" w:hAnsi="Helvetica"/>
                              <w:color w:val="FFFFFF" w:themeColor="background1"/>
                              <w:kern w:val="24"/>
                              <w:lang w:val="en-US"/>
                            </w:rPr>
                            <w:t xml:space="preserve">| </w:t>
                          </w:r>
                          <w:r>
                            <w:rPr>
                              <w:rFonts w:ascii="Helvetica" w:hAnsi="Helvetica"/>
                              <w:color w:val="FFFFFF" w:themeColor="background1"/>
                              <w:kern w:val="24"/>
                              <w:lang w:val="en-US"/>
                            </w:rPr>
                            <w:t>WWW.R-E-A.NET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04E8811" id="_x0000_t202" coordsize="21600,21600" o:spt="202" path="m,l,21600r21600,l21600,xe">
              <v:stroke joinstyle="miter"/>
              <v:path gradientshapeok="t" o:connecttype="rect"/>
            </v:shapetype>
            <v:shape id="_x0000_s1029" type="#_x0000_t202" style="position:absolute;margin-left:290.8pt;margin-top:10.1pt;width:160.25pt;height:2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" fillcolor="#1e1e1e" stroked="f">
              <v:textbox>
                <w:txbxContent>
                  <w:p w14:paraId="24E1FE5D" w14:textId="77777777" w:rsidR="007476E6" w:rsidRPr="0018161C" w:rsidRDefault="007476E6" w:rsidP="001868B9">
                    <w:pPr>
                      <w:spacing w:after="0"/>
                      <w:jc w:val="right"/>
                    </w:pPr>
                    <w:r w:rsidRPr="0018161C">
                      <w:rPr>
                        <w:rFonts w:ascii="Helvetica" w:hAnsi="Helvetica"/>
                        <w:color w:val="FFFFFF" w:themeColor="background1"/>
                        <w:kern w:val="24"/>
                        <w:lang w:val="en-US"/>
                      </w:rPr>
                      <w:t xml:space="preserve">| </w:t>
                    </w:r>
                    <w:r>
                      <w:rPr>
                        <w:rFonts w:ascii="Helvetica" w:hAnsi="Helvetica"/>
                        <w:color w:val="FFFFFF" w:themeColor="background1"/>
                        <w:kern w:val="24"/>
                        <w:lang w:val="en-US"/>
                      </w:rPr>
                      <w:t>WWW.R-E-A.NET</w:t>
                    </w:r>
                  </w:p>
                </w:txbxContent>
              </v:textbox>
              <w10:wrap anchorx="margin"/>
            </v:shape>
          </w:pict>
        </mc:Fallback>
      </mc:AlternateContent>
    </w:r>
    <w:r w:rsidRPr="001868B9">
      <w:rPr>
        <w:noProof/>
      </w:rPr>
      <mc:AlternateContent>
        <mc:Choice Requires="wps">
          <w:drawing>
            <wp:anchor distT="0" distB="0" distL="114300" distR="114300" simplePos="0" relativeHeight="251662336" behindDoc="0" locked="0" layoutInCell="1" allowOverlap="1" wp14:anchorId="3BCF1444" wp14:editId="402D6AFE">
              <wp:simplePos x="0" y="0"/>
              <wp:positionH relativeFrom="column">
                <wp:posOffset>-3026468</wp:posOffset>
              </wp:positionH>
              <wp:positionV relativeFrom="paragraph">
                <wp:posOffset>127000</wp:posOffset>
              </wp:positionV>
              <wp:extent cx="8749665" cy="45085"/>
              <wp:effectExtent l="0" t="0" r="0" b="0"/>
              <wp:wrapNone/>
              <wp:docPr id="9" name="Rectangle 15"/>
              <wp:cNvGraphicFramePr/>
              <a:graphic xmlns:a="http://schemas.openxmlformats.org/drawingml/2006/main">
                <a:graphicData uri="http://schemas.microsoft.com/office/word/2010/wordprocessingShape">
                  <wps:wsp>
                    <wps:cNvSpPr/>
                    <wps:spPr>
                      <a:xfrm flipV="1">
                        <a:off x="0" y="0"/>
                        <a:ext cx="8749665" cy="45085"/>
                      </a:xfrm>
                      <a:prstGeom prst="rect">
                        <a:avLst/>
                      </a:prstGeom>
                      <a:solidFill>
                        <a:srgbClr val="1E1E1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25FD486" id="Rectangle 15" o:spid="_x0000_s1026" style="position:absolute;margin-left:-238.3pt;margin-top:10pt;width:688.95pt;height:3.55pt;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" fillcolor="#1e1e1e"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427A53" w14:textId="77777777" w:rsidR="007476E6" w:rsidRDefault="007476E6" w:rsidP="00D75E5D">
      <w:pPr>
        <w:spacing w:after="0" w:line="240" w:lineRule="auto"/>
      </w:pPr>
      <w:r>
        <w:separator/>
      </w:r>
    </w:p>
  </w:footnote>
  <w:footnote w:type="continuationSeparator" w:id="0">
    <w:p w14:paraId="2C39BCE7" w14:textId="77777777" w:rsidR="007476E6" w:rsidRDefault="007476E6" w:rsidP="00D75E5D">
      <w:pPr>
        <w:spacing w:after="0" w:line="240" w:lineRule="auto"/>
      </w:pPr>
      <w:r>
        <w:continuationSeparator/>
      </w:r>
    </w:p>
  </w:footnote>
  <w:footnote w:id="1">
    <w:p w14:paraId="005F604C" w14:textId="5343E630" w:rsidR="007476E6" w:rsidRPr="00EE46A4" w:rsidRDefault="007476E6">
      <w:pPr>
        <w:pStyle w:val="FootnoteText"/>
        <w:rPr>
          <w:rFonts w:ascii="Open Sans" w:hAnsi="Open Sans" w:cs="Open Sans"/>
          <w:sz w:val="18"/>
          <w:szCs w:val="18"/>
        </w:rPr>
      </w:pPr>
      <w:r w:rsidRPr="00EE46A4">
        <w:rPr>
          <w:rStyle w:val="FootnoteReference"/>
          <w:rFonts w:ascii="Open Sans" w:hAnsi="Open Sans" w:cs="Open Sans"/>
        </w:rPr>
        <w:footnoteRef/>
      </w:r>
      <w:r w:rsidRPr="00EE46A4">
        <w:rPr>
          <w:rFonts w:ascii="Open Sans" w:hAnsi="Open Sans" w:cs="Open Sans"/>
        </w:rPr>
        <w:t xml:space="preserve"> </w:t>
      </w:r>
      <w:r w:rsidRPr="00EE46A4">
        <w:rPr>
          <w:rFonts w:ascii="Open Sans" w:hAnsi="Open Sans" w:cs="Open Sans"/>
          <w:sz w:val="18"/>
          <w:szCs w:val="18"/>
        </w:rPr>
        <w:t xml:space="preserve">Committee on Climate Change (2020) </w:t>
      </w:r>
      <w:hyperlink r:id="rId1" w:history="1">
        <w:r w:rsidRPr="00F273A2">
          <w:rPr>
            <w:rStyle w:val="Hyperlink"/>
            <w:rFonts w:ascii="Open Sans" w:hAnsi="Open Sans" w:cs="Open Sans"/>
            <w:i/>
            <w:iCs/>
            <w:sz w:val="18"/>
            <w:szCs w:val="18"/>
          </w:rPr>
          <w:t>Sixth Carbon Budget – Electricity Generation</w:t>
        </w:r>
      </w:hyperlink>
      <w:r w:rsidRPr="00EE46A4">
        <w:rPr>
          <w:rFonts w:ascii="Open Sans" w:hAnsi="Open Sans" w:cs="Open Sans"/>
          <w:sz w:val="18"/>
          <w:szCs w:val="18"/>
        </w:rPr>
        <w:t>, 21.</w:t>
      </w:r>
    </w:p>
  </w:footnote>
  <w:footnote w:id="2">
    <w:p w14:paraId="46A46F60" w14:textId="0203B49A" w:rsidR="007476E6" w:rsidRPr="00EE46A4" w:rsidRDefault="007476E6" w:rsidP="00EC35D6">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Imperial College for the CCC (2018) “</w:t>
      </w:r>
      <w:hyperlink r:id="rId2" w:history="1">
        <w:r w:rsidRPr="00F273A2">
          <w:rPr>
            <w:rStyle w:val="Hyperlink"/>
            <w:rFonts w:ascii="Open Sans" w:hAnsi="Open Sans" w:cs="Open Sans"/>
            <w:sz w:val="18"/>
            <w:szCs w:val="18"/>
          </w:rPr>
          <w:t>Analysis of alternative heat decarbonisation pathways</w:t>
        </w:r>
      </w:hyperlink>
      <w:r w:rsidRPr="00EE46A4">
        <w:rPr>
          <w:rFonts w:ascii="Open Sans" w:hAnsi="Open Sans" w:cs="Open Sans"/>
          <w:sz w:val="18"/>
          <w:szCs w:val="18"/>
        </w:rPr>
        <w:t>”, 39. See also: Imperial College for the CCC (2015) “</w:t>
      </w:r>
      <w:hyperlink r:id="rId3" w:history="1">
        <w:r w:rsidRPr="00F273A2">
          <w:rPr>
            <w:rStyle w:val="Hyperlink"/>
            <w:rFonts w:ascii="Open Sans" w:hAnsi="Open Sans" w:cs="Open Sans"/>
            <w:sz w:val="18"/>
            <w:szCs w:val="18"/>
          </w:rPr>
          <w:t>Value of flexibility in a decarbonised grid and system externalities of low carbon generation technologies</w:t>
        </w:r>
      </w:hyperlink>
      <w:r w:rsidRPr="00EE46A4">
        <w:rPr>
          <w:rFonts w:ascii="Open Sans" w:hAnsi="Open Sans" w:cs="Open Sans"/>
          <w:sz w:val="18"/>
          <w:szCs w:val="18"/>
        </w:rPr>
        <w:t xml:space="preserve">”. </w:t>
      </w:r>
    </w:p>
  </w:footnote>
  <w:footnote w:id="3">
    <w:p w14:paraId="2D518839" w14:textId="77777777" w:rsidR="007476E6" w:rsidRPr="00EE46A4" w:rsidRDefault="007476E6" w:rsidP="00EC35D6">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In addition to Biomass or BECCS, other dispatchable generation could include generation-integrated energy storage technologies, such as concentrated solar power. </w:t>
      </w:r>
    </w:p>
  </w:footnote>
  <w:footnote w:id="4">
    <w:p w14:paraId="1371C007" w14:textId="77777777" w:rsidR="007476E6" w:rsidRPr="00EE46A4" w:rsidRDefault="007476E6" w:rsidP="00EC35D6">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w:t>
      </w:r>
      <w:bookmarkStart w:id="0" w:name="_Hlk64539660"/>
      <w:r w:rsidRPr="00EE46A4">
        <w:rPr>
          <w:rFonts w:ascii="Open Sans" w:hAnsi="Open Sans" w:cs="Open Sans"/>
          <w:sz w:val="18"/>
          <w:szCs w:val="18"/>
        </w:rPr>
        <w:t>National Grid ESO (2020) Future Energy Scenarios</w:t>
      </w:r>
      <w:bookmarkEnd w:id="0"/>
      <w:r w:rsidRPr="00EE46A4">
        <w:rPr>
          <w:rFonts w:ascii="Open Sans" w:hAnsi="Open Sans" w:cs="Open Sans"/>
          <w:sz w:val="18"/>
          <w:szCs w:val="18"/>
        </w:rPr>
        <w:t>, 99.</w:t>
      </w:r>
    </w:p>
  </w:footnote>
  <w:footnote w:id="5">
    <w:p w14:paraId="1BF723BE"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Department for Business (2020), Energy and Industrial Strategy, </w:t>
      </w:r>
      <w:r w:rsidRPr="00EE46A4">
        <w:rPr>
          <w:rFonts w:ascii="Open Sans" w:hAnsi="Open Sans" w:cs="Open Sans"/>
          <w:i/>
          <w:iCs/>
          <w:sz w:val="18"/>
          <w:szCs w:val="18"/>
        </w:rPr>
        <w:t>Carbon in Flexibility Markets Workshop</w:t>
      </w:r>
    </w:p>
  </w:footnote>
  <w:footnote w:id="6">
    <w:p w14:paraId="7322FE78" w14:textId="2386C7BA"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w:t>
      </w:r>
      <w:hyperlink r:id="rId4" w:history="1">
        <w:r w:rsidR="000B190D">
          <w:rPr>
            <w:rStyle w:val="Hyperlink"/>
            <w:rFonts w:ascii="Open Sans" w:hAnsi="Open Sans" w:cs="Open Sans"/>
            <w:sz w:val="18"/>
            <w:szCs w:val="18"/>
          </w:rPr>
          <w:t>Imperial College and Carbon Trust (2016) "Can storage help reduce the cost of a future UK electricity system?"</w:t>
        </w:r>
      </w:hyperlink>
      <w:r w:rsidRPr="00EE46A4">
        <w:rPr>
          <w:rStyle w:val="Hyperlink"/>
          <w:rFonts w:ascii="Open Sans" w:hAnsi="Open Sans" w:cs="Open Sans"/>
          <w:sz w:val="18"/>
          <w:szCs w:val="18"/>
        </w:rPr>
        <w:t xml:space="preserve">,6. </w:t>
      </w:r>
    </w:p>
  </w:footnote>
  <w:footnote w:id="7">
    <w:p w14:paraId="2089489E" w14:textId="5E8356B6"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w:t>
      </w:r>
      <w:bookmarkStart w:id="1" w:name="_Hlk64559291"/>
      <w:r w:rsidR="000B190D">
        <w:rPr>
          <w:rFonts w:ascii="Open Sans" w:hAnsi="Open Sans" w:cs="Open Sans"/>
          <w:sz w:val="18"/>
          <w:szCs w:val="18"/>
        </w:rPr>
        <w:t xml:space="preserve">Drax (Q3 2019) </w:t>
      </w:r>
      <w:hyperlink r:id="rId5" w:history="1">
        <w:r w:rsidR="000B190D" w:rsidRPr="00F273A2">
          <w:rPr>
            <w:rStyle w:val="Hyperlink"/>
            <w:rFonts w:ascii="Open Sans" w:hAnsi="Open Sans" w:cs="Open Sans"/>
            <w:i/>
            <w:iCs/>
            <w:sz w:val="18"/>
            <w:szCs w:val="18"/>
          </w:rPr>
          <w:t>Drax Electric Insights Quarterly</w:t>
        </w:r>
      </w:hyperlink>
      <w:bookmarkEnd w:id="1"/>
      <w:r w:rsidR="000B190D">
        <w:rPr>
          <w:rStyle w:val="Hyperlink"/>
          <w:rFonts w:ascii="Open Sans" w:hAnsi="Open Sans" w:cs="Open Sans"/>
          <w:sz w:val="18"/>
          <w:szCs w:val="18"/>
        </w:rPr>
        <w:t>)</w:t>
      </w:r>
    </w:p>
  </w:footnote>
  <w:footnote w:id="8">
    <w:p w14:paraId="371F00E0" w14:textId="10CB3F57" w:rsidR="000B190D" w:rsidRPr="00EE46A4" w:rsidRDefault="000B190D" w:rsidP="00F273A2">
      <w:pPr>
        <w:shd w:val="clear" w:color="auto" w:fill="FFFFFF" w:themeFill="background1"/>
        <w:spacing w:after="0" w:line="240" w:lineRule="auto"/>
        <w:textAlignment w:val="baseline"/>
        <w:rPr>
          <w:rFonts w:ascii="Open Sans" w:hAnsi="Open Sans" w:cs="Open Sans"/>
          <w:color w:val="0000FF"/>
          <w:sz w:val="18"/>
          <w:szCs w:val="18"/>
          <w:u w:val="single"/>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Imperial College for SSE Renewables (2021) </w:t>
      </w:r>
      <w:hyperlink r:id="rId6" w:history="1">
        <w:r w:rsidRPr="00EE46A4">
          <w:rPr>
            <w:rStyle w:val="Hyperlink"/>
            <w:rFonts w:ascii="Open Sans" w:hAnsi="Open Sans" w:cs="Open Sans"/>
            <w:i/>
            <w:iCs/>
            <w:sz w:val="18"/>
            <w:szCs w:val="18"/>
          </w:rPr>
          <w:t>Whole-System Value of Long-Duration Energy Storage in a Net-Zero Emission Energy System for Great Britain</w:t>
        </w:r>
      </w:hyperlink>
      <w:r>
        <w:rPr>
          <w:rFonts w:ascii="Open Sans" w:hAnsi="Open Sans" w:cs="Open Sans"/>
          <w:i/>
          <w:iCs/>
          <w:sz w:val="18"/>
          <w:szCs w:val="18"/>
        </w:rPr>
        <w:t xml:space="preserve">, </w:t>
      </w:r>
      <w:r w:rsidRPr="00EE46A4">
        <w:rPr>
          <w:rFonts w:ascii="Open Sans" w:hAnsi="Open Sans" w:cs="Open Sans"/>
          <w:sz w:val="18"/>
          <w:szCs w:val="18"/>
        </w:rPr>
        <w:t>7.</w:t>
      </w:r>
    </w:p>
    <w:p w14:paraId="28B8CEE3" w14:textId="3B716D50" w:rsidR="000B190D" w:rsidRPr="00EE46A4" w:rsidRDefault="000B190D">
      <w:pPr>
        <w:pStyle w:val="FootnoteText"/>
        <w:rPr>
          <w:rFonts w:ascii="Open Sans" w:hAnsi="Open Sans" w:cs="Open Sans"/>
          <w:sz w:val="18"/>
          <w:szCs w:val="18"/>
        </w:rPr>
      </w:pPr>
    </w:p>
  </w:footnote>
  <w:footnote w:id="9">
    <w:p w14:paraId="2A294D9A" w14:textId="77777777" w:rsidR="007476E6" w:rsidRPr="00EE46A4" w:rsidRDefault="007476E6" w:rsidP="00A90BDC">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See the debate in Greentech Media (2020), </w:t>
      </w:r>
      <w:hyperlink r:id="rId7" w:history="1">
        <w:r w:rsidRPr="00EE46A4">
          <w:rPr>
            <w:rStyle w:val="Hyperlink"/>
            <w:rFonts w:ascii="Open Sans" w:hAnsi="Open Sans" w:cs="Open Sans"/>
            <w:sz w:val="18"/>
            <w:szCs w:val="18"/>
          </w:rPr>
          <w:t>‘So, what exactly is Long-duration Energy Storage?’</w:t>
        </w:r>
      </w:hyperlink>
      <w:r w:rsidRPr="00EE46A4">
        <w:rPr>
          <w:rFonts w:ascii="Open Sans" w:hAnsi="Open Sans" w:cs="Open Sans"/>
          <w:sz w:val="18"/>
          <w:szCs w:val="18"/>
        </w:rPr>
        <w:t xml:space="preserve"> for a range of definitions.</w:t>
      </w:r>
    </w:p>
  </w:footnote>
  <w:footnote w:id="10">
    <w:p w14:paraId="4DB39529"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See REA (2016) </w:t>
      </w:r>
      <w:hyperlink r:id="rId8" w:history="1">
        <w:r w:rsidRPr="00EE46A4">
          <w:rPr>
            <w:rStyle w:val="Hyperlink"/>
            <w:rFonts w:ascii="Open Sans" w:hAnsi="Open Sans" w:cs="Open Sans"/>
            <w:sz w:val="18"/>
            <w:szCs w:val="18"/>
          </w:rPr>
          <w:t>Energy Storage in the UK: An Overview</w:t>
        </w:r>
      </w:hyperlink>
      <w:r w:rsidRPr="00EE46A4">
        <w:rPr>
          <w:rFonts w:ascii="Open Sans" w:hAnsi="Open Sans" w:cs="Open Sans"/>
          <w:sz w:val="18"/>
          <w:szCs w:val="18"/>
        </w:rPr>
        <w:t xml:space="preserve"> for more information on how each technology works.</w:t>
      </w:r>
    </w:p>
  </w:footnote>
  <w:footnote w:id="11">
    <w:p w14:paraId="7D6E35D5"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w:t>
      </w:r>
      <w:hyperlink r:id="rId9" w:history="1">
        <w:r w:rsidRPr="00EE46A4">
          <w:rPr>
            <w:rStyle w:val="Hyperlink"/>
            <w:rFonts w:ascii="Open Sans" w:hAnsi="Open Sans" w:cs="Open Sans"/>
            <w:sz w:val="18"/>
            <w:szCs w:val="18"/>
          </w:rPr>
          <w:t>National Grid ESO (2020) Future Energy Scenarios</w:t>
        </w:r>
      </w:hyperlink>
      <w:r w:rsidRPr="00EE46A4">
        <w:rPr>
          <w:rFonts w:ascii="Open Sans" w:hAnsi="Open Sans" w:cs="Open Sans"/>
          <w:sz w:val="18"/>
          <w:szCs w:val="18"/>
        </w:rPr>
        <w:t>, 112.</w:t>
      </w:r>
    </w:p>
  </w:footnote>
  <w:footnote w:id="12">
    <w:p w14:paraId="08143AD2"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w:t>
      </w:r>
      <w:hyperlink r:id="rId10" w:history="1">
        <w:r w:rsidRPr="00EE46A4">
          <w:rPr>
            <w:rStyle w:val="Hyperlink"/>
            <w:rFonts w:ascii="Open Sans" w:hAnsi="Open Sans" w:cs="Open Sans"/>
            <w:sz w:val="18"/>
            <w:szCs w:val="18"/>
          </w:rPr>
          <w:t>National Grid ESO (2020) Future Energy Scenarios</w:t>
        </w:r>
      </w:hyperlink>
      <w:r w:rsidRPr="00EE46A4">
        <w:rPr>
          <w:rFonts w:ascii="Open Sans" w:hAnsi="Open Sans" w:cs="Open Sans"/>
          <w:sz w:val="18"/>
          <w:szCs w:val="18"/>
        </w:rPr>
        <w:t>, 112.</w:t>
      </w:r>
    </w:p>
  </w:footnote>
  <w:footnote w:id="13">
    <w:p w14:paraId="0B21494F" w14:textId="77777777" w:rsidR="007476E6" w:rsidRPr="00EE46A4" w:rsidRDefault="007476E6" w:rsidP="007A5D0A">
      <w:pPr>
        <w:pStyle w:val="FootnoteText"/>
        <w:rPr>
          <w:rFonts w:ascii="Open Sans" w:hAnsi="Open Sans" w:cs="Open Sans"/>
          <w:color w:val="0563C1" w:themeColor="hyperlink"/>
          <w:sz w:val="18"/>
          <w:szCs w:val="18"/>
          <w:u w:val="single"/>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Aurora (2019) </w:t>
      </w:r>
      <w:r w:rsidRPr="00EE46A4">
        <w:rPr>
          <w:rStyle w:val="Hyperlink"/>
          <w:rFonts w:ascii="Open Sans" w:hAnsi="Open Sans" w:cs="Open Sans"/>
          <w:sz w:val="18"/>
          <w:szCs w:val="18"/>
        </w:rPr>
        <w:t xml:space="preserve">The road to 2050: The need for flexibility in a </w:t>
      </w:r>
      <w:proofErr w:type="gramStart"/>
      <w:r w:rsidRPr="00EE46A4">
        <w:rPr>
          <w:rStyle w:val="Hyperlink"/>
          <w:rFonts w:ascii="Open Sans" w:hAnsi="Open Sans" w:cs="Open Sans"/>
          <w:sz w:val="18"/>
          <w:szCs w:val="18"/>
        </w:rPr>
        <w:t>high renewables</w:t>
      </w:r>
      <w:proofErr w:type="gramEnd"/>
      <w:r w:rsidRPr="00EE46A4">
        <w:rPr>
          <w:rStyle w:val="Hyperlink"/>
          <w:rFonts w:ascii="Open Sans" w:hAnsi="Open Sans" w:cs="Open Sans"/>
          <w:sz w:val="18"/>
          <w:szCs w:val="18"/>
        </w:rPr>
        <w:t xml:space="preserve"> world)</w:t>
      </w:r>
    </w:p>
  </w:footnote>
  <w:footnote w:id="14">
    <w:p w14:paraId="4CA08252" w14:textId="1311F139" w:rsidR="00A95F02" w:rsidRPr="00EE46A4" w:rsidRDefault="00A95F02">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Jacobs (2020) </w:t>
      </w:r>
      <w:hyperlink r:id="rId11" w:history="1">
        <w:r w:rsidRPr="00EE46A4">
          <w:rPr>
            <w:rStyle w:val="Hyperlink"/>
            <w:rFonts w:ascii="Open Sans" w:hAnsi="Open Sans" w:cs="Open Sans"/>
            <w:sz w:val="18"/>
            <w:szCs w:val="18"/>
          </w:rPr>
          <w:t>Strategy for Long-Term Energy Storage in the UK</w:t>
        </w:r>
      </w:hyperlink>
      <w:r w:rsidRPr="00EE46A4">
        <w:rPr>
          <w:rFonts w:ascii="Open Sans" w:hAnsi="Open Sans" w:cs="Open Sans"/>
          <w:sz w:val="18"/>
          <w:szCs w:val="18"/>
        </w:rPr>
        <w:t>, 13.</w:t>
      </w:r>
    </w:p>
  </w:footnote>
  <w:footnote w:id="15">
    <w:p w14:paraId="170605F6"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Jacobs (2020) </w:t>
      </w:r>
      <w:bookmarkStart w:id="2" w:name="_Hlk65164247"/>
      <w:r w:rsidRPr="00EE46A4">
        <w:rPr>
          <w:rFonts w:ascii="Open Sans" w:hAnsi="Open Sans" w:cs="Open Sans"/>
          <w:sz w:val="18"/>
          <w:szCs w:val="18"/>
        </w:rPr>
        <w:t>Strategy for Long-Term Energy Storage in the UK, 63.</w:t>
      </w:r>
      <w:bookmarkEnd w:id="2"/>
    </w:p>
  </w:footnote>
  <w:footnote w:id="16">
    <w:p w14:paraId="5D1F72ED"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International Hydropower Association (2018) </w:t>
      </w:r>
      <w:hyperlink r:id="rId12" w:history="1">
        <w:r w:rsidRPr="00EE46A4">
          <w:rPr>
            <w:rStyle w:val="Hyperlink"/>
            <w:rFonts w:ascii="Open Sans" w:hAnsi="Open Sans" w:cs="Open Sans"/>
            <w:sz w:val="18"/>
            <w:szCs w:val="18"/>
          </w:rPr>
          <w:t>Country profile – United Kingdom</w:t>
        </w:r>
      </w:hyperlink>
    </w:p>
  </w:footnote>
  <w:footnote w:id="17">
    <w:p w14:paraId="1A88CFA8" w14:textId="77777777" w:rsidR="007476E6" w:rsidRPr="00EE46A4" w:rsidRDefault="007476E6" w:rsidP="007A5D0A">
      <w:pPr>
        <w:pStyle w:val="FootnoteText"/>
        <w:rPr>
          <w:rFonts w:ascii="Open Sans" w:hAnsi="Open Sans" w:cs="Open Sans"/>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w:t>
      </w:r>
      <w:bookmarkStart w:id="4" w:name="_Hlk64559612"/>
      <w:r w:rsidRPr="00EE46A4">
        <w:rPr>
          <w:rFonts w:ascii="Open Sans" w:hAnsi="Open Sans" w:cs="Open Sans"/>
          <w:sz w:val="18"/>
          <w:szCs w:val="18"/>
        </w:rPr>
        <w:fldChar w:fldCharType="begin"/>
      </w:r>
      <w:r w:rsidRPr="00EE46A4">
        <w:rPr>
          <w:rFonts w:ascii="Open Sans" w:hAnsi="Open Sans" w:cs="Open Sans"/>
          <w:sz w:val="18"/>
          <w:szCs w:val="18"/>
        </w:rPr>
        <w:instrText xml:space="preserve"> HYPERLINK "https://www.nationalgrideso.com/document/185881/download" </w:instrText>
      </w:r>
      <w:r w:rsidRPr="00EE46A4">
        <w:rPr>
          <w:rFonts w:ascii="Open Sans" w:hAnsi="Open Sans" w:cs="Open Sans"/>
          <w:sz w:val="18"/>
          <w:szCs w:val="18"/>
        </w:rPr>
        <w:fldChar w:fldCharType="separate"/>
      </w:r>
      <w:r w:rsidRPr="00EE46A4">
        <w:rPr>
          <w:rStyle w:val="Hyperlink"/>
          <w:rFonts w:ascii="Open Sans" w:hAnsi="Open Sans" w:cs="Open Sans"/>
          <w:bCs/>
          <w:sz w:val="18"/>
          <w:szCs w:val="18"/>
        </w:rPr>
        <w:t>Network Options Assessment (NOA)</w:t>
      </w:r>
      <w:r w:rsidRPr="00EE46A4">
        <w:rPr>
          <w:rStyle w:val="Hyperlink"/>
          <w:rFonts w:ascii="Open Sans" w:hAnsi="Open Sans" w:cs="Open Sans"/>
          <w:bCs/>
          <w:sz w:val="18"/>
          <w:szCs w:val="18"/>
        </w:rPr>
        <w:fldChar w:fldCharType="end"/>
      </w:r>
      <w:r w:rsidRPr="00EE46A4">
        <w:rPr>
          <w:rFonts w:ascii="Open Sans" w:hAnsi="Open Sans" w:cs="Open Sans"/>
          <w:bCs/>
          <w:sz w:val="18"/>
          <w:szCs w:val="18"/>
        </w:rPr>
        <w:t xml:space="preserve"> </w:t>
      </w:r>
      <w:bookmarkEnd w:id="4"/>
    </w:p>
  </w:footnote>
  <w:footnote w:id="18">
    <w:p w14:paraId="0D93268B" w14:textId="77777777" w:rsidR="007476E6" w:rsidRPr="00F273A2" w:rsidRDefault="007476E6" w:rsidP="007A5D0A">
      <w:pPr>
        <w:pStyle w:val="FootnoteText"/>
        <w:rPr>
          <w:sz w:val="18"/>
          <w:szCs w:val="18"/>
        </w:rPr>
      </w:pPr>
      <w:r w:rsidRPr="00EE46A4">
        <w:rPr>
          <w:rStyle w:val="FootnoteReference"/>
          <w:rFonts w:ascii="Open Sans" w:hAnsi="Open Sans" w:cs="Open Sans"/>
          <w:sz w:val="18"/>
          <w:szCs w:val="18"/>
        </w:rPr>
        <w:footnoteRef/>
      </w:r>
      <w:r w:rsidRPr="00EE46A4">
        <w:rPr>
          <w:rFonts w:ascii="Open Sans" w:hAnsi="Open Sans" w:cs="Open Sans"/>
          <w:sz w:val="18"/>
          <w:szCs w:val="18"/>
        </w:rPr>
        <w:t xml:space="preserve"> Further information on how such a system works can be found in </w:t>
      </w:r>
      <w:hyperlink r:id="rId13" w:history="1">
        <w:r w:rsidRPr="00EE46A4">
          <w:rPr>
            <w:rStyle w:val="Hyperlink"/>
            <w:rFonts w:ascii="Open Sans" w:hAnsi="Open Sans" w:cs="Open Sans"/>
            <w:sz w:val="18"/>
            <w:szCs w:val="18"/>
          </w:rPr>
          <w:t>Zhou et al, ‘A review of thermal energy storage in compressed air energy storage system’, Energy Vol.188 (2019).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D8571" w14:textId="7FE25B5B" w:rsidR="007476E6" w:rsidRDefault="007476E6">
    <w:pPr>
      <w:pStyle w:val="Header"/>
    </w:pPr>
    <w:r w:rsidRPr="00D75E5D">
      <w:rPr>
        <w:noProof/>
      </w:rPr>
      <mc:AlternateContent>
        <mc:Choice Requires="wps">
          <w:drawing>
            <wp:anchor distT="0" distB="0" distL="114300" distR="114300" simplePos="0" relativeHeight="251660288" behindDoc="0" locked="0" layoutInCell="1" allowOverlap="1" wp14:anchorId="788433C8" wp14:editId="208453B0">
              <wp:simplePos x="0" y="0"/>
              <wp:positionH relativeFrom="margin">
                <wp:align>left</wp:align>
              </wp:positionH>
              <wp:positionV relativeFrom="paragraph">
                <wp:posOffset>-259080</wp:posOffset>
              </wp:positionV>
              <wp:extent cx="5173980" cy="288290"/>
              <wp:effectExtent l="0" t="0" r="7620" b="0"/>
              <wp:wrapNone/>
              <wp:docPr id="18" name="TextBox 17">
                <a:extLst xmlns:a="http://schemas.openxmlformats.org/drawingml/2006/main">
                  <a:ext uri="{FF2B5EF4-FFF2-40B4-BE49-F238E27FC236}">
                    <a16:creationId xmlns:a16="http://schemas.microsoft.com/office/drawing/2014/main" id="{6CDCA67D-6264-6B48-919E-561B2341303F}"/>
                  </a:ext>
                </a:extLst>
              </wp:docPr>
              <wp:cNvGraphicFramePr/>
              <a:graphic xmlns:a="http://schemas.openxmlformats.org/drawingml/2006/main">
                <a:graphicData uri="http://schemas.microsoft.com/office/word/2010/wordprocessingShape">
                  <wps:wsp>
                    <wps:cNvSpPr txBox="1"/>
                    <wps:spPr>
                      <a:xfrm>
                        <a:off x="0" y="0"/>
                        <a:ext cx="5173980" cy="288290"/>
                      </a:xfrm>
                      <a:prstGeom prst="rect">
                        <a:avLst/>
                      </a:prstGeom>
                      <a:solidFill>
                        <a:srgbClr val="1E1E1E"/>
                      </a:solidFill>
                    </wps:spPr>
                    <wps:txbx>
                      <w:txbxContent>
                        <w:p w14:paraId="4FA6192B" w14:textId="24F02DCD" w:rsidR="007476E6" w:rsidRPr="00D12DCC" w:rsidRDefault="007476E6" w:rsidP="00D75E5D">
                          <w:pPr>
                            <w:spacing w:after="0"/>
                            <w:rPr>
                              <w:caps/>
                            </w:rPr>
                          </w:pPr>
                          <w:r>
                            <w:rPr>
                              <w:rFonts w:ascii="Helvetica" w:hAnsi="Helvetica"/>
                              <w:caps/>
                              <w:color w:val="FFFFFF" w:themeColor="background1"/>
                              <w:kern w:val="24"/>
                              <w:lang w:val="en-US"/>
                            </w:rPr>
                            <w:t>Longer-Duration Energy Storage: a mISSING PIECE TO net Zero</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788433C8" id="_x0000_t202" coordsize="21600,21600" o:spt="202" path="m,l,21600r21600,l21600,xe">
              <v:stroke joinstyle="miter"/>
              <v:path gradientshapeok="t" o:connecttype="rect"/>
            </v:shapetype>
            <v:shape id="TextBox 17" o:spid="_x0000_s1028" type="#_x0000_t202" style="position:absolute;margin-left:0;margin-top:-20.4pt;width:407.4pt;height:22.7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" fillcolor="#1e1e1e" stroked="f">
              <v:textbox>
                <w:txbxContent>
                  <w:p w14:paraId="4FA6192B" w14:textId="24F02DCD" w:rsidR="007476E6" w:rsidRPr="00D12DCC" w:rsidRDefault="007476E6" w:rsidP="00D75E5D">
                    <w:pPr>
                      <w:spacing w:after="0"/>
                      <w:rPr>
                        <w:caps/>
                      </w:rPr>
                    </w:pPr>
                    <w:r>
                      <w:rPr>
                        <w:rFonts w:ascii="Helvetica" w:hAnsi="Helvetica"/>
                        <w:caps/>
                        <w:color w:val="FFFFFF" w:themeColor="background1"/>
                        <w:kern w:val="24"/>
                        <w:lang w:val="en-US"/>
                      </w:rPr>
                      <w:t>Longer-Duration Energy Storage: a mISSING PIECE TO net Zero</w:t>
                    </w:r>
                  </w:p>
                </w:txbxContent>
              </v:textbox>
              <w10:wrap anchorx="margin"/>
            </v:shape>
          </w:pict>
        </mc:Fallback>
      </mc:AlternateContent>
    </w:r>
    <w:r w:rsidRPr="00D75E5D">
      <w:rPr>
        <w:noProof/>
      </w:rPr>
      <mc:AlternateContent>
        <mc:Choice Requires="wps">
          <w:drawing>
            <wp:anchor distT="0" distB="0" distL="114300" distR="114300" simplePos="0" relativeHeight="251659264" behindDoc="0" locked="0" layoutInCell="1" allowOverlap="1" wp14:anchorId="6A481739" wp14:editId="2424501D">
              <wp:simplePos x="0" y="0"/>
              <wp:positionH relativeFrom="column">
                <wp:posOffset>488</wp:posOffset>
              </wp:positionH>
              <wp:positionV relativeFrom="paragraph">
                <wp:posOffset>-263085</wp:posOffset>
              </wp:positionV>
              <wp:extent cx="8749665" cy="45085"/>
              <wp:effectExtent l="0" t="0" r="0" b="0"/>
              <wp:wrapNone/>
              <wp:docPr id="16" name="Rectangle 15">
                <a:extLst xmlns:a="http://schemas.openxmlformats.org/drawingml/2006/main">
                  <a:ext uri="{FF2B5EF4-FFF2-40B4-BE49-F238E27FC236}">
                    <a16:creationId xmlns:a16="http://schemas.microsoft.com/office/drawing/2014/main" id="{C010EE09-CA59-F041-8347-C9946DCEA26E}"/>
                  </a:ext>
                </a:extLst>
              </wp:docPr>
              <wp:cNvGraphicFramePr/>
              <a:graphic xmlns:a="http://schemas.openxmlformats.org/drawingml/2006/main">
                <a:graphicData uri="http://schemas.microsoft.com/office/word/2010/wordprocessingShape">
                  <wps:wsp>
                    <wps:cNvSpPr/>
                    <wps:spPr>
                      <a:xfrm flipV="1">
                        <a:off x="0" y="0"/>
                        <a:ext cx="8749665" cy="45085"/>
                      </a:xfrm>
                      <a:prstGeom prst="rect">
                        <a:avLst/>
                      </a:prstGeom>
                      <a:solidFill>
                        <a:srgbClr val="1E1E1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62DD44D" id="Rectangle 15" o:spid="_x0000_s1026" style="position:absolute;margin-left:.05pt;margin-top:-20.7pt;width:688.95pt;height:3.55pt;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" fillcolor="#1e1e1e"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46DC"/>
    <w:multiLevelType w:val="hybridMultilevel"/>
    <w:tmpl w:val="1CB6EAA4"/>
    <w:lvl w:ilvl="0" w:tplc="0809000F">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1CB0A2B"/>
    <w:multiLevelType w:val="hybridMultilevel"/>
    <w:tmpl w:val="65F864F4"/>
    <w:lvl w:ilvl="0" w:tplc="03868644">
      <w:start w:val="1"/>
      <w:numFmt w:val="bullet"/>
      <w:lvlText w:val=""/>
      <w:lvlJc w:val="left"/>
      <w:pPr>
        <w:ind w:left="780" w:hanging="360"/>
      </w:pPr>
      <w:rPr>
        <w:rFonts w:ascii="Symbol" w:hAnsi="Symbol" w:hint="default"/>
        <w:color w:val="4E5053"/>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E75630E"/>
    <w:multiLevelType w:val="hybridMultilevel"/>
    <w:tmpl w:val="93A21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541927"/>
    <w:multiLevelType w:val="hybridMultilevel"/>
    <w:tmpl w:val="3E1AF03E"/>
    <w:lvl w:ilvl="0" w:tplc="08090015">
      <w:start w:val="1"/>
      <w:numFmt w:val="upp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62885"/>
    <w:multiLevelType w:val="hybridMultilevel"/>
    <w:tmpl w:val="5C4E8A06"/>
    <w:lvl w:ilvl="0" w:tplc="03868644">
      <w:start w:val="1"/>
      <w:numFmt w:val="bullet"/>
      <w:lvlText w:val=""/>
      <w:lvlJc w:val="left"/>
      <w:pPr>
        <w:ind w:left="720" w:hanging="360"/>
      </w:pPr>
      <w:rPr>
        <w:rFonts w:ascii="Symbol" w:hAnsi="Symbol" w:hint="default"/>
        <w:color w:val="4E50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C620E"/>
    <w:multiLevelType w:val="hybridMultilevel"/>
    <w:tmpl w:val="5014718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360793F"/>
    <w:multiLevelType w:val="hybridMultilevel"/>
    <w:tmpl w:val="583665CA"/>
    <w:lvl w:ilvl="0" w:tplc="B69AD6D2">
      <w:start w:val="1"/>
      <w:numFmt w:val="bullet"/>
      <w:lvlText w:val=""/>
      <w:lvlJc w:val="left"/>
      <w:pPr>
        <w:ind w:left="2988" w:hanging="360"/>
      </w:pPr>
      <w:rPr>
        <w:rFonts w:ascii="Wingdings 3" w:hAnsi="Wingdings 3" w:hint="default"/>
        <w:color w:val="06926B"/>
      </w:rPr>
    </w:lvl>
    <w:lvl w:ilvl="1" w:tplc="08090003">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7" w15:restartNumberingAfterBreak="0">
    <w:nsid w:val="195928FA"/>
    <w:multiLevelType w:val="hybridMultilevel"/>
    <w:tmpl w:val="74C8BE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8C53A9"/>
    <w:multiLevelType w:val="hybridMultilevel"/>
    <w:tmpl w:val="82F44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AE55FD"/>
    <w:multiLevelType w:val="hybridMultilevel"/>
    <w:tmpl w:val="E8824E78"/>
    <w:lvl w:ilvl="0" w:tplc="DE54C0A8">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3563FE2"/>
    <w:multiLevelType w:val="hybridMultilevel"/>
    <w:tmpl w:val="073E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37D24"/>
    <w:multiLevelType w:val="hybridMultilevel"/>
    <w:tmpl w:val="142AFE8A"/>
    <w:lvl w:ilvl="0" w:tplc="96DE4444">
      <w:start w:val="1"/>
      <w:numFmt w:val="decimal"/>
      <w:lvlText w:val="%1."/>
      <w:lvlJc w:val="left"/>
      <w:pPr>
        <w:ind w:left="720" w:hanging="360"/>
      </w:pPr>
      <w:rPr>
        <w:rFonts w:hint="default"/>
        <w:b/>
        <w:bCs/>
        <w:color w:val="4E505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BA39AF"/>
    <w:multiLevelType w:val="hybridMultilevel"/>
    <w:tmpl w:val="F2DC6A1C"/>
    <w:lvl w:ilvl="0" w:tplc="1BACE5F4">
      <w:start w:val="1"/>
      <w:numFmt w:val="decimal"/>
      <w:lvlText w:val="%1."/>
      <w:lvlJc w:val="left"/>
      <w:pPr>
        <w:ind w:left="768" w:hanging="360"/>
      </w:pPr>
      <w:rPr>
        <w:rFonts w:hint="default"/>
        <w:color w:val="4E5053"/>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3" w15:restartNumberingAfterBreak="0">
    <w:nsid w:val="2F5A531C"/>
    <w:multiLevelType w:val="hybridMultilevel"/>
    <w:tmpl w:val="2782F7E8"/>
    <w:lvl w:ilvl="0" w:tplc="03868644">
      <w:start w:val="1"/>
      <w:numFmt w:val="bullet"/>
      <w:lvlText w:val=""/>
      <w:lvlJc w:val="left"/>
      <w:pPr>
        <w:ind w:left="720" w:hanging="360"/>
      </w:pPr>
      <w:rPr>
        <w:rFonts w:ascii="Symbol" w:hAnsi="Symbol" w:hint="default"/>
        <w:color w:val="4E50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5020A4"/>
    <w:multiLevelType w:val="hybridMultilevel"/>
    <w:tmpl w:val="CF6CD85E"/>
    <w:lvl w:ilvl="0" w:tplc="B69AD6D2">
      <w:start w:val="1"/>
      <w:numFmt w:val="bullet"/>
      <w:lvlText w:val=""/>
      <w:lvlJc w:val="left"/>
      <w:pPr>
        <w:ind w:left="720" w:hanging="360"/>
      </w:pPr>
      <w:rPr>
        <w:rFonts w:ascii="Wingdings 3" w:hAnsi="Wingdings 3" w:hint="default"/>
        <w:color w:val="0692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6A70EE"/>
    <w:multiLevelType w:val="hybridMultilevel"/>
    <w:tmpl w:val="3D2C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A0BC1"/>
    <w:multiLevelType w:val="hybridMultilevel"/>
    <w:tmpl w:val="2E1EAAF4"/>
    <w:lvl w:ilvl="0" w:tplc="03868644">
      <w:start w:val="1"/>
      <w:numFmt w:val="bullet"/>
      <w:lvlText w:val=""/>
      <w:lvlJc w:val="left"/>
      <w:pPr>
        <w:ind w:left="720" w:hanging="360"/>
      </w:pPr>
      <w:rPr>
        <w:rFonts w:ascii="Symbol" w:hAnsi="Symbol" w:hint="default"/>
        <w:color w:val="4E50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3749B3"/>
    <w:multiLevelType w:val="hybridMultilevel"/>
    <w:tmpl w:val="35544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A51B9"/>
    <w:multiLevelType w:val="hybridMultilevel"/>
    <w:tmpl w:val="D83C3856"/>
    <w:lvl w:ilvl="0" w:tplc="B28AD26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43BF3595"/>
    <w:multiLevelType w:val="hybridMultilevel"/>
    <w:tmpl w:val="9170DBAA"/>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20" w15:restartNumberingAfterBreak="0">
    <w:nsid w:val="4A4910C7"/>
    <w:multiLevelType w:val="hybridMultilevel"/>
    <w:tmpl w:val="5E741AE8"/>
    <w:lvl w:ilvl="0" w:tplc="8C7632F2">
      <w:start w:val="1"/>
      <w:numFmt w:val="decimal"/>
      <w:lvlText w:val="%1."/>
      <w:lvlJc w:val="left"/>
      <w:pPr>
        <w:ind w:left="720" w:hanging="360"/>
      </w:pPr>
      <w:rPr>
        <w:rFonts w:hint="default"/>
        <w:color w:val="4E505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EB258E"/>
    <w:multiLevelType w:val="hybridMultilevel"/>
    <w:tmpl w:val="E6980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B144FB"/>
    <w:multiLevelType w:val="hybridMultilevel"/>
    <w:tmpl w:val="49603CEE"/>
    <w:lvl w:ilvl="0" w:tplc="B69AD6D2">
      <w:start w:val="1"/>
      <w:numFmt w:val="bullet"/>
      <w:lvlText w:val=""/>
      <w:lvlJc w:val="left"/>
      <w:pPr>
        <w:ind w:left="720" w:hanging="360"/>
      </w:pPr>
      <w:rPr>
        <w:rFonts w:ascii="Wingdings 3" w:hAnsi="Wingdings 3" w:hint="default"/>
        <w:color w:val="0692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F90C23"/>
    <w:multiLevelType w:val="hybridMultilevel"/>
    <w:tmpl w:val="083AE7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1117A"/>
    <w:multiLevelType w:val="hybridMultilevel"/>
    <w:tmpl w:val="37B8E0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94B599C"/>
    <w:multiLevelType w:val="hybridMultilevel"/>
    <w:tmpl w:val="FDB233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0561787"/>
    <w:multiLevelType w:val="hybridMultilevel"/>
    <w:tmpl w:val="8EFE1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B74155"/>
    <w:multiLevelType w:val="hybridMultilevel"/>
    <w:tmpl w:val="535C7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0129EE"/>
    <w:multiLevelType w:val="hybridMultilevel"/>
    <w:tmpl w:val="9F8C41BE"/>
    <w:lvl w:ilvl="0" w:tplc="0809000F">
      <w:start w:val="1"/>
      <w:numFmt w:val="decimal"/>
      <w:lvlText w:val="%1."/>
      <w:lvlJc w:val="left"/>
      <w:pPr>
        <w:ind w:left="720" w:hanging="360"/>
      </w:pPr>
      <w:rPr>
        <w:rFonts w:hint="default"/>
      </w:rPr>
    </w:lvl>
    <w:lvl w:ilvl="1" w:tplc="985448D6">
      <w:numFmt w:val="bullet"/>
      <w:lvlText w:val="•"/>
      <w:lvlJc w:val="left"/>
      <w:pPr>
        <w:ind w:left="1440" w:hanging="36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DE1898"/>
    <w:multiLevelType w:val="hybridMultilevel"/>
    <w:tmpl w:val="4ED6EF78"/>
    <w:lvl w:ilvl="0" w:tplc="51242A4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317CED"/>
    <w:multiLevelType w:val="hybridMultilevel"/>
    <w:tmpl w:val="C0E0F374"/>
    <w:lvl w:ilvl="0" w:tplc="AC2CAF4E">
      <w:start w:val="1"/>
      <w:numFmt w:val="bullet"/>
      <w:lvlText w:val=""/>
      <w:lvlJc w:val="left"/>
      <w:pPr>
        <w:ind w:left="720" w:hanging="360"/>
      </w:pPr>
      <w:rPr>
        <w:rFonts w:ascii="Wingdings 3" w:hAnsi="Wingdings 3" w:hint="default"/>
        <w:color w:val="0692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E03E1D"/>
    <w:multiLevelType w:val="hybridMultilevel"/>
    <w:tmpl w:val="39AA84B0"/>
    <w:lvl w:ilvl="0" w:tplc="08090001">
      <w:start w:val="1"/>
      <w:numFmt w:val="bullet"/>
      <w:lvlText w:val=""/>
      <w:lvlJc w:val="left"/>
      <w:pPr>
        <w:ind w:left="720" w:hanging="360"/>
      </w:pPr>
      <w:rPr>
        <w:rFonts w:ascii="Symbol" w:hAnsi="Symbol" w:hint="default"/>
        <w:color w:val="06926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755B2C"/>
    <w:multiLevelType w:val="hybridMultilevel"/>
    <w:tmpl w:val="FD3EF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7C6897"/>
    <w:multiLevelType w:val="hybridMultilevel"/>
    <w:tmpl w:val="7520B520"/>
    <w:lvl w:ilvl="0" w:tplc="03868644">
      <w:start w:val="1"/>
      <w:numFmt w:val="bullet"/>
      <w:lvlText w:val=""/>
      <w:lvlJc w:val="left"/>
      <w:pPr>
        <w:ind w:left="720" w:hanging="360"/>
      </w:pPr>
      <w:rPr>
        <w:rFonts w:ascii="Symbol" w:hAnsi="Symbol" w:hint="default"/>
        <w:color w:val="4E505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11"/>
  </w:num>
  <w:num w:numId="4">
    <w:abstractNumId w:val="20"/>
  </w:num>
  <w:num w:numId="5">
    <w:abstractNumId w:val="6"/>
  </w:num>
  <w:num w:numId="6">
    <w:abstractNumId w:val="14"/>
  </w:num>
  <w:num w:numId="7">
    <w:abstractNumId w:val="22"/>
  </w:num>
  <w:num w:numId="8">
    <w:abstractNumId w:val="30"/>
  </w:num>
  <w:num w:numId="9">
    <w:abstractNumId w:val="8"/>
  </w:num>
  <w:num w:numId="10">
    <w:abstractNumId w:val="21"/>
  </w:num>
  <w:num w:numId="11">
    <w:abstractNumId w:val="15"/>
  </w:num>
  <w:num w:numId="12">
    <w:abstractNumId w:val="5"/>
  </w:num>
  <w:num w:numId="13">
    <w:abstractNumId w:val="14"/>
  </w:num>
  <w:num w:numId="14">
    <w:abstractNumId w:val="25"/>
  </w:num>
  <w:num w:numId="15">
    <w:abstractNumId w:val="31"/>
  </w:num>
  <w:num w:numId="16">
    <w:abstractNumId w:val="32"/>
  </w:num>
  <w:num w:numId="17">
    <w:abstractNumId w:val="13"/>
  </w:num>
  <w:num w:numId="18">
    <w:abstractNumId w:val="16"/>
  </w:num>
  <w:num w:numId="19">
    <w:abstractNumId w:val="33"/>
  </w:num>
  <w:num w:numId="20">
    <w:abstractNumId w:val="1"/>
  </w:num>
  <w:num w:numId="21">
    <w:abstractNumId w:val="4"/>
  </w:num>
  <w:num w:numId="22">
    <w:abstractNumId w:val="7"/>
  </w:num>
  <w:num w:numId="23">
    <w:abstractNumId w:val="3"/>
  </w:num>
  <w:num w:numId="24">
    <w:abstractNumId w:val="23"/>
  </w:num>
  <w:num w:numId="25">
    <w:abstractNumId w:val="0"/>
  </w:num>
  <w:num w:numId="26">
    <w:abstractNumId w:val="18"/>
  </w:num>
  <w:num w:numId="27">
    <w:abstractNumId w:val="28"/>
  </w:num>
  <w:num w:numId="28">
    <w:abstractNumId w:val="27"/>
  </w:num>
  <w:num w:numId="29">
    <w:abstractNumId w:val="24"/>
  </w:num>
  <w:num w:numId="30">
    <w:abstractNumId w:val="19"/>
  </w:num>
  <w:num w:numId="31">
    <w:abstractNumId w:val="17"/>
  </w:num>
  <w:num w:numId="32">
    <w:abstractNumId w:val="2"/>
  </w:num>
  <w:num w:numId="33">
    <w:abstractNumId w:val="10"/>
  </w:num>
  <w:num w:numId="34">
    <w:abstractNumId w:val="26"/>
  </w:num>
  <w:num w:numId="35">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zNDE2MjI2sTQ0NjFQ0lEKTi0uzszPAykwqQUAEWWJmSwAAAA="/>
  </w:docVars>
  <w:rsids>
    <w:rsidRoot w:val="00D75E5D"/>
    <w:rsid w:val="00003363"/>
    <w:rsid w:val="00010CD6"/>
    <w:rsid w:val="000161BB"/>
    <w:rsid w:val="000166DA"/>
    <w:rsid w:val="00016F16"/>
    <w:rsid w:val="000170FE"/>
    <w:rsid w:val="00025E1B"/>
    <w:rsid w:val="00033DCF"/>
    <w:rsid w:val="00036505"/>
    <w:rsid w:val="00044C33"/>
    <w:rsid w:val="00046E18"/>
    <w:rsid w:val="000523F6"/>
    <w:rsid w:val="000526D3"/>
    <w:rsid w:val="0005358E"/>
    <w:rsid w:val="00054B74"/>
    <w:rsid w:val="00055FA1"/>
    <w:rsid w:val="0008362D"/>
    <w:rsid w:val="000A0EDC"/>
    <w:rsid w:val="000A1FA3"/>
    <w:rsid w:val="000B190D"/>
    <w:rsid w:val="000B78C6"/>
    <w:rsid w:val="000C0E61"/>
    <w:rsid w:val="000C62A9"/>
    <w:rsid w:val="000D0F5F"/>
    <w:rsid w:val="000D11DC"/>
    <w:rsid w:val="000D7CAF"/>
    <w:rsid w:val="000F3371"/>
    <w:rsid w:val="00112322"/>
    <w:rsid w:val="001130A0"/>
    <w:rsid w:val="001302E4"/>
    <w:rsid w:val="001341A1"/>
    <w:rsid w:val="001347A9"/>
    <w:rsid w:val="00143670"/>
    <w:rsid w:val="00157D8B"/>
    <w:rsid w:val="00164ED3"/>
    <w:rsid w:val="001658E4"/>
    <w:rsid w:val="001668D4"/>
    <w:rsid w:val="00167A67"/>
    <w:rsid w:val="001763AC"/>
    <w:rsid w:val="0018262E"/>
    <w:rsid w:val="001868B9"/>
    <w:rsid w:val="00197B8F"/>
    <w:rsid w:val="001A375A"/>
    <w:rsid w:val="001E04B2"/>
    <w:rsid w:val="001E1946"/>
    <w:rsid w:val="00205088"/>
    <w:rsid w:val="00206469"/>
    <w:rsid w:val="00230078"/>
    <w:rsid w:val="00235920"/>
    <w:rsid w:val="0023663E"/>
    <w:rsid w:val="00240786"/>
    <w:rsid w:val="00251AED"/>
    <w:rsid w:val="002675B2"/>
    <w:rsid w:val="0029690A"/>
    <w:rsid w:val="002A238D"/>
    <w:rsid w:val="002B0B90"/>
    <w:rsid w:val="002B708C"/>
    <w:rsid w:val="002CE2DE"/>
    <w:rsid w:val="002D2F0E"/>
    <w:rsid w:val="00301DDD"/>
    <w:rsid w:val="0030652D"/>
    <w:rsid w:val="00310237"/>
    <w:rsid w:val="00314948"/>
    <w:rsid w:val="0032118B"/>
    <w:rsid w:val="00323FBC"/>
    <w:rsid w:val="00327C26"/>
    <w:rsid w:val="00327C31"/>
    <w:rsid w:val="0035717D"/>
    <w:rsid w:val="00360637"/>
    <w:rsid w:val="00360D1A"/>
    <w:rsid w:val="003A0394"/>
    <w:rsid w:val="003A7B14"/>
    <w:rsid w:val="003B5359"/>
    <w:rsid w:val="003B7FE5"/>
    <w:rsid w:val="003C0950"/>
    <w:rsid w:val="003C71D9"/>
    <w:rsid w:val="003D1462"/>
    <w:rsid w:val="003D2462"/>
    <w:rsid w:val="003D3457"/>
    <w:rsid w:val="003D75D7"/>
    <w:rsid w:val="003E02BB"/>
    <w:rsid w:val="003E2DE0"/>
    <w:rsid w:val="003E66EA"/>
    <w:rsid w:val="003E7442"/>
    <w:rsid w:val="003F2142"/>
    <w:rsid w:val="003F41B5"/>
    <w:rsid w:val="004028F0"/>
    <w:rsid w:val="00412078"/>
    <w:rsid w:val="00416F93"/>
    <w:rsid w:val="0042051A"/>
    <w:rsid w:val="00424F30"/>
    <w:rsid w:val="00430868"/>
    <w:rsid w:val="004324CE"/>
    <w:rsid w:val="004337AD"/>
    <w:rsid w:val="00442C03"/>
    <w:rsid w:val="004528FF"/>
    <w:rsid w:val="00460275"/>
    <w:rsid w:val="00462B2E"/>
    <w:rsid w:val="00462C8A"/>
    <w:rsid w:val="004827D8"/>
    <w:rsid w:val="00482D7A"/>
    <w:rsid w:val="004969F0"/>
    <w:rsid w:val="004A1040"/>
    <w:rsid w:val="004C683E"/>
    <w:rsid w:val="004D7C72"/>
    <w:rsid w:val="004E3872"/>
    <w:rsid w:val="004E443E"/>
    <w:rsid w:val="004F4568"/>
    <w:rsid w:val="00505725"/>
    <w:rsid w:val="0051220C"/>
    <w:rsid w:val="00530372"/>
    <w:rsid w:val="00530DE0"/>
    <w:rsid w:val="00556A74"/>
    <w:rsid w:val="0056783F"/>
    <w:rsid w:val="005840B7"/>
    <w:rsid w:val="0059179E"/>
    <w:rsid w:val="005A2030"/>
    <w:rsid w:val="005B6ADC"/>
    <w:rsid w:val="005C2765"/>
    <w:rsid w:val="005C3886"/>
    <w:rsid w:val="005D1882"/>
    <w:rsid w:val="005D232C"/>
    <w:rsid w:val="005D50C4"/>
    <w:rsid w:val="005D71A7"/>
    <w:rsid w:val="006015E6"/>
    <w:rsid w:val="00614DF8"/>
    <w:rsid w:val="00615163"/>
    <w:rsid w:val="00663070"/>
    <w:rsid w:val="0066390E"/>
    <w:rsid w:val="00673848"/>
    <w:rsid w:val="006816EF"/>
    <w:rsid w:val="00687165"/>
    <w:rsid w:val="006930CE"/>
    <w:rsid w:val="00695D04"/>
    <w:rsid w:val="00696D78"/>
    <w:rsid w:val="006A03A6"/>
    <w:rsid w:val="006B1285"/>
    <w:rsid w:val="006B759B"/>
    <w:rsid w:val="006C1DC3"/>
    <w:rsid w:val="006C3862"/>
    <w:rsid w:val="006C495C"/>
    <w:rsid w:val="006D14AB"/>
    <w:rsid w:val="006D79FA"/>
    <w:rsid w:val="006D7E18"/>
    <w:rsid w:val="006E27D1"/>
    <w:rsid w:val="006E6C74"/>
    <w:rsid w:val="006F3916"/>
    <w:rsid w:val="006F45BD"/>
    <w:rsid w:val="006F59CD"/>
    <w:rsid w:val="0070033C"/>
    <w:rsid w:val="0070682A"/>
    <w:rsid w:val="00707248"/>
    <w:rsid w:val="00707FB7"/>
    <w:rsid w:val="00715414"/>
    <w:rsid w:val="007476E6"/>
    <w:rsid w:val="00752915"/>
    <w:rsid w:val="0076018C"/>
    <w:rsid w:val="00763081"/>
    <w:rsid w:val="00764FDC"/>
    <w:rsid w:val="0077200B"/>
    <w:rsid w:val="00776858"/>
    <w:rsid w:val="00782263"/>
    <w:rsid w:val="00786CB0"/>
    <w:rsid w:val="0079460A"/>
    <w:rsid w:val="007A5D0A"/>
    <w:rsid w:val="007C4447"/>
    <w:rsid w:val="007C67A2"/>
    <w:rsid w:val="007D4D9C"/>
    <w:rsid w:val="007E2230"/>
    <w:rsid w:val="007F63EB"/>
    <w:rsid w:val="007F75C3"/>
    <w:rsid w:val="00807037"/>
    <w:rsid w:val="00812EFE"/>
    <w:rsid w:val="0081505E"/>
    <w:rsid w:val="008150A3"/>
    <w:rsid w:val="00816494"/>
    <w:rsid w:val="00824905"/>
    <w:rsid w:val="00830AA3"/>
    <w:rsid w:val="00831D03"/>
    <w:rsid w:val="00834567"/>
    <w:rsid w:val="008345D8"/>
    <w:rsid w:val="00844C62"/>
    <w:rsid w:val="00846D15"/>
    <w:rsid w:val="008507E0"/>
    <w:rsid w:val="008509D8"/>
    <w:rsid w:val="00850F34"/>
    <w:rsid w:val="00852387"/>
    <w:rsid w:val="008568E3"/>
    <w:rsid w:val="00861FD6"/>
    <w:rsid w:val="008645FE"/>
    <w:rsid w:val="00871250"/>
    <w:rsid w:val="00871799"/>
    <w:rsid w:val="008728EB"/>
    <w:rsid w:val="00876635"/>
    <w:rsid w:val="008776F2"/>
    <w:rsid w:val="00880E7C"/>
    <w:rsid w:val="008A5FD9"/>
    <w:rsid w:val="008B03E4"/>
    <w:rsid w:val="008B78E0"/>
    <w:rsid w:val="008C34C6"/>
    <w:rsid w:val="008D1885"/>
    <w:rsid w:val="008D1E25"/>
    <w:rsid w:val="008E32C0"/>
    <w:rsid w:val="008E36C6"/>
    <w:rsid w:val="008E497E"/>
    <w:rsid w:val="008E4DF6"/>
    <w:rsid w:val="00903779"/>
    <w:rsid w:val="00921FE8"/>
    <w:rsid w:val="00923ECD"/>
    <w:rsid w:val="009319DB"/>
    <w:rsid w:val="00936EDA"/>
    <w:rsid w:val="009441D6"/>
    <w:rsid w:val="0094712A"/>
    <w:rsid w:val="00960FD7"/>
    <w:rsid w:val="0096565F"/>
    <w:rsid w:val="00965E90"/>
    <w:rsid w:val="00981635"/>
    <w:rsid w:val="00990D4D"/>
    <w:rsid w:val="009935EA"/>
    <w:rsid w:val="00997AC9"/>
    <w:rsid w:val="009A5952"/>
    <w:rsid w:val="009A7CEF"/>
    <w:rsid w:val="009C2255"/>
    <w:rsid w:val="009D66B3"/>
    <w:rsid w:val="009E00FE"/>
    <w:rsid w:val="009E1E8F"/>
    <w:rsid w:val="009E48EE"/>
    <w:rsid w:val="009F693C"/>
    <w:rsid w:val="009F774B"/>
    <w:rsid w:val="00A01462"/>
    <w:rsid w:val="00A01A8D"/>
    <w:rsid w:val="00A06E31"/>
    <w:rsid w:val="00A109AB"/>
    <w:rsid w:val="00A129D7"/>
    <w:rsid w:val="00A165B5"/>
    <w:rsid w:val="00A17F46"/>
    <w:rsid w:val="00A26FDB"/>
    <w:rsid w:val="00A31652"/>
    <w:rsid w:val="00A320F2"/>
    <w:rsid w:val="00A36E27"/>
    <w:rsid w:val="00A373A1"/>
    <w:rsid w:val="00A4400B"/>
    <w:rsid w:val="00A44674"/>
    <w:rsid w:val="00A45653"/>
    <w:rsid w:val="00A57949"/>
    <w:rsid w:val="00A5DDAB"/>
    <w:rsid w:val="00A603D9"/>
    <w:rsid w:val="00A61783"/>
    <w:rsid w:val="00A748D0"/>
    <w:rsid w:val="00A81CB7"/>
    <w:rsid w:val="00A90BDC"/>
    <w:rsid w:val="00A90ECC"/>
    <w:rsid w:val="00A95E3F"/>
    <w:rsid w:val="00A95F02"/>
    <w:rsid w:val="00AA2875"/>
    <w:rsid w:val="00AB1959"/>
    <w:rsid w:val="00AB77FD"/>
    <w:rsid w:val="00AD0CE0"/>
    <w:rsid w:val="00AE228C"/>
    <w:rsid w:val="00AE2A7E"/>
    <w:rsid w:val="00AF76A0"/>
    <w:rsid w:val="00B059B7"/>
    <w:rsid w:val="00B05B1A"/>
    <w:rsid w:val="00B129A2"/>
    <w:rsid w:val="00B15B0D"/>
    <w:rsid w:val="00B27238"/>
    <w:rsid w:val="00B433BB"/>
    <w:rsid w:val="00B5417E"/>
    <w:rsid w:val="00B56A92"/>
    <w:rsid w:val="00B60091"/>
    <w:rsid w:val="00B665E7"/>
    <w:rsid w:val="00B73BEE"/>
    <w:rsid w:val="00B7531F"/>
    <w:rsid w:val="00BA287E"/>
    <w:rsid w:val="00BA56EE"/>
    <w:rsid w:val="00BB0989"/>
    <w:rsid w:val="00BB379D"/>
    <w:rsid w:val="00BC1DF6"/>
    <w:rsid w:val="00BC545D"/>
    <w:rsid w:val="00BD1C67"/>
    <w:rsid w:val="00BD4CCF"/>
    <w:rsid w:val="00BD51A1"/>
    <w:rsid w:val="00BD7E2A"/>
    <w:rsid w:val="00BE3ADE"/>
    <w:rsid w:val="00BF5741"/>
    <w:rsid w:val="00C075EB"/>
    <w:rsid w:val="00C07D5F"/>
    <w:rsid w:val="00C10A47"/>
    <w:rsid w:val="00C16123"/>
    <w:rsid w:val="00C163E6"/>
    <w:rsid w:val="00C2237C"/>
    <w:rsid w:val="00C27997"/>
    <w:rsid w:val="00C33211"/>
    <w:rsid w:val="00C4380B"/>
    <w:rsid w:val="00C50290"/>
    <w:rsid w:val="00C51077"/>
    <w:rsid w:val="00C5548B"/>
    <w:rsid w:val="00C55DA3"/>
    <w:rsid w:val="00C61970"/>
    <w:rsid w:val="00C63C71"/>
    <w:rsid w:val="00C66D52"/>
    <w:rsid w:val="00C80FC9"/>
    <w:rsid w:val="00CD4C39"/>
    <w:rsid w:val="00CD6D70"/>
    <w:rsid w:val="00CE08E0"/>
    <w:rsid w:val="00CE15B3"/>
    <w:rsid w:val="00CE2DFB"/>
    <w:rsid w:val="00CE4565"/>
    <w:rsid w:val="00CE4F6F"/>
    <w:rsid w:val="00CF083A"/>
    <w:rsid w:val="00D02F24"/>
    <w:rsid w:val="00D0765C"/>
    <w:rsid w:val="00D12069"/>
    <w:rsid w:val="00D12DCC"/>
    <w:rsid w:val="00D18F80"/>
    <w:rsid w:val="00D235C9"/>
    <w:rsid w:val="00D25C25"/>
    <w:rsid w:val="00D3242C"/>
    <w:rsid w:val="00D36409"/>
    <w:rsid w:val="00D421D5"/>
    <w:rsid w:val="00D4259A"/>
    <w:rsid w:val="00D55063"/>
    <w:rsid w:val="00D60134"/>
    <w:rsid w:val="00D666B1"/>
    <w:rsid w:val="00D75E5D"/>
    <w:rsid w:val="00D77868"/>
    <w:rsid w:val="00D9157A"/>
    <w:rsid w:val="00DB75A0"/>
    <w:rsid w:val="00DD7EF0"/>
    <w:rsid w:val="00E03C31"/>
    <w:rsid w:val="00E0448E"/>
    <w:rsid w:val="00E05661"/>
    <w:rsid w:val="00E05741"/>
    <w:rsid w:val="00E125FE"/>
    <w:rsid w:val="00E14C63"/>
    <w:rsid w:val="00E15B6A"/>
    <w:rsid w:val="00E1603A"/>
    <w:rsid w:val="00E17F21"/>
    <w:rsid w:val="00E31124"/>
    <w:rsid w:val="00E362FF"/>
    <w:rsid w:val="00E470B0"/>
    <w:rsid w:val="00E50700"/>
    <w:rsid w:val="00E512BE"/>
    <w:rsid w:val="00E55C32"/>
    <w:rsid w:val="00E67B88"/>
    <w:rsid w:val="00E70A3F"/>
    <w:rsid w:val="00E85B27"/>
    <w:rsid w:val="00E9715A"/>
    <w:rsid w:val="00E97B62"/>
    <w:rsid w:val="00EB3419"/>
    <w:rsid w:val="00EC35D6"/>
    <w:rsid w:val="00EC6FDD"/>
    <w:rsid w:val="00EE46A4"/>
    <w:rsid w:val="00EE6A0A"/>
    <w:rsid w:val="00EF0635"/>
    <w:rsid w:val="00EF49EB"/>
    <w:rsid w:val="00EF5A8B"/>
    <w:rsid w:val="00F00D77"/>
    <w:rsid w:val="00F0226C"/>
    <w:rsid w:val="00F02E82"/>
    <w:rsid w:val="00F047FA"/>
    <w:rsid w:val="00F17F15"/>
    <w:rsid w:val="00F273A2"/>
    <w:rsid w:val="00F338AE"/>
    <w:rsid w:val="00F33B70"/>
    <w:rsid w:val="00F36010"/>
    <w:rsid w:val="00F516F5"/>
    <w:rsid w:val="00F52167"/>
    <w:rsid w:val="00F5287F"/>
    <w:rsid w:val="00F6148D"/>
    <w:rsid w:val="00F65A10"/>
    <w:rsid w:val="00F67B7E"/>
    <w:rsid w:val="00F84146"/>
    <w:rsid w:val="00F93EA2"/>
    <w:rsid w:val="00F95102"/>
    <w:rsid w:val="00F95863"/>
    <w:rsid w:val="00F95B10"/>
    <w:rsid w:val="00F96253"/>
    <w:rsid w:val="00FA263C"/>
    <w:rsid w:val="00FA2F94"/>
    <w:rsid w:val="00FA3F27"/>
    <w:rsid w:val="00FA4350"/>
    <w:rsid w:val="00FA7326"/>
    <w:rsid w:val="00FB335B"/>
    <w:rsid w:val="00FB3F6B"/>
    <w:rsid w:val="00FC2715"/>
    <w:rsid w:val="00FC4E51"/>
    <w:rsid w:val="00FD3E48"/>
    <w:rsid w:val="00FD508A"/>
    <w:rsid w:val="00FD59AB"/>
    <w:rsid w:val="00FE0A9E"/>
    <w:rsid w:val="00FF46B7"/>
    <w:rsid w:val="01053640"/>
    <w:rsid w:val="010C26AC"/>
    <w:rsid w:val="01219ED6"/>
    <w:rsid w:val="013FD198"/>
    <w:rsid w:val="014948E1"/>
    <w:rsid w:val="01891348"/>
    <w:rsid w:val="019663FD"/>
    <w:rsid w:val="01D60AF8"/>
    <w:rsid w:val="022041D3"/>
    <w:rsid w:val="0253B12E"/>
    <w:rsid w:val="0268206C"/>
    <w:rsid w:val="02CC99A7"/>
    <w:rsid w:val="030BFC96"/>
    <w:rsid w:val="031738B8"/>
    <w:rsid w:val="0322C640"/>
    <w:rsid w:val="0347C7D7"/>
    <w:rsid w:val="03556E4B"/>
    <w:rsid w:val="03C9F368"/>
    <w:rsid w:val="03D4090D"/>
    <w:rsid w:val="03E60232"/>
    <w:rsid w:val="04077386"/>
    <w:rsid w:val="040DD179"/>
    <w:rsid w:val="0413F9E6"/>
    <w:rsid w:val="0414BBC6"/>
    <w:rsid w:val="04299101"/>
    <w:rsid w:val="042AF800"/>
    <w:rsid w:val="0454D98E"/>
    <w:rsid w:val="04601B4B"/>
    <w:rsid w:val="046B8F59"/>
    <w:rsid w:val="04A87AAE"/>
    <w:rsid w:val="04BD4D37"/>
    <w:rsid w:val="04BDC82F"/>
    <w:rsid w:val="04CC3DE2"/>
    <w:rsid w:val="04DB8232"/>
    <w:rsid w:val="04DE9291"/>
    <w:rsid w:val="050A6845"/>
    <w:rsid w:val="050DCCF9"/>
    <w:rsid w:val="051B85DC"/>
    <w:rsid w:val="051BBAA7"/>
    <w:rsid w:val="0555CB51"/>
    <w:rsid w:val="0560DF0C"/>
    <w:rsid w:val="0572DF04"/>
    <w:rsid w:val="0578E28C"/>
    <w:rsid w:val="058D1384"/>
    <w:rsid w:val="059EAEC6"/>
    <w:rsid w:val="05A0ABC1"/>
    <w:rsid w:val="05B72EA0"/>
    <w:rsid w:val="05CAC636"/>
    <w:rsid w:val="05CAF521"/>
    <w:rsid w:val="05F51FEB"/>
    <w:rsid w:val="05FD6FFD"/>
    <w:rsid w:val="0613B6CF"/>
    <w:rsid w:val="0621BD9F"/>
    <w:rsid w:val="0629C90D"/>
    <w:rsid w:val="06651405"/>
    <w:rsid w:val="066690FC"/>
    <w:rsid w:val="068B5932"/>
    <w:rsid w:val="06B4C3BF"/>
    <w:rsid w:val="06BE6084"/>
    <w:rsid w:val="06C6E665"/>
    <w:rsid w:val="0716B9A1"/>
    <w:rsid w:val="071B6473"/>
    <w:rsid w:val="0770EFD6"/>
    <w:rsid w:val="07717F31"/>
    <w:rsid w:val="078991DF"/>
    <w:rsid w:val="07C08040"/>
    <w:rsid w:val="07EFE1BF"/>
    <w:rsid w:val="080C9CAC"/>
    <w:rsid w:val="081BC38A"/>
    <w:rsid w:val="083587E0"/>
    <w:rsid w:val="085CD60E"/>
    <w:rsid w:val="086B0E94"/>
    <w:rsid w:val="08814636"/>
    <w:rsid w:val="088DE8A6"/>
    <w:rsid w:val="08916C98"/>
    <w:rsid w:val="08A52B5A"/>
    <w:rsid w:val="08CE3686"/>
    <w:rsid w:val="08E1B70C"/>
    <w:rsid w:val="08F6C020"/>
    <w:rsid w:val="09342355"/>
    <w:rsid w:val="0934B951"/>
    <w:rsid w:val="096A688B"/>
    <w:rsid w:val="09704B00"/>
    <w:rsid w:val="097CFDCA"/>
    <w:rsid w:val="0987E65F"/>
    <w:rsid w:val="09952DDC"/>
    <w:rsid w:val="09D551C6"/>
    <w:rsid w:val="0A1470DB"/>
    <w:rsid w:val="0A1AA3A6"/>
    <w:rsid w:val="0A22E4F3"/>
    <w:rsid w:val="0A254C66"/>
    <w:rsid w:val="0A3046C5"/>
    <w:rsid w:val="0A418523"/>
    <w:rsid w:val="0A4E79AA"/>
    <w:rsid w:val="0A6AA158"/>
    <w:rsid w:val="0A6BD579"/>
    <w:rsid w:val="0A7D5023"/>
    <w:rsid w:val="0ADF3F84"/>
    <w:rsid w:val="0AFAF956"/>
    <w:rsid w:val="0B0B6E17"/>
    <w:rsid w:val="0B0FA640"/>
    <w:rsid w:val="0B182342"/>
    <w:rsid w:val="0B320927"/>
    <w:rsid w:val="0B61212D"/>
    <w:rsid w:val="0B662CC6"/>
    <w:rsid w:val="0B7157AF"/>
    <w:rsid w:val="0B7C5C5A"/>
    <w:rsid w:val="0B8099EF"/>
    <w:rsid w:val="0B817076"/>
    <w:rsid w:val="0B84F6CB"/>
    <w:rsid w:val="0BA95B06"/>
    <w:rsid w:val="0BD110B6"/>
    <w:rsid w:val="0BDCC2E8"/>
    <w:rsid w:val="0BE42D8A"/>
    <w:rsid w:val="0BEEEBC1"/>
    <w:rsid w:val="0BF19570"/>
    <w:rsid w:val="0BFD4FC5"/>
    <w:rsid w:val="0C0EFDB3"/>
    <w:rsid w:val="0C111BB3"/>
    <w:rsid w:val="0C2F8ABA"/>
    <w:rsid w:val="0C3FBEF3"/>
    <w:rsid w:val="0C4EDA33"/>
    <w:rsid w:val="0C5ADC78"/>
    <w:rsid w:val="0C8ABDA0"/>
    <w:rsid w:val="0C961E59"/>
    <w:rsid w:val="0CB53243"/>
    <w:rsid w:val="0CF3F0A5"/>
    <w:rsid w:val="0D094891"/>
    <w:rsid w:val="0D28B200"/>
    <w:rsid w:val="0D2C6517"/>
    <w:rsid w:val="0D35E4A4"/>
    <w:rsid w:val="0D369C05"/>
    <w:rsid w:val="0D384424"/>
    <w:rsid w:val="0D4BD9F3"/>
    <w:rsid w:val="0D6563C9"/>
    <w:rsid w:val="0D66DA1B"/>
    <w:rsid w:val="0D7FEAD1"/>
    <w:rsid w:val="0D817FE4"/>
    <w:rsid w:val="0DBD5491"/>
    <w:rsid w:val="0DD31D7D"/>
    <w:rsid w:val="0DF8AA5F"/>
    <w:rsid w:val="0E0031D0"/>
    <w:rsid w:val="0E14ACA1"/>
    <w:rsid w:val="0E3ED689"/>
    <w:rsid w:val="0E4D2E2F"/>
    <w:rsid w:val="0E8969D1"/>
    <w:rsid w:val="0EA88245"/>
    <w:rsid w:val="0EBF94B0"/>
    <w:rsid w:val="0ED1457B"/>
    <w:rsid w:val="0EFF3B34"/>
    <w:rsid w:val="0F0AFD2F"/>
    <w:rsid w:val="0F16CEC4"/>
    <w:rsid w:val="0F2783FB"/>
    <w:rsid w:val="0F2CF539"/>
    <w:rsid w:val="0F474FCD"/>
    <w:rsid w:val="0F680532"/>
    <w:rsid w:val="0F75ADA0"/>
    <w:rsid w:val="0F890643"/>
    <w:rsid w:val="0F945068"/>
    <w:rsid w:val="0F9E80A1"/>
    <w:rsid w:val="0FC5750A"/>
    <w:rsid w:val="0FD96A76"/>
    <w:rsid w:val="1013B99F"/>
    <w:rsid w:val="10406E3E"/>
    <w:rsid w:val="1041302B"/>
    <w:rsid w:val="105DB810"/>
    <w:rsid w:val="107C3A45"/>
    <w:rsid w:val="10AFFA37"/>
    <w:rsid w:val="10CBBF82"/>
    <w:rsid w:val="10E837C8"/>
    <w:rsid w:val="10FCC9D6"/>
    <w:rsid w:val="11570C9E"/>
    <w:rsid w:val="1171621B"/>
    <w:rsid w:val="117318D3"/>
    <w:rsid w:val="117E4807"/>
    <w:rsid w:val="119B1CC4"/>
    <w:rsid w:val="11AA0BCA"/>
    <w:rsid w:val="11B33CB7"/>
    <w:rsid w:val="11C7CEEC"/>
    <w:rsid w:val="11D067A7"/>
    <w:rsid w:val="11EDB6C6"/>
    <w:rsid w:val="11FC436F"/>
    <w:rsid w:val="1201F5C3"/>
    <w:rsid w:val="12407D7A"/>
    <w:rsid w:val="1248E4F0"/>
    <w:rsid w:val="124D581E"/>
    <w:rsid w:val="124FDD2D"/>
    <w:rsid w:val="1250A449"/>
    <w:rsid w:val="127A98F7"/>
    <w:rsid w:val="127CE595"/>
    <w:rsid w:val="128C4121"/>
    <w:rsid w:val="128C9046"/>
    <w:rsid w:val="129E1479"/>
    <w:rsid w:val="12D15304"/>
    <w:rsid w:val="12E727DD"/>
    <w:rsid w:val="13004EAA"/>
    <w:rsid w:val="1302D81F"/>
    <w:rsid w:val="1319C5E1"/>
    <w:rsid w:val="1333C7EC"/>
    <w:rsid w:val="137AED75"/>
    <w:rsid w:val="1392EAFF"/>
    <w:rsid w:val="1395DD5A"/>
    <w:rsid w:val="13BCF62E"/>
    <w:rsid w:val="13D2436F"/>
    <w:rsid w:val="13D562B8"/>
    <w:rsid w:val="13FA5E7B"/>
    <w:rsid w:val="143DEC06"/>
    <w:rsid w:val="145BB1E6"/>
    <w:rsid w:val="145DFAA5"/>
    <w:rsid w:val="14841722"/>
    <w:rsid w:val="14970821"/>
    <w:rsid w:val="14B64404"/>
    <w:rsid w:val="14BB5B35"/>
    <w:rsid w:val="14D0C895"/>
    <w:rsid w:val="150348B9"/>
    <w:rsid w:val="151F117F"/>
    <w:rsid w:val="15497255"/>
    <w:rsid w:val="15661157"/>
    <w:rsid w:val="156F9160"/>
    <w:rsid w:val="157999DD"/>
    <w:rsid w:val="159BC7B6"/>
    <w:rsid w:val="15A6C8FD"/>
    <w:rsid w:val="15B509E3"/>
    <w:rsid w:val="15F7454C"/>
    <w:rsid w:val="160ABC8C"/>
    <w:rsid w:val="1616FB8B"/>
    <w:rsid w:val="161B583A"/>
    <w:rsid w:val="16257247"/>
    <w:rsid w:val="16449BF6"/>
    <w:rsid w:val="164CC283"/>
    <w:rsid w:val="1659E8F6"/>
    <w:rsid w:val="1665A1A1"/>
    <w:rsid w:val="16729071"/>
    <w:rsid w:val="167B13C7"/>
    <w:rsid w:val="16850CC7"/>
    <w:rsid w:val="168E9FD9"/>
    <w:rsid w:val="16ABF9F5"/>
    <w:rsid w:val="16D57AB3"/>
    <w:rsid w:val="170BEB91"/>
    <w:rsid w:val="171B2C9E"/>
    <w:rsid w:val="175290BF"/>
    <w:rsid w:val="177E3460"/>
    <w:rsid w:val="17960F2D"/>
    <w:rsid w:val="17C070EA"/>
    <w:rsid w:val="17DA574D"/>
    <w:rsid w:val="17E13C86"/>
    <w:rsid w:val="17E2701A"/>
    <w:rsid w:val="17E4413F"/>
    <w:rsid w:val="180162F1"/>
    <w:rsid w:val="1825EC20"/>
    <w:rsid w:val="1828C429"/>
    <w:rsid w:val="183A1D13"/>
    <w:rsid w:val="18491F7E"/>
    <w:rsid w:val="1860161C"/>
    <w:rsid w:val="1897E697"/>
    <w:rsid w:val="18A041B6"/>
    <w:rsid w:val="18ACA308"/>
    <w:rsid w:val="18D91384"/>
    <w:rsid w:val="18DA3127"/>
    <w:rsid w:val="18DE46BB"/>
    <w:rsid w:val="18F73F10"/>
    <w:rsid w:val="190A5219"/>
    <w:rsid w:val="191B621D"/>
    <w:rsid w:val="1966526A"/>
    <w:rsid w:val="196ADF68"/>
    <w:rsid w:val="19819C2E"/>
    <w:rsid w:val="19A50DB7"/>
    <w:rsid w:val="19C3B67E"/>
    <w:rsid w:val="19CDAAF7"/>
    <w:rsid w:val="1A0283C9"/>
    <w:rsid w:val="1A31E01E"/>
    <w:rsid w:val="1A3E79E5"/>
    <w:rsid w:val="1A4060BF"/>
    <w:rsid w:val="1A86E96E"/>
    <w:rsid w:val="1AB1F30F"/>
    <w:rsid w:val="1ACC8BBA"/>
    <w:rsid w:val="1AEB382A"/>
    <w:rsid w:val="1B1155B4"/>
    <w:rsid w:val="1B15FCF3"/>
    <w:rsid w:val="1B38AA14"/>
    <w:rsid w:val="1B80A741"/>
    <w:rsid w:val="1B86CE94"/>
    <w:rsid w:val="1BA9BC81"/>
    <w:rsid w:val="1BB89DAE"/>
    <w:rsid w:val="1BD5D16E"/>
    <w:rsid w:val="1BD73056"/>
    <w:rsid w:val="1BD82329"/>
    <w:rsid w:val="1BE19A3C"/>
    <w:rsid w:val="1C1AE3A8"/>
    <w:rsid w:val="1C240A5B"/>
    <w:rsid w:val="1C34C207"/>
    <w:rsid w:val="1C50B3A1"/>
    <w:rsid w:val="1C58C59A"/>
    <w:rsid w:val="1C62531F"/>
    <w:rsid w:val="1C8A9E76"/>
    <w:rsid w:val="1C8C1A1F"/>
    <w:rsid w:val="1CB2269D"/>
    <w:rsid w:val="1CBA9430"/>
    <w:rsid w:val="1CD14A0A"/>
    <w:rsid w:val="1D0EF655"/>
    <w:rsid w:val="1D0FF329"/>
    <w:rsid w:val="1D35535C"/>
    <w:rsid w:val="1D38A747"/>
    <w:rsid w:val="1D5850D1"/>
    <w:rsid w:val="1D5F4E2D"/>
    <w:rsid w:val="1D88DF80"/>
    <w:rsid w:val="1DA579D4"/>
    <w:rsid w:val="1DA9A3B6"/>
    <w:rsid w:val="1DAC31EB"/>
    <w:rsid w:val="1DAEC6DA"/>
    <w:rsid w:val="1DBC9288"/>
    <w:rsid w:val="1DC6DF51"/>
    <w:rsid w:val="1E064722"/>
    <w:rsid w:val="1E0B813A"/>
    <w:rsid w:val="1E24A9E8"/>
    <w:rsid w:val="1E4AD092"/>
    <w:rsid w:val="1E53C1E3"/>
    <w:rsid w:val="1E7722A5"/>
    <w:rsid w:val="1E8C10F5"/>
    <w:rsid w:val="1E8D9A2D"/>
    <w:rsid w:val="1ECFC3A1"/>
    <w:rsid w:val="1EDCE6A8"/>
    <w:rsid w:val="1EE95BED"/>
    <w:rsid w:val="1EF97AFD"/>
    <w:rsid w:val="1F051C42"/>
    <w:rsid w:val="1F078A3A"/>
    <w:rsid w:val="1F1008A4"/>
    <w:rsid w:val="1F102A9B"/>
    <w:rsid w:val="1F193F7E"/>
    <w:rsid w:val="1F24DC34"/>
    <w:rsid w:val="1F7B1165"/>
    <w:rsid w:val="1F7F3369"/>
    <w:rsid w:val="1F8FBD09"/>
    <w:rsid w:val="1FA2A939"/>
    <w:rsid w:val="1FA38A2E"/>
    <w:rsid w:val="1FA8AEB2"/>
    <w:rsid w:val="1FC1B834"/>
    <w:rsid w:val="200F5CD4"/>
    <w:rsid w:val="205B1463"/>
    <w:rsid w:val="207CDE46"/>
    <w:rsid w:val="20812217"/>
    <w:rsid w:val="208C8C44"/>
    <w:rsid w:val="209039E5"/>
    <w:rsid w:val="20ADA0D4"/>
    <w:rsid w:val="20B335D5"/>
    <w:rsid w:val="20B3E93F"/>
    <w:rsid w:val="20BD5DEF"/>
    <w:rsid w:val="2108C2E6"/>
    <w:rsid w:val="211544B7"/>
    <w:rsid w:val="21170480"/>
    <w:rsid w:val="2122F6B1"/>
    <w:rsid w:val="2135312A"/>
    <w:rsid w:val="213D3E3C"/>
    <w:rsid w:val="2156E620"/>
    <w:rsid w:val="215C43EC"/>
    <w:rsid w:val="215CD204"/>
    <w:rsid w:val="219169E1"/>
    <w:rsid w:val="21D4B040"/>
    <w:rsid w:val="21DD5D8B"/>
    <w:rsid w:val="21E2CB24"/>
    <w:rsid w:val="21E6A767"/>
    <w:rsid w:val="21FC98AB"/>
    <w:rsid w:val="21FF6CB8"/>
    <w:rsid w:val="221AB01A"/>
    <w:rsid w:val="22224335"/>
    <w:rsid w:val="2231CC6D"/>
    <w:rsid w:val="224575B8"/>
    <w:rsid w:val="2252FCAB"/>
    <w:rsid w:val="225778B7"/>
    <w:rsid w:val="227E59E4"/>
    <w:rsid w:val="22C65791"/>
    <w:rsid w:val="22CD7315"/>
    <w:rsid w:val="22CFBD5A"/>
    <w:rsid w:val="2318B1F6"/>
    <w:rsid w:val="2322863A"/>
    <w:rsid w:val="233382B1"/>
    <w:rsid w:val="23347FAE"/>
    <w:rsid w:val="2334F827"/>
    <w:rsid w:val="236C4006"/>
    <w:rsid w:val="2378CE12"/>
    <w:rsid w:val="237C9B86"/>
    <w:rsid w:val="23B489BE"/>
    <w:rsid w:val="23BE5BB1"/>
    <w:rsid w:val="23BECD89"/>
    <w:rsid w:val="23DF06F7"/>
    <w:rsid w:val="23F4F47E"/>
    <w:rsid w:val="240099EF"/>
    <w:rsid w:val="2408DE0F"/>
    <w:rsid w:val="24264E80"/>
    <w:rsid w:val="247A1C04"/>
    <w:rsid w:val="247E952A"/>
    <w:rsid w:val="24A5E041"/>
    <w:rsid w:val="24BEB46B"/>
    <w:rsid w:val="24CAC2F7"/>
    <w:rsid w:val="24D05D61"/>
    <w:rsid w:val="24FF4057"/>
    <w:rsid w:val="252FD0E5"/>
    <w:rsid w:val="2536C4DB"/>
    <w:rsid w:val="253F6CBB"/>
    <w:rsid w:val="25427B22"/>
    <w:rsid w:val="255D488D"/>
    <w:rsid w:val="255E40D7"/>
    <w:rsid w:val="257BF6BD"/>
    <w:rsid w:val="259F3BF9"/>
    <w:rsid w:val="25A29771"/>
    <w:rsid w:val="25B667EE"/>
    <w:rsid w:val="25B910F7"/>
    <w:rsid w:val="25C47E80"/>
    <w:rsid w:val="25C5E91D"/>
    <w:rsid w:val="25E704FF"/>
    <w:rsid w:val="25FA4E9A"/>
    <w:rsid w:val="2603A59A"/>
    <w:rsid w:val="26294896"/>
    <w:rsid w:val="26305B27"/>
    <w:rsid w:val="263B24DD"/>
    <w:rsid w:val="268077F6"/>
    <w:rsid w:val="268AA5A2"/>
    <w:rsid w:val="2691F952"/>
    <w:rsid w:val="269264D0"/>
    <w:rsid w:val="26975885"/>
    <w:rsid w:val="26BCA229"/>
    <w:rsid w:val="26C31C7F"/>
    <w:rsid w:val="26D0B72E"/>
    <w:rsid w:val="2777AD11"/>
    <w:rsid w:val="27AEAFFE"/>
    <w:rsid w:val="27C414B1"/>
    <w:rsid w:val="27F22F5D"/>
    <w:rsid w:val="280BA97C"/>
    <w:rsid w:val="280BCD3D"/>
    <w:rsid w:val="280E6267"/>
    <w:rsid w:val="28194DAB"/>
    <w:rsid w:val="281E9418"/>
    <w:rsid w:val="283D3E22"/>
    <w:rsid w:val="285AAFE9"/>
    <w:rsid w:val="28639573"/>
    <w:rsid w:val="28644496"/>
    <w:rsid w:val="286FE904"/>
    <w:rsid w:val="288926AD"/>
    <w:rsid w:val="28C453F6"/>
    <w:rsid w:val="28D42FBD"/>
    <w:rsid w:val="28D51209"/>
    <w:rsid w:val="28F3B238"/>
    <w:rsid w:val="291D626D"/>
    <w:rsid w:val="294647AB"/>
    <w:rsid w:val="295FE403"/>
    <w:rsid w:val="296404EF"/>
    <w:rsid w:val="29674EA2"/>
    <w:rsid w:val="29B641CE"/>
    <w:rsid w:val="29C8B884"/>
    <w:rsid w:val="29D51ACE"/>
    <w:rsid w:val="29E31566"/>
    <w:rsid w:val="29E8DABD"/>
    <w:rsid w:val="2A25307C"/>
    <w:rsid w:val="2A607F6E"/>
    <w:rsid w:val="2A6A76B0"/>
    <w:rsid w:val="2A7B8554"/>
    <w:rsid w:val="2A915BA4"/>
    <w:rsid w:val="2ACA6509"/>
    <w:rsid w:val="2ADC55AE"/>
    <w:rsid w:val="2AE1EEBE"/>
    <w:rsid w:val="2AE465F9"/>
    <w:rsid w:val="2AEDF152"/>
    <w:rsid w:val="2AF61F20"/>
    <w:rsid w:val="2B00E398"/>
    <w:rsid w:val="2B09EE33"/>
    <w:rsid w:val="2B0C2726"/>
    <w:rsid w:val="2B27C856"/>
    <w:rsid w:val="2B2C0FDE"/>
    <w:rsid w:val="2B3B77D4"/>
    <w:rsid w:val="2B7330A8"/>
    <w:rsid w:val="2B84FA1E"/>
    <w:rsid w:val="2B994251"/>
    <w:rsid w:val="2B9EF64B"/>
    <w:rsid w:val="2BC511A8"/>
    <w:rsid w:val="2C01ADD9"/>
    <w:rsid w:val="2C027556"/>
    <w:rsid w:val="2C0358B2"/>
    <w:rsid w:val="2C30A880"/>
    <w:rsid w:val="2C44FEF8"/>
    <w:rsid w:val="2C45B76A"/>
    <w:rsid w:val="2C7330D4"/>
    <w:rsid w:val="2C86006C"/>
    <w:rsid w:val="2CCA0E2C"/>
    <w:rsid w:val="2CCB0950"/>
    <w:rsid w:val="2CD1319C"/>
    <w:rsid w:val="2CE8A4DC"/>
    <w:rsid w:val="2CE9AEAF"/>
    <w:rsid w:val="2D06ADD6"/>
    <w:rsid w:val="2D0DF872"/>
    <w:rsid w:val="2D24418A"/>
    <w:rsid w:val="2D303ADD"/>
    <w:rsid w:val="2D35413F"/>
    <w:rsid w:val="2D67F117"/>
    <w:rsid w:val="2D6ADD33"/>
    <w:rsid w:val="2D7F59C3"/>
    <w:rsid w:val="2D83C10F"/>
    <w:rsid w:val="2D8E8914"/>
    <w:rsid w:val="2DB78C0C"/>
    <w:rsid w:val="2DC58D37"/>
    <w:rsid w:val="2DCA4245"/>
    <w:rsid w:val="2E10EF48"/>
    <w:rsid w:val="2E14D3CA"/>
    <w:rsid w:val="2E152A3F"/>
    <w:rsid w:val="2E1576B7"/>
    <w:rsid w:val="2E4880D5"/>
    <w:rsid w:val="2E622B50"/>
    <w:rsid w:val="2E92D594"/>
    <w:rsid w:val="2EA3C4CE"/>
    <w:rsid w:val="2ED4C876"/>
    <w:rsid w:val="2ED6D3C2"/>
    <w:rsid w:val="2EE6025E"/>
    <w:rsid w:val="2EF0E6F0"/>
    <w:rsid w:val="2F035F27"/>
    <w:rsid w:val="2F05D496"/>
    <w:rsid w:val="2F0F21E7"/>
    <w:rsid w:val="2F165F59"/>
    <w:rsid w:val="2F17DC44"/>
    <w:rsid w:val="2F2C05C3"/>
    <w:rsid w:val="2F3D13AA"/>
    <w:rsid w:val="2F5D71BA"/>
    <w:rsid w:val="2F73F524"/>
    <w:rsid w:val="2FB265DB"/>
    <w:rsid w:val="2FB7D91E"/>
    <w:rsid w:val="2FC96D63"/>
    <w:rsid w:val="2FCC8F1F"/>
    <w:rsid w:val="2FDD2E23"/>
    <w:rsid w:val="2FDF0FC9"/>
    <w:rsid w:val="2FEC4AB7"/>
    <w:rsid w:val="3043A0D5"/>
    <w:rsid w:val="306614DF"/>
    <w:rsid w:val="30941BB7"/>
    <w:rsid w:val="30C28F38"/>
    <w:rsid w:val="30C5C0E4"/>
    <w:rsid w:val="30D5BFCE"/>
    <w:rsid w:val="31065CBE"/>
    <w:rsid w:val="3113C05F"/>
    <w:rsid w:val="311A06A6"/>
    <w:rsid w:val="312156DF"/>
    <w:rsid w:val="31277186"/>
    <w:rsid w:val="3139C81B"/>
    <w:rsid w:val="31C6C19B"/>
    <w:rsid w:val="31F0750B"/>
    <w:rsid w:val="31FD19ED"/>
    <w:rsid w:val="320E3A9D"/>
    <w:rsid w:val="321F901B"/>
    <w:rsid w:val="32245F09"/>
    <w:rsid w:val="32764BBC"/>
    <w:rsid w:val="32902882"/>
    <w:rsid w:val="329086F8"/>
    <w:rsid w:val="32A59C38"/>
    <w:rsid w:val="32AA5B3B"/>
    <w:rsid w:val="32CA8649"/>
    <w:rsid w:val="32F11D27"/>
    <w:rsid w:val="3313EE05"/>
    <w:rsid w:val="332969C9"/>
    <w:rsid w:val="3343BD8A"/>
    <w:rsid w:val="3344FC01"/>
    <w:rsid w:val="339C1E24"/>
    <w:rsid w:val="33AC0870"/>
    <w:rsid w:val="33BAE70A"/>
    <w:rsid w:val="33D20162"/>
    <w:rsid w:val="33F05F43"/>
    <w:rsid w:val="342F6156"/>
    <w:rsid w:val="34317157"/>
    <w:rsid w:val="344EB518"/>
    <w:rsid w:val="348182AA"/>
    <w:rsid w:val="34A4ED14"/>
    <w:rsid w:val="34A6D203"/>
    <w:rsid w:val="34C0488F"/>
    <w:rsid w:val="34CD1748"/>
    <w:rsid w:val="34FEFD5E"/>
    <w:rsid w:val="34FF1C65"/>
    <w:rsid w:val="3503209F"/>
    <w:rsid w:val="35050F7E"/>
    <w:rsid w:val="350B6533"/>
    <w:rsid w:val="3518F20A"/>
    <w:rsid w:val="3522BD87"/>
    <w:rsid w:val="35291C6F"/>
    <w:rsid w:val="355A59A6"/>
    <w:rsid w:val="3566C329"/>
    <w:rsid w:val="356CE588"/>
    <w:rsid w:val="356CE918"/>
    <w:rsid w:val="3595256D"/>
    <w:rsid w:val="35AA0D05"/>
    <w:rsid w:val="35BF9E44"/>
    <w:rsid w:val="35C5FAFB"/>
    <w:rsid w:val="35CCE582"/>
    <w:rsid w:val="36012615"/>
    <w:rsid w:val="360F2842"/>
    <w:rsid w:val="3654D6CE"/>
    <w:rsid w:val="36B53349"/>
    <w:rsid w:val="36C5B450"/>
    <w:rsid w:val="3710F191"/>
    <w:rsid w:val="371E1C0E"/>
    <w:rsid w:val="37387F5D"/>
    <w:rsid w:val="373ACA08"/>
    <w:rsid w:val="37638995"/>
    <w:rsid w:val="37719641"/>
    <w:rsid w:val="379CA3C6"/>
    <w:rsid w:val="37A12AD6"/>
    <w:rsid w:val="37AE006B"/>
    <w:rsid w:val="37F2812D"/>
    <w:rsid w:val="38345333"/>
    <w:rsid w:val="3863F438"/>
    <w:rsid w:val="387FC649"/>
    <w:rsid w:val="38B24E0C"/>
    <w:rsid w:val="38BF9D77"/>
    <w:rsid w:val="38CE1889"/>
    <w:rsid w:val="38CF62D1"/>
    <w:rsid w:val="38DAD183"/>
    <w:rsid w:val="39353603"/>
    <w:rsid w:val="398AD76B"/>
    <w:rsid w:val="3991A7C1"/>
    <w:rsid w:val="39B474D1"/>
    <w:rsid w:val="39F6D8AF"/>
    <w:rsid w:val="3A172A9A"/>
    <w:rsid w:val="3A2BA6F8"/>
    <w:rsid w:val="3A349784"/>
    <w:rsid w:val="3A3DF903"/>
    <w:rsid w:val="3A58B677"/>
    <w:rsid w:val="3A6EC292"/>
    <w:rsid w:val="3AA6A9D2"/>
    <w:rsid w:val="3AD4BF1C"/>
    <w:rsid w:val="3AE9FA45"/>
    <w:rsid w:val="3B2E0285"/>
    <w:rsid w:val="3B3CD798"/>
    <w:rsid w:val="3B3D361E"/>
    <w:rsid w:val="3B49AE1B"/>
    <w:rsid w:val="3B543335"/>
    <w:rsid w:val="3B59FF65"/>
    <w:rsid w:val="3B741BA4"/>
    <w:rsid w:val="3B7AD866"/>
    <w:rsid w:val="3B858C46"/>
    <w:rsid w:val="3B9DEC6F"/>
    <w:rsid w:val="3B9F17F6"/>
    <w:rsid w:val="3BB67F7E"/>
    <w:rsid w:val="3BCBD48D"/>
    <w:rsid w:val="3C28E784"/>
    <w:rsid w:val="3C484543"/>
    <w:rsid w:val="3C64B251"/>
    <w:rsid w:val="3C851813"/>
    <w:rsid w:val="3CBDDD26"/>
    <w:rsid w:val="3CBE753F"/>
    <w:rsid w:val="3CC905CD"/>
    <w:rsid w:val="3CD9FE63"/>
    <w:rsid w:val="3CED94BC"/>
    <w:rsid w:val="3D1C1EE9"/>
    <w:rsid w:val="3D293A57"/>
    <w:rsid w:val="3D2A6E82"/>
    <w:rsid w:val="3D2B6D11"/>
    <w:rsid w:val="3D443A7D"/>
    <w:rsid w:val="3D55A4F0"/>
    <w:rsid w:val="3D6A667C"/>
    <w:rsid w:val="3D83F9BA"/>
    <w:rsid w:val="3DA4CD9B"/>
    <w:rsid w:val="3DC3E2EF"/>
    <w:rsid w:val="3DC746A4"/>
    <w:rsid w:val="3E015863"/>
    <w:rsid w:val="3E143DD3"/>
    <w:rsid w:val="3E2848DE"/>
    <w:rsid w:val="3E7B2244"/>
    <w:rsid w:val="3E931694"/>
    <w:rsid w:val="3EA4086F"/>
    <w:rsid w:val="3EDDE4E7"/>
    <w:rsid w:val="3EEFBD10"/>
    <w:rsid w:val="3F256915"/>
    <w:rsid w:val="3F317BC2"/>
    <w:rsid w:val="3F33063E"/>
    <w:rsid w:val="3F33FECF"/>
    <w:rsid w:val="3F38EE5B"/>
    <w:rsid w:val="3F3A0466"/>
    <w:rsid w:val="3F522BA5"/>
    <w:rsid w:val="3F558E8F"/>
    <w:rsid w:val="3F84EF43"/>
    <w:rsid w:val="3F876498"/>
    <w:rsid w:val="3FACB7A1"/>
    <w:rsid w:val="3FBC4FD5"/>
    <w:rsid w:val="3FD0F352"/>
    <w:rsid w:val="3FE9D9F7"/>
    <w:rsid w:val="3FF1873E"/>
    <w:rsid w:val="3FF5F981"/>
    <w:rsid w:val="401660A8"/>
    <w:rsid w:val="402B28C0"/>
    <w:rsid w:val="402D763C"/>
    <w:rsid w:val="403E0C8C"/>
    <w:rsid w:val="406093F4"/>
    <w:rsid w:val="4073F611"/>
    <w:rsid w:val="40824D58"/>
    <w:rsid w:val="40912433"/>
    <w:rsid w:val="40A131C0"/>
    <w:rsid w:val="40ABD8DE"/>
    <w:rsid w:val="40AF0960"/>
    <w:rsid w:val="40B93D54"/>
    <w:rsid w:val="40C4E927"/>
    <w:rsid w:val="41480D1C"/>
    <w:rsid w:val="41611AA3"/>
    <w:rsid w:val="419C3C0C"/>
    <w:rsid w:val="41B669B9"/>
    <w:rsid w:val="41E2CDDA"/>
    <w:rsid w:val="4212CB5C"/>
    <w:rsid w:val="4220A3CE"/>
    <w:rsid w:val="423B34A1"/>
    <w:rsid w:val="424258E2"/>
    <w:rsid w:val="426FE137"/>
    <w:rsid w:val="427394FA"/>
    <w:rsid w:val="4279C8D8"/>
    <w:rsid w:val="428BF107"/>
    <w:rsid w:val="42955D56"/>
    <w:rsid w:val="42F5A37F"/>
    <w:rsid w:val="4320A579"/>
    <w:rsid w:val="4328EF10"/>
    <w:rsid w:val="43693E0C"/>
    <w:rsid w:val="43CDD331"/>
    <w:rsid w:val="43ED0A7D"/>
    <w:rsid w:val="440D6635"/>
    <w:rsid w:val="4417C053"/>
    <w:rsid w:val="4437277D"/>
    <w:rsid w:val="44529688"/>
    <w:rsid w:val="4472F1BA"/>
    <w:rsid w:val="44812789"/>
    <w:rsid w:val="44A380C3"/>
    <w:rsid w:val="44ACC2B0"/>
    <w:rsid w:val="44D4403F"/>
    <w:rsid w:val="44D52A23"/>
    <w:rsid w:val="44D5F738"/>
    <w:rsid w:val="44DA3150"/>
    <w:rsid w:val="44E0F376"/>
    <w:rsid w:val="45521718"/>
    <w:rsid w:val="4552A707"/>
    <w:rsid w:val="4560322D"/>
    <w:rsid w:val="4563460B"/>
    <w:rsid w:val="4586873B"/>
    <w:rsid w:val="4597A58A"/>
    <w:rsid w:val="4597D85B"/>
    <w:rsid w:val="45EDF3F6"/>
    <w:rsid w:val="4621703E"/>
    <w:rsid w:val="4666217A"/>
    <w:rsid w:val="468B48A8"/>
    <w:rsid w:val="468C30EE"/>
    <w:rsid w:val="46987A12"/>
    <w:rsid w:val="46B2B8D6"/>
    <w:rsid w:val="46BDD15D"/>
    <w:rsid w:val="46CC26D6"/>
    <w:rsid w:val="46CF81F8"/>
    <w:rsid w:val="46D6C19B"/>
    <w:rsid w:val="46EFFACF"/>
    <w:rsid w:val="472AB1FF"/>
    <w:rsid w:val="473F0BCB"/>
    <w:rsid w:val="4789454F"/>
    <w:rsid w:val="478B4EE6"/>
    <w:rsid w:val="47A46CB7"/>
    <w:rsid w:val="47A990E9"/>
    <w:rsid w:val="47AB0DA5"/>
    <w:rsid w:val="47BD48D6"/>
    <w:rsid w:val="47C8D93C"/>
    <w:rsid w:val="47F4964D"/>
    <w:rsid w:val="47F4FF5E"/>
    <w:rsid w:val="480C1D29"/>
    <w:rsid w:val="4814F079"/>
    <w:rsid w:val="4828189A"/>
    <w:rsid w:val="482C6EB8"/>
    <w:rsid w:val="4837AD56"/>
    <w:rsid w:val="4841A89C"/>
    <w:rsid w:val="4842E8AF"/>
    <w:rsid w:val="4846213B"/>
    <w:rsid w:val="48793B15"/>
    <w:rsid w:val="488F6D0A"/>
    <w:rsid w:val="4891A14E"/>
    <w:rsid w:val="489DF297"/>
    <w:rsid w:val="48A30445"/>
    <w:rsid w:val="48AF3CEE"/>
    <w:rsid w:val="48D685B0"/>
    <w:rsid w:val="48ECA3A8"/>
    <w:rsid w:val="48FC0089"/>
    <w:rsid w:val="4908177B"/>
    <w:rsid w:val="490C4378"/>
    <w:rsid w:val="492B1E26"/>
    <w:rsid w:val="493DC0EA"/>
    <w:rsid w:val="494800B0"/>
    <w:rsid w:val="494B6B7F"/>
    <w:rsid w:val="494DDC59"/>
    <w:rsid w:val="495E7971"/>
    <w:rsid w:val="4985AAC6"/>
    <w:rsid w:val="4994A35C"/>
    <w:rsid w:val="499AAB98"/>
    <w:rsid w:val="49A63AA4"/>
    <w:rsid w:val="49B71C6F"/>
    <w:rsid w:val="49BF4045"/>
    <w:rsid w:val="49CC7C72"/>
    <w:rsid w:val="49D8DC8B"/>
    <w:rsid w:val="49FCDC3C"/>
    <w:rsid w:val="4A028AD0"/>
    <w:rsid w:val="4A0EA380"/>
    <w:rsid w:val="4A2DC886"/>
    <w:rsid w:val="4A3570C6"/>
    <w:rsid w:val="4A44FEAB"/>
    <w:rsid w:val="4A6E2A30"/>
    <w:rsid w:val="4A911B2D"/>
    <w:rsid w:val="4ABA6456"/>
    <w:rsid w:val="4AD57BA0"/>
    <w:rsid w:val="4AE088A1"/>
    <w:rsid w:val="4AF24F12"/>
    <w:rsid w:val="4B09ED38"/>
    <w:rsid w:val="4B3A669C"/>
    <w:rsid w:val="4B557DF6"/>
    <w:rsid w:val="4B69418E"/>
    <w:rsid w:val="4B6F567C"/>
    <w:rsid w:val="4B86788E"/>
    <w:rsid w:val="4B8937B2"/>
    <w:rsid w:val="4B8FCADE"/>
    <w:rsid w:val="4B91EAB6"/>
    <w:rsid w:val="4B92E3D4"/>
    <w:rsid w:val="4B9ED039"/>
    <w:rsid w:val="4BD46842"/>
    <w:rsid w:val="4BE3EE3B"/>
    <w:rsid w:val="4C09B350"/>
    <w:rsid w:val="4C207857"/>
    <w:rsid w:val="4C3FDCC8"/>
    <w:rsid w:val="4C50F26A"/>
    <w:rsid w:val="4C7DFD8C"/>
    <w:rsid w:val="4CB3B6B7"/>
    <w:rsid w:val="4D22B80E"/>
    <w:rsid w:val="4D44059E"/>
    <w:rsid w:val="4D6A8445"/>
    <w:rsid w:val="4D878478"/>
    <w:rsid w:val="4D9BE6E3"/>
    <w:rsid w:val="4DBE6496"/>
    <w:rsid w:val="4DD7CBF5"/>
    <w:rsid w:val="4DDC5196"/>
    <w:rsid w:val="4DE578B7"/>
    <w:rsid w:val="4DF38D42"/>
    <w:rsid w:val="4DF633EA"/>
    <w:rsid w:val="4E37272E"/>
    <w:rsid w:val="4E46E0A4"/>
    <w:rsid w:val="4E61A8C3"/>
    <w:rsid w:val="4E6C3A0C"/>
    <w:rsid w:val="4E893A20"/>
    <w:rsid w:val="4EA1B2F7"/>
    <w:rsid w:val="4EA49BA0"/>
    <w:rsid w:val="4EDD9918"/>
    <w:rsid w:val="4EDF43FD"/>
    <w:rsid w:val="4EE68840"/>
    <w:rsid w:val="4F00A051"/>
    <w:rsid w:val="4F138ECE"/>
    <w:rsid w:val="4F3CE3EB"/>
    <w:rsid w:val="4F428DFE"/>
    <w:rsid w:val="4F4345E0"/>
    <w:rsid w:val="4F4F77A2"/>
    <w:rsid w:val="4F6441D8"/>
    <w:rsid w:val="4F6DAC44"/>
    <w:rsid w:val="4F78CD43"/>
    <w:rsid w:val="4F7EF7CC"/>
    <w:rsid w:val="4F87F427"/>
    <w:rsid w:val="4F880954"/>
    <w:rsid w:val="4F9328FC"/>
    <w:rsid w:val="4F99FF63"/>
    <w:rsid w:val="4F9BAC7E"/>
    <w:rsid w:val="4F9FA1F9"/>
    <w:rsid w:val="4FC49DE5"/>
    <w:rsid w:val="4FCC5302"/>
    <w:rsid w:val="4FDB7433"/>
    <w:rsid w:val="4FEA237A"/>
    <w:rsid w:val="4FFF58F4"/>
    <w:rsid w:val="501AEF49"/>
    <w:rsid w:val="506299AE"/>
    <w:rsid w:val="5075D899"/>
    <w:rsid w:val="507C096D"/>
    <w:rsid w:val="507CF471"/>
    <w:rsid w:val="507EFEAA"/>
    <w:rsid w:val="5095723D"/>
    <w:rsid w:val="50AA8081"/>
    <w:rsid w:val="50BBFF98"/>
    <w:rsid w:val="50CBE5BE"/>
    <w:rsid w:val="50E4E504"/>
    <w:rsid w:val="50F4CC0B"/>
    <w:rsid w:val="51134341"/>
    <w:rsid w:val="511CE32A"/>
    <w:rsid w:val="512759EC"/>
    <w:rsid w:val="512B0045"/>
    <w:rsid w:val="513ABA5D"/>
    <w:rsid w:val="514A502E"/>
    <w:rsid w:val="515FE381"/>
    <w:rsid w:val="51761F0D"/>
    <w:rsid w:val="519BCC7E"/>
    <w:rsid w:val="52012C3A"/>
    <w:rsid w:val="520CC5BB"/>
    <w:rsid w:val="52187645"/>
    <w:rsid w:val="522E03DB"/>
    <w:rsid w:val="5238B859"/>
    <w:rsid w:val="52527109"/>
    <w:rsid w:val="525A7B2B"/>
    <w:rsid w:val="52641954"/>
    <w:rsid w:val="528F0D6F"/>
    <w:rsid w:val="52E282C5"/>
    <w:rsid w:val="52FDBE2E"/>
    <w:rsid w:val="53157735"/>
    <w:rsid w:val="531AD466"/>
    <w:rsid w:val="5325EEF6"/>
    <w:rsid w:val="53548987"/>
    <w:rsid w:val="5358F89F"/>
    <w:rsid w:val="53837C07"/>
    <w:rsid w:val="538F5F4B"/>
    <w:rsid w:val="53B18A62"/>
    <w:rsid w:val="53B9F329"/>
    <w:rsid w:val="53C923B0"/>
    <w:rsid w:val="53D0D36F"/>
    <w:rsid w:val="53D8184E"/>
    <w:rsid w:val="53DFC5DA"/>
    <w:rsid w:val="54181CEF"/>
    <w:rsid w:val="544428A4"/>
    <w:rsid w:val="54702952"/>
    <w:rsid w:val="54889974"/>
    <w:rsid w:val="549AF9D5"/>
    <w:rsid w:val="54A6FF63"/>
    <w:rsid w:val="54ACF123"/>
    <w:rsid w:val="54AF7B52"/>
    <w:rsid w:val="54B95464"/>
    <w:rsid w:val="54D3FA25"/>
    <w:rsid w:val="54D4984C"/>
    <w:rsid w:val="550A0B67"/>
    <w:rsid w:val="5520BCB8"/>
    <w:rsid w:val="5529FE82"/>
    <w:rsid w:val="552A1489"/>
    <w:rsid w:val="552CBDEF"/>
    <w:rsid w:val="552D4F78"/>
    <w:rsid w:val="555EF4C0"/>
    <w:rsid w:val="5576C7A9"/>
    <w:rsid w:val="55BA8E2C"/>
    <w:rsid w:val="55D4F8EA"/>
    <w:rsid w:val="561BC6B5"/>
    <w:rsid w:val="5636D181"/>
    <w:rsid w:val="56465BA6"/>
    <w:rsid w:val="566AA6C1"/>
    <w:rsid w:val="567F88BC"/>
    <w:rsid w:val="56832E2A"/>
    <w:rsid w:val="56B05610"/>
    <w:rsid w:val="56BAB48B"/>
    <w:rsid w:val="56C007A0"/>
    <w:rsid w:val="56C1A9CC"/>
    <w:rsid w:val="56EADFB6"/>
    <w:rsid w:val="56F3274B"/>
    <w:rsid w:val="57178CFD"/>
    <w:rsid w:val="5739866D"/>
    <w:rsid w:val="57526E11"/>
    <w:rsid w:val="5762B4C0"/>
    <w:rsid w:val="5764CCA1"/>
    <w:rsid w:val="5767D327"/>
    <w:rsid w:val="577B2026"/>
    <w:rsid w:val="578F0121"/>
    <w:rsid w:val="57A6B5F3"/>
    <w:rsid w:val="57DE6855"/>
    <w:rsid w:val="57F71AA5"/>
    <w:rsid w:val="580C18D6"/>
    <w:rsid w:val="583393CD"/>
    <w:rsid w:val="58360DC7"/>
    <w:rsid w:val="58377E77"/>
    <w:rsid w:val="584357B3"/>
    <w:rsid w:val="58905670"/>
    <w:rsid w:val="58960191"/>
    <w:rsid w:val="5897ADD7"/>
    <w:rsid w:val="589B8BC0"/>
    <w:rsid w:val="58A813D7"/>
    <w:rsid w:val="58AB9594"/>
    <w:rsid w:val="58AD0B26"/>
    <w:rsid w:val="58AE8E2D"/>
    <w:rsid w:val="58B723FB"/>
    <w:rsid w:val="58CED465"/>
    <w:rsid w:val="58EB28B3"/>
    <w:rsid w:val="58FEFDD8"/>
    <w:rsid w:val="594C5A22"/>
    <w:rsid w:val="595C6F56"/>
    <w:rsid w:val="596B2153"/>
    <w:rsid w:val="59734FE6"/>
    <w:rsid w:val="599AE59F"/>
    <w:rsid w:val="59A4A51F"/>
    <w:rsid w:val="59C0FB4B"/>
    <w:rsid w:val="5A59889E"/>
    <w:rsid w:val="5AC49B71"/>
    <w:rsid w:val="5ACC964B"/>
    <w:rsid w:val="5AD69B6E"/>
    <w:rsid w:val="5ADD7313"/>
    <w:rsid w:val="5AE7DAFB"/>
    <w:rsid w:val="5B4918D0"/>
    <w:rsid w:val="5B7573C3"/>
    <w:rsid w:val="5B84A873"/>
    <w:rsid w:val="5BD931C6"/>
    <w:rsid w:val="5BE01BB7"/>
    <w:rsid w:val="5C056AA6"/>
    <w:rsid w:val="5C1E4043"/>
    <w:rsid w:val="5C249C7D"/>
    <w:rsid w:val="5C2CC5BA"/>
    <w:rsid w:val="5C3C43CC"/>
    <w:rsid w:val="5C75D60F"/>
    <w:rsid w:val="5C7D7897"/>
    <w:rsid w:val="5C9837FB"/>
    <w:rsid w:val="5CA19DE3"/>
    <w:rsid w:val="5CA4EF45"/>
    <w:rsid w:val="5CD3947F"/>
    <w:rsid w:val="5CFD8947"/>
    <w:rsid w:val="5D026E0B"/>
    <w:rsid w:val="5D0FFB87"/>
    <w:rsid w:val="5D3CF077"/>
    <w:rsid w:val="5D4A01E2"/>
    <w:rsid w:val="5D7ED0EC"/>
    <w:rsid w:val="5DB07F05"/>
    <w:rsid w:val="5DCD8996"/>
    <w:rsid w:val="5DD76B46"/>
    <w:rsid w:val="5DE14CC7"/>
    <w:rsid w:val="5DE930CC"/>
    <w:rsid w:val="5E34D713"/>
    <w:rsid w:val="5E5C08DA"/>
    <w:rsid w:val="5E634868"/>
    <w:rsid w:val="5E7BB88D"/>
    <w:rsid w:val="5E7EC535"/>
    <w:rsid w:val="5E8375BE"/>
    <w:rsid w:val="5E978F39"/>
    <w:rsid w:val="5EA2284D"/>
    <w:rsid w:val="5EAD2BFD"/>
    <w:rsid w:val="5ED286D3"/>
    <w:rsid w:val="5EE2C91E"/>
    <w:rsid w:val="5EE8BCFB"/>
    <w:rsid w:val="5EEE8EF3"/>
    <w:rsid w:val="5EF26742"/>
    <w:rsid w:val="5F2A5DEC"/>
    <w:rsid w:val="5F5D3D32"/>
    <w:rsid w:val="5F82AEB5"/>
    <w:rsid w:val="5F855875"/>
    <w:rsid w:val="5FB61F13"/>
    <w:rsid w:val="5FBE2BB8"/>
    <w:rsid w:val="600F260F"/>
    <w:rsid w:val="6050EC0E"/>
    <w:rsid w:val="6053F816"/>
    <w:rsid w:val="6079AA86"/>
    <w:rsid w:val="6083F445"/>
    <w:rsid w:val="60882FCC"/>
    <w:rsid w:val="608E91F5"/>
    <w:rsid w:val="609604C3"/>
    <w:rsid w:val="60A6033E"/>
    <w:rsid w:val="60F41E3E"/>
    <w:rsid w:val="612FF102"/>
    <w:rsid w:val="6141B29C"/>
    <w:rsid w:val="614B0A7D"/>
    <w:rsid w:val="61945EE0"/>
    <w:rsid w:val="619A07D0"/>
    <w:rsid w:val="61AC041F"/>
    <w:rsid w:val="61BCF678"/>
    <w:rsid w:val="6211BDBD"/>
    <w:rsid w:val="6213D657"/>
    <w:rsid w:val="62202059"/>
    <w:rsid w:val="622C3C48"/>
    <w:rsid w:val="62527B1E"/>
    <w:rsid w:val="626725D9"/>
    <w:rsid w:val="627B762C"/>
    <w:rsid w:val="6296A1FE"/>
    <w:rsid w:val="62B1107D"/>
    <w:rsid w:val="62E41834"/>
    <w:rsid w:val="631853DA"/>
    <w:rsid w:val="632BDED7"/>
    <w:rsid w:val="63554ED1"/>
    <w:rsid w:val="63775838"/>
    <w:rsid w:val="637A6B7E"/>
    <w:rsid w:val="638F8DE5"/>
    <w:rsid w:val="6391252D"/>
    <w:rsid w:val="63FA3588"/>
    <w:rsid w:val="644D1967"/>
    <w:rsid w:val="645624F7"/>
    <w:rsid w:val="64604DE7"/>
    <w:rsid w:val="64611EA2"/>
    <w:rsid w:val="6465AF89"/>
    <w:rsid w:val="647CE785"/>
    <w:rsid w:val="648ED910"/>
    <w:rsid w:val="64B53D56"/>
    <w:rsid w:val="64BE8D5F"/>
    <w:rsid w:val="64C5DE01"/>
    <w:rsid w:val="64CC36AF"/>
    <w:rsid w:val="64E7BD75"/>
    <w:rsid w:val="64F27915"/>
    <w:rsid w:val="651AFE97"/>
    <w:rsid w:val="653DE8A5"/>
    <w:rsid w:val="65422A2F"/>
    <w:rsid w:val="655093AC"/>
    <w:rsid w:val="6555A640"/>
    <w:rsid w:val="6561BFBE"/>
    <w:rsid w:val="656E1567"/>
    <w:rsid w:val="65898E6E"/>
    <w:rsid w:val="658E48AA"/>
    <w:rsid w:val="65A98183"/>
    <w:rsid w:val="65B5AE3F"/>
    <w:rsid w:val="65B7BEFD"/>
    <w:rsid w:val="6603D1A2"/>
    <w:rsid w:val="6604271F"/>
    <w:rsid w:val="6612BE7A"/>
    <w:rsid w:val="662FC2CC"/>
    <w:rsid w:val="6639BA36"/>
    <w:rsid w:val="664FACDE"/>
    <w:rsid w:val="667968EA"/>
    <w:rsid w:val="66B4A452"/>
    <w:rsid w:val="66BBFFB4"/>
    <w:rsid w:val="66C8A3E2"/>
    <w:rsid w:val="66D554C0"/>
    <w:rsid w:val="66E3A31E"/>
    <w:rsid w:val="66F03D19"/>
    <w:rsid w:val="67132324"/>
    <w:rsid w:val="67514BAA"/>
    <w:rsid w:val="6751E567"/>
    <w:rsid w:val="676D6FC4"/>
    <w:rsid w:val="67762F09"/>
    <w:rsid w:val="67936B65"/>
    <w:rsid w:val="67A3BD60"/>
    <w:rsid w:val="67A94636"/>
    <w:rsid w:val="67D716D6"/>
    <w:rsid w:val="67E46D73"/>
    <w:rsid w:val="67F1A3BE"/>
    <w:rsid w:val="67F6BAAD"/>
    <w:rsid w:val="6803E275"/>
    <w:rsid w:val="681058AB"/>
    <w:rsid w:val="682110F8"/>
    <w:rsid w:val="683B2F54"/>
    <w:rsid w:val="685BD95D"/>
    <w:rsid w:val="687614F7"/>
    <w:rsid w:val="688D8250"/>
    <w:rsid w:val="68AF61B8"/>
    <w:rsid w:val="68B35E54"/>
    <w:rsid w:val="68B5F9B2"/>
    <w:rsid w:val="68BB2E8E"/>
    <w:rsid w:val="68CD5370"/>
    <w:rsid w:val="68D13FB7"/>
    <w:rsid w:val="68F4FE41"/>
    <w:rsid w:val="69193122"/>
    <w:rsid w:val="69373507"/>
    <w:rsid w:val="694DDFF8"/>
    <w:rsid w:val="694FEACC"/>
    <w:rsid w:val="6971084A"/>
    <w:rsid w:val="69733F19"/>
    <w:rsid w:val="69A129A8"/>
    <w:rsid w:val="69B15CA1"/>
    <w:rsid w:val="69B18A5A"/>
    <w:rsid w:val="69BB78B4"/>
    <w:rsid w:val="69D1D41E"/>
    <w:rsid w:val="69E29B92"/>
    <w:rsid w:val="69EDE05D"/>
    <w:rsid w:val="6A00BC61"/>
    <w:rsid w:val="6A01DD8E"/>
    <w:rsid w:val="6A265298"/>
    <w:rsid w:val="6A2E69E3"/>
    <w:rsid w:val="6A39124C"/>
    <w:rsid w:val="6A3B8B57"/>
    <w:rsid w:val="6A58C7DA"/>
    <w:rsid w:val="6A6B5DC0"/>
    <w:rsid w:val="6A8C1740"/>
    <w:rsid w:val="6A90E36D"/>
    <w:rsid w:val="6AADD445"/>
    <w:rsid w:val="6AC2F681"/>
    <w:rsid w:val="6AECE9B5"/>
    <w:rsid w:val="6B16A5CD"/>
    <w:rsid w:val="6B625FFC"/>
    <w:rsid w:val="6B730E2F"/>
    <w:rsid w:val="6B824469"/>
    <w:rsid w:val="6B9EF23C"/>
    <w:rsid w:val="6BA08A4D"/>
    <w:rsid w:val="6BA29AE9"/>
    <w:rsid w:val="6BB29CF9"/>
    <w:rsid w:val="6BC375FA"/>
    <w:rsid w:val="6BCB9016"/>
    <w:rsid w:val="6BD3037E"/>
    <w:rsid w:val="6BDE7889"/>
    <w:rsid w:val="6BED9062"/>
    <w:rsid w:val="6C0F63A8"/>
    <w:rsid w:val="6C413D61"/>
    <w:rsid w:val="6C4E6C9B"/>
    <w:rsid w:val="6C5130CB"/>
    <w:rsid w:val="6C94B367"/>
    <w:rsid w:val="6CC3E992"/>
    <w:rsid w:val="6CCE0400"/>
    <w:rsid w:val="6CDF953F"/>
    <w:rsid w:val="6CF9B351"/>
    <w:rsid w:val="6D063F72"/>
    <w:rsid w:val="6D1DC81B"/>
    <w:rsid w:val="6D3500EB"/>
    <w:rsid w:val="6D798578"/>
    <w:rsid w:val="6D8F17F2"/>
    <w:rsid w:val="6D9F758A"/>
    <w:rsid w:val="6DA7C656"/>
    <w:rsid w:val="6DB86044"/>
    <w:rsid w:val="6DB99052"/>
    <w:rsid w:val="6E049B9E"/>
    <w:rsid w:val="6E0AD850"/>
    <w:rsid w:val="6E0B1885"/>
    <w:rsid w:val="6E142F25"/>
    <w:rsid w:val="6E164F8A"/>
    <w:rsid w:val="6E252050"/>
    <w:rsid w:val="6E3270B4"/>
    <w:rsid w:val="6E4C92EF"/>
    <w:rsid w:val="6E5DA7A1"/>
    <w:rsid w:val="6E6B74D7"/>
    <w:rsid w:val="6E9AB94A"/>
    <w:rsid w:val="6EA0A0CF"/>
    <w:rsid w:val="6F2196C3"/>
    <w:rsid w:val="6F436B76"/>
    <w:rsid w:val="6F46E53F"/>
    <w:rsid w:val="6F55B610"/>
    <w:rsid w:val="6F6C4431"/>
    <w:rsid w:val="6FF307AA"/>
    <w:rsid w:val="7007F6F9"/>
    <w:rsid w:val="7009D34C"/>
    <w:rsid w:val="706DCE5C"/>
    <w:rsid w:val="708B5AF3"/>
    <w:rsid w:val="70CD45EA"/>
    <w:rsid w:val="70D4275D"/>
    <w:rsid w:val="70E77C05"/>
    <w:rsid w:val="7105D918"/>
    <w:rsid w:val="713F1608"/>
    <w:rsid w:val="71609530"/>
    <w:rsid w:val="717AF891"/>
    <w:rsid w:val="71842601"/>
    <w:rsid w:val="71C95488"/>
    <w:rsid w:val="71CCAB2C"/>
    <w:rsid w:val="71E3E219"/>
    <w:rsid w:val="71E3E5ED"/>
    <w:rsid w:val="71FC01C9"/>
    <w:rsid w:val="72051DA1"/>
    <w:rsid w:val="721150F5"/>
    <w:rsid w:val="7218A20C"/>
    <w:rsid w:val="722DE1ED"/>
    <w:rsid w:val="723E6409"/>
    <w:rsid w:val="728D6C54"/>
    <w:rsid w:val="72D3D16B"/>
    <w:rsid w:val="72DC67AF"/>
    <w:rsid w:val="7300797C"/>
    <w:rsid w:val="7302B5AC"/>
    <w:rsid w:val="730CCEFC"/>
    <w:rsid w:val="730D958D"/>
    <w:rsid w:val="731ABC28"/>
    <w:rsid w:val="732CFBC2"/>
    <w:rsid w:val="7341432B"/>
    <w:rsid w:val="7343755A"/>
    <w:rsid w:val="734EDA2D"/>
    <w:rsid w:val="73631F67"/>
    <w:rsid w:val="7369DAE7"/>
    <w:rsid w:val="736D4AC0"/>
    <w:rsid w:val="7381A4BE"/>
    <w:rsid w:val="738F00B7"/>
    <w:rsid w:val="73B90534"/>
    <w:rsid w:val="741316A2"/>
    <w:rsid w:val="74259A59"/>
    <w:rsid w:val="7466D7BD"/>
    <w:rsid w:val="74689923"/>
    <w:rsid w:val="7477654A"/>
    <w:rsid w:val="74A81DA3"/>
    <w:rsid w:val="74B83F67"/>
    <w:rsid w:val="74B84E1C"/>
    <w:rsid w:val="74BA9219"/>
    <w:rsid w:val="74BF2AF1"/>
    <w:rsid w:val="74C0E88D"/>
    <w:rsid w:val="74C24B2B"/>
    <w:rsid w:val="74E1264F"/>
    <w:rsid w:val="74FE5D68"/>
    <w:rsid w:val="74FF4F3F"/>
    <w:rsid w:val="7519EB0F"/>
    <w:rsid w:val="756212B2"/>
    <w:rsid w:val="756FD8FB"/>
    <w:rsid w:val="757B0A85"/>
    <w:rsid w:val="75824351"/>
    <w:rsid w:val="75939496"/>
    <w:rsid w:val="75948FA5"/>
    <w:rsid w:val="75CF171B"/>
    <w:rsid w:val="76015F2E"/>
    <w:rsid w:val="766A850C"/>
    <w:rsid w:val="769A03F6"/>
    <w:rsid w:val="769DE6BA"/>
    <w:rsid w:val="76D4E0ED"/>
    <w:rsid w:val="76FE8135"/>
    <w:rsid w:val="770126D3"/>
    <w:rsid w:val="7708265F"/>
    <w:rsid w:val="771D3874"/>
    <w:rsid w:val="772683E8"/>
    <w:rsid w:val="7727A58F"/>
    <w:rsid w:val="772C60EA"/>
    <w:rsid w:val="7732D8B7"/>
    <w:rsid w:val="7745140E"/>
    <w:rsid w:val="7764934C"/>
    <w:rsid w:val="776A3CCA"/>
    <w:rsid w:val="7790E262"/>
    <w:rsid w:val="77AD3028"/>
    <w:rsid w:val="77BCD82F"/>
    <w:rsid w:val="77CC48F9"/>
    <w:rsid w:val="77D93C8E"/>
    <w:rsid w:val="77E7B8BA"/>
    <w:rsid w:val="77FE5E06"/>
    <w:rsid w:val="7806BB7A"/>
    <w:rsid w:val="780AB75E"/>
    <w:rsid w:val="780AF492"/>
    <w:rsid w:val="78215430"/>
    <w:rsid w:val="782E9D32"/>
    <w:rsid w:val="78453212"/>
    <w:rsid w:val="784A62F3"/>
    <w:rsid w:val="785D56E2"/>
    <w:rsid w:val="787DFECE"/>
    <w:rsid w:val="788234A0"/>
    <w:rsid w:val="78825494"/>
    <w:rsid w:val="78919AD8"/>
    <w:rsid w:val="789E9189"/>
    <w:rsid w:val="789ED5B6"/>
    <w:rsid w:val="78E172F5"/>
    <w:rsid w:val="78E31ED2"/>
    <w:rsid w:val="792243F6"/>
    <w:rsid w:val="79B0E201"/>
    <w:rsid w:val="79B12589"/>
    <w:rsid w:val="79C321D0"/>
    <w:rsid w:val="79EB0D35"/>
    <w:rsid w:val="79F1EB96"/>
    <w:rsid w:val="79FCA48E"/>
    <w:rsid w:val="7A105037"/>
    <w:rsid w:val="7A1D1CD4"/>
    <w:rsid w:val="7A2A8594"/>
    <w:rsid w:val="7A495D5F"/>
    <w:rsid w:val="7A5719E1"/>
    <w:rsid w:val="7A8D0531"/>
    <w:rsid w:val="7A9EBA9F"/>
    <w:rsid w:val="7A9F682A"/>
    <w:rsid w:val="7AB635A4"/>
    <w:rsid w:val="7AD98498"/>
    <w:rsid w:val="7B04F54D"/>
    <w:rsid w:val="7B163C26"/>
    <w:rsid w:val="7B354BF0"/>
    <w:rsid w:val="7B4AB4F3"/>
    <w:rsid w:val="7B550CE8"/>
    <w:rsid w:val="7B57D50A"/>
    <w:rsid w:val="7B852F4B"/>
    <w:rsid w:val="7B910D5F"/>
    <w:rsid w:val="7B96B5C3"/>
    <w:rsid w:val="7BAFE882"/>
    <w:rsid w:val="7BD9B7A5"/>
    <w:rsid w:val="7BE5252A"/>
    <w:rsid w:val="7BE5D08A"/>
    <w:rsid w:val="7BEC7379"/>
    <w:rsid w:val="7C00C179"/>
    <w:rsid w:val="7C202E1B"/>
    <w:rsid w:val="7C2158DF"/>
    <w:rsid w:val="7C2864D2"/>
    <w:rsid w:val="7C3C5656"/>
    <w:rsid w:val="7C405421"/>
    <w:rsid w:val="7C61FCB9"/>
    <w:rsid w:val="7C6FD37A"/>
    <w:rsid w:val="7C86B26D"/>
    <w:rsid w:val="7CEDB550"/>
    <w:rsid w:val="7D1268E2"/>
    <w:rsid w:val="7D557958"/>
    <w:rsid w:val="7D632627"/>
    <w:rsid w:val="7D6D3837"/>
    <w:rsid w:val="7D94A454"/>
    <w:rsid w:val="7DA7A476"/>
    <w:rsid w:val="7DAD0796"/>
    <w:rsid w:val="7DAFDED0"/>
    <w:rsid w:val="7DB153D0"/>
    <w:rsid w:val="7DB84E8D"/>
    <w:rsid w:val="7DBBBEB5"/>
    <w:rsid w:val="7DBD4A8D"/>
    <w:rsid w:val="7E47CCAE"/>
    <w:rsid w:val="7E55058F"/>
    <w:rsid w:val="7EA6A972"/>
    <w:rsid w:val="7EA6B922"/>
    <w:rsid w:val="7EA958D7"/>
    <w:rsid w:val="7EAC9924"/>
    <w:rsid w:val="7ED5609B"/>
    <w:rsid w:val="7ED822ED"/>
    <w:rsid w:val="7EE9E1D2"/>
    <w:rsid w:val="7EF36FC5"/>
    <w:rsid w:val="7F4C7DFE"/>
    <w:rsid w:val="7F4FBB55"/>
    <w:rsid w:val="7F75DC53"/>
    <w:rsid w:val="7F7908E8"/>
    <w:rsid w:val="7F9EF2DD"/>
    <w:rsid w:val="7FBCFB96"/>
    <w:rsid w:val="7FCD52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49C060A"/>
  <w15:chartTrackingRefBased/>
  <w15:docId w15:val="{3945843D-E5E3-40B6-A1C8-38AB13963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69"/>
  </w:style>
  <w:style w:type="paragraph" w:styleId="Heading1">
    <w:name w:val="heading 1"/>
    <w:basedOn w:val="Normal"/>
    <w:next w:val="Normal"/>
    <w:link w:val="Heading1Char"/>
    <w:uiPriority w:val="9"/>
    <w:qFormat/>
    <w:rsid w:val="00462C8A"/>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7A5D0A"/>
    <w:pPr>
      <w:keepNext/>
      <w:keepLines/>
      <w:spacing w:before="40" w:after="0"/>
      <w:outlineLvl w:val="1"/>
    </w:pPr>
    <w:rPr>
      <w:rFonts w:ascii="Arial" w:eastAsiaTheme="majorEastAsia" w:hAnsi="Arial"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5D0A"/>
    <w:pPr>
      <w:keepNext/>
      <w:keepLines/>
      <w:spacing w:before="40" w:after="0"/>
      <w:outlineLvl w:val="2"/>
    </w:pPr>
    <w:rPr>
      <w:rFonts w:ascii="Arial" w:eastAsiaTheme="majorEastAsia" w:hAnsi="Arial"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E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5E5D"/>
  </w:style>
  <w:style w:type="paragraph" w:styleId="Footer">
    <w:name w:val="footer"/>
    <w:basedOn w:val="Normal"/>
    <w:link w:val="FooterChar"/>
    <w:uiPriority w:val="99"/>
    <w:unhideWhenUsed/>
    <w:rsid w:val="00D75E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5E5D"/>
  </w:style>
  <w:style w:type="numbering" w:customStyle="1" w:styleId="NoList1">
    <w:name w:val="No List1"/>
    <w:next w:val="NoList"/>
    <w:uiPriority w:val="99"/>
    <w:semiHidden/>
    <w:unhideWhenUsed/>
    <w:rsid w:val="001347A9"/>
  </w:style>
  <w:style w:type="paragraph" w:customStyle="1" w:styleId="font8">
    <w:name w:val="font8"/>
    <w:basedOn w:val="Normal"/>
    <w:rsid w:val="001347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wixguard">
    <w:name w:val="wixguard"/>
    <w:basedOn w:val="DefaultParagraphFont"/>
    <w:rsid w:val="001347A9"/>
  </w:style>
  <w:style w:type="character" w:styleId="Emphasis">
    <w:name w:val="Emphasis"/>
    <w:basedOn w:val="DefaultParagraphFont"/>
    <w:uiPriority w:val="20"/>
    <w:qFormat/>
    <w:rsid w:val="001347A9"/>
    <w:rPr>
      <w:i/>
      <w:iCs/>
    </w:rPr>
  </w:style>
  <w:style w:type="character" w:styleId="Hyperlink">
    <w:name w:val="Hyperlink"/>
    <w:basedOn w:val="DefaultParagraphFont"/>
    <w:uiPriority w:val="99"/>
    <w:unhideWhenUsed/>
    <w:rsid w:val="001347A9"/>
    <w:rPr>
      <w:color w:val="0000FF"/>
      <w:u w:val="single"/>
    </w:rPr>
  </w:style>
  <w:style w:type="character" w:styleId="Strong">
    <w:name w:val="Strong"/>
    <w:basedOn w:val="DefaultParagraphFont"/>
    <w:uiPriority w:val="22"/>
    <w:qFormat/>
    <w:rsid w:val="001347A9"/>
    <w:rPr>
      <w:b/>
      <w:bCs/>
    </w:rPr>
  </w:style>
  <w:style w:type="paragraph" w:styleId="NormalWeb">
    <w:name w:val="Normal (Web)"/>
    <w:basedOn w:val="Normal"/>
    <w:uiPriority w:val="99"/>
    <w:semiHidden/>
    <w:unhideWhenUsed/>
    <w:rsid w:val="001347A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aliases w:val="Dot pt"/>
    <w:basedOn w:val="Normal"/>
    <w:link w:val="ListParagraphChar"/>
    <w:uiPriority w:val="34"/>
    <w:qFormat/>
    <w:rsid w:val="001347A9"/>
    <w:pPr>
      <w:spacing w:after="200" w:line="276" w:lineRule="auto"/>
      <w:ind w:left="720"/>
      <w:contextualSpacing/>
    </w:pPr>
    <w:rPr>
      <w:rFonts w:ascii="Calibri" w:hAnsi="Calibri" w:cs="Times New Roman"/>
    </w:rPr>
  </w:style>
  <w:style w:type="paragraph" w:styleId="BalloonText">
    <w:name w:val="Balloon Text"/>
    <w:basedOn w:val="Normal"/>
    <w:link w:val="BalloonTextChar"/>
    <w:uiPriority w:val="99"/>
    <w:semiHidden/>
    <w:unhideWhenUsed/>
    <w:rsid w:val="001347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47A9"/>
    <w:rPr>
      <w:rFonts w:ascii="Tahoma" w:hAnsi="Tahoma" w:cs="Tahoma"/>
      <w:sz w:val="16"/>
      <w:szCs w:val="16"/>
    </w:rPr>
  </w:style>
  <w:style w:type="paragraph" w:styleId="BodyText">
    <w:name w:val="Body Text"/>
    <w:basedOn w:val="Normal"/>
    <w:link w:val="BodyTextChar"/>
    <w:uiPriority w:val="1"/>
    <w:qFormat/>
    <w:rsid w:val="001347A9"/>
    <w:pPr>
      <w:widowControl w:val="0"/>
      <w:autoSpaceDE w:val="0"/>
      <w:autoSpaceDN w:val="0"/>
      <w:spacing w:after="120" w:line="276" w:lineRule="auto"/>
    </w:pPr>
    <w:rPr>
      <w:rFonts w:ascii="FuturaPT-Light" w:eastAsia="FuturaPT-Light" w:hAnsi="FuturaPT-Light" w:cs="FuturaPT-Light"/>
      <w:sz w:val="20"/>
      <w:szCs w:val="20"/>
      <w:lang w:val="en-US"/>
    </w:rPr>
  </w:style>
  <w:style w:type="character" w:customStyle="1" w:styleId="BodyTextChar">
    <w:name w:val="Body Text Char"/>
    <w:basedOn w:val="DefaultParagraphFont"/>
    <w:link w:val="BodyText"/>
    <w:uiPriority w:val="1"/>
    <w:rsid w:val="001347A9"/>
    <w:rPr>
      <w:rFonts w:ascii="FuturaPT-Light" w:eastAsia="FuturaPT-Light" w:hAnsi="FuturaPT-Light" w:cs="FuturaPT-Light"/>
      <w:sz w:val="20"/>
      <w:szCs w:val="20"/>
      <w:lang w:val="en-US"/>
    </w:rPr>
  </w:style>
  <w:style w:type="character" w:styleId="UnresolvedMention">
    <w:name w:val="Unresolved Mention"/>
    <w:basedOn w:val="DefaultParagraphFont"/>
    <w:uiPriority w:val="99"/>
    <w:semiHidden/>
    <w:unhideWhenUsed/>
    <w:rsid w:val="001347A9"/>
    <w:rPr>
      <w:color w:val="605E5C"/>
      <w:shd w:val="clear" w:color="auto" w:fill="E1DFDD"/>
    </w:rPr>
  </w:style>
  <w:style w:type="paragraph" w:styleId="FootnoteText">
    <w:name w:val="footnote text"/>
    <w:basedOn w:val="Normal"/>
    <w:link w:val="FootnoteTextChar"/>
    <w:uiPriority w:val="99"/>
    <w:unhideWhenUsed/>
    <w:rsid w:val="001347A9"/>
    <w:pPr>
      <w:spacing w:after="0" w:line="240" w:lineRule="auto"/>
    </w:pPr>
    <w:rPr>
      <w:sz w:val="20"/>
      <w:szCs w:val="20"/>
    </w:rPr>
  </w:style>
  <w:style w:type="character" w:customStyle="1" w:styleId="FootnoteTextChar">
    <w:name w:val="Footnote Text Char"/>
    <w:basedOn w:val="DefaultParagraphFont"/>
    <w:link w:val="FootnoteText"/>
    <w:uiPriority w:val="99"/>
    <w:rsid w:val="001347A9"/>
    <w:rPr>
      <w:sz w:val="20"/>
      <w:szCs w:val="20"/>
    </w:rPr>
  </w:style>
  <w:style w:type="character" w:styleId="FootnoteReference">
    <w:name w:val="footnote reference"/>
    <w:basedOn w:val="DefaultParagraphFont"/>
    <w:uiPriority w:val="99"/>
    <w:semiHidden/>
    <w:unhideWhenUsed/>
    <w:rsid w:val="001347A9"/>
    <w:rPr>
      <w:vertAlign w:val="superscript"/>
    </w:rPr>
  </w:style>
  <w:style w:type="paragraph" w:styleId="CommentText">
    <w:name w:val="annotation text"/>
    <w:basedOn w:val="Normal"/>
    <w:link w:val="CommentTextChar"/>
    <w:uiPriority w:val="99"/>
    <w:unhideWhenUsed/>
    <w:rsid w:val="001347A9"/>
    <w:pPr>
      <w:spacing w:after="200" w:line="240" w:lineRule="auto"/>
    </w:pPr>
    <w:rPr>
      <w:sz w:val="20"/>
      <w:szCs w:val="20"/>
    </w:rPr>
  </w:style>
  <w:style w:type="character" w:customStyle="1" w:styleId="CommentTextChar">
    <w:name w:val="Comment Text Char"/>
    <w:basedOn w:val="DefaultParagraphFont"/>
    <w:link w:val="CommentText"/>
    <w:uiPriority w:val="99"/>
    <w:rsid w:val="001347A9"/>
    <w:rPr>
      <w:sz w:val="20"/>
      <w:szCs w:val="20"/>
    </w:rPr>
  </w:style>
  <w:style w:type="character" w:styleId="CommentReference">
    <w:name w:val="annotation reference"/>
    <w:basedOn w:val="DefaultParagraphFont"/>
    <w:uiPriority w:val="99"/>
    <w:semiHidden/>
    <w:unhideWhenUsed/>
    <w:rsid w:val="001347A9"/>
    <w:rPr>
      <w:sz w:val="18"/>
      <w:szCs w:val="18"/>
    </w:rPr>
  </w:style>
  <w:style w:type="paragraph" w:styleId="NoSpacing">
    <w:name w:val="No Spacing"/>
    <w:uiPriority w:val="1"/>
    <w:qFormat/>
    <w:rsid w:val="001347A9"/>
    <w:pPr>
      <w:spacing w:after="0" w:line="240" w:lineRule="auto"/>
    </w:pPr>
  </w:style>
  <w:style w:type="paragraph" w:styleId="CommentSubject">
    <w:name w:val="annotation subject"/>
    <w:basedOn w:val="CommentText"/>
    <w:next w:val="CommentText"/>
    <w:link w:val="CommentSubjectChar"/>
    <w:uiPriority w:val="99"/>
    <w:semiHidden/>
    <w:unhideWhenUsed/>
    <w:rsid w:val="00834567"/>
    <w:pPr>
      <w:spacing w:after="160"/>
    </w:pPr>
    <w:rPr>
      <w:b/>
      <w:bCs/>
    </w:rPr>
  </w:style>
  <w:style w:type="character" w:customStyle="1" w:styleId="CommentSubjectChar">
    <w:name w:val="Comment Subject Char"/>
    <w:basedOn w:val="CommentTextChar"/>
    <w:link w:val="CommentSubject"/>
    <w:uiPriority w:val="99"/>
    <w:semiHidden/>
    <w:rsid w:val="00834567"/>
    <w:rPr>
      <w:b/>
      <w:bCs/>
      <w:sz w:val="20"/>
      <w:szCs w:val="20"/>
    </w:rPr>
  </w:style>
  <w:style w:type="character" w:customStyle="1" w:styleId="ListParagraphChar">
    <w:name w:val="List Paragraph Char"/>
    <w:aliases w:val="Dot pt Char"/>
    <w:basedOn w:val="DefaultParagraphFont"/>
    <w:link w:val="ListParagraph"/>
    <w:uiPriority w:val="34"/>
    <w:locked/>
    <w:rsid w:val="009319DB"/>
    <w:rPr>
      <w:rFonts w:ascii="Calibri" w:hAnsi="Calibri" w:cs="Times New Roman"/>
    </w:rPr>
  </w:style>
  <w:style w:type="character" w:customStyle="1" w:styleId="normaltextrun">
    <w:name w:val="normaltextrun"/>
    <w:basedOn w:val="DefaultParagraphFont"/>
    <w:rsid w:val="006816EF"/>
  </w:style>
  <w:style w:type="character" w:customStyle="1" w:styleId="eop">
    <w:name w:val="eop"/>
    <w:basedOn w:val="DefaultParagraphFont"/>
    <w:rsid w:val="006816EF"/>
  </w:style>
  <w:style w:type="paragraph" w:styleId="EndnoteText">
    <w:name w:val="endnote text"/>
    <w:basedOn w:val="Normal"/>
    <w:link w:val="EndnoteTextChar"/>
    <w:uiPriority w:val="99"/>
    <w:semiHidden/>
    <w:unhideWhenUsed/>
    <w:rsid w:val="00614DF8"/>
    <w:pPr>
      <w:spacing w:after="0" w:line="240" w:lineRule="auto"/>
    </w:pPr>
    <w:rPr>
      <w:sz w:val="20"/>
      <w:szCs w:val="20"/>
      <w:lang w:val="en-US"/>
    </w:rPr>
  </w:style>
  <w:style w:type="character" w:customStyle="1" w:styleId="EndnoteTextChar">
    <w:name w:val="Endnote Text Char"/>
    <w:basedOn w:val="DefaultParagraphFont"/>
    <w:link w:val="EndnoteText"/>
    <w:uiPriority w:val="99"/>
    <w:semiHidden/>
    <w:rsid w:val="00614DF8"/>
    <w:rPr>
      <w:sz w:val="20"/>
      <w:szCs w:val="20"/>
      <w:lang w:val="en-US"/>
    </w:rPr>
  </w:style>
  <w:style w:type="character" w:styleId="EndnoteReference">
    <w:name w:val="endnote reference"/>
    <w:basedOn w:val="DefaultParagraphFont"/>
    <w:uiPriority w:val="99"/>
    <w:semiHidden/>
    <w:unhideWhenUsed/>
    <w:rsid w:val="00614DF8"/>
    <w:rPr>
      <w:vertAlign w:val="superscript"/>
    </w:rPr>
  </w:style>
  <w:style w:type="character" w:styleId="FollowedHyperlink">
    <w:name w:val="FollowedHyperlink"/>
    <w:basedOn w:val="DefaultParagraphFont"/>
    <w:uiPriority w:val="99"/>
    <w:semiHidden/>
    <w:unhideWhenUsed/>
    <w:rsid w:val="00A109AB"/>
    <w:rPr>
      <w:color w:val="954F72" w:themeColor="followedHyperlink"/>
      <w:u w:val="single"/>
    </w:rPr>
  </w:style>
  <w:style w:type="character" w:customStyle="1" w:styleId="Heading1Char">
    <w:name w:val="Heading 1 Char"/>
    <w:basedOn w:val="DefaultParagraphFont"/>
    <w:link w:val="Heading1"/>
    <w:uiPriority w:val="9"/>
    <w:rsid w:val="00462C8A"/>
    <w:rPr>
      <w:rFonts w:asciiTheme="majorHAnsi" w:eastAsiaTheme="majorEastAsia" w:hAnsiTheme="majorHAnsi" w:cstheme="majorBidi"/>
      <w:color w:val="2F5496" w:themeColor="accent1" w:themeShade="BF"/>
      <w:sz w:val="32"/>
      <w:szCs w:val="32"/>
      <w:lang w:val="en-US"/>
    </w:rPr>
  </w:style>
  <w:style w:type="table" w:styleId="TableGrid">
    <w:name w:val="Table Grid"/>
    <w:basedOn w:val="TableNormal"/>
    <w:uiPriority w:val="39"/>
    <w:rsid w:val="006F3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A5D0A"/>
    <w:rPr>
      <w:rFonts w:ascii="Arial" w:eastAsiaTheme="majorEastAsia" w:hAnsi="Arial" w:cstheme="majorBidi"/>
      <w:color w:val="2F5496" w:themeColor="accent1" w:themeShade="BF"/>
      <w:sz w:val="26"/>
      <w:szCs w:val="26"/>
    </w:rPr>
  </w:style>
  <w:style w:type="character" w:customStyle="1" w:styleId="Heading3Char">
    <w:name w:val="Heading 3 Char"/>
    <w:basedOn w:val="DefaultParagraphFont"/>
    <w:link w:val="Heading3"/>
    <w:uiPriority w:val="9"/>
    <w:rsid w:val="007A5D0A"/>
    <w:rPr>
      <w:rFonts w:ascii="Arial" w:eastAsiaTheme="majorEastAsia" w:hAnsi="Arial" w:cstheme="majorBidi"/>
      <w:color w:val="1F3763" w:themeColor="accent1" w:themeShade="7F"/>
      <w:sz w:val="24"/>
      <w:szCs w:val="24"/>
    </w:rPr>
  </w:style>
  <w:style w:type="paragraph" w:styleId="Title">
    <w:name w:val="Title"/>
    <w:basedOn w:val="Normal"/>
    <w:next w:val="Normal"/>
    <w:link w:val="TitleChar"/>
    <w:uiPriority w:val="10"/>
    <w:qFormat/>
    <w:rsid w:val="007A5D0A"/>
    <w:pPr>
      <w:spacing w:after="0" w:line="240" w:lineRule="auto"/>
      <w:contextualSpacing/>
    </w:pPr>
    <w:rPr>
      <w:rFonts w:ascii="Arial" w:eastAsiaTheme="majorEastAsia" w:hAnsi="Arial" w:cstheme="majorBidi"/>
      <w:spacing w:val="-10"/>
      <w:kern w:val="28"/>
      <w:sz w:val="56"/>
      <w:szCs w:val="56"/>
    </w:rPr>
  </w:style>
  <w:style w:type="character" w:customStyle="1" w:styleId="TitleChar">
    <w:name w:val="Title Char"/>
    <w:basedOn w:val="DefaultParagraphFont"/>
    <w:link w:val="Title"/>
    <w:uiPriority w:val="10"/>
    <w:rsid w:val="007A5D0A"/>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A5D0A"/>
    <w:pPr>
      <w:numPr>
        <w:ilvl w:val="1"/>
      </w:numPr>
    </w:pPr>
    <w:rPr>
      <w:rFonts w:ascii="Arial" w:eastAsiaTheme="minorEastAsia" w:hAnsi="Arial"/>
      <w:color w:val="5A5A5A" w:themeColor="text1" w:themeTint="A5"/>
      <w:spacing w:val="15"/>
    </w:rPr>
  </w:style>
  <w:style w:type="character" w:customStyle="1" w:styleId="SubtitleChar">
    <w:name w:val="Subtitle Char"/>
    <w:basedOn w:val="DefaultParagraphFont"/>
    <w:link w:val="Subtitle"/>
    <w:uiPriority w:val="11"/>
    <w:rsid w:val="007A5D0A"/>
    <w:rPr>
      <w:rFonts w:ascii="Arial" w:eastAsiaTheme="minorEastAsia" w:hAnsi="Arial"/>
      <w:color w:val="5A5A5A" w:themeColor="text1" w:themeTint="A5"/>
      <w:spacing w:val="15"/>
    </w:rPr>
  </w:style>
  <w:style w:type="paragraph" w:customStyle="1" w:styleId="Default">
    <w:name w:val="Default"/>
    <w:rsid w:val="007A5D0A"/>
    <w:pPr>
      <w:autoSpaceDE w:val="0"/>
      <w:autoSpaceDN w:val="0"/>
      <w:adjustRightInd w:val="0"/>
      <w:spacing w:after="0" w:line="240" w:lineRule="auto"/>
    </w:pPr>
    <w:rPr>
      <w:rFonts w:ascii="Jacobs Chronos" w:hAnsi="Jacobs Chronos" w:cs="Jacobs Chronos"/>
      <w:color w:val="000000"/>
      <w:sz w:val="24"/>
      <w:szCs w:val="24"/>
    </w:rPr>
  </w:style>
  <w:style w:type="paragraph" w:customStyle="1" w:styleId="Pa22">
    <w:name w:val="Pa22"/>
    <w:basedOn w:val="Default"/>
    <w:next w:val="Default"/>
    <w:uiPriority w:val="99"/>
    <w:rsid w:val="007A5D0A"/>
    <w:pPr>
      <w:spacing w:line="201" w:lineRule="atLeast"/>
    </w:pPr>
    <w:rPr>
      <w:rFonts w:cstheme="minorBidi"/>
      <w:color w:val="auto"/>
    </w:rPr>
  </w:style>
  <w:style w:type="paragraph" w:customStyle="1" w:styleId="07NumberedBodySubheading">
    <w:name w:val="07_Numbered_Body_Sub_heading"/>
    <w:basedOn w:val="Normal"/>
    <w:qFormat/>
    <w:rsid w:val="007A5D0A"/>
    <w:pPr>
      <w:tabs>
        <w:tab w:val="left" w:pos="2268"/>
      </w:tabs>
      <w:spacing w:after="0" w:line="240" w:lineRule="atLeast"/>
    </w:pPr>
    <w:rPr>
      <w:rFonts w:ascii="Arial" w:eastAsia="Calibri" w:hAnsi="Arial" w:cs="Times New Roman"/>
      <w:b/>
      <w:sz w:val="20"/>
    </w:rPr>
  </w:style>
  <w:style w:type="paragraph" w:styleId="IntenseQuote">
    <w:name w:val="Intense Quote"/>
    <w:basedOn w:val="Normal"/>
    <w:next w:val="Normal"/>
    <w:link w:val="IntenseQuoteChar"/>
    <w:uiPriority w:val="30"/>
    <w:qFormat/>
    <w:rsid w:val="007A5D0A"/>
    <w:pPr>
      <w:pBdr>
        <w:top w:val="single" w:sz="4" w:space="10" w:color="4472C4" w:themeColor="accent1"/>
        <w:bottom w:val="single" w:sz="4" w:space="10" w:color="4472C4" w:themeColor="accent1"/>
      </w:pBdr>
      <w:spacing w:before="360" w:after="360"/>
      <w:ind w:left="864" w:right="864"/>
      <w:jc w:val="center"/>
    </w:pPr>
    <w:rPr>
      <w:rFonts w:ascii="Arial" w:hAnsi="Arial"/>
      <w:i/>
      <w:iCs/>
      <w:color w:val="4472C4" w:themeColor="accent1"/>
    </w:rPr>
  </w:style>
  <w:style w:type="character" w:customStyle="1" w:styleId="IntenseQuoteChar">
    <w:name w:val="Intense Quote Char"/>
    <w:basedOn w:val="DefaultParagraphFont"/>
    <w:link w:val="IntenseQuote"/>
    <w:uiPriority w:val="30"/>
    <w:rsid w:val="007A5D0A"/>
    <w:rPr>
      <w:rFonts w:ascii="Arial" w:hAnsi="Arial"/>
      <w:i/>
      <w:iCs/>
      <w:color w:val="4472C4" w:themeColor="accent1"/>
    </w:rPr>
  </w:style>
  <w:style w:type="character" w:styleId="IntenseReference">
    <w:name w:val="Intense Reference"/>
    <w:basedOn w:val="DefaultParagraphFont"/>
    <w:uiPriority w:val="32"/>
    <w:qFormat/>
    <w:rsid w:val="007A5D0A"/>
    <w:rPr>
      <w:b/>
      <w:bCs/>
      <w:smallCaps/>
      <w:color w:val="4472C4" w:themeColor="accent1"/>
      <w:spacing w:val="5"/>
    </w:rPr>
  </w:style>
  <w:style w:type="paragraph" w:styleId="Revision">
    <w:name w:val="Revision"/>
    <w:hidden/>
    <w:uiPriority w:val="99"/>
    <w:semiHidden/>
    <w:rsid w:val="007A5D0A"/>
    <w:pPr>
      <w:spacing w:after="0" w:line="240" w:lineRule="auto"/>
    </w:pPr>
    <w:rPr>
      <w:rFonts w:ascii="Arial" w:hAnsi="Arial"/>
    </w:rPr>
  </w:style>
  <w:style w:type="paragraph" w:styleId="TOCHeading">
    <w:name w:val="TOC Heading"/>
    <w:basedOn w:val="Heading1"/>
    <w:next w:val="Normal"/>
    <w:uiPriority w:val="39"/>
    <w:unhideWhenUsed/>
    <w:qFormat/>
    <w:rsid w:val="007A5D0A"/>
    <w:pPr>
      <w:outlineLvl w:val="9"/>
    </w:pPr>
  </w:style>
  <w:style w:type="paragraph" w:styleId="TOC2">
    <w:name w:val="toc 2"/>
    <w:basedOn w:val="Normal"/>
    <w:next w:val="Normal"/>
    <w:autoRedefine/>
    <w:uiPriority w:val="39"/>
    <w:unhideWhenUsed/>
    <w:rsid w:val="007A5D0A"/>
    <w:pPr>
      <w:spacing w:after="100"/>
      <w:ind w:left="22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132065">
      <w:bodyDiv w:val="1"/>
      <w:marLeft w:val="0"/>
      <w:marRight w:val="0"/>
      <w:marTop w:val="0"/>
      <w:marBottom w:val="0"/>
      <w:divBdr>
        <w:top w:val="none" w:sz="0" w:space="0" w:color="auto"/>
        <w:left w:val="none" w:sz="0" w:space="0" w:color="auto"/>
        <w:bottom w:val="none" w:sz="0" w:space="0" w:color="auto"/>
        <w:right w:val="none" w:sz="0" w:space="0" w:color="auto"/>
      </w:divBdr>
    </w:div>
    <w:div w:id="725642951">
      <w:bodyDiv w:val="1"/>
      <w:marLeft w:val="0"/>
      <w:marRight w:val="0"/>
      <w:marTop w:val="0"/>
      <w:marBottom w:val="0"/>
      <w:divBdr>
        <w:top w:val="none" w:sz="0" w:space="0" w:color="auto"/>
        <w:left w:val="none" w:sz="0" w:space="0" w:color="auto"/>
        <w:bottom w:val="none" w:sz="0" w:space="0" w:color="auto"/>
        <w:right w:val="none" w:sz="0" w:space="0" w:color="auto"/>
      </w:divBdr>
    </w:div>
    <w:div w:id="1057240217">
      <w:bodyDiv w:val="1"/>
      <w:marLeft w:val="0"/>
      <w:marRight w:val="0"/>
      <w:marTop w:val="0"/>
      <w:marBottom w:val="0"/>
      <w:divBdr>
        <w:top w:val="none" w:sz="0" w:space="0" w:color="auto"/>
        <w:left w:val="none" w:sz="0" w:space="0" w:color="auto"/>
        <w:bottom w:val="none" w:sz="0" w:space="0" w:color="auto"/>
        <w:right w:val="none" w:sz="0" w:space="0" w:color="auto"/>
      </w:divBdr>
    </w:div>
    <w:div w:id="1443527486">
      <w:bodyDiv w:val="1"/>
      <w:marLeft w:val="0"/>
      <w:marRight w:val="0"/>
      <w:marTop w:val="0"/>
      <w:marBottom w:val="0"/>
      <w:divBdr>
        <w:top w:val="none" w:sz="0" w:space="0" w:color="auto"/>
        <w:left w:val="none" w:sz="0" w:space="0" w:color="auto"/>
        <w:bottom w:val="none" w:sz="0" w:space="0" w:color="auto"/>
        <w:right w:val="none" w:sz="0" w:space="0" w:color="auto"/>
      </w:divBdr>
    </w:div>
    <w:div w:id="1465007539">
      <w:bodyDiv w:val="1"/>
      <w:marLeft w:val="0"/>
      <w:marRight w:val="0"/>
      <w:marTop w:val="0"/>
      <w:marBottom w:val="0"/>
      <w:divBdr>
        <w:top w:val="none" w:sz="0" w:space="0" w:color="auto"/>
        <w:left w:val="none" w:sz="0" w:space="0" w:color="auto"/>
        <w:bottom w:val="none" w:sz="0" w:space="0" w:color="auto"/>
        <w:right w:val="none" w:sz="0" w:space="0" w:color="auto"/>
      </w:divBdr>
    </w:div>
    <w:div w:id="1856382753">
      <w:bodyDiv w:val="1"/>
      <w:marLeft w:val="0"/>
      <w:marRight w:val="0"/>
      <w:marTop w:val="0"/>
      <w:marBottom w:val="0"/>
      <w:divBdr>
        <w:top w:val="none" w:sz="0" w:space="0" w:color="auto"/>
        <w:left w:val="none" w:sz="0" w:space="0" w:color="auto"/>
        <w:bottom w:val="none" w:sz="0" w:space="0" w:color="auto"/>
        <w:right w:val="none" w:sz="0" w:space="0" w:color="auto"/>
      </w:divBdr>
    </w:div>
    <w:div w:id="193412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theccc.org.uk/publication/sixth-carbon-budget/" TargetMode="External"/><Relationship Id="rId26" Type="http://schemas.openxmlformats.org/officeDocument/2006/relationships/hyperlink" Target="https://www.jacobs.com/sites/default/files/2020-10/Jacobs-Strategy-for-Long-Term-Energy-Storage-in-UK-August-2020.pdf" TargetMode="External"/><Relationship Id="rId39" Type="http://schemas.openxmlformats.org/officeDocument/2006/relationships/fontTable" Target="fontTable.xml"/><Relationship Id="rId21" Type="http://schemas.openxmlformats.org/officeDocument/2006/relationships/hyperlink" Target="https://prod-drupal-files.storage.googleapis.com/documents/resource/public/Energy%20Storage%20Report%20-%20Can%20Storage%20Help%20Reduce%20The%20Cost%20Of%20A%20Future%20UK%20Electricity%20System%20-%20REPORT.pdf" TargetMode="External"/><Relationship Id="rId34" Type="http://schemas.openxmlformats.org/officeDocument/2006/relationships/hyperlink" Target="mailto:lbarnett@r-e-a.ne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yperlink" Target="https://www.hydropower.org/country-profiles/united-kingdom" TargetMode="External"/><Relationship Id="rId33" Type="http://schemas.openxmlformats.org/officeDocument/2006/relationships/hyperlink" Target="mailto:jabbott@r-e-a.net"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greentechmedia.com/articles/read/so-what-exactly-is-long-duration-storage-explained" TargetMode="External"/><Relationship Id="rId29" Type="http://schemas.openxmlformats.org/officeDocument/2006/relationships/hyperlink" Target="https://www.r-e-a.net/wp-content/uploads/2019/10/Energy-Storage-FINAL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mperial.ac.uk/energy-futures-lab/reports/Whole-System-Value-of-Long-Duration-Energy-Storage-in-a-Net-Zero-Emission-Energy-System-for-Great-Britain/" TargetMode="External"/><Relationship Id="rId32" Type="http://schemas.openxmlformats.org/officeDocument/2006/relationships/hyperlink" Target="mailto:imorris@r-e-a.net"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theccc.org.uk/wp-content/uploads/2015/10/CCC_Externalities_report_Imperial_Final_21Oct20151.pdf" TargetMode="External"/><Relationship Id="rId28" Type="http://schemas.openxmlformats.org/officeDocument/2006/relationships/hyperlink" Target="https://www.nationalgrideso.com/document/185881/download" TargetMode="External"/><Relationship Id="rId36" Type="http://schemas.openxmlformats.org/officeDocument/2006/relationships/hyperlink" Target="http://www.r-e-a.net/" TargetMode="External"/><Relationship Id="rId10" Type="http://schemas.openxmlformats.org/officeDocument/2006/relationships/endnotes" Target="endnotes.xml"/><Relationship Id="rId19" Type="http://schemas.openxmlformats.org/officeDocument/2006/relationships/hyperlink" Target="https://www.drax.com/wp-content/uploads/2019/12/191202_Drax_Q3_Report.pdf" TargetMode="External"/><Relationship Id="rId31" Type="http://schemas.openxmlformats.org/officeDocument/2006/relationships/hyperlink" Target="https://www.r-e-a.net/our-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heccc.org.uk/wp-content/uploads/2018/06/Imperial-College-2018-Analysis-of-Alternative-UK-Heat-Decarbonisation-Pathways.pdf" TargetMode="External"/><Relationship Id="rId27" Type="http://schemas.openxmlformats.org/officeDocument/2006/relationships/hyperlink" Target="https://www.nationalgrideso.com/document/173821/download" TargetMode="External"/><Relationship Id="rId30" Type="http://schemas.openxmlformats.org/officeDocument/2006/relationships/hyperlink" Target="https://www.sciencedirect.com/science/article/pii/S0360544219316871" TargetMode="External"/><Relationship Id="rId35" Type="http://schemas.openxmlformats.org/officeDocument/2006/relationships/hyperlink" Target="mailto:info@r-e-a.net"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r-e-a.net/wp-content/uploads/2019/10/Energy-Storage-FINAL6.pdf" TargetMode="External"/><Relationship Id="rId13" Type="http://schemas.openxmlformats.org/officeDocument/2006/relationships/hyperlink" Target="https://www.sciencedirect.com/science/article/pii/S0360544219316871" TargetMode="External"/><Relationship Id="rId3" Type="http://schemas.openxmlformats.org/officeDocument/2006/relationships/hyperlink" Target="https://www.theccc.org.uk/wp-content/uploads/2015/10/CCC_Externalities_report_Imperial_Final_21Oct20151.pdf" TargetMode="External"/><Relationship Id="rId7" Type="http://schemas.openxmlformats.org/officeDocument/2006/relationships/hyperlink" Target="https://www.greentechmedia.com/articles/read/so-what-exactly-is-long-duration-storage-explained" TargetMode="External"/><Relationship Id="rId12" Type="http://schemas.openxmlformats.org/officeDocument/2006/relationships/hyperlink" Target="https://www.hydropower.org/country-profiles/united-kingdom" TargetMode="External"/><Relationship Id="rId2" Type="http://schemas.openxmlformats.org/officeDocument/2006/relationships/hyperlink" Target="https://www.theccc.org.uk/wp-content/uploads/2018/06/Imperial-College-2018-Analysis-of-Alternative-UK-Heat-Decarbonisation-Pathways.pdf" TargetMode="External"/><Relationship Id="rId1" Type="http://schemas.openxmlformats.org/officeDocument/2006/relationships/hyperlink" Target="https://www.theccc.org.uk/publication/sixth-carbon-budget/" TargetMode="External"/><Relationship Id="rId6" Type="http://schemas.openxmlformats.org/officeDocument/2006/relationships/hyperlink" Target="https://www.imperial.ac.uk/energy-futures-lab/reports/Whole-System-Value-of-Long-Duration-Energy-Storage-in-a-Net-Zero-Emission-Energy-System-for-Great-Britain/" TargetMode="External"/><Relationship Id="rId11" Type="http://schemas.openxmlformats.org/officeDocument/2006/relationships/hyperlink" Target="https://www.jacobs.com/sites/default/files/2020-10/Jacobs-Strategy-for-Long-Term-Energy-Storage-in-UK-August-2020.pdf" TargetMode="External"/><Relationship Id="rId5" Type="http://schemas.openxmlformats.org/officeDocument/2006/relationships/hyperlink" Target="https://www.drax.com/wp-content/uploads/2019/12/191202_Drax_Q3_Report.pdf" TargetMode="External"/><Relationship Id="rId10" Type="http://schemas.openxmlformats.org/officeDocument/2006/relationships/hyperlink" Target="https://www.nationalgrideso.com/document/173821/download" TargetMode="External"/><Relationship Id="rId4" Type="http://schemas.openxmlformats.org/officeDocument/2006/relationships/hyperlink" Target="https://prod-drupal-files.storage.googleapis.com/documents/resource/public/Energy%20Storage%20Report%20-%20Can%20Storage%20Help%20Reduce%20The%20Cost%20Of%20A%20Future%20UK%20Electricity%20System%20-%20REPORT.pdf" TargetMode="External"/><Relationship Id="rId9" Type="http://schemas.openxmlformats.org/officeDocument/2006/relationships/hyperlink" Target="https://www.nationalgrideso.com/document/173821/downlo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006018897A5D84AA320A03DC65F88E4" ma:contentTypeVersion="8" ma:contentTypeDescription="Create a new document." ma:contentTypeScope="" ma:versionID="711453bded5ecc76d612cb062297f9e7">
  <xsd:schema xmlns:xsd="http://www.w3.org/2001/XMLSchema" xmlns:xs="http://www.w3.org/2001/XMLSchema" xmlns:p="http://schemas.microsoft.com/office/2006/metadata/properties" xmlns:ns3="5dbbd846-2c46-4d31-a3e0-606bf22f137b" targetNamespace="http://schemas.microsoft.com/office/2006/metadata/properties" ma:root="true" ma:fieldsID="c682d452d45b7977ef386c8ac7d0bd76" ns3:_="">
    <xsd:import namespace="5dbbd846-2c46-4d31-a3e0-606bf22f137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bbd846-2c46-4d31-a3e0-606bf22f13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ADD3A-A818-48C0-8F5D-624C00DF3951}">
  <ds:schemaRefs>
    <ds:schemaRef ds:uri="http://schemas.microsoft.com/sharepoint/v3/contenttype/forms"/>
  </ds:schemaRefs>
</ds:datastoreItem>
</file>

<file path=customXml/itemProps2.xml><?xml version="1.0" encoding="utf-8"?>
<ds:datastoreItem xmlns:ds="http://schemas.openxmlformats.org/officeDocument/2006/customXml" ds:itemID="{7C9ED93B-1877-4A71-806F-7B930F56D4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bbd846-2c46-4d31-a3e0-606bf22f13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B4A972-2ECF-44D4-A525-3431BD5237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26CA738-C45E-4FD4-AF35-AE4437870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23</Pages>
  <Words>6461</Words>
  <Characters>36833</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Barnett</dc:creator>
  <cp:keywords/>
  <dc:description/>
  <cp:lastModifiedBy>Isobel Morris</cp:lastModifiedBy>
  <cp:revision>4</cp:revision>
  <cp:lastPrinted>2020-12-15T15:45:00Z</cp:lastPrinted>
  <dcterms:created xsi:type="dcterms:W3CDTF">2021-02-26T09:58:00Z</dcterms:created>
  <dcterms:modified xsi:type="dcterms:W3CDTF">2021-02-26T13:18:00Z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0x0101001006018897A5D84AA320A03DC65F88E4</vt:lpwstr>
  </property>
</Properties>
</file>