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B6E9D" w14:textId="77777777" w:rsidR="00BD51B5" w:rsidRPr="00BD51B5" w:rsidRDefault="00BD51B5" w:rsidP="00BD51B5">
      <w:pPr>
        <w:spacing w:after="0" w:line="240" w:lineRule="auto"/>
        <w:jc w:val="center"/>
        <w:rPr>
          <w:rFonts w:ascii="Open Sans" w:hAnsi="Open Sans" w:cs="Open Sans"/>
          <w:b/>
          <w:bCs/>
          <w:color w:val="06926B"/>
          <w:sz w:val="32"/>
          <w:szCs w:val="32"/>
        </w:rPr>
      </w:pPr>
      <w:r w:rsidRPr="00BD51B5">
        <w:rPr>
          <w:rFonts w:ascii="Open Sans" w:hAnsi="Open Sans" w:cs="Open Sans"/>
          <w:b/>
          <w:bCs/>
          <w:color w:val="06926B"/>
          <w:sz w:val="32"/>
          <w:szCs w:val="32"/>
        </w:rPr>
        <w:t>REA Response:</w:t>
      </w:r>
    </w:p>
    <w:p w14:paraId="58FE24AD" w14:textId="48D4FF18" w:rsidR="00BD51B5" w:rsidRPr="00BD51B5" w:rsidRDefault="00BD51B5" w:rsidP="00BD51B5">
      <w:pPr>
        <w:spacing w:after="0" w:line="240" w:lineRule="auto"/>
        <w:jc w:val="center"/>
        <w:rPr>
          <w:rFonts w:ascii="Open Sans" w:hAnsi="Open Sans" w:cs="Open Sans"/>
          <w:b/>
          <w:bCs/>
          <w:color w:val="06926B"/>
          <w:sz w:val="32"/>
          <w:szCs w:val="32"/>
        </w:rPr>
      </w:pPr>
      <w:r w:rsidRPr="00BD51B5">
        <w:rPr>
          <w:rFonts w:ascii="Open Sans" w:hAnsi="Open Sans" w:cs="Open Sans"/>
          <w:b/>
          <w:bCs/>
          <w:color w:val="06926B"/>
          <w:sz w:val="32"/>
          <w:szCs w:val="32"/>
        </w:rPr>
        <w:t>Clean Heat Grant: further policy design proposals</w:t>
      </w:r>
    </w:p>
    <w:p w14:paraId="2E4B1A0E" w14:textId="77777777" w:rsidR="00BD51B5" w:rsidRPr="00BD51B5" w:rsidRDefault="00BD51B5" w:rsidP="00BD51B5">
      <w:pPr>
        <w:spacing w:after="0" w:line="240" w:lineRule="auto"/>
        <w:rPr>
          <w:rFonts w:ascii="Open Sans" w:hAnsi="Open Sans" w:cs="Open Sans"/>
          <w:b/>
          <w:bCs/>
        </w:rPr>
      </w:pPr>
    </w:p>
    <w:p w14:paraId="053D7BF2" w14:textId="6CD5E9C9" w:rsidR="00BD51B5" w:rsidRDefault="00BD51B5" w:rsidP="00BD51B5">
      <w:pPr>
        <w:rPr>
          <w:rFonts w:ascii="Open Sans" w:hAnsi="Open Sans" w:cs="Open Sans"/>
        </w:rPr>
      </w:pPr>
      <w:r w:rsidRPr="00B06706">
        <w:rPr>
          <w:rFonts w:ascii="Open Sans" w:hAnsi="Open Sans" w:cs="Open Sans"/>
        </w:rPr>
        <w:t xml:space="preserve">The </w:t>
      </w:r>
      <w:r>
        <w:rPr>
          <w:rFonts w:ascii="Open Sans" w:hAnsi="Open Sans" w:cs="Open Sans"/>
        </w:rPr>
        <w:t>Association for Renewable Energy &amp; Clean Technologies</w:t>
      </w:r>
      <w:r w:rsidRPr="00B06706">
        <w:rPr>
          <w:rFonts w:ascii="Open Sans" w:hAnsi="Open Sans" w:cs="Open Sans"/>
        </w:rPr>
        <w:t xml:space="preserve"> (REA) </w:t>
      </w:r>
      <w:r>
        <w:rPr>
          <w:rFonts w:ascii="Open Sans" w:hAnsi="Open Sans" w:cs="Open Sans"/>
        </w:rPr>
        <w:t>is</w:t>
      </w:r>
      <w:r w:rsidRPr="00B06706">
        <w:rPr>
          <w:rFonts w:ascii="Open Sans" w:hAnsi="Open Sans" w:cs="Open Sans"/>
        </w:rPr>
        <w:t xml:space="preserve">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550 corporate members of the REA, making it the largest renewable energy trade association in the UK. The </w:t>
      </w:r>
      <w:r>
        <w:rPr>
          <w:rFonts w:ascii="Open Sans" w:hAnsi="Open Sans" w:cs="Open Sans"/>
        </w:rPr>
        <w:t xml:space="preserve">Wood Heat </w:t>
      </w:r>
      <w:r>
        <w:rPr>
          <w:rFonts w:ascii="Open Sans" w:hAnsi="Open Sans" w:cs="Open Sans"/>
        </w:rPr>
        <w:t>Forum</w:t>
      </w:r>
      <w:r>
        <w:rPr>
          <w:rFonts w:ascii="Open Sans" w:hAnsi="Open Sans" w:cs="Open Sans"/>
        </w:rPr>
        <w:t xml:space="preserve"> is the members forum within the REA that advocates for </w:t>
      </w:r>
      <w:r w:rsidRPr="00B06706">
        <w:rPr>
          <w:rFonts w:ascii="Open Sans" w:hAnsi="Open Sans" w:cs="Open Sans"/>
        </w:rPr>
        <w:t>the modern wood heating and related biomass heating industry including wood fuel suppliers, biomass boiler and stove installers and distributors, and anyone involved in the supply chain.</w:t>
      </w:r>
    </w:p>
    <w:p w14:paraId="0EDA2FA9" w14:textId="66A87C07" w:rsidR="004C3842" w:rsidRPr="00BD51B5" w:rsidRDefault="001D11CF">
      <w:pPr>
        <w:rPr>
          <w:rFonts w:ascii="Open Sans" w:hAnsi="Open Sans" w:cs="Open Sans"/>
          <w:b/>
          <w:bCs/>
        </w:rPr>
      </w:pPr>
      <w:r w:rsidRPr="00BD51B5">
        <w:rPr>
          <w:rFonts w:ascii="Open Sans" w:hAnsi="Open Sans" w:cs="Open Sans"/>
          <w:b/>
          <w:bCs/>
        </w:rPr>
        <w:t>Minimum Insulation Requirements</w:t>
      </w:r>
    </w:p>
    <w:p w14:paraId="3D47A256" w14:textId="6ABF4BDF" w:rsidR="001D11CF" w:rsidRPr="00BD51B5" w:rsidRDefault="001D11CF">
      <w:pPr>
        <w:rPr>
          <w:rFonts w:ascii="Open Sans" w:hAnsi="Open Sans" w:cs="Open Sans"/>
        </w:rPr>
      </w:pPr>
      <w:r w:rsidRPr="00BD51B5">
        <w:rPr>
          <w:rFonts w:ascii="Open Sans" w:hAnsi="Open Sans" w:cs="Open Sans"/>
        </w:rPr>
        <w:t>We are supportive of proposals</w:t>
      </w:r>
      <w:r w:rsidR="001F0A2E" w:rsidRPr="00BD51B5">
        <w:rPr>
          <w:rFonts w:ascii="Open Sans" w:hAnsi="Open Sans" w:cs="Open Sans"/>
        </w:rPr>
        <w:t xml:space="preserve"> that the Clean Heat Grant should replicate existing requirements on the domestic Renewable Heat Incentive (RHI), requiring applicants to hold a valid EPC for the property. We also agree with utilising the existing insulation exemptions in place for the domestic RHI. </w:t>
      </w:r>
    </w:p>
    <w:p w14:paraId="332AF76B" w14:textId="4E2B8285" w:rsidR="007442C2" w:rsidRPr="00BD51B5" w:rsidRDefault="001F0A2E" w:rsidP="007442C2">
      <w:pPr>
        <w:rPr>
          <w:rFonts w:ascii="Open Sans" w:hAnsi="Open Sans" w:cs="Open Sans"/>
          <w:sz w:val="20"/>
          <w:szCs w:val="20"/>
        </w:rPr>
      </w:pPr>
      <w:r w:rsidRPr="00BD51B5">
        <w:rPr>
          <w:rFonts w:ascii="Open Sans" w:hAnsi="Open Sans" w:cs="Open Sans"/>
        </w:rPr>
        <w:t>However,</w:t>
      </w:r>
      <w:r w:rsidR="007442C2" w:rsidRPr="00BD51B5">
        <w:rPr>
          <w:rFonts w:ascii="Open Sans" w:hAnsi="Open Sans" w:cs="Open Sans"/>
        </w:rPr>
        <w:t xml:space="preserve"> we would also take this </w:t>
      </w:r>
      <w:r w:rsidR="007651EF" w:rsidRPr="00BD51B5">
        <w:rPr>
          <w:rFonts w:ascii="Open Sans" w:hAnsi="Open Sans" w:cs="Open Sans"/>
        </w:rPr>
        <w:t>opportunity</w:t>
      </w:r>
      <w:r w:rsidR="007442C2" w:rsidRPr="00BD51B5">
        <w:rPr>
          <w:rFonts w:ascii="Open Sans" w:hAnsi="Open Sans" w:cs="Open Sans"/>
        </w:rPr>
        <w:t xml:space="preserve"> to highlight that </w:t>
      </w:r>
      <w:r w:rsidR="007442C2" w:rsidRPr="00BD51B5">
        <w:rPr>
          <w:rFonts w:ascii="Open Sans" w:hAnsi="Open Sans" w:cs="Open Sans"/>
          <w:sz w:val="20"/>
          <w:szCs w:val="20"/>
        </w:rPr>
        <w:t xml:space="preserve">a major barrier to heat decarbonisation comes from the fact that Standard Assessment Procedure </w:t>
      </w:r>
      <w:r w:rsidR="00846EE8" w:rsidRPr="00BD51B5">
        <w:rPr>
          <w:rFonts w:ascii="Open Sans" w:hAnsi="Open Sans" w:cs="Open Sans"/>
          <w:sz w:val="20"/>
          <w:szCs w:val="20"/>
        </w:rPr>
        <w:t xml:space="preserve">2012 </w:t>
      </w:r>
      <w:r w:rsidR="007442C2" w:rsidRPr="00BD51B5">
        <w:rPr>
          <w:rFonts w:ascii="Open Sans" w:hAnsi="Open Sans" w:cs="Open Sans"/>
          <w:sz w:val="20"/>
          <w:szCs w:val="20"/>
        </w:rPr>
        <w:t xml:space="preserve">(SAP), which is used to calculate the EPC, does not use up to date figures on cost, efficiency, and carbon intensity.  Out of date efficiency calculations for renewable heat technologies within the SAP regularly produces results that favour fossil fuel heating systems and fail to reward flexibility. </w:t>
      </w:r>
      <w:r w:rsidR="00846EE8" w:rsidRPr="00BD51B5">
        <w:rPr>
          <w:rFonts w:ascii="Open Sans" w:hAnsi="Open Sans" w:cs="Open Sans"/>
          <w:sz w:val="20"/>
          <w:szCs w:val="20"/>
        </w:rPr>
        <w:t xml:space="preserve"> </w:t>
      </w:r>
      <w:r w:rsidR="007442C2" w:rsidRPr="00BD51B5">
        <w:rPr>
          <w:rFonts w:ascii="Open Sans" w:hAnsi="Open Sans" w:cs="Open Sans"/>
          <w:sz w:val="20"/>
          <w:szCs w:val="20"/>
        </w:rPr>
        <w:t xml:space="preserve"> Methodologies should be updated as soon as possible so that renewable energy is the primary focus within the SAP calculation while taking into consideration the loss of that generated heat.  </w:t>
      </w:r>
    </w:p>
    <w:p w14:paraId="3F94F5DB" w14:textId="0B74CB3C" w:rsidR="007442C2" w:rsidRPr="00BD51B5" w:rsidRDefault="007442C2" w:rsidP="007442C2">
      <w:pPr>
        <w:rPr>
          <w:rFonts w:ascii="Open Sans" w:hAnsi="Open Sans" w:cs="Open Sans"/>
          <w:b/>
          <w:bCs/>
          <w:sz w:val="20"/>
          <w:szCs w:val="20"/>
        </w:rPr>
      </w:pPr>
      <w:r w:rsidRPr="00BD51B5">
        <w:rPr>
          <w:rFonts w:ascii="Open Sans" w:hAnsi="Open Sans" w:cs="Open Sans"/>
          <w:b/>
          <w:bCs/>
          <w:sz w:val="20"/>
          <w:szCs w:val="20"/>
        </w:rPr>
        <w:t>Biomass eligibility and ‘</w:t>
      </w:r>
      <w:r w:rsidR="001D2269" w:rsidRPr="00BD51B5">
        <w:rPr>
          <w:rFonts w:ascii="Open Sans" w:hAnsi="Open Sans" w:cs="Open Sans"/>
          <w:b/>
          <w:bCs/>
          <w:sz w:val="20"/>
          <w:szCs w:val="20"/>
        </w:rPr>
        <w:t>H</w:t>
      </w:r>
      <w:r w:rsidRPr="00BD51B5">
        <w:rPr>
          <w:rFonts w:ascii="Open Sans" w:hAnsi="Open Sans" w:cs="Open Sans"/>
          <w:b/>
          <w:bCs/>
          <w:sz w:val="20"/>
          <w:szCs w:val="20"/>
        </w:rPr>
        <w:t xml:space="preserve">ard to </w:t>
      </w:r>
      <w:r w:rsidR="001D2269" w:rsidRPr="00BD51B5">
        <w:rPr>
          <w:rFonts w:ascii="Open Sans" w:hAnsi="Open Sans" w:cs="Open Sans"/>
          <w:b/>
          <w:bCs/>
          <w:sz w:val="20"/>
          <w:szCs w:val="20"/>
        </w:rPr>
        <w:t>T</w:t>
      </w:r>
      <w:r w:rsidRPr="00BD51B5">
        <w:rPr>
          <w:rFonts w:ascii="Open Sans" w:hAnsi="Open Sans" w:cs="Open Sans"/>
          <w:b/>
          <w:bCs/>
          <w:sz w:val="20"/>
          <w:szCs w:val="20"/>
        </w:rPr>
        <w:t>reat’ Buildings</w:t>
      </w:r>
    </w:p>
    <w:p w14:paraId="6FF0AD7C" w14:textId="246861A9" w:rsidR="007442C2" w:rsidRPr="00BD51B5" w:rsidRDefault="00F47299" w:rsidP="007442C2">
      <w:pPr>
        <w:rPr>
          <w:rFonts w:ascii="Open Sans" w:hAnsi="Open Sans" w:cs="Open Sans"/>
          <w:sz w:val="20"/>
          <w:szCs w:val="20"/>
        </w:rPr>
      </w:pPr>
      <w:r w:rsidRPr="00BD51B5">
        <w:rPr>
          <w:rFonts w:ascii="Open Sans" w:hAnsi="Open Sans" w:cs="Open Sans"/>
          <w:sz w:val="20"/>
          <w:szCs w:val="20"/>
        </w:rPr>
        <w:t>As expressed in previous response, the REA raise concerns that a</w:t>
      </w:r>
      <w:r w:rsidRPr="00BD51B5">
        <w:rPr>
          <w:rFonts w:ascii="Open Sans" w:hAnsi="Open Sans" w:cs="Open Sans"/>
          <w:sz w:val="20"/>
          <w:szCs w:val="20"/>
        </w:rPr>
        <w:t>ssessing suitability for a heat pump</w:t>
      </w:r>
      <w:r w:rsidRPr="00BD51B5">
        <w:rPr>
          <w:rFonts w:ascii="Open Sans" w:hAnsi="Open Sans" w:cs="Open Sans"/>
          <w:sz w:val="20"/>
          <w:szCs w:val="20"/>
        </w:rPr>
        <w:t xml:space="preserve"> or biomass boiler</w:t>
      </w:r>
      <w:r w:rsidRPr="00BD51B5">
        <w:rPr>
          <w:rFonts w:ascii="Open Sans" w:hAnsi="Open Sans" w:cs="Open Sans"/>
          <w:sz w:val="20"/>
          <w:szCs w:val="20"/>
        </w:rPr>
        <w:t xml:space="preserve"> based solely on the building’s W/m² figure is overly simplistic and takes no account of other factors </w:t>
      </w:r>
      <w:r w:rsidRPr="00BD51B5">
        <w:rPr>
          <w:rFonts w:ascii="Open Sans" w:hAnsi="Open Sans" w:cs="Open Sans"/>
          <w:sz w:val="20"/>
          <w:szCs w:val="20"/>
        </w:rPr>
        <w:t>that could inform which heat technology is</w:t>
      </w:r>
      <w:r w:rsidR="00846EE8" w:rsidRPr="00BD51B5">
        <w:rPr>
          <w:rFonts w:ascii="Open Sans" w:hAnsi="Open Sans" w:cs="Open Sans"/>
          <w:sz w:val="20"/>
          <w:szCs w:val="20"/>
        </w:rPr>
        <w:t xml:space="preserve"> appropriate to</w:t>
      </w:r>
      <w:r w:rsidRPr="00BD51B5">
        <w:rPr>
          <w:rFonts w:ascii="Open Sans" w:hAnsi="Open Sans" w:cs="Open Sans"/>
          <w:sz w:val="20"/>
          <w:szCs w:val="20"/>
        </w:rPr>
        <w:t xml:space="preserve"> install.</w:t>
      </w:r>
      <w:r w:rsidRPr="00BD51B5">
        <w:rPr>
          <w:rFonts w:ascii="Open Sans" w:hAnsi="Open Sans" w:cs="Open Sans"/>
        </w:rPr>
        <w:t xml:space="preserve">  T</w:t>
      </w:r>
      <w:r w:rsidRPr="00BD51B5">
        <w:rPr>
          <w:rFonts w:ascii="Open Sans" w:hAnsi="Open Sans" w:cs="Open Sans"/>
        </w:rPr>
        <w:t xml:space="preserve">he heat loss of a building is only part of the </w:t>
      </w:r>
      <w:r w:rsidR="001D2269" w:rsidRPr="00BD51B5">
        <w:rPr>
          <w:rFonts w:ascii="Open Sans" w:hAnsi="Open Sans" w:cs="Open Sans"/>
        </w:rPr>
        <w:t>decision-making</w:t>
      </w:r>
      <w:r w:rsidRPr="00BD51B5">
        <w:rPr>
          <w:rFonts w:ascii="Open Sans" w:hAnsi="Open Sans" w:cs="Open Sans"/>
        </w:rPr>
        <w:t xml:space="preserve"> process when deciding on </w:t>
      </w:r>
      <w:r w:rsidR="001D2269" w:rsidRPr="00BD51B5">
        <w:rPr>
          <w:rFonts w:ascii="Open Sans" w:hAnsi="Open Sans" w:cs="Open Sans"/>
        </w:rPr>
        <w:t xml:space="preserve">the correct </w:t>
      </w:r>
      <w:r w:rsidRPr="00BD51B5">
        <w:rPr>
          <w:rFonts w:ascii="Open Sans" w:hAnsi="Open Sans" w:cs="Open Sans"/>
        </w:rPr>
        <w:t xml:space="preserve">renewable heat technology to adopt for any </w:t>
      </w:r>
      <w:r w:rsidR="001D2269" w:rsidRPr="00BD51B5">
        <w:rPr>
          <w:rFonts w:ascii="Open Sans" w:hAnsi="Open Sans" w:cs="Open Sans"/>
        </w:rPr>
        <w:t>building</w:t>
      </w:r>
      <w:r w:rsidRPr="00BD51B5">
        <w:rPr>
          <w:rFonts w:ascii="Open Sans" w:hAnsi="Open Sans" w:cs="Open Sans"/>
        </w:rPr>
        <w:t>. Also considered</w:t>
      </w:r>
      <w:r w:rsidRPr="00BD51B5">
        <w:rPr>
          <w:rFonts w:ascii="Open Sans" w:hAnsi="Open Sans" w:cs="Open Sans"/>
          <w:sz w:val="20"/>
          <w:szCs w:val="20"/>
        </w:rPr>
        <w:t xml:space="preserve"> </w:t>
      </w:r>
      <w:r w:rsidR="001D2269" w:rsidRPr="00BD51B5">
        <w:rPr>
          <w:rFonts w:ascii="Open Sans" w:hAnsi="Open Sans" w:cs="Open Sans"/>
          <w:sz w:val="20"/>
          <w:szCs w:val="20"/>
        </w:rPr>
        <w:t xml:space="preserve">are factors </w:t>
      </w:r>
      <w:r w:rsidR="00846EE8" w:rsidRPr="00BD51B5">
        <w:rPr>
          <w:rFonts w:ascii="Open Sans" w:hAnsi="Open Sans" w:cs="Open Sans"/>
          <w:sz w:val="20"/>
          <w:szCs w:val="20"/>
        </w:rPr>
        <w:t>like</w:t>
      </w:r>
      <w:r w:rsidR="001D2269" w:rsidRPr="00BD51B5">
        <w:rPr>
          <w:rFonts w:ascii="Open Sans" w:hAnsi="Open Sans" w:cs="Open Sans"/>
          <w:sz w:val="20"/>
          <w:szCs w:val="20"/>
        </w:rPr>
        <w:t xml:space="preserve"> </w:t>
      </w:r>
      <w:r w:rsidRPr="00BD51B5">
        <w:rPr>
          <w:rFonts w:ascii="Open Sans" w:hAnsi="Open Sans" w:cs="Open Sans"/>
          <w:sz w:val="20"/>
          <w:szCs w:val="20"/>
        </w:rPr>
        <w:t xml:space="preserve">electricity supply capacity </w:t>
      </w:r>
      <w:r w:rsidR="00846EE8" w:rsidRPr="00BD51B5">
        <w:rPr>
          <w:rFonts w:ascii="Open Sans" w:hAnsi="Open Sans" w:cs="Open Sans"/>
          <w:sz w:val="20"/>
          <w:szCs w:val="20"/>
        </w:rPr>
        <w:t>availability</w:t>
      </w:r>
      <w:r w:rsidR="001D2269" w:rsidRPr="00BD51B5">
        <w:rPr>
          <w:rFonts w:ascii="Open Sans" w:hAnsi="Open Sans" w:cs="Open Sans"/>
          <w:sz w:val="20"/>
          <w:szCs w:val="20"/>
        </w:rPr>
        <w:t xml:space="preserve"> (including if the consumer also has a EV charging point)</w:t>
      </w:r>
      <w:r w:rsidR="00846EE8" w:rsidRPr="00BD51B5">
        <w:rPr>
          <w:rFonts w:ascii="Open Sans" w:hAnsi="Open Sans" w:cs="Open Sans"/>
          <w:sz w:val="20"/>
          <w:szCs w:val="20"/>
        </w:rPr>
        <w:t>;</w:t>
      </w:r>
      <w:r w:rsidRPr="00BD51B5">
        <w:rPr>
          <w:rFonts w:ascii="Open Sans" w:hAnsi="Open Sans" w:cs="Open Sans"/>
          <w:sz w:val="20"/>
          <w:szCs w:val="20"/>
        </w:rPr>
        <w:t xml:space="preserve"> cost of ancillary works (</w:t>
      </w:r>
      <w:proofErr w:type="spellStart"/>
      <w:proofErr w:type="gramStart"/>
      <w:r w:rsidRPr="00BD51B5">
        <w:rPr>
          <w:rFonts w:ascii="Open Sans" w:hAnsi="Open Sans" w:cs="Open Sans"/>
          <w:sz w:val="20"/>
          <w:szCs w:val="20"/>
        </w:rPr>
        <w:t>eg</w:t>
      </w:r>
      <w:proofErr w:type="spellEnd"/>
      <w:proofErr w:type="gramEnd"/>
      <w:r w:rsidRPr="00BD51B5">
        <w:rPr>
          <w:rFonts w:ascii="Open Sans" w:hAnsi="Open Sans" w:cs="Open Sans"/>
          <w:sz w:val="20"/>
          <w:szCs w:val="20"/>
        </w:rPr>
        <w:t xml:space="preserve"> upgrading/installing radiators)</w:t>
      </w:r>
      <w:r w:rsidR="00846EE8" w:rsidRPr="00BD51B5">
        <w:rPr>
          <w:rFonts w:ascii="Open Sans" w:hAnsi="Open Sans" w:cs="Open Sans"/>
          <w:sz w:val="20"/>
          <w:szCs w:val="20"/>
        </w:rPr>
        <w:t>;</w:t>
      </w:r>
      <w:r w:rsidRPr="00BD51B5">
        <w:rPr>
          <w:rFonts w:ascii="Open Sans" w:hAnsi="Open Sans" w:cs="Open Sans"/>
          <w:sz w:val="20"/>
          <w:szCs w:val="20"/>
        </w:rPr>
        <w:t xml:space="preserve"> </w:t>
      </w:r>
      <w:r w:rsidR="001D2269" w:rsidRPr="00BD51B5">
        <w:rPr>
          <w:rFonts w:ascii="Open Sans" w:hAnsi="Open Sans" w:cs="Open Sans"/>
          <w:sz w:val="20"/>
          <w:szCs w:val="20"/>
        </w:rPr>
        <w:t>availability of local installers or feedstock providers</w:t>
      </w:r>
      <w:r w:rsidR="00846EE8" w:rsidRPr="00BD51B5">
        <w:rPr>
          <w:rFonts w:ascii="Open Sans" w:hAnsi="Open Sans" w:cs="Open Sans"/>
          <w:sz w:val="20"/>
          <w:szCs w:val="20"/>
        </w:rPr>
        <w:t xml:space="preserve">; </w:t>
      </w:r>
      <w:r w:rsidR="001D2269" w:rsidRPr="00BD51B5">
        <w:rPr>
          <w:rFonts w:ascii="Open Sans" w:hAnsi="Open Sans" w:cs="Open Sans"/>
          <w:sz w:val="20"/>
          <w:szCs w:val="20"/>
        </w:rPr>
        <w:t>or comparison</w:t>
      </w:r>
      <w:r w:rsidR="00846EE8" w:rsidRPr="00BD51B5">
        <w:rPr>
          <w:rFonts w:ascii="Open Sans" w:hAnsi="Open Sans" w:cs="Open Sans"/>
          <w:sz w:val="20"/>
          <w:szCs w:val="20"/>
        </w:rPr>
        <w:t>s</w:t>
      </w:r>
      <w:r w:rsidR="001D2269" w:rsidRPr="00BD51B5">
        <w:rPr>
          <w:rFonts w:ascii="Open Sans" w:hAnsi="Open Sans" w:cs="Open Sans"/>
          <w:sz w:val="20"/>
          <w:szCs w:val="20"/>
        </w:rPr>
        <w:t xml:space="preserve"> of running costs. </w:t>
      </w:r>
      <w:r w:rsidR="001D2269" w:rsidRPr="00BD51B5">
        <w:rPr>
          <w:rFonts w:ascii="Open Sans" w:hAnsi="Open Sans" w:cs="Open Sans"/>
        </w:rPr>
        <w:t xml:space="preserve">A blunt threshold W/m2 figure may be </w:t>
      </w:r>
      <w:r w:rsidR="00D6366F" w:rsidRPr="00BD51B5">
        <w:rPr>
          <w:rFonts w:ascii="Open Sans" w:hAnsi="Open Sans" w:cs="Open Sans"/>
        </w:rPr>
        <w:t>simple but</w:t>
      </w:r>
      <w:r w:rsidR="001D2269" w:rsidRPr="00BD51B5">
        <w:rPr>
          <w:rFonts w:ascii="Open Sans" w:hAnsi="Open Sans" w:cs="Open Sans"/>
        </w:rPr>
        <w:t xml:space="preserve"> is unlikely to lead to the right decision </w:t>
      </w:r>
      <w:r w:rsidR="00D6366F" w:rsidRPr="00BD51B5">
        <w:rPr>
          <w:rFonts w:ascii="Open Sans" w:hAnsi="Open Sans" w:cs="Open Sans"/>
        </w:rPr>
        <w:t>regarding</w:t>
      </w:r>
      <w:r w:rsidR="001D2269" w:rsidRPr="00BD51B5">
        <w:rPr>
          <w:rFonts w:ascii="Open Sans" w:hAnsi="Open Sans" w:cs="Open Sans"/>
        </w:rPr>
        <w:t xml:space="preserve"> assessing biomass vs ASHP vs GSHP</w:t>
      </w:r>
      <w:r w:rsidR="00846EE8" w:rsidRPr="00BD51B5">
        <w:rPr>
          <w:rFonts w:ascii="Open Sans" w:hAnsi="Open Sans" w:cs="Open Sans"/>
        </w:rPr>
        <w:t>.</w:t>
      </w:r>
    </w:p>
    <w:p w14:paraId="587DBCC2" w14:textId="75B2A544" w:rsidR="001F0A2E" w:rsidRPr="00BD51B5" w:rsidRDefault="001D2269">
      <w:pPr>
        <w:rPr>
          <w:rFonts w:ascii="Open Sans" w:hAnsi="Open Sans" w:cs="Open Sans"/>
        </w:rPr>
      </w:pPr>
      <w:r w:rsidRPr="00BD51B5">
        <w:rPr>
          <w:rFonts w:ascii="Open Sans" w:hAnsi="Open Sans" w:cs="Open Sans"/>
        </w:rPr>
        <w:t xml:space="preserve">We continue to believe a full heat assessment should be carried out for all installations, not just required </w:t>
      </w:r>
      <w:r w:rsidR="00D6366F" w:rsidRPr="00BD51B5">
        <w:rPr>
          <w:rFonts w:ascii="Open Sans" w:hAnsi="Open Sans" w:cs="Open Sans"/>
        </w:rPr>
        <w:t>in the case of</w:t>
      </w:r>
      <w:r w:rsidRPr="00BD51B5">
        <w:rPr>
          <w:rFonts w:ascii="Open Sans" w:hAnsi="Open Sans" w:cs="Open Sans"/>
        </w:rPr>
        <w:t xml:space="preserve"> </w:t>
      </w:r>
      <w:r w:rsidR="00D6366F" w:rsidRPr="00BD51B5">
        <w:rPr>
          <w:rFonts w:ascii="Open Sans" w:hAnsi="Open Sans" w:cs="Open Sans"/>
        </w:rPr>
        <w:t>biomass installations</w:t>
      </w:r>
      <w:r w:rsidRPr="00BD51B5">
        <w:rPr>
          <w:rFonts w:ascii="Open Sans" w:hAnsi="Open Sans" w:cs="Open Sans"/>
        </w:rPr>
        <w:t xml:space="preserve">. This will help ensure the CHG is paying for the right capacity and technology to be installed </w:t>
      </w:r>
      <w:r w:rsidR="00D6366F" w:rsidRPr="00BD51B5">
        <w:rPr>
          <w:rFonts w:ascii="Open Sans" w:hAnsi="Open Sans" w:cs="Open Sans"/>
        </w:rPr>
        <w:t>for the</w:t>
      </w:r>
      <w:r w:rsidRPr="00BD51B5">
        <w:rPr>
          <w:rFonts w:ascii="Open Sans" w:hAnsi="Open Sans" w:cs="Open Sans"/>
        </w:rPr>
        <w:t xml:space="preserve"> properties heat needs. </w:t>
      </w:r>
      <w:r w:rsidR="007651EF" w:rsidRPr="00BD51B5">
        <w:rPr>
          <w:rFonts w:ascii="Open Sans" w:hAnsi="Open Sans" w:cs="Open Sans"/>
        </w:rPr>
        <w:t xml:space="preserve">This will also lead to a more technology neutral approach to support for heat decarbonisation. </w:t>
      </w:r>
    </w:p>
    <w:p w14:paraId="0564B731" w14:textId="0EF076C5" w:rsidR="007651EF" w:rsidRPr="00BD51B5" w:rsidRDefault="007651EF">
      <w:pPr>
        <w:rPr>
          <w:rFonts w:ascii="Open Sans" w:hAnsi="Open Sans" w:cs="Open Sans"/>
        </w:rPr>
      </w:pPr>
      <w:r w:rsidRPr="00BD51B5">
        <w:rPr>
          <w:rFonts w:ascii="Open Sans" w:hAnsi="Open Sans" w:cs="Open Sans"/>
        </w:rPr>
        <w:t>Given the above</w:t>
      </w:r>
      <w:r w:rsidR="00D6366F" w:rsidRPr="00BD51B5">
        <w:rPr>
          <w:rFonts w:ascii="Open Sans" w:hAnsi="Open Sans" w:cs="Open Sans"/>
        </w:rPr>
        <w:t>,</w:t>
      </w:r>
      <w:r w:rsidRPr="00BD51B5">
        <w:rPr>
          <w:rFonts w:ascii="Open Sans" w:hAnsi="Open Sans" w:cs="Open Sans"/>
        </w:rPr>
        <w:t xml:space="preserve"> we do not have a strong position on where the threshold should lie but suggest that</w:t>
      </w:r>
      <w:r w:rsidR="00D6366F" w:rsidRPr="00BD51B5">
        <w:rPr>
          <w:rFonts w:ascii="Open Sans" w:hAnsi="Open Sans" w:cs="Open Sans"/>
        </w:rPr>
        <w:t xml:space="preserve">, </w:t>
      </w:r>
      <w:r w:rsidRPr="00BD51B5">
        <w:rPr>
          <w:rFonts w:ascii="Open Sans" w:hAnsi="Open Sans" w:cs="Open Sans"/>
        </w:rPr>
        <w:t>if BEIS are committed to pursuing this</w:t>
      </w:r>
      <w:r w:rsidR="00AF5D52" w:rsidRPr="00BD51B5">
        <w:rPr>
          <w:rFonts w:ascii="Open Sans" w:hAnsi="Open Sans" w:cs="Open Sans"/>
        </w:rPr>
        <w:t xml:space="preserve"> policy approach, </w:t>
      </w:r>
      <w:r w:rsidRPr="00BD51B5">
        <w:rPr>
          <w:rFonts w:ascii="Open Sans" w:hAnsi="Open Sans" w:cs="Open Sans"/>
        </w:rPr>
        <w:t>the threshold should be at the lower end of the range suggested</w:t>
      </w:r>
      <w:r w:rsidR="00AF5D52" w:rsidRPr="00BD51B5">
        <w:rPr>
          <w:rFonts w:ascii="Open Sans" w:hAnsi="Open Sans" w:cs="Open Sans"/>
        </w:rPr>
        <w:t xml:space="preserve">, </w:t>
      </w:r>
      <w:r w:rsidRPr="00BD51B5">
        <w:rPr>
          <w:rFonts w:ascii="Open Sans" w:hAnsi="Open Sans" w:cs="Open Sans"/>
        </w:rPr>
        <w:t xml:space="preserve">providing opportunities </w:t>
      </w:r>
      <w:r w:rsidR="00AF5D52" w:rsidRPr="00BD51B5">
        <w:rPr>
          <w:rFonts w:ascii="Open Sans" w:hAnsi="Open Sans" w:cs="Open Sans"/>
        </w:rPr>
        <w:t>to</w:t>
      </w:r>
      <w:r w:rsidRPr="00BD51B5">
        <w:rPr>
          <w:rFonts w:ascii="Open Sans" w:hAnsi="Open Sans" w:cs="Open Sans"/>
        </w:rPr>
        <w:t xml:space="preserve"> allow further criteria to </w:t>
      </w:r>
      <w:r w:rsidRPr="00BD51B5">
        <w:rPr>
          <w:rFonts w:ascii="Open Sans" w:hAnsi="Open Sans" w:cs="Open Sans"/>
        </w:rPr>
        <w:lastRenderedPageBreak/>
        <w:t xml:space="preserve">be considered </w:t>
      </w:r>
      <w:r w:rsidR="00AF5D52" w:rsidRPr="00BD51B5">
        <w:rPr>
          <w:rFonts w:ascii="Open Sans" w:hAnsi="Open Sans" w:cs="Open Sans"/>
        </w:rPr>
        <w:t xml:space="preserve">by the consumer without the threshold becoming </w:t>
      </w:r>
      <w:r w:rsidR="00D6366F" w:rsidRPr="00BD51B5">
        <w:rPr>
          <w:rFonts w:ascii="Open Sans" w:hAnsi="Open Sans" w:cs="Open Sans"/>
        </w:rPr>
        <w:t xml:space="preserve">too onerous a </w:t>
      </w:r>
      <w:r w:rsidR="00AF5D52" w:rsidRPr="00BD51B5">
        <w:rPr>
          <w:rFonts w:ascii="Open Sans" w:hAnsi="Open Sans" w:cs="Open Sans"/>
        </w:rPr>
        <w:t xml:space="preserve">barrier to the installation of </w:t>
      </w:r>
      <w:r w:rsidR="00D6366F" w:rsidRPr="00BD51B5">
        <w:rPr>
          <w:rFonts w:ascii="Open Sans" w:hAnsi="Open Sans" w:cs="Open Sans"/>
        </w:rPr>
        <w:t>b</w:t>
      </w:r>
      <w:r w:rsidR="00AF5D52" w:rsidRPr="00BD51B5">
        <w:rPr>
          <w:rFonts w:ascii="Open Sans" w:hAnsi="Open Sans" w:cs="Open Sans"/>
        </w:rPr>
        <w:t xml:space="preserve">iomass where it might be an appropriate solution. </w:t>
      </w:r>
    </w:p>
    <w:p w14:paraId="4A4FEEB9" w14:textId="4AF16AC3" w:rsidR="00AF5D52" w:rsidRPr="00BD51B5" w:rsidRDefault="00AF5D52">
      <w:pPr>
        <w:rPr>
          <w:rFonts w:ascii="Open Sans" w:hAnsi="Open Sans" w:cs="Open Sans"/>
          <w:b/>
          <w:bCs/>
        </w:rPr>
      </w:pPr>
      <w:r w:rsidRPr="00BD51B5">
        <w:rPr>
          <w:rFonts w:ascii="Open Sans" w:hAnsi="Open Sans" w:cs="Open Sans"/>
          <w:b/>
          <w:bCs/>
        </w:rPr>
        <w:t>Voucher Application Process</w:t>
      </w:r>
    </w:p>
    <w:p w14:paraId="55B5D64F" w14:textId="2B03FBF2" w:rsidR="007651EF" w:rsidRPr="00BD51B5" w:rsidRDefault="00AF5D52">
      <w:pPr>
        <w:rPr>
          <w:rFonts w:ascii="Open Sans" w:hAnsi="Open Sans" w:cs="Open Sans"/>
        </w:rPr>
      </w:pPr>
      <w:r w:rsidRPr="00BD51B5">
        <w:rPr>
          <w:rFonts w:ascii="Open Sans" w:hAnsi="Open Sans" w:cs="Open Sans"/>
        </w:rPr>
        <w:t xml:space="preserve">The REA are supportive of the proposed step that </w:t>
      </w:r>
      <w:r w:rsidRPr="00BD51B5">
        <w:rPr>
          <w:rFonts w:ascii="Open Sans" w:hAnsi="Open Sans" w:cs="Open Sans"/>
        </w:rPr>
        <w:t>consumers will be required to have their needs assessed by at least one installer and submit a quotation when applying for a voucher.</w:t>
      </w:r>
      <w:r w:rsidRPr="00BD51B5">
        <w:rPr>
          <w:rFonts w:ascii="Open Sans" w:hAnsi="Open Sans" w:cs="Open Sans"/>
        </w:rPr>
        <w:t xml:space="preserve"> As stated in our original consultation response</w:t>
      </w:r>
      <w:r w:rsidR="00D6366F" w:rsidRPr="00BD51B5">
        <w:rPr>
          <w:rFonts w:ascii="Open Sans" w:hAnsi="Open Sans" w:cs="Open Sans"/>
        </w:rPr>
        <w:t>,</w:t>
      </w:r>
      <w:r w:rsidRPr="00BD51B5">
        <w:rPr>
          <w:rFonts w:ascii="Open Sans" w:hAnsi="Open Sans" w:cs="Open Sans"/>
        </w:rPr>
        <w:t xml:space="preserve"> we are in favour of measures that enable the consumer to understand their heat requirements first an</w:t>
      </w:r>
      <w:r w:rsidR="00672B4D" w:rsidRPr="00BD51B5">
        <w:rPr>
          <w:rFonts w:ascii="Open Sans" w:hAnsi="Open Sans" w:cs="Open Sans"/>
        </w:rPr>
        <w:t>d</w:t>
      </w:r>
      <w:r w:rsidRPr="00BD51B5">
        <w:rPr>
          <w:rFonts w:ascii="Open Sans" w:hAnsi="Open Sans" w:cs="Open Sans"/>
        </w:rPr>
        <w:t xml:space="preserve"> ensure they are getting the right capacity </w:t>
      </w:r>
      <w:r w:rsidR="00D6366F" w:rsidRPr="00BD51B5">
        <w:rPr>
          <w:rFonts w:ascii="Open Sans" w:hAnsi="Open Sans" w:cs="Open Sans"/>
        </w:rPr>
        <w:t xml:space="preserve">and technology </w:t>
      </w:r>
      <w:r w:rsidRPr="00BD51B5">
        <w:rPr>
          <w:rFonts w:ascii="Open Sans" w:hAnsi="Open Sans" w:cs="Open Sans"/>
        </w:rPr>
        <w:t>installed</w:t>
      </w:r>
      <w:r w:rsidR="00672B4D" w:rsidRPr="00BD51B5">
        <w:rPr>
          <w:rFonts w:ascii="Open Sans" w:hAnsi="Open Sans" w:cs="Open Sans"/>
        </w:rPr>
        <w:t xml:space="preserve">. </w:t>
      </w:r>
    </w:p>
    <w:p w14:paraId="60859DA4" w14:textId="0EBB7ED6" w:rsidR="00672B4D" w:rsidRPr="00BD51B5" w:rsidRDefault="00672B4D" w:rsidP="00672B4D">
      <w:pPr>
        <w:rPr>
          <w:rFonts w:ascii="Open Sans" w:hAnsi="Open Sans" w:cs="Open Sans"/>
        </w:rPr>
      </w:pPr>
      <w:r w:rsidRPr="00BD51B5">
        <w:rPr>
          <w:rFonts w:ascii="Open Sans" w:hAnsi="Open Sans" w:cs="Open Sans"/>
        </w:rPr>
        <w:t>We would also remind BEIS that g</w:t>
      </w:r>
      <w:r w:rsidRPr="00BD51B5">
        <w:rPr>
          <w:rFonts w:ascii="Open Sans" w:hAnsi="Open Sans" w:cs="Open Sans"/>
        </w:rPr>
        <w:t xml:space="preserve">iven the intention to make the first stage of the application consumer led, </w:t>
      </w:r>
      <w:r w:rsidRPr="00BD51B5">
        <w:rPr>
          <w:rFonts w:ascii="Open Sans" w:hAnsi="Open Sans" w:cs="Open Sans"/>
        </w:rPr>
        <w:t>i</w:t>
      </w:r>
      <w:r w:rsidRPr="00BD51B5">
        <w:rPr>
          <w:rFonts w:ascii="Open Sans" w:hAnsi="Open Sans" w:cs="Open Sans"/>
        </w:rPr>
        <w:t xml:space="preserve">t is important that consumers are protected during this process </w:t>
      </w:r>
      <w:r w:rsidRPr="00BD51B5">
        <w:rPr>
          <w:rFonts w:ascii="Open Sans" w:hAnsi="Open Sans" w:cs="Open Sans"/>
        </w:rPr>
        <w:t>so that if</w:t>
      </w:r>
      <w:r w:rsidRPr="00BD51B5">
        <w:rPr>
          <w:rFonts w:ascii="Open Sans" w:hAnsi="Open Sans" w:cs="Open Sans"/>
        </w:rPr>
        <w:t xml:space="preserve"> they have been miss sold an installation, that can then not be justified in stage 2, the remaining cost </w:t>
      </w:r>
      <w:r w:rsidRPr="00BD51B5">
        <w:rPr>
          <w:rFonts w:ascii="Open Sans" w:hAnsi="Open Sans" w:cs="Open Sans"/>
        </w:rPr>
        <w:t xml:space="preserve">of the project </w:t>
      </w:r>
      <w:r w:rsidRPr="00BD51B5">
        <w:rPr>
          <w:rFonts w:ascii="Open Sans" w:hAnsi="Open Sans" w:cs="Open Sans"/>
        </w:rPr>
        <w:t xml:space="preserve">does not revert to the consumer. This will help to ensure installers design and install </w:t>
      </w:r>
      <w:r w:rsidRPr="00BD51B5">
        <w:rPr>
          <w:rFonts w:ascii="Open Sans" w:hAnsi="Open Sans" w:cs="Open Sans"/>
        </w:rPr>
        <w:t>appropriate</w:t>
      </w:r>
      <w:r w:rsidRPr="00BD51B5">
        <w:rPr>
          <w:rFonts w:ascii="Open Sans" w:hAnsi="Open Sans" w:cs="Open Sans"/>
        </w:rPr>
        <w:t xml:space="preserve"> projects, as failure to secure a grant could see costs come back to them. </w:t>
      </w:r>
    </w:p>
    <w:p w14:paraId="49FD90B0" w14:textId="4C2BB7B8" w:rsidR="00672B4D" w:rsidRPr="00BD51B5" w:rsidRDefault="00672B4D" w:rsidP="00672B4D">
      <w:pPr>
        <w:rPr>
          <w:rFonts w:ascii="Open Sans" w:eastAsia="Times New Roman" w:hAnsi="Open Sans" w:cs="Open Sans"/>
        </w:rPr>
      </w:pPr>
      <w:r w:rsidRPr="00BD51B5">
        <w:rPr>
          <w:rFonts w:ascii="Open Sans" w:hAnsi="Open Sans" w:cs="Open Sans"/>
        </w:rPr>
        <w:t xml:space="preserve">We </w:t>
      </w:r>
      <w:r w:rsidR="00D6366F" w:rsidRPr="00BD51B5">
        <w:rPr>
          <w:rFonts w:ascii="Open Sans" w:hAnsi="Open Sans" w:cs="Open Sans"/>
        </w:rPr>
        <w:t xml:space="preserve">also </w:t>
      </w:r>
      <w:r w:rsidRPr="00BD51B5">
        <w:rPr>
          <w:rFonts w:ascii="Open Sans" w:hAnsi="Open Sans" w:cs="Open Sans"/>
        </w:rPr>
        <w:t>support the intention to ensure that vouchers are redeemed in a reasonable time and that unused vouchers are cancelled so that funding can be released for other applicants</w:t>
      </w:r>
      <w:r w:rsidR="00D6366F" w:rsidRPr="00BD51B5">
        <w:rPr>
          <w:rFonts w:ascii="Open Sans" w:hAnsi="Open Sans" w:cs="Open Sans"/>
        </w:rPr>
        <w:t>. H</w:t>
      </w:r>
      <w:r w:rsidRPr="00BD51B5">
        <w:rPr>
          <w:rFonts w:ascii="Open Sans" w:hAnsi="Open Sans" w:cs="Open Sans"/>
        </w:rPr>
        <w:t xml:space="preserve">owever, we note that the proposed three-month period is very tight </w:t>
      </w:r>
      <w:r w:rsidR="00D6366F" w:rsidRPr="00BD51B5">
        <w:rPr>
          <w:rFonts w:ascii="Open Sans" w:hAnsi="Open Sans" w:cs="Open Sans"/>
        </w:rPr>
        <w:t>i</w:t>
      </w:r>
      <w:r w:rsidRPr="00BD51B5">
        <w:rPr>
          <w:rFonts w:ascii="Open Sans" w:eastAsia="Times New Roman" w:hAnsi="Open Sans" w:cs="Open Sans"/>
        </w:rPr>
        <w:t>f there is any requirement for planning permission</w:t>
      </w:r>
      <w:r w:rsidR="00D6366F" w:rsidRPr="00BD51B5">
        <w:rPr>
          <w:rFonts w:ascii="Open Sans" w:eastAsia="Times New Roman" w:hAnsi="Open Sans" w:cs="Open Sans"/>
        </w:rPr>
        <w:t xml:space="preserve"> </w:t>
      </w:r>
      <w:r w:rsidR="00D6366F" w:rsidRPr="00BD51B5">
        <w:rPr>
          <w:rFonts w:ascii="Open Sans" w:eastAsia="Times New Roman" w:hAnsi="Open Sans" w:cs="Open Sans"/>
        </w:rPr>
        <w:t>or other statutory permissions</w:t>
      </w:r>
      <w:r w:rsidR="00D6366F" w:rsidRPr="00BD51B5">
        <w:rPr>
          <w:rFonts w:ascii="Open Sans" w:eastAsia="Times New Roman" w:hAnsi="Open Sans" w:cs="Open Sans"/>
        </w:rPr>
        <w:t xml:space="preserve">, </w:t>
      </w:r>
      <w:r w:rsidRPr="00BD51B5">
        <w:rPr>
          <w:rFonts w:ascii="Open Sans" w:eastAsia="Times New Roman" w:hAnsi="Open Sans" w:cs="Open Sans"/>
        </w:rPr>
        <w:t xml:space="preserve">which </w:t>
      </w:r>
      <w:r w:rsidRPr="00BD51B5">
        <w:rPr>
          <w:rFonts w:ascii="Open Sans" w:eastAsia="Times New Roman" w:hAnsi="Open Sans" w:cs="Open Sans"/>
        </w:rPr>
        <w:t>could well be the case for biomass</w:t>
      </w:r>
      <w:r w:rsidRPr="00BD51B5">
        <w:rPr>
          <w:rFonts w:ascii="Open Sans" w:eastAsia="Times New Roman" w:hAnsi="Open Sans" w:cs="Open Sans"/>
        </w:rPr>
        <w:t xml:space="preserve"> and may be for heat pumps.  The statutory consultation time for a planning application is 8 weeks</w:t>
      </w:r>
      <w:r w:rsidR="00D6366F" w:rsidRPr="00BD51B5">
        <w:rPr>
          <w:rFonts w:ascii="Open Sans" w:eastAsia="Times New Roman" w:hAnsi="Open Sans" w:cs="Open Sans"/>
        </w:rPr>
        <w:t>,</w:t>
      </w:r>
      <w:r w:rsidRPr="00BD51B5">
        <w:rPr>
          <w:rFonts w:ascii="Open Sans" w:eastAsia="Times New Roman" w:hAnsi="Open Sans" w:cs="Open Sans"/>
        </w:rPr>
        <w:t xml:space="preserve"> so </w:t>
      </w:r>
      <w:r w:rsidR="00D6366F" w:rsidRPr="00BD51B5">
        <w:rPr>
          <w:rFonts w:ascii="Open Sans" w:eastAsia="Times New Roman" w:hAnsi="Open Sans" w:cs="Open Sans"/>
        </w:rPr>
        <w:t xml:space="preserve">should be considered the </w:t>
      </w:r>
      <w:r w:rsidRPr="00BD51B5">
        <w:rPr>
          <w:rFonts w:ascii="Open Sans" w:eastAsia="Times New Roman" w:hAnsi="Open Sans" w:cs="Open Sans"/>
        </w:rPr>
        <w:t>minimum time between an application being submitted and planning permission being granted</w:t>
      </w:r>
      <w:r w:rsidRPr="00BD51B5">
        <w:rPr>
          <w:rFonts w:ascii="Open Sans" w:eastAsia="Times New Roman" w:hAnsi="Open Sans" w:cs="Open Sans"/>
        </w:rPr>
        <w:t>. A further few weeks</w:t>
      </w:r>
      <w:r w:rsidR="00D6366F" w:rsidRPr="00BD51B5">
        <w:rPr>
          <w:rFonts w:ascii="Open Sans" w:eastAsia="Times New Roman" w:hAnsi="Open Sans" w:cs="Open Sans"/>
        </w:rPr>
        <w:t xml:space="preserve"> are then needed</w:t>
      </w:r>
      <w:r w:rsidRPr="00BD51B5">
        <w:rPr>
          <w:rFonts w:ascii="Open Sans" w:eastAsia="Times New Roman" w:hAnsi="Open Sans" w:cs="Open Sans"/>
        </w:rPr>
        <w:t xml:space="preserve"> </w:t>
      </w:r>
      <w:r w:rsidRPr="00BD51B5">
        <w:rPr>
          <w:rFonts w:ascii="Open Sans" w:eastAsia="Times New Roman" w:hAnsi="Open Sans" w:cs="Open Sans"/>
        </w:rPr>
        <w:t xml:space="preserve">for the </w:t>
      </w:r>
      <w:r w:rsidRPr="00BD51B5">
        <w:rPr>
          <w:rFonts w:ascii="Open Sans" w:eastAsia="Times New Roman" w:hAnsi="Open Sans" w:cs="Open Sans"/>
        </w:rPr>
        <w:t xml:space="preserve">CHG </w:t>
      </w:r>
      <w:r w:rsidRPr="00BD51B5">
        <w:rPr>
          <w:rFonts w:ascii="Open Sans" w:eastAsia="Times New Roman" w:hAnsi="Open Sans" w:cs="Open Sans"/>
        </w:rPr>
        <w:t>application to be prepared</w:t>
      </w:r>
      <w:r w:rsidRPr="00BD51B5">
        <w:rPr>
          <w:rFonts w:ascii="Open Sans" w:eastAsia="Times New Roman" w:hAnsi="Open Sans" w:cs="Open Sans"/>
        </w:rPr>
        <w:t xml:space="preserve">, </w:t>
      </w:r>
      <w:r w:rsidRPr="00BD51B5">
        <w:rPr>
          <w:rFonts w:ascii="Open Sans" w:eastAsia="Times New Roman" w:hAnsi="Open Sans" w:cs="Open Sans"/>
        </w:rPr>
        <w:t xml:space="preserve">leaving only 2-3 weeks for equipment to be ordered, delivered, </w:t>
      </w:r>
      <w:r w:rsidRPr="00BD51B5">
        <w:rPr>
          <w:rFonts w:ascii="Open Sans" w:eastAsia="Times New Roman" w:hAnsi="Open Sans" w:cs="Open Sans"/>
        </w:rPr>
        <w:t>installed,</w:t>
      </w:r>
      <w:r w:rsidRPr="00BD51B5">
        <w:rPr>
          <w:rFonts w:ascii="Open Sans" w:eastAsia="Times New Roman" w:hAnsi="Open Sans" w:cs="Open Sans"/>
        </w:rPr>
        <w:t xml:space="preserve"> and commissioned</w:t>
      </w:r>
      <w:r w:rsidRPr="00BD51B5">
        <w:rPr>
          <w:rFonts w:ascii="Open Sans" w:eastAsia="Times New Roman" w:hAnsi="Open Sans" w:cs="Open Sans"/>
        </w:rPr>
        <w:t>.  We suggest either the 6-month validity period be extended to all applications, or that proof of having applied for required planning permission (or other statutory requirements)</w:t>
      </w:r>
      <w:r w:rsidR="00D6366F" w:rsidRPr="00BD51B5">
        <w:rPr>
          <w:rFonts w:ascii="Open Sans" w:eastAsia="Times New Roman" w:hAnsi="Open Sans" w:cs="Open Sans"/>
        </w:rPr>
        <w:t>,</w:t>
      </w:r>
      <w:r w:rsidRPr="00BD51B5">
        <w:rPr>
          <w:rFonts w:ascii="Open Sans" w:eastAsia="Times New Roman" w:hAnsi="Open Sans" w:cs="Open Sans"/>
        </w:rPr>
        <w:t xml:space="preserve"> should be included on </w:t>
      </w:r>
      <w:r w:rsidR="00F83C60" w:rsidRPr="00BD51B5">
        <w:rPr>
          <w:rFonts w:ascii="Open Sans" w:eastAsia="Times New Roman" w:hAnsi="Open Sans" w:cs="Open Sans"/>
        </w:rPr>
        <w:t>a</w:t>
      </w:r>
      <w:r w:rsidRPr="00BD51B5">
        <w:rPr>
          <w:rFonts w:ascii="Open Sans" w:eastAsia="Times New Roman" w:hAnsi="Open Sans" w:cs="Open Sans"/>
        </w:rPr>
        <w:t xml:space="preserve"> list of circumstances for extending the voucher validity period.  </w:t>
      </w:r>
    </w:p>
    <w:p w14:paraId="307FD395" w14:textId="41CDCC7A" w:rsidR="00F83C60" w:rsidRPr="00BD51B5" w:rsidRDefault="00F83C60" w:rsidP="00672B4D">
      <w:pPr>
        <w:rPr>
          <w:rFonts w:ascii="Open Sans" w:hAnsi="Open Sans" w:cs="Open Sans"/>
          <w:b/>
          <w:bCs/>
        </w:rPr>
      </w:pPr>
      <w:r w:rsidRPr="00BD51B5">
        <w:rPr>
          <w:rFonts w:ascii="Open Sans" w:hAnsi="Open Sans" w:cs="Open Sans"/>
          <w:b/>
          <w:bCs/>
        </w:rPr>
        <w:t>Clarification on our approach to new-build eligibility</w:t>
      </w:r>
    </w:p>
    <w:p w14:paraId="47B64E48" w14:textId="1E8BEC0A" w:rsidR="00672B4D" w:rsidRPr="00BD51B5" w:rsidRDefault="00F83C60">
      <w:pPr>
        <w:rPr>
          <w:rFonts w:ascii="Open Sans" w:hAnsi="Open Sans" w:cs="Open Sans"/>
        </w:rPr>
      </w:pPr>
      <w:r w:rsidRPr="00BD51B5">
        <w:rPr>
          <w:rFonts w:ascii="Open Sans" w:hAnsi="Open Sans" w:cs="Open Sans"/>
        </w:rPr>
        <w:t xml:space="preserve">The REA are supportive of the approach </w:t>
      </w:r>
      <w:r w:rsidR="00D6366F" w:rsidRPr="00BD51B5">
        <w:rPr>
          <w:rFonts w:ascii="Open Sans" w:hAnsi="Open Sans" w:cs="Open Sans"/>
        </w:rPr>
        <w:t>of</w:t>
      </w:r>
      <w:r w:rsidRPr="00BD51B5">
        <w:rPr>
          <w:rFonts w:ascii="Open Sans" w:hAnsi="Open Sans" w:cs="Open Sans"/>
        </w:rPr>
        <w:t xml:space="preserve"> using the Future Homes Standard as the primary </w:t>
      </w:r>
      <w:r w:rsidR="00D6366F" w:rsidRPr="00BD51B5">
        <w:rPr>
          <w:rFonts w:ascii="Open Sans" w:hAnsi="Open Sans" w:cs="Open Sans"/>
        </w:rPr>
        <w:t>method for en</w:t>
      </w:r>
      <w:r w:rsidRPr="00BD51B5">
        <w:rPr>
          <w:rFonts w:ascii="Open Sans" w:hAnsi="Open Sans" w:cs="Open Sans"/>
        </w:rPr>
        <w:t xml:space="preserve">suring new build properties install renewable heat systems and the Clean Heat Grant is </w:t>
      </w:r>
      <w:r w:rsidR="00D6366F" w:rsidRPr="00BD51B5">
        <w:rPr>
          <w:rFonts w:ascii="Open Sans" w:hAnsi="Open Sans" w:cs="Open Sans"/>
        </w:rPr>
        <w:t xml:space="preserve">therefore </w:t>
      </w:r>
      <w:r w:rsidRPr="00BD51B5">
        <w:rPr>
          <w:rFonts w:ascii="Open Sans" w:hAnsi="Open Sans" w:cs="Open Sans"/>
        </w:rPr>
        <w:t xml:space="preserve">focused on retrofit or custom-build situations. </w:t>
      </w:r>
    </w:p>
    <w:p w14:paraId="55DF090F" w14:textId="6E3D3D39" w:rsidR="007651EF" w:rsidRPr="00BD51B5" w:rsidRDefault="00BD51B5" w:rsidP="00BD51B5">
      <w:pPr>
        <w:jc w:val="right"/>
        <w:rPr>
          <w:rFonts w:ascii="Open Sans" w:hAnsi="Open Sans" w:cs="Open Sans"/>
          <w:b/>
          <w:bCs/>
        </w:rPr>
      </w:pPr>
      <w:r w:rsidRPr="00BD51B5">
        <w:rPr>
          <w:rFonts w:ascii="Open Sans" w:hAnsi="Open Sans" w:cs="Open Sans"/>
          <w:b/>
          <w:bCs/>
        </w:rPr>
        <w:t>March 2021</w:t>
      </w:r>
    </w:p>
    <w:sectPr w:rsidR="007651EF" w:rsidRPr="00BD51B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80C14" w14:textId="77777777" w:rsidR="00BD51B5" w:rsidRDefault="00BD51B5" w:rsidP="00BD51B5">
      <w:pPr>
        <w:spacing w:after="0" w:line="240" w:lineRule="auto"/>
      </w:pPr>
      <w:r>
        <w:separator/>
      </w:r>
    </w:p>
  </w:endnote>
  <w:endnote w:type="continuationSeparator" w:id="0">
    <w:p w14:paraId="1CBCF101" w14:textId="77777777" w:rsidR="00BD51B5" w:rsidRDefault="00BD51B5" w:rsidP="00BD5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6FCE5" w14:textId="77777777" w:rsidR="00BD51B5" w:rsidRDefault="00BD51B5" w:rsidP="00BD51B5">
      <w:pPr>
        <w:spacing w:after="0" w:line="240" w:lineRule="auto"/>
      </w:pPr>
      <w:r>
        <w:separator/>
      </w:r>
    </w:p>
  </w:footnote>
  <w:footnote w:type="continuationSeparator" w:id="0">
    <w:p w14:paraId="29FA0432" w14:textId="77777777" w:rsidR="00BD51B5" w:rsidRDefault="00BD51B5" w:rsidP="00BD5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A3C17" w14:textId="4632CB9B" w:rsidR="00BD51B5" w:rsidRDefault="00BD51B5">
    <w:pPr>
      <w:pStyle w:val="Header"/>
    </w:pPr>
    <w:r>
      <w:rPr>
        <w:noProof/>
      </w:rPr>
      <w:drawing>
        <wp:anchor distT="0" distB="0" distL="114300" distR="114300" simplePos="0" relativeHeight="251659264" behindDoc="0" locked="0" layoutInCell="1" allowOverlap="1" wp14:anchorId="25B9DEFD" wp14:editId="643A95BD">
          <wp:simplePos x="0" y="0"/>
          <wp:positionH relativeFrom="margin">
            <wp:posOffset>4678680</wp:posOffset>
          </wp:positionH>
          <wp:positionV relativeFrom="paragraph">
            <wp:posOffset>-259715</wp:posOffset>
          </wp:positionV>
          <wp:extent cx="1242060" cy="646430"/>
          <wp:effectExtent l="0" t="0" r="0" b="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242060" cy="6464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CF"/>
    <w:rsid w:val="001D11CF"/>
    <w:rsid w:val="001D2269"/>
    <w:rsid w:val="001F0A2E"/>
    <w:rsid w:val="004C3842"/>
    <w:rsid w:val="00672B4D"/>
    <w:rsid w:val="007442C2"/>
    <w:rsid w:val="007651EF"/>
    <w:rsid w:val="00846EE8"/>
    <w:rsid w:val="00AF5D52"/>
    <w:rsid w:val="00BD51B5"/>
    <w:rsid w:val="00BD5D83"/>
    <w:rsid w:val="00D6366F"/>
    <w:rsid w:val="00F47299"/>
    <w:rsid w:val="00F83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DD94"/>
  <w15:chartTrackingRefBased/>
  <w15:docId w15:val="{277A4034-E636-4F5C-9FF5-90EE99A7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D51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1B5"/>
  </w:style>
  <w:style w:type="paragraph" w:styleId="Footer">
    <w:name w:val="footer"/>
    <w:basedOn w:val="Normal"/>
    <w:link w:val="FooterChar"/>
    <w:uiPriority w:val="99"/>
    <w:unhideWhenUsed/>
    <w:rsid w:val="00BD5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1B5"/>
  </w:style>
  <w:style w:type="character" w:customStyle="1" w:styleId="Heading1Char">
    <w:name w:val="Heading 1 Char"/>
    <w:basedOn w:val="DefaultParagraphFont"/>
    <w:link w:val="Heading1"/>
    <w:uiPriority w:val="9"/>
    <w:rsid w:val="00BD51B5"/>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323632">
      <w:bodyDiv w:val="1"/>
      <w:marLeft w:val="0"/>
      <w:marRight w:val="0"/>
      <w:marTop w:val="0"/>
      <w:marBottom w:val="0"/>
      <w:divBdr>
        <w:top w:val="none" w:sz="0" w:space="0" w:color="auto"/>
        <w:left w:val="none" w:sz="0" w:space="0" w:color="auto"/>
        <w:bottom w:val="none" w:sz="0" w:space="0" w:color="auto"/>
        <w:right w:val="none" w:sz="0" w:space="0" w:color="auto"/>
      </w:divBdr>
    </w:div>
    <w:div w:id="191496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Mark Sommerfeld</cp:lastModifiedBy>
  <cp:revision>3</cp:revision>
  <dcterms:created xsi:type="dcterms:W3CDTF">2021-03-02T18:04:00Z</dcterms:created>
  <dcterms:modified xsi:type="dcterms:W3CDTF">2021-03-02T20:01:00Z</dcterms:modified>
</cp:coreProperties>
</file>