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3EAC" w14:textId="4546F9B8" w:rsidR="004237AF" w:rsidRDefault="00317A32" w:rsidP="006F7B76">
      <w:pPr>
        <w:pStyle w:val="Heading2"/>
        <w:spacing w:before="120" w:after="120" w:line="240" w:lineRule="auto"/>
        <w:rPr>
          <w:rFonts w:ascii="Open Sans" w:hAnsi="Open Sans" w:cs="Open Sans"/>
          <w:lang w:val="en-GB"/>
        </w:rPr>
      </w:pPr>
      <w:r>
        <w:rPr>
          <w:rFonts w:ascii="Open Sans" w:hAnsi="Open Sans" w:cs="Open Sans"/>
          <w:lang w:val="en-GB"/>
        </w:rPr>
        <w:t xml:space="preserve">Initial </w:t>
      </w:r>
      <w:r w:rsidR="004237AF">
        <w:rPr>
          <w:rFonts w:ascii="Open Sans" w:hAnsi="Open Sans" w:cs="Open Sans"/>
          <w:lang w:val="en-GB"/>
        </w:rPr>
        <w:t>p</w:t>
      </w:r>
      <w:r w:rsidR="004237AF" w:rsidRPr="000034E7">
        <w:rPr>
          <w:rFonts w:ascii="Open Sans" w:hAnsi="Open Sans" w:cs="Open Sans"/>
          <w:lang w:val="en-GB"/>
        </w:rPr>
        <w:t>olic</w:t>
      </w:r>
      <w:r>
        <w:rPr>
          <w:rFonts w:ascii="Open Sans" w:hAnsi="Open Sans" w:cs="Open Sans"/>
          <w:lang w:val="en-GB"/>
        </w:rPr>
        <w:t xml:space="preserve">y recommendations </w:t>
      </w:r>
      <w:r w:rsidR="004237AF" w:rsidRPr="000034E7">
        <w:rPr>
          <w:rFonts w:ascii="Open Sans" w:hAnsi="Open Sans" w:cs="Open Sans"/>
          <w:lang w:val="en-GB"/>
        </w:rPr>
        <w:t xml:space="preserve">to </w:t>
      </w:r>
      <w:r>
        <w:rPr>
          <w:rFonts w:ascii="Open Sans" w:hAnsi="Open Sans" w:cs="Open Sans"/>
          <w:lang w:val="en-GB"/>
        </w:rPr>
        <w:t>kick start the development of</w:t>
      </w:r>
      <w:r w:rsidR="004237AF" w:rsidRPr="000034E7">
        <w:rPr>
          <w:rFonts w:ascii="Open Sans" w:hAnsi="Open Sans" w:cs="Open Sans"/>
          <w:lang w:val="en-GB"/>
        </w:rPr>
        <w:t xml:space="preserve"> </w:t>
      </w:r>
      <w:r w:rsidR="00F86FF1">
        <w:rPr>
          <w:rFonts w:ascii="Open Sans" w:hAnsi="Open Sans" w:cs="Open Sans"/>
          <w:lang w:val="en-GB"/>
        </w:rPr>
        <w:t xml:space="preserve">clean </w:t>
      </w:r>
      <w:r w:rsidR="004237AF" w:rsidRPr="000034E7">
        <w:rPr>
          <w:rFonts w:ascii="Open Sans" w:hAnsi="Open Sans" w:cs="Open Sans"/>
          <w:lang w:val="en-GB"/>
        </w:rPr>
        <w:t>hydrogen</w:t>
      </w:r>
      <w:r w:rsidR="00C11A0C">
        <w:rPr>
          <w:rFonts w:ascii="Open Sans" w:hAnsi="Open Sans" w:cs="Open Sans"/>
          <w:lang w:val="en-GB"/>
        </w:rPr>
        <w:t xml:space="preserve"> in the UK </w:t>
      </w:r>
    </w:p>
    <w:p w14:paraId="733EA1F1" w14:textId="6AB48383" w:rsidR="00450EFE" w:rsidRDefault="00450EFE" w:rsidP="006F7B76">
      <w:pPr>
        <w:pStyle w:val="Heading2"/>
        <w:spacing w:before="120" w:after="120" w:line="240" w:lineRule="auto"/>
        <w:rPr>
          <w:rFonts w:ascii="Open Sans" w:hAnsi="Open Sans" w:cs="Open Sans"/>
          <w:b w:val="0"/>
          <w:bCs w:val="0"/>
          <w:sz w:val="22"/>
          <w:szCs w:val="22"/>
          <w:lang w:val="en-GB"/>
        </w:rPr>
      </w:pPr>
    </w:p>
    <w:p w14:paraId="17469675" w14:textId="08CBB8F0" w:rsidR="00450EFE" w:rsidRDefault="00450EFE" w:rsidP="006F7B76">
      <w:pPr>
        <w:pStyle w:val="Heading2"/>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rPr>
        <w:t xml:space="preserve">Setting targets for green and bio-hydrogen </w:t>
      </w:r>
    </w:p>
    <w:p w14:paraId="0A06B424" w14:textId="69F60259" w:rsidR="00450EFE" w:rsidRDefault="003F58AD"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In addition to the current target of </w:t>
      </w:r>
      <w:r w:rsidR="004849EC">
        <w:rPr>
          <w:rFonts w:ascii="Open Sans" w:eastAsia="Open Sans" w:hAnsi="Open Sans" w:cs="Open Sans"/>
          <w:b w:val="0"/>
          <w:bCs w:val="0"/>
          <w:sz w:val="22"/>
          <w:szCs w:val="22"/>
          <w:u w:val="none"/>
        </w:rPr>
        <w:t xml:space="preserve">an overall </w:t>
      </w:r>
      <w:r w:rsidRPr="003F58AD">
        <w:rPr>
          <w:rFonts w:ascii="Open Sans" w:eastAsia="Open Sans" w:hAnsi="Open Sans" w:cs="Open Sans"/>
          <w:b w:val="0"/>
          <w:bCs w:val="0"/>
          <w:sz w:val="22"/>
          <w:szCs w:val="22"/>
          <w:u w:val="none"/>
        </w:rPr>
        <w:t xml:space="preserve">5 GW production capacity by 2030 (42 </w:t>
      </w:r>
      <w:proofErr w:type="spellStart"/>
      <w:r w:rsidRPr="003F58AD">
        <w:rPr>
          <w:rFonts w:ascii="Open Sans" w:eastAsia="Open Sans" w:hAnsi="Open Sans" w:cs="Open Sans"/>
          <w:b w:val="0"/>
          <w:bCs w:val="0"/>
          <w:sz w:val="22"/>
          <w:szCs w:val="22"/>
          <w:u w:val="none"/>
        </w:rPr>
        <w:t>TWh</w:t>
      </w:r>
      <w:proofErr w:type="spellEnd"/>
      <w:r w:rsidRPr="003F58AD">
        <w:rPr>
          <w:rFonts w:ascii="Open Sans" w:eastAsia="Open Sans" w:hAnsi="Open Sans" w:cs="Open Sans"/>
          <w:b w:val="0"/>
          <w:bCs w:val="0"/>
          <w:sz w:val="22"/>
          <w:szCs w:val="22"/>
          <w:u w:val="none"/>
        </w:rPr>
        <w:t>/annum)</w:t>
      </w:r>
      <w:r>
        <w:rPr>
          <w:rFonts w:ascii="Open Sans" w:eastAsia="Open Sans" w:hAnsi="Open Sans" w:cs="Open Sans"/>
          <w:b w:val="0"/>
          <w:bCs w:val="0"/>
          <w:sz w:val="22"/>
          <w:szCs w:val="22"/>
          <w:u w:val="none"/>
        </w:rPr>
        <w:t xml:space="preserve"> set out in the </w:t>
      </w:r>
      <w:hyperlink r:id="rId8" w:history="1">
        <w:r w:rsidRPr="003F58AD">
          <w:rPr>
            <w:rStyle w:val="Hyperlink"/>
            <w:rFonts w:ascii="Open Sans" w:eastAsia="Open Sans" w:hAnsi="Open Sans" w:cs="Open Sans"/>
            <w:b w:val="0"/>
            <w:bCs w:val="0"/>
            <w:sz w:val="22"/>
            <w:szCs w:val="22"/>
          </w:rPr>
          <w:t>Energy White Paper</w:t>
        </w:r>
      </w:hyperlink>
      <w:r>
        <w:rPr>
          <w:rFonts w:ascii="Open Sans" w:eastAsia="Open Sans" w:hAnsi="Open Sans" w:cs="Open Sans"/>
          <w:b w:val="0"/>
          <w:bCs w:val="0"/>
          <w:sz w:val="22"/>
          <w:szCs w:val="22"/>
          <w:u w:val="none"/>
        </w:rPr>
        <w:t xml:space="preserve">, the upcoming UK Hydrogen Strategy </w:t>
      </w:r>
      <w:r w:rsidR="00450EFE">
        <w:rPr>
          <w:rFonts w:ascii="Open Sans" w:eastAsia="Open Sans" w:hAnsi="Open Sans" w:cs="Open Sans"/>
          <w:b w:val="0"/>
          <w:bCs w:val="0"/>
          <w:sz w:val="22"/>
          <w:szCs w:val="22"/>
          <w:u w:val="none"/>
        </w:rPr>
        <w:t xml:space="preserve">should set clear </w:t>
      </w:r>
      <w:r w:rsidR="00356714">
        <w:rPr>
          <w:rFonts w:ascii="Open Sans" w:eastAsia="Open Sans" w:hAnsi="Open Sans" w:cs="Open Sans"/>
          <w:b w:val="0"/>
          <w:bCs w:val="0"/>
          <w:sz w:val="22"/>
          <w:szCs w:val="22"/>
          <w:u w:val="none"/>
        </w:rPr>
        <w:t xml:space="preserve">and ambitious </w:t>
      </w:r>
      <w:r w:rsidR="00450EFE">
        <w:rPr>
          <w:rFonts w:ascii="Open Sans" w:eastAsia="Open Sans" w:hAnsi="Open Sans" w:cs="Open Sans"/>
          <w:b w:val="0"/>
          <w:bCs w:val="0"/>
          <w:sz w:val="22"/>
          <w:szCs w:val="22"/>
          <w:u w:val="none"/>
        </w:rPr>
        <w:t xml:space="preserve">targets to signal its long-term commitment to </w:t>
      </w:r>
      <w:r>
        <w:rPr>
          <w:rFonts w:ascii="Open Sans" w:eastAsia="Open Sans" w:hAnsi="Open Sans" w:cs="Open Sans"/>
          <w:b w:val="0"/>
          <w:bCs w:val="0"/>
          <w:sz w:val="22"/>
          <w:szCs w:val="22"/>
          <w:u w:val="none"/>
        </w:rPr>
        <w:t>green and bio-hydrogen</w:t>
      </w:r>
      <w:r w:rsidR="00450EFE">
        <w:rPr>
          <w:rFonts w:ascii="Open Sans" w:eastAsia="Open Sans" w:hAnsi="Open Sans" w:cs="Open Sans"/>
          <w:b w:val="0"/>
          <w:bCs w:val="0"/>
          <w:sz w:val="22"/>
          <w:szCs w:val="22"/>
          <w:u w:val="none"/>
        </w:rPr>
        <w:t xml:space="preserve"> deployment and attract investment</w:t>
      </w:r>
      <w:r>
        <w:rPr>
          <w:rFonts w:ascii="Open Sans" w:eastAsia="Open Sans" w:hAnsi="Open Sans" w:cs="Open Sans"/>
          <w:b w:val="0"/>
          <w:bCs w:val="0"/>
          <w:sz w:val="22"/>
          <w:szCs w:val="22"/>
          <w:u w:val="none"/>
        </w:rPr>
        <w:t xml:space="preserve"> in these sectors. </w:t>
      </w:r>
    </w:p>
    <w:p w14:paraId="3E396DF1" w14:textId="19EA29A8" w:rsidR="00450EFE" w:rsidRDefault="00450EFE"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Indicatively, the UK should set an overall target of 5 GW </w:t>
      </w:r>
      <w:r w:rsidR="00356714">
        <w:rPr>
          <w:rFonts w:ascii="Open Sans" w:eastAsia="Open Sans" w:hAnsi="Open Sans" w:cs="Open Sans"/>
          <w:b w:val="0"/>
          <w:bCs w:val="0"/>
          <w:sz w:val="22"/>
          <w:szCs w:val="22"/>
          <w:u w:val="none"/>
        </w:rPr>
        <w:t>of</w:t>
      </w:r>
      <w:r>
        <w:rPr>
          <w:rFonts w:ascii="Open Sans" w:eastAsia="Open Sans" w:hAnsi="Open Sans" w:cs="Open Sans"/>
          <w:b w:val="0"/>
          <w:bCs w:val="0"/>
          <w:sz w:val="22"/>
          <w:szCs w:val="22"/>
          <w:u w:val="none"/>
        </w:rPr>
        <w:t xml:space="preserve"> green hydrogen capacity deployed by 2030</w:t>
      </w:r>
      <w:r w:rsidR="00356714">
        <w:rPr>
          <w:rFonts w:ascii="Open Sans" w:eastAsia="Open Sans" w:hAnsi="Open Sans" w:cs="Open Sans"/>
          <w:b w:val="0"/>
          <w:bCs w:val="0"/>
          <w:sz w:val="22"/>
          <w:szCs w:val="22"/>
          <w:u w:val="none"/>
        </w:rPr>
        <w:t xml:space="preserve">. </w:t>
      </w:r>
      <w:r w:rsidR="003F58AD">
        <w:rPr>
          <w:rFonts w:ascii="Open Sans" w:eastAsia="Open Sans" w:hAnsi="Open Sans" w:cs="Open Sans"/>
          <w:b w:val="0"/>
          <w:bCs w:val="0"/>
          <w:sz w:val="22"/>
          <w:szCs w:val="22"/>
          <w:u w:val="none"/>
        </w:rPr>
        <w:t>Based on industry’s feedback, t</w:t>
      </w:r>
      <w:r w:rsidR="00356714">
        <w:rPr>
          <w:rFonts w:ascii="Open Sans" w:eastAsia="Open Sans" w:hAnsi="Open Sans" w:cs="Open Sans"/>
          <w:b w:val="0"/>
          <w:bCs w:val="0"/>
          <w:sz w:val="22"/>
          <w:szCs w:val="22"/>
          <w:u w:val="none"/>
        </w:rPr>
        <w:t xml:space="preserve">his could be </w:t>
      </w:r>
      <w:r>
        <w:rPr>
          <w:rFonts w:ascii="Open Sans" w:eastAsia="Open Sans" w:hAnsi="Open Sans" w:cs="Open Sans"/>
          <w:b w:val="0"/>
          <w:bCs w:val="0"/>
          <w:sz w:val="22"/>
          <w:szCs w:val="22"/>
          <w:u w:val="none"/>
        </w:rPr>
        <w:t>made by the following sub-targets:</w:t>
      </w:r>
    </w:p>
    <w:p w14:paraId="3C3B9E7A" w14:textId="77777777" w:rsidR="00450EFE" w:rsidRDefault="00450EFE" w:rsidP="006F7B76">
      <w:pPr>
        <w:pStyle w:val="Heading2"/>
        <w:numPr>
          <w:ilvl w:val="0"/>
          <w:numId w:val="12"/>
        </w:numPr>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u w:val="none"/>
        </w:rPr>
        <w:t xml:space="preserve">1 GW of green hydrogen deployed in </w:t>
      </w:r>
      <w:proofErr w:type="gramStart"/>
      <w:r>
        <w:rPr>
          <w:rFonts w:ascii="Open Sans" w:eastAsia="Open Sans" w:hAnsi="Open Sans" w:cs="Open Sans"/>
          <w:b w:val="0"/>
          <w:bCs w:val="0"/>
          <w:sz w:val="22"/>
          <w:szCs w:val="22"/>
          <w:u w:val="none"/>
        </w:rPr>
        <w:t>refineries</w:t>
      </w:r>
      <w:proofErr w:type="gramEnd"/>
    </w:p>
    <w:p w14:paraId="563B85B0" w14:textId="77777777" w:rsidR="00450EFE" w:rsidRDefault="00450EFE" w:rsidP="006F7B76">
      <w:pPr>
        <w:pStyle w:val="Heading2"/>
        <w:numPr>
          <w:ilvl w:val="0"/>
          <w:numId w:val="12"/>
        </w:numPr>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u w:val="none"/>
        </w:rPr>
        <w:t xml:space="preserve">1 GW of green hydrogen deployed in other industrial applications / </w:t>
      </w:r>
      <w:proofErr w:type="gramStart"/>
      <w:r>
        <w:rPr>
          <w:rFonts w:ascii="Open Sans" w:eastAsia="Open Sans" w:hAnsi="Open Sans" w:cs="Open Sans"/>
          <w:b w:val="0"/>
          <w:bCs w:val="0"/>
          <w:sz w:val="22"/>
          <w:szCs w:val="22"/>
          <w:u w:val="none"/>
        </w:rPr>
        <w:t>processes</w:t>
      </w:r>
      <w:proofErr w:type="gramEnd"/>
    </w:p>
    <w:p w14:paraId="448482D6" w14:textId="77777777" w:rsidR="00450EFE" w:rsidRDefault="00450EFE" w:rsidP="006F7B76">
      <w:pPr>
        <w:pStyle w:val="Heading2"/>
        <w:numPr>
          <w:ilvl w:val="0"/>
          <w:numId w:val="12"/>
        </w:numPr>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u w:val="none"/>
        </w:rPr>
        <w:t>1 GW of green hydrogen in transport, and</w:t>
      </w:r>
    </w:p>
    <w:p w14:paraId="2A263832" w14:textId="5F15E4B5" w:rsidR="00450EFE" w:rsidRPr="00356714" w:rsidRDefault="00450EFE" w:rsidP="006F7B76">
      <w:pPr>
        <w:pStyle w:val="Heading2"/>
        <w:numPr>
          <w:ilvl w:val="0"/>
          <w:numId w:val="12"/>
        </w:numPr>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u w:val="none"/>
        </w:rPr>
        <w:t xml:space="preserve">2 GW of green hydrogen injected in the gas </w:t>
      </w:r>
      <w:proofErr w:type="gramStart"/>
      <w:r>
        <w:rPr>
          <w:rFonts w:ascii="Open Sans" w:eastAsia="Open Sans" w:hAnsi="Open Sans" w:cs="Open Sans"/>
          <w:b w:val="0"/>
          <w:bCs w:val="0"/>
          <w:sz w:val="22"/>
          <w:szCs w:val="22"/>
          <w:u w:val="none"/>
        </w:rPr>
        <w:t>grid</w:t>
      </w:r>
      <w:proofErr w:type="gramEnd"/>
      <w:r>
        <w:rPr>
          <w:rFonts w:ascii="Open Sans" w:eastAsia="Open Sans" w:hAnsi="Open Sans" w:cs="Open Sans"/>
          <w:b w:val="0"/>
          <w:bCs w:val="0"/>
          <w:sz w:val="22"/>
          <w:szCs w:val="22"/>
          <w:u w:val="none"/>
        </w:rPr>
        <w:t xml:space="preserve"> </w:t>
      </w:r>
    </w:p>
    <w:p w14:paraId="12350454" w14:textId="40A71BA9" w:rsidR="00356714" w:rsidRDefault="00356714" w:rsidP="006F7B76">
      <w:pPr>
        <w:pStyle w:val="Heading2"/>
        <w:spacing w:before="120" w:after="120" w:line="240" w:lineRule="auto"/>
        <w:rPr>
          <w:rFonts w:ascii="Open Sans" w:hAnsi="Open Sans" w:cs="Open Sans"/>
          <w:b w:val="0"/>
          <w:bCs w:val="0"/>
          <w:sz w:val="22"/>
          <w:szCs w:val="22"/>
          <w:lang w:val="en-GB"/>
        </w:rPr>
      </w:pPr>
    </w:p>
    <w:p w14:paraId="65DCFC4E" w14:textId="212636B8" w:rsidR="003F58AD" w:rsidRPr="00531379" w:rsidRDefault="003F58AD" w:rsidP="006F7B76">
      <w:pPr>
        <w:pStyle w:val="Heading2"/>
        <w:spacing w:before="120" w:after="120" w:line="240" w:lineRule="auto"/>
        <w:rPr>
          <w:rFonts w:ascii="Open Sans" w:hAnsi="Open Sans" w:cs="Open Sans"/>
          <w:b w:val="0"/>
          <w:bCs w:val="0"/>
          <w:color w:val="FF0000"/>
          <w:sz w:val="22"/>
          <w:szCs w:val="22"/>
          <w:u w:val="none"/>
          <w:lang w:val="en-GB"/>
        </w:rPr>
      </w:pPr>
      <w:r w:rsidRPr="00531379">
        <w:rPr>
          <w:rFonts w:ascii="Open Sans" w:hAnsi="Open Sans" w:cs="Open Sans"/>
          <w:b w:val="0"/>
          <w:bCs w:val="0"/>
          <w:color w:val="FF0000"/>
          <w:sz w:val="22"/>
          <w:szCs w:val="22"/>
          <w:u w:val="none"/>
          <w:lang w:val="en-GB"/>
        </w:rPr>
        <w:t xml:space="preserve">Members’ feedback sought on </w:t>
      </w:r>
      <w:r w:rsidR="004849EC">
        <w:rPr>
          <w:rFonts w:ascii="Open Sans" w:hAnsi="Open Sans" w:cs="Open Sans"/>
          <w:b w:val="0"/>
          <w:bCs w:val="0"/>
          <w:color w:val="FF0000"/>
          <w:sz w:val="22"/>
          <w:szCs w:val="22"/>
          <w:u w:val="none"/>
          <w:lang w:val="en-GB"/>
        </w:rPr>
        <w:t xml:space="preserve">specific </w:t>
      </w:r>
      <w:r w:rsidRPr="00531379">
        <w:rPr>
          <w:rFonts w:ascii="Open Sans" w:hAnsi="Open Sans" w:cs="Open Sans"/>
          <w:b w:val="0"/>
          <w:bCs w:val="0"/>
          <w:color w:val="FF0000"/>
          <w:sz w:val="22"/>
          <w:szCs w:val="22"/>
          <w:u w:val="none"/>
          <w:lang w:val="en-GB"/>
        </w:rPr>
        <w:t>targets for biohydrogen</w:t>
      </w:r>
      <w:r w:rsidR="00030019">
        <w:rPr>
          <w:rFonts w:ascii="Open Sans" w:hAnsi="Open Sans" w:cs="Open Sans"/>
          <w:b w:val="0"/>
          <w:bCs w:val="0"/>
          <w:color w:val="FF0000"/>
          <w:sz w:val="22"/>
          <w:szCs w:val="22"/>
          <w:u w:val="none"/>
          <w:lang w:val="en-GB"/>
        </w:rPr>
        <w:t>, or should the targets above include green and bio-</w:t>
      </w:r>
      <w:proofErr w:type="gramStart"/>
      <w:r w:rsidR="00030019">
        <w:rPr>
          <w:rFonts w:ascii="Open Sans" w:hAnsi="Open Sans" w:cs="Open Sans"/>
          <w:b w:val="0"/>
          <w:bCs w:val="0"/>
          <w:color w:val="FF0000"/>
          <w:sz w:val="22"/>
          <w:szCs w:val="22"/>
          <w:u w:val="none"/>
          <w:lang w:val="en-GB"/>
        </w:rPr>
        <w:t>hydrogen</w:t>
      </w:r>
      <w:proofErr w:type="gramEnd"/>
      <w:r w:rsidR="004849EC">
        <w:rPr>
          <w:rFonts w:ascii="Open Sans" w:hAnsi="Open Sans" w:cs="Open Sans"/>
          <w:b w:val="0"/>
          <w:bCs w:val="0"/>
          <w:color w:val="FF0000"/>
          <w:sz w:val="22"/>
          <w:szCs w:val="22"/>
          <w:u w:val="none"/>
          <w:lang w:val="en-GB"/>
        </w:rPr>
        <w:t xml:space="preserve"> </w:t>
      </w:r>
    </w:p>
    <w:p w14:paraId="31C87220" w14:textId="77777777" w:rsidR="003F58AD" w:rsidRDefault="003F58AD" w:rsidP="006F7B76">
      <w:pPr>
        <w:pStyle w:val="Heading2"/>
        <w:spacing w:before="120" w:after="120" w:line="240" w:lineRule="auto"/>
        <w:rPr>
          <w:rFonts w:ascii="Open Sans" w:hAnsi="Open Sans" w:cs="Open Sans"/>
          <w:b w:val="0"/>
          <w:bCs w:val="0"/>
          <w:sz w:val="22"/>
          <w:szCs w:val="22"/>
          <w:lang w:val="en-GB"/>
        </w:rPr>
      </w:pPr>
    </w:p>
    <w:p w14:paraId="7914161A" w14:textId="7B0B1AE6" w:rsidR="005211E3" w:rsidRPr="005211E3" w:rsidRDefault="005211E3" w:rsidP="006F7B76">
      <w:pPr>
        <w:pStyle w:val="Heading2"/>
        <w:spacing w:before="120" w:after="120" w:line="240" w:lineRule="auto"/>
        <w:rPr>
          <w:rFonts w:ascii="Open Sans" w:hAnsi="Open Sans" w:cs="Open Sans"/>
          <w:b w:val="0"/>
          <w:bCs w:val="0"/>
          <w:sz w:val="22"/>
          <w:szCs w:val="22"/>
          <w:lang w:val="en-GB"/>
        </w:rPr>
      </w:pPr>
      <w:r w:rsidRPr="005211E3">
        <w:rPr>
          <w:rFonts w:ascii="Open Sans" w:hAnsi="Open Sans" w:cs="Open Sans"/>
          <w:b w:val="0"/>
          <w:bCs w:val="0"/>
          <w:sz w:val="22"/>
          <w:szCs w:val="22"/>
          <w:lang w:val="en-GB"/>
        </w:rPr>
        <w:t xml:space="preserve">Reducing the cost of renewable electricity </w:t>
      </w:r>
    </w:p>
    <w:p w14:paraId="73273261" w14:textId="10A8B25C" w:rsidR="00C11A0C" w:rsidRDefault="00431E3C" w:rsidP="006F7B76">
      <w:pPr>
        <w:pStyle w:val="Heading2"/>
        <w:spacing w:before="120" w:after="120" w:line="240" w:lineRule="auto"/>
        <w:rPr>
          <w:rFonts w:ascii="Open Sans" w:hAnsi="Open Sans" w:cs="Open Sans"/>
          <w:b w:val="0"/>
          <w:bCs w:val="0"/>
          <w:sz w:val="22"/>
          <w:szCs w:val="22"/>
          <w:u w:val="none"/>
          <w:lang w:val="en-GB"/>
        </w:rPr>
      </w:pPr>
      <w:r>
        <w:rPr>
          <w:rFonts w:ascii="Open Sans" w:hAnsi="Open Sans" w:cs="Open Sans"/>
          <w:b w:val="0"/>
          <w:bCs w:val="0"/>
          <w:sz w:val="22"/>
          <w:szCs w:val="22"/>
          <w:u w:val="none"/>
          <w:lang w:val="en-GB"/>
        </w:rPr>
        <w:t xml:space="preserve">The greatest barrier to the deployment of green hydrogen is cost, </w:t>
      </w:r>
      <w:r w:rsidR="005211E3">
        <w:rPr>
          <w:rFonts w:ascii="Open Sans" w:hAnsi="Open Sans" w:cs="Open Sans"/>
          <w:b w:val="0"/>
          <w:bCs w:val="0"/>
          <w:sz w:val="22"/>
          <w:szCs w:val="22"/>
          <w:u w:val="none"/>
          <w:lang w:val="en-GB"/>
        </w:rPr>
        <w:t xml:space="preserve">largely </w:t>
      </w:r>
      <w:r>
        <w:rPr>
          <w:rFonts w:ascii="Open Sans" w:hAnsi="Open Sans" w:cs="Open Sans"/>
          <w:b w:val="0"/>
          <w:bCs w:val="0"/>
          <w:sz w:val="22"/>
          <w:szCs w:val="22"/>
          <w:u w:val="none"/>
          <w:lang w:val="en-GB"/>
        </w:rPr>
        <w:t xml:space="preserve">due to </w:t>
      </w:r>
      <w:r w:rsidR="005211E3">
        <w:rPr>
          <w:rFonts w:ascii="Open Sans" w:hAnsi="Open Sans" w:cs="Open Sans"/>
          <w:b w:val="0"/>
          <w:bCs w:val="0"/>
          <w:sz w:val="22"/>
          <w:szCs w:val="22"/>
          <w:u w:val="none"/>
          <w:lang w:val="en-GB"/>
        </w:rPr>
        <w:t>the cost of renewable electricity</w:t>
      </w:r>
      <w:r w:rsidR="00C423F6">
        <w:rPr>
          <w:rFonts w:ascii="Open Sans" w:hAnsi="Open Sans" w:cs="Open Sans"/>
          <w:b w:val="0"/>
          <w:bCs w:val="0"/>
          <w:sz w:val="22"/>
          <w:szCs w:val="22"/>
          <w:u w:val="none"/>
          <w:lang w:val="en-GB"/>
        </w:rPr>
        <w:t xml:space="preserve"> via the grid. </w:t>
      </w:r>
      <w:r w:rsidR="005211E3">
        <w:rPr>
          <w:rFonts w:ascii="Open Sans" w:hAnsi="Open Sans" w:cs="Open Sans"/>
          <w:b w:val="0"/>
          <w:bCs w:val="0"/>
          <w:sz w:val="22"/>
          <w:szCs w:val="22"/>
          <w:u w:val="none"/>
          <w:lang w:val="en-GB"/>
        </w:rPr>
        <w:t xml:space="preserve">This is </w:t>
      </w:r>
      <w:r>
        <w:rPr>
          <w:rFonts w:ascii="Open Sans" w:hAnsi="Open Sans" w:cs="Open Sans"/>
          <w:b w:val="0"/>
          <w:bCs w:val="0"/>
          <w:sz w:val="22"/>
          <w:szCs w:val="22"/>
          <w:u w:val="none"/>
          <w:lang w:val="en-GB"/>
        </w:rPr>
        <w:t xml:space="preserve">due to </w:t>
      </w:r>
      <w:r w:rsidR="005211E3">
        <w:rPr>
          <w:rFonts w:ascii="Open Sans" w:hAnsi="Open Sans" w:cs="Open Sans"/>
          <w:b w:val="0"/>
          <w:bCs w:val="0"/>
          <w:sz w:val="22"/>
          <w:szCs w:val="22"/>
          <w:u w:val="none"/>
          <w:lang w:val="en-GB"/>
        </w:rPr>
        <w:t xml:space="preserve">the </w:t>
      </w:r>
      <w:r>
        <w:rPr>
          <w:rFonts w:ascii="Open Sans" w:hAnsi="Open Sans" w:cs="Open Sans"/>
          <w:b w:val="0"/>
          <w:bCs w:val="0"/>
          <w:sz w:val="22"/>
          <w:szCs w:val="22"/>
          <w:u w:val="none"/>
          <w:lang w:val="en-GB"/>
        </w:rPr>
        <w:t xml:space="preserve">green levies and system fees applying to </w:t>
      </w:r>
      <w:r w:rsidR="00DB4263">
        <w:rPr>
          <w:rFonts w:ascii="Open Sans" w:hAnsi="Open Sans" w:cs="Open Sans"/>
          <w:b w:val="0"/>
          <w:bCs w:val="0"/>
          <w:sz w:val="22"/>
          <w:szCs w:val="22"/>
          <w:u w:val="none"/>
          <w:lang w:val="en-GB"/>
        </w:rPr>
        <w:t>electricity bills.</w:t>
      </w:r>
      <w:r>
        <w:rPr>
          <w:rFonts w:ascii="Open Sans" w:hAnsi="Open Sans" w:cs="Open Sans"/>
          <w:b w:val="0"/>
          <w:bCs w:val="0"/>
          <w:sz w:val="22"/>
          <w:szCs w:val="22"/>
          <w:u w:val="none"/>
          <w:lang w:val="en-GB"/>
        </w:rPr>
        <w:t xml:space="preserve"> </w:t>
      </w:r>
    </w:p>
    <w:p w14:paraId="2E61D30C" w14:textId="40182C90" w:rsidR="00C11A0C" w:rsidRDefault="006527BD" w:rsidP="006F7B76">
      <w:pPr>
        <w:pStyle w:val="Heading2"/>
        <w:spacing w:before="120" w:after="120" w:line="240" w:lineRule="auto"/>
        <w:rPr>
          <w:rFonts w:ascii="Open Sans" w:hAnsi="Open Sans" w:cs="Open Sans"/>
          <w:b w:val="0"/>
          <w:bCs w:val="0"/>
          <w:sz w:val="22"/>
          <w:szCs w:val="22"/>
          <w:u w:val="none"/>
          <w:lang w:val="en-GB"/>
        </w:rPr>
      </w:pPr>
      <w:r>
        <w:rPr>
          <w:rFonts w:ascii="Open Sans" w:hAnsi="Open Sans" w:cs="Open Sans"/>
          <w:b w:val="0"/>
          <w:bCs w:val="0"/>
          <w:sz w:val="22"/>
          <w:szCs w:val="22"/>
          <w:u w:val="none"/>
          <w:lang w:val="en-GB"/>
        </w:rPr>
        <w:t>The</w:t>
      </w:r>
      <w:r w:rsidR="0098192C">
        <w:rPr>
          <w:rFonts w:ascii="Open Sans" w:hAnsi="Open Sans" w:cs="Open Sans"/>
          <w:b w:val="0"/>
          <w:bCs w:val="0"/>
          <w:sz w:val="22"/>
          <w:szCs w:val="22"/>
          <w:u w:val="none"/>
          <w:lang w:val="en-GB"/>
        </w:rPr>
        <w:t xml:space="preserve"> cost o</w:t>
      </w:r>
      <w:r w:rsidR="00A21572">
        <w:rPr>
          <w:rFonts w:ascii="Open Sans" w:hAnsi="Open Sans" w:cs="Open Sans"/>
          <w:b w:val="0"/>
          <w:bCs w:val="0"/>
          <w:sz w:val="22"/>
          <w:szCs w:val="22"/>
          <w:u w:val="none"/>
          <w:lang w:val="en-GB"/>
        </w:rPr>
        <w:t xml:space="preserve">f </w:t>
      </w:r>
      <w:r w:rsidR="0098192C">
        <w:rPr>
          <w:rFonts w:ascii="Open Sans" w:hAnsi="Open Sans" w:cs="Open Sans"/>
          <w:b w:val="0"/>
          <w:bCs w:val="0"/>
          <w:sz w:val="22"/>
          <w:szCs w:val="22"/>
          <w:u w:val="none"/>
          <w:lang w:val="en-GB"/>
        </w:rPr>
        <w:t xml:space="preserve">green hydrogen production </w:t>
      </w:r>
      <w:r>
        <w:rPr>
          <w:rFonts w:ascii="Open Sans" w:hAnsi="Open Sans" w:cs="Open Sans"/>
          <w:b w:val="0"/>
          <w:bCs w:val="0"/>
          <w:sz w:val="22"/>
          <w:szCs w:val="22"/>
          <w:u w:val="none"/>
          <w:lang w:val="en-GB"/>
        </w:rPr>
        <w:t xml:space="preserve">can therefore only be lowered if electrolyses can access cheaper renewable electricity. This can be done by: </w:t>
      </w:r>
    </w:p>
    <w:p w14:paraId="2021C046" w14:textId="33D17275" w:rsidR="00431E3C" w:rsidRPr="00B41DAE" w:rsidRDefault="00431E3C" w:rsidP="006F7B76">
      <w:pPr>
        <w:pStyle w:val="ListParagraph"/>
        <w:numPr>
          <w:ilvl w:val="0"/>
          <w:numId w:val="9"/>
        </w:numPr>
        <w:tabs>
          <w:tab w:val="clear" w:pos="5799"/>
        </w:tabs>
        <w:spacing w:before="120" w:after="120" w:line="240" w:lineRule="auto"/>
        <w:rPr>
          <w:rFonts w:ascii="Open Sans" w:hAnsi="Open Sans" w:cs="Open Sans"/>
          <w:lang w:val="en-GB"/>
        </w:rPr>
      </w:pPr>
      <w:r w:rsidRPr="00B41DAE">
        <w:rPr>
          <w:rFonts w:ascii="Open Sans" w:hAnsi="Open Sans" w:cs="Open Sans"/>
          <w:lang w:val="en-GB"/>
        </w:rPr>
        <w:t xml:space="preserve">Exempting electrolysers from ’green levies’ on electricity bills </w:t>
      </w:r>
      <w:r w:rsidR="006D4756" w:rsidRPr="00B41DAE">
        <w:rPr>
          <w:rFonts w:ascii="Open Sans" w:hAnsi="Open Sans" w:cs="Open Sans"/>
          <w:lang w:val="en-GB"/>
        </w:rPr>
        <w:t>–</w:t>
      </w:r>
      <w:r w:rsidRPr="00B41DAE">
        <w:rPr>
          <w:rFonts w:ascii="Open Sans" w:hAnsi="Open Sans" w:cs="Open Sans"/>
          <w:lang w:val="en-GB"/>
        </w:rPr>
        <w:t xml:space="preserve"> i.e. electrolysis could be on the list as energy intensive users</w:t>
      </w:r>
      <w:r w:rsidR="00B41DAE" w:rsidRPr="00B41DAE">
        <w:rPr>
          <w:rFonts w:ascii="Open Sans" w:hAnsi="Open Sans" w:cs="Open Sans"/>
          <w:lang w:val="en-GB"/>
        </w:rPr>
        <w:t xml:space="preserve"> </w:t>
      </w:r>
      <w:r w:rsidR="00B41DAE" w:rsidRPr="00B41DAE">
        <w:rPr>
          <w:rFonts w:ascii="Open Sans" w:hAnsi="Open Sans" w:cs="Open Sans"/>
        </w:rPr>
        <w:t xml:space="preserve">(see </w:t>
      </w:r>
      <w:hyperlink r:id="rId9" w:history="1">
        <w:r w:rsidR="00B41DAE" w:rsidRPr="00B41DAE">
          <w:rPr>
            <w:rStyle w:val="Hyperlink"/>
            <w:rFonts w:ascii="Open Sans" w:hAnsi="Open Sans" w:cs="Open Sans"/>
          </w:rPr>
          <w:t>EII Scheme</w:t>
        </w:r>
      </w:hyperlink>
      <w:r w:rsidR="00B41DAE" w:rsidRPr="00B41DAE">
        <w:rPr>
          <w:rFonts w:ascii="Open Sans" w:hAnsi="Open Sans" w:cs="Open Sans"/>
        </w:rPr>
        <w:t>)</w:t>
      </w:r>
      <w:r w:rsidRPr="00B41DAE">
        <w:rPr>
          <w:rFonts w:ascii="Open Sans" w:hAnsi="Open Sans" w:cs="Open Sans"/>
          <w:lang w:val="en-GB"/>
        </w:rPr>
        <w:t>, thereby qualifying such sites for exemption from the indirect costs of funding Contracts for Difference (CFDs), the Renewables Obligation (RO) and the small scale Feed in Tariff (FIT).</w:t>
      </w:r>
    </w:p>
    <w:p w14:paraId="7C782A9D" w14:textId="4301FD6A" w:rsidR="00431E3C" w:rsidRPr="008D3D77" w:rsidRDefault="00431E3C" w:rsidP="006F7B76">
      <w:pPr>
        <w:pStyle w:val="ListParagraph"/>
        <w:numPr>
          <w:ilvl w:val="0"/>
          <w:numId w:val="9"/>
        </w:numPr>
        <w:spacing w:before="120" w:after="120" w:line="240" w:lineRule="auto"/>
        <w:rPr>
          <w:rFonts w:ascii="Open Sans" w:hAnsi="Open Sans" w:cs="Open Sans"/>
          <w:lang w:val="en-GB"/>
        </w:rPr>
      </w:pPr>
      <w:r w:rsidRPr="008D3D77">
        <w:rPr>
          <w:rFonts w:ascii="Open Sans" w:hAnsi="Open Sans" w:cs="Open Sans"/>
          <w:lang w:val="en-GB"/>
        </w:rPr>
        <w:t xml:space="preserve">Exempting electrolysers that provide grid services from use of system fees (on a time limited basis), or adopting a system akin to the new rules for grid balancing charges borne by energy storage assets – </w:t>
      </w:r>
      <w:proofErr w:type="gramStart"/>
      <w:r w:rsidRPr="008D3D77">
        <w:rPr>
          <w:rFonts w:ascii="Open Sans" w:hAnsi="Open Sans" w:cs="Open Sans"/>
          <w:lang w:val="en-GB"/>
        </w:rPr>
        <w:t>i.e.</w:t>
      </w:r>
      <w:proofErr w:type="gramEnd"/>
      <w:r w:rsidRPr="008D3D77">
        <w:rPr>
          <w:rFonts w:ascii="Open Sans" w:hAnsi="Open Sans" w:cs="Open Sans"/>
          <w:lang w:val="en-GB"/>
        </w:rPr>
        <w:t xml:space="preserve"> on a net usage basis (exemption from final consumption levy double charging like storage devices).</w:t>
      </w:r>
      <w:r w:rsidR="00C3758A">
        <w:rPr>
          <w:rStyle w:val="FootnoteReference"/>
          <w:rFonts w:ascii="Open Sans" w:hAnsi="Open Sans" w:cs="Open Sans"/>
          <w:lang w:val="en-GB"/>
        </w:rPr>
        <w:footnoteReference w:id="1"/>
      </w:r>
      <w:r w:rsidRPr="008D3D77">
        <w:rPr>
          <w:rFonts w:ascii="Open Sans" w:hAnsi="Open Sans" w:cs="Open Sans"/>
          <w:lang w:val="en-GB"/>
        </w:rPr>
        <w:t xml:space="preserve"> </w:t>
      </w:r>
    </w:p>
    <w:p w14:paraId="2E409019" w14:textId="382CC6BA" w:rsidR="00C423F6" w:rsidRDefault="00471B05"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lastRenderedPageBreak/>
        <w:t>T</w:t>
      </w:r>
      <w:r w:rsidR="00C423F6">
        <w:rPr>
          <w:rFonts w:ascii="Open Sans" w:eastAsia="Open Sans" w:hAnsi="Open Sans" w:cs="Open Sans"/>
          <w:b w:val="0"/>
          <w:bCs w:val="0"/>
          <w:sz w:val="22"/>
          <w:szCs w:val="22"/>
          <w:u w:val="none"/>
        </w:rPr>
        <w:t>his would enable electrolysers to take advantage of times where wholesale electricity prices are low, for example when demand for electricity is at its lowest and there is surplus renewable power and help the continued integration with renewables. It is also important for an economic incentive to exist to encourage the deployment and use of electrolysers to help reduce curtailment, because this provides an avoided-cost benefit for the SO re balancing the high-RES grid and reduces the wastage of renewable energy.</w:t>
      </w:r>
    </w:p>
    <w:p w14:paraId="6A2DB1A5" w14:textId="0BFF42EF" w:rsidR="00C423F6" w:rsidRDefault="00C423F6" w:rsidP="006F7B76">
      <w:pPr>
        <w:pStyle w:val="Heading2"/>
        <w:spacing w:before="120" w:after="120" w:line="240" w:lineRule="auto"/>
        <w:rPr>
          <w:rFonts w:ascii="Open Sans" w:eastAsia="Open Sans" w:hAnsi="Open Sans" w:cs="Open Sans"/>
          <w:b w:val="0"/>
          <w:bCs w:val="0"/>
          <w:sz w:val="22"/>
          <w:szCs w:val="22"/>
          <w:u w:val="none"/>
        </w:rPr>
      </w:pPr>
    </w:p>
    <w:p w14:paraId="4F0D23C5" w14:textId="77777777" w:rsidR="00820FDF" w:rsidRDefault="00820FDF" w:rsidP="00820FDF">
      <w:pPr>
        <w:pStyle w:val="Heading2"/>
        <w:spacing w:before="120" w:after="120"/>
        <w:rPr>
          <w:rFonts w:ascii="Open Sans" w:eastAsia="Open Sans" w:hAnsi="Open Sans" w:cs="Open Sans"/>
          <w:b w:val="0"/>
          <w:bCs w:val="0"/>
          <w:sz w:val="22"/>
          <w:szCs w:val="22"/>
        </w:rPr>
      </w:pPr>
      <w:r>
        <w:rPr>
          <w:rFonts w:ascii="Open Sans" w:eastAsia="Open Sans" w:hAnsi="Open Sans" w:cs="Open Sans"/>
          <w:b w:val="0"/>
          <w:bCs w:val="0"/>
          <w:sz w:val="22"/>
          <w:szCs w:val="22"/>
        </w:rPr>
        <w:t xml:space="preserve">Support scheme for hydrogen injection into the gas grid </w:t>
      </w:r>
    </w:p>
    <w:p w14:paraId="46221D13" w14:textId="0DA6DDF0" w:rsidR="00820FDF" w:rsidRPr="004849EC" w:rsidRDefault="00820FDF" w:rsidP="00820FDF">
      <w:pPr>
        <w:pStyle w:val="Body"/>
        <w:spacing w:before="120" w:after="120"/>
        <w:rPr>
          <w:rFonts w:ascii="Open Sans" w:eastAsia="Open Sans" w:hAnsi="Open Sans" w:cs="Open Sans"/>
          <w:color w:val="auto"/>
        </w:rPr>
      </w:pPr>
      <w:r>
        <w:rPr>
          <w:rFonts w:ascii="Open Sans" w:eastAsia="Open Sans" w:hAnsi="Open Sans" w:cs="Open Sans"/>
        </w:rPr>
        <w:t xml:space="preserve">Injecting hydrogen in the grid and selling it at the wholesale price of natural gas </w:t>
      </w:r>
      <w:r w:rsidR="004849EC">
        <w:rPr>
          <w:rFonts w:ascii="Open Sans" w:eastAsia="Open Sans" w:hAnsi="Open Sans" w:cs="Open Sans"/>
        </w:rPr>
        <w:t>is unlikely to result</w:t>
      </w:r>
      <w:r>
        <w:rPr>
          <w:rFonts w:ascii="Open Sans" w:eastAsia="Open Sans" w:hAnsi="Open Sans" w:cs="Open Sans"/>
        </w:rPr>
        <w:t xml:space="preserve"> in a viable business case. Power to gas and hydrogen injection into the gas grid will require a feed-in tariff style mechanism along the line of that has been required for biomethane injection under the Renewable Heat Incentive to kick start the market.</w:t>
      </w:r>
      <w:r w:rsidR="00875C2E">
        <w:rPr>
          <w:rFonts w:ascii="Open Sans" w:eastAsia="Open Sans" w:hAnsi="Open Sans" w:cs="Open Sans"/>
        </w:rPr>
        <w:t xml:space="preserve"> For example, th</w:t>
      </w:r>
      <w:r>
        <w:rPr>
          <w:rFonts w:ascii="Open Sans" w:eastAsia="Open Sans" w:hAnsi="Open Sans" w:cs="Open Sans"/>
        </w:rPr>
        <w:t xml:space="preserve">e Green Gas Support scheme could be adapted to include </w:t>
      </w:r>
      <w:r w:rsidR="004849EC">
        <w:rPr>
          <w:rFonts w:ascii="Open Sans" w:eastAsia="Open Sans" w:hAnsi="Open Sans" w:cs="Open Sans"/>
        </w:rPr>
        <w:t xml:space="preserve">support for injection of clean </w:t>
      </w:r>
      <w:r>
        <w:rPr>
          <w:rFonts w:ascii="Open Sans" w:eastAsia="Open Sans" w:hAnsi="Open Sans" w:cs="Open Sans"/>
        </w:rPr>
        <w:t>hydrogen</w:t>
      </w:r>
      <w:r w:rsidR="004849EC">
        <w:rPr>
          <w:rFonts w:ascii="Open Sans" w:eastAsia="Open Sans" w:hAnsi="Open Sans" w:cs="Open Sans"/>
        </w:rPr>
        <w:t xml:space="preserve">, although this is a relatively short scheme (four years) and it is expected to </w:t>
      </w:r>
      <w:r w:rsidR="00875C2E">
        <w:rPr>
          <w:rFonts w:ascii="Open Sans" w:eastAsia="Open Sans" w:hAnsi="Open Sans" w:cs="Open Sans"/>
        </w:rPr>
        <w:t>be i</w:t>
      </w:r>
      <w:r w:rsidR="004849EC">
        <w:rPr>
          <w:rFonts w:ascii="Open Sans" w:eastAsia="Open Sans" w:hAnsi="Open Sans" w:cs="Open Sans"/>
        </w:rPr>
        <w:t xml:space="preserve">ntroduced </w:t>
      </w:r>
      <w:r w:rsidR="00875C2E">
        <w:rPr>
          <w:rFonts w:ascii="Open Sans" w:eastAsia="Open Sans" w:hAnsi="Open Sans" w:cs="Open Sans"/>
        </w:rPr>
        <w:t>as early as</w:t>
      </w:r>
      <w:r w:rsidR="004849EC">
        <w:rPr>
          <w:rFonts w:ascii="Open Sans" w:eastAsia="Open Sans" w:hAnsi="Open Sans" w:cs="Open Sans"/>
        </w:rPr>
        <w:t xml:space="preserve"> </w:t>
      </w:r>
      <w:r w:rsidR="00875C2E">
        <w:rPr>
          <w:rFonts w:ascii="Open Sans" w:eastAsia="Open Sans" w:hAnsi="Open Sans" w:cs="Open Sans"/>
        </w:rPr>
        <w:t xml:space="preserve">in the </w:t>
      </w:r>
      <w:r w:rsidR="004849EC">
        <w:rPr>
          <w:rFonts w:ascii="Open Sans" w:eastAsia="Open Sans" w:hAnsi="Open Sans" w:cs="Open Sans"/>
        </w:rPr>
        <w:t xml:space="preserve">Autumn 2021, so </w:t>
      </w:r>
      <w:r w:rsidR="00875C2E">
        <w:rPr>
          <w:rFonts w:ascii="Open Sans" w:eastAsia="Open Sans" w:hAnsi="Open Sans" w:cs="Open Sans"/>
        </w:rPr>
        <w:t xml:space="preserve">BEIS would need to act on this very quickly. </w:t>
      </w:r>
    </w:p>
    <w:p w14:paraId="5AB78F9B" w14:textId="77777777" w:rsidR="00820FDF" w:rsidRDefault="00820FDF" w:rsidP="006F7B76">
      <w:pPr>
        <w:pStyle w:val="Heading2"/>
        <w:spacing w:before="120" w:after="120" w:line="240" w:lineRule="auto"/>
        <w:rPr>
          <w:rFonts w:ascii="Open Sans" w:eastAsia="Open Sans" w:hAnsi="Open Sans" w:cs="Open Sans"/>
          <w:b w:val="0"/>
          <w:bCs w:val="0"/>
          <w:sz w:val="22"/>
          <w:szCs w:val="22"/>
          <w:u w:val="none"/>
        </w:rPr>
      </w:pPr>
    </w:p>
    <w:p w14:paraId="7604FE4D" w14:textId="3713A2AA" w:rsidR="00C423F6" w:rsidRDefault="00C423F6" w:rsidP="006F7B76">
      <w:pPr>
        <w:pStyle w:val="Heading2"/>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rPr>
        <w:t xml:space="preserve">BEIS revenue scheme for </w:t>
      </w:r>
      <w:r w:rsidR="003F58AD">
        <w:rPr>
          <w:rFonts w:ascii="Open Sans" w:eastAsia="Open Sans" w:hAnsi="Open Sans" w:cs="Open Sans"/>
          <w:b w:val="0"/>
          <w:bCs w:val="0"/>
          <w:sz w:val="22"/>
          <w:szCs w:val="22"/>
        </w:rPr>
        <w:t>clean</w:t>
      </w:r>
      <w:r>
        <w:rPr>
          <w:rFonts w:ascii="Open Sans" w:eastAsia="Open Sans" w:hAnsi="Open Sans" w:cs="Open Sans"/>
          <w:b w:val="0"/>
          <w:bCs w:val="0"/>
          <w:sz w:val="22"/>
          <w:szCs w:val="22"/>
        </w:rPr>
        <w:t xml:space="preserve"> hydrogen (business models work)</w:t>
      </w:r>
    </w:p>
    <w:p w14:paraId="28175172" w14:textId="67F3D75E" w:rsidR="00820FDF" w:rsidRPr="00820FDF" w:rsidRDefault="00820FDF" w:rsidP="006F7B76">
      <w:pPr>
        <w:pStyle w:val="Heading2"/>
        <w:spacing w:before="120" w:after="120" w:line="240" w:lineRule="auto"/>
        <w:rPr>
          <w:rFonts w:ascii="Open Sans" w:eastAsia="Open Sans" w:hAnsi="Open Sans" w:cs="Open Sans"/>
          <w:b w:val="0"/>
          <w:bCs w:val="0"/>
          <w:i/>
          <w:iCs/>
          <w:sz w:val="22"/>
          <w:szCs w:val="22"/>
          <w:u w:val="none"/>
        </w:rPr>
      </w:pPr>
      <w:r w:rsidRPr="00820FDF">
        <w:rPr>
          <w:rFonts w:ascii="Open Sans" w:eastAsia="Open Sans" w:hAnsi="Open Sans" w:cs="Open Sans"/>
          <w:b w:val="0"/>
          <w:bCs w:val="0"/>
          <w:i/>
          <w:iCs/>
          <w:sz w:val="22"/>
          <w:szCs w:val="22"/>
          <w:u w:val="none"/>
        </w:rPr>
        <w:t xml:space="preserve">Green hydrogen </w:t>
      </w:r>
    </w:p>
    <w:p w14:paraId="26F420CE" w14:textId="5398CDAD" w:rsidR="00093E2B" w:rsidRDefault="00C423F6"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BEIS </w:t>
      </w:r>
      <w:r w:rsidR="00093E2B">
        <w:rPr>
          <w:rFonts w:ascii="Open Sans" w:eastAsia="Open Sans" w:hAnsi="Open Sans" w:cs="Open Sans"/>
          <w:b w:val="0"/>
          <w:bCs w:val="0"/>
          <w:sz w:val="22"/>
          <w:szCs w:val="22"/>
          <w:u w:val="none"/>
        </w:rPr>
        <w:t xml:space="preserve">are in the process of developing a revenue scheme to support clean hydrogen production (CCUS and non CCUS-enabled). </w:t>
      </w:r>
    </w:p>
    <w:p w14:paraId="79971447" w14:textId="50C815AB" w:rsidR="00093E2B" w:rsidRDefault="00093E2B"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If BEIS intends</w:t>
      </w:r>
      <w:r w:rsidR="00C423F6">
        <w:rPr>
          <w:rFonts w:ascii="Open Sans" w:eastAsia="Open Sans" w:hAnsi="Open Sans" w:cs="Open Sans"/>
          <w:b w:val="0"/>
          <w:bCs w:val="0"/>
          <w:sz w:val="22"/>
          <w:szCs w:val="22"/>
          <w:u w:val="none"/>
        </w:rPr>
        <w:t xml:space="preserve"> to develop a </w:t>
      </w:r>
      <w:proofErr w:type="spellStart"/>
      <w:r w:rsidR="00C423F6">
        <w:rPr>
          <w:rFonts w:ascii="Open Sans" w:eastAsia="Open Sans" w:hAnsi="Open Sans" w:cs="Open Sans"/>
          <w:b w:val="0"/>
          <w:bCs w:val="0"/>
          <w:sz w:val="22"/>
          <w:szCs w:val="22"/>
          <w:u w:val="none"/>
        </w:rPr>
        <w:t>CfD</w:t>
      </w:r>
      <w:proofErr w:type="spellEnd"/>
      <w:r w:rsidR="00C423F6">
        <w:rPr>
          <w:rFonts w:ascii="Open Sans" w:eastAsia="Open Sans" w:hAnsi="Open Sans" w:cs="Open Sans"/>
          <w:b w:val="0"/>
          <w:bCs w:val="0"/>
          <w:sz w:val="22"/>
          <w:szCs w:val="22"/>
          <w:u w:val="none"/>
        </w:rPr>
        <w:t xml:space="preserve"> style mechanism to support </w:t>
      </w:r>
      <w:r>
        <w:rPr>
          <w:rFonts w:ascii="Open Sans" w:eastAsia="Open Sans" w:hAnsi="Open Sans" w:cs="Open Sans"/>
          <w:b w:val="0"/>
          <w:bCs w:val="0"/>
          <w:sz w:val="22"/>
          <w:szCs w:val="22"/>
          <w:u w:val="none"/>
        </w:rPr>
        <w:t xml:space="preserve">green hydrogen, the view of our members is that this </w:t>
      </w:r>
      <w:r w:rsidR="00C423F6">
        <w:rPr>
          <w:rFonts w:ascii="Open Sans" w:eastAsia="Open Sans" w:hAnsi="Open Sans" w:cs="Open Sans"/>
          <w:b w:val="0"/>
          <w:bCs w:val="0"/>
          <w:sz w:val="22"/>
          <w:szCs w:val="22"/>
          <w:u w:val="none"/>
        </w:rPr>
        <w:t>should be linked to offshore wind</w:t>
      </w:r>
      <w:r>
        <w:rPr>
          <w:rFonts w:ascii="Open Sans" w:eastAsia="Open Sans" w:hAnsi="Open Sans" w:cs="Open Sans"/>
          <w:b w:val="0"/>
          <w:bCs w:val="0"/>
          <w:sz w:val="22"/>
          <w:szCs w:val="22"/>
          <w:u w:val="none"/>
        </w:rPr>
        <w:t>, given that b</w:t>
      </w:r>
      <w:r w:rsidR="00C423F6">
        <w:rPr>
          <w:rFonts w:ascii="Open Sans" w:eastAsia="Open Sans" w:hAnsi="Open Sans" w:cs="Open Sans"/>
          <w:b w:val="0"/>
          <w:bCs w:val="0"/>
          <w:sz w:val="22"/>
          <w:szCs w:val="22"/>
          <w:u w:val="none"/>
        </w:rPr>
        <w:t xml:space="preserve">y 2030 most of the renewable electricity production will be from this technology. There are many synergies between offshore wind and hydrogen. </w:t>
      </w:r>
    </w:p>
    <w:p w14:paraId="389CB760" w14:textId="287771BD" w:rsidR="00C423F6" w:rsidRDefault="00093E2B"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I</w:t>
      </w:r>
      <w:r w:rsidR="00C423F6">
        <w:rPr>
          <w:rFonts w:ascii="Open Sans" w:eastAsia="Open Sans" w:hAnsi="Open Sans" w:cs="Open Sans"/>
          <w:b w:val="0"/>
          <w:bCs w:val="0"/>
          <w:sz w:val="22"/>
          <w:szCs w:val="22"/>
          <w:u w:val="none"/>
        </w:rPr>
        <w:t xml:space="preserve">t </w:t>
      </w:r>
      <w:r>
        <w:rPr>
          <w:rFonts w:ascii="Open Sans" w:eastAsia="Open Sans" w:hAnsi="Open Sans" w:cs="Open Sans"/>
          <w:b w:val="0"/>
          <w:bCs w:val="0"/>
          <w:sz w:val="22"/>
          <w:szCs w:val="22"/>
          <w:u w:val="none"/>
        </w:rPr>
        <w:t xml:space="preserve">should be noted that </w:t>
      </w:r>
      <w:r w:rsidR="00C423F6">
        <w:rPr>
          <w:rFonts w:ascii="Open Sans" w:eastAsia="Open Sans" w:hAnsi="Open Sans" w:cs="Open Sans"/>
          <w:b w:val="0"/>
          <w:bCs w:val="0"/>
          <w:sz w:val="22"/>
          <w:szCs w:val="22"/>
          <w:u w:val="none"/>
        </w:rPr>
        <w:t xml:space="preserve">a </w:t>
      </w:r>
      <w:proofErr w:type="spellStart"/>
      <w:r w:rsidR="00C423F6">
        <w:rPr>
          <w:rFonts w:ascii="Open Sans" w:eastAsia="Open Sans" w:hAnsi="Open Sans" w:cs="Open Sans"/>
          <w:b w:val="0"/>
          <w:bCs w:val="0"/>
          <w:sz w:val="22"/>
          <w:szCs w:val="22"/>
          <w:u w:val="none"/>
        </w:rPr>
        <w:t>CfD</w:t>
      </w:r>
      <w:proofErr w:type="spellEnd"/>
      <w:r w:rsidR="00C423F6">
        <w:rPr>
          <w:rFonts w:ascii="Open Sans" w:eastAsia="Open Sans" w:hAnsi="Open Sans" w:cs="Open Sans"/>
          <w:b w:val="0"/>
          <w:bCs w:val="0"/>
          <w:sz w:val="22"/>
          <w:szCs w:val="22"/>
          <w:u w:val="none"/>
        </w:rPr>
        <w:t xml:space="preserve"> type revenue scheme will be less useful if electrolysers are still unable to access low electricity prices (see first two policy recommendations above)</w:t>
      </w:r>
      <w:r>
        <w:rPr>
          <w:rFonts w:ascii="Open Sans" w:eastAsia="Open Sans" w:hAnsi="Open Sans" w:cs="Open Sans"/>
          <w:b w:val="0"/>
          <w:bCs w:val="0"/>
          <w:sz w:val="22"/>
          <w:szCs w:val="22"/>
          <w:u w:val="none"/>
        </w:rPr>
        <w:t xml:space="preserve">, so this issue needs to be addressed in parallel. </w:t>
      </w:r>
    </w:p>
    <w:p w14:paraId="6F33AAD3" w14:textId="3461ECD3" w:rsidR="00C423F6" w:rsidRDefault="00093E2B"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Different hydrogen end uses / </w:t>
      </w:r>
      <w:r w:rsidR="00C423F6">
        <w:rPr>
          <w:rFonts w:ascii="Open Sans" w:eastAsia="Open Sans" w:hAnsi="Open Sans" w:cs="Open Sans"/>
          <w:b w:val="0"/>
          <w:bCs w:val="0"/>
          <w:sz w:val="22"/>
          <w:szCs w:val="22"/>
          <w:u w:val="none"/>
        </w:rPr>
        <w:t xml:space="preserve">applications </w:t>
      </w:r>
      <w:r>
        <w:rPr>
          <w:rFonts w:ascii="Open Sans" w:eastAsia="Open Sans" w:hAnsi="Open Sans" w:cs="Open Sans"/>
          <w:b w:val="0"/>
          <w:bCs w:val="0"/>
          <w:sz w:val="22"/>
          <w:szCs w:val="22"/>
          <w:u w:val="none"/>
        </w:rPr>
        <w:t>should be considered separately</w:t>
      </w:r>
      <w:r w:rsidR="00C423F6">
        <w:rPr>
          <w:rFonts w:ascii="Open Sans" w:eastAsia="Open Sans" w:hAnsi="Open Sans" w:cs="Open Sans"/>
          <w:b w:val="0"/>
          <w:bCs w:val="0"/>
          <w:sz w:val="22"/>
          <w:szCs w:val="22"/>
          <w:u w:val="none"/>
        </w:rPr>
        <w:t xml:space="preserve"> as the economics look very different depending on </w:t>
      </w:r>
      <w:r>
        <w:rPr>
          <w:rFonts w:ascii="Open Sans" w:eastAsia="Open Sans" w:hAnsi="Open Sans" w:cs="Open Sans"/>
          <w:b w:val="0"/>
          <w:bCs w:val="0"/>
          <w:sz w:val="22"/>
          <w:szCs w:val="22"/>
          <w:u w:val="none"/>
        </w:rPr>
        <w:t>where/how the</w:t>
      </w:r>
      <w:r w:rsidR="00C423F6">
        <w:rPr>
          <w:rFonts w:ascii="Open Sans" w:eastAsia="Open Sans" w:hAnsi="Open Sans" w:cs="Open Sans"/>
          <w:b w:val="0"/>
          <w:bCs w:val="0"/>
          <w:sz w:val="22"/>
          <w:szCs w:val="22"/>
          <w:u w:val="none"/>
        </w:rPr>
        <w:t xml:space="preserve"> hydrogen </w:t>
      </w:r>
      <w:r>
        <w:rPr>
          <w:rFonts w:ascii="Open Sans" w:eastAsia="Open Sans" w:hAnsi="Open Sans" w:cs="Open Sans"/>
          <w:b w:val="0"/>
          <w:bCs w:val="0"/>
          <w:sz w:val="22"/>
          <w:szCs w:val="22"/>
          <w:u w:val="none"/>
        </w:rPr>
        <w:t>is used</w:t>
      </w:r>
      <w:r w:rsidR="00266D17">
        <w:rPr>
          <w:rFonts w:ascii="Open Sans" w:eastAsia="Open Sans" w:hAnsi="Open Sans" w:cs="Open Sans"/>
          <w:b w:val="0"/>
          <w:bCs w:val="0"/>
          <w:sz w:val="22"/>
          <w:szCs w:val="22"/>
          <w:u w:val="none"/>
        </w:rPr>
        <w:t xml:space="preserve">. </w:t>
      </w:r>
      <w:r w:rsidR="00C423F6">
        <w:rPr>
          <w:rFonts w:ascii="Open Sans" w:eastAsia="Open Sans" w:hAnsi="Open Sans" w:cs="Open Sans"/>
          <w:b w:val="0"/>
          <w:bCs w:val="0"/>
          <w:sz w:val="22"/>
          <w:szCs w:val="22"/>
          <w:u w:val="none"/>
        </w:rPr>
        <w:t xml:space="preserve">For example, in the transport sector the value of hydrogen is already attractive as diesel is taxed heavily; and in the existing merchant hydrogen market grey hydrogen already has a relatively high value per kg, especially high purity hydrogen. For industry and the gas grid, green hydrogen is currently much more expensive than the alternative fossil fuel (grey hydrogen or natural gas). So, we may need a separate mechanism for different sectors: one size fits all </w:t>
      </w:r>
      <w:proofErr w:type="spellStart"/>
      <w:r w:rsidR="00C423F6">
        <w:rPr>
          <w:rFonts w:ascii="Open Sans" w:eastAsia="Open Sans" w:hAnsi="Open Sans" w:cs="Open Sans"/>
          <w:b w:val="0"/>
          <w:bCs w:val="0"/>
          <w:sz w:val="22"/>
          <w:szCs w:val="22"/>
          <w:u w:val="none"/>
        </w:rPr>
        <w:t>CfD</w:t>
      </w:r>
      <w:proofErr w:type="spellEnd"/>
      <w:r w:rsidR="00C423F6">
        <w:rPr>
          <w:rFonts w:ascii="Open Sans" w:eastAsia="Open Sans" w:hAnsi="Open Sans" w:cs="Open Sans"/>
          <w:b w:val="0"/>
          <w:bCs w:val="0"/>
          <w:sz w:val="22"/>
          <w:szCs w:val="22"/>
          <w:u w:val="none"/>
        </w:rPr>
        <w:t xml:space="preserve"> scheme may not be sufficient to get the market going for certain sectors. </w:t>
      </w:r>
    </w:p>
    <w:p w14:paraId="2C2D4F66" w14:textId="5ECD2477" w:rsidR="00C423F6" w:rsidRPr="00926EBA" w:rsidRDefault="00C423F6"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For industry it may be necessary to mandate the adoption of green hydrogen to drive investment over the long term. </w:t>
      </w:r>
      <w:proofErr w:type="gramStart"/>
      <w:r>
        <w:rPr>
          <w:rFonts w:ascii="Open Sans" w:eastAsia="Open Sans" w:hAnsi="Open Sans" w:cs="Open Sans"/>
          <w:b w:val="0"/>
          <w:bCs w:val="0"/>
          <w:sz w:val="22"/>
          <w:szCs w:val="22"/>
          <w:u w:val="none"/>
        </w:rPr>
        <w:t>E.g.</w:t>
      </w:r>
      <w:proofErr w:type="gramEnd"/>
      <w:r>
        <w:rPr>
          <w:rFonts w:ascii="Open Sans" w:eastAsia="Open Sans" w:hAnsi="Open Sans" w:cs="Open Sans"/>
          <w:b w:val="0"/>
          <w:bCs w:val="0"/>
          <w:sz w:val="22"/>
          <w:szCs w:val="22"/>
          <w:u w:val="none"/>
        </w:rPr>
        <w:t xml:space="preserve"> setting a target of 25% decarbonisation of refineries by 2030 could kick start the market straight away. In Germany a 2GW target has been set for green hydrogen production at refineries </w:t>
      </w:r>
      <w:r w:rsidR="00CA2258">
        <w:rPr>
          <w:rFonts w:ascii="Open Sans" w:eastAsia="Open Sans" w:hAnsi="Open Sans" w:cs="Open Sans"/>
          <w:b w:val="0"/>
          <w:bCs w:val="0"/>
          <w:sz w:val="22"/>
          <w:szCs w:val="22"/>
          <w:u w:val="none"/>
        </w:rPr>
        <w:t xml:space="preserve">(see </w:t>
      </w:r>
      <w:r w:rsidR="00266D17">
        <w:rPr>
          <w:rFonts w:ascii="Open Sans" w:eastAsia="Open Sans" w:hAnsi="Open Sans" w:cs="Open Sans"/>
          <w:b w:val="0"/>
          <w:bCs w:val="0"/>
          <w:sz w:val="22"/>
          <w:szCs w:val="22"/>
          <w:u w:val="none"/>
        </w:rPr>
        <w:t xml:space="preserve">German </w:t>
      </w:r>
      <w:r w:rsidR="00CA2258">
        <w:rPr>
          <w:rFonts w:ascii="Open Sans" w:eastAsia="Open Sans" w:hAnsi="Open Sans" w:cs="Open Sans"/>
          <w:b w:val="0"/>
          <w:bCs w:val="0"/>
          <w:sz w:val="22"/>
          <w:szCs w:val="22"/>
          <w:u w:val="none"/>
        </w:rPr>
        <w:t xml:space="preserve">Strategy </w:t>
      </w:r>
      <w:hyperlink r:id="rId10" w:history="1">
        <w:r w:rsidR="00CA2258" w:rsidRPr="00CA2258">
          <w:rPr>
            <w:rStyle w:val="Hyperlink"/>
            <w:rFonts w:ascii="Open Sans" w:eastAsia="Open Sans" w:hAnsi="Open Sans" w:cs="Open Sans"/>
            <w:b w:val="0"/>
            <w:bCs w:val="0"/>
            <w:sz w:val="22"/>
            <w:szCs w:val="22"/>
          </w:rPr>
          <w:t>here</w:t>
        </w:r>
      </w:hyperlink>
      <w:r w:rsidR="00CA2258">
        <w:rPr>
          <w:rFonts w:ascii="Open Sans" w:eastAsia="Open Sans" w:hAnsi="Open Sans" w:cs="Open Sans"/>
          <w:b w:val="0"/>
          <w:bCs w:val="0"/>
          <w:sz w:val="22"/>
          <w:szCs w:val="22"/>
          <w:u w:val="none"/>
        </w:rPr>
        <w:t xml:space="preserve">). </w:t>
      </w:r>
    </w:p>
    <w:p w14:paraId="3F4BCBBA" w14:textId="77777777" w:rsidR="00266D17" w:rsidRDefault="00C423F6" w:rsidP="006F7B76">
      <w:pPr>
        <w:pStyle w:val="Heading2"/>
        <w:spacing w:before="120" w:after="120" w:line="240" w:lineRule="auto"/>
        <w:rPr>
          <w:rFonts w:ascii="Open Sans" w:eastAsia="Open Sans" w:hAnsi="Open Sans" w:cs="Open Sans"/>
          <w:b w:val="0"/>
          <w:bCs w:val="0"/>
          <w:sz w:val="22"/>
          <w:szCs w:val="22"/>
          <w:u w:val="none"/>
        </w:rPr>
      </w:pPr>
      <w:r w:rsidRPr="00926EBA">
        <w:rPr>
          <w:rFonts w:ascii="Open Sans" w:eastAsia="Open Sans" w:hAnsi="Open Sans" w:cs="Open Sans"/>
          <w:b w:val="0"/>
          <w:bCs w:val="0"/>
          <w:sz w:val="22"/>
          <w:szCs w:val="22"/>
          <w:u w:val="none"/>
        </w:rPr>
        <w:t xml:space="preserve">So, in summary, a </w:t>
      </w:r>
      <w:proofErr w:type="spellStart"/>
      <w:r w:rsidRPr="00926EBA">
        <w:rPr>
          <w:rFonts w:ascii="Open Sans" w:eastAsia="Open Sans" w:hAnsi="Open Sans" w:cs="Open Sans"/>
          <w:b w:val="0"/>
          <w:bCs w:val="0"/>
          <w:sz w:val="22"/>
          <w:szCs w:val="22"/>
          <w:u w:val="none"/>
        </w:rPr>
        <w:t>CfD</w:t>
      </w:r>
      <w:proofErr w:type="spellEnd"/>
      <w:r w:rsidRPr="00926EBA">
        <w:rPr>
          <w:rFonts w:ascii="Open Sans" w:eastAsia="Open Sans" w:hAnsi="Open Sans" w:cs="Open Sans"/>
          <w:b w:val="0"/>
          <w:bCs w:val="0"/>
          <w:sz w:val="22"/>
          <w:szCs w:val="22"/>
          <w:u w:val="none"/>
        </w:rPr>
        <w:t xml:space="preserve"> style mechanism would </w:t>
      </w:r>
      <w:r w:rsidR="00266D17">
        <w:rPr>
          <w:rFonts w:ascii="Open Sans" w:eastAsia="Open Sans" w:hAnsi="Open Sans" w:cs="Open Sans"/>
          <w:b w:val="0"/>
          <w:bCs w:val="0"/>
          <w:sz w:val="22"/>
          <w:szCs w:val="22"/>
          <w:u w:val="none"/>
        </w:rPr>
        <w:t xml:space="preserve">certainly </w:t>
      </w:r>
      <w:r w:rsidRPr="00926EBA">
        <w:rPr>
          <w:rFonts w:ascii="Open Sans" w:eastAsia="Open Sans" w:hAnsi="Open Sans" w:cs="Open Sans"/>
          <w:b w:val="0"/>
          <w:bCs w:val="0"/>
          <w:sz w:val="22"/>
          <w:szCs w:val="22"/>
          <w:u w:val="none"/>
        </w:rPr>
        <w:t xml:space="preserve">help, but there will also need to be a ‘pot’ of policy measures to support different sectors. </w:t>
      </w:r>
    </w:p>
    <w:p w14:paraId="324BA70B" w14:textId="5BCE6C8C" w:rsidR="00C423F6" w:rsidRDefault="00C423F6" w:rsidP="006F7B76">
      <w:pPr>
        <w:pStyle w:val="Heading2"/>
        <w:spacing w:before="120" w:after="120" w:line="240" w:lineRule="auto"/>
        <w:rPr>
          <w:rFonts w:ascii="Open Sans" w:eastAsia="Open Sans" w:hAnsi="Open Sans" w:cs="Open Sans"/>
          <w:b w:val="0"/>
          <w:bCs w:val="0"/>
          <w:sz w:val="22"/>
          <w:szCs w:val="22"/>
          <w:u w:val="none"/>
        </w:rPr>
      </w:pPr>
      <w:r w:rsidRPr="00926EBA">
        <w:rPr>
          <w:rFonts w:ascii="Open Sans" w:eastAsia="Open Sans" w:hAnsi="Open Sans" w:cs="Open Sans"/>
          <w:b w:val="0"/>
          <w:bCs w:val="0"/>
          <w:sz w:val="22"/>
          <w:szCs w:val="22"/>
          <w:u w:val="none"/>
        </w:rPr>
        <w:lastRenderedPageBreak/>
        <w:t>It is also important to distinguish meas</w:t>
      </w:r>
      <w:r>
        <w:rPr>
          <w:rFonts w:ascii="Open Sans" w:eastAsia="Open Sans" w:hAnsi="Open Sans" w:cs="Open Sans"/>
          <w:b w:val="0"/>
          <w:bCs w:val="0"/>
          <w:sz w:val="22"/>
          <w:szCs w:val="22"/>
          <w:u w:val="none"/>
        </w:rPr>
        <w:t>ures</w:t>
      </w:r>
      <w:r w:rsidR="00266D17">
        <w:rPr>
          <w:rFonts w:ascii="Open Sans" w:eastAsia="Open Sans" w:hAnsi="Open Sans" w:cs="Open Sans"/>
          <w:b w:val="0"/>
          <w:bCs w:val="0"/>
          <w:sz w:val="22"/>
          <w:szCs w:val="22"/>
          <w:u w:val="none"/>
        </w:rPr>
        <w:t xml:space="preserve"> necessary to support </w:t>
      </w:r>
      <w:r>
        <w:rPr>
          <w:rFonts w:ascii="Open Sans" w:eastAsia="Open Sans" w:hAnsi="Open Sans" w:cs="Open Sans"/>
          <w:b w:val="0"/>
          <w:bCs w:val="0"/>
          <w:sz w:val="22"/>
          <w:szCs w:val="22"/>
          <w:u w:val="none"/>
        </w:rPr>
        <w:t xml:space="preserve">renewable hydrogen from those introduced by government for non-renewable hydrogen production and CCS, because of their different energy sources and scales. Achieving a clear identity for renewable hydrogen, both its production and use, is important. </w:t>
      </w:r>
    </w:p>
    <w:p w14:paraId="0BA709F8" w14:textId="77777777" w:rsidR="00266D17" w:rsidRDefault="00266D17" w:rsidP="00093E2B">
      <w:pPr>
        <w:pStyle w:val="Heading2"/>
        <w:spacing w:before="120" w:after="120" w:line="240" w:lineRule="auto"/>
        <w:rPr>
          <w:rFonts w:ascii="Open Sans" w:eastAsia="Open Sans" w:hAnsi="Open Sans" w:cs="Open Sans"/>
          <w:b w:val="0"/>
          <w:bCs w:val="0"/>
          <w:sz w:val="22"/>
          <w:szCs w:val="22"/>
        </w:rPr>
      </w:pPr>
    </w:p>
    <w:p w14:paraId="23CB459C" w14:textId="192716EC" w:rsidR="00093E2B" w:rsidRPr="00820FDF" w:rsidRDefault="00093E2B" w:rsidP="00093E2B">
      <w:pPr>
        <w:pStyle w:val="Heading2"/>
        <w:spacing w:before="120" w:after="120" w:line="240" w:lineRule="auto"/>
        <w:rPr>
          <w:rFonts w:ascii="Open Sans" w:eastAsia="Open Sans" w:hAnsi="Open Sans" w:cs="Open Sans"/>
          <w:b w:val="0"/>
          <w:bCs w:val="0"/>
          <w:i/>
          <w:iCs/>
          <w:sz w:val="22"/>
          <w:szCs w:val="22"/>
          <w:u w:val="none"/>
        </w:rPr>
      </w:pPr>
      <w:r w:rsidRPr="00820FDF">
        <w:rPr>
          <w:rFonts w:ascii="Open Sans" w:eastAsia="Open Sans" w:hAnsi="Open Sans" w:cs="Open Sans"/>
          <w:b w:val="0"/>
          <w:bCs w:val="0"/>
          <w:i/>
          <w:iCs/>
          <w:sz w:val="22"/>
          <w:szCs w:val="22"/>
          <w:u w:val="none"/>
        </w:rPr>
        <w:t>Biohydrogen</w:t>
      </w:r>
    </w:p>
    <w:p w14:paraId="483A2D64" w14:textId="0ECBA2E7" w:rsidR="00093E2B" w:rsidRDefault="00266D17" w:rsidP="00093E2B">
      <w:pPr>
        <w:spacing w:before="120" w:after="120"/>
        <w:rPr>
          <w:rFonts w:ascii="Open Sans" w:hAnsi="Open Sans"/>
        </w:rPr>
      </w:pPr>
      <w:r>
        <w:rPr>
          <w:rFonts w:ascii="Open Sans" w:hAnsi="Open Sans"/>
        </w:rPr>
        <w:t xml:space="preserve">The production of biohydrogen – either from steam methane reforming of biomethane or from thermal gasification of biomass – should also be supported through a revenue scheme. </w:t>
      </w:r>
    </w:p>
    <w:p w14:paraId="5E836AEF" w14:textId="77777777" w:rsidR="00093E2B" w:rsidRDefault="00093E2B" w:rsidP="00093E2B">
      <w:pPr>
        <w:spacing w:before="120" w:after="120"/>
        <w:rPr>
          <w:rFonts w:ascii="Open Sans" w:hAnsi="Open Sans"/>
        </w:rPr>
      </w:pPr>
      <w:r>
        <w:rPr>
          <w:rFonts w:ascii="Open Sans" w:hAnsi="Open Sans"/>
        </w:rPr>
        <w:t xml:space="preserve">It is crucial that BEIS </w:t>
      </w:r>
      <w:proofErr w:type="gramStart"/>
      <w:r>
        <w:rPr>
          <w:rFonts w:ascii="Open Sans" w:hAnsi="Open Sans"/>
        </w:rPr>
        <w:t>doesn’t</w:t>
      </w:r>
      <w:proofErr w:type="gramEnd"/>
      <w:r>
        <w:rPr>
          <w:rFonts w:ascii="Open Sans" w:hAnsi="Open Sans"/>
        </w:rPr>
        <w:t xml:space="preserve"> focus only on blue and green (electrolytic) hydrogen (which of course we support) but that a technology neutral approach is taken. </w:t>
      </w:r>
    </w:p>
    <w:p w14:paraId="72AA29E3" w14:textId="012FD691" w:rsidR="00093E2B" w:rsidRDefault="00093E2B" w:rsidP="00093E2B">
      <w:pPr>
        <w:spacing w:before="120" w:after="120"/>
        <w:rPr>
          <w:rFonts w:ascii="Open Sans" w:hAnsi="Open Sans"/>
        </w:rPr>
      </w:pPr>
      <w:r>
        <w:rPr>
          <w:rFonts w:ascii="Open Sans" w:hAnsi="Open Sans"/>
        </w:rPr>
        <w:t xml:space="preserve">If a revenue scheme is developed for blue and green, then we think biohydrogen should also be eligible, or if appropriate, should have their own revenue support scheme. </w:t>
      </w:r>
    </w:p>
    <w:p w14:paraId="0515EC38" w14:textId="1F105B67" w:rsidR="00093E2B" w:rsidRDefault="00093E2B" w:rsidP="00093E2B">
      <w:pPr>
        <w:spacing w:before="120" w:after="120"/>
        <w:rPr>
          <w:rFonts w:ascii="Open Sans" w:hAnsi="Open Sans"/>
        </w:rPr>
      </w:pPr>
      <w:r>
        <w:rPr>
          <w:rFonts w:ascii="Open Sans" w:hAnsi="Open Sans"/>
        </w:rPr>
        <w:t>The REA has already approach BEIS officials to organi</w:t>
      </w:r>
      <w:r w:rsidR="00266D17">
        <w:rPr>
          <w:rFonts w:ascii="Open Sans" w:hAnsi="Open Sans"/>
        </w:rPr>
        <w:t>s</w:t>
      </w:r>
      <w:r>
        <w:rPr>
          <w:rFonts w:ascii="Open Sans" w:hAnsi="Open Sans"/>
        </w:rPr>
        <w:t xml:space="preserve">e a roundtable with members to discuss future support for biohydrogen. </w:t>
      </w:r>
    </w:p>
    <w:p w14:paraId="518F32CB" w14:textId="7D9C6E4F" w:rsidR="004849EC" w:rsidRDefault="004849EC" w:rsidP="00093E2B">
      <w:pPr>
        <w:spacing w:before="120" w:after="120"/>
        <w:rPr>
          <w:rFonts w:ascii="Open Sans" w:hAnsi="Open Sans"/>
        </w:rPr>
      </w:pPr>
    </w:p>
    <w:p w14:paraId="3C1AAA66" w14:textId="248309F5" w:rsidR="004849EC" w:rsidRPr="004849EC" w:rsidRDefault="004849EC" w:rsidP="00093E2B">
      <w:pPr>
        <w:spacing w:before="120" w:after="120"/>
        <w:rPr>
          <w:rFonts w:ascii="Open Sans" w:hAnsi="Open Sans"/>
          <w:i/>
          <w:iCs/>
        </w:rPr>
      </w:pPr>
      <w:r w:rsidRPr="004849EC">
        <w:rPr>
          <w:rFonts w:ascii="Open Sans" w:hAnsi="Open Sans"/>
          <w:i/>
          <w:iCs/>
        </w:rPr>
        <w:t>Blue hydrogen</w:t>
      </w:r>
    </w:p>
    <w:p w14:paraId="5221BCAB" w14:textId="0E2C2BCC" w:rsidR="004849EC" w:rsidRDefault="004849EC" w:rsidP="00093E2B">
      <w:pPr>
        <w:spacing w:before="120" w:after="120"/>
        <w:rPr>
          <w:rFonts w:ascii="Open Sans" w:hAnsi="Open Sans"/>
        </w:rPr>
      </w:pPr>
      <w:r>
        <w:rPr>
          <w:rFonts w:ascii="Open Sans" w:hAnsi="Open Sans"/>
        </w:rPr>
        <w:t xml:space="preserve">We </w:t>
      </w:r>
      <w:proofErr w:type="gramStart"/>
      <w:r>
        <w:rPr>
          <w:rFonts w:ascii="Open Sans" w:hAnsi="Open Sans"/>
        </w:rPr>
        <w:t>haven’t</w:t>
      </w:r>
      <w:proofErr w:type="gramEnd"/>
      <w:r>
        <w:rPr>
          <w:rFonts w:ascii="Open Sans" w:hAnsi="Open Sans"/>
        </w:rPr>
        <w:t xml:space="preserve"> included here recommendations for blue hydrogen as we know work to develop business models for these types of projects is well underway. </w:t>
      </w:r>
    </w:p>
    <w:p w14:paraId="3513D279" w14:textId="77777777" w:rsidR="00093E2B" w:rsidRDefault="00093E2B" w:rsidP="00093E2B">
      <w:pPr>
        <w:spacing w:before="120" w:after="120"/>
        <w:rPr>
          <w:rFonts w:ascii="Open Sans" w:hAnsi="Open Sans"/>
        </w:rPr>
      </w:pPr>
    </w:p>
    <w:p w14:paraId="026D19ED" w14:textId="77777777" w:rsidR="00C423F6" w:rsidRPr="006E26EF" w:rsidRDefault="00C423F6" w:rsidP="006F7B76">
      <w:pPr>
        <w:pStyle w:val="Heading2"/>
        <w:spacing w:before="120" w:after="120" w:line="240" w:lineRule="auto"/>
        <w:rPr>
          <w:rFonts w:ascii="Open Sans" w:eastAsia="Open Sans" w:hAnsi="Open Sans" w:cs="Open Sans"/>
          <w:b w:val="0"/>
          <w:bCs w:val="0"/>
          <w:sz w:val="22"/>
          <w:szCs w:val="22"/>
        </w:rPr>
      </w:pPr>
      <w:r w:rsidRPr="006E26EF">
        <w:rPr>
          <w:rFonts w:ascii="Open Sans" w:eastAsia="Open Sans" w:hAnsi="Open Sans" w:cs="Open Sans"/>
          <w:b w:val="0"/>
          <w:bCs w:val="0"/>
          <w:sz w:val="22"/>
          <w:szCs w:val="22"/>
        </w:rPr>
        <w:t>Additionality</w:t>
      </w:r>
    </w:p>
    <w:p w14:paraId="2E883D4A" w14:textId="0F5FFF68" w:rsidR="00C423F6" w:rsidRPr="006E26EF" w:rsidRDefault="00C423F6" w:rsidP="006F7B76">
      <w:pPr>
        <w:pStyle w:val="Heading2"/>
        <w:spacing w:before="120" w:after="120" w:line="240" w:lineRule="auto"/>
        <w:rPr>
          <w:rFonts w:ascii="Open Sans" w:eastAsia="Open Sans" w:hAnsi="Open Sans" w:cs="Open Sans"/>
          <w:b w:val="0"/>
          <w:bCs w:val="0"/>
          <w:sz w:val="22"/>
          <w:szCs w:val="22"/>
          <w:u w:val="none"/>
        </w:rPr>
      </w:pPr>
      <w:r w:rsidRPr="006E26EF">
        <w:rPr>
          <w:rFonts w:ascii="Open Sans" w:eastAsia="Open Sans" w:hAnsi="Open Sans" w:cs="Open Sans"/>
          <w:b w:val="0"/>
          <w:bCs w:val="0"/>
          <w:sz w:val="22"/>
          <w:szCs w:val="22"/>
          <w:u w:val="none"/>
        </w:rPr>
        <w:t>We understand and support the principle of additionality</w:t>
      </w:r>
      <w:r w:rsidR="00266D17">
        <w:rPr>
          <w:rFonts w:ascii="Open Sans" w:eastAsia="Open Sans" w:hAnsi="Open Sans" w:cs="Open Sans"/>
          <w:b w:val="0"/>
          <w:bCs w:val="0"/>
          <w:sz w:val="22"/>
          <w:szCs w:val="22"/>
          <w:u w:val="none"/>
        </w:rPr>
        <w:t xml:space="preserve"> for green </w:t>
      </w:r>
      <w:r w:rsidR="00C53D8C">
        <w:rPr>
          <w:rFonts w:ascii="Open Sans" w:eastAsia="Open Sans" w:hAnsi="Open Sans" w:cs="Open Sans"/>
          <w:b w:val="0"/>
          <w:bCs w:val="0"/>
          <w:sz w:val="22"/>
          <w:szCs w:val="22"/>
          <w:u w:val="none"/>
        </w:rPr>
        <w:t>hydrogen</w:t>
      </w:r>
      <w:r w:rsidRPr="006E26EF">
        <w:rPr>
          <w:rFonts w:ascii="Open Sans" w:eastAsia="Open Sans" w:hAnsi="Open Sans" w:cs="Open Sans"/>
          <w:b w:val="0"/>
          <w:bCs w:val="0"/>
          <w:sz w:val="22"/>
          <w:szCs w:val="22"/>
          <w:u w:val="none"/>
        </w:rPr>
        <w:t xml:space="preserve">, but </w:t>
      </w:r>
      <w:r w:rsidR="00E61E2D">
        <w:rPr>
          <w:rFonts w:ascii="Open Sans" w:eastAsia="Open Sans" w:hAnsi="Open Sans" w:cs="Open Sans"/>
          <w:b w:val="0"/>
          <w:bCs w:val="0"/>
          <w:sz w:val="22"/>
          <w:szCs w:val="22"/>
          <w:u w:val="none"/>
        </w:rPr>
        <w:t xml:space="preserve">it is crucial </w:t>
      </w:r>
      <w:r w:rsidRPr="006E26EF">
        <w:rPr>
          <w:rFonts w:ascii="Open Sans" w:eastAsia="Open Sans" w:hAnsi="Open Sans" w:cs="Open Sans"/>
          <w:b w:val="0"/>
          <w:bCs w:val="0"/>
          <w:sz w:val="22"/>
          <w:szCs w:val="22"/>
          <w:u w:val="none"/>
        </w:rPr>
        <w:t xml:space="preserve">to have greater flexibility not to deter companies to develop in the early years. </w:t>
      </w:r>
    </w:p>
    <w:p w14:paraId="2CAE348D" w14:textId="77777777" w:rsidR="00B42814" w:rsidRDefault="00C423F6" w:rsidP="006F7B76">
      <w:pPr>
        <w:pStyle w:val="Body"/>
        <w:spacing w:before="120" w:after="120" w:line="240" w:lineRule="auto"/>
        <w:rPr>
          <w:rFonts w:ascii="Open Sans" w:eastAsia="Open Sans" w:hAnsi="Open Sans" w:cs="Open Sans"/>
        </w:rPr>
      </w:pPr>
      <w:r w:rsidRPr="006E26EF">
        <w:rPr>
          <w:rFonts w:ascii="Open Sans" w:eastAsia="Open Sans" w:hAnsi="Open Sans" w:cs="Open Sans"/>
        </w:rPr>
        <w:t xml:space="preserve">The low wholesale prices are already happening on the grid when renewables are high and demand is low, and this is a disincentive for more renewable electricity deployment. So green hydrogen production at those times on the grid is helpful to integrate more renewables. It is a potential asset to the continued integration of renewables into the power grid and this message needs to be conveyed to BEIS. </w:t>
      </w:r>
    </w:p>
    <w:p w14:paraId="3BA40F76" w14:textId="3222C2E4" w:rsidR="00C423F6" w:rsidRDefault="00C423F6" w:rsidP="006F7B76">
      <w:pPr>
        <w:pStyle w:val="Body"/>
        <w:spacing w:before="120" w:after="120" w:line="240" w:lineRule="auto"/>
        <w:rPr>
          <w:rFonts w:ascii="Open Sans" w:eastAsia="Open Sans" w:hAnsi="Open Sans" w:cs="Open Sans"/>
        </w:rPr>
      </w:pPr>
      <w:r w:rsidRPr="006E26EF">
        <w:rPr>
          <w:rFonts w:ascii="Open Sans" w:eastAsia="Open Sans" w:hAnsi="Open Sans" w:cs="Open Sans"/>
        </w:rPr>
        <w:t xml:space="preserve">If green hydrogen can only be produced after a new solar or wind farm has been commissioned, this will represent a significant impediment to development of electrolysers the earliest years. </w:t>
      </w:r>
    </w:p>
    <w:p w14:paraId="7A9B6B1C" w14:textId="08A15A31" w:rsidR="00B42814" w:rsidRPr="006E26EF" w:rsidRDefault="00B42814" w:rsidP="006F7B76">
      <w:pPr>
        <w:pStyle w:val="Body"/>
        <w:spacing w:before="120" w:after="120" w:line="240" w:lineRule="auto"/>
        <w:rPr>
          <w:rFonts w:ascii="Open Sans" w:eastAsia="Open Sans" w:hAnsi="Open Sans" w:cs="Open Sans"/>
        </w:rPr>
      </w:pPr>
      <w:r>
        <w:rPr>
          <w:rFonts w:ascii="Open Sans" w:eastAsia="Open Sans" w:hAnsi="Open Sans" w:cs="Open Sans"/>
        </w:rPr>
        <w:t>Given that the additionality requirements set out under the RTFO are currently being revisited, it will be important that the rules chosen by BEIS are as aligned as possible with those in the RTFO</w:t>
      </w:r>
      <w:r w:rsidR="00266D17">
        <w:rPr>
          <w:rFonts w:ascii="Open Sans" w:eastAsia="Open Sans" w:hAnsi="Open Sans" w:cs="Open Sans"/>
        </w:rPr>
        <w:t xml:space="preserve">, </w:t>
      </w:r>
      <w:proofErr w:type="gramStart"/>
      <w:r>
        <w:rPr>
          <w:rFonts w:ascii="Open Sans" w:eastAsia="Open Sans" w:hAnsi="Open Sans" w:cs="Open Sans"/>
        </w:rPr>
        <w:t>as long as</w:t>
      </w:r>
      <w:proofErr w:type="gramEnd"/>
      <w:r>
        <w:rPr>
          <w:rFonts w:ascii="Open Sans" w:eastAsia="Open Sans" w:hAnsi="Open Sans" w:cs="Open Sans"/>
        </w:rPr>
        <w:t xml:space="preserve"> these are </w:t>
      </w:r>
      <w:r w:rsidR="00266D17">
        <w:rPr>
          <w:rFonts w:ascii="Open Sans" w:eastAsia="Open Sans" w:hAnsi="Open Sans" w:cs="Open Sans"/>
        </w:rPr>
        <w:t xml:space="preserve">sufficiently </w:t>
      </w:r>
      <w:r>
        <w:rPr>
          <w:rFonts w:ascii="Open Sans" w:eastAsia="Open Sans" w:hAnsi="Open Sans" w:cs="Open Sans"/>
        </w:rPr>
        <w:t>pragmatic</w:t>
      </w:r>
      <w:r w:rsidR="00266D17">
        <w:rPr>
          <w:rFonts w:ascii="Open Sans" w:eastAsia="Open Sans" w:hAnsi="Open Sans" w:cs="Open Sans"/>
        </w:rPr>
        <w:t xml:space="preserve">. We will provide further feedback on this in due course, in line with our response to the RTFO </w:t>
      </w:r>
      <w:hyperlink r:id="rId11" w:history="1">
        <w:r w:rsidR="00266D17" w:rsidRPr="00E61E2D">
          <w:rPr>
            <w:rStyle w:val="Hyperlink"/>
            <w:rFonts w:ascii="Open Sans" w:eastAsia="Open Sans" w:hAnsi="Open Sans" w:cs="Open Sans"/>
          </w:rPr>
          <w:t>consultation</w:t>
        </w:r>
      </w:hyperlink>
      <w:r w:rsidR="00266D17">
        <w:rPr>
          <w:rFonts w:ascii="Open Sans" w:eastAsia="Open Sans" w:hAnsi="Open Sans" w:cs="Open Sans"/>
        </w:rPr>
        <w:t xml:space="preserve">. </w:t>
      </w:r>
    </w:p>
    <w:p w14:paraId="1FF1E89A" w14:textId="77777777" w:rsidR="00C423F6" w:rsidRPr="006E26EF" w:rsidRDefault="00C423F6" w:rsidP="006F7B76">
      <w:pPr>
        <w:pStyle w:val="Heading2"/>
        <w:spacing w:before="120" w:after="120" w:line="240" w:lineRule="auto"/>
        <w:rPr>
          <w:rFonts w:ascii="Open Sans" w:eastAsia="Open Sans" w:hAnsi="Open Sans" w:cs="Open Sans"/>
          <w:b w:val="0"/>
          <w:bCs w:val="0"/>
          <w:sz w:val="22"/>
          <w:szCs w:val="22"/>
        </w:rPr>
      </w:pPr>
    </w:p>
    <w:p w14:paraId="1E752168" w14:textId="77777777" w:rsidR="00C423F6" w:rsidRPr="00674C18" w:rsidRDefault="00C423F6" w:rsidP="006F7B76">
      <w:pPr>
        <w:pStyle w:val="Heading2"/>
        <w:spacing w:before="120" w:after="120" w:line="240" w:lineRule="auto"/>
        <w:rPr>
          <w:rFonts w:ascii="Open Sans" w:eastAsia="Open Sans" w:hAnsi="Open Sans" w:cs="Open Sans"/>
          <w:b w:val="0"/>
          <w:bCs w:val="0"/>
          <w:i/>
          <w:iCs/>
          <w:sz w:val="22"/>
          <w:szCs w:val="22"/>
          <w:u w:val="none"/>
        </w:rPr>
      </w:pPr>
      <w:r w:rsidRPr="00674C18">
        <w:rPr>
          <w:rFonts w:ascii="Open Sans" w:eastAsia="Open Sans" w:hAnsi="Open Sans" w:cs="Open Sans"/>
          <w:b w:val="0"/>
          <w:bCs w:val="0"/>
          <w:i/>
          <w:iCs/>
          <w:sz w:val="22"/>
          <w:szCs w:val="22"/>
          <w:u w:val="none"/>
        </w:rPr>
        <w:t xml:space="preserve">PPA approach </w:t>
      </w:r>
    </w:p>
    <w:p w14:paraId="0E8F54DF" w14:textId="0B0B6392" w:rsidR="00C423F6" w:rsidRPr="00E61E2D" w:rsidRDefault="00E61E2D"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In the </w:t>
      </w:r>
      <w:r w:rsidRPr="00E61E2D">
        <w:rPr>
          <w:rFonts w:ascii="Open Sans" w:eastAsia="Open Sans" w:hAnsi="Open Sans" w:cs="Open Sans"/>
          <w:b w:val="0"/>
          <w:bCs w:val="0"/>
          <w:sz w:val="22"/>
          <w:szCs w:val="22"/>
          <w:u w:val="none"/>
        </w:rPr>
        <w:t xml:space="preserve">RTFO </w:t>
      </w:r>
      <w:hyperlink r:id="rId12" w:history="1">
        <w:r w:rsidRPr="00E61E2D">
          <w:rPr>
            <w:rFonts w:ascii="Open Sans" w:hAnsi="Open Sans"/>
            <w:b w:val="0"/>
            <w:bCs w:val="0"/>
            <w:sz w:val="22"/>
            <w:szCs w:val="22"/>
          </w:rPr>
          <w:t>consultation</w:t>
        </w:r>
      </w:hyperlink>
      <w:r w:rsidRPr="00E61E2D">
        <w:rPr>
          <w:rFonts w:ascii="Open Sans" w:eastAsia="Open Sans" w:hAnsi="Open Sans" w:cs="Open Sans"/>
          <w:b w:val="0"/>
          <w:bCs w:val="0"/>
          <w:sz w:val="22"/>
          <w:szCs w:val="22"/>
          <w:u w:val="none"/>
        </w:rPr>
        <w:t xml:space="preserve"> the </w:t>
      </w:r>
      <w:proofErr w:type="spellStart"/>
      <w:r>
        <w:rPr>
          <w:rFonts w:ascii="Open Sans" w:eastAsia="Open Sans" w:hAnsi="Open Sans" w:cs="Open Sans"/>
          <w:b w:val="0"/>
          <w:bCs w:val="0"/>
          <w:sz w:val="22"/>
          <w:szCs w:val="22"/>
          <w:u w:val="none"/>
        </w:rPr>
        <w:t>DfT</w:t>
      </w:r>
      <w:proofErr w:type="spellEnd"/>
      <w:r>
        <w:rPr>
          <w:rFonts w:ascii="Open Sans" w:eastAsia="Open Sans" w:hAnsi="Open Sans" w:cs="Open Sans"/>
          <w:b w:val="0"/>
          <w:bCs w:val="0"/>
          <w:sz w:val="22"/>
          <w:szCs w:val="22"/>
          <w:u w:val="none"/>
        </w:rPr>
        <w:t xml:space="preserve"> has suggested an </w:t>
      </w:r>
      <w:r w:rsidR="00C423F6" w:rsidRPr="00E61E2D">
        <w:rPr>
          <w:rFonts w:ascii="Open Sans" w:eastAsia="Open Sans" w:hAnsi="Open Sans" w:cs="Open Sans"/>
          <w:b w:val="0"/>
          <w:bCs w:val="0"/>
          <w:sz w:val="22"/>
          <w:szCs w:val="22"/>
          <w:u w:val="none"/>
        </w:rPr>
        <w:t xml:space="preserve">approach </w:t>
      </w:r>
      <w:r>
        <w:rPr>
          <w:rFonts w:ascii="Open Sans" w:eastAsia="Open Sans" w:hAnsi="Open Sans" w:cs="Open Sans"/>
          <w:b w:val="0"/>
          <w:bCs w:val="0"/>
          <w:sz w:val="22"/>
          <w:szCs w:val="22"/>
          <w:u w:val="none"/>
        </w:rPr>
        <w:t xml:space="preserve">based </w:t>
      </w:r>
      <w:r w:rsidR="00C423F6" w:rsidRPr="00E61E2D">
        <w:rPr>
          <w:rFonts w:ascii="Open Sans" w:eastAsia="Open Sans" w:hAnsi="Open Sans" w:cs="Open Sans"/>
          <w:b w:val="0"/>
          <w:bCs w:val="0"/>
          <w:sz w:val="22"/>
          <w:szCs w:val="22"/>
          <w:u w:val="none"/>
        </w:rPr>
        <w:t>on the use of power purchase agreements (PPA)</w:t>
      </w:r>
      <w:r>
        <w:rPr>
          <w:rFonts w:ascii="Open Sans" w:eastAsia="Open Sans" w:hAnsi="Open Sans" w:cs="Open Sans"/>
          <w:b w:val="0"/>
          <w:bCs w:val="0"/>
          <w:sz w:val="22"/>
          <w:szCs w:val="22"/>
          <w:u w:val="none"/>
        </w:rPr>
        <w:t>, which could be used</w:t>
      </w:r>
      <w:r w:rsidR="00C423F6" w:rsidRPr="00E61E2D">
        <w:rPr>
          <w:rFonts w:ascii="Open Sans" w:eastAsia="Open Sans" w:hAnsi="Open Sans" w:cs="Open Sans"/>
          <w:b w:val="0"/>
          <w:bCs w:val="0"/>
          <w:sz w:val="22"/>
          <w:szCs w:val="22"/>
          <w:u w:val="none"/>
        </w:rPr>
        <w:t xml:space="preserve"> as evidence that suppliers have purchased renewable energy. This w</w:t>
      </w:r>
      <w:r>
        <w:rPr>
          <w:rFonts w:ascii="Open Sans" w:eastAsia="Open Sans" w:hAnsi="Open Sans" w:cs="Open Sans"/>
          <w:b w:val="0"/>
          <w:bCs w:val="0"/>
          <w:sz w:val="22"/>
          <w:szCs w:val="22"/>
          <w:u w:val="none"/>
        </w:rPr>
        <w:t xml:space="preserve">ould </w:t>
      </w:r>
      <w:r w:rsidR="00C423F6" w:rsidRPr="00E61E2D">
        <w:rPr>
          <w:rFonts w:ascii="Open Sans" w:eastAsia="Open Sans" w:hAnsi="Open Sans" w:cs="Open Sans"/>
          <w:b w:val="0"/>
          <w:bCs w:val="0"/>
          <w:sz w:val="22"/>
          <w:szCs w:val="22"/>
          <w:u w:val="none"/>
        </w:rPr>
        <w:t xml:space="preserve">enable the electrolysers and the plant generating renewable electricity to be at different locations. </w:t>
      </w:r>
      <w:r>
        <w:rPr>
          <w:rFonts w:ascii="Open Sans" w:eastAsia="Open Sans" w:hAnsi="Open Sans" w:cs="Open Sans"/>
          <w:b w:val="0"/>
          <w:bCs w:val="0"/>
          <w:sz w:val="22"/>
          <w:szCs w:val="22"/>
          <w:u w:val="none"/>
        </w:rPr>
        <w:t xml:space="preserve">We certainly support the principle that the location of </w:t>
      </w:r>
      <w:r>
        <w:rPr>
          <w:rFonts w:ascii="Open Sans" w:eastAsia="Open Sans" w:hAnsi="Open Sans" w:cs="Open Sans"/>
          <w:b w:val="0"/>
          <w:bCs w:val="0"/>
          <w:sz w:val="22"/>
          <w:szCs w:val="22"/>
          <w:u w:val="none"/>
        </w:rPr>
        <w:lastRenderedPageBreak/>
        <w:t xml:space="preserve">an electrolysers should not constrained </w:t>
      </w:r>
      <w:proofErr w:type="spellStart"/>
      <w:proofErr w:type="gramStart"/>
      <w:r>
        <w:rPr>
          <w:rFonts w:ascii="Open Sans" w:eastAsia="Open Sans" w:hAnsi="Open Sans" w:cs="Open Sans"/>
          <w:b w:val="0"/>
          <w:bCs w:val="0"/>
          <w:sz w:val="22"/>
          <w:szCs w:val="22"/>
          <w:u w:val="none"/>
        </w:rPr>
        <w:t>ie</w:t>
      </w:r>
      <w:proofErr w:type="spellEnd"/>
      <w:proofErr w:type="gramEnd"/>
      <w:r>
        <w:rPr>
          <w:rFonts w:ascii="Open Sans" w:eastAsia="Open Sans" w:hAnsi="Open Sans" w:cs="Open Sans"/>
          <w:b w:val="0"/>
          <w:bCs w:val="0"/>
          <w:sz w:val="22"/>
          <w:szCs w:val="22"/>
          <w:u w:val="none"/>
        </w:rPr>
        <w:t xml:space="preserve"> there shouldn’t be a requirement for the electrolysers to be co-located with the renewable electricity generator. However, there needs to be further consideration given to how this approach will work. There will be further detail on some issues arising from this approach in our response to the RTFO consultation. </w:t>
      </w:r>
    </w:p>
    <w:p w14:paraId="2BB7AA6E" w14:textId="5E417CF6" w:rsidR="00C423F6" w:rsidRPr="00E61E2D" w:rsidRDefault="00E61E2D"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It is also worth re-iterating that </w:t>
      </w:r>
      <w:r w:rsidR="00674C18">
        <w:rPr>
          <w:rFonts w:ascii="Open Sans" w:eastAsia="Open Sans" w:hAnsi="Open Sans" w:cs="Open Sans"/>
          <w:b w:val="0"/>
          <w:bCs w:val="0"/>
          <w:sz w:val="22"/>
          <w:szCs w:val="22"/>
          <w:u w:val="none"/>
        </w:rPr>
        <w:t>even if the current rules about additionality are addressed in the RTFO, this</w:t>
      </w:r>
      <w:r>
        <w:rPr>
          <w:rFonts w:ascii="Open Sans" w:eastAsia="Open Sans" w:hAnsi="Open Sans" w:cs="Open Sans"/>
          <w:b w:val="0"/>
          <w:bCs w:val="0"/>
          <w:sz w:val="22"/>
          <w:szCs w:val="22"/>
          <w:u w:val="none"/>
        </w:rPr>
        <w:t xml:space="preserve"> </w:t>
      </w:r>
      <w:r w:rsidR="00C423F6" w:rsidRPr="00E61E2D">
        <w:rPr>
          <w:rFonts w:ascii="Open Sans" w:eastAsia="Open Sans" w:hAnsi="Open Sans" w:cs="Open Sans"/>
          <w:b w:val="0"/>
          <w:bCs w:val="0"/>
          <w:sz w:val="22"/>
          <w:szCs w:val="22"/>
          <w:u w:val="none"/>
        </w:rPr>
        <w:t>would be considerably less attractive if there are still significant use of system fees</w:t>
      </w:r>
      <w:r w:rsidR="00674C18">
        <w:rPr>
          <w:rFonts w:ascii="Open Sans" w:eastAsia="Open Sans" w:hAnsi="Open Sans" w:cs="Open Sans"/>
          <w:b w:val="0"/>
          <w:bCs w:val="0"/>
          <w:sz w:val="22"/>
          <w:szCs w:val="22"/>
          <w:u w:val="none"/>
        </w:rPr>
        <w:t xml:space="preserve"> and green levies</w:t>
      </w:r>
      <w:r w:rsidR="00C423F6" w:rsidRPr="00E61E2D">
        <w:rPr>
          <w:rFonts w:ascii="Open Sans" w:eastAsia="Open Sans" w:hAnsi="Open Sans" w:cs="Open Sans"/>
          <w:b w:val="0"/>
          <w:bCs w:val="0"/>
          <w:sz w:val="22"/>
          <w:szCs w:val="22"/>
          <w:u w:val="none"/>
        </w:rPr>
        <w:t xml:space="preserve"> on electricity</w:t>
      </w:r>
      <w:r w:rsidR="00674C18">
        <w:rPr>
          <w:rFonts w:ascii="Open Sans" w:eastAsia="Open Sans" w:hAnsi="Open Sans" w:cs="Open Sans"/>
          <w:b w:val="0"/>
          <w:bCs w:val="0"/>
          <w:sz w:val="22"/>
          <w:szCs w:val="22"/>
          <w:u w:val="none"/>
        </w:rPr>
        <w:t xml:space="preserve">. If </w:t>
      </w:r>
      <w:r w:rsidR="00C423F6" w:rsidRPr="00E61E2D">
        <w:rPr>
          <w:rFonts w:ascii="Open Sans" w:eastAsia="Open Sans" w:hAnsi="Open Sans" w:cs="Open Sans"/>
          <w:b w:val="0"/>
          <w:bCs w:val="0"/>
          <w:sz w:val="22"/>
          <w:szCs w:val="22"/>
          <w:u w:val="none"/>
        </w:rPr>
        <w:t xml:space="preserve">electrolysers </w:t>
      </w:r>
      <w:r w:rsidR="00674C18">
        <w:rPr>
          <w:rFonts w:ascii="Open Sans" w:eastAsia="Open Sans" w:hAnsi="Open Sans" w:cs="Open Sans"/>
          <w:b w:val="0"/>
          <w:bCs w:val="0"/>
          <w:sz w:val="22"/>
          <w:szCs w:val="22"/>
          <w:u w:val="none"/>
        </w:rPr>
        <w:t xml:space="preserve">are operated </w:t>
      </w:r>
      <w:r w:rsidR="00C423F6" w:rsidRPr="00E61E2D">
        <w:rPr>
          <w:rFonts w:ascii="Open Sans" w:eastAsia="Open Sans" w:hAnsi="Open Sans" w:cs="Open Sans"/>
          <w:b w:val="0"/>
          <w:bCs w:val="0"/>
          <w:sz w:val="22"/>
          <w:szCs w:val="22"/>
          <w:u w:val="none"/>
        </w:rPr>
        <w:t xml:space="preserve">at a period of low demand when wholesale prices are low, then curtailment </w:t>
      </w:r>
      <w:r w:rsidR="00674C18">
        <w:rPr>
          <w:rFonts w:ascii="Open Sans" w:eastAsia="Open Sans" w:hAnsi="Open Sans" w:cs="Open Sans"/>
          <w:b w:val="0"/>
          <w:bCs w:val="0"/>
          <w:sz w:val="22"/>
          <w:szCs w:val="22"/>
          <w:u w:val="none"/>
        </w:rPr>
        <w:t xml:space="preserve">can be minimised </w:t>
      </w:r>
      <w:r w:rsidR="00C423F6" w:rsidRPr="00E61E2D">
        <w:rPr>
          <w:rFonts w:ascii="Open Sans" w:eastAsia="Open Sans" w:hAnsi="Open Sans" w:cs="Open Sans"/>
          <w:b w:val="0"/>
          <w:bCs w:val="0"/>
          <w:sz w:val="22"/>
          <w:szCs w:val="22"/>
          <w:u w:val="none"/>
        </w:rPr>
        <w:t xml:space="preserve">but because of green levies and use of system fees there is still a danger that the electricity tariff paid by electrolysers will be too expensive. So, in summary, the PPA </w:t>
      </w:r>
      <w:r w:rsidR="00674C18">
        <w:rPr>
          <w:rFonts w:ascii="Open Sans" w:eastAsia="Open Sans" w:hAnsi="Open Sans" w:cs="Open Sans"/>
          <w:b w:val="0"/>
          <w:bCs w:val="0"/>
          <w:sz w:val="22"/>
          <w:szCs w:val="22"/>
          <w:u w:val="none"/>
        </w:rPr>
        <w:t xml:space="preserve">will need further consideration and in parallel </w:t>
      </w:r>
      <w:r w:rsidR="00C423F6" w:rsidRPr="00E61E2D">
        <w:rPr>
          <w:rFonts w:ascii="Open Sans" w:eastAsia="Open Sans" w:hAnsi="Open Sans" w:cs="Open Sans"/>
          <w:b w:val="0"/>
          <w:bCs w:val="0"/>
          <w:sz w:val="22"/>
          <w:szCs w:val="22"/>
          <w:u w:val="none"/>
        </w:rPr>
        <w:t xml:space="preserve">we need to look at the interface with the power side and address this in parallel. </w:t>
      </w:r>
    </w:p>
    <w:p w14:paraId="40121960" w14:textId="77777777" w:rsidR="00C423F6" w:rsidRPr="00266D17" w:rsidRDefault="00C423F6" w:rsidP="006F7B76">
      <w:pPr>
        <w:pStyle w:val="Heading2"/>
        <w:spacing w:before="120" w:after="120" w:line="240" w:lineRule="auto"/>
        <w:rPr>
          <w:rFonts w:ascii="Open Sans" w:eastAsia="Open Sans" w:hAnsi="Open Sans" w:cs="Open Sans"/>
          <w:b w:val="0"/>
          <w:bCs w:val="0"/>
          <w:sz w:val="22"/>
          <w:szCs w:val="22"/>
          <w:highlight w:val="yellow"/>
        </w:rPr>
      </w:pPr>
    </w:p>
    <w:p w14:paraId="1164426F" w14:textId="77777777" w:rsidR="00C423F6" w:rsidRPr="00674C18" w:rsidRDefault="00C423F6" w:rsidP="006F7B76">
      <w:pPr>
        <w:pStyle w:val="Heading2"/>
        <w:spacing w:before="120" w:after="120" w:line="240" w:lineRule="auto"/>
        <w:rPr>
          <w:rFonts w:ascii="Open Sans" w:eastAsia="Open Sans" w:hAnsi="Open Sans" w:cs="Open Sans"/>
          <w:b w:val="0"/>
          <w:bCs w:val="0"/>
          <w:i/>
          <w:iCs/>
          <w:sz w:val="22"/>
          <w:szCs w:val="22"/>
          <w:u w:val="none"/>
        </w:rPr>
      </w:pPr>
      <w:r w:rsidRPr="00674C18">
        <w:rPr>
          <w:rFonts w:ascii="Open Sans" w:eastAsia="Open Sans" w:hAnsi="Open Sans" w:cs="Open Sans"/>
          <w:b w:val="0"/>
          <w:bCs w:val="0"/>
          <w:i/>
          <w:iCs/>
          <w:sz w:val="22"/>
          <w:szCs w:val="22"/>
          <w:u w:val="none"/>
        </w:rPr>
        <w:t xml:space="preserve">Calculation of carbon intensity </w:t>
      </w:r>
    </w:p>
    <w:p w14:paraId="4E554589" w14:textId="4234FCBD" w:rsidR="00C423F6" w:rsidRDefault="00C423F6" w:rsidP="006F7B76">
      <w:pPr>
        <w:pStyle w:val="Heading2"/>
        <w:spacing w:before="120" w:after="120" w:line="240" w:lineRule="auto"/>
        <w:rPr>
          <w:rFonts w:ascii="Open Sans" w:eastAsia="Open Sans" w:hAnsi="Open Sans" w:cs="Open Sans"/>
          <w:b w:val="0"/>
          <w:bCs w:val="0"/>
          <w:sz w:val="22"/>
          <w:szCs w:val="22"/>
          <w:u w:val="none"/>
        </w:rPr>
      </w:pPr>
      <w:r w:rsidRPr="00674C18">
        <w:rPr>
          <w:rFonts w:ascii="Open Sans" w:eastAsia="Open Sans" w:hAnsi="Open Sans" w:cs="Open Sans"/>
          <w:b w:val="0"/>
          <w:bCs w:val="0"/>
          <w:sz w:val="22"/>
          <w:szCs w:val="22"/>
          <w:u w:val="none"/>
        </w:rPr>
        <w:t xml:space="preserve">Another possibility to address </w:t>
      </w:r>
      <w:r w:rsidR="00674C18">
        <w:rPr>
          <w:rFonts w:ascii="Open Sans" w:eastAsia="Open Sans" w:hAnsi="Open Sans" w:cs="Open Sans"/>
          <w:b w:val="0"/>
          <w:bCs w:val="0"/>
          <w:sz w:val="22"/>
          <w:szCs w:val="22"/>
          <w:u w:val="none"/>
        </w:rPr>
        <w:t xml:space="preserve">concerns around </w:t>
      </w:r>
      <w:r w:rsidRPr="00674C18">
        <w:rPr>
          <w:rFonts w:ascii="Open Sans" w:eastAsia="Open Sans" w:hAnsi="Open Sans" w:cs="Open Sans"/>
          <w:b w:val="0"/>
          <w:bCs w:val="0"/>
          <w:sz w:val="22"/>
          <w:szCs w:val="22"/>
          <w:u w:val="none"/>
        </w:rPr>
        <w:t>additionality</w:t>
      </w:r>
      <w:r w:rsidR="00674C18">
        <w:rPr>
          <w:rFonts w:ascii="Open Sans" w:eastAsia="Open Sans" w:hAnsi="Open Sans" w:cs="Open Sans"/>
          <w:b w:val="0"/>
          <w:bCs w:val="0"/>
          <w:sz w:val="22"/>
          <w:szCs w:val="22"/>
          <w:u w:val="none"/>
        </w:rPr>
        <w:t xml:space="preserve"> </w:t>
      </w:r>
      <w:r w:rsidRPr="00674C18">
        <w:rPr>
          <w:rFonts w:ascii="Open Sans" w:eastAsia="Open Sans" w:hAnsi="Open Sans" w:cs="Open Sans"/>
          <w:b w:val="0"/>
          <w:bCs w:val="0"/>
          <w:sz w:val="22"/>
          <w:szCs w:val="22"/>
          <w:u w:val="none"/>
        </w:rPr>
        <w:t>is to accurately calculate the carbon intensity of the electricity sourced from the grid and if this meets a certain carbon intensity threshold, it should be regarded as eligible (</w:t>
      </w:r>
      <w:proofErr w:type="spellStart"/>
      <w:r w:rsidRPr="00674C18">
        <w:rPr>
          <w:rFonts w:ascii="Open Sans" w:eastAsia="Open Sans" w:hAnsi="Open Sans" w:cs="Open Sans"/>
          <w:b w:val="0"/>
          <w:bCs w:val="0"/>
          <w:sz w:val="22"/>
          <w:szCs w:val="22"/>
          <w:u w:val="none"/>
        </w:rPr>
        <w:t>eg.</w:t>
      </w:r>
      <w:proofErr w:type="spellEnd"/>
      <w:r w:rsidRPr="00674C18">
        <w:rPr>
          <w:rFonts w:ascii="Open Sans" w:eastAsia="Open Sans" w:hAnsi="Open Sans" w:cs="Open Sans"/>
          <w:b w:val="0"/>
          <w:bCs w:val="0"/>
          <w:sz w:val="22"/>
          <w:szCs w:val="22"/>
          <w:u w:val="none"/>
        </w:rPr>
        <w:t xml:space="preserve"> the </w:t>
      </w:r>
      <w:proofErr w:type="spellStart"/>
      <w:r w:rsidRPr="00674C18">
        <w:rPr>
          <w:rFonts w:ascii="Open Sans" w:eastAsia="Open Sans" w:hAnsi="Open Sans" w:cs="Open Sans"/>
          <w:b w:val="0"/>
          <w:bCs w:val="0"/>
          <w:sz w:val="22"/>
          <w:szCs w:val="22"/>
          <w:u w:val="none"/>
        </w:rPr>
        <w:t>CertifHy</w:t>
      </w:r>
      <w:proofErr w:type="spellEnd"/>
      <w:r w:rsidRPr="00674C18">
        <w:rPr>
          <w:rFonts w:ascii="Open Sans" w:eastAsia="Open Sans" w:hAnsi="Open Sans" w:cs="Open Sans"/>
          <w:b w:val="0"/>
          <w:bCs w:val="0"/>
          <w:sz w:val="22"/>
          <w:szCs w:val="22"/>
          <w:u w:val="none"/>
        </w:rPr>
        <w:t xml:space="preserve"> threshold of 36.4gCO</w:t>
      </w:r>
      <w:r w:rsidRPr="00674C18">
        <w:rPr>
          <w:rFonts w:ascii="Open Sans" w:eastAsia="Open Sans" w:hAnsi="Open Sans" w:cs="Open Sans"/>
          <w:b w:val="0"/>
          <w:bCs w:val="0"/>
          <w:sz w:val="22"/>
          <w:szCs w:val="22"/>
          <w:u w:val="none"/>
          <w:vertAlign w:val="subscript"/>
        </w:rPr>
        <w:t>2</w:t>
      </w:r>
      <w:r w:rsidRPr="00674C18">
        <w:rPr>
          <w:rFonts w:ascii="Open Sans" w:eastAsia="Open Sans" w:hAnsi="Open Sans" w:cs="Open Sans"/>
          <w:b w:val="0"/>
          <w:bCs w:val="0"/>
          <w:sz w:val="22"/>
          <w:szCs w:val="22"/>
          <w:u w:val="none"/>
        </w:rPr>
        <w:t xml:space="preserve">/MJ of hydrogen, below which hydrogen is classified as green). It would be possible to calculate this figure quite </w:t>
      </w:r>
      <w:proofErr w:type="gramStart"/>
      <w:r w:rsidRPr="00674C18">
        <w:rPr>
          <w:rFonts w:ascii="Open Sans" w:eastAsia="Open Sans" w:hAnsi="Open Sans" w:cs="Open Sans"/>
          <w:b w:val="0"/>
          <w:bCs w:val="0"/>
          <w:sz w:val="22"/>
          <w:szCs w:val="22"/>
          <w:u w:val="none"/>
        </w:rPr>
        <w:t>precisely, because</w:t>
      </w:r>
      <w:proofErr w:type="gramEnd"/>
      <w:r w:rsidRPr="00674C18">
        <w:rPr>
          <w:rFonts w:ascii="Open Sans" w:eastAsia="Open Sans" w:hAnsi="Open Sans" w:cs="Open Sans"/>
          <w:b w:val="0"/>
          <w:bCs w:val="0"/>
          <w:sz w:val="22"/>
          <w:szCs w:val="22"/>
          <w:u w:val="none"/>
        </w:rPr>
        <w:t xml:space="preserve"> all electrolysers have half-hourly electricity meters. An annual audit of all half-hourly readings could be carried out and the annual average carbon intensity could be worked out from the National Grid data (National Grid publishes carbon intensity of electricity). This carbon intensity value could be checked against a threshold. Hydrogen below the carbon intensity threshold would be considered ‘green hydrogen’ and should be eligible. A similar approach has been set out under the European </w:t>
      </w:r>
      <w:proofErr w:type="spellStart"/>
      <w:r w:rsidRPr="00674C18">
        <w:rPr>
          <w:rFonts w:ascii="Open Sans" w:eastAsia="Open Sans" w:hAnsi="Open Sans" w:cs="Open Sans"/>
          <w:b w:val="0"/>
          <w:bCs w:val="0"/>
          <w:sz w:val="22"/>
          <w:szCs w:val="22"/>
          <w:u w:val="none"/>
        </w:rPr>
        <w:t>CertifHy</w:t>
      </w:r>
      <w:proofErr w:type="spellEnd"/>
      <w:r w:rsidRPr="00674C18">
        <w:rPr>
          <w:rFonts w:ascii="Open Sans" w:eastAsia="Open Sans" w:hAnsi="Open Sans" w:cs="Open Sans"/>
          <w:b w:val="0"/>
          <w:bCs w:val="0"/>
          <w:sz w:val="22"/>
          <w:szCs w:val="22"/>
          <w:u w:val="none"/>
        </w:rPr>
        <w:t xml:space="preserve"> project</w:t>
      </w:r>
      <w:r w:rsidRPr="00674C18">
        <w:rPr>
          <w:rFonts w:ascii="Open Sans" w:eastAsia="Open Sans" w:hAnsi="Open Sans" w:cs="Open Sans"/>
          <w:b w:val="0"/>
          <w:bCs w:val="0"/>
          <w:sz w:val="22"/>
          <w:szCs w:val="22"/>
          <w:u w:val="none"/>
          <w:vertAlign w:val="superscript"/>
        </w:rPr>
        <w:footnoteReference w:id="2"/>
      </w:r>
      <w:r w:rsidR="00471B05" w:rsidRPr="00674C18">
        <w:rPr>
          <w:rFonts w:ascii="Open Sans" w:eastAsia="Open Sans" w:hAnsi="Open Sans" w:cs="Open Sans"/>
          <w:b w:val="0"/>
          <w:bCs w:val="0"/>
          <w:sz w:val="22"/>
          <w:szCs w:val="22"/>
          <w:u w:val="none"/>
        </w:rPr>
        <w:t>.</w:t>
      </w:r>
      <w:r w:rsidR="00471B05">
        <w:rPr>
          <w:rFonts w:ascii="Open Sans" w:eastAsia="Open Sans" w:hAnsi="Open Sans" w:cs="Open Sans"/>
          <w:b w:val="0"/>
          <w:bCs w:val="0"/>
          <w:sz w:val="22"/>
          <w:szCs w:val="22"/>
          <w:u w:val="none"/>
        </w:rPr>
        <w:t xml:space="preserve"> </w:t>
      </w:r>
    </w:p>
    <w:p w14:paraId="38596EDD" w14:textId="35AC5350" w:rsidR="00C423F6" w:rsidRDefault="00C423F6" w:rsidP="006F7B76">
      <w:pPr>
        <w:pStyle w:val="Heading2"/>
        <w:spacing w:before="120" w:after="120" w:line="240" w:lineRule="auto"/>
        <w:rPr>
          <w:rFonts w:ascii="Open Sans" w:eastAsia="Open Sans" w:hAnsi="Open Sans" w:cs="Open Sans"/>
          <w:b w:val="0"/>
          <w:bCs w:val="0"/>
          <w:sz w:val="22"/>
          <w:szCs w:val="22"/>
          <w:u w:val="none"/>
        </w:rPr>
      </w:pPr>
    </w:p>
    <w:p w14:paraId="177FCAE9" w14:textId="77777777" w:rsidR="00174D4C" w:rsidRDefault="00174D4C" w:rsidP="006F7B76">
      <w:pPr>
        <w:pStyle w:val="Heading2"/>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rPr>
        <w:t xml:space="preserve">Reducing costs of certain applications </w:t>
      </w:r>
    </w:p>
    <w:p w14:paraId="1C980C69" w14:textId="77777777" w:rsidR="00174D4C" w:rsidRDefault="00174D4C" w:rsidP="006F7B76">
      <w:pPr>
        <w:pStyle w:val="Body"/>
        <w:spacing w:before="120" w:after="120" w:line="240" w:lineRule="auto"/>
        <w:rPr>
          <w:rFonts w:ascii="Open Sans" w:eastAsia="Open Sans" w:hAnsi="Open Sans" w:cs="Open Sans"/>
        </w:rPr>
      </w:pPr>
      <w:r>
        <w:rPr>
          <w:rFonts w:ascii="Open Sans" w:eastAsia="Open Sans" w:hAnsi="Open Sans" w:cs="Open Sans"/>
        </w:rPr>
        <w:t xml:space="preserve">VAT should be waived on renewable hydrogen for transport applications until </w:t>
      </w:r>
      <w:proofErr w:type="gramStart"/>
      <w:r>
        <w:rPr>
          <w:rFonts w:ascii="Open Sans" w:eastAsia="Open Sans" w:hAnsi="Open Sans" w:cs="Open Sans"/>
        </w:rPr>
        <w:t>2030, or</w:t>
      </w:r>
      <w:proofErr w:type="gramEnd"/>
      <w:r>
        <w:rPr>
          <w:rFonts w:ascii="Open Sans" w:eastAsia="Open Sans" w:hAnsi="Open Sans" w:cs="Open Sans"/>
        </w:rPr>
        <w:t xml:space="preserve"> charged at the lower rate of 5% (as applied to Energy Saving Materials), to encourage take up of hydrogen in the transport sector. </w:t>
      </w:r>
    </w:p>
    <w:p w14:paraId="1020E1BA" w14:textId="52130DB6" w:rsidR="00174D4C" w:rsidRDefault="00174D4C" w:rsidP="006F7B76">
      <w:pPr>
        <w:pStyle w:val="Heading2"/>
        <w:spacing w:before="120" w:after="120" w:line="240" w:lineRule="auto"/>
        <w:rPr>
          <w:rFonts w:ascii="Open Sans" w:eastAsia="Open Sans" w:hAnsi="Open Sans" w:cs="Open Sans"/>
          <w:b w:val="0"/>
          <w:bCs w:val="0"/>
          <w:i/>
          <w:iCs/>
          <w:sz w:val="22"/>
          <w:szCs w:val="22"/>
          <w:u w:val="none"/>
        </w:rPr>
      </w:pPr>
      <w:r>
        <w:rPr>
          <w:rFonts w:ascii="Open Sans" w:eastAsia="Open Sans" w:hAnsi="Open Sans" w:cs="Open Sans"/>
          <w:b w:val="0"/>
          <w:bCs w:val="0"/>
          <w:i/>
          <w:iCs/>
          <w:sz w:val="22"/>
          <w:szCs w:val="22"/>
          <w:u w:val="none"/>
        </w:rPr>
        <w:t>[</w:t>
      </w:r>
      <w:r w:rsidR="00266D17">
        <w:rPr>
          <w:rFonts w:ascii="Open Sans" w:eastAsia="Open Sans" w:hAnsi="Open Sans" w:cs="Open Sans"/>
          <w:b w:val="0"/>
          <w:bCs w:val="0"/>
          <w:i/>
          <w:iCs/>
          <w:sz w:val="22"/>
          <w:szCs w:val="22"/>
          <w:u w:val="none"/>
        </w:rPr>
        <w:t xml:space="preserve">some members have said they </w:t>
      </w:r>
      <w:r>
        <w:rPr>
          <w:rFonts w:ascii="Open Sans" w:eastAsia="Open Sans" w:hAnsi="Open Sans" w:cs="Open Sans"/>
          <w:b w:val="0"/>
          <w:bCs w:val="0"/>
          <w:i/>
          <w:iCs/>
          <w:sz w:val="22"/>
          <w:szCs w:val="22"/>
          <w:u w:val="none"/>
        </w:rPr>
        <w:t>could sell H</w:t>
      </w:r>
      <w:r>
        <w:rPr>
          <w:rFonts w:ascii="Open Sans" w:eastAsia="Open Sans" w:hAnsi="Open Sans" w:cs="Open Sans"/>
          <w:b w:val="0"/>
          <w:bCs w:val="0"/>
          <w:i/>
          <w:iCs/>
          <w:sz w:val="22"/>
          <w:szCs w:val="22"/>
          <w:u w:val="none"/>
          <w:vertAlign w:val="subscript"/>
        </w:rPr>
        <w:t>2</w:t>
      </w:r>
      <w:r>
        <w:rPr>
          <w:rFonts w:ascii="Open Sans" w:eastAsia="Open Sans" w:hAnsi="Open Sans" w:cs="Open Sans"/>
          <w:b w:val="0"/>
          <w:bCs w:val="0"/>
          <w:i/>
          <w:iCs/>
          <w:sz w:val="22"/>
          <w:szCs w:val="22"/>
          <w:u w:val="none"/>
        </w:rPr>
        <w:t xml:space="preserve"> to transport for £10/Kg, but they are forced to sell it at £12.Kg because of the VAT. Waiving this charge would encourage uptake of hydrogen in transport applications]. </w:t>
      </w:r>
    </w:p>
    <w:p w14:paraId="70736F40" w14:textId="71AE4408" w:rsidR="00174D4C" w:rsidRDefault="00174D4C" w:rsidP="006F7B76">
      <w:pPr>
        <w:pStyle w:val="Heading2"/>
        <w:spacing w:before="120" w:after="120" w:line="240" w:lineRule="auto"/>
        <w:rPr>
          <w:rFonts w:ascii="Open Sans" w:eastAsia="Open Sans" w:hAnsi="Open Sans" w:cs="Open Sans"/>
          <w:b w:val="0"/>
          <w:bCs w:val="0"/>
          <w:sz w:val="22"/>
          <w:szCs w:val="22"/>
          <w:u w:val="none"/>
        </w:rPr>
      </w:pPr>
    </w:p>
    <w:p w14:paraId="4574C88A" w14:textId="607C5BC6" w:rsidR="00CA2258" w:rsidRPr="00CA2258" w:rsidRDefault="00CA2258" w:rsidP="006F7B76">
      <w:pPr>
        <w:pStyle w:val="Heading2"/>
        <w:spacing w:before="120" w:after="120" w:line="240" w:lineRule="auto"/>
        <w:rPr>
          <w:rFonts w:ascii="Open Sans" w:eastAsia="Open Sans" w:hAnsi="Open Sans" w:cs="Open Sans"/>
          <w:b w:val="0"/>
          <w:bCs w:val="0"/>
          <w:sz w:val="22"/>
          <w:szCs w:val="22"/>
        </w:rPr>
      </w:pPr>
      <w:r w:rsidRPr="00CA2258">
        <w:rPr>
          <w:rFonts w:ascii="Open Sans" w:eastAsia="Open Sans" w:hAnsi="Open Sans" w:cs="Open Sans"/>
          <w:b w:val="0"/>
          <w:bCs w:val="0"/>
          <w:sz w:val="22"/>
          <w:szCs w:val="22"/>
        </w:rPr>
        <w:t>Other financial measures</w:t>
      </w:r>
    </w:p>
    <w:p w14:paraId="701AA61C" w14:textId="30A38A28" w:rsidR="00CA2258" w:rsidRDefault="00B41DAE" w:rsidP="006F7B76">
      <w:pPr>
        <w:pStyle w:val="Heading2"/>
        <w:spacing w:before="120" w:after="120" w:line="240" w:lineRule="auto"/>
        <w:rPr>
          <w:rFonts w:ascii="Open Sans" w:eastAsia="Open Sans" w:hAnsi="Open Sans" w:cs="Open Sans"/>
          <w:b w:val="0"/>
          <w:bCs w:val="0"/>
          <w:sz w:val="22"/>
          <w:szCs w:val="22"/>
          <w:u w:val="none"/>
        </w:rPr>
      </w:pPr>
      <w:r w:rsidRPr="00CA2258">
        <w:rPr>
          <w:rFonts w:ascii="Open Sans" w:eastAsia="Open Sans" w:hAnsi="Open Sans" w:cs="Open Sans"/>
          <w:b w:val="0"/>
          <w:bCs w:val="0"/>
          <w:sz w:val="22"/>
          <w:szCs w:val="22"/>
          <w:u w:val="none"/>
        </w:rPr>
        <w:t xml:space="preserve">Business Rates </w:t>
      </w:r>
      <w:r w:rsidR="00266D17">
        <w:rPr>
          <w:rFonts w:ascii="Open Sans" w:eastAsia="Open Sans" w:hAnsi="Open Sans" w:cs="Open Sans"/>
          <w:b w:val="0"/>
          <w:bCs w:val="0"/>
          <w:sz w:val="22"/>
          <w:szCs w:val="22"/>
          <w:u w:val="none"/>
        </w:rPr>
        <w:t>should</w:t>
      </w:r>
      <w:r w:rsidRPr="00CA2258">
        <w:rPr>
          <w:rFonts w:ascii="Open Sans" w:eastAsia="Open Sans" w:hAnsi="Open Sans" w:cs="Open Sans"/>
          <w:b w:val="0"/>
          <w:bCs w:val="0"/>
          <w:sz w:val="22"/>
          <w:szCs w:val="22"/>
          <w:u w:val="none"/>
        </w:rPr>
        <w:t xml:space="preserve"> also be reduced or removed for early adopters, to speed adoption</w:t>
      </w:r>
      <w:r w:rsidR="00CA2258">
        <w:rPr>
          <w:rFonts w:ascii="Open Sans" w:eastAsia="Open Sans" w:hAnsi="Open Sans" w:cs="Open Sans"/>
          <w:b w:val="0"/>
          <w:bCs w:val="0"/>
          <w:sz w:val="22"/>
          <w:szCs w:val="22"/>
          <w:u w:val="none"/>
        </w:rPr>
        <w:t xml:space="preserve">. </w:t>
      </w:r>
    </w:p>
    <w:p w14:paraId="7294188A" w14:textId="4AA17B76" w:rsidR="00B41DAE" w:rsidRPr="00CA2258" w:rsidRDefault="00266D17"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Finally, t</w:t>
      </w:r>
      <w:r w:rsidR="00B41DAE" w:rsidRPr="00CA2258">
        <w:rPr>
          <w:rFonts w:ascii="Open Sans" w:eastAsia="Open Sans" w:hAnsi="Open Sans" w:cs="Open Sans"/>
          <w:b w:val="0"/>
          <w:bCs w:val="0"/>
          <w:sz w:val="22"/>
          <w:szCs w:val="22"/>
          <w:u w:val="none"/>
        </w:rPr>
        <w:t>ax efficient restrictions (EIS, VCT ineligibility) should be removed from hydrogen production from renewables.</w:t>
      </w:r>
    </w:p>
    <w:p w14:paraId="1CFA67EA" w14:textId="77777777" w:rsidR="00875C2E" w:rsidRDefault="00875C2E" w:rsidP="00875C2E">
      <w:pPr>
        <w:pStyle w:val="Heading2"/>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rPr>
        <w:lastRenderedPageBreak/>
        <w:t>Transport sector</w:t>
      </w:r>
    </w:p>
    <w:p w14:paraId="4D713E05" w14:textId="77777777" w:rsidR="00875C2E" w:rsidRDefault="00875C2E" w:rsidP="00875C2E">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A number of measures are likely to be needed to encourage deployment and unlock potential in different segments of the transport sector </w:t>
      </w:r>
      <w:proofErr w:type="gramStart"/>
      <w:r>
        <w:rPr>
          <w:rFonts w:ascii="Open Sans" w:eastAsia="Open Sans" w:hAnsi="Open Sans" w:cs="Open Sans"/>
          <w:b w:val="0"/>
          <w:bCs w:val="0"/>
          <w:sz w:val="22"/>
          <w:szCs w:val="22"/>
          <w:u w:val="none"/>
        </w:rPr>
        <w:t>e.g.</w:t>
      </w:r>
      <w:proofErr w:type="gramEnd"/>
      <w:r>
        <w:rPr>
          <w:rFonts w:ascii="Open Sans" w:eastAsia="Open Sans" w:hAnsi="Open Sans" w:cs="Open Sans"/>
          <w:b w:val="0"/>
          <w:bCs w:val="0"/>
          <w:sz w:val="22"/>
          <w:szCs w:val="22"/>
          <w:u w:val="none"/>
        </w:rPr>
        <w:t xml:space="preserve"> trucks, buses, railway and aviation Certain segments may require capital support, others may require an early market based mechanism. </w:t>
      </w:r>
    </w:p>
    <w:p w14:paraId="0C6520A2" w14:textId="77777777" w:rsidR="00875C2E" w:rsidRDefault="00875C2E" w:rsidP="00875C2E">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The RTFO will also need revising as so </w:t>
      </w:r>
      <w:proofErr w:type="gramStart"/>
      <w:r>
        <w:rPr>
          <w:rFonts w:ascii="Open Sans" w:eastAsia="Open Sans" w:hAnsi="Open Sans" w:cs="Open Sans"/>
          <w:b w:val="0"/>
          <w:bCs w:val="0"/>
          <w:sz w:val="22"/>
          <w:szCs w:val="22"/>
          <w:u w:val="none"/>
        </w:rPr>
        <w:t>far</w:t>
      </w:r>
      <w:proofErr w:type="gramEnd"/>
      <w:r>
        <w:rPr>
          <w:rFonts w:ascii="Open Sans" w:eastAsia="Open Sans" w:hAnsi="Open Sans" w:cs="Open Sans"/>
          <w:b w:val="0"/>
          <w:bCs w:val="0"/>
          <w:sz w:val="22"/>
          <w:szCs w:val="22"/>
          <w:u w:val="none"/>
        </w:rPr>
        <w:t xml:space="preserve"> the market for development fuels has been very slow (</w:t>
      </w:r>
      <w:proofErr w:type="spellStart"/>
      <w:r>
        <w:rPr>
          <w:rFonts w:ascii="Open Sans" w:eastAsia="Open Sans" w:hAnsi="Open Sans" w:cs="Open Sans"/>
          <w:b w:val="0"/>
          <w:bCs w:val="0"/>
          <w:sz w:val="22"/>
          <w:szCs w:val="22"/>
          <w:u w:val="none"/>
        </w:rPr>
        <w:t>DfT</w:t>
      </w:r>
      <w:proofErr w:type="spellEnd"/>
      <w:r>
        <w:rPr>
          <w:rFonts w:ascii="Open Sans" w:eastAsia="Open Sans" w:hAnsi="Open Sans" w:cs="Open Sans"/>
          <w:b w:val="0"/>
          <w:bCs w:val="0"/>
          <w:sz w:val="22"/>
          <w:szCs w:val="22"/>
          <w:u w:val="none"/>
        </w:rPr>
        <w:t xml:space="preserve"> has now launched the RTFO consultation to address this). The </w:t>
      </w:r>
      <w:proofErr w:type="spellStart"/>
      <w:r>
        <w:rPr>
          <w:rFonts w:ascii="Open Sans" w:eastAsia="Open Sans" w:hAnsi="Open Sans" w:cs="Open Sans"/>
          <w:b w:val="0"/>
          <w:bCs w:val="0"/>
          <w:sz w:val="22"/>
          <w:szCs w:val="22"/>
          <w:u w:val="none"/>
        </w:rPr>
        <w:t>DfT</w:t>
      </w:r>
      <w:proofErr w:type="spellEnd"/>
      <w:r>
        <w:rPr>
          <w:rFonts w:ascii="Open Sans" w:eastAsia="Open Sans" w:hAnsi="Open Sans" w:cs="Open Sans"/>
          <w:b w:val="0"/>
          <w:bCs w:val="0"/>
          <w:sz w:val="22"/>
          <w:szCs w:val="22"/>
          <w:u w:val="none"/>
        </w:rPr>
        <w:t xml:space="preserve"> should allow</w:t>
      </w:r>
      <w:r w:rsidRPr="00CA2258">
        <w:rPr>
          <w:rFonts w:ascii="Open Sans" w:eastAsia="Open Sans" w:hAnsi="Open Sans" w:cs="Open Sans"/>
          <w:b w:val="0"/>
          <w:bCs w:val="0"/>
          <w:sz w:val="22"/>
          <w:szCs w:val="22"/>
          <w:u w:val="none"/>
        </w:rPr>
        <w:t xml:space="preserve"> more flexible rules for </w:t>
      </w:r>
      <w:r>
        <w:rPr>
          <w:rFonts w:ascii="Open Sans" w:eastAsia="Open Sans" w:hAnsi="Open Sans" w:cs="Open Sans"/>
          <w:b w:val="0"/>
          <w:bCs w:val="0"/>
          <w:sz w:val="22"/>
          <w:szCs w:val="22"/>
          <w:u w:val="none"/>
        </w:rPr>
        <w:t xml:space="preserve">the </w:t>
      </w:r>
      <w:r w:rsidRPr="00CA2258">
        <w:rPr>
          <w:rFonts w:ascii="Open Sans" w:eastAsia="Open Sans" w:hAnsi="Open Sans" w:cs="Open Sans"/>
          <w:b w:val="0"/>
          <w:bCs w:val="0"/>
          <w:sz w:val="22"/>
          <w:szCs w:val="22"/>
          <w:u w:val="none"/>
        </w:rPr>
        <w:t>qualification of renewable electricity for making renewable hydrogen</w:t>
      </w:r>
      <w:r>
        <w:rPr>
          <w:rFonts w:ascii="Open Sans" w:eastAsia="Open Sans" w:hAnsi="Open Sans" w:cs="Open Sans"/>
          <w:b w:val="0"/>
          <w:bCs w:val="0"/>
          <w:sz w:val="22"/>
          <w:szCs w:val="22"/>
          <w:u w:val="none"/>
        </w:rPr>
        <w:t xml:space="preserve">. Further detail on this will be provided in our response to the RTFO consultation, currently open. </w:t>
      </w:r>
    </w:p>
    <w:p w14:paraId="0E338FA9" w14:textId="77777777" w:rsidR="006F7B76" w:rsidRDefault="006F7B76" w:rsidP="006F7B76">
      <w:pPr>
        <w:spacing w:before="120" w:after="120"/>
        <w:rPr>
          <w:rFonts w:ascii="Open Sans" w:hAnsi="Open Sans"/>
        </w:rPr>
      </w:pPr>
    </w:p>
    <w:sectPr w:rsidR="006F7B7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026E" w14:textId="77777777" w:rsidR="004237AF" w:rsidRDefault="004237AF" w:rsidP="004237AF">
      <w:r>
        <w:separator/>
      </w:r>
    </w:p>
  </w:endnote>
  <w:endnote w:type="continuationSeparator" w:id="0">
    <w:p w14:paraId="4FCA5315" w14:textId="77777777" w:rsidR="004237AF" w:rsidRDefault="004237AF" w:rsidP="0042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Open Sans">
    <w:altName w:val="Segoe U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7063" w14:textId="77777777" w:rsidR="003219E2" w:rsidRDefault="00321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97193"/>
      <w:docPartObj>
        <w:docPartGallery w:val="Page Numbers (Bottom of Page)"/>
        <w:docPartUnique/>
      </w:docPartObj>
    </w:sdtPr>
    <w:sdtEndPr>
      <w:rPr>
        <w:noProof/>
      </w:rPr>
    </w:sdtEndPr>
    <w:sdtContent>
      <w:p w14:paraId="4855EE46" w14:textId="35621BFE" w:rsidR="008B04A0" w:rsidRDefault="008B04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58436" w14:textId="77777777" w:rsidR="00E27050" w:rsidRDefault="00E27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735C" w14:textId="77777777" w:rsidR="003219E2" w:rsidRDefault="00321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8F46" w14:textId="77777777" w:rsidR="004237AF" w:rsidRDefault="004237AF" w:rsidP="004237AF">
      <w:r>
        <w:separator/>
      </w:r>
    </w:p>
  </w:footnote>
  <w:footnote w:type="continuationSeparator" w:id="0">
    <w:p w14:paraId="058E47F3" w14:textId="77777777" w:rsidR="004237AF" w:rsidRDefault="004237AF" w:rsidP="004237AF">
      <w:r>
        <w:continuationSeparator/>
      </w:r>
    </w:p>
  </w:footnote>
  <w:footnote w:id="1">
    <w:p w14:paraId="75F5140D" w14:textId="34B37FEC" w:rsidR="00C3758A" w:rsidRPr="00C3758A" w:rsidRDefault="00C3758A" w:rsidP="00C3758A">
      <w:pPr>
        <w:pStyle w:val="Heading2"/>
        <w:spacing w:before="120" w:after="120" w:line="240" w:lineRule="auto"/>
        <w:rPr>
          <w:rFonts w:ascii="Open Sans" w:hAnsi="Open Sans" w:cs="Open Sans"/>
          <w:b w:val="0"/>
          <w:bCs w:val="0"/>
          <w:sz w:val="22"/>
          <w:szCs w:val="22"/>
          <w:u w:val="none"/>
          <w:lang w:val="en-GB"/>
          <w14:textOutline w14:w="0" w14:cap="rnd" w14:cmpd="sng" w14:algn="ctr">
            <w14:noFill/>
            <w14:prstDash w14:val="solid"/>
            <w14:bevel/>
          </w14:textOutline>
        </w:rPr>
      </w:pPr>
      <w:r w:rsidRPr="00C3758A">
        <w:rPr>
          <w:rFonts w:ascii="Open Sans" w:hAnsi="Open Sans" w:cs="Open Sans"/>
          <w:b w:val="0"/>
          <w:bCs w:val="0"/>
          <w:sz w:val="22"/>
          <w:szCs w:val="22"/>
          <w:u w:val="none"/>
          <w:vertAlign w:val="superscript"/>
          <w:lang w:val="en-GB"/>
          <w14:textOutline w14:w="0" w14:cap="rnd" w14:cmpd="sng" w14:algn="ctr">
            <w14:noFill/>
            <w14:prstDash w14:val="solid"/>
            <w14:bevel/>
          </w14:textOutline>
        </w:rPr>
        <w:footnoteRef/>
      </w:r>
      <w:r w:rsidRPr="00C3758A">
        <w:rPr>
          <w:rFonts w:ascii="Open Sans" w:hAnsi="Open Sans" w:cs="Open Sans"/>
          <w:b w:val="0"/>
          <w:bCs w:val="0"/>
          <w:sz w:val="22"/>
          <w:szCs w:val="22"/>
          <w:u w:val="none"/>
          <w:lang w:val="en-GB"/>
          <w14:textOutline w14:w="0" w14:cap="rnd" w14:cmpd="sng" w14:algn="ctr">
            <w14:noFill/>
            <w14:prstDash w14:val="solid"/>
            <w14:bevel/>
          </w14:textOutline>
        </w:rPr>
        <w:t xml:space="preserve"> </w:t>
      </w:r>
      <w:r w:rsidRPr="00C3758A">
        <w:rPr>
          <w:rFonts w:ascii="Open Sans" w:hAnsi="Open Sans" w:cs="Open Sans"/>
          <w:b w:val="0"/>
          <w:bCs w:val="0"/>
          <w:sz w:val="18"/>
          <w:szCs w:val="18"/>
          <w:u w:val="none"/>
          <w:lang w:val="en-GB"/>
          <w14:textOutline w14:w="0" w14:cap="rnd" w14:cmpd="sng" w14:algn="ctr">
            <w14:noFill/>
            <w14:prstDash w14:val="solid"/>
            <w14:bevel/>
          </w14:textOutline>
        </w:rPr>
        <w:t xml:space="preserve">When charging and discharging from the grid, storage devices in the past were paying fees for both these activities on a gross basis. However, there have been grid modifications made that allow them to be charged only on a net usage basis. This recognises the fact </w:t>
      </w:r>
      <w:r>
        <w:rPr>
          <w:rFonts w:ascii="Open Sans" w:hAnsi="Open Sans" w:cs="Open Sans"/>
          <w:b w:val="0"/>
          <w:bCs w:val="0"/>
          <w:sz w:val="18"/>
          <w:szCs w:val="18"/>
          <w:u w:val="none"/>
          <w:lang w:val="en-GB"/>
          <w14:textOutline w14:w="0" w14:cap="rnd" w14:cmpd="sng" w14:algn="ctr">
            <w14:noFill/>
            <w14:prstDash w14:val="solid"/>
            <w14:bevel/>
          </w14:textOutline>
        </w:rPr>
        <w:t xml:space="preserve">these devices </w:t>
      </w:r>
      <w:r w:rsidRPr="00C3758A">
        <w:rPr>
          <w:rFonts w:ascii="Open Sans" w:hAnsi="Open Sans" w:cs="Open Sans"/>
          <w:b w:val="0"/>
          <w:bCs w:val="0"/>
          <w:sz w:val="18"/>
          <w:szCs w:val="18"/>
          <w:u w:val="none"/>
          <w:lang w:val="en-GB"/>
          <w14:textOutline w14:w="0" w14:cap="rnd" w14:cmpd="sng" w14:algn="ctr">
            <w14:noFill/>
            <w14:prstDash w14:val="solid"/>
            <w14:bevel/>
          </w14:textOutline>
        </w:rPr>
        <w:t xml:space="preserve">are aiding the electricity system flexibility. </w:t>
      </w:r>
      <w:r>
        <w:rPr>
          <w:rFonts w:ascii="Open Sans" w:hAnsi="Open Sans" w:cs="Open Sans"/>
          <w:b w:val="0"/>
          <w:bCs w:val="0"/>
          <w:sz w:val="18"/>
          <w:szCs w:val="18"/>
          <w:u w:val="none"/>
          <w:lang w:val="en-GB"/>
          <w14:textOutline w14:w="0" w14:cap="rnd" w14:cmpd="sng" w14:algn="ctr">
            <w14:noFill/>
            <w14:prstDash w14:val="solid"/>
            <w14:bevel/>
          </w14:textOutline>
        </w:rPr>
        <w:t xml:space="preserve">A similar </w:t>
      </w:r>
      <w:r w:rsidRPr="00C3758A">
        <w:rPr>
          <w:rFonts w:ascii="Open Sans" w:hAnsi="Open Sans" w:cs="Open Sans"/>
          <w:b w:val="0"/>
          <w:bCs w:val="0"/>
          <w:sz w:val="18"/>
          <w:szCs w:val="18"/>
          <w:u w:val="none"/>
          <w:lang w:val="en-GB"/>
          <w14:textOutline w14:w="0" w14:cap="rnd" w14:cmpd="sng" w14:algn="ctr">
            <w14:noFill/>
            <w14:prstDash w14:val="solid"/>
            <w14:bevel/>
          </w14:textOutline>
        </w:rPr>
        <w:t xml:space="preserve">approach </w:t>
      </w:r>
      <w:r>
        <w:rPr>
          <w:rFonts w:ascii="Open Sans" w:hAnsi="Open Sans" w:cs="Open Sans"/>
          <w:b w:val="0"/>
          <w:bCs w:val="0"/>
          <w:sz w:val="18"/>
          <w:szCs w:val="18"/>
          <w:u w:val="none"/>
          <w:lang w:val="en-GB"/>
          <w14:textOutline w14:w="0" w14:cap="rnd" w14:cmpd="sng" w14:algn="ctr">
            <w14:noFill/>
            <w14:prstDash w14:val="solid"/>
            <w14:bevel/>
          </w14:textOutline>
        </w:rPr>
        <w:t xml:space="preserve">needs to </w:t>
      </w:r>
      <w:r w:rsidRPr="00C3758A">
        <w:rPr>
          <w:rFonts w:ascii="Open Sans" w:hAnsi="Open Sans" w:cs="Open Sans"/>
          <w:b w:val="0"/>
          <w:bCs w:val="0"/>
          <w:sz w:val="18"/>
          <w:szCs w:val="18"/>
          <w:u w:val="none"/>
          <w:lang w:val="en-GB"/>
          <w14:textOutline w14:w="0" w14:cap="rnd" w14:cmpd="sng" w14:algn="ctr">
            <w14:noFill/>
            <w14:prstDash w14:val="solid"/>
            <w14:bevel/>
          </w14:textOutline>
        </w:rPr>
        <w:t>be applied to hydrogen electrolysers that are grid connected</w:t>
      </w:r>
      <w:r>
        <w:rPr>
          <w:rFonts w:ascii="Open Sans" w:hAnsi="Open Sans" w:cs="Open Sans"/>
          <w:b w:val="0"/>
          <w:bCs w:val="0"/>
          <w:sz w:val="18"/>
          <w:szCs w:val="18"/>
          <w:u w:val="none"/>
          <w:lang w:val="en-GB"/>
          <w14:textOutline w14:w="0" w14:cap="rnd" w14:cmpd="sng" w14:algn="ctr">
            <w14:noFill/>
            <w14:prstDash w14:val="solid"/>
            <w14:bevel/>
          </w14:textOutline>
        </w:rPr>
        <w:t xml:space="preserve">. </w:t>
      </w:r>
    </w:p>
    <w:p w14:paraId="3E639BAE" w14:textId="560F2192" w:rsidR="00C3758A" w:rsidRPr="00C3758A" w:rsidRDefault="00C3758A">
      <w:pPr>
        <w:pStyle w:val="FootnoteText"/>
        <w:rPr>
          <w:lang w:val="en-GB"/>
        </w:rPr>
      </w:pPr>
    </w:p>
  </w:footnote>
  <w:footnote w:id="2">
    <w:p w14:paraId="148D939C" w14:textId="77777777" w:rsidR="00C423F6" w:rsidRDefault="00C423F6" w:rsidP="00C423F6">
      <w:pPr>
        <w:pStyle w:val="FootnoteText"/>
      </w:pPr>
      <w:r>
        <w:rPr>
          <w:rFonts w:ascii="Open Sans" w:eastAsia="Open Sans" w:hAnsi="Open Sans" w:cs="Open Sans"/>
          <w:sz w:val="22"/>
          <w:szCs w:val="22"/>
          <w:vertAlign w:val="superscript"/>
        </w:rPr>
        <w:footnoteRef/>
      </w:r>
      <w:r>
        <w:t xml:space="preserve"> </w:t>
      </w:r>
      <w:r>
        <w:rPr>
          <w:rFonts w:ascii="Open Sans" w:eastAsia="Open Sans" w:hAnsi="Open Sans" w:cs="Open Sans"/>
        </w:rPr>
        <w:t xml:space="preserve">For information, the </w:t>
      </w:r>
      <w:proofErr w:type="spellStart"/>
      <w:r>
        <w:rPr>
          <w:rFonts w:ascii="Open Sans" w:eastAsia="Open Sans" w:hAnsi="Open Sans" w:cs="Open Sans"/>
        </w:rPr>
        <w:t>CertifHy</w:t>
      </w:r>
      <w:proofErr w:type="spellEnd"/>
      <w:r>
        <w:rPr>
          <w:rFonts w:ascii="Open Sans" w:eastAsia="Open Sans" w:hAnsi="Open Sans" w:cs="Open Sans"/>
        </w:rPr>
        <w:t xml:space="preserve"> 2019 project</w:t>
      </w:r>
      <w:r>
        <w:rPr>
          <w:rFonts w:ascii="Open Sans" w:eastAsia="Open Sans" w:hAnsi="Open Sans" w:cs="Open Sans"/>
          <w:vertAlign w:val="superscript"/>
        </w:rPr>
        <w:t xml:space="preserve">1 </w:t>
      </w:r>
      <w:r>
        <w:rPr>
          <w:rFonts w:ascii="Open Sans" w:eastAsia="Open Sans" w:hAnsi="Open Sans" w:cs="Open Sans"/>
        </w:rPr>
        <w:t>suggests that the threshold for which hydrogen could be regarded as low carbon is 36.4 g CO</w:t>
      </w:r>
      <w:r>
        <w:rPr>
          <w:rFonts w:ascii="Open Sans" w:eastAsia="Open Sans" w:hAnsi="Open Sans" w:cs="Open Sans"/>
          <w:vertAlign w:val="subscript"/>
        </w:rPr>
        <w:t>2</w:t>
      </w:r>
      <w:r>
        <w:rPr>
          <w:rFonts w:ascii="Open Sans" w:eastAsia="Open Sans" w:hAnsi="Open Sans" w:cs="Open Sans"/>
        </w:rPr>
        <w:t xml:space="preserve">e/MJ. </w:t>
      </w:r>
      <w:hyperlink r:id="rId1" w:history="1">
        <w:proofErr w:type="spellStart"/>
        <w:r>
          <w:rPr>
            <w:rStyle w:val="Hyperlink1"/>
          </w:rPr>
          <w:t>CertiHy</w:t>
        </w:r>
        <w:proofErr w:type="spellEnd"/>
        <w:r>
          <w:rPr>
            <w:rStyle w:val="Hyperlink1"/>
          </w:rPr>
          <w:t xml:space="preserve"> 2019 Project</w:t>
        </w:r>
      </w:hyperlink>
      <w:r>
        <w:rPr>
          <w:rFonts w:ascii="Open Sans" w:eastAsia="Open Sans" w:hAnsi="Open Sans" w:cs="Open Sans"/>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4D5D" w14:textId="77777777" w:rsidR="003219E2" w:rsidRDefault="0032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E9D4" w14:textId="61BB14C9" w:rsidR="00CA15E6" w:rsidRPr="00CA15E6" w:rsidRDefault="00CA15E6">
    <w:pPr>
      <w:pStyle w:val="Header"/>
      <w:rPr>
        <w:rFonts w:ascii="Open Sans" w:hAnsi="Open Sans" w:cs="Open Sans"/>
      </w:rPr>
    </w:pPr>
    <w:r w:rsidRPr="00CA15E6">
      <w:rPr>
        <w:rFonts w:ascii="Open Sans" w:hAnsi="Open Sans" w:cs="Open Sans"/>
      </w:rPr>
      <w:t>REA, 22/04/2021</w:t>
    </w:r>
    <w:r w:rsidR="003219E2">
      <w:rPr>
        <w:rFonts w:ascii="Open Sans" w:hAnsi="Open Sans" w:cs="Open Sans"/>
      </w:rPr>
      <w:t>, draft v0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6C79" w14:textId="77777777" w:rsidR="003219E2" w:rsidRDefault="0032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EE1"/>
    <w:multiLevelType w:val="hybridMultilevel"/>
    <w:tmpl w:val="1DD28046"/>
    <w:lvl w:ilvl="0" w:tplc="0809000F">
      <w:start w:val="1"/>
      <w:numFmt w:val="decimal"/>
      <w:lvlText w:val="%1."/>
      <w:lvlJc w:val="left"/>
      <w:pPr>
        <w:tabs>
          <w:tab w:val="left" w:pos="5799"/>
        </w:tabs>
        <w:ind w:left="72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F79E0B34">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10635C">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AE11B6">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81FE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084E3E">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A15DA">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C034A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B6DC70">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A80DBB"/>
    <w:multiLevelType w:val="hybridMultilevel"/>
    <w:tmpl w:val="F0FE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519CD"/>
    <w:multiLevelType w:val="hybridMultilevel"/>
    <w:tmpl w:val="FD6CCE2A"/>
    <w:lvl w:ilvl="0" w:tplc="08090001">
      <w:start w:val="1"/>
      <w:numFmt w:val="bullet"/>
      <w:lvlText w:val=""/>
      <w:lvlJc w:val="left"/>
      <w:pPr>
        <w:tabs>
          <w:tab w:val="left" w:pos="5799"/>
        </w:tabs>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79E0B34">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10635C">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AE11B6">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81FE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084E3E">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A15DA">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C034A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B6DC70">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704FD2"/>
    <w:multiLevelType w:val="hybridMultilevel"/>
    <w:tmpl w:val="07DAAA32"/>
    <w:lvl w:ilvl="0" w:tplc="B3E26176">
      <w:start w:val="1"/>
      <w:numFmt w:val="bullet"/>
      <w:lvlText w:val="•"/>
      <w:lvlJc w:val="left"/>
      <w:pPr>
        <w:tabs>
          <w:tab w:val="num" w:pos="720"/>
        </w:tabs>
        <w:ind w:left="720" w:hanging="360"/>
      </w:pPr>
      <w:rPr>
        <w:rFonts w:ascii="Arial" w:hAnsi="Arial" w:hint="default"/>
      </w:rPr>
    </w:lvl>
    <w:lvl w:ilvl="1" w:tplc="46F8ED3A" w:tentative="1">
      <w:start w:val="1"/>
      <w:numFmt w:val="bullet"/>
      <w:lvlText w:val="•"/>
      <w:lvlJc w:val="left"/>
      <w:pPr>
        <w:tabs>
          <w:tab w:val="num" w:pos="1440"/>
        </w:tabs>
        <w:ind w:left="1440" w:hanging="360"/>
      </w:pPr>
      <w:rPr>
        <w:rFonts w:ascii="Arial" w:hAnsi="Arial" w:hint="default"/>
      </w:rPr>
    </w:lvl>
    <w:lvl w:ilvl="2" w:tplc="84926994" w:tentative="1">
      <w:start w:val="1"/>
      <w:numFmt w:val="bullet"/>
      <w:lvlText w:val="•"/>
      <w:lvlJc w:val="left"/>
      <w:pPr>
        <w:tabs>
          <w:tab w:val="num" w:pos="2160"/>
        </w:tabs>
        <w:ind w:left="2160" w:hanging="360"/>
      </w:pPr>
      <w:rPr>
        <w:rFonts w:ascii="Arial" w:hAnsi="Arial" w:hint="default"/>
      </w:rPr>
    </w:lvl>
    <w:lvl w:ilvl="3" w:tplc="CF80F314" w:tentative="1">
      <w:start w:val="1"/>
      <w:numFmt w:val="bullet"/>
      <w:lvlText w:val="•"/>
      <w:lvlJc w:val="left"/>
      <w:pPr>
        <w:tabs>
          <w:tab w:val="num" w:pos="2880"/>
        </w:tabs>
        <w:ind w:left="2880" w:hanging="360"/>
      </w:pPr>
      <w:rPr>
        <w:rFonts w:ascii="Arial" w:hAnsi="Arial" w:hint="default"/>
      </w:rPr>
    </w:lvl>
    <w:lvl w:ilvl="4" w:tplc="EC1697E2" w:tentative="1">
      <w:start w:val="1"/>
      <w:numFmt w:val="bullet"/>
      <w:lvlText w:val="•"/>
      <w:lvlJc w:val="left"/>
      <w:pPr>
        <w:tabs>
          <w:tab w:val="num" w:pos="3600"/>
        </w:tabs>
        <w:ind w:left="3600" w:hanging="360"/>
      </w:pPr>
      <w:rPr>
        <w:rFonts w:ascii="Arial" w:hAnsi="Arial" w:hint="default"/>
      </w:rPr>
    </w:lvl>
    <w:lvl w:ilvl="5" w:tplc="4DF07C0A" w:tentative="1">
      <w:start w:val="1"/>
      <w:numFmt w:val="bullet"/>
      <w:lvlText w:val="•"/>
      <w:lvlJc w:val="left"/>
      <w:pPr>
        <w:tabs>
          <w:tab w:val="num" w:pos="4320"/>
        </w:tabs>
        <w:ind w:left="4320" w:hanging="360"/>
      </w:pPr>
      <w:rPr>
        <w:rFonts w:ascii="Arial" w:hAnsi="Arial" w:hint="default"/>
      </w:rPr>
    </w:lvl>
    <w:lvl w:ilvl="6" w:tplc="22C07E92" w:tentative="1">
      <w:start w:val="1"/>
      <w:numFmt w:val="bullet"/>
      <w:lvlText w:val="•"/>
      <w:lvlJc w:val="left"/>
      <w:pPr>
        <w:tabs>
          <w:tab w:val="num" w:pos="5040"/>
        </w:tabs>
        <w:ind w:left="5040" w:hanging="360"/>
      </w:pPr>
      <w:rPr>
        <w:rFonts w:ascii="Arial" w:hAnsi="Arial" w:hint="default"/>
      </w:rPr>
    </w:lvl>
    <w:lvl w:ilvl="7" w:tplc="2CB2F696" w:tentative="1">
      <w:start w:val="1"/>
      <w:numFmt w:val="bullet"/>
      <w:lvlText w:val="•"/>
      <w:lvlJc w:val="left"/>
      <w:pPr>
        <w:tabs>
          <w:tab w:val="num" w:pos="5760"/>
        </w:tabs>
        <w:ind w:left="5760" w:hanging="360"/>
      </w:pPr>
      <w:rPr>
        <w:rFonts w:ascii="Arial" w:hAnsi="Arial" w:hint="default"/>
      </w:rPr>
    </w:lvl>
    <w:lvl w:ilvl="8" w:tplc="961E89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D5E60"/>
    <w:multiLevelType w:val="hybridMultilevel"/>
    <w:tmpl w:val="AE56C6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12553B"/>
    <w:multiLevelType w:val="hybridMultilevel"/>
    <w:tmpl w:val="1780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6642F"/>
    <w:multiLevelType w:val="hybridMultilevel"/>
    <w:tmpl w:val="6B6A1B8C"/>
    <w:lvl w:ilvl="0" w:tplc="0809000F">
      <w:start w:val="1"/>
      <w:numFmt w:val="decimal"/>
      <w:lvlText w:val="%1."/>
      <w:lvlJc w:val="left"/>
      <w:pPr>
        <w:tabs>
          <w:tab w:val="left" w:pos="5799"/>
        </w:tabs>
        <w:ind w:left="72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F79E0B34">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10635C">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AE11B6">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81FE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084E3E">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A15DA">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C034A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B6DC70">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54A684D"/>
    <w:multiLevelType w:val="hybridMultilevel"/>
    <w:tmpl w:val="5FA80B6C"/>
    <w:lvl w:ilvl="0" w:tplc="71ECD148">
      <w:start w:val="1"/>
      <w:numFmt w:val="bullet"/>
      <w:lvlText w:val="•"/>
      <w:lvlJc w:val="left"/>
      <w:pPr>
        <w:tabs>
          <w:tab w:val="num" w:pos="720"/>
        </w:tabs>
        <w:ind w:left="720" w:hanging="360"/>
      </w:pPr>
      <w:rPr>
        <w:rFonts w:ascii="Arial" w:hAnsi="Arial" w:hint="default"/>
      </w:rPr>
    </w:lvl>
    <w:lvl w:ilvl="1" w:tplc="44E0C7CA">
      <w:start w:val="1"/>
      <w:numFmt w:val="bullet"/>
      <w:lvlText w:val="•"/>
      <w:lvlJc w:val="left"/>
      <w:pPr>
        <w:tabs>
          <w:tab w:val="num" w:pos="1440"/>
        </w:tabs>
        <w:ind w:left="1440" w:hanging="360"/>
      </w:pPr>
      <w:rPr>
        <w:rFonts w:ascii="Arial" w:hAnsi="Arial" w:hint="default"/>
      </w:rPr>
    </w:lvl>
    <w:lvl w:ilvl="2" w:tplc="4B7A11B8" w:tentative="1">
      <w:start w:val="1"/>
      <w:numFmt w:val="bullet"/>
      <w:lvlText w:val="•"/>
      <w:lvlJc w:val="left"/>
      <w:pPr>
        <w:tabs>
          <w:tab w:val="num" w:pos="2160"/>
        </w:tabs>
        <w:ind w:left="2160" w:hanging="360"/>
      </w:pPr>
      <w:rPr>
        <w:rFonts w:ascii="Arial" w:hAnsi="Arial" w:hint="default"/>
      </w:rPr>
    </w:lvl>
    <w:lvl w:ilvl="3" w:tplc="2D6E3B06" w:tentative="1">
      <w:start w:val="1"/>
      <w:numFmt w:val="bullet"/>
      <w:lvlText w:val="•"/>
      <w:lvlJc w:val="left"/>
      <w:pPr>
        <w:tabs>
          <w:tab w:val="num" w:pos="2880"/>
        </w:tabs>
        <w:ind w:left="2880" w:hanging="360"/>
      </w:pPr>
      <w:rPr>
        <w:rFonts w:ascii="Arial" w:hAnsi="Arial" w:hint="default"/>
      </w:rPr>
    </w:lvl>
    <w:lvl w:ilvl="4" w:tplc="CF907F2E" w:tentative="1">
      <w:start w:val="1"/>
      <w:numFmt w:val="bullet"/>
      <w:lvlText w:val="•"/>
      <w:lvlJc w:val="left"/>
      <w:pPr>
        <w:tabs>
          <w:tab w:val="num" w:pos="3600"/>
        </w:tabs>
        <w:ind w:left="3600" w:hanging="360"/>
      </w:pPr>
      <w:rPr>
        <w:rFonts w:ascii="Arial" w:hAnsi="Arial" w:hint="default"/>
      </w:rPr>
    </w:lvl>
    <w:lvl w:ilvl="5" w:tplc="6D584CA8" w:tentative="1">
      <w:start w:val="1"/>
      <w:numFmt w:val="bullet"/>
      <w:lvlText w:val="•"/>
      <w:lvlJc w:val="left"/>
      <w:pPr>
        <w:tabs>
          <w:tab w:val="num" w:pos="4320"/>
        </w:tabs>
        <w:ind w:left="4320" w:hanging="360"/>
      </w:pPr>
      <w:rPr>
        <w:rFonts w:ascii="Arial" w:hAnsi="Arial" w:hint="default"/>
      </w:rPr>
    </w:lvl>
    <w:lvl w:ilvl="6" w:tplc="3B823EA4" w:tentative="1">
      <w:start w:val="1"/>
      <w:numFmt w:val="bullet"/>
      <w:lvlText w:val="•"/>
      <w:lvlJc w:val="left"/>
      <w:pPr>
        <w:tabs>
          <w:tab w:val="num" w:pos="5040"/>
        </w:tabs>
        <w:ind w:left="5040" w:hanging="360"/>
      </w:pPr>
      <w:rPr>
        <w:rFonts w:ascii="Arial" w:hAnsi="Arial" w:hint="default"/>
      </w:rPr>
    </w:lvl>
    <w:lvl w:ilvl="7" w:tplc="A150E326" w:tentative="1">
      <w:start w:val="1"/>
      <w:numFmt w:val="bullet"/>
      <w:lvlText w:val="•"/>
      <w:lvlJc w:val="left"/>
      <w:pPr>
        <w:tabs>
          <w:tab w:val="num" w:pos="5760"/>
        </w:tabs>
        <w:ind w:left="5760" w:hanging="360"/>
      </w:pPr>
      <w:rPr>
        <w:rFonts w:ascii="Arial" w:hAnsi="Arial" w:hint="default"/>
      </w:rPr>
    </w:lvl>
    <w:lvl w:ilvl="8" w:tplc="A52AA7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1E0A09"/>
    <w:multiLevelType w:val="hybridMultilevel"/>
    <w:tmpl w:val="7C38FAAE"/>
    <w:lvl w:ilvl="0" w:tplc="2C12F5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81851"/>
    <w:multiLevelType w:val="hybridMultilevel"/>
    <w:tmpl w:val="27AEAB36"/>
    <w:lvl w:ilvl="0" w:tplc="08090001">
      <w:start w:val="1"/>
      <w:numFmt w:val="bullet"/>
      <w:lvlText w:val=""/>
      <w:lvlJc w:val="left"/>
      <w:pPr>
        <w:tabs>
          <w:tab w:val="left" w:pos="5799"/>
        </w:tabs>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79E0B34">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10635C">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AE11B6">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81FE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084E3E">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A15DA">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C034A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B6DC70">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7E83770"/>
    <w:multiLevelType w:val="hybridMultilevel"/>
    <w:tmpl w:val="ACAE23AA"/>
    <w:numStyleLink w:val="ImportedStyle2"/>
  </w:abstractNum>
  <w:abstractNum w:abstractNumId="11" w15:restartNumberingAfterBreak="0">
    <w:nsid w:val="68752AC7"/>
    <w:multiLevelType w:val="hybridMultilevel"/>
    <w:tmpl w:val="9B404D8C"/>
    <w:lvl w:ilvl="0" w:tplc="44142756">
      <w:start w:val="1"/>
      <w:numFmt w:val="bullet"/>
      <w:lvlText w:val="•"/>
      <w:lvlJc w:val="left"/>
      <w:pPr>
        <w:tabs>
          <w:tab w:val="num" w:pos="720"/>
        </w:tabs>
        <w:ind w:left="720" w:hanging="360"/>
      </w:pPr>
      <w:rPr>
        <w:rFonts w:ascii="Arial" w:hAnsi="Arial" w:hint="default"/>
      </w:rPr>
    </w:lvl>
    <w:lvl w:ilvl="1" w:tplc="7B4EDAFC" w:tentative="1">
      <w:start w:val="1"/>
      <w:numFmt w:val="bullet"/>
      <w:lvlText w:val="•"/>
      <w:lvlJc w:val="left"/>
      <w:pPr>
        <w:tabs>
          <w:tab w:val="num" w:pos="1440"/>
        </w:tabs>
        <w:ind w:left="1440" w:hanging="360"/>
      </w:pPr>
      <w:rPr>
        <w:rFonts w:ascii="Arial" w:hAnsi="Arial" w:hint="default"/>
      </w:rPr>
    </w:lvl>
    <w:lvl w:ilvl="2" w:tplc="72523D56" w:tentative="1">
      <w:start w:val="1"/>
      <w:numFmt w:val="bullet"/>
      <w:lvlText w:val="•"/>
      <w:lvlJc w:val="left"/>
      <w:pPr>
        <w:tabs>
          <w:tab w:val="num" w:pos="2160"/>
        </w:tabs>
        <w:ind w:left="2160" w:hanging="360"/>
      </w:pPr>
      <w:rPr>
        <w:rFonts w:ascii="Arial" w:hAnsi="Arial" w:hint="default"/>
      </w:rPr>
    </w:lvl>
    <w:lvl w:ilvl="3" w:tplc="5FACD3BE" w:tentative="1">
      <w:start w:val="1"/>
      <w:numFmt w:val="bullet"/>
      <w:lvlText w:val="•"/>
      <w:lvlJc w:val="left"/>
      <w:pPr>
        <w:tabs>
          <w:tab w:val="num" w:pos="2880"/>
        </w:tabs>
        <w:ind w:left="2880" w:hanging="360"/>
      </w:pPr>
      <w:rPr>
        <w:rFonts w:ascii="Arial" w:hAnsi="Arial" w:hint="default"/>
      </w:rPr>
    </w:lvl>
    <w:lvl w:ilvl="4" w:tplc="C5FE1E52" w:tentative="1">
      <w:start w:val="1"/>
      <w:numFmt w:val="bullet"/>
      <w:lvlText w:val="•"/>
      <w:lvlJc w:val="left"/>
      <w:pPr>
        <w:tabs>
          <w:tab w:val="num" w:pos="3600"/>
        </w:tabs>
        <w:ind w:left="3600" w:hanging="360"/>
      </w:pPr>
      <w:rPr>
        <w:rFonts w:ascii="Arial" w:hAnsi="Arial" w:hint="default"/>
      </w:rPr>
    </w:lvl>
    <w:lvl w:ilvl="5" w:tplc="81E24EC4" w:tentative="1">
      <w:start w:val="1"/>
      <w:numFmt w:val="bullet"/>
      <w:lvlText w:val="•"/>
      <w:lvlJc w:val="left"/>
      <w:pPr>
        <w:tabs>
          <w:tab w:val="num" w:pos="4320"/>
        </w:tabs>
        <w:ind w:left="4320" w:hanging="360"/>
      </w:pPr>
      <w:rPr>
        <w:rFonts w:ascii="Arial" w:hAnsi="Arial" w:hint="default"/>
      </w:rPr>
    </w:lvl>
    <w:lvl w:ilvl="6" w:tplc="2FBA3FF8" w:tentative="1">
      <w:start w:val="1"/>
      <w:numFmt w:val="bullet"/>
      <w:lvlText w:val="•"/>
      <w:lvlJc w:val="left"/>
      <w:pPr>
        <w:tabs>
          <w:tab w:val="num" w:pos="5040"/>
        </w:tabs>
        <w:ind w:left="5040" w:hanging="360"/>
      </w:pPr>
      <w:rPr>
        <w:rFonts w:ascii="Arial" w:hAnsi="Arial" w:hint="default"/>
      </w:rPr>
    </w:lvl>
    <w:lvl w:ilvl="7" w:tplc="9F004FC2" w:tentative="1">
      <w:start w:val="1"/>
      <w:numFmt w:val="bullet"/>
      <w:lvlText w:val="•"/>
      <w:lvlJc w:val="left"/>
      <w:pPr>
        <w:tabs>
          <w:tab w:val="num" w:pos="5760"/>
        </w:tabs>
        <w:ind w:left="5760" w:hanging="360"/>
      </w:pPr>
      <w:rPr>
        <w:rFonts w:ascii="Arial" w:hAnsi="Arial" w:hint="default"/>
      </w:rPr>
    </w:lvl>
    <w:lvl w:ilvl="8" w:tplc="2AF20D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312CDF"/>
    <w:multiLevelType w:val="hybridMultilevel"/>
    <w:tmpl w:val="354872D2"/>
    <w:styleLink w:val="ImportedStyle4"/>
    <w:lvl w:ilvl="0" w:tplc="54A46DC2">
      <w:start w:val="1"/>
      <w:numFmt w:val="bullet"/>
      <w:lvlText w:val="·"/>
      <w:lvlJc w:val="left"/>
      <w:pPr>
        <w:tabs>
          <w:tab w:val="left" w:pos="579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786ECC">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86F6AE">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363B44">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3023C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5023C0">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9E89B6">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10512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DEE0BC">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C2456DB"/>
    <w:multiLevelType w:val="hybridMultilevel"/>
    <w:tmpl w:val="ACAE23AA"/>
    <w:styleLink w:val="ImportedStyle2"/>
    <w:lvl w:ilvl="0" w:tplc="B17C4E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2E53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30DC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0432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EAEF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F6AF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607E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021D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F01D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CC7344D"/>
    <w:multiLevelType w:val="hybridMultilevel"/>
    <w:tmpl w:val="354872D2"/>
    <w:numStyleLink w:val="ImportedStyle4"/>
  </w:abstractNum>
  <w:num w:numId="1">
    <w:abstractNumId w:val="12"/>
  </w:num>
  <w:num w:numId="2">
    <w:abstractNumId w:val="14"/>
  </w:num>
  <w:num w:numId="3">
    <w:abstractNumId w:val="14"/>
    <w:lvlOverride w:ilvl="0">
      <w:lvl w:ilvl="0" w:tplc="13421E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566BC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82AA7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642CA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30824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9E26A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E38FD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56CD7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2DCE3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8"/>
  </w:num>
  <w:num w:numId="5">
    <w:abstractNumId w:val="1"/>
  </w:num>
  <w:num w:numId="6">
    <w:abstractNumId w:val="0"/>
  </w:num>
  <w:num w:numId="7">
    <w:abstractNumId w:val="6"/>
  </w:num>
  <w:num w:numId="8">
    <w:abstractNumId w:val="5"/>
  </w:num>
  <w:num w:numId="9">
    <w:abstractNumId w:val="9"/>
  </w:num>
  <w:num w:numId="10">
    <w:abstractNumId w:val="2"/>
  </w:num>
  <w:num w:numId="11">
    <w:abstractNumId w:val="13"/>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E4"/>
    <w:rsid w:val="00020293"/>
    <w:rsid w:val="00030019"/>
    <w:rsid w:val="000456E8"/>
    <w:rsid w:val="00056198"/>
    <w:rsid w:val="00065021"/>
    <w:rsid w:val="000772A7"/>
    <w:rsid w:val="00093E2B"/>
    <w:rsid w:val="000D3125"/>
    <w:rsid w:val="000E613C"/>
    <w:rsid w:val="00103664"/>
    <w:rsid w:val="00132B47"/>
    <w:rsid w:val="00154585"/>
    <w:rsid w:val="00174D4C"/>
    <w:rsid w:val="00180D7D"/>
    <w:rsid w:val="001D16C2"/>
    <w:rsid w:val="00206205"/>
    <w:rsid w:val="00266D17"/>
    <w:rsid w:val="002A36FC"/>
    <w:rsid w:val="002D01F1"/>
    <w:rsid w:val="002D4498"/>
    <w:rsid w:val="002E349F"/>
    <w:rsid w:val="002F3F05"/>
    <w:rsid w:val="00317A32"/>
    <w:rsid w:val="003219E2"/>
    <w:rsid w:val="00356714"/>
    <w:rsid w:val="003A404E"/>
    <w:rsid w:val="003C3279"/>
    <w:rsid w:val="003F58AD"/>
    <w:rsid w:val="00414CCE"/>
    <w:rsid w:val="00416533"/>
    <w:rsid w:val="004237AF"/>
    <w:rsid w:val="00431E3C"/>
    <w:rsid w:val="00442D8A"/>
    <w:rsid w:val="00450EFE"/>
    <w:rsid w:val="00471B05"/>
    <w:rsid w:val="00474DE4"/>
    <w:rsid w:val="004849EC"/>
    <w:rsid w:val="00492178"/>
    <w:rsid w:val="00507070"/>
    <w:rsid w:val="005211E3"/>
    <w:rsid w:val="00531379"/>
    <w:rsid w:val="00547071"/>
    <w:rsid w:val="005B4664"/>
    <w:rsid w:val="005F22DF"/>
    <w:rsid w:val="006527BD"/>
    <w:rsid w:val="00674C18"/>
    <w:rsid w:val="006D4756"/>
    <w:rsid w:val="006E26EF"/>
    <w:rsid w:val="006F3FD1"/>
    <w:rsid w:val="006F7B76"/>
    <w:rsid w:val="00705578"/>
    <w:rsid w:val="007217F8"/>
    <w:rsid w:val="0072796F"/>
    <w:rsid w:val="00750728"/>
    <w:rsid w:val="00820FDF"/>
    <w:rsid w:val="00834323"/>
    <w:rsid w:val="008444B8"/>
    <w:rsid w:val="00875C2E"/>
    <w:rsid w:val="00880B3A"/>
    <w:rsid w:val="008864BE"/>
    <w:rsid w:val="00892B29"/>
    <w:rsid w:val="008B04A0"/>
    <w:rsid w:val="008B2A68"/>
    <w:rsid w:val="00926EBA"/>
    <w:rsid w:val="00940B3B"/>
    <w:rsid w:val="0098192C"/>
    <w:rsid w:val="00984350"/>
    <w:rsid w:val="009D0E61"/>
    <w:rsid w:val="009F762B"/>
    <w:rsid w:val="00A21572"/>
    <w:rsid w:val="00A44509"/>
    <w:rsid w:val="00AA08D6"/>
    <w:rsid w:val="00AC49A9"/>
    <w:rsid w:val="00B41DAE"/>
    <w:rsid w:val="00B42814"/>
    <w:rsid w:val="00B816CB"/>
    <w:rsid w:val="00B87298"/>
    <w:rsid w:val="00BB3ADF"/>
    <w:rsid w:val="00BD486A"/>
    <w:rsid w:val="00BE3DAA"/>
    <w:rsid w:val="00C11A0C"/>
    <w:rsid w:val="00C3758A"/>
    <w:rsid w:val="00C423F6"/>
    <w:rsid w:val="00C53D8C"/>
    <w:rsid w:val="00C54D03"/>
    <w:rsid w:val="00C60728"/>
    <w:rsid w:val="00C76B4B"/>
    <w:rsid w:val="00CA15E6"/>
    <w:rsid w:val="00CA2258"/>
    <w:rsid w:val="00CB045C"/>
    <w:rsid w:val="00CD2933"/>
    <w:rsid w:val="00D71E1D"/>
    <w:rsid w:val="00DA652A"/>
    <w:rsid w:val="00DB4263"/>
    <w:rsid w:val="00DE217B"/>
    <w:rsid w:val="00DE36D7"/>
    <w:rsid w:val="00E27050"/>
    <w:rsid w:val="00E61E2D"/>
    <w:rsid w:val="00E714D8"/>
    <w:rsid w:val="00EC4858"/>
    <w:rsid w:val="00EE35D3"/>
    <w:rsid w:val="00F21FA5"/>
    <w:rsid w:val="00F82BC2"/>
    <w:rsid w:val="00F86FF1"/>
    <w:rsid w:val="00FA536C"/>
    <w:rsid w:val="00FD4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AE8F"/>
  <w15:chartTrackingRefBased/>
  <w15:docId w15:val="{4AC1F757-7BBF-46E1-A291-6E58A169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7AF"/>
    <w:pPr>
      <w:pBdr>
        <w:top w:val="nil"/>
        <w:left w:val="nil"/>
        <w:bottom w:val="nil"/>
        <w:right w:val="nil"/>
        <w:between w:val="nil"/>
        <w:bar w:val="nil"/>
      </w:pBdr>
      <w:spacing w:after="0" w:line="240" w:lineRule="auto"/>
    </w:pPr>
    <w:rPr>
      <w:rFonts w:ascii="Calibri" w:eastAsia="Arial Unicode MS" w:hAnsi="Calibri" w:cs="Calibri"/>
      <w:bdr w:val="nil"/>
      <w:lang w:val="en-US"/>
    </w:rPr>
  </w:style>
  <w:style w:type="paragraph" w:styleId="Heading2">
    <w:name w:val="heading 2"/>
    <w:link w:val="Heading2Char"/>
    <w:uiPriority w:val="9"/>
    <w:unhideWhenUsed/>
    <w:qFormat/>
    <w:rsid w:val="004237AF"/>
    <w:pPr>
      <w:pBdr>
        <w:top w:val="nil"/>
        <w:left w:val="nil"/>
        <w:bottom w:val="nil"/>
        <w:right w:val="nil"/>
        <w:between w:val="nil"/>
        <w:bar w:val="nil"/>
      </w:pBdr>
      <w:outlineLvl w:val="1"/>
    </w:pPr>
    <w:rPr>
      <w:rFonts w:ascii="Century Gothic" w:eastAsia="Arial Unicode MS" w:hAnsi="Century Gothic" w:cs="Arial Unicode MS"/>
      <w:b/>
      <w:bCs/>
      <w:color w:val="000000"/>
      <w:sz w:val="28"/>
      <w:szCs w:val="28"/>
      <w:u w:val="single" w:color="000000"/>
      <w:bdr w:val="nil"/>
      <w:lang w:val="en-US"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37AF"/>
    <w:rPr>
      <w:rFonts w:ascii="Century Gothic" w:eastAsia="Arial Unicode MS" w:hAnsi="Century Gothic" w:cs="Arial Unicode MS"/>
      <w:b/>
      <w:bCs/>
      <w:color w:val="000000"/>
      <w:sz w:val="28"/>
      <w:szCs w:val="28"/>
      <w:u w:val="single" w:color="000000"/>
      <w:bdr w:val="nil"/>
      <w:lang w:val="en-US" w:eastAsia="en-GB"/>
      <w14:textOutline w14:w="0" w14:cap="flat" w14:cmpd="sng" w14:algn="ctr">
        <w14:noFill/>
        <w14:prstDash w14:val="solid"/>
        <w14:bevel/>
      </w14:textOutline>
    </w:rPr>
  </w:style>
  <w:style w:type="paragraph" w:customStyle="1" w:styleId="Default">
    <w:name w:val="Default"/>
    <w:rsid w:val="004237AF"/>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paragraph" w:customStyle="1" w:styleId="Body">
    <w:name w:val="Body"/>
    <w:rsid w:val="004237AF"/>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character" w:customStyle="1" w:styleId="Hyperlink0">
    <w:name w:val="Hyperlink.0"/>
    <w:basedOn w:val="Hyperlink"/>
    <w:rsid w:val="004237AF"/>
    <w:rPr>
      <w:outline w:val="0"/>
      <w:color w:val="0000FF"/>
      <w:u w:val="single" w:color="0000FF"/>
    </w:rPr>
  </w:style>
  <w:style w:type="paragraph" w:styleId="FootnoteText">
    <w:name w:val="footnote text"/>
    <w:link w:val="FootnoteTextChar"/>
    <w:rsid w:val="004237AF"/>
    <w:pPr>
      <w:pBdr>
        <w:top w:val="nil"/>
        <w:left w:val="nil"/>
        <w:bottom w:val="nil"/>
        <w:right w:val="nil"/>
        <w:between w:val="nil"/>
        <w:bar w:val="nil"/>
      </w:pBdr>
    </w:pPr>
    <w:rPr>
      <w:rFonts w:ascii="Calibri" w:eastAsia="Calibri" w:hAnsi="Calibri" w:cs="Calibri"/>
      <w:color w:val="000000"/>
      <w:sz w:val="20"/>
      <w:szCs w:val="20"/>
      <w:u w:color="000000"/>
      <w:bdr w:val="nil"/>
      <w:lang w:val="en-US" w:eastAsia="en-GB"/>
    </w:rPr>
  </w:style>
  <w:style w:type="character" w:customStyle="1" w:styleId="FootnoteTextChar">
    <w:name w:val="Footnote Text Char"/>
    <w:basedOn w:val="DefaultParagraphFont"/>
    <w:link w:val="FootnoteText"/>
    <w:rsid w:val="004237AF"/>
    <w:rPr>
      <w:rFonts w:ascii="Calibri" w:eastAsia="Calibri" w:hAnsi="Calibri" w:cs="Calibri"/>
      <w:color w:val="000000"/>
      <w:sz w:val="20"/>
      <w:szCs w:val="20"/>
      <w:u w:color="000000"/>
      <w:bdr w:val="nil"/>
      <w:lang w:val="en-US" w:eastAsia="en-GB"/>
    </w:rPr>
  </w:style>
  <w:style w:type="paragraph" w:styleId="ListParagraph">
    <w:name w:val="List Paragraph"/>
    <w:aliases w:val="Numbered list,BLK List Paragraph"/>
    <w:uiPriority w:val="34"/>
    <w:qFormat/>
    <w:rsid w:val="004237AF"/>
    <w:pPr>
      <w:pBdr>
        <w:top w:val="nil"/>
        <w:left w:val="nil"/>
        <w:bottom w:val="nil"/>
        <w:right w:val="nil"/>
        <w:between w:val="nil"/>
        <w:bar w:val="nil"/>
      </w:pBdr>
    </w:pPr>
    <w:rPr>
      <w:rFonts w:ascii="Calibri" w:eastAsia="Arial Unicode MS" w:hAnsi="Calibri" w:cs="Arial Unicode MS"/>
      <w:color w:val="000000"/>
      <w:u w:color="000000"/>
      <w:bdr w:val="nil"/>
      <w:lang w:val="en-US" w:eastAsia="en-GB"/>
    </w:rPr>
  </w:style>
  <w:style w:type="numbering" w:customStyle="1" w:styleId="ImportedStyle4">
    <w:name w:val="Imported Style 4"/>
    <w:rsid w:val="004237AF"/>
    <w:pPr>
      <w:numPr>
        <w:numId w:val="1"/>
      </w:numPr>
    </w:pPr>
  </w:style>
  <w:style w:type="character" w:styleId="FootnoteReference">
    <w:name w:val="footnote reference"/>
    <w:basedOn w:val="DefaultParagraphFont"/>
    <w:uiPriority w:val="99"/>
    <w:semiHidden/>
    <w:unhideWhenUsed/>
    <w:rsid w:val="004237AF"/>
    <w:rPr>
      <w:vertAlign w:val="superscript"/>
    </w:rPr>
  </w:style>
  <w:style w:type="paragraph" w:styleId="NormalWeb">
    <w:name w:val="Normal (Web)"/>
    <w:basedOn w:val="Normal"/>
    <w:uiPriority w:val="99"/>
    <w:unhideWhenUsed/>
    <w:rsid w:val="004237AF"/>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en-GB" w:eastAsia="en-GB"/>
    </w:rPr>
  </w:style>
  <w:style w:type="character" w:styleId="Hyperlink">
    <w:name w:val="Hyperlink"/>
    <w:basedOn w:val="DefaultParagraphFont"/>
    <w:uiPriority w:val="99"/>
    <w:unhideWhenUsed/>
    <w:rsid w:val="004237AF"/>
    <w:rPr>
      <w:color w:val="0563C1" w:themeColor="hyperlink"/>
      <w:u w:val="single"/>
    </w:rPr>
  </w:style>
  <w:style w:type="paragraph" w:styleId="Header">
    <w:name w:val="header"/>
    <w:basedOn w:val="Normal"/>
    <w:link w:val="HeaderChar"/>
    <w:uiPriority w:val="99"/>
    <w:unhideWhenUsed/>
    <w:rsid w:val="00E27050"/>
    <w:pPr>
      <w:tabs>
        <w:tab w:val="center" w:pos="4513"/>
        <w:tab w:val="right" w:pos="9026"/>
      </w:tabs>
    </w:pPr>
  </w:style>
  <w:style w:type="character" w:customStyle="1" w:styleId="HeaderChar">
    <w:name w:val="Header Char"/>
    <w:basedOn w:val="DefaultParagraphFont"/>
    <w:link w:val="Header"/>
    <w:uiPriority w:val="99"/>
    <w:rsid w:val="00E27050"/>
    <w:rPr>
      <w:rFonts w:ascii="Calibri" w:eastAsia="Arial Unicode MS" w:hAnsi="Calibri" w:cs="Calibri"/>
      <w:bdr w:val="nil"/>
      <w:lang w:val="en-US"/>
    </w:rPr>
  </w:style>
  <w:style w:type="paragraph" w:styleId="Footer">
    <w:name w:val="footer"/>
    <w:basedOn w:val="Normal"/>
    <w:link w:val="FooterChar"/>
    <w:uiPriority w:val="99"/>
    <w:unhideWhenUsed/>
    <w:rsid w:val="00E27050"/>
    <w:pPr>
      <w:tabs>
        <w:tab w:val="center" w:pos="4513"/>
        <w:tab w:val="right" w:pos="9026"/>
      </w:tabs>
    </w:pPr>
  </w:style>
  <w:style w:type="character" w:customStyle="1" w:styleId="FooterChar">
    <w:name w:val="Footer Char"/>
    <w:basedOn w:val="DefaultParagraphFont"/>
    <w:link w:val="Footer"/>
    <w:uiPriority w:val="99"/>
    <w:rsid w:val="00E27050"/>
    <w:rPr>
      <w:rFonts w:ascii="Calibri" w:eastAsia="Arial Unicode MS" w:hAnsi="Calibri" w:cs="Calibri"/>
      <w:bdr w:val="nil"/>
      <w:lang w:val="en-US"/>
    </w:rPr>
  </w:style>
  <w:style w:type="numbering" w:customStyle="1" w:styleId="ImportedStyle2">
    <w:name w:val="Imported Style 2"/>
    <w:rsid w:val="00C423F6"/>
    <w:pPr>
      <w:numPr>
        <w:numId w:val="11"/>
      </w:numPr>
    </w:pPr>
  </w:style>
  <w:style w:type="character" w:customStyle="1" w:styleId="Hyperlink1">
    <w:name w:val="Hyperlink.1"/>
    <w:basedOn w:val="Hyperlink0"/>
    <w:rsid w:val="00C423F6"/>
    <w:rPr>
      <w:rFonts w:ascii="Open Sans" w:eastAsia="Open Sans" w:hAnsi="Open Sans" w:cs="Open Sans"/>
      <w:outline w:val="0"/>
      <w:color w:val="0563C1"/>
      <w:u w:val="single" w:color="0563C1"/>
      <w:lang w:val="en-US"/>
    </w:rPr>
  </w:style>
  <w:style w:type="character" w:styleId="UnresolvedMention">
    <w:name w:val="Unresolved Mention"/>
    <w:basedOn w:val="DefaultParagraphFont"/>
    <w:uiPriority w:val="99"/>
    <w:semiHidden/>
    <w:unhideWhenUsed/>
    <w:rsid w:val="00B41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933441">
      <w:bodyDiv w:val="1"/>
      <w:marLeft w:val="0"/>
      <w:marRight w:val="0"/>
      <w:marTop w:val="0"/>
      <w:marBottom w:val="0"/>
      <w:divBdr>
        <w:top w:val="none" w:sz="0" w:space="0" w:color="auto"/>
        <w:left w:val="none" w:sz="0" w:space="0" w:color="auto"/>
        <w:bottom w:val="none" w:sz="0" w:space="0" w:color="auto"/>
        <w:right w:val="none" w:sz="0" w:space="0" w:color="auto"/>
      </w:divBdr>
    </w:div>
    <w:div w:id="619335387">
      <w:bodyDiv w:val="1"/>
      <w:marLeft w:val="0"/>
      <w:marRight w:val="0"/>
      <w:marTop w:val="0"/>
      <w:marBottom w:val="0"/>
      <w:divBdr>
        <w:top w:val="none" w:sz="0" w:space="0" w:color="auto"/>
        <w:left w:val="none" w:sz="0" w:space="0" w:color="auto"/>
        <w:bottom w:val="none" w:sz="0" w:space="0" w:color="auto"/>
        <w:right w:val="none" w:sz="0" w:space="0" w:color="auto"/>
      </w:divBdr>
      <w:divsChild>
        <w:div w:id="13575323">
          <w:marLeft w:val="360"/>
          <w:marRight w:val="0"/>
          <w:marTop w:val="120"/>
          <w:marBottom w:val="120"/>
          <w:divBdr>
            <w:top w:val="none" w:sz="0" w:space="0" w:color="auto"/>
            <w:left w:val="none" w:sz="0" w:space="0" w:color="auto"/>
            <w:bottom w:val="none" w:sz="0" w:space="0" w:color="auto"/>
            <w:right w:val="none" w:sz="0" w:space="0" w:color="auto"/>
          </w:divBdr>
        </w:div>
        <w:div w:id="2134055135">
          <w:marLeft w:val="360"/>
          <w:marRight w:val="0"/>
          <w:marTop w:val="120"/>
          <w:marBottom w:val="120"/>
          <w:divBdr>
            <w:top w:val="none" w:sz="0" w:space="0" w:color="auto"/>
            <w:left w:val="none" w:sz="0" w:space="0" w:color="auto"/>
            <w:bottom w:val="none" w:sz="0" w:space="0" w:color="auto"/>
            <w:right w:val="none" w:sz="0" w:space="0" w:color="auto"/>
          </w:divBdr>
        </w:div>
      </w:divsChild>
    </w:div>
    <w:div w:id="1307122269">
      <w:bodyDiv w:val="1"/>
      <w:marLeft w:val="0"/>
      <w:marRight w:val="0"/>
      <w:marTop w:val="0"/>
      <w:marBottom w:val="0"/>
      <w:divBdr>
        <w:top w:val="none" w:sz="0" w:space="0" w:color="auto"/>
        <w:left w:val="none" w:sz="0" w:space="0" w:color="auto"/>
        <w:bottom w:val="none" w:sz="0" w:space="0" w:color="auto"/>
        <w:right w:val="none" w:sz="0" w:space="0" w:color="auto"/>
      </w:divBdr>
      <w:divsChild>
        <w:div w:id="1254511518">
          <w:marLeft w:val="360"/>
          <w:marRight w:val="0"/>
          <w:marTop w:val="120"/>
          <w:marBottom w:val="120"/>
          <w:divBdr>
            <w:top w:val="none" w:sz="0" w:space="0" w:color="auto"/>
            <w:left w:val="none" w:sz="0" w:space="0" w:color="auto"/>
            <w:bottom w:val="none" w:sz="0" w:space="0" w:color="auto"/>
            <w:right w:val="none" w:sz="0" w:space="0" w:color="auto"/>
          </w:divBdr>
        </w:div>
        <w:div w:id="1743747873">
          <w:marLeft w:val="360"/>
          <w:marRight w:val="0"/>
          <w:marTop w:val="120"/>
          <w:marBottom w:val="120"/>
          <w:divBdr>
            <w:top w:val="none" w:sz="0" w:space="0" w:color="auto"/>
            <w:left w:val="none" w:sz="0" w:space="0" w:color="auto"/>
            <w:bottom w:val="none" w:sz="0" w:space="0" w:color="auto"/>
            <w:right w:val="none" w:sz="0" w:space="0" w:color="auto"/>
          </w:divBdr>
        </w:div>
      </w:divsChild>
    </w:div>
    <w:div w:id="1826824659">
      <w:bodyDiv w:val="1"/>
      <w:marLeft w:val="0"/>
      <w:marRight w:val="0"/>
      <w:marTop w:val="0"/>
      <w:marBottom w:val="0"/>
      <w:divBdr>
        <w:top w:val="none" w:sz="0" w:space="0" w:color="auto"/>
        <w:left w:val="none" w:sz="0" w:space="0" w:color="auto"/>
        <w:bottom w:val="none" w:sz="0" w:space="0" w:color="auto"/>
        <w:right w:val="none" w:sz="0" w:space="0" w:color="auto"/>
      </w:divBdr>
      <w:divsChild>
        <w:div w:id="319621707">
          <w:marLeft w:val="108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nergy-white-paper-powering-our-net-zero-futur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nsultations/amending-the-renewable-transport-fuels-obligation-rtfo-to-increase-carbon-savings-on-land-air-and-at-se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nsultations/amending-the-renewable-transport-fuels-obligation-rtfo-to-increase-carbon-savings-on-land-air-and-at-se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mwi.de/Redaktion/EN/Publikationen/Energie/the-national-hydrogen-strategy.pdf?__blob=publicationFile&amp;v=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42616/CFD_RO_FIT_Exemption_Guidance_Revised_December_2020.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ertifhy.eu/images/media/files/CertifHy_Presentation_19_10_2016_final_Definition_of_Premium_Hydrog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C03EC-4B5E-4BCF-A4E5-A8C4E153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Zennaro</dc:creator>
  <cp:keywords/>
  <dc:description/>
  <cp:lastModifiedBy>Kiara Zennaro</cp:lastModifiedBy>
  <cp:revision>3</cp:revision>
  <dcterms:created xsi:type="dcterms:W3CDTF">2021-04-20T19:08:00Z</dcterms:created>
  <dcterms:modified xsi:type="dcterms:W3CDTF">2021-04-20T19:15:00Z</dcterms:modified>
</cp:coreProperties>
</file>