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E0369" w14:textId="7B4F7DED" w:rsidR="00C15AF3" w:rsidRPr="00D77BDC" w:rsidRDefault="00C15AF3" w:rsidP="00D77BDC">
      <w:pPr>
        <w:spacing w:after="0" w:line="240" w:lineRule="auto"/>
        <w:jc w:val="center"/>
        <w:rPr>
          <w:rFonts w:ascii="Open Sans" w:hAnsi="Open Sans" w:cs="Open Sans"/>
          <w:b/>
          <w:bCs/>
          <w:color w:val="06926B"/>
          <w:sz w:val="28"/>
          <w:szCs w:val="28"/>
        </w:rPr>
      </w:pPr>
      <w:r w:rsidRPr="00D77BDC">
        <w:rPr>
          <w:rFonts w:ascii="Open Sans" w:hAnsi="Open Sans" w:cs="Open Sans"/>
          <w:b/>
          <w:bCs/>
          <w:color w:val="06926B"/>
          <w:sz w:val="28"/>
          <w:szCs w:val="28"/>
        </w:rPr>
        <w:t>REA Response</w:t>
      </w:r>
      <w:r w:rsidR="00D77BDC" w:rsidRPr="00D77BDC">
        <w:rPr>
          <w:rFonts w:ascii="Open Sans" w:hAnsi="Open Sans" w:cs="Open Sans"/>
          <w:b/>
          <w:bCs/>
          <w:color w:val="06926B"/>
          <w:sz w:val="28"/>
          <w:szCs w:val="28"/>
        </w:rPr>
        <w:t>:</w:t>
      </w:r>
    </w:p>
    <w:p w14:paraId="646E97E4" w14:textId="405C0D10" w:rsidR="00ED0279" w:rsidRPr="00D77BDC" w:rsidRDefault="00C15AF3" w:rsidP="00D77BDC">
      <w:pPr>
        <w:spacing w:after="0" w:line="240" w:lineRule="auto"/>
        <w:jc w:val="center"/>
        <w:rPr>
          <w:rFonts w:ascii="Open Sans" w:hAnsi="Open Sans" w:cs="Open Sans"/>
          <w:b/>
          <w:bCs/>
          <w:color w:val="06926B"/>
          <w:sz w:val="28"/>
          <w:szCs w:val="28"/>
        </w:rPr>
      </w:pPr>
      <w:r w:rsidRPr="00D77BDC">
        <w:rPr>
          <w:rFonts w:ascii="Open Sans" w:hAnsi="Open Sans" w:cs="Open Sans"/>
          <w:b/>
          <w:bCs/>
          <w:color w:val="06926B"/>
          <w:sz w:val="28"/>
          <w:szCs w:val="28"/>
        </w:rPr>
        <w:t xml:space="preserve">Role of Biomass in Achieving </w:t>
      </w:r>
      <w:r w:rsidR="00E46AED">
        <w:rPr>
          <w:rFonts w:ascii="Open Sans" w:hAnsi="Open Sans" w:cs="Open Sans"/>
          <w:b/>
          <w:bCs/>
          <w:color w:val="06926B"/>
          <w:sz w:val="28"/>
          <w:szCs w:val="28"/>
        </w:rPr>
        <w:t>N</w:t>
      </w:r>
      <w:r w:rsidRPr="00D77BDC">
        <w:rPr>
          <w:rFonts w:ascii="Open Sans" w:hAnsi="Open Sans" w:cs="Open Sans"/>
          <w:b/>
          <w:bCs/>
          <w:color w:val="06926B"/>
          <w:sz w:val="28"/>
          <w:szCs w:val="28"/>
        </w:rPr>
        <w:t xml:space="preserve">et </w:t>
      </w:r>
      <w:r w:rsidR="00E46AED">
        <w:rPr>
          <w:rFonts w:ascii="Open Sans" w:hAnsi="Open Sans" w:cs="Open Sans"/>
          <w:b/>
          <w:bCs/>
          <w:color w:val="06926B"/>
          <w:sz w:val="28"/>
          <w:szCs w:val="28"/>
        </w:rPr>
        <w:t>Z</w:t>
      </w:r>
      <w:r w:rsidRPr="00D77BDC">
        <w:rPr>
          <w:rFonts w:ascii="Open Sans" w:hAnsi="Open Sans" w:cs="Open Sans"/>
          <w:b/>
          <w:bCs/>
          <w:color w:val="06926B"/>
          <w:sz w:val="28"/>
          <w:szCs w:val="28"/>
        </w:rPr>
        <w:t xml:space="preserve">ero: </w:t>
      </w:r>
      <w:r w:rsidR="00D77BDC" w:rsidRPr="00D77BDC">
        <w:rPr>
          <w:rFonts w:ascii="Open Sans" w:hAnsi="Open Sans" w:cs="Open Sans"/>
          <w:b/>
          <w:bCs/>
          <w:color w:val="06926B"/>
          <w:sz w:val="28"/>
          <w:szCs w:val="28"/>
        </w:rPr>
        <w:t>C</w:t>
      </w:r>
      <w:r w:rsidRPr="00D77BDC">
        <w:rPr>
          <w:rFonts w:ascii="Open Sans" w:hAnsi="Open Sans" w:cs="Open Sans"/>
          <w:b/>
          <w:bCs/>
          <w:color w:val="06926B"/>
          <w:sz w:val="28"/>
          <w:szCs w:val="28"/>
        </w:rPr>
        <w:t xml:space="preserve">all for </w:t>
      </w:r>
      <w:r w:rsidR="00D77BDC" w:rsidRPr="00D77BDC">
        <w:rPr>
          <w:rFonts w:ascii="Open Sans" w:hAnsi="Open Sans" w:cs="Open Sans"/>
          <w:b/>
          <w:bCs/>
          <w:color w:val="06926B"/>
          <w:sz w:val="28"/>
          <w:szCs w:val="28"/>
        </w:rPr>
        <w:t>Evidence.</w:t>
      </w:r>
    </w:p>
    <w:p w14:paraId="700B03E7" w14:textId="77777777" w:rsidR="00D77BDC" w:rsidRPr="00D77BDC" w:rsidRDefault="00D77BDC" w:rsidP="00D77BDC">
      <w:pPr>
        <w:spacing w:after="0" w:line="240" w:lineRule="auto"/>
        <w:jc w:val="center"/>
        <w:rPr>
          <w:rFonts w:ascii="Open Sans" w:hAnsi="Open Sans" w:cs="Open Sans"/>
          <w:b/>
          <w:bCs/>
          <w:i/>
          <w:iCs/>
          <w:sz w:val="20"/>
          <w:szCs w:val="20"/>
        </w:rPr>
      </w:pPr>
    </w:p>
    <w:p w14:paraId="710BA577" w14:textId="7ADFF9F1" w:rsidR="00562759" w:rsidRPr="00562759" w:rsidRDefault="00562759" w:rsidP="00562759">
      <w:pPr>
        <w:rPr>
          <w:rFonts w:ascii="Open Sans" w:hAnsi="Open Sans" w:cs="Open Sans"/>
          <w:b/>
          <w:bCs/>
          <w:color w:val="2F5496"/>
          <w:sz w:val="20"/>
          <w:szCs w:val="20"/>
        </w:rPr>
      </w:pPr>
      <w:r>
        <w:rPr>
          <w:rFonts w:ascii="Open Sans" w:hAnsi="Open Sans" w:cs="Open Sans"/>
          <w:b/>
          <w:bCs/>
          <w:color w:val="2F5496"/>
          <w:sz w:val="20"/>
          <w:szCs w:val="20"/>
        </w:rPr>
        <w:t xml:space="preserve">1. </w:t>
      </w:r>
      <w:r w:rsidRPr="00562759">
        <w:rPr>
          <w:rFonts w:ascii="Open Sans" w:hAnsi="Open Sans" w:cs="Open Sans"/>
          <w:b/>
          <w:bCs/>
          <w:color w:val="2F5496"/>
          <w:sz w:val="20"/>
          <w:szCs w:val="20"/>
        </w:rPr>
        <w:t>Do you give permission for your evidence to be shared with third party contractors for the purpose of analysis</w:t>
      </w:r>
    </w:p>
    <w:p w14:paraId="7E71673E" w14:textId="5A870AA4" w:rsidR="00562759" w:rsidRPr="00562759" w:rsidRDefault="00562759">
      <w:pPr>
        <w:rPr>
          <w:rFonts w:ascii="Open Sans" w:hAnsi="Open Sans" w:cs="Open Sans"/>
          <w:sz w:val="20"/>
          <w:szCs w:val="20"/>
        </w:rPr>
      </w:pPr>
      <w:r w:rsidRPr="00562759">
        <w:rPr>
          <w:rFonts w:ascii="Open Sans" w:hAnsi="Open Sans" w:cs="Open Sans"/>
          <w:sz w:val="20"/>
          <w:szCs w:val="20"/>
        </w:rPr>
        <w:t>Yes.</w:t>
      </w:r>
    </w:p>
    <w:p w14:paraId="679B04BA" w14:textId="41A5CE6C" w:rsidR="00614103" w:rsidRPr="00614103" w:rsidRDefault="00614103">
      <w:pPr>
        <w:rPr>
          <w:rFonts w:ascii="Open Sans" w:hAnsi="Open Sans" w:cs="Open Sans"/>
          <w:b/>
          <w:bCs/>
          <w:color w:val="2F5496"/>
          <w:sz w:val="24"/>
          <w:szCs w:val="24"/>
          <w:u w:val="single"/>
        </w:rPr>
      </w:pPr>
      <w:r w:rsidRPr="00614103">
        <w:rPr>
          <w:rFonts w:ascii="Open Sans" w:hAnsi="Open Sans" w:cs="Open Sans"/>
          <w:b/>
          <w:bCs/>
          <w:color w:val="2F5496"/>
          <w:sz w:val="24"/>
          <w:szCs w:val="24"/>
          <w:u w:val="single"/>
        </w:rPr>
        <w:t>Chapter 1: Biomass Availability</w:t>
      </w:r>
    </w:p>
    <w:p w14:paraId="63CF749A" w14:textId="1DA8964F" w:rsidR="00ED0279" w:rsidRPr="00923427" w:rsidRDefault="00ED0279">
      <w:pPr>
        <w:rPr>
          <w:rFonts w:ascii="Open Sans" w:hAnsi="Open Sans" w:cs="Open Sans"/>
          <w:b/>
          <w:bCs/>
          <w:color w:val="2F5496"/>
          <w:sz w:val="20"/>
          <w:szCs w:val="20"/>
        </w:rPr>
      </w:pPr>
      <w:r w:rsidRPr="00923427">
        <w:rPr>
          <w:rFonts w:ascii="Open Sans" w:hAnsi="Open Sans" w:cs="Open Sans"/>
          <w:b/>
          <w:bCs/>
          <w:color w:val="2F5496"/>
          <w:sz w:val="20"/>
          <w:szCs w:val="20"/>
        </w:rPr>
        <w:t>2. What is the potential size, location and makeup of the sustainable domestic biomass resource that could be derived from the a) waste, b) forestry, c) agricultural sectors, and d) from any other sources (including novel biomass feedstocks, such as algae) in the UK? How might this change as we reach 2050?</w:t>
      </w:r>
    </w:p>
    <w:p w14:paraId="7F22D1F8" w14:textId="0B809DD1" w:rsidR="00C846A6" w:rsidRPr="00923427" w:rsidRDefault="00ED0279" w:rsidP="00D2531D">
      <w:pPr>
        <w:rPr>
          <w:rFonts w:ascii="Open Sans" w:hAnsi="Open Sans" w:cs="Open Sans"/>
          <w:sz w:val="20"/>
          <w:szCs w:val="20"/>
        </w:rPr>
      </w:pPr>
      <w:r w:rsidRPr="00923427">
        <w:rPr>
          <w:rFonts w:ascii="Open Sans" w:hAnsi="Open Sans" w:cs="Open Sans"/>
          <w:sz w:val="20"/>
          <w:szCs w:val="20"/>
        </w:rPr>
        <w:t>As BEIS will be aware</w:t>
      </w:r>
      <w:r w:rsidR="002554EB">
        <w:rPr>
          <w:rFonts w:ascii="Open Sans" w:hAnsi="Open Sans" w:cs="Open Sans"/>
          <w:sz w:val="20"/>
          <w:szCs w:val="20"/>
        </w:rPr>
        <w:t>,</w:t>
      </w:r>
      <w:r w:rsidRPr="00923427">
        <w:rPr>
          <w:rFonts w:ascii="Open Sans" w:hAnsi="Open Sans" w:cs="Open Sans"/>
          <w:sz w:val="20"/>
          <w:szCs w:val="20"/>
        </w:rPr>
        <w:t xml:space="preserve"> it is difficult to provide </w:t>
      </w:r>
      <w:r w:rsidR="00F87BE2" w:rsidRPr="00923427">
        <w:rPr>
          <w:rFonts w:ascii="Open Sans" w:hAnsi="Open Sans" w:cs="Open Sans"/>
          <w:sz w:val="20"/>
          <w:szCs w:val="20"/>
        </w:rPr>
        <w:t xml:space="preserve">comprehensive figures that fully demonstrate biomass availability across all bioenergy feedstocks. Below we provide a list of useful resources </w:t>
      </w:r>
      <w:r w:rsidR="00392433" w:rsidRPr="00923427">
        <w:rPr>
          <w:rFonts w:ascii="Open Sans" w:hAnsi="Open Sans" w:cs="Open Sans"/>
          <w:sz w:val="20"/>
          <w:szCs w:val="20"/>
        </w:rPr>
        <w:t>whi</w:t>
      </w:r>
      <w:r w:rsidR="00562759" w:rsidRPr="00923427">
        <w:rPr>
          <w:rFonts w:ascii="Open Sans" w:hAnsi="Open Sans" w:cs="Open Sans"/>
          <w:sz w:val="20"/>
          <w:szCs w:val="20"/>
        </w:rPr>
        <w:t>ch</w:t>
      </w:r>
      <w:r w:rsidR="00392433" w:rsidRPr="00923427">
        <w:rPr>
          <w:rFonts w:ascii="Open Sans" w:hAnsi="Open Sans" w:cs="Open Sans"/>
          <w:sz w:val="20"/>
          <w:szCs w:val="20"/>
        </w:rPr>
        <w:t xml:space="preserve"> provide </w:t>
      </w:r>
      <w:r w:rsidR="00562759" w:rsidRPr="00923427">
        <w:rPr>
          <w:rFonts w:ascii="Open Sans" w:hAnsi="Open Sans" w:cs="Open Sans"/>
          <w:sz w:val="20"/>
          <w:szCs w:val="20"/>
        </w:rPr>
        <w:t>a strong</w:t>
      </w:r>
      <w:r w:rsidR="00392433" w:rsidRPr="00923427">
        <w:rPr>
          <w:rFonts w:ascii="Open Sans" w:hAnsi="Open Sans" w:cs="Open Sans"/>
          <w:sz w:val="20"/>
          <w:szCs w:val="20"/>
        </w:rPr>
        <w:t xml:space="preserve"> basis for understanding </w:t>
      </w:r>
      <w:r w:rsidR="00882FC4" w:rsidRPr="00923427">
        <w:rPr>
          <w:rFonts w:ascii="Open Sans" w:hAnsi="Open Sans" w:cs="Open Sans"/>
          <w:sz w:val="20"/>
          <w:szCs w:val="20"/>
        </w:rPr>
        <w:t xml:space="preserve">the extent of </w:t>
      </w:r>
      <w:r w:rsidR="00392433" w:rsidRPr="00923427">
        <w:rPr>
          <w:rFonts w:ascii="Open Sans" w:hAnsi="Open Sans" w:cs="Open Sans"/>
          <w:sz w:val="20"/>
          <w:szCs w:val="20"/>
        </w:rPr>
        <w:t>biomass availability</w:t>
      </w:r>
      <w:r w:rsidR="00C846A6" w:rsidRPr="00923427">
        <w:rPr>
          <w:rFonts w:ascii="Open Sans" w:hAnsi="Open Sans" w:cs="Open Sans"/>
          <w:sz w:val="20"/>
          <w:szCs w:val="20"/>
        </w:rPr>
        <w:t xml:space="preserve">. </w:t>
      </w:r>
      <w:r w:rsidR="00882FC4" w:rsidRPr="00923427">
        <w:rPr>
          <w:rFonts w:ascii="Open Sans" w:hAnsi="Open Sans" w:cs="Open Sans"/>
          <w:sz w:val="20"/>
          <w:szCs w:val="20"/>
        </w:rPr>
        <w:t xml:space="preserve"> </w:t>
      </w:r>
    </w:p>
    <w:p w14:paraId="6A26C254" w14:textId="5D778905" w:rsidR="002A7067" w:rsidRPr="00923427" w:rsidRDefault="002A7067" w:rsidP="00C846A6">
      <w:pPr>
        <w:rPr>
          <w:rFonts w:ascii="Open Sans" w:hAnsi="Open Sans" w:cs="Open Sans"/>
          <w:b/>
          <w:bCs/>
          <w:i/>
          <w:iCs/>
          <w:sz w:val="20"/>
          <w:szCs w:val="20"/>
        </w:rPr>
      </w:pPr>
      <w:r w:rsidRPr="00923427">
        <w:rPr>
          <w:rFonts w:ascii="Open Sans" w:hAnsi="Open Sans" w:cs="Open Sans"/>
          <w:b/>
          <w:bCs/>
          <w:i/>
          <w:iCs/>
          <w:sz w:val="20"/>
          <w:szCs w:val="20"/>
        </w:rPr>
        <w:t xml:space="preserve">Overly conservative estimates </w:t>
      </w:r>
      <w:r w:rsidR="000514EB" w:rsidRPr="00923427">
        <w:rPr>
          <w:rFonts w:ascii="Open Sans" w:hAnsi="Open Sans" w:cs="Open Sans"/>
          <w:b/>
          <w:bCs/>
          <w:i/>
          <w:iCs/>
          <w:sz w:val="20"/>
          <w:szCs w:val="20"/>
        </w:rPr>
        <w:t>for</w:t>
      </w:r>
      <w:r w:rsidRPr="00923427">
        <w:rPr>
          <w:rFonts w:ascii="Open Sans" w:hAnsi="Open Sans" w:cs="Open Sans"/>
          <w:b/>
          <w:bCs/>
          <w:i/>
          <w:iCs/>
          <w:sz w:val="20"/>
          <w:szCs w:val="20"/>
        </w:rPr>
        <w:t xml:space="preserve"> </w:t>
      </w:r>
      <w:r w:rsidR="000514EB" w:rsidRPr="00923427">
        <w:rPr>
          <w:rFonts w:ascii="Open Sans" w:hAnsi="Open Sans" w:cs="Open Sans"/>
          <w:b/>
          <w:bCs/>
          <w:i/>
          <w:iCs/>
          <w:sz w:val="20"/>
          <w:szCs w:val="20"/>
        </w:rPr>
        <w:t>b</w:t>
      </w:r>
      <w:r w:rsidRPr="00923427">
        <w:rPr>
          <w:rFonts w:ascii="Open Sans" w:hAnsi="Open Sans" w:cs="Open Sans"/>
          <w:b/>
          <w:bCs/>
          <w:i/>
          <w:iCs/>
          <w:sz w:val="20"/>
          <w:szCs w:val="20"/>
        </w:rPr>
        <w:t xml:space="preserve">iomass availability </w:t>
      </w:r>
      <w:r w:rsidR="000514EB" w:rsidRPr="00923427">
        <w:rPr>
          <w:rFonts w:ascii="Open Sans" w:hAnsi="Open Sans" w:cs="Open Sans"/>
          <w:b/>
          <w:bCs/>
          <w:i/>
          <w:iCs/>
          <w:sz w:val="20"/>
          <w:szCs w:val="20"/>
        </w:rPr>
        <w:t xml:space="preserve">do not reflect </w:t>
      </w:r>
      <w:r w:rsidR="008F79B2" w:rsidRPr="00923427">
        <w:rPr>
          <w:rFonts w:ascii="Open Sans" w:hAnsi="Open Sans" w:cs="Open Sans"/>
          <w:b/>
          <w:bCs/>
          <w:i/>
          <w:iCs/>
          <w:sz w:val="20"/>
          <w:szCs w:val="20"/>
        </w:rPr>
        <w:t>reality.</w:t>
      </w:r>
    </w:p>
    <w:p w14:paraId="1B15293B" w14:textId="56E26734" w:rsidR="00C846A6" w:rsidRPr="00923427" w:rsidRDefault="00D2531D" w:rsidP="00C846A6">
      <w:pPr>
        <w:rPr>
          <w:rFonts w:ascii="Open Sans" w:hAnsi="Open Sans" w:cs="Open Sans"/>
          <w:sz w:val="20"/>
          <w:szCs w:val="20"/>
        </w:rPr>
      </w:pPr>
      <w:r w:rsidRPr="00923427">
        <w:rPr>
          <w:rFonts w:ascii="Open Sans" w:hAnsi="Open Sans" w:cs="Open Sans"/>
          <w:sz w:val="20"/>
          <w:szCs w:val="20"/>
        </w:rPr>
        <w:t>Biomass is</w:t>
      </w:r>
      <w:r w:rsidR="00C846A6" w:rsidRPr="00923427">
        <w:rPr>
          <w:rFonts w:ascii="Open Sans" w:hAnsi="Open Sans" w:cs="Open Sans"/>
          <w:sz w:val="20"/>
          <w:szCs w:val="20"/>
        </w:rPr>
        <w:t xml:space="preserve"> a</w:t>
      </w:r>
      <w:r w:rsidRPr="00923427">
        <w:rPr>
          <w:rFonts w:ascii="Open Sans" w:hAnsi="Open Sans" w:cs="Open Sans"/>
          <w:sz w:val="20"/>
          <w:szCs w:val="20"/>
        </w:rPr>
        <w:t xml:space="preserve"> limited resource, but </w:t>
      </w:r>
      <w:r w:rsidR="00C846A6" w:rsidRPr="00923427">
        <w:rPr>
          <w:rFonts w:ascii="Open Sans" w:hAnsi="Open Sans" w:cs="Open Sans"/>
          <w:sz w:val="20"/>
          <w:szCs w:val="20"/>
        </w:rPr>
        <w:t xml:space="preserve">that is not the same as being scarce. As indicated by the question, there are a wide variety of supply chains, all of which are also subject to commercial </w:t>
      </w:r>
      <w:r w:rsidR="002554EB">
        <w:rPr>
          <w:rFonts w:ascii="Open Sans" w:hAnsi="Open Sans" w:cs="Open Sans"/>
          <w:sz w:val="20"/>
          <w:szCs w:val="20"/>
        </w:rPr>
        <w:t>market dynamics</w:t>
      </w:r>
      <w:r w:rsidR="00C846A6" w:rsidRPr="00923427">
        <w:rPr>
          <w:rFonts w:ascii="Open Sans" w:hAnsi="Open Sans" w:cs="Open Sans"/>
          <w:sz w:val="20"/>
          <w:szCs w:val="20"/>
        </w:rPr>
        <w:t xml:space="preserve"> that sees demand drive availability. It is unlikely that any modelling done today will fully reflect possible biomass availability in the future, as supply chains innovate, and demand drives further biomass production. As such</w:t>
      </w:r>
      <w:r w:rsidR="00562759" w:rsidRPr="00923427">
        <w:rPr>
          <w:rFonts w:ascii="Open Sans" w:hAnsi="Open Sans" w:cs="Open Sans"/>
          <w:sz w:val="20"/>
          <w:szCs w:val="20"/>
        </w:rPr>
        <w:t>,</w:t>
      </w:r>
      <w:r w:rsidR="00C846A6" w:rsidRPr="00923427">
        <w:rPr>
          <w:rFonts w:ascii="Open Sans" w:hAnsi="Open Sans" w:cs="Open Sans"/>
          <w:sz w:val="20"/>
          <w:szCs w:val="20"/>
        </w:rPr>
        <w:t xml:space="preserve"> we caution against government assuming overly conservative estimates of biomass availability which are neither apparent in the industry today or supported by different feedstock availability models. </w:t>
      </w:r>
      <w:r w:rsidR="00562759" w:rsidRPr="00923427">
        <w:rPr>
          <w:rFonts w:ascii="Open Sans" w:hAnsi="Open Sans" w:cs="Open Sans"/>
          <w:sz w:val="20"/>
          <w:szCs w:val="20"/>
        </w:rPr>
        <w:t>Instead,</w:t>
      </w:r>
      <w:r w:rsidR="00C846A6" w:rsidRPr="00923427">
        <w:rPr>
          <w:rFonts w:ascii="Open Sans" w:hAnsi="Open Sans" w:cs="Open Sans"/>
          <w:sz w:val="20"/>
          <w:szCs w:val="20"/>
        </w:rPr>
        <w:t xml:space="preserve"> strong sustainability governance arrangements, as are already in place, should be relied upon to ensure </w:t>
      </w:r>
      <w:r w:rsidR="006A1105" w:rsidRPr="00923427">
        <w:rPr>
          <w:rFonts w:ascii="Open Sans" w:hAnsi="Open Sans" w:cs="Open Sans"/>
          <w:sz w:val="20"/>
          <w:szCs w:val="20"/>
        </w:rPr>
        <w:t>biomass is being used correctly</w:t>
      </w:r>
      <w:r w:rsidR="00562759" w:rsidRPr="00923427">
        <w:rPr>
          <w:rFonts w:ascii="Open Sans" w:hAnsi="Open Sans" w:cs="Open Sans"/>
          <w:sz w:val="20"/>
          <w:szCs w:val="20"/>
        </w:rPr>
        <w:t xml:space="preserve">, with the </w:t>
      </w:r>
      <w:r w:rsidR="006A1105" w:rsidRPr="00923427">
        <w:rPr>
          <w:rFonts w:ascii="Open Sans" w:hAnsi="Open Sans" w:cs="Open Sans"/>
          <w:sz w:val="20"/>
          <w:szCs w:val="20"/>
        </w:rPr>
        <w:t xml:space="preserve">market </w:t>
      </w:r>
      <w:r w:rsidR="00562759" w:rsidRPr="00923427">
        <w:rPr>
          <w:rFonts w:ascii="Open Sans" w:hAnsi="Open Sans" w:cs="Open Sans"/>
          <w:sz w:val="20"/>
          <w:szCs w:val="20"/>
        </w:rPr>
        <w:t>being</w:t>
      </w:r>
      <w:r w:rsidR="006A1105" w:rsidRPr="00923427">
        <w:rPr>
          <w:rFonts w:ascii="Open Sans" w:hAnsi="Open Sans" w:cs="Open Sans"/>
          <w:sz w:val="20"/>
          <w:szCs w:val="20"/>
        </w:rPr>
        <w:t xml:space="preserve"> able </w:t>
      </w:r>
      <w:r w:rsidR="002554EB">
        <w:rPr>
          <w:rFonts w:ascii="Open Sans" w:hAnsi="Open Sans" w:cs="Open Sans"/>
          <w:sz w:val="20"/>
          <w:szCs w:val="20"/>
        </w:rPr>
        <w:t>direct</w:t>
      </w:r>
      <w:r w:rsidR="006A1105" w:rsidRPr="00923427">
        <w:rPr>
          <w:rFonts w:ascii="Open Sans" w:hAnsi="Open Sans" w:cs="Open Sans"/>
          <w:sz w:val="20"/>
          <w:szCs w:val="20"/>
        </w:rPr>
        <w:t xml:space="preserve"> where within the bioenergy industry different feedstocks are best used. </w:t>
      </w:r>
      <w:r w:rsidR="00C846A6" w:rsidRPr="00923427">
        <w:rPr>
          <w:rFonts w:ascii="Open Sans" w:hAnsi="Open Sans" w:cs="Open Sans"/>
          <w:sz w:val="20"/>
          <w:szCs w:val="20"/>
        </w:rPr>
        <w:t xml:space="preserve"> </w:t>
      </w:r>
    </w:p>
    <w:p w14:paraId="57D838BB" w14:textId="682405E7" w:rsidR="002E3E13" w:rsidRPr="00923427" w:rsidRDefault="002E3E13" w:rsidP="00D2531D">
      <w:pPr>
        <w:rPr>
          <w:rFonts w:ascii="Open Sans" w:hAnsi="Open Sans" w:cs="Open Sans"/>
          <w:b/>
          <w:bCs/>
          <w:i/>
          <w:iCs/>
          <w:sz w:val="20"/>
          <w:szCs w:val="20"/>
        </w:rPr>
      </w:pPr>
      <w:r w:rsidRPr="00923427">
        <w:rPr>
          <w:rFonts w:ascii="Open Sans" w:hAnsi="Open Sans" w:cs="Open Sans"/>
          <w:b/>
          <w:bCs/>
          <w:i/>
          <w:iCs/>
          <w:sz w:val="20"/>
          <w:szCs w:val="20"/>
        </w:rPr>
        <w:t xml:space="preserve">Current </w:t>
      </w:r>
      <w:r w:rsidR="000514EB" w:rsidRPr="00923427">
        <w:rPr>
          <w:rFonts w:ascii="Open Sans" w:hAnsi="Open Sans" w:cs="Open Sans"/>
          <w:b/>
          <w:bCs/>
          <w:i/>
          <w:iCs/>
          <w:sz w:val="20"/>
          <w:szCs w:val="20"/>
        </w:rPr>
        <w:t>m</w:t>
      </w:r>
      <w:r w:rsidRPr="00923427">
        <w:rPr>
          <w:rFonts w:ascii="Open Sans" w:hAnsi="Open Sans" w:cs="Open Sans"/>
          <w:b/>
          <w:bCs/>
          <w:i/>
          <w:iCs/>
          <w:sz w:val="20"/>
          <w:szCs w:val="20"/>
        </w:rPr>
        <w:t xml:space="preserve">odelled </w:t>
      </w:r>
      <w:r w:rsidR="000514EB" w:rsidRPr="00923427">
        <w:rPr>
          <w:rFonts w:ascii="Open Sans" w:hAnsi="Open Sans" w:cs="Open Sans"/>
          <w:b/>
          <w:bCs/>
          <w:i/>
          <w:iCs/>
          <w:sz w:val="20"/>
          <w:szCs w:val="20"/>
        </w:rPr>
        <w:t>d</w:t>
      </w:r>
      <w:r w:rsidRPr="00923427">
        <w:rPr>
          <w:rFonts w:ascii="Open Sans" w:hAnsi="Open Sans" w:cs="Open Sans"/>
          <w:b/>
          <w:bCs/>
          <w:i/>
          <w:iCs/>
          <w:sz w:val="20"/>
          <w:szCs w:val="20"/>
        </w:rPr>
        <w:t xml:space="preserve">omestic and </w:t>
      </w:r>
      <w:r w:rsidR="000514EB" w:rsidRPr="00923427">
        <w:rPr>
          <w:rFonts w:ascii="Open Sans" w:hAnsi="Open Sans" w:cs="Open Sans"/>
          <w:b/>
          <w:bCs/>
          <w:i/>
          <w:iCs/>
          <w:sz w:val="20"/>
          <w:szCs w:val="20"/>
        </w:rPr>
        <w:t>i</w:t>
      </w:r>
      <w:r w:rsidRPr="00923427">
        <w:rPr>
          <w:rFonts w:ascii="Open Sans" w:hAnsi="Open Sans" w:cs="Open Sans"/>
          <w:b/>
          <w:bCs/>
          <w:i/>
          <w:iCs/>
          <w:sz w:val="20"/>
          <w:szCs w:val="20"/>
        </w:rPr>
        <w:t xml:space="preserve">nternational </w:t>
      </w:r>
      <w:r w:rsidR="000514EB" w:rsidRPr="00923427">
        <w:rPr>
          <w:rFonts w:ascii="Open Sans" w:hAnsi="Open Sans" w:cs="Open Sans"/>
          <w:b/>
          <w:bCs/>
          <w:i/>
          <w:iCs/>
          <w:sz w:val="20"/>
          <w:szCs w:val="20"/>
        </w:rPr>
        <w:t>s</w:t>
      </w:r>
      <w:r w:rsidRPr="00923427">
        <w:rPr>
          <w:rFonts w:ascii="Open Sans" w:hAnsi="Open Sans" w:cs="Open Sans"/>
          <w:b/>
          <w:bCs/>
          <w:i/>
          <w:iCs/>
          <w:sz w:val="20"/>
          <w:szCs w:val="20"/>
        </w:rPr>
        <w:t xml:space="preserve">upply can </w:t>
      </w:r>
      <w:r w:rsidR="000514EB" w:rsidRPr="00923427">
        <w:rPr>
          <w:rFonts w:ascii="Open Sans" w:hAnsi="Open Sans" w:cs="Open Sans"/>
          <w:b/>
          <w:bCs/>
          <w:i/>
          <w:iCs/>
          <w:sz w:val="20"/>
          <w:szCs w:val="20"/>
        </w:rPr>
        <w:t>m</w:t>
      </w:r>
      <w:r w:rsidRPr="00923427">
        <w:rPr>
          <w:rFonts w:ascii="Open Sans" w:hAnsi="Open Sans" w:cs="Open Sans"/>
          <w:b/>
          <w:bCs/>
          <w:i/>
          <w:iCs/>
          <w:sz w:val="20"/>
          <w:szCs w:val="20"/>
        </w:rPr>
        <w:t xml:space="preserve">eet </w:t>
      </w:r>
      <w:r w:rsidR="000514EB" w:rsidRPr="00923427">
        <w:rPr>
          <w:rFonts w:ascii="Open Sans" w:hAnsi="Open Sans" w:cs="Open Sans"/>
          <w:b/>
          <w:bCs/>
          <w:i/>
          <w:iCs/>
          <w:sz w:val="20"/>
          <w:szCs w:val="20"/>
        </w:rPr>
        <w:t>f</w:t>
      </w:r>
      <w:r w:rsidRPr="00923427">
        <w:rPr>
          <w:rFonts w:ascii="Open Sans" w:hAnsi="Open Sans" w:cs="Open Sans"/>
          <w:b/>
          <w:bCs/>
          <w:i/>
          <w:iCs/>
          <w:sz w:val="20"/>
          <w:szCs w:val="20"/>
        </w:rPr>
        <w:t xml:space="preserve">uture </w:t>
      </w:r>
      <w:r w:rsidR="000514EB" w:rsidRPr="00923427">
        <w:rPr>
          <w:rFonts w:ascii="Open Sans" w:hAnsi="Open Sans" w:cs="Open Sans"/>
          <w:b/>
          <w:bCs/>
          <w:i/>
          <w:iCs/>
          <w:sz w:val="20"/>
          <w:szCs w:val="20"/>
        </w:rPr>
        <w:t>demand.</w:t>
      </w:r>
    </w:p>
    <w:p w14:paraId="16DB2F56" w14:textId="40466389" w:rsidR="00D2531D" w:rsidRPr="00923427" w:rsidRDefault="00882FC4" w:rsidP="00D2531D">
      <w:pPr>
        <w:rPr>
          <w:rFonts w:ascii="Open Sans" w:hAnsi="Open Sans" w:cs="Open Sans"/>
          <w:sz w:val="20"/>
          <w:szCs w:val="20"/>
        </w:rPr>
      </w:pPr>
      <w:r w:rsidRPr="00923427">
        <w:rPr>
          <w:rFonts w:ascii="Open Sans" w:hAnsi="Open Sans" w:cs="Open Sans"/>
          <w:sz w:val="20"/>
          <w:szCs w:val="20"/>
        </w:rPr>
        <w:t xml:space="preserve">The REA </w:t>
      </w:r>
      <w:r w:rsidR="00392433" w:rsidRPr="00923427">
        <w:rPr>
          <w:rFonts w:ascii="Open Sans" w:hAnsi="Open Sans" w:cs="Open Sans"/>
          <w:sz w:val="20"/>
          <w:szCs w:val="20"/>
        </w:rPr>
        <w:t xml:space="preserve">suggest that there </w:t>
      </w:r>
      <w:r w:rsidR="00151C2E" w:rsidRPr="00923427">
        <w:rPr>
          <w:rFonts w:ascii="Open Sans" w:hAnsi="Open Sans" w:cs="Open Sans"/>
          <w:sz w:val="20"/>
          <w:szCs w:val="20"/>
        </w:rPr>
        <w:t>remain</w:t>
      </w:r>
      <w:r w:rsidR="00392433" w:rsidRPr="00923427">
        <w:rPr>
          <w:rFonts w:ascii="Open Sans" w:hAnsi="Open Sans" w:cs="Open Sans"/>
          <w:sz w:val="20"/>
          <w:szCs w:val="20"/>
        </w:rPr>
        <w:t xml:space="preserve"> significant amounts of potential for growing domestic</w:t>
      </w:r>
      <w:r w:rsidR="00151C2E" w:rsidRPr="00923427">
        <w:rPr>
          <w:rFonts w:ascii="Open Sans" w:hAnsi="Open Sans" w:cs="Open Sans"/>
          <w:sz w:val="20"/>
          <w:szCs w:val="20"/>
        </w:rPr>
        <w:t xml:space="preserve"> feedstock production in the UK, </w:t>
      </w:r>
      <w:r w:rsidR="004B062E" w:rsidRPr="00923427">
        <w:rPr>
          <w:rFonts w:ascii="Open Sans" w:hAnsi="Open Sans" w:cs="Open Sans"/>
          <w:sz w:val="20"/>
          <w:szCs w:val="20"/>
        </w:rPr>
        <w:t xml:space="preserve">as well as </w:t>
      </w:r>
      <w:r w:rsidR="00151C2E" w:rsidRPr="00923427">
        <w:rPr>
          <w:rFonts w:ascii="Open Sans" w:hAnsi="Open Sans" w:cs="Open Sans"/>
          <w:sz w:val="20"/>
          <w:szCs w:val="20"/>
        </w:rPr>
        <w:t>sustainably increasing biomass imports w</w:t>
      </w:r>
      <w:r w:rsidR="004B062E" w:rsidRPr="00923427">
        <w:rPr>
          <w:rFonts w:ascii="Open Sans" w:hAnsi="Open Sans" w:cs="Open Sans"/>
          <w:sz w:val="20"/>
          <w:szCs w:val="20"/>
        </w:rPr>
        <w:t>h</w:t>
      </w:r>
      <w:r w:rsidR="00151C2E" w:rsidRPr="00923427">
        <w:rPr>
          <w:rFonts w:ascii="Open Sans" w:hAnsi="Open Sans" w:cs="Open Sans"/>
          <w:sz w:val="20"/>
          <w:szCs w:val="20"/>
        </w:rPr>
        <w:t xml:space="preserve">ere required. </w:t>
      </w:r>
      <w:r w:rsidR="00392433" w:rsidRPr="00923427">
        <w:rPr>
          <w:rFonts w:ascii="Open Sans" w:hAnsi="Open Sans" w:cs="Open Sans"/>
          <w:sz w:val="20"/>
          <w:szCs w:val="20"/>
        </w:rPr>
        <w:t>Within the REA’s 2019 Bioenergy Strategy</w:t>
      </w:r>
      <w:r w:rsidR="000514EB" w:rsidRPr="00923427">
        <w:rPr>
          <w:rStyle w:val="FootnoteReference"/>
          <w:rFonts w:ascii="Open Sans" w:hAnsi="Open Sans" w:cs="Open Sans"/>
          <w:sz w:val="20"/>
          <w:szCs w:val="20"/>
        </w:rPr>
        <w:footnoteReference w:id="1"/>
      </w:r>
      <w:r w:rsidR="00392433" w:rsidRPr="00923427">
        <w:rPr>
          <w:rFonts w:ascii="Open Sans" w:hAnsi="Open Sans" w:cs="Open Sans"/>
          <w:sz w:val="20"/>
          <w:szCs w:val="20"/>
        </w:rPr>
        <w:t xml:space="preserve">, we set out how the bioenergy sector could sustainably </w:t>
      </w:r>
      <w:r w:rsidR="00151C2E" w:rsidRPr="00923427">
        <w:rPr>
          <w:rFonts w:ascii="Open Sans" w:hAnsi="Open Sans" w:cs="Open Sans"/>
          <w:sz w:val="20"/>
          <w:szCs w:val="20"/>
        </w:rPr>
        <w:t>provide up to 16% of the UK’s energy needs across power</w:t>
      </w:r>
      <w:r w:rsidR="00562759" w:rsidRPr="00923427">
        <w:rPr>
          <w:rFonts w:ascii="Open Sans" w:hAnsi="Open Sans" w:cs="Open Sans"/>
          <w:sz w:val="20"/>
          <w:szCs w:val="20"/>
        </w:rPr>
        <w:t>,</w:t>
      </w:r>
      <w:r w:rsidR="00151C2E" w:rsidRPr="00923427">
        <w:rPr>
          <w:rFonts w:ascii="Open Sans" w:hAnsi="Open Sans" w:cs="Open Sans"/>
          <w:sz w:val="20"/>
          <w:szCs w:val="20"/>
        </w:rPr>
        <w:t xml:space="preserve"> </w:t>
      </w:r>
      <w:proofErr w:type="gramStart"/>
      <w:r w:rsidR="00151C2E" w:rsidRPr="00923427">
        <w:rPr>
          <w:rFonts w:ascii="Open Sans" w:hAnsi="Open Sans" w:cs="Open Sans"/>
          <w:sz w:val="20"/>
          <w:szCs w:val="20"/>
        </w:rPr>
        <w:t>heat</w:t>
      </w:r>
      <w:proofErr w:type="gramEnd"/>
      <w:r w:rsidR="00151C2E" w:rsidRPr="00923427">
        <w:rPr>
          <w:rFonts w:ascii="Open Sans" w:hAnsi="Open Sans" w:cs="Open Sans"/>
          <w:sz w:val="20"/>
          <w:szCs w:val="20"/>
        </w:rPr>
        <w:t xml:space="preserve"> and transport. The feedstock requirements for achieving this </w:t>
      </w:r>
      <w:r w:rsidR="008C462D" w:rsidRPr="00923427">
        <w:rPr>
          <w:rFonts w:ascii="Open Sans" w:hAnsi="Open Sans" w:cs="Open Sans"/>
          <w:sz w:val="20"/>
          <w:szCs w:val="20"/>
        </w:rPr>
        <w:t>were</w:t>
      </w:r>
      <w:r w:rsidR="00151C2E" w:rsidRPr="00923427">
        <w:rPr>
          <w:rFonts w:ascii="Open Sans" w:hAnsi="Open Sans" w:cs="Open Sans"/>
          <w:sz w:val="20"/>
          <w:szCs w:val="20"/>
        </w:rPr>
        <w:t xml:space="preserve"> </w:t>
      </w:r>
      <w:r w:rsidR="006A274E" w:rsidRPr="00923427">
        <w:rPr>
          <w:rFonts w:ascii="Open Sans" w:hAnsi="Open Sans" w:cs="Open Sans"/>
          <w:sz w:val="20"/>
          <w:szCs w:val="20"/>
        </w:rPr>
        <w:t xml:space="preserve">mapped </w:t>
      </w:r>
      <w:r w:rsidR="00151C2E" w:rsidRPr="00923427">
        <w:rPr>
          <w:rFonts w:ascii="Open Sans" w:hAnsi="Open Sans" w:cs="Open Sans"/>
          <w:sz w:val="20"/>
          <w:szCs w:val="20"/>
        </w:rPr>
        <w:t xml:space="preserve">out against </w:t>
      </w:r>
      <w:r w:rsidR="008C462D" w:rsidRPr="00923427">
        <w:rPr>
          <w:rFonts w:ascii="Open Sans" w:hAnsi="Open Sans" w:cs="Open Sans"/>
          <w:sz w:val="20"/>
          <w:szCs w:val="20"/>
        </w:rPr>
        <w:t xml:space="preserve">Ricardo’s AEA’s (2017) </w:t>
      </w:r>
      <w:r w:rsidR="008C462D" w:rsidRPr="00923427">
        <w:rPr>
          <w:rFonts w:ascii="Open Sans" w:hAnsi="Open Sans" w:cs="Open Sans"/>
          <w:i/>
          <w:iCs/>
          <w:sz w:val="20"/>
          <w:szCs w:val="20"/>
        </w:rPr>
        <w:t>Biomass Feedstock Availability,</w:t>
      </w:r>
      <w:r w:rsidR="00562759" w:rsidRPr="00923427">
        <w:rPr>
          <w:rFonts w:ascii="Open Sans" w:hAnsi="Open Sans" w:cs="Open Sans"/>
          <w:i/>
          <w:iCs/>
          <w:sz w:val="20"/>
          <w:szCs w:val="20"/>
        </w:rPr>
        <w:t xml:space="preserve"> </w:t>
      </w:r>
      <w:r w:rsidR="008C462D" w:rsidRPr="00923427">
        <w:rPr>
          <w:rFonts w:ascii="Open Sans" w:hAnsi="Open Sans" w:cs="Open Sans"/>
          <w:sz w:val="20"/>
          <w:szCs w:val="20"/>
        </w:rPr>
        <w:t>commissioned by BEIS.</w:t>
      </w:r>
      <w:r w:rsidR="000514EB" w:rsidRPr="00923427">
        <w:rPr>
          <w:rStyle w:val="FootnoteReference"/>
          <w:rFonts w:ascii="Open Sans" w:hAnsi="Open Sans" w:cs="Open Sans"/>
          <w:sz w:val="20"/>
          <w:szCs w:val="20"/>
        </w:rPr>
        <w:footnoteReference w:id="2"/>
      </w:r>
      <w:r w:rsidR="008C462D" w:rsidRPr="00923427">
        <w:rPr>
          <w:rFonts w:ascii="Open Sans" w:hAnsi="Open Sans" w:cs="Open Sans"/>
          <w:sz w:val="20"/>
          <w:szCs w:val="20"/>
        </w:rPr>
        <w:t xml:space="preserve"> </w:t>
      </w:r>
      <w:r w:rsidRPr="00923427">
        <w:rPr>
          <w:rFonts w:ascii="Open Sans" w:hAnsi="Open Sans" w:cs="Open Sans"/>
          <w:sz w:val="20"/>
          <w:szCs w:val="20"/>
        </w:rPr>
        <w:t xml:space="preserve"> The s</w:t>
      </w:r>
      <w:r w:rsidR="008C462D" w:rsidRPr="00923427">
        <w:rPr>
          <w:rFonts w:ascii="Open Sans" w:hAnsi="Open Sans" w:cs="Open Sans"/>
          <w:sz w:val="20"/>
          <w:szCs w:val="20"/>
        </w:rPr>
        <w:t xml:space="preserve">trategy concluded that meeting the levels of potential bioenergy growth was possible if the UK </w:t>
      </w:r>
      <w:r w:rsidRPr="00923427">
        <w:rPr>
          <w:rFonts w:ascii="Open Sans" w:hAnsi="Open Sans" w:cs="Open Sans"/>
          <w:sz w:val="20"/>
          <w:szCs w:val="20"/>
        </w:rPr>
        <w:t>succeeded</w:t>
      </w:r>
      <w:r w:rsidR="008C462D" w:rsidRPr="00923427">
        <w:rPr>
          <w:rFonts w:ascii="Open Sans" w:hAnsi="Open Sans" w:cs="Open Sans"/>
          <w:sz w:val="20"/>
          <w:szCs w:val="20"/>
        </w:rPr>
        <w:t xml:space="preserve"> in</w:t>
      </w:r>
      <w:r w:rsidR="00D2531D" w:rsidRPr="00923427">
        <w:rPr>
          <w:rFonts w:ascii="Open Sans" w:hAnsi="Open Sans" w:cs="Open Sans"/>
          <w:sz w:val="20"/>
          <w:szCs w:val="20"/>
        </w:rPr>
        <w:t xml:space="preserve"> maintaining sustainable biomass imports while</w:t>
      </w:r>
      <w:r w:rsidR="008C462D" w:rsidRPr="00923427">
        <w:rPr>
          <w:rFonts w:ascii="Open Sans" w:hAnsi="Open Sans" w:cs="Open Sans"/>
          <w:sz w:val="20"/>
          <w:szCs w:val="20"/>
        </w:rPr>
        <w:t xml:space="preserve"> making</w:t>
      </w:r>
      <w:r w:rsidRPr="00923427">
        <w:rPr>
          <w:rFonts w:ascii="Open Sans" w:hAnsi="Open Sans" w:cs="Open Sans"/>
          <w:sz w:val="20"/>
          <w:szCs w:val="20"/>
        </w:rPr>
        <w:t xml:space="preserve"> good</w:t>
      </w:r>
      <w:r w:rsidR="008C462D" w:rsidRPr="00923427">
        <w:rPr>
          <w:rFonts w:ascii="Open Sans" w:hAnsi="Open Sans" w:cs="Open Sans"/>
          <w:sz w:val="20"/>
          <w:szCs w:val="20"/>
        </w:rPr>
        <w:t xml:space="preserve"> use of the potential</w:t>
      </w:r>
      <w:r w:rsidR="00D2531D" w:rsidRPr="00923427">
        <w:rPr>
          <w:rFonts w:ascii="Open Sans" w:hAnsi="Open Sans" w:cs="Open Sans"/>
          <w:sz w:val="20"/>
          <w:szCs w:val="20"/>
        </w:rPr>
        <w:t xml:space="preserve"> domestic</w:t>
      </w:r>
      <w:r w:rsidRPr="00923427">
        <w:rPr>
          <w:rFonts w:ascii="Open Sans" w:hAnsi="Open Sans" w:cs="Open Sans"/>
          <w:sz w:val="20"/>
          <w:szCs w:val="20"/>
        </w:rPr>
        <w:t xml:space="preserve"> </w:t>
      </w:r>
      <w:r w:rsidR="008C462D" w:rsidRPr="00923427">
        <w:rPr>
          <w:rFonts w:ascii="Open Sans" w:hAnsi="Open Sans" w:cs="Open Sans"/>
          <w:sz w:val="20"/>
          <w:szCs w:val="20"/>
        </w:rPr>
        <w:t xml:space="preserve">feedstocks that </w:t>
      </w:r>
      <w:r w:rsidRPr="00923427">
        <w:rPr>
          <w:rFonts w:ascii="Open Sans" w:hAnsi="Open Sans" w:cs="Open Sans"/>
          <w:sz w:val="20"/>
          <w:szCs w:val="20"/>
        </w:rPr>
        <w:t>could be</w:t>
      </w:r>
      <w:r w:rsidR="008C462D" w:rsidRPr="00923427">
        <w:rPr>
          <w:rFonts w:ascii="Open Sans" w:hAnsi="Open Sans" w:cs="Open Sans"/>
          <w:sz w:val="20"/>
          <w:szCs w:val="20"/>
        </w:rPr>
        <w:t xml:space="preserve"> developed within the UK by 2032. This</w:t>
      </w:r>
      <w:r w:rsidRPr="00923427">
        <w:rPr>
          <w:rFonts w:ascii="Open Sans" w:hAnsi="Open Sans" w:cs="Open Sans"/>
          <w:sz w:val="20"/>
          <w:szCs w:val="20"/>
        </w:rPr>
        <w:t xml:space="preserve"> includes the development of domestic</w:t>
      </w:r>
      <w:r w:rsidR="00D2531D" w:rsidRPr="00923427">
        <w:rPr>
          <w:rFonts w:ascii="Open Sans" w:hAnsi="Open Sans" w:cs="Open Sans"/>
          <w:sz w:val="20"/>
          <w:szCs w:val="20"/>
        </w:rPr>
        <w:t xml:space="preserve"> forestry feedstocks and energy crops, including perennial crops like miscanthus and willow. </w:t>
      </w:r>
    </w:p>
    <w:p w14:paraId="2B17C524" w14:textId="306C8158" w:rsidR="00D2531D" w:rsidRPr="00923427" w:rsidRDefault="00D2531D" w:rsidP="00D2531D">
      <w:pPr>
        <w:rPr>
          <w:rFonts w:ascii="Open Sans" w:hAnsi="Open Sans" w:cs="Open Sans"/>
          <w:sz w:val="20"/>
          <w:szCs w:val="20"/>
        </w:rPr>
      </w:pPr>
      <w:r w:rsidRPr="00923427">
        <w:rPr>
          <w:rFonts w:ascii="Open Sans" w:hAnsi="Open Sans" w:cs="Open Sans"/>
          <w:sz w:val="20"/>
          <w:szCs w:val="20"/>
        </w:rPr>
        <w:lastRenderedPageBreak/>
        <w:t>The REA Bioenergy Strategy proposed that domestic feedstocks could largely meet 2032 bioenergy heat and transport demand, while recognising that additional imported resources would be required, notably solid biomass pellets</w:t>
      </w:r>
      <w:r w:rsidR="00CB38AA" w:rsidRPr="00923427">
        <w:rPr>
          <w:rFonts w:ascii="Open Sans" w:hAnsi="Open Sans" w:cs="Open Sans"/>
          <w:sz w:val="20"/>
          <w:szCs w:val="20"/>
        </w:rPr>
        <w:t>,</w:t>
      </w:r>
      <w:r w:rsidRPr="00923427">
        <w:rPr>
          <w:rFonts w:ascii="Open Sans" w:hAnsi="Open Sans" w:cs="Open Sans"/>
          <w:sz w:val="20"/>
          <w:szCs w:val="20"/>
        </w:rPr>
        <w:t xml:space="preserve"> for large scale power generation</w:t>
      </w:r>
      <w:r w:rsidR="00562759" w:rsidRPr="00923427">
        <w:rPr>
          <w:rFonts w:ascii="Open Sans" w:hAnsi="Open Sans" w:cs="Open Sans"/>
          <w:sz w:val="20"/>
          <w:szCs w:val="20"/>
        </w:rPr>
        <w:t xml:space="preserve">, increasing to </w:t>
      </w:r>
      <w:r w:rsidRPr="00923427">
        <w:rPr>
          <w:rFonts w:ascii="Open Sans" w:hAnsi="Open Sans" w:cs="Open Sans"/>
          <w:sz w:val="20"/>
          <w:szCs w:val="20"/>
        </w:rPr>
        <w:t>around 400 PJ</w:t>
      </w:r>
      <w:r w:rsidR="002554EB">
        <w:rPr>
          <w:rFonts w:ascii="Open Sans" w:hAnsi="Open Sans" w:cs="Open Sans"/>
          <w:sz w:val="20"/>
          <w:szCs w:val="20"/>
        </w:rPr>
        <w:t xml:space="preserve"> (111 </w:t>
      </w:r>
      <w:proofErr w:type="spellStart"/>
      <w:r w:rsidR="002554EB">
        <w:rPr>
          <w:rFonts w:ascii="Open Sans" w:hAnsi="Open Sans" w:cs="Open Sans"/>
          <w:sz w:val="20"/>
          <w:szCs w:val="20"/>
        </w:rPr>
        <w:t>TWh</w:t>
      </w:r>
      <w:proofErr w:type="spellEnd"/>
      <w:r w:rsidR="002554EB">
        <w:rPr>
          <w:rFonts w:ascii="Open Sans" w:hAnsi="Open Sans" w:cs="Open Sans"/>
          <w:sz w:val="20"/>
          <w:szCs w:val="20"/>
        </w:rPr>
        <w:t xml:space="preserve">) – </w:t>
      </w:r>
      <w:r w:rsidR="001309D7">
        <w:rPr>
          <w:rFonts w:ascii="Open Sans" w:hAnsi="Open Sans" w:cs="Open Sans"/>
          <w:sz w:val="20"/>
          <w:szCs w:val="20"/>
        </w:rPr>
        <w:t>in line</w:t>
      </w:r>
      <w:r w:rsidR="002554EB">
        <w:rPr>
          <w:rFonts w:ascii="Open Sans" w:hAnsi="Open Sans" w:cs="Open Sans"/>
          <w:sz w:val="20"/>
          <w:szCs w:val="20"/>
        </w:rPr>
        <w:t xml:space="preserve"> with CCC sustainable</w:t>
      </w:r>
      <w:r w:rsidR="001309D7">
        <w:rPr>
          <w:rFonts w:ascii="Open Sans" w:hAnsi="Open Sans" w:cs="Open Sans"/>
          <w:sz w:val="20"/>
          <w:szCs w:val="20"/>
        </w:rPr>
        <w:t xml:space="preserve"> bioenergy growth</w:t>
      </w:r>
      <w:r w:rsidR="002554EB">
        <w:rPr>
          <w:rFonts w:ascii="Open Sans" w:hAnsi="Open Sans" w:cs="Open Sans"/>
          <w:sz w:val="20"/>
          <w:szCs w:val="20"/>
        </w:rPr>
        <w:t xml:space="preserve"> scenarios</w:t>
      </w:r>
      <w:r w:rsidRPr="00923427">
        <w:rPr>
          <w:rFonts w:ascii="Open Sans" w:hAnsi="Open Sans" w:cs="Open Sans"/>
          <w:sz w:val="20"/>
          <w:szCs w:val="20"/>
        </w:rPr>
        <w:t>.</w:t>
      </w:r>
      <w:r w:rsidR="002554EB">
        <w:rPr>
          <w:rStyle w:val="FootnoteReference"/>
          <w:rFonts w:ascii="Open Sans" w:hAnsi="Open Sans" w:cs="Open Sans"/>
          <w:sz w:val="20"/>
          <w:szCs w:val="20"/>
        </w:rPr>
        <w:footnoteReference w:id="3"/>
      </w:r>
      <w:r w:rsidRPr="00923427">
        <w:rPr>
          <w:rFonts w:ascii="Open Sans" w:hAnsi="Open Sans" w:cs="Open Sans"/>
          <w:sz w:val="20"/>
          <w:szCs w:val="20"/>
        </w:rPr>
        <w:t xml:space="preserve"> Additional liquid biofuels for transport would also need to come from international markets (between 100 and 150 PJ</w:t>
      </w:r>
      <w:r w:rsidR="004B062E" w:rsidRPr="00923427">
        <w:rPr>
          <w:rFonts w:ascii="Open Sans" w:hAnsi="Open Sans" w:cs="Open Sans"/>
          <w:sz w:val="20"/>
          <w:szCs w:val="20"/>
        </w:rPr>
        <w:t>)</w:t>
      </w:r>
      <w:r w:rsidRPr="00923427">
        <w:rPr>
          <w:rFonts w:ascii="Open Sans" w:hAnsi="Open Sans" w:cs="Open Sans"/>
          <w:sz w:val="20"/>
          <w:szCs w:val="20"/>
        </w:rPr>
        <w:t xml:space="preserve">, depending on the volumes available from the UK). It is </w:t>
      </w:r>
      <w:r w:rsidR="00C846A6" w:rsidRPr="00923427">
        <w:rPr>
          <w:rFonts w:ascii="Open Sans" w:hAnsi="Open Sans" w:cs="Open Sans"/>
          <w:sz w:val="20"/>
          <w:szCs w:val="20"/>
        </w:rPr>
        <w:t>the</w:t>
      </w:r>
      <w:r w:rsidRPr="00923427">
        <w:rPr>
          <w:rFonts w:ascii="Open Sans" w:hAnsi="Open Sans" w:cs="Open Sans"/>
          <w:sz w:val="20"/>
          <w:szCs w:val="20"/>
        </w:rPr>
        <w:t xml:space="preserve"> industries view that with the presence of strong sustainability governance arrangements, additional import levels could be sustainably procured and be in accordance with UK’s fair share of biomass resources. </w:t>
      </w:r>
    </w:p>
    <w:p w14:paraId="54669CB5" w14:textId="041B51C7" w:rsidR="009C11D3" w:rsidRPr="00923427" w:rsidRDefault="009C11D3" w:rsidP="00D2531D">
      <w:pPr>
        <w:rPr>
          <w:rFonts w:ascii="Open Sans" w:hAnsi="Open Sans" w:cs="Open Sans"/>
          <w:b/>
          <w:bCs/>
          <w:i/>
          <w:iCs/>
          <w:sz w:val="20"/>
          <w:szCs w:val="20"/>
        </w:rPr>
      </w:pPr>
      <w:r w:rsidRPr="00923427">
        <w:rPr>
          <w:rFonts w:ascii="Open Sans" w:hAnsi="Open Sans" w:cs="Open Sans"/>
          <w:b/>
          <w:bCs/>
          <w:i/>
          <w:iCs/>
          <w:sz w:val="20"/>
          <w:szCs w:val="20"/>
        </w:rPr>
        <w:t xml:space="preserve">Forestry Commission Statistics Indicate Significant Potential for increased Domestic Biomass </w:t>
      </w:r>
      <w:r w:rsidR="002A2492" w:rsidRPr="00923427">
        <w:rPr>
          <w:rFonts w:ascii="Open Sans" w:hAnsi="Open Sans" w:cs="Open Sans"/>
          <w:b/>
          <w:bCs/>
          <w:i/>
          <w:iCs/>
          <w:sz w:val="20"/>
          <w:szCs w:val="20"/>
        </w:rPr>
        <w:t xml:space="preserve">Forestry </w:t>
      </w:r>
      <w:r w:rsidRPr="00923427">
        <w:rPr>
          <w:rFonts w:ascii="Open Sans" w:hAnsi="Open Sans" w:cs="Open Sans"/>
          <w:b/>
          <w:bCs/>
          <w:i/>
          <w:iCs/>
          <w:sz w:val="20"/>
          <w:szCs w:val="20"/>
        </w:rPr>
        <w:t>Resource</w:t>
      </w:r>
    </w:p>
    <w:p w14:paraId="2EBFB43D" w14:textId="1E5DD32C" w:rsidR="009C11D3" w:rsidRPr="00923427" w:rsidRDefault="00BF2D25" w:rsidP="00D2531D">
      <w:pPr>
        <w:rPr>
          <w:rFonts w:ascii="Open Sans" w:hAnsi="Open Sans" w:cs="Open Sans"/>
          <w:sz w:val="20"/>
          <w:szCs w:val="20"/>
        </w:rPr>
      </w:pPr>
      <w:r w:rsidRPr="00923427">
        <w:rPr>
          <w:rFonts w:ascii="Open Sans" w:hAnsi="Open Sans" w:cs="Open Sans"/>
          <w:sz w:val="20"/>
          <w:szCs w:val="20"/>
        </w:rPr>
        <w:t>The latest Forestry Commission Statistics for 2020 indicate trends of continued modest growth of UK forest</w:t>
      </w:r>
      <w:r w:rsidR="002A2492" w:rsidRPr="00923427">
        <w:rPr>
          <w:rFonts w:ascii="Open Sans" w:hAnsi="Open Sans" w:cs="Open Sans"/>
          <w:sz w:val="20"/>
          <w:szCs w:val="20"/>
        </w:rPr>
        <w:t xml:space="preserve"> inventory </w:t>
      </w:r>
      <w:r w:rsidRPr="00923427">
        <w:rPr>
          <w:rFonts w:ascii="Open Sans" w:hAnsi="Open Sans" w:cs="Open Sans"/>
          <w:sz w:val="20"/>
          <w:szCs w:val="20"/>
        </w:rPr>
        <w:t xml:space="preserve">and increasing levels of forests coming under certified management. As at March 2020 there were 1.39 million hectares of certified woodland in the UK. Part of this growth can be attributed to increased demand for low value forestry products driven by the </w:t>
      </w:r>
      <w:r w:rsidR="00C53597" w:rsidRPr="00923427">
        <w:rPr>
          <w:rFonts w:ascii="Open Sans" w:hAnsi="Open Sans" w:cs="Open Sans"/>
          <w:sz w:val="20"/>
          <w:szCs w:val="20"/>
        </w:rPr>
        <w:t xml:space="preserve">Renewable Heat Incentive and </w:t>
      </w:r>
      <w:r w:rsidR="002A2492" w:rsidRPr="00923427">
        <w:rPr>
          <w:rFonts w:ascii="Open Sans" w:hAnsi="Open Sans" w:cs="Open Sans"/>
          <w:sz w:val="20"/>
          <w:szCs w:val="20"/>
        </w:rPr>
        <w:t>R</w:t>
      </w:r>
      <w:r w:rsidR="00C53597" w:rsidRPr="00923427">
        <w:rPr>
          <w:rFonts w:ascii="Open Sans" w:hAnsi="Open Sans" w:cs="Open Sans"/>
          <w:sz w:val="20"/>
          <w:szCs w:val="20"/>
        </w:rPr>
        <w:t xml:space="preserve">enewable </w:t>
      </w:r>
      <w:r w:rsidR="002A2492" w:rsidRPr="00923427">
        <w:rPr>
          <w:rFonts w:ascii="Open Sans" w:hAnsi="Open Sans" w:cs="Open Sans"/>
          <w:sz w:val="20"/>
          <w:szCs w:val="20"/>
        </w:rPr>
        <w:t>O</w:t>
      </w:r>
      <w:r w:rsidR="00C53597" w:rsidRPr="00923427">
        <w:rPr>
          <w:rFonts w:ascii="Open Sans" w:hAnsi="Open Sans" w:cs="Open Sans"/>
          <w:sz w:val="20"/>
          <w:szCs w:val="20"/>
        </w:rPr>
        <w:t xml:space="preserve">bligation, underwriting investment in new managed woodlands. However, there </w:t>
      </w:r>
      <w:r w:rsidR="002A2492" w:rsidRPr="00923427">
        <w:rPr>
          <w:rFonts w:ascii="Open Sans" w:hAnsi="Open Sans" w:cs="Open Sans"/>
          <w:sz w:val="20"/>
          <w:szCs w:val="20"/>
        </w:rPr>
        <w:t xml:space="preserve">is </w:t>
      </w:r>
      <w:r w:rsidR="00C53597" w:rsidRPr="00923427">
        <w:rPr>
          <w:rFonts w:ascii="Open Sans" w:hAnsi="Open Sans" w:cs="Open Sans"/>
          <w:sz w:val="20"/>
          <w:szCs w:val="20"/>
        </w:rPr>
        <w:t xml:space="preserve">3.2 million </w:t>
      </w:r>
      <w:r w:rsidR="002A2492" w:rsidRPr="00923427">
        <w:rPr>
          <w:rFonts w:ascii="Open Sans" w:hAnsi="Open Sans" w:cs="Open Sans"/>
          <w:sz w:val="20"/>
          <w:szCs w:val="20"/>
        </w:rPr>
        <w:t>hectares</w:t>
      </w:r>
      <w:r w:rsidR="00C53597" w:rsidRPr="00923427">
        <w:rPr>
          <w:rFonts w:ascii="Open Sans" w:hAnsi="Open Sans" w:cs="Open Sans"/>
          <w:sz w:val="20"/>
          <w:szCs w:val="20"/>
        </w:rPr>
        <w:t xml:space="preserve"> of woodland in the UK</w:t>
      </w:r>
      <w:r w:rsidR="001309D7">
        <w:rPr>
          <w:rFonts w:ascii="Open Sans" w:hAnsi="Open Sans" w:cs="Open Sans"/>
          <w:sz w:val="20"/>
          <w:szCs w:val="20"/>
        </w:rPr>
        <w:t>,</w:t>
      </w:r>
      <w:r w:rsidR="002A2492" w:rsidRPr="00923427">
        <w:rPr>
          <w:rFonts w:ascii="Open Sans" w:hAnsi="Open Sans" w:cs="Open Sans"/>
          <w:sz w:val="20"/>
          <w:szCs w:val="20"/>
        </w:rPr>
        <w:t xml:space="preserve"> </w:t>
      </w:r>
      <w:r w:rsidR="00C53597" w:rsidRPr="00923427">
        <w:rPr>
          <w:rFonts w:ascii="Open Sans" w:hAnsi="Open Sans" w:cs="Open Sans"/>
          <w:sz w:val="20"/>
          <w:szCs w:val="20"/>
        </w:rPr>
        <w:t>suggest</w:t>
      </w:r>
      <w:r w:rsidR="002A2492" w:rsidRPr="00923427">
        <w:rPr>
          <w:rFonts w:ascii="Open Sans" w:hAnsi="Open Sans" w:cs="Open Sans"/>
          <w:sz w:val="20"/>
          <w:szCs w:val="20"/>
        </w:rPr>
        <w:t>ing</w:t>
      </w:r>
      <w:r w:rsidR="00C53597" w:rsidRPr="00923427">
        <w:rPr>
          <w:rFonts w:ascii="Open Sans" w:hAnsi="Open Sans" w:cs="Open Sans"/>
          <w:sz w:val="20"/>
          <w:szCs w:val="20"/>
        </w:rPr>
        <w:t xml:space="preserve"> there </w:t>
      </w:r>
      <w:r w:rsidR="002A2492" w:rsidRPr="00923427">
        <w:rPr>
          <w:rFonts w:ascii="Open Sans" w:hAnsi="Open Sans" w:cs="Open Sans"/>
          <w:sz w:val="20"/>
          <w:szCs w:val="20"/>
        </w:rPr>
        <w:t xml:space="preserve">remains large areas of underutilised </w:t>
      </w:r>
      <w:r w:rsidR="001309D7">
        <w:rPr>
          <w:rFonts w:ascii="Open Sans" w:hAnsi="Open Sans" w:cs="Open Sans"/>
          <w:sz w:val="20"/>
          <w:szCs w:val="20"/>
        </w:rPr>
        <w:t xml:space="preserve">and unmanaged </w:t>
      </w:r>
      <w:r w:rsidR="002A2492" w:rsidRPr="00923427">
        <w:rPr>
          <w:rFonts w:ascii="Open Sans" w:hAnsi="Open Sans" w:cs="Open Sans"/>
          <w:sz w:val="20"/>
          <w:szCs w:val="20"/>
        </w:rPr>
        <w:t>woodlands</w:t>
      </w:r>
      <w:r w:rsidR="001309D7">
        <w:rPr>
          <w:rFonts w:ascii="Open Sans" w:hAnsi="Open Sans" w:cs="Open Sans"/>
          <w:sz w:val="20"/>
          <w:szCs w:val="20"/>
        </w:rPr>
        <w:t xml:space="preserve">, </w:t>
      </w:r>
      <w:r w:rsidR="002A2492" w:rsidRPr="00923427">
        <w:rPr>
          <w:rFonts w:ascii="Open Sans" w:hAnsi="Open Sans" w:cs="Open Sans"/>
          <w:sz w:val="20"/>
          <w:szCs w:val="20"/>
        </w:rPr>
        <w:t>a proportion of which would become available if demand for bioenergy feedstocks increased. In addition, the UK exported 109,000 tonnes of softwood chips in 2019, indicating what could be made immediately available if domestic demand provided the market for them.</w:t>
      </w:r>
      <w:r w:rsidR="00D341A0" w:rsidRPr="00923427">
        <w:rPr>
          <w:rStyle w:val="FootnoteReference"/>
          <w:rFonts w:ascii="Open Sans" w:hAnsi="Open Sans" w:cs="Open Sans"/>
          <w:sz w:val="20"/>
          <w:szCs w:val="20"/>
        </w:rPr>
        <w:footnoteReference w:id="4"/>
      </w:r>
    </w:p>
    <w:p w14:paraId="70D23B01" w14:textId="79D5DA08" w:rsidR="002E3E13" w:rsidRPr="00923427" w:rsidRDefault="002E3E13" w:rsidP="00D2531D">
      <w:pPr>
        <w:rPr>
          <w:rFonts w:ascii="Open Sans" w:hAnsi="Open Sans" w:cs="Open Sans"/>
          <w:b/>
          <w:bCs/>
          <w:i/>
          <w:iCs/>
          <w:sz w:val="20"/>
          <w:szCs w:val="20"/>
        </w:rPr>
      </w:pPr>
      <w:r w:rsidRPr="00923427">
        <w:rPr>
          <w:rFonts w:ascii="Open Sans" w:hAnsi="Open Sans" w:cs="Open Sans"/>
          <w:b/>
          <w:bCs/>
          <w:i/>
          <w:iCs/>
          <w:sz w:val="20"/>
          <w:szCs w:val="20"/>
        </w:rPr>
        <w:t>The UK also needs to make the most of its biogenic waste resources.</w:t>
      </w:r>
    </w:p>
    <w:p w14:paraId="546E5AF6" w14:textId="77777777" w:rsidR="005143BA" w:rsidRDefault="005143BA" w:rsidP="005143BA">
      <w:pPr>
        <w:spacing w:before="120" w:after="120"/>
        <w:rPr>
          <w:rFonts w:ascii="Open Sans" w:hAnsi="Open Sans" w:cs="Open Sans"/>
          <w:sz w:val="20"/>
          <w:szCs w:val="20"/>
        </w:rPr>
      </w:pPr>
      <w:r>
        <w:rPr>
          <w:rFonts w:ascii="Open Sans" w:hAnsi="Open Sans" w:cs="Open Sans"/>
          <w:sz w:val="20"/>
          <w:szCs w:val="20"/>
        </w:rPr>
        <w:t>The</w:t>
      </w:r>
      <w:r w:rsidRPr="00923427">
        <w:rPr>
          <w:rFonts w:ascii="Open Sans" w:hAnsi="Open Sans" w:cs="Open Sans"/>
          <w:sz w:val="20"/>
          <w:szCs w:val="20"/>
        </w:rPr>
        <w:t xml:space="preserve"> availability of waste resources for use in bioenergy will be subject to the success and impacts from the implementation of DEFRA’s Waste and Resource Strategy. We, however, note a continuing need for the UK to export 3.5 million tonnes of waste to Europe, due to a lack of adequate waste management capacity in the UK, which could be re</w:t>
      </w:r>
      <w:r>
        <w:rPr>
          <w:rFonts w:ascii="Open Sans" w:hAnsi="Open Sans" w:cs="Open Sans"/>
          <w:sz w:val="20"/>
          <w:szCs w:val="20"/>
        </w:rPr>
        <w:t>-</w:t>
      </w:r>
      <w:r w:rsidRPr="00923427">
        <w:rPr>
          <w:rFonts w:ascii="Open Sans" w:hAnsi="Open Sans" w:cs="Open Sans"/>
          <w:sz w:val="20"/>
          <w:szCs w:val="20"/>
        </w:rPr>
        <w:t>shored.</w:t>
      </w:r>
      <w:r w:rsidRPr="00923427">
        <w:rPr>
          <w:rStyle w:val="FootnoteReference"/>
          <w:rFonts w:ascii="Open Sans" w:hAnsi="Open Sans" w:cs="Open Sans"/>
          <w:sz w:val="20"/>
          <w:szCs w:val="20"/>
        </w:rPr>
        <w:footnoteReference w:id="5"/>
      </w:r>
      <w:r w:rsidRPr="00923427">
        <w:rPr>
          <w:rFonts w:ascii="Open Sans" w:hAnsi="Open Sans" w:cs="Open Sans"/>
          <w:sz w:val="20"/>
          <w:szCs w:val="20"/>
        </w:rPr>
        <w:t xml:space="preserve">  In addition, the implementation of mandatory food waste collections will also increase the availability of biogenic waste </w:t>
      </w:r>
      <w:r>
        <w:rPr>
          <w:rFonts w:ascii="Open Sans" w:hAnsi="Open Sans" w:cs="Open Sans"/>
          <w:sz w:val="20"/>
          <w:szCs w:val="20"/>
        </w:rPr>
        <w:t xml:space="preserve">from both commercial and municipal sources </w:t>
      </w:r>
      <w:r w:rsidRPr="00923427">
        <w:rPr>
          <w:rFonts w:ascii="Open Sans" w:hAnsi="Open Sans" w:cs="Open Sans"/>
          <w:sz w:val="20"/>
          <w:szCs w:val="20"/>
        </w:rPr>
        <w:t>that should be being used for bioenergy or composting applications</w:t>
      </w:r>
      <w:r>
        <w:rPr>
          <w:rFonts w:ascii="Open Sans" w:hAnsi="Open Sans" w:cs="Open Sans"/>
          <w:sz w:val="20"/>
          <w:szCs w:val="20"/>
        </w:rPr>
        <w:t xml:space="preserve">.  Defra’s policy on food waste collections must not be delayed if opportunities from these resources are to be maximised under the upcoming Green Gas Support Scheme. </w:t>
      </w:r>
    </w:p>
    <w:p w14:paraId="28A47C9D" w14:textId="0C974606" w:rsidR="005143BA" w:rsidRPr="00923427" w:rsidRDefault="005143BA" w:rsidP="005143BA">
      <w:pPr>
        <w:spacing w:before="120" w:after="120"/>
        <w:rPr>
          <w:rFonts w:ascii="Open Sans" w:hAnsi="Open Sans" w:cs="Open Sans"/>
          <w:sz w:val="20"/>
          <w:szCs w:val="20"/>
        </w:rPr>
      </w:pPr>
      <w:r w:rsidRPr="00923427">
        <w:rPr>
          <w:rFonts w:ascii="Open Sans" w:hAnsi="Open Sans" w:cs="Open Sans"/>
          <w:sz w:val="20"/>
          <w:szCs w:val="20"/>
        </w:rPr>
        <w:t>The UK is also underutilising the potential of food and drink waste coming from the agri-food sector</w:t>
      </w:r>
      <w:r>
        <w:rPr>
          <w:rFonts w:ascii="Open Sans" w:hAnsi="Open Sans" w:cs="Open Sans"/>
          <w:sz w:val="20"/>
          <w:szCs w:val="20"/>
        </w:rPr>
        <w:t xml:space="preserve">. </w:t>
      </w:r>
      <w:r w:rsidRPr="007625B4">
        <w:rPr>
          <w:rFonts w:ascii="Open Sans" w:hAnsi="Open Sans" w:cs="Open Sans"/>
          <w:color w:val="231F20"/>
          <w:sz w:val="20"/>
          <w:szCs w:val="20"/>
        </w:rPr>
        <w:t xml:space="preserve">WRAP (2018) estimates that food manufacturing produces 1.5 Mt of food waste per year, with 6,700 SMEs accounting for 97% of businesses. </w:t>
      </w:r>
      <w:r>
        <w:rPr>
          <w:rFonts w:ascii="Open Sans" w:hAnsi="Open Sans" w:cs="Open Sans"/>
          <w:sz w:val="20"/>
          <w:szCs w:val="20"/>
        </w:rPr>
        <w:t>It is also estimated that roughly 90 million tonnes of agricultural manures and slurries are generated each year</w:t>
      </w:r>
      <w:r>
        <w:rPr>
          <w:rStyle w:val="FootnoteReference"/>
          <w:rFonts w:ascii="Open Sans" w:hAnsi="Open Sans" w:cs="Open Sans"/>
          <w:sz w:val="20"/>
          <w:szCs w:val="20"/>
        </w:rPr>
        <w:footnoteReference w:id="6"/>
      </w:r>
      <w:r>
        <w:rPr>
          <w:rFonts w:ascii="Open Sans" w:hAnsi="Open Sans" w:cs="Open Sans"/>
          <w:sz w:val="20"/>
          <w:szCs w:val="20"/>
        </w:rPr>
        <w:t>, with less than 4 million tonnes being required by all the anaerobic digestion plants operational and under development in the UK</w:t>
      </w:r>
      <w:r>
        <w:rPr>
          <w:rFonts w:ascii="Open Sans" w:hAnsi="Open Sans" w:cs="Open Sans"/>
          <w:sz w:val="20"/>
          <w:szCs w:val="20"/>
        </w:rPr>
        <w:t>.</w:t>
      </w:r>
      <w:r>
        <w:rPr>
          <w:rStyle w:val="FootnoteReference"/>
          <w:rFonts w:ascii="Open Sans" w:hAnsi="Open Sans" w:cs="Open Sans"/>
          <w:sz w:val="20"/>
          <w:szCs w:val="20"/>
        </w:rPr>
        <w:footnoteReference w:id="7"/>
      </w:r>
      <w:r>
        <w:rPr>
          <w:rFonts w:ascii="Open Sans" w:hAnsi="Open Sans" w:cs="Open Sans"/>
          <w:sz w:val="20"/>
          <w:szCs w:val="20"/>
        </w:rPr>
        <w:t xml:space="preserve"> </w:t>
      </w:r>
      <w:r w:rsidRPr="00923427">
        <w:rPr>
          <w:rFonts w:ascii="Open Sans" w:hAnsi="Open Sans" w:cs="Open Sans"/>
          <w:sz w:val="20"/>
          <w:szCs w:val="20"/>
        </w:rPr>
        <w:t>As suggested by the CCC, no biodegradable waste should be heading to landfill by 2025</w:t>
      </w:r>
      <w:r>
        <w:rPr>
          <w:rFonts w:ascii="Open Sans" w:hAnsi="Open Sans" w:cs="Open Sans"/>
          <w:sz w:val="20"/>
          <w:szCs w:val="20"/>
        </w:rPr>
        <w:t>.</w:t>
      </w:r>
      <w:r w:rsidRPr="00923427">
        <w:rPr>
          <w:rStyle w:val="FootnoteReference"/>
          <w:rFonts w:ascii="Open Sans" w:hAnsi="Open Sans" w:cs="Open Sans"/>
          <w:sz w:val="20"/>
          <w:szCs w:val="20"/>
        </w:rPr>
        <w:footnoteReference w:id="8"/>
      </w:r>
      <w:r>
        <w:rPr>
          <w:rFonts w:ascii="Open Sans" w:hAnsi="Open Sans" w:cs="Open Sans"/>
          <w:sz w:val="20"/>
          <w:szCs w:val="20"/>
        </w:rPr>
        <w:t xml:space="preserve"> </w:t>
      </w:r>
      <w:r w:rsidRPr="00923427">
        <w:rPr>
          <w:rFonts w:ascii="Open Sans" w:hAnsi="Open Sans" w:cs="Open Sans"/>
          <w:sz w:val="20"/>
          <w:szCs w:val="20"/>
        </w:rPr>
        <w:t xml:space="preserve">As such, biogenic waste arising is likely to increase in the short and medium term. </w:t>
      </w:r>
    </w:p>
    <w:p w14:paraId="37D18118" w14:textId="349D646D" w:rsidR="002E3E13" w:rsidRPr="00923427" w:rsidRDefault="002E3E13" w:rsidP="00D2531D">
      <w:pPr>
        <w:rPr>
          <w:rFonts w:ascii="Open Sans" w:hAnsi="Open Sans" w:cs="Open Sans"/>
          <w:b/>
          <w:bCs/>
          <w:i/>
          <w:iCs/>
          <w:sz w:val="20"/>
          <w:szCs w:val="20"/>
        </w:rPr>
      </w:pPr>
      <w:r w:rsidRPr="00923427">
        <w:rPr>
          <w:rFonts w:ascii="Open Sans" w:hAnsi="Open Sans" w:cs="Open Sans"/>
          <w:b/>
          <w:bCs/>
          <w:i/>
          <w:iCs/>
          <w:sz w:val="20"/>
          <w:szCs w:val="20"/>
        </w:rPr>
        <w:t xml:space="preserve">A </w:t>
      </w:r>
      <w:r w:rsidR="001309D7">
        <w:rPr>
          <w:rFonts w:ascii="Open Sans" w:hAnsi="Open Sans" w:cs="Open Sans"/>
          <w:b/>
          <w:bCs/>
          <w:i/>
          <w:iCs/>
          <w:sz w:val="20"/>
          <w:szCs w:val="20"/>
        </w:rPr>
        <w:t>b</w:t>
      </w:r>
      <w:r w:rsidRPr="00923427">
        <w:rPr>
          <w:rFonts w:ascii="Open Sans" w:hAnsi="Open Sans" w:cs="Open Sans"/>
          <w:b/>
          <w:bCs/>
          <w:i/>
          <w:iCs/>
          <w:sz w:val="20"/>
          <w:szCs w:val="20"/>
        </w:rPr>
        <w:t xml:space="preserve">iomass </w:t>
      </w:r>
      <w:r w:rsidR="001309D7">
        <w:rPr>
          <w:rFonts w:ascii="Open Sans" w:hAnsi="Open Sans" w:cs="Open Sans"/>
          <w:b/>
          <w:bCs/>
          <w:i/>
          <w:iCs/>
          <w:sz w:val="20"/>
          <w:szCs w:val="20"/>
        </w:rPr>
        <w:t>a</w:t>
      </w:r>
      <w:r w:rsidRPr="00923427">
        <w:rPr>
          <w:rFonts w:ascii="Open Sans" w:hAnsi="Open Sans" w:cs="Open Sans"/>
          <w:b/>
          <w:bCs/>
          <w:i/>
          <w:iCs/>
          <w:sz w:val="20"/>
          <w:szCs w:val="20"/>
        </w:rPr>
        <w:t xml:space="preserve">vailability </w:t>
      </w:r>
      <w:r w:rsidR="001309D7">
        <w:rPr>
          <w:rFonts w:ascii="Open Sans" w:hAnsi="Open Sans" w:cs="Open Sans"/>
          <w:b/>
          <w:bCs/>
          <w:i/>
          <w:iCs/>
          <w:sz w:val="20"/>
          <w:szCs w:val="20"/>
        </w:rPr>
        <w:t>t</w:t>
      </w:r>
      <w:r w:rsidRPr="00923427">
        <w:rPr>
          <w:rFonts w:ascii="Open Sans" w:hAnsi="Open Sans" w:cs="Open Sans"/>
          <w:b/>
          <w:bCs/>
          <w:i/>
          <w:iCs/>
          <w:sz w:val="20"/>
          <w:szCs w:val="20"/>
        </w:rPr>
        <w:t xml:space="preserve">askforce </w:t>
      </w:r>
      <w:r w:rsidR="0036441F">
        <w:rPr>
          <w:rFonts w:ascii="Open Sans" w:hAnsi="Open Sans" w:cs="Open Sans"/>
          <w:b/>
          <w:bCs/>
          <w:i/>
          <w:iCs/>
          <w:sz w:val="20"/>
          <w:szCs w:val="20"/>
        </w:rPr>
        <w:t>s</w:t>
      </w:r>
      <w:r w:rsidRPr="00923427">
        <w:rPr>
          <w:rFonts w:ascii="Open Sans" w:hAnsi="Open Sans" w:cs="Open Sans"/>
          <w:b/>
          <w:bCs/>
          <w:i/>
          <w:iCs/>
          <w:sz w:val="20"/>
          <w:szCs w:val="20"/>
        </w:rPr>
        <w:t xml:space="preserve">hould be established to get cross-stakeholder agreement on </w:t>
      </w:r>
      <w:r w:rsidR="00562759" w:rsidRPr="00923427">
        <w:rPr>
          <w:rFonts w:ascii="Open Sans" w:hAnsi="Open Sans" w:cs="Open Sans"/>
          <w:b/>
          <w:bCs/>
          <w:i/>
          <w:iCs/>
          <w:sz w:val="20"/>
          <w:szCs w:val="20"/>
        </w:rPr>
        <w:t>availability.</w:t>
      </w:r>
    </w:p>
    <w:p w14:paraId="708FF81B" w14:textId="0443A0EF" w:rsidR="004B062E" w:rsidRPr="00923427" w:rsidRDefault="004B062E" w:rsidP="00D2531D">
      <w:pPr>
        <w:rPr>
          <w:rFonts w:ascii="Open Sans" w:hAnsi="Open Sans" w:cs="Open Sans"/>
          <w:sz w:val="20"/>
          <w:szCs w:val="20"/>
        </w:rPr>
      </w:pPr>
      <w:r w:rsidRPr="00923427">
        <w:rPr>
          <w:rFonts w:ascii="Open Sans" w:hAnsi="Open Sans" w:cs="Open Sans"/>
          <w:sz w:val="20"/>
          <w:szCs w:val="20"/>
        </w:rPr>
        <w:t xml:space="preserve">Given the diverse range of feedstock supply chains, and range of studies considering different routes to biomass availability, the REA propose a cross stakeholder taskforce that could </w:t>
      </w:r>
      <w:r w:rsidR="006A274E" w:rsidRPr="00923427">
        <w:rPr>
          <w:rFonts w:ascii="Open Sans" w:hAnsi="Open Sans" w:cs="Open Sans"/>
          <w:sz w:val="20"/>
          <w:szCs w:val="20"/>
        </w:rPr>
        <w:t>compile</w:t>
      </w:r>
      <w:r w:rsidRPr="00923427">
        <w:rPr>
          <w:rFonts w:ascii="Open Sans" w:hAnsi="Open Sans" w:cs="Open Sans"/>
          <w:sz w:val="20"/>
          <w:szCs w:val="20"/>
        </w:rPr>
        <w:t xml:space="preserve"> existing data</w:t>
      </w:r>
      <w:r w:rsidR="009C11D3" w:rsidRPr="00923427">
        <w:rPr>
          <w:rFonts w:ascii="Open Sans" w:hAnsi="Open Sans" w:cs="Open Sans"/>
          <w:sz w:val="20"/>
          <w:szCs w:val="20"/>
        </w:rPr>
        <w:t xml:space="preserve"> </w:t>
      </w:r>
      <w:r w:rsidRPr="00923427">
        <w:rPr>
          <w:rFonts w:ascii="Open Sans" w:hAnsi="Open Sans" w:cs="Open Sans"/>
          <w:sz w:val="20"/>
          <w:szCs w:val="20"/>
        </w:rPr>
        <w:t xml:space="preserve">and commission new research </w:t>
      </w:r>
      <w:r w:rsidR="006A274E" w:rsidRPr="00923427">
        <w:rPr>
          <w:rFonts w:ascii="Open Sans" w:hAnsi="Open Sans" w:cs="Open Sans"/>
          <w:sz w:val="20"/>
          <w:szCs w:val="20"/>
        </w:rPr>
        <w:t>to</w:t>
      </w:r>
      <w:r w:rsidRPr="00923427">
        <w:rPr>
          <w:rFonts w:ascii="Open Sans" w:hAnsi="Open Sans" w:cs="Open Sans"/>
          <w:sz w:val="20"/>
          <w:szCs w:val="20"/>
        </w:rPr>
        <w:t xml:space="preserve"> get cross stakeholder agreement on </w:t>
      </w:r>
      <w:r w:rsidR="006A274E" w:rsidRPr="00923427">
        <w:rPr>
          <w:rFonts w:ascii="Open Sans" w:hAnsi="Open Sans" w:cs="Open Sans"/>
          <w:sz w:val="20"/>
          <w:szCs w:val="20"/>
        </w:rPr>
        <w:t xml:space="preserve">sustainable </w:t>
      </w:r>
      <w:r w:rsidRPr="00923427">
        <w:rPr>
          <w:rFonts w:ascii="Open Sans" w:hAnsi="Open Sans" w:cs="Open Sans"/>
          <w:sz w:val="20"/>
          <w:szCs w:val="20"/>
        </w:rPr>
        <w:t xml:space="preserve">available biomass supplies. This will likely need to be a </w:t>
      </w:r>
      <w:r w:rsidR="006A274E" w:rsidRPr="00923427">
        <w:rPr>
          <w:rFonts w:ascii="Open Sans" w:hAnsi="Open Sans" w:cs="Open Sans"/>
          <w:sz w:val="20"/>
          <w:szCs w:val="20"/>
        </w:rPr>
        <w:t xml:space="preserve">recurrent taskforce that is able to </w:t>
      </w:r>
      <w:r w:rsidR="006A274E" w:rsidRPr="00923427">
        <w:rPr>
          <w:rFonts w:ascii="Open Sans" w:hAnsi="Open Sans" w:cs="Open Sans"/>
          <w:sz w:val="20"/>
          <w:szCs w:val="20"/>
        </w:rPr>
        <w:lastRenderedPageBreak/>
        <w:t xml:space="preserve">consider new information as it becomes available and as the industry continues to innovate and develop. The REA </w:t>
      </w:r>
      <w:r w:rsidR="009C11D3" w:rsidRPr="00923427">
        <w:rPr>
          <w:rFonts w:ascii="Open Sans" w:hAnsi="Open Sans" w:cs="Open Sans"/>
          <w:sz w:val="20"/>
          <w:szCs w:val="20"/>
        </w:rPr>
        <w:t>would be</w:t>
      </w:r>
      <w:r w:rsidR="006A274E" w:rsidRPr="00923427">
        <w:rPr>
          <w:rFonts w:ascii="Open Sans" w:hAnsi="Open Sans" w:cs="Open Sans"/>
          <w:sz w:val="20"/>
          <w:szCs w:val="20"/>
        </w:rPr>
        <w:t xml:space="preserve"> happy to support the establishment of such a taskforce. </w:t>
      </w:r>
    </w:p>
    <w:p w14:paraId="6946DE8E" w14:textId="7B039998" w:rsidR="00CC12E5" w:rsidRPr="00923427" w:rsidRDefault="00F029ED" w:rsidP="00D2531D">
      <w:pPr>
        <w:rPr>
          <w:rFonts w:ascii="Open Sans" w:hAnsi="Open Sans" w:cs="Open Sans"/>
          <w:b/>
          <w:bCs/>
          <w:i/>
          <w:iCs/>
          <w:sz w:val="20"/>
          <w:szCs w:val="20"/>
        </w:rPr>
      </w:pPr>
      <w:r w:rsidRPr="00923427">
        <w:rPr>
          <w:rFonts w:ascii="Open Sans" w:hAnsi="Open Sans" w:cs="Open Sans"/>
          <w:b/>
          <w:bCs/>
          <w:i/>
          <w:iCs/>
          <w:sz w:val="20"/>
          <w:szCs w:val="20"/>
        </w:rPr>
        <w:t xml:space="preserve">Further </w:t>
      </w:r>
      <w:r w:rsidR="00CC12E5" w:rsidRPr="00923427">
        <w:rPr>
          <w:rFonts w:ascii="Open Sans" w:hAnsi="Open Sans" w:cs="Open Sans"/>
          <w:b/>
          <w:bCs/>
          <w:i/>
          <w:iCs/>
          <w:sz w:val="20"/>
          <w:szCs w:val="20"/>
        </w:rPr>
        <w:t xml:space="preserve">Biomass Availability </w:t>
      </w:r>
      <w:r w:rsidRPr="00923427">
        <w:rPr>
          <w:rFonts w:ascii="Open Sans" w:hAnsi="Open Sans" w:cs="Open Sans"/>
          <w:b/>
          <w:bCs/>
          <w:i/>
          <w:iCs/>
          <w:sz w:val="20"/>
          <w:szCs w:val="20"/>
        </w:rPr>
        <w:t xml:space="preserve">Evidence: </w:t>
      </w:r>
    </w:p>
    <w:p w14:paraId="4C078677" w14:textId="152F6F64" w:rsidR="00CC12E5" w:rsidRPr="00FF1DD7" w:rsidRDefault="00B676E9" w:rsidP="00FF1DD7">
      <w:pPr>
        <w:pStyle w:val="ListParagraph"/>
        <w:numPr>
          <w:ilvl w:val="0"/>
          <w:numId w:val="15"/>
        </w:numPr>
        <w:rPr>
          <w:rFonts w:ascii="Open Sans" w:hAnsi="Open Sans" w:cs="Open Sans"/>
          <w:sz w:val="20"/>
          <w:szCs w:val="20"/>
        </w:rPr>
      </w:pPr>
      <w:r w:rsidRPr="00FF1DD7">
        <w:rPr>
          <w:rFonts w:ascii="Open Sans" w:hAnsi="Open Sans" w:cs="Open Sans"/>
          <w:sz w:val="20"/>
          <w:szCs w:val="20"/>
        </w:rPr>
        <w:t xml:space="preserve">Dale, V. et al. (2017) Status and Prospect for renewable energy using wood pellets from the </w:t>
      </w:r>
      <w:proofErr w:type="spellStart"/>
      <w:r w:rsidRPr="00FF1DD7">
        <w:rPr>
          <w:rFonts w:ascii="Open Sans" w:hAnsi="Open Sans" w:cs="Open Sans"/>
          <w:sz w:val="20"/>
          <w:szCs w:val="20"/>
        </w:rPr>
        <w:t>southeastern</w:t>
      </w:r>
      <w:proofErr w:type="spellEnd"/>
      <w:r w:rsidRPr="00FF1DD7">
        <w:rPr>
          <w:rFonts w:ascii="Open Sans" w:hAnsi="Open Sans" w:cs="Open Sans"/>
          <w:sz w:val="20"/>
          <w:szCs w:val="20"/>
        </w:rPr>
        <w:t xml:space="preserve"> United Stated, </w:t>
      </w:r>
      <w:r w:rsidRPr="00FF1DD7">
        <w:rPr>
          <w:rFonts w:ascii="Open Sans" w:hAnsi="Open Sans" w:cs="Open Sans"/>
          <w:i/>
          <w:iCs/>
          <w:sz w:val="20"/>
          <w:szCs w:val="20"/>
        </w:rPr>
        <w:t>GCB Bioenergy</w:t>
      </w:r>
      <w:r w:rsidRPr="00FF1DD7">
        <w:rPr>
          <w:rFonts w:ascii="Open Sans" w:hAnsi="Open Sans" w:cs="Open Sans"/>
          <w:sz w:val="20"/>
          <w:szCs w:val="20"/>
        </w:rPr>
        <w:t xml:space="preserve">, 9: 1296-1305. </w:t>
      </w:r>
      <w:hyperlink r:id="rId8" w:history="1">
        <w:r w:rsidRPr="00FF1DD7">
          <w:rPr>
            <w:rStyle w:val="Hyperlink"/>
            <w:rFonts w:ascii="Open Sans" w:hAnsi="Open Sans" w:cs="Open Sans"/>
            <w:sz w:val="20"/>
            <w:szCs w:val="20"/>
          </w:rPr>
          <w:t>https://doi.org/10.1111/gcbb.12445</w:t>
        </w:r>
      </w:hyperlink>
    </w:p>
    <w:p w14:paraId="5E9D74D0" w14:textId="6D82661D" w:rsidR="00B676E9" w:rsidRPr="00FF1DD7" w:rsidRDefault="00B676E9" w:rsidP="00FF1DD7">
      <w:pPr>
        <w:pStyle w:val="ListParagraph"/>
        <w:numPr>
          <w:ilvl w:val="0"/>
          <w:numId w:val="15"/>
        </w:numPr>
        <w:rPr>
          <w:rFonts w:ascii="Open Sans" w:hAnsi="Open Sans" w:cs="Open Sans"/>
          <w:sz w:val="20"/>
          <w:szCs w:val="20"/>
        </w:rPr>
      </w:pPr>
      <w:r w:rsidRPr="00FF1DD7">
        <w:rPr>
          <w:rFonts w:ascii="Open Sans" w:hAnsi="Open Sans" w:cs="Open Sans"/>
          <w:sz w:val="20"/>
          <w:szCs w:val="20"/>
        </w:rPr>
        <w:t xml:space="preserve">Reid A. Miner, Robert C. </w:t>
      </w:r>
      <w:proofErr w:type="spellStart"/>
      <w:r w:rsidRPr="00FF1DD7">
        <w:rPr>
          <w:rFonts w:ascii="Open Sans" w:hAnsi="Open Sans" w:cs="Open Sans"/>
          <w:sz w:val="20"/>
          <w:szCs w:val="20"/>
        </w:rPr>
        <w:t>Abt</w:t>
      </w:r>
      <w:proofErr w:type="spellEnd"/>
      <w:r w:rsidRPr="00FF1DD7">
        <w:rPr>
          <w:rFonts w:ascii="Open Sans" w:hAnsi="Open Sans" w:cs="Open Sans"/>
          <w:sz w:val="20"/>
          <w:szCs w:val="20"/>
        </w:rPr>
        <w:t xml:space="preserve">, Jim L. Bowyer, Marilyn A. Buford, Robert W. </w:t>
      </w:r>
      <w:proofErr w:type="spellStart"/>
      <w:r w:rsidRPr="00FF1DD7">
        <w:rPr>
          <w:rFonts w:ascii="Open Sans" w:hAnsi="Open Sans" w:cs="Open Sans"/>
          <w:sz w:val="20"/>
          <w:szCs w:val="20"/>
        </w:rPr>
        <w:t>Malmsheimer</w:t>
      </w:r>
      <w:proofErr w:type="spellEnd"/>
      <w:r w:rsidRPr="00FF1DD7">
        <w:rPr>
          <w:rFonts w:ascii="Open Sans" w:hAnsi="Open Sans" w:cs="Open Sans"/>
          <w:sz w:val="20"/>
          <w:szCs w:val="20"/>
        </w:rPr>
        <w:t xml:space="preserve">, Jay </w:t>
      </w:r>
      <w:proofErr w:type="spellStart"/>
      <w:r w:rsidRPr="00FF1DD7">
        <w:rPr>
          <w:rFonts w:ascii="Open Sans" w:hAnsi="Open Sans" w:cs="Open Sans"/>
          <w:sz w:val="20"/>
          <w:szCs w:val="20"/>
        </w:rPr>
        <w:t>O'Laughlin</w:t>
      </w:r>
      <w:proofErr w:type="spellEnd"/>
      <w:r w:rsidRPr="00FF1DD7">
        <w:rPr>
          <w:rFonts w:ascii="Open Sans" w:hAnsi="Open Sans" w:cs="Open Sans"/>
          <w:sz w:val="20"/>
          <w:szCs w:val="20"/>
        </w:rPr>
        <w:t xml:space="preserve">, Elaine E. </w:t>
      </w:r>
      <w:proofErr w:type="spellStart"/>
      <w:r w:rsidRPr="00FF1DD7">
        <w:rPr>
          <w:rFonts w:ascii="Open Sans" w:hAnsi="Open Sans" w:cs="Open Sans"/>
          <w:sz w:val="20"/>
          <w:szCs w:val="20"/>
        </w:rPr>
        <w:t>Oneil</w:t>
      </w:r>
      <w:proofErr w:type="spellEnd"/>
      <w:r w:rsidRPr="00FF1DD7">
        <w:rPr>
          <w:rFonts w:ascii="Open Sans" w:hAnsi="Open Sans" w:cs="Open Sans"/>
          <w:sz w:val="20"/>
          <w:szCs w:val="20"/>
        </w:rPr>
        <w:t xml:space="preserve">, Roger A. </w:t>
      </w:r>
      <w:proofErr w:type="spellStart"/>
      <w:r w:rsidRPr="00FF1DD7">
        <w:rPr>
          <w:rFonts w:ascii="Open Sans" w:hAnsi="Open Sans" w:cs="Open Sans"/>
          <w:sz w:val="20"/>
          <w:szCs w:val="20"/>
        </w:rPr>
        <w:t>Sedjo</w:t>
      </w:r>
      <w:proofErr w:type="spellEnd"/>
      <w:r w:rsidRPr="00FF1DD7">
        <w:rPr>
          <w:rFonts w:ascii="Open Sans" w:hAnsi="Open Sans" w:cs="Open Sans"/>
          <w:sz w:val="20"/>
          <w:szCs w:val="20"/>
        </w:rPr>
        <w:t xml:space="preserve">, Kenneth E. Skog, Forest (2014)  ‘Carbon Accounting Considerations in US Bioenergy Policy’, </w:t>
      </w:r>
      <w:r w:rsidRPr="00FF1DD7">
        <w:rPr>
          <w:rStyle w:val="Emphasis"/>
          <w:rFonts w:ascii="Open Sans" w:hAnsi="Open Sans" w:cs="Open Sans"/>
          <w:sz w:val="20"/>
          <w:szCs w:val="20"/>
        </w:rPr>
        <w:t>Journal of Forestry</w:t>
      </w:r>
      <w:r w:rsidRPr="00FF1DD7">
        <w:rPr>
          <w:rFonts w:ascii="Open Sans" w:hAnsi="Open Sans" w:cs="Open Sans"/>
          <w:sz w:val="20"/>
          <w:szCs w:val="20"/>
        </w:rPr>
        <w:t xml:space="preserve">, Volume 112, Issue 6, November (2014) Pages 591–606, </w:t>
      </w:r>
      <w:hyperlink r:id="rId9" w:history="1">
        <w:r w:rsidRPr="00FF1DD7">
          <w:rPr>
            <w:rStyle w:val="Hyperlink"/>
            <w:rFonts w:ascii="Open Sans" w:hAnsi="Open Sans" w:cs="Open Sans"/>
            <w:sz w:val="20"/>
            <w:szCs w:val="20"/>
          </w:rPr>
          <w:t>https://doi.org/10.5849/jof.14-009</w:t>
        </w:r>
      </w:hyperlink>
    </w:p>
    <w:p w14:paraId="3E9468C3" w14:textId="7369FE0F" w:rsidR="00B676E9" w:rsidRDefault="000077A0" w:rsidP="00FF1DD7">
      <w:pPr>
        <w:pStyle w:val="ListParagraph"/>
        <w:numPr>
          <w:ilvl w:val="0"/>
          <w:numId w:val="15"/>
        </w:numPr>
        <w:rPr>
          <w:rFonts w:ascii="Open Sans" w:hAnsi="Open Sans" w:cs="Open Sans"/>
          <w:sz w:val="20"/>
          <w:szCs w:val="20"/>
        </w:rPr>
      </w:pPr>
      <w:hyperlink r:id="rId10" w:history="1">
        <w:r w:rsidR="00B676E9" w:rsidRPr="00FF1DD7">
          <w:rPr>
            <w:rStyle w:val="Hyperlink"/>
            <w:rFonts w:ascii="Open Sans" w:hAnsi="Open Sans" w:cs="Open Sans"/>
            <w:sz w:val="20"/>
            <w:szCs w:val="20"/>
          </w:rPr>
          <w:t>Welfle, A</w:t>
        </w:r>
      </w:hyperlink>
      <w:r w:rsidR="00B676E9" w:rsidRPr="00FF1DD7">
        <w:rPr>
          <w:rFonts w:ascii="Open Sans" w:hAnsi="Open Sans" w:cs="Open Sans"/>
          <w:sz w:val="20"/>
          <w:szCs w:val="20"/>
        </w:rPr>
        <w:t xml:space="preserve">, Holland, R, </w:t>
      </w:r>
      <w:proofErr w:type="spellStart"/>
      <w:r w:rsidR="00B676E9" w:rsidRPr="00FF1DD7">
        <w:rPr>
          <w:rFonts w:ascii="Open Sans" w:hAnsi="Open Sans" w:cs="Open Sans"/>
          <w:sz w:val="20"/>
          <w:szCs w:val="20"/>
        </w:rPr>
        <w:t>Donnison</w:t>
      </w:r>
      <w:proofErr w:type="spellEnd"/>
      <w:r w:rsidR="00B676E9" w:rsidRPr="00FF1DD7">
        <w:rPr>
          <w:rFonts w:ascii="Open Sans" w:hAnsi="Open Sans" w:cs="Open Sans"/>
          <w:sz w:val="20"/>
          <w:szCs w:val="20"/>
        </w:rPr>
        <w:t xml:space="preserve">, I &amp; Thornley, P 2020, </w:t>
      </w:r>
      <w:hyperlink r:id="rId11" w:history="1">
        <w:r w:rsidR="00B676E9" w:rsidRPr="00FF1DD7">
          <w:rPr>
            <w:rStyle w:val="Emphasis"/>
            <w:rFonts w:ascii="Open Sans" w:hAnsi="Open Sans" w:cs="Open Sans"/>
            <w:color w:val="0000FF"/>
            <w:sz w:val="20"/>
            <w:szCs w:val="20"/>
            <w:u w:val="single"/>
          </w:rPr>
          <w:t xml:space="preserve">UK Biomass Availability Modelling: Scoping Report </w:t>
        </w:r>
      </w:hyperlink>
      <w:r w:rsidR="00B676E9" w:rsidRPr="00FF1DD7">
        <w:rPr>
          <w:rFonts w:ascii="Open Sans" w:hAnsi="Open Sans" w:cs="Open Sans"/>
          <w:sz w:val="20"/>
          <w:szCs w:val="20"/>
        </w:rPr>
        <w:t xml:space="preserve">. </w:t>
      </w:r>
      <w:proofErr w:type="spellStart"/>
      <w:r w:rsidR="00B676E9" w:rsidRPr="00FF1DD7">
        <w:rPr>
          <w:rFonts w:ascii="Open Sans" w:hAnsi="Open Sans" w:cs="Open Sans"/>
          <w:sz w:val="20"/>
          <w:szCs w:val="20"/>
        </w:rPr>
        <w:t>Supergen</w:t>
      </w:r>
      <w:proofErr w:type="spellEnd"/>
      <w:r w:rsidR="00B676E9" w:rsidRPr="00FF1DD7">
        <w:rPr>
          <w:rFonts w:ascii="Open Sans" w:hAnsi="Open Sans" w:cs="Open Sans"/>
          <w:sz w:val="20"/>
          <w:szCs w:val="20"/>
        </w:rPr>
        <w:t xml:space="preserve"> Bioenergy Hub.</w:t>
      </w:r>
    </w:p>
    <w:p w14:paraId="44447C96" w14:textId="1BBD4362" w:rsidR="001309D7" w:rsidRDefault="001309D7" w:rsidP="00FF1DD7">
      <w:pPr>
        <w:pStyle w:val="ListParagraph"/>
        <w:numPr>
          <w:ilvl w:val="0"/>
          <w:numId w:val="15"/>
        </w:numPr>
        <w:rPr>
          <w:rFonts w:ascii="Open Sans" w:hAnsi="Open Sans" w:cs="Open Sans"/>
          <w:sz w:val="20"/>
          <w:szCs w:val="20"/>
        </w:rPr>
      </w:pPr>
      <w:r w:rsidRPr="001309D7">
        <w:rPr>
          <w:rFonts w:ascii="Open Sans" w:hAnsi="Open Sans" w:cs="Open Sans"/>
          <w:sz w:val="20"/>
          <w:szCs w:val="20"/>
        </w:rPr>
        <w:t xml:space="preserve">Forestry Commission (2020) Forestry Statistics 2020, </w:t>
      </w:r>
      <w:hyperlink r:id="rId12" w:history="1">
        <w:r w:rsidR="005143BA" w:rsidRPr="000B5F0C">
          <w:rPr>
            <w:rStyle w:val="Hyperlink"/>
            <w:rFonts w:ascii="Open Sans" w:hAnsi="Open Sans" w:cs="Open Sans"/>
            <w:sz w:val="20"/>
            <w:szCs w:val="20"/>
          </w:rPr>
          <w:t>https://www.forestresearch.gov.uk/tools-and-resources/statistics/forestry-statistics/</w:t>
        </w:r>
      </w:hyperlink>
    </w:p>
    <w:p w14:paraId="687FB152" w14:textId="320AB1BA" w:rsidR="005143BA" w:rsidRPr="00FF1DD7" w:rsidRDefault="005143BA" w:rsidP="00FF1DD7">
      <w:pPr>
        <w:pStyle w:val="ListParagraph"/>
        <w:numPr>
          <w:ilvl w:val="0"/>
          <w:numId w:val="15"/>
        </w:numPr>
        <w:rPr>
          <w:rFonts w:ascii="Open Sans" w:hAnsi="Open Sans" w:cs="Open Sans"/>
          <w:sz w:val="20"/>
          <w:szCs w:val="20"/>
        </w:rPr>
      </w:pPr>
      <w:r w:rsidRPr="005143BA">
        <w:rPr>
          <w:rFonts w:ascii="Open Sans" w:hAnsi="Open Sans" w:cs="Open Sans"/>
          <w:sz w:val="20"/>
          <w:szCs w:val="20"/>
        </w:rPr>
        <w:t xml:space="preserve">Anthesis &amp; E4Tech, 2017. Review of Bioenergy Potential: Technical Report For Cadent Gas Ltd. </w:t>
      </w:r>
      <w:hyperlink r:id="rId13" w:history="1">
        <w:r w:rsidRPr="000B5F0C">
          <w:rPr>
            <w:rStyle w:val="Hyperlink"/>
            <w:rFonts w:ascii="Open Sans" w:hAnsi="Open Sans" w:cs="Open Sans"/>
            <w:sz w:val="20"/>
            <w:szCs w:val="20"/>
          </w:rPr>
          <w:t>https://cadentgas.com/nggdwsdev/media/media/reports/futureofgas/Cadent-Bioenergy-Market-Review-TECHNICAL-Report-FINAL-amended.pdf</w:t>
        </w:r>
      </w:hyperlink>
      <w:r>
        <w:rPr>
          <w:rFonts w:ascii="Open Sans" w:hAnsi="Open Sans" w:cs="Open Sans"/>
          <w:sz w:val="20"/>
          <w:szCs w:val="20"/>
        </w:rPr>
        <w:t xml:space="preserve"> </w:t>
      </w:r>
    </w:p>
    <w:p w14:paraId="7FF8DBBC" w14:textId="1ACA851F" w:rsidR="002A2492" w:rsidRDefault="006A274E" w:rsidP="00FF1DD7">
      <w:pPr>
        <w:pStyle w:val="ListParagraph"/>
        <w:numPr>
          <w:ilvl w:val="0"/>
          <w:numId w:val="15"/>
        </w:numPr>
        <w:rPr>
          <w:rStyle w:val="Hyperlink"/>
          <w:rFonts w:ascii="Open Sans" w:hAnsi="Open Sans" w:cs="Open Sans"/>
          <w:sz w:val="20"/>
          <w:szCs w:val="20"/>
        </w:rPr>
      </w:pPr>
      <w:r w:rsidRPr="00FF1DD7">
        <w:rPr>
          <w:rFonts w:ascii="Open Sans" w:hAnsi="Open Sans" w:cs="Open Sans"/>
          <w:sz w:val="20"/>
          <w:szCs w:val="20"/>
        </w:rPr>
        <w:t xml:space="preserve">Renewable Fuels Agency (2008) The Gallagher </w:t>
      </w:r>
      <w:proofErr w:type="gramStart"/>
      <w:r w:rsidRPr="00FF1DD7">
        <w:rPr>
          <w:rFonts w:ascii="Open Sans" w:hAnsi="Open Sans" w:cs="Open Sans"/>
          <w:sz w:val="20"/>
          <w:szCs w:val="20"/>
        </w:rPr>
        <w:t>Review  of</w:t>
      </w:r>
      <w:proofErr w:type="gramEnd"/>
      <w:r w:rsidRPr="00FF1DD7">
        <w:rPr>
          <w:rFonts w:ascii="Open Sans" w:hAnsi="Open Sans" w:cs="Open Sans"/>
          <w:sz w:val="20"/>
          <w:szCs w:val="20"/>
        </w:rPr>
        <w:t xml:space="preserve"> the indirect effects of biofuels production, </w:t>
      </w:r>
      <w:hyperlink r:id="rId14" w:history="1">
        <w:r w:rsidRPr="00FF1DD7">
          <w:rPr>
            <w:rStyle w:val="Hyperlink"/>
            <w:rFonts w:ascii="Open Sans" w:hAnsi="Open Sans" w:cs="Open Sans"/>
            <w:sz w:val="20"/>
            <w:szCs w:val="20"/>
          </w:rPr>
          <w:t>https://www.unido.org/sites/default/files/2009-11/Gallagher_Report_0.pdf</w:t>
        </w:r>
      </w:hyperlink>
    </w:p>
    <w:p w14:paraId="0D77F7DF" w14:textId="07259A21" w:rsidR="00220257" w:rsidRPr="00923427" w:rsidRDefault="00220257" w:rsidP="00882FC4">
      <w:pPr>
        <w:pBdr>
          <w:bottom w:val="single" w:sz="6" w:space="1" w:color="auto"/>
        </w:pBdr>
        <w:rPr>
          <w:rFonts w:ascii="Open Sans" w:hAnsi="Open Sans" w:cs="Open Sans"/>
          <w:b/>
          <w:bCs/>
          <w:color w:val="2F5496"/>
          <w:sz w:val="20"/>
          <w:szCs w:val="20"/>
        </w:rPr>
      </w:pPr>
      <w:bookmarkStart w:id="0" w:name="_Hlk72420574"/>
    </w:p>
    <w:p w14:paraId="79A5F9B8" w14:textId="60EEECD8" w:rsidR="008E48FA" w:rsidRPr="00923427" w:rsidRDefault="00ED0279" w:rsidP="00882FC4">
      <w:pPr>
        <w:rPr>
          <w:rFonts w:ascii="Open Sans" w:hAnsi="Open Sans" w:cs="Open Sans"/>
          <w:color w:val="2F5496"/>
          <w:sz w:val="20"/>
          <w:szCs w:val="20"/>
        </w:rPr>
      </w:pPr>
      <w:r w:rsidRPr="00923427">
        <w:rPr>
          <w:rFonts w:ascii="Open Sans" w:hAnsi="Open Sans" w:cs="Open Sans"/>
          <w:b/>
          <w:bCs/>
          <w:color w:val="2F5496"/>
          <w:sz w:val="20"/>
          <w:szCs w:val="20"/>
        </w:rPr>
        <w:t xml:space="preserve">3. What are the current and potential future costs of supplying these different biomass feedstock types, and the key environmental and land-use impacts (positive or negative) associated with supplying and utilising these different types of </w:t>
      </w:r>
      <w:proofErr w:type="gramStart"/>
      <w:r w:rsidRPr="00923427">
        <w:rPr>
          <w:rFonts w:ascii="Open Sans" w:hAnsi="Open Sans" w:cs="Open Sans"/>
          <w:b/>
          <w:bCs/>
          <w:color w:val="2F5496"/>
          <w:sz w:val="20"/>
          <w:szCs w:val="20"/>
        </w:rPr>
        <w:t>biomass</w:t>
      </w:r>
      <w:proofErr w:type="gramEnd"/>
      <w:r w:rsidRPr="00923427">
        <w:rPr>
          <w:rFonts w:ascii="Open Sans" w:hAnsi="Open Sans" w:cs="Open Sans"/>
          <w:b/>
          <w:bCs/>
          <w:color w:val="2F5496"/>
          <w:sz w:val="20"/>
          <w:szCs w:val="20"/>
        </w:rPr>
        <w:t>, e.g. impacts on GHG emissions, air quality, water quality, soil health, biodiversity, food security, land availability, etc</w:t>
      </w:r>
      <w:r w:rsidRPr="00923427">
        <w:rPr>
          <w:rFonts w:ascii="Open Sans" w:hAnsi="Open Sans" w:cs="Open Sans"/>
          <w:color w:val="2F5496"/>
          <w:sz w:val="20"/>
          <w:szCs w:val="20"/>
        </w:rPr>
        <w:t xml:space="preserve">? </w:t>
      </w:r>
    </w:p>
    <w:bookmarkEnd w:id="0"/>
    <w:p w14:paraId="08F47A00" w14:textId="77777777" w:rsidR="00397098" w:rsidRPr="00923427" w:rsidRDefault="0037201A" w:rsidP="00882FC4">
      <w:pPr>
        <w:rPr>
          <w:rFonts w:ascii="Open Sans" w:hAnsi="Open Sans" w:cs="Open Sans"/>
          <w:sz w:val="20"/>
          <w:szCs w:val="20"/>
        </w:rPr>
      </w:pPr>
      <w:r w:rsidRPr="00923427">
        <w:rPr>
          <w:rFonts w:ascii="Open Sans" w:hAnsi="Open Sans" w:cs="Open Sans"/>
          <w:sz w:val="20"/>
          <w:szCs w:val="20"/>
        </w:rPr>
        <w:t xml:space="preserve">Cost </w:t>
      </w:r>
      <w:r w:rsidR="00B8338A" w:rsidRPr="00923427">
        <w:rPr>
          <w:rFonts w:ascii="Open Sans" w:hAnsi="Open Sans" w:cs="Open Sans"/>
          <w:sz w:val="20"/>
          <w:szCs w:val="20"/>
        </w:rPr>
        <w:t xml:space="preserve">for different biomass feedstocks </w:t>
      </w:r>
      <w:r w:rsidR="00D341A0" w:rsidRPr="00923427">
        <w:rPr>
          <w:rFonts w:ascii="Open Sans" w:hAnsi="Open Sans" w:cs="Open Sans"/>
          <w:sz w:val="20"/>
          <w:szCs w:val="20"/>
        </w:rPr>
        <w:t>is</w:t>
      </w:r>
      <w:r w:rsidR="00B8338A" w:rsidRPr="00923427">
        <w:rPr>
          <w:rFonts w:ascii="Open Sans" w:hAnsi="Open Sans" w:cs="Open Sans"/>
          <w:sz w:val="20"/>
          <w:szCs w:val="20"/>
        </w:rPr>
        <w:t xml:space="preserve"> extremely variable, particularly in </w:t>
      </w:r>
      <w:r w:rsidR="00700CD0" w:rsidRPr="00923427">
        <w:rPr>
          <w:rFonts w:ascii="Open Sans" w:hAnsi="Open Sans" w:cs="Open Sans"/>
          <w:sz w:val="20"/>
          <w:szCs w:val="20"/>
        </w:rPr>
        <w:t>relation to</w:t>
      </w:r>
      <w:r w:rsidR="00770095" w:rsidRPr="00923427">
        <w:rPr>
          <w:rFonts w:ascii="Open Sans" w:hAnsi="Open Sans" w:cs="Open Sans"/>
          <w:sz w:val="20"/>
          <w:szCs w:val="20"/>
        </w:rPr>
        <w:t xml:space="preserve"> </w:t>
      </w:r>
      <w:r w:rsidR="00B8338A" w:rsidRPr="00923427">
        <w:rPr>
          <w:rFonts w:ascii="Open Sans" w:hAnsi="Open Sans" w:cs="Open Sans"/>
          <w:sz w:val="20"/>
          <w:szCs w:val="20"/>
        </w:rPr>
        <w:t xml:space="preserve">type, </w:t>
      </w:r>
      <w:r w:rsidR="000514EB" w:rsidRPr="00923427">
        <w:rPr>
          <w:rFonts w:ascii="Open Sans" w:hAnsi="Open Sans" w:cs="Open Sans"/>
          <w:sz w:val="20"/>
          <w:szCs w:val="20"/>
        </w:rPr>
        <w:t>specification,</w:t>
      </w:r>
      <w:r w:rsidR="00B8338A" w:rsidRPr="00923427">
        <w:rPr>
          <w:rFonts w:ascii="Open Sans" w:hAnsi="Open Sans" w:cs="Open Sans"/>
          <w:sz w:val="20"/>
          <w:szCs w:val="20"/>
        </w:rPr>
        <w:t xml:space="preserve"> and location. Different supply chains will experience different market dynamics</w:t>
      </w:r>
      <w:r w:rsidR="00813223" w:rsidRPr="00923427">
        <w:rPr>
          <w:rFonts w:ascii="Open Sans" w:hAnsi="Open Sans" w:cs="Open Sans"/>
          <w:sz w:val="20"/>
          <w:szCs w:val="20"/>
        </w:rPr>
        <w:t xml:space="preserve"> and it is not easy to say how feedstock prices will change in the future. </w:t>
      </w:r>
    </w:p>
    <w:p w14:paraId="193D6056" w14:textId="758AD3C8" w:rsidR="002E3E13" w:rsidRPr="00923427" w:rsidRDefault="002E3E13" w:rsidP="00882FC4">
      <w:pPr>
        <w:rPr>
          <w:rFonts w:ascii="Open Sans" w:hAnsi="Open Sans" w:cs="Open Sans"/>
          <w:b/>
          <w:bCs/>
          <w:i/>
          <w:iCs/>
          <w:sz w:val="20"/>
          <w:szCs w:val="20"/>
        </w:rPr>
      </w:pPr>
      <w:r w:rsidRPr="00923427">
        <w:rPr>
          <w:rFonts w:ascii="Open Sans" w:hAnsi="Open Sans" w:cs="Open Sans"/>
          <w:b/>
          <w:bCs/>
          <w:i/>
          <w:iCs/>
          <w:sz w:val="20"/>
          <w:szCs w:val="20"/>
        </w:rPr>
        <w:t xml:space="preserve">Market dynamics mean certain feedstocks may become cheaper as demand </w:t>
      </w:r>
      <w:r w:rsidR="000514EB" w:rsidRPr="00923427">
        <w:rPr>
          <w:rFonts w:ascii="Open Sans" w:hAnsi="Open Sans" w:cs="Open Sans"/>
          <w:b/>
          <w:bCs/>
          <w:i/>
          <w:iCs/>
          <w:sz w:val="20"/>
          <w:szCs w:val="20"/>
        </w:rPr>
        <w:t>increases.</w:t>
      </w:r>
    </w:p>
    <w:p w14:paraId="65EF8C78" w14:textId="69EB8A5A" w:rsidR="00770095" w:rsidRPr="00923427" w:rsidRDefault="00770095" w:rsidP="00882FC4">
      <w:pPr>
        <w:rPr>
          <w:rFonts w:ascii="Open Sans" w:hAnsi="Open Sans" w:cs="Open Sans"/>
          <w:sz w:val="20"/>
          <w:szCs w:val="20"/>
        </w:rPr>
      </w:pPr>
      <w:r w:rsidRPr="00923427">
        <w:rPr>
          <w:rFonts w:ascii="Open Sans" w:hAnsi="Open Sans" w:cs="Open Sans"/>
          <w:sz w:val="20"/>
          <w:szCs w:val="20"/>
        </w:rPr>
        <w:t xml:space="preserve">While it is generally true </w:t>
      </w:r>
      <w:r w:rsidR="002E3E13" w:rsidRPr="00923427">
        <w:rPr>
          <w:rFonts w:ascii="Open Sans" w:hAnsi="Open Sans" w:cs="Open Sans"/>
          <w:sz w:val="20"/>
          <w:szCs w:val="20"/>
        </w:rPr>
        <w:t xml:space="preserve">that increasing </w:t>
      </w:r>
      <w:r w:rsidRPr="00923427">
        <w:rPr>
          <w:rFonts w:ascii="Open Sans" w:hAnsi="Open Sans" w:cs="Open Sans"/>
          <w:sz w:val="20"/>
          <w:szCs w:val="20"/>
        </w:rPr>
        <w:t xml:space="preserve">demand </w:t>
      </w:r>
      <w:r w:rsidR="002E3E13" w:rsidRPr="00923427">
        <w:rPr>
          <w:rFonts w:ascii="Open Sans" w:hAnsi="Open Sans" w:cs="Open Sans"/>
          <w:sz w:val="20"/>
          <w:szCs w:val="20"/>
        </w:rPr>
        <w:t xml:space="preserve">will drive higher </w:t>
      </w:r>
      <w:r w:rsidRPr="00923427">
        <w:rPr>
          <w:rFonts w:ascii="Open Sans" w:hAnsi="Open Sans" w:cs="Open Sans"/>
          <w:sz w:val="20"/>
          <w:szCs w:val="20"/>
        </w:rPr>
        <w:t>feedstock price</w:t>
      </w:r>
      <w:r w:rsidR="00813223" w:rsidRPr="00923427">
        <w:rPr>
          <w:rFonts w:ascii="Open Sans" w:hAnsi="Open Sans" w:cs="Open Sans"/>
          <w:sz w:val="20"/>
          <w:szCs w:val="20"/>
        </w:rPr>
        <w:t xml:space="preserve">s, </w:t>
      </w:r>
      <w:r w:rsidRPr="00923427">
        <w:rPr>
          <w:rFonts w:ascii="Open Sans" w:hAnsi="Open Sans" w:cs="Open Sans"/>
          <w:sz w:val="20"/>
          <w:szCs w:val="20"/>
        </w:rPr>
        <w:t xml:space="preserve">this is not </w:t>
      </w:r>
      <w:r w:rsidR="007B5E42" w:rsidRPr="00923427">
        <w:rPr>
          <w:rFonts w:ascii="Open Sans" w:hAnsi="Open Sans" w:cs="Open Sans"/>
          <w:sz w:val="20"/>
          <w:szCs w:val="20"/>
        </w:rPr>
        <w:t>consistent</w:t>
      </w:r>
      <w:r w:rsidRPr="00923427">
        <w:rPr>
          <w:rFonts w:ascii="Open Sans" w:hAnsi="Open Sans" w:cs="Open Sans"/>
          <w:sz w:val="20"/>
          <w:szCs w:val="20"/>
        </w:rPr>
        <w:t xml:space="preserve"> as economies of scale mean </w:t>
      </w:r>
      <w:r w:rsidR="00813223" w:rsidRPr="00923427">
        <w:rPr>
          <w:rFonts w:ascii="Open Sans" w:hAnsi="Open Sans" w:cs="Open Sans"/>
          <w:sz w:val="20"/>
          <w:szCs w:val="20"/>
        </w:rPr>
        <w:t>higher demand</w:t>
      </w:r>
      <w:r w:rsidRPr="00923427">
        <w:rPr>
          <w:rFonts w:ascii="Open Sans" w:hAnsi="Open Sans" w:cs="Open Sans"/>
          <w:sz w:val="20"/>
          <w:szCs w:val="20"/>
        </w:rPr>
        <w:t xml:space="preserve"> </w:t>
      </w:r>
      <w:r w:rsidR="00017625" w:rsidRPr="00923427">
        <w:rPr>
          <w:rFonts w:ascii="Open Sans" w:hAnsi="Open Sans" w:cs="Open Sans"/>
          <w:sz w:val="20"/>
          <w:szCs w:val="20"/>
        </w:rPr>
        <w:t xml:space="preserve">will </w:t>
      </w:r>
      <w:r w:rsidR="00813223" w:rsidRPr="00923427">
        <w:rPr>
          <w:rFonts w:ascii="Open Sans" w:hAnsi="Open Sans" w:cs="Open Sans"/>
          <w:sz w:val="20"/>
          <w:szCs w:val="20"/>
        </w:rPr>
        <w:t xml:space="preserve">enable buyers, especially larger </w:t>
      </w:r>
      <w:r w:rsidR="007658FB" w:rsidRPr="00923427">
        <w:rPr>
          <w:rFonts w:ascii="Open Sans" w:hAnsi="Open Sans" w:cs="Open Sans"/>
          <w:sz w:val="20"/>
          <w:szCs w:val="20"/>
        </w:rPr>
        <w:t>players</w:t>
      </w:r>
      <w:r w:rsidR="00813223" w:rsidRPr="00923427">
        <w:rPr>
          <w:rFonts w:ascii="Open Sans" w:hAnsi="Open Sans" w:cs="Open Sans"/>
          <w:sz w:val="20"/>
          <w:szCs w:val="20"/>
        </w:rPr>
        <w:t xml:space="preserve">, to </w:t>
      </w:r>
      <w:r w:rsidR="00017625" w:rsidRPr="00923427">
        <w:rPr>
          <w:rFonts w:ascii="Open Sans" w:hAnsi="Open Sans" w:cs="Open Sans"/>
          <w:sz w:val="20"/>
          <w:szCs w:val="20"/>
        </w:rPr>
        <w:t xml:space="preserve">be able to command </w:t>
      </w:r>
      <w:r w:rsidR="00BF1D13" w:rsidRPr="00923427">
        <w:rPr>
          <w:rFonts w:ascii="Open Sans" w:hAnsi="Open Sans" w:cs="Open Sans"/>
          <w:sz w:val="20"/>
          <w:szCs w:val="20"/>
        </w:rPr>
        <w:t>greater</w:t>
      </w:r>
      <w:r w:rsidR="00017625" w:rsidRPr="00923427">
        <w:rPr>
          <w:rFonts w:ascii="Open Sans" w:hAnsi="Open Sans" w:cs="Open Sans"/>
          <w:sz w:val="20"/>
          <w:szCs w:val="20"/>
        </w:rPr>
        <w:t xml:space="preserve"> </w:t>
      </w:r>
      <w:r w:rsidR="00BF1D13" w:rsidRPr="00923427">
        <w:rPr>
          <w:rFonts w:ascii="Open Sans" w:hAnsi="Open Sans" w:cs="Open Sans"/>
          <w:sz w:val="20"/>
          <w:szCs w:val="20"/>
        </w:rPr>
        <w:t>efficiencies</w:t>
      </w:r>
      <w:r w:rsidR="00017625" w:rsidRPr="00923427">
        <w:rPr>
          <w:rFonts w:ascii="Open Sans" w:hAnsi="Open Sans" w:cs="Open Sans"/>
          <w:sz w:val="20"/>
          <w:szCs w:val="20"/>
        </w:rPr>
        <w:t xml:space="preserve"> within their supply chain. As such, as the biomass sector and its supply chains further </w:t>
      </w:r>
      <w:r w:rsidR="00BF1D13" w:rsidRPr="00923427">
        <w:rPr>
          <w:rFonts w:ascii="Open Sans" w:hAnsi="Open Sans" w:cs="Open Sans"/>
          <w:sz w:val="20"/>
          <w:szCs w:val="20"/>
        </w:rPr>
        <w:t>mature</w:t>
      </w:r>
      <w:r w:rsidR="00017625" w:rsidRPr="00923427">
        <w:rPr>
          <w:rFonts w:ascii="Open Sans" w:hAnsi="Open Sans" w:cs="Open Sans"/>
          <w:sz w:val="20"/>
          <w:szCs w:val="20"/>
        </w:rPr>
        <w:t xml:space="preserve"> it is possible that feedstock prices decrease</w:t>
      </w:r>
      <w:r w:rsidR="007658FB" w:rsidRPr="00923427">
        <w:rPr>
          <w:rFonts w:ascii="Open Sans" w:hAnsi="Open Sans" w:cs="Open Sans"/>
          <w:sz w:val="20"/>
          <w:szCs w:val="20"/>
        </w:rPr>
        <w:t>,</w:t>
      </w:r>
      <w:r w:rsidR="00813223" w:rsidRPr="00923427">
        <w:rPr>
          <w:rFonts w:ascii="Open Sans" w:hAnsi="Open Sans" w:cs="Open Sans"/>
          <w:sz w:val="20"/>
          <w:szCs w:val="20"/>
        </w:rPr>
        <w:t xml:space="preserve"> even with greater demand in place</w:t>
      </w:r>
      <w:r w:rsidR="00017625" w:rsidRPr="00923427">
        <w:rPr>
          <w:rFonts w:ascii="Open Sans" w:hAnsi="Open Sans" w:cs="Open Sans"/>
          <w:sz w:val="20"/>
          <w:szCs w:val="20"/>
        </w:rPr>
        <w:t xml:space="preserve">. </w:t>
      </w:r>
    </w:p>
    <w:p w14:paraId="2931D679" w14:textId="2486EF40" w:rsidR="002E3E13" w:rsidRPr="00923427" w:rsidRDefault="002E3E13" w:rsidP="00882FC4">
      <w:pPr>
        <w:rPr>
          <w:rFonts w:ascii="Open Sans" w:hAnsi="Open Sans" w:cs="Open Sans"/>
          <w:sz w:val="20"/>
          <w:szCs w:val="20"/>
        </w:rPr>
      </w:pPr>
      <w:r w:rsidRPr="00923427">
        <w:rPr>
          <w:rFonts w:ascii="Open Sans" w:hAnsi="Open Sans" w:cs="Open Sans"/>
          <w:sz w:val="20"/>
          <w:szCs w:val="20"/>
        </w:rPr>
        <w:t xml:space="preserve">The continued decarbonisation of supply chains through low carbon innovation and efficiency gains in cultivation, production and transportation could also open new supply markets to the UK, which currently would be too carbon intensive to use. If done in accordance with strict sustainability governance arrangements, these new markets may also lead to wider global market where prices are kept low. </w:t>
      </w:r>
      <w:r w:rsidR="00C04405" w:rsidRPr="00923427">
        <w:rPr>
          <w:rFonts w:ascii="Open Sans" w:hAnsi="Open Sans" w:cs="Open Sans"/>
          <w:sz w:val="20"/>
          <w:szCs w:val="20"/>
        </w:rPr>
        <w:t xml:space="preserve">Such imports should continue to be independently certified, such as through the Sustainable Biomass Program, and if the UK starts to see significant level of imports from new markets, impact assessments could be commissioned to ensure sustainability standards and verify life cycle analysis calculations. </w:t>
      </w:r>
    </w:p>
    <w:p w14:paraId="6535221E" w14:textId="1AACA2B1" w:rsidR="00C04405" w:rsidRPr="00923427" w:rsidRDefault="00C04405" w:rsidP="00882FC4">
      <w:pPr>
        <w:rPr>
          <w:rFonts w:ascii="Open Sans" w:hAnsi="Open Sans" w:cs="Open Sans"/>
          <w:b/>
          <w:bCs/>
          <w:i/>
          <w:iCs/>
          <w:sz w:val="20"/>
          <w:szCs w:val="20"/>
        </w:rPr>
      </w:pPr>
      <w:r w:rsidRPr="00923427">
        <w:rPr>
          <w:rFonts w:ascii="Open Sans" w:hAnsi="Open Sans" w:cs="Open Sans"/>
          <w:b/>
          <w:bCs/>
          <w:i/>
          <w:iCs/>
          <w:sz w:val="20"/>
          <w:szCs w:val="20"/>
        </w:rPr>
        <w:t>Bioenergy also supports development of higher value wood products.</w:t>
      </w:r>
    </w:p>
    <w:p w14:paraId="62E7015E" w14:textId="3F43BBC3" w:rsidR="007B5E42" w:rsidRPr="00923427" w:rsidRDefault="00017625" w:rsidP="00882FC4">
      <w:pPr>
        <w:rPr>
          <w:rFonts w:ascii="Open Sans" w:hAnsi="Open Sans" w:cs="Open Sans"/>
          <w:sz w:val="20"/>
          <w:szCs w:val="20"/>
        </w:rPr>
      </w:pPr>
      <w:r w:rsidRPr="00923427">
        <w:rPr>
          <w:rFonts w:ascii="Open Sans" w:hAnsi="Open Sans" w:cs="Open Sans"/>
          <w:sz w:val="20"/>
          <w:szCs w:val="20"/>
        </w:rPr>
        <w:t xml:space="preserve">It is also important to consider feedstock prices in view of broader forestry market dynamics and the benefits that predictable </w:t>
      </w:r>
      <w:r w:rsidR="007B5E42" w:rsidRPr="00923427">
        <w:rPr>
          <w:rFonts w:ascii="Open Sans" w:hAnsi="Open Sans" w:cs="Open Sans"/>
          <w:sz w:val="20"/>
          <w:szCs w:val="20"/>
        </w:rPr>
        <w:t>long-term</w:t>
      </w:r>
      <w:r w:rsidRPr="00923427">
        <w:rPr>
          <w:rFonts w:ascii="Open Sans" w:hAnsi="Open Sans" w:cs="Open Sans"/>
          <w:sz w:val="20"/>
          <w:szCs w:val="20"/>
        </w:rPr>
        <w:t xml:space="preserve"> revenues </w:t>
      </w:r>
      <w:r w:rsidR="007B5E42" w:rsidRPr="00923427">
        <w:rPr>
          <w:rFonts w:ascii="Open Sans" w:hAnsi="Open Sans" w:cs="Open Sans"/>
          <w:sz w:val="20"/>
          <w:szCs w:val="20"/>
        </w:rPr>
        <w:t>deliver</w:t>
      </w:r>
      <w:r w:rsidRPr="00923427">
        <w:rPr>
          <w:rFonts w:ascii="Open Sans" w:hAnsi="Open Sans" w:cs="Open Sans"/>
          <w:sz w:val="20"/>
          <w:szCs w:val="20"/>
        </w:rPr>
        <w:t xml:space="preserve"> to the forestry or agricultural sector. For virgin biomass, bioenergy feedstocks are typically setting a floor price for the lowest value residues and offcuts</w:t>
      </w:r>
      <w:r w:rsidR="00813223" w:rsidRPr="00923427">
        <w:rPr>
          <w:rFonts w:ascii="Open Sans" w:hAnsi="Open Sans" w:cs="Open Sans"/>
          <w:sz w:val="20"/>
          <w:szCs w:val="20"/>
        </w:rPr>
        <w:t>. P</w:t>
      </w:r>
      <w:r w:rsidR="00BF1D13" w:rsidRPr="00923427">
        <w:rPr>
          <w:rFonts w:ascii="Open Sans" w:hAnsi="Open Sans" w:cs="Open Sans"/>
          <w:sz w:val="20"/>
          <w:szCs w:val="20"/>
        </w:rPr>
        <w:t xml:space="preserve">redictable demand for these products </w:t>
      </w:r>
      <w:r w:rsidRPr="00923427">
        <w:rPr>
          <w:rFonts w:ascii="Open Sans" w:hAnsi="Open Sans" w:cs="Open Sans"/>
          <w:sz w:val="20"/>
          <w:szCs w:val="20"/>
        </w:rPr>
        <w:t>provides a</w:t>
      </w:r>
      <w:r w:rsidR="00BF1D13" w:rsidRPr="00923427">
        <w:rPr>
          <w:rFonts w:ascii="Open Sans" w:hAnsi="Open Sans" w:cs="Open Sans"/>
          <w:sz w:val="20"/>
          <w:szCs w:val="20"/>
        </w:rPr>
        <w:t>n</w:t>
      </w:r>
      <w:r w:rsidRPr="00923427">
        <w:rPr>
          <w:rFonts w:ascii="Open Sans" w:hAnsi="Open Sans" w:cs="Open Sans"/>
          <w:sz w:val="20"/>
          <w:szCs w:val="20"/>
        </w:rPr>
        <w:t xml:space="preserve"> additional </w:t>
      </w:r>
      <w:r w:rsidR="00BF1D13" w:rsidRPr="00923427">
        <w:rPr>
          <w:rFonts w:ascii="Open Sans" w:hAnsi="Open Sans" w:cs="Open Sans"/>
          <w:sz w:val="20"/>
          <w:szCs w:val="20"/>
        </w:rPr>
        <w:t xml:space="preserve">secure </w:t>
      </w:r>
      <w:r w:rsidRPr="00923427">
        <w:rPr>
          <w:rFonts w:ascii="Open Sans" w:hAnsi="Open Sans" w:cs="Open Sans"/>
          <w:sz w:val="20"/>
          <w:szCs w:val="20"/>
        </w:rPr>
        <w:t>revenue stream</w:t>
      </w:r>
      <w:r w:rsidR="00813223" w:rsidRPr="00923427">
        <w:rPr>
          <w:rFonts w:ascii="Open Sans" w:hAnsi="Open Sans" w:cs="Open Sans"/>
          <w:sz w:val="20"/>
          <w:szCs w:val="20"/>
        </w:rPr>
        <w:t xml:space="preserve"> in addition to that received for higher value products</w:t>
      </w:r>
      <w:r w:rsidR="007B5E42" w:rsidRPr="00923427">
        <w:rPr>
          <w:rFonts w:ascii="Open Sans" w:hAnsi="Open Sans" w:cs="Open Sans"/>
          <w:sz w:val="20"/>
          <w:szCs w:val="20"/>
        </w:rPr>
        <w:t xml:space="preserve">. As such, if Government encourages more wood being used in construction, as recommended by the CCC, then availability of offcuts and </w:t>
      </w:r>
      <w:r w:rsidR="00813223" w:rsidRPr="00923427">
        <w:rPr>
          <w:rFonts w:ascii="Open Sans" w:hAnsi="Open Sans" w:cs="Open Sans"/>
          <w:sz w:val="20"/>
          <w:szCs w:val="20"/>
        </w:rPr>
        <w:t xml:space="preserve">thinning </w:t>
      </w:r>
      <w:r w:rsidR="00C04405" w:rsidRPr="00923427">
        <w:rPr>
          <w:rFonts w:ascii="Open Sans" w:hAnsi="Open Sans" w:cs="Open Sans"/>
          <w:sz w:val="20"/>
          <w:szCs w:val="20"/>
        </w:rPr>
        <w:t>will</w:t>
      </w:r>
      <w:r w:rsidR="00BF1D13" w:rsidRPr="00923427">
        <w:rPr>
          <w:rFonts w:ascii="Open Sans" w:hAnsi="Open Sans" w:cs="Open Sans"/>
          <w:sz w:val="20"/>
          <w:szCs w:val="20"/>
        </w:rPr>
        <w:t xml:space="preserve"> also increase, lowering feedstock prices</w:t>
      </w:r>
      <w:r w:rsidR="00C04405" w:rsidRPr="00923427">
        <w:rPr>
          <w:rFonts w:ascii="Open Sans" w:hAnsi="Open Sans" w:cs="Open Sans"/>
          <w:sz w:val="20"/>
          <w:szCs w:val="20"/>
        </w:rPr>
        <w:t>,</w:t>
      </w:r>
      <w:r w:rsidR="000E0E70" w:rsidRPr="00923427">
        <w:rPr>
          <w:rFonts w:ascii="Open Sans" w:hAnsi="Open Sans" w:cs="Open Sans"/>
          <w:sz w:val="20"/>
          <w:szCs w:val="20"/>
        </w:rPr>
        <w:t xml:space="preserve"> but </w:t>
      </w:r>
      <w:r w:rsidR="00813223" w:rsidRPr="00923427">
        <w:rPr>
          <w:rFonts w:ascii="Open Sans" w:hAnsi="Open Sans" w:cs="Open Sans"/>
          <w:sz w:val="20"/>
          <w:szCs w:val="20"/>
        </w:rPr>
        <w:t>also</w:t>
      </w:r>
      <w:r w:rsidR="000E0E70" w:rsidRPr="00923427">
        <w:rPr>
          <w:rFonts w:ascii="Open Sans" w:hAnsi="Open Sans" w:cs="Open Sans"/>
          <w:sz w:val="20"/>
          <w:szCs w:val="20"/>
        </w:rPr>
        <w:t xml:space="preserve"> leading to a healthier forestry sector overall. </w:t>
      </w:r>
    </w:p>
    <w:p w14:paraId="19DFDA45" w14:textId="45C151DD" w:rsidR="002E3E13" w:rsidRPr="00923427" w:rsidRDefault="000C7291" w:rsidP="00882FC4">
      <w:pPr>
        <w:rPr>
          <w:rFonts w:ascii="Open Sans" w:hAnsi="Open Sans" w:cs="Open Sans"/>
          <w:b/>
          <w:bCs/>
          <w:i/>
          <w:iCs/>
          <w:sz w:val="20"/>
          <w:szCs w:val="20"/>
        </w:rPr>
      </w:pPr>
      <w:r w:rsidRPr="00923427">
        <w:rPr>
          <w:rFonts w:ascii="Open Sans" w:hAnsi="Open Sans" w:cs="Open Sans"/>
          <w:b/>
          <w:bCs/>
          <w:i/>
          <w:iCs/>
          <w:sz w:val="20"/>
          <w:szCs w:val="20"/>
        </w:rPr>
        <w:t xml:space="preserve">Policy needs to consider </w:t>
      </w:r>
      <w:r w:rsidR="005F5A55" w:rsidRPr="00923427">
        <w:rPr>
          <w:rFonts w:ascii="Open Sans" w:hAnsi="Open Sans" w:cs="Open Sans"/>
          <w:b/>
          <w:bCs/>
          <w:i/>
          <w:iCs/>
          <w:sz w:val="20"/>
          <w:szCs w:val="20"/>
        </w:rPr>
        <w:t>gate fees</w:t>
      </w:r>
      <w:r w:rsidRPr="00923427">
        <w:rPr>
          <w:rFonts w:ascii="Open Sans" w:hAnsi="Open Sans" w:cs="Open Sans"/>
          <w:b/>
          <w:bCs/>
          <w:i/>
          <w:iCs/>
          <w:sz w:val="20"/>
          <w:szCs w:val="20"/>
        </w:rPr>
        <w:t xml:space="preserve"> for biogenic waste </w:t>
      </w:r>
      <w:r w:rsidR="00C04405" w:rsidRPr="00923427">
        <w:rPr>
          <w:rFonts w:ascii="Open Sans" w:hAnsi="Open Sans" w:cs="Open Sans"/>
          <w:b/>
          <w:bCs/>
          <w:i/>
          <w:iCs/>
          <w:sz w:val="20"/>
          <w:szCs w:val="20"/>
        </w:rPr>
        <w:t>feedstocks.</w:t>
      </w:r>
    </w:p>
    <w:p w14:paraId="07BE3467" w14:textId="0B97D8AE" w:rsidR="00BF1D13" w:rsidRPr="00923427" w:rsidRDefault="00BF1D13" w:rsidP="00882FC4">
      <w:pPr>
        <w:rPr>
          <w:rFonts w:ascii="Open Sans" w:hAnsi="Open Sans" w:cs="Open Sans"/>
          <w:sz w:val="20"/>
          <w:szCs w:val="20"/>
        </w:rPr>
      </w:pPr>
      <w:r w:rsidRPr="00923427">
        <w:rPr>
          <w:rFonts w:ascii="Open Sans" w:hAnsi="Open Sans" w:cs="Open Sans"/>
          <w:sz w:val="20"/>
          <w:szCs w:val="20"/>
        </w:rPr>
        <w:t xml:space="preserve">Price dynamics are different where </w:t>
      </w:r>
      <w:r w:rsidR="0001028A">
        <w:rPr>
          <w:rFonts w:ascii="Open Sans" w:hAnsi="Open Sans" w:cs="Open Sans"/>
          <w:sz w:val="20"/>
          <w:szCs w:val="20"/>
        </w:rPr>
        <w:t xml:space="preserve">municipal or agricultural </w:t>
      </w:r>
      <w:r w:rsidRPr="00923427">
        <w:rPr>
          <w:rFonts w:ascii="Open Sans" w:hAnsi="Open Sans" w:cs="Open Sans"/>
          <w:sz w:val="20"/>
          <w:szCs w:val="20"/>
        </w:rPr>
        <w:t xml:space="preserve">waste feedstocks are being used. </w:t>
      </w:r>
      <w:r w:rsidR="009D5997">
        <w:rPr>
          <w:rFonts w:ascii="Open Sans" w:hAnsi="Open Sans" w:cs="Open Sans"/>
          <w:sz w:val="20"/>
          <w:szCs w:val="20"/>
        </w:rPr>
        <w:t>Except for waste wood sites, who typically pay for feedstock, bioe</w:t>
      </w:r>
      <w:r w:rsidR="0001028A">
        <w:rPr>
          <w:rFonts w:ascii="Open Sans" w:hAnsi="Open Sans" w:cs="Open Sans"/>
          <w:sz w:val="20"/>
          <w:szCs w:val="20"/>
        </w:rPr>
        <w:t>nergy</w:t>
      </w:r>
      <w:r w:rsidR="009D5997">
        <w:rPr>
          <w:rFonts w:ascii="Open Sans" w:hAnsi="Open Sans" w:cs="Open Sans"/>
          <w:sz w:val="20"/>
          <w:szCs w:val="20"/>
        </w:rPr>
        <w:t xml:space="preserve"> sites using</w:t>
      </w:r>
      <w:r w:rsidR="0001028A">
        <w:rPr>
          <w:rFonts w:ascii="Open Sans" w:hAnsi="Open Sans" w:cs="Open Sans"/>
          <w:sz w:val="20"/>
          <w:szCs w:val="20"/>
        </w:rPr>
        <w:t xml:space="preserve"> </w:t>
      </w:r>
      <w:r w:rsidR="009D5997">
        <w:rPr>
          <w:rFonts w:ascii="Open Sans" w:hAnsi="Open Sans" w:cs="Open Sans"/>
          <w:sz w:val="20"/>
          <w:szCs w:val="20"/>
        </w:rPr>
        <w:t>wastes</w:t>
      </w:r>
      <w:r w:rsidRPr="00923427">
        <w:rPr>
          <w:rFonts w:ascii="Open Sans" w:hAnsi="Open Sans" w:cs="Open Sans"/>
          <w:sz w:val="20"/>
          <w:szCs w:val="20"/>
        </w:rPr>
        <w:t xml:space="preserve"> will likely receive a gate fee</w:t>
      </w:r>
      <w:r w:rsidR="009D5997">
        <w:rPr>
          <w:rFonts w:ascii="Open Sans" w:hAnsi="Open Sans" w:cs="Open Sans"/>
          <w:sz w:val="20"/>
          <w:szCs w:val="20"/>
        </w:rPr>
        <w:t xml:space="preserve"> to take the waste</w:t>
      </w:r>
      <w:r w:rsidRPr="00923427">
        <w:rPr>
          <w:rFonts w:ascii="Open Sans" w:hAnsi="Open Sans" w:cs="Open Sans"/>
          <w:sz w:val="20"/>
          <w:szCs w:val="20"/>
        </w:rPr>
        <w:t xml:space="preserve">. </w:t>
      </w:r>
      <w:r w:rsidR="009D5997">
        <w:rPr>
          <w:rFonts w:ascii="Open Sans" w:hAnsi="Open Sans" w:cs="Open Sans"/>
          <w:sz w:val="20"/>
          <w:szCs w:val="20"/>
        </w:rPr>
        <w:t>For</w:t>
      </w:r>
      <w:r w:rsidR="0001028A">
        <w:rPr>
          <w:rFonts w:ascii="Open Sans" w:hAnsi="Open Sans" w:cs="Open Sans"/>
          <w:sz w:val="20"/>
          <w:szCs w:val="20"/>
        </w:rPr>
        <w:t xml:space="preserve"> </w:t>
      </w:r>
      <w:r w:rsidRPr="00923427">
        <w:rPr>
          <w:rFonts w:ascii="Open Sans" w:hAnsi="Open Sans" w:cs="Open Sans"/>
          <w:sz w:val="20"/>
          <w:szCs w:val="20"/>
        </w:rPr>
        <w:t>anaerobic digestion and energy from waste</w:t>
      </w:r>
      <w:r w:rsidR="009D5997">
        <w:rPr>
          <w:rFonts w:ascii="Open Sans" w:hAnsi="Open Sans" w:cs="Open Sans"/>
          <w:sz w:val="20"/>
          <w:szCs w:val="20"/>
        </w:rPr>
        <w:t xml:space="preserve"> sites</w:t>
      </w:r>
      <w:r w:rsidR="000E0E70" w:rsidRPr="00923427">
        <w:rPr>
          <w:rFonts w:ascii="Open Sans" w:hAnsi="Open Sans" w:cs="Open Sans"/>
          <w:sz w:val="20"/>
          <w:szCs w:val="20"/>
        </w:rPr>
        <w:t xml:space="preserve">, the gate fee is a significant proportion of the revenue required to make the site commercially viable. Government policies that see commercial and industrial biogenic wastes diverted from landfill and used in energy production will help drive demand for bioenergy capacity and raise gate fees. This also has implications for innovation, for example gasification developers are currently primarily focused on refuse </w:t>
      </w:r>
      <w:r w:rsidR="00813223" w:rsidRPr="00923427">
        <w:rPr>
          <w:rFonts w:ascii="Open Sans" w:hAnsi="Open Sans" w:cs="Open Sans"/>
          <w:sz w:val="20"/>
          <w:szCs w:val="20"/>
        </w:rPr>
        <w:t>derived</w:t>
      </w:r>
      <w:r w:rsidR="000E0E70" w:rsidRPr="00923427">
        <w:rPr>
          <w:rFonts w:ascii="Open Sans" w:hAnsi="Open Sans" w:cs="Open Sans"/>
          <w:sz w:val="20"/>
          <w:szCs w:val="20"/>
        </w:rPr>
        <w:t xml:space="preserve"> fuel </w:t>
      </w:r>
      <w:r w:rsidR="00813223" w:rsidRPr="00923427">
        <w:rPr>
          <w:rFonts w:ascii="Open Sans" w:hAnsi="Open Sans" w:cs="Open Sans"/>
          <w:sz w:val="20"/>
          <w:szCs w:val="20"/>
        </w:rPr>
        <w:t xml:space="preserve">(RDF) as a feedstock </w:t>
      </w:r>
      <w:r w:rsidR="00C04405" w:rsidRPr="00923427">
        <w:rPr>
          <w:rFonts w:ascii="Open Sans" w:hAnsi="Open Sans" w:cs="Open Sans"/>
          <w:sz w:val="20"/>
          <w:szCs w:val="20"/>
        </w:rPr>
        <w:t xml:space="preserve">partly due to </w:t>
      </w:r>
      <w:r w:rsidR="00813223" w:rsidRPr="00923427">
        <w:rPr>
          <w:rFonts w:ascii="Open Sans" w:hAnsi="Open Sans" w:cs="Open Sans"/>
          <w:sz w:val="20"/>
          <w:szCs w:val="20"/>
        </w:rPr>
        <w:t>the gate fee provid</w:t>
      </w:r>
      <w:r w:rsidR="00C04405" w:rsidRPr="00923427">
        <w:rPr>
          <w:rFonts w:ascii="Open Sans" w:hAnsi="Open Sans" w:cs="Open Sans"/>
          <w:sz w:val="20"/>
          <w:szCs w:val="20"/>
        </w:rPr>
        <w:t>ing necessary revenue</w:t>
      </w:r>
      <w:r w:rsidR="00813223" w:rsidRPr="00923427">
        <w:rPr>
          <w:rFonts w:ascii="Open Sans" w:hAnsi="Open Sans" w:cs="Open Sans"/>
          <w:sz w:val="20"/>
          <w:szCs w:val="20"/>
        </w:rPr>
        <w:t xml:space="preserve"> </w:t>
      </w:r>
      <w:r w:rsidR="00C04405" w:rsidRPr="00923427">
        <w:rPr>
          <w:rFonts w:ascii="Open Sans" w:hAnsi="Open Sans" w:cs="Open Sans"/>
          <w:sz w:val="20"/>
          <w:szCs w:val="20"/>
        </w:rPr>
        <w:t>to underwrite the project,</w:t>
      </w:r>
      <w:r w:rsidR="00813223" w:rsidRPr="00923427">
        <w:rPr>
          <w:rFonts w:ascii="Open Sans" w:hAnsi="Open Sans" w:cs="Open Sans"/>
          <w:sz w:val="20"/>
          <w:szCs w:val="20"/>
        </w:rPr>
        <w:t xml:space="preserve"> which could not be achieved with virgin biomass that needs to be paid for. </w:t>
      </w:r>
      <w:r w:rsidR="009B46C4" w:rsidRPr="00923427">
        <w:rPr>
          <w:rFonts w:ascii="Open Sans" w:hAnsi="Open Sans" w:cs="Open Sans"/>
          <w:sz w:val="20"/>
          <w:szCs w:val="20"/>
        </w:rPr>
        <w:t>WRAP provide publicly available information on gate fees, demonstrating a</w:t>
      </w:r>
      <w:r w:rsidR="009D5997">
        <w:rPr>
          <w:rFonts w:ascii="Open Sans" w:hAnsi="Open Sans" w:cs="Open Sans"/>
          <w:sz w:val="20"/>
          <w:szCs w:val="20"/>
        </w:rPr>
        <w:t>n</w:t>
      </w:r>
      <w:r w:rsidR="009B46C4" w:rsidRPr="00923427">
        <w:rPr>
          <w:rFonts w:ascii="Open Sans" w:hAnsi="Open Sans" w:cs="Open Sans"/>
          <w:sz w:val="20"/>
          <w:szCs w:val="20"/>
        </w:rPr>
        <w:t xml:space="preserve"> average gate fee of about £40/tonne, but with a significant range between technologies.</w:t>
      </w:r>
      <w:r w:rsidR="009B46C4" w:rsidRPr="00923427">
        <w:rPr>
          <w:rStyle w:val="FootnoteReference"/>
          <w:rFonts w:ascii="Open Sans" w:hAnsi="Open Sans" w:cs="Open Sans"/>
          <w:sz w:val="20"/>
          <w:szCs w:val="20"/>
        </w:rPr>
        <w:footnoteReference w:id="9"/>
      </w:r>
      <w:r w:rsidR="009B46C4" w:rsidRPr="00923427">
        <w:rPr>
          <w:rFonts w:ascii="Open Sans" w:hAnsi="Open Sans" w:cs="Open Sans"/>
          <w:sz w:val="20"/>
          <w:szCs w:val="20"/>
        </w:rPr>
        <w:t xml:space="preserve">  </w:t>
      </w:r>
      <w:r w:rsidR="00813223" w:rsidRPr="00923427">
        <w:rPr>
          <w:rFonts w:ascii="Open Sans" w:hAnsi="Open Sans" w:cs="Open Sans"/>
          <w:sz w:val="20"/>
          <w:szCs w:val="20"/>
        </w:rPr>
        <w:t xml:space="preserve">These dynamics will need to be considered by DEFRA in the implementation of the Resource and Waste Strategy, which will have a bearing on how BEIS look to develop the bioenergy sector in the future. </w:t>
      </w:r>
    </w:p>
    <w:p w14:paraId="3AE15673" w14:textId="282ADB43" w:rsidR="000C7291" w:rsidRPr="00923427" w:rsidRDefault="000C7291" w:rsidP="00882FC4">
      <w:pPr>
        <w:rPr>
          <w:rFonts w:ascii="Open Sans" w:hAnsi="Open Sans" w:cs="Open Sans"/>
          <w:b/>
          <w:bCs/>
          <w:i/>
          <w:iCs/>
          <w:sz w:val="20"/>
          <w:szCs w:val="20"/>
        </w:rPr>
      </w:pPr>
      <w:r w:rsidRPr="00923427">
        <w:rPr>
          <w:rFonts w:ascii="Open Sans" w:hAnsi="Open Sans" w:cs="Open Sans"/>
          <w:b/>
          <w:bCs/>
          <w:i/>
          <w:iCs/>
          <w:sz w:val="20"/>
          <w:szCs w:val="20"/>
        </w:rPr>
        <w:t>GHG Benefits</w:t>
      </w:r>
    </w:p>
    <w:p w14:paraId="1364A2C2" w14:textId="4D3B604F" w:rsidR="000C7291" w:rsidRPr="00923427" w:rsidRDefault="000C7291" w:rsidP="000C7291">
      <w:pPr>
        <w:rPr>
          <w:rFonts w:ascii="Open Sans" w:hAnsi="Open Sans" w:cs="Open Sans"/>
          <w:sz w:val="20"/>
          <w:szCs w:val="20"/>
        </w:rPr>
      </w:pPr>
      <w:r w:rsidRPr="00923427">
        <w:rPr>
          <w:rFonts w:ascii="Open Sans" w:hAnsi="Open Sans" w:cs="Open Sans"/>
          <w:sz w:val="20"/>
          <w:szCs w:val="20"/>
        </w:rPr>
        <w:t xml:space="preserve">The GHG benefits associated with the current contribution from </w:t>
      </w:r>
      <w:proofErr w:type="gramStart"/>
      <w:r w:rsidRPr="00923427">
        <w:rPr>
          <w:rFonts w:ascii="Open Sans" w:hAnsi="Open Sans" w:cs="Open Sans"/>
          <w:sz w:val="20"/>
          <w:szCs w:val="20"/>
        </w:rPr>
        <w:t xml:space="preserve">bioenergy </w:t>
      </w:r>
      <w:r w:rsidR="005143BA">
        <w:rPr>
          <w:rFonts w:ascii="Open Sans" w:hAnsi="Open Sans" w:cs="Open Sans"/>
          <w:sz w:val="20"/>
          <w:szCs w:val="20"/>
        </w:rPr>
        <w:t xml:space="preserve"> were</w:t>
      </w:r>
      <w:proofErr w:type="gramEnd"/>
      <w:r w:rsidR="005143BA">
        <w:rPr>
          <w:rFonts w:ascii="Open Sans" w:hAnsi="Open Sans" w:cs="Open Sans"/>
          <w:sz w:val="20"/>
          <w:szCs w:val="20"/>
        </w:rPr>
        <w:t xml:space="preserve"> </w:t>
      </w:r>
      <w:r w:rsidRPr="00923427">
        <w:rPr>
          <w:rFonts w:ascii="Open Sans" w:hAnsi="Open Sans" w:cs="Open Sans"/>
          <w:sz w:val="20"/>
          <w:szCs w:val="20"/>
        </w:rPr>
        <w:t xml:space="preserve"> estimated </w:t>
      </w:r>
      <w:r w:rsidR="005143BA">
        <w:rPr>
          <w:rFonts w:ascii="Open Sans" w:hAnsi="Open Sans" w:cs="Open Sans"/>
          <w:sz w:val="20"/>
          <w:szCs w:val="20"/>
        </w:rPr>
        <w:t xml:space="preserve">in the REA Bioenergy Strategy  </w:t>
      </w:r>
      <w:r w:rsidRPr="00923427">
        <w:rPr>
          <w:rFonts w:ascii="Open Sans" w:hAnsi="Open Sans" w:cs="Open Sans"/>
          <w:sz w:val="20"/>
          <w:szCs w:val="20"/>
        </w:rPr>
        <w:t>using the current GHG performance of the range of bioenergy options presently deployed and the fuels which they are replacing</w:t>
      </w:r>
      <w:r w:rsidR="009B46C4" w:rsidRPr="00923427">
        <w:rPr>
          <w:rFonts w:ascii="Open Sans" w:hAnsi="Open Sans" w:cs="Open Sans"/>
          <w:sz w:val="20"/>
          <w:szCs w:val="20"/>
        </w:rPr>
        <w:t>.</w:t>
      </w:r>
      <w:r w:rsidRPr="00923427">
        <w:rPr>
          <w:rFonts w:ascii="Open Sans" w:hAnsi="Open Sans" w:cs="Open Sans"/>
          <w:sz w:val="20"/>
          <w:szCs w:val="20"/>
        </w:rPr>
        <w:t xml:space="preserve"> A consideration of all three major sectors – electricity, heat and transport </w:t>
      </w:r>
      <w:proofErr w:type="gramStart"/>
      <w:r w:rsidRPr="00923427">
        <w:rPr>
          <w:rFonts w:ascii="Open Sans" w:hAnsi="Open Sans" w:cs="Open Sans"/>
          <w:sz w:val="20"/>
          <w:szCs w:val="20"/>
        </w:rPr>
        <w:t>indicates</w:t>
      </w:r>
      <w:proofErr w:type="gramEnd"/>
      <w:r w:rsidRPr="00923427">
        <w:rPr>
          <w:rFonts w:ascii="Open Sans" w:hAnsi="Open Sans" w:cs="Open Sans"/>
          <w:sz w:val="20"/>
          <w:szCs w:val="20"/>
        </w:rPr>
        <w:t xml:space="preserve"> that, in total, bioenergy reduced GHG emissions by some 19.7 MTCO2e in 2017. This corresponds to around 3.8% of total UK emissions for that year</w:t>
      </w:r>
      <w:r w:rsidR="005F5A55" w:rsidRPr="00923427">
        <w:rPr>
          <w:rFonts w:ascii="Open Sans" w:hAnsi="Open Sans" w:cs="Open Sans"/>
          <w:sz w:val="20"/>
          <w:szCs w:val="20"/>
        </w:rPr>
        <w:t xml:space="preserve"> (</w:t>
      </w:r>
      <w:r w:rsidRPr="00923427">
        <w:rPr>
          <w:rFonts w:ascii="Open Sans" w:hAnsi="Open Sans" w:cs="Open Sans"/>
          <w:sz w:val="20"/>
          <w:szCs w:val="20"/>
        </w:rPr>
        <w:t>513 M Tonnes CO2e).</w:t>
      </w:r>
      <w:r w:rsidR="009B46C4" w:rsidRPr="00923427">
        <w:rPr>
          <w:rStyle w:val="FootnoteReference"/>
          <w:rFonts w:ascii="Open Sans" w:hAnsi="Open Sans" w:cs="Open Sans"/>
          <w:sz w:val="20"/>
          <w:szCs w:val="20"/>
        </w:rPr>
        <w:footnoteReference w:id="10"/>
      </w:r>
    </w:p>
    <w:p w14:paraId="6F45FB1F" w14:textId="3104E352" w:rsidR="005F5A55" w:rsidRPr="00923427" w:rsidRDefault="005F5A55" w:rsidP="005F5A55">
      <w:pPr>
        <w:spacing w:after="0" w:line="240" w:lineRule="auto"/>
        <w:rPr>
          <w:rFonts w:ascii="Open Sans" w:hAnsi="Open Sans" w:cs="Open Sans"/>
          <w:sz w:val="20"/>
          <w:szCs w:val="20"/>
        </w:rPr>
      </w:pPr>
      <w:r w:rsidRPr="00923427">
        <w:rPr>
          <w:rFonts w:ascii="Open Sans" w:hAnsi="Open Sans" w:cs="Open Sans"/>
          <w:sz w:val="20"/>
          <w:szCs w:val="20"/>
        </w:rPr>
        <w:t>The REA Bioenergy Strategy estimated</w:t>
      </w:r>
      <w:r w:rsidR="000C7291" w:rsidRPr="00923427">
        <w:rPr>
          <w:rFonts w:ascii="Open Sans" w:hAnsi="Open Sans" w:cs="Open Sans"/>
          <w:sz w:val="20"/>
          <w:szCs w:val="20"/>
        </w:rPr>
        <w:t xml:space="preserve"> GHG benefits associated with the contribution from bioenergy in 2026 and 2032 based on emission factors for the fuels most likely to be replaced</w:t>
      </w:r>
      <w:r w:rsidRPr="00923427">
        <w:rPr>
          <w:rFonts w:ascii="Open Sans" w:hAnsi="Open Sans" w:cs="Open Sans"/>
          <w:sz w:val="20"/>
          <w:szCs w:val="20"/>
        </w:rPr>
        <w:t>. In total the reduction in GHG emissions due to fossil fuel replacement amounts to some 65</w:t>
      </w:r>
    </w:p>
    <w:p w14:paraId="6ABFCC4B" w14:textId="77777777" w:rsidR="005F5A55" w:rsidRPr="00923427" w:rsidRDefault="005F5A55" w:rsidP="005F5A55">
      <w:pPr>
        <w:spacing w:after="0" w:line="240" w:lineRule="auto"/>
        <w:rPr>
          <w:rFonts w:ascii="Open Sans" w:hAnsi="Open Sans" w:cs="Open Sans"/>
          <w:sz w:val="20"/>
          <w:szCs w:val="20"/>
        </w:rPr>
      </w:pPr>
      <w:r w:rsidRPr="00923427">
        <w:rPr>
          <w:rFonts w:ascii="Open Sans" w:hAnsi="Open Sans" w:cs="Open Sans"/>
          <w:sz w:val="20"/>
          <w:szCs w:val="20"/>
        </w:rPr>
        <w:t xml:space="preserve">MTCO2e in 2032. A further 23 MTCO2e, could be saved due to recycling or storage of </w:t>
      </w:r>
      <w:proofErr w:type="gramStart"/>
      <w:r w:rsidRPr="00923427">
        <w:rPr>
          <w:rFonts w:ascii="Open Sans" w:hAnsi="Open Sans" w:cs="Open Sans"/>
          <w:sz w:val="20"/>
          <w:szCs w:val="20"/>
        </w:rPr>
        <w:t>CO2</w:t>
      </w:r>
      <w:proofErr w:type="gramEnd"/>
    </w:p>
    <w:p w14:paraId="5B0D5926" w14:textId="77777777" w:rsidR="005F5A55" w:rsidRPr="00923427" w:rsidRDefault="005F5A55" w:rsidP="005F5A55">
      <w:pPr>
        <w:spacing w:after="0" w:line="240" w:lineRule="auto"/>
        <w:rPr>
          <w:rFonts w:ascii="Open Sans" w:hAnsi="Open Sans" w:cs="Open Sans"/>
          <w:sz w:val="20"/>
          <w:szCs w:val="20"/>
        </w:rPr>
      </w:pPr>
      <w:r w:rsidRPr="00923427">
        <w:rPr>
          <w:rFonts w:ascii="Open Sans" w:hAnsi="Open Sans" w:cs="Open Sans"/>
          <w:sz w:val="20"/>
          <w:szCs w:val="20"/>
        </w:rPr>
        <w:t>separated from bioenergy processes (existing processes and newly installed capacity with</w:t>
      </w:r>
    </w:p>
    <w:p w14:paraId="2A21E2F8" w14:textId="2DE172E1" w:rsidR="005F5A55" w:rsidRPr="00923427" w:rsidRDefault="005F5A55" w:rsidP="005F5A55">
      <w:pPr>
        <w:spacing w:after="0" w:line="240" w:lineRule="auto"/>
        <w:rPr>
          <w:rFonts w:ascii="Open Sans" w:hAnsi="Open Sans" w:cs="Open Sans"/>
          <w:sz w:val="20"/>
          <w:szCs w:val="20"/>
        </w:rPr>
      </w:pPr>
      <w:r w:rsidRPr="00923427">
        <w:rPr>
          <w:rFonts w:ascii="Open Sans" w:hAnsi="Open Sans" w:cs="Open Sans"/>
          <w:sz w:val="20"/>
          <w:szCs w:val="20"/>
        </w:rPr>
        <w:t xml:space="preserve">purposed designed capture systems), making a total of 80 MTCO2e. This compares with </w:t>
      </w:r>
      <w:r w:rsidR="009B46C4" w:rsidRPr="00923427">
        <w:rPr>
          <w:rFonts w:ascii="Open Sans" w:hAnsi="Open Sans" w:cs="Open Sans"/>
          <w:sz w:val="20"/>
          <w:szCs w:val="20"/>
        </w:rPr>
        <w:t>total.</w:t>
      </w:r>
    </w:p>
    <w:p w14:paraId="2CEE2DD5" w14:textId="65A6FDA4" w:rsidR="000C7291" w:rsidRPr="00923427" w:rsidRDefault="005F5A55" w:rsidP="005F5A55">
      <w:pPr>
        <w:spacing w:after="0" w:line="240" w:lineRule="auto"/>
        <w:rPr>
          <w:rFonts w:ascii="Open Sans" w:hAnsi="Open Sans" w:cs="Open Sans"/>
          <w:sz w:val="20"/>
          <w:szCs w:val="20"/>
        </w:rPr>
      </w:pPr>
      <w:r w:rsidRPr="00923427">
        <w:rPr>
          <w:rFonts w:ascii="Open Sans" w:hAnsi="Open Sans" w:cs="Open Sans"/>
          <w:sz w:val="20"/>
          <w:szCs w:val="20"/>
        </w:rPr>
        <w:t>projected annual GHG emissions of 353 MTCO2e in 2032). As identified within the bioenergy strategy this would be enough to keep the UK on track with its 5</w:t>
      </w:r>
      <w:r w:rsidRPr="00923427">
        <w:rPr>
          <w:rFonts w:ascii="Open Sans" w:hAnsi="Open Sans" w:cs="Open Sans"/>
          <w:sz w:val="20"/>
          <w:szCs w:val="20"/>
          <w:vertAlign w:val="superscript"/>
        </w:rPr>
        <w:t>th</w:t>
      </w:r>
      <w:r w:rsidRPr="00923427">
        <w:rPr>
          <w:rFonts w:ascii="Open Sans" w:hAnsi="Open Sans" w:cs="Open Sans"/>
          <w:sz w:val="20"/>
          <w:szCs w:val="20"/>
        </w:rPr>
        <w:t xml:space="preserve"> Carbon Budget targets</w:t>
      </w:r>
      <w:r w:rsidR="008A319C" w:rsidRPr="00923427">
        <w:rPr>
          <w:rFonts w:ascii="Open Sans" w:hAnsi="Open Sans" w:cs="Open Sans"/>
          <w:sz w:val="20"/>
          <w:szCs w:val="20"/>
        </w:rPr>
        <w:t xml:space="preserve">, overshooting the expected shortfall, as demonstrated on Figure </w:t>
      </w:r>
      <w:r w:rsidR="009B46C4" w:rsidRPr="00923427">
        <w:rPr>
          <w:rFonts w:ascii="Open Sans" w:hAnsi="Open Sans" w:cs="Open Sans"/>
          <w:sz w:val="20"/>
          <w:szCs w:val="20"/>
        </w:rPr>
        <w:t>1</w:t>
      </w:r>
      <w:r w:rsidR="008A319C" w:rsidRPr="00923427">
        <w:rPr>
          <w:rFonts w:ascii="Open Sans" w:hAnsi="Open Sans" w:cs="Open Sans"/>
          <w:sz w:val="20"/>
          <w:szCs w:val="20"/>
        </w:rPr>
        <w:t xml:space="preserve">. </w:t>
      </w:r>
      <w:r w:rsidRPr="00923427">
        <w:rPr>
          <w:rFonts w:ascii="Open Sans" w:hAnsi="Open Sans" w:cs="Open Sans"/>
          <w:sz w:val="20"/>
          <w:szCs w:val="20"/>
        </w:rPr>
        <w:t xml:space="preserve"> </w:t>
      </w:r>
    </w:p>
    <w:p w14:paraId="15DC3B0B" w14:textId="0942F303" w:rsidR="005F5A55" w:rsidRPr="00923427" w:rsidRDefault="005F5A55" w:rsidP="005F5A55">
      <w:pPr>
        <w:spacing w:after="0" w:line="240" w:lineRule="auto"/>
        <w:rPr>
          <w:rFonts w:ascii="Open Sans" w:hAnsi="Open Sans" w:cs="Open Sans"/>
          <w:sz w:val="20"/>
          <w:szCs w:val="20"/>
        </w:rPr>
      </w:pPr>
    </w:p>
    <w:p w14:paraId="7762AFDB" w14:textId="62EB6B7B" w:rsidR="005F5A55" w:rsidRPr="00923427" w:rsidRDefault="005F5A55" w:rsidP="005F5A55">
      <w:pPr>
        <w:spacing w:after="0" w:line="240" w:lineRule="auto"/>
        <w:rPr>
          <w:rFonts w:ascii="Open Sans" w:hAnsi="Open Sans" w:cs="Open Sans"/>
          <w:b/>
          <w:bCs/>
          <w:i/>
          <w:iCs/>
          <w:sz w:val="20"/>
          <w:szCs w:val="20"/>
        </w:rPr>
      </w:pPr>
      <w:r w:rsidRPr="00923427">
        <w:rPr>
          <w:rFonts w:ascii="Open Sans" w:hAnsi="Open Sans" w:cs="Open Sans"/>
          <w:b/>
          <w:bCs/>
          <w:i/>
          <w:iCs/>
          <w:sz w:val="20"/>
          <w:szCs w:val="20"/>
        </w:rPr>
        <w:t xml:space="preserve">Figure </w:t>
      </w:r>
      <w:r w:rsidR="009B46C4" w:rsidRPr="00923427">
        <w:rPr>
          <w:rFonts w:ascii="Open Sans" w:hAnsi="Open Sans" w:cs="Open Sans"/>
          <w:b/>
          <w:bCs/>
          <w:i/>
          <w:iCs/>
          <w:sz w:val="20"/>
          <w:szCs w:val="20"/>
        </w:rPr>
        <w:t>1</w:t>
      </w:r>
      <w:r w:rsidRPr="00923427">
        <w:rPr>
          <w:rFonts w:ascii="Open Sans" w:hAnsi="Open Sans" w:cs="Open Sans"/>
          <w:b/>
          <w:bCs/>
          <w:i/>
          <w:iCs/>
          <w:sz w:val="20"/>
          <w:szCs w:val="20"/>
        </w:rPr>
        <w:t>: Projected Bioenergy GHG savings</w:t>
      </w:r>
      <w:r w:rsidR="008A319C" w:rsidRPr="00923427">
        <w:rPr>
          <w:rFonts w:ascii="Open Sans" w:hAnsi="Open Sans" w:cs="Open Sans"/>
          <w:b/>
          <w:bCs/>
          <w:i/>
          <w:iCs/>
          <w:sz w:val="20"/>
          <w:szCs w:val="20"/>
        </w:rPr>
        <w:t xml:space="preserve"> if Projected Growth of Bioenergy Sector is realised as Stated in the REA’s Bioenergy Strategy</w:t>
      </w:r>
    </w:p>
    <w:p w14:paraId="55E248B1" w14:textId="792CF330" w:rsidR="005F5A55" w:rsidRPr="00923427" w:rsidRDefault="005F5A55" w:rsidP="005F5A55">
      <w:pPr>
        <w:spacing w:after="0" w:line="240" w:lineRule="auto"/>
        <w:rPr>
          <w:rFonts w:ascii="Open Sans" w:hAnsi="Open Sans" w:cs="Open Sans"/>
          <w:sz w:val="20"/>
          <w:szCs w:val="20"/>
        </w:rPr>
      </w:pPr>
      <w:r w:rsidRPr="00923427">
        <w:rPr>
          <w:rFonts w:ascii="Open Sans" w:hAnsi="Open Sans" w:cs="Open Sans"/>
          <w:noProof/>
          <w:sz w:val="20"/>
          <w:szCs w:val="20"/>
        </w:rPr>
        <w:drawing>
          <wp:inline distT="0" distB="0" distL="0" distR="0" wp14:anchorId="4C7A82D4" wp14:editId="2E6E682D">
            <wp:extent cx="5731510" cy="3742690"/>
            <wp:effectExtent l="0" t="0" r="2540" b="0"/>
            <wp:docPr id="2" name="Picture 2" descr="Chart, waterfal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waterfall char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31510" cy="3742690"/>
                    </a:xfrm>
                    <a:prstGeom prst="rect">
                      <a:avLst/>
                    </a:prstGeom>
                  </pic:spPr>
                </pic:pic>
              </a:graphicData>
            </a:graphic>
          </wp:inline>
        </w:drawing>
      </w:r>
    </w:p>
    <w:p w14:paraId="40EE2CA7" w14:textId="3F287C57" w:rsidR="005F5A55" w:rsidRPr="00923427" w:rsidRDefault="008A319C" w:rsidP="005F5A55">
      <w:pPr>
        <w:spacing w:after="0" w:line="240" w:lineRule="auto"/>
        <w:rPr>
          <w:rFonts w:ascii="Open Sans" w:hAnsi="Open Sans" w:cs="Open Sans"/>
          <w:sz w:val="20"/>
          <w:szCs w:val="20"/>
        </w:rPr>
      </w:pPr>
      <w:r w:rsidRPr="00923427">
        <w:rPr>
          <w:rFonts w:ascii="Open Sans" w:hAnsi="Open Sans" w:cs="Open Sans"/>
          <w:sz w:val="20"/>
          <w:szCs w:val="20"/>
        </w:rPr>
        <w:t>Source: REA Bioenergy Strategy (2019)</w:t>
      </w:r>
    </w:p>
    <w:p w14:paraId="31B8999B" w14:textId="77777777" w:rsidR="005F5A55" w:rsidRPr="00923427" w:rsidRDefault="005F5A55" w:rsidP="005F5A55">
      <w:pPr>
        <w:spacing w:after="0" w:line="240" w:lineRule="auto"/>
        <w:rPr>
          <w:rFonts w:ascii="Open Sans" w:hAnsi="Open Sans" w:cs="Open Sans"/>
          <w:sz w:val="20"/>
          <w:szCs w:val="20"/>
        </w:rPr>
      </w:pPr>
    </w:p>
    <w:p w14:paraId="4D954143" w14:textId="672AF38B" w:rsidR="000C7291" w:rsidRPr="00923427" w:rsidRDefault="000C7291" w:rsidP="00882FC4">
      <w:pPr>
        <w:pBdr>
          <w:bottom w:val="single" w:sz="6" w:space="1" w:color="auto"/>
        </w:pBdr>
        <w:rPr>
          <w:rFonts w:ascii="Open Sans" w:hAnsi="Open Sans" w:cs="Open Sans"/>
          <w:i/>
          <w:iCs/>
          <w:sz w:val="20"/>
          <w:szCs w:val="20"/>
          <w:u w:val="single"/>
        </w:rPr>
      </w:pPr>
      <w:r w:rsidRPr="00923427">
        <w:rPr>
          <w:rFonts w:ascii="Open Sans" w:hAnsi="Open Sans" w:cs="Open Sans"/>
          <w:i/>
          <w:iCs/>
          <w:sz w:val="20"/>
          <w:szCs w:val="20"/>
          <w:u w:val="single"/>
        </w:rPr>
        <w:t xml:space="preserve">Note further non-GHG benefits are explored in answer to question 4. </w:t>
      </w:r>
    </w:p>
    <w:p w14:paraId="75CDFDA7" w14:textId="77777777" w:rsidR="00220257" w:rsidRPr="00923427" w:rsidRDefault="00220257" w:rsidP="00882FC4">
      <w:pPr>
        <w:pBdr>
          <w:bottom w:val="single" w:sz="6" w:space="1" w:color="auto"/>
        </w:pBdr>
        <w:rPr>
          <w:rFonts w:ascii="Open Sans" w:hAnsi="Open Sans" w:cs="Open Sans"/>
          <w:i/>
          <w:iCs/>
          <w:sz w:val="20"/>
          <w:szCs w:val="20"/>
          <w:u w:val="single"/>
        </w:rPr>
      </w:pPr>
    </w:p>
    <w:p w14:paraId="64049CA5" w14:textId="77777777" w:rsidR="000C7291" w:rsidRPr="00923427" w:rsidRDefault="000C7291" w:rsidP="000C7291">
      <w:pPr>
        <w:rPr>
          <w:rFonts w:ascii="Open Sans" w:hAnsi="Open Sans" w:cs="Open Sans"/>
          <w:b/>
          <w:bCs/>
          <w:color w:val="2F5496"/>
          <w:sz w:val="20"/>
          <w:szCs w:val="20"/>
        </w:rPr>
      </w:pPr>
      <w:r w:rsidRPr="00923427">
        <w:rPr>
          <w:rFonts w:ascii="Open Sans" w:hAnsi="Open Sans" w:cs="Open Sans"/>
          <w:b/>
          <w:bCs/>
          <w:color w:val="2F5496"/>
          <w:sz w:val="20"/>
          <w:szCs w:val="20"/>
        </w:rPr>
        <w:t>4. How do we account for the other (non-GHG) benefits, impacts and issues of increasing our access to, or production of domestic biomass (e.g., air quality, water quality, soil health, flooding, biodiversity)?</w:t>
      </w:r>
    </w:p>
    <w:p w14:paraId="7C11DF44" w14:textId="54E76E92" w:rsidR="00813223" w:rsidRPr="00923427" w:rsidRDefault="009B46C4" w:rsidP="00882FC4">
      <w:pPr>
        <w:rPr>
          <w:rFonts w:ascii="Open Sans" w:hAnsi="Open Sans" w:cs="Open Sans"/>
          <w:sz w:val="20"/>
          <w:szCs w:val="20"/>
        </w:rPr>
      </w:pPr>
      <w:r w:rsidRPr="00923427">
        <w:rPr>
          <w:rFonts w:ascii="Open Sans" w:hAnsi="Open Sans" w:cs="Open Sans"/>
          <w:sz w:val="20"/>
          <w:szCs w:val="20"/>
        </w:rPr>
        <w:t xml:space="preserve">Delivering </w:t>
      </w:r>
      <w:r w:rsidR="00700CD0" w:rsidRPr="00923427">
        <w:rPr>
          <w:rFonts w:ascii="Open Sans" w:hAnsi="Open Sans" w:cs="Open Sans"/>
          <w:sz w:val="20"/>
          <w:szCs w:val="20"/>
        </w:rPr>
        <w:t xml:space="preserve">positive environmental and land-use </w:t>
      </w:r>
      <w:r w:rsidR="007658FB" w:rsidRPr="00923427">
        <w:rPr>
          <w:rFonts w:ascii="Open Sans" w:hAnsi="Open Sans" w:cs="Open Sans"/>
          <w:sz w:val="20"/>
          <w:szCs w:val="20"/>
        </w:rPr>
        <w:t xml:space="preserve">benefits from increased biomass </w:t>
      </w:r>
      <w:proofErr w:type="gramStart"/>
      <w:r w:rsidR="007658FB" w:rsidRPr="00923427">
        <w:rPr>
          <w:rFonts w:ascii="Open Sans" w:hAnsi="Open Sans" w:cs="Open Sans"/>
          <w:sz w:val="20"/>
          <w:szCs w:val="20"/>
        </w:rPr>
        <w:t>use  needs</w:t>
      </w:r>
      <w:proofErr w:type="gramEnd"/>
      <w:r w:rsidR="007658FB" w:rsidRPr="00923427">
        <w:rPr>
          <w:rFonts w:ascii="Open Sans" w:hAnsi="Open Sans" w:cs="Open Sans"/>
          <w:sz w:val="20"/>
          <w:szCs w:val="20"/>
        </w:rPr>
        <w:t xml:space="preserve"> to be done via both the ‘stick’ of sustainability governance </w:t>
      </w:r>
      <w:r w:rsidR="005179A0" w:rsidRPr="00923427">
        <w:rPr>
          <w:rFonts w:ascii="Open Sans" w:hAnsi="Open Sans" w:cs="Open Sans"/>
          <w:sz w:val="20"/>
          <w:szCs w:val="20"/>
        </w:rPr>
        <w:t>in order to prevent negative impacts (which is already in place)</w:t>
      </w:r>
      <w:r w:rsidR="007658FB" w:rsidRPr="00923427">
        <w:rPr>
          <w:rFonts w:ascii="Open Sans" w:hAnsi="Open Sans" w:cs="Open Sans"/>
          <w:sz w:val="20"/>
          <w:szCs w:val="20"/>
        </w:rPr>
        <w:t xml:space="preserve">, along with </w:t>
      </w:r>
      <w:r w:rsidR="009E535F" w:rsidRPr="00923427">
        <w:rPr>
          <w:rFonts w:ascii="Open Sans" w:hAnsi="Open Sans" w:cs="Open Sans"/>
          <w:sz w:val="20"/>
          <w:szCs w:val="20"/>
        </w:rPr>
        <w:t xml:space="preserve">a </w:t>
      </w:r>
      <w:r w:rsidR="007658FB" w:rsidRPr="00923427">
        <w:rPr>
          <w:rFonts w:ascii="Open Sans" w:hAnsi="Open Sans" w:cs="Open Sans"/>
          <w:sz w:val="20"/>
          <w:szCs w:val="20"/>
        </w:rPr>
        <w:t xml:space="preserve">‘carrot’ of appropriately rewarding additional benefits provided by good </w:t>
      </w:r>
      <w:r w:rsidR="005179A0" w:rsidRPr="00923427">
        <w:rPr>
          <w:rFonts w:ascii="Open Sans" w:hAnsi="Open Sans" w:cs="Open Sans"/>
          <w:sz w:val="20"/>
          <w:szCs w:val="20"/>
        </w:rPr>
        <w:t>land use or environmental</w:t>
      </w:r>
      <w:r w:rsidR="007658FB" w:rsidRPr="00923427">
        <w:rPr>
          <w:rFonts w:ascii="Open Sans" w:hAnsi="Open Sans" w:cs="Open Sans"/>
          <w:sz w:val="20"/>
          <w:szCs w:val="20"/>
        </w:rPr>
        <w:t xml:space="preserve"> practices</w:t>
      </w:r>
      <w:r w:rsidR="000C688C" w:rsidRPr="00923427">
        <w:rPr>
          <w:rFonts w:ascii="Open Sans" w:hAnsi="Open Sans" w:cs="Open Sans"/>
          <w:sz w:val="20"/>
          <w:szCs w:val="20"/>
        </w:rPr>
        <w:t xml:space="preserve"> associated with cultivating feedstocks</w:t>
      </w:r>
      <w:r w:rsidR="007658FB" w:rsidRPr="00923427">
        <w:rPr>
          <w:rFonts w:ascii="Open Sans" w:hAnsi="Open Sans" w:cs="Open Sans"/>
          <w:sz w:val="20"/>
          <w:szCs w:val="20"/>
        </w:rPr>
        <w:t>. Points in relation to sustainability govern</w:t>
      </w:r>
      <w:r w:rsidR="009E535F" w:rsidRPr="00923427">
        <w:rPr>
          <w:rFonts w:ascii="Open Sans" w:hAnsi="Open Sans" w:cs="Open Sans"/>
          <w:sz w:val="20"/>
          <w:szCs w:val="20"/>
        </w:rPr>
        <w:t xml:space="preserve">ance are answered in response to Chapter 3, while accounting </w:t>
      </w:r>
      <w:r w:rsidR="00505D9B" w:rsidRPr="00923427">
        <w:rPr>
          <w:rFonts w:ascii="Open Sans" w:hAnsi="Open Sans" w:cs="Open Sans"/>
          <w:sz w:val="20"/>
          <w:szCs w:val="20"/>
        </w:rPr>
        <w:t xml:space="preserve">and </w:t>
      </w:r>
      <w:r w:rsidR="009E535F" w:rsidRPr="00923427">
        <w:rPr>
          <w:rFonts w:ascii="Open Sans" w:hAnsi="Open Sans" w:cs="Open Sans"/>
          <w:sz w:val="20"/>
          <w:szCs w:val="20"/>
        </w:rPr>
        <w:t xml:space="preserve">rewarding these benefits are listed below. </w:t>
      </w:r>
    </w:p>
    <w:p w14:paraId="3BC23480" w14:textId="66BBC11E" w:rsidR="000C688C" w:rsidRPr="00923427" w:rsidRDefault="000C688C" w:rsidP="00882FC4">
      <w:pPr>
        <w:rPr>
          <w:rFonts w:ascii="Open Sans" w:hAnsi="Open Sans" w:cs="Open Sans"/>
          <w:sz w:val="20"/>
          <w:szCs w:val="20"/>
        </w:rPr>
      </w:pPr>
      <w:r w:rsidRPr="00923427">
        <w:rPr>
          <w:rFonts w:ascii="Open Sans" w:hAnsi="Open Sans" w:cs="Open Sans"/>
          <w:sz w:val="20"/>
          <w:szCs w:val="20"/>
        </w:rPr>
        <w:t xml:space="preserve">Benefits realised from increasing </w:t>
      </w:r>
      <w:r w:rsidR="00BA6AAF" w:rsidRPr="00923427">
        <w:rPr>
          <w:rFonts w:ascii="Open Sans" w:hAnsi="Open Sans" w:cs="Open Sans"/>
          <w:sz w:val="20"/>
          <w:szCs w:val="20"/>
        </w:rPr>
        <w:t>access</w:t>
      </w:r>
      <w:r w:rsidR="00001D58" w:rsidRPr="00923427">
        <w:rPr>
          <w:rFonts w:ascii="Open Sans" w:hAnsi="Open Sans" w:cs="Open Sans"/>
          <w:sz w:val="20"/>
          <w:szCs w:val="20"/>
        </w:rPr>
        <w:t xml:space="preserve"> and growth</w:t>
      </w:r>
      <w:r w:rsidRPr="00923427">
        <w:rPr>
          <w:rFonts w:ascii="Open Sans" w:hAnsi="Open Sans" w:cs="Open Sans"/>
          <w:sz w:val="20"/>
          <w:szCs w:val="20"/>
        </w:rPr>
        <w:t xml:space="preserve"> to biofuel</w:t>
      </w:r>
      <w:r w:rsidR="00001D58" w:rsidRPr="00923427">
        <w:rPr>
          <w:rFonts w:ascii="Open Sans" w:hAnsi="Open Sans" w:cs="Open Sans"/>
          <w:sz w:val="20"/>
          <w:szCs w:val="20"/>
        </w:rPr>
        <w:t xml:space="preserve"> supplies</w:t>
      </w:r>
      <w:r w:rsidRPr="00923427">
        <w:rPr>
          <w:rFonts w:ascii="Open Sans" w:hAnsi="Open Sans" w:cs="Open Sans"/>
          <w:sz w:val="20"/>
          <w:szCs w:val="20"/>
        </w:rPr>
        <w:t>:</w:t>
      </w:r>
    </w:p>
    <w:p w14:paraId="7CB0312E" w14:textId="1AEF3FD4" w:rsidR="005179A0" w:rsidRPr="00923427" w:rsidRDefault="00001D58" w:rsidP="00882FC4">
      <w:pPr>
        <w:rPr>
          <w:rFonts w:ascii="Open Sans" w:hAnsi="Open Sans" w:cs="Open Sans"/>
          <w:sz w:val="20"/>
          <w:szCs w:val="20"/>
        </w:rPr>
      </w:pPr>
      <w:r w:rsidRPr="00923427">
        <w:rPr>
          <w:rFonts w:ascii="Open Sans" w:hAnsi="Open Sans" w:cs="Open Sans"/>
          <w:b/>
          <w:bCs/>
          <w:i/>
          <w:iCs/>
          <w:sz w:val="20"/>
          <w:szCs w:val="20"/>
        </w:rPr>
        <w:t>Biodiversity</w:t>
      </w:r>
    </w:p>
    <w:p w14:paraId="00E97D63" w14:textId="122E21CE" w:rsidR="00B849C8" w:rsidRPr="00923427" w:rsidRDefault="00B849C8" w:rsidP="00B849C8">
      <w:pPr>
        <w:spacing w:line="240" w:lineRule="auto"/>
        <w:rPr>
          <w:rFonts w:ascii="Open Sans" w:hAnsi="Open Sans" w:cs="Open Sans"/>
          <w:sz w:val="20"/>
          <w:szCs w:val="20"/>
        </w:rPr>
      </w:pPr>
      <w:r w:rsidRPr="00923427">
        <w:rPr>
          <w:rFonts w:ascii="Open Sans" w:hAnsi="Open Sans" w:cs="Open Sans"/>
          <w:sz w:val="20"/>
          <w:szCs w:val="20"/>
        </w:rPr>
        <w:t>Where done correctly</w:t>
      </w:r>
      <w:r w:rsidR="00001D58" w:rsidRPr="00923427">
        <w:rPr>
          <w:rFonts w:ascii="Open Sans" w:hAnsi="Open Sans" w:cs="Open Sans"/>
          <w:sz w:val="20"/>
          <w:szCs w:val="20"/>
        </w:rPr>
        <w:t>, in accordance with strong forestry and agricultural practices</w:t>
      </w:r>
      <w:r w:rsidRPr="00923427">
        <w:rPr>
          <w:rFonts w:ascii="Open Sans" w:hAnsi="Open Sans" w:cs="Open Sans"/>
          <w:sz w:val="20"/>
          <w:szCs w:val="20"/>
        </w:rPr>
        <w:t xml:space="preserve">, </w:t>
      </w:r>
      <w:r w:rsidR="00001D58" w:rsidRPr="00923427">
        <w:rPr>
          <w:rFonts w:ascii="Open Sans" w:hAnsi="Open Sans" w:cs="Open Sans"/>
          <w:sz w:val="20"/>
          <w:szCs w:val="20"/>
        </w:rPr>
        <w:t xml:space="preserve">bioenergy production has </w:t>
      </w:r>
      <w:r w:rsidR="009B46C4" w:rsidRPr="00923427">
        <w:rPr>
          <w:rFonts w:ascii="Open Sans" w:hAnsi="Open Sans" w:cs="Open Sans"/>
          <w:sz w:val="20"/>
          <w:szCs w:val="20"/>
        </w:rPr>
        <w:t>led</w:t>
      </w:r>
      <w:r w:rsidR="00001D58" w:rsidRPr="00923427">
        <w:rPr>
          <w:rFonts w:ascii="Open Sans" w:hAnsi="Open Sans" w:cs="Open Sans"/>
          <w:sz w:val="20"/>
          <w:szCs w:val="20"/>
        </w:rPr>
        <w:t xml:space="preserve"> to more diverse </w:t>
      </w:r>
      <w:r w:rsidRPr="00923427">
        <w:rPr>
          <w:rFonts w:ascii="Open Sans" w:hAnsi="Open Sans" w:cs="Open Sans"/>
          <w:sz w:val="20"/>
          <w:szCs w:val="20"/>
        </w:rPr>
        <w:t>habitats</w:t>
      </w:r>
      <w:r w:rsidR="00001D58" w:rsidRPr="00923427">
        <w:rPr>
          <w:rFonts w:ascii="Open Sans" w:hAnsi="Open Sans" w:cs="Open Sans"/>
          <w:sz w:val="20"/>
          <w:szCs w:val="20"/>
        </w:rPr>
        <w:t>, or help</w:t>
      </w:r>
      <w:r w:rsidRPr="00923427">
        <w:rPr>
          <w:rFonts w:ascii="Open Sans" w:hAnsi="Open Sans" w:cs="Open Sans"/>
          <w:sz w:val="20"/>
          <w:szCs w:val="20"/>
        </w:rPr>
        <w:t>ed</w:t>
      </w:r>
      <w:r w:rsidR="00001D58" w:rsidRPr="00923427">
        <w:rPr>
          <w:rFonts w:ascii="Open Sans" w:hAnsi="Open Sans" w:cs="Open Sans"/>
          <w:sz w:val="20"/>
          <w:szCs w:val="20"/>
        </w:rPr>
        <w:t xml:space="preserve"> </w:t>
      </w:r>
      <w:r w:rsidR="007777AC" w:rsidRPr="00923427">
        <w:rPr>
          <w:rFonts w:ascii="Open Sans" w:hAnsi="Open Sans" w:cs="Open Sans"/>
          <w:sz w:val="20"/>
          <w:szCs w:val="20"/>
        </w:rPr>
        <w:t>preserve important resources having a positive impact</w:t>
      </w:r>
      <w:r w:rsidRPr="00923427">
        <w:rPr>
          <w:rFonts w:ascii="Open Sans" w:hAnsi="Open Sans" w:cs="Open Sans"/>
          <w:sz w:val="20"/>
          <w:szCs w:val="20"/>
        </w:rPr>
        <w:t>. This is due to working forests providing revenues that incentivis</w:t>
      </w:r>
      <w:r w:rsidR="00681E52" w:rsidRPr="00923427">
        <w:rPr>
          <w:rFonts w:ascii="Open Sans" w:hAnsi="Open Sans" w:cs="Open Sans"/>
          <w:sz w:val="20"/>
          <w:szCs w:val="20"/>
        </w:rPr>
        <w:t>e</w:t>
      </w:r>
      <w:r w:rsidRPr="00923427">
        <w:rPr>
          <w:rFonts w:ascii="Open Sans" w:hAnsi="Open Sans" w:cs="Open Sans"/>
          <w:sz w:val="20"/>
          <w:szCs w:val="20"/>
        </w:rPr>
        <w:t xml:space="preserve"> maintenance of forest land, as well as governance arrangements enforcing strong forestry practices. </w:t>
      </w:r>
      <w:r w:rsidR="00C53211" w:rsidRPr="00923427">
        <w:rPr>
          <w:rFonts w:ascii="Open Sans" w:hAnsi="Open Sans" w:cs="Open Sans"/>
          <w:sz w:val="20"/>
          <w:szCs w:val="20"/>
        </w:rPr>
        <w:t>Examples</w:t>
      </w:r>
      <w:r w:rsidRPr="00923427">
        <w:rPr>
          <w:rFonts w:ascii="Open Sans" w:hAnsi="Open Sans" w:cs="Open Sans"/>
          <w:sz w:val="20"/>
          <w:szCs w:val="20"/>
        </w:rPr>
        <w:t xml:space="preserve"> of this being the case can be seen in both US and the UK. </w:t>
      </w:r>
    </w:p>
    <w:p w14:paraId="6FDF3063" w14:textId="720B6A0F" w:rsidR="00B849C8" w:rsidRPr="00923427" w:rsidRDefault="00B849C8" w:rsidP="009B46C4">
      <w:pPr>
        <w:spacing w:after="0" w:line="240" w:lineRule="auto"/>
        <w:rPr>
          <w:rFonts w:ascii="Open Sans" w:hAnsi="Open Sans" w:cs="Open Sans"/>
          <w:sz w:val="20"/>
          <w:szCs w:val="20"/>
          <w:lang w:val="en"/>
        </w:rPr>
      </w:pPr>
      <w:r w:rsidRPr="00923427">
        <w:rPr>
          <w:rFonts w:ascii="Open Sans" w:hAnsi="Open Sans" w:cs="Open Sans"/>
          <w:sz w:val="20"/>
          <w:szCs w:val="20"/>
        </w:rPr>
        <w:t xml:space="preserve">In the US a </w:t>
      </w:r>
      <w:hyperlink r:id="rId16" w:history="1">
        <w:r w:rsidRPr="00923427">
          <w:rPr>
            <w:rStyle w:val="Hyperlink"/>
            <w:rFonts w:ascii="Open Sans" w:hAnsi="Open Sans" w:cs="Open Sans"/>
            <w:color w:val="auto"/>
            <w:sz w:val="20"/>
            <w:szCs w:val="20"/>
          </w:rPr>
          <w:t>recent synthesis of almost 20,000 articles</w:t>
        </w:r>
      </w:hyperlink>
      <w:r w:rsidRPr="00923427">
        <w:rPr>
          <w:rFonts w:ascii="Open Sans" w:hAnsi="Open Sans" w:cs="Open Sans"/>
          <w:sz w:val="20"/>
          <w:szCs w:val="20"/>
        </w:rPr>
        <w:t xml:space="preserve">  concerning the effect of forest management techniques on biodiversity in </w:t>
      </w:r>
      <w:proofErr w:type="spellStart"/>
      <w:r w:rsidR="00FF1DD7">
        <w:rPr>
          <w:rFonts w:ascii="Open Sans" w:hAnsi="Open Sans" w:cs="Open Sans"/>
          <w:sz w:val="20"/>
          <w:szCs w:val="20"/>
        </w:rPr>
        <w:t>S</w:t>
      </w:r>
      <w:r w:rsidRPr="00923427">
        <w:rPr>
          <w:rFonts w:ascii="Open Sans" w:hAnsi="Open Sans" w:cs="Open Sans"/>
          <w:sz w:val="20"/>
          <w:szCs w:val="20"/>
        </w:rPr>
        <w:t>outheastern</w:t>
      </w:r>
      <w:proofErr w:type="spellEnd"/>
      <w:r w:rsidRPr="00923427">
        <w:rPr>
          <w:rFonts w:ascii="Open Sans" w:hAnsi="Open Sans" w:cs="Open Sans"/>
          <w:sz w:val="20"/>
          <w:szCs w:val="20"/>
        </w:rPr>
        <w:t xml:space="preserve"> US, the research team found that the majority of studies report no negative </w:t>
      </w:r>
      <w:r w:rsidR="00C53211" w:rsidRPr="00923427">
        <w:rPr>
          <w:rFonts w:ascii="Open Sans" w:hAnsi="Open Sans" w:cs="Open Sans"/>
          <w:sz w:val="20"/>
          <w:szCs w:val="20"/>
        </w:rPr>
        <w:t>impacts</w:t>
      </w:r>
      <w:r w:rsidRPr="00923427">
        <w:rPr>
          <w:rFonts w:ascii="Open Sans" w:hAnsi="Open Sans" w:cs="Open Sans"/>
          <w:sz w:val="20"/>
          <w:szCs w:val="20"/>
        </w:rPr>
        <w:t xml:space="preserve"> of forestry practices on biodiversity, concluding that  “claims of large-scale damage to biodiversity of woody bioenergy in </w:t>
      </w:r>
      <w:proofErr w:type="spellStart"/>
      <w:r w:rsidR="00FF1DD7">
        <w:rPr>
          <w:rFonts w:ascii="Open Sans" w:hAnsi="Open Sans" w:cs="Open Sans"/>
          <w:sz w:val="20"/>
          <w:szCs w:val="20"/>
        </w:rPr>
        <w:t>S</w:t>
      </w:r>
      <w:r w:rsidRPr="00923427">
        <w:rPr>
          <w:rFonts w:ascii="Open Sans" w:hAnsi="Open Sans" w:cs="Open Sans"/>
          <w:sz w:val="20"/>
          <w:szCs w:val="20"/>
        </w:rPr>
        <w:t>outheastern</w:t>
      </w:r>
      <w:proofErr w:type="spellEnd"/>
      <w:r w:rsidRPr="00923427">
        <w:rPr>
          <w:rFonts w:ascii="Open Sans" w:hAnsi="Open Sans" w:cs="Open Sans"/>
          <w:sz w:val="20"/>
          <w:szCs w:val="20"/>
        </w:rPr>
        <w:t xml:space="preserve"> US</w:t>
      </w:r>
      <w:r w:rsidR="00FF1DD7">
        <w:rPr>
          <w:rFonts w:ascii="Open Sans" w:hAnsi="Open Sans" w:cs="Open Sans"/>
          <w:sz w:val="20"/>
          <w:szCs w:val="20"/>
        </w:rPr>
        <w:t xml:space="preserve"> </w:t>
      </w:r>
      <w:r w:rsidRPr="00923427">
        <w:rPr>
          <w:rFonts w:ascii="Open Sans" w:hAnsi="Open Sans" w:cs="Open Sans"/>
          <w:sz w:val="20"/>
          <w:szCs w:val="20"/>
        </w:rPr>
        <w:t xml:space="preserve"> are not supported,” and that “adverse impacts are mostly from studies of short duration conducted soon after extraction” </w:t>
      </w:r>
      <w:r w:rsidR="009B46C4" w:rsidRPr="00923427">
        <w:rPr>
          <w:rStyle w:val="FootnoteReference"/>
          <w:rFonts w:ascii="Open Sans" w:hAnsi="Open Sans" w:cs="Open Sans"/>
          <w:sz w:val="20"/>
          <w:szCs w:val="20"/>
        </w:rPr>
        <w:footnoteReference w:id="11"/>
      </w:r>
      <w:r w:rsidR="009B46C4" w:rsidRPr="00923427">
        <w:rPr>
          <w:rFonts w:ascii="Open Sans" w:hAnsi="Open Sans" w:cs="Open Sans"/>
          <w:sz w:val="20"/>
          <w:szCs w:val="20"/>
        </w:rPr>
        <w:t xml:space="preserve"> </w:t>
      </w:r>
      <w:r w:rsidRPr="00923427">
        <w:rPr>
          <w:rFonts w:ascii="Open Sans" w:hAnsi="Open Sans" w:cs="Open Sans"/>
          <w:sz w:val="20"/>
          <w:szCs w:val="20"/>
        </w:rPr>
        <w:t>.</w:t>
      </w:r>
      <w:r w:rsidR="00C53211" w:rsidRPr="00923427">
        <w:rPr>
          <w:rFonts w:ascii="Open Sans" w:hAnsi="Open Sans" w:cs="Open Sans"/>
          <w:sz w:val="20"/>
          <w:szCs w:val="20"/>
        </w:rPr>
        <w:t xml:space="preserve"> Similar reports are also seen in the UK where the </w:t>
      </w:r>
      <w:r w:rsidR="00C53211" w:rsidRPr="00923427">
        <w:rPr>
          <w:rFonts w:ascii="Open Sans" w:hAnsi="Open Sans" w:cs="Open Sans"/>
          <w:sz w:val="20"/>
          <w:szCs w:val="20"/>
          <w:lang w:val="en"/>
        </w:rPr>
        <w:t xml:space="preserve">market for forest </w:t>
      </w:r>
      <w:proofErr w:type="spellStart"/>
      <w:r w:rsidR="00C53211" w:rsidRPr="00923427">
        <w:rPr>
          <w:rFonts w:ascii="Open Sans" w:hAnsi="Open Sans" w:cs="Open Sans"/>
          <w:sz w:val="20"/>
          <w:szCs w:val="20"/>
          <w:lang w:val="en"/>
        </w:rPr>
        <w:t>thinnings</w:t>
      </w:r>
      <w:proofErr w:type="spellEnd"/>
      <w:r w:rsidR="00C53211" w:rsidRPr="00923427">
        <w:rPr>
          <w:rFonts w:ascii="Open Sans" w:hAnsi="Open Sans" w:cs="Open Sans"/>
          <w:sz w:val="20"/>
          <w:szCs w:val="20"/>
          <w:lang w:val="en"/>
        </w:rPr>
        <w:t xml:space="preserve"> created by the RHI</w:t>
      </w:r>
      <w:r w:rsidR="009B46C4" w:rsidRPr="00923427">
        <w:rPr>
          <w:rFonts w:ascii="Open Sans" w:hAnsi="Open Sans" w:cs="Open Sans"/>
          <w:sz w:val="20"/>
          <w:szCs w:val="20"/>
          <w:lang w:val="en"/>
        </w:rPr>
        <w:t xml:space="preserve"> and RO</w:t>
      </w:r>
      <w:r w:rsidR="00C53211" w:rsidRPr="00923427">
        <w:rPr>
          <w:rFonts w:ascii="Open Sans" w:hAnsi="Open Sans" w:cs="Open Sans"/>
          <w:sz w:val="20"/>
          <w:szCs w:val="20"/>
          <w:lang w:val="en"/>
        </w:rPr>
        <w:t xml:space="preserve"> in the UK is credited with helping bring more UK woodland into management with consequent biodiversity benefits.</w:t>
      </w:r>
      <w:r w:rsidR="009B46C4" w:rsidRPr="00923427">
        <w:rPr>
          <w:rStyle w:val="FootnoteReference"/>
          <w:rFonts w:ascii="Open Sans" w:hAnsi="Open Sans" w:cs="Open Sans"/>
          <w:sz w:val="20"/>
          <w:szCs w:val="20"/>
          <w:lang w:val="en"/>
        </w:rPr>
        <w:footnoteReference w:id="12"/>
      </w:r>
    </w:p>
    <w:p w14:paraId="70898155" w14:textId="77777777" w:rsidR="009B46C4" w:rsidRPr="00923427" w:rsidRDefault="009B46C4" w:rsidP="009B46C4">
      <w:pPr>
        <w:spacing w:after="0" w:line="240" w:lineRule="auto"/>
        <w:rPr>
          <w:rFonts w:ascii="Open Sans" w:hAnsi="Open Sans" w:cs="Open Sans"/>
          <w:sz w:val="20"/>
          <w:szCs w:val="20"/>
          <w:lang w:val="en"/>
        </w:rPr>
      </w:pPr>
    </w:p>
    <w:p w14:paraId="74B76902" w14:textId="209ADFD4" w:rsidR="00C53211" w:rsidRPr="00923427" w:rsidRDefault="00C53211" w:rsidP="009B46C4">
      <w:pPr>
        <w:spacing w:after="0" w:line="240" w:lineRule="auto"/>
        <w:rPr>
          <w:rFonts w:ascii="Open Sans" w:hAnsi="Open Sans" w:cs="Open Sans"/>
          <w:sz w:val="20"/>
          <w:szCs w:val="20"/>
        </w:rPr>
      </w:pPr>
      <w:r w:rsidRPr="00923427">
        <w:rPr>
          <w:rFonts w:ascii="Open Sans" w:hAnsi="Open Sans" w:cs="Open Sans"/>
          <w:sz w:val="20"/>
          <w:szCs w:val="20"/>
          <w:lang w:val="en"/>
        </w:rPr>
        <w:t xml:space="preserve">It is noted that positive forest management involves the removal of </w:t>
      </w:r>
      <w:r w:rsidRPr="00923427">
        <w:rPr>
          <w:rFonts w:ascii="Open Sans" w:hAnsi="Open Sans" w:cs="Open Sans"/>
          <w:sz w:val="20"/>
          <w:szCs w:val="20"/>
        </w:rPr>
        <w:t>infested or diseased trees</w:t>
      </w:r>
      <w:r w:rsidR="009B46C4" w:rsidRPr="00923427">
        <w:rPr>
          <w:rFonts w:ascii="Open Sans" w:hAnsi="Open Sans" w:cs="Open Sans"/>
          <w:sz w:val="20"/>
          <w:szCs w:val="20"/>
        </w:rPr>
        <w:t xml:space="preserve"> which also</w:t>
      </w:r>
      <w:r w:rsidRPr="00923427">
        <w:rPr>
          <w:rFonts w:ascii="Open Sans" w:hAnsi="Open Sans" w:cs="Open Sans"/>
          <w:sz w:val="20"/>
          <w:szCs w:val="20"/>
        </w:rPr>
        <w:t xml:space="preserve"> helps to protect the </w:t>
      </w:r>
      <w:hyperlink r:id="rId17" w:history="1">
        <w:r w:rsidRPr="00923427">
          <w:rPr>
            <w:rStyle w:val="CommentTextChar"/>
            <w:rFonts w:ascii="Open Sans" w:eastAsiaTheme="minorHAnsi" w:hAnsi="Open Sans" w:cs="Open Sans"/>
          </w:rPr>
          <w:t>wider health of the forest</w:t>
        </w:r>
      </w:hyperlink>
      <w:r w:rsidRPr="00923427">
        <w:rPr>
          <w:rFonts w:ascii="Open Sans" w:hAnsi="Open Sans" w:cs="Open Sans"/>
          <w:sz w:val="20"/>
          <w:szCs w:val="20"/>
        </w:rPr>
        <w:t>.</w:t>
      </w:r>
      <w:r w:rsidR="009B46C4" w:rsidRPr="00923427">
        <w:rPr>
          <w:rStyle w:val="FootnoteReference"/>
          <w:rFonts w:ascii="Open Sans" w:hAnsi="Open Sans" w:cs="Open Sans"/>
          <w:sz w:val="20"/>
          <w:szCs w:val="20"/>
        </w:rPr>
        <w:footnoteReference w:id="13"/>
      </w:r>
      <w:r w:rsidRPr="00923427">
        <w:rPr>
          <w:rFonts w:ascii="Open Sans" w:hAnsi="Open Sans" w:cs="Open Sans"/>
          <w:sz w:val="20"/>
          <w:szCs w:val="20"/>
        </w:rPr>
        <w:t xml:space="preserve"> For example, In the Southern US forest thinning helps support open pine ecosystems which many imperilled species are dependent on.</w:t>
      </w:r>
    </w:p>
    <w:p w14:paraId="76CBBBC2" w14:textId="77777777" w:rsidR="009B46C4" w:rsidRPr="00923427" w:rsidRDefault="009B46C4" w:rsidP="009B46C4">
      <w:pPr>
        <w:spacing w:after="0" w:line="240" w:lineRule="auto"/>
        <w:rPr>
          <w:rFonts w:ascii="Open Sans" w:hAnsi="Open Sans" w:cs="Open Sans"/>
          <w:sz w:val="20"/>
          <w:szCs w:val="20"/>
          <w:lang w:val="en"/>
        </w:rPr>
      </w:pPr>
    </w:p>
    <w:p w14:paraId="6DCFF30E" w14:textId="4CDD659F" w:rsidR="007777AC" w:rsidRPr="00923427" w:rsidRDefault="007777AC" w:rsidP="009B46C4">
      <w:pPr>
        <w:spacing w:after="0" w:line="240" w:lineRule="auto"/>
        <w:rPr>
          <w:rFonts w:ascii="Open Sans" w:hAnsi="Open Sans" w:cs="Open Sans"/>
          <w:sz w:val="20"/>
          <w:szCs w:val="20"/>
          <w:lang w:val="en"/>
        </w:rPr>
      </w:pPr>
      <w:r w:rsidRPr="00923427">
        <w:rPr>
          <w:rFonts w:ascii="Open Sans" w:hAnsi="Open Sans" w:cs="Open Sans"/>
          <w:sz w:val="20"/>
          <w:szCs w:val="20"/>
          <w:lang w:val="en"/>
        </w:rPr>
        <w:t xml:space="preserve">In general, to mitigate impacts on biodiversity, bioenergy production </w:t>
      </w:r>
      <w:r w:rsidR="00C53211" w:rsidRPr="00923427">
        <w:rPr>
          <w:rFonts w:ascii="Open Sans" w:hAnsi="Open Sans" w:cs="Open Sans"/>
          <w:sz w:val="20"/>
          <w:szCs w:val="20"/>
          <w:lang w:val="en"/>
        </w:rPr>
        <w:t xml:space="preserve">needs to be assured that healthy forests are rewarded, making it commercially sensible for forests to be managed and biodiversity to be maintained. Of equal </w:t>
      </w:r>
      <w:r w:rsidR="00681E52" w:rsidRPr="00923427">
        <w:rPr>
          <w:rFonts w:ascii="Open Sans" w:hAnsi="Open Sans" w:cs="Open Sans"/>
          <w:sz w:val="20"/>
          <w:szCs w:val="20"/>
          <w:lang w:val="en"/>
        </w:rPr>
        <w:t>importance</w:t>
      </w:r>
      <w:r w:rsidR="00C53211" w:rsidRPr="00923427">
        <w:rPr>
          <w:rFonts w:ascii="Open Sans" w:hAnsi="Open Sans" w:cs="Open Sans"/>
          <w:sz w:val="20"/>
          <w:szCs w:val="20"/>
          <w:lang w:val="en"/>
        </w:rPr>
        <w:t xml:space="preserve"> therefore is also </w:t>
      </w:r>
      <w:r w:rsidR="00681E52" w:rsidRPr="00923427">
        <w:rPr>
          <w:rFonts w:ascii="Open Sans" w:hAnsi="Open Sans" w:cs="Open Sans"/>
          <w:sz w:val="20"/>
          <w:szCs w:val="20"/>
          <w:lang w:val="en"/>
        </w:rPr>
        <w:t xml:space="preserve">compliance and </w:t>
      </w:r>
      <w:r w:rsidR="00206E5E" w:rsidRPr="00923427">
        <w:rPr>
          <w:rFonts w:ascii="Open Sans" w:hAnsi="Open Sans" w:cs="Open Sans"/>
          <w:sz w:val="20"/>
          <w:szCs w:val="20"/>
          <w:lang w:val="en"/>
        </w:rPr>
        <w:t>enforcement</w:t>
      </w:r>
      <w:r w:rsidR="00C53211" w:rsidRPr="00923427">
        <w:rPr>
          <w:rFonts w:ascii="Open Sans" w:hAnsi="Open Sans" w:cs="Open Sans"/>
          <w:sz w:val="20"/>
          <w:szCs w:val="20"/>
          <w:lang w:val="en"/>
        </w:rPr>
        <w:t xml:space="preserve"> with </w:t>
      </w:r>
      <w:r w:rsidRPr="00923427">
        <w:rPr>
          <w:rFonts w:ascii="Open Sans" w:hAnsi="Open Sans" w:cs="Open Sans"/>
          <w:sz w:val="20"/>
          <w:szCs w:val="20"/>
          <w:lang w:val="en"/>
        </w:rPr>
        <w:t>good forestry and agricultural practice.</w:t>
      </w:r>
      <w:r w:rsidR="00681E52" w:rsidRPr="00923427">
        <w:rPr>
          <w:rFonts w:ascii="Open Sans" w:hAnsi="Open Sans" w:cs="Open Sans"/>
          <w:sz w:val="20"/>
          <w:szCs w:val="20"/>
          <w:lang w:val="en"/>
        </w:rPr>
        <w:t xml:space="preserve"> </w:t>
      </w:r>
      <w:r w:rsidRPr="00923427">
        <w:rPr>
          <w:rFonts w:ascii="Open Sans" w:hAnsi="Open Sans" w:cs="Open Sans"/>
          <w:sz w:val="20"/>
          <w:szCs w:val="20"/>
          <w:lang w:val="en"/>
        </w:rPr>
        <w:t>In the UK this includes the UK Forest Standard</w:t>
      </w:r>
      <w:r w:rsidR="00206E5E" w:rsidRPr="00923427">
        <w:rPr>
          <w:rFonts w:ascii="Open Sans" w:hAnsi="Open Sans" w:cs="Open Sans"/>
          <w:sz w:val="20"/>
          <w:szCs w:val="20"/>
          <w:lang w:val="en"/>
        </w:rPr>
        <w:t>.</w:t>
      </w:r>
      <w:r w:rsidR="00206E5E" w:rsidRPr="00923427">
        <w:rPr>
          <w:rStyle w:val="FootnoteReference"/>
          <w:rFonts w:ascii="Open Sans" w:hAnsi="Open Sans" w:cs="Open Sans"/>
          <w:sz w:val="20"/>
          <w:szCs w:val="20"/>
          <w:lang w:val="en"/>
        </w:rPr>
        <w:footnoteReference w:id="14"/>
      </w:r>
      <w:r w:rsidR="00C53211" w:rsidRPr="00923427">
        <w:rPr>
          <w:rFonts w:ascii="Open Sans" w:hAnsi="Open Sans" w:cs="Open Sans"/>
          <w:sz w:val="20"/>
          <w:szCs w:val="20"/>
          <w:lang w:val="en"/>
        </w:rPr>
        <w:t xml:space="preserve"> While more </w:t>
      </w:r>
      <w:r w:rsidR="00681E52" w:rsidRPr="00923427">
        <w:rPr>
          <w:rFonts w:ascii="Open Sans" w:hAnsi="Open Sans" w:cs="Open Sans"/>
          <w:sz w:val="20"/>
          <w:szCs w:val="20"/>
          <w:lang w:val="en"/>
        </w:rPr>
        <w:t>inte</w:t>
      </w:r>
      <w:r w:rsidR="00206E5E" w:rsidRPr="00923427">
        <w:rPr>
          <w:rFonts w:ascii="Open Sans" w:hAnsi="Open Sans" w:cs="Open Sans"/>
          <w:sz w:val="20"/>
          <w:szCs w:val="20"/>
          <w:lang w:val="en"/>
        </w:rPr>
        <w:t>rnationally this</w:t>
      </w:r>
      <w:r w:rsidR="00C53211" w:rsidRPr="00923427">
        <w:rPr>
          <w:rFonts w:ascii="Open Sans" w:hAnsi="Open Sans" w:cs="Open Sans"/>
          <w:sz w:val="20"/>
          <w:szCs w:val="20"/>
          <w:lang w:val="en"/>
        </w:rPr>
        <w:t xml:space="preserve"> includes complying with the </w:t>
      </w:r>
      <w:r w:rsidRPr="00923427">
        <w:rPr>
          <w:rFonts w:ascii="Open Sans" w:hAnsi="Open Sans" w:cs="Open Sans"/>
          <w:sz w:val="20"/>
          <w:szCs w:val="20"/>
        </w:rPr>
        <w:t>FAO’s Principles for Responsible Investment in Agriculture and Food Systems as approved by the Committee on World Food Security</w:t>
      </w:r>
      <w:r w:rsidRPr="00923427">
        <w:rPr>
          <w:rFonts w:ascii="Open Sans" w:hAnsi="Open Sans" w:cs="Open Sans"/>
          <w:sz w:val="20"/>
          <w:szCs w:val="20"/>
          <w:lang w:val="en"/>
        </w:rPr>
        <w:t>.</w:t>
      </w:r>
      <w:r w:rsidR="00206E5E" w:rsidRPr="00923427">
        <w:rPr>
          <w:rStyle w:val="FootnoteReference"/>
          <w:rFonts w:ascii="Open Sans" w:hAnsi="Open Sans" w:cs="Open Sans"/>
          <w:sz w:val="20"/>
          <w:szCs w:val="20"/>
          <w:lang w:val="en"/>
        </w:rPr>
        <w:footnoteReference w:id="15"/>
      </w:r>
      <w:r w:rsidR="00681E52" w:rsidRPr="00923427">
        <w:rPr>
          <w:rFonts w:ascii="Open Sans" w:hAnsi="Open Sans" w:cs="Open Sans"/>
          <w:sz w:val="20"/>
          <w:szCs w:val="20"/>
          <w:lang w:val="en"/>
        </w:rPr>
        <w:t xml:space="preserve"> Support and regulation around bioenergy feedstock production therefore provides the additional level of </w:t>
      </w:r>
      <w:r w:rsidR="00180640" w:rsidRPr="00923427">
        <w:rPr>
          <w:rFonts w:ascii="Open Sans" w:hAnsi="Open Sans" w:cs="Open Sans"/>
          <w:sz w:val="20"/>
          <w:szCs w:val="20"/>
          <w:lang w:val="en"/>
        </w:rPr>
        <w:t>regulatory</w:t>
      </w:r>
      <w:r w:rsidR="00681E52" w:rsidRPr="00923427">
        <w:rPr>
          <w:rFonts w:ascii="Open Sans" w:hAnsi="Open Sans" w:cs="Open Sans"/>
          <w:sz w:val="20"/>
          <w:szCs w:val="20"/>
          <w:lang w:val="en"/>
        </w:rPr>
        <w:t xml:space="preserve"> oversight that supports implementation of these rules.  </w:t>
      </w:r>
    </w:p>
    <w:p w14:paraId="51CFD148" w14:textId="77777777" w:rsidR="00206E5E" w:rsidRPr="00923427" w:rsidRDefault="00206E5E" w:rsidP="009B46C4">
      <w:pPr>
        <w:spacing w:after="0" w:line="240" w:lineRule="auto"/>
        <w:rPr>
          <w:rFonts w:ascii="Open Sans" w:hAnsi="Open Sans" w:cs="Open Sans"/>
          <w:sz w:val="20"/>
          <w:szCs w:val="20"/>
          <w:lang w:val="en"/>
        </w:rPr>
      </w:pPr>
    </w:p>
    <w:p w14:paraId="7B0AC21D" w14:textId="2EA31B87" w:rsidR="00F92323" w:rsidRPr="00923427" w:rsidRDefault="00F92323" w:rsidP="00882FC4">
      <w:pPr>
        <w:rPr>
          <w:rFonts w:ascii="Open Sans" w:hAnsi="Open Sans" w:cs="Open Sans"/>
          <w:b/>
          <w:bCs/>
          <w:i/>
          <w:iCs/>
          <w:sz w:val="20"/>
          <w:szCs w:val="20"/>
        </w:rPr>
      </w:pPr>
      <w:r w:rsidRPr="00923427">
        <w:rPr>
          <w:rFonts w:ascii="Open Sans" w:hAnsi="Open Sans" w:cs="Open Sans"/>
          <w:b/>
          <w:bCs/>
          <w:i/>
          <w:iCs/>
          <w:sz w:val="20"/>
          <w:szCs w:val="20"/>
        </w:rPr>
        <w:t>Wildfire</w:t>
      </w:r>
      <w:r w:rsidR="0001210C" w:rsidRPr="00923427">
        <w:rPr>
          <w:rFonts w:ascii="Open Sans" w:hAnsi="Open Sans" w:cs="Open Sans"/>
          <w:b/>
          <w:bCs/>
          <w:i/>
          <w:iCs/>
          <w:sz w:val="20"/>
          <w:szCs w:val="20"/>
        </w:rPr>
        <w:t xml:space="preserve"> Mitigation </w:t>
      </w:r>
    </w:p>
    <w:p w14:paraId="06A791C2" w14:textId="32352AE1" w:rsidR="002D358F" w:rsidRPr="00923427" w:rsidRDefault="00F25F0F" w:rsidP="00882FC4">
      <w:pPr>
        <w:rPr>
          <w:rFonts w:ascii="Open Sans" w:hAnsi="Open Sans" w:cs="Open Sans"/>
          <w:sz w:val="20"/>
          <w:szCs w:val="20"/>
        </w:rPr>
      </w:pPr>
      <w:r w:rsidRPr="00923427">
        <w:rPr>
          <w:rFonts w:ascii="Open Sans" w:hAnsi="Open Sans" w:cs="Open Sans"/>
          <w:sz w:val="20"/>
          <w:szCs w:val="20"/>
        </w:rPr>
        <w:t xml:space="preserve">In addition, bioenergy demand rewards the </w:t>
      </w:r>
      <w:r w:rsidR="00DE5336" w:rsidRPr="00923427">
        <w:rPr>
          <w:rFonts w:ascii="Open Sans" w:hAnsi="Open Sans" w:cs="Open Sans"/>
          <w:sz w:val="20"/>
          <w:szCs w:val="20"/>
        </w:rPr>
        <w:t>removal of deadwood</w:t>
      </w:r>
      <w:r w:rsidRPr="00923427">
        <w:rPr>
          <w:rFonts w:ascii="Open Sans" w:hAnsi="Open Sans" w:cs="Open Sans"/>
          <w:sz w:val="20"/>
          <w:szCs w:val="20"/>
        </w:rPr>
        <w:t xml:space="preserve">, </w:t>
      </w:r>
      <w:r w:rsidR="00DE5336" w:rsidRPr="00923427">
        <w:rPr>
          <w:rFonts w:ascii="Open Sans" w:hAnsi="Open Sans" w:cs="Open Sans"/>
          <w:sz w:val="20"/>
          <w:szCs w:val="20"/>
        </w:rPr>
        <w:t>and management of the underbrush</w:t>
      </w:r>
      <w:r w:rsidRPr="00923427">
        <w:rPr>
          <w:rFonts w:ascii="Open Sans" w:hAnsi="Open Sans" w:cs="Open Sans"/>
          <w:sz w:val="20"/>
          <w:szCs w:val="20"/>
        </w:rPr>
        <w:t xml:space="preserve">, which contributes to the avoidance of wildfires in the US.  The removal of this ‘ladder fuel’ creates fire breaks and is part of the solution to addressing the extended wildfire seasons that are expected to become even </w:t>
      </w:r>
      <w:r w:rsidR="002E0D36" w:rsidRPr="00923427">
        <w:rPr>
          <w:rFonts w:ascii="Open Sans" w:hAnsi="Open Sans" w:cs="Open Sans"/>
          <w:sz w:val="20"/>
          <w:szCs w:val="20"/>
        </w:rPr>
        <w:t xml:space="preserve">more common due to </w:t>
      </w:r>
      <w:r w:rsidRPr="00923427">
        <w:rPr>
          <w:rFonts w:ascii="Open Sans" w:hAnsi="Open Sans" w:cs="Open Sans"/>
          <w:sz w:val="20"/>
          <w:szCs w:val="20"/>
        </w:rPr>
        <w:t>climate change.</w:t>
      </w:r>
      <w:r w:rsidR="00206E5E" w:rsidRPr="00923427">
        <w:rPr>
          <w:rStyle w:val="FootnoteReference"/>
          <w:rFonts w:ascii="Open Sans" w:hAnsi="Open Sans" w:cs="Open Sans"/>
          <w:sz w:val="20"/>
          <w:szCs w:val="20"/>
        </w:rPr>
        <w:footnoteReference w:id="16"/>
      </w:r>
      <w:r w:rsidR="00206E5E" w:rsidRPr="00923427">
        <w:rPr>
          <w:rFonts w:ascii="Open Sans" w:hAnsi="Open Sans" w:cs="Open Sans"/>
          <w:sz w:val="20"/>
          <w:szCs w:val="20"/>
        </w:rPr>
        <w:t xml:space="preserve"> </w:t>
      </w:r>
      <w:r w:rsidR="00206E5E" w:rsidRPr="00923427">
        <w:rPr>
          <w:rFonts w:ascii="Open Sans" w:hAnsi="Open Sans" w:cs="Open Sans"/>
          <w:sz w:val="20"/>
          <w:szCs w:val="20"/>
          <w:vertAlign w:val="superscript"/>
        </w:rPr>
        <w:t>&amp;</w:t>
      </w:r>
      <w:r w:rsidRPr="00923427">
        <w:rPr>
          <w:rFonts w:ascii="Open Sans" w:hAnsi="Open Sans" w:cs="Open Sans"/>
          <w:sz w:val="20"/>
          <w:szCs w:val="20"/>
        </w:rPr>
        <w:t xml:space="preserve"> </w:t>
      </w:r>
      <w:r w:rsidR="00206E5E" w:rsidRPr="00923427">
        <w:rPr>
          <w:rStyle w:val="FootnoteReference"/>
          <w:rFonts w:ascii="Open Sans" w:hAnsi="Open Sans" w:cs="Open Sans"/>
          <w:sz w:val="20"/>
          <w:szCs w:val="20"/>
        </w:rPr>
        <w:footnoteReference w:id="17"/>
      </w:r>
    </w:p>
    <w:p w14:paraId="6BA995ED" w14:textId="0DDEA8E2" w:rsidR="002E0D36" w:rsidRPr="00923427" w:rsidRDefault="002E0D36" w:rsidP="00882FC4">
      <w:pPr>
        <w:rPr>
          <w:rFonts w:ascii="Open Sans" w:hAnsi="Open Sans" w:cs="Open Sans"/>
          <w:b/>
          <w:bCs/>
          <w:i/>
          <w:iCs/>
          <w:sz w:val="20"/>
          <w:szCs w:val="20"/>
        </w:rPr>
      </w:pPr>
      <w:r w:rsidRPr="00923427">
        <w:rPr>
          <w:rFonts w:ascii="Open Sans" w:hAnsi="Open Sans" w:cs="Open Sans"/>
          <w:b/>
          <w:bCs/>
          <w:i/>
          <w:iCs/>
          <w:sz w:val="20"/>
          <w:szCs w:val="20"/>
        </w:rPr>
        <w:t>Flooding</w:t>
      </w:r>
      <w:r w:rsidR="0001210C" w:rsidRPr="00923427">
        <w:rPr>
          <w:rFonts w:ascii="Open Sans" w:hAnsi="Open Sans" w:cs="Open Sans"/>
          <w:b/>
          <w:bCs/>
          <w:i/>
          <w:iCs/>
          <w:sz w:val="20"/>
          <w:szCs w:val="20"/>
        </w:rPr>
        <w:t xml:space="preserve"> Mitigation</w:t>
      </w:r>
    </w:p>
    <w:p w14:paraId="6A0F8822" w14:textId="6342E9BE" w:rsidR="002E0D36" w:rsidRPr="00923427" w:rsidRDefault="002E0D36" w:rsidP="002E0D36">
      <w:pPr>
        <w:jc w:val="both"/>
        <w:rPr>
          <w:rFonts w:ascii="Open Sans" w:hAnsi="Open Sans" w:cs="Open Sans"/>
          <w:sz w:val="20"/>
          <w:szCs w:val="20"/>
        </w:rPr>
      </w:pPr>
      <w:r w:rsidRPr="00923427">
        <w:rPr>
          <w:rFonts w:ascii="Open Sans" w:hAnsi="Open Sans" w:cs="Open Sans"/>
          <w:sz w:val="20"/>
          <w:szCs w:val="20"/>
        </w:rPr>
        <w:t>In 2020, large parts of the Midlands, Yorkshire and Wales received unprecedented rainfall, and in some cases a month’s worth of rain fell in just 24 hours. The Environment Agency themselves called this ‘uncharted territory’ for flooding</w:t>
      </w:r>
      <w:r w:rsidR="00EC3D19" w:rsidRPr="00923427">
        <w:rPr>
          <w:rFonts w:ascii="Open Sans" w:hAnsi="Open Sans" w:cs="Open Sans"/>
          <w:sz w:val="20"/>
          <w:szCs w:val="20"/>
        </w:rPr>
        <w:t xml:space="preserve"> </w:t>
      </w:r>
      <w:r w:rsidR="00DF5CBD" w:rsidRPr="00923427">
        <w:rPr>
          <w:rFonts w:ascii="Open Sans" w:hAnsi="Open Sans" w:cs="Open Sans"/>
          <w:sz w:val="20"/>
          <w:szCs w:val="20"/>
        </w:rPr>
        <w:t xml:space="preserve">but </w:t>
      </w:r>
      <w:r w:rsidR="00F36EEC" w:rsidRPr="00923427">
        <w:rPr>
          <w:rFonts w:ascii="Open Sans" w:hAnsi="Open Sans" w:cs="Open Sans"/>
          <w:sz w:val="20"/>
          <w:szCs w:val="20"/>
        </w:rPr>
        <w:t xml:space="preserve">expects it to be a an increasingly common </w:t>
      </w:r>
      <w:r w:rsidR="00EC3D19" w:rsidRPr="00923427">
        <w:rPr>
          <w:rFonts w:ascii="Open Sans" w:hAnsi="Open Sans" w:cs="Open Sans"/>
          <w:sz w:val="20"/>
          <w:szCs w:val="20"/>
        </w:rPr>
        <w:t>occurrence</w:t>
      </w:r>
      <w:r w:rsidRPr="00923427">
        <w:rPr>
          <w:rFonts w:ascii="Open Sans" w:hAnsi="Open Sans" w:cs="Open Sans"/>
          <w:sz w:val="20"/>
          <w:szCs w:val="20"/>
        </w:rPr>
        <w:t xml:space="preserve">. </w:t>
      </w:r>
      <w:r w:rsidR="007B2B4B" w:rsidRPr="00923427">
        <w:rPr>
          <w:rFonts w:ascii="Open Sans" w:hAnsi="Open Sans" w:cs="Open Sans"/>
          <w:sz w:val="20"/>
          <w:szCs w:val="20"/>
        </w:rPr>
        <w:t xml:space="preserve"> </w:t>
      </w:r>
      <w:r w:rsidR="00F465CA" w:rsidRPr="00923427">
        <w:rPr>
          <w:rFonts w:ascii="Open Sans" w:hAnsi="Open Sans" w:cs="Open Sans"/>
          <w:sz w:val="20"/>
          <w:szCs w:val="20"/>
        </w:rPr>
        <w:t xml:space="preserve">Growth of bioenergy feedstocks, both in terms of forestry and energy </w:t>
      </w:r>
      <w:r w:rsidR="00BA6AAF" w:rsidRPr="00923427">
        <w:rPr>
          <w:rFonts w:ascii="Open Sans" w:hAnsi="Open Sans" w:cs="Open Sans"/>
          <w:sz w:val="20"/>
          <w:szCs w:val="20"/>
        </w:rPr>
        <w:t>crops, is</w:t>
      </w:r>
      <w:r w:rsidR="00EC3D19" w:rsidRPr="00923427">
        <w:rPr>
          <w:rFonts w:ascii="Open Sans" w:hAnsi="Open Sans" w:cs="Open Sans"/>
          <w:sz w:val="20"/>
          <w:szCs w:val="20"/>
        </w:rPr>
        <w:t xml:space="preserve"> proving </w:t>
      </w:r>
      <w:r w:rsidR="00206E5E" w:rsidRPr="00923427">
        <w:rPr>
          <w:rFonts w:ascii="Open Sans" w:hAnsi="Open Sans" w:cs="Open Sans"/>
          <w:sz w:val="20"/>
          <w:szCs w:val="20"/>
        </w:rPr>
        <w:t>nature-based</w:t>
      </w:r>
      <w:r w:rsidR="00EC3D19" w:rsidRPr="00923427">
        <w:rPr>
          <w:rFonts w:ascii="Open Sans" w:hAnsi="Open Sans" w:cs="Open Sans"/>
          <w:sz w:val="20"/>
          <w:szCs w:val="20"/>
        </w:rPr>
        <w:t xml:space="preserve"> solutions to flooding prevention. </w:t>
      </w:r>
    </w:p>
    <w:p w14:paraId="65C93110" w14:textId="28F8F991" w:rsidR="002E0D36" w:rsidRPr="00923427" w:rsidRDefault="002E0D36" w:rsidP="00206E5E">
      <w:pPr>
        <w:spacing w:line="252" w:lineRule="auto"/>
        <w:jc w:val="both"/>
        <w:rPr>
          <w:rFonts w:ascii="Open Sans" w:eastAsia="Times New Roman" w:hAnsi="Open Sans" w:cs="Open Sans"/>
          <w:sz w:val="20"/>
          <w:szCs w:val="20"/>
        </w:rPr>
      </w:pPr>
      <w:r w:rsidRPr="00923427">
        <w:rPr>
          <w:rFonts w:ascii="Open Sans" w:eastAsia="Times New Roman" w:hAnsi="Open Sans" w:cs="Open Sans"/>
          <w:sz w:val="20"/>
          <w:szCs w:val="20"/>
        </w:rPr>
        <w:t>Trees play a key role in reducing the amount of water reaching the ground, as well as creating soils that can absorb more water.</w:t>
      </w:r>
      <w:r w:rsidR="00206E5E" w:rsidRPr="00923427">
        <w:rPr>
          <w:rFonts w:ascii="Open Sans" w:eastAsia="Times New Roman" w:hAnsi="Open Sans" w:cs="Open Sans"/>
          <w:sz w:val="20"/>
          <w:szCs w:val="20"/>
        </w:rPr>
        <w:t xml:space="preserve"> </w:t>
      </w:r>
      <w:r w:rsidRPr="00923427">
        <w:rPr>
          <w:rFonts w:ascii="Open Sans" w:eastAsia="Times New Roman" w:hAnsi="Open Sans" w:cs="Open Sans"/>
          <w:sz w:val="20"/>
          <w:szCs w:val="20"/>
        </w:rPr>
        <w:t xml:space="preserve">Conifers are particularly good in this regard and can lead to between 25-45% less water reaching the ground per year compared with grass. Broadleaf can also lead to between 10-25%. </w:t>
      </w:r>
      <w:r w:rsidR="00206E5E" w:rsidRPr="00923427">
        <w:rPr>
          <w:rFonts w:ascii="Open Sans" w:eastAsia="Times New Roman" w:hAnsi="Open Sans" w:cs="Open Sans"/>
          <w:sz w:val="20"/>
          <w:szCs w:val="20"/>
        </w:rPr>
        <w:t>I</w:t>
      </w:r>
      <w:r w:rsidRPr="00923427">
        <w:rPr>
          <w:rFonts w:ascii="Open Sans" w:eastAsia="Times New Roman" w:hAnsi="Open Sans" w:cs="Open Sans"/>
          <w:sz w:val="20"/>
          <w:szCs w:val="20"/>
        </w:rPr>
        <w:t xml:space="preserve">n turn, this canopy cover leads to drier soils underneath which can absorb more water. </w:t>
      </w:r>
    </w:p>
    <w:p w14:paraId="32EB0398" w14:textId="45DAEA72" w:rsidR="002E0D36" w:rsidRPr="00923427" w:rsidRDefault="002E0D36" w:rsidP="00206E5E">
      <w:pPr>
        <w:spacing w:line="252" w:lineRule="auto"/>
        <w:jc w:val="both"/>
        <w:rPr>
          <w:rFonts w:ascii="Open Sans" w:eastAsia="Times New Roman" w:hAnsi="Open Sans" w:cs="Open Sans"/>
          <w:sz w:val="20"/>
          <w:szCs w:val="20"/>
        </w:rPr>
      </w:pPr>
      <w:r w:rsidRPr="00923427">
        <w:rPr>
          <w:rFonts w:ascii="Open Sans" w:eastAsia="Times New Roman" w:hAnsi="Open Sans" w:cs="Open Sans"/>
          <w:sz w:val="20"/>
          <w:szCs w:val="20"/>
        </w:rPr>
        <w:t xml:space="preserve">Perennial Energy Crops </w:t>
      </w:r>
      <w:r w:rsidR="00206E5E" w:rsidRPr="00923427">
        <w:rPr>
          <w:rFonts w:ascii="Open Sans" w:eastAsia="Times New Roman" w:hAnsi="Open Sans" w:cs="Open Sans"/>
          <w:sz w:val="20"/>
          <w:szCs w:val="20"/>
        </w:rPr>
        <w:t xml:space="preserve">(PECs) </w:t>
      </w:r>
      <w:r w:rsidRPr="00923427">
        <w:rPr>
          <w:rFonts w:ascii="Open Sans" w:eastAsia="Times New Roman" w:hAnsi="Open Sans" w:cs="Open Sans"/>
          <w:sz w:val="20"/>
          <w:szCs w:val="20"/>
        </w:rPr>
        <w:t xml:space="preserve">can also be effective when planted on floodplain or flood-prone areas. PECs such as dense willow have a high hydraulic roughness, meaning they slow the spread of water across the </w:t>
      </w:r>
      <w:proofErr w:type="gramStart"/>
      <w:r w:rsidRPr="00923427">
        <w:rPr>
          <w:rFonts w:ascii="Open Sans" w:eastAsia="Times New Roman" w:hAnsi="Open Sans" w:cs="Open Sans"/>
          <w:sz w:val="20"/>
          <w:szCs w:val="20"/>
        </w:rPr>
        <w:t>floodplain</w:t>
      </w:r>
      <w:proofErr w:type="gramEnd"/>
      <w:r w:rsidR="00206E5E" w:rsidRPr="00923427">
        <w:rPr>
          <w:rFonts w:ascii="Open Sans" w:eastAsia="Times New Roman" w:hAnsi="Open Sans" w:cs="Open Sans"/>
          <w:sz w:val="20"/>
          <w:szCs w:val="20"/>
        </w:rPr>
        <w:t xml:space="preserve"> and</w:t>
      </w:r>
      <w:r w:rsidRPr="00923427">
        <w:rPr>
          <w:rFonts w:ascii="Open Sans" w:eastAsia="Times New Roman" w:hAnsi="Open Sans" w:cs="Open Sans"/>
          <w:sz w:val="20"/>
          <w:szCs w:val="20"/>
        </w:rPr>
        <w:t xml:space="preserve"> it takes longer for water to reach the main channel. The resulting impact is extra time for villages and towns situated on the banks of flood prone rivers, where they can remove valuables and protect properties. </w:t>
      </w:r>
      <w:r w:rsidR="00206E5E" w:rsidRPr="00923427">
        <w:rPr>
          <w:rFonts w:ascii="Open Sans" w:eastAsia="Times New Roman" w:hAnsi="Open Sans" w:cs="Open Sans"/>
          <w:sz w:val="20"/>
          <w:szCs w:val="20"/>
        </w:rPr>
        <w:t>As</w:t>
      </w:r>
      <w:r w:rsidRPr="00923427">
        <w:rPr>
          <w:rFonts w:ascii="Open Sans" w:eastAsia="Times New Roman" w:hAnsi="Open Sans" w:cs="Open Sans"/>
          <w:sz w:val="20"/>
          <w:szCs w:val="20"/>
        </w:rPr>
        <w:t xml:space="preserve"> willow is extremely resilient, and does not need to be harvested every year, it can provide the flood benefit and still be there the following year for harvesting. </w:t>
      </w:r>
      <w:r w:rsidR="00206E5E" w:rsidRPr="00923427">
        <w:rPr>
          <w:rStyle w:val="FootnoteReference"/>
          <w:rFonts w:ascii="Open Sans" w:eastAsia="Times New Roman" w:hAnsi="Open Sans" w:cs="Open Sans"/>
          <w:sz w:val="20"/>
          <w:szCs w:val="20"/>
        </w:rPr>
        <w:footnoteReference w:id="18"/>
      </w:r>
    </w:p>
    <w:p w14:paraId="474E9759" w14:textId="6B50A55A" w:rsidR="009E535F" w:rsidRPr="00923427" w:rsidRDefault="00EC3D19" w:rsidP="00882FC4">
      <w:pPr>
        <w:rPr>
          <w:rFonts w:ascii="Open Sans" w:hAnsi="Open Sans" w:cs="Open Sans"/>
          <w:sz w:val="20"/>
          <w:szCs w:val="20"/>
        </w:rPr>
      </w:pPr>
      <w:r w:rsidRPr="00923427">
        <w:rPr>
          <w:rFonts w:ascii="Open Sans" w:hAnsi="Open Sans" w:cs="Open Sans"/>
          <w:sz w:val="20"/>
          <w:szCs w:val="20"/>
        </w:rPr>
        <w:t xml:space="preserve">The benefits provided </w:t>
      </w:r>
      <w:r w:rsidR="00206E5E" w:rsidRPr="00923427">
        <w:rPr>
          <w:rFonts w:ascii="Open Sans" w:hAnsi="Open Sans" w:cs="Open Sans"/>
          <w:sz w:val="20"/>
          <w:szCs w:val="20"/>
        </w:rPr>
        <w:t>in regard to</w:t>
      </w:r>
      <w:r w:rsidRPr="00923427">
        <w:rPr>
          <w:rFonts w:ascii="Open Sans" w:hAnsi="Open Sans" w:cs="Open Sans"/>
          <w:sz w:val="20"/>
          <w:szCs w:val="20"/>
        </w:rPr>
        <w:t xml:space="preserve"> flood prevention should be recognised in payments to </w:t>
      </w:r>
      <w:proofErr w:type="gramStart"/>
      <w:r w:rsidRPr="00923427">
        <w:rPr>
          <w:rFonts w:ascii="Open Sans" w:hAnsi="Open Sans" w:cs="Open Sans"/>
          <w:sz w:val="20"/>
          <w:szCs w:val="20"/>
        </w:rPr>
        <w:t>land-owners</w:t>
      </w:r>
      <w:proofErr w:type="gramEnd"/>
      <w:r w:rsidRPr="00923427">
        <w:rPr>
          <w:rFonts w:ascii="Open Sans" w:hAnsi="Open Sans" w:cs="Open Sans"/>
          <w:sz w:val="20"/>
          <w:szCs w:val="20"/>
        </w:rPr>
        <w:t xml:space="preserve"> and developers either thorough flood management plans from local authorities or through central government, such as via </w:t>
      </w:r>
      <w:r w:rsidR="000564E5" w:rsidRPr="00923427">
        <w:rPr>
          <w:rFonts w:ascii="Open Sans" w:hAnsi="Open Sans" w:cs="Open Sans"/>
          <w:sz w:val="20"/>
          <w:szCs w:val="20"/>
        </w:rPr>
        <w:t xml:space="preserve">the Environmental Land management Scheme. </w:t>
      </w:r>
    </w:p>
    <w:p w14:paraId="2BA11B66" w14:textId="098D89F8" w:rsidR="000564E5" w:rsidRPr="00923427" w:rsidRDefault="000564E5" w:rsidP="00882FC4">
      <w:pPr>
        <w:rPr>
          <w:rFonts w:ascii="Open Sans" w:hAnsi="Open Sans" w:cs="Open Sans"/>
          <w:b/>
          <w:bCs/>
          <w:i/>
          <w:iCs/>
          <w:sz w:val="20"/>
          <w:szCs w:val="20"/>
        </w:rPr>
      </w:pPr>
      <w:r w:rsidRPr="00923427">
        <w:rPr>
          <w:rFonts w:ascii="Open Sans" w:hAnsi="Open Sans" w:cs="Open Sans"/>
          <w:b/>
          <w:bCs/>
          <w:i/>
          <w:iCs/>
          <w:sz w:val="20"/>
          <w:szCs w:val="20"/>
        </w:rPr>
        <w:t xml:space="preserve">Carbon </w:t>
      </w:r>
      <w:r w:rsidR="001309D7">
        <w:rPr>
          <w:rFonts w:ascii="Open Sans" w:hAnsi="Open Sans" w:cs="Open Sans"/>
          <w:b/>
          <w:bCs/>
          <w:i/>
          <w:iCs/>
          <w:sz w:val="20"/>
          <w:szCs w:val="20"/>
        </w:rPr>
        <w:t>s</w:t>
      </w:r>
      <w:r w:rsidRPr="00923427">
        <w:rPr>
          <w:rFonts w:ascii="Open Sans" w:hAnsi="Open Sans" w:cs="Open Sans"/>
          <w:b/>
          <w:bCs/>
          <w:i/>
          <w:iCs/>
          <w:sz w:val="20"/>
          <w:szCs w:val="20"/>
        </w:rPr>
        <w:t>equestration</w:t>
      </w:r>
      <w:r w:rsidR="008955CE" w:rsidRPr="00923427">
        <w:rPr>
          <w:rFonts w:ascii="Open Sans" w:hAnsi="Open Sans" w:cs="Open Sans"/>
          <w:b/>
          <w:bCs/>
          <w:i/>
          <w:iCs/>
          <w:sz w:val="20"/>
          <w:szCs w:val="20"/>
        </w:rPr>
        <w:t xml:space="preserve"> and </w:t>
      </w:r>
      <w:r w:rsidR="001309D7">
        <w:rPr>
          <w:rFonts w:ascii="Open Sans" w:hAnsi="Open Sans" w:cs="Open Sans"/>
          <w:b/>
          <w:bCs/>
          <w:i/>
          <w:iCs/>
          <w:sz w:val="20"/>
          <w:szCs w:val="20"/>
        </w:rPr>
        <w:t>u</w:t>
      </w:r>
      <w:r w:rsidR="00C34BBF" w:rsidRPr="00923427">
        <w:rPr>
          <w:rFonts w:ascii="Open Sans" w:hAnsi="Open Sans" w:cs="Open Sans"/>
          <w:b/>
          <w:bCs/>
          <w:i/>
          <w:iCs/>
          <w:sz w:val="20"/>
          <w:szCs w:val="20"/>
        </w:rPr>
        <w:t xml:space="preserve">tilising </w:t>
      </w:r>
      <w:r w:rsidR="001309D7">
        <w:rPr>
          <w:rFonts w:ascii="Open Sans" w:hAnsi="Open Sans" w:cs="Open Sans"/>
          <w:b/>
          <w:bCs/>
          <w:i/>
          <w:iCs/>
          <w:sz w:val="20"/>
          <w:szCs w:val="20"/>
        </w:rPr>
        <w:t>l</w:t>
      </w:r>
      <w:r w:rsidR="00C34BBF" w:rsidRPr="00923427">
        <w:rPr>
          <w:rFonts w:ascii="Open Sans" w:hAnsi="Open Sans" w:cs="Open Sans"/>
          <w:b/>
          <w:bCs/>
          <w:i/>
          <w:iCs/>
          <w:sz w:val="20"/>
          <w:szCs w:val="20"/>
        </w:rPr>
        <w:t xml:space="preserve">ow-grade </w:t>
      </w:r>
      <w:proofErr w:type="gramStart"/>
      <w:r w:rsidR="001309D7">
        <w:rPr>
          <w:rFonts w:ascii="Open Sans" w:hAnsi="Open Sans" w:cs="Open Sans"/>
          <w:b/>
          <w:bCs/>
          <w:i/>
          <w:iCs/>
          <w:sz w:val="20"/>
          <w:szCs w:val="20"/>
        </w:rPr>
        <w:t>l</w:t>
      </w:r>
      <w:r w:rsidR="00C34BBF" w:rsidRPr="00923427">
        <w:rPr>
          <w:rFonts w:ascii="Open Sans" w:hAnsi="Open Sans" w:cs="Open Sans"/>
          <w:b/>
          <w:bCs/>
          <w:i/>
          <w:iCs/>
          <w:sz w:val="20"/>
          <w:szCs w:val="20"/>
        </w:rPr>
        <w:t>and</w:t>
      </w:r>
      <w:proofErr w:type="gramEnd"/>
    </w:p>
    <w:p w14:paraId="76EF8428" w14:textId="29013145" w:rsidR="00C34BBF" w:rsidRPr="00923427" w:rsidRDefault="00505D9B" w:rsidP="00C54C9A">
      <w:pPr>
        <w:spacing w:after="0" w:line="240" w:lineRule="auto"/>
        <w:rPr>
          <w:rFonts w:ascii="Open Sans" w:hAnsi="Open Sans" w:cs="Open Sans"/>
          <w:sz w:val="20"/>
          <w:szCs w:val="20"/>
        </w:rPr>
      </w:pPr>
      <w:r w:rsidRPr="00923427">
        <w:rPr>
          <w:rFonts w:ascii="Open Sans" w:eastAsia="Stone Sans ITC TT" w:hAnsi="Open Sans" w:cs="Open Sans"/>
          <w:sz w:val="20"/>
          <w:szCs w:val="20"/>
          <w:lang w:val="en-US"/>
        </w:rPr>
        <w:t>It is possible for l</w:t>
      </w:r>
      <w:r w:rsidR="00C34BBF" w:rsidRPr="00923427">
        <w:rPr>
          <w:rFonts w:ascii="Open Sans" w:eastAsia="Stone Sans ITC TT" w:hAnsi="Open Sans" w:cs="Open Sans"/>
          <w:sz w:val="20"/>
          <w:szCs w:val="20"/>
          <w:lang w:val="en-US"/>
        </w:rPr>
        <w:t xml:space="preserve">and use </w:t>
      </w:r>
      <w:r w:rsidR="00206E5E" w:rsidRPr="00923427">
        <w:rPr>
          <w:rFonts w:ascii="Open Sans" w:eastAsia="Stone Sans ITC TT" w:hAnsi="Open Sans" w:cs="Open Sans"/>
          <w:sz w:val="20"/>
          <w:szCs w:val="20"/>
          <w:lang w:val="en-US"/>
        </w:rPr>
        <w:t>change</w:t>
      </w:r>
      <w:r w:rsidRPr="00923427">
        <w:rPr>
          <w:rFonts w:ascii="Open Sans" w:eastAsia="Stone Sans ITC TT" w:hAnsi="Open Sans" w:cs="Open Sans"/>
          <w:sz w:val="20"/>
          <w:szCs w:val="20"/>
          <w:lang w:val="en-US"/>
        </w:rPr>
        <w:t>,</w:t>
      </w:r>
      <w:r w:rsidR="00206E5E" w:rsidRPr="00923427">
        <w:rPr>
          <w:rFonts w:ascii="Open Sans" w:eastAsia="Stone Sans ITC TT" w:hAnsi="Open Sans" w:cs="Open Sans"/>
          <w:sz w:val="20"/>
          <w:szCs w:val="20"/>
          <w:lang w:val="en-US"/>
        </w:rPr>
        <w:t xml:space="preserve"> or</w:t>
      </w:r>
      <w:r w:rsidR="00C34BBF" w:rsidRPr="00923427">
        <w:rPr>
          <w:rFonts w:ascii="Open Sans" w:eastAsia="Stone Sans ITC TT" w:hAnsi="Open Sans" w:cs="Open Sans"/>
          <w:sz w:val="20"/>
          <w:szCs w:val="20"/>
          <w:lang w:val="en-US"/>
        </w:rPr>
        <w:t xml:space="preserve"> change in agricultural practice</w:t>
      </w:r>
      <w:r w:rsidR="00206E5E" w:rsidRPr="00923427">
        <w:rPr>
          <w:rFonts w:ascii="Open Sans" w:eastAsia="Stone Sans ITC TT" w:hAnsi="Open Sans" w:cs="Open Sans"/>
          <w:sz w:val="20"/>
          <w:szCs w:val="20"/>
          <w:lang w:val="en-US"/>
        </w:rPr>
        <w:t>,</w:t>
      </w:r>
      <w:r w:rsidR="00C34BBF" w:rsidRPr="00923427">
        <w:rPr>
          <w:rFonts w:ascii="Open Sans" w:eastAsia="Stone Sans ITC TT" w:hAnsi="Open Sans" w:cs="Open Sans"/>
          <w:sz w:val="20"/>
          <w:szCs w:val="20"/>
          <w:lang w:val="en-US"/>
        </w:rPr>
        <w:t xml:space="preserve"> </w:t>
      </w:r>
      <w:r w:rsidRPr="00923427">
        <w:rPr>
          <w:rFonts w:ascii="Open Sans" w:eastAsia="Stone Sans ITC TT" w:hAnsi="Open Sans" w:cs="Open Sans"/>
          <w:sz w:val="20"/>
          <w:szCs w:val="20"/>
          <w:lang w:val="en-US"/>
        </w:rPr>
        <w:t>to</w:t>
      </w:r>
      <w:r w:rsidR="00C34BBF" w:rsidRPr="00923427">
        <w:rPr>
          <w:rFonts w:ascii="Open Sans" w:eastAsia="Stone Sans ITC TT" w:hAnsi="Open Sans" w:cs="Open Sans"/>
          <w:sz w:val="20"/>
          <w:szCs w:val="20"/>
          <w:lang w:val="en-US"/>
        </w:rPr>
        <w:t xml:space="preserve"> have positive impacts leading to increased increases level of carbon in plants and soils. For example, a change to no-till practice can improve carbon level</w:t>
      </w:r>
      <w:r w:rsidR="00206E5E" w:rsidRPr="00923427">
        <w:rPr>
          <w:rFonts w:ascii="Open Sans" w:eastAsia="Stone Sans ITC TT" w:hAnsi="Open Sans" w:cs="Open Sans"/>
          <w:sz w:val="20"/>
          <w:szCs w:val="20"/>
          <w:lang w:val="en-US"/>
        </w:rPr>
        <w:t>s</w:t>
      </w:r>
      <w:r w:rsidR="00C34BBF" w:rsidRPr="00923427">
        <w:rPr>
          <w:rFonts w:ascii="Open Sans" w:eastAsia="Stone Sans ITC TT" w:hAnsi="Open Sans" w:cs="Open Sans"/>
          <w:sz w:val="20"/>
          <w:szCs w:val="20"/>
          <w:lang w:val="en-US"/>
        </w:rPr>
        <w:t>. If land is reforested, degraded soils are managed and planted with suitable crops to restore productivity, or perennial crops are planted on land previously used for annual crops, then net carbon increases can occur over time. Afforestation of degraded or abandoned land can provide substantial carbon benefits while also providing significant resources for sustainable local food and energy use. Providing economic uses for some of the products can be an incentive for afforestation or better land management. More specific examples of these benefits include:</w:t>
      </w:r>
    </w:p>
    <w:p w14:paraId="31AE8361" w14:textId="0EF2DB96" w:rsidR="008955CE" w:rsidRPr="00923427" w:rsidRDefault="008955CE" w:rsidP="00C54C9A">
      <w:pPr>
        <w:spacing w:after="0" w:line="240" w:lineRule="auto"/>
        <w:rPr>
          <w:rFonts w:ascii="Open Sans" w:eastAsia="Times New Roman" w:hAnsi="Open Sans" w:cs="Open Sans"/>
          <w:sz w:val="20"/>
          <w:szCs w:val="20"/>
          <w:lang w:eastAsia="en-GB"/>
        </w:rPr>
      </w:pPr>
    </w:p>
    <w:p w14:paraId="6B28100E" w14:textId="100667CD" w:rsidR="00C54C9A" w:rsidRPr="00923427" w:rsidRDefault="008955CE" w:rsidP="00C54C9A">
      <w:pPr>
        <w:spacing w:after="0" w:line="240" w:lineRule="auto"/>
        <w:rPr>
          <w:rFonts w:ascii="Open Sans" w:hAnsi="Open Sans" w:cs="Open Sans"/>
          <w:sz w:val="20"/>
          <w:szCs w:val="20"/>
        </w:rPr>
      </w:pPr>
      <w:r w:rsidRPr="00923427">
        <w:rPr>
          <w:rFonts w:ascii="Open Sans" w:hAnsi="Open Sans" w:cs="Open Sans"/>
          <w:sz w:val="20"/>
          <w:szCs w:val="20"/>
          <w:u w:val="single"/>
        </w:rPr>
        <w:t>Forestry Management</w:t>
      </w:r>
      <w:r w:rsidRPr="00923427">
        <w:rPr>
          <w:rFonts w:ascii="Open Sans" w:hAnsi="Open Sans" w:cs="Open Sans"/>
          <w:sz w:val="20"/>
          <w:szCs w:val="20"/>
        </w:rPr>
        <w:t>: Wood pellets and biomass derive</w:t>
      </w:r>
      <w:r w:rsidR="00505D9B" w:rsidRPr="00923427">
        <w:rPr>
          <w:rFonts w:ascii="Open Sans" w:hAnsi="Open Sans" w:cs="Open Sans"/>
          <w:sz w:val="20"/>
          <w:szCs w:val="20"/>
        </w:rPr>
        <w:t>d</w:t>
      </w:r>
      <w:r w:rsidRPr="00923427">
        <w:rPr>
          <w:rFonts w:ascii="Open Sans" w:hAnsi="Open Sans" w:cs="Open Sans"/>
          <w:sz w:val="20"/>
          <w:szCs w:val="20"/>
        </w:rPr>
        <w:t xml:space="preserve"> from processing and harvesting residues, </w:t>
      </w:r>
      <w:proofErr w:type="spellStart"/>
      <w:r w:rsidRPr="00923427">
        <w:rPr>
          <w:rFonts w:ascii="Open Sans" w:hAnsi="Open Sans" w:cs="Open Sans"/>
          <w:sz w:val="20"/>
          <w:szCs w:val="20"/>
        </w:rPr>
        <w:t>thinnings</w:t>
      </w:r>
      <w:proofErr w:type="spellEnd"/>
      <w:r w:rsidRPr="00923427">
        <w:rPr>
          <w:rFonts w:ascii="Open Sans" w:hAnsi="Open Sans" w:cs="Open Sans"/>
          <w:sz w:val="20"/>
          <w:szCs w:val="20"/>
        </w:rPr>
        <w:t xml:space="preserve"> and low grade roundwood from sustainably managed working forests –has a positive impact on the forest industry, forest carbon stocks and helps to ensure that forests stay as forests rather than being converted to agriculture or urban development. Analysis of historical trends in the US South has shown that, as demand for wood products increased over the last 60 years, management practices have also improved to increase forest growth rates and more than double the amount of carbon stored in the working forests from 4 billion m</w:t>
      </w:r>
      <w:r w:rsidRPr="00923427">
        <w:rPr>
          <w:rFonts w:ascii="Open Sans" w:hAnsi="Open Sans" w:cs="Open Sans"/>
          <w:sz w:val="20"/>
          <w:szCs w:val="20"/>
          <w:vertAlign w:val="superscript"/>
        </w:rPr>
        <w:t>3</w:t>
      </w:r>
      <w:r w:rsidRPr="00923427">
        <w:rPr>
          <w:rFonts w:ascii="Open Sans" w:hAnsi="Open Sans" w:cs="Open Sans"/>
          <w:sz w:val="20"/>
          <w:szCs w:val="20"/>
        </w:rPr>
        <w:t xml:space="preserve"> to 8.4 billion m</w:t>
      </w:r>
      <w:r w:rsidRPr="00923427">
        <w:rPr>
          <w:rFonts w:ascii="Open Sans" w:hAnsi="Open Sans" w:cs="Open Sans"/>
          <w:sz w:val="20"/>
          <w:szCs w:val="20"/>
          <w:vertAlign w:val="superscript"/>
        </w:rPr>
        <w:t>3</w:t>
      </w:r>
      <w:r w:rsidRPr="00923427">
        <w:rPr>
          <w:rFonts w:ascii="Open Sans" w:hAnsi="Open Sans" w:cs="Open Sans"/>
          <w:sz w:val="20"/>
          <w:szCs w:val="20"/>
        </w:rPr>
        <w:t>. This improvement is statistically correlated to increasing demand.</w:t>
      </w:r>
      <w:r w:rsidR="00505D9B" w:rsidRPr="00923427">
        <w:rPr>
          <w:rStyle w:val="FootnoteReference"/>
          <w:rFonts w:ascii="Open Sans" w:eastAsia="Times New Roman" w:hAnsi="Open Sans" w:cs="Open Sans"/>
          <w:sz w:val="20"/>
          <w:szCs w:val="20"/>
          <w:lang w:eastAsia="en-GB"/>
        </w:rPr>
        <w:footnoteReference w:id="19"/>
      </w:r>
    </w:p>
    <w:p w14:paraId="60C8CC62" w14:textId="77777777" w:rsidR="00505D9B" w:rsidRPr="00923427" w:rsidRDefault="00505D9B" w:rsidP="00C54C9A">
      <w:pPr>
        <w:spacing w:after="0" w:line="240" w:lineRule="auto"/>
        <w:rPr>
          <w:rFonts w:ascii="Open Sans" w:eastAsia="Times New Roman" w:hAnsi="Open Sans" w:cs="Open Sans"/>
          <w:sz w:val="20"/>
          <w:szCs w:val="20"/>
          <w:lang w:eastAsia="en-GB"/>
        </w:rPr>
      </w:pPr>
    </w:p>
    <w:p w14:paraId="1EE4BCC7" w14:textId="4F0FCB4A" w:rsidR="00711AAD" w:rsidRPr="00923427" w:rsidRDefault="00C54C9A" w:rsidP="00C54C9A">
      <w:pPr>
        <w:spacing w:after="0" w:line="240" w:lineRule="auto"/>
        <w:rPr>
          <w:rFonts w:ascii="Open Sans" w:hAnsi="Open Sans" w:cs="Open Sans"/>
          <w:sz w:val="20"/>
          <w:szCs w:val="20"/>
        </w:rPr>
      </w:pPr>
      <w:r w:rsidRPr="00923427">
        <w:rPr>
          <w:rFonts w:ascii="Open Sans" w:eastAsia="Times New Roman" w:hAnsi="Open Sans" w:cs="Open Sans"/>
          <w:sz w:val="20"/>
          <w:szCs w:val="20"/>
          <w:u w:val="single"/>
          <w:lang w:eastAsia="en-GB"/>
        </w:rPr>
        <w:t>Perennial Energy Crops:</w:t>
      </w:r>
      <w:r w:rsidRPr="00923427">
        <w:rPr>
          <w:rFonts w:ascii="Open Sans" w:eastAsia="Times New Roman" w:hAnsi="Open Sans" w:cs="Open Sans"/>
          <w:sz w:val="20"/>
          <w:szCs w:val="20"/>
          <w:lang w:eastAsia="en-GB"/>
        </w:rPr>
        <w:t xml:space="preserve"> </w:t>
      </w:r>
      <w:r w:rsidRPr="00923427">
        <w:rPr>
          <w:rFonts w:ascii="Open Sans" w:hAnsi="Open Sans" w:cs="Open Sans"/>
          <w:sz w:val="20"/>
          <w:szCs w:val="20"/>
        </w:rPr>
        <w:t xml:space="preserve">Perennial Energy Crops such as miscanthus or short </w:t>
      </w:r>
      <w:r w:rsidR="00505D9B" w:rsidRPr="00923427">
        <w:rPr>
          <w:rFonts w:ascii="Open Sans" w:hAnsi="Open Sans" w:cs="Open Sans"/>
          <w:sz w:val="20"/>
          <w:szCs w:val="20"/>
        </w:rPr>
        <w:t>r</w:t>
      </w:r>
      <w:r w:rsidRPr="00923427">
        <w:rPr>
          <w:rFonts w:ascii="Open Sans" w:hAnsi="Open Sans" w:cs="Open Sans"/>
          <w:sz w:val="20"/>
          <w:szCs w:val="20"/>
        </w:rPr>
        <w:t xml:space="preserve">otation </w:t>
      </w:r>
      <w:r w:rsidR="00505D9B" w:rsidRPr="00923427">
        <w:rPr>
          <w:rFonts w:ascii="Open Sans" w:hAnsi="Open Sans" w:cs="Open Sans"/>
          <w:sz w:val="20"/>
          <w:szCs w:val="20"/>
        </w:rPr>
        <w:t>c</w:t>
      </w:r>
      <w:r w:rsidRPr="00923427">
        <w:rPr>
          <w:rFonts w:ascii="Open Sans" w:hAnsi="Open Sans" w:cs="Open Sans"/>
          <w:sz w:val="20"/>
          <w:szCs w:val="20"/>
        </w:rPr>
        <w:t>oppice (SRC)</w:t>
      </w:r>
      <w:r w:rsidR="00505D9B" w:rsidRPr="00923427">
        <w:rPr>
          <w:rFonts w:ascii="Open Sans" w:hAnsi="Open Sans" w:cs="Open Sans"/>
          <w:sz w:val="20"/>
          <w:szCs w:val="20"/>
        </w:rPr>
        <w:t>,</w:t>
      </w:r>
      <w:r w:rsidRPr="00923427">
        <w:rPr>
          <w:rFonts w:ascii="Open Sans" w:hAnsi="Open Sans" w:cs="Open Sans"/>
          <w:sz w:val="20"/>
          <w:szCs w:val="20"/>
        </w:rPr>
        <w:t xml:space="preserve"> </w:t>
      </w:r>
      <w:r w:rsidR="00505D9B" w:rsidRPr="00923427">
        <w:rPr>
          <w:rFonts w:ascii="Open Sans" w:hAnsi="Open Sans" w:cs="Open Sans"/>
          <w:sz w:val="20"/>
          <w:szCs w:val="20"/>
        </w:rPr>
        <w:t>like</w:t>
      </w:r>
      <w:r w:rsidRPr="00923427">
        <w:rPr>
          <w:rFonts w:ascii="Open Sans" w:hAnsi="Open Sans" w:cs="Open Sans"/>
          <w:sz w:val="20"/>
          <w:szCs w:val="20"/>
        </w:rPr>
        <w:t xml:space="preserve"> willow</w:t>
      </w:r>
      <w:r w:rsidR="00505D9B" w:rsidRPr="00923427">
        <w:rPr>
          <w:rFonts w:ascii="Open Sans" w:hAnsi="Open Sans" w:cs="Open Sans"/>
          <w:sz w:val="20"/>
          <w:szCs w:val="20"/>
        </w:rPr>
        <w:t xml:space="preserve">, </w:t>
      </w:r>
      <w:r w:rsidRPr="00923427">
        <w:rPr>
          <w:rFonts w:ascii="Open Sans" w:hAnsi="Open Sans" w:cs="Open Sans"/>
          <w:sz w:val="20"/>
          <w:szCs w:val="20"/>
        </w:rPr>
        <w:t xml:space="preserve">have significant potential to sequester carbon in root systems. </w:t>
      </w:r>
      <w:r w:rsidR="00505D9B" w:rsidRPr="00923427">
        <w:rPr>
          <w:rFonts w:ascii="Open Sans" w:hAnsi="Open Sans" w:cs="Open Sans"/>
          <w:sz w:val="20"/>
          <w:szCs w:val="20"/>
        </w:rPr>
        <w:t>As a biproduct of the biomass crop itself, this has a has</w:t>
      </w:r>
      <w:r w:rsidRPr="00923427">
        <w:rPr>
          <w:rFonts w:ascii="Open Sans" w:hAnsi="Open Sans" w:cs="Open Sans"/>
          <w:sz w:val="20"/>
          <w:szCs w:val="20"/>
        </w:rPr>
        <w:t xml:space="preserve"> net zero cost. Domestic biomass supply chains using these crops are already responding and increasing in scale due to market pull of an active and growing bioenergy sector. </w:t>
      </w:r>
      <w:r w:rsidR="00711AAD" w:rsidRPr="00923427">
        <w:rPr>
          <w:rFonts w:ascii="Open Sans" w:hAnsi="Open Sans" w:cs="Open Sans"/>
          <w:sz w:val="20"/>
          <w:szCs w:val="20"/>
        </w:rPr>
        <w:t xml:space="preserve">A recent study by miscanthus developer </w:t>
      </w:r>
      <w:proofErr w:type="spellStart"/>
      <w:r w:rsidR="00711AAD" w:rsidRPr="00923427">
        <w:rPr>
          <w:rFonts w:ascii="Open Sans" w:hAnsi="Open Sans" w:cs="Open Sans"/>
          <w:sz w:val="20"/>
          <w:szCs w:val="20"/>
        </w:rPr>
        <w:t>Terravesta</w:t>
      </w:r>
      <w:proofErr w:type="spellEnd"/>
      <w:r w:rsidR="00711AAD" w:rsidRPr="00923427">
        <w:rPr>
          <w:rFonts w:ascii="Open Sans" w:hAnsi="Open Sans" w:cs="Open Sans"/>
          <w:sz w:val="20"/>
          <w:szCs w:val="20"/>
        </w:rPr>
        <w:t xml:space="preserve"> demonstrates Miscanthus is a net carbon negative feedstock with the potential to capture net 0.64 tonnes of carbon (2.35 tonnes CO2e) per year in the ground, the amount being proportional to the biomass yield but excludes the actual biomass itself. Similar benefits could be achieved with other perennial feedstocks.</w:t>
      </w:r>
      <w:r w:rsidR="00505D9B" w:rsidRPr="00923427">
        <w:rPr>
          <w:rStyle w:val="FootnoteReference"/>
          <w:rFonts w:ascii="Open Sans" w:hAnsi="Open Sans" w:cs="Open Sans"/>
          <w:sz w:val="20"/>
          <w:szCs w:val="20"/>
        </w:rPr>
        <w:footnoteReference w:id="20"/>
      </w:r>
      <w:r w:rsidR="00505D9B" w:rsidRPr="00923427">
        <w:rPr>
          <w:rFonts w:ascii="Open Sans" w:hAnsi="Open Sans" w:cs="Open Sans"/>
          <w:sz w:val="20"/>
          <w:szCs w:val="20"/>
        </w:rPr>
        <w:t xml:space="preserve"> </w:t>
      </w:r>
      <w:r w:rsidR="00505D9B" w:rsidRPr="00923427">
        <w:rPr>
          <w:rFonts w:ascii="Open Sans" w:hAnsi="Open Sans" w:cs="Open Sans"/>
          <w:sz w:val="20"/>
          <w:szCs w:val="20"/>
          <w:vertAlign w:val="superscript"/>
        </w:rPr>
        <w:t xml:space="preserve">&amp; </w:t>
      </w:r>
      <w:r w:rsidR="00505D9B" w:rsidRPr="00923427">
        <w:rPr>
          <w:rStyle w:val="FootnoteReference"/>
          <w:rFonts w:ascii="Open Sans" w:hAnsi="Open Sans" w:cs="Open Sans"/>
          <w:sz w:val="20"/>
          <w:szCs w:val="20"/>
        </w:rPr>
        <w:footnoteReference w:id="21"/>
      </w:r>
    </w:p>
    <w:p w14:paraId="74E4ACE3" w14:textId="03C98252" w:rsidR="00711AAD" w:rsidRPr="00923427" w:rsidRDefault="00711AAD" w:rsidP="00C54C9A">
      <w:pPr>
        <w:spacing w:after="0" w:line="240" w:lineRule="auto"/>
        <w:rPr>
          <w:rFonts w:ascii="Open Sans" w:hAnsi="Open Sans" w:cs="Open Sans"/>
          <w:sz w:val="20"/>
          <w:szCs w:val="20"/>
        </w:rPr>
      </w:pPr>
    </w:p>
    <w:p w14:paraId="7544B1B5" w14:textId="21DCB530" w:rsidR="00BA6AAF" w:rsidRPr="00923427" w:rsidRDefault="00BA6AAF" w:rsidP="00BA6AAF">
      <w:pPr>
        <w:spacing w:after="0" w:line="240" w:lineRule="auto"/>
        <w:rPr>
          <w:rFonts w:ascii="Open Sans" w:hAnsi="Open Sans" w:cs="Open Sans"/>
          <w:sz w:val="20"/>
          <w:szCs w:val="20"/>
        </w:rPr>
      </w:pPr>
      <w:r w:rsidRPr="00923427">
        <w:rPr>
          <w:rFonts w:ascii="Open Sans" w:hAnsi="Open Sans" w:cs="Open Sans"/>
          <w:i/>
          <w:iCs/>
          <w:sz w:val="20"/>
          <w:szCs w:val="20"/>
          <w:u w:val="single"/>
        </w:rPr>
        <w:t xml:space="preserve">Sequential or Double </w:t>
      </w:r>
      <w:proofErr w:type="gramStart"/>
      <w:r w:rsidRPr="00923427">
        <w:rPr>
          <w:rFonts w:ascii="Open Sans" w:hAnsi="Open Sans" w:cs="Open Sans"/>
          <w:i/>
          <w:iCs/>
          <w:sz w:val="20"/>
          <w:szCs w:val="20"/>
          <w:u w:val="single"/>
        </w:rPr>
        <w:t xml:space="preserve">Cropping  </w:t>
      </w:r>
      <w:r w:rsidRPr="00923427">
        <w:rPr>
          <w:rFonts w:ascii="Open Sans" w:hAnsi="Open Sans" w:cs="Open Sans"/>
          <w:sz w:val="20"/>
          <w:szCs w:val="20"/>
        </w:rPr>
        <w:t>The</w:t>
      </w:r>
      <w:proofErr w:type="gramEnd"/>
      <w:r w:rsidRPr="00923427">
        <w:rPr>
          <w:rFonts w:ascii="Open Sans" w:hAnsi="Open Sans" w:cs="Open Sans"/>
          <w:sz w:val="20"/>
          <w:szCs w:val="20"/>
        </w:rPr>
        <w:t xml:space="preserve"> government should also consider the merit and potential role of sequential or double cropping in the UK. There may be some parts of the UK where this approach, or one adapted to our climate, can be adopted. This approach has been developed mostly in Southern Europe, pioneered by the </w:t>
      </w:r>
      <w:proofErr w:type="spellStart"/>
      <w:r w:rsidRPr="00923427">
        <w:rPr>
          <w:rFonts w:ascii="Open Sans" w:hAnsi="Open Sans" w:cs="Open Sans"/>
          <w:sz w:val="20"/>
          <w:szCs w:val="20"/>
        </w:rPr>
        <w:t>Consorzio</w:t>
      </w:r>
      <w:proofErr w:type="spellEnd"/>
      <w:r w:rsidRPr="00923427">
        <w:rPr>
          <w:rFonts w:ascii="Open Sans" w:hAnsi="Open Sans" w:cs="Open Sans"/>
          <w:sz w:val="20"/>
          <w:szCs w:val="20"/>
        </w:rPr>
        <w:t xml:space="preserve"> </w:t>
      </w:r>
      <w:proofErr w:type="spellStart"/>
      <w:r w:rsidRPr="00923427">
        <w:rPr>
          <w:rFonts w:ascii="Open Sans" w:hAnsi="Open Sans" w:cs="Open Sans"/>
          <w:sz w:val="20"/>
          <w:szCs w:val="20"/>
        </w:rPr>
        <w:t>Italiano</w:t>
      </w:r>
      <w:proofErr w:type="spellEnd"/>
      <w:r w:rsidRPr="00923427">
        <w:rPr>
          <w:rFonts w:ascii="Open Sans" w:hAnsi="Open Sans" w:cs="Open Sans"/>
          <w:sz w:val="20"/>
          <w:szCs w:val="20"/>
        </w:rPr>
        <w:t xml:space="preserve"> Biogas (CIB) to integrate anaerobic digestion with </w:t>
      </w:r>
      <w:proofErr w:type="spellStart"/>
      <w:r w:rsidRPr="00923427">
        <w:rPr>
          <w:rFonts w:ascii="Open Sans" w:hAnsi="Open Sans" w:cs="Open Sans"/>
          <w:sz w:val="20"/>
          <w:szCs w:val="20"/>
        </w:rPr>
        <w:t>agro</w:t>
      </w:r>
      <w:proofErr w:type="spellEnd"/>
      <w:r w:rsidRPr="00923427">
        <w:rPr>
          <w:rFonts w:ascii="Open Sans" w:hAnsi="Open Sans" w:cs="Open Sans"/>
          <w:sz w:val="20"/>
          <w:szCs w:val="20"/>
        </w:rPr>
        <w:t xml:space="preserve">-ecology. It is a highly sustainable model that has proven to deliver a significant reduction in GHG emissions from agriculture and carbon sequestration, as well as to restore soil health and organic matter. CIB has called it </w:t>
      </w:r>
      <w:proofErr w:type="spellStart"/>
      <w:r w:rsidRPr="00923427">
        <w:rPr>
          <w:rFonts w:ascii="Open Sans" w:hAnsi="Open Sans" w:cs="Open Sans"/>
          <w:sz w:val="20"/>
          <w:szCs w:val="20"/>
        </w:rPr>
        <w:t>Biogasdoneright</w:t>
      </w:r>
      <w:proofErr w:type="spellEnd"/>
      <w:r w:rsidRPr="00923427">
        <w:rPr>
          <w:rFonts w:ascii="Open Sans" w:hAnsi="Open Sans" w:cs="Open Sans"/>
          <w:sz w:val="20"/>
          <w:szCs w:val="20"/>
        </w:rPr>
        <w:t xml:space="preserve">® model (BDR), which describes a set of practices that link biogas production to sustainable agriculture and is being implemented on a large scale in Italy. </w:t>
      </w:r>
    </w:p>
    <w:p w14:paraId="676260BE" w14:textId="77777777" w:rsidR="00BA6AAF" w:rsidRPr="00923427" w:rsidRDefault="00BA6AAF" w:rsidP="00BA6AAF">
      <w:pPr>
        <w:spacing w:after="0" w:line="240" w:lineRule="auto"/>
        <w:rPr>
          <w:rFonts w:ascii="Open Sans" w:hAnsi="Open Sans" w:cs="Open Sans"/>
          <w:sz w:val="20"/>
          <w:szCs w:val="20"/>
        </w:rPr>
      </w:pPr>
    </w:p>
    <w:p w14:paraId="442639C2" w14:textId="77777777" w:rsidR="00BA6AAF" w:rsidRPr="00923427" w:rsidRDefault="00BA6AAF" w:rsidP="00BA6AAF">
      <w:pPr>
        <w:spacing w:after="0" w:line="240" w:lineRule="auto"/>
        <w:rPr>
          <w:rFonts w:ascii="Open Sans" w:hAnsi="Open Sans" w:cs="Open Sans"/>
          <w:sz w:val="20"/>
          <w:szCs w:val="20"/>
        </w:rPr>
      </w:pPr>
      <w:r w:rsidRPr="00923427">
        <w:rPr>
          <w:rFonts w:ascii="Open Sans" w:hAnsi="Open Sans" w:cs="Open Sans"/>
          <w:sz w:val="20"/>
          <w:szCs w:val="20"/>
        </w:rPr>
        <w:t xml:space="preserve">Under BDR, food production is not adversely affected by double crops as these are typically grown in seasons when most food cropland is fallow. Therefore, food and feed production are not displaced when producers adopt sequential cropping. The ‘energy crops’ represent ‘additional carbon’ – that is carbon removed from the atmosphere by the BDR cropping system above and beyond the carbon fixed by current agricultural practices. </w:t>
      </w:r>
    </w:p>
    <w:p w14:paraId="09828E10" w14:textId="77777777" w:rsidR="00BA6AAF" w:rsidRPr="00923427" w:rsidRDefault="00BA6AAF" w:rsidP="00BA6AAF">
      <w:pPr>
        <w:spacing w:after="0" w:line="240" w:lineRule="auto"/>
        <w:rPr>
          <w:rFonts w:ascii="Open Sans" w:hAnsi="Open Sans" w:cs="Open Sans"/>
          <w:sz w:val="20"/>
          <w:szCs w:val="20"/>
        </w:rPr>
      </w:pPr>
    </w:p>
    <w:p w14:paraId="7090B355" w14:textId="3644D4FB" w:rsidR="00BA6AAF" w:rsidRPr="00923427" w:rsidRDefault="00BA6AAF" w:rsidP="00BA6AAF">
      <w:pPr>
        <w:spacing w:after="0" w:line="240" w:lineRule="auto"/>
        <w:rPr>
          <w:rFonts w:ascii="Open Sans" w:hAnsi="Open Sans" w:cs="Open Sans"/>
          <w:sz w:val="20"/>
          <w:szCs w:val="20"/>
        </w:rPr>
      </w:pPr>
      <w:r w:rsidRPr="00923427">
        <w:rPr>
          <w:rFonts w:ascii="Open Sans" w:hAnsi="Open Sans" w:cs="Open Sans"/>
          <w:sz w:val="20"/>
          <w:szCs w:val="20"/>
        </w:rPr>
        <w:t>Evidence collected from the biogas sector shows that proper biogas production based on sequential cropping is a sustainable activity. On top of that, it is a powerful solution leading to decreased greenhouse gas (GHG) emissions, protection of biodiversity and restoration of soil quality through agroecological innovation and organic fertili</w:t>
      </w:r>
      <w:r w:rsidR="005143BA">
        <w:rPr>
          <w:rFonts w:ascii="Open Sans" w:hAnsi="Open Sans" w:cs="Open Sans"/>
          <w:sz w:val="20"/>
          <w:szCs w:val="20"/>
        </w:rPr>
        <w:t>s</w:t>
      </w:r>
      <w:r w:rsidRPr="00923427">
        <w:rPr>
          <w:rFonts w:ascii="Open Sans" w:hAnsi="Open Sans" w:cs="Open Sans"/>
          <w:sz w:val="20"/>
          <w:szCs w:val="20"/>
        </w:rPr>
        <w:t>ation.'</w:t>
      </w:r>
      <w:r w:rsidR="00D55CC4" w:rsidRPr="00923427">
        <w:rPr>
          <w:rStyle w:val="FootnoteReference"/>
          <w:rFonts w:ascii="Open Sans" w:hAnsi="Open Sans" w:cs="Open Sans"/>
          <w:sz w:val="20"/>
          <w:szCs w:val="20"/>
        </w:rPr>
        <w:footnoteReference w:id="22"/>
      </w:r>
      <w:r w:rsidRPr="00923427">
        <w:rPr>
          <w:rFonts w:ascii="Open Sans" w:hAnsi="Open Sans" w:cs="Open Sans"/>
          <w:sz w:val="20"/>
          <w:szCs w:val="20"/>
        </w:rPr>
        <w:t xml:space="preserve"> </w:t>
      </w:r>
      <w:r w:rsidR="00D55CC4" w:rsidRPr="00923427">
        <w:rPr>
          <w:rFonts w:ascii="Open Sans" w:hAnsi="Open Sans" w:cs="Open Sans"/>
          <w:sz w:val="20"/>
          <w:szCs w:val="20"/>
          <w:vertAlign w:val="superscript"/>
        </w:rPr>
        <w:t>&amp;</w:t>
      </w:r>
      <w:r w:rsidR="00D55CC4" w:rsidRPr="00923427">
        <w:rPr>
          <w:rFonts w:ascii="Open Sans" w:hAnsi="Open Sans" w:cs="Open Sans"/>
          <w:sz w:val="20"/>
          <w:szCs w:val="20"/>
        </w:rPr>
        <w:t xml:space="preserve"> </w:t>
      </w:r>
      <w:r w:rsidR="00D55CC4" w:rsidRPr="00923427">
        <w:rPr>
          <w:rStyle w:val="FootnoteReference"/>
          <w:rFonts w:ascii="Open Sans" w:hAnsi="Open Sans" w:cs="Open Sans"/>
          <w:sz w:val="20"/>
          <w:szCs w:val="20"/>
        </w:rPr>
        <w:footnoteReference w:id="23"/>
      </w:r>
    </w:p>
    <w:p w14:paraId="36096312" w14:textId="77777777" w:rsidR="00BA6AAF" w:rsidRPr="00923427" w:rsidRDefault="00BA6AAF" w:rsidP="00BA6AAF">
      <w:pPr>
        <w:spacing w:after="0" w:line="240" w:lineRule="auto"/>
        <w:rPr>
          <w:rFonts w:ascii="Open Sans" w:hAnsi="Open Sans" w:cs="Open Sans"/>
          <w:sz w:val="20"/>
          <w:szCs w:val="20"/>
        </w:rPr>
      </w:pPr>
    </w:p>
    <w:p w14:paraId="01901E84" w14:textId="30015759" w:rsidR="00BA6AAF" w:rsidRPr="00923427" w:rsidRDefault="00BA6AAF" w:rsidP="00BA6AAF">
      <w:pPr>
        <w:spacing w:after="0" w:line="240" w:lineRule="auto"/>
        <w:rPr>
          <w:rFonts w:ascii="Open Sans" w:hAnsi="Open Sans" w:cs="Open Sans"/>
          <w:sz w:val="20"/>
          <w:szCs w:val="20"/>
        </w:rPr>
      </w:pPr>
      <w:r w:rsidRPr="00923427">
        <w:rPr>
          <w:rFonts w:ascii="Open Sans" w:hAnsi="Open Sans" w:cs="Open Sans"/>
          <w:sz w:val="20"/>
          <w:szCs w:val="20"/>
        </w:rPr>
        <w:t>More research needs to be carried out in the UK to understand whether double cropping is possible and could be adopted in the UK given the different climate</w:t>
      </w:r>
      <w:r w:rsidR="00D55CC4" w:rsidRPr="00923427">
        <w:rPr>
          <w:rFonts w:ascii="Open Sans" w:hAnsi="Open Sans" w:cs="Open Sans"/>
          <w:sz w:val="20"/>
          <w:szCs w:val="20"/>
        </w:rPr>
        <w:t>.</w:t>
      </w:r>
    </w:p>
    <w:p w14:paraId="30A9A29D" w14:textId="77777777" w:rsidR="00711AAD" w:rsidRPr="00923427" w:rsidRDefault="00711AAD" w:rsidP="00C54C9A">
      <w:pPr>
        <w:spacing w:after="0" w:line="240" w:lineRule="auto"/>
        <w:rPr>
          <w:rFonts w:ascii="Open Sans" w:hAnsi="Open Sans" w:cs="Open Sans"/>
          <w:sz w:val="20"/>
          <w:szCs w:val="20"/>
        </w:rPr>
      </w:pPr>
    </w:p>
    <w:p w14:paraId="7DF0E1B4" w14:textId="403C32DA" w:rsidR="00BA6AAF" w:rsidRPr="00923427" w:rsidRDefault="00382269" w:rsidP="00882FC4">
      <w:pPr>
        <w:rPr>
          <w:rFonts w:ascii="Open Sans" w:hAnsi="Open Sans" w:cs="Open Sans"/>
          <w:b/>
          <w:bCs/>
          <w:i/>
          <w:iCs/>
          <w:sz w:val="20"/>
          <w:szCs w:val="20"/>
        </w:rPr>
      </w:pPr>
      <w:r w:rsidRPr="00923427">
        <w:rPr>
          <w:rFonts w:ascii="Open Sans" w:hAnsi="Open Sans" w:cs="Open Sans"/>
          <w:b/>
          <w:bCs/>
          <w:i/>
          <w:iCs/>
          <w:sz w:val="20"/>
          <w:szCs w:val="20"/>
        </w:rPr>
        <w:t xml:space="preserve">Sanitation and </w:t>
      </w:r>
      <w:r w:rsidR="001309D7">
        <w:rPr>
          <w:rFonts w:ascii="Open Sans" w:hAnsi="Open Sans" w:cs="Open Sans"/>
          <w:b/>
          <w:bCs/>
          <w:i/>
          <w:iCs/>
          <w:sz w:val="20"/>
          <w:szCs w:val="20"/>
        </w:rPr>
        <w:t>l</w:t>
      </w:r>
      <w:r w:rsidRPr="00923427">
        <w:rPr>
          <w:rFonts w:ascii="Open Sans" w:hAnsi="Open Sans" w:cs="Open Sans"/>
          <w:b/>
          <w:bCs/>
          <w:i/>
          <w:iCs/>
          <w:sz w:val="20"/>
          <w:szCs w:val="20"/>
        </w:rPr>
        <w:t xml:space="preserve">ocalised </w:t>
      </w:r>
      <w:r w:rsidR="001309D7">
        <w:rPr>
          <w:rFonts w:ascii="Open Sans" w:hAnsi="Open Sans" w:cs="Open Sans"/>
          <w:b/>
          <w:bCs/>
          <w:i/>
          <w:iCs/>
          <w:sz w:val="20"/>
          <w:szCs w:val="20"/>
        </w:rPr>
        <w:t>w</w:t>
      </w:r>
      <w:r w:rsidRPr="00923427">
        <w:rPr>
          <w:rFonts w:ascii="Open Sans" w:hAnsi="Open Sans" w:cs="Open Sans"/>
          <w:b/>
          <w:bCs/>
          <w:i/>
          <w:iCs/>
          <w:sz w:val="20"/>
          <w:szCs w:val="20"/>
        </w:rPr>
        <w:t xml:space="preserve">aste </w:t>
      </w:r>
      <w:r w:rsidR="001309D7">
        <w:rPr>
          <w:rFonts w:ascii="Open Sans" w:hAnsi="Open Sans" w:cs="Open Sans"/>
          <w:b/>
          <w:bCs/>
          <w:i/>
          <w:iCs/>
          <w:sz w:val="20"/>
          <w:szCs w:val="20"/>
        </w:rPr>
        <w:t>m</w:t>
      </w:r>
      <w:r w:rsidRPr="00923427">
        <w:rPr>
          <w:rFonts w:ascii="Open Sans" w:hAnsi="Open Sans" w:cs="Open Sans"/>
          <w:b/>
          <w:bCs/>
          <w:i/>
          <w:iCs/>
          <w:sz w:val="20"/>
          <w:szCs w:val="20"/>
        </w:rPr>
        <w:t>anagement</w:t>
      </w:r>
      <w:r w:rsidR="00E82DC6" w:rsidRPr="00923427">
        <w:rPr>
          <w:rFonts w:ascii="Open Sans" w:hAnsi="Open Sans" w:cs="Open Sans"/>
          <w:b/>
          <w:bCs/>
          <w:i/>
          <w:iCs/>
          <w:sz w:val="20"/>
          <w:szCs w:val="20"/>
        </w:rPr>
        <w:t xml:space="preserve"> </w:t>
      </w:r>
      <w:r w:rsidR="006C5286" w:rsidRPr="00923427">
        <w:rPr>
          <w:rFonts w:ascii="Open Sans" w:hAnsi="Open Sans" w:cs="Open Sans"/>
          <w:b/>
          <w:bCs/>
          <w:i/>
          <w:iCs/>
          <w:sz w:val="20"/>
          <w:szCs w:val="20"/>
        </w:rPr>
        <w:t xml:space="preserve">in line with the </w:t>
      </w:r>
      <w:r w:rsidR="001309D7">
        <w:rPr>
          <w:rFonts w:ascii="Open Sans" w:hAnsi="Open Sans" w:cs="Open Sans"/>
          <w:b/>
          <w:bCs/>
          <w:i/>
          <w:iCs/>
          <w:sz w:val="20"/>
          <w:szCs w:val="20"/>
        </w:rPr>
        <w:t>w</w:t>
      </w:r>
      <w:r w:rsidR="006C5286" w:rsidRPr="00923427">
        <w:rPr>
          <w:rFonts w:ascii="Open Sans" w:hAnsi="Open Sans" w:cs="Open Sans"/>
          <w:b/>
          <w:bCs/>
          <w:i/>
          <w:iCs/>
          <w:sz w:val="20"/>
          <w:szCs w:val="20"/>
        </w:rPr>
        <w:t xml:space="preserve">aste </w:t>
      </w:r>
      <w:r w:rsidR="001309D7">
        <w:rPr>
          <w:rFonts w:ascii="Open Sans" w:hAnsi="Open Sans" w:cs="Open Sans"/>
          <w:b/>
          <w:bCs/>
          <w:i/>
          <w:iCs/>
          <w:sz w:val="20"/>
          <w:szCs w:val="20"/>
        </w:rPr>
        <w:t>h</w:t>
      </w:r>
      <w:r w:rsidR="006C5286" w:rsidRPr="00923427">
        <w:rPr>
          <w:rFonts w:ascii="Open Sans" w:hAnsi="Open Sans" w:cs="Open Sans"/>
          <w:b/>
          <w:bCs/>
          <w:i/>
          <w:iCs/>
          <w:sz w:val="20"/>
          <w:szCs w:val="20"/>
        </w:rPr>
        <w:t>ierarchy</w:t>
      </w:r>
    </w:p>
    <w:p w14:paraId="50CBACBD" w14:textId="7F809D90" w:rsidR="000564E5" w:rsidRPr="00923427" w:rsidRDefault="00E82DC6" w:rsidP="00882FC4">
      <w:pPr>
        <w:rPr>
          <w:rFonts w:ascii="Open Sans" w:hAnsi="Open Sans" w:cs="Open Sans"/>
          <w:sz w:val="20"/>
          <w:szCs w:val="20"/>
        </w:rPr>
      </w:pPr>
      <w:r w:rsidRPr="00923427">
        <w:rPr>
          <w:rFonts w:ascii="Open Sans" w:hAnsi="Open Sans" w:cs="Open Sans"/>
          <w:sz w:val="20"/>
          <w:szCs w:val="20"/>
        </w:rPr>
        <w:t>T</w:t>
      </w:r>
      <w:r w:rsidR="006C379B" w:rsidRPr="00923427">
        <w:rPr>
          <w:rFonts w:ascii="Open Sans" w:hAnsi="Open Sans" w:cs="Open Sans"/>
          <w:sz w:val="20"/>
          <w:szCs w:val="20"/>
        </w:rPr>
        <w:t>he sanitation benefits provided by energy from waste applications of bioenergy</w:t>
      </w:r>
      <w:r w:rsidRPr="00923427">
        <w:rPr>
          <w:rFonts w:ascii="Open Sans" w:hAnsi="Open Sans" w:cs="Open Sans"/>
          <w:sz w:val="20"/>
          <w:szCs w:val="20"/>
        </w:rPr>
        <w:t xml:space="preserve"> should also be recognised</w:t>
      </w:r>
      <w:r w:rsidR="006C379B" w:rsidRPr="00923427">
        <w:rPr>
          <w:rFonts w:ascii="Open Sans" w:hAnsi="Open Sans" w:cs="Open Sans"/>
          <w:sz w:val="20"/>
          <w:szCs w:val="20"/>
        </w:rPr>
        <w:t xml:space="preserve">. Energy recovery, anaerobic digestion, and advanced gasification processes both mitigate the release of greenhouse gases from landfill </w:t>
      </w:r>
      <w:r w:rsidRPr="00923427">
        <w:rPr>
          <w:rFonts w:ascii="Open Sans" w:hAnsi="Open Sans" w:cs="Open Sans"/>
          <w:sz w:val="20"/>
          <w:szCs w:val="20"/>
        </w:rPr>
        <w:t>and</w:t>
      </w:r>
      <w:r w:rsidR="006C379B" w:rsidRPr="00923427">
        <w:rPr>
          <w:rFonts w:ascii="Open Sans" w:hAnsi="Open Sans" w:cs="Open Sans"/>
          <w:sz w:val="20"/>
          <w:szCs w:val="20"/>
        </w:rPr>
        <w:t xml:space="preserve"> provide necessary waste management capacity in line with the waste hierarchy.</w:t>
      </w:r>
      <w:r w:rsidRPr="00923427">
        <w:rPr>
          <w:rFonts w:ascii="Open Sans" w:hAnsi="Open Sans" w:cs="Open Sans"/>
          <w:sz w:val="20"/>
          <w:szCs w:val="20"/>
        </w:rPr>
        <w:t xml:space="preserve"> In 2018 the UK sen</w:t>
      </w:r>
      <w:r w:rsidR="006C5286" w:rsidRPr="00923427">
        <w:rPr>
          <w:rFonts w:ascii="Open Sans" w:hAnsi="Open Sans" w:cs="Open Sans"/>
          <w:sz w:val="20"/>
          <w:szCs w:val="20"/>
        </w:rPr>
        <w:t>t</w:t>
      </w:r>
      <w:r w:rsidRPr="00923427">
        <w:rPr>
          <w:rFonts w:ascii="Open Sans" w:hAnsi="Open Sans" w:cs="Open Sans"/>
          <w:sz w:val="20"/>
          <w:szCs w:val="20"/>
        </w:rPr>
        <w:t xml:space="preserve"> 7.2 million tonnes of biodegradable municipal waste to landfill</w:t>
      </w:r>
      <w:r w:rsidR="00D55CC4" w:rsidRPr="00923427">
        <w:rPr>
          <w:rFonts w:ascii="Open Sans" w:hAnsi="Open Sans" w:cs="Open Sans"/>
          <w:sz w:val="20"/>
          <w:szCs w:val="20"/>
        </w:rPr>
        <w:t>.</w:t>
      </w:r>
      <w:r w:rsidRPr="00923427">
        <w:rPr>
          <w:rFonts w:ascii="Open Sans" w:hAnsi="Open Sans" w:cs="Open Sans"/>
          <w:sz w:val="20"/>
          <w:szCs w:val="20"/>
        </w:rPr>
        <w:t xml:space="preserve"> </w:t>
      </w:r>
      <w:r w:rsidR="00D55CC4" w:rsidRPr="00923427">
        <w:rPr>
          <w:rStyle w:val="FootnoteReference"/>
          <w:rFonts w:ascii="Open Sans" w:hAnsi="Open Sans" w:cs="Open Sans"/>
          <w:sz w:val="20"/>
          <w:szCs w:val="20"/>
        </w:rPr>
        <w:footnoteReference w:id="24"/>
      </w:r>
      <w:r w:rsidRPr="00923427">
        <w:rPr>
          <w:rFonts w:ascii="Open Sans" w:hAnsi="Open Sans" w:cs="Open Sans"/>
          <w:sz w:val="20"/>
          <w:szCs w:val="20"/>
        </w:rPr>
        <w:t xml:space="preserve"> By contrast, </w:t>
      </w:r>
      <w:r w:rsidR="00392880" w:rsidRPr="00923427">
        <w:rPr>
          <w:rFonts w:ascii="Open Sans" w:hAnsi="Open Sans" w:cs="Open Sans"/>
          <w:sz w:val="20"/>
          <w:szCs w:val="20"/>
        </w:rPr>
        <w:t>t</w:t>
      </w:r>
      <w:r w:rsidRPr="00923427">
        <w:rPr>
          <w:rFonts w:ascii="Open Sans" w:hAnsi="Open Sans" w:cs="Open Sans"/>
          <w:sz w:val="20"/>
          <w:szCs w:val="20"/>
        </w:rPr>
        <w:t xml:space="preserve">he CCC has called for there to be no </w:t>
      </w:r>
      <w:r w:rsidR="00D55CC4" w:rsidRPr="00923427">
        <w:rPr>
          <w:rFonts w:ascii="Open Sans" w:hAnsi="Open Sans" w:cs="Open Sans"/>
          <w:sz w:val="20"/>
          <w:szCs w:val="20"/>
        </w:rPr>
        <w:t>biodegradable</w:t>
      </w:r>
      <w:r w:rsidRPr="00923427">
        <w:rPr>
          <w:rFonts w:ascii="Open Sans" w:hAnsi="Open Sans" w:cs="Open Sans"/>
          <w:sz w:val="20"/>
          <w:szCs w:val="20"/>
        </w:rPr>
        <w:t xml:space="preserve"> waste sen</w:t>
      </w:r>
      <w:r w:rsidR="00D55CC4" w:rsidRPr="00923427">
        <w:rPr>
          <w:rFonts w:ascii="Open Sans" w:hAnsi="Open Sans" w:cs="Open Sans"/>
          <w:sz w:val="20"/>
          <w:szCs w:val="20"/>
        </w:rPr>
        <w:t xml:space="preserve">t </w:t>
      </w:r>
      <w:r w:rsidRPr="00923427">
        <w:rPr>
          <w:rFonts w:ascii="Open Sans" w:hAnsi="Open Sans" w:cs="Open Sans"/>
          <w:sz w:val="20"/>
          <w:szCs w:val="20"/>
        </w:rPr>
        <w:t>to landfill by 2025</w:t>
      </w:r>
      <w:r w:rsidR="00D55CC4" w:rsidRPr="00923427">
        <w:rPr>
          <w:rFonts w:ascii="Open Sans" w:hAnsi="Open Sans" w:cs="Open Sans"/>
          <w:sz w:val="20"/>
          <w:szCs w:val="20"/>
        </w:rPr>
        <w:t xml:space="preserve"> </w:t>
      </w:r>
      <w:r w:rsidR="00D55CC4" w:rsidRPr="00923427">
        <w:rPr>
          <w:rStyle w:val="FootnoteReference"/>
          <w:rFonts w:ascii="Open Sans" w:hAnsi="Open Sans" w:cs="Open Sans"/>
          <w:sz w:val="20"/>
          <w:szCs w:val="20"/>
        </w:rPr>
        <w:footnoteReference w:id="25"/>
      </w:r>
      <w:r w:rsidR="00D52190" w:rsidRPr="00923427">
        <w:rPr>
          <w:rFonts w:ascii="Open Sans" w:hAnsi="Open Sans" w:cs="Open Sans"/>
          <w:sz w:val="20"/>
          <w:szCs w:val="20"/>
        </w:rPr>
        <w:t xml:space="preserve">, ensuring that the UK, makes the most of </w:t>
      </w:r>
      <w:r w:rsidR="006C5286" w:rsidRPr="00923427">
        <w:rPr>
          <w:rFonts w:ascii="Open Sans" w:hAnsi="Open Sans" w:cs="Open Sans"/>
          <w:sz w:val="20"/>
          <w:szCs w:val="20"/>
        </w:rPr>
        <w:t>this energy</w:t>
      </w:r>
      <w:r w:rsidR="00D52190" w:rsidRPr="00923427">
        <w:rPr>
          <w:rFonts w:ascii="Open Sans" w:hAnsi="Open Sans" w:cs="Open Sans"/>
          <w:sz w:val="20"/>
          <w:szCs w:val="20"/>
        </w:rPr>
        <w:t xml:space="preserve"> re</w:t>
      </w:r>
      <w:r w:rsidR="00392880" w:rsidRPr="00923427">
        <w:rPr>
          <w:rFonts w:ascii="Open Sans" w:hAnsi="Open Sans" w:cs="Open Sans"/>
          <w:sz w:val="20"/>
          <w:szCs w:val="20"/>
        </w:rPr>
        <w:t>source</w:t>
      </w:r>
      <w:r w:rsidR="00D52190" w:rsidRPr="00923427">
        <w:rPr>
          <w:rFonts w:ascii="Open Sans" w:hAnsi="Open Sans" w:cs="Open Sans"/>
          <w:sz w:val="20"/>
          <w:szCs w:val="20"/>
        </w:rPr>
        <w:t xml:space="preserve"> </w:t>
      </w:r>
      <w:r w:rsidR="00392880" w:rsidRPr="00923427">
        <w:rPr>
          <w:rFonts w:ascii="Open Sans" w:hAnsi="Open Sans" w:cs="Open Sans"/>
          <w:sz w:val="20"/>
          <w:szCs w:val="20"/>
        </w:rPr>
        <w:t>and reduce</w:t>
      </w:r>
      <w:r w:rsidR="00D55CC4" w:rsidRPr="00923427">
        <w:rPr>
          <w:rFonts w:ascii="Open Sans" w:hAnsi="Open Sans" w:cs="Open Sans"/>
          <w:sz w:val="20"/>
          <w:szCs w:val="20"/>
        </w:rPr>
        <w:t>s</w:t>
      </w:r>
      <w:r w:rsidR="00392880" w:rsidRPr="00923427">
        <w:rPr>
          <w:rFonts w:ascii="Open Sans" w:hAnsi="Open Sans" w:cs="Open Sans"/>
          <w:sz w:val="20"/>
          <w:szCs w:val="20"/>
        </w:rPr>
        <w:t xml:space="preserve"> emissions</w:t>
      </w:r>
      <w:r w:rsidR="00D52190" w:rsidRPr="00923427">
        <w:rPr>
          <w:rFonts w:ascii="Open Sans" w:hAnsi="Open Sans" w:cs="Open Sans"/>
          <w:sz w:val="20"/>
          <w:szCs w:val="20"/>
        </w:rPr>
        <w:t xml:space="preserve">. Given </w:t>
      </w:r>
      <w:r w:rsidR="00392880" w:rsidRPr="00923427">
        <w:rPr>
          <w:rFonts w:ascii="Open Sans" w:hAnsi="Open Sans" w:cs="Open Sans"/>
          <w:sz w:val="20"/>
          <w:szCs w:val="20"/>
        </w:rPr>
        <w:t xml:space="preserve">the localised nature of energy from waste systems, </w:t>
      </w:r>
      <w:r w:rsidR="006C5286" w:rsidRPr="00923427">
        <w:rPr>
          <w:rFonts w:ascii="Open Sans" w:hAnsi="Open Sans" w:cs="Open Sans"/>
          <w:sz w:val="20"/>
          <w:szCs w:val="20"/>
        </w:rPr>
        <w:t xml:space="preserve">with the ability to utilise waste (both biogenic and non-biogenic) arising from industry, agriculture, the agri-food sector, or municipal waste, helps the development of circular economies and an important component of local authority waste management strategies, while delivering renewable energy solutions in hard-to-treat sectors, including aviation. </w:t>
      </w:r>
    </w:p>
    <w:p w14:paraId="1D866C13" w14:textId="1A855803" w:rsidR="006C5286" w:rsidRPr="00923427" w:rsidRDefault="006C5286" w:rsidP="00882FC4">
      <w:pPr>
        <w:pBdr>
          <w:bottom w:val="single" w:sz="6" w:space="1" w:color="auto"/>
        </w:pBdr>
        <w:rPr>
          <w:rFonts w:ascii="Open Sans" w:hAnsi="Open Sans" w:cs="Open Sans"/>
          <w:sz w:val="20"/>
          <w:szCs w:val="20"/>
        </w:rPr>
      </w:pPr>
      <w:r w:rsidRPr="00923427">
        <w:rPr>
          <w:rFonts w:ascii="Open Sans" w:hAnsi="Open Sans" w:cs="Open Sans"/>
          <w:sz w:val="20"/>
          <w:szCs w:val="20"/>
        </w:rPr>
        <w:t xml:space="preserve">The role of energy from waste in waste management must therefore be recognised across energy and environmental policy, requiring joined up thinking between the implementation of the Resource </w:t>
      </w:r>
      <w:r w:rsidR="005143BA">
        <w:rPr>
          <w:rFonts w:ascii="Open Sans" w:hAnsi="Open Sans" w:cs="Open Sans"/>
          <w:sz w:val="20"/>
          <w:szCs w:val="20"/>
        </w:rPr>
        <w:t xml:space="preserve">and </w:t>
      </w:r>
      <w:r w:rsidR="005143BA" w:rsidRPr="00923427">
        <w:rPr>
          <w:rFonts w:ascii="Open Sans" w:hAnsi="Open Sans" w:cs="Open Sans"/>
          <w:sz w:val="20"/>
          <w:szCs w:val="20"/>
        </w:rPr>
        <w:t xml:space="preserve">Waste </w:t>
      </w:r>
      <w:r w:rsidRPr="00923427">
        <w:rPr>
          <w:rFonts w:ascii="Open Sans" w:hAnsi="Open Sans" w:cs="Open Sans"/>
          <w:sz w:val="20"/>
          <w:szCs w:val="20"/>
        </w:rPr>
        <w:t xml:space="preserve">Strategy and the Biomass Strategy. </w:t>
      </w:r>
    </w:p>
    <w:p w14:paraId="15B1B8FA" w14:textId="77777777" w:rsidR="00220257" w:rsidRPr="00923427" w:rsidRDefault="00220257" w:rsidP="00882FC4">
      <w:pPr>
        <w:pBdr>
          <w:bottom w:val="single" w:sz="6" w:space="1" w:color="auto"/>
        </w:pBdr>
        <w:rPr>
          <w:rFonts w:ascii="Open Sans" w:hAnsi="Open Sans" w:cs="Open Sans"/>
          <w:sz w:val="20"/>
          <w:szCs w:val="20"/>
        </w:rPr>
      </w:pPr>
    </w:p>
    <w:p w14:paraId="27F00FC1" w14:textId="0952F187" w:rsidR="001F70B4" w:rsidRPr="00923427" w:rsidRDefault="00ED0279" w:rsidP="00882FC4">
      <w:pPr>
        <w:rPr>
          <w:rFonts w:ascii="Open Sans" w:hAnsi="Open Sans" w:cs="Open Sans"/>
          <w:sz w:val="20"/>
          <w:szCs w:val="20"/>
        </w:rPr>
      </w:pPr>
      <w:r w:rsidRPr="00923427">
        <w:rPr>
          <w:rFonts w:ascii="Open Sans" w:hAnsi="Open Sans" w:cs="Open Sans"/>
          <w:b/>
          <w:bCs/>
          <w:color w:val="2F5496"/>
          <w:sz w:val="20"/>
          <w:szCs w:val="20"/>
        </w:rPr>
        <w:t>5. How could the production of domestic biomass support rural employment, farm diversification, circular economy, industrial opportunities, and wider environmental benefits? This can include considerations around competition for land, development of infrastructure, skills, jobs, etc.</w:t>
      </w:r>
      <w:r w:rsidRPr="00923427">
        <w:rPr>
          <w:rFonts w:ascii="Open Sans" w:hAnsi="Open Sans" w:cs="Open Sans"/>
          <w:b/>
          <w:bCs/>
          <w:sz w:val="20"/>
          <w:szCs w:val="20"/>
        </w:rPr>
        <w:br/>
      </w:r>
    </w:p>
    <w:p w14:paraId="0617F7D6" w14:textId="766C1606" w:rsidR="009B71CA" w:rsidRPr="00923427" w:rsidRDefault="00C07F46" w:rsidP="00882FC4">
      <w:pPr>
        <w:rPr>
          <w:rFonts w:ascii="Open Sans" w:hAnsi="Open Sans" w:cs="Open Sans"/>
          <w:sz w:val="20"/>
          <w:szCs w:val="20"/>
        </w:rPr>
      </w:pPr>
      <w:r w:rsidRPr="00923427">
        <w:rPr>
          <w:rFonts w:ascii="Open Sans" w:hAnsi="Open Sans" w:cs="Open Sans"/>
          <w:sz w:val="20"/>
          <w:szCs w:val="20"/>
        </w:rPr>
        <w:t>The UK’s Bioeconomy Strategy</w:t>
      </w:r>
      <w:r w:rsidR="0003622B" w:rsidRPr="00923427">
        <w:rPr>
          <w:rFonts w:ascii="Open Sans" w:hAnsi="Open Sans" w:cs="Open Sans"/>
          <w:sz w:val="20"/>
          <w:szCs w:val="20"/>
        </w:rPr>
        <w:t xml:space="preserve">, published in 2018, </w:t>
      </w:r>
      <w:r w:rsidR="0003622B" w:rsidRPr="00923427">
        <w:rPr>
          <w:rFonts w:ascii="Open Sans" w:hAnsi="Open Sans" w:cs="Open Sans"/>
          <w:sz w:val="20"/>
          <w:szCs w:val="20"/>
          <w:lang w:val="en"/>
        </w:rPr>
        <w:t>estimates that the sector is today worth £220 billion and indirectly supports 5.2 million jobs, of which the bioenergy sector is an integral part</w:t>
      </w:r>
      <w:r w:rsidR="00D55CC4" w:rsidRPr="00923427">
        <w:rPr>
          <w:rFonts w:ascii="Open Sans" w:hAnsi="Open Sans" w:cs="Open Sans"/>
          <w:sz w:val="20"/>
          <w:szCs w:val="20"/>
          <w:lang w:val="en"/>
        </w:rPr>
        <w:t xml:space="preserve">. </w:t>
      </w:r>
      <w:r w:rsidR="00D55CC4" w:rsidRPr="00923427">
        <w:rPr>
          <w:rStyle w:val="FootnoteReference"/>
          <w:rFonts w:ascii="Open Sans" w:hAnsi="Open Sans" w:cs="Open Sans"/>
          <w:sz w:val="20"/>
          <w:szCs w:val="20"/>
          <w:lang w:val="en"/>
        </w:rPr>
        <w:footnoteReference w:id="26"/>
      </w:r>
      <w:r w:rsidR="00D55CC4" w:rsidRPr="00923427">
        <w:rPr>
          <w:rFonts w:ascii="Open Sans" w:hAnsi="Open Sans" w:cs="Open Sans"/>
          <w:sz w:val="20"/>
          <w:szCs w:val="20"/>
          <w:lang w:val="en"/>
        </w:rPr>
        <w:t xml:space="preserve"> </w:t>
      </w:r>
      <w:r w:rsidR="000B71A8" w:rsidRPr="00923427">
        <w:rPr>
          <w:rFonts w:ascii="Open Sans" w:hAnsi="Open Sans" w:cs="Open Sans"/>
          <w:color w:val="231F20"/>
          <w:sz w:val="20"/>
          <w:szCs w:val="20"/>
        </w:rPr>
        <w:t>The role of bioenergy tends to be played down in discussions of the bioeconomy, but its important role as a complement to other products, as an early market for key technologies which will be needed for other applications, and as a te</w:t>
      </w:r>
      <w:r w:rsidR="00D55CC4" w:rsidRPr="00923427">
        <w:rPr>
          <w:rFonts w:ascii="Open Sans" w:hAnsi="Open Sans" w:cs="Open Sans"/>
          <w:color w:val="231F20"/>
          <w:sz w:val="20"/>
          <w:szCs w:val="20"/>
        </w:rPr>
        <w:t>s</w:t>
      </w:r>
      <w:r w:rsidR="000B71A8" w:rsidRPr="00923427">
        <w:rPr>
          <w:rFonts w:ascii="Open Sans" w:hAnsi="Open Sans" w:cs="Open Sans"/>
          <w:color w:val="231F20"/>
          <w:sz w:val="20"/>
          <w:szCs w:val="20"/>
        </w:rPr>
        <w:t>t bed for regulation (notabl</w:t>
      </w:r>
      <w:r w:rsidR="00D55CC4" w:rsidRPr="00923427">
        <w:rPr>
          <w:rFonts w:ascii="Open Sans" w:hAnsi="Open Sans" w:cs="Open Sans"/>
          <w:color w:val="231F20"/>
          <w:sz w:val="20"/>
          <w:szCs w:val="20"/>
        </w:rPr>
        <w:t>y</w:t>
      </w:r>
      <w:r w:rsidR="000B71A8" w:rsidRPr="00923427">
        <w:rPr>
          <w:rFonts w:ascii="Open Sans" w:hAnsi="Open Sans" w:cs="Open Sans"/>
          <w:color w:val="231F20"/>
          <w:sz w:val="20"/>
          <w:szCs w:val="20"/>
        </w:rPr>
        <w:t xml:space="preserve"> on sustainability) needs to be more fully recognised in strategies and action plans. Critically d</w:t>
      </w:r>
      <w:r w:rsidR="002108B4" w:rsidRPr="00923427">
        <w:rPr>
          <w:rFonts w:ascii="Open Sans" w:hAnsi="Open Sans" w:cs="Open Sans"/>
          <w:sz w:val="20"/>
          <w:szCs w:val="20"/>
        </w:rPr>
        <w:t xml:space="preserve">emand for feedstock production provides diversified revenues to farmers, foresters, and landowners across the bioeconomy, demonstrating </w:t>
      </w:r>
      <w:r w:rsidR="002D41B7" w:rsidRPr="00923427">
        <w:rPr>
          <w:rFonts w:ascii="Open Sans" w:hAnsi="Open Sans" w:cs="Open Sans"/>
          <w:sz w:val="20"/>
          <w:szCs w:val="20"/>
        </w:rPr>
        <w:t xml:space="preserve">how </w:t>
      </w:r>
      <w:r w:rsidR="002108B4" w:rsidRPr="00923427">
        <w:rPr>
          <w:rFonts w:ascii="Open Sans" w:hAnsi="Open Sans" w:cs="Open Sans"/>
          <w:sz w:val="20"/>
          <w:szCs w:val="20"/>
        </w:rPr>
        <w:t xml:space="preserve">intertwined </w:t>
      </w:r>
      <w:r w:rsidR="002D41B7" w:rsidRPr="00923427">
        <w:rPr>
          <w:rFonts w:ascii="Open Sans" w:hAnsi="Open Sans" w:cs="Open Sans"/>
          <w:sz w:val="20"/>
          <w:szCs w:val="20"/>
        </w:rPr>
        <w:t xml:space="preserve">the growth of bioenergy feedstock is with wider bio-based industries. </w:t>
      </w:r>
      <w:r w:rsidR="00D55CC4" w:rsidRPr="00923427">
        <w:rPr>
          <w:rStyle w:val="FootnoteReference"/>
          <w:rFonts w:ascii="Open Sans" w:hAnsi="Open Sans" w:cs="Open Sans"/>
          <w:sz w:val="20"/>
          <w:szCs w:val="20"/>
        </w:rPr>
        <w:footnoteReference w:id="27"/>
      </w:r>
      <w:r w:rsidR="002108B4" w:rsidRPr="00923427">
        <w:rPr>
          <w:rFonts w:ascii="Open Sans" w:hAnsi="Open Sans" w:cs="Open Sans"/>
          <w:sz w:val="20"/>
          <w:szCs w:val="20"/>
        </w:rPr>
        <w:t xml:space="preserve"> </w:t>
      </w:r>
    </w:p>
    <w:p w14:paraId="15C32A81" w14:textId="5E3D92DE" w:rsidR="001C4CC3" w:rsidRPr="00923427" w:rsidRDefault="005F5A55" w:rsidP="00882FC4">
      <w:pPr>
        <w:rPr>
          <w:rFonts w:ascii="Open Sans" w:hAnsi="Open Sans" w:cs="Open Sans"/>
          <w:b/>
          <w:bCs/>
          <w:i/>
          <w:iCs/>
          <w:sz w:val="20"/>
          <w:szCs w:val="20"/>
        </w:rPr>
      </w:pPr>
      <w:r w:rsidRPr="00923427">
        <w:rPr>
          <w:rFonts w:ascii="Open Sans" w:hAnsi="Open Sans" w:cs="Open Sans"/>
          <w:b/>
          <w:bCs/>
          <w:i/>
          <w:iCs/>
          <w:sz w:val="20"/>
          <w:szCs w:val="20"/>
        </w:rPr>
        <w:t xml:space="preserve">Current </w:t>
      </w:r>
      <w:r w:rsidR="00DD57CC">
        <w:rPr>
          <w:rFonts w:ascii="Open Sans" w:hAnsi="Open Sans" w:cs="Open Sans"/>
          <w:b/>
          <w:bCs/>
          <w:i/>
          <w:iCs/>
          <w:sz w:val="20"/>
          <w:szCs w:val="20"/>
        </w:rPr>
        <w:t>b</w:t>
      </w:r>
      <w:r w:rsidR="00FB572E" w:rsidRPr="00923427">
        <w:rPr>
          <w:rFonts w:ascii="Open Sans" w:hAnsi="Open Sans" w:cs="Open Sans"/>
          <w:b/>
          <w:bCs/>
          <w:i/>
          <w:iCs/>
          <w:sz w:val="20"/>
          <w:szCs w:val="20"/>
        </w:rPr>
        <w:t xml:space="preserve">ioenergy </w:t>
      </w:r>
      <w:r w:rsidR="00DD57CC">
        <w:rPr>
          <w:rFonts w:ascii="Open Sans" w:hAnsi="Open Sans" w:cs="Open Sans"/>
          <w:b/>
          <w:bCs/>
          <w:i/>
          <w:iCs/>
          <w:sz w:val="20"/>
          <w:szCs w:val="20"/>
        </w:rPr>
        <w:t>j</w:t>
      </w:r>
      <w:r w:rsidR="001C4CC3" w:rsidRPr="00923427">
        <w:rPr>
          <w:rFonts w:ascii="Open Sans" w:hAnsi="Open Sans" w:cs="Open Sans"/>
          <w:b/>
          <w:bCs/>
          <w:i/>
          <w:iCs/>
          <w:sz w:val="20"/>
          <w:szCs w:val="20"/>
        </w:rPr>
        <w:t>obs</w:t>
      </w:r>
      <w:r w:rsidR="00DD57CC">
        <w:rPr>
          <w:rFonts w:ascii="Open Sans" w:hAnsi="Open Sans" w:cs="Open Sans"/>
          <w:b/>
          <w:bCs/>
          <w:i/>
          <w:iCs/>
          <w:sz w:val="20"/>
          <w:szCs w:val="20"/>
        </w:rPr>
        <w:t>,</w:t>
      </w:r>
      <w:r w:rsidR="001C4CC3" w:rsidRPr="00923427">
        <w:rPr>
          <w:rFonts w:ascii="Open Sans" w:hAnsi="Open Sans" w:cs="Open Sans"/>
          <w:b/>
          <w:bCs/>
          <w:i/>
          <w:iCs/>
          <w:sz w:val="20"/>
          <w:szCs w:val="20"/>
        </w:rPr>
        <w:t xml:space="preserve"> </w:t>
      </w:r>
      <w:r w:rsidR="00FB572E" w:rsidRPr="00923427">
        <w:rPr>
          <w:rFonts w:ascii="Open Sans" w:hAnsi="Open Sans" w:cs="Open Sans"/>
          <w:b/>
          <w:bCs/>
          <w:i/>
          <w:iCs/>
          <w:sz w:val="20"/>
          <w:szCs w:val="20"/>
        </w:rPr>
        <w:t>including</w:t>
      </w:r>
      <w:r w:rsidR="001C4CC3" w:rsidRPr="00923427">
        <w:rPr>
          <w:rFonts w:ascii="Open Sans" w:hAnsi="Open Sans" w:cs="Open Sans"/>
          <w:b/>
          <w:bCs/>
          <w:i/>
          <w:iCs/>
          <w:sz w:val="20"/>
          <w:szCs w:val="20"/>
        </w:rPr>
        <w:t xml:space="preserve"> </w:t>
      </w:r>
      <w:r w:rsidR="00FB572E" w:rsidRPr="00923427">
        <w:rPr>
          <w:rFonts w:ascii="Open Sans" w:hAnsi="Open Sans" w:cs="Open Sans"/>
          <w:b/>
          <w:bCs/>
          <w:i/>
          <w:iCs/>
          <w:sz w:val="20"/>
          <w:szCs w:val="20"/>
        </w:rPr>
        <w:t xml:space="preserve">feedstock </w:t>
      </w:r>
      <w:r w:rsidR="008B6196">
        <w:rPr>
          <w:rFonts w:ascii="Open Sans" w:hAnsi="Open Sans" w:cs="Open Sans"/>
          <w:b/>
          <w:bCs/>
          <w:i/>
          <w:iCs/>
          <w:sz w:val="20"/>
          <w:szCs w:val="20"/>
        </w:rPr>
        <w:t>s</w:t>
      </w:r>
      <w:r w:rsidR="008B6196" w:rsidRPr="00923427">
        <w:rPr>
          <w:rFonts w:ascii="Open Sans" w:hAnsi="Open Sans" w:cs="Open Sans"/>
          <w:b/>
          <w:bCs/>
          <w:i/>
          <w:iCs/>
          <w:sz w:val="20"/>
          <w:szCs w:val="20"/>
        </w:rPr>
        <w:t>upply.</w:t>
      </w:r>
    </w:p>
    <w:p w14:paraId="3AA88201" w14:textId="6591BF12" w:rsidR="0047456D" w:rsidRPr="00923427" w:rsidRDefault="000B71A8" w:rsidP="00882FC4">
      <w:pPr>
        <w:rPr>
          <w:rFonts w:ascii="Open Sans" w:hAnsi="Open Sans" w:cs="Open Sans"/>
          <w:sz w:val="20"/>
          <w:szCs w:val="20"/>
        </w:rPr>
      </w:pPr>
      <w:r w:rsidRPr="00923427">
        <w:rPr>
          <w:rFonts w:ascii="Open Sans" w:hAnsi="Open Sans" w:cs="Open Sans"/>
          <w:sz w:val="20"/>
          <w:szCs w:val="20"/>
        </w:rPr>
        <w:t>Overall</w:t>
      </w:r>
      <w:r w:rsidR="00021FB0" w:rsidRPr="00923427">
        <w:rPr>
          <w:rFonts w:ascii="Open Sans" w:hAnsi="Open Sans" w:cs="Open Sans"/>
          <w:sz w:val="20"/>
          <w:szCs w:val="20"/>
        </w:rPr>
        <w:t xml:space="preserve">, </w:t>
      </w:r>
      <w:r w:rsidRPr="00923427">
        <w:rPr>
          <w:rFonts w:ascii="Open Sans" w:hAnsi="Open Sans" w:cs="Open Sans"/>
          <w:sz w:val="20"/>
          <w:szCs w:val="20"/>
        </w:rPr>
        <w:t xml:space="preserve">REA </w:t>
      </w:r>
      <w:proofErr w:type="spellStart"/>
      <w:r w:rsidRPr="00923427">
        <w:rPr>
          <w:rFonts w:ascii="Open Sans" w:hAnsi="Open Sans" w:cs="Open Sans"/>
          <w:sz w:val="20"/>
          <w:szCs w:val="20"/>
        </w:rPr>
        <w:t>REview</w:t>
      </w:r>
      <w:proofErr w:type="spellEnd"/>
      <w:r w:rsidRPr="00923427">
        <w:rPr>
          <w:rFonts w:ascii="Open Sans" w:hAnsi="Open Sans" w:cs="Open Sans"/>
          <w:sz w:val="20"/>
          <w:szCs w:val="20"/>
        </w:rPr>
        <w:t xml:space="preserve"> 2020 </w:t>
      </w:r>
      <w:r w:rsidR="0047456D" w:rsidRPr="00923427">
        <w:rPr>
          <w:rFonts w:ascii="Open Sans" w:hAnsi="Open Sans" w:cs="Open Sans"/>
          <w:sz w:val="20"/>
          <w:szCs w:val="20"/>
        </w:rPr>
        <w:t xml:space="preserve">estimated that the bioenergy sector </w:t>
      </w:r>
      <w:r w:rsidR="00CD4F10" w:rsidRPr="00923427">
        <w:rPr>
          <w:rFonts w:ascii="Open Sans" w:hAnsi="Open Sans" w:cs="Open Sans"/>
          <w:sz w:val="20"/>
          <w:szCs w:val="20"/>
        </w:rPr>
        <w:t xml:space="preserve">in 2017 </w:t>
      </w:r>
      <w:r w:rsidR="0047456D" w:rsidRPr="00923427">
        <w:rPr>
          <w:rFonts w:ascii="Open Sans" w:hAnsi="Open Sans" w:cs="Open Sans"/>
          <w:sz w:val="20"/>
          <w:szCs w:val="20"/>
        </w:rPr>
        <w:t xml:space="preserve">contributed £6.5bn to the UK economy and </w:t>
      </w:r>
      <w:r w:rsidRPr="00923427">
        <w:rPr>
          <w:rFonts w:ascii="Open Sans" w:hAnsi="Open Sans" w:cs="Open Sans"/>
          <w:sz w:val="20"/>
          <w:szCs w:val="20"/>
        </w:rPr>
        <w:t>provided over 34</w:t>
      </w:r>
      <w:r w:rsidR="00EF288A" w:rsidRPr="00923427">
        <w:rPr>
          <w:rFonts w:ascii="Open Sans" w:hAnsi="Open Sans" w:cs="Open Sans"/>
          <w:sz w:val="20"/>
          <w:szCs w:val="20"/>
        </w:rPr>
        <w:t>,</w:t>
      </w:r>
      <w:r w:rsidRPr="00923427">
        <w:rPr>
          <w:rFonts w:ascii="Open Sans" w:hAnsi="Open Sans" w:cs="Open Sans"/>
          <w:sz w:val="20"/>
          <w:szCs w:val="20"/>
        </w:rPr>
        <w:t>000 jobs, which increases to over 46,000 jobs once biomass feedstock production is also included</w:t>
      </w:r>
      <w:r w:rsidR="0047456D" w:rsidRPr="00923427">
        <w:rPr>
          <w:rFonts w:ascii="Open Sans" w:hAnsi="Open Sans" w:cs="Open Sans"/>
          <w:sz w:val="20"/>
          <w:szCs w:val="20"/>
        </w:rPr>
        <w:t xml:space="preserve"> (</w:t>
      </w:r>
      <w:r w:rsidR="00D55CC4" w:rsidRPr="00923427">
        <w:rPr>
          <w:rFonts w:ascii="Open Sans" w:hAnsi="Open Sans" w:cs="Open Sans"/>
          <w:sz w:val="20"/>
          <w:szCs w:val="20"/>
        </w:rPr>
        <w:t>s</w:t>
      </w:r>
      <w:r w:rsidR="0047456D" w:rsidRPr="00923427">
        <w:rPr>
          <w:rFonts w:ascii="Open Sans" w:hAnsi="Open Sans" w:cs="Open Sans"/>
          <w:sz w:val="20"/>
          <w:szCs w:val="20"/>
        </w:rPr>
        <w:t xml:space="preserve">ee table </w:t>
      </w:r>
      <w:r w:rsidR="00D55CC4" w:rsidRPr="00923427">
        <w:rPr>
          <w:rFonts w:ascii="Open Sans" w:hAnsi="Open Sans" w:cs="Open Sans"/>
          <w:sz w:val="20"/>
          <w:szCs w:val="20"/>
        </w:rPr>
        <w:t>1</w:t>
      </w:r>
      <w:r w:rsidR="0047456D" w:rsidRPr="00923427">
        <w:rPr>
          <w:rFonts w:ascii="Open Sans" w:hAnsi="Open Sans" w:cs="Open Sans"/>
          <w:sz w:val="20"/>
          <w:szCs w:val="20"/>
        </w:rPr>
        <w:t>).</w:t>
      </w:r>
      <w:r w:rsidR="00D55CC4" w:rsidRPr="00923427">
        <w:rPr>
          <w:rStyle w:val="FootnoteReference"/>
          <w:rFonts w:ascii="Open Sans" w:hAnsi="Open Sans" w:cs="Open Sans"/>
          <w:sz w:val="20"/>
          <w:szCs w:val="20"/>
        </w:rPr>
        <w:footnoteReference w:id="28"/>
      </w:r>
      <w:r w:rsidR="0047456D" w:rsidRPr="00923427">
        <w:rPr>
          <w:rFonts w:ascii="Open Sans" w:hAnsi="Open Sans" w:cs="Open Sans"/>
          <w:sz w:val="20"/>
          <w:szCs w:val="20"/>
        </w:rPr>
        <w:t xml:space="preserve"> </w:t>
      </w:r>
    </w:p>
    <w:p w14:paraId="65ABB9C6" w14:textId="2A661334" w:rsidR="001C4CC3" w:rsidRPr="00923427" w:rsidRDefault="001C4CC3" w:rsidP="00882FC4">
      <w:pPr>
        <w:rPr>
          <w:rFonts w:ascii="Open Sans" w:hAnsi="Open Sans" w:cs="Open Sans"/>
          <w:i/>
          <w:iCs/>
          <w:sz w:val="20"/>
          <w:szCs w:val="20"/>
        </w:rPr>
      </w:pPr>
      <w:r w:rsidRPr="00923427">
        <w:rPr>
          <w:rFonts w:ascii="Open Sans" w:hAnsi="Open Sans" w:cs="Open Sans"/>
          <w:i/>
          <w:iCs/>
          <w:sz w:val="20"/>
          <w:szCs w:val="20"/>
        </w:rPr>
        <w:t>Table 1: Economic Contribution of Bioenergy and Feedstock Production</w:t>
      </w:r>
    </w:p>
    <w:tbl>
      <w:tblPr>
        <w:tblW w:w="9072" w:type="dxa"/>
        <w:tblLook w:val="04A0" w:firstRow="1" w:lastRow="0" w:firstColumn="1" w:lastColumn="0" w:noHBand="0" w:noVBand="1"/>
      </w:tblPr>
      <w:tblGrid>
        <w:gridCol w:w="3580"/>
        <w:gridCol w:w="1807"/>
        <w:gridCol w:w="1701"/>
        <w:gridCol w:w="1984"/>
      </w:tblGrid>
      <w:tr w:rsidR="00021FB0" w:rsidRPr="00923427" w14:paraId="4E12E3E4" w14:textId="77777777" w:rsidTr="00D55CC4">
        <w:trPr>
          <w:trHeight w:val="300"/>
        </w:trPr>
        <w:tc>
          <w:tcPr>
            <w:tcW w:w="3580" w:type="dxa"/>
            <w:tcBorders>
              <w:top w:val="nil"/>
              <w:left w:val="nil"/>
              <w:bottom w:val="nil"/>
              <w:right w:val="single" w:sz="4" w:space="0" w:color="auto"/>
            </w:tcBorders>
            <w:shd w:val="clear" w:color="auto" w:fill="auto"/>
            <w:noWrap/>
            <w:vAlign w:val="bottom"/>
            <w:hideMark/>
          </w:tcPr>
          <w:p w14:paraId="2A65837B" w14:textId="77777777" w:rsidR="00021FB0" w:rsidRPr="00923427" w:rsidRDefault="00021FB0" w:rsidP="00021FB0">
            <w:pPr>
              <w:spacing w:after="0" w:line="240" w:lineRule="auto"/>
              <w:rPr>
                <w:rFonts w:ascii="Open Sans" w:eastAsia="Times New Roman" w:hAnsi="Open Sans" w:cs="Open Sans"/>
                <w:b/>
                <w:bCs/>
                <w:color w:val="000000"/>
                <w:sz w:val="20"/>
                <w:szCs w:val="20"/>
                <w:lang w:eastAsia="en-GB"/>
              </w:rPr>
            </w:pPr>
            <w:r w:rsidRPr="00923427">
              <w:rPr>
                <w:rFonts w:ascii="Open Sans" w:eastAsia="Times New Roman" w:hAnsi="Open Sans" w:cs="Open Sans"/>
                <w:b/>
                <w:bCs/>
                <w:color w:val="000000"/>
                <w:sz w:val="20"/>
                <w:szCs w:val="20"/>
                <w:lang w:eastAsia="en-GB"/>
              </w:rPr>
              <w:t>2016-17</w:t>
            </w:r>
          </w:p>
        </w:tc>
        <w:tc>
          <w:tcPr>
            <w:tcW w:w="1807" w:type="dxa"/>
            <w:tcBorders>
              <w:top w:val="single" w:sz="8" w:space="0" w:color="auto"/>
              <w:left w:val="single" w:sz="4" w:space="0" w:color="auto"/>
              <w:bottom w:val="nil"/>
              <w:right w:val="nil"/>
            </w:tcBorders>
            <w:shd w:val="clear" w:color="auto" w:fill="auto"/>
            <w:noWrap/>
            <w:vAlign w:val="bottom"/>
            <w:hideMark/>
          </w:tcPr>
          <w:p w14:paraId="1371CBD2" w14:textId="77777777" w:rsidR="00021FB0" w:rsidRPr="00923427" w:rsidRDefault="00021FB0" w:rsidP="00021FB0">
            <w:pPr>
              <w:spacing w:after="0" w:line="240" w:lineRule="auto"/>
              <w:rPr>
                <w:rFonts w:ascii="Open Sans" w:eastAsia="Times New Roman" w:hAnsi="Open Sans" w:cs="Open Sans"/>
                <w:b/>
                <w:bCs/>
                <w:color w:val="000000"/>
                <w:sz w:val="20"/>
                <w:szCs w:val="20"/>
                <w:lang w:eastAsia="en-GB"/>
              </w:rPr>
            </w:pPr>
            <w:r w:rsidRPr="00923427">
              <w:rPr>
                <w:rFonts w:ascii="Open Sans" w:eastAsia="Times New Roman" w:hAnsi="Open Sans" w:cs="Open Sans"/>
                <w:b/>
                <w:bCs/>
                <w:color w:val="000000"/>
                <w:sz w:val="20"/>
                <w:szCs w:val="20"/>
                <w:lang w:eastAsia="en-GB"/>
              </w:rPr>
              <w:t xml:space="preserve">UK  </w:t>
            </w:r>
          </w:p>
        </w:tc>
        <w:tc>
          <w:tcPr>
            <w:tcW w:w="1701" w:type="dxa"/>
            <w:tcBorders>
              <w:top w:val="single" w:sz="8" w:space="0" w:color="auto"/>
              <w:left w:val="nil"/>
              <w:bottom w:val="nil"/>
              <w:right w:val="nil"/>
            </w:tcBorders>
            <w:shd w:val="clear" w:color="auto" w:fill="auto"/>
            <w:noWrap/>
            <w:vAlign w:val="bottom"/>
            <w:hideMark/>
          </w:tcPr>
          <w:p w14:paraId="0FA4EB5E" w14:textId="77777777" w:rsidR="00021FB0" w:rsidRPr="00923427" w:rsidRDefault="00021FB0" w:rsidP="00021FB0">
            <w:pPr>
              <w:spacing w:after="0" w:line="240" w:lineRule="auto"/>
              <w:rPr>
                <w:rFonts w:ascii="Open Sans" w:eastAsia="Times New Roman" w:hAnsi="Open Sans" w:cs="Open Sans"/>
                <w:color w:val="000000"/>
                <w:sz w:val="20"/>
                <w:szCs w:val="20"/>
                <w:lang w:eastAsia="en-GB"/>
              </w:rPr>
            </w:pPr>
            <w:r w:rsidRPr="00923427">
              <w:rPr>
                <w:rFonts w:ascii="Open Sans" w:eastAsia="Times New Roman" w:hAnsi="Open Sans" w:cs="Open Sans"/>
                <w:color w:val="000000"/>
                <w:sz w:val="20"/>
                <w:szCs w:val="20"/>
                <w:lang w:eastAsia="en-GB"/>
              </w:rPr>
              <w:t> </w:t>
            </w:r>
          </w:p>
        </w:tc>
        <w:tc>
          <w:tcPr>
            <w:tcW w:w="1984" w:type="dxa"/>
            <w:tcBorders>
              <w:top w:val="single" w:sz="8" w:space="0" w:color="auto"/>
              <w:left w:val="nil"/>
              <w:bottom w:val="nil"/>
              <w:right w:val="single" w:sz="8" w:space="0" w:color="auto"/>
            </w:tcBorders>
            <w:shd w:val="clear" w:color="auto" w:fill="auto"/>
            <w:noWrap/>
            <w:vAlign w:val="bottom"/>
            <w:hideMark/>
          </w:tcPr>
          <w:p w14:paraId="44E631D7" w14:textId="77777777" w:rsidR="00021FB0" w:rsidRPr="00923427" w:rsidRDefault="00021FB0" w:rsidP="00021FB0">
            <w:pPr>
              <w:spacing w:after="0" w:line="240" w:lineRule="auto"/>
              <w:rPr>
                <w:rFonts w:ascii="Open Sans" w:eastAsia="Times New Roman" w:hAnsi="Open Sans" w:cs="Open Sans"/>
                <w:color w:val="000000"/>
                <w:sz w:val="20"/>
                <w:szCs w:val="20"/>
                <w:lang w:eastAsia="en-GB"/>
              </w:rPr>
            </w:pPr>
            <w:r w:rsidRPr="00923427">
              <w:rPr>
                <w:rFonts w:ascii="Open Sans" w:eastAsia="Times New Roman" w:hAnsi="Open Sans" w:cs="Open Sans"/>
                <w:color w:val="000000"/>
                <w:sz w:val="20"/>
                <w:szCs w:val="20"/>
                <w:lang w:eastAsia="en-GB"/>
              </w:rPr>
              <w:t> </w:t>
            </w:r>
          </w:p>
        </w:tc>
      </w:tr>
      <w:tr w:rsidR="00021FB0" w:rsidRPr="00923427" w14:paraId="256752DF" w14:textId="77777777" w:rsidTr="00D77BDC">
        <w:trPr>
          <w:trHeight w:val="1068"/>
        </w:trPr>
        <w:tc>
          <w:tcPr>
            <w:tcW w:w="3580" w:type="dxa"/>
            <w:tcBorders>
              <w:top w:val="single" w:sz="8" w:space="0" w:color="auto"/>
              <w:left w:val="single" w:sz="8" w:space="0" w:color="auto"/>
              <w:bottom w:val="single" w:sz="4" w:space="0" w:color="auto"/>
              <w:right w:val="single" w:sz="4" w:space="0" w:color="auto"/>
            </w:tcBorders>
            <w:shd w:val="clear" w:color="auto" w:fill="06926B"/>
            <w:noWrap/>
            <w:vAlign w:val="bottom"/>
            <w:hideMark/>
          </w:tcPr>
          <w:p w14:paraId="45BD730D" w14:textId="77777777" w:rsidR="00021FB0" w:rsidRPr="00923427" w:rsidRDefault="00021FB0" w:rsidP="00021FB0">
            <w:pPr>
              <w:spacing w:after="0" w:line="240" w:lineRule="auto"/>
              <w:rPr>
                <w:rFonts w:ascii="Open Sans" w:eastAsia="Times New Roman" w:hAnsi="Open Sans" w:cs="Open Sans"/>
                <w:b/>
                <w:bCs/>
                <w:color w:val="FFFFFF" w:themeColor="background1"/>
                <w:sz w:val="20"/>
                <w:szCs w:val="20"/>
                <w:lang w:eastAsia="en-GB"/>
              </w:rPr>
            </w:pPr>
            <w:r w:rsidRPr="00923427">
              <w:rPr>
                <w:rFonts w:ascii="Open Sans" w:eastAsia="Times New Roman" w:hAnsi="Open Sans" w:cs="Open Sans"/>
                <w:b/>
                <w:bCs/>
                <w:color w:val="FFFFFF" w:themeColor="background1"/>
                <w:sz w:val="20"/>
                <w:szCs w:val="20"/>
                <w:lang w:eastAsia="en-GB"/>
              </w:rPr>
              <w:t>Renewable Energy Sub Sectors</w:t>
            </w:r>
          </w:p>
        </w:tc>
        <w:tc>
          <w:tcPr>
            <w:tcW w:w="1807" w:type="dxa"/>
            <w:tcBorders>
              <w:top w:val="single" w:sz="8" w:space="0" w:color="auto"/>
              <w:left w:val="nil"/>
              <w:bottom w:val="single" w:sz="4" w:space="0" w:color="auto"/>
              <w:right w:val="single" w:sz="4" w:space="0" w:color="auto"/>
            </w:tcBorders>
            <w:shd w:val="clear" w:color="auto" w:fill="06926B"/>
            <w:vAlign w:val="bottom"/>
            <w:hideMark/>
          </w:tcPr>
          <w:p w14:paraId="0FF38FAB" w14:textId="77777777" w:rsidR="00021FB0" w:rsidRPr="00923427" w:rsidRDefault="00021FB0" w:rsidP="00021FB0">
            <w:pPr>
              <w:spacing w:after="0" w:line="240" w:lineRule="auto"/>
              <w:jc w:val="center"/>
              <w:rPr>
                <w:rFonts w:ascii="Open Sans" w:eastAsia="Times New Roman" w:hAnsi="Open Sans" w:cs="Open Sans"/>
                <w:color w:val="FFFFFF" w:themeColor="background1"/>
                <w:sz w:val="20"/>
                <w:szCs w:val="20"/>
                <w:lang w:eastAsia="en-GB"/>
              </w:rPr>
            </w:pPr>
            <w:r w:rsidRPr="00923427">
              <w:rPr>
                <w:rFonts w:ascii="Open Sans" w:eastAsia="Times New Roman" w:hAnsi="Open Sans" w:cs="Open Sans"/>
                <w:color w:val="FFFFFF" w:themeColor="background1"/>
                <w:sz w:val="20"/>
                <w:szCs w:val="20"/>
                <w:lang w:eastAsia="en-GB"/>
              </w:rPr>
              <w:t>UK Total £m</w:t>
            </w:r>
          </w:p>
        </w:tc>
        <w:tc>
          <w:tcPr>
            <w:tcW w:w="1701" w:type="dxa"/>
            <w:tcBorders>
              <w:top w:val="single" w:sz="8" w:space="0" w:color="auto"/>
              <w:left w:val="nil"/>
              <w:bottom w:val="single" w:sz="4" w:space="0" w:color="auto"/>
              <w:right w:val="single" w:sz="4" w:space="0" w:color="auto"/>
            </w:tcBorders>
            <w:shd w:val="clear" w:color="auto" w:fill="06926B"/>
            <w:vAlign w:val="bottom"/>
            <w:hideMark/>
          </w:tcPr>
          <w:p w14:paraId="0DDB53B6" w14:textId="77777777" w:rsidR="00021FB0" w:rsidRPr="00923427" w:rsidRDefault="00021FB0" w:rsidP="00021FB0">
            <w:pPr>
              <w:spacing w:after="0" w:line="240" w:lineRule="auto"/>
              <w:rPr>
                <w:rFonts w:ascii="Open Sans" w:eastAsia="Times New Roman" w:hAnsi="Open Sans" w:cs="Open Sans"/>
                <w:color w:val="FFFFFF" w:themeColor="background1"/>
                <w:sz w:val="20"/>
                <w:szCs w:val="20"/>
                <w:lang w:eastAsia="en-GB"/>
              </w:rPr>
            </w:pPr>
            <w:r w:rsidRPr="00923427">
              <w:rPr>
                <w:rFonts w:ascii="Open Sans" w:eastAsia="Times New Roman" w:hAnsi="Open Sans" w:cs="Open Sans"/>
                <w:color w:val="FFFFFF" w:themeColor="background1"/>
                <w:sz w:val="20"/>
                <w:szCs w:val="20"/>
                <w:lang w:eastAsia="en-GB"/>
              </w:rPr>
              <w:t>Number of companies</w:t>
            </w:r>
          </w:p>
        </w:tc>
        <w:tc>
          <w:tcPr>
            <w:tcW w:w="1984" w:type="dxa"/>
            <w:tcBorders>
              <w:top w:val="single" w:sz="8" w:space="0" w:color="auto"/>
              <w:left w:val="nil"/>
              <w:bottom w:val="single" w:sz="4" w:space="0" w:color="auto"/>
              <w:right w:val="single" w:sz="8" w:space="0" w:color="auto"/>
            </w:tcBorders>
            <w:shd w:val="clear" w:color="auto" w:fill="06926B"/>
            <w:vAlign w:val="bottom"/>
            <w:hideMark/>
          </w:tcPr>
          <w:p w14:paraId="3227369F" w14:textId="402BEF93" w:rsidR="00021FB0" w:rsidRPr="00923427" w:rsidRDefault="00021FB0" w:rsidP="00021FB0">
            <w:pPr>
              <w:spacing w:after="0" w:line="240" w:lineRule="auto"/>
              <w:rPr>
                <w:rFonts w:ascii="Open Sans" w:eastAsia="Times New Roman" w:hAnsi="Open Sans" w:cs="Open Sans"/>
                <w:color w:val="FFFFFF" w:themeColor="background1"/>
                <w:sz w:val="20"/>
                <w:szCs w:val="20"/>
                <w:lang w:eastAsia="en-GB"/>
              </w:rPr>
            </w:pPr>
            <w:r w:rsidRPr="00923427">
              <w:rPr>
                <w:rFonts w:ascii="Open Sans" w:eastAsia="Times New Roman" w:hAnsi="Open Sans" w:cs="Open Sans"/>
                <w:color w:val="FFFFFF" w:themeColor="background1"/>
                <w:sz w:val="20"/>
                <w:szCs w:val="20"/>
                <w:lang w:eastAsia="en-GB"/>
              </w:rPr>
              <w:t>Full Time Equiv</w:t>
            </w:r>
            <w:r w:rsidR="001C4CC3" w:rsidRPr="00923427">
              <w:rPr>
                <w:rFonts w:ascii="Open Sans" w:eastAsia="Times New Roman" w:hAnsi="Open Sans" w:cs="Open Sans"/>
                <w:color w:val="FFFFFF" w:themeColor="background1"/>
                <w:sz w:val="20"/>
                <w:szCs w:val="20"/>
                <w:lang w:eastAsia="en-GB"/>
              </w:rPr>
              <w:t>.</w:t>
            </w:r>
            <w:r w:rsidRPr="00923427">
              <w:rPr>
                <w:rFonts w:ascii="Open Sans" w:eastAsia="Times New Roman" w:hAnsi="Open Sans" w:cs="Open Sans"/>
                <w:color w:val="FFFFFF" w:themeColor="background1"/>
                <w:sz w:val="20"/>
                <w:szCs w:val="20"/>
                <w:lang w:eastAsia="en-GB"/>
              </w:rPr>
              <w:t xml:space="preserve"> Jobs</w:t>
            </w:r>
          </w:p>
        </w:tc>
      </w:tr>
      <w:tr w:rsidR="00021FB0" w:rsidRPr="00923427" w14:paraId="44ED6480" w14:textId="77777777" w:rsidTr="00D77BDC">
        <w:trPr>
          <w:trHeight w:val="288"/>
        </w:trPr>
        <w:tc>
          <w:tcPr>
            <w:tcW w:w="3580" w:type="dxa"/>
            <w:tcBorders>
              <w:top w:val="nil"/>
              <w:left w:val="single" w:sz="8" w:space="0" w:color="auto"/>
              <w:bottom w:val="single" w:sz="4" w:space="0" w:color="auto"/>
              <w:right w:val="single" w:sz="4" w:space="0" w:color="auto"/>
            </w:tcBorders>
            <w:shd w:val="clear" w:color="auto" w:fill="auto"/>
            <w:noWrap/>
            <w:vAlign w:val="bottom"/>
            <w:hideMark/>
          </w:tcPr>
          <w:p w14:paraId="07E2F814" w14:textId="77777777" w:rsidR="00021FB0" w:rsidRPr="00923427" w:rsidRDefault="00021FB0" w:rsidP="00021FB0">
            <w:pPr>
              <w:spacing w:after="0" w:line="240" w:lineRule="auto"/>
              <w:rPr>
                <w:rFonts w:ascii="Open Sans" w:eastAsia="Times New Roman" w:hAnsi="Open Sans" w:cs="Open Sans"/>
                <w:color w:val="000000"/>
                <w:sz w:val="20"/>
                <w:szCs w:val="20"/>
                <w:lang w:eastAsia="en-GB"/>
              </w:rPr>
            </w:pPr>
            <w:r w:rsidRPr="00923427">
              <w:rPr>
                <w:rFonts w:ascii="Open Sans" w:eastAsia="Times New Roman" w:hAnsi="Open Sans" w:cs="Open Sans"/>
                <w:color w:val="000000"/>
                <w:sz w:val="20"/>
                <w:szCs w:val="20"/>
                <w:lang w:eastAsia="en-GB"/>
              </w:rPr>
              <w:t>Anaerobic Digestion</w:t>
            </w:r>
          </w:p>
        </w:tc>
        <w:tc>
          <w:tcPr>
            <w:tcW w:w="1807" w:type="dxa"/>
            <w:tcBorders>
              <w:top w:val="nil"/>
              <w:left w:val="nil"/>
              <w:bottom w:val="single" w:sz="4" w:space="0" w:color="auto"/>
              <w:right w:val="single" w:sz="4" w:space="0" w:color="auto"/>
            </w:tcBorders>
            <w:shd w:val="clear" w:color="auto" w:fill="auto"/>
            <w:noWrap/>
            <w:vAlign w:val="bottom"/>
            <w:hideMark/>
          </w:tcPr>
          <w:p w14:paraId="2953BA2F" w14:textId="77777777" w:rsidR="00021FB0" w:rsidRPr="00923427" w:rsidRDefault="00021FB0" w:rsidP="00021FB0">
            <w:pPr>
              <w:spacing w:after="0" w:line="240" w:lineRule="auto"/>
              <w:rPr>
                <w:rFonts w:ascii="Open Sans" w:eastAsia="Times New Roman" w:hAnsi="Open Sans" w:cs="Open Sans"/>
                <w:color w:val="000000"/>
                <w:sz w:val="20"/>
                <w:szCs w:val="20"/>
                <w:lang w:eastAsia="en-GB"/>
              </w:rPr>
            </w:pPr>
            <w:r w:rsidRPr="00923427">
              <w:rPr>
                <w:rFonts w:ascii="Open Sans" w:eastAsia="Times New Roman" w:hAnsi="Open Sans" w:cs="Open Sans"/>
                <w:color w:val="000000"/>
                <w:sz w:val="20"/>
                <w:szCs w:val="20"/>
                <w:lang w:eastAsia="en-GB"/>
              </w:rPr>
              <w:t xml:space="preserve">          371 </w:t>
            </w:r>
          </w:p>
        </w:tc>
        <w:tc>
          <w:tcPr>
            <w:tcW w:w="1701" w:type="dxa"/>
            <w:tcBorders>
              <w:top w:val="nil"/>
              <w:left w:val="nil"/>
              <w:bottom w:val="single" w:sz="4" w:space="0" w:color="auto"/>
              <w:right w:val="single" w:sz="4" w:space="0" w:color="auto"/>
            </w:tcBorders>
            <w:shd w:val="clear" w:color="auto" w:fill="auto"/>
            <w:noWrap/>
            <w:vAlign w:val="bottom"/>
            <w:hideMark/>
          </w:tcPr>
          <w:p w14:paraId="0C1A6948" w14:textId="77777777" w:rsidR="00021FB0" w:rsidRPr="00923427" w:rsidRDefault="00021FB0" w:rsidP="00021FB0">
            <w:pPr>
              <w:spacing w:after="0" w:line="240" w:lineRule="auto"/>
              <w:rPr>
                <w:rFonts w:ascii="Open Sans" w:eastAsia="Times New Roman" w:hAnsi="Open Sans" w:cs="Open Sans"/>
                <w:color w:val="000000"/>
                <w:sz w:val="20"/>
                <w:szCs w:val="20"/>
                <w:lang w:eastAsia="en-GB"/>
              </w:rPr>
            </w:pPr>
            <w:r w:rsidRPr="00923427">
              <w:rPr>
                <w:rFonts w:ascii="Open Sans" w:eastAsia="Times New Roman" w:hAnsi="Open Sans" w:cs="Open Sans"/>
                <w:color w:val="000000"/>
                <w:sz w:val="20"/>
                <w:szCs w:val="20"/>
                <w:lang w:eastAsia="en-GB"/>
              </w:rPr>
              <w:t xml:space="preserve">                    158 </w:t>
            </w:r>
          </w:p>
        </w:tc>
        <w:tc>
          <w:tcPr>
            <w:tcW w:w="1984" w:type="dxa"/>
            <w:tcBorders>
              <w:top w:val="nil"/>
              <w:left w:val="nil"/>
              <w:bottom w:val="single" w:sz="4" w:space="0" w:color="auto"/>
              <w:right w:val="single" w:sz="8" w:space="0" w:color="auto"/>
            </w:tcBorders>
            <w:shd w:val="clear" w:color="auto" w:fill="auto"/>
            <w:noWrap/>
            <w:vAlign w:val="bottom"/>
            <w:hideMark/>
          </w:tcPr>
          <w:p w14:paraId="6C459837" w14:textId="77777777" w:rsidR="00021FB0" w:rsidRPr="00923427" w:rsidRDefault="00021FB0" w:rsidP="00021FB0">
            <w:pPr>
              <w:spacing w:after="0" w:line="240" w:lineRule="auto"/>
              <w:rPr>
                <w:rFonts w:ascii="Open Sans" w:eastAsia="Times New Roman" w:hAnsi="Open Sans" w:cs="Open Sans"/>
                <w:color w:val="000000"/>
                <w:sz w:val="20"/>
                <w:szCs w:val="20"/>
                <w:lang w:eastAsia="en-GB"/>
              </w:rPr>
            </w:pPr>
            <w:r w:rsidRPr="00923427">
              <w:rPr>
                <w:rFonts w:ascii="Open Sans" w:eastAsia="Times New Roman" w:hAnsi="Open Sans" w:cs="Open Sans"/>
                <w:color w:val="000000"/>
                <w:sz w:val="20"/>
                <w:szCs w:val="20"/>
                <w:lang w:eastAsia="en-GB"/>
              </w:rPr>
              <w:t xml:space="preserve">                3,003 </w:t>
            </w:r>
          </w:p>
        </w:tc>
      </w:tr>
      <w:tr w:rsidR="00021FB0" w:rsidRPr="00923427" w14:paraId="1B4A0BF8" w14:textId="77777777" w:rsidTr="00D77BDC">
        <w:trPr>
          <w:trHeight w:val="288"/>
        </w:trPr>
        <w:tc>
          <w:tcPr>
            <w:tcW w:w="3580" w:type="dxa"/>
            <w:tcBorders>
              <w:top w:val="nil"/>
              <w:left w:val="single" w:sz="8" w:space="0" w:color="auto"/>
              <w:bottom w:val="single" w:sz="4" w:space="0" w:color="auto"/>
              <w:right w:val="single" w:sz="4" w:space="0" w:color="auto"/>
            </w:tcBorders>
            <w:shd w:val="clear" w:color="auto" w:fill="auto"/>
            <w:noWrap/>
            <w:vAlign w:val="bottom"/>
            <w:hideMark/>
          </w:tcPr>
          <w:p w14:paraId="62355957" w14:textId="77777777" w:rsidR="00021FB0" w:rsidRPr="00923427" w:rsidRDefault="00021FB0" w:rsidP="00021FB0">
            <w:pPr>
              <w:spacing w:after="0" w:line="240" w:lineRule="auto"/>
              <w:rPr>
                <w:rFonts w:ascii="Open Sans" w:eastAsia="Times New Roman" w:hAnsi="Open Sans" w:cs="Open Sans"/>
                <w:color w:val="000000"/>
                <w:sz w:val="20"/>
                <w:szCs w:val="20"/>
                <w:lang w:eastAsia="en-GB"/>
              </w:rPr>
            </w:pPr>
            <w:r w:rsidRPr="00923427">
              <w:rPr>
                <w:rFonts w:ascii="Open Sans" w:eastAsia="Times New Roman" w:hAnsi="Open Sans" w:cs="Open Sans"/>
                <w:color w:val="000000"/>
                <w:sz w:val="20"/>
                <w:szCs w:val="20"/>
                <w:lang w:eastAsia="en-GB"/>
              </w:rPr>
              <w:t>Biofuels</w:t>
            </w:r>
          </w:p>
        </w:tc>
        <w:tc>
          <w:tcPr>
            <w:tcW w:w="1807" w:type="dxa"/>
            <w:tcBorders>
              <w:top w:val="nil"/>
              <w:left w:val="nil"/>
              <w:bottom w:val="single" w:sz="4" w:space="0" w:color="auto"/>
              <w:right w:val="single" w:sz="4" w:space="0" w:color="auto"/>
            </w:tcBorders>
            <w:shd w:val="clear" w:color="auto" w:fill="auto"/>
            <w:noWrap/>
            <w:vAlign w:val="bottom"/>
            <w:hideMark/>
          </w:tcPr>
          <w:p w14:paraId="33B14C74" w14:textId="77777777" w:rsidR="00021FB0" w:rsidRPr="00923427" w:rsidRDefault="00021FB0" w:rsidP="00021FB0">
            <w:pPr>
              <w:spacing w:after="0" w:line="240" w:lineRule="auto"/>
              <w:rPr>
                <w:rFonts w:ascii="Open Sans" w:eastAsia="Times New Roman" w:hAnsi="Open Sans" w:cs="Open Sans"/>
                <w:color w:val="000000"/>
                <w:sz w:val="20"/>
                <w:szCs w:val="20"/>
                <w:lang w:eastAsia="en-GB"/>
              </w:rPr>
            </w:pPr>
            <w:r w:rsidRPr="00923427">
              <w:rPr>
                <w:rFonts w:ascii="Open Sans" w:eastAsia="Times New Roman" w:hAnsi="Open Sans" w:cs="Open Sans"/>
                <w:color w:val="000000"/>
                <w:sz w:val="20"/>
                <w:szCs w:val="20"/>
                <w:lang w:eastAsia="en-GB"/>
              </w:rPr>
              <w:t xml:space="preserve">       1,675 </w:t>
            </w:r>
          </w:p>
        </w:tc>
        <w:tc>
          <w:tcPr>
            <w:tcW w:w="1701" w:type="dxa"/>
            <w:tcBorders>
              <w:top w:val="nil"/>
              <w:left w:val="nil"/>
              <w:bottom w:val="single" w:sz="4" w:space="0" w:color="auto"/>
              <w:right w:val="single" w:sz="4" w:space="0" w:color="auto"/>
            </w:tcBorders>
            <w:shd w:val="clear" w:color="auto" w:fill="auto"/>
            <w:noWrap/>
            <w:vAlign w:val="bottom"/>
            <w:hideMark/>
          </w:tcPr>
          <w:p w14:paraId="33CEBC8F" w14:textId="77777777" w:rsidR="00021FB0" w:rsidRPr="00923427" w:rsidRDefault="00021FB0" w:rsidP="00021FB0">
            <w:pPr>
              <w:spacing w:after="0" w:line="240" w:lineRule="auto"/>
              <w:rPr>
                <w:rFonts w:ascii="Open Sans" w:eastAsia="Times New Roman" w:hAnsi="Open Sans" w:cs="Open Sans"/>
                <w:color w:val="000000"/>
                <w:sz w:val="20"/>
                <w:szCs w:val="20"/>
                <w:lang w:eastAsia="en-GB"/>
              </w:rPr>
            </w:pPr>
            <w:r w:rsidRPr="00923427">
              <w:rPr>
                <w:rFonts w:ascii="Open Sans" w:eastAsia="Times New Roman" w:hAnsi="Open Sans" w:cs="Open Sans"/>
                <w:color w:val="000000"/>
                <w:sz w:val="20"/>
                <w:szCs w:val="20"/>
                <w:lang w:eastAsia="en-GB"/>
              </w:rPr>
              <w:t xml:space="preserve">                    607 </w:t>
            </w:r>
          </w:p>
        </w:tc>
        <w:tc>
          <w:tcPr>
            <w:tcW w:w="1984" w:type="dxa"/>
            <w:tcBorders>
              <w:top w:val="nil"/>
              <w:left w:val="nil"/>
              <w:bottom w:val="single" w:sz="4" w:space="0" w:color="auto"/>
              <w:right w:val="single" w:sz="8" w:space="0" w:color="auto"/>
            </w:tcBorders>
            <w:shd w:val="clear" w:color="auto" w:fill="auto"/>
            <w:noWrap/>
            <w:vAlign w:val="bottom"/>
            <w:hideMark/>
          </w:tcPr>
          <w:p w14:paraId="1D247931" w14:textId="77777777" w:rsidR="00021FB0" w:rsidRPr="00923427" w:rsidRDefault="00021FB0" w:rsidP="00021FB0">
            <w:pPr>
              <w:spacing w:after="0" w:line="240" w:lineRule="auto"/>
              <w:rPr>
                <w:rFonts w:ascii="Open Sans" w:eastAsia="Times New Roman" w:hAnsi="Open Sans" w:cs="Open Sans"/>
                <w:color w:val="000000"/>
                <w:sz w:val="20"/>
                <w:szCs w:val="20"/>
                <w:lang w:eastAsia="en-GB"/>
              </w:rPr>
            </w:pPr>
            <w:r w:rsidRPr="00923427">
              <w:rPr>
                <w:rFonts w:ascii="Open Sans" w:eastAsia="Times New Roman" w:hAnsi="Open Sans" w:cs="Open Sans"/>
                <w:color w:val="000000"/>
                <w:sz w:val="20"/>
                <w:szCs w:val="20"/>
                <w:lang w:eastAsia="en-GB"/>
              </w:rPr>
              <w:t xml:space="preserve">                9,978 </w:t>
            </w:r>
          </w:p>
        </w:tc>
      </w:tr>
      <w:tr w:rsidR="00021FB0" w:rsidRPr="00923427" w14:paraId="52179870" w14:textId="77777777" w:rsidTr="00D77BDC">
        <w:trPr>
          <w:trHeight w:val="288"/>
        </w:trPr>
        <w:tc>
          <w:tcPr>
            <w:tcW w:w="3580" w:type="dxa"/>
            <w:tcBorders>
              <w:top w:val="nil"/>
              <w:left w:val="single" w:sz="8" w:space="0" w:color="auto"/>
              <w:bottom w:val="single" w:sz="4" w:space="0" w:color="auto"/>
              <w:right w:val="single" w:sz="4" w:space="0" w:color="auto"/>
            </w:tcBorders>
            <w:shd w:val="clear" w:color="auto" w:fill="auto"/>
            <w:noWrap/>
            <w:vAlign w:val="bottom"/>
            <w:hideMark/>
          </w:tcPr>
          <w:p w14:paraId="02B9E14B" w14:textId="77777777" w:rsidR="00021FB0" w:rsidRPr="00923427" w:rsidRDefault="00021FB0" w:rsidP="00021FB0">
            <w:pPr>
              <w:spacing w:after="0" w:line="240" w:lineRule="auto"/>
              <w:rPr>
                <w:rFonts w:ascii="Open Sans" w:eastAsia="Times New Roman" w:hAnsi="Open Sans" w:cs="Open Sans"/>
                <w:color w:val="000000"/>
                <w:sz w:val="20"/>
                <w:szCs w:val="20"/>
                <w:lang w:eastAsia="en-GB"/>
              </w:rPr>
            </w:pPr>
            <w:r w:rsidRPr="00923427">
              <w:rPr>
                <w:rFonts w:ascii="Open Sans" w:eastAsia="Times New Roman" w:hAnsi="Open Sans" w:cs="Open Sans"/>
                <w:color w:val="000000"/>
                <w:sz w:val="20"/>
                <w:szCs w:val="20"/>
                <w:lang w:eastAsia="en-GB"/>
              </w:rPr>
              <w:t>Biomass Boilers</w:t>
            </w:r>
          </w:p>
        </w:tc>
        <w:tc>
          <w:tcPr>
            <w:tcW w:w="1807" w:type="dxa"/>
            <w:tcBorders>
              <w:top w:val="nil"/>
              <w:left w:val="nil"/>
              <w:bottom w:val="single" w:sz="4" w:space="0" w:color="auto"/>
              <w:right w:val="single" w:sz="4" w:space="0" w:color="auto"/>
            </w:tcBorders>
            <w:shd w:val="clear" w:color="auto" w:fill="auto"/>
            <w:noWrap/>
            <w:vAlign w:val="bottom"/>
            <w:hideMark/>
          </w:tcPr>
          <w:p w14:paraId="3004B691" w14:textId="77777777" w:rsidR="00021FB0" w:rsidRPr="00923427" w:rsidRDefault="00021FB0" w:rsidP="00021FB0">
            <w:pPr>
              <w:spacing w:after="0" w:line="240" w:lineRule="auto"/>
              <w:rPr>
                <w:rFonts w:ascii="Open Sans" w:eastAsia="Times New Roman" w:hAnsi="Open Sans" w:cs="Open Sans"/>
                <w:color w:val="000000"/>
                <w:sz w:val="20"/>
                <w:szCs w:val="20"/>
                <w:lang w:eastAsia="en-GB"/>
              </w:rPr>
            </w:pPr>
            <w:r w:rsidRPr="00923427">
              <w:rPr>
                <w:rFonts w:ascii="Open Sans" w:eastAsia="Times New Roman" w:hAnsi="Open Sans" w:cs="Open Sans"/>
                <w:color w:val="000000"/>
                <w:sz w:val="20"/>
                <w:szCs w:val="20"/>
                <w:lang w:eastAsia="en-GB"/>
              </w:rPr>
              <w:t xml:space="preserve">          889 </w:t>
            </w:r>
          </w:p>
        </w:tc>
        <w:tc>
          <w:tcPr>
            <w:tcW w:w="1701" w:type="dxa"/>
            <w:tcBorders>
              <w:top w:val="nil"/>
              <w:left w:val="nil"/>
              <w:bottom w:val="single" w:sz="4" w:space="0" w:color="auto"/>
              <w:right w:val="single" w:sz="4" w:space="0" w:color="auto"/>
            </w:tcBorders>
            <w:shd w:val="clear" w:color="auto" w:fill="auto"/>
            <w:noWrap/>
            <w:vAlign w:val="bottom"/>
            <w:hideMark/>
          </w:tcPr>
          <w:p w14:paraId="3FDC949F" w14:textId="77777777" w:rsidR="00021FB0" w:rsidRPr="00923427" w:rsidRDefault="00021FB0" w:rsidP="00021FB0">
            <w:pPr>
              <w:spacing w:after="0" w:line="240" w:lineRule="auto"/>
              <w:rPr>
                <w:rFonts w:ascii="Open Sans" w:eastAsia="Times New Roman" w:hAnsi="Open Sans" w:cs="Open Sans"/>
                <w:color w:val="000000"/>
                <w:sz w:val="20"/>
                <w:szCs w:val="20"/>
                <w:lang w:eastAsia="en-GB"/>
              </w:rPr>
            </w:pPr>
            <w:r w:rsidRPr="00923427">
              <w:rPr>
                <w:rFonts w:ascii="Open Sans" w:eastAsia="Times New Roman" w:hAnsi="Open Sans" w:cs="Open Sans"/>
                <w:color w:val="000000"/>
                <w:sz w:val="20"/>
                <w:szCs w:val="20"/>
                <w:lang w:eastAsia="en-GB"/>
              </w:rPr>
              <w:t xml:space="preserve">                    312 </w:t>
            </w:r>
          </w:p>
        </w:tc>
        <w:tc>
          <w:tcPr>
            <w:tcW w:w="1984" w:type="dxa"/>
            <w:tcBorders>
              <w:top w:val="nil"/>
              <w:left w:val="nil"/>
              <w:bottom w:val="single" w:sz="4" w:space="0" w:color="auto"/>
              <w:right w:val="single" w:sz="8" w:space="0" w:color="auto"/>
            </w:tcBorders>
            <w:shd w:val="clear" w:color="auto" w:fill="auto"/>
            <w:noWrap/>
            <w:vAlign w:val="bottom"/>
            <w:hideMark/>
          </w:tcPr>
          <w:p w14:paraId="0C3E6E3C" w14:textId="77777777" w:rsidR="00021FB0" w:rsidRPr="00923427" w:rsidRDefault="00021FB0" w:rsidP="00021FB0">
            <w:pPr>
              <w:spacing w:after="0" w:line="240" w:lineRule="auto"/>
              <w:rPr>
                <w:rFonts w:ascii="Open Sans" w:eastAsia="Times New Roman" w:hAnsi="Open Sans" w:cs="Open Sans"/>
                <w:color w:val="000000"/>
                <w:sz w:val="20"/>
                <w:szCs w:val="20"/>
                <w:lang w:eastAsia="en-GB"/>
              </w:rPr>
            </w:pPr>
            <w:r w:rsidRPr="00923427">
              <w:rPr>
                <w:rFonts w:ascii="Open Sans" w:eastAsia="Times New Roman" w:hAnsi="Open Sans" w:cs="Open Sans"/>
                <w:color w:val="000000"/>
                <w:sz w:val="20"/>
                <w:szCs w:val="20"/>
                <w:lang w:eastAsia="en-GB"/>
              </w:rPr>
              <w:t xml:space="preserve">                6,663 </w:t>
            </w:r>
          </w:p>
        </w:tc>
      </w:tr>
      <w:tr w:rsidR="00021FB0" w:rsidRPr="00923427" w14:paraId="22DBE33A" w14:textId="77777777" w:rsidTr="00D77BDC">
        <w:trPr>
          <w:trHeight w:val="288"/>
        </w:trPr>
        <w:tc>
          <w:tcPr>
            <w:tcW w:w="3580" w:type="dxa"/>
            <w:tcBorders>
              <w:top w:val="nil"/>
              <w:left w:val="single" w:sz="8" w:space="0" w:color="auto"/>
              <w:bottom w:val="single" w:sz="4" w:space="0" w:color="auto"/>
              <w:right w:val="single" w:sz="4" w:space="0" w:color="auto"/>
            </w:tcBorders>
            <w:shd w:val="clear" w:color="auto" w:fill="auto"/>
            <w:noWrap/>
            <w:vAlign w:val="bottom"/>
            <w:hideMark/>
          </w:tcPr>
          <w:p w14:paraId="6E3FD3B5" w14:textId="77777777" w:rsidR="00021FB0" w:rsidRPr="00923427" w:rsidRDefault="00021FB0" w:rsidP="00021FB0">
            <w:pPr>
              <w:spacing w:after="0" w:line="240" w:lineRule="auto"/>
              <w:rPr>
                <w:rFonts w:ascii="Open Sans" w:eastAsia="Times New Roman" w:hAnsi="Open Sans" w:cs="Open Sans"/>
                <w:color w:val="000000"/>
                <w:sz w:val="20"/>
                <w:szCs w:val="20"/>
                <w:lang w:eastAsia="en-GB"/>
              </w:rPr>
            </w:pPr>
            <w:r w:rsidRPr="00923427">
              <w:rPr>
                <w:rFonts w:ascii="Open Sans" w:eastAsia="Times New Roman" w:hAnsi="Open Sans" w:cs="Open Sans"/>
                <w:color w:val="000000"/>
                <w:sz w:val="20"/>
                <w:szCs w:val="20"/>
                <w:lang w:eastAsia="en-GB"/>
              </w:rPr>
              <w:t>Biomass CHP</w:t>
            </w:r>
          </w:p>
        </w:tc>
        <w:tc>
          <w:tcPr>
            <w:tcW w:w="1807" w:type="dxa"/>
            <w:tcBorders>
              <w:top w:val="nil"/>
              <w:left w:val="nil"/>
              <w:bottom w:val="single" w:sz="4" w:space="0" w:color="auto"/>
              <w:right w:val="single" w:sz="4" w:space="0" w:color="auto"/>
            </w:tcBorders>
            <w:shd w:val="clear" w:color="auto" w:fill="auto"/>
            <w:noWrap/>
            <w:vAlign w:val="bottom"/>
            <w:hideMark/>
          </w:tcPr>
          <w:p w14:paraId="21A9AA7C" w14:textId="77777777" w:rsidR="00021FB0" w:rsidRPr="00923427" w:rsidRDefault="00021FB0" w:rsidP="00021FB0">
            <w:pPr>
              <w:spacing w:after="0" w:line="240" w:lineRule="auto"/>
              <w:rPr>
                <w:rFonts w:ascii="Open Sans" w:eastAsia="Times New Roman" w:hAnsi="Open Sans" w:cs="Open Sans"/>
                <w:color w:val="000000"/>
                <w:sz w:val="20"/>
                <w:szCs w:val="20"/>
                <w:lang w:eastAsia="en-GB"/>
              </w:rPr>
            </w:pPr>
            <w:r w:rsidRPr="00923427">
              <w:rPr>
                <w:rFonts w:ascii="Open Sans" w:eastAsia="Times New Roman" w:hAnsi="Open Sans" w:cs="Open Sans"/>
                <w:color w:val="000000"/>
                <w:sz w:val="20"/>
                <w:szCs w:val="20"/>
                <w:lang w:eastAsia="en-GB"/>
              </w:rPr>
              <w:t xml:space="preserve">          393 </w:t>
            </w:r>
          </w:p>
        </w:tc>
        <w:tc>
          <w:tcPr>
            <w:tcW w:w="1701" w:type="dxa"/>
            <w:tcBorders>
              <w:top w:val="nil"/>
              <w:left w:val="nil"/>
              <w:bottom w:val="single" w:sz="4" w:space="0" w:color="auto"/>
              <w:right w:val="single" w:sz="4" w:space="0" w:color="auto"/>
            </w:tcBorders>
            <w:shd w:val="clear" w:color="auto" w:fill="auto"/>
            <w:noWrap/>
            <w:vAlign w:val="bottom"/>
            <w:hideMark/>
          </w:tcPr>
          <w:p w14:paraId="04FE27E6" w14:textId="77777777" w:rsidR="00021FB0" w:rsidRPr="00923427" w:rsidRDefault="00021FB0" w:rsidP="00021FB0">
            <w:pPr>
              <w:spacing w:after="0" w:line="240" w:lineRule="auto"/>
              <w:rPr>
                <w:rFonts w:ascii="Open Sans" w:eastAsia="Times New Roman" w:hAnsi="Open Sans" w:cs="Open Sans"/>
                <w:color w:val="000000"/>
                <w:sz w:val="20"/>
                <w:szCs w:val="20"/>
                <w:lang w:eastAsia="en-GB"/>
              </w:rPr>
            </w:pPr>
            <w:r w:rsidRPr="00923427">
              <w:rPr>
                <w:rFonts w:ascii="Open Sans" w:eastAsia="Times New Roman" w:hAnsi="Open Sans" w:cs="Open Sans"/>
                <w:color w:val="000000"/>
                <w:sz w:val="20"/>
                <w:szCs w:val="20"/>
                <w:lang w:eastAsia="en-GB"/>
              </w:rPr>
              <w:t xml:space="preserve">                    159 </w:t>
            </w:r>
          </w:p>
        </w:tc>
        <w:tc>
          <w:tcPr>
            <w:tcW w:w="1984" w:type="dxa"/>
            <w:tcBorders>
              <w:top w:val="nil"/>
              <w:left w:val="nil"/>
              <w:bottom w:val="single" w:sz="4" w:space="0" w:color="auto"/>
              <w:right w:val="single" w:sz="8" w:space="0" w:color="auto"/>
            </w:tcBorders>
            <w:shd w:val="clear" w:color="auto" w:fill="auto"/>
            <w:noWrap/>
            <w:vAlign w:val="bottom"/>
            <w:hideMark/>
          </w:tcPr>
          <w:p w14:paraId="254D55A8" w14:textId="77777777" w:rsidR="00021FB0" w:rsidRPr="00923427" w:rsidRDefault="00021FB0" w:rsidP="00021FB0">
            <w:pPr>
              <w:spacing w:after="0" w:line="240" w:lineRule="auto"/>
              <w:rPr>
                <w:rFonts w:ascii="Open Sans" w:eastAsia="Times New Roman" w:hAnsi="Open Sans" w:cs="Open Sans"/>
                <w:color w:val="000000"/>
                <w:sz w:val="20"/>
                <w:szCs w:val="20"/>
                <w:lang w:eastAsia="en-GB"/>
              </w:rPr>
            </w:pPr>
            <w:r w:rsidRPr="00923427">
              <w:rPr>
                <w:rFonts w:ascii="Open Sans" w:eastAsia="Times New Roman" w:hAnsi="Open Sans" w:cs="Open Sans"/>
                <w:color w:val="000000"/>
                <w:sz w:val="20"/>
                <w:szCs w:val="20"/>
                <w:lang w:eastAsia="en-GB"/>
              </w:rPr>
              <w:t xml:space="preserve">                2,605 </w:t>
            </w:r>
          </w:p>
        </w:tc>
      </w:tr>
      <w:tr w:rsidR="00021FB0" w:rsidRPr="00923427" w14:paraId="51072E41" w14:textId="77777777" w:rsidTr="00D77BDC">
        <w:trPr>
          <w:trHeight w:val="288"/>
        </w:trPr>
        <w:tc>
          <w:tcPr>
            <w:tcW w:w="3580" w:type="dxa"/>
            <w:tcBorders>
              <w:top w:val="nil"/>
              <w:left w:val="single" w:sz="8" w:space="0" w:color="auto"/>
              <w:bottom w:val="single" w:sz="4" w:space="0" w:color="auto"/>
              <w:right w:val="single" w:sz="4" w:space="0" w:color="auto"/>
            </w:tcBorders>
            <w:shd w:val="clear" w:color="auto" w:fill="auto"/>
            <w:noWrap/>
            <w:vAlign w:val="bottom"/>
            <w:hideMark/>
          </w:tcPr>
          <w:p w14:paraId="68A8EFB3" w14:textId="77777777" w:rsidR="00021FB0" w:rsidRPr="00923427" w:rsidRDefault="00021FB0" w:rsidP="00021FB0">
            <w:pPr>
              <w:spacing w:after="0" w:line="240" w:lineRule="auto"/>
              <w:rPr>
                <w:rFonts w:ascii="Open Sans" w:eastAsia="Times New Roman" w:hAnsi="Open Sans" w:cs="Open Sans"/>
                <w:color w:val="000000"/>
                <w:sz w:val="20"/>
                <w:szCs w:val="20"/>
                <w:lang w:eastAsia="en-GB"/>
              </w:rPr>
            </w:pPr>
            <w:r w:rsidRPr="00923427">
              <w:rPr>
                <w:rFonts w:ascii="Open Sans" w:eastAsia="Times New Roman" w:hAnsi="Open Sans" w:cs="Open Sans"/>
                <w:color w:val="000000"/>
                <w:sz w:val="20"/>
                <w:szCs w:val="20"/>
                <w:lang w:eastAsia="en-GB"/>
              </w:rPr>
              <w:t>Biomass Dedicated Power</w:t>
            </w:r>
          </w:p>
        </w:tc>
        <w:tc>
          <w:tcPr>
            <w:tcW w:w="1807" w:type="dxa"/>
            <w:tcBorders>
              <w:top w:val="nil"/>
              <w:left w:val="nil"/>
              <w:bottom w:val="single" w:sz="4" w:space="0" w:color="auto"/>
              <w:right w:val="single" w:sz="4" w:space="0" w:color="auto"/>
            </w:tcBorders>
            <w:shd w:val="clear" w:color="auto" w:fill="auto"/>
            <w:noWrap/>
            <w:vAlign w:val="bottom"/>
            <w:hideMark/>
          </w:tcPr>
          <w:p w14:paraId="340098BE" w14:textId="77777777" w:rsidR="00021FB0" w:rsidRPr="00923427" w:rsidRDefault="00021FB0" w:rsidP="00021FB0">
            <w:pPr>
              <w:spacing w:after="0" w:line="240" w:lineRule="auto"/>
              <w:rPr>
                <w:rFonts w:ascii="Open Sans" w:eastAsia="Times New Roman" w:hAnsi="Open Sans" w:cs="Open Sans"/>
                <w:color w:val="000000"/>
                <w:sz w:val="20"/>
                <w:szCs w:val="20"/>
                <w:lang w:eastAsia="en-GB"/>
              </w:rPr>
            </w:pPr>
            <w:r w:rsidRPr="00923427">
              <w:rPr>
                <w:rFonts w:ascii="Open Sans" w:eastAsia="Times New Roman" w:hAnsi="Open Sans" w:cs="Open Sans"/>
                <w:color w:val="000000"/>
                <w:sz w:val="20"/>
                <w:szCs w:val="20"/>
                <w:lang w:eastAsia="en-GB"/>
              </w:rPr>
              <w:t xml:space="preserve">          697 </w:t>
            </w:r>
          </w:p>
        </w:tc>
        <w:tc>
          <w:tcPr>
            <w:tcW w:w="1701" w:type="dxa"/>
            <w:tcBorders>
              <w:top w:val="nil"/>
              <w:left w:val="nil"/>
              <w:bottom w:val="single" w:sz="4" w:space="0" w:color="auto"/>
              <w:right w:val="single" w:sz="4" w:space="0" w:color="auto"/>
            </w:tcBorders>
            <w:shd w:val="clear" w:color="auto" w:fill="auto"/>
            <w:noWrap/>
            <w:vAlign w:val="bottom"/>
            <w:hideMark/>
          </w:tcPr>
          <w:p w14:paraId="15F08E63" w14:textId="77777777" w:rsidR="00021FB0" w:rsidRPr="00923427" w:rsidRDefault="00021FB0" w:rsidP="00021FB0">
            <w:pPr>
              <w:spacing w:after="0" w:line="240" w:lineRule="auto"/>
              <w:rPr>
                <w:rFonts w:ascii="Open Sans" w:eastAsia="Times New Roman" w:hAnsi="Open Sans" w:cs="Open Sans"/>
                <w:color w:val="000000"/>
                <w:sz w:val="20"/>
                <w:szCs w:val="20"/>
                <w:lang w:eastAsia="en-GB"/>
              </w:rPr>
            </w:pPr>
            <w:r w:rsidRPr="00923427">
              <w:rPr>
                <w:rFonts w:ascii="Open Sans" w:eastAsia="Times New Roman" w:hAnsi="Open Sans" w:cs="Open Sans"/>
                <w:color w:val="000000"/>
                <w:sz w:val="20"/>
                <w:szCs w:val="20"/>
                <w:lang w:eastAsia="en-GB"/>
              </w:rPr>
              <w:t xml:space="preserve">                    224 </w:t>
            </w:r>
          </w:p>
        </w:tc>
        <w:tc>
          <w:tcPr>
            <w:tcW w:w="1984" w:type="dxa"/>
            <w:tcBorders>
              <w:top w:val="nil"/>
              <w:left w:val="nil"/>
              <w:bottom w:val="single" w:sz="4" w:space="0" w:color="auto"/>
              <w:right w:val="single" w:sz="8" w:space="0" w:color="auto"/>
            </w:tcBorders>
            <w:shd w:val="clear" w:color="auto" w:fill="auto"/>
            <w:noWrap/>
            <w:vAlign w:val="bottom"/>
            <w:hideMark/>
          </w:tcPr>
          <w:p w14:paraId="48932BE1" w14:textId="77777777" w:rsidR="00021FB0" w:rsidRPr="00923427" w:rsidRDefault="00021FB0" w:rsidP="00021FB0">
            <w:pPr>
              <w:spacing w:after="0" w:line="240" w:lineRule="auto"/>
              <w:rPr>
                <w:rFonts w:ascii="Open Sans" w:eastAsia="Times New Roman" w:hAnsi="Open Sans" w:cs="Open Sans"/>
                <w:color w:val="000000"/>
                <w:sz w:val="20"/>
                <w:szCs w:val="20"/>
                <w:lang w:eastAsia="en-GB"/>
              </w:rPr>
            </w:pPr>
            <w:r w:rsidRPr="00923427">
              <w:rPr>
                <w:rFonts w:ascii="Open Sans" w:eastAsia="Times New Roman" w:hAnsi="Open Sans" w:cs="Open Sans"/>
                <w:color w:val="000000"/>
                <w:sz w:val="20"/>
                <w:szCs w:val="20"/>
                <w:lang w:eastAsia="en-GB"/>
              </w:rPr>
              <w:t xml:space="preserve">                4,473 </w:t>
            </w:r>
          </w:p>
        </w:tc>
      </w:tr>
      <w:tr w:rsidR="00021FB0" w:rsidRPr="00923427" w14:paraId="7CE683EB" w14:textId="77777777" w:rsidTr="00D77BDC">
        <w:trPr>
          <w:trHeight w:val="288"/>
        </w:trPr>
        <w:tc>
          <w:tcPr>
            <w:tcW w:w="3580" w:type="dxa"/>
            <w:tcBorders>
              <w:top w:val="nil"/>
              <w:left w:val="single" w:sz="8" w:space="0" w:color="auto"/>
              <w:bottom w:val="single" w:sz="4" w:space="0" w:color="auto"/>
              <w:right w:val="single" w:sz="4" w:space="0" w:color="auto"/>
            </w:tcBorders>
            <w:shd w:val="clear" w:color="auto" w:fill="auto"/>
            <w:noWrap/>
            <w:vAlign w:val="bottom"/>
            <w:hideMark/>
          </w:tcPr>
          <w:p w14:paraId="1B865373" w14:textId="77777777" w:rsidR="00021FB0" w:rsidRPr="00923427" w:rsidRDefault="00021FB0" w:rsidP="00021FB0">
            <w:pPr>
              <w:spacing w:after="0" w:line="240" w:lineRule="auto"/>
              <w:rPr>
                <w:rFonts w:ascii="Open Sans" w:eastAsia="Times New Roman" w:hAnsi="Open Sans" w:cs="Open Sans"/>
                <w:color w:val="000000"/>
                <w:sz w:val="20"/>
                <w:szCs w:val="20"/>
                <w:lang w:eastAsia="en-GB"/>
              </w:rPr>
            </w:pPr>
            <w:r w:rsidRPr="00923427">
              <w:rPr>
                <w:rFonts w:ascii="Open Sans" w:eastAsia="Times New Roman" w:hAnsi="Open Sans" w:cs="Open Sans"/>
                <w:color w:val="000000"/>
                <w:sz w:val="20"/>
                <w:szCs w:val="20"/>
                <w:lang w:eastAsia="en-GB"/>
              </w:rPr>
              <w:t>Energy from Waste</w:t>
            </w:r>
          </w:p>
        </w:tc>
        <w:tc>
          <w:tcPr>
            <w:tcW w:w="1807" w:type="dxa"/>
            <w:tcBorders>
              <w:top w:val="nil"/>
              <w:left w:val="nil"/>
              <w:bottom w:val="single" w:sz="4" w:space="0" w:color="auto"/>
              <w:right w:val="single" w:sz="4" w:space="0" w:color="auto"/>
            </w:tcBorders>
            <w:shd w:val="clear" w:color="auto" w:fill="auto"/>
            <w:noWrap/>
            <w:vAlign w:val="bottom"/>
            <w:hideMark/>
          </w:tcPr>
          <w:p w14:paraId="0B3C2278" w14:textId="77777777" w:rsidR="00021FB0" w:rsidRPr="00923427" w:rsidRDefault="00021FB0" w:rsidP="00021FB0">
            <w:pPr>
              <w:spacing w:after="0" w:line="240" w:lineRule="auto"/>
              <w:rPr>
                <w:rFonts w:ascii="Open Sans" w:eastAsia="Times New Roman" w:hAnsi="Open Sans" w:cs="Open Sans"/>
                <w:color w:val="000000"/>
                <w:sz w:val="20"/>
                <w:szCs w:val="20"/>
                <w:lang w:eastAsia="en-GB"/>
              </w:rPr>
            </w:pPr>
            <w:r w:rsidRPr="00923427">
              <w:rPr>
                <w:rFonts w:ascii="Open Sans" w:eastAsia="Times New Roman" w:hAnsi="Open Sans" w:cs="Open Sans"/>
                <w:color w:val="000000"/>
                <w:sz w:val="20"/>
                <w:szCs w:val="20"/>
                <w:lang w:eastAsia="en-GB"/>
              </w:rPr>
              <w:t xml:space="preserve">       1,027 </w:t>
            </w:r>
          </w:p>
        </w:tc>
        <w:tc>
          <w:tcPr>
            <w:tcW w:w="1701" w:type="dxa"/>
            <w:tcBorders>
              <w:top w:val="nil"/>
              <w:left w:val="nil"/>
              <w:bottom w:val="single" w:sz="4" w:space="0" w:color="auto"/>
              <w:right w:val="single" w:sz="4" w:space="0" w:color="auto"/>
            </w:tcBorders>
            <w:shd w:val="clear" w:color="auto" w:fill="auto"/>
            <w:noWrap/>
            <w:vAlign w:val="bottom"/>
            <w:hideMark/>
          </w:tcPr>
          <w:p w14:paraId="1D031835" w14:textId="77777777" w:rsidR="00021FB0" w:rsidRPr="00923427" w:rsidRDefault="00021FB0" w:rsidP="00021FB0">
            <w:pPr>
              <w:spacing w:after="0" w:line="240" w:lineRule="auto"/>
              <w:rPr>
                <w:rFonts w:ascii="Open Sans" w:eastAsia="Times New Roman" w:hAnsi="Open Sans" w:cs="Open Sans"/>
                <w:color w:val="000000"/>
                <w:sz w:val="20"/>
                <w:szCs w:val="20"/>
                <w:lang w:eastAsia="en-GB"/>
              </w:rPr>
            </w:pPr>
            <w:r w:rsidRPr="00923427">
              <w:rPr>
                <w:rFonts w:ascii="Open Sans" w:eastAsia="Times New Roman" w:hAnsi="Open Sans" w:cs="Open Sans"/>
                <w:color w:val="000000"/>
                <w:sz w:val="20"/>
                <w:szCs w:val="20"/>
                <w:lang w:eastAsia="en-GB"/>
              </w:rPr>
              <w:t xml:space="preserve">                    400 </w:t>
            </w:r>
          </w:p>
        </w:tc>
        <w:tc>
          <w:tcPr>
            <w:tcW w:w="1984" w:type="dxa"/>
            <w:tcBorders>
              <w:top w:val="nil"/>
              <w:left w:val="nil"/>
              <w:bottom w:val="single" w:sz="4" w:space="0" w:color="auto"/>
              <w:right w:val="single" w:sz="8" w:space="0" w:color="auto"/>
            </w:tcBorders>
            <w:shd w:val="clear" w:color="auto" w:fill="auto"/>
            <w:noWrap/>
            <w:vAlign w:val="bottom"/>
            <w:hideMark/>
          </w:tcPr>
          <w:p w14:paraId="1AC46F17" w14:textId="77777777" w:rsidR="00021FB0" w:rsidRPr="00923427" w:rsidRDefault="00021FB0" w:rsidP="00021FB0">
            <w:pPr>
              <w:spacing w:after="0" w:line="240" w:lineRule="auto"/>
              <w:rPr>
                <w:rFonts w:ascii="Open Sans" w:eastAsia="Times New Roman" w:hAnsi="Open Sans" w:cs="Open Sans"/>
                <w:color w:val="000000"/>
                <w:sz w:val="20"/>
                <w:szCs w:val="20"/>
                <w:lang w:eastAsia="en-GB"/>
              </w:rPr>
            </w:pPr>
            <w:r w:rsidRPr="00923427">
              <w:rPr>
                <w:rFonts w:ascii="Open Sans" w:eastAsia="Times New Roman" w:hAnsi="Open Sans" w:cs="Open Sans"/>
                <w:color w:val="000000"/>
                <w:sz w:val="20"/>
                <w:szCs w:val="20"/>
                <w:lang w:eastAsia="en-GB"/>
              </w:rPr>
              <w:t xml:space="preserve">                8,085 </w:t>
            </w:r>
          </w:p>
        </w:tc>
      </w:tr>
      <w:tr w:rsidR="00021FB0" w:rsidRPr="00923427" w14:paraId="56F38CC1" w14:textId="77777777" w:rsidTr="00D77BDC">
        <w:trPr>
          <w:trHeight w:val="600"/>
        </w:trPr>
        <w:tc>
          <w:tcPr>
            <w:tcW w:w="3580" w:type="dxa"/>
            <w:tcBorders>
              <w:top w:val="nil"/>
              <w:left w:val="single" w:sz="8" w:space="0" w:color="auto"/>
              <w:bottom w:val="single" w:sz="4" w:space="0" w:color="auto"/>
              <w:right w:val="single" w:sz="4" w:space="0" w:color="auto"/>
            </w:tcBorders>
            <w:shd w:val="clear" w:color="auto" w:fill="auto"/>
            <w:vAlign w:val="bottom"/>
            <w:hideMark/>
          </w:tcPr>
          <w:p w14:paraId="325FC1E9" w14:textId="77777777" w:rsidR="00021FB0" w:rsidRPr="00923427" w:rsidRDefault="00021FB0" w:rsidP="00021FB0">
            <w:pPr>
              <w:spacing w:after="0" w:line="240" w:lineRule="auto"/>
              <w:rPr>
                <w:rFonts w:ascii="Open Sans" w:eastAsia="Times New Roman" w:hAnsi="Open Sans" w:cs="Open Sans"/>
                <w:b/>
                <w:bCs/>
                <w:color w:val="000000"/>
                <w:sz w:val="20"/>
                <w:szCs w:val="20"/>
                <w:lang w:eastAsia="en-GB"/>
              </w:rPr>
            </w:pPr>
            <w:r w:rsidRPr="00923427">
              <w:rPr>
                <w:rFonts w:ascii="Open Sans" w:eastAsia="Times New Roman" w:hAnsi="Open Sans" w:cs="Open Sans"/>
                <w:b/>
                <w:bCs/>
                <w:color w:val="000000"/>
                <w:sz w:val="20"/>
                <w:szCs w:val="20"/>
                <w:lang w:eastAsia="en-GB"/>
              </w:rPr>
              <w:t>Production of biomass including wood for fuel</w:t>
            </w:r>
          </w:p>
        </w:tc>
        <w:tc>
          <w:tcPr>
            <w:tcW w:w="1807" w:type="dxa"/>
            <w:tcBorders>
              <w:top w:val="nil"/>
              <w:left w:val="nil"/>
              <w:bottom w:val="single" w:sz="4" w:space="0" w:color="auto"/>
              <w:right w:val="single" w:sz="4" w:space="0" w:color="auto"/>
            </w:tcBorders>
            <w:shd w:val="clear" w:color="auto" w:fill="auto"/>
            <w:noWrap/>
            <w:vAlign w:val="bottom"/>
            <w:hideMark/>
          </w:tcPr>
          <w:p w14:paraId="1E9EE515" w14:textId="77777777" w:rsidR="00021FB0" w:rsidRPr="00923427" w:rsidRDefault="00021FB0" w:rsidP="00021FB0">
            <w:pPr>
              <w:spacing w:after="0" w:line="240" w:lineRule="auto"/>
              <w:rPr>
                <w:rFonts w:ascii="Open Sans" w:eastAsia="Times New Roman" w:hAnsi="Open Sans" w:cs="Open Sans"/>
                <w:color w:val="000000"/>
                <w:sz w:val="20"/>
                <w:szCs w:val="20"/>
                <w:lang w:eastAsia="en-GB"/>
              </w:rPr>
            </w:pPr>
            <w:r w:rsidRPr="00923427">
              <w:rPr>
                <w:rFonts w:ascii="Open Sans" w:eastAsia="Times New Roman" w:hAnsi="Open Sans" w:cs="Open Sans"/>
                <w:color w:val="000000"/>
                <w:sz w:val="20"/>
                <w:szCs w:val="20"/>
                <w:lang w:eastAsia="en-GB"/>
              </w:rPr>
              <w:t xml:space="preserve">       1,541 </w:t>
            </w:r>
          </w:p>
        </w:tc>
        <w:tc>
          <w:tcPr>
            <w:tcW w:w="1701" w:type="dxa"/>
            <w:tcBorders>
              <w:top w:val="nil"/>
              <w:left w:val="nil"/>
              <w:bottom w:val="single" w:sz="4" w:space="0" w:color="auto"/>
              <w:right w:val="single" w:sz="4" w:space="0" w:color="auto"/>
            </w:tcBorders>
            <w:shd w:val="clear" w:color="auto" w:fill="auto"/>
            <w:noWrap/>
            <w:vAlign w:val="bottom"/>
            <w:hideMark/>
          </w:tcPr>
          <w:p w14:paraId="50C71D83" w14:textId="77777777" w:rsidR="00021FB0" w:rsidRPr="00923427" w:rsidRDefault="00021FB0" w:rsidP="00021FB0">
            <w:pPr>
              <w:spacing w:after="0" w:line="240" w:lineRule="auto"/>
              <w:rPr>
                <w:rFonts w:ascii="Open Sans" w:eastAsia="Times New Roman" w:hAnsi="Open Sans" w:cs="Open Sans"/>
                <w:color w:val="000000"/>
                <w:sz w:val="20"/>
                <w:szCs w:val="20"/>
                <w:lang w:eastAsia="en-GB"/>
              </w:rPr>
            </w:pPr>
            <w:r w:rsidRPr="00923427">
              <w:rPr>
                <w:rFonts w:ascii="Open Sans" w:eastAsia="Times New Roman" w:hAnsi="Open Sans" w:cs="Open Sans"/>
                <w:color w:val="000000"/>
                <w:sz w:val="20"/>
                <w:szCs w:val="20"/>
                <w:lang w:eastAsia="en-GB"/>
              </w:rPr>
              <w:t xml:space="preserve">                    648 </w:t>
            </w:r>
          </w:p>
        </w:tc>
        <w:tc>
          <w:tcPr>
            <w:tcW w:w="1984" w:type="dxa"/>
            <w:tcBorders>
              <w:top w:val="nil"/>
              <w:left w:val="nil"/>
              <w:bottom w:val="single" w:sz="4" w:space="0" w:color="auto"/>
              <w:right w:val="single" w:sz="8" w:space="0" w:color="auto"/>
            </w:tcBorders>
            <w:shd w:val="clear" w:color="auto" w:fill="auto"/>
            <w:noWrap/>
            <w:vAlign w:val="bottom"/>
            <w:hideMark/>
          </w:tcPr>
          <w:p w14:paraId="01C3FDFD" w14:textId="77777777" w:rsidR="00021FB0" w:rsidRPr="00923427" w:rsidRDefault="00021FB0" w:rsidP="00021FB0">
            <w:pPr>
              <w:spacing w:after="0" w:line="240" w:lineRule="auto"/>
              <w:rPr>
                <w:rFonts w:ascii="Open Sans" w:eastAsia="Times New Roman" w:hAnsi="Open Sans" w:cs="Open Sans"/>
                <w:color w:val="000000"/>
                <w:sz w:val="20"/>
                <w:szCs w:val="20"/>
                <w:lang w:eastAsia="en-GB"/>
              </w:rPr>
            </w:pPr>
            <w:r w:rsidRPr="00923427">
              <w:rPr>
                <w:rFonts w:ascii="Open Sans" w:eastAsia="Times New Roman" w:hAnsi="Open Sans" w:cs="Open Sans"/>
                <w:color w:val="000000"/>
                <w:sz w:val="20"/>
                <w:szCs w:val="20"/>
                <w:lang w:eastAsia="en-GB"/>
              </w:rPr>
              <w:t xml:space="preserve">              11,304 </w:t>
            </w:r>
          </w:p>
        </w:tc>
      </w:tr>
      <w:tr w:rsidR="00021FB0" w:rsidRPr="00923427" w14:paraId="2C4277F5" w14:textId="77777777" w:rsidTr="00D77BDC">
        <w:trPr>
          <w:trHeight w:val="300"/>
        </w:trPr>
        <w:tc>
          <w:tcPr>
            <w:tcW w:w="3580" w:type="dxa"/>
            <w:tcBorders>
              <w:top w:val="nil"/>
              <w:left w:val="single" w:sz="8" w:space="0" w:color="auto"/>
              <w:bottom w:val="single" w:sz="8" w:space="0" w:color="auto"/>
              <w:right w:val="single" w:sz="4" w:space="0" w:color="auto"/>
            </w:tcBorders>
            <w:shd w:val="clear" w:color="auto" w:fill="auto"/>
            <w:noWrap/>
            <w:vAlign w:val="bottom"/>
            <w:hideMark/>
          </w:tcPr>
          <w:p w14:paraId="586BAAA5" w14:textId="77777777" w:rsidR="00021FB0" w:rsidRPr="00923427" w:rsidRDefault="00021FB0" w:rsidP="00021FB0">
            <w:pPr>
              <w:spacing w:after="0" w:line="240" w:lineRule="auto"/>
              <w:rPr>
                <w:rFonts w:ascii="Open Sans" w:eastAsia="Times New Roman" w:hAnsi="Open Sans" w:cs="Open Sans"/>
                <w:b/>
                <w:bCs/>
                <w:sz w:val="20"/>
                <w:szCs w:val="20"/>
                <w:lang w:eastAsia="en-GB"/>
              </w:rPr>
            </w:pPr>
            <w:r w:rsidRPr="00923427">
              <w:rPr>
                <w:rFonts w:ascii="Open Sans" w:eastAsia="Times New Roman" w:hAnsi="Open Sans" w:cs="Open Sans"/>
                <w:b/>
                <w:bCs/>
                <w:sz w:val="20"/>
                <w:szCs w:val="20"/>
                <w:lang w:eastAsia="en-GB"/>
              </w:rPr>
              <w:t>Totals</w:t>
            </w:r>
          </w:p>
        </w:tc>
        <w:tc>
          <w:tcPr>
            <w:tcW w:w="1807" w:type="dxa"/>
            <w:tcBorders>
              <w:top w:val="nil"/>
              <w:left w:val="nil"/>
              <w:bottom w:val="single" w:sz="8" w:space="0" w:color="auto"/>
              <w:right w:val="single" w:sz="4" w:space="0" w:color="auto"/>
            </w:tcBorders>
            <w:shd w:val="clear" w:color="auto" w:fill="auto"/>
            <w:noWrap/>
            <w:vAlign w:val="bottom"/>
            <w:hideMark/>
          </w:tcPr>
          <w:p w14:paraId="357E6751" w14:textId="77777777" w:rsidR="00021FB0" w:rsidRPr="00923427" w:rsidRDefault="00021FB0" w:rsidP="00021FB0">
            <w:pPr>
              <w:spacing w:after="0" w:line="240" w:lineRule="auto"/>
              <w:rPr>
                <w:rFonts w:ascii="Open Sans" w:eastAsia="Times New Roman" w:hAnsi="Open Sans" w:cs="Open Sans"/>
                <w:b/>
                <w:bCs/>
                <w:color w:val="000000"/>
                <w:sz w:val="20"/>
                <w:szCs w:val="20"/>
                <w:lang w:eastAsia="en-GB"/>
              </w:rPr>
            </w:pPr>
            <w:r w:rsidRPr="00923427">
              <w:rPr>
                <w:rFonts w:ascii="Open Sans" w:eastAsia="Times New Roman" w:hAnsi="Open Sans" w:cs="Open Sans"/>
                <w:b/>
                <w:bCs/>
                <w:color w:val="000000"/>
                <w:sz w:val="20"/>
                <w:szCs w:val="20"/>
                <w:lang w:eastAsia="en-GB"/>
              </w:rPr>
              <w:t xml:space="preserve">       6,592 </w:t>
            </w:r>
          </w:p>
        </w:tc>
        <w:tc>
          <w:tcPr>
            <w:tcW w:w="1701" w:type="dxa"/>
            <w:tcBorders>
              <w:top w:val="nil"/>
              <w:left w:val="nil"/>
              <w:bottom w:val="single" w:sz="8" w:space="0" w:color="auto"/>
              <w:right w:val="single" w:sz="4" w:space="0" w:color="auto"/>
            </w:tcBorders>
            <w:shd w:val="clear" w:color="auto" w:fill="auto"/>
            <w:noWrap/>
            <w:vAlign w:val="bottom"/>
            <w:hideMark/>
          </w:tcPr>
          <w:p w14:paraId="4D4E4D11" w14:textId="77777777" w:rsidR="00021FB0" w:rsidRPr="00923427" w:rsidRDefault="00021FB0" w:rsidP="00021FB0">
            <w:pPr>
              <w:spacing w:after="0" w:line="240" w:lineRule="auto"/>
              <w:rPr>
                <w:rFonts w:ascii="Open Sans" w:eastAsia="Times New Roman" w:hAnsi="Open Sans" w:cs="Open Sans"/>
                <w:b/>
                <w:bCs/>
                <w:color w:val="000000"/>
                <w:sz w:val="20"/>
                <w:szCs w:val="20"/>
                <w:lang w:eastAsia="en-GB"/>
              </w:rPr>
            </w:pPr>
            <w:r w:rsidRPr="00923427">
              <w:rPr>
                <w:rFonts w:ascii="Open Sans" w:eastAsia="Times New Roman" w:hAnsi="Open Sans" w:cs="Open Sans"/>
                <w:b/>
                <w:bCs/>
                <w:color w:val="000000"/>
                <w:sz w:val="20"/>
                <w:szCs w:val="20"/>
                <w:lang w:eastAsia="en-GB"/>
              </w:rPr>
              <w:t xml:space="preserve">                 2,509 </w:t>
            </w:r>
          </w:p>
        </w:tc>
        <w:tc>
          <w:tcPr>
            <w:tcW w:w="1984" w:type="dxa"/>
            <w:tcBorders>
              <w:top w:val="nil"/>
              <w:left w:val="nil"/>
              <w:bottom w:val="single" w:sz="8" w:space="0" w:color="auto"/>
              <w:right w:val="single" w:sz="4" w:space="0" w:color="auto"/>
            </w:tcBorders>
            <w:shd w:val="clear" w:color="auto" w:fill="auto"/>
            <w:noWrap/>
            <w:vAlign w:val="bottom"/>
            <w:hideMark/>
          </w:tcPr>
          <w:p w14:paraId="4FEF5952" w14:textId="77777777" w:rsidR="00021FB0" w:rsidRPr="00923427" w:rsidRDefault="00021FB0" w:rsidP="00021FB0">
            <w:pPr>
              <w:spacing w:after="0" w:line="240" w:lineRule="auto"/>
              <w:rPr>
                <w:rFonts w:ascii="Open Sans" w:eastAsia="Times New Roman" w:hAnsi="Open Sans" w:cs="Open Sans"/>
                <w:b/>
                <w:bCs/>
                <w:color w:val="000000"/>
                <w:sz w:val="20"/>
                <w:szCs w:val="20"/>
                <w:lang w:eastAsia="en-GB"/>
              </w:rPr>
            </w:pPr>
            <w:r w:rsidRPr="00923427">
              <w:rPr>
                <w:rFonts w:ascii="Open Sans" w:eastAsia="Times New Roman" w:hAnsi="Open Sans" w:cs="Open Sans"/>
                <w:b/>
                <w:bCs/>
                <w:color w:val="000000"/>
                <w:sz w:val="20"/>
                <w:szCs w:val="20"/>
                <w:lang w:eastAsia="en-GB"/>
              </w:rPr>
              <w:t xml:space="preserve">             46,112 </w:t>
            </w:r>
          </w:p>
        </w:tc>
      </w:tr>
    </w:tbl>
    <w:p w14:paraId="538E693A" w14:textId="04BB2F5D" w:rsidR="001C4CC3" w:rsidRPr="00923427" w:rsidRDefault="001C4CC3" w:rsidP="00882FC4">
      <w:pPr>
        <w:rPr>
          <w:rFonts w:ascii="Open Sans" w:hAnsi="Open Sans" w:cs="Open Sans"/>
          <w:sz w:val="20"/>
          <w:szCs w:val="20"/>
        </w:rPr>
      </w:pPr>
      <w:r w:rsidRPr="00923427">
        <w:rPr>
          <w:rFonts w:ascii="Open Sans" w:hAnsi="Open Sans" w:cs="Open Sans"/>
          <w:sz w:val="20"/>
          <w:szCs w:val="20"/>
        </w:rPr>
        <w:t xml:space="preserve">Source: REA </w:t>
      </w:r>
      <w:proofErr w:type="spellStart"/>
      <w:r w:rsidRPr="00923427">
        <w:rPr>
          <w:rFonts w:ascii="Open Sans" w:hAnsi="Open Sans" w:cs="Open Sans"/>
          <w:sz w:val="20"/>
          <w:szCs w:val="20"/>
        </w:rPr>
        <w:t>REview</w:t>
      </w:r>
      <w:proofErr w:type="spellEnd"/>
      <w:r w:rsidRPr="00923427">
        <w:rPr>
          <w:rFonts w:ascii="Open Sans" w:hAnsi="Open Sans" w:cs="Open Sans"/>
          <w:sz w:val="20"/>
          <w:szCs w:val="20"/>
        </w:rPr>
        <w:t xml:space="preserve"> 2020</w:t>
      </w:r>
    </w:p>
    <w:p w14:paraId="2BD30BF8" w14:textId="4AE6D0B0" w:rsidR="000B71A8" w:rsidRPr="00923427" w:rsidRDefault="0047456D" w:rsidP="00882FC4">
      <w:pPr>
        <w:rPr>
          <w:rFonts w:ascii="Open Sans" w:hAnsi="Open Sans" w:cs="Open Sans"/>
          <w:sz w:val="20"/>
          <w:szCs w:val="20"/>
        </w:rPr>
      </w:pPr>
      <w:r w:rsidRPr="00923427">
        <w:rPr>
          <w:rFonts w:ascii="Open Sans" w:hAnsi="Open Sans" w:cs="Open Sans"/>
          <w:sz w:val="20"/>
          <w:szCs w:val="20"/>
        </w:rPr>
        <w:t>The nature and supply chains of bioenergy means the sector drives significant levels of jobs creation. For example, the operation of biomass boiler</w:t>
      </w:r>
      <w:r w:rsidR="00021FB0" w:rsidRPr="00923427">
        <w:rPr>
          <w:rFonts w:ascii="Open Sans" w:hAnsi="Open Sans" w:cs="Open Sans"/>
          <w:sz w:val="20"/>
          <w:szCs w:val="20"/>
        </w:rPr>
        <w:t xml:space="preserve">s </w:t>
      </w:r>
      <w:r w:rsidRPr="00923427">
        <w:rPr>
          <w:rFonts w:ascii="Open Sans" w:hAnsi="Open Sans" w:cs="Open Sans"/>
          <w:sz w:val="20"/>
          <w:szCs w:val="20"/>
        </w:rPr>
        <w:t xml:space="preserve">could involve professionals involved in sustainable forest management, transportation, pellet production, boiler installation, wood fuel supply and system maintenance. </w:t>
      </w:r>
      <w:r w:rsidR="00CD4F10" w:rsidRPr="00923427">
        <w:rPr>
          <w:rFonts w:ascii="Open Sans" w:hAnsi="Open Sans" w:cs="Open Sans"/>
          <w:sz w:val="20"/>
          <w:szCs w:val="20"/>
        </w:rPr>
        <w:t>T</w:t>
      </w:r>
      <w:r w:rsidRPr="00923427">
        <w:rPr>
          <w:rFonts w:ascii="Open Sans" w:hAnsi="Open Sans" w:cs="Open Sans"/>
          <w:sz w:val="20"/>
          <w:szCs w:val="20"/>
        </w:rPr>
        <w:t xml:space="preserve">here could easily be 10 to 15 individual jobs associated with </w:t>
      </w:r>
      <w:r w:rsidR="00EF288A" w:rsidRPr="00923427">
        <w:rPr>
          <w:rFonts w:ascii="Open Sans" w:hAnsi="Open Sans" w:cs="Open Sans"/>
          <w:sz w:val="20"/>
          <w:szCs w:val="20"/>
        </w:rPr>
        <w:t xml:space="preserve">the </w:t>
      </w:r>
      <w:r w:rsidRPr="00923427">
        <w:rPr>
          <w:rFonts w:ascii="Open Sans" w:hAnsi="Open Sans" w:cs="Open Sans"/>
          <w:sz w:val="20"/>
          <w:szCs w:val="20"/>
        </w:rPr>
        <w:t>installation</w:t>
      </w:r>
      <w:r w:rsidR="001C4CC3" w:rsidRPr="00923427">
        <w:rPr>
          <w:rFonts w:ascii="Open Sans" w:hAnsi="Open Sans" w:cs="Open Sans"/>
          <w:sz w:val="20"/>
          <w:szCs w:val="20"/>
        </w:rPr>
        <w:t xml:space="preserve">, </w:t>
      </w:r>
      <w:r w:rsidR="00EF288A" w:rsidRPr="00923427">
        <w:rPr>
          <w:rFonts w:ascii="Open Sans" w:hAnsi="Open Sans" w:cs="Open Sans"/>
          <w:sz w:val="20"/>
          <w:szCs w:val="20"/>
        </w:rPr>
        <w:t>operation,</w:t>
      </w:r>
      <w:r w:rsidR="001C4CC3" w:rsidRPr="00923427">
        <w:rPr>
          <w:rFonts w:ascii="Open Sans" w:hAnsi="Open Sans" w:cs="Open Sans"/>
          <w:sz w:val="20"/>
          <w:szCs w:val="20"/>
        </w:rPr>
        <w:t xml:space="preserve"> and supply </w:t>
      </w:r>
      <w:r w:rsidRPr="00923427">
        <w:rPr>
          <w:rFonts w:ascii="Open Sans" w:hAnsi="Open Sans" w:cs="Open Sans"/>
          <w:sz w:val="20"/>
          <w:szCs w:val="20"/>
        </w:rPr>
        <w:t>of biomass system</w:t>
      </w:r>
      <w:r w:rsidR="001C4CC3" w:rsidRPr="00923427">
        <w:rPr>
          <w:rFonts w:ascii="Open Sans" w:hAnsi="Open Sans" w:cs="Open Sans"/>
          <w:sz w:val="20"/>
          <w:szCs w:val="20"/>
        </w:rPr>
        <w:t>s</w:t>
      </w:r>
      <w:r w:rsidRPr="00923427">
        <w:rPr>
          <w:rFonts w:ascii="Open Sans" w:hAnsi="Open Sans" w:cs="Open Sans"/>
          <w:sz w:val="20"/>
          <w:szCs w:val="20"/>
        </w:rPr>
        <w:t xml:space="preserve">. </w:t>
      </w:r>
      <w:r w:rsidR="00021FB0" w:rsidRPr="00923427">
        <w:rPr>
          <w:rFonts w:ascii="Open Sans" w:hAnsi="Open Sans" w:cs="Open Sans"/>
          <w:sz w:val="20"/>
          <w:szCs w:val="20"/>
        </w:rPr>
        <w:t>Similar supply chains and professions are required for other bioenergy sectors, while the addition of bioenergy carbon capture a</w:t>
      </w:r>
      <w:r w:rsidR="00CD4F10" w:rsidRPr="00923427">
        <w:rPr>
          <w:rFonts w:ascii="Open Sans" w:hAnsi="Open Sans" w:cs="Open Sans"/>
          <w:sz w:val="20"/>
          <w:szCs w:val="20"/>
        </w:rPr>
        <w:t xml:space="preserve">nd </w:t>
      </w:r>
      <w:r w:rsidR="00021FB0" w:rsidRPr="00923427">
        <w:rPr>
          <w:rFonts w:ascii="Open Sans" w:hAnsi="Open Sans" w:cs="Open Sans"/>
          <w:sz w:val="20"/>
          <w:szCs w:val="20"/>
        </w:rPr>
        <w:t>storage</w:t>
      </w:r>
      <w:r w:rsidR="00CD4F10" w:rsidRPr="00923427">
        <w:rPr>
          <w:rFonts w:ascii="Open Sans" w:hAnsi="Open Sans" w:cs="Open Sans"/>
          <w:sz w:val="20"/>
          <w:szCs w:val="20"/>
        </w:rPr>
        <w:t xml:space="preserve"> </w:t>
      </w:r>
      <w:r w:rsidR="00021FB0" w:rsidRPr="00923427">
        <w:rPr>
          <w:rFonts w:ascii="Open Sans" w:hAnsi="Open Sans" w:cs="Open Sans"/>
          <w:sz w:val="20"/>
          <w:szCs w:val="20"/>
        </w:rPr>
        <w:t xml:space="preserve">will see yet further jobs created around the transportation and storage of the capture carbon. </w:t>
      </w:r>
    </w:p>
    <w:p w14:paraId="301BA675" w14:textId="01F7AB78" w:rsidR="00021FB0" w:rsidRPr="00923427" w:rsidRDefault="00021FB0" w:rsidP="00882FC4">
      <w:pPr>
        <w:rPr>
          <w:rFonts w:ascii="Open Sans" w:hAnsi="Open Sans" w:cs="Open Sans"/>
          <w:sz w:val="20"/>
          <w:szCs w:val="20"/>
        </w:rPr>
      </w:pPr>
      <w:r w:rsidRPr="00923427">
        <w:rPr>
          <w:rFonts w:ascii="Open Sans" w:hAnsi="Open Sans" w:cs="Open Sans"/>
          <w:sz w:val="20"/>
          <w:szCs w:val="20"/>
        </w:rPr>
        <w:t>Furthermore, given the predominantly rural application of bioenergy</w:t>
      </w:r>
      <w:r w:rsidR="001C4CC3" w:rsidRPr="00923427">
        <w:rPr>
          <w:rFonts w:ascii="Open Sans" w:hAnsi="Open Sans" w:cs="Open Sans"/>
          <w:sz w:val="20"/>
          <w:szCs w:val="20"/>
        </w:rPr>
        <w:t xml:space="preserve"> and feedstock cultivation</w:t>
      </w:r>
      <w:r w:rsidRPr="00923427">
        <w:rPr>
          <w:rFonts w:ascii="Open Sans" w:hAnsi="Open Sans" w:cs="Open Sans"/>
          <w:sz w:val="20"/>
          <w:szCs w:val="20"/>
        </w:rPr>
        <w:t xml:space="preserve">, jobs are well dispersed across the UK, especially benefitting rural employment. </w:t>
      </w:r>
      <w:r w:rsidR="00CD4F10" w:rsidRPr="00923427">
        <w:rPr>
          <w:rFonts w:ascii="Open Sans" w:hAnsi="Open Sans" w:cs="Open Sans"/>
          <w:sz w:val="20"/>
          <w:szCs w:val="20"/>
        </w:rPr>
        <w:t xml:space="preserve"> See figure </w:t>
      </w:r>
      <w:r w:rsidR="00EF288A" w:rsidRPr="00923427">
        <w:rPr>
          <w:rFonts w:ascii="Open Sans" w:hAnsi="Open Sans" w:cs="Open Sans"/>
          <w:sz w:val="20"/>
          <w:szCs w:val="20"/>
        </w:rPr>
        <w:t xml:space="preserve">2 </w:t>
      </w:r>
      <w:r w:rsidR="00CD4F10" w:rsidRPr="00923427">
        <w:rPr>
          <w:rFonts w:ascii="Open Sans" w:hAnsi="Open Sans" w:cs="Open Sans"/>
          <w:sz w:val="20"/>
          <w:szCs w:val="20"/>
        </w:rPr>
        <w:t xml:space="preserve">and </w:t>
      </w:r>
      <w:r w:rsidR="00EF288A" w:rsidRPr="00923427">
        <w:rPr>
          <w:rFonts w:ascii="Open Sans" w:hAnsi="Open Sans" w:cs="Open Sans"/>
          <w:sz w:val="20"/>
          <w:szCs w:val="20"/>
        </w:rPr>
        <w:t>3.</w:t>
      </w:r>
    </w:p>
    <w:p w14:paraId="7E7B8FAC" w14:textId="461E7E71" w:rsidR="004E0EE5" w:rsidRPr="00923427" w:rsidRDefault="00EF288A" w:rsidP="00882FC4">
      <w:pPr>
        <w:rPr>
          <w:rFonts w:ascii="Open Sans" w:hAnsi="Open Sans" w:cs="Open Sans"/>
          <w:i/>
          <w:iCs/>
          <w:sz w:val="20"/>
          <w:szCs w:val="20"/>
        </w:rPr>
      </w:pPr>
      <w:r w:rsidRPr="00923427">
        <w:rPr>
          <w:rFonts w:ascii="Open Sans" w:hAnsi="Open Sans" w:cs="Open Sans"/>
          <w:i/>
          <w:iCs/>
          <w:sz w:val="20"/>
          <w:szCs w:val="20"/>
        </w:rPr>
        <w:t xml:space="preserve">Figure 2: </w:t>
      </w:r>
      <w:r w:rsidR="004E0EE5" w:rsidRPr="00923427">
        <w:rPr>
          <w:rFonts w:ascii="Open Sans" w:hAnsi="Open Sans" w:cs="Open Sans"/>
          <w:i/>
          <w:iCs/>
          <w:sz w:val="20"/>
          <w:szCs w:val="20"/>
        </w:rPr>
        <w:t xml:space="preserve">Full Regional Dispersal of All Bioenergy Economic Factors, 2017. </w:t>
      </w:r>
    </w:p>
    <w:p w14:paraId="17FE086F" w14:textId="7BC164D3" w:rsidR="001C4CC3" w:rsidRPr="00923427" w:rsidRDefault="001C4CC3" w:rsidP="00882FC4">
      <w:pPr>
        <w:rPr>
          <w:rFonts w:ascii="Open Sans" w:hAnsi="Open Sans" w:cs="Open Sans"/>
          <w:sz w:val="20"/>
          <w:szCs w:val="20"/>
        </w:rPr>
      </w:pPr>
      <w:r w:rsidRPr="00923427">
        <w:rPr>
          <w:rFonts w:ascii="Open Sans" w:hAnsi="Open Sans" w:cs="Open Sans"/>
          <w:noProof/>
          <w:sz w:val="20"/>
          <w:szCs w:val="20"/>
        </w:rPr>
        <w:drawing>
          <wp:inline distT="0" distB="0" distL="0" distR="0" wp14:anchorId="11C89351" wp14:editId="649AF454">
            <wp:extent cx="5372100" cy="3530611"/>
            <wp:effectExtent l="0" t="0" r="0" b="0"/>
            <wp:docPr id="4" name="Picture 4" descr="A picture containing umbrella, r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umbrella, rain&#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5374215" cy="3532001"/>
                    </a:xfrm>
                    <a:prstGeom prst="rect">
                      <a:avLst/>
                    </a:prstGeom>
                  </pic:spPr>
                </pic:pic>
              </a:graphicData>
            </a:graphic>
          </wp:inline>
        </w:drawing>
      </w:r>
    </w:p>
    <w:p w14:paraId="26BC364E" w14:textId="77777777" w:rsidR="009A205B" w:rsidRPr="00923427" w:rsidRDefault="009A205B" w:rsidP="009A205B">
      <w:pPr>
        <w:rPr>
          <w:rFonts w:ascii="Open Sans" w:hAnsi="Open Sans" w:cs="Open Sans"/>
          <w:sz w:val="20"/>
          <w:szCs w:val="20"/>
        </w:rPr>
      </w:pPr>
      <w:r w:rsidRPr="00923427">
        <w:rPr>
          <w:rFonts w:ascii="Open Sans" w:hAnsi="Open Sans" w:cs="Open Sans"/>
          <w:sz w:val="20"/>
          <w:szCs w:val="20"/>
        </w:rPr>
        <w:t xml:space="preserve">Source: REA </w:t>
      </w:r>
      <w:proofErr w:type="spellStart"/>
      <w:r w:rsidRPr="00923427">
        <w:rPr>
          <w:rFonts w:ascii="Open Sans" w:hAnsi="Open Sans" w:cs="Open Sans"/>
          <w:sz w:val="20"/>
          <w:szCs w:val="20"/>
        </w:rPr>
        <w:t>REview</w:t>
      </w:r>
      <w:proofErr w:type="spellEnd"/>
      <w:r w:rsidRPr="00923427">
        <w:rPr>
          <w:rFonts w:ascii="Open Sans" w:hAnsi="Open Sans" w:cs="Open Sans"/>
          <w:sz w:val="20"/>
          <w:szCs w:val="20"/>
        </w:rPr>
        <w:t xml:space="preserve"> 2020</w:t>
      </w:r>
    </w:p>
    <w:p w14:paraId="5CCBD5EC" w14:textId="16E56EA5" w:rsidR="004E0EE5" w:rsidRPr="00923427" w:rsidRDefault="00EF288A" w:rsidP="000B71A8">
      <w:pPr>
        <w:rPr>
          <w:rFonts w:ascii="Open Sans" w:hAnsi="Open Sans" w:cs="Open Sans"/>
          <w:b/>
          <w:bCs/>
          <w:i/>
          <w:iCs/>
          <w:color w:val="231F20"/>
          <w:sz w:val="20"/>
          <w:szCs w:val="20"/>
        </w:rPr>
      </w:pPr>
      <w:r w:rsidRPr="00923427">
        <w:rPr>
          <w:rFonts w:ascii="Open Sans" w:hAnsi="Open Sans" w:cs="Open Sans"/>
          <w:b/>
          <w:bCs/>
          <w:i/>
          <w:iCs/>
          <w:color w:val="231F20"/>
          <w:sz w:val="20"/>
          <w:szCs w:val="20"/>
        </w:rPr>
        <w:t xml:space="preserve">Figure 3: </w:t>
      </w:r>
      <w:r w:rsidR="004E0EE5" w:rsidRPr="00923427">
        <w:rPr>
          <w:rFonts w:ascii="Open Sans" w:hAnsi="Open Sans" w:cs="Open Sans"/>
          <w:b/>
          <w:bCs/>
          <w:i/>
          <w:iCs/>
          <w:color w:val="231F20"/>
          <w:sz w:val="20"/>
          <w:szCs w:val="20"/>
        </w:rPr>
        <w:t>Regional Dispersal of Biomass Feedstock Production</w:t>
      </w:r>
      <w:r w:rsidR="00FB572E" w:rsidRPr="00923427">
        <w:rPr>
          <w:rFonts w:ascii="Open Sans" w:hAnsi="Open Sans" w:cs="Open Sans"/>
          <w:b/>
          <w:bCs/>
          <w:i/>
          <w:iCs/>
          <w:color w:val="231F20"/>
          <w:sz w:val="20"/>
          <w:szCs w:val="20"/>
        </w:rPr>
        <w:t xml:space="preserve"> </w:t>
      </w:r>
      <w:r w:rsidR="009A205B" w:rsidRPr="00923427">
        <w:rPr>
          <w:rFonts w:ascii="Open Sans" w:hAnsi="Open Sans" w:cs="Open Sans"/>
          <w:b/>
          <w:bCs/>
          <w:i/>
          <w:iCs/>
          <w:color w:val="231F20"/>
          <w:sz w:val="20"/>
          <w:szCs w:val="20"/>
        </w:rPr>
        <w:t xml:space="preserve">Only </w:t>
      </w:r>
      <w:proofErr w:type="gramStart"/>
      <w:r w:rsidR="009A205B" w:rsidRPr="00923427">
        <w:rPr>
          <w:rFonts w:ascii="Open Sans" w:hAnsi="Open Sans" w:cs="Open Sans"/>
          <w:b/>
          <w:bCs/>
          <w:i/>
          <w:iCs/>
          <w:color w:val="231F20"/>
          <w:sz w:val="20"/>
          <w:szCs w:val="20"/>
        </w:rPr>
        <w:t xml:space="preserve">- </w:t>
      </w:r>
      <w:r w:rsidR="00FB572E" w:rsidRPr="00923427">
        <w:rPr>
          <w:rFonts w:ascii="Open Sans" w:hAnsi="Open Sans" w:cs="Open Sans"/>
          <w:b/>
          <w:bCs/>
          <w:i/>
          <w:iCs/>
          <w:color w:val="231F20"/>
          <w:sz w:val="20"/>
          <w:szCs w:val="20"/>
        </w:rPr>
        <w:t xml:space="preserve"> 2017</w:t>
      </w:r>
      <w:proofErr w:type="gramEnd"/>
    </w:p>
    <w:p w14:paraId="7F2B858F" w14:textId="4902C461" w:rsidR="00FB572E" w:rsidRPr="00923427" w:rsidRDefault="00FB572E" w:rsidP="000B71A8">
      <w:pPr>
        <w:rPr>
          <w:rFonts w:ascii="Open Sans" w:hAnsi="Open Sans" w:cs="Open Sans"/>
          <w:color w:val="231F20"/>
          <w:sz w:val="20"/>
          <w:szCs w:val="20"/>
        </w:rPr>
      </w:pPr>
      <w:r w:rsidRPr="00923427">
        <w:rPr>
          <w:rFonts w:ascii="Open Sans" w:hAnsi="Open Sans" w:cs="Open Sans"/>
          <w:noProof/>
          <w:color w:val="231F20"/>
          <w:sz w:val="20"/>
          <w:szCs w:val="20"/>
        </w:rPr>
        <w:drawing>
          <wp:inline distT="0" distB="0" distL="0" distR="0" wp14:anchorId="0A349A27" wp14:editId="3E2A656C">
            <wp:extent cx="5114989" cy="3340100"/>
            <wp:effectExtent l="0" t="0" r="9525" b="0"/>
            <wp:docPr id="1" name="Picture 1"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pie char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116596" cy="3341149"/>
                    </a:xfrm>
                    <a:prstGeom prst="rect">
                      <a:avLst/>
                    </a:prstGeom>
                  </pic:spPr>
                </pic:pic>
              </a:graphicData>
            </a:graphic>
          </wp:inline>
        </w:drawing>
      </w:r>
    </w:p>
    <w:p w14:paraId="1D7C1F1C" w14:textId="77777777" w:rsidR="009A205B" w:rsidRPr="00923427" w:rsidRDefault="009A205B" w:rsidP="009A205B">
      <w:pPr>
        <w:rPr>
          <w:rFonts w:ascii="Open Sans" w:hAnsi="Open Sans" w:cs="Open Sans"/>
          <w:sz w:val="20"/>
          <w:szCs w:val="20"/>
        </w:rPr>
      </w:pPr>
      <w:r w:rsidRPr="00923427">
        <w:rPr>
          <w:rFonts w:ascii="Open Sans" w:hAnsi="Open Sans" w:cs="Open Sans"/>
          <w:sz w:val="20"/>
          <w:szCs w:val="20"/>
        </w:rPr>
        <w:t xml:space="preserve">Source: REA </w:t>
      </w:r>
      <w:proofErr w:type="spellStart"/>
      <w:r w:rsidRPr="00923427">
        <w:rPr>
          <w:rFonts w:ascii="Open Sans" w:hAnsi="Open Sans" w:cs="Open Sans"/>
          <w:sz w:val="20"/>
          <w:szCs w:val="20"/>
        </w:rPr>
        <w:t>REview</w:t>
      </w:r>
      <w:proofErr w:type="spellEnd"/>
      <w:r w:rsidRPr="00923427">
        <w:rPr>
          <w:rFonts w:ascii="Open Sans" w:hAnsi="Open Sans" w:cs="Open Sans"/>
          <w:sz w:val="20"/>
          <w:szCs w:val="20"/>
        </w:rPr>
        <w:t xml:space="preserve"> 2020</w:t>
      </w:r>
    </w:p>
    <w:p w14:paraId="6541F214" w14:textId="77777777" w:rsidR="0036441F" w:rsidRDefault="0036441F" w:rsidP="000B71A8">
      <w:pPr>
        <w:rPr>
          <w:rFonts w:ascii="Open Sans" w:hAnsi="Open Sans" w:cs="Open Sans"/>
          <w:b/>
          <w:bCs/>
          <w:i/>
          <w:iCs/>
          <w:color w:val="231F20"/>
          <w:sz w:val="20"/>
          <w:szCs w:val="20"/>
        </w:rPr>
      </w:pPr>
    </w:p>
    <w:p w14:paraId="096E097E" w14:textId="77777777" w:rsidR="0036441F" w:rsidRDefault="0036441F" w:rsidP="000B71A8">
      <w:pPr>
        <w:rPr>
          <w:rFonts w:ascii="Open Sans" w:hAnsi="Open Sans" w:cs="Open Sans"/>
          <w:b/>
          <w:bCs/>
          <w:i/>
          <w:iCs/>
          <w:color w:val="231F20"/>
          <w:sz w:val="20"/>
          <w:szCs w:val="20"/>
        </w:rPr>
      </w:pPr>
    </w:p>
    <w:p w14:paraId="6BA55CD3" w14:textId="2DF0C97A" w:rsidR="004E0EE5" w:rsidRPr="00923427" w:rsidRDefault="00EF288A" w:rsidP="000B71A8">
      <w:pPr>
        <w:rPr>
          <w:rFonts w:ascii="Open Sans" w:hAnsi="Open Sans" w:cs="Open Sans"/>
          <w:b/>
          <w:bCs/>
          <w:i/>
          <w:iCs/>
          <w:color w:val="231F20"/>
          <w:sz w:val="20"/>
          <w:szCs w:val="20"/>
        </w:rPr>
      </w:pPr>
      <w:r w:rsidRPr="00923427">
        <w:rPr>
          <w:rFonts w:ascii="Open Sans" w:hAnsi="Open Sans" w:cs="Open Sans"/>
          <w:b/>
          <w:bCs/>
          <w:i/>
          <w:iCs/>
          <w:color w:val="231F20"/>
          <w:sz w:val="20"/>
          <w:szCs w:val="20"/>
        </w:rPr>
        <w:t xml:space="preserve">120,000 </w:t>
      </w:r>
      <w:r w:rsidR="008F79B2" w:rsidRPr="00923427">
        <w:rPr>
          <w:rFonts w:ascii="Open Sans" w:hAnsi="Open Sans" w:cs="Open Sans"/>
          <w:b/>
          <w:bCs/>
          <w:i/>
          <w:iCs/>
          <w:color w:val="231F20"/>
          <w:sz w:val="20"/>
          <w:szCs w:val="20"/>
        </w:rPr>
        <w:t>p</w:t>
      </w:r>
      <w:r w:rsidR="005F5A55" w:rsidRPr="00923427">
        <w:rPr>
          <w:rFonts w:ascii="Open Sans" w:hAnsi="Open Sans" w:cs="Open Sans"/>
          <w:b/>
          <w:bCs/>
          <w:i/>
          <w:iCs/>
          <w:color w:val="231F20"/>
          <w:sz w:val="20"/>
          <w:szCs w:val="20"/>
        </w:rPr>
        <w:t xml:space="preserve">rojected </w:t>
      </w:r>
      <w:r w:rsidR="008F79B2" w:rsidRPr="00923427">
        <w:rPr>
          <w:rFonts w:ascii="Open Sans" w:hAnsi="Open Sans" w:cs="Open Sans"/>
          <w:b/>
          <w:bCs/>
          <w:i/>
          <w:iCs/>
          <w:color w:val="231F20"/>
          <w:sz w:val="20"/>
          <w:szCs w:val="20"/>
        </w:rPr>
        <w:t>j</w:t>
      </w:r>
      <w:r w:rsidR="005F5A55" w:rsidRPr="00923427">
        <w:rPr>
          <w:rFonts w:ascii="Open Sans" w:hAnsi="Open Sans" w:cs="Open Sans"/>
          <w:b/>
          <w:bCs/>
          <w:i/>
          <w:iCs/>
          <w:color w:val="231F20"/>
          <w:sz w:val="20"/>
          <w:szCs w:val="20"/>
        </w:rPr>
        <w:t xml:space="preserve">obs </w:t>
      </w:r>
      <w:r w:rsidR="008F79B2" w:rsidRPr="00923427">
        <w:rPr>
          <w:rFonts w:ascii="Open Sans" w:hAnsi="Open Sans" w:cs="Open Sans"/>
          <w:b/>
          <w:bCs/>
          <w:i/>
          <w:iCs/>
          <w:color w:val="231F20"/>
          <w:sz w:val="20"/>
          <w:szCs w:val="20"/>
        </w:rPr>
        <w:t>d</w:t>
      </w:r>
      <w:r w:rsidR="005F5A55" w:rsidRPr="00923427">
        <w:rPr>
          <w:rFonts w:ascii="Open Sans" w:hAnsi="Open Sans" w:cs="Open Sans"/>
          <w:b/>
          <w:bCs/>
          <w:i/>
          <w:iCs/>
          <w:color w:val="231F20"/>
          <w:sz w:val="20"/>
          <w:szCs w:val="20"/>
        </w:rPr>
        <w:t xml:space="preserve">elivered by a </w:t>
      </w:r>
      <w:r w:rsidR="008F79B2" w:rsidRPr="00923427">
        <w:rPr>
          <w:rFonts w:ascii="Open Sans" w:hAnsi="Open Sans" w:cs="Open Sans"/>
          <w:b/>
          <w:bCs/>
          <w:i/>
          <w:iCs/>
          <w:color w:val="231F20"/>
          <w:sz w:val="20"/>
          <w:szCs w:val="20"/>
        </w:rPr>
        <w:t>s</w:t>
      </w:r>
      <w:r w:rsidR="005F5A55" w:rsidRPr="00923427">
        <w:rPr>
          <w:rFonts w:ascii="Open Sans" w:hAnsi="Open Sans" w:cs="Open Sans"/>
          <w:b/>
          <w:bCs/>
          <w:i/>
          <w:iCs/>
          <w:color w:val="231F20"/>
          <w:sz w:val="20"/>
          <w:szCs w:val="20"/>
        </w:rPr>
        <w:t xml:space="preserve">trong </w:t>
      </w:r>
      <w:r w:rsidR="008F79B2" w:rsidRPr="00923427">
        <w:rPr>
          <w:rFonts w:ascii="Open Sans" w:hAnsi="Open Sans" w:cs="Open Sans"/>
          <w:b/>
          <w:bCs/>
          <w:i/>
          <w:iCs/>
          <w:color w:val="231F20"/>
          <w:sz w:val="20"/>
          <w:szCs w:val="20"/>
        </w:rPr>
        <w:t>b</w:t>
      </w:r>
      <w:r w:rsidR="005F5A55" w:rsidRPr="00923427">
        <w:rPr>
          <w:rFonts w:ascii="Open Sans" w:hAnsi="Open Sans" w:cs="Open Sans"/>
          <w:b/>
          <w:bCs/>
          <w:i/>
          <w:iCs/>
          <w:color w:val="231F20"/>
          <w:sz w:val="20"/>
          <w:szCs w:val="20"/>
        </w:rPr>
        <w:t xml:space="preserve">ioenergy </w:t>
      </w:r>
      <w:proofErr w:type="gramStart"/>
      <w:r w:rsidR="008F79B2" w:rsidRPr="00923427">
        <w:rPr>
          <w:rFonts w:ascii="Open Sans" w:hAnsi="Open Sans" w:cs="Open Sans"/>
          <w:b/>
          <w:bCs/>
          <w:i/>
          <w:iCs/>
          <w:color w:val="231F20"/>
          <w:sz w:val="20"/>
          <w:szCs w:val="20"/>
        </w:rPr>
        <w:t>s</w:t>
      </w:r>
      <w:r w:rsidR="005F5A55" w:rsidRPr="00923427">
        <w:rPr>
          <w:rFonts w:ascii="Open Sans" w:hAnsi="Open Sans" w:cs="Open Sans"/>
          <w:b/>
          <w:bCs/>
          <w:i/>
          <w:iCs/>
          <w:color w:val="231F20"/>
          <w:sz w:val="20"/>
          <w:szCs w:val="20"/>
        </w:rPr>
        <w:t>ector</w:t>
      </w:r>
      <w:proofErr w:type="gramEnd"/>
    </w:p>
    <w:p w14:paraId="22271233" w14:textId="7AD27D90" w:rsidR="008A319C" w:rsidRPr="00923427" w:rsidRDefault="008A319C" w:rsidP="000B71A8">
      <w:pPr>
        <w:rPr>
          <w:rStyle w:val="A4"/>
          <w:rFonts w:ascii="Open Sans" w:hAnsi="Open Sans" w:cs="Open Sans"/>
        </w:rPr>
      </w:pPr>
      <w:r w:rsidRPr="00923427">
        <w:rPr>
          <w:rStyle w:val="A4"/>
          <w:rFonts w:ascii="Open Sans" w:hAnsi="Open Sans" w:cs="Open Sans"/>
        </w:rPr>
        <w:t xml:space="preserve">The REA Bioenergy Strategy made preliminary estimates for the number of jobs that would be stimulated if the projected growth of the bioenergy sector </w:t>
      </w:r>
      <w:proofErr w:type="gramStart"/>
      <w:r w:rsidRPr="00923427">
        <w:rPr>
          <w:rStyle w:val="A4"/>
          <w:rFonts w:ascii="Open Sans" w:hAnsi="Open Sans" w:cs="Open Sans"/>
        </w:rPr>
        <w:t>was</w:t>
      </w:r>
      <w:proofErr w:type="gramEnd"/>
      <w:r w:rsidRPr="00923427">
        <w:rPr>
          <w:rStyle w:val="A4"/>
          <w:rFonts w:ascii="Open Sans" w:hAnsi="Open Sans" w:cs="Open Sans"/>
        </w:rPr>
        <w:t xml:space="preserve"> realised, by scaling up the number of jobs in each sector according to the proposed increases in energy delivered. The results indicated a rise of between 80,000 to 90,000 by 2026 and to 100,000 to 120,000 jobs by 2032 across the whole bioenergy sector. </w:t>
      </w:r>
    </w:p>
    <w:p w14:paraId="60197F99" w14:textId="7CBADD76" w:rsidR="005F5A55" w:rsidRPr="00923427" w:rsidRDefault="008A319C" w:rsidP="000B71A8">
      <w:pPr>
        <w:rPr>
          <w:rStyle w:val="A4"/>
          <w:rFonts w:ascii="Open Sans" w:hAnsi="Open Sans" w:cs="Open Sans"/>
        </w:rPr>
      </w:pPr>
      <w:r w:rsidRPr="00923427">
        <w:rPr>
          <w:rStyle w:val="A4"/>
          <w:rFonts w:ascii="Open Sans" w:hAnsi="Open Sans" w:cs="Open Sans"/>
        </w:rPr>
        <w:t xml:space="preserve">In </w:t>
      </w:r>
      <w:r w:rsidR="00EF288A" w:rsidRPr="00923427">
        <w:rPr>
          <w:rStyle w:val="A4"/>
          <w:rFonts w:ascii="Open Sans" w:hAnsi="Open Sans" w:cs="Open Sans"/>
        </w:rPr>
        <w:t>b</w:t>
      </w:r>
      <w:r w:rsidRPr="00923427">
        <w:rPr>
          <w:rStyle w:val="A4"/>
          <w:rFonts w:ascii="Open Sans" w:hAnsi="Open Sans" w:cs="Open Sans"/>
        </w:rPr>
        <w:t xml:space="preserve">iomass </w:t>
      </w:r>
      <w:r w:rsidR="00B54056" w:rsidRPr="00923427">
        <w:rPr>
          <w:rStyle w:val="A4"/>
          <w:rFonts w:ascii="Open Sans" w:hAnsi="Open Sans" w:cs="Open Sans"/>
        </w:rPr>
        <w:t>p</w:t>
      </w:r>
      <w:r w:rsidRPr="00923427">
        <w:rPr>
          <w:rStyle w:val="A4"/>
          <w:rFonts w:ascii="Open Sans" w:hAnsi="Open Sans" w:cs="Open Sans"/>
        </w:rPr>
        <w:t xml:space="preserve">roduction alone </w:t>
      </w:r>
      <w:r w:rsidR="00B54056" w:rsidRPr="00923427">
        <w:rPr>
          <w:rStyle w:val="A4"/>
          <w:rFonts w:ascii="Open Sans" w:hAnsi="Open Sans" w:cs="Open Sans"/>
        </w:rPr>
        <w:t>growth in</w:t>
      </w:r>
      <w:r w:rsidRPr="00923427">
        <w:rPr>
          <w:rStyle w:val="A4"/>
          <w:rFonts w:ascii="Open Sans" w:hAnsi="Open Sans" w:cs="Open Sans"/>
        </w:rPr>
        <w:t xml:space="preserve"> jobs were modelled to reach 13,500 </w:t>
      </w:r>
      <w:r w:rsidR="00B54056" w:rsidRPr="00923427">
        <w:rPr>
          <w:rStyle w:val="A4"/>
          <w:rFonts w:ascii="Open Sans" w:hAnsi="Open Sans" w:cs="Open Sans"/>
        </w:rPr>
        <w:t xml:space="preserve">jobs in 2026 and 22,000 jobs in 2032. </w:t>
      </w:r>
    </w:p>
    <w:p w14:paraId="6144446F" w14:textId="3596ECB2" w:rsidR="009A205B" w:rsidRPr="00923427" w:rsidRDefault="00CD4F10" w:rsidP="000B71A8">
      <w:pPr>
        <w:rPr>
          <w:rFonts w:ascii="Open Sans" w:hAnsi="Open Sans" w:cs="Open Sans"/>
          <w:b/>
          <w:bCs/>
          <w:i/>
          <w:iCs/>
          <w:color w:val="231F20"/>
          <w:sz w:val="20"/>
          <w:szCs w:val="20"/>
        </w:rPr>
      </w:pPr>
      <w:r w:rsidRPr="00923427">
        <w:rPr>
          <w:rFonts w:ascii="Open Sans" w:hAnsi="Open Sans" w:cs="Open Sans"/>
          <w:b/>
          <w:bCs/>
          <w:i/>
          <w:iCs/>
          <w:color w:val="231F20"/>
          <w:sz w:val="20"/>
          <w:szCs w:val="20"/>
        </w:rPr>
        <w:t xml:space="preserve">Providing a </w:t>
      </w:r>
      <w:r w:rsidR="00EF288A" w:rsidRPr="00923427">
        <w:rPr>
          <w:rFonts w:ascii="Open Sans" w:hAnsi="Open Sans" w:cs="Open Sans"/>
          <w:b/>
          <w:bCs/>
          <w:i/>
          <w:iCs/>
          <w:color w:val="231F20"/>
          <w:sz w:val="20"/>
          <w:szCs w:val="20"/>
        </w:rPr>
        <w:t>b</w:t>
      </w:r>
      <w:r w:rsidRPr="00923427">
        <w:rPr>
          <w:rFonts w:ascii="Open Sans" w:hAnsi="Open Sans" w:cs="Open Sans"/>
          <w:b/>
          <w:bCs/>
          <w:i/>
          <w:iCs/>
          <w:color w:val="231F20"/>
          <w:sz w:val="20"/>
          <w:szCs w:val="20"/>
        </w:rPr>
        <w:t>ase for other</w:t>
      </w:r>
      <w:r w:rsidR="009A205B" w:rsidRPr="00923427">
        <w:rPr>
          <w:rFonts w:ascii="Open Sans" w:hAnsi="Open Sans" w:cs="Open Sans"/>
          <w:b/>
          <w:bCs/>
          <w:i/>
          <w:iCs/>
          <w:color w:val="231F20"/>
          <w:sz w:val="20"/>
          <w:szCs w:val="20"/>
        </w:rPr>
        <w:t xml:space="preserve"> </w:t>
      </w:r>
      <w:r w:rsidR="008F79B2" w:rsidRPr="00923427">
        <w:rPr>
          <w:rFonts w:ascii="Open Sans" w:hAnsi="Open Sans" w:cs="Open Sans"/>
          <w:b/>
          <w:bCs/>
          <w:i/>
          <w:iCs/>
          <w:color w:val="231F20"/>
          <w:sz w:val="20"/>
          <w:szCs w:val="20"/>
        </w:rPr>
        <w:t>b</w:t>
      </w:r>
      <w:r w:rsidR="009A205B" w:rsidRPr="00923427">
        <w:rPr>
          <w:rFonts w:ascii="Open Sans" w:hAnsi="Open Sans" w:cs="Open Sans"/>
          <w:b/>
          <w:bCs/>
          <w:i/>
          <w:iCs/>
          <w:color w:val="231F20"/>
          <w:sz w:val="20"/>
          <w:szCs w:val="20"/>
        </w:rPr>
        <w:t xml:space="preserve">ioeconomy </w:t>
      </w:r>
      <w:r w:rsidR="008F79B2" w:rsidRPr="00923427">
        <w:rPr>
          <w:rFonts w:ascii="Open Sans" w:hAnsi="Open Sans" w:cs="Open Sans"/>
          <w:b/>
          <w:bCs/>
          <w:i/>
          <w:iCs/>
          <w:color w:val="231F20"/>
          <w:sz w:val="20"/>
          <w:szCs w:val="20"/>
        </w:rPr>
        <w:t>s</w:t>
      </w:r>
      <w:r w:rsidR="009A205B" w:rsidRPr="00923427">
        <w:rPr>
          <w:rFonts w:ascii="Open Sans" w:hAnsi="Open Sans" w:cs="Open Sans"/>
          <w:b/>
          <w:bCs/>
          <w:i/>
          <w:iCs/>
          <w:color w:val="231F20"/>
          <w:sz w:val="20"/>
          <w:szCs w:val="20"/>
        </w:rPr>
        <w:t>ectors</w:t>
      </w:r>
      <w:r w:rsidRPr="00923427">
        <w:rPr>
          <w:rFonts w:ascii="Open Sans" w:hAnsi="Open Sans" w:cs="Open Sans"/>
          <w:b/>
          <w:bCs/>
          <w:i/>
          <w:iCs/>
          <w:color w:val="231F20"/>
          <w:sz w:val="20"/>
          <w:szCs w:val="20"/>
        </w:rPr>
        <w:t xml:space="preserve"> and </w:t>
      </w:r>
      <w:r w:rsidR="008F79B2" w:rsidRPr="00923427">
        <w:rPr>
          <w:rFonts w:ascii="Open Sans" w:hAnsi="Open Sans" w:cs="Open Sans"/>
          <w:b/>
          <w:bCs/>
          <w:i/>
          <w:iCs/>
          <w:color w:val="231F20"/>
          <w:sz w:val="20"/>
          <w:szCs w:val="20"/>
        </w:rPr>
        <w:t>e</w:t>
      </w:r>
      <w:r w:rsidRPr="00923427">
        <w:rPr>
          <w:rFonts w:ascii="Open Sans" w:hAnsi="Open Sans" w:cs="Open Sans"/>
          <w:b/>
          <w:bCs/>
          <w:i/>
          <w:iCs/>
          <w:color w:val="231F20"/>
          <w:sz w:val="20"/>
          <w:szCs w:val="20"/>
        </w:rPr>
        <w:t xml:space="preserve">nsuring </w:t>
      </w:r>
      <w:r w:rsidR="008F79B2" w:rsidRPr="00923427">
        <w:rPr>
          <w:rFonts w:ascii="Open Sans" w:hAnsi="Open Sans" w:cs="Open Sans"/>
          <w:b/>
          <w:bCs/>
          <w:i/>
          <w:iCs/>
          <w:color w:val="231F20"/>
          <w:sz w:val="20"/>
          <w:szCs w:val="20"/>
        </w:rPr>
        <w:t>f</w:t>
      </w:r>
      <w:r w:rsidRPr="00923427">
        <w:rPr>
          <w:rFonts w:ascii="Open Sans" w:hAnsi="Open Sans" w:cs="Open Sans"/>
          <w:b/>
          <w:bCs/>
          <w:i/>
          <w:iCs/>
          <w:color w:val="231F20"/>
          <w:sz w:val="20"/>
          <w:szCs w:val="20"/>
        </w:rPr>
        <w:t xml:space="preserve">orests </w:t>
      </w:r>
      <w:r w:rsidR="008F79B2" w:rsidRPr="00923427">
        <w:rPr>
          <w:rFonts w:ascii="Open Sans" w:hAnsi="Open Sans" w:cs="Open Sans"/>
          <w:b/>
          <w:bCs/>
          <w:i/>
          <w:iCs/>
          <w:color w:val="231F20"/>
          <w:sz w:val="20"/>
          <w:szCs w:val="20"/>
        </w:rPr>
        <w:t>s</w:t>
      </w:r>
      <w:r w:rsidRPr="00923427">
        <w:rPr>
          <w:rFonts w:ascii="Open Sans" w:hAnsi="Open Sans" w:cs="Open Sans"/>
          <w:b/>
          <w:bCs/>
          <w:i/>
          <w:iCs/>
          <w:color w:val="231F20"/>
          <w:sz w:val="20"/>
          <w:szCs w:val="20"/>
        </w:rPr>
        <w:t xml:space="preserve">tay </w:t>
      </w:r>
      <w:proofErr w:type="gramStart"/>
      <w:r w:rsidR="008F79B2" w:rsidRPr="00923427">
        <w:rPr>
          <w:rFonts w:ascii="Open Sans" w:hAnsi="Open Sans" w:cs="Open Sans"/>
          <w:b/>
          <w:bCs/>
          <w:i/>
          <w:iCs/>
          <w:color w:val="231F20"/>
          <w:sz w:val="20"/>
          <w:szCs w:val="20"/>
        </w:rPr>
        <w:t>f</w:t>
      </w:r>
      <w:r w:rsidRPr="00923427">
        <w:rPr>
          <w:rFonts w:ascii="Open Sans" w:hAnsi="Open Sans" w:cs="Open Sans"/>
          <w:b/>
          <w:bCs/>
          <w:i/>
          <w:iCs/>
          <w:color w:val="231F20"/>
          <w:sz w:val="20"/>
          <w:szCs w:val="20"/>
        </w:rPr>
        <w:t>orests</w:t>
      </w:r>
      <w:proofErr w:type="gramEnd"/>
    </w:p>
    <w:p w14:paraId="0349A9FE" w14:textId="561B9401" w:rsidR="008955CE" w:rsidRPr="00923427" w:rsidRDefault="000B71A8" w:rsidP="000B71A8">
      <w:pPr>
        <w:rPr>
          <w:rFonts w:ascii="Open Sans" w:hAnsi="Open Sans" w:cs="Open Sans"/>
          <w:color w:val="231F20"/>
          <w:sz w:val="20"/>
          <w:szCs w:val="20"/>
        </w:rPr>
      </w:pPr>
      <w:r w:rsidRPr="00923427">
        <w:rPr>
          <w:rFonts w:ascii="Open Sans" w:hAnsi="Open Sans" w:cs="Open Sans"/>
          <w:color w:val="231F20"/>
          <w:sz w:val="20"/>
          <w:szCs w:val="20"/>
        </w:rPr>
        <w:t xml:space="preserve">In theory, the growth of the bioeconomy could lead to increased competition between the use of biomass resource for food and </w:t>
      </w:r>
      <w:r w:rsidRPr="00923427">
        <w:rPr>
          <w:rFonts w:ascii="Open Sans" w:hAnsi="Open Sans" w:cs="Open Sans"/>
          <w:color w:val="231F20"/>
          <w:spacing w:val="1"/>
          <w:sz w:val="20"/>
          <w:szCs w:val="20"/>
        </w:rPr>
        <w:t xml:space="preserve">feed, </w:t>
      </w:r>
      <w:r w:rsidRPr="00923427">
        <w:rPr>
          <w:rFonts w:ascii="Open Sans" w:hAnsi="Open Sans" w:cs="Open Sans"/>
          <w:color w:val="231F20"/>
          <w:sz w:val="20"/>
          <w:szCs w:val="20"/>
        </w:rPr>
        <w:t xml:space="preserve">materials, chemicals, and energy. In </w:t>
      </w:r>
      <w:r w:rsidRPr="00923427">
        <w:rPr>
          <w:rFonts w:ascii="Open Sans" w:hAnsi="Open Sans" w:cs="Open Sans"/>
          <w:color w:val="231F20"/>
          <w:spacing w:val="1"/>
          <w:sz w:val="20"/>
          <w:szCs w:val="20"/>
        </w:rPr>
        <w:t xml:space="preserve">practice, </w:t>
      </w:r>
      <w:r w:rsidRPr="00923427">
        <w:rPr>
          <w:rFonts w:ascii="Open Sans" w:hAnsi="Open Sans" w:cs="Open Sans"/>
          <w:color w:val="231F20"/>
          <w:sz w:val="20"/>
          <w:szCs w:val="20"/>
        </w:rPr>
        <w:t>such</w:t>
      </w:r>
      <w:r w:rsidRPr="00923427">
        <w:rPr>
          <w:rFonts w:ascii="Open Sans" w:hAnsi="Open Sans" w:cs="Open Sans"/>
          <w:color w:val="231F20"/>
          <w:spacing w:val="13"/>
          <w:sz w:val="20"/>
          <w:szCs w:val="20"/>
        </w:rPr>
        <w:t xml:space="preserve"> </w:t>
      </w:r>
      <w:r w:rsidRPr="00923427">
        <w:rPr>
          <w:rFonts w:ascii="Open Sans" w:hAnsi="Open Sans" w:cs="Open Sans"/>
          <w:color w:val="231F20"/>
          <w:sz w:val="20"/>
          <w:szCs w:val="20"/>
        </w:rPr>
        <w:t>competition</w:t>
      </w:r>
      <w:r w:rsidRPr="00923427">
        <w:rPr>
          <w:rFonts w:ascii="Open Sans" w:hAnsi="Open Sans" w:cs="Open Sans"/>
          <w:color w:val="231F20"/>
          <w:spacing w:val="13"/>
          <w:sz w:val="20"/>
          <w:szCs w:val="20"/>
        </w:rPr>
        <w:t xml:space="preserve"> </w:t>
      </w:r>
      <w:r w:rsidRPr="00923427">
        <w:rPr>
          <w:rFonts w:ascii="Open Sans" w:hAnsi="Open Sans" w:cs="Open Sans"/>
          <w:color w:val="231F20"/>
          <w:sz w:val="20"/>
          <w:szCs w:val="20"/>
        </w:rPr>
        <w:t>is</w:t>
      </w:r>
      <w:r w:rsidRPr="00923427">
        <w:rPr>
          <w:rFonts w:ascii="Open Sans" w:hAnsi="Open Sans" w:cs="Open Sans"/>
          <w:color w:val="231F20"/>
          <w:spacing w:val="13"/>
          <w:sz w:val="20"/>
          <w:szCs w:val="20"/>
        </w:rPr>
        <w:t xml:space="preserve"> </w:t>
      </w:r>
      <w:r w:rsidR="00EF288A" w:rsidRPr="00923427">
        <w:rPr>
          <w:rFonts w:ascii="Open Sans" w:hAnsi="Open Sans" w:cs="Open Sans"/>
          <w:color w:val="231F20"/>
          <w:sz w:val="20"/>
          <w:szCs w:val="20"/>
        </w:rPr>
        <w:t>reduced</w:t>
      </w:r>
      <w:r w:rsidRPr="00923427">
        <w:rPr>
          <w:rFonts w:ascii="Open Sans" w:hAnsi="Open Sans" w:cs="Open Sans"/>
          <w:color w:val="231F20"/>
          <w:spacing w:val="13"/>
          <w:sz w:val="20"/>
          <w:szCs w:val="20"/>
        </w:rPr>
        <w:t xml:space="preserve"> </w:t>
      </w:r>
      <w:r w:rsidRPr="00923427">
        <w:rPr>
          <w:rFonts w:ascii="Open Sans" w:hAnsi="Open Sans" w:cs="Open Sans"/>
          <w:color w:val="231F20"/>
          <w:spacing w:val="1"/>
          <w:sz w:val="20"/>
          <w:szCs w:val="20"/>
        </w:rPr>
        <w:t>because</w:t>
      </w:r>
      <w:r w:rsidRPr="00923427">
        <w:rPr>
          <w:rFonts w:ascii="Open Sans" w:hAnsi="Open Sans" w:cs="Open Sans"/>
          <w:color w:val="231F20"/>
          <w:spacing w:val="13"/>
          <w:sz w:val="20"/>
          <w:szCs w:val="20"/>
        </w:rPr>
        <w:t xml:space="preserve"> </w:t>
      </w:r>
      <w:r w:rsidRPr="00923427">
        <w:rPr>
          <w:rFonts w:ascii="Open Sans" w:hAnsi="Open Sans" w:cs="Open Sans"/>
          <w:color w:val="231F20"/>
          <w:spacing w:val="1"/>
          <w:sz w:val="20"/>
          <w:szCs w:val="20"/>
        </w:rPr>
        <w:t>the</w:t>
      </w:r>
      <w:r w:rsidRPr="00923427">
        <w:rPr>
          <w:rFonts w:ascii="Open Sans" w:hAnsi="Open Sans" w:cs="Open Sans"/>
          <w:color w:val="231F20"/>
          <w:spacing w:val="13"/>
          <w:sz w:val="20"/>
          <w:szCs w:val="20"/>
        </w:rPr>
        <w:t xml:space="preserve"> </w:t>
      </w:r>
      <w:r w:rsidRPr="00923427">
        <w:rPr>
          <w:rFonts w:ascii="Open Sans" w:hAnsi="Open Sans" w:cs="Open Sans"/>
          <w:color w:val="231F20"/>
          <w:sz w:val="20"/>
          <w:szCs w:val="20"/>
        </w:rPr>
        <w:t>value</w:t>
      </w:r>
      <w:r w:rsidRPr="00923427">
        <w:rPr>
          <w:rFonts w:ascii="Open Sans" w:hAnsi="Open Sans" w:cs="Open Sans"/>
          <w:color w:val="231F20"/>
          <w:spacing w:val="13"/>
          <w:sz w:val="20"/>
          <w:szCs w:val="20"/>
        </w:rPr>
        <w:t xml:space="preserve"> </w:t>
      </w:r>
      <w:r w:rsidRPr="00923427">
        <w:rPr>
          <w:rFonts w:ascii="Open Sans" w:hAnsi="Open Sans" w:cs="Open Sans"/>
          <w:color w:val="231F20"/>
          <w:sz w:val="20"/>
          <w:szCs w:val="20"/>
        </w:rPr>
        <w:t xml:space="preserve">of </w:t>
      </w:r>
      <w:r w:rsidRPr="00923427">
        <w:rPr>
          <w:rFonts w:ascii="Open Sans" w:hAnsi="Open Sans" w:cs="Open Sans"/>
          <w:color w:val="231F20"/>
          <w:spacing w:val="1"/>
          <w:sz w:val="20"/>
          <w:szCs w:val="20"/>
        </w:rPr>
        <w:t xml:space="preserve">bioenergy </w:t>
      </w:r>
      <w:r w:rsidRPr="00923427">
        <w:rPr>
          <w:rFonts w:ascii="Open Sans" w:hAnsi="Open Sans" w:cs="Open Sans"/>
          <w:color w:val="231F20"/>
          <w:spacing w:val="2"/>
          <w:sz w:val="20"/>
          <w:szCs w:val="20"/>
        </w:rPr>
        <w:t xml:space="preserve">products </w:t>
      </w:r>
      <w:r w:rsidRPr="00923427">
        <w:rPr>
          <w:rFonts w:ascii="Open Sans" w:hAnsi="Open Sans" w:cs="Open Sans"/>
          <w:color w:val="231F20"/>
          <w:sz w:val="20"/>
          <w:szCs w:val="20"/>
        </w:rPr>
        <w:t xml:space="preserve">is generally much lower than those used for </w:t>
      </w:r>
      <w:r w:rsidR="00CD4F10" w:rsidRPr="00923427">
        <w:rPr>
          <w:rFonts w:ascii="Open Sans" w:hAnsi="Open Sans" w:cs="Open Sans"/>
          <w:color w:val="231F20"/>
          <w:sz w:val="20"/>
          <w:szCs w:val="20"/>
        </w:rPr>
        <w:t>other sectors</w:t>
      </w:r>
      <w:r w:rsidRPr="00923427">
        <w:rPr>
          <w:rFonts w:ascii="Open Sans" w:hAnsi="Open Sans" w:cs="Open Sans"/>
          <w:color w:val="231F20"/>
          <w:sz w:val="20"/>
          <w:szCs w:val="20"/>
        </w:rPr>
        <w:t xml:space="preserve">. </w:t>
      </w:r>
      <w:r w:rsidR="00CD4F10" w:rsidRPr="00923427">
        <w:rPr>
          <w:rFonts w:ascii="Open Sans" w:hAnsi="Open Sans" w:cs="Open Sans"/>
          <w:color w:val="231F20"/>
          <w:sz w:val="20"/>
          <w:szCs w:val="20"/>
        </w:rPr>
        <w:t xml:space="preserve"> </w:t>
      </w:r>
      <w:r w:rsidR="00EF288A" w:rsidRPr="00923427">
        <w:rPr>
          <w:rFonts w:ascii="Open Sans" w:hAnsi="Open Sans" w:cs="Open Sans"/>
          <w:color w:val="231F20"/>
          <w:sz w:val="20"/>
          <w:szCs w:val="20"/>
        </w:rPr>
        <w:t>A</w:t>
      </w:r>
      <w:r w:rsidR="008955CE" w:rsidRPr="00923427">
        <w:rPr>
          <w:rFonts w:ascii="Open Sans" w:hAnsi="Open Sans" w:cs="Open Sans"/>
          <w:color w:val="231F20"/>
          <w:sz w:val="20"/>
          <w:szCs w:val="20"/>
        </w:rPr>
        <w:t>s has been examined in Question 3</w:t>
      </w:r>
      <w:r w:rsidR="00596F03" w:rsidRPr="00923427">
        <w:rPr>
          <w:rFonts w:ascii="Open Sans" w:hAnsi="Open Sans" w:cs="Open Sans"/>
          <w:color w:val="231F20"/>
          <w:sz w:val="20"/>
          <w:szCs w:val="20"/>
        </w:rPr>
        <w:t xml:space="preserve"> and 4</w:t>
      </w:r>
      <w:r w:rsidR="008955CE" w:rsidRPr="00923427">
        <w:rPr>
          <w:rFonts w:ascii="Open Sans" w:hAnsi="Open Sans" w:cs="Open Sans"/>
          <w:color w:val="231F20"/>
          <w:sz w:val="20"/>
          <w:szCs w:val="20"/>
        </w:rPr>
        <w:t xml:space="preserve">, </w:t>
      </w:r>
      <w:r w:rsidR="00596F03" w:rsidRPr="00923427">
        <w:rPr>
          <w:rFonts w:ascii="Open Sans" w:hAnsi="Open Sans" w:cs="Open Sans"/>
          <w:sz w:val="20"/>
          <w:szCs w:val="20"/>
        </w:rPr>
        <w:t>w</w:t>
      </w:r>
      <w:r w:rsidR="00CD4F10" w:rsidRPr="00923427">
        <w:rPr>
          <w:rFonts w:ascii="Open Sans" w:hAnsi="Open Sans" w:cs="Open Sans"/>
          <w:sz w:val="20"/>
          <w:szCs w:val="20"/>
        </w:rPr>
        <w:t xml:space="preserve">ood pellets and biomass derived from processing and harvesting residues, </w:t>
      </w:r>
      <w:proofErr w:type="spellStart"/>
      <w:r w:rsidR="00CD4F10" w:rsidRPr="00923427">
        <w:rPr>
          <w:rFonts w:ascii="Open Sans" w:hAnsi="Open Sans" w:cs="Open Sans"/>
          <w:sz w:val="20"/>
          <w:szCs w:val="20"/>
        </w:rPr>
        <w:t>thinnings</w:t>
      </w:r>
      <w:proofErr w:type="spellEnd"/>
      <w:r w:rsidR="00CD4F10" w:rsidRPr="00923427">
        <w:rPr>
          <w:rFonts w:ascii="Open Sans" w:hAnsi="Open Sans" w:cs="Open Sans"/>
          <w:sz w:val="20"/>
          <w:szCs w:val="20"/>
        </w:rPr>
        <w:t xml:space="preserve"> and low grade roundwood -harvested from sustainably managed working forests –</w:t>
      </w:r>
      <w:r w:rsidR="00EF288A" w:rsidRPr="00923427">
        <w:rPr>
          <w:rFonts w:ascii="Open Sans" w:hAnsi="Open Sans" w:cs="Open Sans"/>
          <w:sz w:val="20"/>
          <w:szCs w:val="20"/>
        </w:rPr>
        <w:t xml:space="preserve"> </w:t>
      </w:r>
      <w:r w:rsidR="00CD4F10" w:rsidRPr="00923427">
        <w:rPr>
          <w:rFonts w:ascii="Open Sans" w:hAnsi="Open Sans" w:cs="Open Sans"/>
          <w:sz w:val="20"/>
          <w:szCs w:val="20"/>
        </w:rPr>
        <w:t xml:space="preserve">has a positive impact on the forest industry, forest carbon stocks and helps to ensure that forests stay a </w:t>
      </w:r>
      <w:proofErr w:type="gramStart"/>
      <w:r w:rsidR="00CD4F10" w:rsidRPr="00923427">
        <w:rPr>
          <w:rFonts w:ascii="Open Sans" w:hAnsi="Open Sans" w:cs="Open Sans"/>
          <w:sz w:val="20"/>
          <w:szCs w:val="20"/>
        </w:rPr>
        <w:t>forests</w:t>
      </w:r>
      <w:proofErr w:type="gramEnd"/>
      <w:r w:rsidR="00CD4F10" w:rsidRPr="00923427">
        <w:rPr>
          <w:rFonts w:ascii="Open Sans" w:hAnsi="Open Sans" w:cs="Open Sans"/>
          <w:sz w:val="20"/>
          <w:szCs w:val="20"/>
        </w:rPr>
        <w:t xml:space="preserve"> rather than being converted to agriculture or for urban development. </w:t>
      </w:r>
      <w:r w:rsidR="008955CE" w:rsidRPr="00923427">
        <w:rPr>
          <w:rFonts w:ascii="Open Sans" w:hAnsi="Open Sans" w:cs="Open Sans"/>
          <w:sz w:val="20"/>
          <w:szCs w:val="20"/>
        </w:rPr>
        <w:t>In doing so b</w:t>
      </w:r>
      <w:r w:rsidRPr="00923427">
        <w:rPr>
          <w:rFonts w:ascii="Open Sans" w:hAnsi="Open Sans" w:cs="Open Sans"/>
          <w:color w:val="231F20"/>
          <w:sz w:val="20"/>
          <w:szCs w:val="20"/>
        </w:rPr>
        <w:t xml:space="preserve">ioenergy feedstocks </w:t>
      </w:r>
      <w:r w:rsidR="00273616" w:rsidRPr="00923427">
        <w:rPr>
          <w:rFonts w:ascii="Open Sans" w:hAnsi="Open Sans" w:cs="Open Sans"/>
          <w:color w:val="231F20"/>
          <w:sz w:val="20"/>
          <w:szCs w:val="20"/>
        </w:rPr>
        <w:t xml:space="preserve">effectively set the price floor </w:t>
      </w:r>
      <w:r w:rsidRPr="00923427">
        <w:rPr>
          <w:rFonts w:ascii="Open Sans" w:hAnsi="Open Sans" w:cs="Open Sans"/>
          <w:color w:val="231F20"/>
          <w:sz w:val="20"/>
          <w:szCs w:val="20"/>
        </w:rPr>
        <w:t>for lower value</w:t>
      </w:r>
      <w:r w:rsidR="00273616" w:rsidRPr="00923427">
        <w:rPr>
          <w:rFonts w:ascii="Open Sans" w:hAnsi="Open Sans" w:cs="Open Sans"/>
          <w:color w:val="231F20"/>
          <w:sz w:val="20"/>
          <w:szCs w:val="20"/>
        </w:rPr>
        <w:t xml:space="preserve"> forestry products</w:t>
      </w:r>
      <w:r w:rsidR="00CD4F10" w:rsidRPr="00923427">
        <w:rPr>
          <w:rFonts w:ascii="Open Sans" w:hAnsi="Open Sans" w:cs="Open Sans"/>
          <w:color w:val="231F20"/>
          <w:sz w:val="20"/>
          <w:szCs w:val="20"/>
        </w:rPr>
        <w:t>, providing additional revenue to suppliers of higher value forestry products</w:t>
      </w:r>
      <w:r w:rsidR="00EF288A" w:rsidRPr="00923427">
        <w:rPr>
          <w:rFonts w:ascii="Open Sans" w:hAnsi="Open Sans" w:cs="Open Sans"/>
          <w:color w:val="231F20"/>
          <w:sz w:val="20"/>
          <w:szCs w:val="20"/>
        </w:rPr>
        <w:t xml:space="preserve"> and underwriting investment by foresters and landowners in more managed areas.</w:t>
      </w:r>
    </w:p>
    <w:p w14:paraId="22C6BF95" w14:textId="69232AF4" w:rsidR="006A29DD" w:rsidRPr="00923427" w:rsidRDefault="006A29DD" w:rsidP="000B71A8">
      <w:pPr>
        <w:rPr>
          <w:rFonts w:ascii="Open Sans" w:hAnsi="Open Sans" w:cs="Open Sans"/>
          <w:b/>
          <w:bCs/>
          <w:i/>
          <w:iCs/>
          <w:color w:val="231F20"/>
          <w:sz w:val="20"/>
          <w:szCs w:val="20"/>
        </w:rPr>
      </w:pPr>
      <w:r w:rsidRPr="00923427">
        <w:rPr>
          <w:rFonts w:ascii="Open Sans" w:hAnsi="Open Sans" w:cs="Open Sans"/>
          <w:b/>
          <w:bCs/>
          <w:i/>
          <w:iCs/>
          <w:color w:val="231F20"/>
          <w:sz w:val="20"/>
          <w:szCs w:val="20"/>
        </w:rPr>
        <w:t xml:space="preserve">Delivering a circular </w:t>
      </w:r>
      <w:r w:rsidR="008F79B2" w:rsidRPr="00923427">
        <w:rPr>
          <w:rFonts w:ascii="Open Sans" w:hAnsi="Open Sans" w:cs="Open Sans"/>
          <w:b/>
          <w:bCs/>
          <w:i/>
          <w:iCs/>
          <w:color w:val="231F20"/>
          <w:sz w:val="20"/>
          <w:szCs w:val="20"/>
        </w:rPr>
        <w:t>e</w:t>
      </w:r>
      <w:r w:rsidRPr="00923427">
        <w:rPr>
          <w:rFonts w:ascii="Open Sans" w:hAnsi="Open Sans" w:cs="Open Sans"/>
          <w:b/>
          <w:bCs/>
          <w:i/>
          <w:iCs/>
          <w:color w:val="231F20"/>
          <w:sz w:val="20"/>
          <w:szCs w:val="20"/>
        </w:rPr>
        <w:t>conomy</w:t>
      </w:r>
    </w:p>
    <w:p w14:paraId="501021D9" w14:textId="77777777" w:rsidR="005143BA" w:rsidRDefault="005143BA" w:rsidP="005143BA">
      <w:pPr>
        <w:rPr>
          <w:rFonts w:ascii="Open Sans" w:hAnsi="Open Sans" w:cs="Open Sans"/>
          <w:color w:val="231F20"/>
          <w:sz w:val="20"/>
          <w:szCs w:val="20"/>
        </w:rPr>
      </w:pPr>
      <w:r w:rsidRPr="00923427">
        <w:rPr>
          <w:rFonts w:ascii="Open Sans" w:hAnsi="Open Sans" w:cs="Open Sans"/>
          <w:color w:val="231F20"/>
          <w:sz w:val="20"/>
          <w:szCs w:val="20"/>
        </w:rPr>
        <w:t xml:space="preserve">At the other end of the supply chain, bioenergy provides a sustainable route for biogenic waste management, utilising waste produced from other bioeconomy sectors to ensure energy recovery. Waste wood is already well utilised in the biomass power sector, providing a disposal route for materials, sometimes hazardous, that would otherwise end up in landfill. </w:t>
      </w:r>
    </w:p>
    <w:p w14:paraId="15EF55D4" w14:textId="77777777" w:rsidR="005143BA" w:rsidRDefault="005143BA" w:rsidP="005143BA">
      <w:pPr>
        <w:rPr>
          <w:rFonts w:ascii="Open Sans" w:hAnsi="Open Sans" w:cs="Open Sans"/>
          <w:color w:val="231F20"/>
          <w:sz w:val="20"/>
          <w:szCs w:val="20"/>
        </w:rPr>
      </w:pPr>
      <w:r w:rsidRPr="00923427">
        <w:rPr>
          <w:rFonts w:ascii="Open Sans" w:hAnsi="Open Sans" w:cs="Open Sans"/>
          <w:color w:val="231F20"/>
          <w:sz w:val="20"/>
          <w:szCs w:val="20"/>
        </w:rPr>
        <w:t>Similarly</w:t>
      </w:r>
      <w:r>
        <w:rPr>
          <w:rFonts w:ascii="Open Sans" w:hAnsi="Open Sans" w:cs="Open Sans"/>
          <w:color w:val="231F20"/>
          <w:sz w:val="20"/>
          <w:szCs w:val="20"/>
        </w:rPr>
        <w:t>,</w:t>
      </w:r>
      <w:r w:rsidRPr="00923427">
        <w:rPr>
          <w:rFonts w:ascii="Open Sans" w:hAnsi="Open Sans" w:cs="Open Sans"/>
          <w:color w:val="231F20"/>
          <w:sz w:val="20"/>
          <w:szCs w:val="20"/>
        </w:rPr>
        <w:t xml:space="preserve"> collaboration with the </w:t>
      </w:r>
      <w:r>
        <w:rPr>
          <w:rFonts w:ascii="Open Sans" w:hAnsi="Open Sans" w:cs="Open Sans"/>
          <w:color w:val="231F20"/>
          <w:sz w:val="20"/>
          <w:szCs w:val="20"/>
        </w:rPr>
        <w:t>a</w:t>
      </w:r>
      <w:r w:rsidRPr="00923427">
        <w:rPr>
          <w:rFonts w:ascii="Open Sans" w:hAnsi="Open Sans" w:cs="Open Sans"/>
          <w:color w:val="231F20"/>
          <w:sz w:val="20"/>
          <w:szCs w:val="20"/>
        </w:rPr>
        <w:t>gri-food sector could see significant volumes of food waste products</w:t>
      </w:r>
      <w:r>
        <w:rPr>
          <w:rFonts w:ascii="Open Sans" w:hAnsi="Open Sans" w:cs="Open Sans"/>
          <w:color w:val="231F20"/>
          <w:sz w:val="20"/>
          <w:szCs w:val="20"/>
        </w:rPr>
        <w:t xml:space="preserve"> and process effluents </w:t>
      </w:r>
      <w:r w:rsidRPr="00923427">
        <w:rPr>
          <w:rFonts w:ascii="Open Sans" w:hAnsi="Open Sans" w:cs="Open Sans"/>
          <w:color w:val="231F20"/>
          <w:sz w:val="20"/>
          <w:szCs w:val="20"/>
        </w:rPr>
        <w:t xml:space="preserve">utilised in </w:t>
      </w:r>
      <w:r>
        <w:rPr>
          <w:rFonts w:ascii="Open Sans" w:hAnsi="Open Sans" w:cs="Open Sans"/>
          <w:color w:val="231F20"/>
          <w:sz w:val="20"/>
          <w:szCs w:val="20"/>
        </w:rPr>
        <w:t>a</w:t>
      </w:r>
      <w:r w:rsidRPr="00923427">
        <w:rPr>
          <w:rFonts w:ascii="Open Sans" w:hAnsi="Open Sans" w:cs="Open Sans"/>
          <w:color w:val="231F20"/>
          <w:sz w:val="20"/>
          <w:szCs w:val="20"/>
        </w:rPr>
        <w:t xml:space="preserve">naerobic </w:t>
      </w:r>
      <w:r>
        <w:rPr>
          <w:rFonts w:ascii="Open Sans" w:hAnsi="Open Sans" w:cs="Open Sans"/>
          <w:color w:val="231F20"/>
          <w:sz w:val="20"/>
          <w:szCs w:val="20"/>
        </w:rPr>
        <w:t>on-site digestion</w:t>
      </w:r>
      <w:r w:rsidRPr="00923427">
        <w:rPr>
          <w:rFonts w:ascii="Open Sans" w:hAnsi="Open Sans" w:cs="Open Sans"/>
          <w:color w:val="231F20"/>
          <w:sz w:val="20"/>
          <w:szCs w:val="20"/>
        </w:rPr>
        <w:t xml:space="preserve"> </w:t>
      </w:r>
      <w:r>
        <w:rPr>
          <w:rFonts w:ascii="Open Sans" w:hAnsi="Open Sans" w:cs="Open Sans"/>
          <w:color w:val="231F20"/>
          <w:sz w:val="20"/>
          <w:szCs w:val="20"/>
        </w:rPr>
        <w:t xml:space="preserve">plants to produce biogas/biomethane and </w:t>
      </w:r>
      <w:proofErr w:type="spellStart"/>
      <w:r>
        <w:rPr>
          <w:rFonts w:ascii="Open Sans" w:hAnsi="Open Sans" w:cs="Open Sans"/>
          <w:color w:val="231F20"/>
          <w:sz w:val="20"/>
          <w:szCs w:val="20"/>
        </w:rPr>
        <w:t>biofertiliser</w:t>
      </w:r>
      <w:proofErr w:type="spellEnd"/>
      <w:r>
        <w:rPr>
          <w:rFonts w:ascii="Open Sans" w:hAnsi="Open Sans" w:cs="Open Sans"/>
          <w:color w:val="231F20"/>
          <w:sz w:val="20"/>
          <w:szCs w:val="20"/>
        </w:rPr>
        <w:t>. Biogas or biomethane can p</w:t>
      </w:r>
      <w:r w:rsidRPr="005E6EFB">
        <w:rPr>
          <w:rFonts w:ascii="Open Sans" w:hAnsi="Open Sans" w:cs="Open Sans"/>
          <w:color w:val="231F20"/>
          <w:sz w:val="20"/>
          <w:szCs w:val="20"/>
        </w:rPr>
        <w:t xml:space="preserve">rovide part of the heat requirement for the beverage or food manufacturing process, which </w:t>
      </w:r>
      <w:r>
        <w:rPr>
          <w:rFonts w:ascii="Open Sans" w:hAnsi="Open Sans" w:cs="Open Sans"/>
          <w:color w:val="231F20"/>
          <w:sz w:val="20"/>
          <w:szCs w:val="20"/>
        </w:rPr>
        <w:t>can</w:t>
      </w:r>
      <w:r w:rsidRPr="005E6EFB">
        <w:rPr>
          <w:rFonts w:ascii="Open Sans" w:hAnsi="Open Sans" w:cs="Open Sans"/>
          <w:color w:val="231F20"/>
          <w:sz w:val="20"/>
          <w:szCs w:val="20"/>
        </w:rPr>
        <w:t xml:space="preserve"> replace some of the fossil fuel heat, especially within processes that have a significant heat requirement (distilleries, breweries etc.)</w:t>
      </w:r>
      <w:r>
        <w:rPr>
          <w:rFonts w:ascii="Open Sans" w:hAnsi="Open Sans" w:cs="Open Sans"/>
          <w:color w:val="231F20"/>
          <w:sz w:val="20"/>
          <w:szCs w:val="20"/>
        </w:rPr>
        <w:t xml:space="preserve">, or it can be used to fuel the company’s own vehicle fleet. The </w:t>
      </w:r>
      <w:proofErr w:type="spellStart"/>
      <w:r>
        <w:rPr>
          <w:rFonts w:ascii="Open Sans" w:hAnsi="Open Sans" w:cs="Open Sans"/>
          <w:color w:val="231F20"/>
          <w:sz w:val="20"/>
          <w:szCs w:val="20"/>
        </w:rPr>
        <w:t>biofertiliser</w:t>
      </w:r>
      <w:proofErr w:type="spellEnd"/>
      <w:r>
        <w:rPr>
          <w:rFonts w:ascii="Open Sans" w:hAnsi="Open Sans" w:cs="Open Sans"/>
          <w:color w:val="231F20"/>
          <w:sz w:val="20"/>
          <w:szCs w:val="20"/>
        </w:rPr>
        <w:t xml:space="preserve"> can be returned to the land to replace carbon intensive fertilisers and benefit the soil health. </w:t>
      </w:r>
    </w:p>
    <w:p w14:paraId="3622B76C" w14:textId="40A433DA" w:rsidR="006A29DD" w:rsidRPr="00923427" w:rsidRDefault="006A29DD" w:rsidP="00882FC4">
      <w:pPr>
        <w:rPr>
          <w:rFonts w:ascii="Open Sans" w:hAnsi="Open Sans" w:cs="Open Sans"/>
          <w:b/>
          <w:bCs/>
          <w:i/>
          <w:iCs/>
          <w:color w:val="231F20"/>
          <w:sz w:val="20"/>
          <w:szCs w:val="20"/>
        </w:rPr>
      </w:pPr>
      <w:r w:rsidRPr="00923427">
        <w:rPr>
          <w:rFonts w:ascii="Open Sans" w:hAnsi="Open Sans" w:cs="Open Sans"/>
          <w:b/>
          <w:bCs/>
          <w:i/>
          <w:iCs/>
          <w:color w:val="231F20"/>
          <w:sz w:val="20"/>
          <w:szCs w:val="20"/>
        </w:rPr>
        <w:t xml:space="preserve">Developing </w:t>
      </w:r>
      <w:r w:rsidR="008F79B2" w:rsidRPr="00923427">
        <w:rPr>
          <w:rFonts w:ascii="Open Sans" w:hAnsi="Open Sans" w:cs="Open Sans"/>
          <w:b/>
          <w:bCs/>
          <w:i/>
          <w:iCs/>
          <w:color w:val="231F20"/>
          <w:sz w:val="20"/>
          <w:szCs w:val="20"/>
        </w:rPr>
        <w:t>s</w:t>
      </w:r>
      <w:r w:rsidRPr="00923427">
        <w:rPr>
          <w:rFonts w:ascii="Open Sans" w:hAnsi="Open Sans" w:cs="Open Sans"/>
          <w:b/>
          <w:bCs/>
          <w:i/>
          <w:iCs/>
          <w:color w:val="231F20"/>
          <w:sz w:val="20"/>
          <w:szCs w:val="20"/>
        </w:rPr>
        <w:t xml:space="preserve">tandards for other </w:t>
      </w:r>
      <w:r w:rsidR="008F79B2" w:rsidRPr="00923427">
        <w:rPr>
          <w:rFonts w:ascii="Open Sans" w:hAnsi="Open Sans" w:cs="Open Sans"/>
          <w:b/>
          <w:bCs/>
          <w:i/>
          <w:iCs/>
          <w:color w:val="231F20"/>
          <w:sz w:val="20"/>
          <w:szCs w:val="20"/>
        </w:rPr>
        <w:t>b</w:t>
      </w:r>
      <w:r w:rsidRPr="00923427">
        <w:rPr>
          <w:rFonts w:ascii="Open Sans" w:hAnsi="Open Sans" w:cs="Open Sans"/>
          <w:b/>
          <w:bCs/>
          <w:i/>
          <w:iCs/>
          <w:color w:val="231F20"/>
          <w:sz w:val="20"/>
          <w:szCs w:val="20"/>
        </w:rPr>
        <w:t xml:space="preserve">ioeconomy </w:t>
      </w:r>
      <w:r w:rsidR="008F79B2" w:rsidRPr="00923427">
        <w:rPr>
          <w:rFonts w:ascii="Open Sans" w:hAnsi="Open Sans" w:cs="Open Sans"/>
          <w:b/>
          <w:bCs/>
          <w:i/>
          <w:iCs/>
          <w:color w:val="231F20"/>
          <w:sz w:val="20"/>
          <w:szCs w:val="20"/>
        </w:rPr>
        <w:t>s</w:t>
      </w:r>
      <w:r w:rsidRPr="00923427">
        <w:rPr>
          <w:rFonts w:ascii="Open Sans" w:hAnsi="Open Sans" w:cs="Open Sans"/>
          <w:b/>
          <w:bCs/>
          <w:i/>
          <w:iCs/>
          <w:color w:val="231F20"/>
          <w:sz w:val="20"/>
          <w:szCs w:val="20"/>
        </w:rPr>
        <w:t>ectors</w:t>
      </w:r>
    </w:p>
    <w:p w14:paraId="75845B77" w14:textId="547A26F7" w:rsidR="006A29DD" w:rsidRPr="00923427" w:rsidRDefault="006A29DD" w:rsidP="006A29DD">
      <w:pPr>
        <w:rPr>
          <w:rFonts w:ascii="Open Sans" w:hAnsi="Open Sans" w:cs="Open Sans"/>
          <w:color w:val="231F20"/>
          <w:sz w:val="20"/>
          <w:szCs w:val="20"/>
        </w:rPr>
      </w:pPr>
      <w:r w:rsidRPr="00923427">
        <w:rPr>
          <w:rFonts w:ascii="Open Sans" w:hAnsi="Open Sans" w:cs="Open Sans"/>
          <w:color w:val="231F20"/>
          <w:sz w:val="20"/>
          <w:szCs w:val="20"/>
        </w:rPr>
        <w:t>All bioeconomy sectors, whether producing feedstock for energy production or something else, will need to ensure materials are produced sustainably.</w:t>
      </w:r>
      <w:r w:rsidRPr="00923427">
        <w:rPr>
          <w:rFonts w:ascii="Open Sans" w:hAnsi="Open Sans" w:cs="Open Sans"/>
          <w:b/>
          <w:bCs/>
          <w:color w:val="231F20"/>
          <w:sz w:val="20"/>
          <w:szCs w:val="20"/>
        </w:rPr>
        <w:t xml:space="preserve"> </w:t>
      </w:r>
      <w:r w:rsidRPr="00923427">
        <w:rPr>
          <w:rFonts w:ascii="Open Sans" w:hAnsi="Open Sans" w:cs="Open Sans"/>
          <w:color w:val="231F20"/>
          <w:sz w:val="20"/>
          <w:szCs w:val="20"/>
        </w:rPr>
        <w:t xml:space="preserve">Bioenergy has been in the vanguard of developing modern standards for sustainable sourcing and stewardship of feedstocks. These principles should also be applied to the wider (conventional) bioeconomy including to forestry, </w:t>
      </w:r>
      <w:proofErr w:type="gramStart"/>
      <w:r w:rsidRPr="00923427">
        <w:rPr>
          <w:rFonts w:ascii="Open Sans" w:hAnsi="Open Sans" w:cs="Open Sans"/>
          <w:color w:val="231F20"/>
          <w:sz w:val="20"/>
          <w:szCs w:val="20"/>
        </w:rPr>
        <w:t>agriculture</w:t>
      </w:r>
      <w:proofErr w:type="gramEnd"/>
      <w:r w:rsidRPr="00923427">
        <w:rPr>
          <w:rFonts w:ascii="Open Sans" w:hAnsi="Open Sans" w:cs="Open Sans"/>
          <w:color w:val="231F20"/>
          <w:sz w:val="20"/>
          <w:szCs w:val="20"/>
        </w:rPr>
        <w:t xml:space="preserve"> and land-use more generally, and also to new biomaterials.</w:t>
      </w:r>
    </w:p>
    <w:p w14:paraId="7FE5C45C" w14:textId="77777777" w:rsidR="0036441F" w:rsidRDefault="0036441F" w:rsidP="000B71A8">
      <w:pPr>
        <w:spacing w:after="0" w:line="240" w:lineRule="auto"/>
        <w:rPr>
          <w:rFonts w:ascii="Open Sans" w:hAnsi="Open Sans" w:cs="Open Sans"/>
          <w:b/>
          <w:bCs/>
          <w:i/>
          <w:iCs/>
          <w:color w:val="231F20"/>
          <w:sz w:val="20"/>
          <w:szCs w:val="20"/>
        </w:rPr>
      </w:pPr>
    </w:p>
    <w:p w14:paraId="35D6A00D" w14:textId="77777777" w:rsidR="0036441F" w:rsidRDefault="0036441F" w:rsidP="000B71A8">
      <w:pPr>
        <w:spacing w:after="0" w:line="240" w:lineRule="auto"/>
        <w:rPr>
          <w:rFonts w:ascii="Open Sans" w:hAnsi="Open Sans" w:cs="Open Sans"/>
          <w:b/>
          <w:bCs/>
          <w:i/>
          <w:iCs/>
          <w:color w:val="231F20"/>
          <w:sz w:val="20"/>
          <w:szCs w:val="20"/>
        </w:rPr>
      </w:pPr>
    </w:p>
    <w:p w14:paraId="3799EE16" w14:textId="77777777" w:rsidR="0036441F" w:rsidRDefault="0036441F" w:rsidP="000B71A8">
      <w:pPr>
        <w:spacing w:after="0" w:line="240" w:lineRule="auto"/>
        <w:rPr>
          <w:rFonts w:ascii="Open Sans" w:hAnsi="Open Sans" w:cs="Open Sans"/>
          <w:b/>
          <w:bCs/>
          <w:i/>
          <w:iCs/>
          <w:color w:val="231F20"/>
          <w:sz w:val="20"/>
          <w:szCs w:val="20"/>
        </w:rPr>
      </w:pPr>
    </w:p>
    <w:p w14:paraId="31E98545" w14:textId="77777777" w:rsidR="0036441F" w:rsidRDefault="0036441F" w:rsidP="000B71A8">
      <w:pPr>
        <w:spacing w:after="0" w:line="240" w:lineRule="auto"/>
        <w:rPr>
          <w:rFonts w:ascii="Open Sans" w:hAnsi="Open Sans" w:cs="Open Sans"/>
          <w:b/>
          <w:bCs/>
          <w:i/>
          <w:iCs/>
          <w:color w:val="231F20"/>
          <w:sz w:val="20"/>
          <w:szCs w:val="20"/>
        </w:rPr>
      </w:pPr>
    </w:p>
    <w:p w14:paraId="4A965DF9" w14:textId="274F8D39" w:rsidR="00C34BBF" w:rsidRPr="00923427" w:rsidRDefault="00E84AA1" w:rsidP="000B71A8">
      <w:pPr>
        <w:spacing w:after="0" w:line="240" w:lineRule="auto"/>
        <w:rPr>
          <w:rFonts w:ascii="Open Sans" w:hAnsi="Open Sans" w:cs="Open Sans"/>
          <w:b/>
          <w:bCs/>
          <w:i/>
          <w:iCs/>
          <w:color w:val="231F20"/>
          <w:sz w:val="20"/>
          <w:szCs w:val="20"/>
        </w:rPr>
      </w:pPr>
      <w:r w:rsidRPr="00923427">
        <w:rPr>
          <w:rFonts w:ascii="Open Sans" w:hAnsi="Open Sans" w:cs="Open Sans"/>
          <w:b/>
          <w:bCs/>
          <w:i/>
          <w:iCs/>
          <w:color w:val="231F20"/>
          <w:sz w:val="20"/>
          <w:szCs w:val="20"/>
        </w:rPr>
        <w:t xml:space="preserve">International </w:t>
      </w:r>
      <w:r w:rsidR="008F79B2" w:rsidRPr="00923427">
        <w:rPr>
          <w:rFonts w:ascii="Open Sans" w:hAnsi="Open Sans" w:cs="Open Sans"/>
          <w:b/>
          <w:bCs/>
          <w:i/>
          <w:iCs/>
          <w:color w:val="231F20"/>
          <w:sz w:val="20"/>
          <w:szCs w:val="20"/>
        </w:rPr>
        <w:t>e</w:t>
      </w:r>
      <w:r w:rsidRPr="00923427">
        <w:rPr>
          <w:rFonts w:ascii="Open Sans" w:hAnsi="Open Sans" w:cs="Open Sans"/>
          <w:b/>
          <w:bCs/>
          <w:i/>
          <w:iCs/>
          <w:color w:val="231F20"/>
          <w:sz w:val="20"/>
          <w:szCs w:val="20"/>
        </w:rPr>
        <w:t xml:space="preserve">xamples – Growing the </w:t>
      </w:r>
      <w:proofErr w:type="gramStart"/>
      <w:r w:rsidR="00DD57CC">
        <w:rPr>
          <w:rFonts w:ascii="Open Sans" w:hAnsi="Open Sans" w:cs="Open Sans"/>
          <w:b/>
          <w:bCs/>
          <w:i/>
          <w:iCs/>
          <w:color w:val="231F20"/>
          <w:sz w:val="20"/>
          <w:szCs w:val="20"/>
        </w:rPr>
        <w:t>b</w:t>
      </w:r>
      <w:r w:rsidRPr="00923427">
        <w:rPr>
          <w:rFonts w:ascii="Open Sans" w:hAnsi="Open Sans" w:cs="Open Sans"/>
          <w:b/>
          <w:bCs/>
          <w:i/>
          <w:iCs/>
          <w:color w:val="231F20"/>
          <w:sz w:val="20"/>
          <w:szCs w:val="20"/>
        </w:rPr>
        <w:t>ioeconomy</w:t>
      </w:r>
      <w:proofErr w:type="gramEnd"/>
    </w:p>
    <w:p w14:paraId="0D7E9D23" w14:textId="77777777" w:rsidR="00E84AA1" w:rsidRPr="00923427" w:rsidRDefault="00E84AA1" w:rsidP="000B71A8">
      <w:pPr>
        <w:spacing w:after="0" w:line="240" w:lineRule="auto"/>
        <w:rPr>
          <w:rFonts w:ascii="Open Sans" w:hAnsi="Open Sans" w:cs="Open Sans"/>
          <w:b/>
          <w:bCs/>
          <w:color w:val="231F20"/>
          <w:sz w:val="20"/>
          <w:szCs w:val="20"/>
        </w:rPr>
      </w:pPr>
    </w:p>
    <w:p w14:paraId="2DF25720" w14:textId="7A83DD8E" w:rsidR="00E84AA1" w:rsidRPr="00923427" w:rsidRDefault="00E84AA1" w:rsidP="00406304">
      <w:pPr>
        <w:spacing w:after="0" w:line="240" w:lineRule="auto"/>
        <w:rPr>
          <w:rFonts w:ascii="Open Sans" w:hAnsi="Open Sans" w:cs="Open Sans"/>
          <w:color w:val="231F20"/>
          <w:sz w:val="20"/>
          <w:szCs w:val="20"/>
        </w:rPr>
      </w:pPr>
      <w:r w:rsidRPr="00923427">
        <w:rPr>
          <w:rFonts w:ascii="Open Sans" w:hAnsi="Open Sans" w:cs="Open Sans"/>
          <w:color w:val="231F20"/>
          <w:sz w:val="20"/>
          <w:szCs w:val="20"/>
        </w:rPr>
        <w:t>The England Tree Action Plan recognise</w:t>
      </w:r>
      <w:r w:rsidR="00EF288A" w:rsidRPr="00923427">
        <w:rPr>
          <w:rFonts w:ascii="Open Sans" w:hAnsi="Open Sans" w:cs="Open Sans"/>
          <w:color w:val="231F20"/>
          <w:sz w:val="20"/>
          <w:szCs w:val="20"/>
        </w:rPr>
        <w:t>s</w:t>
      </w:r>
      <w:r w:rsidRPr="00923427">
        <w:rPr>
          <w:rFonts w:ascii="Open Sans" w:hAnsi="Open Sans" w:cs="Open Sans"/>
          <w:color w:val="231F20"/>
          <w:sz w:val="20"/>
          <w:szCs w:val="20"/>
        </w:rPr>
        <w:t xml:space="preserve"> the need for significant reforestation across the UK.</w:t>
      </w:r>
      <w:r w:rsidR="00EF288A" w:rsidRPr="00923427">
        <w:rPr>
          <w:rStyle w:val="FootnoteReference"/>
          <w:rFonts w:ascii="Open Sans" w:hAnsi="Open Sans" w:cs="Open Sans"/>
          <w:color w:val="231F20"/>
          <w:sz w:val="20"/>
          <w:szCs w:val="20"/>
        </w:rPr>
        <w:footnoteReference w:id="29"/>
      </w:r>
      <w:r w:rsidRPr="00923427">
        <w:rPr>
          <w:rFonts w:ascii="Open Sans" w:hAnsi="Open Sans" w:cs="Open Sans"/>
          <w:color w:val="231F20"/>
          <w:sz w:val="20"/>
          <w:szCs w:val="20"/>
        </w:rPr>
        <w:t xml:space="preserve"> Equally the CCC Net Zero report has called for up to a fifth of agricultural land to shift to alternative uses that support emission reduction such as afforest</w:t>
      </w:r>
      <w:r w:rsidR="00406304" w:rsidRPr="00923427">
        <w:rPr>
          <w:rFonts w:ascii="Open Sans" w:hAnsi="Open Sans" w:cs="Open Sans"/>
          <w:color w:val="231F20"/>
          <w:sz w:val="20"/>
          <w:szCs w:val="20"/>
        </w:rPr>
        <w:t>ation, biomass production and peatland restoration. The report also called for increased woodland and hedgerow planting on farms - a doubling of current tree planting rates and the extension of hedgerow length by 40 percent.</w:t>
      </w:r>
      <w:r w:rsidR="00EF288A" w:rsidRPr="00923427">
        <w:rPr>
          <w:rStyle w:val="FootnoteReference"/>
          <w:rFonts w:ascii="Open Sans" w:hAnsi="Open Sans" w:cs="Open Sans"/>
          <w:color w:val="231F20"/>
          <w:sz w:val="20"/>
          <w:szCs w:val="20"/>
        </w:rPr>
        <w:footnoteReference w:id="30"/>
      </w:r>
      <w:r w:rsidR="00406304" w:rsidRPr="00923427">
        <w:rPr>
          <w:rFonts w:ascii="Open Sans" w:hAnsi="Open Sans" w:cs="Open Sans"/>
          <w:color w:val="231F20"/>
          <w:sz w:val="20"/>
          <w:szCs w:val="20"/>
        </w:rPr>
        <w:t xml:space="preserve"> By looking at other parts of the world, we can see</w:t>
      </w:r>
      <w:r w:rsidR="00EF288A" w:rsidRPr="00923427">
        <w:rPr>
          <w:rFonts w:ascii="Open Sans" w:hAnsi="Open Sans" w:cs="Open Sans"/>
          <w:color w:val="231F20"/>
          <w:sz w:val="20"/>
          <w:szCs w:val="20"/>
        </w:rPr>
        <w:t xml:space="preserve"> how</w:t>
      </w:r>
      <w:r w:rsidR="00406304" w:rsidRPr="00923427">
        <w:rPr>
          <w:rFonts w:ascii="Open Sans" w:hAnsi="Open Sans" w:cs="Open Sans"/>
          <w:color w:val="231F20"/>
          <w:sz w:val="20"/>
          <w:szCs w:val="20"/>
        </w:rPr>
        <w:t xml:space="preserve"> sustainable bioenergy can play a crucial role in optimising land use.</w:t>
      </w:r>
    </w:p>
    <w:p w14:paraId="5516BFAC" w14:textId="64C40DF6" w:rsidR="00406304" w:rsidRPr="00923427" w:rsidRDefault="00406304" w:rsidP="00406304">
      <w:pPr>
        <w:spacing w:after="0" w:line="240" w:lineRule="auto"/>
        <w:rPr>
          <w:rFonts w:ascii="Open Sans" w:hAnsi="Open Sans" w:cs="Open Sans"/>
          <w:color w:val="231F20"/>
          <w:sz w:val="20"/>
          <w:szCs w:val="20"/>
        </w:rPr>
      </w:pPr>
    </w:p>
    <w:p w14:paraId="7185FF1B" w14:textId="2C2A0B9F" w:rsidR="00406304" w:rsidRPr="00923427" w:rsidRDefault="00406304" w:rsidP="00406304">
      <w:pPr>
        <w:spacing w:after="0" w:line="240" w:lineRule="auto"/>
        <w:rPr>
          <w:rFonts w:ascii="Open Sans" w:hAnsi="Open Sans" w:cs="Open Sans"/>
          <w:color w:val="231F20"/>
          <w:sz w:val="20"/>
          <w:szCs w:val="20"/>
        </w:rPr>
      </w:pPr>
      <w:r w:rsidRPr="00923427">
        <w:rPr>
          <w:rFonts w:ascii="Open Sans" w:hAnsi="Open Sans" w:cs="Open Sans"/>
          <w:color w:val="231F20"/>
          <w:sz w:val="20"/>
          <w:szCs w:val="20"/>
        </w:rPr>
        <w:t>In the United States, for example, overall forest resources have increased by more than 50% during the last 60 years and by 94% in the US Southeast.</w:t>
      </w:r>
      <w:r w:rsidR="00EF288A" w:rsidRPr="00923427">
        <w:rPr>
          <w:rStyle w:val="FootnoteReference"/>
          <w:rFonts w:ascii="Open Sans" w:hAnsi="Open Sans" w:cs="Open Sans"/>
          <w:color w:val="231F20"/>
          <w:sz w:val="20"/>
          <w:szCs w:val="20"/>
        </w:rPr>
        <w:footnoteReference w:id="31"/>
      </w:r>
      <w:r w:rsidRPr="00923427">
        <w:rPr>
          <w:rFonts w:ascii="Open Sans" w:hAnsi="Open Sans" w:cs="Open Sans"/>
          <w:color w:val="231F20"/>
          <w:sz w:val="20"/>
          <w:szCs w:val="20"/>
        </w:rPr>
        <w:t xml:space="preserve"> This has been achieved by incentivising landowners to convert underutilised land to forestry and has been accompanied by an even larger increase in the demand for forest products from sustainably managed forest, including feedstocks for bioenergy.</w:t>
      </w:r>
    </w:p>
    <w:p w14:paraId="3C98AB91" w14:textId="77777777" w:rsidR="00406304" w:rsidRPr="00923427" w:rsidRDefault="00406304" w:rsidP="00406304">
      <w:pPr>
        <w:spacing w:after="0" w:line="240" w:lineRule="auto"/>
        <w:rPr>
          <w:rFonts w:ascii="Open Sans" w:hAnsi="Open Sans" w:cs="Open Sans"/>
          <w:color w:val="231F20"/>
          <w:sz w:val="20"/>
          <w:szCs w:val="20"/>
        </w:rPr>
      </w:pPr>
    </w:p>
    <w:p w14:paraId="47FA9DC9" w14:textId="44A3F3EC" w:rsidR="00406304" w:rsidRPr="00923427" w:rsidRDefault="00406304" w:rsidP="00406304">
      <w:pPr>
        <w:spacing w:after="0" w:line="240" w:lineRule="auto"/>
        <w:rPr>
          <w:rFonts w:ascii="Open Sans" w:hAnsi="Open Sans" w:cs="Open Sans"/>
          <w:color w:val="231F20"/>
          <w:sz w:val="20"/>
          <w:szCs w:val="20"/>
        </w:rPr>
      </w:pPr>
      <w:r w:rsidRPr="00923427">
        <w:rPr>
          <w:rFonts w:ascii="Open Sans" w:hAnsi="Open Sans" w:cs="Open Sans"/>
          <w:color w:val="231F20"/>
          <w:sz w:val="20"/>
          <w:szCs w:val="20"/>
        </w:rPr>
        <w:t xml:space="preserve">Most of the trees harvested in the US </w:t>
      </w:r>
      <w:r w:rsidR="00D6282B" w:rsidRPr="00923427">
        <w:rPr>
          <w:rFonts w:ascii="Open Sans" w:hAnsi="Open Sans" w:cs="Open Sans"/>
          <w:color w:val="231F20"/>
          <w:sz w:val="20"/>
          <w:szCs w:val="20"/>
        </w:rPr>
        <w:t xml:space="preserve">Southeast </w:t>
      </w:r>
      <w:r w:rsidRPr="00923427">
        <w:rPr>
          <w:rFonts w:ascii="Open Sans" w:hAnsi="Open Sans" w:cs="Open Sans"/>
          <w:color w:val="231F20"/>
          <w:sz w:val="20"/>
          <w:szCs w:val="20"/>
        </w:rPr>
        <w:t>forest-based economy are used to make long-lived products such as housing construction and furniture. The US Southeast provides one-sixth of the timber that is used globally each year, and forests cover 99 million hectares (</w:t>
      </w:r>
      <w:proofErr w:type="spellStart"/>
      <w:r w:rsidRPr="00923427">
        <w:rPr>
          <w:rFonts w:ascii="Open Sans" w:hAnsi="Open Sans" w:cs="Open Sans"/>
          <w:color w:val="231F20"/>
          <w:sz w:val="20"/>
          <w:szCs w:val="20"/>
        </w:rPr>
        <w:t>Mha</w:t>
      </w:r>
      <w:proofErr w:type="spellEnd"/>
      <w:r w:rsidRPr="00923427">
        <w:rPr>
          <w:rFonts w:ascii="Open Sans" w:hAnsi="Open Sans" w:cs="Open Sans"/>
          <w:color w:val="231F20"/>
          <w:sz w:val="20"/>
          <w:szCs w:val="20"/>
        </w:rPr>
        <w:t>) of land (more than 45% of total area) in the region. The forest industry contributes nearly USD 48 billion annually to the regional economy.</w:t>
      </w:r>
      <w:r w:rsidR="00D6282B" w:rsidRPr="00923427">
        <w:rPr>
          <w:rFonts w:ascii="Open Sans" w:hAnsi="Open Sans" w:cs="Open Sans"/>
          <w:color w:val="231F20"/>
          <w:sz w:val="20"/>
          <w:szCs w:val="20"/>
        </w:rPr>
        <w:t xml:space="preserve"> </w:t>
      </w:r>
      <w:r w:rsidR="00D6282B" w:rsidRPr="00923427">
        <w:rPr>
          <w:rFonts w:ascii="Open Sans" w:hAnsi="Open Sans" w:cs="Open Sans"/>
          <w:color w:val="231F20"/>
          <w:sz w:val="20"/>
          <w:szCs w:val="20"/>
          <w:vertAlign w:val="superscript"/>
        </w:rPr>
        <w:t>28</w:t>
      </w:r>
    </w:p>
    <w:p w14:paraId="74840620" w14:textId="77777777" w:rsidR="00406304" w:rsidRPr="00923427" w:rsidRDefault="00406304" w:rsidP="00406304">
      <w:pPr>
        <w:spacing w:after="0" w:line="240" w:lineRule="auto"/>
        <w:rPr>
          <w:rFonts w:ascii="Open Sans" w:hAnsi="Open Sans" w:cs="Open Sans"/>
          <w:color w:val="231F20"/>
          <w:sz w:val="20"/>
          <w:szCs w:val="20"/>
        </w:rPr>
      </w:pPr>
    </w:p>
    <w:p w14:paraId="50588676" w14:textId="7C668CE3" w:rsidR="00406304" w:rsidRPr="00923427" w:rsidRDefault="00406304" w:rsidP="00406304">
      <w:pPr>
        <w:spacing w:after="0" w:line="240" w:lineRule="auto"/>
        <w:rPr>
          <w:rFonts w:ascii="Open Sans" w:hAnsi="Open Sans" w:cs="Open Sans"/>
          <w:color w:val="231F20"/>
          <w:sz w:val="20"/>
          <w:szCs w:val="20"/>
        </w:rPr>
      </w:pPr>
      <w:r w:rsidRPr="00923427">
        <w:rPr>
          <w:rFonts w:ascii="Open Sans" w:hAnsi="Open Sans" w:cs="Open Sans"/>
          <w:color w:val="231F20"/>
          <w:sz w:val="20"/>
          <w:szCs w:val="20"/>
        </w:rPr>
        <w:t>In Sweden, the total standing volume of trees has doubled in the last 100 years</w:t>
      </w:r>
      <w:r w:rsidR="002A7067" w:rsidRPr="00923427">
        <w:rPr>
          <w:rFonts w:ascii="Open Sans" w:hAnsi="Open Sans" w:cs="Open Sans"/>
          <w:color w:val="231F20"/>
          <w:sz w:val="20"/>
          <w:szCs w:val="20"/>
        </w:rPr>
        <w:t xml:space="preserve">. This is </w:t>
      </w:r>
      <w:r w:rsidRPr="00923427">
        <w:rPr>
          <w:rFonts w:ascii="Open Sans" w:hAnsi="Open Sans" w:cs="Open Sans"/>
          <w:color w:val="231F20"/>
          <w:sz w:val="20"/>
          <w:szCs w:val="20"/>
        </w:rPr>
        <w:t>largely because of Sweden’s commitment to bioenergy</w:t>
      </w:r>
      <w:r w:rsidR="002A7067" w:rsidRPr="00923427">
        <w:rPr>
          <w:rFonts w:ascii="Open Sans" w:hAnsi="Open Sans" w:cs="Open Sans"/>
          <w:color w:val="231F20"/>
          <w:sz w:val="20"/>
          <w:szCs w:val="20"/>
        </w:rPr>
        <w:t>, including more than 40% of their heat networks being powered by sustainable biomass</w:t>
      </w:r>
      <w:r w:rsidR="00D6282B" w:rsidRPr="00923427">
        <w:rPr>
          <w:rFonts w:ascii="Open Sans" w:hAnsi="Open Sans" w:cs="Open Sans"/>
          <w:color w:val="231F20"/>
          <w:sz w:val="20"/>
          <w:szCs w:val="20"/>
        </w:rPr>
        <w:t xml:space="preserve">. </w:t>
      </w:r>
      <w:r w:rsidR="00D6282B" w:rsidRPr="00923427">
        <w:rPr>
          <w:rStyle w:val="FootnoteReference"/>
          <w:rFonts w:ascii="Open Sans" w:hAnsi="Open Sans" w:cs="Open Sans"/>
          <w:color w:val="231F20"/>
          <w:sz w:val="20"/>
          <w:szCs w:val="20"/>
        </w:rPr>
        <w:footnoteReference w:id="32"/>
      </w:r>
      <w:r w:rsidR="002A7067" w:rsidRPr="00923427">
        <w:rPr>
          <w:rFonts w:ascii="Open Sans" w:hAnsi="Open Sans" w:cs="Open Sans"/>
          <w:color w:val="231F20"/>
          <w:sz w:val="20"/>
          <w:szCs w:val="20"/>
        </w:rPr>
        <w:t xml:space="preserve"> </w:t>
      </w:r>
      <w:r w:rsidRPr="00923427">
        <w:rPr>
          <w:rFonts w:ascii="Open Sans" w:hAnsi="Open Sans" w:cs="Open Sans"/>
          <w:color w:val="231F20"/>
          <w:sz w:val="20"/>
          <w:szCs w:val="20"/>
        </w:rPr>
        <w:t xml:space="preserve">The current forest cover in Sweden amounts to 28 </w:t>
      </w:r>
      <w:proofErr w:type="spellStart"/>
      <w:r w:rsidRPr="00923427">
        <w:rPr>
          <w:rFonts w:ascii="Open Sans" w:hAnsi="Open Sans" w:cs="Open Sans"/>
          <w:color w:val="231F20"/>
          <w:sz w:val="20"/>
          <w:szCs w:val="20"/>
        </w:rPr>
        <w:t>Mha</w:t>
      </w:r>
      <w:proofErr w:type="spellEnd"/>
      <w:r w:rsidRPr="00923427">
        <w:rPr>
          <w:rFonts w:ascii="Open Sans" w:hAnsi="Open Sans" w:cs="Open Sans"/>
          <w:color w:val="231F20"/>
          <w:sz w:val="20"/>
          <w:szCs w:val="20"/>
        </w:rPr>
        <w:t xml:space="preserve">, of which 23 </w:t>
      </w:r>
      <w:proofErr w:type="spellStart"/>
      <w:r w:rsidRPr="00923427">
        <w:rPr>
          <w:rFonts w:ascii="Open Sans" w:hAnsi="Open Sans" w:cs="Open Sans"/>
          <w:color w:val="231F20"/>
          <w:sz w:val="20"/>
          <w:szCs w:val="20"/>
        </w:rPr>
        <w:t>Mha</w:t>
      </w:r>
      <w:proofErr w:type="spellEnd"/>
      <w:r w:rsidRPr="00923427">
        <w:rPr>
          <w:rFonts w:ascii="Open Sans" w:hAnsi="Open Sans" w:cs="Open Sans"/>
          <w:color w:val="231F20"/>
          <w:sz w:val="20"/>
          <w:szCs w:val="20"/>
        </w:rPr>
        <w:t xml:space="preserve"> are productively managed forests, (a land area </w:t>
      </w:r>
      <w:r w:rsidR="00FF1DD7" w:rsidRPr="00923427">
        <w:rPr>
          <w:rFonts w:ascii="Open Sans" w:hAnsi="Open Sans" w:cs="Open Sans"/>
          <w:color w:val="231F20"/>
          <w:sz w:val="20"/>
          <w:szCs w:val="20"/>
        </w:rPr>
        <w:t>like</w:t>
      </w:r>
      <w:r w:rsidRPr="00923427">
        <w:rPr>
          <w:rFonts w:ascii="Open Sans" w:hAnsi="Open Sans" w:cs="Open Sans"/>
          <w:color w:val="231F20"/>
          <w:sz w:val="20"/>
          <w:szCs w:val="20"/>
        </w:rPr>
        <w:t xml:space="preserve"> that of the United Kingdom). Around 300,000 small-scale private forest owners own half of the forest land. The market for bioenergy provides jobs for the whole country, of great significance for smaller, rural, communities.</w:t>
      </w:r>
      <w:r w:rsidR="00D6282B" w:rsidRPr="00923427">
        <w:rPr>
          <w:rStyle w:val="FootnoteReference"/>
          <w:rFonts w:ascii="Open Sans" w:hAnsi="Open Sans" w:cs="Open Sans"/>
          <w:color w:val="231F20"/>
          <w:sz w:val="20"/>
          <w:szCs w:val="20"/>
        </w:rPr>
        <w:footnoteReference w:id="33"/>
      </w:r>
      <w:r w:rsidRPr="00923427">
        <w:rPr>
          <w:rFonts w:ascii="Open Sans" w:hAnsi="Open Sans" w:cs="Open Sans"/>
          <w:color w:val="231F20"/>
          <w:sz w:val="20"/>
          <w:szCs w:val="20"/>
        </w:rPr>
        <w:t xml:space="preserve">  </w:t>
      </w:r>
    </w:p>
    <w:p w14:paraId="76DD2D86" w14:textId="610CFDBF" w:rsidR="00220257" w:rsidRPr="00923427" w:rsidRDefault="00220257" w:rsidP="00406304">
      <w:pPr>
        <w:pBdr>
          <w:bottom w:val="single" w:sz="6" w:space="1" w:color="auto"/>
        </w:pBdr>
        <w:spacing w:after="0" w:line="240" w:lineRule="auto"/>
        <w:rPr>
          <w:rFonts w:ascii="Open Sans" w:hAnsi="Open Sans" w:cs="Open Sans"/>
          <w:color w:val="231F20"/>
          <w:sz w:val="20"/>
          <w:szCs w:val="20"/>
        </w:rPr>
      </w:pPr>
    </w:p>
    <w:p w14:paraId="601EDE27" w14:textId="47E45A49" w:rsidR="00E84AA1" w:rsidRPr="00923427" w:rsidRDefault="00E84AA1" w:rsidP="000B71A8">
      <w:pPr>
        <w:spacing w:after="0" w:line="240" w:lineRule="auto"/>
        <w:rPr>
          <w:rFonts w:ascii="Open Sans" w:hAnsi="Open Sans" w:cs="Open Sans"/>
          <w:b/>
          <w:bCs/>
          <w:color w:val="231F20"/>
          <w:sz w:val="20"/>
          <w:szCs w:val="20"/>
        </w:rPr>
      </w:pPr>
    </w:p>
    <w:p w14:paraId="5BCE64B8" w14:textId="3D77E1D5" w:rsidR="005C0948" w:rsidRPr="00923427" w:rsidRDefault="00ED0279" w:rsidP="00882FC4">
      <w:pPr>
        <w:rPr>
          <w:rFonts w:ascii="Open Sans" w:hAnsi="Open Sans" w:cs="Open Sans"/>
          <w:b/>
          <w:bCs/>
          <w:color w:val="2F5496"/>
          <w:sz w:val="20"/>
          <w:szCs w:val="20"/>
        </w:rPr>
      </w:pPr>
      <w:r w:rsidRPr="00923427">
        <w:rPr>
          <w:rFonts w:ascii="Open Sans" w:hAnsi="Open Sans" w:cs="Open Sans"/>
          <w:b/>
          <w:bCs/>
          <w:color w:val="2F5496"/>
          <w:sz w:val="20"/>
          <w:szCs w:val="20"/>
        </w:rPr>
        <w:t>6. What are the main challenges and barriers to increasing our domestic supply of sustainable biomass from different sources?</w:t>
      </w:r>
    </w:p>
    <w:p w14:paraId="13CE0D78" w14:textId="294F4E63" w:rsidR="00CF244E" w:rsidRPr="00923427" w:rsidRDefault="00CF244E" w:rsidP="00CF244E">
      <w:pPr>
        <w:textAlignment w:val="center"/>
        <w:rPr>
          <w:rFonts w:ascii="Open Sans" w:hAnsi="Open Sans" w:cs="Open Sans"/>
          <w:b/>
          <w:bCs/>
          <w:i/>
          <w:iCs/>
          <w:sz w:val="20"/>
          <w:szCs w:val="20"/>
        </w:rPr>
      </w:pPr>
      <w:r w:rsidRPr="00923427">
        <w:rPr>
          <w:rFonts w:ascii="Open Sans" w:hAnsi="Open Sans" w:cs="Open Sans"/>
          <w:b/>
          <w:bCs/>
          <w:i/>
          <w:iCs/>
          <w:sz w:val="20"/>
          <w:szCs w:val="20"/>
        </w:rPr>
        <w:t>Recognise forest economies</w:t>
      </w:r>
      <w:r w:rsidR="00BE78C3" w:rsidRPr="00923427">
        <w:rPr>
          <w:rFonts w:ascii="Open Sans" w:hAnsi="Open Sans" w:cs="Open Sans"/>
          <w:b/>
          <w:bCs/>
          <w:i/>
          <w:iCs/>
          <w:sz w:val="20"/>
          <w:szCs w:val="20"/>
        </w:rPr>
        <w:t xml:space="preserve">, </w:t>
      </w:r>
      <w:r w:rsidRPr="00923427">
        <w:rPr>
          <w:rFonts w:ascii="Open Sans" w:hAnsi="Open Sans" w:cs="Open Sans"/>
          <w:b/>
          <w:bCs/>
          <w:i/>
          <w:iCs/>
          <w:sz w:val="20"/>
          <w:szCs w:val="20"/>
        </w:rPr>
        <w:t>product end-uses</w:t>
      </w:r>
      <w:r w:rsidR="00BE78C3" w:rsidRPr="00923427">
        <w:rPr>
          <w:rFonts w:ascii="Open Sans" w:hAnsi="Open Sans" w:cs="Open Sans"/>
          <w:b/>
          <w:bCs/>
          <w:i/>
          <w:iCs/>
          <w:sz w:val="20"/>
          <w:szCs w:val="20"/>
        </w:rPr>
        <w:t xml:space="preserve"> and security of offtake contracts</w:t>
      </w:r>
      <w:r w:rsidRPr="00923427">
        <w:rPr>
          <w:rFonts w:ascii="Open Sans" w:hAnsi="Open Sans" w:cs="Open Sans"/>
          <w:b/>
          <w:bCs/>
          <w:i/>
          <w:iCs/>
          <w:sz w:val="20"/>
          <w:szCs w:val="20"/>
        </w:rPr>
        <w:t xml:space="preserve"> to grow </w:t>
      </w:r>
      <w:r w:rsidR="00BE78C3" w:rsidRPr="00923427">
        <w:rPr>
          <w:rFonts w:ascii="Open Sans" w:hAnsi="Open Sans" w:cs="Open Sans"/>
          <w:b/>
          <w:bCs/>
          <w:i/>
          <w:iCs/>
          <w:sz w:val="20"/>
          <w:szCs w:val="20"/>
        </w:rPr>
        <w:t>supply.</w:t>
      </w:r>
      <w:r w:rsidR="008374D7" w:rsidRPr="00923427">
        <w:rPr>
          <w:rFonts w:ascii="Open Sans" w:hAnsi="Open Sans" w:cs="Open Sans"/>
          <w:b/>
          <w:bCs/>
          <w:i/>
          <w:iCs/>
          <w:sz w:val="20"/>
          <w:szCs w:val="20"/>
        </w:rPr>
        <w:t xml:space="preserve"> </w:t>
      </w:r>
    </w:p>
    <w:p w14:paraId="2026D4EF" w14:textId="083A2FE1" w:rsidR="00BE78C3" w:rsidRPr="00923427" w:rsidRDefault="00B54056" w:rsidP="00B16A3E">
      <w:pPr>
        <w:textAlignment w:val="center"/>
        <w:rPr>
          <w:rFonts w:ascii="Open Sans" w:hAnsi="Open Sans" w:cs="Open Sans"/>
          <w:sz w:val="20"/>
          <w:szCs w:val="20"/>
        </w:rPr>
      </w:pPr>
      <w:r w:rsidRPr="00923427">
        <w:rPr>
          <w:rFonts w:ascii="Open Sans" w:hAnsi="Open Sans" w:cs="Open Sans"/>
          <w:sz w:val="20"/>
          <w:szCs w:val="20"/>
        </w:rPr>
        <w:t xml:space="preserve">The primary barriers to realising </w:t>
      </w:r>
      <w:r w:rsidR="00B55094" w:rsidRPr="00923427">
        <w:rPr>
          <w:rFonts w:ascii="Open Sans" w:hAnsi="Open Sans" w:cs="Open Sans"/>
          <w:sz w:val="20"/>
          <w:szCs w:val="20"/>
        </w:rPr>
        <w:t>growth of domestic bioenergy feedstocks is</w:t>
      </w:r>
      <w:r w:rsidR="000D5F16" w:rsidRPr="00923427">
        <w:rPr>
          <w:rFonts w:ascii="Open Sans" w:hAnsi="Open Sans" w:cs="Open Sans"/>
          <w:sz w:val="20"/>
          <w:szCs w:val="20"/>
        </w:rPr>
        <w:t xml:space="preserve"> a lack of landowner and investor confidence in a consistent and stable demand for future bioenergy products.</w:t>
      </w:r>
      <w:r w:rsidR="00BE78C3" w:rsidRPr="00923427">
        <w:rPr>
          <w:rFonts w:ascii="Open Sans" w:hAnsi="Open Sans" w:cs="Open Sans"/>
          <w:sz w:val="20"/>
          <w:szCs w:val="20"/>
        </w:rPr>
        <w:t xml:space="preserve"> This makes it difficult to have long term stable offtake contracts with bioenergy users, which is necessary to provide confidence to landowners to commit to investing and growing trees for biomass supply or energy crops.  </w:t>
      </w:r>
    </w:p>
    <w:p w14:paraId="168BC846" w14:textId="25EA14A5" w:rsidR="00CF244E" w:rsidRPr="00923427" w:rsidRDefault="000D5F16" w:rsidP="00B16A3E">
      <w:pPr>
        <w:textAlignment w:val="center"/>
        <w:rPr>
          <w:rFonts w:ascii="Open Sans" w:hAnsi="Open Sans" w:cs="Open Sans"/>
          <w:sz w:val="20"/>
          <w:szCs w:val="20"/>
        </w:rPr>
      </w:pPr>
      <w:r w:rsidRPr="00923427">
        <w:rPr>
          <w:rFonts w:ascii="Open Sans" w:hAnsi="Open Sans" w:cs="Open Sans"/>
          <w:sz w:val="20"/>
          <w:szCs w:val="20"/>
        </w:rPr>
        <w:t xml:space="preserve"> A lack of clear policy relating to both the growth of separate bioenergy sectors, or adequate reward for growing forestry or agricultural products</w:t>
      </w:r>
      <w:r w:rsidR="00CF244E" w:rsidRPr="00923427">
        <w:rPr>
          <w:rFonts w:ascii="Open Sans" w:hAnsi="Open Sans" w:cs="Open Sans"/>
          <w:sz w:val="20"/>
          <w:szCs w:val="20"/>
        </w:rPr>
        <w:t xml:space="preserve">, </w:t>
      </w:r>
      <w:r w:rsidRPr="00923427">
        <w:rPr>
          <w:rFonts w:ascii="Open Sans" w:hAnsi="Open Sans" w:cs="Open Sans"/>
          <w:sz w:val="20"/>
          <w:szCs w:val="20"/>
        </w:rPr>
        <w:t>are a barrier to further growth of the sector.</w:t>
      </w:r>
      <w:r w:rsidR="009F6874" w:rsidRPr="00923427">
        <w:rPr>
          <w:rFonts w:ascii="Open Sans" w:hAnsi="Open Sans" w:cs="Open Sans"/>
          <w:sz w:val="20"/>
          <w:szCs w:val="20"/>
        </w:rPr>
        <w:t xml:space="preserve"> </w:t>
      </w:r>
      <w:r w:rsidR="00CF244E" w:rsidRPr="00923427">
        <w:rPr>
          <w:rFonts w:ascii="Open Sans" w:hAnsi="Open Sans" w:cs="Open Sans"/>
          <w:sz w:val="20"/>
          <w:szCs w:val="20"/>
        </w:rPr>
        <w:t>F</w:t>
      </w:r>
      <w:r w:rsidR="009F6874" w:rsidRPr="00923427">
        <w:rPr>
          <w:rFonts w:ascii="Open Sans" w:hAnsi="Open Sans" w:cs="Open Sans"/>
          <w:sz w:val="20"/>
          <w:szCs w:val="20"/>
        </w:rPr>
        <w:t xml:space="preserve">orestry </w:t>
      </w:r>
      <w:r w:rsidR="00CF244E" w:rsidRPr="00923427">
        <w:rPr>
          <w:rFonts w:ascii="Open Sans" w:hAnsi="Open Sans" w:cs="Open Sans"/>
          <w:sz w:val="20"/>
          <w:szCs w:val="20"/>
        </w:rPr>
        <w:t>and</w:t>
      </w:r>
      <w:r w:rsidR="009F6874" w:rsidRPr="00923427">
        <w:rPr>
          <w:rFonts w:ascii="Open Sans" w:hAnsi="Open Sans" w:cs="Open Sans"/>
          <w:sz w:val="20"/>
          <w:szCs w:val="20"/>
        </w:rPr>
        <w:t xml:space="preserve"> growth of energy crops </w:t>
      </w:r>
      <w:r w:rsidR="00CF244E" w:rsidRPr="00923427">
        <w:rPr>
          <w:rFonts w:ascii="Open Sans" w:hAnsi="Open Sans" w:cs="Open Sans"/>
          <w:sz w:val="20"/>
          <w:szCs w:val="20"/>
        </w:rPr>
        <w:t>must be seen by landowners and developers as long-term profitable exercise, one that is able to compete with other land uses, especially when feedstock cultivation could provide additional environmental benefits.</w:t>
      </w:r>
      <w:r w:rsidR="00DF171B" w:rsidRPr="00923427">
        <w:rPr>
          <w:rFonts w:ascii="Open Sans" w:hAnsi="Open Sans" w:cs="Open Sans"/>
          <w:sz w:val="20"/>
          <w:szCs w:val="20"/>
        </w:rPr>
        <w:t xml:space="preserve"> </w:t>
      </w:r>
    </w:p>
    <w:p w14:paraId="2D028F72" w14:textId="56D645BF" w:rsidR="00CF244E" w:rsidRPr="00923427" w:rsidRDefault="00CF244E" w:rsidP="00B16A3E">
      <w:pPr>
        <w:textAlignment w:val="center"/>
        <w:rPr>
          <w:rFonts w:ascii="Open Sans" w:hAnsi="Open Sans" w:cs="Open Sans"/>
          <w:sz w:val="20"/>
          <w:szCs w:val="20"/>
        </w:rPr>
      </w:pPr>
      <w:r w:rsidRPr="00923427">
        <w:rPr>
          <w:rFonts w:ascii="Open Sans" w:hAnsi="Open Sans" w:cs="Open Sans"/>
          <w:sz w:val="20"/>
          <w:szCs w:val="20"/>
        </w:rPr>
        <w:t xml:space="preserve"> As it stands forestry policy in the UK so far fails to recognise forest economies for increasing afforestation. It is especially disappointing that the Government recently published England Tree Action Plan fails to </w:t>
      </w:r>
      <w:r w:rsidR="008374D7" w:rsidRPr="00923427">
        <w:rPr>
          <w:rFonts w:ascii="Open Sans" w:hAnsi="Open Sans" w:cs="Open Sans"/>
          <w:sz w:val="20"/>
          <w:szCs w:val="20"/>
        </w:rPr>
        <w:t>support</w:t>
      </w:r>
      <w:r w:rsidRPr="00923427">
        <w:rPr>
          <w:rFonts w:ascii="Open Sans" w:hAnsi="Open Sans" w:cs="Open Sans"/>
          <w:sz w:val="20"/>
          <w:szCs w:val="20"/>
        </w:rPr>
        <w:t xml:space="preserve"> this, despite welcome and ambitious targets for increasing tree cover. The</w:t>
      </w:r>
      <w:r w:rsidR="008374D7" w:rsidRPr="00923427">
        <w:rPr>
          <w:rFonts w:ascii="Open Sans" w:hAnsi="Open Sans" w:cs="Open Sans"/>
          <w:sz w:val="20"/>
          <w:szCs w:val="20"/>
        </w:rPr>
        <w:t xml:space="preserve"> </w:t>
      </w:r>
      <w:r w:rsidRPr="00923427">
        <w:rPr>
          <w:rFonts w:ascii="Open Sans" w:hAnsi="Open Sans" w:cs="Open Sans"/>
          <w:sz w:val="20"/>
          <w:szCs w:val="20"/>
        </w:rPr>
        <w:t xml:space="preserve">absence in the action plan for ensuring long term revenue and paybacks </w:t>
      </w:r>
      <w:r w:rsidR="008374D7" w:rsidRPr="00923427">
        <w:rPr>
          <w:rFonts w:ascii="Open Sans" w:hAnsi="Open Sans" w:cs="Open Sans"/>
          <w:sz w:val="20"/>
          <w:szCs w:val="20"/>
        </w:rPr>
        <w:t>for landowners, and recognition of end uses for forestry products, means the Action plan is unlikely to succeed and the ambitious targets will</w:t>
      </w:r>
      <w:r w:rsidR="00D6282B" w:rsidRPr="00923427">
        <w:rPr>
          <w:rFonts w:ascii="Open Sans" w:hAnsi="Open Sans" w:cs="Open Sans"/>
          <w:sz w:val="20"/>
          <w:szCs w:val="20"/>
        </w:rPr>
        <w:t xml:space="preserve">, </w:t>
      </w:r>
      <w:r w:rsidR="008374D7" w:rsidRPr="00923427">
        <w:rPr>
          <w:rFonts w:ascii="Open Sans" w:hAnsi="Open Sans" w:cs="Open Sans"/>
          <w:sz w:val="20"/>
          <w:szCs w:val="20"/>
        </w:rPr>
        <w:t>again</w:t>
      </w:r>
      <w:r w:rsidR="00D6282B" w:rsidRPr="00923427">
        <w:rPr>
          <w:rFonts w:ascii="Open Sans" w:hAnsi="Open Sans" w:cs="Open Sans"/>
          <w:sz w:val="20"/>
          <w:szCs w:val="20"/>
        </w:rPr>
        <w:t>,</w:t>
      </w:r>
      <w:r w:rsidR="008374D7" w:rsidRPr="00923427">
        <w:rPr>
          <w:rFonts w:ascii="Open Sans" w:hAnsi="Open Sans" w:cs="Open Sans"/>
          <w:sz w:val="20"/>
          <w:szCs w:val="20"/>
        </w:rPr>
        <w:t xml:space="preserve"> be missed. </w:t>
      </w:r>
      <w:r w:rsidR="00D6282B" w:rsidRPr="00923427">
        <w:rPr>
          <w:rStyle w:val="FootnoteReference"/>
          <w:rFonts w:ascii="Open Sans" w:hAnsi="Open Sans" w:cs="Open Sans"/>
          <w:sz w:val="20"/>
          <w:szCs w:val="20"/>
        </w:rPr>
        <w:footnoteReference w:id="34"/>
      </w:r>
    </w:p>
    <w:p w14:paraId="0D3652CA" w14:textId="3A3501E4" w:rsidR="00D6282B" w:rsidRPr="00923427" w:rsidRDefault="00D6282B" w:rsidP="00B16A3E">
      <w:pPr>
        <w:textAlignment w:val="center"/>
        <w:rPr>
          <w:rFonts w:ascii="Open Sans" w:hAnsi="Open Sans" w:cs="Open Sans"/>
          <w:b/>
          <w:bCs/>
          <w:i/>
          <w:iCs/>
          <w:sz w:val="20"/>
          <w:szCs w:val="20"/>
        </w:rPr>
      </w:pPr>
      <w:r w:rsidRPr="00923427">
        <w:rPr>
          <w:rFonts w:ascii="Open Sans" w:hAnsi="Open Sans" w:cs="Open Sans"/>
          <w:b/>
          <w:bCs/>
          <w:i/>
          <w:iCs/>
          <w:sz w:val="20"/>
          <w:szCs w:val="20"/>
        </w:rPr>
        <w:t>Use the Environmental Land Management Scheme to reward domestic feedstock production.</w:t>
      </w:r>
    </w:p>
    <w:p w14:paraId="68F4522B" w14:textId="2FFCB847" w:rsidR="008374D7" w:rsidRPr="00923427" w:rsidRDefault="008374D7" w:rsidP="00B16A3E">
      <w:pPr>
        <w:textAlignment w:val="center"/>
        <w:rPr>
          <w:rFonts w:ascii="Open Sans" w:hAnsi="Open Sans" w:cs="Open Sans"/>
          <w:sz w:val="20"/>
          <w:szCs w:val="20"/>
        </w:rPr>
      </w:pPr>
      <w:r w:rsidRPr="00923427">
        <w:rPr>
          <w:rFonts w:ascii="Open Sans" w:hAnsi="Open Sans" w:cs="Open Sans"/>
          <w:sz w:val="20"/>
          <w:szCs w:val="20"/>
        </w:rPr>
        <w:t>The UK now have an opportunity in the design of the Environmental Land Management Scheme</w:t>
      </w:r>
      <w:r w:rsidR="00DF171B" w:rsidRPr="00923427">
        <w:rPr>
          <w:rFonts w:ascii="Open Sans" w:hAnsi="Open Sans" w:cs="Open Sans"/>
          <w:sz w:val="20"/>
          <w:szCs w:val="20"/>
        </w:rPr>
        <w:t xml:space="preserve"> (ELMS)</w:t>
      </w:r>
      <w:r w:rsidRPr="00923427">
        <w:rPr>
          <w:rFonts w:ascii="Open Sans" w:hAnsi="Open Sans" w:cs="Open Sans"/>
          <w:sz w:val="20"/>
          <w:szCs w:val="20"/>
        </w:rPr>
        <w:t xml:space="preserve"> to reward the growth of </w:t>
      </w:r>
      <w:r w:rsidR="00DF171B" w:rsidRPr="00923427">
        <w:rPr>
          <w:rFonts w:ascii="Open Sans" w:hAnsi="Open Sans" w:cs="Open Sans"/>
          <w:sz w:val="20"/>
          <w:szCs w:val="20"/>
        </w:rPr>
        <w:t xml:space="preserve">the domestic supply of sustainable biomass for bioenergy, along with the further environmental benefits that can be realised. This involves rewarding landowners for growing commercial plantations, perennial </w:t>
      </w:r>
      <w:proofErr w:type="gramStart"/>
      <w:r w:rsidR="00DF171B" w:rsidRPr="00923427">
        <w:rPr>
          <w:rFonts w:ascii="Open Sans" w:hAnsi="Open Sans" w:cs="Open Sans"/>
          <w:sz w:val="20"/>
          <w:szCs w:val="20"/>
        </w:rPr>
        <w:t>crops</w:t>
      </w:r>
      <w:proofErr w:type="gramEnd"/>
      <w:r w:rsidR="00DF171B" w:rsidRPr="00923427">
        <w:rPr>
          <w:rFonts w:ascii="Open Sans" w:hAnsi="Open Sans" w:cs="Open Sans"/>
          <w:sz w:val="20"/>
          <w:szCs w:val="20"/>
        </w:rPr>
        <w:t xml:space="preserve"> or other energy crops on their land where it is appropriate to do so. In addition, carbon sequestration within these crops, such as within soil or in root systems, should also be rewarded within an active carbon market or through a negative emissions payment. In doing so landowners will be provided a clear business case for the growth of domestic feedstocks and </w:t>
      </w:r>
      <w:r w:rsidR="00D6282B" w:rsidRPr="00923427">
        <w:rPr>
          <w:rFonts w:ascii="Open Sans" w:hAnsi="Open Sans" w:cs="Open Sans"/>
          <w:sz w:val="20"/>
          <w:szCs w:val="20"/>
        </w:rPr>
        <w:t>environmental</w:t>
      </w:r>
      <w:r w:rsidR="00DF171B" w:rsidRPr="00923427">
        <w:rPr>
          <w:rFonts w:ascii="Open Sans" w:hAnsi="Open Sans" w:cs="Open Sans"/>
          <w:sz w:val="20"/>
          <w:szCs w:val="20"/>
        </w:rPr>
        <w:t xml:space="preserve"> benefits </w:t>
      </w:r>
      <w:r w:rsidR="00D6282B" w:rsidRPr="00923427">
        <w:rPr>
          <w:rFonts w:ascii="Open Sans" w:hAnsi="Open Sans" w:cs="Open Sans"/>
          <w:sz w:val="20"/>
          <w:szCs w:val="20"/>
        </w:rPr>
        <w:t>are</w:t>
      </w:r>
      <w:r w:rsidR="00DF171B" w:rsidRPr="00923427">
        <w:rPr>
          <w:rFonts w:ascii="Open Sans" w:hAnsi="Open Sans" w:cs="Open Sans"/>
          <w:sz w:val="20"/>
          <w:szCs w:val="20"/>
        </w:rPr>
        <w:t xml:space="preserve"> rewarded. </w:t>
      </w:r>
    </w:p>
    <w:p w14:paraId="7A6BC843" w14:textId="385534D9" w:rsidR="00DF171B" w:rsidRPr="00923427" w:rsidRDefault="00DF171B" w:rsidP="00B16A3E">
      <w:pPr>
        <w:textAlignment w:val="center"/>
        <w:rPr>
          <w:rFonts w:ascii="Open Sans" w:hAnsi="Open Sans" w:cs="Open Sans"/>
          <w:b/>
          <w:bCs/>
          <w:i/>
          <w:iCs/>
          <w:sz w:val="20"/>
          <w:szCs w:val="20"/>
        </w:rPr>
      </w:pPr>
      <w:r w:rsidRPr="00923427">
        <w:rPr>
          <w:rFonts w:ascii="Open Sans" w:hAnsi="Open Sans" w:cs="Open Sans"/>
          <w:b/>
          <w:bCs/>
          <w:i/>
          <w:iCs/>
          <w:sz w:val="20"/>
          <w:szCs w:val="20"/>
        </w:rPr>
        <w:t xml:space="preserve">Consistent and </w:t>
      </w:r>
      <w:r w:rsidR="004215BC" w:rsidRPr="00923427">
        <w:rPr>
          <w:rFonts w:ascii="Open Sans" w:hAnsi="Open Sans" w:cs="Open Sans"/>
          <w:b/>
          <w:bCs/>
          <w:i/>
          <w:iCs/>
          <w:sz w:val="20"/>
          <w:szCs w:val="20"/>
        </w:rPr>
        <w:t>s</w:t>
      </w:r>
      <w:r w:rsidRPr="00923427">
        <w:rPr>
          <w:rFonts w:ascii="Open Sans" w:hAnsi="Open Sans" w:cs="Open Sans"/>
          <w:b/>
          <w:bCs/>
          <w:i/>
          <w:iCs/>
          <w:sz w:val="20"/>
          <w:szCs w:val="20"/>
        </w:rPr>
        <w:t xml:space="preserve">table </w:t>
      </w:r>
      <w:r w:rsidR="004215BC" w:rsidRPr="00923427">
        <w:rPr>
          <w:rFonts w:ascii="Open Sans" w:hAnsi="Open Sans" w:cs="Open Sans"/>
          <w:b/>
          <w:bCs/>
          <w:i/>
          <w:iCs/>
          <w:sz w:val="20"/>
          <w:szCs w:val="20"/>
        </w:rPr>
        <w:t>b</w:t>
      </w:r>
      <w:r w:rsidRPr="00923427">
        <w:rPr>
          <w:rFonts w:ascii="Open Sans" w:hAnsi="Open Sans" w:cs="Open Sans"/>
          <w:b/>
          <w:bCs/>
          <w:i/>
          <w:iCs/>
          <w:sz w:val="20"/>
          <w:szCs w:val="20"/>
        </w:rPr>
        <w:t xml:space="preserve">ioenergy </w:t>
      </w:r>
      <w:r w:rsidR="004215BC" w:rsidRPr="00923427">
        <w:rPr>
          <w:rFonts w:ascii="Open Sans" w:hAnsi="Open Sans" w:cs="Open Sans"/>
          <w:b/>
          <w:bCs/>
          <w:i/>
          <w:iCs/>
          <w:sz w:val="20"/>
          <w:szCs w:val="20"/>
        </w:rPr>
        <w:t>p</w:t>
      </w:r>
      <w:r w:rsidRPr="00923427">
        <w:rPr>
          <w:rFonts w:ascii="Open Sans" w:hAnsi="Open Sans" w:cs="Open Sans"/>
          <w:b/>
          <w:bCs/>
          <w:i/>
          <w:iCs/>
          <w:sz w:val="20"/>
          <w:szCs w:val="20"/>
        </w:rPr>
        <w:t>olicy</w:t>
      </w:r>
      <w:r w:rsidR="00F62B22" w:rsidRPr="00923427">
        <w:rPr>
          <w:rFonts w:ascii="Open Sans" w:hAnsi="Open Sans" w:cs="Open Sans"/>
          <w:b/>
          <w:bCs/>
          <w:i/>
          <w:iCs/>
          <w:sz w:val="20"/>
          <w:szCs w:val="20"/>
        </w:rPr>
        <w:t xml:space="preserve">, </w:t>
      </w:r>
      <w:r w:rsidR="00133644" w:rsidRPr="00923427">
        <w:rPr>
          <w:rFonts w:ascii="Open Sans" w:hAnsi="Open Sans" w:cs="Open Sans"/>
          <w:b/>
          <w:bCs/>
          <w:i/>
          <w:iCs/>
          <w:sz w:val="20"/>
          <w:szCs w:val="20"/>
        </w:rPr>
        <w:t>such as</w:t>
      </w:r>
      <w:r w:rsidR="00F62B22" w:rsidRPr="00923427">
        <w:rPr>
          <w:rFonts w:ascii="Open Sans" w:hAnsi="Open Sans" w:cs="Open Sans"/>
          <w:b/>
          <w:bCs/>
          <w:i/>
          <w:iCs/>
          <w:sz w:val="20"/>
          <w:szCs w:val="20"/>
        </w:rPr>
        <w:t xml:space="preserve"> provided by the RHI</w:t>
      </w:r>
      <w:r w:rsidR="00DB2928" w:rsidRPr="00923427">
        <w:rPr>
          <w:rFonts w:ascii="Open Sans" w:hAnsi="Open Sans" w:cs="Open Sans"/>
          <w:b/>
          <w:bCs/>
          <w:i/>
          <w:iCs/>
          <w:sz w:val="20"/>
          <w:szCs w:val="20"/>
        </w:rPr>
        <w:t>, RTFO or</w:t>
      </w:r>
      <w:r w:rsidR="00410450" w:rsidRPr="00923427">
        <w:rPr>
          <w:rFonts w:ascii="Open Sans" w:hAnsi="Open Sans" w:cs="Open Sans"/>
          <w:b/>
          <w:bCs/>
          <w:i/>
          <w:iCs/>
          <w:sz w:val="20"/>
          <w:szCs w:val="20"/>
        </w:rPr>
        <w:t xml:space="preserve"> RO</w:t>
      </w:r>
      <w:r w:rsidR="00F62B22" w:rsidRPr="00923427">
        <w:rPr>
          <w:rFonts w:ascii="Open Sans" w:hAnsi="Open Sans" w:cs="Open Sans"/>
          <w:b/>
          <w:bCs/>
          <w:i/>
          <w:iCs/>
          <w:sz w:val="20"/>
          <w:szCs w:val="20"/>
        </w:rPr>
        <w:t>, d</w:t>
      </w:r>
      <w:r w:rsidRPr="00923427">
        <w:rPr>
          <w:rFonts w:ascii="Open Sans" w:hAnsi="Open Sans" w:cs="Open Sans"/>
          <w:b/>
          <w:bCs/>
          <w:i/>
          <w:iCs/>
          <w:sz w:val="20"/>
          <w:szCs w:val="20"/>
        </w:rPr>
        <w:t xml:space="preserve">rives demand for </w:t>
      </w:r>
      <w:r w:rsidR="00D6282B" w:rsidRPr="00923427">
        <w:rPr>
          <w:rFonts w:ascii="Open Sans" w:hAnsi="Open Sans" w:cs="Open Sans"/>
          <w:b/>
          <w:bCs/>
          <w:i/>
          <w:iCs/>
          <w:sz w:val="20"/>
          <w:szCs w:val="20"/>
        </w:rPr>
        <w:t>d</w:t>
      </w:r>
      <w:r w:rsidRPr="00923427">
        <w:rPr>
          <w:rFonts w:ascii="Open Sans" w:hAnsi="Open Sans" w:cs="Open Sans"/>
          <w:b/>
          <w:bCs/>
          <w:i/>
          <w:iCs/>
          <w:sz w:val="20"/>
          <w:szCs w:val="20"/>
        </w:rPr>
        <w:t xml:space="preserve">omestic </w:t>
      </w:r>
      <w:r w:rsidR="00D6282B" w:rsidRPr="00923427">
        <w:rPr>
          <w:rFonts w:ascii="Open Sans" w:hAnsi="Open Sans" w:cs="Open Sans"/>
          <w:b/>
          <w:bCs/>
          <w:i/>
          <w:iCs/>
          <w:sz w:val="20"/>
          <w:szCs w:val="20"/>
        </w:rPr>
        <w:t>f</w:t>
      </w:r>
      <w:r w:rsidR="00410450" w:rsidRPr="00923427">
        <w:rPr>
          <w:rFonts w:ascii="Open Sans" w:hAnsi="Open Sans" w:cs="Open Sans"/>
          <w:b/>
          <w:bCs/>
          <w:i/>
          <w:iCs/>
          <w:sz w:val="20"/>
          <w:szCs w:val="20"/>
        </w:rPr>
        <w:t>eedstocks.</w:t>
      </w:r>
    </w:p>
    <w:p w14:paraId="4AF38FBB" w14:textId="2B4D9DC3" w:rsidR="00DB2928" w:rsidRPr="00923427" w:rsidRDefault="00DF171B" w:rsidP="00B16A3E">
      <w:pPr>
        <w:textAlignment w:val="center"/>
        <w:rPr>
          <w:rFonts w:ascii="Open Sans" w:hAnsi="Open Sans" w:cs="Open Sans"/>
          <w:sz w:val="20"/>
          <w:szCs w:val="20"/>
        </w:rPr>
      </w:pPr>
      <w:r w:rsidRPr="00923427">
        <w:rPr>
          <w:rFonts w:ascii="Open Sans" w:hAnsi="Open Sans" w:cs="Open Sans"/>
          <w:sz w:val="20"/>
          <w:szCs w:val="20"/>
        </w:rPr>
        <w:t xml:space="preserve">As it stands the main demand for domestic forestry pellets in the UK is expected to decline due to their being no comparative replacement to the Non-Domestic Renewable Heat Incentive </w:t>
      </w:r>
      <w:proofErr w:type="gramStart"/>
      <w:r w:rsidR="00D6282B" w:rsidRPr="00923427">
        <w:rPr>
          <w:rFonts w:ascii="Open Sans" w:hAnsi="Open Sans" w:cs="Open Sans"/>
          <w:sz w:val="20"/>
          <w:szCs w:val="20"/>
        </w:rPr>
        <w:t>and  RO</w:t>
      </w:r>
      <w:proofErr w:type="gramEnd"/>
      <w:r w:rsidR="00D6282B" w:rsidRPr="00923427">
        <w:rPr>
          <w:rFonts w:ascii="Open Sans" w:hAnsi="Open Sans" w:cs="Open Sans"/>
          <w:sz w:val="20"/>
          <w:szCs w:val="20"/>
        </w:rPr>
        <w:t xml:space="preserve"> </w:t>
      </w:r>
      <w:r w:rsidR="009D5997">
        <w:rPr>
          <w:rFonts w:ascii="Open Sans" w:hAnsi="Open Sans" w:cs="Open Sans"/>
          <w:sz w:val="20"/>
          <w:szCs w:val="20"/>
        </w:rPr>
        <w:t xml:space="preserve">contracts starting to come to an </w:t>
      </w:r>
      <w:r w:rsidR="00D6282B" w:rsidRPr="00923427">
        <w:rPr>
          <w:rFonts w:ascii="Open Sans" w:hAnsi="Open Sans" w:cs="Open Sans"/>
          <w:sz w:val="20"/>
          <w:szCs w:val="20"/>
        </w:rPr>
        <w:t xml:space="preserve">end in 2027, both of </w:t>
      </w:r>
      <w:r w:rsidRPr="00923427">
        <w:rPr>
          <w:rFonts w:ascii="Open Sans" w:hAnsi="Open Sans" w:cs="Open Sans"/>
          <w:sz w:val="20"/>
          <w:szCs w:val="20"/>
        </w:rPr>
        <w:t xml:space="preserve">which drove the installation of biomass </w:t>
      </w:r>
      <w:r w:rsidR="00D6282B" w:rsidRPr="00923427">
        <w:rPr>
          <w:rFonts w:ascii="Open Sans" w:hAnsi="Open Sans" w:cs="Open Sans"/>
          <w:sz w:val="20"/>
          <w:szCs w:val="20"/>
        </w:rPr>
        <w:t>systems</w:t>
      </w:r>
      <w:r w:rsidRPr="00923427">
        <w:rPr>
          <w:rFonts w:ascii="Open Sans" w:hAnsi="Open Sans" w:cs="Open Sans"/>
          <w:sz w:val="20"/>
          <w:szCs w:val="20"/>
        </w:rPr>
        <w:t xml:space="preserve"> and demand for domestic feedstocks.</w:t>
      </w:r>
      <w:r w:rsidR="00944466" w:rsidRPr="00923427">
        <w:rPr>
          <w:rFonts w:ascii="Open Sans" w:hAnsi="Open Sans" w:cs="Open Sans"/>
          <w:sz w:val="20"/>
          <w:szCs w:val="20"/>
        </w:rPr>
        <w:t xml:space="preserve"> </w:t>
      </w:r>
      <w:r w:rsidR="00DB2928" w:rsidRPr="00923427">
        <w:rPr>
          <w:rFonts w:ascii="Open Sans" w:hAnsi="Open Sans" w:cs="Open Sans"/>
          <w:sz w:val="20"/>
          <w:szCs w:val="20"/>
        </w:rPr>
        <w:t>Bot schemes can be seen to have helped</w:t>
      </w:r>
      <w:r w:rsidR="00944466" w:rsidRPr="00923427">
        <w:rPr>
          <w:rFonts w:ascii="Open Sans" w:hAnsi="Open Sans" w:cs="Open Sans"/>
          <w:sz w:val="20"/>
          <w:szCs w:val="20"/>
        </w:rPr>
        <w:t xml:space="preserve"> bring significant amounts of UK forestry into the management, with the revenues from biomass feedstocks forming an important part of the business case for developing access to and managing healthy productive forests.</w:t>
      </w:r>
      <w:r w:rsidR="00D6282B" w:rsidRPr="00923427">
        <w:rPr>
          <w:rStyle w:val="FootnoteReference"/>
          <w:rFonts w:ascii="Open Sans" w:hAnsi="Open Sans" w:cs="Open Sans"/>
          <w:sz w:val="20"/>
          <w:szCs w:val="20"/>
        </w:rPr>
        <w:footnoteReference w:id="35"/>
      </w:r>
      <w:r w:rsidR="00944466" w:rsidRPr="00923427">
        <w:rPr>
          <w:rFonts w:ascii="Open Sans" w:hAnsi="Open Sans" w:cs="Open Sans"/>
          <w:sz w:val="20"/>
          <w:szCs w:val="20"/>
        </w:rPr>
        <w:t xml:space="preserve"> </w:t>
      </w:r>
    </w:p>
    <w:p w14:paraId="4E795227" w14:textId="6B655E4B" w:rsidR="00CF244E" w:rsidRPr="00923427" w:rsidRDefault="00944466" w:rsidP="00B16A3E">
      <w:pPr>
        <w:textAlignment w:val="center"/>
        <w:rPr>
          <w:rFonts w:ascii="Open Sans" w:hAnsi="Open Sans" w:cs="Open Sans"/>
          <w:sz w:val="20"/>
          <w:szCs w:val="20"/>
        </w:rPr>
      </w:pPr>
      <w:r w:rsidRPr="00923427">
        <w:rPr>
          <w:rFonts w:ascii="Open Sans" w:hAnsi="Open Sans" w:cs="Open Sans"/>
          <w:sz w:val="20"/>
          <w:szCs w:val="20"/>
        </w:rPr>
        <w:t>The lack of any clear policy support for the biomass heat sector</w:t>
      </w:r>
      <w:r w:rsidR="00DB2928" w:rsidRPr="00923427">
        <w:rPr>
          <w:rFonts w:ascii="Open Sans" w:hAnsi="Open Sans" w:cs="Open Sans"/>
          <w:sz w:val="20"/>
          <w:szCs w:val="20"/>
        </w:rPr>
        <w:t xml:space="preserve"> </w:t>
      </w:r>
      <w:r w:rsidRPr="00923427">
        <w:rPr>
          <w:rFonts w:ascii="Open Sans" w:hAnsi="Open Sans" w:cs="Open Sans"/>
          <w:sz w:val="20"/>
          <w:szCs w:val="20"/>
        </w:rPr>
        <w:t>is now a major cause for concern in terms of driving further development of domestic feedstocks as the current sector</w:t>
      </w:r>
      <w:r w:rsidR="00DB2928" w:rsidRPr="00923427">
        <w:rPr>
          <w:rFonts w:ascii="Open Sans" w:hAnsi="Open Sans" w:cs="Open Sans"/>
          <w:sz w:val="20"/>
          <w:szCs w:val="20"/>
        </w:rPr>
        <w:t>s</w:t>
      </w:r>
      <w:r w:rsidRPr="00923427">
        <w:rPr>
          <w:rFonts w:ascii="Open Sans" w:hAnsi="Open Sans" w:cs="Open Sans"/>
          <w:sz w:val="20"/>
          <w:szCs w:val="20"/>
        </w:rPr>
        <w:t xml:space="preserve"> driving demand </w:t>
      </w:r>
      <w:r w:rsidR="00377D30" w:rsidRPr="00923427">
        <w:rPr>
          <w:rFonts w:ascii="Open Sans" w:hAnsi="Open Sans" w:cs="Open Sans"/>
          <w:sz w:val="20"/>
          <w:szCs w:val="20"/>
        </w:rPr>
        <w:t xml:space="preserve">decline. Continuing to label the biomass heat sector as ‘niche’ without providing sufficient </w:t>
      </w:r>
      <w:r w:rsidR="00DB2928" w:rsidRPr="00923427">
        <w:rPr>
          <w:rFonts w:ascii="Open Sans" w:hAnsi="Open Sans" w:cs="Open Sans"/>
          <w:sz w:val="20"/>
          <w:szCs w:val="20"/>
        </w:rPr>
        <w:t>evidence</w:t>
      </w:r>
      <w:r w:rsidR="00377D30" w:rsidRPr="00923427">
        <w:rPr>
          <w:rFonts w:ascii="Open Sans" w:hAnsi="Open Sans" w:cs="Open Sans"/>
          <w:sz w:val="20"/>
          <w:szCs w:val="20"/>
        </w:rPr>
        <w:t xml:space="preserve"> the potential size of the market, is itself a barrier to feedstock producers suggesting the market has limited potential for demand growth</w:t>
      </w:r>
      <w:r w:rsidR="00DB2928" w:rsidRPr="00923427">
        <w:rPr>
          <w:rFonts w:ascii="Open Sans" w:hAnsi="Open Sans" w:cs="Open Sans"/>
          <w:sz w:val="20"/>
          <w:szCs w:val="20"/>
        </w:rPr>
        <w:t xml:space="preserve"> (see answer to question 13)</w:t>
      </w:r>
      <w:r w:rsidR="00377D30" w:rsidRPr="00923427">
        <w:rPr>
          <w:rFonts w:ascii="Open Sans" w:hAnsi="Open Sans" w:cs="Open Sans"/>
          <w:sz w:val="20"/>
          <w:szCs w:val="20"/>
        </w:rPr>
        <w:t xml:space="preserve">. </w:t>
      </w:r>
      <w:r w:rsidRPr="00923427">
        <w:rPr>
          <w:rFonts w:ascii="Open Sans" w:hAnsi="Open Sans" w:cs="Open Sans"/>
          <w:sz w:val="20"/>
          <w:szCs w:val="20"/>
        </w:rPr>
        <w:t xml:space="preserve"> </w:t>
      </w:r>
    </w:p>
    <w:p w14:paraId="14916A37" w14:textId="215F07B6" w:rsidR="001F2738" w:rsidRPr="00923427" w:rsidRDefault="001F2738" w:rsidP="00B16A3E">
      <w:pPr>
        <w:textAlignment w:val="center"/>
        <w:rPr>
          <w:rFonts w:ascii="Open Sans" w:hAnsi="Open Sans" w:cs="Open Sans"/>
          <w:sz w:val="20"/>
          <w:szCs w:val="20"/>
        </w:rPr>
      </w:pPr>
      <w:r w:rsidRPr="00923427">
        <w:rPr>
          <w:rFonts w:ascii="Open Sans" w:hAnsi="Open Sans" w:cs="Open Sans"/>
          <w:sz w:val="20"/>
          <w:szCs w:val="20"/>
        </w:rPr>
        <w:t xml:space="preserve">A similar story is true of the renewable transport fuel sector, where a lack of supportive policy has left the sector in limbo and stifled the ability of farmers to sustainably grow energy crops. The hiatus in policy, especially around </w:t>
      </w:r>
      <w:r w:rsidR="00410450" w:rsidRPr="00923427">
        <w:rPr>
          <w:rFonts w:ascii="Open Sans" w:hAnsi="Open Sans" w:cs="Open Sans"/>
          <w:sz w:val="20"/>
          <w:szCs w:val="20"/>
        </w:rPr>
        <w:t>delays</w:t>
      </w:r>
      <w:r w:rsidRPr="00923427">
        <w:rPr>
          <w:rFonts w:ascii="Open Sans" w:hAnsi="Open Sans" w:cs="Open Sans"/>
          <w:sz w:val="20"/>
          <w:szCs w:val="20"/>
        </w:rPr>
        <w:t xml:space="preserve"> to legislating for E10, has damaged investor confidence in the sector. Industry needs government to be very clear an about the future role of biofuels </w:t>
      </w:r>
      <w:r w:rsidR="00DB2928" w:rsidRPr="00923427">
        <w:rPr>
          <w:rFonts w:ascii="Open Sans" w:hAnsi="Open Sans" w:cs="Open Sans"/>
          <w:sz w:val="20"/>
          <w:szCs w:val="20"/>
        </w:rPr>
        <w:t>to</w:t>
      </w:r>
      <w:r w:rsidRPr="00923427">
        <w:rPr>
          <w:rFonts w:ascii="Open Sans" w:hAnsi="Open Sans" w:cs="Open Sans"/>
          <w:sz w:val="20"/>
          <w:szCs w:val="20"/>
        </w:rPr>
        <w:t xml:space="preserve"> </w:t>
      </w:r>
      <w:proofErr w:type="gramStart"/>
      <w:r w:rsidRPr="00923427">
        <w:rPr>
          <w:rFonts w:ascii="Open Sans" w:hAnsi="Open Sans" w:cs="Open Sans"/>
          <w:sz w:val="20"/>
          <w:szCs w:val="20"/>
        </w:rPr>
        <w:t>open up</w:t>
      </w:r>
      <w:proofErr w:type="gramEnd"/>
      <w:r w:rsidRPr="00923427">
        <w:rPr>
          <w:rFonts w:ascii="Open Sans" w:hAnsi="Open Sans" w:cs="Open Sans"/>
          <w:sz w:val="20"/>
          <w:szCs w:val="20"/>
        </w:rPr>
        <w:t xml:space="preserve"> domestic supply chains again. This includes ensuring as ambitious targets as possible under the Renewable Transport Fuel Obligation, which is currently being consulted on by </w:t>
      </w:r>
      <w:proofErr w:type="spellStart"/>
      <w:r w:rsidRPr="00923427">
        <w:rPr>
          <w:rFonts w:ascii="Open Sans" w:hAnsi="Open Sans" w:cs="Open Sans"/>
          <w:sz w:val="20"/>
          <w:szCs w:val="20"/>
        </w:rPr>
        <w:t>DfT</w:t>
      </w:r>
      <w:r w:rsidR="00FF1DD7">
        <w:rPr>
          <w:rFonts w:ascii="Open Sans" w:hAnsi="Open Sans" w:cs="Open Sans"/>
          <w:sz w:val="20"/>
          <w:szCs w:val="20"/>
        </w:rPr>
        <w:t>.</w:t>
      </w:r>
      <w:proofErr w:type="spellEnd"/>
    </w:p>
    <w:p w14:paraId="47966218" w14:textId="63182B31" w:rsidR="00133644" w:rsidRPr="00923427" w:rsidRDefault="00133644" w:rsidP="00B16A3E">
      <w:pPr>
        <w:textAlignment w:val="center"/>
        <w:rPr>
          <w:rFonts w:ascii="Open Sans" w:hAnsi="Open Sans" w:cs="Open Sans"/>
          <w:sz w:val="20"/>
          <w:szCs w:val="20"/>
        </w:rPr>
      </w:pPr>
      <w:r w:rsidRPr="00923427">
        <w:rPr>
          <w:rFonts w:ascii="Open Sans" w:hAnsi="Open Sans" w:cs="Open Sans"/>
          <w:sz w:val="20"/>
          <w:szCs w:val="20"/>
        </w:rPr>
        <w:t>In the power sector</w:t>
      </w:r>
      <w:r w:rsidR="0072773A" w:rsidRPr="00923427">
        <w:rPr>
          <w:rFonts w:ascii="Open Sans" w:hAnsi="Open Sans" w:cs="Open Sans"/>
          <w:sz w:val="20"/>
          <w:szCs w:val="20"/>
        </w:rPr>
        <w:t>,</w:t>
      </w:r>
      <w:r w:rsidR="00410450" w:rsidRPr="00923427">
        <w:rPr>
          <w:rFonts w:ascii="Open Sans" w:hAnsi="Open Sans" w:cs="Open Sans"/>
          <w:sz w:val="20"/>
          <w:szCs w:val="20"/>
        </w:rPr>
        <w:t xml:space="preserve"> </w:t>
      </w:r>
      <w:r w:rsidR="0072773A" w:rsidRPr="00923427">
        <w:rPr>
          <w:rFonts w:ascii="Open Sans" w:hAnsi="Open Sans" w:cs="Open Sans"/>
          <w:sz w:val="20"/>
          <w:szCs w:val="20"/>
        </w:rPr>
        <w:t>clear policy intentions are</w:t>
      </w:r>
      <w:r w:rsidR="00410450" w:rsidRPr="00923427">
        <w:rPr>
          <w:rFonts w:ascii="Open Sans" w:hAnsi="Open Sans" w:cs="Open Sans"/>
          <w:sz w:val="20"/>
          <w:szCs w:val="20"/>
        </w:rPr>
        <w:t xml:space="preserve"> also</w:t>
      </w:r>
      <w:r w:rsidR="0072773A" w:rsidRPr="00923427">
        <w:rPr>
          <w:rFonts w:ascii="Open Sans" w:hAnsi="Open Sans" w:cs="Open Sans"/>
          <w:sz w:val="20"/>
          <w:szCs w:val="20"/>
        </w:rPr>
        <w:t xml:space="preserve"> required </w:t>
      </w:r>
      <w:r w:rsidR="00410450" w:rsidRPr="00923427">
        <w:rPr>
          <w:rFonts w:ascii="Open Sans" w:hAnsi="Open Sans" w:cs="Open Sans"/>
          <w:sz w:val="20"/>
          <w:szCs w:val="20"/>
        </w:rPr>
        <w:t>as to Government intentions post</w:t>
      </w:r>
      <w:r w:rsidR="0072773A" w:rsidRPr="00923427">
        <w:rPr>
          <w:rFonts w:ascii="Open Sans" w:hAnsi="Open Sans" w:cs="Open Sans"/>
          <w:sz w:val="20"/>
          <w:szCs w:val="20"/>
        </w:rPr>
        <w:t>-2027,</w:t>
      </w:r>
      <w:r w:rsidR="00410450" w:rsidRPr="00923427">
        <w:rPr>
          <w:rFonts w:ascii="Open Sans" w:hAnsi="Open Sans" w:cs="Open Sans"/>
          <w:sz w:val="20"/>
          <w:szCs w:val="20"/>
        </w:rPr>
        <w:t xml:space="preserve"> when </w:t>
      </w:r>
      <w:r w:rsidR="0072773A" w:rsidRPr="00923427">
        <w:rPr>
          <w:rFonts w:ascii="Open Sans" w:hAnsi="Open Sans" w:cs="Open Sans"/>
          <w:sz w:val="20"/>
          <w:szCs w:val="20"/>
        </w:rPr>
        <w:t xml:space="preserve">contracts under the Renewable </w:t>
      </w:r>
      <w:r w:rsidR="00410450" w:rsidRPr="00923427">
        <w:rPr>
          <w:rFonts w:ascii="Open Sans" w:hAnsi="Open Sans" w:cs="Open Sans"/>
          <w:sz w:val="20"/>
          <w:szCs w:val="20"/>
        </w:rPr>
        <w:t>Obligation</w:t>
      </w:r>
      <w:r w:rsidR="0072773A" w:rsidRPr="00923427">
        <w:rPr>
          <w:rFonts w:ascii="Open Sans" w:hAnsi="Open Sans" w:cs="Open Sans"/>
          <w:sz w:val="20"/>
          <w:szCs w:val="20"/>
        </w:rPr>
        <w:t xml:space="preserve"> </w:t>
      </w:r>
      <w:r w:rsidR="009D5997">
        <w:rPr>
          <w:rFonts w:ascii="Open Sans" w:hAnsi="Open Sans" w:cs="Open Sans"/>
          <w:sz w:val="20"/>
          <w:szCs w:val="20"/>
        </w:rPr>
        <w:t>start to come to an end</w:t>
      </w:r>
      <w:r w:rsidR="0072773A" w:rsidRPr="00923427">
        <w:rPr>
          <w:rFonts w:ascii="Open Sans" w:hAnsi="Open Sans" w:cs="Open Sans"/>
          <w:sz w:val="20"/>
          <w:szCs w:val="20"/>
        </w:rPr>
        <w:t>.</w:t>
      </w:r>
      <w:r w:rsidR="00410450" w:rsidRPr="00923427">
        <w:rPr>
          <w:rFonts w:ascii="Open Sans" w:hAnsi="Open Sans" w:cs="Open Sans"/>
          <w:sz w:val="20"/>
          <w:szCs w:val="20"/>
        </w:rPr>
        <w:t xml:space="preserve"> </w:t>
      </w:r>
      <w:r w:rsidR="009D5997">
        <w:rPr>
          <w:rStyle w:val="FootnoteReference"/>
          <w:rFonts w:ascii="Open Sans" w:hAnsi="Open Sans" w:cs="Open Sans"/>
          <w:sz w:val="20"/>
          <w:szCs w:val="20"/>
        </w:rPr>
        <w:footnoteReference w:id="36"/>
      </w:r>
      <w:r w:rsidR="00410450" w:rsidRPr="00923427">
        <w:rPr>
          <w:rFonts w:ascii="Open Sans" w:hAnsi="Open Sans" w:cs="Open Sans"/>
          <w:sz w:val="20"/>
          <w:szCs w:val="20"/>
        </w:rPr>
        <w:t xml:space="preserve"> This affects biomass power, landfill gas and energy from waste sites currently supported under the RO. Those developing biomass feedstock supplies for these sites require long term off-taker contracts, a lack of certainty around whether such sites will continue after 2027 makes providing certainty on offtake difficult and disincentivises landowners developing supplies for them. </w:t>
      </w:r>
    </w:p>
    <w:p w14:paraId="23DD0D77" w14:textId="540A92A7" w:rsidR="001F2738" w:rsidRPr="00923427" w:rsidRDefault="00277D6B" w:rsidP="00B16A3E">
      <w:pPr>
        <w:textAlignment w:val="center"/>
        <w:rPr>
          <w:rFonts w:ascii="Open Sans" w:hAnsi="Open Sans" w:cs="Open Sans"/>
          <w:b/>
          <w:bCs/>
          <w:i/>
          <w:iCs/>
          <w:sz w:val="20"/>
          <w:szCs w:val="20"/>
        </w:rPr>
      </w:pPr>
      <w:r w:rsidRPr="00923427">
        <w:rPr>
          <w:rFonts w:ascii="Open Sans" w:hAnsi="Open Sans" w:cs="Open Sans"/>
          <w:b/>
          <w:bCs/>
          <w:i/>
          <w:iCs/>
          <w:sz w:val="20"/>
          <w:szCs w:val="20"/>
        </w:rPr>
        <w:t xml:space="preserve">Sustainable </w:t>
      </w:r>
      <w:r w:rsidR="00410450" w:rsidRPr="00923427">
        <w:rPr>
          <w:rFonts w:ascii="Open Sans" w:hAnsi="Open Sans" w:cs="Open Sans"/>
          <w:b/>
          <w:bCs/>
          <w:i/>
          <w:iCs/>
          <w:sz w:val="20"/>
          <w:szCs w:val="20"/>
        </w:rPr>
        <w:t>e</w:t>
      </w:r>
      <w:r w:rsidRPr="00923427">
        <w:rPr>
          <w:rFonts w:ascii="Open Sans" w:hAnsi="Open Sans" w:cs="Open Sans"/>
          <w:b/>
          <w:bCs/>
          <w:i/>
          <w:iCs/>
          <w:sz w:val="20"/>
          <w:szCs w:val="20"/>
        </w:rPr>
        <w:t xml:space="preserve">nergy </w:t>
      </w:r>
      <w:r w:rsidR="00410450" w:rsidRPr="00923427">
        <w:rPr>
          <w:rFonts w:ascii="Open Sans" w:hAnsi="Open Sans" w:cs="Open Sans"/>
          <w:b/>
          <w:bCs/>
          <w:i/>
          <w:iCs/>
          <w:sz w:val="20"/>
          <w:szCs w:val="20"/>
        </w:rPr>
        <w:t>c</w:t>
      </w:r>
      <w:r w:rsidRPr="00923427">
        <w:rPr>
          <w:rFonts w:ascii="Open Sans" w:hAnsi="Open Sans" w:cs="Open Sans"/>
          <w:b/>
          <w:bCs/>
          <w:i/>
          <w:iCs/>
          <w:sz w:val="20"/>
          <w:szCs w:val="20"/>
        </w:rPr>
        <w:t xml:space="preserve">rop </w:t>
      </w:r>
      <w:r w:rsidR="00410450" w:rsidRPr="00923427">
        <w:rPr>
          <w:rFonts w:ascii="Open Sans" w:hAnsi="Open Sans" w:cs="Open Sans"/>
          <w:b/>
          <w:bCs/>
          <w:i/>
          <w:iCs/>
          <w:sz w:val="20"/>
          <w:szCs w:val="20"/>
        </w:rPr>
        <w:t>g</w:t>
      </w:r>
      <w:r w:rsidRPr="00923427">
        <w:rPr>
          <w:rFonts w:ascii="Open Sans" w:hAnsi="Open Sans" w:cs="Open Sans"/>
          <w:b/>
          <w:bCs/>
          <w:i/>
          <w:iCs/>
          <w:sz w:val="20"/>
          <w:szCs w:val="20"/>
        </w:rPr>
        <w:t xml:space="preserve">rowth </w:t>
      </w:r>
      <w:r w:rsidR="00DB2928" w:rsidRPr="00923427">
        <w:rPr>
          <w:rFonts w:ascii="Open Sans" w:hAnsi="Open Sans" w:cs="Open Sans"/>
          <w:b/>
          <w:bCs/>
          <w:i/>
          <w:iCs/>
          <w:sz w:val="20"/>
          <w:szCs w:val="20"/>
        </w:rPr>
        <w:t>n</w:t>
      </w:r>
      <w:r w:rsidRPr="00923427">
        <w:rPr>
          <w:rFonts w:ascii="Open Sans" w:hAnsi="Open Sans" w:cs="Open Sans"/>
          <w:b/>
          <w:bCs/>
          <w:i/>
          <w:iCs/>
          <w:sz w:val="20"/>
          <w:szCs w:val="20"/>
        </w:rPr>
        <w:t xml:space="preserve">eeds to be encouraged, despite crop cap restrictions. </w:t>
      </w:r>
    </w:p>
    <w:p w14:paraId="00380DF1" w14:textId="426CCD41" w:rsidR="00277D6B" w:rsidRPr="00923427" w:rsidRDefault="001F2738" w:rsidP="00277D6B">
      <w:pPr>
        <w:textAlignment w:val="center"/>
        <w:rPr>
          <w:rFonts w:ascii="Open Sans" w:hAnsi="Open Sans" w:cs="Open Sans"/>
          <w:sz w:val="20"/>
          <w:szCs w:val="20"/>
        </w:rPr>
      </w:pPr>
      <w:r w:rsidRPr="00923427">
        <w:rPr>
          <w:rFonts w:ascii="Open Sans" w:hAnsi="Open Sans" w:cs="Open Sans"/>
          <w:sz w:val="20"/>
          <w:szCs w:val="20"/>
        </w:rPr>
        <w:t xml:space="preserve">Crop </w:t>
      </w:r>
      <w:r w:rsidR="00DB2928" w:rsidRPr="00923427">
        <w:rPr>
          <w:rFonts w:ascii="Open Sans" w:hAnsi="Open Sans" w:cs="Open Sans"/>
          <w:sz w:val="20"/>
          <w:szCs w:val="20"/>
        </w:rPr>
        <w:t>c</w:t>
      </w:r>
      <w:r w:rsidRPr="00923427">
        <w:rPr>
          <w:rFonts w:ascii="Open Sans" w:hAnsi="Open Sans" w:cs="Open Sans"/>
          <w:sz w:val="20"/>
          <w:szCs w:val="20"/>
        </w:rPr>
        <w:t>aps, while necessary,</w:t>
      </w:r>
      <w:r w:rsidR="00277D6B" w:rsidRPr="00923427">
        <w:rPr>
          <w:rFonts w:ascii="Open Sans" w:hAnsi="Open Sans" w:cs="Open Sans"/>
          <w:sz w:val="20"/>
          <w:szCs w:val="20"/>
        </w:rPr>
        <w:t xml:space="preserve"> are</w:t>
      </w:r>
      <w:r w:rsidRPr="00923427">
        <w:rPr>
          <w:rFonts w:ascii="Open Sans" w:hAnsi="Open Sans" w:cs="Open Sans"/>
          <w:sz w:val="20"/>
          <w:szCs w:val="20"/>
        </w:rPr>
        <w:t xml:space="preserve"> dampening demand for domestic e</w:t>
      </w:r>
      <w:r w:rsidR="00944466" w:rsidRPr="00923427">
        <w:rPr>
          <w:rFonts w:ascii="Open Sans" w:hAnsi="Open Sans" w:cs="Open Sans"/>
          <w:sz w:val="20"/>
          <w:szCs w:val="20"/>
        </w:rPr>
        <w:t xml:space="preserve">nergy crops for use in renewable transport fuels or green gas production. </w:t>
      </w:r>
      <w:r w:rsidR="00277D6B" w:rsidRPr="00923427">
        <w:rPr>
          <w:rFonts w:ascii="Open Sans" w:hAnsi="Open Sans" w:cs="Open Sans"/>
          <w:sz w:val="20"/>
          <w:szCs w:val="20"/>
        </w:rPr>
        <w:t>The CCC has called the expansion of energy crop growth to increase by around 23,000 hectares per year in order to deliver 2 MtCO2e emissions savings in the land sector and an extra 11 MtCO2e from the harvested biomass (</w:t>
      </w:r>
      <w:proofErr w:type="gramStart"/>
      <w:r w:rsidR="00277D6B" w:rsidRPr="00923427">
        <w:rPr>
          <w:rFonts w:ascii="Open Sans" w:hAnsi="Open Sans" w:cs="Open Sans"/>
          <w:sz w:val="20"/>
          <w:szCs w:val="20"/>
        </w:rPr>
        <w:t>e.g.</w:t>
      </w:r>
      <w:proofErr w:type="gramEnd"/>
      <w:r w:rsidR="00277D6B" w:rsidRPr="00923427">
        <w:rPr>
          <w:rFonts w:ascii="Open Sans" w:hAnsi="Open Sans" w:cs="Open Sans"/>
          <w:sz w:val="20"/>
          <w:szCs w:val="20"/>
        </w:rPr>
        <w:t xml:space="preserve"> when used with CCS).</w:t>
      </w:r>
      <w:r w:rsidR="00DB2928" w:rsidRPr="00923427">
        <w:rPr>
          <w:rStyle w:val="FootnoteReference"/>
          <w:rFonts w:ascii="Open Sans" w:hAnsi="Open Sans" w:cs="Open Sans"/>
          <w:sz w:val="20"/>
          <w:szCs w:val="20"/>
        </w:rPr>
        <w:footnoteReference w:id="37"/>
      </w:r>
      <w:r w:rsidR="00277D6B" w:rsidRPr="00923427">
        <w:rPr>
          <w:rFonts w:ascii="Open Sans" w:hAnsi="Open Sans" w:cs="Open Sans"/>
          <w:sz w:val="20"/>
          <w:szCs w:val="20"/>
        </w:rPr>
        <w:t xml:space="preserve"> Government policy therefore need to now encourage the sustainable growth of the energy crops, rather than disincentives their use. </w:t>
      </w:r>
    </w:p>
    <w:p w14:paraId="61B7D3AE" w14:textId="48E72361" w:rsidR="00944466" w:rsidRPr="00923427" w:rsidRDefault="001F2738" w:rsidP="00B16A3E">
      <w:pPr>
        <w:textAlignment w:val="center"/>
        <w:rPr>
          <w:rFonts w:ascii="Open Sans" w:hAnsi="Open Sans" w:cs="Open Sans"/>
          <w:sz w:val="20"/>
          <w:szCs w:val="20"/>
        </w:rPr>
      </w:pPr>
      <w:r w:rsidRPr="00923427">
        <w:rPr>
          <w:rFonts w:ascii="Open Sans" w:hAnsi="Open Sans" w:cs="Open Sans"/>
          <w:sz w:val="20"/>
          <w:szCs w:val="20"/>
        </w:rPr>
        <w:t xml:space="preserve">The anaerobic digestion sector </w:t>
      </w:r>
      <w:r w:rsidR="007813F5" w:rsidRPr="00923427">
        <w:rPr>
          <w:rFonts w:ascii="Open Sans" w:hAnsi="Open Sans" w:cs="Open Sans"/>
          <w:sz w:val="20"/>
          <w:szCs w:val="20"/>
        </w:rPr>
        <w:t>now</w:t>
      </w:r>
      <w:r w:rsidRPr="00923427">
        <w:rPr>
          <w:rFonts w:ascii="Open Sans" w:hAnsi="Open Sans" w:cs="Open Sans"/>
          <w:sz w:val="20"/>
          <w:szCs w:val="20"/>
        </w:rPr>
        <w:t xml:space="preserve"> include</w:t>
      </w:r>
      <w:r w:rsidR="007813F5" w:rsidRPr="00923427">
        <w:rPr>
          <w:rFonts w:ascii="Open Sans" w:hAnsi="Open Sans" w:cs="Open Sans"/>
          <w:sz w:val="20"/>
          <w:szCs w:val="20"/>
        </w:rPr>
        <w:t>s</w:t>
      </w:r>
      <w:r w:rsidRPr="00923427">
        <w:rPr>
          <w:rFonts w:ascii="Open Sans" w:hAnsi="Open Sans" w:cs="Open Sans"/>
          <w:sz w:val="20"/>
          <w:szCs w:val="20"/>
        </w:rPr>
        <w:t xml:space="preserve"> many </w:t>
      </w:r>
      <w:r w:rsidR="007813F5" w:rsidRPr="00923427">
        <w:rPr>
          <w:rFonts w:ascii="Open Sans" w:hAnsi="Open Sans" w:cs="Open Sans"/>
          <w:sz w:val="20"/>
          <w:szCs w:val="20"/>
        </w:rPr>
        <w:t>agricultural practitioners</w:t>
      </w:r>
      <w:r w:rsidRPr="00923427">
        <w:rPr>
          <w:rFonts w:ascii="Open Sans" w:hAnsi="Open Sans" w:cs="Open Sans"/>
          <w:sz w:val="20"/>
          <w:szCs w:val="20"/>
        </w:rPr>
        <w:t xml:space="preserve"> around the UK, demonstrating the ability to grow energy crops within farming rotation and allocating small amounts of their farms to the use of crops from green gas and other renewable energies.</w:t>
      </w:r>
      <w:r w:rsidR="00277D6B" w:rsidRPr="00923427">
        <w:rPr>
          <w:rFonts w:ascii="Open Sans" w:hAnsi="Open Sans" w:cs="Open Sans"/>
          <w:sz w:val="20"/>
          <w:szCs w:val="20"/>
        </w:rPr>
        <w:t xml:space="preserve"> </w:t>
      </w:r>
      <w:r w:rsidR="00BE78C3" w:rsidRPr="00923427">
        <w:rPr>
          <w:rFonts w:ascii="Open Sans" w:hAnsi="Open Sans" w:cs="Open Sans"/>
          <w:sz w:val="20"/>
          <w:szCs w:val="20"/>
        </w:rPr>
        <w:t>The fears around land use change or fuel vs food have not materialised, in part due to t</w:t>
      </w:r>
      <w:r w:rsidR="00277D6B" w:rsidRPr="00923427">
        <w:rPr>
          <w:rFonts w:ascii="Open Sans" w:hAnsi="Open Sans" w:cs="Open Sans"/>
          <w:sz w:val="20"/>
          <w:szCs w:val="20"/>
        </w:rPr>
        <w:t xml:space="preserve">he UK’s strong sustainability criteria </w:t>
      </w:r>
      <w:r w:rsidR="00BE78C3" w:rsidRPr="00923427">
        <w:rPr>
          <w:rFonts w:ascii="Open Sans" w:hAnsi="Open Sans" w:cs="Open Sans"/>
          <w:sz w:val="20"/>
          <w:szCs w:val="20"/>
        </w:rPr>
        <w:t>which is</w:t>
      </w:r>
      <w:r w:rsidR="00277D6B" w:rsidRPr="00923427">
        <w:rPr>
          <w:rFonts w:ascii="Open Sans" w:hAnsi="Open Sans" w:cs="Open Sans"/>
          <w:sz w:val="20"/>
          <w:szCs w:val="20"/>
        </w:rPr>
        <w:t xml:space="preserve"> already in place to ensure the growth of energy crops is done in the right way</w:t>
      </w:r>
      <w:r w:rsidR="00BE78C3" w:rsidRPr="00923427">
        <w:rPr>
          <w:rFonts w:ascii="Open Sans" w:hAnsi="Open Sans" w:cs="Open Sans"/>
          <w:sz w:val="20"/>
          <w:szCs w:val="20"/>
        </w:rPr>
        <w:t>. In addition,</w:t>
      </w:r>
      <w:r w:rsidR="00277D6B" w:rsidRPr="00923427">
        <w:rPr>
          <w:rFonts w:ascii="Open Sans" w:hAnsi="Open Sans" w:cs="Open Sans"/>
          <w:sz w:val="20"/>
          <w:szCs w:val="20"/>
        </w:rPr>
        <w:t xml:space="preserve"> as mentioned in question 4, there is evidence to demonstrate how sequential or double cropping can be encouraged as a </w:t>
      </w:r>
      <w:r w:rsidR="00DB2928" w:rsidRPr="00923427">
        <w:rPr>
          <w:rFonts w:ascii="Open Sans" w:hAnsi="Open Sans" w:cs="Open Sans"/>
          <w:sz w:val="20"/>
          <w:szCs w:val="20"/>
        </w:rPr>
        <w:t xml:space="preserve">further </w:t>
      </w:r>
      <w:r w:rsidR="00277D6B" w:rsidRPr="00923427">
        <w:rPr>
          <w:rFonts w:ascii="Open Sans" w:hAnsi="Open Sans" w:cs="Open Sans"/>
          <w:sz w:val="20"/>
          <w:szCs w:val="20"/>
        </w:rPr>
        <w:t>route to sustainably encouraging</w:t>
      </w:r>
      <w:r w:rsidR="00BE78C3" w:rsidRPr="00923427">
        <w:rPr>
          <w:rFonts w:ascii="Open Sans" w:hAnsi="Open Sans" w:cs="Open Sans"/>
          <w:sz w:val="20"/>
          <w:szCs w:val="20"/>
        </w:rPr>
        <w:t xml:space="preserve"> further</w:t>
      </w:r>
      <w:r w:rsidR="00277D6B" w:rsidRPr="00923427">
        <w:rPr>
          <w:rFonts w:ascii="Open Sans" w:hAnsi="Open Sans" w:cs="Open Sans"/>
          <w:sz w:val="20"/>
          <w:szCs w:val="20"/>
        </w:rPr>
        <w:t xml:space="preserve"> energy crop growth. </w:t>
      </w:r>
    </w:p>
    <w:p w14:paraId="62AFB86C" w14:textId="09F3FD7B" w:rsidR="00BE78C3" w:rsidRPr="00923427" w:rsidRDefault="00BE78C3" w:rsidP="00DB2928">
      <w:pPr>
        <w:textAlignment w:val="center"/>
        <w:rPr>
          <w:rFonts w:ascii="Open Sans" w:hAnsi="Open Sans" w:cs="Open Sans"/>
          <w:i/>
          <w:iCs/>
          <w:sz w:val="20"/>
          <w:szCs w:val="20"/>
          <w:u w:val="single"/>
        </w:rPr>
      </w:pPr>
      <w:r w:rsidRPr="00923427">
        <w:rPr>
          <w:rFonts w:ascii="Open Sans" w:hAnsi="Open Sans" w:cs="Open Sans"/>
          <w:sz w:val="20"/>
          <w:szCs w:val="20"/>
        </w:rPr>
        <w:t>Consistent policy in this regard will drive sustainable demand levels for energy crops for use across bioenergy sectors</w:t>
      </w:r>
      <w:r w:rsidR="00DB2928" w:rsidRPr="00923427">
        <w:rPr>
          <w:rFonts w:ascii="Open Sans" w:hAnsi="Open Sans" w:cs="Open Sans"/>
          <w:sz w:val="20"/>
          <w:szCs w:val="20"/>
        </w:rPr>
        <w:t xml:space="preserve">. </w:t>
      </w:r>
    </w:p>
    <w:p w14:paraId="0F223847" w14:textId="4E098298" w:rsidR="00B16A3E" w:rsidRPr="00923427" w:rsidRDefault="00BE78C3" w:rsidP="00B16A3E">
      <w:pPr>
        <w:textAlignment w:val="center"/>
        <w:rPr>
          <w:rFonts w:ascii="Open Sans" w:hAnsi="Open Sans" w:cs="Open Sans"/>
          <w:b/>
          <w:bCs/>
          <w:i/>
          <w:iCs/>
          <w:sz w:val="20"/>
          <w:szCs w:val="20"/>
        </w:rPr>
      </w:pPr>
      <w:r w:rsidRPr="00923427">
        <w:rPr>
          <w:rFonts w:ascii="Open Sans" w:hAnsi="Open Sans" w:cs="Open Sans"/>
          <w:b/>
          <w:bCs/>
          <w:i/>
          <w:iCs/>
          <w:sz w:val="20"/>
          <w:szCs w:val="20"/>
        </w:rPr>
        <w:t xml:space="preserve">Need to rebuild investor confidence following previously failed </w:t>
      </w:r>
      <w:r w:rsidR="00782565" w:rsidRPr="00923427">
        <w:rPr>
          <w:rFonts w:ascii="Open Sans" w:hAnsi="Open Sans" w:cs="Open Sans"/>
          <w:b/>
          <w:bCs/>
          <w:i/>
          <w:iCs/>
          <w:sz w:val="20"/>
          <w:szCs w:val="20"/>
        </w:rPr>
        <w:t>policies.</w:t>
      </w:r>
      <w:r w:rsidRPr="00923427">
        <w:rPr>
          <w:rFonts w:ascii="Open Sans" w:hAnsi="Open Sans" w:cs="Open Sans"/>
          <w:b/>
          <w:bCs/>
          <w:i/>
          <w:iCs/>
          <w:sz w:val="20"/>
          <w:szCs w:val="20"/>
        </w:rPr>
        <w:t xml:space="preserve"> </w:t>
      </w:r>
    </w:p>
    <w:p w14:paraId="15900419" w14:textId="67C13351" w:rsidR="00BE78C3" w:rsidRPr="00923427" w:rsidRDefault="00BE78C3" w:rsidP="00B16A3E">
      <w:pPr>
        <w:textAlignment w:val="center"/>
        <w:rPr>
          <w:rFonts w:ascii="Open Sans" w:hAnsi="Open Sans" w:cs="Open Sans"/>
          <w:sz w:val="20"/>
          <w:szCs w:val="20"/>
        </w:rPr>
      </w:pPr>
      <w:r w:rsidRPr="00923427">
        <w:rPr>
          <w:rFonts w:ascii="Open Sans" w:hAnsi="Open Sans" w:cs="Open Sans"/>
          <w:sz w:val="20"/>
          <w:szCs w:val="20"/>
        </w:rPr>
        <w:t xml:space="preserve">Government should be aware </w:t>
      </w:r>
      <w:r w:rsidR="00377D30" w:rsidRPr="00923427">
        <w:rPr>
          <w:rFonts w:ascii="Open Sans" w:hAnsi="Open Sans" w:cs="Open Sans"/>
          <w:sz w:val="20"/>
          <w:szCs w:val="20"/>
        </w:rPr>
        <w:t xml:space="preserve">of </w:t>
      </w:r>
      <w:r w:rsidRPr="00923427">
        <w:rPr>
          <w:rFonts w:ascii="Open Sans" w:hAnsi="Open Sans" w:cs="Open Sans"/>
          <w:sz w:val="20"/>
          <w:szCs w:val="20"/>
        </w:rPr>
        <w:t xml:space="preserve">previously </w:t>
      </w:r>
      <w:r w:rsidR="007813F5" w:rsidRPr="00923427">
        <w:rPr>
          <w:rFonts w:ascii="Open Sans" w:hAnsi="Open Sans" w:cs="Open Sans"/>
          <w:sz w:val="20"/>
          <w:szCs w:val="20"/>
        </w:rPr>
        <w:t>ineffective</w:t>
      </w:r>
      <w:r w:rsidRPr="00923427">
        <w:rPr>
          <w:rFonts w:ascii="Open Sans" w:hAnsi="Open Sans" w:cs="Open Sans"/>
          <w:sz w:val="20"/>
          <w:szCs w:val="20"/>
        </w:rPr>
        <w:t xml:space="preserve"> ambitions to grow domestic feedstock</w:t>
      </w:r>
      <w:r w:rsidR="007813F5" w:rsidRPr="00923427">
        <w:rPr>
          <w:rFonts w:ascii="Open Sans" w:hAnsi="Open Sans" w:cs="Open Sans"/>
          <w:sz w:val="20"/>
          <w:szCs w:val="20"/>
        </w:rPr>
        <w:t xml:space="preserve">, which has damaged </w:t>
      </w:r>
      <w:r w:rsidR="0006325D" w:rsidRPr="00923427">
        <w:rPr>
          <w:rFonts w:ascii="Open Sans" w:hAnsi="Open Sans" w:cs="Open Sans"/>
          <w:sz w:val="20"/>
          <w:szCs w:val="20"/>
        </w:rPr>
        <w:t xml:space="preserve">industry </w:t>
      </w:r>
      <w:r w:rsidR="007813F5" w:rsidRPr="00923427">
        <w:rPr>
          <w:rFonts w:ascii="Open Sans" w:hAnsi="Open Sans" w:cs="Open Sans"/>
          <w:sz w:val="20"/>
          <w:szCs w:val="20"/>
        </w:rPr>
        <w:t>confidence in participating in future schemes</w:t>
      </w:r>
      <w:r w:rsidRPr="00923427">
        <w:rPr>
          <w:rFonts w:ascii="Open Sans" w:hAnsi="Open Sans" w:cs="Open Sans"/>
          <w:sz w:val="20"/>
          <w:szCs w:val="20"/>
        </w:rPr>
        <w:t xml:space="preserve">. </w:t>
      </w:r>
      <w:r w:rsidR="00377D30" w:rsidRPr="00923427">
        <w:rPr>
          <w:rFonts w:ascii="Open Sans" w:hAnsi="Open Sans" w:cs="Open Sans"/>
          <w:sz w:val="20"/>
          <w:szCs w:val="20"/>
        </w:rPr>
        <w:t>In the 1990</w:t>
      </w:r>
      <w:r w:rsidR="007813F5" w:rsidRPr="00923427">
        <w:rPr>
          <w:rFonts w:ascii="Open Sans" w:hAnsi="Open Sans" w:cs="Open Sans"/>
          <w:sz w:val="20"/>
          <w:szCs w:val="20"/>
        </w:rPr>
        <w:t>’</w:t>
      </w:r>
      <w:r w:rsidR="00377D30" w:rsidRPr="00923427">
        <w:rPr>
          <w:rFonts w:ascii="Open Sans" w:hAnsi="Open Sans" w:cs="Open Sans"/>
          <w:sz w:val="20"/>
          <w:szCs w:val="20"/>
        </w:rPr>
        <w:t>s</w:t>
      </w:r>
      <w:r w:rsidR="007813F5" w:rsidRPr="00923427">
        <w:rPr>
          <w:rFonts w:ascii="Open Sans" w:hAnsi="Open Sans" w:cs="Open Sans"/>
          <w:sz w:val="20"/>
          <w:szCs w:val="20"/>
        </w:rPr>
        <w:t>,</w:t>
      </w:r>
      <w:r w:rsidR="00377D30" w:rsidRPr="00923427">
        <w:rPr>
          <w:rFonts w:ascii="Open Sans" w:hAnsi="Open Sans" w:cs="Open Sans"/>
          <w:sz w:val="20"/>
          <w:szCs w:val="20"/>
        </w:rPr>
        <w:t xml:space="preserve"> DEFRA funded several initial </w:t>
      </w:r>
      <w:r w:rsidR="007813F5" w:rsidRPr="00923427">
        <w:rPr>
          <w:rFonts w:ascii="Open Sans" w:hAnsi="Open Sans" w:cs="Open Sans"/>
          <w:sz w:val="20"/>
          <w:szCs w:val="20"/>
        </w:rPr>
        <w:t>pilot</w:t>
      </w:r>
      <w:r w:rsidR="00377D30" w:rsidRPr="00923427">
        <w:rPr>
          <w:rFonts w:ascii="Open Sans" w:hAnsi="Open Sans" w:cs="Open Sans"/>
          <w:sz w:val="20"/>
          <w:szCs w:val="20"/>
        </w:rPr>
        <w:t xml:space="preserve"> schemes to encourage growth of domestic feedstocks such as short rotation coppice, or other perennial crops like </w:t>
      </w:r>
      <w:r w:rsidR="007813F5" w:rsidRPr="00923427">
        <w:rPr>
          <w:rFonts w:ascii="Open Sans" w:hAnsi="Open Sans" w:cs="Open Sans"/>
          <w:sz w:val="20"/>
          <w:szCs w:val="20"/>
        </w:rPr>
        <w:t>m</w:t>
      </w:r>
      <w:r w:rsidR="00377D30" w:rsidRPr="00923427">
        <w:rPr>
          <w:rFonts w:ascii="Open Sans" w:hAnsi="Open Sans" w:cs="Open Sans"/>
          <w:sz w:val="20"/>
          <w:szCs w:val="20"/>
        </w:rPr>
        <w:t xml:space="preserve">iscanthus. This resulted in the sector tooling up and starting to invest in such crops only for the government policy never to fully follow the ambition. Investors who lost money previously are unlikely to have confidence in future policy unless clear government commitment is made </w:t>
      </w:r>
      <w:r w:rsidR="007813F5" w:rsidRPr="00923427">
        <w:rPr>
          <w:rFonts w:ascii="Open Sans" w:hAnsi="Open Sans" w:cs="Open Sans"/>
          <w:sz w:val="20"/>
          <w:szCs w:val="20"/>
        </w:rPr>
        <w:t>with clear future ambition</w:t>
      </w:r>
      <w:r w:rsidR="0006325D" w:rsidRPr="00923427">
        <w:rPr>
          <w:rFonts w:ascii="Open Sans" w:hAnsi="Open Sans" w:cs="Open Sans"/>
          <w:sz w:val="20"/>
          <w:szCs w:val="20"/>
        </w:rPr>
        <w:t xml:space="preserve"> that is followed through</w:t>
      </w:r>
      <w:r w:rsidR="007813F5" w:rsidRPr="00923427">
        <w:rPr>
          <w:rFonts w:ascii="Open Sans" w:hAnsi="Open Sans" w:cs="Open Sans"/>
          <w:sz w:val="20"/>
          <w:szCs w:val="20"/>
        </w:rPr>
        <w:t xml:space="preserve">. </w:t>
      </w:r>
      <w:r w:rsidR="00377D30" w:rsidRPr="00923427">
        <w:rPr>
          <w:rFonts w:ascii="Open Sans" w:hAnsi="Open Sans" w:cs="Open Sans"/>
          <w:sz w:val="20"/>
          <w:szCs w:val="20"/>
        </w:rPr>
        <w:t xml:space="preserve"> </w:t>
      </w:r>
    </w:p>
    <w:p w14:paraId="68F9CD93" w14:textId="12F9EBEC" w:rsidR="00377D30" w:rsidRPr="00923427" w:rsidRDefault="00377D30" w:rsidP="00882FC4">
      <w:pPr>
        <w:rPr>
          <w:rFonts w:ascii="Open Sans" w:hAnsi="Open Sans" w:cs="Open Sans"/>
          <w:b/>
          <w:bCs/>
          <w:i/>
          <w:iCs/>
          <w:sz w:val="20"/>
          <w:szCs w:val="20"/>
        </w:rPr>
      </w:pPr>
      <w:r w:rsidRPr="00923427">
        <w:rPr>
          <w:rFonts w:ascii="Open Sans" w:hAnsi="Open Sans" w:cs="Open Sans"/>
          <w:b/>
          <w:bCs/>
          <w:i/>
          <w:iCs/>
          <w:sz w:val="20"/>
          <w:szCs w:val="20"/>
        </w:rPr>
        <w:t xml:space="preserve">Regulatory </w:t>
      </w:r>
      <w:r w:rsidR="00E869E9" w:rsidRPr="00923427">
        <w:rPr>
          <w:rFonts w:ascii="Open Sans" w:hAnsi="Open Sans" w:cs="Open Sans"/>
          <w:b/>
          <w:bCs/>
          <w:i/>
          <w:iCs/>
          <w:sz w:val="20"/>
          <w:szCs w:val="20"/>
        </w:rPr>
        <w:t>r</w:t>
      </w:r>
      <w:r w:rsidRPr="00923427">
        <w:rPr>
          <w:rFonts w:ascii="Open Sans" w:hAnsi="Open Sans" w:cs="Open Sans"/>
          <w:b/>
          <w:bCs/>
          <w:i/>
          <w:iCs/>
          <w:sz w:val="20"/>
          <w:szCs w:val="20"/>
        </w:rPr>
        <w:t xml:space="preserve">egime </w:t>
      </w:r>
      <w:r w:rsidR="00E869E9" w:rsidRPr="00923427">
        <w:rPr>
          <w:rFonts w:ascii="Open Sans" w:hAnsi="Open Sans" w:cs="Open Sans"/>
          <w:b/>
          <w:bCs/>
          <w:i/>
          <w:iCs/>
          <w:sz w:val="20"/>
          <w:szCs w:val="20"/>
        </w:rPr>
        <w:t>for felling n</w:t>
      </w:r>
      <w:r w:rsidRPr="00923427">
        <w:rPr>
          <w:rFonts w:ascii="Open Sans" w:hAnsi="Open Sans" w:cs="Open Sans"/>
          <w:b/>
          <w:bCs/>
          <w:i/>
          <w:iCs/>
          <w:sz w:val="20"/>
          <w:szCs w:val="20"/>
        </w:rPr>
        <w:t xml:space="preserve">eeds to </w:t>
      </w:r>
      <w:r w:rsidR="00E869E9" w:rsidRPr="00923427">
        <w:rPr>
          <w:rFonts w:ascii="Open Sans" w:hAnsi="Open Sans" w:cs="Open Sans"/>
          <w:b/>
          <w:bCs/>
          <w:i/>
          <w:iCs/>
          <w:sz w:val="20"/>
          <w:szCs w:val="20"/>
        </w:rPr>
        <w:t>be more</w:t>
      </w:r>
      <w:r w:rsidR="0036214D" w:rsidRPr="00923427">
        <w:rPr>
          <w:rFonts w:ascii="Open Sans" w:hAnsi="Open Sans" w:cs="Open Sans"/>
          <w:b/>
          <w:bCs/>
          <w:i/>
          <w:iCs/>
          <w:sz w:val="20"/>
          <w:szCs w:val="20"/>
        </w:rPr>
        <w:t xml:space="preserve"> </w:t>
      </w:r>
      <w:r w:rsidR="00E869E9" w:rsidRPr="00923427">
        <w:rPr>
          <w:rFonts w:ascii="Open Sans" w:hAnsi="Open Sans" w:cs="Open Sans"/>
          <w:b/>
          <w:bCs/>
          <w:i/>
          <w:iCs/>
          <w:sz w:val="20"/>
          <w:szCs w:val="20"/>
        </w:rPr>
        <w:t>f</w:t>
      </w:r>
      <w:r w:rsidR="0036214D" w:rsidRPr="00923427">
        <w:rPr>
          <w:rFonts w:ascii="Open Sans" w:hAnsi="Open Sans" w:cs="Open Sans"/>
          <w:b/>
          <w:bCs/>
          <w:i/>
          <w:iCs/>
          <w:sz w:val="20"/>
          <w:szCs w:val="20"/>
        </w:rPr>
        <w:t>lexible</w:t>
      </w:r>
      <w:r w:rsidR="00E869E9" w:rsidRPr="00923427">
        <w:rPr>
          <w:rFonts w:ascii="Open Sans" w:hAnsi="Open Sans" w:cs="Open Sans"/>
          <w:b/>
          <w:bCs/>
          <w:i/>
          <w:iCs/>
          <w:sz w:val="20"/>
          <w:szCs w:val="20"/>
        </w:rPr>
        <w:t xml:space="preserve"> to help de-risk </w:t>
      </w:r>
      <w:r w:rsidR="0006325D" w:rsidRPr="00923427">
        <w:rPr>
          <w:rFonts w:ascii="Open Sans" w:hAnsi="Open Sans" w:cs="Open Sans"/>
          <w:b/>
          <w:bCs/>
          <w:i/>
          <w:iCs/>
          <w:sz w:val="20"/>
          <w:szCs w:val="20"/>
        </w:rPr>
        <w:t>innovative projects.</w:t>
      </w:r>
    </w:p>
    <w:p w14:paraId="01C1F17C" w14:textId="239FFF43" w:rsidR="0036214D" w:rsidRPr="00923427" w:rsidRDefault="0036214D" w:rsidP="00882FC4">
      <w:pPr>
        <w:rPr>
          <w:rFonts w:ascii="Open Sans" w:hAnsi="Open Sans" w:cs="Open Sans"/>
          <w:sz w:val="20"/>
          <w:szCs w:val="20"/>
        </w:rPr>
      </w:pPr>
      <w:r w:rsidRPr="00923427">
        <w:rPr>
          <w:rFonts w:ascii="Open Sans" w:hAnsi="Open Sans" w:cs="Open Sans"/>
          <w:sz w:val="20"/>
          <w:szCs w:val="20"/>
        </w:rPr>
        <w:t xml:space="preserve">England has one of the tightest </w:t>
      </w:r>
      <w:r w:rsidR="00610B17" w:rsidRPr="00923427">
        <w:rPr>
          <w:rFonts w:ascii="Open Sans" w:hAnsi="Open Sans" w:cs="Open Sans"/>
          <w:sz w:val="20"/>
          <w:szCs w:val="20"/>
        </w:rPr>
        <w:t xml:space="preserve">and administratively burdensome </w:t>
      </w:r>
      <w:r w:rsidRPr="00923427">
        <w:rPr>
          <w:rFonts w:ascii="Open Sans" w:hAnsi="Open Sans" w:cs="Open Sans"/>
          <w:sz w:val="20"/>
          <w:szCs w:val="20"/>
        </w:rPr>
        <w:t>regulatory regimes around fe</w:t>
      </w:r>
      <w:r w:rsidR="00610B17" w:rsidRPr="00923427">
        <w:rPr>
          <w:rFonts w:ascii="Open Sans" w:hAnsi="Open Sans" w:cs="Open Sans"/>
          <w:sz w:val="20"/>
          <w:szCs w:val="20"/>
        </w:rPr>
        <w:t>l</w:t>
      </w:r>
      <w:r w:rsidRPr="00923427">
        <w:rPr>
          <w:rFonts w:ascii="Open Sans" w:hAnsi="Open Sans" w:cs="Open Sans"/>
          <w:sz w:val="20"/>
          <w:szCs w:val="20"/>
        </w:rPr>
        <w:t>ling licence</w:t>
      </w:r>
      <w:r w:rsidR="0006325D" w:rsidRPr="00923427">
        <w:rPr>
          <w:rFonts w:ascii="Open Sans" w:hAnsi="Open Sans" w:cs="Open Sans"/>
          <w:sz w:val="20"/>
          <w:szCs w:val="20"/>
        </w:rPr>
        <w:t>s</w:t>
      </w:r>
      <w:r w:rsidRPr="00923427">
        <w:rPr>
          <w:rFonts w:ascii="Open Sans" w:hAnsi="Open Sans" w:cs="Open Sans"/>
          <w:sz w:val="20"/>
          <w:szCs w:val="20"/>
        </w:rPr>
        <w:t xml:space="preserve"> in the UK. </w:t>
      </w:r>
      <w:r w:rsidR="00610B17" w:rsidRPr="00923427">
        <w:rPr>
          <w:rFonts w:ascii="Open Sans" w:hAnsi="Open Sans" w:cs="Open Sans"/>
          <w:sz w:val="20"/>
          <w:szCs w:val="20"/>
        </w:rPr>
        <w:t xml:space="preserve"> </w:t>
      </w:r>
      <w:r w:rsidRPr="00923427">
        <w:rPr>
          <w:rFonts w:ascii="Open Sans" w:hAnsi="Open Sans" w:cs="Open Sans"/>
          <w:sz w:val="20"/>
          <w:szCs w:val="20"/>
        </w:rPr>
        <w:t xml:space="preserve">While </w:t>
      </w:r>
      <w:r w:rsidR="00610B17" w:rsidRPr="00923427">
        <w:rPr>
          <w:rFonts w:ascii="Open Sans" w:hAnsi="Open Sans" w:cs="Open Sans"/>
          <w:sz w:val="20"/>
          <w:szCs w:val="20"/>
        </w:rPr>
        <w:t xml:space="preserve">important that high standards are maintained, </w:t>
      </w:r>
      <w:r w:rsidR="00E869E9" w:rsidRPr="00923427">
        <w:rPr>
          <w:rFonts w:ascii="Open Sans" w:hAnsi="Open Sans" w:cs="Open Sans"/>
          <w:sz w:val="20"/>
          <w:szCs w:val="20"/>
        </w:rPr>
        <w:t>playing</w:t>
      </w:r>
      <w:r w:rsidR="00610B17" w:rsidRPr="00923427">
        <w:rPr>
          <w:rFonts w:ascii="Open Sans" w:hAnsi="Open Sans" w:cs="Open Sans"/>
          <w:sz w:val="20"/>
          <w:szCs w:val="20"/>
        </w:rPr>
        <w:t xml:space="preserve"> a significant role in sustainability governance arrangements, the administrative burden needs to be reviewed if new innovative biomass feedstocks are going to </w:t>
      </w:r>
      <w:r w:rsidR="00E869E9" w:rsidRPr="00923427">
        <w:rPr>
          <w:rFonts w:ascii="Open Sans" w:hAnsi="Open Sans" w:cs="Open Sans"/>
          <w:sz w:val="20"/>
          <w:szCs w:val="20"/>
        </w:rPr>
        <w:t xml:space="preserve">be </w:t>
      </w:r>
      <w:r w:rsidR="00610B17" w:rsidRPr="00923427">
        <w:rPr>
          <w:rFonts w:ascii="Open Sans" w:hAnsi="Open Sans" w:cs="Open Sans"/>
          <w:sz w:val="20"/>
          <w:szCs w:val="20"/>
        </w:rPr>
        <w:t xml:space="preserve">encouraged. Current felling arrangements can become a barrier to market for landowners and farmers considering the growth of </w:t>
      </w:r>
      <w:r w:rsidR="00E869E9" w:rsidRPr="00923427">
        <w:rPr>
          <w:rFonts w:ascii="Open Sans" w:hAnsi="Open Sans" w:cs="Open Sans"/>
          <w:sz w:val="20"/>
          <w:szCs w:val="20"/>
        </w:rPr>
        <w:t xml:space="preserve">agroforestry plantations, as once committed </w:t>
      </w:r>
      <w:r w:rsidR="0006325D" w:rsidRPr="00923427">
        <w:rPr>
          <w:rFonts w:ascii="Open Sans" w:hAnsi="Open Sans" w:cs="Open Sans"/>
          <w:sz w:val="20"/>
          <w:szCs w:val="20"/>
        </w:rPr>
        <w:t>to</w:t>
      </w:r>
      <w:r w:rsidR="00E869E9" w:rsidRPr="00923427">
        <w:rPr>
          <w:rFonts w:ascii="Open Sans" w:hAnsi="Open Sans" w:cs="Open Sans"/>
          <w:sz w:val="20"/>
          <w:szCs w:val="20"/>
        </w:rPr>
        <w:t xml:space="preserve"> the fe</w:t>
      </w:r>
      <w:r w:rsidR="0006325D" w:rsidRPr="00923427">
        <w:rPr>
          <w:rFonts w:ascii="Open Sans" w:hAnsi="Open Sans" w:cs="Open Sans"/>
          <w:sz w:val="20"/>
          <w:szCs w:val="20"/>
        </w:rPr>
        <w:t>l</w:t>
      </w:r>
      <w:r w:rsidR="00E869E9" w:rsidRPr="00923427">
        <w:rPr>
          <w:rFonts w:ascii="Open Sans" w:hAnsi="Open Sans" w:cs="Open Sans"/>
          <w:sz w:val="20"/>
          <w:szCs w:val="20"/>
        </w:rPr>
        <w:t xml:space="preserve">ling </w:t>
      </w:r>
      <w:r w:rsidR="007908A3" w:rsidRPr="00923427">
        <w:rPr>
          <w:rFonts w:ascii="Open Sans" w:hAnsi="Open Sans" w:cs="Open Sans"/>
          <w:sz w:val="20"/>
          <w:szCs w:val="20"/>
        </w:rPr>
        <w:t>license</w:t>
      </w:r>
      <w:r w:rsidR="00E869E9" w:rsidRPr="00923427">
        <w:rPr>
          <w:rFonts w:ascii="Open Sans" w:hAnsi="Open Sans" w:cs="Open Sans"/>
          <w:sz w:val="20"/>
          <w:szCs w:val="20"/>
        </w:rPr>
        <w:t xml:space="preserve"> mandates continued replanting of trees</w:t>
      </w:r>
      <w:r w:rsidR="00610B17" w:rsidRPr="00923427">
        <w:rPr>
          <w:rFonts w:ascii="Open Sans" w:hAnsi="Open Sans" w:cs="Open Sans"/>
          <w:sz w:val="20"/>
          <w:szCs w:val="20"/>
        </w:rPr>
        <w:t xml:space="preserve">. Introduction of a new more flexible licence, specifically for new attempts at agroforestry and short rotation forestry, </w:t>
      </w:r>
      <w:r w:rsidR="0006325D" w:rsidRPr="00923427">
        <w:rPr>
          <w:rFonts w:ascii="Open Sans" w:hAnsi="Open Sans" w:cs="Open Sans"/>
          <w:sz w:val="20"/>
          <w:szCs w:val="20"/>
        </w:rPr>
        <w:t>which</w:t>
      </w:r>
      <w:r w:rsidR="00610B17" w:rsidRPr="00923427">
        <w:rPr>
          <w:rFonts w:ascii="Open Sans" w:hAnsi="Open Sans" w:cs="Open Sans"/>
          <w:sz w:val="20"/>
          <w:szCs w:val="20"/>
        </w:rPr>
        <w:t xml:space="preserve"> allows the developer to revert to agricultural practices if the project prove</w:t>
      </w:r>
      <w:r w:rsidR="00E869E9" w:rsidRPr="00923427">
        <w:rPr>
          <w:rFonts w:ascii="Open Sans" w:hAnsi="Open Sans" w:cs="Open Sans"/>
          <w:sz w:val="20"/>
          <w:szCs w:val="20"/>
        </w:rPr>
        <w:t>s</w:t>
      </w:r>
      <w:r w:rsidR="00610B17" w:rsidRPr="00923427">
        <w:rPr>
          <w:rFonts w:ascii="Open Sans" w:hAnsi="Open Sans" w:cs="Open Sans"/>
          <w:sz w:val="20"/>
          <w:szCs w:val="20"/>
        </w:rPr>
        <w:t xml:space="preserve"> </w:t>
      </w:r>
      <w:r w:rsidR="00E869E9" w:rsidRPr="00923427">
        <w:rPr>
          <w:rFonts w:ascii="Open Sans" w:hAnsi="Open Sans" w:cs="Open Sans"/>
          <w:sz w:val="20"/>
          <w:szCs w:val="20"/>
        </w:rPr>
        <w:t>un</w:t>
      </w:r>
      <w:r w:rsidR="00610B17" w:rsidRPr="00923427">
        <w:rPr>
          <w:rFonts w:ascii="Open Sans" w:hAnsi="Open Sans" w:cs="Open Sans"/>
          <w:sz w:val="20"/>
          <w:szCs w:val="20"/>
        </w:rPr>
        <w:t xml:space="preserve">viable, would help to de-risk new </w:t>
      </w:r>
      <w:r w:rsidR="0006325D" w:rsidRPr="00923427">
        <w:rPr>
          <w:rFonts w:ascii="Open Sans" w:hAnsi="Open Sans" w:cs="Open Sans"/>
          <w:sz w:val="20"/>
          <w:szCs w:val="20"/>
        </w:rPr>
        <w:t>developments,</w:t>
      </w:r>
      <w:r w:rsidR="00610B17" w:rsidRPr="00923427">
        <w:rPr>
          <w:rFonts w:ascii="Open Sans" w:hAnsi="Open Sans" w:cs="Open Sans"/>
          <w:sz w:val="20"/>
          <w:szCs w:val="20"/>
        </w:rPr>
        <w:t xml:space="preserve"> and enable more landowners to try </w:t>
      </w:r>
      <w:r w:rsidR="0006325D" w:rsidRPr="00923427">
        <w:rPr>
          <w:rFonts w:ascii="Open Sans" w:hAnsi="Open Sans" w:cs="Open Sans"/>
          <w:sz w:val="20"/>
          <w:szCs w:val="20"/>
        </w:rPr>
        <w:t>to cultivate b</w:t>
      </w:r>
      <w:r w:rsidR="00610B17" w:rsidRPr="00923427">
        <w:rPr>
          <w:rFonts w:ascii="Open Sans" w:hAnsi="Open Sans" w:cs="Open Sans"/>
          <w:sz w:val="20"/>
          <w:szCs w:val="20"/>
        </w:rPr>
        <w:t>iomass feedstocks on appropriate land. Such a licence could be trialled within specific areas first to see if this is effective in delivering new biomass developments.</w:t>
      </w:r>
      <w:r w:rsidR="0006325D" w:rsidRPr="00923427">
        <w:rPr>
          <w:rStyle w:val="FootnoteReference"/>
          <w:rFonts w:ascii="Open Sans" w:hAnsi="Open Sans" w:cs="Open Sans"/>
          <w:sz w:val="20"/>
          <w:szCs w:val="20"/>
        </w:rPr>
        <w:footnoteReference w:id="38"/>
      </w:r>
      <w:r w:rsidR="00610B17" w:rsidRPr="00923427">
        <w:rPr>
          <w:rFonts w:ascii="Open Sans" w:hAnsi="Open Sans" w:cs="Open Sans"/>
          <w:sz w:val="20"/>
          <w:szCs w:val="20"/>
        </w:rPr>
        <w:t xml:space="preserve"> </w:t>
      </w:r>
    </w:p>
    <w:p w14:paraId="5CD42A81" w14:textId="468B1BEB" w:rsidR="00E869E9" w:rsidRPr="00923427" w:rsidRDefault="00782565" w:rsidP="00882FC4">
      <w:pPr>
        <w:rPr>
          <w:rFonts w:ascii="Open Sans" w:hAnsi="Open Sans" w:cs="Open Sans"/>
          <w:b/>
          <w:bCs/>
          <w:i/>
          <w:iCs/>
          <w:sz w:val="20"/>
          <w:szCs w:val="20"/>
        </w:rPr>
      </w:pPr>
      <w:r w:rsidRPr="00923427">
        <w:rPr>
          <w:rFonts w:ascii="Open Sans" w:hAnsi="Open Sans" w:cs="Open Sans"/>
          <w:b/>
          <w:bCs/>
          <w:i/>
          <w:iCs/>
          <w:sz w:val="20"/>
          <w:szCs w:val="20"/>
        </w:rPr>
        <w:t xml:space="preserve">De-risk innovative solutions </w:t>
      </w:r>
      <w:r w:rsidR="0006325D" w:rsidRPr="00923427">
        <w:rPr>
          <w:rFonts w:ascii="Open Sans" w:hAnsi="Open Sans" w:cs="Open Sans"/>
          <w:b/>
          <w:bCs/>
          <w:i/>
          <w:iCs/>
          <w:sz w:val="20"/>
          <w:szCs w:val="20"/>
        </w:rPr>
        <w:t>through</w:t>
      </w:r>
      <w:r w:rsidRPr="00923427">
        <w:rPr>
          <w:rFonts w:ascii="Open Sans" w:hAnsi="Open Sans" w:cs="Open Sans"/>
          <w:b/>
          <w:bCs/>
          <w:i/>
          <w:iCs/>
          <w:sz w:val="20"/>
          <w:szCs w:val="20"/>
        </w:rPr>
        <w:t xml:space="preserve"> independent advice for developers and commercialisation grants</w:t>
      </w:r>
    </w:p>
    <w:p w14:paraId="4D94BADF" w14:textId="4341ECE0" w:rsidR="00133644" w:rsidRPr="00923427" w:rsidRDefault="00782565" w:rsidP="00882FC4">
      <w:pPr>
        <w:rPr>
          <w:rFonts w:ascii="Open Sans" w:hAnsi="Open Sans" w:cs="Open Sans"/>
          <w:sz w:val="20"/>
          <w:szCs w:val="20"/>
        </w:rPr>
      </w:pPr>
      <w:r w:rsidRPr="00923427">
        <w:rPr>
          <w:rFonts w:ascii="Open Sans" w:hAnsi="Open Sans" w:cs="Open Sans"/>
          <w:sz w:val="20"/>
          <w:szCs w:val="20"/>
        </w:rPr>
        <w:t xml:space="preserve">General knowledge of innovative </w:t>
      </w:r>
      <w:r w:rsidR="00133644" w:rsidRPr="00923427">
        <w:rPr>
          <w:rFonts w:ascii="Open Sans" w:hAnsi="Open Sans" w:cs="Open Sans"/>
          <w:sz w:val="20"/>
          <w:szCs w:val="20"/>
        </w:rPr>
        <w:t xml:space="preserve">energy crops, </w:t>
      </w:r>
      <w:r w:rsidRPr="00923427">
        <w:rPr>
          <w:rFonts w:ascii="Open Sans" w:hAnsi="Open Sans" w:cs="Open Sans"/>
          <w:sz w:val="20"/>
          <w:szCs w:val="20"/>
        </w:rPr>
        <w:t xml:space="preserve">their </w:t>
      </w:r>
      <w:proofErr w:type="gramStart"/>
      <w:r w:rsidR="0006325D" w:rsidRPr="00923427">
        <w:rPr>
          <w:rFonts w:ascii="Open Sans" w:hAnsi="Open Sans" w:cs="Open Sans"/>
          <w:sz w:val="20"/>
          <w:szCs w:val="20"/>
        </w:rPr>
        <w:t>advantages</w:t>
      </w:r>
      <w:proofErr w:type="gramEnd"/>
      <w:r w:rsidR="0006325D" w:rsidRPr="00923427">
        <w:rPr>
          <w:rFonts w:ascii="Open Sans" w:hAnsi="Open Sans" w:cs="Open Sans"/>
          <w:sz w:val="20"/>
          <w:szCs w:val="20"/>
        </w:rPr>
        <w:t xml:space="preserve"> or </w:t>
      </w:r>
      <w:r w:rsidRPr="00923427">
        <w:rPr>
          <w:rFonts w:ascii="Open Sans" w:hAnsi="Open Sans" w:cs="Open Sans"/>
          <w:sz w:val="20"/>
          <w:szCs w:val="20"/>
        </w:rPr>
        <w:t xml:space="preserve">possible returns, is low across the agriculture and forestry sector. Having clear independent advice available about the </w:t>
      </w:r>
      <w:r w:rsidR="00133644" w:rsidRPr="00923427">
        <w:rPr>
          <w:rFonts w:ascii="Open Sans" w:hAnsi="Open Sans" w:cs="Open Sans"/>
          <w:sz w:val="20"/>
          <w:szCs w:val="20"/>
        </w:rPr>
        <w:t>feedstocks</w:t>
      </w:r>
      <w:r w:rsidRPr="00923427">
        <w:rPr>
          <w:rFonts w:ascii="Open Sans" w:hAnsi="Open Sans" w:cs="Open Sans"/>
          <w:sz w:val="20"/>
          <w:szCs w:val="20"/>
        </w:rPr>
        <w:t xml:space="preserve"> is required </w:t>
      </w:r>
      <w:r w:rsidR="00133644" w:rsidRPr="00923427">
        <w:rPr>
          <w:rFonts w:ascii="Open Sans" w:hAnsi="Open Sans" w:cs="Open Sans"/>
          <w:sz w:val="20"/>
          <w:szCs w:val="20"/>
        </w:rPr>
        <w:t>to</w:t>
      </w:r>
      <w:r w:rsidRPr="00923427">
        <w:rPr>
          <w:rFonts w:ascii="Open Sans" w:hAnsi="Open Sans" w:cs="Open Sans"/>
          <w:sz w:val="20"/>
          <w:szCs w:val="20"/>
        </w:rPr>
        <w:t xml:space="preserve"> help de-risk </w:t>
      </w:r>
      <w:r w:rsidR="00133644" w:rsidRPr="00923427">
        <w:rPr>
          <w:rFonts w:ascii="Open Sans" w:hAnsi="Open Sans" w:cs="Open Sans"/>
          <w:sz w:val="20"/>
          <w:szCs w:val="20"/>
        </w:rPr>
        <w:t>and</w:t>
      </w:r>
      <w:r w:rsidRPr="00923427">
        <w:rPr>
          <w:rFonts w:ascii="Open Sans" w:hAnsi="Open Sans" w:cs="Open Sans"/>
          <w:sz w:val="20"/>
          <w:szCs w:val="20"/>
        </w:rPr>
        <w:t xml:space="preserve"> encourage </w:t>
      </w:r>
      <w:r w:rsidR="00133644" w:rsidRPr="00923427">
        <w:rPr>
          <w:rFonts w:ascii="Open Sans" w:hAnsi="Open Sans" w:cs="Open Sans"/>
          <w:sz w:val="20"/>
          <w:szCs w:val="20"/>
        </w:rPr>
        <w:t xml:space="preserve">new developments. </w:t>
      </w:r>
    </w:p>
    <w:p w14:paraId="263CDC75" w14:textId="22D512A0" w:rsidR="00610B17" w:rsidRPr="00923427" w:rsidRDefault="00133644" w:rsidP="00882FC4">
      <w:pPr>
        <w:rPr>
          <w:rFonts w:ascii="Open Sans" w:hAnsi="Open Sans" w:cs="Open Sans"/>
          <w:sz w:val="20"/>
          <w:szCs w:val="20"/>
        </w:rPr>
      </w:pPr>
      <w:r w:rsidRPr="00923427">
        <w:rPr>
          <w:rFonts w:ascii="Open Sans" w:hAnsi="Open Sans" w:cs="Open Sans"/>
          <w:sz w:val="20"/>
          <w:szCs w:val="20"/>
        </w:rPr>
        <w:t xml:space="preserve">For many crops there is now significant amounts of demonstration plantations available, with strong data to show their suitability and commercial potential, </w:t>
      </w:r>
      <w:r w:rsidR="0006325D" w:rsidRPr="00923427">
        <w:rPr>
          <w:rFonts w:ascii="Open Sans" w:hAnsi="Open Sans" w:cs="Open Sans"/>
          <w:sz w:val="20"/>
          <w:szCs w:val="20"/>
        </w:rPr>
        <w:t>however,</w:t>
      </w:r>
      <w:r w:rsidRPr="00923427">
        <w:rPr>
          <w:rFonts w:ascii="Open Sans" w:hAnsi="Open Sans" w:cs="Open Sans"/>
          <w:sz w:val="20"/>
          <w:szCs w:val="20"/>
        </w:rPr>
        <w:t xml:space="preserve"> grant support for commercialisation would also be beneficial in seeing greater take up of innovative energy crops or forestry practices. </w:t>
      </w:r>
    </w:p>
    <w:p w14:paraId="6848B199" w14:textId="1539CD0D" w:rsidR="00410450" w:rsidRPr="00923427" w:rsidRDefault="00410450" w:rsidP="00882FC4">
      <w:pPr>
        <w:rPr>
          <w:rFonts w:ascii="Open Sans" w:hAnsi="Open Sans" w:cs="Open Sans"/>
          <w:b/>
          <w:bCs/>
          <w:i/>
          <w:iCs/>
          <w:sz w:val="20"/>
          <w:szCs w:val="20"/>
        </w:rPr>
      </w:pPr>
      <w:r w:rsidRPr="00923427">
        <w:rPr>
          <w:rFonts w:ascii="Open Sans" w:hAnsi="Open Sans" w:cs="Open Sans"/>
          <w:b/>
          <w:bCs/>
          <w:i/>
          <w:iCs/>
          <w:sz w:val="20"/>
          <w:szCs w:val="20"/>
        </w:rPr>
        <w:t>Maximise access to biogenic waste feedstocks b</w:t>
      </w:r>
      <w:r w:rsidR="008F79B2" w:rsidRPr="00923427">
        <w:rPr>
          <w:rFonts w:ascii="Open Sans" w:hAnsi="Open Sans" w:cs="Open Sans"/>
          <w:b/>
          <w:bCs/>
          <w:i/>
          <w:iCs/>
          <w:sz w:val="20"/>
          <w:szCs w:val="20"/>
        </w:rPr>
        <w:t>y</w:t>
      </w:r>
      <w:r w:rsidRPr="00923427">
        <w:rPr>
          <w:rFonts w:ascii="Open Sans" w:hAnsi="Open Sans" w:cs="Open Sans"/>
          <w:b/>
          <w:bCs/>
          <w:i/>
          <w:iCs/>
          <w:sz w:val="20"/>
          <w:szCs w:val="20"/>
        </w:rPr>
        <w:t xml:space="preserve"> evolving the waste hierarchy and </w:t>
      </w:r>
      <w:r w:rsidR="0006325D" w:rsidRPr="00923427">
        <w:rPr>
          <w:rFonts w:ascii="Open Sans" w:hAnsi="Open Sans" w:cs="Open Sans"/>
          <w:b/>
          <w:bCs/>
          <w:i/>
          <w:iCs/>
          <w:sz w:val="20"/>
          <w:szCs w:val="20"/>
        </w:rPr>
        <w:t>opening</w:t>
      </w:r>
      <w:r w:rsidRPr="00923427">
        <w:rPr>
          <w:rFonts w:ascii="Open Sans" w:hAnsi="Open Sans" w:cs="Open Sans"/>
          <w:b/>
          <w:bCs/>
          <w:i/>
          <w:iCs/>
          <w:sz w:val="20"/>
          <w:szCs w:val="20"/>
        </w:rPr>
        <w:t xml:space="preserve"> under-utilised sectors, like the agri-food sector. </w:t>
      </w:r>
    </w:p>
    <w:p w14:paraId="1EF9DA24" w14:textId="2CA273C2" w:rsidR="00040DF6" w:rsidRPr="00923427" w:rsidRDefault="00040DF6" w:rsidP="00882FC4">
      <w:pPr>
        <w:rPr>
          <w:rFonts w:ascii="Open Sans" w:hAnsi="Open Sans" w:cs="Open Sans"/>
          <w:sz w:val="20"/>
          <w:szCs w:val="20"/>
        </w:rPr>
      </w:pPr>
      <w:r w:rsidRPr="00923427">
        <w:rPr>
          <w:rFonts w:ascii="Open Sans" w:hAnsi="Open Sans" w:cs="Open Sans"/>
          <w:sz w:val="20"/>
          <w:szCs w:val="20"/>
        </w:rPr>
        <w:t xml:space="preserve">As mentioned, the CCC has called for all biogenic waste to be diverted from landfill by 2025. Introduction of mandatory food waste collections from </w:t>
      </w:r>
      <w:r w:rsidR="008B04F7" w:rsidRPr="00923427">
        <w:rPr>
          <w:rFonts w:ascii="Open Sans" w:hAnsi="Open Sans" w:cs="Open Sans"/>
          <w:sz w:val="20"/>
          <w:szCs w:val="20"/>
        </w:rPr>
        <w:t>households is</w:t>
      </w:r>
      <w:r w:rsidRPr="00923427">
        <w:rPr>
          <w:rFonts w:ascii="Open Sans" w:hAnsi="Open Sans" w:cs="Open Sans"/>
          <w:sz w:val="20"/>
          <w:szCs w:val="20"/>
        </w:rPr>
        <w:t xml:space="preserve"> positive in </w:t>
      </w:r>
      <w:r w:rsidR="008B04F7" w:rsidRPr="00923427">
        <w:rPr>
          <w:rFonts w:ascii="Open Sans" w:hAnsi="Open Sans" w:cs="Open Sans"/>
          <w:sz w:val="20"/>
          <w:szCs w:val="20"/>
        </w:rPr>
        <w:t>this regard</w:t>
      </w:r>
      <w:r w:rsidRPr="00923427">
        <w:rPr>
          <w:rFonts w:ascii="Open Sans" w:hAnsi="Open Sans" w:cs="Open Sans"/>
          <w:sz w:val="20"/>
          <w:szCs w:val="20"/>
        </w:rPr>
        <w:t xml:space="preserve">, but there also remains </w:t>
      </w:r>
      <w:proofErr w:type="spellStart"/>
      <w:r w:rsidRPr="00923427">
        <w:rPr>
          <w:rFonts w:ascii="Open Sans" w:hAnsi="Open Sans" w:cs="Open Sans"/>
          <w:sz w:val="20"/>
          <w:szCs w:val="20"/>
        </w:rPr>
        <w:t>under utilised</w:t>
      </w:r>
      <w:proofErr w:type="spellEnd"/>
      <w:r w:rsidRPr="00923427">
        <w:rPr>
          <w:rFonts w:ascii="Open Sans" w:hAnsi="Open Sans" w:cs="Open Sans"/>
          <w:sz w:val="20"/>
          <w:szCs w:val="20"/>
        </w:rPr>
        <w:t xml:space="preserve"> food waste from sectors such as the agri-food process food sector, where large amount of organic waste is produced and currently not diverted to compositing or </w:t>
      </w:r>
      <w:r w:rsidR="008B04F7" w:rsidRPr="00923427">
        <w:rPr>
          <w:rFonts w:ascii="Open Sans" w:hAnsi="Open Sans" w:cs="Open Sans"/>
          <w:sz w:val="20"/>
          <w:szCs w:val="20"/>
        </w:rPr>
        <w:t>anaerobic</w:t>
      </w:r>
      <w:r w:rsidRPr="00923427">
        <w:rPr>
          <w:rFonts w:ascii="Open Sans" w:hAnsi="Open Sans" w:cs="Open Sans"/>
          <w:sz w:val="20"/>
          <w:szCs w:val="20"/>
        </w:rPr>
        <w:t xml:space="preserve"> digestion facilities. </w:t>
      </w:r>
    </w:p>
    <w:p w14:paraId="6EBF3AD1" w14:textId="4F15DF43" w:rsidR="00410450" w:rsidRPr="00923427" w:rsidRDefault="00040DF6" w:rsidP="00882FC4">
      <w:pPr>
        <w:pBdr>
          <w:bottom w:val="single" w:sz="6" w:space="1" w:color="auto"/>
        </w:pBdr>
        <w:rPr>
          <w:rFonts w:ascii="Open Sans" w:hAnsi="Open Sans" w:cs="Open Sans"/>
          <w:sz w:val="20"/>
          <w:szCs w:val="20"/>
        </w:rPr>
      </w:pPr>
      <w:r w:rsidRPr="00923427">
        <w:rPr>
          <w:rFonts w:ascii="Open Sans" w:hAnsi="Open Sans" w:cs="Open Sans"/>
          <w:sz w:val="20"/>
          <w:szCs w:val="20"/>
        </w:rPr>
        <w:t xml:space="preserve">To further encourage the innovative use of this waste, the waste hierarchy should also be further evolved, so that the use of biogenic waste in energy recovery for production of renewable fuels should be considered a form of recycling, rather </w:t>
      </w:r>
      <w:proofErr w:type="spellStart"/>
      <w:r w:rsidRPr="00923427">
        <w:rPr>
          <w:rFonts w:ascii="Open Sans" w:hAnsi="Open Sans" w:cs="Open Sans"/>
          <w:sz w:val="20"/>
          <w:szCs w:val="20"/>
        </w:rPr>
        <w:t>then</w:t>
      </w:r>
      <w:proofErr w:type="spellEnd"/>
      <w:r w:rsidRPr="00923427">
        <w:rPr>
          <w:rFonts w:ascii="Open Sans" w:hAnsi="Open Sans" w:cs="Open Sans"/>
          <w:sz w:val="20"/>
          <w:szCs w:val="20"/>
        </w:rPr>
        <w:t xml:space="preserve"> energy from waste</w:t>
      </w:r>
      <w:r w:rsidR="008F79B2" w:rsidRPr="00923427">
        <w:rPr>
          <w:rFonts w:ascii="Open Sans" w:hAnsi="Open Sans" w:cs="Open Sans"/>
          <w:sz w:val="20"/>
          <w:szCs w:val="20"/>
        </w:rPr>
        <w:t>, higher up the waste hierarchy</w:t>
      </w:r>
      <w:r w:rsidRPr="00923427">
        <w:rPr>
          <w:rFonts w:ascii="Open Sans" w:hAnsi="Open Sans" w:cs="Open Sans"/>
          <w:sz w:val="20"/>
          <w:szCs w:val="20"/>
        </w:rPr>
        <w:t xml:space="preserve">. </w:t>
      </w:r>
    </w:p>
    <w:p w14:paraId="1522E828" w14:textId="77777777" w:rsidR="00220257" w:rsidRPr="00923427" w:rsidRDefault="00220257" w:rsidP="00882FC4">
      <w:pPr>
        <w:pBdr>
          <w:bottom w:val="single" w:sz="6" w:space="1" w:color="auto"/>
        </w:pBdr>
        <w:rPr>
          <w:rFonts w:ascii="Open Sans" w:hAnsi="Open Sans" w:cs="Open Sans"/>
          <w:sz w:val="20"/>
          <w:szCs w:val="20"/>
        </w:rPr>
      </w:pPr>
    </w:p>
    <w:p w14:paraId="2C9B9FBB" w14:textId="5C360A62" w:rsidR="0063083B" w:rsidRPr="00923427" w:rsidRDefault="00ED0279" w:rsidP="00882FC4">
      <w:pPr>
        <w:rPr>
          <w:rFonts w:ascii="Open Sans" w:hAnsi="Open Sans" w:cs="Open Sans"/>
          <w:b/>
          <w:bCs/>
          <w:color w:val="2F5496"/>
          <w:sz w:val="20"/>
          <w:szCs w:val="20"/>
        </w:rPr>
      </w:pPr>
      <w:r w:rsidRPr="00923427">
        <w:rPr>
          <w:rFonts w:ascii="Open Sans" w:hAnsi="Open Sans" w:cs="Open Sans"/>
          <w:sz w:val="20"/>
          <w:szCs w:val="20"/>
        </w:rPr>
        <w:br/>
      </w:r>
      <w:r w:rsidRPr="00923427">
        <w:rPr>
          <w:rFonts w:ascii="Open Sans" w:hAnsi="Open Sans" w:cs="Open Sans"/>
          <w:b/>
          <w:bCs/>
          <w:color w:val="2F5496"/>
          <w:sz w:val="20"/>
          <w:szCs w:val="20"/>
        </w:rPr>
        <w:t xml:space="preserve">7. What is the potential biomass resource from imports compared to the levels we currently receive? What are the current and potential risks, </w:t>
      </w:r>
      <w:proofErr w:type="gramStart"/>
      <w:r w:rsidRPr="00923427">
        <w:rPr>
          <w:rFonts w:ascii="Open Sans" w:hAnsi="Open Sans" w:cs="Open Sans"/>
          <w:b/>
          <w:bCs/>
          <w:color w:val="2F5496"/>
          <w:sz w:val="20"/>
          <w:szCs w:val="20"/>
        </w:rPr>
        <w:t>opportunities</w:t>
      </w:r>
      <w:proofErr w:type="gramEnd"/>
      <w:r w:rsidRPr="00923427">
        <w:rPr>
          <w:rFonts w:ascii="Open Sans" w:hAnsi="Open Sans" w:cs="Open Sans"/>
          <w:b/>
          <w:bCs/>
          <w:color w:val="2F5496"/>
          <w:sz w:val="20"/>
          <w:szCs w:val="20"/>
        </w:rPr>
        <w:t xml:space="preserve"> and barriers (e.g., sustainability, economic, etc) to increasing the volumes of imported biomass</w:t>
      </w:r>
      <w:r w:rsidR="00A60983" w:rsidRPr="00923427">
        <w:rPr>
          <w:rFonts w:ascii="Open Sans" w:hAnsi="Open Sans" w:cs="Open Sans"/>
          <w:b/>
          <w:bCs/>
          <w:color w:val="2F5496"/>
          <w:sz w:val="20"/>
          <w:szCs w:val="20"/>
        </w:rPr>
        <w:t>?</w:t>
      </w:r>
    </w:p>
    <w:p w14:paraId="715F8A5A" w14:textId="03C51DB6" w:rsidR="009801F9" w:rsidRPr="00923427" w:rsidRDefault="009801F9" w:rsidP="00CB1E72">
      <w:pPr>
        <w:spacing w:line="240" w:lineRule="auto"/>
        <w:rPr>
          <w:rFonts w:ascii="Open Sans" w:hAnsi="Open Sans" w:cs="Open Sans"/>
          <w:b/>
          <w:bCs/>
          <w:i/>
          <w:iCs/>
          <w:sz w:val="20"/>
          <w:szCs w:val="20"/>
        </w:rPr>
      </w:pPr>
      <w:r w:rsidRPr="00923427">
        <w:rPr>
          <w:rFonts w:ascii="Open Sans" w:hAnsi="Open Sans" w:cs="Open Sans"/>
          <w:b/>
          <w:bCs/>
          <w:i/>
          <w:iCs/>
          <w:sz w:val="20"/>
          <w:szCs w:val="20"/>
        </w:rPr>
        <w:t xml:space="preserve">The role of imported biomass needs to be recognised to meet the UK’s future net zero energy demands. </w:t>
      </w:r>
    </w:p>
    <w:p w14:paraId="18D45F0C" w14:textId="0480FD71" w:rsidR="00CB1E72" w:rsidRPr="00923427" w:rsidRDefault="009801F9" w:rsidP="00CB1E72">
      <w:pPr>
        <w:spacing w:line="240" w:lineRule="auto"/>
        <w:rPr>
          <w:rFonts w:ascii="Open Sans" w:hAnsi="Open Sans" w:cs="Open Sans"/>
          <w:sz w:val="20"/>
          <w:szCs w:val="20"/>
        </w:rPr>
      </w:pPr>
      <w:r w:rsidRPr="00923427">
        <w:rPr>
          <w:rFonts w:ascii="Open Sans" w:hAnsi="Open Sans" w:cs="Open Sans"/>
          <w:sz w:val="20"/>
          <w:szCs w:val="20"/>
        </w:rPr>
        <w:t>Imported biomass has so far been fundamental to the development of bioenergy industries in the UK</w:t>
      </w:r>
      <w:r w:rsidR="009C519A" w:rsidRPr="00923427">
        <w:rPr>
          <w:rFonts w:ascii="Open Sans" w:hAnsi="Open Sans" w:cs="Open Sans"/>
          <w:sz w:val="20"/>
          <w:szCs w:val="20"/>
        </w:rPr>
        <w:t xml:space="preserve">. </w:t>
      </w:r>
      <w:r w:rsidRPr="00923427">
        <w:rPr>
          <w:rFonts w:ascii="Open Sans" w:hAnsi="Open Sans" w:cs="Open Sans"/>
          <w:sz w:val="20"/>
          <w:szCs w:val="20"/>
        </w:rPr>
        <w:t xml:space="preserve"> </w:t>
      </w:r>
      <w:r w:rsidR="009C519A" w:rsidRPr="00923427">
        <w:rPr>
          <w:rFonts w:ascii="Open Sans" w:hAnsi="Open Sans" w:cs="Open Sans"/>
          <w:sz w:val="20"/>
          <w:szCs w:val="20"/>
        </w:rPr>
        <w:t>W</w:t>
      </w:r>
      <w:r w:rsidRPr="00923427">
        <w:rPr>
          <w:rFonts w:ascii="Open Sans" w:hAnsi="Open Sans" w:cs="Open Sans"/>
          <w:sz w:val="20"/>
          <w:szCs w:val="20"/>
        </w:rPr>
        <w:t>hile it is crucial domestic supplies increase, imports will also continue to be fundamental to meeting UK net</w:t>
      </w:r>
      <w:r w:rsidR="009C519A" w:rsidRPr="00923427">
        <w:rPr>
          <w:rFonts w:ascii="Open Sans" w:hAnsi="Open Sans" w:cs="Open Sans"/>
          <w:sz w:val="20"/>
          <w:szCs w:val="20"/>
        </w:rPr>
        <w:t>-</w:t>
      </w:r>
      <w:r w:rsidRPr="00923427">
        <w:rPr>
          <w:rFonts w:ascii="Open Sans" w:hAnsi="Open Sans" w:cs="Open Sans"/>
          <w:sz w:val="20"/>
          <w:szCs w:val="20"/>
        </w:rPr>
        <w:t xml:space="preserve">zero energy demands. </w:t>
      </w:r>
      <w:r w:rsidR="008B04F7" w:rsidRPr="00923427">
        <w:rPr>
          <w:rFonts w:ascii="Open Sans" w:hAnsi="Open Sans" w:cs="Open Sans"/>
          <w:sz w:val="20"/>
          <w:szCs w:val="20"/>
        </w:rPr>
        <w:t xml:space="preserve">As </w:t>
      </w:r>
      <w:r w:rsidR="006C78C1" w:rsidRPr="00923427">
        <w:rPr>
          <w:rFonts w:ascii="Open Sans" w:hAnsi="Open Sans" w:cs="Open Sans"/>
          <w:sz w:val="20"/>
          <w:szCs w:val="20"/>
        </w:rPr>
        <w:t xml:space="preserve">previously </w:t>
      </w:r>
      <w:r w:rsidR="008B04F7" w:rsidRPr="00923427">
        <w:rPr>
          <w:rFonts w:ascii="Open Sans" w:hAnsi="Open Sans" w:cs="Open Sans"/>
          <w:sz w:val="20"/>
          <w:szCs w:val="20"/>
        </w:rPr>
        <w:t xml:space="preserve">described, recognising the biomass potential of the UK will </w:t>
      </w:r>
      <w:r w:rsidR="00CB1E72" w:rsidRPr="00923427">
        <w:rPr>
          <w:rFonts w:ascii="Open Sans" w:hAnsi="Open Sans" w:cs="Open Sans"/>
          <w:sz w:val="20"/>
          <w:szCs w:val="20"/>
        </w:rPr>
        <w:t>require additional imported resource,</w:t>
      </w:r>
      <w:r w:rsidRPr="00923427">
        <w:rPr>
          <w:rFonts w:ascii="Open Sans" w:hAnsi="Open Sans" w:cs="Open Sans"/>
          <w:sz w:val="20"/>
          <w:szCs w:val="20"/>
        </w:rPr>
        <w:t xml:space="preserve"> along with increased domestic supply. N</w:t>
      </w:r>
      <w:r w:rsidR="00CB1E72" w:rsidRPr="00923427">
        <w:rPr>
          <w:rFonts w:ascii="Open Sans" w:hAnsi="Open Sans" w:cs="Open Sans"/>
          <w:sz w:val="20"/>
          <w:szCs w:val="20"/>
        </w:rPr>
        <w:t xml:space="preserve">otably </w:t>
      </w:r>
      <w:r w:rsidRPr="00923427">
        <w:rPr>
          <w:rFonts w:ascii="Open Sans" w:hAnsi="Open Sans" w:cs="Open Sans"/>
          <w:sz w:val="20"/>
          <w:szCs w:val="20"/>
        </w:rPr>
        <w:t xml:space="preserve">volumes </w:t>
      </w:r>
      <w:r w:rsidR="009C519A" w:rsidRPr="00923427">
        <w:rPr>
          <w:rFonts w:ascii="Open Sans" w:hAnsi="Open Sans" w:cs="Open Sans"/>
          <w:sz w:val="20"/>
          <w:szCs w:val="20"/>
        </w:rPr>
        <w:t>of imported solid</w:t>
      </w:r>
      <w:r w:rsidR="00CB1E72" w:rsidRPr="00923427">
        <w:rPr>
          <w:rFonts w:ascii="Open Sans" w:hAnsi="Open Sans" w:cs="Open Sans"/>
          <w:sz w:val="20"/>
          <w:szCs w:val="20"/>
        </w:rPr>
        <w:t xml:space="preserve"> biomass pellets for large scale power generation</w:t>
      </w:r>
      <w:r w:rsidRPr="00923427">
        <w:rPr>
          <w:rFonts w:ascii="Open Sans" w:hAnsi="Open Sans" w:cs="Open Sans"/>
          <w:sz w:val="20"/>
          <w:szCs w:val="20"/>
        </w:rPr>
        <w:t xml:space="preserve"> (including BECCS) </w:t>
      </w:r>
      <w:r w:rsidR="00CB1E72" w:rsidRPr="00923427">
        <w:rPr>
          <w:rFonts w:ascii="Open Sans" w:hAnsi="Open Sans" w:cs="Open Sans"/>
          <w:sz w:val="20"/>
          <w:szCs w:val="20"/>
        </w:rPr>
        <w:t xml:space="preserve">will need to double to around 400 PJ (111 </w:t>
      </w:r>
      <w:proofErr w:type="spellStart"/>
      <w:r w:rsidR="00CB1E72" w:rsidRPr="00923427">
        <w:rPr>
          <w:rFonts w:ascii="Open Sans" w:hAnsi="Open Sans" w:cs="Open Sans"/>
          <w:sz w:val="20"/>
          <w:szCs w:val="20"/>
        </w:rPr>
        <w:t>TWh</w:t>
      </w:r>
      <w:proofErr w:type="spellEnd"/>
      <w:r w:rsidR="00CB1E72" w:rsidRPr="00923427">
        <w:rPr>
          <w:rFonts w:ascii="Open Sans" w:hAnsi="Open Sans" w:cs="Open Sans"/>
          <w:sz w:val="20"/>
          <w:szCs w:val="20"/>
        </w:rPr>
        <w:t xml:space="preserve">). Additional liquid biofuels for transport would </w:t>
      </w:r>
      <w:r w:rsidR="009C519A" w:rsidRPr="00923427">
        <w:rPr>
          <w:rFonts w:ascii="Open Sans" w:hAnsi="Open Sans" w:cs="Open Sans"/>
          <w:sz w:val="20"/>
          <w:szCs w:val="20"/>
        </w:rPr>
        <w:t xml:space="preserve">also </w:t>
      </w:r>
      <w:r w:rsidR="00CB1E72" w:rsidRPr="00923427">
        <w:rPr>
          <w:rFonts w:ascii="Open Sans" w:hAnsi="Open Sans" w:cs="Open Sans"/>
          <w:sz w:val="20"/>
          <w:szCs w:val="20"/>
        </w:rPr>
        <w:t xml:space="preserve">need to come from international markets, between 100 (28 </w:t>
      </w:r>
      <w:proofErr w:type="spellStart"/>
      <w:r w:rsidR="00CB1E72" w:rsidRPr="00923427">
        <w:rPr>
          <w:rFonts w:ascii="Open Sans" w:hAnsi="Open Sans" w:cs="Open Sans"/>
          <w:sz w:val="20"/>
          <w:szCs w:val="20"/>
        </w:rPr>
        <w:t>TWh</w:t>
      </w:r>
      <w:proofErr w:type="spellEnd"/>
      <w:r w:rsidR="00CB1E72" w:rsidRPr="00923427">
        <w:rPr>
          <w:rFonts w:ascii="Open Sans" w:hAnsi="Open Sans" w:cs="Open Sans"/>
          <w:sz w:val="20"/>
          <w:szCs w:val="20"/>
        </w:rPr>
        <w:t xml:space="preserve">) and 150 PJ (42 </w:t>
      </w:r>
      <w:proofErr w:type="spellStart"/>
      <w:r w:rsidR="00CB1E72" w:rsidRPr="00923427">
        <w:rPr>
          <w:rFonts w:ascii="Open Sans" w:hAnsi="Open Sans" w:cs="Open Sans"/>
          <w:sz w:val="20"/>
          <w:szCs w:val="20"/>
        </w:rPr>
        <w:t>TWh</w:t>
      </w:r>
      <w:proofErr w:type="spellEnd"/>
      <w:r w:rsidR="00CB1E72" w:rsidRPr="00923427">
        <w:rPr>
          <w:rFonts w:ascii="Open Sans" w:hAnsi="Open Sans" w:cs="Open Sans"/>
          <w:sz w:val="20"/>
          <w:szCs w:val="20"/>
        </w:rPr>
        <w:t xml:space="preserve">), depending on the volumes available from the UK. </w:t>
      </w:r>
      <w:r w:rsidRPr="00923427">
        <w:rPr>
          <w:rFonts w:ascii="Open Sans" w:hAnsi="Open Sans" w:cs="Open Sans"/>
          <w:sz w:val="20"/>
          <w:szCs w:val="20"/>
        </w:rPr>
        <w:t>However,</w:t>
      </w:r>
      <w:r w:rsidR="00CB1E72" w:rsidRPr="00923427">
        <w:rPr>
          <w:rFonts w:ascii="Open Sans" w:hAnsi="Open Sans" w:cs="Open Sans"/>
          <w:sz w:val="20"/>
          <w:szCs w:val="20"/>
        </w:rPr>
        <w:t xml:space="preserve"> these figures are well </w:t>
      </w:r>
      <w:r w:rsidR="009C519A" w:rsidRPr="00923427">
        <w:rPr>
          <w:rFonts w:ascii="Open Sans" w:hAnsi="Open Sans" w:cs="Open Sans"/>
          <w:sz w:val="20"/>
          <w:szCs w:val="20"/>
        </w:rPr>
        <w:t>in line</w:t>
      </w:r>
      <w:r w:rsidR="00CB1E72" w:rsidRPr="00923427">
        <w:rPr>
          <w:rFonts w:ascii="Open Sans" w:hAnsi="Open Sans" w:cs="Open Sans"/>
          <w:sz w:val="20"/>
          <w:szCs w:val="20"/>
        </w:rPr>
        <w:t xml:space="preserve"> with </w:t>
      </w:r>
      <w:r w:rsidRPr="00923427">
        <w:rPr>
          <w:rFonts w:ascii="Open Sans" w:hAnsi="Open Sans" w:cs="Open Sans"/>
          <w:sz w:val="20"/>
          <w:szCs w:val="20"/>
        </w:rPr>
        <w:t>suggested sustainable scenarios set out by the CCC.</w:t>
      </w:r>
      <w:r w:rsidRPr="00923427">
        <w:rPr>
          <w:rStyle w:val="FootnoteReference"/>
          <w:rFonts w:ascii="Open Sans" w:hAnsi="Open Sans" w:cs="Open Sans"/>
          <w:sz w:val="20"/>
          <w:szCs w:val="20"/>
        </w:rPr>
        <w:footnoteReference w:id="39"/>
      </w:r>
      <w:r w:rsidRPr="00923427">
        <w:rPr>
          <w:rFonts w:ascii="Open Sans" w:hAnsi="Open Sans" w:cs="Open Sans"/>
          <w:sz w:val="20"/>
          <w:szCs w:val="20"/>
        </w:rPr>
        <w:t xml:space="preserve"> The industry is confident that such levels can be procured for the UK inline, and exceeding, stringent sustainability standards. </w:t>
      </w:r>
    </w:p>
    <w:p w14:paraId="0569948C" w14:textId="27A16406" w:rsidR="00A1513F" w:rsidRPr="00923427" w:rsidRDefault="00A1513F" w:rsidP="00A1513F">
      <w:pPr>
        <w:rPr>
          <w:rFonts w:ascii="Open Sans" w:hAnsi="Open Sans" w:cs="Open Sans"/>
          <w:sz w:val="20"/>
          <w:szCs w:val="20"/>
        </w:rPr>
      </w:pPr>
      <w:r w:rsidRPr="00923427">
        <w:rPr>
          <w:rFonts w:ascii="Open Sans" w:hAnsi="Open Sans" w:cs="Open Sans"/>
          <w:sz w:val="20"/>
          <w:szCs w:val="20"/>
        </w:rPr>
        <w:t xml:space="preserve">Government should also be aware that it is not only feedstocks that are imported but other biomass derived products such as green gas used </w:t>
      </w:r>
      <w:r w:rsidR="009C519A" w:rsidRPr="00923427">
        <w:rPr>
          <w:rFonts w:ascii="Open Sans" w:hAnsi="Open Sans" w:cs="Open Sans"/>
          <w:sz w:val="20"/>
          <w:szCs w:val="20"/>
        </w:rPr>
        <w:t xml:space="preserve">directly </w:t>
      </w:r>
      <w:r w:rsidRPr="00923427">
        <w:rPr>
          <w:rFonts w:ascii="Open Sans" w:hAnsi="Open Sans" w:cs="Open Sans"/>
          <w:sz w:val="20"/>
          <w:szCs w:val="20"/>
        </w:rPr>
        <w:t xml:space="preserve">as a transport fuel. While we hope to see a greater proportion of these derived from domestic sources, dependent on waste and AD policy, there is likely going to continue to be a need for imports in line with </w:t>
      </w:r>
      <w:r w:rsidR="009C519A" w:rsidRPr="00923427">
        <w:rPr>
          <w:rFonts w:ascii="Open Sans" w:hAnsi="Open Sans" w:cs="Open Sans"/>
          <w:sz w:val="20"/>
          <w:szCs w:val="20"/>
        </w:rPr>
        <w:t>sustainability</w:t>
      </w:r>
      <w:r w:rsidRPr="00923427">
        <w:rPr>
          <w:rFonts w:ascii="Open Sans" w:hAnsi="Open Sans" w:cs="Open Sans"/>
          <w:sz w:val="20"/>
          <w:szCs w:val="20"/>
        </w:rPr>
        <w:t xml:space="preserve"> arrangements. </w:t>
      </w:r>
    </w:p>
    <w:p w14:paraId="4AA37C24" w14:textId="068EA9BB" w:rsidR="007014D4" w:rsidRPr="00923427" w:rsidRDefault="00781E77" w:rsidP="00882FC4">
      <w:pPr>
        <w:rPr>
          <w:rFonts w:ascii="Open Sans" w:hAnsi="Open Sans" w:cs="Open Sans"/>
          <w:b/>
          <w:bCs/>
          <w:i/>
          <w:iCs/>
          <w:sz w:val="20"/>
          <w:szCs w:val="20"/>
        </w:rPr>
      </w:pPr>
      <w:r w:rsidRPr="00923427">
        <w:rPr>
          <w:rFonts w:ascii="Open Sans" w:hAnsi="Open Sans" w:cs="Open Sans"/>
          <w:b/>
          <w:bCs/>
          <w:i/>
          <w:iCs/>
          <w:sz w:val="20"/>
          <w:szCs w:val="20"/>
        </w:rPr>
        <w:t xml:space="preserve">US </w:t>
      </w:r>
      <w:r w:rsidR="009C519A" w:rsidRPr="00923427">
        <w:rPr>
          <w:rFonts w:ascii="Open Sans" w:hAnsi="Open Sans" w:cs="Open Sans"/>
          <w:b/>
          <w:bCs/>
          <w:i/>
          <w:iCs/>
          <w:sz w:val="20"/>
          <w:szCs w:val="20"/>
        </w:rPr>
        <w:t>Southeast Forest</w:t>
      </w:r>
      <w:r w:rsidR="007014D4" w:rsidRPr="00923427">
        <w:rPr>
          <w:rFonts w:ascii="Open Sans" w:hAnsi="Open Sans" w:cs="Open Sans"/>
          <w:b/>
          <w:bCs/>
          <w:i/>
          <w:iCs/>
          <w:sz w:val="20"/>
          <w:szCs w:val="20"/>
        </w:rPr>
        <w:t xml:space="preserve"> resources continue</w:t>
      </w:r>
      <w:r w:rsidR="001B1A59" w:rsidRPr="00923427">
        <w:rPr>
          <w:rFonts w:ascii="Open Sans" w:hAnsi="Open Sans" w:cs="Open Sans"/>
          <w:b/>
          <w:bCs/>
          <w:i/>
          <w:iCs/>
          <w:sz w:val="20"/>
          <w:szCs w:val="20"/>
        </w:rPr>
        <w:t>s</w:t>
      </w:r>
      <w:r w:rsidR="007014D4" w:rsidRPr="00923427">
        <w:rPr>
          <w:rFonts w:ascii="Open Sans" w:hAnsi="Open Sans" w:cs="Open Sans"/>
          <w:b/>
          <w:bCs/>
          <w:i/>
          <w:iCs/>
          <w:sz w:val="20"/>
          <w:szCs w:val="20"/>
        </w:rPr>
        <w:t xml:space="preserve"> to grow</w:t>
      </w:r>
      <w:r w:rsidR="001B1A59" w:rsidRPr="00923427">
        <w:rPr>
          <w:rFonts w:ascii="Open Sans" w:hAnsi="Open Sans" w:cs="Open Sans"/>
          <w:b/>
          <w:bCs/>
          <w:i/>
          <w:iCs/>
          <w:sz w:val="20"/>
          <w:szCs w:val="20"/>
        </w:rPr>
        <w:t xml:space="preserve"> allowing for</w:t>
      </w:r>
      <w:r w:rsidR="007014D4" w:rsidRPr="00923427">
        <w:rPr>
          <w:rFonts w:ascii="Open Sans" w:hAnsi="Open Sans" w:cs="Open Sans"/>
          <w:b/>
          <w:bCs/>
          <w:i/>
          <w:iCs/>
          <w:sz w:val="20"/>
          <w:szCs w:val="20"/>
        </w:rPr>
        <w:t xml:space="preserve"> increased UK</w:t>
      </w:r>
      <w:r w:rsidR="001B1A59" w:rsidRPr="00923427">
        <w:rPr>
          <w:rFonts w:ascii="Open Sans" w:hAnsi="Open Sans" w:cs="Open Sans"/>
          <w:b/>
          <w:bCs/>
          <w:i/>
          <w:iCs/>
          <w:sz w:val="20"/>
          <w:szCs w:val="20"/>
        </w:rPr>
        <w:t xml:space="preserve"> and global</w:t>
      </w:r>
      <w:r w:rsidR="007014D4" w:rsidRPr="00923427">
        <w:rPr>
          <w:rFonts w:ascii="Open Sans" w:hAnsi="Open Sans" w:cs="Open Sans"/>
          <w:b/>
          <w:bCs/>
          <w:i/>
          <w:iCs/>
          <w:sz w:val="20"/>
          <w:szCs w:val="20"/>
        </w:rPr>
        <w:t xml:space="preserve"> imports. </w:t>
      </w:r>
    </w:p>
    <w:p w14:paraId="26DCE2C4" w14:textId="77777777" w:rsidR="001B1A59" w:rsidRPr="00923427" w:rsidRDefault="00FC7404" w:rsidP="008C48F8">
      <w:pPr>
        <w:rPr>
          <w:rFonts w:ascii="Open Sans" w:hAnsi="Open Sans" w:cs="Open Sans"/>
          <w:sz w:val="20"/>
          <w:szCs w:val="20"/>
        </w:rPr>
      </w:pPr>
      <w:r w:rsidRPr="00923427">
        <w:rPr>
          <w:rFonts w:ascii="Open Sans" w:hAnsi="Open Sans" w:cs="Open Sans"/>
          <w:sz w:val="20"/>
          <w:szCs w:val="20"/>
        </w:rPr>
        <w:t xml:space="preserve">The US Southeast continues to have huge areas of forest resource, with over 1.1 million square </w:t>
      </w:r>
      <w:r w:rsidR="008C48F8" w:rsidRPr="00923427">
        <w:rPr>
          <w:rFonts w:ascii="Open Sans" w:hAnsi="Open Sans" w:cs="Open Sans"/>
          <w:sz w:val="20"/>
          <w:szCs w:val="20"/>
        </w:rPr>
        <w:t>kilometres</w:t>
      </w:r>
      <w:r w:rsidRPr="00923427">
        <w:rPr>
          <w:rFonts w:ascii="Open Sans" w:hAnsi="Open Sans" w:cs="Open Sans"/>
          <w:sz w:val="20"/>
          <w:szCs w:val="20"/>
        </w:rPr>
        <w:t xml:space="preserve"> of </w:t>
      </w:r>
      <w:r w:rsidR="008C48F8" w:rsidRPr="00923427">
        <w:rPr>
          <w:rFonts w:ascii="Open Sans" w:hAnsi="Open Sans" w:cs="Open Sans"/>
          <w:sz w:val="20"/>
          <w:szCs w:val="20"/>
        </w:rPr>
        <w:t>forest</w:t>
      </w:r>
      <w:r w:rsidRPr="00923427">
        <w:rPr>
          <w:rFonts w:ascii="Open Sans" w:hAnsi="Open Sans" w:cs="Open Sans"/>
          <w:sz w:val="20"/>
          <w:szCs w:val="20"/>
        </w:rPr>
        <w:t xml:space="preserve"> land</w:t>
      </w:r>
      <w:r w:rsidR="008C48F8" w:rsidRPr="00923427">
        <w:rPr>
          <w:rFonts w:ascii="Open Sans" w:hAnsi="Open Sans" w:cs="Open Sans"/>
          <w:sz w:val="20"/>
          <w:szCs w:val="20"/>
        </w:rPr>
        <w:t>. About 3% of the forest in the US Southeast is harvested for forest products each year.  Of this, less than 4% goes to the export pellet industry.  Overall, industrial wood pellet manufacturers are using less than 0.1% of the total forest resources in the region each year to produce bioenergy.</w:t>
      </w:r>
      <w:r w:rsidR="008C48F8" w:rsidRPr="00923427">
        <w:rPr>
          <w:rStyle w:val="FootnoteReference"/>
          <w:rFonts w:ascii="Open Sans" w:hAnsi="Open Sans" w:cs="Open Sans"/>
          <w:sz w:val="20"/>
          <w:szCs w:val="20"/>
        </w:rPr>
        <w:footnoteReference w:id="40"/>
      </w:r>
      <w:r w:rsidR="008C48F8" w:rsidRPr="00923427">
        <w:rPr>
          <w:rFonts w:ascii="Open Sans" w:hAnsi="Open Sans" w:cs="Open Sans"/>
          <w:sz w:val="20"/>
          <w:szCs w:val="20"/>
        </w:rPr>
        <w:t xml:space="preserve">  </w:t>
      </w:r>
    </w:p>
    <w:p w14:paraId="682FDB5F" w14:textId="73F05228" w:rsidR="008C48F8" w:rsidRPr="00923427" w:rsidRDefault="008C48F8" w:rsidP="008C48F8">
      <w:pPr>
        <w:rPr>
          <w:rFonts w:ascii="Open Sans" w:hAnsi="Open Sans" w:cs="Open Sans"/>
          <w:sz w:val="20"/>
          <w:szCs w:val="20"/>
        </w:rPr>
      </w:pPr>
      <w:r w:rsidRPr="00923427">
        <w:rPr>
          <w:rFonts w:ascii="Open Sans" w:hAnsi="Open Sans" w:cs="Open Sans"/>
          <w:sz w:val="20"/>
          <w:szCs w:val="20"/>
        </w:rPr>
        <w:t xml:space="preserve">Furthermore, such harvests are being driven by primary wood sectors such </w:t>
      </w:r>
      <w:r w:rsidR="009C519A" w:rsidRPr="00923427">
        <w:rPr>
          <w:rFonts w:ascii="Open Sans" w:hAnsi="Open Sans" w:cs="Open Sans"/>
          <w:sz w:val="20"/>
          <w:szCs w:val="20"/>
        </w:rPr>
        <w:t xml:space="preserve">as </w:t>
      </w:r>
      <w:r w:rsidRPr="00923427">
        <w:rPr>
          <w:rFonts w:ascii="Open Sans" w:hAnsi="Open Sans" w:cs="Open Sans"/>
          <w:sz w:val="20"/>
          <w:szCs w:val="20"/>
        </w:rPr>
        <w:t xml:space="preserve">construction, </w:t>
      </w:r>
      <w:proofErr w:type="gramStart"/>
      <w:r w:rsidRPr="00923427">
        <w:rPr>
          <w:rFonts w:ascii="Open Sans" w:hAnsi="Open Sans" w:cs="Open Sans"/>
          <w:sz w:val="20"/>
          <w:szCs w:val="20"/>
        </w:rPr>
        <w:t>furniture</w:t>
      </w:r>
      <w:proofErr w:type="gramEnd"/>
      <w:r w:rsidRPr="00923427">
        <w:rPr>
          <w:rFonts w:ascii="Open Sans" w:hAnsi="Open Sans" w:cs="Open Sans"/>
          <w:sz w:val="20"/>
          <w:szCs w:val="20"/>
        </w:rPr>
        <w:t xml:space="preserve"> or paper</w:t>
      </w:r>
      <w:r w:rsidR="009C519A" w:rsidRPr="00923427">
        <w:rPr>
          <w:rFonts w:ascii="Open Sans" w:hAnsi="Open Sans" w:cs="Open Sans"/>
          <w:sz w:val="20"/>
          <w:szCs w:val="20"/>
        </w:rPr>
        <w:t xml:space="preserve">, sourced from certified </w:t>
      </w:r>
      <w:r w:rsidRPr="00923427">
        <w:rPr>
          <w:rFonts w:ascii="Open Sans" w:hAnsi="Open Sans" w:cs="Open Sans"/>
          <w:sz w:val="20"/>
          <w:szCs w:val="20"/>
        </w:rPr>
        <w:t>managed forest areas</w:t>
      </w:r>
      <w:r w:rsidR="009C519A" w:rsidRPr="00923427">
        <w:rPr>
          <w:rFonts w:ascii="Open Sans" w:hAnsi="Open Sans" w:cs="Open Sans"/>
          <w:sz w:val="20"/>
          <w:szCs w:val="20"/>
        </w:rPr>
        <w:t>. These sectors drive</w:t>
      </w:r>
      <w:r w:rsidRPr="00923427">
        <w:rPr>
          <w:rFonts w:ascii="Open Sans" w:hAnsi="Open Sans" w:cs="Open Sans"/>
          <w:sz w:val="20"/>
          <w:szCs w:val="20"/>
        </w:rPr>
        <w:t xml:space="preserve"> the </w:t>
      </w:r>
      <w:r w:rsidR="008E3BFC" w:rsidRPr="00923427">
        <w:rPr>
          <w:rFonts w:ascii="Open Sans" w:hAnsi="Open Sans" w:cs="Open Sans"/>
          <w:sz w:val="20"/>
          <w:szCs w:val="20"/>
        </w:rPr>
        <w:t>availability of low-value residues</w:t>
      </w:r>
      <w:r w:rsidR="009C519A" w:rsidRPr="00923427">
        <w:rPr>
          <w:rFonts w:ascii="Open Sans" w:hAnsi="Open Sans" w:cs="Open Sans"/>
          <w:sz w:val="20"/>
          <w:szCs w:val="20"/>
        </w:rPr>
        <w:t xml:space="preserve">, </w:t>
      </w:r>
      <w:r w:rsidR="008E3BFC" w:rsidRPr="00923427">
        <w:rPr>
          <w:rFonts w:ascii="Open Sans" w:hAnsi="Open Sans" w:cs="Open Sans"/>
          <w:sz w:val="20"/>
          <w:szCs w:val="20"/>
        </w:rPr>
        <w:t>or by products</w:t>
      </w:r>
      <w:r w:rsidR="009C519A" w:rsidRPr="00923427">
        <w:rPr>
          <w:rFonts w:ascii="Open Sans" w:hAnsi="Open Sans" w:cs="Open Sans"/>
          <w:sz w:val="20"/>
          <w:szCs w:val="20"/>
        </w:rPr>
        <w:t xml:space="preserve">, </w:t>
      </w:r>
      <w:r w:rsidR="008E3BFC" w:rsidRPr="00923427">
        <w:rPr>
          <w:rFonts w:ascii="Open Sans" w:hAnsi="Open Sans" w:cs="Open Sans"/>
          <w:sz w:val="20"/>
          <w:szCs w:val="20"/>
        </w:rPr>
        <w:t xml:space="preserve">that are ideal for bioenergy use. </w:t>
      </w:r>
      <w:r w:rsidR="0064108C" w:rsidRPr="00923427">
        <w:rPr>
          <w:rFonts w:ascii="Open Sans" w:hAnsi="Open Sans" w:cs="Open Sans"/>
          <w:sz w:val="20"/>
          <w:szCs w:val="20"/>
        </w:rPr>
        <w:t xml:space="preserve"> Overall, this harvesting and manged forest activity is shown to be accompanied by a steady increase in forested areas since the mid-1950s, with carbon stocks having nearly doubled. </w:t>
      </w:r>
      <w:r w:rsidR="0064108C" w:rsidRPr="00923427">
        <w:rPr>
          <w:rStyle w:val="FootnoteReference"/>
          <w:rFonts w:ascii="Open Sans" w:hAnsi="Open Sans" w:cs="Open Sans"/>
          <w:sz w:val="20"/>
          <w:szCs w:val="20"/>
        </w:rPr>
        <w:footnoteReference w:id="41"/>
      </w:r>
      <w:r w:rsidR="001B1A59" w:rsidRPr="00923427">
        <w:rPr>
          <w:rFonts w:ascii="Open Sans" w:hAnsi="Open Sans" w:cs="Open Sans"/>
          <w:sz w:val="20"/>
          <w:szCs w:val="20"/>
        </w:rPr>
        <w:t xml:space="preserve"> </w:t>
      </w:r>
      <w:r w:rsidR="0064108C" w:rsidRPr="00923427">
        <w:rPr>
          <w:rFonts w:ascii="Open Sans" w:hAnsi="Open Sans" w:cs="Open Sans"/>
          <w:sz w:val="20"/>
          <w:szCs w:val="20"/>
        </w:rPr>
        <w:t>Studies suggest there is no evidence to suggest that the biomass industry is driving any decreases in carbon stocks.</w:t>
      </w:r>
      <w:r w:rsidR="001B1A59" w:rsidRPr="00923427">
        <w:rPr>
          <w:rStyle w:val="FootnoteReference"/>
          <w:rFonts w:ascii="Open Sans" w:hAnsi="Open Sans" w:cs="Open Sans"/>
          <w:sz w:val="20"/>
          <w:szCs w:val="20"/>
        </w:rPr>
        <w:footnoteReference w:id="42"/>
      </w:r>
      <w:r w:rsidR="0064108C" w:rsidRPr="00923427">
        <w:rPr>
          <w:rFonts w:ascii="Open Sans" w:hAnsi="Open Sans" w:cs="Open Sans"/>
          <w:sz w:val="20"/>
          <w:szCs w:val="20"/>
        </w:rPr>
        <w:t xml:space="preserve"> </w:t>
      </w:r>
    </w:p>
    <w:p w14:paraId="1901B927" w14:textId="3B403A68" w:rsidR="008E3BFC" w:rsidRPr="00923427" w:rsidRDefault="008E3BFC" w:rsidP="00882FC4">
      <w:pPr>
        <w:rPr>
          <w:rFonts w:ascii="Open Sans" w:hAnsi="Open Sans" w:cs="Open Sans"/>
          <w:sz w:val="20"/>
          <w:szCs w:val="20"/>
        </w:rPr>
      </w:pPr>
      <w:r w:rsidRPr="00923427">
        <w:rPr>
          <w:rFonts w:ascii="Open Sans" w:hAnsi="Open Sans" w:cs="Open Sans"/>
          <w:sz w:val="20"/>
          <w:szCs w:val="20"/>
        </w:rPr>
        <w:t xml:space="preserve">The US Department of Energy estimates that the US has over 1 billion dry tons of additional forest and agriculture resources available each year to sustainably supply a growing global bioeconomy. </w:t>
      </w:r>
      <w:r w:rsidRPr="00923427">
        <w:rPr>
          <w:rStyle w:val="FootnoteReference"/>
          <w:rFonts w:ascii="Open Sans" w:hAnsi="Open Sans" w:cs="Open Sans"/>
          <w:sz w:val="20"/>
          <w:szCs w:val="20"/>
        </w:rPr>
        <w:footnoteReference w:id="43"/>
      </w:r>
      <w:r w:rsidRPr="00923427">
        <w:rPr>
          <w:rFonts w:ascii="Open Sans" w:hAnsi="Open Sans" w:cs="Open Sans"/>
          <w:sz w:val="20"/>
          <w:szCs w:val="20"/>
        </w:rPr>
        <w:t xml:space="preserve"> </w:t>
      </w:r>
      <w:r w:rsidR="001B1A59" w:rsidRPr="00923427">
        <w:rPr>
          <w:rFonts w:ascii="Open Sans" w:hAnsi="Open Sans" w:cs="Open Sans"/>
          <w:sz w:val="20"/>
          <w:szCs w:val="20"/>
        </w:rPr>
        <w:t>S</w:t>
      </w:r>
      <w:r w:rsidR="00781E77" w:rsidRPr="00923427">
        <w:rPr>
          <w:rFonts w:ascii="Open Sans" w:hAnsi="Open Sans" w:cs="Open Sans"/>
          <w:sz w:val="20"/>
          <w:szCs w:val="20"/>
        </w:rPr>
        <w:t xml:space="preserve">uggesting that the US </w:t>
      </w:r>
      <w:proofErr w:type="spellStart"/>
      <w:r w:rsidR="001B1A59" w:rsidRPr="00923427">
        <w:rPr>
          <w:rFonts w:ascii="Open Sans" w:hAnsi="Open Sans" w:cs="Open Sans"/>
          <w:sz w:val="20"/>
          <w:szCs w:val="20"/>
        </w:rPr>
        <w:t>S</w:t>
      </w:r>
      <w:r w:rsidR="00781E77" w:rsidRPr="00923427">
        <w:rPr>
          <w:rFonts w:ascii="Open Sans" w:hAnsi="Open Sans" w:cs="Open Sans"/>
          <w:sz w:val="20"/>
          <w:szCs w:val="20"/>
        </w:rPr>
        <w:t>outheastern</w:t>
      </w:r>
      <w:proofErr w:type="spellEnd"/>
      <w:r w:rsidR="00781E77" w:rsidRPr="00923427">
        <w:rPr>
          <w:rFonts w:ascii="Open Sans" w:hAnsi="Open Sans" w:cs="Open Sans"/>
          <w:sz w:val="20"/>
          <w:szCs w:val="20"/>
        </w:rPr>
        <w:t xml:space="preserve"> region alone </w:t>
      </w:r>
      <w:r w:rsidR="001B1A59" w:rsidRPr="00923427">
        <w:rPr>
          <w:rFonts w:ascii="Open Sans" w:hAnsi="Open Sans" w:cs="Open Sans"/>
          <w:sz w:val="20"/>
          <w:szCs w:val="20"/>
        </w:rPr>
        <w:t>can</w:t>
      </w:r>
      <w:r w:rsidR="00781E77" w:rsidRPr="00923427">
        <w:rPr>
          <w:rFonts w:ascii="Open Sans" w:hAnsi="Open Sans" w:cs="Open Sans"/>
          <w:sz w:val="20"/>
          <w:szCs w:val="20"/>
        </w:rPr>
        <w:t xml:space="preserve"> sustainably increase biomass supply, not only to the UK</w:t>
      </w:r>
      <w:r w:rsidR="009A3BBA" w:rsidRPr="00923427">
        <w:rPr>
          <w:rFonts w:ascii="Open Sans" w:hAnsi="Open Sans" w:cs="Open Sans"/>
          <w:sz w:val="20"/>
          <w:szCs w:val="20"/>
        </w:rPr>
        <w:t xml:space="preserve">, </w:t>
      </w:r>
      <w:r w:rsidR="00781E77" w:rsidRPr="00923427">
        <w:rPr>
          <w:rFonts w:ascii="Open Sans" w:hAnsi="Open Sans" w:cs="Open Sans"/>
          <w:sz w:val="20"/>
          <w:szCs w:val="20"/>
        </w:rPr>
        <w:t xml:space="preserve">but </w:t>
      </w:r>
      <w:r w:rsidR="009A3BBA" w:rsidRPr="00923427">
        <w:rPr>
          <w:rFonts w:ascii="Open Sans" w:hAnsi="Open Sans" w:cs="Open Sans"/>
          <w:sz w:val="20"/>
          <w:szCs w:val="20"/>
        </w:rPr>
        <w:t xml:space="preserve">globally </w:t>
      </w:r>
      <w:r w:rsidR="00781E77" w:rsidRPr="00923427">
        <w:rPr>
          <w:rFonts w:ascii="Open Sans" w:hAnsi="Open Sans" w:cs="Open Sans"/>
          <w:sz w:val="20"/>
          <w:szCs w:val="20"/>
        </w:rPr>
        <w:t xml:space="preserve">as well. </w:t>
      </w:r>
    </w:p>
    <w:p w14:paraId="7C30394D" w14:textId="35E79739" w:rsidR="001B1A59" w:rsidRPr="00923427" w:rsidRDefault="001B1A59" w:rsidP="00882FC4">
      <w:pPr>
        <w:rPr>
          <w:rFonts w:ascii="Open Sans" w:hAnsi="Open Sans" w:cs="Open Sans"/>
          <w:b/>
          <w:bCs/>
          <w:i/>
          <w:iCs/>
          <w:sz w:val="20"/>
          <w:szCs w:val="20"/>
        </w:rPr>
      </w:pPr>
      <w:r w:rsidRPr="00923427">
        <w:rPr>
          <w:rFonts w:ascii="Open Sans" w:hAnsi="Open Sans" w:cs="Open Sans"/>
          <w:b/>
          <w:bCs/>
          <w:i/>
          <w:iCs/>
          <w:sz w:val="20"/>
          <w:szCs w:val="20"/>
        </w:rPr>
        <w:t xml:space="preserve">Global innovation in </w:t>
      </w:r>
      <w:r w:rsidR="0036441F">
        <w:rPr>
          <w:rFonts w:ascii="Open Sans" w:hAnsi="Open Sans" w:cs="Open Sans"/>
          <w:b/>
          <w:bCs/>
          <w:i/>
          <w:iCs/>
          <w:sz w:val="20"/>
          <w:szCs w:val="20"/>
        </w:rPr>
        <w:t>b</w:t>
      </w:r>
      <w:r w:rsidRPr="00923427">
        <w:rPr>
          <w:rFonts w:ascii="Open Sans" w:hAnsi="Open Sans" w:cs="Open Sans"/>
          <w:b/>
          <w:bCs/>
          <w:i/>
          <w:iCs/>
          <w:sz w:val="20"/>
          <w:szCs w:val="20"/>
        </w:rPr>
        <w:t>iomass feedstocks suggest</w:t>
      </w:r>
      <w:r w:rsidR="009A3BBA" w:rsidRPr="00923427">
        <w:rPr>
          <w:rFonts w:ascii="Open Sans" w:hAnsi="Open Sans" w:cs="Open Sans"/>
          <w:b/>
          <w:bCs/>
          <w:i/>
          <w:iCs/>
          <w:sz w:val="20"/>
          <w:szCs w:val="20"/>
        </w:rPr>
        <w:t xml:space="preserve"> global demand for biomass is well below assessed sustainable potential.</w:t>
      </w:r>
    </w:p>
    <w:p w14:paraId="45D6B8B7" w14:textId="2210F1EE" w:rsidR="001B1A59" w:rsidRPr="00923427" w:rsidRDefault="009A3BBA" w:rsidP="00882FC4">
      <w:pPr>
        <w:rPr>
          <w:rFonts w:ascii="Open Sans" w:hAnsi="Open Sans" w:cs="Open Sans"/>
          <w:sz w:val="20"/>
          <w:szCs w:val="20"/>
        </w:rPr>
      </w:pPr>
      <w:r w:rsidRPr="00923427">
        <w:rPr>
          <w:rFonts w:ascii="Open Sans" w:hAnsi="Open Sans" w:cs="Open Sans"/>
          <w:sz w:val="20"/>
          <w:szCs w:val="20"/>
        </w:rPr>
        <w:t xml:space="preserve">Government will be aware that the International Energy Agency recently published their analysis for a global pathway to reaching </w:t>
      </w:r>
      <w:r w:rsidR="00313E1D" w:rsidRPr="00923427">
        <w:rPr>
          <w:rFonts w:ascii="Open Sans" w:hAnsi="Open Sans" w:cs="Open Sans"/>
          <w:sz w:val="20"/>
          <w:szCs w:val="20"/>
        </w:rPr>
        <w:t>N</w:t>
      </w:r>
      <w:r w:rsidRPr="00923427">
        <w:rPr>
          <w:rFonts w:ascii="Open Sans" w:hAnsi="Open Sans" w:cs="Open Sans"/>
          <w:sz w:val="20"/>
          <w:szCs w:val="20"/>
        </w:rPr>
        <w:t xml:space="preserve">et </w:t>
      </w:r>
      <w:r w:rsidR="00313E1D" w:rsidRPr="00923427">
        <w:rPr>
          <w:rFonts w:ascii="Open Sans" w:hAnsi="Open Sans" w:cs="Open Sans"/>
          <w:sz w:val="20"/>
          <w:szCs w:val="20"/>
        </w:rPr>
        <w:t>Z</w:t>
      </w:r>
      <w:r w:rsidRPr="00923427">
        <w:rPr>
          <w:rFonts w:ascii="Open Sans" w:hAnsi="Open Sans" w:cs="Open Sans"/>
          <w:sz w:val="20"/>
          <w:szCs w:val="20"/>
        </w:rPr>
        <w:t xml:space="preserve">ero </w:t>
      </w:r>
      <w:r w:rsidR="00313E1D" w:rsidRPr="00923427">
        <w:rPr>
          <w:rFonts w:ascii="Open Sans" w:hAnsi="Open Sans" w:cs="Open Sans"/>
          <w:sz w:val="20"/>
          <w:szCs w:val="20"/>
        </w:rPr>
        <w:t>E</w:t>
      </w:r>
      <w:r w:rsidRPr="00923427">
        <w:rPr>
          <w:rFonts w:ascii="Open Sans" w:hAnsi="Open Sans" w:cs="Open Sans"/>
          <w:sz w:val="20"/>
          <w:szCs w:val="20"/>
        </w:rPr>
        <w:t xml:space="preserve">missions. Within this pathway bioenergy is seen to play a significant role with global modern bioenergy use raising to 100 EJ by 2050, meeting almost 20% of total energy needs. </w:t>
      </w:r>
      <w:r w:rsidR="00313E1D" w:rsidRPr="00923427">
        <w:rPr>
          <w:rFonts w:ascii="Open Sans" w:hAnsi="Open Sans" w:cs="Open Sans"/>
          <w:sz w:val="20"/>
          <w:szCs w:val="20"/>
        </w:rPr>
        <w:t>T</w:t>
      </w:r>
      <w:r w:rsidRPr="00923427">
        <w:rPr>
          <w:rFonts w:ascii="Open Sans" w:hAnsi="Open Sans" w:cs="Open Sans"/>
          <w:sz w:val="20"/>
          <w:szCs w:val="20"/>
        </w:rPr>
        <w:t xml:space="preserve">hey compare this against recent </w:t>
      </w:r>
      <w:r w:rsidR="00313E1D" w:rsidRPr="00923427">
        <w:rPr>
          <w:rFonts w:ascii="Open Sans" w:hAnsi="Open Sans" w:cs="Open Sans"/>
          <w:sz w:val="20"/>
          <w:szCs w:val="20"/>
        </w:rPr>
        <w:t>estimates from the IPCC that suggest sustainable bioenergy potential to be between 150</w:t>
      </w:r>
      <w:r w:rsidR="009C519A" w:rsidRPr="00923427">
        <w:rPr>
          <w:rFonts w:ascii="Open Sans" w:hAnsi="Open Sans" w:cs="Open Sans"/>
          <w:sz w:val="20"/>
          <w:szCs w:val="20"/>
        </w:rPr>
        <w:t xml:space="preserve"> </w:t>
      </w:r>
      <w:r w:rsidR="00313E1D" w:rsidRPr="00923427">
        <w:rPr>
          <w:rFonts w:ascii="Open Sans" w:hAnsi="Open Sans" w:cs="Open Sans"/>
          <w:sz w:val="20"/>
          <w:szCs w:val="20"/>
        </w:rPr>
        <w:t>-170 EJ, once UN Sustainable Development Goals are achieved. Even when accepting a significant level of uncertainty,</w:t>
      </w:r>
      <w:r w:rsidR="009C519A" w:rsidRPr="00923427">
        <w:rPr>
          <w:rFonts w:ascii="Open Sans" w:hAnsi="Open Sans" w:cs="Open Sans"/>
          <w:sz w:val="20"/>
          <w:szCs w:val="20"/>
        </w:rPr>
        <w:t xml:space="preserve"> and accounting for more conservative estimates,</w:t>
      </w:r>
      <w:r w:rsidR="00313E1D" w:rsidRPr="00923427">
        <w:rPr>
          <w:rFonts w:ascii="Open Sans" w:hAnsi="Open Sans" w:cs="Open Sans"/>
          <w:sz w:val="20"/>
          <w:szCs w:val="20"/>
        </w:rPr>
        <w:t xml:space="preserve"> the IEA conclude that global demand will fall well below potential sustainable availability. Crucially they demonstrate that this potential is also due to a shift in biomass feedstocks being used. By 2050 </w:t>
      </w:r>
      <w:r w:rsidR="00A1513F" w:rsidRPr="00923427">
        <w:rPr>
          <w:rFonts w:ascii="Open Sans" w:hAnsi="Open Sans" w:cs="Open Sans"/>
          <w:sz w:val="20"/>
          <w:szCs w:val="20"/>
        </w:rPr>
        <w:t>f</w:t>
      </w:r>
      <w:r w:rsidR="00313E1D" w:rsidRPr="00923427">
        <w:rPr>
          <w:rFonts w:ascii="Open Sans" w:hAnsi="Open Sans" w:cs="Open Sans"/>
          <w:sz w:val="20"/>
          <w:szCs w:val="20"/>
        </w:rPr>
        <w:t xml:space="preserve">orest and </w:t>
      </w:r>
      <w:r w:rsidR="00A1513F" w:rsidRPr="00923427">
        <w:rPr>
          <w:rFonts w:ascii="Open Sans" w:hAnsi="Open Sans" w:cs="Open Sans"/>
          <w:sz w:val="20"/>
          <w:szCs w:val="20"/>
        </w:rPr>
        <w:t>w</w:t>
      </w:r>
      <w:r w:rsidR="00313E1D" w:rsidRPr="00923427">
        <w:rPr>
          <w:rFonts w:ascii="Open Sans" w:hAnsi="Open Sans" w:cs="Open Sans"/>
          <w:sz w:val="20"/>
          <w:szCs w:val="20"/>
        </w:rPr>
        <w:t xml:space="preserve">ood residues will continue to play a </w:t>
      </w:r>
      <w:r w:rsidR="00A1513F" w:rsidRPr="00923427">
        <w:rPr>
          <w:rFonts w:ascii="Open Sans" w:hAnsi="Open Sans" w:cs="Open Sans"/>
          <w:sz w:val="20"/>
          <w:szCs w:val="20"/>
        </w:rPr>
        <w:t>significant</w:t>
      </w:r>
      <w:r w:rsidR="00313E1D" w:rsidRPr="00923427">
        <w:rPr>
          <w:rFonts w:ascii="Open Sans" w:hAnsi="Open Sans" w:cs="Open Sans"/>
          <w:sz w:val="20"/>
          <w:szCs w:val="20"/>
        </w:rPr>
        <w:t xml:space="preserve"> </w:t>
      </w:r>
      <w:r w:rsidR="0036441F" w:rsidRPr="00923427">
        <w:rPr>
          <w:rFonts w:ascii="Open Sans" w:hAnsi="Open Sans" w:cs="Open Sans"/>
          <w:sz w:val="20"/>
          <w:szCs w:val="20"/>
        </w:rPr>
        <w:t>role but</w:t>
      </w:r>
      <w:r w:rsidR="009C519A" w:rsidRPr="00923427">
        <w:rPr>
          <w:rFonts w:ascii="Open Sans" w:hAnsi="Open Sans" w:cs="Open Sans"/>
          <w:sz w:val="20"/>
          <w:szCs w:val="20"/>
        </w:rPr>
        <w:t xml:space="preserve"> will also be match by an increase in the use of </w:t>
      </w:r>
      <w:r w:rsidR="00313E1D" w:rsidRPr="00923427">
        <w:rPr>
          <w:rFonts w:ascii="Open Sans" w:hAnsi="Open Sans" w:cs="Open Sans"/>
          <w:sz w:val="20"/>
          <w:szCs w:val="20"/>
        </w:rPr>
        <w:t>organic waste streams and short rotation woody crops</w:t>
      </w:r>
      <w:r w:rsidR="009C519A" w:rsidRPr="00923427">
        <w:rPr>
          <w:rFonts w:ascii="Open Sans" w:hAnsi="Open Sans" w:cs="Open Sans"/>
          <w:sz w:val="20"/>
          <w:szCs w:val="20"/>
        </w:rPr>
        <w:t>, both of which are</w:t>
      </w:r>
      <w:r w:rsidR="00313E1D" w:rsidRPr="00923427">
        <w:rPr>
          <w:rFonts w:ascii="Open Sans" w:hAnsi="Open Sans" w:cs="Open Sans"/>
          <w:sz w:val="20"/>
          <w:szCs w:val="20"/>
        </w:rPr>
        <w:t xml:space="preserve"> </w:t>
      </w:r>
      <w:r w:rsidR="00A1513F" w:rsidRPr="00923427">
        <w:rPr>
          <w:rFonts w:ascii="Open Sans" w:hAnsi="Open Sans" w:cs="Open Sans"/>
          <w:sz w:val="20"/>
          <w:szCs w:val="20"/>
        </w:rPr>
        <w:t>expected to</w:t>
      </w:r>
      <w:r w:rsidR="00313E1D" w:rsidRPr="00923427">
        <w:rPr>
          <w:rFonts w:ascii="Open Sans" w:hAnsi="Open Sans" w:cs="Open Sans"/>
          <w:sz w:val="20"/>
          <w:szCs w:val="20"/>
        </w:rPr>
        <w:t xml:space="preserve"> increase significantly to be major players in meeting bioenergy demand. Longer term bioenergy policy in the UK therefore needs to be cognitive of the fact that global bioenergy supply chains will evolve, with sustainable production expected to remain ahead of demand.</w:t>
      </w:r>
      <w:r w:rsidR="00313E1D" w:rsidRPr="00923427">
        <w:rPr>
          <w:rStyle w:val="FootnoteReference"/>
          <w:rFonts w:ascii="Open Sans" w:hAnsi="Open Sans" w:cs="Open Sans"/>
          <w:sz w:val="20"/>
          <w:szCs w:val="20"/>
        </w:rPr>
        <w:footnoteReference w:id="44"/>
      </w:r>
    </w:p>
    <w:p w14:paraId="1802B0A7" w14:textId="6C2E93A5" w:rsidR="001B1A59" w:rsidRPr="00923427" w:rsidRDefault="00A1513F" w:rsidP="00882FC4">
      <w:pPr>
        <w:rPr>
          <w:rFonts w:ascii="Open Sans" w:hAnsi="Open Sans" w:cs="Open Sans"/>
          <w:b/>
          <w:bCs/>
          <w:i/>
          <w:iCs/>
          <w:sz w:val="20"/>
          <w:szCs w:val="20"/>
        </w:rPr>
      </w:pPr>
      <w:r w:rsidRPr="00923427">
        <w:rPr>
          <w:rFonts w:ascii="Open Sans" w:hAnsi="Open Sans" w:cs="Open Sans"/>
          <w:b/>
          <w:bCs/>
          <w:i/>
          <w:iCs/>
          <w:sz w:val="20"/>
          <w:szCs w:val="20"/>
        </w:rPr>
        <w:t xml:space="preserve">Consistent bioenergy policy is required to ensure continued sustainable </w:t>
      </w:r>
      <w:r w:rsidR="00013741" w:rsidRPr="00923427">
        <w:rPr>
          <w:rFonts w:ascii="Open Sans" w:hAnsi="Open Sans" w:cs="Open Sans"/>
          <w:b/>
          <w:bCs/>
          <w:i/>
          <w:iCs/>
          <w:sz w:val="20"/>
          <w:szCs w:val="20"/>
        </w:rPr>
        <w:t>imports.</w:t>
      </w:r>
    </w:p>
    <w:p w14:paraId="0FDD4A56" w14:textId="71257B9D" w:rsidR="00A1513F" w:rsidRPr="00923427" w:rsidRDefault="00A1513F" w:rsidP="00882FC4">
      <w:pPr>
        <w:rPr>
          <w:rFonts w:ascii="Open Sans" w:hAnsi="Open Sans" w:cs="Open Sans"/>
          <w:sz w:val="20"/>
          <w:szCs w:val="20"/>
        </w:rPr>
      </w:pPr>
      <w:r w:rsidRPr="00923427">
        <w:rPr>
          <w:rFonts w:ascii="Open Sans" w:hAnsi="Open Sans" w:cs="Open Sans"/>
          <w:sz w:val="20"/>
          <w:szCs w:val="20"/>
        </w:rPr>
        <w:t xml:space="preserve">As has already been expressed, consistent energy policy and commitment to growth of bioenergy sectors across heat, </w:t>
      </w:r>
      <w:r w:rsidR="00013741" w:rsidRPr="00923427">
        <w:rPr>
          <w:rFonts w:ascii="Open Sans" w:hAnsi="Open Sans" w:cs="Open Sans"/>
          <w:sz w:val="20"/>
          <w:szCs w:val="20"/>
        </w:rPr>
        <w:t>power,</w:t>
      </w:r>
      <w:r w:rsidRPr="00923427">
        <w:rPr>
          <w:rFonts w:ascii="Open Sans" w:hAnsi="Open Sans" w:cs="Open Sans"/>
          <w:sz w:val="20"/>
          <w:szCs w:val="20"/>
        </w:rPr>
        <w:t xml:space="preserve"> and transport</w:t>
      </w:r>
      <w:r w:rsidR="00013741" w:rsidRPr="00923427">
        <w:rPr>
          <w:rFonts w:ascii="Open Sans" w:hAnsi="Open Sans" w:cs="Open Sans"/>
          <w:sz w:val="20"/>
          <w:szCs w:val="20"/>
        </w:rPr>
        <w:t xml:space="preserve">, in line with stringent sustainability governance, drives demand and creates the market conditions for sustainable imports, with long term contracts. By addressing the policy gaps identified in answer to question 13, BEIS can avoid barriers to realising the sustainable growth of biomass feedstocks. </w:t>
      </w:r>
    </w:p>
    <w:p w14:paraId="30495C37" w14:textId="77777777" w:rsidR="00C44BE8" w:rsidRDefault="00C44BE8" w:rsidP="00B326CF">
      <w:pPr>
        <w:spacing w:before="100" w:beforeAutospacing="1" w:after="100" w:afterAutospacing="1" w:line="240" w:lineRule="auto"/>
        <w:rPr>
          <w:rFonts w:ascii="Open Sans" w:eastAsia="Times New Roman" w:hAnsi="Open Sans" w:cs="Open Sans"/>
          <w:b/>
          <w:bCs/>
          <w:color w:val="2F5496"/>
          <w:sz w:val="24"/>
          <w:szCs w:val="24"/>
          <w:u w:val="single"/>
          <w:lang w:eastAsia="en-GB"/>
        </w:rPr>
      </w:pPr>
    </w:p>
    <w:p w14:paraId="4985A3CE" w14:textId="77777777" w:rsidR="00C44BE8" w:rsidRDefault="00C44BE8" w:rsidP="00B326CF">
      <w:pPr>
        <w:spacing w:before="100" w:beforeAutospacing="1" w:after="100" w:afterAutospacing="1" w:line="240" w:lineRule="auto"/>
        <w:rPr>
          <w:rFonts w:ascii="Open Sans" w:eastAsia="Times New Roman" w:hAnsi="Open Sans" w:cs="Open Sans"/>
          <w:b/>
          <w:bCs/>
          <w:color w:val="2F5496"/>
          <w:sz w:val="24"/>
          <w:szCs w:val="24"/>
          <w:u w:val="single"/>
          <w:lang w:eastAsia="en-GB"/>
        </w:rPr>
      </w:pPr>
    </w:p>
    <w:p w14:paraId="79A1FA3D" w14:textId="77777777" w:rsidR="00C44BE8" w:rsidRDefault="00C44BE8" w:rsidP="00B326CF">
      <w:pPr>
        <w:spacing w:before="100" w:beforeAutospacing="1" w:after="100" w:afterAutospacing="1" w:line="240" w:lineRule="auto"/>
        <w:rPr>
          <w:rFonts w:ascii="Open Sans" w:eastAsia="Times New Roman" w:hAnsi="Open Sans" w:cs="Open Sans"/>
          <w:b/>
          <w:bCs/>
          <w:color w:val="2F5496"/>
          <w:sz w:val="24"/>
          <w:szCs w:val="24"/>
          <w:u w:val="single"/>
          <w:lang w:eastAsia="en-GB"/>
        </w:rPr>
      </w:pPr>
    </w:p>
    <w:p w14:paraId="553D768D" w14:textId="77777777" w:rsidR="00C44BE8" w:rsidRDefault="00C44BE8" w:rsidP="00B326CF">
      <w:pPr>
        <w:spacing w:before="100" w:beforeAutospacing="1" w:after="100" w:afterAutospacing="1" w:line="240" w:lineRule="auto"/>
        <w:rPr>
          <w:rFonts w:ascii="Open Sans" w:eastAsia="Times New Roman" w:hAnsi="Open Sans" w:cs="Open Sans"/>
          <w:b/>
          <w:bCs/>
          <w:color w:val="2F5496"/>
          <w:sz w:val="24"/>
          <w:szCs w:val="24"/>
          <w:u w:val="single"/>
          <w:lang w:eastAsia="en-GB"/>
        </w:rPr>
      </w:pPr>
    </w:p>
    <w:p w14:paraId="5AB55937" w14:textId="77777777" w:rsidR="00C44BE8" w:rsidRDefault="00C44BE8" w:rsidP="00B326CF">
      <w:pPr>
        <w:spacing w:before="100" w:beforeAutospacing="1" w:after="100" w:afterAutospacing="1" w:line="240" w:lineRule="auto"/>
        <w:rPr>
          <w:rFonts w:ascii="Open Sans" w:eastAsia="Times New Roman" w:hAnsi="Open Sans" w:cs="Open Sans"/>
          <w:b/>
          <w:bCs/>
          <w:color w:val="2F5496"/>
          <w:sz w:val="24"/>
          <w:szCs w:val="24"/>
          <w:u w:val="single"/>
          <w:lang w:eastAsia="en-GB"/>
        </w:rPr>
      </w:pPr>
    </w:p>
    <w:p w14:paraId="153DA721" w14:textId="77777777" w:rsidR="00C44BE8" w:rsidRDefault="00C44BE8" w:rsidP="00B326CF">
      <w:pPr>
        <w:spacing w:before="100" w:beforeAutospacing="1" w:after="100" w:afterAutospacing="1" w:line="240" w:lineRule="auto"/>
        <w:rPr>
          <w:rFonts w:ascii="Open Sans" w:eastAsia="Times New Roman" w:hAnsi="Open Sans" w:cs="Open Sans"/>
          <w:b/>
          <w:bCs/>
          <w:color w:val="2F5496"/>
          <w:sz w:val="24"/>
          <w:szCs w:val="24"/>
          <w:u w:val="single"/>
          <w:lang w:eastAsia="en-GB"/>
        </w:rPr>
      </w:pPr>
    </w:p>
    <w:p w14:paraId="597979BF" w14:textId="77777777" w:rsidR="00C44BE8" w:rsidRDefault="00C44BE8" w:rsidP="00B326CF">
      <w:pPr>
        <w:spacing w:before="100" w:beforeAutospacing="1" w:after="100" w:afterAutospacing="1" w:line="240" w:lineRule="auto"/>
        <w:rPr>
          <w:rFonts w:ascii="Open Sans" w:eastAsia="Times New Roman" w:hAnsi="Open Sans" w:cs="Open Sans"/>
          <w:b/>
          <w:bCs/>
          <w:color w:val="2F5496"/>
          <w:sz w:val="24"/>
          <w:szCs w:val="24"/>
          <w:u w:val="single"/>
          <w:lang w:eastAsia="en-GB"/>
        </w:rPr>
      </w:pPr>
    </w:p>
    <w:p w14:paraId="3ADBF408" w14:textId="46945EBB" w:rsidR="00614103" w:rsidRPr="00614103" w:rsidRDefault="00614103" w:rsidP="00B326CF">
      <w:pPr>
        <w:spacing w:before="100" w:beforeAutospacing="1" w:after="100" w:afterAutospacing="1" w:line="240" w:lineRule="auto"/>
        <w:rPr>
          <w:rFonts w:ascii="Open Sans" w:eastAsia="Times New Roman" w:hAnsi="Open Sans" w:cs="Open Sans"/>
          <w:b/>
          <w:bCs/>
          <w:color w:val="2F5496"/>
          <w:sz w:val="24"/>
          <w:szCs w:val="24"/>
          <w:u w:val="single"/>
          <w:lang w:eastAsia="en-GB"/>
        </w:rPr>
      </w:pPr>
      <w:r w:rsidRPr="00614103">
        <w:rPr>
          <w:rFonts w:ascii="Open Sans" w:eastAsia="Times New Roman" w:hAnsi="Open Sans" w:cs="Open Sans"/>
          <w:b/>
          <w:bCs/>
          <w:color w:val="2F5496"/>
          <w:sz w:val="24"/>
          <w:szCs w:val="24"/>
          <w:u w:val="single"/>
          <w:lang w:eastAsia="en-GB"/>
        </w:rPr>
        <w:t>Chapter 2: End Use of Biomass</w:t>
      </w:r>
    </w:p>
    <w:p w14:paraId="1924EA98" w14:textId="79D6A745" w:rsidR="00B326CF" w:rsidRPr="00923427" w:rsidRDefault="00B326CF" w:rsidP="00B326CF">
      <w:pPr>
        <w:spacing w:before="100" w:beforeAutospacing="1" w:after="100" w:afterAutospacing="1" w:line="240" w:lineRule="auto"/>
        <w:rPr>
          <w:rFonts w:ascii="Open Sans" w:eastAsia="Times New Roman" w:hAnsi="Open Sans" w:cs="Open Sans"/>
          <w:b/>
          <w:bCs/>
          <w:color w:val="2F5496"/>
          <w:sz w:val="20"/>
          <w:szCs w:val="20"/>
          <w:lang w:eastAsia="en-GB"/>
        </w:rPr>
      </w:pPr>
      <w:r w:rsidRPr="00923427">
        <w:rPr>
          <w:rFonts w:ascii="Open Sans" w:eastAsia="Times New Roman" w:hAnsi="Open Sans" w:cs="Open Sans"/>
          <w:b/>
          <w:bCs/>
          <w:color w:val="2F5496"/>
          <w:sz w:val="20"/>
          <w:szCs w:val="20"/>
          <w:lang w:eastAsia="en-GB"/>
        </w:rPr>
        <w:t>8. Considering other potential non-biomass options for decarbonisation (</w:t>
      </w:r>
      <w:proofErr w:type="gramStart"/>
      <w:r w:rsidRPr="00923427">
        <w:rPr>
          <w:rFonts w:ascii="Open Sans" w:eastAsia="Times New Roman" w:hAnsi="Open Sans" w:cs="Open Sans"/>
          <w:b/>
          <w:bCs/>
          <w:color w:val="2F5496"/>
          <w:sz w:val="20"/>
          <w:szCs w:val="20"/>
          <w:lang w:eastAsia="en-GB"/>
        </w:rPr>
        <w:t>e.g.</w:t>
      </w:r>
      <w:proofErr w:type="gramEnd"/>
      <w:r w:rsidRPr="00923427">
        <w:rPr>
          <w:rFonts w:ascii="Open Sans" w:eastAsia="Times New Roman" w:hAnsi="Open Sans" w:cs="Open Sans"/>
          <w:b/>
          <w:bCs/>
          <w:color w:val="2F5496"/>
          <w:sz w:val="20"/>
          <w:szCs w:val="20"/>
          <w:lang w:eastAsia="en-GB"/>
        </w:rPr>
        <w:t xml:space="preserve"> energy efficiency improvements, electrification, heat pumps), what do you consider as the main role and potential for the biomass feedstock types identified in Question 2 to contribute towards the UK’s decarbonisation targets, and specifically in the following sectors?</w:t>
      </w:r>
    </w:p>
    <w:p w14:paraId="38489A4B" w14:textId="77777777" w:rsidR="00B326CF" w:rsidRPr="00923427" w:rsidRDefault="00B326CF" w:rsidP="00B326CF">
      <w:pPr>
        <w:numPr>
          <w:ilvl w:val="0"/>
          <w:numId w:val="6"/>
        </w:numPr>
        <w:spacing w:before="100" w:beforeAutospacing="1" w:after="100" w:afterAutospacing="1" w:line="240" w:lineRule="auto"/>
        <w:rPr>
          <w:rFonts w:ascii="Open Sans" w:eastAsia="Times New Roman" w:hAnsi="Open Sans" w:cs="Open Sans"/>
          <w:b/>
          <w:bCs/>
          <w:color w:val="2F5496"/>
          <w:sz w:val="20"/>
          <w:szCs w:val="20"/>
          <w:lang w:eastAsia="en-GB"/>
        </w:rPr>
      </w:pPr>
      <w:r w:rsidRPr="00923427">
        <w:rPr>
          <w:rFonts w:ascii="Open Sans" w:eastAsia="Times New Roman" w:hAnsi="Open Sans" w:cs="Open Sans"/>
          <w:b/>
          <w:bCs/>
          <w:color w:val="2F5496"/>
          <w:sz w:val="20"/>
          <w:szCs w:val="20"/>
          <w:lang w:eastAsia="en-GB"/>
        </w:rPr>
        <w:t>Heat</w:t>
      </w:r>
    </w:p>
    <w:p w14:paraId="5453F740" w14:textId="77777777" w:rsidR="00B326CF" w:rsidRPr="00923427" w:rsidRDefault="00B326CF" w:rsidP="00B326CF">
      <w:pPr>
        <w:numPr>
          <w:ilvl w:val="0"/>
          <w:numId w:val="6"/>
        </w:numPr>
        <w:spacing w:before="100" w:beforeAutospacing="1" w:after="100" w:afterAutospacing="1" w:line="240" w:lineRule="auto"/>
        <w:rPr>
          <w:rFonts w:ascii="Open Sans" w:eastAsia="Times New Roman" w:hAnsi="Open Sans" w:cs="Open Sans"/>
          <w:b/>
          <w:bCs/>
          <w:color w:val="2F5496"/>
          <w:sz w:val="20"/>
          <w:szCs w:val="20"/>
          <w:lang w:eastAsia="en-GB"/>
        </w:rPr>
      </w:pPr>
      <w:r w:rsidRPr="00923427">
        <w:rPr>
          <w:rFonts w:ascii="Open Sans" w:eastAsia="Times New Roman" w:hAnsi="Open Sans" w:cs="Open Sans"/>
          <w:b/>
          <w:bCs/>
          <w:color w:val="2F5496"/>
          <w:sz w:val="20"/>
          <w:szCs w:val="20"/>
          <w:lang w:eastAsia="en-GB"/>
        </w:rPr>
        <w:t>Electricity</w:t>
      </w:r>
    </w:p>
    <w:p w14:paraId="34414172" w14:textId="77777777" w:rsidR="00B326CF" w:rsidRPr="00923427" w:rsidRDefault="00B326CF" w:rsidP="00B326CF">
      <w:pPr>
        <w:numPr>
          <w:ilvl w:val="0"/>
          <w:numId w:val="6"/>
        </w:numPr>
        <w:spacing w:before="100" w:beforeAutospacing="1" w:after="100" w:afterAutospacing="1" w:line="240" w:lineRule="auto"/>
        <w:rPr>
          <w:rFonts w:ascii="Open Sans" w:eastAsia="Times New Roman" w:hAnsi="Open Sans" w:cs="Open Sans"/>
          <w:b/>
          <w:bCs/>
          <w:color w:val="2F5496"/>
          <w:sz w:val="20"/>
          <w:szCs w:val="20"/>
          <w:lang w:eastAsia="en-GB"/>
        </w:rPr>
      </w:pPr>
      <w:r w:rsidRPr="00923427">
        <w:rPr>
          <w:rFonts w:ascii="Open Sans" w:eastAsia="Times New Roman" w:hAnsi="Open Sans" w:cs="Open Sans"/>
          <w:b/>
          <w:bCs/>
          <w:color w:val="2F5496"/>
          <w:sz w:val="20"/>
          <w:szCs w:val="20"/>
          <w:lang w:eastAsia="en-GB"/>
        </w:rPr>
        <w:t>Transport</w:t>
      </w:r>
    </w:p>
    <w:p w14:paraId="46787B2B" w14:textId="77777777" w:rsidR="00B326CF" w:rsidRPr="00923427" w:rsidRDefault="00B326CF" w:rsidP="00B326CF">
      <w:pPr>
        <w:numPr>
          <w:ilvl w:val="0"/>
          <w:numId w:val="6"/>
        </w:numPr>
        <w:spacing w:before="100" w:beforeAutospacing="1" w:after="100" w:afterAutospacing="1" w:line="240" w:lineRule="auto"/>
        <w:rPr>
          <w:rFonts w:ascii="Open Sans" w:eastAsia="Times New Roman" w:hAnsi="Open Sans" w:cs="Open Sans"/>
          <w:b/>
          <w:bCs/>
          <w:color w:val="2F5496"/>
          <w:sz w:val="20"/>
          <w:szCs w:val="20"/>
          <w:lang w:eastAsia="en-GB"/>
        </w:rPr>
      </w:pPr>
      <w:r w:rsidRPr="00923427">
        <w:rPr>
          <w:rFonts w:ascii="Open Sans" w:eastAsia="Times New Roman" w:hAnsi="Open Sans" w:cs="Open Sans"/>
          <w:b/>
          <w:bCs/>
          <w:color w:val="2F5496"/>
          <w:sz w:val="20"/>
          <w:szCs w:val="20"/>
          <w:lang w:eastAsia="en-GB"/>
        </w:rPr>
        <w:t>Agriculture</w:t>
      </w:r>
    </w:p>
    <w:p w14:paraId="171A08C6" w14:textId="77777777" w:rsidR="00B326CF" w:rsidRPr="00923427" w:rsidRDefault="00B326CF" w:rsidP="00B326CF">
      <w:pPr>
        <w:numPr>
          <w:ilvl w:val="0"/>
          <w:numId w:val="6"/>
        </w:numPr>
        <w:spacing w:before="100" w:beforeAutospacing="1" w:after="100" w:afterAutospacing="1" w:line="240" w:lineRule="auto"/>
        <w:rPr>
          <w:rFonts w:ascii="Open Sans" w:eastAsia="Times New Roman" w:hAnsi="Open Sans" w:cs="Open Sans"/>
          <w:b/>
          <w:bCs/>
          <w:color w:val="2F5496"/>
          <w:sz w:val="20"/>
          <w:szCs w:val="20"/>
          <w:lang w:eastAsia="en-GB"/>
        </w:rPr>
      </w:pPr>
      <w:r w:rsidRPr="00923427">
        <w:rPr>
          <w:rFonts w:ascii="Open Sans" w:eastAsia="Times New Roman" w:hAnsi="Open Sans" w:cs="Open Sans"/>
          <w:b/>
          <w:bCs/>
          <w:color w:val="2F5496"/>
          <w:sz w:val="20"/>
          <w:szCs w:val="20"/>
          <w:lang w:eastAsia="en-GB"/>
        </w:rPr>
        <w:t>Industry</w:t>
      </w:r>
    </w:p>
    <w:p w14:paraId="5CCF59D6" w14:textId="77777777" w:rsidR="00B326CF" w:rsidRPr="00923427" w:rsidRDefault="00B326CF" w:rsidP="00B326CF">
      <w:pPr>
        <w:numPr>
          <w:ilvl w:val="0"/>
          <w:numId w:val="6"/>
        </w:numPr>
        <w:spacing w:before="100" w:beforeAutospacing="1" w:after="100" w:afterAutospacing="1" w:line="240" w:lineRule="auto"/>
        <w:rPr>
          <w:rFonts w:ascii="Open Sans" w:eastAsia="Times New Roman" w:hAnsi="Open Sans" w:cs="Open Sans"/>
          <w:b/>
          <w:bCs/>
          <w:color w:val="2F5496"/>
          <w:sz w:val="20"/>
          <w:szCs w:val="20"/>
          <w:lang w:eastAsia="en-GB"/>
        </w:rPr>
      </w:pPr>
      <w:r w:rsidRPr="00923427">
        <w:rPr>
          <w:rFonts w:ascii="Open Sans" w:eastAsia="Times New Roman" w:hAnsi="Open Sans" w:cs="Open Sans"/>
          <w:b/>
          <w:bCs/>
          <w:color w:val="2F5496"/>
          <w:sz w:val="20"/>
          <w:szCs w:val="20"/>
          <w:lang w:eastAsia="en-GB"/>
        </w:rPr>
        <w:t>Chemicals and materials</w:t>
      </w:r>
    </w:p>
    <w:p w14:paraId="41BC29F2" w14:textId="1F3C2403" w:rsidR="00923308" w:rsidRPr="00923427" w:rsidRDefault="00B326CF" w:rsidP="00EC700C">
      <w:pPr>
        <w:numPr>
          <w:ilvl w:val="0"/>
          <w:numId w:val="6"/>
        </w:numPr>
        <w:spacing w:before="100" w:beforeAutospacing="1" w:after="100" w:afterAutospacing="1" w:line="240" w:lineRule="auto"/>
        <w:rPr>
          <w:rFonts w:ascii="Open Sans" w:eastAsia="Times New Roman" w:hAnsi="Open Sans" w:cs="Open Sans"/>
          <w:b/>
          <w:bCs/>
          <w:color w:val="2F5496"/>
          <w:sz w:val="20"/>
          <w:szCs w:val="20"/>
          <w:lang w:eastAsia="en-GB"/>
        </w:rPr>
      </w:pPr>
      <w:r w:rsidRPr="00923427">
        <w:rPr>
          <w:rFonts w:ascii="Open Sans" w:eastAsia="Times New Roman" w:hAnsi="Open Sans" w:cs="Open Sans"/>
          <w:b/>
          <w:bCs/>
          <w:color w:val="2F5496"/>
          <w:sz w:val="20"/>
          <w:szCs w:val="20"/>
          <w:lang w:eastAsia="en-GB"/>
        </w:rPr>
        <w:t>Other?</w:t>
      </w:r>
    </w:p>
    <w:p w14:paraId="23074905" w14:textId="448C3D89" w:rsidR="00F162DB" w:rsidRPr="00923427" w:rsidRDefault="00F162DB" w:rsidP="00396820">
      <w:pPr>
        <w:spacing w:before="100" w:beforeAutospacing="1" w:after="100" w:afterAutospacing="1" w:line="240" w:lineRule="auto"/>
        <w:rPr>
          <w:rFonts w:ascii="Open Sans" w:eastAsia="Times New Roman" w:hAnsi="Open Sans" w:cs="Open Sans"/>
          <w:b/>
          <w:bCs/>
          <w:i/>
          <w:iCs/>
          <w:sz w:val="20"/>
          <w:szCs w:val="20"/>
          <w:lang w:eastAsia="en-GB"/>
        </w:rPr>
      </w:pPr>
      <w:r w:rsidRPr="00923427">
        <w:rPr>
          <w:rFonts w:ascii="Open Sans" w:eastAsia="Times New Roman" w:hAnsi="Open Sans" w:cs="Open Sans"/>
          <w:b/>
          <w:bCs/>
          <w:i/>
          <w:iCs/>
          <w:sz w:val="20"/>
          <w:szCs w:val="20"/>
          <w:lang w:eastAsia="en-GB"/>
        </w:rPr>
        <w:t>Government should aim to build on existing bioenergy sectors, letting the market</w:t>
      </w:r>
      <w:r w:rsidR="00EC216F" w:rsidRPr="00923427">
        <w:rPr>
          <w:rFonts w:ascii="Open Sans" w:eastAsia="Times New Roman" w:hAnsi="Open Sans" w:cs="Open Sans"/>
          <w:b/>
          <w:bCs/>
          <w:i/>
          <w:iCs/>
          <w:sz w:val="20"/>
          <w:szCs w:val="20"/>
          <w:lang w:eastAsia="en-GB"/>
        </w:rPr>
        <w:t xml:space="preserve"> direct</w:t>
      </w:r>
      <w:r w:rsidRPr="00923427">
        <w:rPr>
          <w:rFonts w:ascii="Open Sans" w:eastAsia="Times New Roman" w:hAnsi="Open Sans" w:cs="Open Sans"/>
          <w:b/>
          <w:bCs/>
          <w:i/>
          <w:iCs/>
          <w:sz w:val="20"/>
          <w:szCs w:val="20"/>
          <w:lang w:eastAsia="en-GB"/>
        </w:rPr>
        <w:t xml:space="preserve"> resource use, rather </w:t>
      </w:r>
      <w:r w:rsidR="00EC216F" w:rsidRPr="00923427">
        <w:rPr>
          <w:rFonts w:ascii="Open Sans" w:eastAsia="Times New Roman" w:hAnsi="Open Sans" w:cs="Open Sans"/>
          <w:b/>
          <w:bCs/>
          <w:i/>
          <w:iCs/>
          <w:sz w:val="20"/>
          <w:szCs w:val="20"/>
          <w:lang w:eastAsia="en-GB"/>
        </w:rPr>
        <w:t>than</w:t>
      </w:r>
      <w:r w:rsidRPr="00923427">
        <w:rPr>
          <w:rFonts w:ascii="Open Sans" w:eastAsia="Times New Roman" w:hAnsi="Open Sans" w:cs="Open Sans"/>
          <w:b/>
          <w:bCs/>
          <w:i/>
          <w:iCs/>
          <w:sz w:val="20"/>
          <w:szCs w:val="20"/>
          <w:lang w:eastAsia="en-GB"/>
        </w:rPr>
        <w:t xml:space="preserve"> trying </w:t>
      </w:r>
      <w:r w:rsidR="00EC216F" w:rsidRPr="00923427">
        <w:rPr>
          <w:rFonts w:ascii="Open Sans" w:eastAsia="Times New Roman" w:hAnsi="Open Sans" w:cs="Open Sans"/>
          <w:b/>
          <w:bCs/>
          <w:i/>
          <w:iCs/>
          <w:sz w:val="20"/>
          <w:szCs w:val="20"/>
          <w:lang w:eastAsia="en-GB"/>
        </w:rPr>
        <w:t xml:space="preserve">to </w:t>
      </w:r>
      <w:r w:rsidRPr="00923427">
        <w:rPr>
          <w:rFonts w:ascii="Open Sans" w:eastAsia="Times New Roman" w:hAnsi="Open Sans" w:cs="Open Sans"/>
          <w:b/>
          <w:bCs/>
          <w:i/>
          <w:iCs/>
          <w:sz w:val="20"/>
          <w:szCs w:val="20"/>
          <w:lang w:eastAsia="en-GB"/>
        </w:rPr>
        <w:t>restrict biomass to one end-use.</w:t>
      </w:r>
    </w:p>
    <w:p w14:paraId="28DCEC55" w14:textId="15456A2F" w:rsidR="00F162DB" w:rsidRPr="00923427" w:rsidRDefault="00396820" w:rsidP="00396820">
      <w:pPr>
        <w:spacing w:before="100" w:beforeAutospacing="1" w:after="100" w:afterAutospacing="1" w:line="240" w:lineRule="auto"/>
        <w:rPr>
          <w:rFonts w:ascii="Open Sans" w:eastAsia="Times New Roman" w:hAnsi="Open Sans" w:cs="Open Sans"/>
          <w:sz w:val="20"/>
          <w:szCs w:val="20"/>
          <w:lang w:eastAsia="en-GB"/>
        </w:rPr>
      </w:pPr>
      <w:r w:rsidRPr="00923427">
        <w:rPr>
          <w:rFonts w:ascii="Open Sans" w:eastAsia="Times New Roman" w:hAnsi="Open Sans" w:cs="Open Sans"/>
          <w:sz w:val="20"/>
          <w:szCs w:val="20"/>
          <w:lang w:eastAsia="en-GB"/>
        </w:rPr>
        <w:t>It is recognised that bioenergy is</w:t>
      </w:r>
      <w:r w:rsidR="003A2E5E" w:rsidRPr="00923427">
        <w:rPr>
          <w:rFonts w:ascii="Open Sans" w:eastAsia="Times New Roman" w:hAnsi="Open Sans" w:cs="Open Sans"/>
          <w:sz w:val="20"/>
          <w:szCs w:val="20"/>
          <w:lang w:eastAsia="en-GB"/>
        </w:rPr>
        <w:t xml:space="preserve"> </w:t>
      </w:r>
      <w:r w:rsidRPr="00923427">
        <w:rPr>
          <w:rFonts w:ascii="Open Sans" w:eastAsia="Times New Roman" w:hAnsi="Open Sans" w:cs="Open Sans"/>
          <w:sz w:val="20"/>
          <w:szCs w:val="20"/>
          <w:lang w:eastAsia="en-GB"/>
        </w:rPr>
        <w:t xml:space="preserve">one tool amongst a wide range of solutions needed to fully decarbonise the UK. However, </w:t>
      </w:r>
      <w:r w:rsidR="003A2E5E" w:rsidRPr="00923427">
        <w:rPr>
          <w:rFonts w:ascii="Open Sans" w:eastAsia="Times New Roman" w:hAnsi="Open Sans" w:cs="Open Sans"/>
          <w:sz w:val="20"/>
          <w:szCs w:val="20"/>
          <w:lang w:eastAsia="en-GB"/>
        </w:rPr>
        <w:t xml:space="preserve">as identified in the REA Bioenergy Strategy, biomass will continue to have a strong role </w:t>
      </w:r>
      <w:r w:rsidRPr="00923427">
        <w:rPr>
          <w:rFonts w:ascii="Open Sans" w:eastAsia="Times New Roman" w:hAnsi="Open Sans" w:cs="Open Sans"/>
          <w:sz w:val="20"/>
          <w:szCs w:val="20"/>
          <w:lang w:eastAsia="en-GB"/>
        </w:rPr>
        <w:t>to play in all the sectors listed in this question</w:t>
      </w:r>
      <w:r w:rsidR="00E26EB1" w:rsidRPr="00923427">
        <w:rPr>
          <w:rFonts w:ascii="Open Sans" w:eastAsia="Times New Roman" w:hAnsi="Open Sans" w:cs="Open Sans"/>
          <w:sz w:val="20"/>
          <w:szCs w:val="20"/>
          <w:lang w:eastAsia="en-GB"/>
        </w:rPr>
        <w:t xml:space="preserve"> and it would be inappropriate to start to restrict the use of biomass to any-one sector</w:t>
      </w:r>
      <w:r w:rsidR="00F162DB" w:rsidRPr="00923427">
        <w:rPr>
          <w:rFonts w:ascii="Open Sans" w:eastAsia="Times New Roman" w:hAnsi="Open Sans" w:cs="Open Sans"/>
          <w:sz w:val="20"/>
          <w:szCs w:val="20"/>
          <w:lang w:eastAsia="en-GB"/>
        </w:rPr>
        <w:t xml:space="preserve"> while undermining the existing industry</w:t>
      </w:r>
      <w:r w:rsidR="00E26EB1" w:rsidRPr="00923427">
        <w:rPr>
          <w:rFonts w:ascii="Open Sans" w:eastAsia="Times New Roman" w:hAnsi="Open Sans" w:cs="Open Sans"/>
          <w:sz w:val="20"/>
          <w:szCs w:val="20"/>
          <w:lang w:eastAsia="en-GB"/>
        </w:rPr>
        <w:t xml:space="preserve">. </w:t>
      </w:r>
      <w:r w:rsidR="003A2E5E" w:rsidRPr="00923427">
        <w:rPr>
          <w:rFonts w:ascii="Open Sans" w:eastAsia="Times New Roman" w:hAnsi="Open Sans" w:cs="Open Sans"/>
          <w:sz w:val="20"/>
          <w:szCs w:val="20"/>
          <w:lang w:eastAsia="en-GB"/>
        </w:rPr>
        <w:t>G</w:t>
      </w:r>
      <w:r w:rsidR="00E26EB1" w:rsidRPr="00923427">
        <w:rPr>
          <w:rFonts w:ascii="Open Sans" w:eastAsia="Times New Roman" w:hAnsi="Open Sans" w:cs="Open Sans"/>
          <w:sz w:val="20"/>
          <w:szCs w:val="20"/>
          <w:lang w:eastAsia="en-GB"/>
        </w:rPr>
        <w:t xml:space="preserve">iven the contribution bioenergy already </w:t>
      </w:r>
      <w:r w:rsidR="004205B0" w:rsidRPr="00923427">
        <w:rPr>
          <w:rFonts w:ascii="Open Sans" w:eastAsia="Times New Roman" w:hAnsi="Open Sans" w:cs="Open Sans"/>
          <w:sz w:val="20"/>
          <w:szCs w:val="20"/>
          <w:lang w:eastAsia="en-GB"/>
        </w:rPr>
        <w:t>makes within</w:t>
      </w:r>
      <w:r w:rsidR="00E26EB1" w:rsidRPr="00923427">
        <w:rPr>
          <w:rFonts w:ascii="Open Sans" w:eastAsia="Times New Roman" w:hAnsi="Open Sans" w:cs="Open Sans"/>
          <w:sz w:val="20"/>
          <w:szCs w:val="20"/>
          <w:lang w:eastAsia="en-GB"/>
        </w:rPr>
        <w:t xml:space="preserve"> these sectors</w:t>
      </w:r>
      <w:r w:rsidR="009D18E6" w:rsidRPr="00923427">
        <w:rPr>
          <w:rFonts w:ascii="Open Sans" w:eastAsia="Times New Roman" w:hAnsi="Open Sans" w:cs="Open Sans"/>
          <w:sz w:val="20"/>
          <w:szCs w:val="20"/>
          <w:lang w:eastAsia="en-GB"/>
        </w:rPr>
        <w:t xml:space="preserve"> (</w:t>
      </w:r>
      <w:r w:rsidR="003A2E5E" w:rsidRPr="00923427">
        <w:rPr>
          <w:rFonts w:ascii="Open Sans" w:eastAsia="Times New Roman" w:hAnsi="Open Sans" w:cs="Open Sans"/>
          <w:sz w:val="20"/>
          <w:szCs w:val="20"/>
          <w:lang w:eastAsia="en-GB"/>
        </w:rPr>
        <w:t xml:space="preserve">see table </w:t>
      </w:r>
      <w:r w:rsidR="00F162DB" w:rsidRPr="00923427">
        <w:rPr>
          <w:rFonts w:ascii="Open Sans" w:eastAsia="Times New Roman" w:hAnsi="Open Sans" w:cs="Open Sans"/>
          <w:sz w:val="20"/>
          <w:szCs w:val="20"/>
          <w:lang w:eastAsia="en-GB"/>
        </w:rPr>
        <w:t>2</w:t>
      </w:r>
      <w:r w:rsidR="009D18E6" w:rsidRPr="00923427">
        <w:rPr>
          <w:rFonts w:ascii="Open Sans" w:eastAsia="Times New Roman" w:hAnsi="Open Sans" w:cs="Open Sans"/>
          <w:sz w:val="20"/>
          <w:szCs w:val="20"/>
          <w:lang w:eastAsia="en-GB"/>
        </w:rPr>
        <w:t>)</w:t>
      </w:r>
      <w:r w:rsidR="003A2E5E" w:rsidRPr="00923427">
        <w:rPr>
          <w:rFonts w:ascii="Open Sans" w:eastAsia="Times New Roman" w:hAnsi="Open Sans" w:cs="Open Sans"/>
          <w:sz w:val="20"/>
          <w:szCs w:val="20"/>
          <w:lang w:eastAsia="en-GB"/>
        </w:rPr>
        <w:t xml:space="preserve"> it is essential that future energy policy builds on the success </w:t>
      </w:r>
      <w:r w:rsidR="009D18E6" w:rsidRPr="00923427">
        <w:rPr>
          <w:rFonts w:ascii="Open Sans" w:eastAsia="Times New Roman" w:hAnsi="Open Sans" w:cs="Open Sans"/>
          <w:sz w:val="20"/>
          <w:szCs w:val="20"/>
          <w:lang w:eastAsia="en-GB"/>
        </w:rPr>
        <w:t>of</w:t>
      </w:r>
      <w:r w:rsidR="004205B0" w:rsidRPr="00923427">
        <w:rPr>
          <w:rFonts w:ascii="Open Sans" w:eastAsia="Times New Roman" w:hAnsi="Open Sans" w:cs="Open Sans"/>
          <w:sz w:val="20"/>
          <w:szCs w:val="20"/>
          <w:lang w:eastAsia="en-GB"/>
        </w:rPr>
        <w:t xml:space="preserve"> these</w:t>
      </w:r>
      <w:r w:rsidR="003A2E5E" w:rsidRPr="00923427">
        <w:rPr>
          <w:rFonts w:ascii="Open Sans" w:eastAsia="Times New Roman" w:hAnsi="Open Sans" w:cs="Open Sans"/>
          <w:sz w:val="20"/>
          <w:szCs w:val="20"/>
          <w:lang w:eastAsia="en-GB"/>
        </w:rPr>
        <w:t xml:space="preserve"> existing industries</w:t>
      </w:r>
      <w:r w:rsidR="009D18E6" w:rsidRPr="00923427">
        <w:rPr>
          <w:rFonts w:ascii="Open Sans" w:eastAsia="Times New Roman" w:hAnsi="Open Sans" w:cs="Open Sans"/>
          <w:sz w:val="20"/>
          <w:szCs w:val="20"/>
          <w:lang w:eastAsia="en-GB"/>
        </w:rPr>
        <w:t xml:space="preserve">, providing immediate carbon savings </w:t>
      </w:r>
      <w:r w:rsidR="000E46CA" w:rsidRPr="00923427">
        <w:rPr>
          <w:rFonts w:ascii="Open Sans" w:eastAsia="Times New Roman" w:hAnsi="Open Sans" w:cs="Open Sans"/>
          <w:sz w:val="20"/>
          <w:szCs w:val="20"/>
          <w:lang w:eastAsia="en-GB"/>
        </w:rPr>
        <w:t xml:space="preserve">while the UK moves forward with the </w:t>
      </w:r>
      <w:r w:rsidR="009D18E6" w:rsidRPr="00923427">
        <w:rPr>
          <w:rFonts w:ascii="Open Sans" w:eastAsia="Times New Roman" w:hAnsi="Open Sans" w:cs="Open Sans"/>
          <w:sz w:val="20"/>
          <w:szCs w:val="20"/>
          <w:lang w:eastAsia="en-GB"/>
        </w:rPr>
        <w:t>energy transition</w:t>
      </w:r>
      <w:r w:rsidR="000E46CA" w:rsidRPr="00923427">
        <w:rPr>
          <w:rFonts w:ascii="Open Sans" w:eastAsia="Times New Roman" w:hAnsi="Open Sans" w:cs="Open Sans"/>
          <w:sz w:val="20"/>
          <w:szCs w:val="20"/>
          <w:lang w:eastAsia="en-GB"/>
        </w:rPr>
        <w:t xml:space="preserve"> utilising both new biomass and non-biomass options for </w:t>
      </w:r>
      <w:r w:rsidR="00F162DB" w:rsidRPr="00923427">
        <w:rPr>
          <w:rFonts w:ascii="Open Sans" w:eastAsia="Times New Roman" w:hAnsi="Open Sans" w:cs="Open Sans"/>
          <w:sz w:val="20"/>
          <w:szCs w:val="20"/>
          <w:lang w:eastAsia="en-GB"/>
        </w:rPr>
        <w:t>decarbonisation</w:t>
      </w:r>
      <w:r w:rsidR="009D18E6" w:rsidRPr="00923427">
        <w:rPr>
          <w:rFonts w:ascii="Open Sans" w:eastAsia="Times New Roman" w:hAnsi="Open Sans" w:cs="Open Sans"/>
          <w:sz w:val="20"/>
          <w:szCs w:val="20"/>
          <w:lang w:eastAsia="en-GB"/>
        </w:rPr>
        <w:t>. Given the wide variety of feedstocks available</w:t>
      </w:r>
      <w:r w:rsidR="00F162DB" w:rsidRPr="00923427">
        <w:rPr>
          <w:rFonts w:ascii="Open Sans" w:eastAsia="Times New Roman" w:hAnsi="Open Sans" w:cs="Open Sans"/>
          <w:sz w:val="20"/>
          <w:szCs w:val="20"/>
          <w:lang w:eastAsia="en-GB"/>
        </w:rPr>
        <w:t>,</w:t>
      </w:r>
      <w:r w:rsidR="004205B0" w:rsidRPr="00923427">
        <w:rPr>
          <w:rFonts w:ascii="Open Sans" w:eastAsia="Times New Roman" w:hAnsi="Open Sans" w:cs="Open Sans"/>
          <w:sz w:val="20"/>
          <w:szCs w:val="20"/>
          <w:lang w:eastAsia="en-GB"/>
        </w:rPr>
        <w:t xml:space="preserve"> as previously identified</w:t>
      </w:r>
      <w:r w:rsidR="009D18E6" w:rsidRPr="00923427">
        <w:rPr>
          <w:rFonts w:ascii="Open Sans" w:eastAsia="Times New Roman" w:hAnsi="Open Sans" w:cs="Open Sans"/>
          <w:sz w:val="20"/>
          <w:szCs w:val="20"/>
          <w:lang w:eastAsia="en-GB"/>
        </w:rPr>
        <w:t xml:space="preserve">, and separate supply chains, the most efficient allocation of resources will be led by the market operating </w:t>
      </w:r>
      <w:r w:rsidR="004205B0" w:rsidRPr="00923427">
        <w:rPr>
          <w:rFonts w:ascii="Open Sans" w:eastAsia="Times New Roman" w:hAnsi="Open Sans" w:cs="Open Sans"/>
          <w:sz w:val="20"/>
          <w:szCs w:val="20"/>
          <w:lang w:eastAsia="en-GB"/>
        </w:rPr>
        <w:t xml:space="preserve">in accordance with </w:t>
      </w:r>
      <w:r w:rsidR="009D18E6" w:rsidRPr="00923427">
        <w:rPr>
          <w:rFonts w:ascii="Open Sans" w:eastAsia="Times New Roman" w:hAnsi="Open Sans" w:cs="Open Sans"/>
          <w:sz w:val="20"/>
          <w:szCs w:val="20"/>
          <w:lang w:eastAsia="en-GB"/>
        </w:rPr>
        <w:t>sustainability governance arrangements</w:t>
      </w:r>
      <w:r w:rsidR="00B357E2" w:rsidRPr="00923427">
        <w:rPr>
          <w:rFonts w:ascii="Open Sans" w:eastAsia="Times New Roman" w:hAnsi="Open Sans" w:cs="Open Sans"/>
          <w:sz w:val="20"/>
          <w:szCs w:val="20"/>
          <w:lang w:eastAsia="en-GB"/>
        </w:rPr>
        <w:t xml:space="preserve">. </w:t>
      </w:r>
    </w:p>
    <w:p w14:paraId="7BAC7AD2" w14:textId="626FA5A1" w:rsidR="003A2E5E" w:rsidRPr="00923427" w:rsidRDefault="00F162DB" w:rsidP="00396820">
      <w:pPr>
        <w:spacing w:before="100" w:beforeAutospacing="1" w:after="100" w:afterAutospacing="1" w:line="240" w:lineRule="auto"/>
        <w:rPr>
          <w:rFonts w:ascii="Open Sans" w:eastAsia="Times New Roman" w:hAnsi="Open Sans" w:cs="Open Sans"/>
          <w:sz w:val="20"/>
          <w:szCs w:val="20"/>
          <w:lang w:eastAsia="en-GB"/>
        </w:rPr>
      </w:pPr>
      <w:r w:rsidRPr="00923427">
        <w:rPr>
          <w:rFonts w:ascii="Open Sans" w:eastAsia="Times New Roman" w:hAnsi="Open Sans" w:cs="Open Sans"/>
          <w:sz w:val="20"/>
          <w:szCs w:val="20"/>
          <w:lang w:eastAsia="en-GB"/>
        </w:rPr>
        <w:t xml:space="preserve">Instead, government should take a broad principle-based approach that drives all bioenergy sectors to deliver further desirable environmental, </w:t>
      </w:r>
      <w:r w:rsidR="006F061C" w:rsidRPr="00923427">
        <w:rPr>
          <w:rFonts w:ascii="Open Sans" w:eastAsia="Times New Roman" w:hAnsi="Open Sans" w:cs="Open Sans"/>
          <w:sz w:val="20"/>
          <w:szCs w:val="20"/>
          <w:lang w:eastAsia="en-GB"/>
        </w:rPr>
        <w:t>social,</w:t>
      </w:r>
      <w:r w:rsidRPr="00923427">
        <w:rPr>
          <w:rFonts w:ascii="Open Sans" w:eastAsia="Times New Roman" w:hAnsi="Open Sans" w:cs="Open Sans"/>
          <w:sz w:val="20"/>
          <w:szCs w:val="20"/>
          <w:lang w:eastAsia="en-GB"/>
        </w:rPr>
        <w:t xml:space="preserve"> and economic outcomes (see question </w:t>
      </w:r>
      <w:r w:rsidR="006F061C" w:rsidRPr="00923427">
        <w:rPr>
          <w:rFonts w:ascii="Open Sans" w:eastAsia="Times New Roman" w:hAnsi="Open Sans" w:cs="Open Sans"/>
          <w:sz w:val="20"/>
          <w:szCs w:val="20"/>
          <w:lang w:eastAsia="en-GB"/>
        </w:rPr>
        <w:t>10)</w:t>
      </w:r>
      <w:r w:rsidRPr="00923427">
        <w:rPr>
          <w:rFonts w:ascii="Open Sans" w:eastAsia="Times New Roman" w:hAnsi="Open Sans" w:cs="Open Sans"/>
          <w:sz w:val="20"/>
          <w:szCs w:val="20"/>
          <w:lang w:eastAsia="en-GB"/>
        </w:rPr>
        <w:t xml:space="preserve">. </w:t>
      </w:r>
      <w:r w:rsidR="00B357E2" w:rsidRPr="00923427">
        <w:rPr>
          <w:rFonts w:ascii="Open Sans" w:eastAsia="Times New Roman" w:hAnsi="Open Sans" w:cs="Open Sans"/>
          <w:sz w:val="20"/>
          <w:szCs w:val="20"/>
          <w:lang w:eastAsia="en-GB"/>
        </w:rPr>
        <w:t xml:space="preserve">The </w:t>
      </w:r>
      <w:r w:rsidR="009D18E6" w:rsidRPr="00923427">
        <w:rPr>
          <w:rFonts w:ascii="Open Sans" w:eastAsia="Times New Roman" w:hAnsi="Open Sans" w:cs="Open Sans"/>
          <w:sz w:val="20"/>
          <w:szCs w:val="20"/>
          <w:lang w:eastAsia="en-GB"/>
        </w:rPr>
        <w:t>sector itself</w:t>
      </w:r>
      <w:r w:rsidR="00B357E2" w:rsidRPr="00923427">
        <w:rPr>
          <w:rFonts w:ascii="Open Sans" w:eastAsia="Times New Roman" w:hAnsi="Open Sans" w:cs="Open Sans"/>
          <w:sz w:val="20"/>
          <w:szCs w:val="20"/>
          <w:lang w:eastAsia="en-GB"/>
        </w:rPr>
        <w:t xml:space="preserve"> will be able to respond </w:t>
      </w:r>
      <w:r w:rsidR="009D18E6" w:rsidRPr="00923427">
        <w:rPr>
          <w:rFonts w:ascii="Open Sans" w:eastAsia="Times New Roman" w:hAnsi="Open Sans" w:cs="Open Sans"/>
          <w:sz w:val="20"/>
          <w:szCs w:val="20"/>
          <w:lang w:eastAsia="en-GB"/>
        </w:rPr>
        <w:t>to changing demands as the energy transition evolves</w:t>
      </w:r>
      <w:r w:rsidR="00B357E2" w:rsidRPr="00923427">
        <w:rPr>
          <w:rFonts w:ascii="Open Sans" w:eastAsia="Times New Roman" w:hAnsi="Open Sans" w:cs="Open Sans"/>
          <w:sz w:val="20"/>
          <w:szCs w:val="20"/>
          <w:lang w:eastAsia="en-GB"/>
        </w:rPr>
        <w:t>, with use of different biomass supply chains dictated by the characteristics of the biomass suppl</w:t>
      </w:r>
      <w:r w:rsidRPr="00923427">
        <w:rPr>
          <w:rFonts w:ascii="Open Sans" w:eastAsia="Times New Roman" w:hAnsi="Open Sans" w:cs="Open Sans"/>
          <w:sz w:val="20"/>
          <w:szCs w:val="20"/>
          <w:lang w:eastAsia="en-GB"/>
        </w:rPr>
        <w:t>ies</w:t>
      </w:r>
      <w:r w:rsidR="00B357E2" w:rsidRPr="00923427">
        <w:rPr>
          <w:rFonts w:ascii="Open Sans" w:eastAsia="Times New Roman" w:hAnsi="Open Sans" w:cs="Open Sans"/>
          <w:sz w:val="20"/>
          <w:szCs w:val="20"/>
          <w:lang w:eastAsia="en-GB"/>
        </w:rPr>
        <w:t xml:space="preserve"> involved</w:t>
      </w:r>
      <w:r w:rsidR="009D18E6" w:rsidRPr="00923427">
        <w:rPr>
          <w:rFonts w:ascii="Open Sans" w:eastAsia="Times New Roman" w:hAnsi="Open Sans" w:cs="Open Sans"/>
          <w:sz w:val="20"/>
          <w:szCs w:val="20"/>
          <w:lang w:eastAsia="en-GB"/>
        </w:rPr>
        <w:t>. I</w:t>
      </w:r>
      <w:r w:rsidR="00B357E2" w:rsidRPr="00923427">
        <w:rPr>
          <w:rFonts w:ascii="Open Sans" w:eastAsia="Times New Roman" w:hAnsi="Open Sans" w:cs="Open Sans"/>
          <w:sz w:val="20"/>
          <w:szCs w:val="20"/>
          <w:lang w:eastAsia="en-GB"/>
        </w:rPr>
        <w:t>t</w:t>
      </w:r>
      <w:r w:rsidR="009D18E6" w:rsidRPr="00923427">
        <w:rPr>
          <w:rFonts w:ascii="Open Sans" w:eastAsia="Times New Roman" w:hAnsi="Open Sans" w:cs="Open Sans"/>
          <w:sz w:val="20"/>
          <w:szCs w:val="20"/>
          <w:lang w:eastAsia="en-GB"/>
        </w:rPr>
        <w:t xml:space="preserve"> is important that this market process i</w:t>
      </w:r>
      <w:r w:rsidR="00B357E2" w:rsidRPr="00923427">
        <w:rPr>
          <w:rFonts w:ascii="Open Sans" w:eastAsia="Times New Roman" w:hAnsi="Open Sans" w:cs="Open Sans"/>
          <w:sz w:val="20"/>
          <w:szCs w:val="20"/>
          <w:lang w:eastAsia="en-GB"/>
        </w:rPr>
        <w:t>s actively</w:t>
      </w:r>
      <w:r w:rsidR="009D18E6" w:rsidRPr="00923427">
        <w:rPr>
          <w:rFonts w:ascii="Open Sans" w:eastAsia="Times New Roman" w:hAnsi="Open Sans" w:cs="Open Sans"/>
          <w:sz w:val="20"/>
          <w:szCs w:val="20"/>
          <w:lang w:eastAsia="en-GB"/>
        </w:rPr>
        <w:t xml:space="preserve"> enabled</w:t>
      </w:r>
      <w:r w:rsidR="000717CA" w:rsidRPr="00923427">
        <w:rPr>
          <w:rFonts w:ascii="Open Sans" w:eastAsia="Times New Roman" w:hAnsi="Open Sans" w:cs="Open Sans"/>
          <w:sz w:val="20"/>
          <w:szCs w:val="20"/>
          <w:lang w:eastAsia="en-GB"/>
        </w:rPr>
        <w:t xml:space="preserve">, </w:t>
      </w:r>
      <w:r w:rsidR="009D18E6" w:rsidRPr="00923427">
        <w:rPr>
          <w:rFonts w:ascii="Open Sans" w:eastAsia="Times New Roman" w:hAnsi="Open Sans" w:cs="Open Sans"/>
          <w:sz w:val="20"/>
          <w:szCs w:val="20"/>
          <w:lang w:eastAsia="en-GB"/>
        </w:rPr>
        <w:t xml:space="preserve">if </w:t>
      </w:r>
      <w:r w:rsidR="000717CA" w:rsidRPr="00923427">
        <w:rPr>
          <w:rFonts w:ascii="Open Sans" w:eastAsia="Times New Roman" w:hAnsi="Open Sans" w:cs="Open Sans"/>
          <w:sz w:val="20"/>
          <w:szCs w:val="20"/>
          <w:lang w:eastAsia="en-GB"/>
        </w:rPr>
        <w:t>further strategically important bioenergy uses are to b</w:t>
      </w:r>
      <w:r w:rsidR="00B357E2" w:rsidRPr="00923427">
        <w:rPr>
          <w:rFonts w:ascii="Open Sans" w:eastAsia="Times New Roman" w:hAnsi="Open Sans" w:cs="Open Sans"/>
          <w:sz w:val="20"/>
          <w:szCs w:val="20"/>
          <w:lang w:eastAsia="en-GB"/>
        </w:rPr>
        <w:t xml:space="preserve">e delivered, coming from the successful growth of existing sectors. </w:t>
      </w:r>
      <w:r w:rsidR="009D18E6" w:rsidRPr="00923427">
        <w:rPr>
          <w:rFonts w:ascii="Open Sans" w:eastAsia="Times New Roman" w:hAnsi="Open Sans" w:cs="Open Sans"/>
          <w:sz w:val="20"/>
          <w:szCs w:val="20"/>
          <w:lang w:eastAsia="en-GB"/>
        </w:rPr>
        <w:t xml:space="preserve"> </w:t>
      </w:r>
    </w:p>
    <w:p w14:paraId="4FB4D5C3" w14:textId="02A55400" w:rsidR="00B401EC" w:rsidRPr="00923427" w:rsidRDefault="00B401EC" w:rsidP="00396820">
      <w:pPr>
        <w:spacing w:before="100" w:beforeAutospacing="1" w:after="100" w:afterAutospacing="1" w:line="240" w:lineRule="auto"/>
        <w:rPr>
          <w:rFonts w:ascii="Open Sans" w:eastAsia="Times New Roman" w:hAnsi="Open Sans" w:cs="Open Sans"/>
          <w:i/>
          <w:iCs/>
          <w:sz w:val="20"/>
          <w:szCs w:val="20"/>
          <w:lang w:eastAsia="en-GB"/>
        </w:rPr>
      </w:pPr>
      <w:r w:rsidRPr="00923427">
        <w:rPr>
          <w:rFonts w:ascii="Open Sans" w:eastAsia="Times New Roman" w:hAnsi="Open Sans" w:cs="Open Sans"/>
          <w:i/>
          <w:iCs/>
          <w:sz w:val="20"/>
          <w:szCs w:val="20"/>
          <w:lang w:eastAsia="en-GB"/>
        </w:rPr>
        <w:t>Table</w:t>
      </w:r>
      <w:r w:rsidR="00F162DB" w:rsidRPr="00923427">
        <w:rPr>
          <w:rFonts w:ascii="Open Sans" w:eastAsia="Times New Roman" w:hAnsi="Open Sans" w:cs="Open Sans"/>
          <w:i/>
          <w:iCs/>
          <w:sz w:val="20"/>
          <w:szCs w:val="20"/>
          <w:lang w:eastAsia="en-GB"/>
        </w:rPr>
        <w:t xml:space="preserve"> 2: Current Contribution of Bioenergy to decarbonisation of Power, Heat and Transport sectors Today</w:t>
      </w:r>
    </w:p>
    <w:tbl>
      <w:tblPr>
        <w:tblStyle w:val="TableGrid"/>
        <w:tblW w:w="0" w:type="auto"/>
        <w:tblLook w:val="04A0" w:firstRow="1" w:lastRow="0" w:firstColumn="1" w:lastColumn="0" w:noHBand="0" w:noVBand="1"/>
      </w:tblPr>
      <w:tblGrid>
        <w:gridCol w:w="1146"/>
        <w:gridCol w:w="1606"/>
        <w:gridCol w:w="1486"/>
        <w:gridCol w:w="1729"/>
        <w:gridCol w:w="1446"/>
        <w:gridCol w:w="1603"/>
      </w:tblGrid>
      <w:tr w:rsidR="00EC216F" w:rsidRPr="00923427" w14:paraId="676823E6" w14:textId="77777777" w:rsidTr="00EC216F">
        <w:tc>
          <w:tcPr>
            <w:tcW w:w="0" w:type="auto"/>
            <w:shd w:val="clear" w:color="auto" w:fill="06926B"/>
          </w:tcPr>
          <w:p w14:paraId="355AF36E" w14:textId="644CC664" w:rsidR="00EC216F" w:rsidRPr="00923427" w:rsidRDefault="00EC216F" w:rsidP="00300162">
            <w:pPr>
              <w:rPr>
                <w:rFonts w:ascii="Open Sans" w:hAnsi="Open Sans" w:cs="Open Sans"/>
                <w:b/>
                <w:bCs/>
                <w:color w:val="FFFFFF" w:themeColor="background1"/>
                <w:sz w:val="20"/>
                <w:szCs w:val="20"/>
              </w:rPr>
            </w:pPr>
            <w:r w:rsidRPr="00923427">
              <w:rPr>
                <w:rFonts w:ascii="Open Sans" w:hAnsi="Open Sans" w:cs="Open Sans"/>
                <w:b/>
                <w:bCs/>
                <w:color w:val="FFFFFF" w:themeColor="background1"/>
                <w:sz w:val="20"/>
                <w:szCs w:val="20"/>
              </w:rPr>
              <w:t>Energy Sector</w:t>
            </w:r>
          </w:p>
        </w:tc>
        <w:tc>
          <w:tcPr>
            <w:tcW w:w="0" w:type="auto"/>
            <w:shd w:val="clear" w:color="auto" w:fill="06926B"/>
          </w:tcPr>
          <w:p w14:paraId="7D3985B8" w14:textId="4A58E9EA" w:rsidR="00EC216F" w:rsidRPr="00923427" w:rsidRDefault="00EC216F" w:rsidP="00300162">
            <w:pPr>
              <w:rPr>
                <w:rFonts w:ascii="Open Sans" w:hAnsi="Open Sans" w:cs="Open Sans"/>
                <w:b/>
                <w:bCs/>
                <w:color w:val="FFFFFF" w:themeColor="background1"/>
                <w:sz w:val="20"/>
                <w:szCs w:val="20"/>
              </w:rPr>
            </w:pPr>
            <w:r w:rsidRPr="00923427">
              <w:rPr>
                <w:rFonts w:ascii="Open Sans" w:hAnsi="Open Sans" w:cs="Open Sans"/>
                <w:b/>
                <w:bCs/>
                <w:color w:val="FFFFFF" w:themeColor="background1"/>
                <w:sz w:val="20"/>
                <w:szCs w:val="20"/>
              </w:rPr>
              <w:t>Bioenergy percentage of renewable generation for energy sector (2019)</w:t>
            </w:r>
          </w:p>
        </w:tc>
        <w:tc>
          <w:tcPr>
            <w:tcW w:w="0" w:type="auto"/>
            <w:shd w:val="clear" w:color="auto" w:fill="06926B"/>
          </w:tcPr>
          <w:p w14:paraId="22CBDDFB" w14:textId="0A8B65BB" w:rsidR="00EC216F" w:rsidRPr="00923427" w:rsidRDefault="00EC216F" w:rsidP="00300162">
            <w:pPr>
              <w:rPr>
                <w:rFonts w:ascii="Open Sans" w:hAnsi="Open Sans" w:cs="Open Sans"/>
                <w:b/>
                <w:bCs/>
                <w:color w:val="FFFFFF" w:themeColor="background1"/>
                <w:sz w:val="20"/>
                <w:szCs w:val="20"/>
              </w:rPr>
            </w:pPr>
            <w:r w:rsidRPr="00923427">
              <w:rPr>
                <w:rFonts w:ascii="Open Sans" w:hAnsi="Open Sans" w:cs="Open Sans"/>
                <w:b/>
                <w:bCs/>
                <w:color w:val="FFFFFF" w:themeColor="background1"/>
                <w:sz w:val="20"/>
                <w:szCs w:val="20"/>
              </w:rPr>
              <w:t>Bioenergy percentage of total UK energy sector demand (2019)</w:t>
            </w:r>
          </w:p>
        </w:tc>
        <w:tc>
          <w:tcPr>
            <w:tcW w:w="0" w:type="auto"/>
            <w:shd w:val="clear" w:color="auto" w:fill="06926B"/>
          </w:tcPr>
          <w:p w14:paraId="020F9CA9" w14:textId="77777777" w:rsidR="00EC216F" w:rsidRPr="00923427" w:rsidRDefault="00EC216F" w:rsidP="00300162">
            <w:pPr>
              <w:rPr>
                <w:rFonts w:ascii="Open Sans" w:hAnsi="Open Sans" w:cs="Open Sans"/>
                <w:b/>
                <w:bCs/>
                <w:color w:val="FFFFFF" w:themeColor="background1"/>
                <w:sz w:val="20"/>
                <w:szCs w:val="20"/>
              </w:rPr>
            </w:pPr>
            <w:r w:rsidRPr="00923427">
              <w:rPr>
                <w:rFonts w:ascii="Open Sans" w:hAnsi="Open Sans" w:cs="Open Sans"/>
                <w:b/>
                <w:bCs/>
                <w:color w:val="FFFFFF" w:themeColor="background1"/>
                <w:sz w:val="20"/>
                <w:szCs w:val="20"/>
              </w:rPr>
              <w:t xml:space="preserve">Technologies </w:t>
            </w:r>
          </w:p>
        </w:tc>
        <w:tc>
          <w:tcPr>
            <w:tcW w:w="0" w:type="auto"/>
            <w:shd w:val="clear" w:color="auto" w:fill="06926B"/>
          </w:tcPr>
          <w:p w14:paraId="2BF9B4E5" w14:textId="77777777" w:rsidR="00EC216F" w:rsidRPr="00923427" w:rsidRDefault="00EC216F" w:rsidP="00300162">
            <w:pPr>
              <w:rPr>
                <w:rFonts w:ascii="Open Sans" w:hAnsi="Open Sans" w:cs="Open Sans"/>
                <w:b/>
                <w:bCs/>
                <w:color w:val="FFFFFF" w:themeColor="background1"/>
                <w:sz w:val="20"/>
                <w:szCs w:val="20"/>
              </w:rPr>
            </w:pPr>
            <w:r w:rsidRPr="00923427">
              <w:rPr>
                <w:rFonts w:ascii="Open Sans" w:hAnsi="Open Sans" w:cs="Open Sans"/>
                <w:b/>
                <w:bCs/>
                <w:color w:val="FFFFFF" w:themeColor="background1"/>
                <w:sz w:val="20"/>
                <w:szCs w:val="20"/>
              </w:rPr>
              <w:t>Feedstocks</w:t>
            </w:r>
          </w:p>
        </w:tc>
        <w:tc>
          <w:tcPr>
            <w:tcW w:w="0" w:type="auto"/>
            <w:shd w:val="clear" w:color="auto" w:fill="06926B"/>
          </w:tcPr>
          <w:p w14:paraId="0417DFBB" w14:textId="77777777" w:rsidR="00EC216F" w:rsidRPr="00923427" w:rsidRDefault="00EC216F" w:rsidP="00300162">
            <w:pPr>
              <w:rPr>
                <w:rFonts w:ascii="Open Sans" w:hAnsi="Open Sans" w:cs="Open Sans"/>
                <w:b/>
                <w:bCs/>
                <w:color w:val="FFFFFF" w:themeColor="background1"/>
                <w:sz w:val="20"/>
                <w:szCs w:val="20"/>
              </w:rPr>
            </w:pPr>
            <w:r w:rsidRPr="00923427">
              <w:rPr>
                <w:rFonts w:ascii="Open Sans" w:hAnsi="Open Sans" w:cs="Open Sans"/>
                <w:b/>
                <w:bCs/>
                <w:color w:val="FFFFFF" w:themeColor="background1"/>
                <w:sz w:val="20"/>
                <w:szCs w:val="20"/>
              </w:rPr>
              <w:t>Estimated GHG savings in 2017</w:t>
            </w:r>
          </w:p>
        </w:tc>
      </w:tr>
      <w:tr w:rsidR="00EC216F" w:rsidRPr="00923427" w14:paraId="35833740" w14:textId="77777777" w:rsidTr="00EC216F">
        <w:trPr>
          <w:trHeight w:val="672"/>
        </w:trPr>
        <w:tc>
          <w:tcPr>
            <w:tcW w:w="0" w:type="auto"/>
            <w:vMerge w:val="restart"/>
          </w:tcPr>
          <w:p w14:paraId="213616A2" w14:textId="77777777" w:rsidR="00EC216F" w:rsidRPr="00923427" w:rsidRDefault="00EC216F" w:rsidP="00300162">
            <w:pPr>
              <w:rPr>
                <w:rFonts w:ascii="Open Sans" w:hAnsi="Open Sans" w:cs="Open Sans"/>
                <w:sz w:val="20"/>
                <w:szCs w:val="20"/>
              </w:rPr>
            </w:pPr>
            <w:r w:rsidRPr="00923427">
              <w:rPr>
                <w:rFonts w:ascii="Open Sans" w:hAnsi="Open Sans" w:cs="Open Sans"/>
                <w:sz w:val="20"/>
                <w:szCs w:val="20"/>
              </w:rPr>
              <w:t>Power</w:t>
            </w:r>
          </w:p>
        </w:tc>
        <w:tc>
          <w:tcPr>
            <w:tcW w:w="0" w:type="auto"/>
            <w:vMerge w:val="restart"/>
          </w:tcPr>
          <w:p w14:paraId="330F03CB" w14:textId="77777777" w:rsidR="00EC216F" w:rsidRPr="00923427" w:rsidRDefault="00EC216F" w:rsidP="00300162">
            <w:pPr>
              <w:rPr>
                <w:rFonts w:ascii="Open Sans" w:hAnsi="Open Sans" w:cs="Open Sans"/>
                <w:i/>
                <w:iCs/>
                <w:sz w:val="20"/>
                <w:szCs w:val="20"/>
              </w:rPr>
            </w:pPr>
            <w:r w:rsidRPr="00923427">
              <w:rPr>
                <w:rFonts w:ascii="Open Sans" w:hAnsi="Open Sans" w:cs="Open Sans"/>
                <w:sz w:val="20"/>
                <w:szCs w:val="20"/>
              </w:rPr>
              <w:t>28% of renewable power</w:t>
            </w:r>
          </w:p>
        </w:tc>
        <w:tc>
          <w:tcPr>
            <w:tcW w:w="0" w:type="auto"/>
            <w:vMerge w:val="restart"/>
          </w:tcPr>
          <w:p w14:paraId="62114C66" w14:textId="77777777" w:rsidR="00EC216F" w:rsidRPr="00923427" w:rsidRDefault="00EC216F" w:rsidP="00300162">
            <w:pPr>
              <w:rPr>
                <w:rFonts w:ascii="Open Sans" w:hAnsi="Open Sans" w:cs="Open Sans"/>
                <w:sz w:val="20"/>
                <w:szCs w:val="20"/>
              </w:rPr>
            </w:pPr>
            <w:r w:rsidRPr="00923427">
              <w:rPr>
                <w:rFonts w:ascii="Open Sans" w:hAnsi="Open Sans" w:cs="Open Sans"/>
                <w:sz w:val="20"/>
                <w:szCs w:val="20"/>
              </w:rPr>
              <w:t>11% of power demand</w:t>
            </w:r>
          </w:p>
        </w:tc>
        <w:tc>
          <w:tcPr>
            <w:tcW w:w="0" w:type="auto"/>
          </w:tcPr>
          <w:p w14:paraId="4CACD419" w14:textId="77777777" w:rsidR="00EC216F" w:rsidRPr="00923427" w:rsidRDefault="00EC216F" w:rsidP="00300162">
            <w:pPr>
              <w:rPr>
                <w:rFonts w:ascii="Open Sans" w:hAnsi="Open Sans" w:cs="Open Sans"/>
                <w:sz w:val="20"/>
                <w:szCs w:val="20"/>
              </w:rPr>
            </w:pPr>
            <w:r w:rsidRPr="00923427">
              <w:rPr>
                <w:rFonts w:ascii="Open Sans" w:hAnsi="Open Sans" w:cs="Open Sans"/>
                <w:sz w:val="20"/>
                <w:szCs w:val="20"/>
              </w:rPr>
              <w:t>Biomass Power</w:t>
            </w:r>
          </w:p>
          <w:p w14:paraId="1D51A444" w14:textId="77777777" w:rsidR="00EC216F" w:rsidRPr="00923427" w:rsidRDefault="00EC216F" w:rsidP="00300162">
            <w:pPr>
              <w:rPr>
                <w:rFonts w:ascii="Open Sans" w:hAnsi="Open Sans" w:cs="Open Sans"/>
                <w:sz w:val="20"/>
                <w:szCs w:val="20"/>
              </w:rPr>
            </w:pPr>
          </w:p>
          <w:p w14:paraId="60178EBB" w14:textId="77777777" w:rsidR="00EC216F" w:rsidRPr="00923427" w:rsidRDefault="00EC216F" w:rsidP="00300162">
            <w:pPr>
              <w:rPr>
                <w:rFonts w:ascii="Open Sans" w:hAnsi="Open Sans" w:cs="Open Sans"/>
                <w:sz w:val="20"/>
                <w:szCs w:val="20"/>
              </w:rPr>
            </w:pPr>
            <w:r w:rsidRPr="00923427">
              <w:rPr>
                <w:rFonts w:ascii="Open Sans" w:hAnsi="Open Sans" w:cs="Open Sans"/>
                <w:sz w:val="20"/>
                <w:szCs w:val="20"/>
              </w:rPr>
              <w:t>BECCS</w:t>
            </w:r>
          </w:p>
          <w:p w14:paraId="02CB8776" w14:textId="77777777" w:rsidR="00EC216F" w:rsidRPr="00923427" w:rsidRDefault="00EC216F" w:rsidP="00300162">
            <w:pPr>
              <w:rPr>
                <w:rFonts w:ascii="Open Sans" w:hAnsi="Open Sans" w:cs="Open Sans"/>
                <w:sz w:val="20"/>
                <w:szCs w:val="20"/>
              </w:rPr>
            </w:pPr>
          </w:p>
        </w:tc>
        <w:tc>
          <w:tcPr>
            <w:tcW w:w="0" w:type="auto"/>
            <w:vMerge w:val="restart"/>
            <w:vAlign w:val="center"/>
          </w:tcPr>
          <w:p w14:paraId="55186014" w14:textId="77777777" w:rsidR="00EC216F" w:rsidRPr="00923427" w:rsidRDefault="00EC216F" w:rsidP="00300162">
            <w:pPr>
              <w:jc w:val="center"/>
              <w:rPr>
                <w:rFonts w:ascii="Open Sans" w:hAnsi="Open Sans" w:cs="Open Sans"/>
                <w:sz w:val="20"/>
                <w:szCs w:val="20"/>
              </w:rPr>
            </w:pPr>
            <w:r w:rsidRPr="00923427">
              <w:rPr>
                <w:rFonts w:ascii="Open Sans" w:hAnsi="Open Sans" w:cs="Open Sans"/>
                <w:sz w:val="20"/>
                <w:szCs w:val="20"/>
              </w:rPr>
              <w:t>virgin biomass pellets</w:t>
            </w:r>
          </w:p>
          <w:p w14:paraId="232AD189" w14:textId="77777777" w:rsidR="00EC216F" w:rsidRPr="00923427" w:rsidRDefault="00EC216F" w:rsidP="00300162">
            <w:pPr>
              <w:jc w:val="center"/>
              <w:rPr>
                <w:rFonts w:ascii="Open Sans" w:hAnsi="Open Sans" w:cs="Open Sans"/>
                <w:sz w:val="20"/>
                <w:szCs w:val="20"/>
              </w:rPr>
            </w:pPr>
          </w:p>
          <w:p w14:paraId="3CB53F53" w14:textId="77777777" w:rsidR="00EC216F" w:rsidRPr="00923427" w:rsidRDefault="00EC216F" w:rsidP="00300162">
            <w:pPr>
              <w:jc w:val="center"/>
              <w:rPr>
                <w:rFonts w:ascii="Open Sans" w:hAnsi="Open Sans" w:cs="Open Sans"/>
                <w:sz w:val="20"/>
                <w:szCs w:val="20"/>
              </w:rPr>
            </w:pPr>
            <w:r w:rsidRPr="00923427">
              <w:rPr>
                <w:rFonts w:ascii="Open Sans" w:hAnsi="Open Sans" w:cs="Open Sans"/>
                <w:sz w:val="20"/>
                <w:szCs w:val="20"/>
              </w:rPr>
              <w:t>waste wood</w:t>
            </w:r>
          </w:p>
          <w:p w14:paraId="104B22BB" w14:textId="77777777" w:rsidR="00EC216F" w:rsidRPr="00923427" w:rsidRDefault="00EC216F" w:rsidP="00300162">
            <w:pPr>
              <w:jc w:val="center"/>
              <w:rPr>
                <w:rFonts w:ascii="Open Sans" w:hAnsi="Open Sans" w:cs="Open Sans"/>
                <w:sz w:val="20"/>
                <w:szCs w:val="20"/>
              </w:rPr>
            </w:pPr>
          </w:p>
          <w:p w14:paraId="2D800FAA" w14:textId="77777777" w:rsidR="00EC216F" w:rsidRPr="00923427" w:rsidRDefault="00EC216F" w:rsidP="00300162">
            <w:pPr>
              <w:jc w:val="center"/>
              <w:rPr>
                <w:rFonts w:ascii="Open Sans" w:hAnsi="Open Sans" w:cs="Open Sans"/>
                <w:sz w:val="20"/>
                <w:szCs w:val="20"/>
              </w:rPr>
            </w:pPr>
            <w:r w:rsidRPr="00923427">
              <w:rPr>
                <w:rFonts w:ascii="Open Sans" w:hAnsi="Open Sans" w:cs="Open Sans"/>
                <w:sz w:val="20"/>
                <w:szCs w:val="20"/>
              </w:rPr>
              <w:t xml:space="preserve"> biogenic waste arising from food, agriculture, and sewage</w:t>
            </w:r>
          </w:p>
        </w:tc>
        <w:tc>
          <w:tcPr>
            <w:tcW w:w="0" w:type="auto"/>
            <w:vMerge w:val="restart"/>
          </w:tcPr>
          <w:p w14:paraId="6499B5C6" w14:textId="77777777" w:rsidR="00EC216F" w:rsidRPr="00923427" w:rsidRDefault="00EC216F" w:rsidP="00300162">
            <w:pPr>
              <w:rPr>
                <w:rFonts w:ascii="Open Sans" w:hAnsi="Open Sans" w:cs="Open Sans"/>
                <w:sz w:val="20"/>
                <w:szCs w:val="20"/>
              </w:rPr>
            </w:pPr>
            <w:r w:rsidRPr="00923427">
              <w:rPr>
                <w:rFonts w:ascii="Open Sans" w:hAnsi="Open Sans" w:cs="Open Sans"/>
                <w:sz w:val="20"/>
                <w:szCs w:val="20"/>
              </w:rPr>
              <w:t>9.7 MtCO</w:t>
            </w:r>
            <w:r w:rsidRPr="00923427">
              <w:rPr>
                <w:rFonts w:ascii="Open Sans" w:hAnsi="Open Sans" w:cs="Open Sans"/>
                <w:sz w:val="20"/>
                <w:szCs w:val="20"/>
                <w:vertAlign w:val="subscript"/>
              </w:rPr>
              <w:t>2</w:t>
            </w:r>
            <w:r w:rsidRPr="00923427">
              <w:rPr>
                <w:rFonts w:ascii="Open Sans" w:hAnsi="Open Sans" w:cs="Open Sans"/>
                <w:sz w:val="20"/>
                <w:szCs w:val="20"/>
              </w:rPr>
              <w:t xml:space="preserve">e compared to equivalent gas generation </w:t>
            </w:r>
          </w:p>
        </w:tc>
      </w:tr>
      <w:tr w:rsidR="00EC216F" w:rsidRPr="00923427" w14:paraId="01A0A21D" w14:textId="77777777" w:rsidTr="00EC216F">
        <w:trPr>
          <w:trHeight w:val="1898"/>
        </w:trPr>
        <w:tc>
          <w:tcPr>
            <w:tcW w:w="0" w:type="auto"/>
            <w:vMerge/>
          </w:tcPr>
          <w:p w14:paraId="05EB6978" w14:textId="77777777" w:rsidR="00EC216F" w:rsidRPr="00923427" w:rsidRDefault="00EC216F" w:rsidP="00300162">
            <w:pPr>
              <w:rPr>
                <w:rFonts w:ascii="Open Sans" w:hAnsi="Open Sans" w:cs="Open Sans"/>
                <w:sz w:val="20"/>
                <w:szCs w:val="20"/>
              </w:rPr>
            </w:pPr>
          </w:p>
        </w:tc>
        <w:tc>
          <w:tcPr>
            <w:tcW w:w="0" w:type="auto"/>
            <w:vMerge/>
          </w:tcPr>
          <w:p w14:paraId="3339E48E" w14:textId="77777777" w:rsidR="00EC216F" w:rsidRPr="00923427" w:rsidRDefault="00EC216F" w:rsidP="00300162">
            <w:pPr>
              <w:rPr>
                <w:rFonts w:ascii="Open Sans" w:hAnsi="Open Sans" w:cs="Open Sans"/>
                <w:sz w:val="20"/>
                <w:szCs w:val="20"/>
              </w:rPr>
            </w:pPr>
          </w:p>
        </w:tc>
        <w:tc>
          <w:tcPr>
            <w:tcW w:w="0" w:type="auto"/>
            <w:vMerge/>
          </w:tcPr>
          <w:p w14:paraId="4F01EBC2" w14:textId="77777777" w:rsidR="00EC216F" w:rsidRPr="00923427" w:rsidRDefault="00EC216F" w:rsidP="00300162">
            <w:pPr>
              <w:rPr>
                <w:rFonts w:ascii="Open Sans" w:hAnsi="Open Sans" w:cs="Open Sans"/>
                <w:sz w:val="20"/>
                <w:szCs w:val="20"/>
              </w:rPr>
            </w:pPr>
          </w:p>
        </w:tc>
        <w:tc>
          <w:tcPr>
            <w:tcW w:w="0" w:type="auto"/>
          </w:tcPr>
          <w:p w14:paraId="17BE58F5" w14:textId="77777777" w:rsidR="00EC216F" w:rsidRPr="00923427" w:rsidRDefault="00EC216F" w:rsidP="00300162">
            <w:pPr>
              <w:rPr>
                <w:rFonts w:ascii="Open Sans" w:hAnsi="Open Sans" w:cs="Open Sans"/>
                <w:sz w:val="20"/>
                <w:szCs w:val="20"/>
              </w:rPr>
            </w:pPr>
            <w:r w:rsidRPr="00923427">
              <w:rPr>
                <w:rFonts w:ascii="Open Sans" w:hAnsi="Open Sans" w:cs="Open Sans"/>
                <w:sz w:val="20"/>
                <w:szCs w:val="20"/>
              </w:rPr>
              <w:t>Landfill gas, AD, Waste to Energy, Biomass CHP</w:t>
            </w:r>
          </w:p>
        </w:tc>
        <w:tc>
          <w:tcPr>
            <w:tcW w:w="0" w:type="auto"/>
            <w:vMerge/>
            <w:vAlign w:val="center"/>
          </w:tcPr>
          <w:p w14:paraId="7C675C8F" w14:textId="77777777" w:rsidR="00EC216F" w:rsidRPr="00923427" w:rsidRDefault="00EC216F" w:rsidP="00300162">
            <w:pPr>
              <w:jc w:val="center"/>
              <w:rPr>
                <w:rFonts w:ascii="Open Sans" w:hAnsi="Open Sans" w:cs="Open Sans"/>
                <w:sz w:val="20"/>
                <w:szCs w:val="20"/>
              </w:rPr>
            </w:pPr>
          </w:p>
        </w:tc>
        <w:tc>
          <w:tcPr>
            <w:tcW w:w="0" w:type="auto"/>
            <w:vMerge/>
          </w:tcPr>
          <w:p w14:paraId="2FC00129" w14:textId="77777777" w:rsidR="00EC216F" w:rsidRPr="00923427" w:rsidRDefault="00EC216F" w:rsidP="00300162">
            <w:pPr>
              <w:rPr>
                <w:rFonts w:ascii="Open Sans" w:hAnsi="Open Sans" w:cs="Open Sans"/>
                <w:sz w:val="20"/>
                <w:szCs w:val="20"/>
              </w:rPr>
            </w:pPr>
          </w:p>
        </w:tc>
      </w:tr>
      <w:tr w:rsidR="00EC216F" w:rsidRPr="00923427" w14:paraId="4CA01B88" w14:textId="77777777" w:rsidTr="00EC216F">
        <w:trPr>
          <w:trHeight w:val="557"/>
        </w:trPr>
        <w:tc>
          <w:tcPr>
            <w:tcW w:w="0" w:type="auto"/>
          </w:tcPr>
          <w:p w14:paraId="0A77DD9F" w14:textId="77777777" w:rsidR="00EC216F" w:rsidRPr="00923427" w:rsidRDefault="00EC216F" w:rsidP="00300162">
            <w:pPr>
              <w:rPr>
                <w:rFonts w:ascii="Open Sans" w:hAnsi="Open Sans" w:cs="Open Sans"/>
                <w:sz w:val="20"/>
                <w:szCs w:val="20"/>
              </w:rPr>
            </w:pPr>
            <w:r w:rsidRPr="00923427">
              <w:rPr>
                <w:rFonts w:ascii="Open Sans" w:hAnsi="Open Sans" w:cs="Open Sans"/>
                <w:sz w:val="20"/>
                <w:szCs w:val="20"/>
              </w:rPr>
              <w:t>Heat</w:t>
            </w:r>
          </w:p>
        </w:tc>
        <w:tc>
          <w:tcPr>
            <w:tcW w:w="0" w:type="auto"/>
          </w:tcPr>
          <w:p w14:paraId="337DE140" w14:textId="77777777" w:rsidR="00EC216F" w:rsidRPr="00923427" w:rsidRDefault="00EC216F" w:rsidP="00300162">
            <w:pPr>
              <w:rPr>
                <w:rFonts w:ascii="Open Sans" w:hAnsi="Open Sans" w:cs="Open Sans"/>
                <w:i/>
                <w:iCs/>
                <w:sz w:val="20"/>
                <w:szCs w:val="20"/>
              </w:rPr>
            </w:pPr>
            <w:r w:rsidRPr="00923427">
              <w:rPr>
                <w:rFonts w:ascii="Open Sans" w:hAnsi="Open Sans" w:cs="Open Sans"/>
                <w:sz w:val="20"/>
                <w:szCs w:val="20"/>
              </w:rPr>
              <w:t>82% of renewable heat</w:t>
            </w:r>
          </w:p>
        </w:tc>
        <w:tc>
          <w:tcPr>
            <w:tcW w:w="0" w:type="auto"/>
          </w:tcPr>
          <w:p w14:paraId="7F3713F9" w14:textId="77777777" w:rsidR="00EC216F" w:rsidRPr="00923427" w:rsidRDefault="00EC216F" w:rsidP="00300162">
            <w:pPr>
              <w:rPr>
                <w:rFonts w:ascii="Open Sans" w:hAnsi="Open Sans" w:cs="Open Sans"/>
                <w:sz w:val="20"/>
                <w:szCs w:val="20"/>
              </w:rPr>
            </w:pPr>
            <w:r w:rsidRPr="00923427">
              <w:rPr>
                <w:rFonts w:ascii="Open Sans" w:hAnsi="Open Sans" w:cs="Open Sans"/>
                <w:sz w:val="20"/>
                <w:szCs w:val="20"/>
              </w:rPr>
              <w:t>4% of heat demand</w:t>
            </w:r>
          </w:p>
        </w:tc>
        <w:tc>
          <w:tcPr>
            <w:tcW w:w="0" w:type="auto"/>
          </w:tcPr>
          <w:p w14:paraId="7F063718" w14:textId="39CAA9C3" w:rsidR="00EC216F" w:rsidRPr="00923427" w:rsidRDefault="00EC216F" w:rsidP="00300162">
            <w:pPr>
              <w:rPr>
                <w:rFonts w:ascii="Open Sans" w:hAnsi="Open Sans" w:cs="Open Sans"/>
                <w:sz w:val="20"/>
                <w:szCs w:val="20"/>
              </w:rPr>
            </w:pPr>
            <w:r w:rsidRPr="00923427">
              <w:rPr>
                <w:rFonts w:ascii="Open Sans" w:hAnsi="Open Sans" w:cs="Open Sans"/>
                <w:sz w:val="20"/>
                <w:szCs w:val="20"/>
              </w:rPr>
              <w:t xml:space="preserve">Biomass Boiler; stoves and fireplaces; AD (Biomethane to Grid); CHP; Biofuels (including </w:t>
            </w:r>
            <w:proofErr w:type="spellStart"/>
            <w:r w:rsidRPr="00923427">
              <w:rPr>
                <w:rFonts w:ascii="Open Sans" w:hAnsi="Open Sans" w:cs="Open Sans"/>
                <w:sz w:val="20"/>
                <w:szCs w:val="20"/>
              </w:rPr>
              <w:t>BioLPG</w:t>
            </w:r>
            <w:proofErr w:type="spellEnd"/>
            <w:r w:rsidRPr="00923427">
              <w:rPr>
                <w:rFonts w:ascii="Open Sans" w:hAnsi="Open Sans" w:cs="Open Sans"/>
                <w:sz w:val="20"/>
                <w:szCs w:val="20"/>
              </w:rPr>
              <w:t>)</w:t>
            </w:r>
          </w:p>
          <w:p w14:paraId="2C7C9113" w14:textId="77777777" w:rsidR="00EC216F" w:rsidRPr="00923427" w:rsidRDefault="00EC216F" w:rsidP="00300162">
            <w:pPr>
              <w:rPr>
                <w:rFonts w:ascii="Open Sans" w:hAnsi="Open Sans" w:cs="Open Sans"/>
                <w:sz w:val="20"/>
                <w:szCs w:val="20"/>
              </w:rPr>
            </w:pPr>
          </w:p>
          <w:p w14:paraId="41D65B65" w14:textId="77777777" w:rsidR="00EC216F" w:rsidRPr="00923427" w:rsidRDefault="00EC216F" w:rsidP="00300162">
            <w:pPr>
              <w:rPr>
                <w:rFonts w:ascii="Open Sans" w:hAnsi="Open Sans" w:cs="Open Sans"/>
                <w:sz w:val="20"/>
                <w:szCs w:val="20"/>
              </w:rPr>
            </w:pPr>
          </w:p>
        </w:tc>
        <w:tc>
          <w:tcPr>
            <w:tcW w:w="0" w:type="auto"/>
            <w:vMerge/>
          </w:tcPr>
          <w:p w14:paraId="577D1532" w14:textId="77777777" w:rsidR="00EC216F" w:rsidRPr="00923427" w:rsidRDefault="00EC216F" w:rsidP="00300162">
            <w:pPr>
              <w:rPr>
                <w:rFonts w:ascii="Open Sans" w:hAnsi="Open Sans" w:cs="Open Sans"/>
                <w:sz w:val="20"/>
                <w:szCs w:val="20"/>
              </w:rPr>
            </w:pPr>
          </w:p>
        </w:tc>
        <w:tc>
          <w:tcPr>
            <w:tcW w:w="0" w:type="auto"/>
          </w:tcPr>
          <w:p w14:paraId="2920B713" w14:textId="77777777" w:rsidR="00EC216F" w:rsidRPr="00923427" w:rsidRDefault="00EC216F" w:rsidP="00300162">
            <w:pPr>
              <w:rPr>
                <w:rFonts w:ascii="Open Sans" w:hAnsi="Open Sans" w:cs="Open Sans"/>
                <w:sz w:val="20"/>
                <w:szCs w:val="20"/>
              </w:rPr>
            </w:pPr>
            <w:r w:rsidRPr="00923427">
              <w:rPr>
                <w:rFonts w:ascii="Open Sans" w:hAnsi="Open Sans" w:cs="Open Sans"/>
                <w:sz w:val="20"/>
                <w:szCs w:val="20"/>
              </w:rPr>
              <w:t>7.3 MtCO</w:t>
            </w:r>
            <w:r w:rsidRPr="00923427">
              <w:rPr>
                <w:rFonts w:ascii="Open Sans" w:hAnsi="Open Sans" w:cs="Open Sans"/>
                <w:sz w:val="20"/>
                <w:szCs w:val="20"/>
                <w:vertAlign w:val="subscript"/>
              </w:rPr>
              <w:t>2</w:t>
            </w:r>
            <w:r w:rsidRPr="00923427">
              <w:rPr>
                <w:rFonts w:ascii="Open Sans" w:hAnsi="Open Sans" w:cs="Open Sans"/>
                <w:sz w:val="20"/>
                <w:szCs w:val="20"/>
              </w:rPr>
              <w:t>e based on Ofgem RHI emission assumptions.</w:t>
            </w:r>
          </w:p>
        </w:tc>
      </w:tr>
      <w:tr w:rsidR="00EC216F" w:rsidRPr="00923427" w14:paraId="69524428" w14:textId="77777777" w:rsidTr="00EC216F">
        <w:trPr>
          <w:trHeight w:val="408"/>
        </w:trPr>
        <w:tc>
          <w:tcPr>
            <w:tcW w:w="0" w:type="auto"/>
            <w:vMerge w:val="restart"/>
          </w:tcPr>
          <w:p w14:paraId="354CFFFB" w14:textId="77777777" w:rsidR="00EC216F" w:rsidRPr="00923427" w:rsidRDefault="00EC216F" w:rsidP="00300162">
            <w:pPr>
              <w:rPr>
                <w:rFonts w:ascii="Open Sans" w:hAnsi="Open Sans" w:cs="Open Sans"/>
                <w:sz w:val="20"/>
                <w:szCs w:val="20"/>
              </w:rPr>
            </w:pPr>
            <w:r w:rsidRPr="00923427">
              <w:rPr>
                <w:rFonts w:ascii="Open Sans" w:hAnsi="Open Sans" w:cs="Open Sans"/>
                <w:sz w:val="20"/>
                <w:szCs w:val="20"/>
              </w:rPr>
              <w:t>Transport</w:t>
            </w:r>
          </w:p>
        </w:tc>
        <w:tc>
          <w:tcPr>
            <w:tcW w:w="0" w:type="auto"/>
            <w:vMerge w:val="restart"/>
          </w:tcPr>
          <w:p w14:paraId="66051646" w14:textId="77777777" w:rsidR="00EC216F" w:rsidRPr="00923427" w:rsidRDefault="00EC216F" w:rsidP="00300162">
            <w:pPr>
              <w:rPr>
                <w:rFonts w:ascii="Open Sans" w:hAnsi="Open Sans" w:cs="Open Sans"/>
                <w:sz w:val="20"/>
                <w:szCs w:val="20"/>
              </w:rPr>
            </w:pPr>
            <w:r w:rsidRPr="00923427">
              <w:rPr>
                <w:rFonts w:ascii="Open Sans" w:hAnsi="Open Sans" w:cs="Open Sans"/>
                <w:sz w:val="20"/>
                <w:szCs w:val="20"/>
              </w:rPr>
              <w:t xml:space="preserve">Estimated 92% based on Renewable Energy Directive sustainability criteria. </w:t>
            </w:r>
          </w:p>
          <w:p w14:paraId="6C347051" w14:textId="77777777" w:rsidR="00EC216F" w:rsidRPr="00923427" w:rsidRDefault="00EC216F" w:rsidP="00300162">
            <w:pPr>
              <w:rPr>
                <w:rFonts w:ascii="Open Sans" w:hAnsi="Open Sans" w:cs="Open Sans"/>
                <w:sz w:val="20"/>
                <w:szCs w:val="20"/>
              </w:rPr>
            </w:pPr>
          </w:p>
          <w:p w14:paraId="32C5BB0E" w14:textId="77777777" w:rsidR="00EC216F" w:rsidRPr="00923427" w:rsidRDefault="00EC216F" w:rsidP="00300162">
            <w:pPr>
              <w:rPr>
                <w:rFonts w:ascii="Open Sans" w:hAnsi="Open Sans" w:cs="Open Sans"/>
                <w:sz w:val="20"/>
                <w:szCs w:val="20"/>
              </w:rPr>
            </w:pPr>
            <w:r w:rsidRPr="00923427">
              <w:rPr>
                <w:rFonts w:ascii="Open Sans" w:hAnsi="Open Sans" w:cs="Open Sans"/>
                <w:sz w:val="20"/>
                <w:szCs w:val="20"/>
              </w:rPr>
              <w:t xml:space="preserve"> </w:t>
            </w:r>
          </w:p>
        </w:tc>
        <w:tc>
          <w:tcPr>
            <w:tcW w:w="0" w:type="auto"/>
            <w:vMerge w:val="restart"/>
          </w:tcPr>
          <w:p w14:paraId="66A5C3A7" w14:textId="77777777" w:rsidR="00EC216F" w:rsidRPr="00923427" w:rsidRDefault="00EC216F" w:rsidP="00300162">
            <w:pPr>
              <w:rPr>
                <w:rFonts w:ascii="Open Sans" w:hAnsi="Open Sans" w:cs="Open Sans"/>
                <w:sz w:val="20"/>
                <w:szCs w:val="20"/>
              </w:rPr>
            </w:pPr>
            <w:r w:rsidRPr="00923427">
              <w:rPr>
                <w:rFonts w:ascii="Open Sans" w:hAnsi="Open Sans" w:cs="Open Sans"/>
                <w:sz w:val="20"/>
                <w:szCs w:val="20"/>
              </w:rPr>
              <w:t>5.1% of total road and non-road mobile machinery fuel.</w:t>
            </w:r>
          </w:p>
        </w:tc>
        <w:tc>
          <w:tcPr>
            <w:tcW w:w="0" w:type="auto"/>
          </w:tcPr>
          <w:p w14:paraId="004FC705" w14:textId="77777777" w:rsidR="00EC216F" w:rsidRPr="00923427" w:rsidRDefault="00EC216F" w:rsidP="00300162">
            <w:pPr>
              <w:rPr>
                <w:rFonts w:ascii="Open Sans" w:hAnsi="Open Sans" w:cs="Open Sans"/>
                <w:sz w:val="20"/>
                <w:szCs w:val="20"/>
              </w:rPr>
            </w:pPr>
            <w:proofErr w:type="spellStart"/>
            <w:r w:rsidRPr="00923427">
              <w:rPr>
                <w:rFonts w:ascii="Open Sans" w:hAnsi="Open Sans" w:cs="Open Sans"/>
                <w:sz w:val="20"/>
                <w:szCs w:val="20"/>
              </w:rPr>
              <w:t>Bioethonol</w:t>
            </w:r>
            <w:proofErr w:type="spellEnd"/>
          </w:p>
          <w:p w14:paraId="0F92CD22" w14:textId="77777777" w:rsidR="00EC216F" w:rsidRPr="00923427" w:rsidRDefault="00EC216F" w:rsidP="00300162">
            <w:pPr>
              <w:rPr>
                <w:rFonts w:ascii="Open Sans" w:hAnsi="Open Sans" w:cs="Open Sans"/>
                <w:sz w:val="20"/>
                <w:szCs w:val="20"/>
              </w:rPr>
            </w:pPr>
          </w:p>
        </w:tc>
        <w:tc>
          <w:tcPr>
            <w:tcW w:w="0" w:type="auto"/>
          </w:tcPr>
          <w:p w14:paraId="0DD43B51" w14:textId="77777777" w:rsidR="00EC216F" w:rsidRPr="00923427" w:rsidRDefault="00EC216F" w:rsidP="00300162">
            <w:pPr>
              <w:rPr>
                <w:rFonts w:ascii="Open Sans" w:hAnsi="Open Sans" w:cs="Open Sans"/>
                <w:sz w:val="20"/>
                <w:szCs w:val="20"/>
              </w:rPr>
            </w:pPr>
            <w:r w:rsidRPr="00923427">
              <w:rPr>
                <w:rFonts w:ascii="Open Sans" w:hAnsi="Open Sans" w:cs="Open Sans"/>
                <w:sz w:val="20"/>
                <w:szCs w:val="20"/>
              </w:rPr>
              <w:t>Corn (43%), and other energy crops</w:t>
            </w:r>
          </w:p>
        </w:tc>
        <w:tc>
          <w:tcPr>
            <w:tcW w:w="0" w:type="auto"/>
            <w:vMerge w:val="restart"/>
          </w:tcPr>
          <w:p w14:paraId="33B3C26A" w14:textId="77777777" w:rsidR="00EC216F" w:rsidRPr="00923427" w:rsidRDefault="00EC216F" w:rsidP="00300162">
            <w:pPr>
              <w:rPr>
                <w:rFonts w:ascii="Open Sans" w:hAnsi="Open Sans" w:cs="Open Sans"/>
                <w:sz w:val="20"/>
                <w:szCs w:val="20"/>
              </w:rPr>
            </w:pPr>
            <w:r w:rsidRPr="00923427">
              <w:rPr>
                <w:rFonts w:ascii="Open Sans" w:hAnsi="Open Sans" w:cs="Open Sans"/>
                <w:sz w:val="20"/>
                <w:szCs w:val="20"/>
              </w:rPr>
              <w:t>2.7 MtCO</w:t>
            </w:r>
            <w:r w:rsidRPr="00923427">
              <w:rPr>
                <w:rFonts w:ascii="Open Sans" w:hAnsi="Open Sans" w:cs="Open Sans"/>
                <w:sz w:val="20"/>
                <w:szCs w:val="20"/>
                <w:vertAlign w:val="subscript"/>
              </w:rPr>
              <w:t>2</w:t>
            </w:r>
            <w:r w:rsidRPr="00923427">
              <w:rPr>
                <w:rFonts w:ascii="Open Sans" w:hAnsi="Open Sans" w:cs="Open Sans"/>
                <w:sz w:val="20"/>
                <w:szCs w:val="20"/>
              </w:rPr>
              <w:t>e based on Department for Transport (</w:t>
            </w:r>
            <w:proofErr w:type="spellStart"/>
            <w:r w:rsidRPr="00923427">
              <w:rPr>
                <w:rFonts w:ascii="Open Sans" w:hAnsi="Open Sans" w:cs="Open Sans"/>
                <w:sz w:val="20"/>
                <w:szCs w:val="20"/>
              </w:rPr>
              <w:t>DfT</w:t>
            </w:r>
            <w:proofErr w:type="spellEnd"/>
            <w:r w:rsidRPr="00923427">
              <w:rPr>
                <w:rFonts w:ascii="Open Sans" w:hAnsi="Open Sans" w:cs="Open Sans"/>
                <w:sz w:val="20"/>
                <w:szCs w:val="20"/>
              </w:rPr>
              <w:t>) assumptions.</w:t>
            </w:r>
          </w:p>
          <w:p w14:paraId="12363A8C" w14:textId="77777777" w:rsidR="00EC216F" w:rsidRPr="00923427" w:rsidRDefault="00EC216F" w:rsidP="00300162">
            <w:pPr>
              <w:rPr>
                <w:rFonts w:ascii="Open Sans" w:hAnsi="Open Sans" w:cs="Open Sans"/>
                <w:sz w:val="20"/>
                <w:szCs w:val="20"/>
              </w:rPr>
            </w:pPr>
          </w:p>
          <w:p w14:paraId="4570BEC3" w14:textId="77777777" w:rsidR="00EC216F" w:rsidRPr="00923427" w:rsidRDefault="00EC216F" w:rsidP="00300162">
            <w:pPr>
              <w:rPr>
                <w:rFonts w:ascii="Open Sans" w:hAnsi="Open Sans" w:cs="Open Sans"/>
                <w:sz w:val="20"/>
                <w:szCs w:val="20"/>
              </w:rPr>
            </w:pPr>
          </w:p>
        </w:tc>
      </w:tr>
      <w:tr w:rsidR="00EC216F" w:rsidRPr="00923427" w14:paraId="1D6C08E3" w14:textId="77777777" w:rsidTr="00EC216F">
        <w:trPr>
          <w:trHeight w:val="408"/>
        </w:trPr>
        <w:tc>
          <w:tcPr>
            <w:tcW w:w="0" w:type="auto"/>
            <w:vMerge/>
          </w:tcPr>
          <w:p w14:paraId="140DAF97" w14:textId="77777777" w:rsidR="00EC216F" w:rsidRPr="00923427" w:rsidRDefault="00EC216F" w:rsidP="00300162">
            <w:pPr>
              <w:rPr>
                <w:rFonts w:ascii="Open Sans" w:hAnsi="Open Sans" w:cs="Open Sans"/>
                <w:sz w:val="20"/>
                <w:szCs w:val="20"/>
              </w:rPr>
            </w:pPr>
          </w:p>
        </w:tc>
        <w:tc>
          <w:tcPr>
            <w:tcW w:w="0" w:type="auto"/>
            <w:vMerge/>
          </w:tcPr>
          <w:p w14:paraId="6C15ED66" w14:textId="77777777" w:rsidR="00EC216F" w:rsidRPr="00923427" w:rsidRDefault="00EC216F" w:rsidP="00300162">
            <w:pPr>
              <w:rPr>
                <w:rFonts w:ascii="Open Sans" w:hAnsi="Open Sans" w:cs="Open Sans"/>
                <w:sz w:val="20"/>
                <w:szCs w:val="20"/>
              </w:rPr>
            </w:pPr>
          </w:p>
        </w:tc>
        <w:tc>
          <w:tcPr>
            <w:tcW w:w="0" w:type="auto"/>
            <w:vMerge/>
          </w:tcPr>
          <w:p w14:paraId="20414F14" w14:textId="77777777" w:rsidR="00EC216F" w:rsidRPr="00923427" w:rsidRDefault="00EC216F" w:rsidP="00300162">
            <w:pPr>
              <w:rPr>
                <w:rFonts w:ascii="Open Sans" w:hAnsi="Open Sans" w:cs="Open Sans"/>
                <w:sz w:val="20"/>
                <w:szCs w:val="20"/>
              </w:rPr>
            </w:pPr>
          </w:p>
        </w:tc>
        <w:tc>
          <w:tcPr>
            <w:tcW w:w="0" w:type="auto"/>
          </w:tcPr>
          <w:p w14:paraId="048370D6" w14:textId="77777777" w:rsidR="00EC216F" w:rsidRPr="00923427" w:rsidRDefault="00EC216F" w:rsidP="00300162">
            <w:pPr>
              <w:rPr>
                <w:rFonts w:ascii="Open Sans" w:hAnsi="Open Sans" w:cs="Open Sans"/>
                <w:sz w:val="20"/>
                <w:szCs w:val="20"/>
              </w:rPr>
            </w:pPr>
            <w:r w:rsidRPr="00923427">
              <w:rPr>
                <w:rFonts w:ascii="Open Sans" w:hAnsi="Open Sans" w:cs="Open Sans"/>
                <w:sz w:val="20"/>
                <w:szCs w:val="20"/>
              </w:rPr>
              <w:t>Biodiesel</w:t>
            </w:r>
          </w:p>
          <w:p w14:paraId="418C688E" w14:textId="77777777" w:rsidR="00EC216F" w:rsidRPr="00923427" w:rsidRDefault="00EC216F" w:rsidP="00300162">
            <w:pPr>
              <w:rPr>
                <w:rFonts w:ascii="Open Sans" w:hAnsi="Open Sans" w:cs="Open Sans"/>
                <w:sz w:val="20"/>
                <w:szCs w:val="20"/>
              </w:rPr>
            </w:pPr>
          </w:p>
          <w:p w14:paraId="4293ECDF" w14:textId="77777777" w:rsidR="00EC216F" w:rsidRPr="00923427" w:rsidRDefault="00EC216F" w:rsidP="00300162">
            <w:pPr>
              <w:rPr>
                <w:rFonts w:ascii="Open Sans" w:hAnsi="Open Sans" w:cs="Open Sans"/>
                <w:sz w:val="20"/>
                <w:szCs w:val="20"/>
              </w:rPr>
            </w:pPr>
          </w:p>
        </w:tc>
        <w:tc>
          <w:tcPr>
            <w:tcW w:w="0" w:type="auto"/>
          </w:tcPr>
          <w:p w14:paraId="3FF30652" w14:textId="77777777" w:rsidR="00EC216F" w:rsidRPr="00923427" w:rsidRDefault="00EC216F" w:rsidP="00300162">
            <w:pPr>
              <w:rPr>
                <w:rFonts w:ascii="Open Sans" w:hAnsi="Open Sans" w:cs="Open Sans"/>
                <w:sz w:val="20"/>
                <w:szCs w:val="20"/>
              </w:rPr>
            </w:pPr>
            <w:r w:rsidRPr="00923427">
              <w:rPr>
                <w:rFonts w:ascii="Open Sans" w:hAnsi="Open Sans" w:cs="Open Sans"/>
                <w:sz w:val="20"/>
                <w:szCs w:val="20"/>
              </w:rPr>
              <w:t xml:space="preserve">Used cooking oil (79%), and other waste arising. </w:t>
            </w:r>
          </w:p>
          <w:p w14:paraId="6946536D" w14:textId="77777777" w:rsidR="00EC216F" w:rsidRPr="00923427" w:rsidRDefault="00EC216F" w:rsidP="00300162">
            <w:pPr>
              <w:rPr>
                <w:rFonts w:ascii="Open Sans" w:hAnsi="Open Sans" w:cs="Open Sans"/>
                <w:sz w:val="20"/>
                <w:szCs w:val="20"/>
              </w:rPr>
            </w:pPr>
          </w:p>
        </w:tc>
        <w:tc>
          <w:tcPr>
            <w:tcW w:w="0" w:type="auto"/>
            <w:vMerge/>
          </w:tcPr>
          <w:p w14:paraId="4B076EA9" w14:textId="77777777" w:rsidR="00EC216F" w:rsidRPr="00923427" w:rsidRDefault="00EC216F" w:rsidP="00300162">
            <w:pPr>
              <w:rPr>
                <w:rFonts w:ascii="Open Sans" w:hAnsi="Open Sans" w:cs="Open Sans"/>
                <w:sz w:val="20"/>
                <w:szCs w:val="20"/>
              </w:rPr>
            </w:pPr>
          </w:p>
        </w:tc>
      </w:tr>
      <w:tr w:rsidR="00EC216F" w:rsidRPr="00923427" w14:paraId="78DD0DB4" w14:textId="77777777" w:rsidTr="00EC216F">
        <w:trPr>
          <w:trHeight w:val="408"/>
        </w:trPr>
        <w:tc>
          <w:tcPr>
            <w:tcW w:w="0" w:type="auto"/>
            <w:vMerge/>
          </w:tcPr>
          <w:p w14:paraId="549DB48C" w14:textId="77777777" w:rsidR="00EC216F" w:rsidRPr="00923427" w:rsidRDefault="00EC216F" w:rsidP="00300162">
            <w:pPr>
              <w:rPr>
                <w:rFonts w:ascii="Open Sans" w:hAnsi="Open Sans" w:cs="Open Sans"/>
                <w:sz w:val="20"/>
                <w:szCs w:val="20"/>
              </w:rPr>
            </w:pPr>
          </w:p>
        </w:tc>
        <w:tc>
          <w:tcPr>
            <w:tcW w:w="0" w:type="auto"/>
            <w:vMerge/>
          </w:tcPr>
          <w:p w14:paraId="41242EA9" w14:textId="77777777" w:rsidR="00EC216F" w:rsidRPr="00923427" w:rsidRDefault="00EC216F" w:rsidP="00300162">
            <w:pPr>
              <w:rPr>
                <w:rFonts w:ascii="Open Sans" w:hAnsi="Open Sans" w:cs="Open Sans"/>
                <w:sz w:val="20"/>
                <w:szCs w:val="20"/>
              </w:rPr>
            </w:pPr>
          </w:p>
        </w:tc>
        <w:tc>
          <w:tcPr>
            <w:tcW w:w="0" w:type="auto"/>
            <w:vMerge/>
          </w:tcPr>
          <w:p w14:paraId="241ECE08" w14:textId="77777777" w:rsidR="00EC216F" w:rsidRPr="00923427" w:rsidRDefault="00EC216F" w:rsidP="00300162">
            <w:pPr>
              <w:rPr>
                <w:rFonts w:ascii="Open Sans" w:hAnsi="Open Sans" w:cs="Open Sans"/>
                <w:sz w:val="20"/>
                <w:szCs w:val="20"/>
              </w:rPr>
            </w:pPr>
          </w:p>
        </w:tc>
        <w:tc>
          <w:tcPr>
            <w:tcW w:w="0" w:type="auto"/>
          </w:tcPr>
          <w:p w14:paraId="4CD2CB11" w14:textId="77777777" w:rsidR="00EC216F" w:rsidRPr="00923427" w:rsidRDefault="00EC216F" w:rsidP="00300162">
            <w:pPr>
              <w:rPr>
                <w:rFonts w:ascii="Open Sans" w:hAnsi="Open Sans" w:cs="Open Sans"/>
                <w:sz w:val="20"/>
                <w:szCs w:val="20"/>
              </w:rPr>
            </w:pPr>
            <w:r w:rsidRPr="00923427">
              <w:rPr>
                <w:rFonts w:ascii="Open Sans" w:hAnsi="Open Sans" w:cs="Open Sans"/>
                <w:sz w:val="20"/>
                <w:szCs w:val="20"/>
              </w:rPr>
              <w:t>Biomethane</w:t>
            </w:r>
          </w:p>
          <w:p w14:paraId="4DC533ED" w14:textId="77777777" w:rsidR="00EC216F" w:rsidRPr="00923427" w:rsidRDefault="00EC216F" w:rsidP="00300162">
            <w:pPr>
              <w:rPr>
                <w:rFonts w:ascii="Open Sans" w:hAnsi="Open Sans" w:cs="Open Sans"/>
                <w:sz w:val="20"/>
                <w:szCs w:val="20"/>
              </w:rPr>
            </w:pPr>
          </w:p>
        </w:tc>
        <w:tc>
          <w:tcPr>
            <w:tcW w:w="0" w:type="auto"/>
          </w:tcPr>
          <w:p w14:paraId="2165E264" w14:textId="77777777" w:rsidR="00EC216F" w:rsidRPr="00923427" w:rsidRDefault="00EC216F" w:rsidP="00300162">
            <w:pPr>
              <w:rPr>
                <w:rFonts w:ascii="Open Sans" w:hAnsi="Open Sans" w:cs="Open Sans"/>
                <w:sz w:val="20"/>
                <w:szCs w:val="20"/>
              </w:rPr>
            </w:pPr>
            <w:r w:rsidRPr="00923427">
              <w:rPr>
                <w:rFonts w:ascii="Open Sans" w:hAnsi="Open Sans" w:cs="Open Sans"/>
                <w:sz w:val="20"/>
                <w:szCs w:val="20"/>
              </w:rPr>
              <w:t>Food Waste</w:t>
            </w:r>
          </w:p>
          <w:p w14:paraId="5CAAE141" w14:textId="77777777" w:rsidR="00EC216F" w:rsidRPr="00923427" w:rsidRDefault="00EC216F" w:rsidP="00300162">
            <w:pPr>
              <w:rPr>
                <w:rFonts w:ascii="Open Sans" w:hAnsi="Open Sans" w:cs="Open Sans"/>
                <w:sz w:val="20"/>
                <w:szCs w:val="20"/>
              </w:rPr>
            </w:pPr>
          </w:p>
          <w:p w14:paraId="22906D08" w14:textId="77777777" w:rsidR="00EC216F" w:rsidRPr="00923427" w:rsidRDefault="00EC216F" w:rsidP="00300162">
            <w:pPr>
              <w:rPr>
                <w:rFonts w:ascii="Open Sans" w:hAnsi="Open Sans" w:cs="Open Sans"/>
                <w:sz w:val="20"/>
                <w:szCs w:val="20"/>
              </w:rPr>
            </w:pPr>
          </w:p>
        </w:tc>
        <w:tc>
          <w:tcPr>
            <w:tcW w:w="0" w:type="auto"/>
            <w:vMerge/>
          </w:tcPr>
          <w:p w14:paraId="18442C18" w14:textId="77777777" w:rsidR="00EC216F" w:rsidRPr="00923427" w:rsidRDefault="00EC216F" w:rsidP="00300162">
            <w:pPr>
              <w:rPr>
                <w:rFonts w:ascii="Open Sans" w:hAnsi="Open Sans" w:cs="Open Sans"/>
                <w:sz w:val="20"/>
                <w:szCs w:val="20"/>
              </w:rPr>
            </w:pPr>
          </w:p>
        </w:tc>
      </w:tr>
      <w:tr w:rsidR="00EC216F" w:rsidRPr="00923427" w14:paraId="1704DA96" w14:textId="77777777" w:rsidTr="00EC216F">
        <w:trPr>
          <w:trHeight w:val="408"/>
        </w:trPr>
        <w:tc>
          <w:tcPr>
            <w:tcW w:w="0" w:type="auto"/>
            <w:gridSpan w:val="6"/>
          </w:tcPr>
          <w:p w14:paraId="45514DFF" w14:textId="4F477E26" w:rsidR="00EC216F" w:rsidRPr="00923427" w:rsidRDefault="00EC216F" w:rsidP="00EC216F">
            <w:pPr>
              <w:rPr>
                <w:rFonts w:ascii="Open Sans" w:eastAsia="Times New Roman" w:hAnsi="Open Sans" w:cs="Open Sans"/>
                <w:sz w:val="20"/>
                <w:szCs w:val="20"/>
                <w:lang w:eastAsia="en-GB"/>
              </w:rPr>
            </w:pPr>
            <w:r w:rsidRPr="00923427">
              <w:rPr>
                <w:rFonts w:ascii="Open Sans" w:eastAsia="Times New Roman" w:hAnsi="Open Sans" w:cs="Open Sans"/>
                <w:sz w:val="20"/>
                <w:szCs w:val="20"/>
                <w:lang w:eastAsia="en-GB"/>
              </w:rPr>
              <w:t>Source:</w:t>
            </w:r>
          </w:p>
          <w:p w14:paraId="03F7EAD5" w14:textId="6AD9EC76" w:rsidR="00EC216F" w:rsidRPr="00923427" w:rsidRDefault="00EC216F" w:rsidP="00EC216F">
            <w:pPr>
              <w:rPr>
                <w:rFonts w:ascii="Open Sans" w:eastAsia="Times New Roman" w:hAnsi="Open Sans" w:cs="Open Sans"/>
                <w:color w:val="0000FF"/>
                <w:sz w:val="20"/>
                <w:szCs w:val="20"/>
                <w:u w:val="single"/>
                <w:lang w:eastAsia="en-GB"/>
              </w:rPr>
            </w:pPr>
            <w:r w:rsidRPr="00923427">
              <w:rPr>
                <w:rFonts w:ascii="Open Sans" w:eastAsia="Times New Roman" w:hAnsi="Open Sans" w:cs="Open Sans"/>
                <w:sz w:val="20"/>
                <w:szCs w:val="20"/>
                <w:lang w:eastAsia="en-GB"/>
              </w:rPr>
              <w:t>BEIS (2020) </w:t>
            </w:r>
            <w:r w:rsidRPr="00923427">
              <w:rPr>
                <w:rFonts w:ascii="Open Sans" w:eastAsia="Times New Roman" w:hAnsi="Open Sans" w:cs="Open Sans"/>
                <w:i/>
                <w:iCs/>
                <w:sz w:val="20"/>
                <w:szCs w:val="20"/>
                <w:lang w:eastAsia="en-GB"/>
              </w:rPr>
              <w:t>Digest of UK Energy Statistics (DUKES) 2020, </w:t>
            </w:r>
            <w:r w:rsidRPr="00923427">
              <w:rPr>
                <w:rFonts w:ascii="Open Sans" w:eastAsia="Times New Roman" w:hAnsi="Open Sans" w:cs="Open Sans"/>
                <w:sz w:val="20"/>
                <w:szCs w:val="20"/>
                <w:lang w:eastAsia="en-GB"/>
              </w:rPr>
              <w:t>Available at: </w:t>
            </w:r>
            <w:hyperlink r:id="rId20" w:history="1">
              <w:r w:rsidRPr="00923427">
                <w:rPr>
                  <w:rFonts w:ascii="Open Sans" w:eastAsia="Times New Roman" w:hAnsi="Open Sans" w:cs="Open Sans"/>
                  <w:color w:val="0000FF"/>
                  <w:sz w:val="20"/>
                  <w:szCs w:val="20"/>
                  <w:u w:val="single"/>
                  <w:lang w:eastAsia="en-GB"/>
                </w:rPr>
                <w:t>https://www.gov.uk/government/statistics/digest-of-uk-energy-statistics-dukes-2019</w:t>
              </w:r>
            </w:hyperlink>
          </w:p>
          <w:p w14:paraId="58F89A39" w14:textId="77777777" w:rsidR="00EC216F" w:rsidRPr="00923427" w:rsidRDefault="00EC216F" w:rsidP="00EC216F">
            <w:pPr>
              <w:rPr>
                <w:rFonts w:ascii="Open Sans" w:eastAsia="Times New Roman" w:hAnsi="Open Sans" w:cs="Open Sans"/>
                <w:color w:val="0000FF"/>
                <w:sz w:val="20"/>
                <w:szCs w:val="20"/>
                <w:u w:val="single"/>
                <w:lang w:eastAsia="en-GB"/>
              </w:rPr>
            </w:pPr>
            <w:proofErr w:type="spellStart"/>
            <w:r w:rsidRPr="00923427">
              <w:rPr>
                <w:rFonts w:ascii="Open Sans" w:eastAsia="Times New Roman" w:hAnsi="Open Sans" w:cs="Open Sans"/>
                <w:sz w:val="20"/>
                <w:szCs w:val="20"/>
                <w:lang w:eastAsia="en-GB"/>
              </w:rPr>
              <w:t>DfT</w:t>
            </w:r>
            <w:proofErr w:type="spellEnd"/>
            <w:r w:rsidRPr="00923427">
              <w:rPr>
                <w:rFonts w:ascii="Open Sans" w:eastAsia="Times New Roman" w:hAnsi="Open Sans" w:cs="Open Sans"/>
                <w:sz w:val="20"/>
                <w:szCs w:val="20"/>
                <w:lang w:eastAsia="en-GB"/>
              </w:rPr>
              <w:t xml:space="preserve"> (2019) </w:t>
            </w:r>
            <w:r w:rsidRPr="00923427">
              <w:rPr>
                <w:rFonts w:ascii="Open Sans" w:eastAsia="Times New Roman" w:hAnsi="Open Sans" w:cs="Open Sans"/>
                <w:i/>
                <w:iCs/>
                <w:sz w:val="20"/>
                <w:szCs w:val="20"/>
                <w:lang w:eastAsia="en-GB"/>
              </w:rPr>
              <w:t>Statistical Release Renewable Fuel Statistics 2019 Fifth Provisional Repor</w:t>
            </w:r>
            <w:r w:rsidRPr="00923427">
              <w:rPr>
                <w:rFonts w:ascii="Open Sans" w:eastAsia="Times New Roman" w:hAnsi="Open Sans" w:cs="Open Sans"/>
                <w:sz w:val="20"/>
                <w:szCs w:val="20"/>
                <w:lang w:eastAsia="en-GB"/>
              </w:rPr>
              <w:t>t Available at: </w:t>
            </w:r>
            <w:hyperlink r:id="rId21" w:history="1">
              <w:r w:rsidRPr="00923427">
                <w:rPr>
                  <w:rFonts w:ascii="Open Sans" w:eastAsia="Times New Roman" w:hAnsi="Open Sans" w:cs="Open Sans"/>
                  <w:color w:val="0000FF"/>
                  <w:sz w:val="20"/>
                  <w:szCs w:val="20"/>
                  <w:u w:val="single"/>
                  <w:lang w:eastAsia="en-GB"/>
                </w:rPr>
                <w:t>https://www.gov.uk/government/statistics/renewable-fuel-statistics-2019-fifth-provisional-report</w:t>
              </w:r>
            </w:hyperlink>
          </w:p>
          <w:p w14:paraId="264A9A0E" w14:textId="04BF655B" w:rsidR="00EC216F" w:rsidRPr="00923427" w:rsidRDefault="00EC216F" w:rsidP="00300162">
            <w:pPr>
              <w:rPr>
                <w:rFonts w:ascii="Open Sans" w:eastAsia="Times New Roman" w:hAnsi="Open Sans" w:cs="Open Sans"/>
                <w:color w:val="0000FF"/>
                <w:sz w:val="20"/>
                <w:szCs w:val="20"/>
                <w:u w:val="single"/>
                <w:lang w:eastAsia="en-GB"/>
              </w:rPr>
            </w:pPr>
            <w:r w:rsidRPr="00923427">
              <w:rPr>
                <w:rFonts w:ascii="Open Sans" w:eastAsia="Times New Roman" w:hAnsi="Open Sans" w:cs="Open Sans"/>
                <w:sz w:val="20"/>
                <w:szCs w:val="20"/>
                <w:lang w:eastAsia="en-GB"/>
              </w:rPr>
              <w:t xml:space="preserve">REA (2019) </w:t>
            </w:r>
            <w:r w:rsidRPr="00923427">
              <w:rPr>
                <w:rFonts w:ascii="Open Sans" w:eastAsia="Times New Roman" w:hAnsi="Open Sans" w:cs="Open Sans"/>
                <w:i/>
                <w:iCs/>
                <w:sz w:val="20"/>
                <w:szCs w:val="20"/>
                <w:lang w:eastAsia="en-GB"/>
              </w:rPr>
              <w:t>REA Bioenergy Strategy Phase 3: Delivering the UK's Bioenergy Potential.</w:t>
            </w:r>
            <w:r w:rsidRPr="00923427">
              <w:rPr>
                <w:rFonts w:ascii="Open Sans" w:eastAsia="Times New Roman" w:hAnsi="Open Sans" w:cs="Open Sans"/>
                <w:sz w:val="20"/>
                <w:szCs w:val="20"/>
                <w:lang w:eastAsia="en-GB"/>
              </w:rPr>
              <w:t xml:space="preserve"> </w:t>
            </w:r>
            <w:hyperlink r:id="rId22" w:history="1">
              <w:r w:rsidRPr="00923427">
                <w:rPr>
                  <w:rFonts w:ascii="Open Sans" w:eastAsia="Times New Roman" w:hAnsi="Open Sans" w:cs="Open Sans"/>
                  <w:color w:val="0000FF"/>
                  <w:sz w:val="20"/>
                  <w:szCs w:val="20"/>
                  <w:u w:val="single"/>
                  <w:lang w:eastAsia="en-GB"/>
                </w:rPr>
                <w:t>www.bioenergy-strategy.com</w:t>
              </w:r>
            </w:hyperlink>
          </w:p>
        </w:tc>
      </w:tr>
    </w:tbl>
    <w:p w14:paraId="13215022" w14:textId="77777777" w:rsidR="00470F89" w:rsidRPr="00923427" w:rsidRDefault="00470F89" w:rsidP="00EC700C">
      <w:pPr>
        <w:rPr>
          <w:rFonts w:ascii="Open Sans" w:eastAsia="Times New Roman" w:hAnsi="Open Sans" w:cs="Open Sans"/>
          <w:sz w:val="20"/>
          <w:szCs w:val="20"/>
          <w:lang w:eastAsia="en-GB"/>
        </w:rPr>
      </w:pPr>
    </w:p>
    <w:p w14:paraId="06D11532" w14:textId="3FD0249D" w:rsidR="00933D47" w:rsidRPr="00923427" w:rsidRDefault="00933D47" w:rsidP="009D18E6">
      <w:pPr>
        <w:spacing w:before="100" w:beforeAutospacing="1" w:after="100" w:afterAutospacing="1" w:line="240" w:lineRule="auto"/>
        <w:rPr>
          <w:rFonts w:ascii="Open Sans" w:eastAsia="Times New Roman" w:hAnsi="Open Sans" w:cs="Open Sans"/>
          <w:b/>
          <w:bCs/>
          <w:i/>
          <w:iCs/>
          <w:sz w:val="20"/>
          <w:szCs w:val="20"/>
          <w:lang w:eastAsia="en-GB"/>
        </w:rPr>
      </w:pPr>
      <w:r w:rsidRPr="00923427">
        <w:rPr>
          <w:rFonts w:ascii="Open Sans" w:eastAsia="Times New Roman" w:hAnsi="Open Sans" w:cs="Open Sans"/>
          <w:b/>
          <w:bCs/>
          <w:i/>
          <w:iCs/>
          <w:sz w:val="20"/>
          <w:szCs w:val="20"/>
          <w:lang w:eastAsia="en-GB"/>
        </w:rPr>
        <w:t xml:space="preserve">Domestic feedstocks could be used to meet heat and transport demand, while further imports will be required for bioelectricity and some renewable transport </w:t>
      </w:r>
      <w:proofErr w:type="gramStart"/>
      <w:r w:rsidR="003E1983" w:rsidRPr="00923427">
        <w:rPr>
          <w:rFonts w:ascii="Open Sans" w:eastAsia="Times New Roman" w:hAnsi="Open Sans" w:cs="Open Sans"/>
          <w:b/>
          <w:bCs/>
          <w:i/>
          <w:iCs/>
          <w:sz w:val="20"/>
          <w:szCs w:val="20"/>
          <w:lang w:eastAsia="en-GB"/>
        </w:rPr>
        <w:t>fuels</w:t>
      </w:r>
      <w:proofErr w:type="gramEnd"/>
    </w:p>
    <w:p w14:paraId="3F0E4828" w14:textId="307FAA13" w:rsidR="00B357E2" w:rsidRPr="00923427" w:rsidRDefault="009D18E6" w:rsidP="009D18E6">
      <w:pPr>
        <w:spacing w:before="100" w:beforeAutospacing="1" w:after="100" w:afterAutospacing="1" w:line="240" w:lineRule="auto"/>
        <w:rPr>
          <w:rFonts w:ascii="Open Sans" w:eastAsia="Times New Roman" w:hAnsi="Open Sans" w:cs="Open Sans"/>
          <w:sz w:val="20"/>
          <w:szCs w:val="20"/>
          <w:lang w:eastAsia="en-GB"/>
        </w:rPr>
      </w:pPr>
      <w:r w:rsidRPr="00923427">
        <w:rPr>
          <w:rFonts w:ascii="Open Sans" w:eastAsia="Times New Roman" w:hAnsi="Open Sans" w:cs="Open Sans"/>
          <w:sz w:val="20"/>
          <w:szCs w:val="20"/>
          <w:lang w:eastAsia="en-GB"/>
        </w:rPr>
        <w:t xml:space="preserve">The paragraphs below are </w:t>
      </w:r>
      <w:r w:rsidR="004205B0" w:rsidRPr="00923427">
        <w:rPr>
          <w:rFonts w:ascii="Open Sans" w:eastAsia="Times New Roman" w:hAnsi="Open Sans" w:cs="Open Sans"/>
          <w:sz w:val="20"/>
          <w:szCs w:val="20"/>
          <w:lang w:eastAsia="en-GB"/>
        </w:rPr>
        <w:t>simplifications but</w:t>
      </w:r>
      <w:r w:rsidRPr="00923427">
        <w:rPr>
          <w:rFonts w:ascii="Open Sans" w:eastAsia="Times New Roman" w:hAnsi="Open Sans" w:cs="Open Sans"/>
          <w:sz w:val="20"/>
          <w:szCs w:val="20"/>
          <w:lang w:eastAsia="en-GB"/>
        </w:rPr>
        <w:t xml:space="preserve"> indicate the principal ways in which feedstocks are likely to be used by 2032</w:t>
      </w:r>
      <w:r w:rsidR="00E87045" w:rsidRPr="00923427">
        <w:rPr>
          <w:rFonts w:ascii="Open Sans" w:eastAsia="Times New Roman" w:hAnsi="Open Sans" w:cs="Open Sans"/>
          <w:sz w:val="20"/>
          <w:szCs w:val="20"/>
          <w:lang w:eastAsia="en-GB"/>
        </w:rPr>
        <w:t xml:space="preserve"> as identified in the REA Bioenergy Strategy</w:t>
      </w:r>
      <w:r w:rsidRPr="00923427">
        <w:rPr>
          <w:rFonts w:ascii="Open Sans" w:eastAsia="Times New Roman" w:hAnsi="Open Sans" w:cs="Open Sans"/>
          <w:sz w:val="20"/>
          <w:szCs w:val="20"/>
          <w:lang w:eastAsia="en-GB"/>
        </w:rPr>
        <w:t>, taking account of the characteristics of fuels involved</w:t>
      </w:r>
      <w:r w:rsidR="00933D47" w:rsidRPr="00923427">
        <w:rPr>
          <w:rFonts w:ascii="Open Sans" w:eastAsia="Times New Roman" w:hAnsi="Open Sans" w:cs="Open Sans"/>
          <w:sz w:val="20"/>
          <w:szCs w:val="20"/>
          <w:lang w:eastAsia="en-GB"/>
        </w:rPr>
        <w:t>:</w:t>
      </w:r>
    </w:p>
    <w:p w14:paraId="6957BCF4" w14:textId="6D6DA07D" w:rsidR="004205B0" w:rsidRPr="00923427" w:rsidRDefault="004205B0" w:rsidP="004205B0">
      <w:pPr>
        <w:spacing w:before="100" w:beforeAutospacing="1" w:after="100" w:afterAutospacing="1" w:line="240" w:lineRule="auto"/>
        <w:rPr>
          <w:rFonts w:ascii="Open Sans" w:eastAsia="Times New Roman" w:hAnsi="Open Sans" w:cs="Open Sans"/>
          <w:sz w:val="20"/>
          <w:szCs w:val="20"/>
          <w:lang w:eastAsia="en-GB"/>
        </w:rPr>
      </w:pPr>
      <w:r w:rsidRPr="00923427">
        <w:rPr>
          <w:rFonts w:ascii="Open Sans" w:eastAsia="Times New Roman" w:hAnsi="Open Sans" w:cs="Open Sans"/>
          <w:b/>
          <w:bCs/>
          <w:i/>
          <w:iCs/>
          <w:sz w:val="20"/>
          <w:szCs w:val="20"/>
          <w:lang w:eastAsia="en-GB"/>
        </w:rPr>
        <w:t>Wood fuels</w:t>
      </w:r>
      <w:r w:rsidRPr="00923427">
        <w:rPr>
          <w:rFonts w:ascii="Open Sans" w:eastAsia="Times New Roman" w:hAnsi="Open Sans" w:cs="Open Sans"/>
          <w:b/>
          <w:bCs/>
          <w:sz w:val="20"/>
          <w:szCs w:val="20"/>
          <w:lang w:eastAsia="en-GB"/>
        </w:rPr>
        <w:t>:</w:t>
      </w:r>
      <w:r w:rsidRPr="00923427">
        <w:rPr>
          <w:rFonts w:ascii="Open Sans" w:eastAsia="Times New Roman" w:hAnsi="Open Sans" w:cs="Open Sans"/>
          <w:sz w:val="20"/>
          <w:szCs w:val="20"/>
          <w:lang w:eastAsia="en-GB"/>
        </w:rPr>
        <w:t xml:space="preserve"> the UK-based supplies of wood fuel from forestry, sawmill residues and </w:t>
      </w:r>
      <w:proofErr w:type="spellStart"/>
      <w:r w:rsidRPr="00923427">
        <w:rPr>
          <w:rFonts w:ascii="Open Sans" w:eastAsia="Times New Roman" w:hAnsi="Open Sans" w:cs="Open Sans"/>
          <w:sz w:val="20"/>
          <w:szCs w:val="20"/>
          <w:lang w:eastAsia="en-GB"/>
        </w:rPr>
        <w:t>arboricultural</w:t>
      </w:r>
      <w:proofErr w:type="spellEnd"/>
      <w:r w:rsidRPr="00923427">
        <w:rPr>
          <w:rFonts w:ascii="Open Sans" w:eastAsia="Times New Roman" w:hAnsi="Open Sans" w:cs="Open Sans"/>
          <w:sz w:val="20"/>
          <w:szCs w:val="20"/>
          <w:lang w:eastAsia="en-GB"/>
        </w:rPr>
        <w:t xml:space="preserve"> applications are assumed to be principally used to supply heat markets, where there is </w:t>
      </w:r>
      <w:r w:rsidR="00E87045" w:rsidRPr="00923427">
        <w:rPr>
          <w:rFonts w:ascii="Open Sans" w:eastAsia="Times New Roman" w:hAnsi="Open Sans" w:cs="Open Sans"/>
          <w:sz w:val="20"/>
          <w:szCs w:val="20"/>
          <w:lang w:eastAsia="en-GB"/>
        </w:rPr>
        <w:t xml:space="preserve">a </w:t>
      </w:r>
      <w:r w:rsidRPr="00923427">
        <w:rPr>
          <w:rFonts w:ascii="Open Sans" w:eastAsia="Times New Roman" w:hAnsi="Open Sans" w:cs="Open Sans"/>
          <w:sz w:val="20"/>
          <w:szCs w:val="20"/>
          <w:lang w:eastAsia="en-GB"/>
        </w:rPr>
        <w:t>good match between the widely dispersed nature of the supply</w:t>
      </w:r>
      <w:r w:rsidR="00E87045" w:rsidRPr="00923427">
        <w:rPr>
          <w:rFonts w:ascii="Open Sans" w:eastAsia="Times New Roman" w:hAnsi="Open Sans" w:cs="Open Sans"/>
          <w:sz w:val="20"/>
          <w:szCs w:val="20"/>
          <w:lang w:eastAsia="en-GB"/>
        </w:rPr>
        <w:t xml:space="preserve"> and </w:t>
      </w:r>
      <w:r w:rsidRPr="00923427">
        <w:rPr>
          <w:rFonts w:ascii="Open Sans" w:eastAsia="Times New Roman" w:hAnsi="Open Sans" w:cs="Open Sans"/>
          <w:sz w:val="20"/>
          <w:szCs w:val="20"/>
          <w:lang w:eastAsia="en-GB"/>
        </w:rPr>
        <w:t>likely markets in rural areas.</w:t>
      </w:r>
    </w:p>
    <w:p w14:paraId="65F8D63F" w14:textId="41339AA0" w:rsidR="004205B0" w:rsidRPr="00923427" w:rsidRDefault="004205B0" w:rsidP="004205B0">
      <w:pPr>
        <w:spacing w:before="100" w:beforeAutospacing="1" w:after="100" w:afterAutospacing="1" w:line="240" w:lineRule="auto"/>
        <w:rPr>
          <w:rFonts w:ascii="Open Sans" w:eastAsia="Times New Roman" w:hAnsi="Open Sans" w:cs="Open Sans"/>
          <w:sz w:val="20"/>
          <w:szCs w:val="20"/>
          <w:lang w:eastAsia="en-GB"/>
        </w:rPr>
      </w:pPr>
      <w:r w:rsidRPr="00923427">
        <w:rPr>
          <w:rFonts w:ascii="Open Sans" w:eastAsia="Times New Roman" w:hAnsi="Open Sans" w:cs="Open Sans"/>
          <w:b/>
          <w:bCs/>
          <w:i/>
          <w:iCs/>
          <w:sz w:val="20"/>
          <w:szCs w:val="20"/>
          <w:lang w:eastAsia="en-GB"/>
        </w:rPr>
        <w:t>Perennial crops (such as miscanthus and short rotation forestry</w:t>
      </w:r>
      <w:r w:rsidRPr="00923427">
        <w:rPr>
          <w:rFonts w:ascii="Open Sans" w:eastAsia="Times New Roman" w:hAnsi="Open Sans" w:cs="Open Sans"/>
          <w:sz w:val="20"/>
          <w:szCs w:val="20"/>
          <w:lang w:eastAsia="en-GB"/>
        </w:rPr>
        <w:t xml:space="preserve">): will also be used to supplement the products from forestry and timber industries in the heating market. </w:t>
      </w:r>
      <w:r w:rsidR="00933D47" w:rsidRPr="00923427">
        <w:rPr>
          <w:rFonts w:ascii="Open Sans" w:eastAsia="Times New Roman" w:hAnsi="Open Sans" w:cs="Open Sans"/>
          <w:sz w:val="20"/>
          <w:szCs w:val="20"/>
          <w:lang w:eastAsia="en-GB"/>
        </w:rPr>
        <w:t xml:space="preserve">Significant volumes are also likely to go towards power production who can provide long term offtake contracts. </w:t>
      </w:r>
      <w:r w:rsidRPr="00923427">
        <w:rPr>
          <w:rFonts w:ascii="Open Sans" w:eastAsia="Times New Roman" w:hAnsi="Open Sans" w:cs="Open Sans"/>
          <w:sz w:val="20"/>
          <w:szCs w:val="20"/>
          <w:lang w:eastAsia="en-GB"/>
        </w:rPr>
        <w:t>The volumes required by 2032 imply a planted area of some 450,000 hectares by then (assuming a yield of around 10 oven-dry tonnes/ha/year).</w:t>
      </w:r>
    </w:p>
    <w:p w14:paraId="16402786" w14:textId="2D4551CE" w:rsidR="004205B0" w:rsidRPr="00923427" w:rsidRDefault="004205B0" w:rsidP="004205B0">
      <w:pPr>
        <w:spacing w:before="100" w:beforeAutospacing="1" w:after="100" w:afterAutospacing="1" w:line="240" w:lineRule="auto"/>
        <w:rPr>
          <w:rFonts w:ascii="Open Sans" w:eastAsia="Times New Roman" w:hAnsi="Open Sans" w:cs="Open Sans"/>
          <w:sz w:val="20"/>
          <w:szCs w:val="20"/>
          <w:lang w:eastAsia="en-GB"/>
        </w:rPr>
      </w:pPr>
      <w:r w:rsidRPr="00923427">
        <w:rPr>
          <w:rFonts w:ascii="Open Sans" w:eastAsia="Times New Roman" w:hAnsi="Open Sans" w:cs="Open Sans"/>
          <w:b/>
          <w:bCs/>
          <w:i/>
          <w:iCs/>
          <w:sz w:val="20"/>
          <w:szCs w:val="20"/>
          <w:lang w:eastAsia="en-GB"/>
        </w:rPr>
        <w:t>Solid biomass fuels (such as wood pellets):</w:t>
      </w:r>
      <w:r w:rsidRPr="00923427">
        <w:rPr>
          <w:rFonts w:ascii="Open Sans" w:eastAsia="Times New Roman" w:hAnsi="Open Sans" w:cs="Open Sans"/>
          <w:sz w:val="20"/>
          <w:szCs w:val="20"/>
          <w:lang w:eastAsia="en-GB"/>
        </w:rPr>
        <w:t xml:space="preserve"> from overseas markets, currently used for large scale</w:t>
      </w:r>
      <w:r w:rsidR="00E87045" w:rsidRPr="00923427">
        <w:rPr>
          <w:rFonts w:ascii="Open Sans" w:eastAsia="Times New Roman" w:hAnsi="Open Sans" w:cs="Open Sans"/>
          <w:sz w:val="20"/>
          <w:szCs w:val="20"/>
          <w:lang w:eastAsia="en-GB"/>
        </w:rPr>
        <w:t xml:space="preserve"> power</w:t>
      </w:r>
      <w:r w:rsidRPr="00923427">
        <w:rPr>
          <w:rFonts w:ascii="Open Sans" w:eastAsia="Times New Roman" w:hAnsi="Open Sans" w:cs="Open Sans"/>
          <w:sz w:val="20"/>
          <w:szCs w:val="20"/>
          <w:lang w:eastAsia="en-GB"/>
        </w:rPr>
        <w:t xml:space="preserve"> generation, are likely to be the fuel of choice for expansion of this type of use, given the need for </w:t>
      </w:r>
      <w:r w:rsidR="00E87045" w:rsidRPr="00923427">
        <w:rPr>
          <w:rFonts w:ascii="Open Sans" w:eastAsia="Times New Roman" w:hAnsi="Open Sans" w:cs="Open Sans"/>
          <w:sz w:val="20"/>
          <w:szCs w:val="20"/>
          <w:lang w:eastAsia="en-GB"/>
        </w:rPr>
        <w:t>large-scale</w:t>
      </w:r>
      <w:r w:rsidRPr="00923427">
        <w:rPr>
          <w:rFonts w:ascii="Open Sans" w:eastAsia="Times New Roman" w:hAnsi="Open Sans" w:cs="Open Sans"/>
          <w:sz w:val="20"/>
          <w:szCs w:val="20"/>
          <w:lang w:eastAsia="en-GB"/>
        </w:rPr>
        <w:t xml:space="preserve"> supply</w:t>
      </w:r>
      <w:r w:rsidR="003E1983" w:rsidRPr="00923427">
        <w:rPr>
          <w:rFonts w:ascii="Open Sans" w:eastAsia="Times New Roman" w:hAnsi="Open Sans" w:cs="Open Sans"/>
          <w:sz w:val="20"/>
          <w:szCs w:val="20"/>
          <w:lang w:eastAsia="en-GB"/>
        </w:rPr>
        <w:t xml:space="preserve"> chains</w:t>
      </w:r>
      <w:r w:rsidRPr="00923427">
        <w:rPr>
          <w:rFonts w:ascii="Open Sans" w:eastAsia="Times New Roman" w:hAnsi="Open Sans" w:cs="Open Sans"/>
          <w:sz w:val="20"/>
          <w:szCs w:val="20"/>
          <w:lang w:eastAsia="en-GB"/>
        </w:rPr>
        <w:t>. Delivering the fuels in quantity by sea and rail has cost and GHG benefits.</w:t>
      </w:r>
    </w:p>
    <w:p w14:paraId="36390417" w14:textId="5943D557" w:rsidR="004205B0" w:rsidRPr="00923427" w:rsidRDefault="004205B0" w:rsidP="004205B0">
      <w:pPr>
        <w:spacing w:before="100" w:beforeAutospacing="1" w:after="100" w:afterAutospacing="1" w:line="240" w:lineRule="auto"/>
        <w:rPr>
          <w:rFonts w:ascii="Open Sans" w:eastAsia="Times New Roman" w:hAnsi="Open Sans" w:cs="Open Sans"/>
          <w:sz w:val="20"/>
          <w:szCs w:val="20"/>
          <w:lang w:eastAsia="en-GB"/>
        </w:rPr>
      </w:pPr>
      <w:r w:rsidRPr="00923427">
        <w:rPr>
          <w:rFonts w:ascii="Open Sans" w:eastAsia="Times New Roman" w:hAnsi="Open Sans" w:cs="Open Sans"/>
          <w:b/>
          <w:bCs/>
          <w:i/>
          <w:iCs/>
          <w:sz w:val="20"/>
          <w:szCs w:val="20"/>
          <w:lang w:eastAsia="en-GB"/>
        </w:rPr>
        <w:t>Waste fuels (such as MSW and waste wood</w:t>
      </w:r>
      <w:r w:rsidRPr="00923427">
        <w:rPr>
          <w:rFonts w:ascii="Open Sans" w:eastAsia="Times New Roman" w:hAnsi="Open Sans" w:cs="Open Sans"/>
          <w:sz w:val="20"/>
          <w:szCs w:val="20"/>
          <w:lang w:eastAsia="en-GB"/>
        </w:rPr>
        <w:t xml:space="preserve">): are assumed to be principally used in large scale CHP plants given the need for the plants to be fitted to meet Waste Incineration Directive Emission standards. They will supply a proportion of the heat required for the expansion of urban heat networks. Some material could also be diverted to thermal gasification </w:t>
      </w:r>
      <w:r w:rsidR="003E1983" w:rsidRPr="00923427">
        <w:rPr>
          <w:rFonts w:ascii="Open Sans" w:eastAsia="Times New Roman" w:hAnsi="Open Sans" w:cs="Open Sans"/>
          <w:sz w:val="20"/>
          <w:szCs w:val="20"/>
          <w:lang w:eastAsia="en-GB"/>
        </w:rPr>
        <w:t xml:space="preserve">for heat or renewable transport fuels </w:t>
      </w:r>
      <w:r w:rsidRPr="00923427">
        <w:rPr>
          <w:rFonts w:ascii="Open Sans" w:eastAsia="Times New Roman" w:hAnsi="Open Sans" w:cs="Open Sans"/>
          <w:sz w:val="20"/>
          <w:szCs w:val="20"/>
          <w:lang w:eastAsia="en-GB"/>
        </w:rPr>
        <w:t>or used in industrial processes such as cement manufacture.</w:t>
      </w:r>
    </w:p>
    <w:p w14:paraId="445EB9FA" w14:textId="77777777" w:rsidR="004205B0" w:rsidRPr="00923427" w:rsidRDefault="004205B0" w:rsidP="004205B0">
      <w:pPr>
        <w:spacing w:before="100" w:beforeAutospacing="1" w:after="100" w:afterAutospacing="1" w:line="240" w:lineRule="auto"/>
        <w:rPr>
          <w:rFonts w:ascii="Open Sans" w:eastAsia="Times New Roman" w:hAnsi="Open Sans" w:cs="Open Sans"/>
          <w:sz w:val="20"/>
          <w:szCs w:val="20"/>
          <w:lang w:eastAsia="en-GB"/>
        </w:rPr>
      </w:pPr>
      <w:r w:rsidRPr="00923427">
        <w:rPr>
          <w:rFonts w:ascii="Open Sans" w:eastAsia="Times New Roman" w:hAnsi="Open Sans" w:cs="Open Sans"/>
          <w:b/>
          <w:bCs/>
          <w:i/>
          <w:iCs/>
          <w:sz w:val="20"/>
          <w:szCs w:val="20"/>
          <w:lang w:eastAsia="en-GB"/>
        </w:rPr>
        <w:t>“Wet wastes” (such as food wastes, sewage sludge and animal manures):</w:t>
      </w:r>
      <w:r w:rsidRPr="00923427">
        <w:rPr>
          <w:rFonts w:ascii="Open Sans" w:eastAsia="Times New Roman" w:hAnsi="Open Sans" w:cs="Open Sans"/>
          <w:sz w:val="20"/>
          <w:szCs w:val="20"/>
          <w:lang w:eastAsia="en-GB"/>
        </w:rPr>
        <w:t xml:space="preserve"> will be primarily used to produce biogas (along with landfill and sewage gas) which can either be used directly or upgraded to methane for heat and transport uses.</w:t>
      </w:r>
    </w:p>
    <w:p w14:paraId="01117A93" w14:textId="77777777" w:rsidR="004205B0" w:rsidRPr="00923427" w:rsidRDefault="004205B0" w:rsidP="004205B0">
      <w:pPr>
        <w:spacing w:before="100" w:beforeAutospacing="1" w:after="100" w:afterAutospacing="1" w:line="240" w:lineRule="auto"/>
        <w:rPr>
          <w:rFonts w:ascii="Open Sans" w:eastAsia="Times New Roman" w:hAnsi="Open Sans" w:cs="Open Sans"/>
          <w:sz w:val="20"/>
          <w:szCs w:val="20"/>
          <w:lang w:eastAsia="en-GB"/>
        </w:rPr>
      </w:pPr>
      <w:r w:rsidRPr="00923427">
        <w:rPr>
          <w:rFonts w:ascii="Open Sans" w:eastAsia="Times New Roman" w:hAnsi="Open Sans" w:cs="Open Sans"/>
          <w:b/>
          <w:bCs/>
          <w:i/>
          <w:iCs/>
          <w:sz w:val="20"/>
          <w:szCs w:val="20"/>
          <w:lang w:eastAsia="en-GB"/>
        </w:rPr>
        <w:t>Crops designed for biogas production</w:t>
      </w:r>
      <w:r w:rsidRPr="00923427">
        <w:rPr>
          <w:rFonts w:ascii="Open Sans" w:eastAsia="Times New Roman" w:hAnsi="Open Sans" w:cs="Open Sans"/>
          <w:sz w:val="20"/>
          <w:szCs w:val="20"/>
          <w:lang w:eastAsia="en-GB"/>
        </w:rPr>
        <w:t>: will be used to complement wet waste supplies.</w:t>
      </w:r>
    </w:p>
    <w:p w14:paraId="16980936" w14:textId="63934F14" w:rsidR="004205B0" w:rsidRPr="00923427" w:rsidRDefault="004205B0" w:rsidP="004205B0">
      <w:pPr>
        <w:spacing w:before="100" w:beforeAutospacing="1" w:after="100" w:afterAutospacing="1" w:line="240" w:lineRule="auto"/>
        <w:rPr>
          <w:rFonts w:ascii="Open Sans" w:eastAsia="Times New Roman" w:hAnsi="Open Sans" w:cs="Open Sans"/>
          <w:sz w:val="20"/>
          <w:szCs w:val="20"/>
          <w:lang w:eastAsia="en-GB"/>
        </w:rPr>
      </w:pPr>
      <w:r w:rsidRPr="00923427">
        <w:rPr>
          <w:rFonts w:ascii="Open Sans" w:eastAsia="Times New Roman" w:hAnsi="Open Sans" w:cs="Open Sans"/>
          <w:b/>
          <w:bCs/>
          <w:i/>
          <w:iCs/>
          <w:sz w:val="20"/>
          <w:szCs w:val="20"/>
          <w:lang w:eastAsia="en-GB"/>
        </w:rPr>
        <w:t>Agricultural wastes (mostly cereal straw):</w:t>
      </w:r>
      <w:r w:rsidRPr="00923427">
        <w:rPr>
          <w:rFonts w:ascii="Open Sans" w:eastAsia="Times New Roman" w:hAnsi="Open Sans" w:cs="Open Sans"/>
          <w:sz w:val="20"/>
          <w:szCs w:val="20"/>
          <w:lang w:eastAsia="en-GB"/>
        </w:rPr>
        <w:t xml:space="preserve"> will be used in </w:t>
      </w:r>
      <w:proofErr w:type="gramStart"/>
      <w:r w:rsidRPr="00923427">
        <w:rPr>
          <w:rFonts w:ascii="Open Sans" w:eastAsia="Times New Roman" w:hAnsi="Open Sans" w:cs="Open Sans"/>
          <w:sz w:val="20"/>
          <w:szCs w:val="20"/>
          <w:lang w:eastAsia="en-GB"/>
        </w:rPr>
        <w:t>a number of</w:t>
      </w:r>
      <w:proofErr w:type="gramEnd"/>
      <w:r w:rsidRPr="00923427">
        <w:rPr>
          <w:rFonts w:ascii="Open Sans" w:eastAsia="Times New Roman" w:hAnsi="Open Sans" w:cs="Open Sans"/>
          <w:sz w:val="20"/>
          <w:szCs w:val="20"/>
          <w:lang w:eastAsia="en-GB"/>
        </w:rPr>
        <w:t xml:space="preserve"> applications, but its characteristics favour its use to complement other </w:t>
      </w:r>
      <w:r w:rsidR="003E1983" w:rsidRPr="00923427">
        <w:rPr>
          <w:rFonts w:ascii="Open Sans" w:eastAsia="Times New Roman" w:hAnsi="Open Sans" w:cs="Open Sans"/>
          <w:sz w:val="20"/>
          <w:szCs w:val="20"/>
          <w:lang w:eastAsia="en-GB"/>
        </w:rPr>
        <w:t>agricultural</w:t>
      </w:r>
      <w:r w:rsidRPr="00923427">
        <w:rPr>
          <w:rFonts w:ascii="Open Sans" w:eastAsia="Times New Roman" w:hAnsi="Open Sans" w:cs="Open Sans"/>
          <w:sz w:val="20"/>
          <w:szCs w:val="20"/>
          <w:lang w:eastAsia="en-GB"/>
        </w:rPr>
        <w:t xml:space="preserve"> resources as a feedstock for anaerobic digestion, or as a feedstock for making cellulosic ethanol as a supplement to other ethanol feedstocks, rather as a feedstock for combustion or gasification.</w:t>
      </w:r>
    </w:p>
    <w:p w14:paraId="0837C6EA" w14:textId="6A8F2989" w:rsidR="004205B0" w:rsidRPr="00923427" w:rsidRDefault="004205B0" w:rsidP="004205B0">
      <w:pPr>
        <w:pBdr>
          <w:bottom w:val="single" w:sz="6" w:space="1" w:color="auto"/>
        </w:pBdr>
        <w:spacing w:before="100" w:beforeAutospacing="1" w:after="100" w:afterAutospacing="1" w:line="240" w:lineRule="auto"/>
        <w:rPr>
          <w:rFonts w:ascii="Open Sans" w:eastAsia="Times New Roman" w:hAnsi="Open Sans" w:cs="Open Sans"/>
          <w:sz w:val="20"/>
          <w:szCs w:val="20"/>
          <w:lang w:eastAsia="en-GB"/>
        </w:rPr>
      </w:pPr>
      <w:r w:rsidRPr="00923427">
        <w:rPr>
          <w:rFonts w:ascii="Open Sans" w:eastAsia="Times New Roman" w:hAnsi="Open Sans" w:cs="Open Sans"/>
          <w:b/>
          <w:bCs/>
          <w:i/>
          <w:iCs/>
          <w:sz w:val="20"/>
          <w:szCs w:val="20"/>
          <w:lang w:eastAsia="en-GB"/>
        </w:rPr>
        <w:t>Other biofuels crops</w:t>
      </w:r>
      <w:r w:rsidRPr="00923427">
        <w:rPr>
          <w:rFonts w:ascii="Open Sans" w:eastAsia="Times New Roman" w:hAnsi="Open Sans" w:cs="Open Sans"/>
          <w:sz w:val="20"/>
          <w:szCs w:val="20"/>
          <w:lang w:eastAsia="en-GB"/>
        </w:rPr>
        <w:t xml:space="preserve">: can be produced where this provides agricultural benefits without impacting on food </w:t>
      </w:r>
      <w:r w:rsidR="00DC0CF5" w:rsidRPr="00923427">
        <w:rPr>
          <w:rFonts w:ascii="Open Sans" w:eastAsia="Times New Roman" w:hAnsi="Open Sans" w:cs="Open Sans"/>
          <w:sz w:val="20"/>
          <w:szCs w:val="20"/>
          <w:lang w:eastAsia="en-GB"/>
        </w:rPr>
        <w:t>production and</w:t>
      </w:r>
      <w:r w:rsidRPr="00923427">
        <w:rPr>
          <w:rFonts w:ascii="Open Sans" w:eastAsia="Times New Roman" w:hAnsi="Open Sans" w:cs="Open Sans"/>
          <w:sz w:val="20"/>
          <w:szCs w:val="20"/>
          <w:lang w:eastAsia="en-GB"/>
        </w:rPr>
        <w:t xml:space="preserve"> supplemented by fuels imported from the international market (principally to serve the transport market but with other applications such as </w:t>
      </w:r>
      <w:proofErr w:type="spellStart"/>
      <w:r w:rsidRPr="00923427">
        <w:rPr>
          <w:rFonts w:ascii="Open Sans" w:eastAsia="Times New Roman" w:hAnsi="Open Sans" w:cs="Open Sans"/>
          <w:sz w:val="20"/>
          <w:szCs w:val="20"/>
          <w:lang w:eastAsia="en-GB"/>
        </w:rPr>
        <w:t>biopropane</w:t>
      </w:r>
      <w:proofErr w:type="spellEnd"/>
      <w:r w:rsidRPr="00923427">
        <w:rPr>
          <w:rFonts w:ascii="Open Sans" w:eastAsia="Times New Roman" w:hAnsi="Open Sans" w:cs="Open Sans"/>
          <w:sz w:val="20"/>
          <w:szCs w:val="20"/>
          <w:lang w:eastAsia="en-GB"/>
        </w:rPr>
        <w:t xml:space="preserve"> for heating, or as a blending fuel in heating oils).</w:t>
      </w:r>
    </w:p>
    <w:p w14:paraId="113968A1" w14:textId="77777777" w:rsidR="00220257" w:rsidRPr="00923427" w:rsidRDefault="00220257" w:rsidP="004205B0">
      <w:pPr>
        <w:pBdr>
          <w:bottom w:val="single" w:sz="6" w:space="1" w:color="auto"/>
        </w:pBdr>
        <w:spacing w:before="100" w:beforeAutospacing="1" w:after="100" w:afterAutospacing="1" w:line="240" w:lineRule="auto"/>
        <w:rPr>
          <w:rFonts w:ascii="Open Sans" w:eastAsia="Times New Roman" w:hAnsi="Open Sans" w:cs="Open Sans"/>
          <w:sz w:val="20"/>
          <w:szCs w:val="20"/>
          <w:lang w:eastAsia="en-GB"/>
        </w:rPr>
      </w:pPr>
    </w:p>
    <w:p w14:paraId="1E4F103D" w14:textId="301CEBDC" w:rsidR="00B326CF" w:rsidRPr="00923427" w:rsidRDefault="00B326CF" w:rsidP="00B326CF">
      <w:pPr>
        <w:spacing w:before="100" w:beforeAutospacing="1" w:after="100" w:afterAutospacing="1" w:line="240" w:lineRule="auto"/>
        <w:rPr>
          <w:rFonts w:ascii="Open Sans" w:eastAsia="Times New Roman" w:hAnsi="Open Sans" w:cs="Open Sans"/>
          <w:b/>
          <w:bCs/>
          <w:color w:val="2F5496"/>
          <w:sz w:val="20"/>
          <w:szCs w:val="20"/>
          <w:lang w:eastAsia="en-GB"/>
        </w:rPr>
      </w:pPr>
      <w:r w:rsidRPr="00923427">
        <w:rPr>
          <w:rFonts w:ascii="Open Sans" w:eastAsia="Times New Roman" w:hAnsi="Open Sans" w:cs="Open Sans"/>
          <w:b/>
          <w:bCs/>
          <w:color w:val="2F5496"/>
          <w:sz w:val="20"/>
          <w:szCs w:val="20"/>
          <w:lang w:eastAsia="en-GB"/>
        </w:rPr>
        <w:t>9. Out of the above sectors, considering that there is a limited supply of sustainable biomass, what do you see as the priority application of biomass feedstocks to contribute towards the net-zero target and how this might change as we reach 2050? Please provide evidence to support your view.</w:t>
      </w:r>
    </w:p>
    <w:p w14:paraId="5BCFBDD7" w14:textId="4A0F4FE6" w:rsidR="00470F89" w:rsidRPr="00923427" w:rsidRDefault="00470F89" w:rsidP="001B5B98">
      <w:pPr>
        <w:spacing w:before="100" w:beforeAutospacing="1" w:after="100" w:afterAutospacing="1" w:line="240" w:lineRule="auto"/>
        <w:rPr>
          <w:rFonts w:ascii="Open Sans" w:eastAsia="Times New Roman" w:hAnsi="Open Sans" w:cs="Open Sans"/>
          <w:b/>
          <w:bCs/>
          <w:i/>
          <w:iCs/>
          <w:sz w:val="20"/>
          <w:szCs w:val="20"/>
          <w:lang w:eastAsia="en-GB"/>
        </w:rPr>
      </w:pPr>
      <w:r w:rsidRPr="00923427">
        <w:rPr>
          <w:rFonts w:ascii="Open Sans" w:eastAsia="Times New Roman" w:hAnsi="Open Sans" w:cs="Open Sans"/>
          <w:b/>
          <w:bCs/>
          <w:i/>
          <w:iCs/>
          <w:sz w:val="20"/>
          <w:szCs w:val="20"/>
          <w:lang w:eastAsia="en-GB"/>
        </w:rPr>
        <w:t xml:space="preserve">Focusing policies just on end-use </w:t>
      </w:r>
      <w:r w:rsidR="006F4D15" w:rsidRPr="00923427">
        <w:rPr>
          <w:rFonts w:ascii="Open Sans" w:eastAsia="Times New Roman" w:hAnsi="Open Sans" w:cs="Open Sans"/>
          <w:b/>
          <w:bCs/>
          <w:i/>
          <w:iCs/>
          <w:sz w:val="20"/>
          <w:szCs w:val="20"/>
          <w:lang w:eastAsia="en-GB"/>
        </w:rPr>
        <w:t>would be a blunt tool</w:t>
      </w:r>
      <w:r w:rsidR="001C22D9" w:rsidRPr="00923427">
        <w:rPr>
          <w:rFonts w:ascii="Open Sans" w:eastAsia="Times New Roman" w:hAnsi="Open Sans" w:cs="Open Sans"/>
          <w:b/>
          <w:bCs/>
          <w:i/>
          <w:iCs/>
          <w:sz w:val="20"/>
          <w:szCs w:val="20"/>
          <w:lang w:eastAsia="en-GB"/>
        </w:rPr>
        <w:t xml:space="preserve"> failing to develop innovation from existing </w:t>
      </w:r>
      <w:r w:rsidR="004E7198" w:rsidRPr="00923427">
        <w:rPr>
          <w:rFonts w:ascii="Open Sans" w:eastAsia="Times New Roman" w:hAnsi="Open Sans" w:cs="Open Sans"/>
          <w:b/>
          <w:bCs/>
          <w:i/>
          <w:iCs/>
          <w:sz w:val="20"/>
          <w:szCs w:val="20"/>
          <w:lang w:eastAsia="en-GB"/>
        </w:rPr>
        <w:t>sectors.</w:t>
      </w:r>
    </w:p>
    <w:p w14:paraId="2C701E50" w14:textId="581D466E" w:rsidR="000040A6" w:rsidRPr="00923427" w:rsidRDefault="004A1A9C" w:rsidP="001B5B98">
      <w:pPr>
        <w:spacing w:before="100" w:beforeAutospacing="1" w:after="100" w:afterAutospacing="1" w:line="240" w:lineRule="auto"/>
        <w:rPr>
          <w:rFonts w:ascii="Open Sans" w:eastAsia="Times New Roman" w:hAnsi="Open Sans" w:cs="Open Sans"/>
          <w:sz w:val="20"/>
          <w:szCs w:val="20"/>
          <w:lang w:eastAsia="en-GB"/>
        </w:rPr>
      </w:pPr>
      <w:r w:rsidRPr="00923427">
        <w:rPr>
          <w:rFonts w:ascii="Open Sans" w:eastAsia="Times New Roman" w:hAnsi="Open Sans" w:cs="Open Sans"/>
          <w:sz w:val="20"/>
          <w:szCs w:val="20"/>
          <w:lang w:eastAsia="en-GB"/>
        </w:rPr>
        <w:t>T</w:t>
      </w:r>
      <w:r w:rsidR="00AA2E6E" w:rsidRPr="00923427">
        <w:rPr>
          <w:rFonts w:ascii="Open Sans" w:eastAsia="Times New Roman" w:hAnsi="Open Sans" w:cs="Open Sans"/>
          <w:sz w:val="20"/>
          <w:szCs w:val="20"/>
          <w:lang w:eastAsia="en-GB"/>
        </w:rPr>
        <w:t xml:space="preserve">he REA caution against creating policies designed to direct biomass supplies to </w:t>
      </w:r>
      <w:r w:rsidR="000040A6" w:rsidRPr="00923427">
        <w:rPr>
          <w:rFonts w:ascii="Open Sans" w:eastAsia="Times New Roman" w:hAnsi="Open Sans" w:cs="Open Sans"/>
          <w:sz w:val="20"/>
          <w:szCs w:val="20"/>
          <w:lang w:eastAsia="en-GB"/>
        </w:rPr>
        <w:t xml:space="preserve">determined </w:t>
      </w:r>
      <w:r w:rsidR="00AA2E6E" w:rsidRPr="00923427">
        <w:rPr>
          <w:rFonts w:ascii="Open Sans" w:eastAsia="Times New Roman" w:hAnsi="Open Sans" w:cs="Open Sans"/>
          <w:sz w:val="20"/>
          <w:szCs w:val="20"/>
          <w:lang w:eastAsia="en-GB"/>
        </w:rPr>
        <w:t>priority</w:t>
      </w:r>
      <w:r w:rsidR="000040A6" w:rsidRPr="00923427">
        <w:rPr>
          <w:rFonts w:ascii="Open Sans" w:eastAsia="Times New Roman" w:hAnsi="Open Sans" w:cs="Open Sans"/>
          <w:sz w:val="20"/>
          <w:szCs w:val="20"/>
          <w:lang w:eastAsia="en-GB"/>
        </w:rPr>
        <w:t xml:space="preserve"> </w:t>
      </w:r>
      <w:r w:rsidR="00AA2E6E" w:rsidRPr="00923427">
        <w:rPr>
          <w:rFonts w:ascii="Open Sans" w:eastAsia="Times New Roman" w:hAnsi="Open Sans" w:cs="Open Sans"/>
          <w:sz w:val="20"/>
          <w:szCs w:val="20"/>
          <w:lang w:eastAsia="en-GB"/>
        </w:rPr>
        <w:t>end</w:t>
      </w:r>
      <w:r w:rsidR="000040A6" w:rsidRPr="00923427">
        <w:rPr>
          <w:rFonts w:ascii="Open Sans" w:eastAsia="Times New Roman" w:hAnsi="Open Sans" w:cs="Open Sans"/>
          <w:sz w:val="20"/>
          <w:szCs w:val="20"/>
          <w:lang w:eastAsia="en-GB"/>
        </w:rPr>
        <w:t>-</w:t>
      </w:r>
      <w:r w:rsidR="00AA2E6E" w:rsidRPr="00923427">
        <w:rPr>
          <w:rFonts w:ascii="Open Sans" w:eastAsia="Times New Roman" w:hAnsi="Open Sans" w:cs="Open Sans"/>
          <w:sz w:val="20"/>
          <w:szCs w:val="20"/>
          <w:lang w:eastAsia="en-GB"/>
        </w:rPr>
        <w:t>use</w:t>
      </w:r>
      <w:r w:rsidR="000040A6" w:rsidRPr="00923427">
        <w:rPr>
          <w:rFonts w:ascii="Open Sans" w:eastAsia="Times New Roman" w:hAnsi="Open Sans" w:cs="Open Sans"/>
          <w:sz w:val="20"/>
          <w:szCs w:val="20"/>
          <w:lang w:eastAsia="en-GB"/>
        </w:rPr>
        <w:t>s</w:t>
      </w:r>
      <w:r w:rsidR="00AA2E6E" w:rsidRPr="00923427">
        <w:rPr>
          <w:rFonts w:ascii="Open Sans" w:eastAsia="Times New Roman" w:hAnsi="Open Sans" w:cs="Open Sans"/>
          <w:sz w:val="20"/>
          <w:szCs w:val="20"/>
          <w:lang w:eastAsia="en-GB"/>
        </w:rPr>
        <w:t xml:space="preserve">. </w:t>
      </w:r>
      <w:r w:rsidR="000040A6" w:rsidRPr="00923427">
        <w:rPr>
          <w:rFonts w:ascii="Open Sans" w:eastAsia="Times New Roman" w:hAnsi="Open Sans" w:cs="Open Sans"/>
          <w:sz w:val="20"/>
          <w:szCs w:val="20"/>
          <w:lang w:eastAsia="en-GB"/>
        </w:rPr>
        <w:t>Such policies risk being a blunt instrument that</w:t>
      </w:r>
      <w:r w:rsidR="003A2B72" w:rsidRPr="00923427">
        <w:rPr>
          <w:rFonts w:ascii="Open Sans" w:eastAsia="Times New Roman" w:hAnsi="Open Sans" w:cs="Open Sans"/>
          <w:sz w:val="20"/>
          <w:szCs w:val="20"/>
          <w:lang w:eastAsia="en-GB"/>
        </w:rPr>
        <w:t xml:space="preserve"> may prioritise future carbon savings, but fail to promote further environmental or social benefits, including achieving more immediate carbon abatement.</w:t>
      </w:r>
      <w:r w:rsidR="00CC6D68" w:rsidRPr="00923427">
        <w:rPr>
          <w:rFonts w:ascii="Open Sans" w:eastAsia="Times New Roman" w:hAnsi="Open Sans" w:cs="Open Sans"/>
          <w:sz w:val="20"/>
          <w:szCs w:val="20"/>
          <w:lang w:eastAsia="en-GB"/>
        </w:rPr>
        <w:t xml:space="preserve"> </w:t>
      </w:r>
      <w:r w:rsidR="003A2B72" w:rsidRPr="00923427">
        <w:rPr>
          <w:rFonts w:ascii="Open Sans" w:eastAsia="Times New Roman" w:hAnsi="Open Sans" w:cs="Open Sans"/>
          <w:sz w:val="20"/>
          <w:szCs w:val="20"/>
          <w:lang w:eastAsia="en-GB"/>
        </w:rPr>
        <w:t xml:space="preserve"> In the longer term, such prescriptive</w:t>
      </w:r>
      <w:r w:rsidR="00CC6D68" w:rsidRPr="00923427">
        <w:rPr>
          <w:rFonts w:ascii="Open Sans" w:eastAsia="Times New Roman" w:hAnsi="Open Sans" w:cs="Open Sans"/>
          <w:sz w:val="20"/>
          <w:szCs w:val="20"/>
          <w:lang w:eastAsia="en-GB"/>
        </w:rPr>
        <w:t xml:space="preserve"> policies</w:t>
      </w:r>
      <w:r w:rsidR="003A2B72" w:rsidRPr="00923427">
        <w:rPr>
          <w:rFonts w:ascii="Open Sans" w:eastAsia="Times New Roman" w:hAnsi="Open Sans" w:cs="Open Sans"/>
          <w:sz w:val="20"/>
          <w:szCs w:val="20"/>
          <w:lang w:eastAsia="en-GB"/>
        </w:rPr>
        <w:t xml:space="preserve"> may prove detrimental to the delivery of </w:t>
      </w:r>
      <w:r w:rsidR="00CC6D68" w:rsidRPr="00923427">
        <w:rPr>
          <w:rFonts w:ascii="Open Sans" w:eastAsia="Times New Roman" w:hAnsi="Open Sans" w:cs="Open Sans"/>
          <w:sz w:val="20"/>
          <w:szCs w:val="20"/>
          <w:lang w:eastAsia="en-GB"/>
        </w:rPr>
        <w:t xml:space="preserve">strategically important technologies like BECCS </w:t>
      </w:r>
      <w:r w:rsidRPr="00923427">
        <w:rPr>
          <w:rFonts w:ascii="Open Sans" w:eastAsia="Times New Roman" w:hAnsi="Open Sans" w:cs="Open Sans"/>
          <w:sz w:val="20"/>
          <w:szCs w:val="20"/>
          <w:lang w:eastAsia="en-GB"/>
        </w:rPr>
        <w:t>and gasification</w:t>
      </w:r>
      <w:r w:rsidR="00CC6D68" w:rsidRPr="00923427">
        <w:rPr>
          <w:rFonts w:ascii="Open Sans" w:eastAsia="Times New Roman" w:hAnsi="Open Sans" w:cs="Open Sans"/>
          <w:sz w:val="20"/>
          <w:szCs w:val="20"/>
          <w:lang w:eastAsia="en-GB"/>
        </w:rPr>
        <w:t xml:space="preserve"> technologies, especially if </w:t>
      </w:r>
      <w:r w:rsidRPr="00923427">
        <w:rPr>
          <w:rFonts w:ascii="Open Sans" w:eastAsia="Times New Roman" w:hAnsi="Open Sans" w:cs="Open Sans"/>
          <w:sz w:val="20"/>
          <w:szCs w:val="20"/>
          <w:lang w:eastAsia="en-GB"/>
        </w:rPr>
        <w:t>e</w:t>
      </w:r>
      <w:r w:rsidR="00CC6D68" w:rsidRPr="00923427">
        <w:rPr>
          <w:rFonts w:ascii="Open Sans" w:eastAsia="Times New Roman" w:hAnsi="Open Sans" w:cs="Open Sans"/>
          <w:sz w:val="20"/>
          <w:szCs w:val="20"/>
          <w:lang w:eastAsia="en-GB"/>
        </w:rPr>
        <w:t>xisting sector</w:t>
      </w:r>
      <w:r w:rsidRPr="00923427">
        <w:rPr>
          <w:rFonts w:ascii="Open Sans" w:eastAsia="Times New Roman" w:hAnsi="Open Sans" w:cs="Open Sans"/>
          <w:sz w:val="20"/>
          <w:szCs w:val="20"/>
          <w:lang w:eastAsia="en-GB"/>
        </w:rPr>
        <w:t xml:space="preserve">s </w:t>
      </w:r>
      <w:r w:rsidR="005E3370" w:rsidRPr="00923427">
        <w:rPr>
          <w:rFonts w:ascii="Open Sans" w:eastAsia="Times New Roman" w:hAnsi="Open Sans" w:cs="Open Sans"/>
          <w:sz w:val="20"/>
          <w:szCs w:val="20"/>
          <w:lang w:eastAsia="en-GB"/>
        </w:rPr>
        <w:t>contract disrupting s</w:t>
      </w:r>
      <w:r w:rsidR="00CC6D68" w:rsidRPr="00923427">
        <w:rPr>
          <w:rFonts w:ascii="Open Sans" w:eastAsia="Times New Roman" w:hAnsi="Open Sans" w:cs="Open Sans"/>
          <w:sz w:val="20"/>
          <w:szCs w:val="20"/>
          <w:lang w:eastAsia="en-GB"/>
        </w:rPr>
        <w:t xml:space="preserve">upply chains, jobs and expertise required to deliver </w:t>
      </w:r>
      <w:r w:rsidRPr="00923427">
        <w:rPr>
          <w:rFonts w:ascii="Open Sans" w:eastAsia="Times New Roman" w:hAnsi="Open Sans" w:cs="Open Sans"/>
          <w:sz w:val="20"/>
          <w:szCs w:val="20"/>
          <w:lang w:eastAsia="en-GB"/>
        </w:rPr>
        <w:t xml:space="preserve">the necessary innovation. A process economist refers to as endogenous growth. </w:t>
      </w:r>
    </w:p>
    <w:p w14:paraId="4E3FD192" w14:textId="7B8EB26E" w:rsidR="00AA2E6E" w:rsidRPr="00923427" w:rsidRDefault="000040A6" w:rsidP="001B5B98">
      <w:pPr>
        <w:spacing w:before="100" w:beforeAutospacing="1" w:after="100" w:afterAutospacing="1" w:line="240" w:lineRule="auto"/>
        <w:rPr>
          <w:rFonts w:ascii="Open Sans" w:eastAsia="Times New Roman" w:hAnsi="Open Sans" w:cs="Open Sans"/>
          <w:sz w:val="20"/>
          <w:szCs w:val="20"/>
          <w:lang w:eastAsia="en-GB"/>
        </w:rPr>
      </w:pPr>
      <w:r w:rsidRPr="00923427">
        <w:rPr>
          <w:rFonts w:ascii="Open Sans" w:eastAsia="Times New Roman" w:hAnsi="Open Sans" w:cs="Open Sans"/>
          <w:sz w:val="20"/>
          <w:szCs w:val="20"/>
          <w:lang w:eastAsia="en-GB"/>
        </w:rPr>
        <w:t>Being too prescriptive reduces the industry’s ability to evolve</w:t>
      </w:r>
      <w:r w:rsidR="004A1A9C" w:rsidRPr="00923427">
        <w:rPr>
          <w:rFonts w:ascii="Open Sans" w:eastAsia="Times New Roman" w:hAnsi="Open Sans" w:cs="Open Sans"/>
          <w:sz w:val="20"/>
          <w:szCs w:val="20"/>
          <w:lang w:eastAsia="en-GB"/>
        </w:rPr>
        <w:t xml:space="preserve"> and respond to market demands. Policies </w:t>
      </w:r>
      <w:r w:rsidR="00AC0EE5" w:rsidRPr="00923427">
        <w:rPr>
          <w:rFonts w:ascii="Open Sans" w:eastAsia="Times New Roman" w:hAnsi="Open Sans" w:cs="Open Sans"/>
          <w:sz w:val="20"/>
          <w:szCs w:val="20"/>
          <w:lang w:eastAsia="en-GB"/>
        </w:rPr>
        <w:t xml:space="preserve">determining </w:t>
      </w:r>
      <w:r w:rsidR="004A1A9C" w:rsidRPr="00923427">
        <w:rPr>
          <w:rFonts w:ascii="Open Sans" w:eastAsia="Times New Roman" w:hAnsi="Open Sans" w:cs="Open Sans"/>
          <w:sz w:val="20"/>
          <w:szCs w:val="20"/>
          <w:lang w:eastAsia="en-GB"/>
        </w:rPr>
        <w:t xml:space="preserve">end use now, could </w:t>
      </w:r>
      <w:r w:rsidR="005E3370" w:rsidRPr="00923427">
        <w:rPr>
          <w:rFonts w:ascii="Open Sans" w:eastAsia="Times New Roman" w:hAnsi="Open Sans" w:cs="Open Sans"/>
          <w:sz w:val="20"/>
          <w:szCs w:val="20"/>
          <w:lang w:eastAsia="en-GB"/>
        </w:rPr>
        <w:t xml:space="preserve">quickly </w:t>
      </w:r>
      <w:r w:rsidR="004A1A9C" w:rsidRPr="00923427">
        <w:rPr>
          <w:rFonts w:ascii="Open Sans" w:eastAsia="Times New Roman" w:hAnsi="Open Sans" w:cs="Open Sans"/>
          <w:sz w:val="20"/>
          <w:szCs w:val="20"/>
          <w:lang w:eastAsia="en-GB"/>
        </w:rPr>
        <w:t xml:space="preserve">prove outdated. For example, </w:t>
      </w:r>
      <w:r w:rsidR="005E3370" w:rsidRPr="00923427">
        <w:rPr>
          <w:rFonts w:ascii="Open Sans" w:eastAsia="Times New Roman" w:hAnsi="Open Sans" w:cs="Open Sans"/>
          <w:sz w:val="20"/>
          <w:szCs w:val="20"/>
          <w:lang w:eastAsia="en-GB"/>
        </w:rPr>
        <w:t>the anaerobic digestion</w:t>
      </w:r>
      <w:r w:rsidR="004A1A9C" w:rsidRPr="00923427">
        <w:rPr>
          <w:rFonts w:ascii="Open Sans" w:eastAsia="Times New Roman" w:hAnsi="Open Sans" w:cs="Open Sans"/>
          <w:sz w:val="20"/>
          <w:szCs w:val="20"/>
          <w:lang w:eastAsia="en-GB"/>
        </w:rPr>
        <w:t xml:space="preserve"> sector </w:t>
      </w:r>
      <w:r w:rsidR="005E3370" w:rsidRPr="00923427">
        <w:rPr>
          <w:rFonts w:ascii="Open Sans" w:eastAsia="Times New Roman" w:hAnsi="Open Sans" w:cs="Open Sans"/>
          <w:sz w:val="20"/>
          <w:szCs w:val="20"/>
          <w:lang w:eastAsia="en-GB"/>
        </w:rPr>
        <w:t xml:space="preserve">was originally established by responding to demand for renewable </w:t>
      </w:r>
      <w:r w:rsidR="004A1A9C" w:rsidRPr="00923427">
        <w:rPr>
          <w:rFonts w:ascii="Open Sans" w:eastAsia="Times New Roman" w:hAnsi="Open Sans" w:cs="Open Sans"/>
          <w:sz w:val="20"/>
          <w:szCs w:val="20"/>
          <w:lang w:eastAsia="en-GB"/>
        </w:rPr>
        <w:t>power production</w:t>
      </w:r>
      <w:r w:rsidR="005E3370" w:rsidRPr="00923427">
        <w:rPr>
          <w:rFonts w:ascii="Open Sans" w:eastAsia="Times New Roman" w:hAnsi="Open Sans" w:cs="Open Sans"/>
          <w:sz w:val="20"/>
          <w:szCs w:val="20"/>
          <w:lang w:eastAsia="en-GB"/>
        </w:rPr>
        <w:t xml:space="preserve">, supported </w:t>
      </w:r>
      <w:r w:rsidR="004A1A9C" w:rsidRPr="00923427">
        <w:rPr>
          <w:rFonts w:ascii="Open Sans" w:eastAsia="Times New Roman" w:hAnsi="Open Sans" w:cs="Open Sans"/>
          <w:sz w:val="20"/>
          <w:szCs w:val="20"/>
          <w:lang w:eastAsia="en-GB"/>
        </w:rPr>
        <w:t>through the Feed-in Tariff</w:t>
      </w:r>
      <w:r w:rsidR="005E3370" w:rsidRPr="00923427">
        <w:rPr>
          <w:rFonts w:ascii="Open Sans" w:eastAsia="Times New Roman" w:hAnsi="Open Sans" w:cs="Open Sans"/>
          <w:sz w:val="20"/>
          <w:szCs w:val="20"/>
          <w:lang w:eastAsia="en-GB"/>
        </w:rPr>
        <w:t>. However,</w:t>
      </w:r>
      <w:r w:rsidR="004A1A9C" w:rsidRPr="00923427">
        <w:rPr>
          <w:rFonts w:ascii="Open Sans" w:eastAsia="Times New Roman" w:hAnsi="Open Sans" w:cs="Open Sans"/>
          <w:sz w:val="20"/>
          <w:szCs w:val="20"/>
          <w:lang w:eastAsia="en-GB"/>
        </w:rPr>
        <w:t xml:space="preserve"> </w:t>
      </w:r>
      <w:r w:rsidR="005E3370" w:rsidRPr="00923427">
        <w:rPr>
          <w:rFonts w:ascii="Open Sans" w:eastAsia="Times New Roman" w:hAnsi="Open Sans" w:cs="Open Sans"/>
          <w:sz w:val="20"/>
          <w:szCs w:val="20"/>
          <w:lang w:eastAsia="en-GB"/>
        </w:rPr>
        <w:t>market</w:t>
      </w:r>
      <w:r w:rsidR="004A1A9C" w:rsidRPr="00923427">
        <w:rPr>
          <w:rFonts w:ascii="Open Sans" w:eastAsia="Times New Roman" w:hAnsi="Open Sans" w:cs="Open Sans"/>
          <w:sz w:val="20"/>
          <w:szCs w:val="20"/>
          <w:lang w:eastAsia="en-GB"/>
        </w:rPr>
        <w:t xml:space="preserve"> demand for gas</w:t>
      </w:r>
      <w:r w:rsidR="005E3370" w:rsidRPr="00923427">
        <w:rPr>
          <w:rFonts w:ascii="Open Sans" w:eastAsia="Times New Roman" w:hAnsi="Open Sans" w:cs="Open Sans"/>
          <w:sz w:val="20"/>
          <w:szCs w:val="20"/>
          <w:lang w:eastAsia="en-GB"/>
        </w:rPr>
        <w:t xml:space="preserve"> and heat decarbonisation</w:t>
      </w:r>
      <w:r w:rsidR="004A1A9C" w:rsidRPr="00923427">
        <w:rPr>
          <w:rFonts w:ascii="Open Sans" w:eastAsia="Times New Roman" w:hAnsi="Open Sans" w:cs="Open Sans"/>
          <w:sz w:val="20"/>
          <w:szCs w:val="20"/>
          <w:lang w:eastAsia="en-GB"/>
        </w:rPr>
        <w:t xml:space="preserve"> means the technology is now </w:t>
      </w:r>
      <w:r w:rsidR="005E3370" w:rsidRPr="00923427">
        <w:rPr>
          <w:rFonts w:ascii="Open Sans" w:eastAsia="Times New Roman" w:hAnsi="Open Sans" w:cs="Open Sans"/>
          <w:sz w:val="20"/>
          <w:szCs w:val="20"/>
          <w:lang w:eastAsia="en-GB"/>
        </w:rPr>
        <w:t>focused on b</w:t>
      </w:r>
      <w:r w:rsidR="004A1A9C" w:rsidRPr="00923427">
        <w:rPr>
          <w:rFonts w:ascii="Open Sans" w:eastAsia="Times New Roman" w:hAnsi="Open Sans" w:cs="Open Sans"/>
          <w:sz w:val="20"/>
          <w:szCs w:val="20"/>
          <w:lang w:eastAsia="en-GB"/>
        </w:rPr>
        <w:t>iomethane production to be injected into the gas grid</w:t>
      </w:r>
      <w:r w:rsidR="005E3370" w:rsidRPr="00923427">
        <w:rPr>
          <w:rFonts w:ascii="Open Sans" w:eastAsia="Times New Roman" w:hAnsi="Open Sans" w:cs="Open Sans"/>
          <w:sz w:val="20"/>
          <w:szCs w:val="20"/>
          <w:lang w:eastAsia="en-GB"/>
        </w:rPr>
        <w:t xml:space="preserve"> or used in transportation</w:t>
      </w:r>
      <w:r w:rsidR="004A1A9C" w:rsidRPr="00923427">
        <w:rPr>
          <w:rFonts w:ascii="Open Sans" w:eastAsia="Times New Roman" w:hAnsi="Open Sans" w:cs="Open Sans"/>
          <w:sz w:val="20"/>
          <w:szCs w:val="20"/>
          <w:lang w:eastAsia="en-GB"/>
        </w:rPr>
        <w:t xml:space="preserve">. </w:t>
      </w:r>
      <w:r w:rsidR="000976B3" w:rsidRPr="00923427">
        <w:rPr>
          <w:rFonts w:ascii="Open Sans" w:eastAsia="Times New Roman" w:hAnsi="Open Sans" w:cs="Open Sans"/>
          <w:sz w:val="20"/>
          <w:szCs w:val="20"/>
          <w:lang w:eastAsia="en-GB"/>
        </w:rPr>
        <w:t>Further diversification is possible as</w:t>
      </w:r>
      <w:r w:rsidR="004A1A9C" w:rsidRPr="00923427">
        <w:rPr>
          <w:rFonts w:ascii="Open Sans" w:eastAsia="Times New Roman" w:hAnsi="Open Sans" w:cs="Open Sans"/>
          <w:sz w:val="20"/>
          <w:szCs w:val="20"/>
          <w:lang w:eastAsia="en-GB"/>
        </w:rPr>
        <w:t xml:space="preserve"> the hydrogen market </w:t>
      </w:r>
      <w:r w:rsidR="000976B3" w:rsidRPr="00923427">
        <w:rPr>
          <w:rFonts w:ascii="Open Sans" w:eastAsia="Times New Roman" w:hAnsi="Open Sans" w:cs="Open Sans"/>
          <w:sz w:val="20"/>
          <w:szCs w:val="20"/>
          <w:lang w:eastAsia="en-GB"/>
        </w:rPr>
        <w:t>develops,</w:t>
      </w:r>
      <w:r w:rsidR="004A1A9C" w:rsidRPr="00923427">
        <w:rPr>
          <w:rFonts w:ascii="Open Sans" w:eastAsia="Times New Roman" w:hAnsi="Open Sans" w:cs="Open Sans"/>
          <w:sz w:val="20"/>
          <w:szCs w:val="20"/>
          <w:lang w:eastAsia="en-GB"/>
        </w:rPr>
        <w:t xml:space="preserve"> and AD </w:t>
      </w:r>
      <w:r w:rsidR="005E3370" w:rsidRPr="00923427">
        <w:rPr>
          <w:rFonts w:ascii="Open Sans" w:eastAsia="Times New Roman" w:hAnsi="Open Sans" w:cs="Open Sans"/>
          <w:sz w:val="20"/>
          <w:szCs w:val="20"/>
          <w:lang w:eastAsia="en-GB"/>
        </w:rPr>
        <w:t xml:space="preserve">sector responds to increased hydrogen demand and price signals. </w:t>
      </w:r>
      <w:r w:rsidR="00AC0EE5" w:rsidRPr="00923427">
        <w:rPr>
          <w:rFonts w:ascii="Open Sans" w:eastAsia="Times New Roman" w:hAnsi="Open Sans" w:cs="Open Sans"/>
          <w:sz w:val="20"/>
          <w:szCs w:val="20"/>
          <w:lang w:eastAsia="en-GB"/>
        </w:rPr>
        <w:t xml:space="preserve">Such market dynamics are typical as a sector develops, both building upon what has already been achieved while responding to new demand. </w:t>
      </w:r>
    </w:p>
    <w:p w14:paraId="03CA209C" w14:textId="5B9977D0" w:rsidR="00AC0EE5" w:rsidRPr="00923427" w:rsidRDefault="00AC0EE5" w:rsidP="001B5B98">
      <w:pPr>
        <w:spacing w:before="100" w:beforeAutospacing="1" w:after="100" w:afterAutospacing="1" w:line="240" w:lineRule="auto"/>
        <w:rPr>
          <w:rFonts w:ascii="Open Sans" w:eastAsia="Times New Roman" w:hAnsi="Open Sans" w:cs="Open Sans"/>
          <w:sz w:val="20"/>
          <w:szCs w:val="20"/>
          <w:lang w:eastAsia="en-GB"/>
        </w:rPr>
      </w:pPr>
      <w:r w:rsidRPr="00923427">
        <w:rPr>
          <w:rStyle w:val="A4"/>
          <w:rFonts w:ascii="Open Sans" w:hAnsi="Open Sans" w:cs="Open Sans"/>
        </w:rPr>
        <w:t xml:space="preserve">As such, designing policies that continue to support conventional bioenergy technology now, will not stand in the way of new technologies and applications in the longer term. Rather this approach will provide a solid basis for the introduction of these technologies as market opportunities develop, which in turn will determine how biomass resources are best used in accordance with market demand. </w:t>
      </w:r>
      <w:r w:rsidR="00924D1F" w:rsidRPr="00923427">
        <w:rPr>
          <w:rStyle w:val="A4"/>
          <w:rFonts w:ascii="Open Sans" w:hAnsi="Open Sans" w:cs="Open Sans"/>
        </w:rPr>
        <w:t>G</w:t>
      </w:r>
      <w:r w:rsidR="00765744" w:rsidRPr="00923427">
        <w:rPr>
          <w:rStyle w:val="A4"/>
          <w:rFonts w:ascii="Open Sans" w:hAnsi="Open Sans" w:cs="Open Sans"/>
        </w:rPr>
        <w:t>overnment policies should</w:t>
      </w:r>
      <w:r w:rsidR="00924D1F" w:rsidRPr="00923427">
        <w:rPr>
          <w:rStyle w:val="A4"/>
          <w:rFonts w:ascii="Open Sans" w:hAnsi="Open Sans" w:cs="Open Sans"/>
        </w:rPr>
        <w:t xml:space="preserve"> instead</w:t>
      </w:r>
      <w:r w:rsidR="00765744" w:rsidRPr="00923427">
        <w:rPr>
          <w:rStyle w:val="A4"/>
          <w:rFonts w:ascii="Open Sans" w:hAnsi="Open Sans" w:cs="Open Sans"/>
        </w:rPr>
        <w:t xml:space="preserve"> focus on </w:t>
      </w:r>
      <w:r w:rsidR="001B7135" w:rsidRPr="00923427">
        <w:rPr>
          <w:rStyle w:val="A4"/>
          <w:rFonts w:ascii="Open Sans" w:hAnsi="Open Sans" w:cs="Open Sans"/>
        </w:rPr>
        <w:t xml:space="preserve">rewarding </w:t>
      </w:r>
      <w:r w:rsidR="00765744" w:rsidRPr="00923427">
        <w:rPr>
          <w:rStyle w:val="A4"/>
          <w:rFonts w:ascii="Open Sans" w:hAnsi="Open Sans" w:cs="Open Sans"/>
        </w:rPr>
        <w:t>the environmental and social benefits delivered by different solutions, with</w:t>
      </w:r>
      <w:r w:rsidR="001B7135" w:rsidRPr="00923427">
        <w:rPr>
          <w:rStyle w:val="A4"/>
          <w:rFonts w:ascii="Open Sans" w:hAnsi="Open Sans" w:cs="Open Sans"/>
        </w:rPr>
        <w:t xml:space="preserve"> innovation being supported through clear market signals that allow for </w:t>
      </w:r>
      <w:r w:rsidR="00924D1F" w:rsidRPr="00923427">
        <w:rPr>
          <w:rStyle w:val="A4"/>
          <w:rFonts w:ascii="Open Sans" w:hAnsi="Open Sans" w:cs="Open Sans"/>
        </w:rPr>
        <w:t xml:space="preserve">their </w:t>
      </w:r>
      <w:r w:rsidR="001B7135" w:rsidRPr="00923427">
        <w:rPr>
          <w:rStyle w:val="A4"/>
          <w:rFonts w:ascii="Open Sans" w:hAnsi="Open Sans" w:cs="Open Sans"/>
        </w:rPr>
        <w:t xml:space="preserve">development out of existing sectors. </w:t>
      </w:r>
    </w:p>
    <w:p w14:paraId="2521A9EE" w14:textId="2A5284A1" w:rsidR="00470F89" w:rsidRPr="00923427" w:rsidRDefault="00470F89" w:rsidP="001B5B98">
      <w:pPr>
        <w:spacing w:before="100" w:beforeAutospacing="1" w:after="100" w:afterAutospacing="1" w:line="240" w:lineRule="auto"/>
        <w:rPr>
          <w:rFonts w:ascii="Open Sans" w:eastAsia="Times New Roman" w:hAnsi="Open Sans" w:cs="Open Sans"/>
          <w:b/>
          <w:bCs/>
          <w:i/>
          <w:iCs/>
          <w:sz w:val="20"/>
          <w:szCs w:val="20"/>
          <w:lang w:eastAsia="en-GB"/>
        </w:rPr>
      </w:pPr>
      <w:r w:rsidRPr="00923427">
        <w:rPr>
          <w:rFonts w:ascii="Open Sans" w:eastAsia="Times New Roman" w:hAnsi="Open Sans" w:cs="Open Sans"/>
          <w:b/>
          <w:bCs/>
          <w:i/>
          <w:iCs/>
          <w:sz w:val="20"/>
          <w:szCs w:val="20"/>
          <w:lang w:eastAsia="en-GB"/>
        </w:rPr>
        <w:t xml:space="preserve">Bioenergy requires </w:t>
      </w:r>
      <w:proofErr w:type="gramStart"/>
      <w:r w:rsidRPr="00923427">
        <w:rPr>
          <w:rFonts w:ascii="Open Sans" w:eastAsia="Times New Roman" w:hAnsi="Open Sans" w:cs="Open Sans"/>
          <w:b/>
          <w:bCs/>
          <w:i/>
          <w:iCs/>
          <w:sz w:val="20"/>
          <w:szCs w:val="20"/>
          <w:lang w:eastAsia="en-GB"/>
        </w:rPr>
        <w:t>short, medium an</w:t>
      </w:r>
      <w:r w:rsidR="000976B3" w:rsidRPr="00923427">
        <w:rPr>
          <w:rFonts w:ascii="Open Sans" w:eastAsia="Times New Roman" w:hAnsi="Open Sans" w:cs="Open Sans"/>
          <w:b/>
          <w:bCs/>
          <w:i/>
          <w:iCs/>
          <w:sz w:val="20"/>
          <w:szCs w:val="20"/>
          <w:lang w:eastAsia="en-GB"/>
        </w:rPr>
        <w:t>d</w:t>
      </w:r>
      <w:r w:rsidRPr="00923427">
        <w:rPr>
          <w:rFonts w:ascii="Open Sans" w:eastAsia="Times New Roman" w:hAnsi="Open Sans" w:cs="Open Sans"/>
          <w:b/>
          <w:bCs/>
          <w:i/>
          <w:iCs/>
          <w:sz w:val="20"/>
          <w:szCs w:val="20"/>
          <w:lang w:eastAsia="en-GB"/>
        </w:rPr>
        <w:t xml:space="preserve"> long</w:t>
      </w:r>
      <w:r w:rsidR="00A60983" w:rsidRPr="00923427">
        <w:rPr>
          <w:rFonts w:ascii="Open Sans" w:eastAsia="Times New Roman" w:hAnsi="Open Sans" w:cs="Open Sans"/>
          <w:b/>
          <w:bCs/>
          <w:i/>
          <w:iCs/>
          <w:sz w:val="20"/>
          <w:szCs w:val="20"/>
          <w:lang w:eastAsia="en-GB"/>
        </w:rPr>
        <w:t xml:space="preserve"> </w:t>
      </w:r>
      <w:r w:rsidRPr="00923427">
        <w:rPr>
          <w:rFonts w:ascii="Open Sans" w:eastAsia="Times New Roman" w:hAnsi="Open Sans" w:cs="Open Sans"/>
          <w:b/>
          <w:bCs/>
          <w:i/>
          <w:iCs/>
          <w:sz w:val="20"/>
          <w:szCs w:val="20"/>
          <w:lang w:eastAsia="en-GB"/>
        </w:rPr>
        <w:t>term</w:t>
      </w:r>
      <w:proofErr w:type="gramEnd"/>
      <w:r w:rsidRPr="00923427">
        <w:rPr>
          <w:rFonts w:ascii="Open Sans" w:eastAsia="Times New Roman" w:hAnsi="Open Sans" w:cs="Open Sans"/>
          <w:b/>
          <w:bCs/>
          <w:i/>
          <w:iCs/>
          <w:sz w:val="20"/>
          <w:szCs w:val="20"/>
          <w:lang w:eastAsia="en-GB"/>
        </w:rPr>
        <w:t xml:space="preserve"> </w:t>
      </w:r>
      <w:r w:rsidR="006F4D15" w:rsidRPr="00923427">
        <w:rPr>
          <w:rFonts w:ascii="Open Sans" w:eastAsia="Times New Roman" w:hAnsi="Open Sans" w:cs="Open Sans"/>
          <w:b/>
          <w:bCs/>
          <w:i/>
          <w:iCs/>
          <w:sz w:val="20"/>
          <w:szCs w:val="20"/>
          <w:lang w:eastAsia="en-GB"/>
        </w:rPr>
        <w:t xml:space="preserve">policy goals </w:t>
      </w:r>
      <w:r w:rsidR="00A60983" w:rsidRPr="00923427">
        <w:rPr>
          <w:rFonts w:ascii="Open Sans" w:eastAsia="Times New Roman" w:hAnsi="Open Sans" w:cs="Open Sans"/>
          <w:b/>
          <w:bCs/>
          <w:i/>
          <w:iCs/>
          <w:sz w:val="20"/>
          <w:szCs w:val="20"/>
          <w:lang w:eastAsia="en-GB"/>
        </w:rPr>
        <w:t>so that innovation can be delivered and ensure investor confidence is maintained</w:t>
      </w:r>
      <w:r w:rsidR="00924D1F" w:rsidRPr="00923427">
        <w:rPr>
          <w:rFonts w:ascii="Open Sans" w:eastAsia="Times New Roman" w:hAnsi="Open Sans" w:cs="Open Sans"/>
          <w:b/>
          <w:bCs/>
          <w:i/>
          <w:iCs/>
          <w:sz w:val="20"/>
          <w:szCs w:val="20"/>
          <w:lang w:eastAsia="en-GB"/>
        </w:rPr>
        <w:t>.</w:t>
      </w:r>
    </w:p>
    <w:p w14:paraId="194623F8" w14:textId="2480CCB5" w:rsidR="00A60983" w:rsidRPr="00923427" w:rsidRDefault="00765744" w:rsidP="00AC0EE5">
      <w:pPr>
        <w:spacing w:before="100" w:beforeAutospacing="1" w:after="100" w:afterAutospacing="1" w:line="240" w:lineRule="auto"/>
        <w:rPr>
          <w:rFonts w:ascii="Open Sans" w:eastAsia="Times New Roman" w:hAnsi="Open Sans" w:cs="Open Sans"/>
          <w:sz w:val="20"/>
          <w:szCs w:val="20"/>
          <w:lang w:eastAsia="en-GB"/>
        </w:rPr>
      </w:pPr>
      <w:r w:rsidRPr="00923427">
        <w:rPr>
          <w:rFonts w:ascii="Open Sans" w:eastAsia="Times New Roman" w:hAnsi="Open Sans" w:cs="Open Sans"/>
          <w:sz w:val="20"/>
          <w:szCs w:val="20"/>
          <w:lang w:eastAsia="en-GB"/>
        </w:rPr>
        <w:t>Bioenergy opportunities across heat, power and transport can be considered in three groups</w:t>
      </w:r>
      <w:r w:rsidR="00924D1F" w:rsidRPr="00923427">
        <w:rPr>
          <w:rFonts w:ascii="Open Sans" w:eastAsia="Times New Roman" w:hAnsi="Open Sans" w:cs="Open Sans"/>
          <w:sz w:val="20"/>
          <w:szCs w:val="20"/>
          <w:lang w:eastAsia="en-GB"/>
        </w:rPr>
        <w:t xml:space="preserve"> of immediate, development or strategic opportunities (</w:t>
      </w:r>
      <w:r w:rsidR="000976B3" w:rsidRPr="00923427">
        <w:rPr>
          <w:rFonts w:ascii="Open Sans" w:eastAsia="Times New Roman" w:hAnsi="Open Sans" w:cs="Open Sans"/>
          <w:sz w:val="20"/>
          <w:szCs w:val="20"/>
          <w:lang w:eastAsia="en-GB"/>
        </w:rPr>
        <w:t>s</w:t>
      </w:r>
      <w:r w:rsidR="00924D1F" w:rsidRPr="00923427">
        <w:rPr>
          <w:rFonts w:ascii="Open Sans" w:eastAsia="Times New Roman" w:hAnsi="Open Sans" w:cs="Open Sans"/>
          <w:sz w:val="20"/>
          <w:szCs w:val="20"/>
          <w:lang w:eastAsia="en-GB"/>
        </w:rPr>
        <w:t xml:space="preserve">ee table </w:t>
      </w:r>
      <w:r w:rsidR="000976B3" w:rsidRPr="00923427">
        <w:rPr>
          <w:rFonts w:ascii="Open Sans" w:eastAsia="Times New Roman" w:hAnsi="Open Sans" w:cs="Open Sans"/>
          <w:sz w:val="20"/>
          <w:szCs w:val="20"/>
          <w:lang w:eastAsia="en-GB"/>
        </w:rPr>
        <w:t>3</w:t>
      </w:r>
      <w:r w:rsidR="00924D1F" w:rsidRPr="00923427">
        <w:rPr>
          <w:rFonts w:ascii="Open Sans" w:eastAsia="Times New Roman" w:hAnsi="Open Sans" w:cs="Open Sans"/>
          <w:sz w:val="20"/>
          <w:szCs w:val="20"/>
          <w:lang w:eastAsia="en-GB"/>
        </w:rPr>
        <w:t>). The delivery of all three categories is required to see the bioenergy potential realised</w:t>
      </w:r>
      <w:r w:rsidR="001D52B3" w:rsidRPr="00923427">
        <w:rPr>
          <w:rFonts w:ascii="Open Sans" w:eastAsia="Times New Roman" w:hAnsi="Open Sans" w:cs="Open Sans"/>
          <w:sz w:val="20"/>
          <w:szCs w:val="20"/>
          <w:lang w:eastAsia="en-GB"/>
        </w:rPr>
        <w:t xml:space="preserve">, with development and strategic opportunities building of the continued growth of already available sectors like </w:t>
      </w:r>
      <w:r w:rsidR="00924D1F" w:rsidRPr="00923427">
        <w:rPr>
          <w:rFonts w:ascii="Open Sans" w:eastAsia="Times New Roman" w:hAnsi="Open Sans" w:cs="Open Sans"/>
          <w:sz w:val="20"/>
          <w:szCs w:val="20"/>
          <w:lang w:eastAsia="en-GB"/>
        </w:rPr>
        <w:t>biomass heat, AD,</w:t>
      </w:r>
      <w:r w:rsidR="001D52B3" w:rsidRPr="00923427">
        <w:rPr>
          <w:rFonts w:ascii="Open Sans" w:eastAsia="Times New Roman" w:hAnsi="Open Sans" w:cs="Open Sans"/>
          <w:sz w:val="20"/>
          <w:szCs w:val="20"/>
          <w:lang w:eastAsia="en-GB"/>
        </w:rPr>
        <w:t xml:space="preserve"> existing</w:t>
      </w:r>
      <w:r w:rsidR="00924D1F" w:rsidRPr="00923427">
        <w:rPr>
          <w:rFonts w:ascii="Open Sans" w:eastAsia="Times New Roman" w:hAnsi="Open Sans" w:cs="Open Sans"/>
          <w:sz w:val="20"/>
          <w:szCs w:val="20"/>
          <w:lang w:eastAsia="en-GB"/>
        </w:rPr>
        <w:t xml:space="preserve"> biomass power </w:t>
      </w:r>
      <w:r w:rsidR="001D52B3" w:rsidRPr="00923427">
        <w:rPr>
          <w:rFonts w:ascii="Open Sans" w:eastAsia="Times New Roman" w:hAnsi="Open Sans" w:cs="Open Sans"/>
          <w:sz w:val="20"/>
          <w:szCs w:val="20"/>
          <w:lang w:eastAsia="en-GB"/>
        </w:rPr>
        <w:t xml:space="preserve">sites </w:t>
      </w:r>
      <w:r w:rsidR="00924D1F" w:rsidRPr="00923427">
        <w:rPr>
          <w:rFonts w:ascii="Open Sans" w:eastAsia="Times New Roman" w:hAnsi="Open Sans" w:cs="Open Sans"/>
          <w:sz w:val="20"/>
          <w:szCs w:val="20"/>
          <w:lang w:eastAsia="en-GB"/>
        </w:rPr>
        <w:t>and renewable transport fuels</w:t>
      </w:r>
      <w:r w:rsidR="001D52B3" w:rsidRPr="00923427">
        <w:rPr>
          <w:rFonts w:ascii="Open Sans" w:eastAsia="Times New Roman" w:hAnsi="Open Sans" w:cs="Open Sans"/>
          <w:sz w:val="20"/>
          <w:szCs w:val="20"/>
          <w:lang w:eastAsia="en-GB"/>
        </w:rPr>
        <w:t xml:space="preserve">. These provide both immediate carbon reductions and establish supply chains, </w:t>
      </w:r>
      <w:proofErr w:type="gramStart"/>
      <w:r w:rsidR="001D52B3" w:rsidRPr="00923427">
        <w:rPr>
          <w:rFonts w:ascii="Open Sans" w:eastAsia="Times New Roman" w:hAnsi="Open Sans" w:cs="Open Sans"/>
          <w:sz w:val="20"/>
          <w:szCs w:val="20"/>
          <w:lang w:eastAsia="en-GB"/>
        </w:rPr>
        <w:t>jobs</w:t>
      </w:r>
      <w:proofErr w:type="gramEnd"/>
      <w:r w:rsidR="001D52B3" w:rsidRPr="00923427">
        <w:rPr>
          <w:rFonts w:ascii="Open Sans" w:eastAsia="Times New Roman" w:hAnsi="Open Sans" w:cs="Open Sans"/>
          <w:sz w:val="20"/>
          <w:szCs w:val="20"/>
          <w:lang w:eastAsia="en-GB"/>
        </w:rPr>
        <w:t xml:space="preserve"> and expertise. </w:t>
      </w:r>
      <w:r w:rsidR="00A60983" w:rsidRPr="00923427">
        <w:rPr>
          <w:rFonts w:ascii="Open Sans" w:eastAsia="Times New Roman" w:hAnsi="Open Sans" w:cs="Open Sans"/>
          <w:sz w:val="20"/>
          <w:szCs w:val="20"/>
          <w:lang w:eastAsia="en-GB"/>
        </w:rPr>
        <w:t xml:space="preserve">They also can make the most of existing infrastructure, ensuring affordable routes to decarbonisation, making future innovation cheaper. </w:t>
      </w:r>
    </w:p>
    <w:p w14:paraId="613BFD3A" w14:textId="45F756F7" w:rsidR="00765744" w:rsidRPr="00923427" w:rsidRDefault="001D52B3" w:rsidP="00AC0EE5">
      <w:pPr>
        <w:spacing w:before="100" w:beforeAutospacing="1" w:after="100" w:afterAutospacing="1" w:line="240" w:lineRule="auto"/>
        <w:rPr>
          <w:rFonts w:ascii="Open Sans" w:eastAsia="Times New Roman" w:hAnsi="Open Sans" w:cs="Open Sans"/>
          <w:sz w:val="20"/>
          <w:szCs w:val="20"/>
          <w:lang w:eastAsia="en-GB"/>
        </w:rPr>
      </w:pPr>
      <w:r w:rsidRPr="00923427">
        <w:rPr>
          <w:rFonts w:ascii="Open Sans" w:eastAsia="Times New Roman" w:hAnsi="Open Sans" w:cs="Open Sans"/>
          <w:sz w:val="20"/>
          <w:szCs w:val="20"/>
          <w:lang w:eastAsia="en-GB"/>
        </w:rPr>
        <w:t>As such bioenergy policy should also reflect these categories, with short term policy that maintains existing sectors; medium term policy that ensures commercialisation of important development opportunities</w:t>
      </w:r>
      <w:r w:rsidR="00A60983" w:rsidRPr="00923427">
        <w:rPr>
          <w:rFonts w:ascii="Open Sans" w:eastAsia="Times New Roman" w:hAnsi="Open Sans" w:cs="Open Sans"/>
          <w:sz w:val="20"/>
          <w:szCs w:val="20"/>
          <w:lang w:eastAsia="en-GB"/>
        </w:rPr>
        <w:t xml:space="preserve">; </w:t>
      </w:r>
      <w:r w:rsidRPr="00923427">
        <w:rPr>
          <w:rFonts w:ascii="Open Sans" w:eastAsia="Times New Roman" w:hAnsi="Open Sans" w:cs="Open Sans"/>
          <w:sz w:val="20"/>
          <w:szCs w:val="20"/>
          <w:lang w:eastAsia="en-GB"/>
        </w:rPr>
        <w:t xml:space="preserve">and </w:t>
      </w:r>
      <w:r w:rsidR="00A60983" w:rsidRPr="00923427">
        <w:rPr>
          <w:rFonts w:ascii="Open Sans" w:eastAsia="Times New Roman" w:hAnsi="Open Sans" w:cs="Open Sans"/>
          <w:sz w:val="20"/>
          <w:szCs w:val="20"/>
          <w:lang w:eastAsia="en-GB"/>
        </w:rPr>
        <w:t>longer-term</w:t>
      </w:r>
      <w:r w:rsidRPr="00923427">
        <w:rPr>
          <w:rFonts w:ascii="Open Sans" w:eastAsia="Times New Roman" w:hAnsi="Open Sans" w:cs="Open Sans"/>
          <w:sz w:val="20"/>
          <w:szCs w:val="20"/>
          <w:lang w:eastAsia="en-GB"/>
        </w:rPr>
        <w:t xml:space="preserve"> policy that</w:t>
      </w:r>
      <w:r w:rsidR="00A60983" w:rsidRPr="00923427">
        <w:rPr>
          <w:rFonts w:ascii="Open Sans" w:eastAsia="Times New Roman" w:hAnsi="Open Sans" w:cs="Open Sans"/>
          <w:sz w:val="20"/>
          <w:szCs w:val="20"/>
          <w:lang w:eastAsia="en-GB"/>
        </w:rPr>
        <w:t xml:space="preserve"> ensures</w:t>
      </w:r>
      <w:r w:rsidRPr="00923427">
        <w:rPr>
          <w:rFonts w:ascii="Open Sans" w:eastAsia="Times New Roman" w:hAnsi="Open Sans" w:cs="Open Sans"/>
          <w:sz w:val="20"/>
          <w:szCs w:val="20"/>
          <w:lang w:eastAsia="en-GB"/>
        </w:rPr>
        <w:t xml:space="preserve"> the delivery of strategically important technologies like BECCS and gasification, </w:t>
      </w:r>
      <w:r w:rsidR="000976B3" w:rsidRPr="00923427">
        <w:rPr>
          <w:rFonts w:ascii="Open Sans" w:eastAsia="Times New Roman" w:hAnsi="Open Sans" w:cs="Open Sans"/>
          <w:sz w:val="20"/>
          <w:szCs w:val="20"/>
          <w:lang w:eastAsia="en-GB"/>
        </w:rPr>
        <w:t>delivered from</w:t>
      </w:r>
      <w:r w:rsidRPr="00923427">
        <w:rPr>
          <w:rFonts w:ascii="Open Sans" w:eastAsia="Times New Roman" w:hAnsi="Open Sans" w:cs="Open Sans"/>
          <w:sz w:val="20"/>
          <w:szCs w:val="20"/>
          <w:lang w:eastAsia="en-GB"/>
        </w:rPr>
        <w:t xml:space="preserve"> existing sectors. </w:t>
      </w:r>
    </w:p>
    <w:p w14:paraId="25FF7955" w14:textId="2337BF9E" w:rsidR="00C56C6E" w:rsidRPr="00923427" w:rsidRDefault="001D52B3" w:rsidP="00AC0EE5">
      <w:pPr>
        <w:spacing w:before="100" w:beforeAutospacing="1" w:after="100" w:afterAutospacing="1" w:line="240" w:lineRule="auto"/>
        <w:rPr>
          <w:rFonts w:ascii="Open Sans" w:eastAsia="Times New Roman" w:hAnsi="Open Sans" w:cs="Open Sans"/>
          <w:sz w:val="20"/>
          <w:szCs w:val="20"/>
          <w:lang w:eastAsia="en-GB"/>
        </w:rPr>
      </w:pPr>
      <w:r w:rsidRPr="00923427">
        <w:rPr>
          <w:rFonts w:ascii="Open Sans" w:eastAsia="Times New Roman" w:hAnsi="Open Sans" w:cs="Open Sans"/>
          <w:sz w:val="20"/>
          <w:szCs w:val="20"/>
          <w:lang w:eastAsia="en-GB"/>
        </w:rPr>
        <w:t xml:space="preserve">Policy design around </w:t>
      </w:r>
      <w:proofErr w:type="gramStart"/>
      <w:r w:rsidRPr="00923427">
        <w:rPr>
          <w:rFonts w:ascii="Open Sans" w:eastAsia="Times New Roman" w:hAnsi="Open Sans" w:cs="Open Sans"/>
          <w:sz w:val="20"/>
          <w:szCs w:val="20"/>
          <w:lang w:eastAsia="en-GB"/>
        </w:rPr>
        <w:t xml:space="preserve">short, medium </w:t>
      </w:r>
      <w:r w:rsidR="00FF1DD7" w:rsidRPr="00923427">
        <w:rPr>
          <w:rFonts w:ascii="Open Sans" w:eastAsia="Times New Roman" w:hAnsi="Open Sans" w:cs="Open Sans"/>
          <w:sz w:val="20"/>
          <w:szCs w:val="20"/>
          <w:lang w:eastAsia="en-GB"/>
        </w:rPr>
        <w:t>and</w:t>
      </w:r>
      <w:r w:rsidRPr="00923427">
        <w:rPr>
          <w:rFonts w:ascii="Open Sans" w:eastAsia="Times New Roman" w:hAnsi="Open Sans" w:cs="Open Sans"/>
          <w:sz w:val="20"/>
          <w:szCs w:val="20"/>
          <w:lang w:eastAsia="en-GB"/>
        </w:rPr>
        <w:t xml:space="preserve"> longer term</w:t>
      </w:r>
      <w:proofErr w:type="gramEnd"/>
      <w:r w:rsidRPr="00923427">
        <w:rPr>
          <w:rFonts w:ascii="Open Sans" w:eastAsia="Times New Roman" w:hAnsi="Open Sans" w:cs="Open Sans"/>
          <w:sz w:val="20"/>
          <w:szCs w:val="20"/>
          <w:lang w:eastAsia="en-GB"/>
        </w:rPr>
        <w:t xml:space="preserve"> objectives also build</w:t>
      </w:r>
      <w:r w:rsidR="00A60983" w:rsidRPr="00923427">
        <w:rPr>
          <w:rFonts w:ascii="Open Sans" w:eastAsia="Times New Roman" w:hAnsi="Open Sans" w:cs="Open Sans"/>
          <w:sz w:val="20"/>
          <w:szCs w:val="20"/>
          <w:lang w:eastAsia="en-GB"/>
        </w:rPr>
        <w:t>s</w:t>
      </w:r>
      <w:r w:rsidRPr="00923427">
        <w:rPr>
          <w:rFonts w:ascii="Open Sans" w:eastAsia="Times New Roman" w:hAnsi="Open Sans" w:cs="Open Sans"/>
          <w:sz w:val="20"/>
          <w:szCs w:val="20"/>
          <w:lang w:eastAsia="en-GB"/>
        </w:rPr>
        <w:t xml:space="preserve"> investor confidence with a clear </w:t>
      </w:r>
      <w:r w:rsidR="00A60983" w:rsidRPr="00923427">
        <w:rPr>
          <w:rFonts w:ascii="Open Sans" w:eastAsia="Times New Roman" w:hAnsi="Open Sans" w:cs="Open Sans"/>
          <w:sz w:val="20"/>
          <w:szCs w:val="20"/>
          <w:lang w:eastAsia="en-GB"/>
        </w:rPr>
        <w:t xml:space="preserve">a government </w:t>
      </w:r>
      <w:r w:rsidRPr="00923427">
        <w:rPr>
          <w:rFonts w:ascii="Open Sans" w:eastAsia="Times New Roman" w:hAnsi="Open Sans" w:cs="Open Sans"/>
          <w:sz w:val="20"/>
          <w:szCs w:val="20"/>
          <w:lang w:eastAsia="en-GB"/>
        </w:rPr>
        <w:t xml:space="preserve">trajectory for where the sector is headed. </w:t>
      </w:r>
      <w:r w:rsidR="000976B3" w:rsidRPr="00923427">
        <w:rPr>
          <w:rFonts w:ascii="Open Sans" w:eastAsia="Times New Roman" w:hAnsi="Open Sans" w:cs="Open Sans"/>
          <w:sz w:val="20"/>
          <w:szCs w:val="20"/>
          <w:lang w:eastAsia="en-GB"/>
        </w:rPr>
        <w:t>I</w:t>
      </w:r>
      <w:r w:rsidRPr="00923427">
        <w:rPr>
          <w:rFonts w:ascii="Open Sans" w:eastAsia="Times New Roman" w:hAnsi="Open Sans" w:cs="Open Sans"/>
          <w:sz w:val="20"/>
          <w:szCs w:val="20"/>
          <w:lang w:eastAsia="en-GB"/>
        </w:rPr>
        <w:t>t is largely the same investors who are investing in the existing sector who will al</w:t>
      </w:r>
      <w:r w:rsidR="000976B3" w:rsidRPr="00923427">
        <w:rPr>
          <w:rFonts w:ascii="Open Sans" w:eastAsia="Times New Roman" w:hAnsi="Open Sans" w:cs="Open Sans"/>
          <w:sz w:val="20"/>
          <w:szCs w:val="20"/>
          <w:lang w:eastAsia="en-GB"/>
        </w:rPr>
        <w:t>so</w:t>
      </w:r>
      <w:r w:rsidRPr="00923427">
        <w:rPr>
          <w:rFonts w:ascii="Open Sans" w:eastAsia="Times New Roman" w:hAnsi="Open Sans" w:cs="Open Sans"/>
          <w:sz w:val="20"/>
          <w:szCs w:val="20"/>
          <w:lang w:eastAsia="en-GB"/>
        </w:rPr>
        <w:t xml:space="preserve"> finance future innovations. </w:t>
      </w:r>
      <w:r w:rsidR="00A60983" w:rsidRPr="00923427">
        <w:rPr>
          <w:rFonts w:ascii="Open Sans" w:eastAsia="Times New Roman" w:hAnsi="Open Sans" w:cs="Open Sans"/>
          <w:sz w:val="20"/>
          <w:szCs w:val="20"/>
          <w:lang w:eastAsia="en-GB"/>
        </w:rPr>
        <w:t xml:space="preserve">Seeing existing bioenergy sectors contract undermines investor confidence, leading to a higher cost of capital for future innovations. </w:t>
      </w:r>
    </w:p>
    <w:p w14:paraId="1ADBCC84" w14:textId="77777777" w:rsidR="0036441F" w:rsidRDefault="0036441F" w:rsidP="00AC0EE5">
      <w:pPr>
        <w:spacing w:before="100" w:beforeAutospacing="1" w:after="100" w:afterAutospacing="1" w:line="240" w:lineRule="auto"/>
        <w:rPr>
          <w:rFonts w:ascii="Open Sans" w:eastAsia="Times New Roman" w:hAnsi="Open Sans" w:cs="Open Sans"/>
          <w:i/>
          <w:iCs/>
          <w:sz w:val="20"/>
          <w:szCs w:val="20"/>
          <w:lang w:eastAsia="en-GB"/>
        </w:rPr>
      </w:pPr>
    </w:p>
    <w:p w14:paraId="5AA2AE61" w14:textId="77777777" w:rsidR="0036441F" w:rsidRDefault="0036441F" w:rsidP="00AC0EE5">
      <w:pPr>
        <w:spacing w:before="100" w:beforeAutospacing="1" w:after="100" w:afterAutospacing="1" w:line="240" w:lineRule="auto"/>
        <w:rPr>
          <w:rFonts w:ascii="Open Sans" w:eastAsia="Times New Roman" w:hAnsi="Open Sans" w:cs="Open Sans"/>
          <w:i/>
          <w:iCs/>
          <w:sz w:val="20"/>
          <w:szCs w:val="20"/>
          <w:lang w:eastAsia="en-GB"/>
        </w:rPr>
      </w:pPr>
    </w:p>
    <w:p w14:paraId="127B10E3" w14:textId="7D41A6A3" w:rsidR="000976B3" w:rsidRPr="00923427" w:rsidRDefault="000976B3" w:rsidP="00AC0EE5">
      <w:pPr>
        <w:spacing w:before="100" w:beforeAutospacing="1" w:after="100" w:afterAutospacing="1" w:line="240" w:lineRule="auto"/>
        <w:rPr>
          <w:rFonts w:ascii="Open Sans" w:eastAsia="Times New Roman" w:hAnsi="Open Sans" w:cs="Open Sans"/>
          <w:i/>
          <w:iCs/>
          <w:sz w:val="20"/>
          <w:szCs w:val="20"/>
          <w:lang w:eastAsia="en-GB"/>
        </w:rPr>
      </w:pPr>
      <w:r w:rsidRPr="00923427">
        <w:rPr>
          <w:rFonts w:ascii="Open Sans" w:eastAsia="Times New Roman" w:hAnsi="Open Sans" w:cs="Open Sans"/>
          <w:i/>
          <w:iCs/>
          <w:sz w:val="20"/>
          <w:szCs w:val="20"/>
          <w:lang w:eastAsia="en-GB"/>
        </w:rPr>
        <w:t xml:space="preserve">Table 3: Bioenergy Immediate, Development and Strategic Opportunities </w:t>
      </w:r>
    </w:p>
    <w:tbl>
      <w:tblPr>
        <w:tblStyle w:val="TableGrid"/>
        <w:tblW w:w="0" w:type="auto"/>
        <w:tblLook w:val="04A0" w:firstRow="1" w:lastRow="0" w:firstColumn="1" w:lastColumn="0" w:noHBand="0" w:noVBand="1"/>
      </w:tblPr>
      <w:tblGrid>
        <w:gridCol w:w="2254"/>
        <w:gridCol w:w="2254"/>
        <w:gridCol w:w="2254"/>
        <w:gridCol w:w="2254"/>
      </w:tblGrid>
      <w:tr w:rsidR="00063B03" w:rsidRPr="00923427" w14:paraId="00201B05" w14:textId="77777777" w:rsidTr="0036441F">
        <w:tc>
          <w:tcPr>
            <w:tcW w:w="2254" w:type="dxa"/>
            <w:shd w:val="clear" w:color="auto" w:fill="06926B"/>
          </w:tcPr>
          <w:p w14:paraId="15A6049D" w14:textId="77777777" w:rsidR="00063B03" w:rsidRPr="00923427" w:rsidRDefault="00063B03" w:rsidP="00063B03">
            <w:pPr>
              <w:spacing w:before="100" w:beforeAutospacing="1" w:after="100" w:afterAutospacing="1"/>
              <w:rPr>
                <w:rFonts w:ascii="Open Sans" w:eastAsia="Times New Roman" w:hAnsi="Open Sans" w:cs="Open Sans"/>
                <w:sz w:val="20"/>
                <w:szCs w:val="20"/>
                <w:lang w:eastAsia="en-GB"/>
              </w:rPr>
            </w:pPr>
          </w:p>
        </w:tc>
        <w:tc>
          <w:tcPr>
            <w:tcW w:w="2254" w:type="dxa"/>
            <w:shd w:val="clear" w:color="auto" w:fill="06926B"/>
          </w:tcPr>
          <w:p w14:paraId="1D0BC5BE" w14:textId="3EB71506" w:rsidR="00063B03" w:rsidRPr="0036441F" w:rsidRDefault="00063B03" w:rsidP="00C35091">
            <w:pPr>
              <w:spacing w:before="100" w:beforeAutospacing="1" w:after="100" w:afterAutospacing="1"/>
              <w:jc w:val="center"/>
              <w:rPr>
                <w:rFonts w:ascii="Open Sans" w:eastAsia="Times New Roman" w:hAnsi="Open Sans" w:cs="Open Sans"/>
                <w:b/>
                <w:bCs/>
                <w:color w:val="FFFFFF" w:themeColor="background1"/>
                <w:sz w:val="20"/>
                <w:szCs w:val="20"/>
                <w:lang w:eastAsia="en-GB"/>
              </w:rPr>
            </w:pPr>
            <w:r w:rsidRPr="0036441F">
              <w:rPr>
                <w:rFonts w:ascii="Open Sans" w:eastAsia="Times New Roman" w:hAnsi="Open Sans" w:cs="Open Sans"/>
                <w:b/>
                <w:bCs/>
                <w:color w:val="FFFFFF" w:themeColor="background1"/>
                <w:sz w:val="20"/>
                <w:szCs w:val="20"/>
                <w:lang w:eastAsia="en-GB"/>
              </w:rPr>
              <w:t>Heat</w:t>
            </w:r>
          </w:p>
        </w:tc>
        <w:tc>
          <w:tcPr>
            <w:tcW w:w="2254" w:type="dxa"/>
            <w:shd w:val="clear" w:color="auto" w:fill="06926B"/>
          </w:tcPr>
          <w:p w14:paraId="67ADC12B" w14:textId="0BDF5C65" w:rsidR="00063B03" w:rsidRPr="0036441F" w:rsidRDefault="00063B03" w:rsidP="00C35091">
            <w:pPr>
              <w:spacing w:before="100" w:beforeAutospacing="1" w:after="100" w:afterAutospacing="1"/>
              <w:jc w:val="center"/>
              <w:rPr>
                <w:rFonts w:ascii="Open Sans" w:eastAsia="Times New Roman" w:hAnsi="Open Sans" w:cs="Open Sans"/>
                <w:b/>
                <w:bCs/>
                <w:color w:val="FFFFFF" w:themeColor="background1"/>
                <w:sz w:val="20"/>
                <w:szCs w:val="20"/>
                <w:lang w:eastAsia="en-GB"/>
              </w:rPr>
            </w:pPr>
            <w:r w:rsidRPr="0036441F">
              <w:rPr>
                <w:rFonts w:ascii="Open Sans" w:eastAsia="Times New Roman" w:hAnsi="Open Sans" w:cs="Open Sans"/>
                <w:b/>
                <w:bCs/>
                <w:color w:val="FFFFFF" w:themeColor="background1"/>
                <w:sz w:val="20"/>
                <w:szCs w:val="20"/>
                <w:lang w:eastAsia="en-GB"/>
              </w:rPr>
              <w:t>Power</w:t>
            </w:r>
          </w:p>
        </w:tc>
        <w:tc>
          <w:tcPr>
            <w:tcW w:w="2254" w:type="dxa"/>
            <w:shd w:val="clear" w:color="auto" w:fill="06926B"/>
          </w:tcPr>
          <w:p w14:paraId="0FD882D7" w14:textId="70F51645" w:rsidR="00063B03" w:rsidRPr="0036441F" w:rsidRDefault="00063B03" w:rsidP="00C35091">
            <w:pPr>
              <w:spacing w:before="100" w:beforeAutospacing="1" w:after="100" w:afterAutospacing="1"/>
              <w:jc w:val="center"/>
              <w:rPr>
                <w:rFonts w:ascii="Open Sans" w:eastAsia="Times New Roman" w:hAnsi="Open Sans" w:cs="Open Sans"/>
                <w:b/>
                <w:bCs/>
                <w:color w:val="FFFFFF" w:themeColor="background1"/>
                <w:sz w:val="20"/>
                <w:szCs w:val="20"/>
                <w:lang w:eastAsia="en-GB"/>
              </w:rPr>
            </w:pPr>
            <w:r w:rsidRPr="0036441F">
              <w:rPr>
                <w:rFonts w:ascii="Open Sans" w:eastAsia="Times New Roman" w:hAnsi="Open Sans" w:cs="Open Sans"/>
                <w:b/>
                <w:bCs/>
                <w:color w:val="FFFFFF" w:themeColor="background1"/>
                <w:sz w:val="20"/>
                <w:szCs w:val="20"/>
                <w:lang w:eastAsia="en-GB"/>
              </w:rPr>
              <w:t>Transport</w:t>
            </w:r>
          </w:p>
        </w:tc>
      </w:tr>
      <w:tr w:rsidR="00063B03" w:rsidRPr="00923427" w14:paraId="3FF66568" w14:textId="77777777" w:rsidTr="00063B03">
        <w:tc>
          <w:tcPr>
            <w:tcW w:w="2254" w:type="dxa"/>
          </w:tcPr>
          <w:p w14:paraId="2A7DCF0F" w14:textId="77777777" w:rsidR="00063B03" w:rsidRPr="00923427" w:rsidRDefault="00063B03" w:rsidP="00063B03">
            <w:pPr>
              <w:spacing w:before="100" w:beforeAutospacing="1" w:after="100" w:afterAutospacing="1"/>
              <w:rPr>
                <w:rFonts w:ascii="Open Sans" w:eastAsia="Times New Roman" w:hAnsi="Open Sans" w:cs="Open Sans"/>
                <w:sz w:val="20"/>
                <w:szCs w:val="20"/>
                <w:lang w:eastAsia="en-GB"/>
              </w:rPr>
            </w:pPr>
            <w:r w:rsidRPr="00923427">
              <w:rPr>
                <w:rFonts w:ascii="Open Sans" w:eastAsia="Times New Roman" w:hAnsi="Open Sans" w:cs="Open Sans"/>
                <w:b/>
                <w:bCs/>
                <w:sz w:val="20"/>
                <w:szCs w:val="20"/>
                <w:lang w:eastAsia="en-GB"/>
              </w:rPr>
              <w:t>Immediate opportunities</w:t>
            </w:r>
            <w:r w:rsidRPr="00923427">
              <w:rPr>
                <w:rFonts w:ascii="Open Sans" w:eastAsia="Times New Roman" w:hAnsi="Open Sans" w:cs="Open Sans"/>
                <w:sz w:val="20"/>
                <w:szCs w:val="20"/>
                <w:lang w:eastAsia="en-GB"/>
              </w:rPr>
              <w:t xml:space="preserve"> – technologies that can be further deployed now delivering immediate carbon abatement.</w:t>
            </w:r>
          </w:p>
          <w:p w14:paraId="0E9084FB" w14:textId="77777777" w:rsidR="00063B03" w:rsidRPr="00923427" w:rsidRDefault="00063B03" w:rsidP="00AC0EE5">
            <w:pPr>
              <w:spacing w:before="100" w:beforeAutospacing="1" w:after="100" w:afterAutospacing="1"/>
              <w:rPr>
                <w:rFonts w:ascii="Open Sans" w:eastAsia="Times New Roman" w:hAnsi="Open Sans" w:cs="Open Sans"/>
                <w:sz w:val="20"/>
                <w:szCs w:val="20"/>
                <w:lang w:eastAsia="en-GB"/>
              </w:rPr>
            </w:pPr>
          </w:p>
        </w:tc>
        <w:tc>
          <w:tcPr>
            <w:tcW w:w="2254" w:type="dxa"/>
          </w:tcPr>
          <w:p w14:paraId="331B2093" w14:textId="18724816" w:rsidR="00063B03" w:rsidRPr="00923427" w:rsidRDefault="00081A4A" w:rsidP="00AC0EE5">
            <w:pPr>
              <w:spacing w:before="100" w:beforeAutospacing="1" w:after="100" w:afterAutospacing="1"/>
              <w:rPr>
                <w:rFonts w:ascii="Open Sans" w:eastAsia="Times New Roman" w:hAnsi="Open Sans" w:cs="Open Sans"/>
                <w:sz w:val="20"/>
                <w:szCs w:val="20"/>
                <w:lang w:eastAsia="en-GB"/>
              </w:rPr>
            </w:pPr>
            <w:r w:rsidRPr="00923427">
              <w:rPr>
                <w:rFonts w:ascii="Open Sans" w:eastAsia="Times New Roman" w:hAnsi="Open Sans" w:cs="Open Sans"/>
                <w:sz w:val="20"/>
                <w:szCs w:val="20"/>
                <w:lang w:eastAsia="en-GB"/>
              </w:rPr>
              <w:t xml:space="preserve">Expansion of use of pellets/chips in </w:t>
            </w:r>
            <w:r w:rsidRPr="00923427">
              <w:rPr>
                <w:rFonts w:ascii="Open Sans" w:eastAsia="Times New Roman" w:hAnsi="Open Sans" w:cs="Open Sans"/>
                <w:b/>
                <w:bCs/>
                <w:i/>
                <w:iCs/>
                <w:sz w:val="20"/>
                <w:szCs w:val="20"/>
                <w:lang w:eastAsia="en-GB"/>
              </w:rPr>
              <w:t>biomass boilers</w:t>
            </w:r>
            <w:r w:rsidRPr="00923427">
              <w:rPr>
                <w:rFonts w:ascii="Open Sans" w:eastAsia="Times New Roman" w:hAnsi="Open Sans" w:cs="Open Sans"/>
                <w:sz w:val="20"/>
                <w:szCs w:val="20"/>
                <w:lang w:eastAsia="en-GB"/>
              </w:rPr>
              <w:t xml:space="preserve">, particularly in larger residential developments and for commercial and industrial sites where high heat loads required. </w:t>
            </w:r>
          </w:p>
          <w:p w14:paraId="594A3CB7" w14:textId="1CE6E0BD" w:rsidR="00081A4A" w:rsidRPr="00923427" w:rsidRDefault="001C22D9" w:rsidP="00081A4A">
            <w:pPr>
              <w:spacing w:before="100" w:beforeAutospacing="1" w:after="100" w:afterAutospacing="1"/>
              <w:rPr>
                <w:rFonts w:ascii="Open Sans" w:eastAsia="Times New Roman" w:hAnsi="Open Sans" w:cs="Open Sans"/>
                <w:sz w:val="20"/>
                <w:szCs w:val="20"/>
                <w:lang w:eastAsia="en-GB"/>
              </w:rPr>
            </w:pPr>
            <w:r w:rsidRPr="00923427">
              <w:rPr>
                <w:rFonts w:ascii="Open Sans" w:eastAsia="Times New Roman" w:hAnsi="Open Sans" w:cs="Open Sans"/>
                <w:b/>
                <w:bCs/>
                <w:sz w:val="20"/>
                <w:szCs w:val="20"/>
                <w:lang w:eastAsia="en-GB"/>
              </w:rPr>
              <w:t>B</w:t>
            </w:r>
            <w:r w:rsidR="00081A4A" w:rsidRPr="00923427">
              <w:rPr>
                <w:rFonts w:ascii="Open Sans" w:eastAsia="Times New Roman" w:hAnsi="Open Sans" w:cs="Open Sans"/>
                <w:b/>
                <w:bCs/>
                <w:sz w:val="20"/>
                <w:szCs w:val="20"/>
                <w:lang w:eastAsia="en-GB"/>
              </w:rPr>
              <w:t>iomethane production</w:t>
            </w:r>
            <w:r w:rsidR="00081A4A" w:rsidRPr="00923427">
              <w:rPr>
                <w:rFonts w:ascii="Open Sans" w:eastAsia="Times New Roman" w:hAnsi="Open Sans" w:cs="Open Sans"/>
                <w:sz w:val="20"/>
                <w:szCs w:val="20"/>
                <w:lang w:eastAsia="en-GB"/>
              </w:rPr>
              <w:t xml:space="preserve"> via AD using existing infrastructure and appliances.</w:t>
            </w:r>
          </w:p>
        </w:tc>
        <w:tc>
          <w:tcPr>
            <w:tcW w:w="2254" w:type="dxa"/>
          </w:tcPr>
          <w:p w14:paraId="391A9D6E" w14:textId="77777777" w:rsidR="00063B03" w:rsidRPr="00923427" w:rsidRDefault="009614BF" w:rsidP="00AC0EE5">
            <w:pPr>
              <w:spacing w:before="100" w:beforeAutospacing="1" w:after="100" w:afterAutospacing="1"/>
              <w:rPr>
                <w:rFonts w:ascii="Open Sans" w:eastAsia="Times New Roman" w:hAnsi="Open Sans" w:cs="Open Sans"/>
                <w:sz w:val="20"/>
                <w:szCs w:val="20"/>
                <w:lang w:eastAsia="en-GB"/>
              </w:rPr>
            </w:pPr>
            <w:r w:rsidRPr="00923427">
              <w:rPr>
                <w:rFonts w:ascii="Open Sans" w:eastAsia="Times New Roman" w:hAnsi="Open Sans" w:cs="Open Sans"/>
                <w:sz w:val="20"/>
                <w:szCs w:val="20"/>
                <w:lang w:eastAsia="en-GB"/>
              </w:rPr>
              <w:t xml:space="preserve">Maintain generation from </w:t>
            </w:r>
            <w:r w:rsidRPr="00923427">
              <w:rPr>
                <w:rFonts w:ascii="Open Sans" w:eastAsia="Times New Roman" w:hAnsi="Open Sans" w:cs="Open Sans"/>
                <w:b/>
                <w:bCs/>
                <w:sz w:val="20"/>
                <w:szCs w:val="20"/>
                <w:lang w:eastAsia="en-GB"/>
              </w:rPr>
              <w:t>existing bio</w:t>
            </w:r>
            <w:r w:rsidR="00C56C6E" w:rsidRPr="00923427">
              <w:rPr>
                <w:rFonts w:ascii="Open Sans" w:eastAsia="Times New Roman" w:hAnsi="Open Sans" w:cs="Open Sans"/>
                <w:b/>
                <w:bCs/>
                <w:sz w:val="20"/>
                <w:szCs w:val="20"/>
                <w:lang w:eastAsia="en-GB"/>
              </w:rPr>
              <w:t>mass power</w:t>
            </w:r>
            <w:r w:rsidRPr="00923427">
              <w:rPr>
                <w:rFonts w:ascii="Open Sans" w:eastAsia="Times New Roman" w:hAnsi="Open Sans" w:cs="Open Sans"/>
                <w:b/>
                <w:bCs/>
                <w:sz w:val="20"/>
                <w:szCs w:val="20"/>
                <w:lang w:eastAsia="en-GB"/>
              </w:rPr>
              <w:t xml:space="preserve"> plants </w:t>
            </w:r>
            <w:r w:rsidRPr="00923427">
              <w:rPr>
                <w:rFonts w:ascii="Open Sans" w:eastAsia="Times New Roman" w:hAnsi="Open Sans" w:cs="Open Sans"/>
                <w:sz w:val="20"/>
                <w:szCs w:val="20"/>
                <w:lang w:eastAsia="en-GB"/>
              </w:rPr>
              <w:t>beyond current support mechanisms to ensure continuing benefits from low carbon electricity</w:t>
            </w:r>
            <w:r w:rsidR="00C56C6E" w:rsidRPr="00923427">
              <w:rPr>
                <w:rFonts w:ascii="Open Sans" w:eastAsia="Times New Roman" w:hAnsi="Open Sans" w:cs="Open Sans"/>
                <w:sz w:val="20"/>
                <w:szCs w:val="20"/>
                <w:lang w:eastAsia="en-GB"/>
              </w:rPr>
              <w:t xml:space="preserve"> generation, </w:t>
            </w:r>
          </w:p>
          <w:p w14:paraId="100826C7" w14:textId="34F35C92" w:rsidR="00C56C6E" w:rsidRPr="00923427" w:rsidRDefault="00C56C6E" w:rsidP="00AC0EE5">
            <w:pPr>
              <w:spacing w:before="100" w:beforeAutospacing="1" w:after="100" w:afterAutospacing="1"/>
              <w:rPr>
                <w:rFonts w:ascii="Open Sans" w:eastAsia="Times New Roman" w:hAnsi="Open Sans" w:cs="Open Sans"/>
                <w:sz w:val="20"/>
                <w:szCs w:val="20"/>
                <w:lang w:eastAsia="en-GB"/>
              </w:rPr>
            </w:pPr>
            <w:r w:rsidRPr="00923427">
              <w:rPr>
                <w:rFonts w:ascii="Open Sans" w:eastAsia="Times New Roman" w:hAnsi="Open Sans" w:cs="Open Sans"/>
                <w:sz w:val="20"/>
                <w:szCs w:val="20"/>
                <w:lang w:eastAsia="en-GB"/>
              </w:rPr>
              <w:t xml:space="preserve">Expansion of the use of </w:t>
            </w:r>
            <w:r w:rsidRPr="00923427">
              <w:rPr>
                <w:rFonts w:ascii="Open Sans" w:eastAsia="Times New Roman" w:hAnsi="Open Sans" w:cs="Open Sans"/>
                <w:b/>
                <w:bCs/>
                <w:sz w:val="20"/>
                <w:szCs w:val="20"/>
                <w:lang w:eastAsia="en-GB"/>
              </w:rPr>
              <w:t>residual biogenic wastes</w:t>
            </w:r>
            <w:r w:rsidRPr="00923427">
              <w:rPr>
                <w:rFonts w:ascii="Open Sans" w:eastAsia="Times New Roman" w:hAnsi="Open Sans" w:cs="Open Sans"/>
                <w:sz w:val="20"/>
                <w:szCs w:val="20"/>
                <w:lang w:eastAsia="en-GB"/>
              </w:rPr>
              <w:t xml:space="preserve"> including those from municipal and commercial and industrial waste streams (after economic reuse and recycling activities), </w:t>
            </w:r>
            <w:r w:rsidRPr="00923427">
              <w:rPr>
                <w:rFonts w:ascii="Open Sans" w:eastAsia="Times New Roman" w:hAnsi="Open Sans" w:cs="Open Sans"/>
                <w:b/>
                <w:bCs/>
                <w:sz w:val="20"/>
                <w:szCs w:val="20"/>
                <w:lang w:eastAsia="en-GB"/>
              </w:rPr>
              <w:t>waste wood</w:t>
            </w:r>
            <w:r w:rsidRPr="00923427">
              <w:rPr>
                <w:rFonts w:ascii="Open Sans" w:eastAsia="Times New Roman" w:hAnsi="Open Sans" w:cs="Open Sans"/>
                <w:sz w:val="20"/>
                <w:szCs w:val="20"/>
                <w:lang w:eastAsia="en-GB"/>
              </w:rPr>
              <w:t xml:space="preserve"> and other waste fuels low carbon generation. </w:t>
            </w:r>
          </w:p>
        </w:tc>
        <w:tc>
          <w:tcPr>
            <w:tcW w:w="2254" w:type="dxa"/>
          </w:tcPr>
          <w:p w14:paraId="402112AB" w14:textId="61375B3D" w:rsidR="00063B03" w:rsidRPr="00923427" w:rsidRDefault="009614BF" w:rsidP="00AC0EE5">
            <w:pPr>
              <w:spacing w:before="100" w:beforeAutospacing="1" w:after="100" w:afterAutospacing="1"/>
              <w:rPr>
                <w:rFonts w:ascii="Open Sans" w:eastAsia="Times New Roman" w:hAnsi="Open Sans" w:cs="Open Sans"/>
                <w:sz w:val="20"/>
                <w:szCs w:val="20"/>
                <w:lang w:eastAsia="en-GB"/>
              </w:rPr>
            </w:pPr>
            <w:r w:rsidRPr="00923427">
              <w:rPr>
                <w:rFonts w:ascii="Open Sans" w:eastAsia="Times New Roman" w:hAnsi="Open Sans" w:cs="Open Sans"/>
                <w:sz w:val="20"/>
                <w:szCs w:val="20"/>
                <w:lang w:eastAsia="en-GB"/>
              </w:rPr>
              <w:t xml:space="preserve">Expansion of </w:t>
            </w:r>
            <w:r w:rsidRPr="00923427">
              <w:rPr>
                <w:rFonts w:ascii="Open Sans" w:eastAsia="Times New Roman" w:hAnsi="Open Sans" w:cs="Open Sans"/>
                <w:b/>
                <w:bCs/>
                <w:sz w:val="20"/>
                <w:szCs w:val="20"/>
                <w:lang w:eastAsia="en-GB"/>
              </w:rPr>
              <w:t>bioethanol and biodiesel</w:t>
            </w:r>
            <w:r w:rsidRPr="00923427">
              <w:rPr>
                <w:rFonts w:ascii="Open Sans" w:eastAsia="Times New Roman" w:hAnsi="Open Sans" w:cs="Open Sans"/>
                <w:sz w:val="20"/>
                <w:szCs w:val="20"/>
                <w:lang w:eastAsia="en-GB"/>
              </w:rPr>
              <w:t xml:space="preserve"> use by ramping up the blending levels, adopting an E10 blend of ethanol within gasoline and other higher blend levels for biodiesel.</w:t>
            </w:r>
          </w:p>
          <w:p w14:paraId="23B41ADD" w14:textId="2043D984" w:rsidR="009614BF" w:rsidRPr="00923427" w:rsidRDefault="009614BF" w:rsidP="00AC0EE5">
            <w:pPr>
              <w:spacing w:before="100" w:beforeAutospacing="1" w:after="100" w:afterAutospacing="1"/>
              <w:rPr>
                <w:rFonts w:ascii="Open Sans" w:eastAsia="Times New Roman" w:hAnsi="Open Sans" w:cs="Open Sans"/>
                <w:sz w:val="20"/>
                <w:szCs w:val="20"/>
                <w:lang w:eastAsia="en-GB"/>
              </w:rPr>
            </w:pPr>
            <w:r w:rsidRPr="00923427">
              <w:rPr>
                <w:rFonts w:ascii="Open Sans" w:eastAsia="Times New Roman" w:hAnsi="Open Sans" w:cs="Open Sans"/>
                <w:sz w:val="20"/>
                <w:szCs w:val="20"/>
                <w:lang w:eastAsia="en-GB"/>
              </w:rPr>
              <w:t xml:space="preserve">Using thermal </w:t>
            </w:r>
            <w:r w:rsidRPr="00923427">
              <w:rPr>
                <w:rFonts w:ascii="Open Sans" w:eastAsia="Times New Roman" w:hAnsi="Open Sans" w:cs="Open Sans"/>
                <w:b/>
                <w:bCs/>
                <w:sz w:val="20"/>
                <w:szCs w:val="20"/>
                <w:lang w:eastAsia="en-GB"/>
              </w:rPr>
              <w:t xml:space="preserve">Biomethane </w:t>
            </w:r>
            <w:r w:rsidRPr="00923427">
              <w:rPr>
                <w:rFonts w:ascii="Open Sans" w:eastAsia="Times New Roman" w:hAnsi="Open Sans" w:cs="Open Sans"/>
                <w:sz w:val="20"/>
                <w:szCs w:val="20"/>
                <w:lang w:eastAsia="en-GB"/>
              </w:rPr>
              <w:t xml:space="preserve">as replacement of diesel notably for delivery and HGV sector, using existing gas infrastructure. </w:t>
            </w:r>
          </w:p>
          <w:p w14:paraId="5E773C27" w14:textId="77777777" w:rsidR="009614BF" w:rsidRPr="00923427" w:rsidRDefault="009614BF" w:rsidP="00AC0EE5">
            <w:pPr>
              <w:spacing w:before="100" w:beforeAutospacing="1" w:after="100" w:afterAutospacing="1"/>
              <w:rPr>
                <w:rFonts w:ascii="Open Sans" w:eastAsia="Times New Roman" w:hAnsi="Open Sans" w:cs="Open Sans"/>
                <w:sz w:val="20"/>
                <w:szCs w:val="20"/>
                <w:lang w:eastAsia="en-GB"/>
              </w:rPr>
            </w:pPr>
          </w:p>
          <w:p w14:paraId="23C46228" w14:textId="4FD5F726" w:rsidR="009614BF" w:rsidRPr="00923427" w:rsidRDefault="009614BF" w:rsidP="00AC0EE5">
            <w:pPr>
              <w:spacing w:before="100" w:beforeAutospacing="1" w:after="100" w:afterAutospacing="1"/>
              <w:rPr>
                <w:rFonts w:ascii="Open Sans" w:eastAsia="Times New Roman" w:hAnsi="Open Sans" w:cs="Open Sans"/>
                <w:sz w:val="20"/>
                <w:szCs w:val="20"/>
                <w:lang w:eastAsia="en-GB"/>
              </w:rPr>
            </w:pPr>
          </w:p>
        </w:tc>
      </w:tr>
      <w:tr w:rsidR="00063B03" w:rsidRPr="00923427" w14:paraId="7EF86423" w14:textId="77777777" w:rsidTr="00063B03">
        <w:tc>
          <w:tcPr>
            <w:tcW w:w="2254" w:type="dxa"/>
          </w:tcPr>
          <w:p w14:paraId="321BE8A3" w14:textId="77777777" w:rsidR="00081A4A" w:rsidRPr="00923427" w:rsidRDefault="00081A4A" w:rsidP="00081A4A">
            <w:pPr>
              <w:spacing w:before="100" w:beforeAutospacing="1" w:after="100" w:afterAutospacing="1"/>
              <w:rPr>
                <w:rStyle w:val="A4"/>
                <w:rFonts w:ascii="Open Sans" w:eastAsia="Times New Roman" w:hAnsi="Open Sans" w:cs="Open Sans"/>
                <w:color w:val="auto"/>
                <w:lang w:eastAsia="en-GB"/>
              </w:rPr>
            </w:pPr>
            <w:r w:rsidRPr="00923427">
              <w:rPr>
                <w:rFonts w:ascii="Open Sans" w:eastAsia="Times New Roman" w:hAnsi="Open Sans" w:cs="Open Sans"/>
                <w:b/>
                <w:bCs/>
                <w:sz w:val="20"/>
                <w:szCs w:val="20"/>
                <w:lang w:eastAsia="en-GB"/>
              </w:rPr>
              <w:t>Development Opportunities</w:t>
            </w:r>
            <w:r w:rsidRPr="00923427">
              <w:rPr>
                <w:rFonts w:ascii="Open Sans" w:eastAsia="Times New Roman" w:hAnsi="Open Sans" w:cs="Open Sans"/>
                <w:sz w:val="20"/>
                <w:szCs w:val="20"/>
                <w:lang w:eastAsia="en-GB"/>
              </w:rPr>
              <w:t xml:space="preserve"> - </w:t>
            </w:r>
            <w:r w:rsidRPr="00923427">
              <w:rPr>
                <w:rStyle w:val="A4"/>
                <w:rFonts w:ascii="Open Sans" w:hAnsi="Open Sans" w:cs="Open Sans"/>
              </w:rPr>
              <w:t xml:space="preserve">technologies or resources which need further technology or market development, but which could </w:t>
            </w:r>
            <w:proofErr w:type="gramStart"/>
            <w:r w:rsidRPr="00923427">
              <w:rPr>
                <w:rStyle w:val="A4"/>
                <w:rFonts w:ascii="Open Sans" w:hAnsi="Open Sans" w:cs="Open Sans"/>
              </w:rPr>
              <w:t>make a contribution</w:t>
            </w:r>
            <w:proofErr w:type="gramEnd"/>
            <w:r w:rsidRPr="00923427">
              <w:rPr>
                <w:rStyle w:val="A4"/>
                <w:rFonts w:ascii="Open Sans" w:hAnsi="Open Sans" w:cs="Open Sans"/>
              </w:rPr>
              <w:t xml:space="preserve"> to energy needs between 2026 and 2032. </w:t>
            </w:r>
          </w:p>
          <w:p w14:paraId="6A9D2E8E" w14:textId="77777777" w:rsidR="00063B03" w:rsidRPr="00923427" w:rsidRDefault="00063B03" w:rsidP="00AC0EE5">
            <w:pPr>
              <w:spacing w:before="100" w:beforeAutospacing="1" w:after="100" w:afterAutospacing="1"/>
              <w:rPr>
                <w:rFonts w:ascii="Open Sans" w:eastAsia="Times New Roman" w:hAnsi="Open Sans" w:cs="Open Sans"/>
                <w:sz w:val="20"/>
                <w:szCs w:val="20"/>
                <w:lang w:eastAsia="en-GB"/>
              </w:rPr>
            </w:pPr>
          </w:p>
        </w:tc>
        <w:tc>
          <w:tcPr>
            <w:tcW w:w="2254" w:type="dxa"/>
          </w:tcPr>
          <w:p w14:paraId="40A28E54" w14:textId="0C081DE1" w:rsidR="00063B03" w:rsidRPr="00923427" w:rsidRDefault="001C22D9" w:rsidP="00AC0EE5">
            <w:pPr>
              <w:spacing w:before="100" w:beforeAutospacing="1" w:after="100" w:afterAutospacing="1"/>
              <w:rPr>
                <w:rFonts w:ascii="Open Sans" w:eastAsia="Times New Roman" w:hAnsi="Open Sans" w:cs="Open Sans"/>
                <w:sz w:val="20"/>
                <w:szCs w:val="20"/>
                <w:lang w:eastAsia="en-GB"/>
              </w:rPr>
            </w:pPr>
            <w:r w:rsidRPr="00923427">
              <w:rPr>
                <w:rFonts w:ascii="Open Sans" w:eastAsia="Times New Roman" w:hAnsi="Open Sans" w:cs="Open Sans"/>
                <w:sz w:val="20"/>
                <w:szCs w:val="20"/>
                <w:lang w:eastAsia="en-GB"/>
              </w:rPr>
              <w:t xml:space="preserve">Low carbon options for </w:t>
            </w:r>
            <w:r w:rsidRPr="00923427">
              <w:rPr>
                <w:rFonts w:ascii="Open Sans" w:eastAsia="Times New Roman" w:hAnsi="Open Sans" w:cs="Open Sans"/>
                <w:b/>
                <w:bCs/>
                <w:sz w:val="20"/>
                <w:szCs w:val="20"/>
                <w:lang w:eastAsia="en-GB"/>
              </w:rPr>
              <w:t>heat networks</w:t>
            </w:r>
            <w:r w:rsidRPr="00923427">
              <w:rPr>
                <w:rFonts w:ascii="Open Sans" w:eastAsia="Times New Roman" w:hAnsi="Open Sans" w:cs="Open Sans"/>
                <w:sz w:val="20"/>
                <w:szCs w:val="20"/>
                <w:lang w:eastAsia="en-GB"/>
              </w:rPr>
              <w:t xml:space="preserve"> using biomass fuels heat in new or existing installations utilising combined heat and power (CHP), including </w:t>
            </w:r>
            <w:proofErr w:type="spellStart"/>
            <w:r w:rsidRPr="00923427">
              <w:rPr>
                <w:rFonts w:ascii="Open Sans" w:eastAsia="Times New Roman" w:hAnsi="Open Sans" w:cs="Open Sans"/>
                <w:sz w:val="20"/>
                <w:szCs w:val="20"/>
                <w:lang w:eastAsia="en-GB"/>
              </w:rPr>
              <w:t>EfW</w:t>
            </w:r>
            <w:proofErr w:type="spellEnd"/>
            <w:r w:rsidRPr="00923427">
              <w:rPr>
                <w:rFonts w:ascii="Open Sans" w:eastAsia="Times New Roman" w:hAnsi="Open Sans" w:cs="Open Sans"/>
                <w:sz w:val="20"/>
                <w:szCs w:val="20"/>
                <w:lang w:eastAsia="en-GB"/>
              </w:rPr>
              <w:t xml:space="preserve"> sites.  </w:t>
            </w:r>
          </w:p>
          <w:p w14:paraId="2E6EED2C" w14:textId="43822C49" w:rsidR="00C35091" w:rsidRPr="00923427" w:rsidRDefault="00C35091" w:rsidP="00AC0EE5">
            <w:pPr>
              <w:spacing w:before="100" w:beforeAutospacing="1" w:after="100" w:afterAutospacing="1"/>
              <w:rPr>
                <w:rFonts w:ascii="Open Sans" w:eastAsia="Times New Roman" w:hAnsi="Open Sans" w:cs="Open Sans"/>
                <w:sz w:val="20"/>
                <w:szCs w:val="20"/>
                <w:lang w:eastAsia="en-GB"/>
              </w:rPr>
            </w:pPr>
            <w:r w:rsidRPr="00923427">
              <w:rPr>
                <w:rFonts w:ascii="Open Sans" w:eastAsia="Times New Roman" w:hAnsi="Open Sans" w:cs="Open Sans"/>
                <w:sz w:val="20"/>
                <w:szCs w:val="20"/>
                <w:lang w:eastAsia="en-GB"/>
              </w:rPr>
              <w:t xml:space="preserve">Conversion of solid </w:t>
            </w:r>
            <w:r w:rsidRPr="00923427">
              <w:rPr>
                <w:rFonts w:ascii="Open Sans" w:eastAsia="Times New Roman" w:hAnsi="Open Sans" w:cs="Open Sans"/>
                <w:b/>
                <w:bCs/>
                <w:sz w:val="20"/>
                <w:szCs w:val="20"/>
                <w:lang w:eastAsia="en-GB"/>
              </w:rPr>
              <w:t xml:space="preserve">biomass </w:t>
            </w:r>
            <w:r w:rsidR="00172EF2" w:rsidRPr="00923427">
              <w:rPr>
                <w:rFonts w:ascii="Open Sans" w:eastAsia="Times New Roman" w:hAnsi="Open Sans" w:cs="Open Sans"/>
                <w:b/>
                <w:bCs/>
                <w:sz w:val="20"/>
                <w:szCs w:val="20"/>
                <w:lang w:eastAsia="en-GB"/>
              </w:rPr>
              <w:t xml:space="preserve">or waste </w:t>
            </w:r>
            <w:r w:rsidRPr="00923427">
              <w:rPr>
                <w:rFonts w:ascii="Open Sans" w:eastAsia="Times New Roman" w:hAnsi="Open Sans" w:cs="Open Sans"/>
                <w:b/>
                <w:bCs/>
                <w:sz w:val="20"/>
                <w:szCs w:val="20"/>
                <w:lang w:eastAsia="en-GB"/>
              </w:rPr>
              <w:t>gasification</w:t>
            </w:r>
            <w:r w:rsidRPr="00923427">
              <w:rPr>
                <w:rFonts w:ascii="Open Sans" w:eastAsia="Times New Roman" w:hAnsi="Open Sans" w:cs="Open Sans"/>
                <w:sz w:val="20"/>
                <w:szCs w:val="20"/>
                <w:lang w:eastAsia="en-GB"/>
              </w:rPr>
              <w:t xml:space="preserve"> for expansion of biomethane supply for gas grid injection. </w:t>
            </w:r>
          </w:p>
          <w:p w14:paraId="2B0FED61" w14:textId="200117AA" w:rsidR="001C22D9" w:rsidRPr="00923427" w:rsidRDefault="00C35091" w:rsidP="00C35091">
            <w:pPr>
              <w:spacing w:before="100" w:beforeAutospacing="1" w:after="100" w:afterAutospacing="1"/>
              <w:rPr>
                <w:rFonts w:ascii="Open Sans" w:eastAsia="Times New Roman" w:hAnsi="Open Sans" w:cs="Open Sans"/>
                <w:sz w:val="20"/>
                <w:szCs w:val="20"/>
                <w:lang w:eastAsia="en-GB"/>
              </w:rPr>
            </w:pPr>
            <w:r w:rsidRPr="00923427">
              <w:rPr>
                <w:rFonts w:ascii="Open Sans" w:eastAsia="Times New Roman" w:hAnsi="Open Sans" w:cs="Open Sans"/>
                <w:sz w:val="20"/>
                <w:szCs w:val="20"/>
                <w:lang w:eastAsia="en-GB"/>
              </w:rPr>
              <w:t>Using</w:t>
            </w:r>
            <w:r w:rsidRPr="00923427">
              <w:rPr>
                <w:rFonts w:ascii="Open Sans" w:eastAsia="Times New Roman" w:hAnsi="Open Sans" w:cs="Open Sans"/>
                <w:b/>
                <w:bCs/>
                <w:sz w:val="20"/>
                <w:szCs w:val="20"/>
                <w:lang w:eastAsia="en-GB"/>
              </w:rPr>
              <w:t xml:space="preserve"> Bio-</w:t>
            </w:r>
            <w:proofErr w:type="gramStart"/>
            <w:r w:rsidRPr="00923427">
              <w:rPr>
                <w:rFonts w:ascii="Open Sans" w:eastAsia="Times New Roman" w:hAnsi="Open Sans" w:cs="Open Sans"/>
                <w:b/>
                <w:bCs/>
                <w:sz w:val="20"/>
                <w:szCs w:val="20"/>
                <w:lang w:eastAsia="en-GB"/>
              </w:rPr>
              <w:t>LPG ,</w:t>
            </w:r>
            <w:proofErr w:type="gramEnd"/>
            <w:r w:rsidRPr="00923427">
              <w:rPr>
                <w:rFonts w:ascii="Open Sans" w:eastAsia="Times New Roman" w:hAnsi="Open Sans" w:cs="Open Sans"/>
                <w:b/>
                <w:bCs/>
                <w:sz w:val="20"/>
                <w:szCs w:val="20"/>
                <w:lang w:eastAsia="en-GB"/>
              </w:rPr>
              <w:t xml:space="preserve"> or other biofuels</w:t>
            </w:r>
            <w:r w:rsidRPr="00923427">
              <w:rPr>
                <w:rFonts w:ascii="Open Sans" w:eastAsia="Times New Roman" w:hAnsi="Open Sans" w:cs="Open Sans"/>
                <w:sz w:val="20"/>
                <w:szCs w:val="20"/>
                <w:lang w:eastAsia="en-GB"/>
              </w:rPr>
              <w:t>, in buildings and industry as drop-in fuel using existing heating systems.</w:t>
            </w:r>
          </w:p>
        </w:tc>
        <w:tc>
          <w:tcPr>
            <w:tcW w:w="2254" w:type="dxa"/>
          </w:tcPr>
          <w:p w14:paraId="1D127C61" w14:textId="2822BDF9" w:rsidR="00063B03" w:rsidRPr="00923427" w:rsidRDefault="00C56C6E" w:rsidP="00AC0EE5">
            <w:pPr>
              <w:spacing w:before="100" w:beforeAutospacing="1" w:after="100" w:afterAutospacing="1"/>
              <w:rPr>
                <w:rFonts w:ascii="Open Sans" w:eastAsia="Times New Roman" w:hAnsi="Open Sans" w:cs="Open Sans"/>
                <w:sz w:val="20"/>
                <w:szCs w:val="20"/>
                <w:lang w:eastAsia="en-GB"/>
              </w:rPr>
            </w:pPr>
            <w:r w:rsidRPr="00923427">
              <w:rPr>
                <w:rFonts w:ascii="Open Sans" w:eastAsia="Times New Roman" w:hAnsi="Open Sans" w:cs="Open Sans"/>
                <w:sz w:val="20"/>
                <w:szCs w:val="20"/>
                <w:lang w:eastAsia="en-GB"/>
              </w:rPr>
              <w:t xml:space="preserve">Demonstrate and start to deploy large-scale </w:t>
            </w:r>
            <w:r w:rsidRPr="00923427">
              <w:rPr>
                <w:rFonts w:ascii="Open Sans" w:eastAsia="Times New Roman" w:hAnsi="Open Sans" w:cs="Open Sans"/>
                <w:b/>
                <w:bCs/>
                <w:sz w:val="20"/>
                <w:szCs w:val="20"/>
                <w:lang w:eastAsia="en-GB"/>
              </w:rPr>
              <w:t xml:space="preserve">bioelectricity generation with CCUS </w:t>
            </w:r>
            <w:r w:rsidRPr="00923427">
              <w:rPr>
                <w:rFonts w:ascii="Open Sans" w:eastAsia="Times New Roman" w:hAnsi="Open Sans" w:cs="Open Sans"/>
                <w:sz w:val="20"/>
                <w:szCs w:val="20"/>
                <w:lang w:eastAsia="en-GB"/>
              </w:rPr>
              <w:t>by demonstrating carbon capture with subsequent use or storage and of new bioelectricity capacity specifically designed to be optimised for CCUS</w:t>
            </w:r>
          </w:p>
        </w:tc>
        <w:tc>
          <w:tcPr>
            <w:tcW w:w="2254" w:type="dxa"/>
          </w:tcPr>
          <w:p w14:paraId="693A5C6B" w14:textId="3B63B5CE" w:rsidR="00063B03" w:rsidRPr="00923427" w:rsidRDefault="009614BF" w:rsidP="00AC0EE5">
            <w:pPr>
              <w:spacing w:before="100" w:beforeAutospacing="1" w:after="100" w:afterAutospacing="1"/>
              <w:rPr>
                <w:rFonts w:ascii="Open Sans" w:eastAsia="Times New Roman" w:hAnsi="Open Sans" w:cs="Open Sans"/>
                <w:sz w:val="20"/>
                <w:szCs w:val="20"/>
                <w:lang w:eastAsia="en-GB"/>
              </w:rPr>
            </w:pPr>
            <w:r w:rsidRPr="00923427">
              <w:rPr>
                <w:rFonts w:ascii="Open Sans" w:eastAsia="Times New Roman" w:hAnsi="Open Sans" w:cs="Open Sans"/>
                <w:sz w:val="20"/>
                <w:szCs w:val="20"/>
                <w:lang w:eastAsia="en-GB"/>
              </w:rPr>
              <w:t xml:space="preserve">Replacement of </w:t>
            </w:r>
            <w:r w:rsidRPr="00923427">
              <w:rPr>
                <w:rFonts w:ascii="Open Sans" w:eastAsia="Times New Roman" w:hAnsi="Open Sans" w:cs="Open Sans"/>
                <w:b/>
                <w:bCs/>
                <w:sz w:val="20"/>
                <w:szCs w:val="20"/>
                <w:lang w:eastAsia="en-GB"/>
              </w:rPr>
              <w:t>aviation and shipping fuels</w:t>
            </w:r>
            <w:r w:rsidRPr="00923427">
              <w:rPr>
                <w:rFonts w:ascii="Open Sans" w:eastAsia="Times New Roman" w:hAnsi="Open Sans" w:cs="Open Sans"/>
                <w:sz w:val="20"/>
                <w:szCs w:val="20"/>
                <w:lang w:eastAsia="en-GB"/>
              </w:rPr>
              <w:t xml:space="preserve"> with sustainable biofuels as fuels become available to provide carbon reductions</w:t>
            </w:r>
          </w:p>
        </w:tc>
      </w:tr>
      <w:tr w:rsidR="00C56C6E" w:rsidRPr="00923427" w14:paraId="5AFD3ABD" w14:textId="77777777" w:rsidTr="000B6D92">
        <w:tc>
          <w:tcPr>
            <w:tcW w:w="9016" w:type="dxa"/>
            <w:gridSpan w:val="4"/>
          </w:tcPr>
          <w:p w14:paraId="7F59079A" w14:textId="42820330" w:rsidR="00C56C6E" w:rsidRPr="00923427" w:rsidRDefault="00C56C6E" w:rsidP="00C35091">
            <w:pPr>
              <w:spacing w:before="100" w:beforeAutospacing="1" w:after="100" w:afterAutospacing="1"/>
              <w:rPr>
                <w:rStyle w:val="A4"/>
                <w:rFonts w:ascii="Open Sans" w:eastAsia="Times New Roman" w:hAnsi="Open Sans" w:cs="Open Sans"/>
                <w:color w:val="auto"/>
                <w:lang w:eastAsia="en-GB"/>
              </w:rPr>
            </w:pPr>
            <w:r w:rsidRPr="00923427">
              <w:rPr>
                <w:rStyle w:val="A4"/>
                <w:rFonts w:ascii="Open Sans" w:hAnsi="Open Sans" w:cs="Open Sans"/>
                <w:b/>
                <w:bCs/>
              </w:rPr>
              <w:t>Strategic Opportunities</w:t>
            </w:r>
            <w:r w:rsidRPr="00923427">
              <w:rPr>
                <w:rStyle w:val="A4"/>
                <w:rFonts w:ascii="Open Sans" w:hAnsi="Open Sans" w:cs="Open Sans"/>
              </w:rPr>
              <w:t xml:space="preserve"> - options involving carbon capture use and storage which will be needed in the longer term, and which need to be demonstrated by 2026, and deployed at a significant scale by 2032 with a view to further expansion thereafter. </w:t>
            </w:r>
          </w:p>
          <w:p w14:paraId="5A2866D1" w14:textId="77777777" w:rsidR="00C56C6E" w:rsidRPr="00923427" w:rsidRDefault="00C56C6E" w:rsidP="00AC0EE5">
            <w:pPr>
              <w:spacing w:before="100" w:beforeAutospacing="1" w:after="100" w:afterAutospacing="1"/>
              <w:rPr>
                <w:rFonts w:ascii="Open Sans" w:eastAsia="Times New Roman" w:hAnsi="Open Sans" w:cs="Open Sans"/>
                <w:sz w:val="20"/>
                <w:szCs w:val="20"/>
                <w:lang w:eastAsia="en-GB"/>
              </w:rPr>
            </w:pPr>
          </w:p>
        </w:tc>
      </w:tr>
    </w:tbl>
    <w:p w14:paraId="062B3DDC" w14:textId="28405011" w:rsidR="00063B03" w:rsidRPr="00923427" w:rsidRDefault="00072972" w:rsidP="00AC0EE5">
      <w:pPr>
        <w:spacing w:before="100" w:beforeAutospacing="1" w:after="100" w:afterAutospacing="1" w:line="240" w:lineRule="auto"/>
        <w:rPr>
          <w:rFonts w:ascii="Open Sans" w:eastAsia="Times New Roman" w:hAnsi="Open Sans" w:cs="Open Sans"/>
          <w:b/>
          <w:bCs/>
          <w:i/>
          <w:iCs/>
          <w:sz w:val="20"/>
          <w:szCs w:val="20"/>
          <w:lang w:eastAsia="en-GB"/>
        </w:rPr>
      </w:pPr>
      <w:r w:rsidRPr="00923427">
        <w:rPr>
          <w:rFonts w:ascii="Open Sans" w:eastAsia="Times New Roman" w:hAnsi="Open Sans" w:cs="Open Sans"/>
          <w:b/>
          <w:bCs/>
          <w:i/>
          <w:iCs/>
          <w:sz w:val="20"/>
          <w:szCs w:val="20"/>
          <w:lang w:eastAsia="en-GB"/>
        </w:rPr>
        <w:t xml:space="preserve">Government should </w:t>
      </w:r>
      <w:r w:rsidR="007F3698" w:rsidRPr="00923427">
        <w:rPr>
          <w:rFonts w:ascii="Open Sans" w:eastAsia="Times New Roman" w:hAnsi="Open Sans" w:cs="Open Sans"/>
          <w:b/>
          <w:bCs/>
          <w:i/>
          <w:iCs/>
          <w:sz w:val="20"/>
          <w:szCs w:val="20"/>
          <w:lang w:eastAsia="en-GB"/>
        </w:rPr>
        <w:t xml:space="preserve">also look to </w:t>
      </w:r>
      <w:r w:rsidRPr="00923427">
        <w:rPr>
          <w:rFonts w:ascii="Open Sans" w:eastAsia="Times New Roman" w:hAnsi="Open Sans" w:cs="Open Sans"/>
          <w:b/>
          <w:bCs/>
          <w:i/>
          <w:iCs/>
          <w:sz w:val="20"/>
          <w:szCs w:val="20"/>
          <w:lang w:eastAsia="en-GB"/>
        </w:rPr>
        <w:t xml:space="preserve">other international trajectories </w:t>
      </w:r>
      <w:r w:rsidR="002404A2" w:rsidRPr="00923427">
        <w:rPr>
          <w:rFonts w:ascii="Open Sans" w:eastAsia="Times New Roman" w:hAnsi="Open Sans" w:cs="Open Sans"/>
          <w:b/>
          <w:bCs/>
          <w:i/>
          <w:iCs/>
          <w:sz w:val="20"/>
          <w:szCs w:val="20"/>
          <w:lang w:eastAsia="en-GB"/>
        </w:rPr>
        <w:t>of</w:t>
      </w:r>
      <w:r w:rsidRPr="00923427">
        <w:rPr>
          <w:rFonts w:ascii="Open Sans" w:eastAsia="Times New Roman" w:hAnsi="Open Sans" w:cs="Open Sans"/>
          <w:b/>
          <w:bCs/>
          <w:i/>
          <w:iCs/>
          <w:sz w:val="20"/>
          <w:szCs w:val="20"/>
          <w:lang w:eastAsia="en-GB"/>
        </w:rPr>
        <w:t xml:space="preserve"> bioenergy </w:t>
      </w:r>
      <w:r w:rsidR="00FE32EA" w:rsidRPr="00923427">
        <w:rPr>
          <w:rFonts w:ascii="Open Sans" w:eastAsia="Times New Roman" w:hAnsi="Open Sans" w:cs="Open Sans"/>
          <w:b/>
          <w:bCs/>
          <w:i/>
          <w:iCs/>
          <w:sz w:val="20"/>
          <w:szCs w:val="20"/>
          <w:lang w:eastAsia="en-GB"/>
        </w:rPr>
        <w:t>growth.</w:t>
      </w:r>
    </w:p>
    <w:p w14:paraId="1D20FD62" w14:textId="11443607" w:rsidR="006F4D15" w:rsidRPr="00923427" w:rsidRDefault="00072972" w:rsidP="006F4D15">
      <w:pPr>
        <w:pBdr>
          <w:bottom w:val="single" w:sz="6" w:space="1" w:color="auto"/>
        </w:pBdr>
        <w:spacing w:before="100" w:beforeAutospacing="1" w:after="100" w:afterAutospacing="1" w:line="240" w:lineRule="auto"/>
        <w:rPr>
          <w:rFonts w:ascii="Open Sans" w:eastAsia="Times New Roman" w:hAnsi="Open Sans" w:cs="Open Sans"/>
          <w:sz w:val="20"/>
          <w:szCs w:val="20"/>
          <w:lang w:eastAsia="en-GB"/>
        </w:rPr>
      </w:pPr>
      <w:r w:rsidRPr="00923427">
        <w:rPr>
          <w:rFonts w:ascii="Open Sans" w:eastAsia="Times New Roman" w:hAnsi="Open Sans" w:cs="Open Sans"/>
          <w:sz w:val="20"/>
          <w:szCs w:val="20"/>
          <w:lang w:eastAsia="en-GB"/>
        </w:rPr>
        <w:t>Finally, Government should also consider</w:t>
      </w:r>
      <w:r w:rsidR="007F3698" w:rsidRPr="00923427">
        <w:rPr>
          <w:rFonts w:ascii="Open Sans" w:eastAsia="Times New Roman" w:hAnsi="Open Sans" w:cs="Open Sans"/>
          <w:sz w:val="20"/>
          <w:szCs w:val="20"/>
          <w:lang w:eastAsia="en-GB"/>
        </w:rPr>
        <w:t xml:space="preserve"> other</w:t>
      </w:r>
      <w:r w:rsidRPr="00923427">
        <w:rPr>
          <w:rFonts w:ascii="Open Sans" w:eastAsia="Times New Roman" w:hAnsi="Open Sans" w:cs="Open Sans"/>
          <w:sz w:val="20"/>
          <w:szCs w:val="20"/>
          <w:lang w:eastAsia="en-GB"/>
        </w:rPr>
        <w:t xml:space="preserve"> international trajectories for bioenergy use. While the UK leads bioenergy sector development, including sustainability criteria, its trajectory for growth</w:t>
      </w:r>
      <w:r w:rsidR="007F3698" w:rsidRPr="00923427">
        <w:rPr>
          <w:rFonts w:ascii="Open Sans" w:eastAsia="Times New Roman" w:hAnsi="Open Sans" w:cs="Open Sans"/>
          <w:sz w:val="20"/>
          <w:szCs w:val="20"/>
          <w:lang w:eastAsia="en-GB"/>
        </w:rPr>
        <w:t xml:space="preserve">, </w:t>
      </w:r>
      <w:r w:rsidRPr="00923427">
        <w:rPr>
          <w:rFonts w:ascii="Open Sans" w:eastAsia="Times New Roman" w:hAnsi="Open Sans" w:cs="Open Sans"/>
          <w:sz w:val="20"/>
          <w:szCs w:val="20"/>
          <w:lang w:eastAsia="en-GB"/>
        </w:rPr>
        <w:t>as defined by the CCC</w:t>
      </w:r>
      <w:r w:rsidR="007F3698" w:rsidRPr="00923427">
        <w:rPr>
          <w:rStyle w:val="FootnoteReference"/>
          <w:rFonts w:ascii="Open Sans" w:eastAsia="Times New Roman" w:hAnsi="Open Sans" w:cs="Open Sans"/>
          <w:sz w:val="20"/>
          <w:szCs w:val="20"/>
          <w:lang w:eastAsia="en-GB"/>
        </w:rPr>
        <w:footnoteReference w:id="45"/>
      </w:r>
      <w:r w:rsidR="007F3698" w:rsidRPr="00923427">
        <w:rPr>
          <w:rFonts w:ascii="Open Sans" w:eastAsia="Times New Roman" w:hAnsi="Open Sans" w:cs="Open Sans"/>
          <w:sz w:val="20"/>
          <w:szCs w:val="20"/>
          <w:lang w:eastAsia="en-GB"/>
        </w:rPr>
        <w:t xml:space="preserve">, </w:t>
      </w:r>
      <w:r w:rsidRPr="00923427">
        <w:rPr>
          <w:rFonts w:ascii="Open Sans" w:eastAsia="Times New Roman" w:hAnsi="Open Sans" w:cs="Open Sans"/>
          <w:sz w:val="20"/>
          <w:szCs w:val="20"/>
          <w:lang w:eastAsia="en-GB"/>
        </w:rPr>
        <w:t xml:space="preserve"> is at odds with what is expected to happen in other European countries. For example, Countries like Germany, </w:t>
      </w:r>
      <w:proofErr w:type="gramStart"/>
      <w:r w:rsidRPr="00923427">
        <w:rPr>
          <w:rFonts w:ascii="Open Sans" w:eastAsia="Times New Roman" w:hAnsi="Open Sans" w:cs="Open Sans"/>
          <w:sz w:val="20"/>
          <w:szCs w:val="20"/>
          <w:lang w:eastAsia="en-GB"/>
        </w:rPr>
        <w:t>France</w:t>
      </w:r>
      <w:proofErr w:type="gramEnd"/>
      <w:r w:rsidRPr="00923427">
        <w:rPr>
          <w:rFonts w:ascii="Open Sans" w:eastAsia="Times New Roman" w:hAnsi="Open Sans" w:cs="Open Sans"/>
          <w:sz w:val="20"/>
          <w:szCs w:val="20"/>
          <w:lang w:eastAsia="en-GB"/>
        </w:rPr>
        <w:t xml:space="preserve"> and Austria all expect heat applications with bioenergy to grow and play an increasingly important role in decarbonising the heat sector alongside other non-biomass solutions. This is all based on further development of existing sectors including biomass boilers and anaerobic digestion. UK plans seem so far to be at odds with this, suggesting biomass will only have an undefined ‘niche’ role to play in heat decarbonisation (see answer to question 13 for further information). We raise concerns that such an approach could undermine the existing heat decarbonisation approach in the UK, stopping bioenergy from playing its part, especially in hard-to-treat </w:t>
      </w:r>
      <w:r w:rsidR="007F3698" w:rsidRPr="00923427">
        <w:rPr>
          <w:rFonts w:ascii="Open Sans" w:eastAsia="Times New Roman" w:hAnsi="Open Sans" w:cs="Open Sans"/>
          <w:sz w:val="20"/>
          <w:szCs w:val="20"/>
          <w:lang w:eastAsia="en-GB"/>
        </w:rPr>
        <w:t>areas</w:t>
      </w:r>
      <w:r w:rsidRPr="00923427">
        <w:rPr>
          <w:rFonts w:ascii="Open Sans" w:eastAsia="Times New Roman" w:hAnsi="Open Sans" w:cs="Open Sans"/>
          <w:sz w:val="20"/>
          <w:szCs w:val="20"/>
          <w:lang w:eastAsia="en-GB"/>
        </w:rPr>
        <w:t xml:space="preserve">.  </w:t>
      </w:r>
    </w:p>
    <w:p w14:paraId="00D97686" w14:textId="77777777" w:rsidR="00220257" w:rsidRPr="00923427" w:rsidRDefault="00220257" w:rsidP="006F4D15">
      <w:pPr>
        <w:pBdr>
          <w:bottom w:val="single" w:sz="6" w:space="1" w:color="auto"/>
        </w:pBdr>
        <w:spacing w:before="100" w:beforeAutospacing="1" w:after="100" w:afterAutospacing="1" w:line="240" w:lineRule="auto"/>
        <w:rPr>
          <w:rFonts w:ascii="Open Sans" w:eastAsia="Times New Roman" w:hAnsi="Open Sans" w:cs="Open Sans"/>
          <w:b/>
          <w:bCs/>
          <w:sz w:val="20"/>
          <w:szCs w:val="20"/>
          <w:lang w:eastAsia="en-GB"/>
        </w:rPr>
      </w:pPr>
    </w:p>
    <w:p w14:paraId="4D5A4D6F" w14:textId="0DBDC0E8" w:rsidR="00B326CF" w:rsidRPr="00923427" w:rsidRDefault="00B326CF" w:rsidP="00B326CF">
      <w:pPr>
        <w:spacing w:before="100" w:beforeAutospacing="1" w:after="100" w:afterAutospacing="1" w:line="240" w:lineRule="auto"/>
        <w:rPr>
          <w:rFonts w:ascii="Open Sans" w:eastAsia="Times New Roman" w:hAnsi="Open Sans" w:cs="Open Sans"/>
          <w:b/>
          <w:bCs/>
          <w:color w:val="2F5496"/>
          <w:sz w:val="20"/>
          <w:szCs w:val="20"/>
          <w:lang w:eastAsia="en-GB"/>
        </w:rPr>
      </w:pPr>
      <w:r w:rsidRPr="00923427">
        <w:rPr>
          <w:rFonts w:ascii="Open Sans" w:eastAsia="Times New Roman" w:hAnsi="Open Sans" w:cs="Open Sans"/>
          <w:b/>
          <w:bCs/>
          <w:color w:val="2F5496"/>
          <w:sz w:val="20"/>
          <w:szCs w:val="20"/>
          <w:lang w:eastAsia="en-GB"/>
        </w:rPr>
        <w:t>10. What principles/framework should be applied when determining what the priority uses of biomass should be to contribute to net zero? How does this vary by biomass type and how might this change over time?</w:t>
      </w:r>
    </w:p>
    <w:p w14:paraId="0F77028E" w14:textId="4F335E81" w:rsidR="009C7B7D" w:rsidRPr="00923427" w:rsidRDefault="00FE32EA" w:rsidP="00B326CF">
      <w:pPr>
        <w:spacing w:before="100" w:beforeAutospacing="1" w:after="100" w:afterAutospacing="1" w:line="240" w:lineRule="auto"/>
        <w:rPr>
          <w:rFonts w:ascii="Open Sans" w:eastAsia="Times New Roman" w:hAnsi="Open Sans" w:cs="Open Sans"/>
          <w:sz w:val="20"/>
          <w:szCs w:val="20"/>
          <w:lang w:eastAsia="en-GB"/>
        </w:rPr>
      </w:pPr>
      <w:r w:rsidRPr="00923427">
        <w:rPr>
          <w:rFonts w:ascii="Open Sans" w:eastAsia="Times New Roman" w:hAnsi="Open Sans" w:cs="Open Sans"/>
          <w:sz w:val="20"/>
          <w:szCs w:val="20"/>
          <w:lang w:eastAsia="en-GB"/>
        </w:rPr>
        <w:t xml:space="preserve">The REA support the </w:t>
      </w:r>
      <w:r w:rsidR="0028347F" w:rsidRPr="00923427">
        <w:rPr>
          <w:rFonts w:ascii="Open Sans" w:eastAsia="Times New Roman" w:hAnsi="Open Sans" w:cs="Open Sans"/>
          <w:sz w:val="20"/>
          <w:szCs w:val="20"/>
          <w:lang w:eastAsia="en-GB"/>
        </w:rPr>
        <w:t xml:space="preserve">development of </w:t>
      </w:r>
      <w:r w:rsidR="008F5EAD" w:rsidRPr="00923427">
        <w:rPr>
          <w:rFonts w:ascii="Open Sans" w:eastAsia="Times New Roman" w:hAnsi="Open Sans" w:cs="Open Sans"/>
          <w:sz w:val="20"/>
          <w:szCs w:val="20"/>
          <w:lang w:eastAsia="en-GB"/>
        </w:rPr>
        <w:t xml:space="preserve">a </w:t>
      </w:r>
      <w:r w:rsidR="0030014B" w:rsidRPr="00923427">
        <w:rPr>
          <w:rFonts w:ascii="Open Sans" w:eastAsia="Times New Roman" w:hAnsi="Open Sans" w:cs="Open Sans"/>
          <w:sz w:val="20"/>
          <w:szCs w:val="20"/>
          <w:lang w:eastAsia="en-GB"/>
        </w:rPr>
        <w:t>principles-based</w:t>
      </w:r>
      <w:r w:rsidR="0028347F" w:rsidRPr="00923427">
        <w:rPr>
          <w:rFonts w:ascii="Open Sans" w:eastAsia="Times New Roman" w:hAnsi="Open Sans" w:cs="Open Sans"/>
          <w:sz w:val="20"/>
          <w:szCs w:val="20"/>
          <w:lang w:eastAsia="en-GB"/>
        </w:rPr>
        <w:t xml:space="preserve"> approach, whereby </w:t>
      </w:r>
      <w:r w:rsidR="008F5EAD" w:rsidRPr="00923427">
        <w:rPr>
          <w:rFonts w:ascii="Open Sans" w:eastAsia="Times New Roman" w:hAnsi="Open Sans" w:cs="Open Sans"/>
          <w:sz w:val="20"/>
          <w:szCs w:val="20"/>
          <w:lang w:eastAsia="en-GB"/>
        </w:rPr>
        <w:t>policy supports and rewards desired outcomes rather than</w:t>
      </w:r>
      <w:r w:rsidR="00E609FC" w:rsidRPr="00923427">
        <w:rPr>
          <w:rFonts w:ascii="Open Sans" w:eastAsia="Times New Roman" w:hAnsi="Open Sans" w:cs="Open Sans"/>
          <w:sz w:val="20"/>
          <w:szCs w:val="20"/>
          <w:lang w:eastAsia="en-GB"/>
        </w:rPr>
        <w:t xml:space="preserve"> just</w:t>
      </w:r>
      <w:r w:rsidR="008F5EAD" w:rsidRPr="00923427">
        <w:rPr>
          <w:rFonts w:ascii="Open Sans" w:eastAsia="Times New Roman" w:hAnsi="Open Sans" w:cs="Open Sans"/>
          <w:sz w:val="20"/>
          <w:szCs w:val="20"/>
          <w:lang w:eastAsia="en-GB"/>
        </w:rPr>
        <w:t xml:space="preserve"> </w:t>
      </w:r>
      <w:r w:rsidR="0030014B" w:rsidRPr="00923427">
        <w:rPr>
          <w:rFonts w:ascii="Open Sans" w:eastAsia="Times New Roman" w:hAnsi="Open Sans" w:cs="Open Sans"/>
          <w:sz w:val="20"/>
          <w:szCs w:val="20"/>
          <w:lang w:eastAsia="en-GB"/>
        </w:rPr>
        <w:t>end-uses</w:t>
      </w:r>
      <w:r w:rsidR="008F5EAD" w:rsidRPr="00923427">
        <w:rPr>
          <w:rFonts w:ascii="Open Sans" w:eastAsia="Times New Roman" w:hAnsi="Open Sans" w:cs="Open Sans"/>
          <w:sz w:val="20"/>
          <w:szCs w:val="20"/>
          <w:lang w:eastAsia="en-GB"/>
        </w:rPr>
        <w:t xml:space="preserve">. </w:t>
      </w:r>
      <w:r w:rsidR="0030014B" w:rsidRPr="00923427">
        <w:rPr>
          <w:rFonts w:ascii="Open Sans" w:eastAsia="Times New Roman" w:hAnsi="Open Sans" w:cs="Open Sans"/>
          <w:sz w:val="20"/>
          <w:szCs w:val="20"/>
          <w:lang w:eastAsia="en-GB"/>
        </w:rPr>
        <w:t xml:space="preserve">This will </w:t>
      </w:r>
      <w:r w:rsidR="009C7B7D" w:rsidRPr="00923427">
        <w:rPr>
          <w:rFonts w:ascii="Open Sans" w:eastAsia="Times New Roman" w:hAnsi="Open Sans" w:cs="Open Sans"/>
          <w:sz w:val="20"/>
          <w:szCs w:val="20"/>
          <w:lang w:eastAsia="en-GB"/>
        </w:rPr>
        <w:t xml:space="preserve">provide </w:t>
      </w:r>
      <w:r w:rsidR="0030014B" w:rsidRPr="00923427">
        <w:rPr>
          <w:rFonts w:ascii="Open Sans" w:eastAsia="Times New Roman" w:hAnsi="Open Sans" w:cs="Open Sans"/>
          <w:sz w:val="20"/>
          <w:szCs w:val="20"/>
          <w:lang w:eastAsia="en-GB"/>
        </w:rPr>
        <w:t xml:space="preserve">a </w:t>
      </w:r>
      <w:r w:rsidR="008F5EAD" w:rsidRPr="00923427">
        <w:rPr>
          <w:rFonts w:ascii="Open Sans" w:eastAsia="Times New Roman" w:hAnsi="Open Sans" w:cs="Open Sans"/>
          <w:sz w:val="20"/>
          <w:szCs w:val="20"/>
          <w:lang w:eastAsia="en-GB"/>
        </w:rPr>
        <w:t>balanced pathway</w:t>
      </w:r>
      <w:r w:rsidR="0030014B" w:rsidRPr="00923427">
        <w:rPr>
          <w:rFonts w:ascii="Open Sans" w:eastAsia="Times New Roman" w:hAnsi="Open Sans" w:cs="Open Sans"/>
          <w:sz w:val="20"/>
          <w:szCs w:val="20"/>
          <w:lang w:eastAsia="en-GB"/>
        </w:rPr>
        <w:t xml:space="preserve"> across </w:t>
      </w:r>
      <w:r w:rsidR="009C7B7D" w:rsidRPr="00923427">
        <w:rPr>
          <w:rFonts w:ascii="Open Sans" w:eastAsia="Times New Roman" w:hAnsi="Open Sans" w:cs="Open Sans"/>
          <w:sz w:val="20"/>
          <w:szCs w:val="20"/>
          <w:lang w:eastAsia="en-GB"/>
        </w:rPr>
        <w:t xml:space="preserve">bioenergy use in </w:t>
      </w:r>
      <w:r w:rsidR="0030014B" w:rsidRPr="00923427">
        <w:rPr>
          <w:rFonts w:ascii="Open Sans" w:eastAsia="Times New Roman" w:hAnsi="Open Sans" w:cs="Open Sans"/>
          <w:sz w:val="20"/>
          <w:szCs w:val="20"/>
          <w:lang w:eastAsia="en-GB"/>
        </w:rPr>
        <w:t xml:space="preserve">power, </w:t>
      </w:r>
      <w:proofErr w:type="gramStart"/>
      <w:r w:rsidR="0030014B" w:rsidRPr="00923427">
        <w:rPr>
          <w:rFonts w:ascii="Open Sans" w:eastAsia="Times New Roman" w:hAnsi="Open Sans" w:cs="Open Sans"/>
          <w:sz w:val="20"/>
          <w:szCs w:val="20"/>
          <w:lang w:eastAsia="en-GB"/>
        </w:rPr>
        <w:t>heat</w:t>
      </w:r>
      <w:proofErr w:type="gramEnd"/>
      <w:r w:rsidR="0030014B" w:rsidRPr="00923427">
        <w:rPr>
          <w:rFonts w:ascii="Open Sans" w:eastAsia="Times New Roman" w:hAnsi="Open Sans" w:cs="Open Sans"/>
          <w:sz w:val="20"/>
          <w:szCs w:val="20"/>
          <w:lang w:eastAsia="en-GB"/>
        </w:rPr>
        <w:t xml:space="preserve"> and transport</w:t>
      </w:r>
      <w:r w:rsidR="008F5EAD" w:rsidRPr="00923427">
        <w:rPr>
          <w:rFonts w:ascii="Open Sans" w:eastAsia="Times New Roman" w:hAnsi="Open Sans" w:cs="Open Sans"/>
          <w:sz w:val="20"/>
          <w:szCs w:val="20"/>
          <w:lang w:eastAsia="en-GB"/>
        </w:rPr>
        <w:t>,</w:t>
      </w:r>
      <w:r w:rsidR="0030014B" w:rsidRPr="00923427">
        <w:rPr>
          <w:rFonts w:ascii="Open Sans" w:eastAsia="Times New Roman" w:hAnsi="Open Sans" w:cs="Open Sans"/>
          <w:sz w:val="20"/>
          <w:szCs w:val="20"/>
          <w:lang w:eastAsia="en-GB"/>
        </w:rPr>
        <w:t xml:space="preserve"> while</w:t>
      </w:r>
      <w:r w:rsidR="008F5EAD" w:rsidRPr="00923427">
        <w:rPr>
          <w:rFonts w:ascii="Open Sans" w:eastAsia="Times New Roman" w:hAnsi="Open Sans" w:cs="Open Sans"/>
          <w:sz w:val="20"/>
          <w:szCs w:val="20"/>
          <w:lang w:eastAsia="en-GB"/>
        </w:rPr>
        <w:t xml:space="preserve"> pushing individual bioenergy sectors to be delivering </w:t>
      </w:r>
      <w:r w:rsidR="0030014B" w:rsidRPr="00923427">
        <w:rPr>
          <w:rFonts w:ascii="Open Sans" w:eastAsia="Times New Roman" w:hAnsi="Open Sans" w:cs="Open Sans"/>
          <w:sz w:val="20"/>
          <w:szCs w:val="20"/>
          <w:lang w:eastAsia="en-GB"/>
        </w:rPr>
        <w:t>further environmental, social, and economic benefits, while also promoting innovation.</w:t>
      </w:r>
      <w:r w:rsidR="00E609FC" w:rsidRPr="00923427">
        <w:rPr>
          <w:rFonts w:ascii="Open Sans" w:eastAsia="Times New Roman" w:hAnsi="Open Sans" w:cs="Open Sans"/>
          <w:sz w:val="20"/>
          <w:szCs w:val="20"/>
          <w:lang w:eastAsia="en-GB"/>
        </w:rPr>
        <w:t xml:space="preserve"> Different feedstocks and conversion technologies have different characteristics, further underling the importance of having a wide variety of bioenergy technologies. </w:t>
      </w:r>
      <w:r w:rsidR="00C577D8" w:rsidRPr="00923427">
        <w:rPr>
          <w:rFonts w:ascii="Open Sans" w:eastAsia="Times New Roman" w:hAnsi="Open Sans" w:cs="Open Sans"/>
          <w:sz w:val="20"/>
          <w:szCs w:val="20"/>
          <w:lang w:eastAsia="en-GB"/>
        </w:rPr>
        <w:t xml:space="preserve"> </w:t>
      </w:r>
      <w:r w:rsidR="003A2360" w:rsidRPr="00923427">
        <w:rPr>
          <w:rFonts w:ascii="Open Sans" w:eastAsia="Times New Roman" w:hAnsi="Open Sans" w:cs="Open Sans"/>
          <w:sz w:val="20"/>
          <w:szCs w:val="20"/>
          <w:lang w:eastAsia="en-GB"/>
        </w:rPr>
        <w:t xml:space="preserve">Such principles </w:t>
      </w:r>
      <w:r w:rsidR="00C577D8" w:rsidRPr="00923427">
        <w:rPr>
          <w:rFonts w:ascii="Open Sans" w:eastAsia="Times New Roman" w:hAnsi="Open Sans" w:cs="Open Sans"/>
          <w:sz w:val="20"/>
          <w:szCs w:val="20"/>
          <w:lang w:eastAsia="en-GB"/>
        </w:rPr>
        <w:t xml:space="preserve">include: </w:t>
      </w:r>
    </w:p>
    <w:p w14:paraId="49DFACC2" w14:textId="089B9E8E" w:rsidR="007F3698" w:rsidRPr="00923427" w:rsidRDefault="009C5F06" w:rsidP="00C577D8">
      <w:pPr>
        <w:rPr>
          <w:rFonts w:ascii="Open Sans" w:hAnsi="Open Sans" w:cs="Open Sans"/>
          <w:b/>
          <w:bCs/>
          <w:i/>
          <w:iCs/>
          <w:sz w:val="20"/>
          <w:szCs w:val="20"/>
          <w:lang w:eastAsia="en-GB"/>
        </w:rPr>
      </w:pPr>
      <w:r w:rsidRPr="00923427">
        <w:rPr>
          <w:rFonts w:ascii="Open Sans" w:hAnsi="Open Sans" w:cs="Open Sans"/>
          <w:b/>
          <w:bCs/>
          <w:i/>
          <w:iCs/>
          <w:sz w:val="20"/>
          <w:szCs w:val="20"/>
          <w:lang w:eastAsia="en-GB"/>
        </w:rPr>
        <w:t xml:space="preserve">Carbon savings </w:t>
      </w:r>
      <w:r w:rsidR="00C45F72" w:rsidRPr="00923427">
        <w:rPr>
          <w:rFonts w:ascii="Open Sans" w:hAnsi="Open Sans" w:cs="Open Sans"/>
          <w:b/>
          <w:bCs/>
          <w:i/>
          <w:iCs/>
          <w:sz w:val="20"/>
          <w:szCs w:val="20"/>
          <w:lang w:eastAsia="en-GB"/>
        </w:rPr>
        <w:t xml:space="preserve">in </w:t>
      </w:r>
      <w:r w:rsidR="007F3698" w:rsidRPr="00923427">
        <w:rPr>
          <w:rFonts w:ascii="Open Sans" w:hAnsi="Open Sans" w:cs="Open Sans"/>
          <w:b/>
          <w:bCs/>
          <w:i/>
          <w:iCs/>
          <w:sz w:val="20"/>
          <w:szCs w:val="20"/>
          <w:lang w:eastAsia="en-GB"/>
        </w:rPr>
        <w:t>a</w:t>
      </w:r>
      <w:r w:rsidR="00C45F72" w:rsidRPr="00923427">
        <w:rPr>
          <w:rFonts w:ascii="Open Sans" w:hAnsi="Open Sans" w:cs="Open Sans"/>
          <w:b/>
          <w:bCs/>
          <w:i/>
          <w:iCs/>
          <w:sz w:val="20"/>
          <w:szCs w:val="20"/>
          <w:lang w:eastAsia="en-GB"/>
        </w:rPr>
        <w:t xml:space="preserve">ccordance with full </w:t>
      </w:r>
      <w:r w:rsidR="00172EF2" w:rsidRPr="00923427">
        <w:rPr>
          <w:rFonts w:ascii="Open Sans" w:hAnsi="Open Sans" w:cs="Open Sans"/>
          <w:b/>
          <w:bCs/>
          <w:i/>
          <w:iCs/>
          <w:sz w:val="20"/>
          <w:szCs w:val="20"/>
          <w:lang w:eastAsia="en-GB"/>
        </w:rPr>
        <w:t>l</w:t>
      </w:r>
      <w:r w:rsidR="00C45F72" w:rsidRPr="00923427">
        <w:rPr>
          <w:rFonts w:ascii="Open Sans" w:hAnsi="Open Sans" w:cs="Open Sans"/>
          <w:b/>
          <w:bCs/>
          <w:i/>
          <w:iCs/>
          <w:sz w:val="20"/>
          <w:szCs w:val="20"/>
          <w:lang w:eastAsia="en-GB"/>
        </w:rPr>
        <w:t>ife-</w:t>
      </w:r>
      <w:r w:rsidR="00172EF2" w:rsidRPr="00923427">
        <w:rPr>
          <w:rFonts w:ascii="Open Sans" w:hAnsi="Open Sans" w:cs="Open Sans"/>
          <w:b/>
          <w:bCs/>
          <w:i/>
          <w:iCs/>
          <w:sz w:val="20"/>
          <w:szCs w:val="20"/>
          <w:lang w:eastAsia="en-GB"/>
        </w:rPr>
        <w:t>c</w:t>
      </w:r>
      <w:r w:rsidR="00C45F72" w:rsidRPr="00923427">
        <w:rPr>
          <w:rFonts w:ascii="Open Sans" w:hAnsi="Open Sans" w:cs="Open Sans"/>
          <w:b/>
          <w:bCs/>
          <w:i/>
          <w:iCs/>
          <w:sz w:val="20"/>
          <w:szCs w:val="20"/>
          <w:lang w:eastAsia="en-GB"/>
        </w:rPr>
        <w:t xml:space="preserve">ycle </w:t>
      </w:r>
      <w:r w:rsidR="00172EF2" w:rsidRPr="00923427">
        <w:rPr>
          <w:rFonts w:ascii="Open Sans" w:hAnsi="Open Sans" w:cs="Open Sans"/>
          <w:b/>
          <w:bCs/>
          <w:i/>
          <w:iCs/>
          <w:sz w:val="20"/>
          <w:szCs w:val="20"/>
          <w:lang w:eastAsia="en-GB"/>
        </w:rPr>
        <w:t>a</w:t>
      </w:r>
      <w:r w:rsidR="00C45F72" w:rsidRPr="00923427">
        <w:rPr>
          <w:rFonts w:ascii="Open Sans" w:hAnsi="Open Sans" w:cs="Open Sans"/>
          <w:b/>
          <w:bCs/>
          <w:i/>
          <w:iCs/>
          <w:sz w:val="20"/>
          <w:szCs w:val="20"/>
          <w:lang w:eastAsia="en-GB"/>
        </w:rPr>
        <w:t>nalysis</w:t>
      </w:r>
    </w:p>
    <w:p w14:paraId="7B86C220" w14:textId="461F383F" w:rsidR="003A2360" w:rsidRPr="00923427" w:rsidRDefault="007F3698" w:rsidP="00C577D8">
      <w:pPr>
        <w:rPr>
          <w:rFonts w:ascii="Open Sans" w:hAnsi="Open Sans" w:cs="Open Sans"/>
          <w:b/>
          <w:bCs/>
          <w:i/>
          <w:iCs/>
          <w:sz w:val="20"/>
          <w:szCs w:val="20"/>
          <w:lang w:eastAsia="en-GB"/>
        </w:rPr>
      </w:pPr>
      <w:r w:rsidRPr="00923427">
        <w:rPr>
          <w:rFonts w:ascii="Open Sans" w:hAnsi="Open Sans" w:cs="Open Sans"/>
          <w:sz w:val="20"/>
          <w:szCs w:val="20"/>
          <w:lang w:eastAsia="en-GB"/>
        </w:rPr>
        <w:t>C</w:t>
      </w:r>
      <w:r w:rsidR="00462B0E" w:rsidRPr="00923427">
        <w:rPr>
          <w:rFonts w:ascii="Open Sans" w:hAnsi="Open Sans" w:cs="Open Sans"/>
          <w:sz w:val="20"/>
          <w:szCs w:val="20"/>
          <w:lang w:eastAsia="en-GB"/>
        </w:rPr>
        <w:t xml:space="preserve">arbon savings, naturally, remains a key metric for environmental policy, above that of actual end use. Methodologies for full life cycle analysis of emissions is well established for different bioenergy feedstocks and </w:t>
      </w:r>
      <w:r w:rsidR="002404A2" w:rsidRPr="00923427">
        <w:rPr>
          <w:rFonts w:ascii="Open Sans" w:hAnsi="Open Sans" w:cs="Open Sans"/>
          <w:sz w:val="20"/>
          <w:szCs w:val="20"/>
          <w:lang w:eastAsia="en-GB"/>
        </w:rPr>
        <w:t>technologies. These need to be promoted with policy focused on driving the highest GHG savings above the importance of the overall end use of the energy. This includes recognising the benefit of immediate carbon reductions from established bioenergy sectors</w:t>
      </w:r>
      <w:r w:rsidRPr="00923427">
        <w:rPr>
          <w:rFonts w:ascii="Open Sans" w:hAnsi="Open Sans" w:cs="Open Sans"/>
          <w:sz w:val="20"/>
          <w:szCs w:val="20"/>
          <w:lang w:eastAsia="en-GB"/>
        </w:rPr>
        <w:t xml:space="preserve"> within power, heat and transport,</w:t>
      </w:r>
      <w:r w:rsidR="002404A2" w:rsidRPr="00923427">
        <w:rPr>
          <w:rFonts w:ascii="Open Sans" w:hAnsi="Open Sans" w:cs="Open Sans"/>
          <w:sz w:val="20"/>
          <w:szCs w:val="20"/>
          <w:lang w:eastAsia="en-GB"/>
        </w:rPr>
        <w:t xml:space="preserve"> as further development and strategically important sectors are established. </w:t>
      </w:r>
    </w:p>
    <w:p w14:paraId="1E6D56B8" w14:textId="7711130C" w:rsidR="00C577D8" w:rsidRPr="00923427" w:rsidRDefault="00FD6846" w:rsidP="00C577D8">
      <w:pPr>
        <w:rPr>
          <w:rFonts w:ascii="Open Sans" w:hAnsi="Open Sans" w:cs="Open Sans"/>
          <w:b/>
          <w:bCs/>
          <w:i/>
          <w:iCs/>
          <w:sz w:val="20"/>
          <w:szCs w:val="20"/>
          <w:lang w:eastAsia="en-GB"/>
        </w:rPr>
      </w:pPr>
      <w:r w:rsidRPr="00923427">
        <w:rPr>
          <w:rFonts w:ascii="Open Sans" w:hAnsi="Open Sans" w:cs="Open Sans"/>
          <w:b/>
          <w:bCs/>
          <w:i/>
          <w:iCs/>
          <w:sz w:val="20"/>
          <w:szCs w:val="20"/>
          <w:lang w:eastAsia="en-GB"/>
        </w:rPr>
        <w:t>R</w:t>
      </w:r>
      <w:r w:rsidR="003A2360" w:rsidRPr="00923427">
        <w:rPr>
          <w:rFonts w:ascii="Open Sans" w:hAnsi="Open Sans" w:cs="Open Sans"/>
          <w:b/>
          <w:bCs/>
          <w:i/>
          <w:iCs/>
          <w:sz w:val="20"/>
          <w:szCs w:val="20"/>
          <w:lang w:eastAsia="en-GB"/>
        </w:rPr>
        <w:t xml:space="preserve">ewarding </w:t>
      </w:r>
      <w:r w:rsidR="00172EF2" w:rsidRPr="00923427">
        <w:rPr>
          <w:rFonts w:ascii="Open Sans" w:hAnsi="Open Sans" w:cs="Open Sans"/>
          <w:b/>
          <w:bCs/>
          <w:i/>
          <w:iCs/>
          <w:sz w:val="20"/>
          <w:szCs w:val="20"/>
          <w:lang w:eastAsia="en-GB"/>
        </w:rPr>
        <w:t>e</w:t>
      </w:r>
      <w:r w:rsidR="003A2360" w:rsidRPr="00923427">
        <w:rPr>
          <w:rFonts w:ascii="Open Sans" w:hAnsi="Open Sans" w:cs="Open Sans"/>
          <w:b/>
          <w:bCs/>
          <w:i/>
          <w:iCs/>
          <w:sz w:val="20"/>
          <w:szCs w:val="20"/>
          <w:lang w:eastAsia="en-GB"/>
        </w:rPr>
        <w:t>nergy</w:t>
      </w:r>
      <w:r w:rsidRPr="00923427">
        <w:rPr>
          <w:rFonts w:ascii="Open Sans" w:hAnsi="Open Sans" w:cs="Open Sans"/>
          <w:b/>
          <w:bCs/>
          <w:i/>
          <w:iCs/>
          <w:sz w:val="20"/>
          <w:szCs w:val="20"/>
          <w:lang w:eastAsia="en-GB"/>
        </w:rPr>
        <w:t xml:space="preserve"> </w:t>
      </w:r>
      <w:r w:rsidR="00172EF2" w:rsidRPr="00923427">
        <w:rPr>
          <w:rFonts w:ascii="Open Sans" w:hAnsi="Open Sans" w:cs="Open Sans"/>
          <w:b/>
          <w:bCs/>
          <w:i/>
          <w:iCs/>
          <w:sz w:val="20"/>
          <w:szCs w:val="20"/>
          <w:lang w:eastAsia="en-GB"/>
        </w:rPr>
        <w:t>c</w:t>
      </w:r>
      <w:r w:rsidR="00C577D8" w:rsidRPr="00923427">
        <w:rPr>
          <w:rFonts w:ascii="Open Sans" w:hAnsi="Open Sans" w:cs="Open Sans"/>
          <w:b/>
          <w:bCs/>
          <w:i/>
          <w:iCs/>
          <w:sz w:val="20"/>
          <w:szCs w:val="20"/>
          <w:lang w:eastAsia="en-GB"/>
        </w:rPr>
        <w:t>onversion</w:t>
      </w:r>
      <w:r w:rsidRPr="00923427">
        <w:rPr>
          <w:rFonts w:ascii="Open Sans" w:hAnsi="Open Sans" w:cs="Open Sans"/>
          <w:b/>
          <w:bCs/>
          <w:i/>
          <w:iCs/>
          <w:sz w:val="20"/>
          <w:szCs w:val="20"/>
          <w:lang w:eastAsia="en-GB"/>
        </w:rPr>
        <w:t xml:space="preserve">, </w:t>
      </w:r>
      <w:r w:rsidR="00FF1DD7" w:rsidRPr="00923427">
        <w:rPr>
          <w:rFonts w:ascii="Open Sans" w:hAnsi="Open Sans" w:cs="Open Sans"/>
          <w:b/>
          <w:bCs/>
          <w:i/>
          <w:iCs/>
          <w:sz w:val="20"/>
          <w:szCs w:val="20"/>
          <w:lang w:eastAsia="en-GB"/>
        </w:rPr>
        <w:t>transport,</w:t>
      </w:r>
      <w:r w:rsidRPr="00923427">
        <w:rPr>
          <w:rFonts w:ascii="Open Sans" w:hAnsi="Open Sans" w:cs="Open Sans"/>
          <w:b/>
          <w:bCs/>
          <w:i/>
          <w:iCs/>
          <w:sz w:val="20"/>
          <w:szCs w:val="20"/>
          <w:lang w:eastAsia="en-GB"/>
        </w:rPr>
        <w:t xml:space="preserve"> and </w:t>
      </w:r>
      <w:r w:rsidR="00172EF2" w:rsidRPr="00923427">
        <w:rPr>
          <w:rFonts w:ascii="Open Sans" w:hAnsi="Open Sans" w:cs="Open Sans"/>
          <w:b/>
          <w:bCs/>
          <w:i/>
          <w:iCs/>
          <w:sz w:val="20"/>
          <w:szCs w:val="20"/>
          <w:lang w:eastAsia="en-GB"/>
        </w:rPr>
        <w:t>s</w:t>
      </w:r>
      <w:r w:rsidRPr="00923427">
        <w:rPr>
          <w:rFonts w:ascii="Open Sans" w:hAnsi="Open Sans" w:cs="Open Sans"/>
          <w:b/>
          <w:bCs/>
          <w:i/>
          <w:iCs/>
          <w:sz w:val="20"/>
          <w:szCs w:val="20"/>
          <w:lang w:eastAsia="en-GB"/>
        </w:rPr>
        <w:t>cale</w:t>
      </w:r>
      <w:r w:rsidR="00C577D8" w:rsidRPr="00923427">
        <w:rPr>
          <w:rFonts w:ascii="Open Sans" w:hAnsi="Open Sans" w:cs="Open Sans"/>
          <w:b/>
          <w:bCs/>
          <w:i/>
          <w:iCs/>
          <w:sz w:val="20"/>
          <w:szCs w:val="20"/>
          <w:lang w:eastAsia="en-GB"/>
        </w:rPr>
        <w:t xml:space="preserve"> </w:t>
      </w:r>
      <w:r w:rsidR="00172EF2" w:rsidRPr="00923427">
        <w:rPr>
          <w:rFonts w:ascii="Open Sans" w:hAnsi="Open Sans" w:cs="Open Sans"/>
          <w:b/>
          <w:bCs/>
          <w:i/>
          <w:iCs/>
          <w:sz w:val="20"/>
          <w:szCs w:val="20"/>
          <w:lang w:eastAsia="en-GB"/>
        </w:rPr>
        <w:t>e</w:t>
      </w:r>
      <w:r w:rsidR="009C5F06" w:rsidRPr="00923427">
        <w:rPr>
          <w:rFonts w:ascii="Open Sans" w:hAnsi="Open Sans" w:cs="Open Sans"/>
          <w:b/>
          <w:bCs/>
          <w:i/>
          <w:iCs/>
          <w:sz w:val="20"/>
          <w:szCs w:val="20"/>
          <w:lang w:eastAsia="en-GB"/>
        </w:rPr>
        <w:t>fficiencies</w:t>
      </w:r>
      <w:r w:rsidR="00C577D8" w:rsidRPr="00923427">
        <w:rPr>
          <w:rFonts w:ascii="Open Sans" w:hAnsi="Open Sans" w:cs="Open Sans"/>
          <w:b/>
          <w:bCs/>
          <w:i/>
          <w:iCs/>
          <w:sz w:val="20"/>
          <w:szCs w:val="20"/>
          <w:lang w:eastAsia="en-GB"/>
        </w:rPr>
        <w:t xml:space="preserve"> </w:t>
      </w:r>
    </w:p>
    <w:p w14:paraId="0CBCB9C7" w14:textId="61B8DD85" w:rsidR="004A0681" w:rsidRPr="00923427" w:rsidRDefault="004A0681" w:rsidP="00C577D8">
      <w:pPr>
        <w:rPr>
          <w:rFonts w:ascii="Open Sans" w:hAnsi="Open Sans" w:cs="Open Sans"/>
          <w:sz w:val="20"/>
          <w:szCs w:val="20"/>
          <w:lang w:eastAsia="en-GB"/>
        </w:rPr>
      </w:pPr>
      <w:r w:rsidRPr="00923427">
        <w:rPr>
          <w:rFonts w:ascii="Open Sans" w:hAnsi="Open Sans" w:cs="Open Sans"/>
          <w:sz w:val="20"/>
          <w:szCs w:val="20"/>
          <w:lang w:eastAsia="en-GB"/>
        </w:rPr>
        <w:t>Efficiency of conversion</w:t>
      </w:r>
      <w:r w:rsidR="001A4BE5" w:rsidRPr="00923427">
        <w:rPr>
          <w:rFonts w:ascii="Open Sans" w:hAnsi="Open Sans" w:cs="Open Sans"/>
          <w:sz w:val="20"/>
          <w:szCs w:val="20"/>
          <w:lang w:eastAsia="en-GB"/>
        </w:rPr>
        <w:t xml:space="preserve"> is currently poorly </w:t>
      </w:r>
      <w:r w:rsidRPr="00923427">
        <w:rPr>
          <w:rFonts w:ascii="Open Sans" w:hAnsi="Open Sans" w:cs="Open Sans"/>
          <w:sz w:val="20"/>
          <w:szCs w:val="20"/>
          <w:lang w:eastAsia="en-GB"/>
        </w:rPr>
        <w:t>recognised within biomass policies</w:t>
      </w:r>
      <w:r w:rsidR="001A021F" w:rsidRPr="00923427">
        <w:rPr>
          <w:rFonts w:ascii="Open Sans" w:hAnsi="Open Sans" w:cs="Open Sans"/>
          <w:sz w:val="20"/>
          <w:szCs w:val="20"/>
          <w:lang w:eastAsia="en-GB"/>
        </w:rPr>
        <w:t>.</w:t>
      </w:r>
      <w:r w:rsidRPr="00923427">
        <w:rPr>
          <w:rFonts w:ascii="Open Sans" w:hAnsi="Open Sans" w:cs="Open Sans"/>
          <w:sz w:val="20"/>
          <w:szCs w:val="20"/>
          <w:lang w:eastAsia="en-GB"/>
        </w:rPr>
        <w:t xml:space="preserve"> Direct production of heat from biomass has the highest conversion efficiency matching those of fossil fuels and approaching 90%. </w:t>
      </w:r>
    </w:p>
    <w:p w14:paraId="52B0F6D3" w14:textId="38B4CF13" w:rsidR="009C5F06" w:rsidRPr="00923427" w:rsidRDefault="004A0681" w:rsidP="00C577D8">
      <w:pPr>
        <w:rPr>
          <w:rFonts w:ascii="Open Sans" w:hAnsi="Open Sans" w:cs="Open Sans"/>
          <w:sz w:val="20"/>
          <w:szCs w:val="20"/>
          <w:lang w:eastAsia="en-GB"/>
        </w:rPr>
      </w:pPr>
      <w:r w:rsidRPr="00923427">
        <w:rPr>
          <w:rFonts w:ascii="Open Sans" w:hAnsi="Open Sans" w:cs="Open Sans"/>
          <w:sz w:val="20"/>
          <w:szCs w:val="20"/>
          <w:lang w:eastAsia="en-GB"/>
        </w:rPr>
        <w:t xml:space="preserve">Further efficiencies are also realised in terms of geographical location with production of </w:t>
      </w:r>
      <w:r w:rsidR="001A021F" w:rsidRPr="00923427">
        <w:rPr>
          <w:rFonts w:ascii="Open Sans" w:hAnsi="Open Sans" w:cs="Open Sans"/>
          <w:sz w:val="20"/>
          <w:szCs w:val="20"/>
          <w:lang w:eastAsia="en-GB"/>
        </w:rPr>
        <w:t xml:space="preserve">wood </w:t>
      </w:r>
      <w:r w:rsidRPr="00923427">
        <w:rPr>
          <w:rFonts w:ascii="Open Sans" w:hAnsi="Open Sans" w:cs="Open Sans"/>
          <w:sz w:val="20"/>
          <w:szCs w:val="20"/>
          <w:lang w:eastAsia="en-GB"/>
        </w:rPr>
        <w:t>residues or wastes either on-site</w:t>
      </w:r>
      <w:r w:rsidR="001A4BE5" w:rsidRPr="00923427">
        <w:rPr>
          <w:rFonts w:ascii="Open Sans" w:hAnsi="Open Sans" w:cs="Open Sans"/>
          <w:sz w:val="20"/>
          <w:szCs w:val="20"/>
          <w:lang w:eastAsia="en-GB"/>
        </w:rPr>
        <w:t xml:space="preserve">, </w:t>
      </w:r>
      <w:r w:rsidRPr="00923427">
        <w:rPr>
          <w:rFonts w:ascii="Open Sans" w:hAnsi="Open Sans" w:cs="Open Sans"/>
          <w:sz w:val="20"/>
          <w:szCs w:val="20"/>
          <w:lang w:eastAsia="en-GB"/>
        </w:rPr>
        <w:t>or nearby</w:t>
      </w:r>
      <w:r w:rsidR="001A4BE5" w:rsidRPr="00923427">
        <w:rPr>
          <w:rFonts w:ascii="Open Sans" w:hAnsi="Open Sans" w:cs="Open Sans"/>
          <w:sz w:val="20"/>
          <w:szCs w:val="20"/>
          <w:lang w:eastAsia="en-GB"/>
        </w:rPr>
        <w:t>,</w:t>
      </w:r>
      <w:r w:rsidRPr="00923427">
        <w:rPr>
          <w:rFonts w:ascii="Open Sans" w:hAnsi="Open Sans" w:cs="Open Sans"/>
          <w:sz w:val="20"/>
          <w:szCs w:val="20"/>
          <w:lang w:eastAsia="en-GB"/>
        </w:rPr>
        <w:t xml:space="preserve"> avoiding transport costs and </w:t>
      </w:r>
      <w:r w:rsidR="001A4BE5" w:rsidRPr="00923427">
        <w:rPr>
          <w:rFonts w:ascii="Open Sans" w:hAnsi="Open Sans" w:cs="Open Sans"/>
          <w:sz w:val="20"/>
          <w:szCs w:val="20"/>
          <w:lang w:eastAsia="en-GB"/>
        </w:rPr>
        <w:t xml:space="preserve">avoiding related emissions, providing economic, energy and carbon efficiencies. </w:t>
      </w:r>
      <w:r w:rsidR="00FD6846" w:rsidRPr="00923427">
        <w:rPr>
          <w:rFonts w:ascii="Open Sans" w:hAnsi="Open Sans" w:cs="Open Sans"/>
          <w:sz w:val="20"/>
          <w:szCs w:val="20"/>
          <w:lang w:eastAsia="en-GB"/>
        </w:rPr>
        <w:t xml:space="preserve"> </w:t>
      </w:r>
    </w:p>
    <w:p w14:paraId="56A29CBD" w14:textId="6620D45C" w:rsidR="001A4BE5" w:rsidRPr="00923427" w:rsidRDefault="001A4BE5" w:rsidP="00C577D8">
      <w:pPr>
        <w:rPr>
          <w:rFonts w:ascii="Open Sans" w:hAnsi="Open Sans" w:cs="Open Sans"/>
          <w:sz w:val="20"/>
          <w:szCs w:val="20"/>
          <w:lang w:eastAsia="en-GB"/>
        </w:rPr>
      </w:pPr>
      <w:r w:rsidRPr="00923427">
        <w:rPr>
          <w:rFonts w:ascii="Open Sans" w:hAnsi="Open Sans" w:cs="Open Sans"/>
          <w:sz w:val="20"/>
          <w:szCs w:val="20"/>
          <w:lang w:eastAsia="en-GB"/>
        </w:rPr>
        <w:t xml:space="preserve">Transformation of biomass to other </w:t>
      </w:r>
      <w:r w:rsidR="001A021F" w:rsidRPr="00923427">
        <w:rPr>
          <w:rFonts w:ascii="Open Sans" w:hAnsi="Open Sans" w:cs="Open Sans"/>
          <w:sz w:val="20"/>
          <w:szCs w:val="20"/>
          <w:lang w:eastAsia="en-GB"/>
        </w:rPr>
        <w:t xml:space="preserve">energy </w:t>
      </w:r>
      <w:r w:rsidRPr="00923427">
        <w:rPr>
          <w:rFonts w:ascii="Open Sans" w:hAnsi="Open Sans" w:cs="Open Sans"/>
          <w:sz w:val="20"/>
          <w:szCs w:val="20"/>
          <w:lang w:eastAsia="en-GB"/>
        </w:rPr>
        <w:t>products will mean a loss of efficiencies, especially if going through multiple conversions to get to a</w:t>
      </w:r>
      <w:r w:rsidR="003A2360" w:rsidRPr="00923427">
        <w:rPr>
          <w:rFonts w:ascii="Open Sans" w:hAnsi="Open Sans" w:cs="Open Sans"/>
          <w:sz w:val="20"/>
          <w:szCs w:val="20"/>
          <w:lang w:eastAsia="en-GB"/>
        </w:rPr>
        <w:t xml:space="preserve"> particular</w:t>
      </w:r>
      <w:r w:rsidRPr="00923427">
        <w:rPr>
          <w:rFonts w:ascii="Open Sans" w:hAnsi="Open Sans" w:cs="Open Sans"/>
          <w:sz w:val="20"/>
          <w:szCs w:val="20"/>
          <w:lang w:eastAsia="en-GB"/>
        </w:rPr>
        <w:t xml:space="preserve"> end use. For this reason, there is an advantage in moving to larger scales with such projects, gaining improved efficiencies and lowering capital costs. </w:t>
      </w:r>
    </w:p>
    <w:p w14:paraId="6A051680" w14:textId="30B4BA59" w:rsidR="00FD6846" w:rsidRPr="00923427" w:rsidRDefault="003A2360" w:rsidP="00C577D8">
      <w:pPr>
        <w:rPr>
          <w:rFonts w:ascii="Open Sans" w:hAnsi="Open Sans" w:cs="Open Sans"/>
          <w:sz w:val="20"/>
          <w:szCs w:val="20"/>
          <w:lang w:eastAsia="en-GB"/>
        </w:rPr>
      </w:pPr>
      <w:r w:rsidRPr="00923427">
        <w:rPr>
          <w:rFonts w:ascii="Open Sans" w:hAnsi="Open Sans" w:cs="Open Sans"/>
          <w:sz w:val="20"/>
          <w:szCs w:val="20"/>
          <w:lang w:eastAsia="en-GB"/>
        </w:rPr>
        <w:t>Improved</w:t>
      </w:r>
      <w:r w:rsidR="00FD6846" w:rsidRPr="00923427">
        <w:rPr>
          <w:rFonts w:ascii="Open Sans" w:hAnsi="Open Sans" w:cs="Open Sans"/>
          <w:sz w:val="20"/>
          <w:szCs w:val="20"/>
          <w:lang w:eastAsia="en-GB"/>
        </w:rPr>
        <w:t xml:space="preserve"> efficiencies, in energy conversion, transport of feedstock or scale should </w:t>
      </w:r>
      <w:r w:rsidRPr="00923427">
        <w:rPr>
          <w:rFonts w:ascii="Open Sans" w:hAnsi="Open Sans" w:cs="Open Sans"/>
          <w:sz w:val="20"/>
          <w:szCs w:val="20"/>
          <w:lang w:eastAsia="en-GB"/>
        </w:rPr>
        <w:t xml:space="preserve">therefore </w:t>
      </w:r>
      <w:r w:rsidR="00FD6846" w:rsidRPr="00923427">
        <w:rPr>
          <w:rFonts w:ascii="Open Sans" w:hAnsi="Open Sans" w:cs="Open Sans"/>
          <w:sz w:val="20"/>
          <w:szCs w:val="20"/>
          <w:lang w:eastAsia="en-GB"/>
        </w:rPr>
        <w:t xml:space="preserve">be promoted in bioenergy policy, </w:t>
      </w:r>
      <w:r w:rsidR="001A021F" w:rsidRPr="00923427">
        <w:rPr>
          <w:rFonts w:ascii="Open Sans" w:hAnsi="Open Sans" w:cs="Open Sans"/>
          <w:sz w:val="20"/>
          <w:szCs w:val="20"/>
          <w:lang w:eastAsia="en-GB"/>
        </w:rPr>
        <w:t>to</w:t>
      </w:r>
      <w:r w:rsidRPr="00923427">
        <w:rPr>
          <w:rFonts w:ascii="Open Sans" w:hAnsi="Open Sans" w:cs="Open Sans"/>
          <w:sz w:val="20"/>
          <w:szCs w:val="20"/>
          <w:lang w:eastAsia="en-GB"/>
        </w:rPr>
        <w:t xml:space="preserve"> </w:t>
      </w:r>
      <w:r w:rsidR="00FD6846" w:rsidRPr="00923427">
        <w:rPr>
          <w:rFonts w:ascii="Open Sans" w:hAnsi="Open Sans" w:cs="Open Sans"/>
          <w:sz w:val="20"/>
          <w:szCs w:val="20"/>
          <w:lang w:eastAsia="en-GB"/>
        </w:rPr>
        <w:t>ultimately provid</w:t>
      </w:r>
      <w:r w:rsidR="001A021F" w:rsidRPr="00923427">
        <w:rPr>
          <w:rFonts w:ascii="Open Sans" w:hAnsi="Open Sans" w:cs="Open Sans"/>
          <w:sz w:val="20"/>
          <w:szCs w:val="20"/>
          <w:lang w:eastAsia="en-GB"/>
        </w:rPr>
        <w:t>e</w:t>
      </w:r>
      <w:r w:rsidR="00FD6846" w:rsidRPr="00923427">
        <w:rPr>
          <w:rFonts w:ascii="Open Sans" w:hAnsi="Open Sans" w:cs="Open Sans"/>
          <w:sz w:val="20"/>
          <w:szCs w:val="20"/>
          <w:lang w:eastAsia="en-GB"/>
        </w:rPr>
        <w:t xml:space="preserve"> the best economic and GHG returns. </w:t>
      </w:r>
    </w:p>
    <w:p w14:paraId="58A0DFBF" w14:textId="02966C1E" w:rsidR="003A2360" w:rsidRPr="00923427" w:rsidRDefault="001A4BE5" w:rsidP="00C577D8">
      <w:pPr>
        <w:rPr>
          <w:rFonts w:ascii="Open Sans" w:hAnsi="Open Sans" w:cs="Open Sans"/>
          <w:sz w:val="20"/>
          <w:szCs w:val="20"/>
          <w:lang w:eastAsia="en-GB"/>
        </w:rPr>
      </w:pPr>
      <w:r w:rsidRPr="00923427">
        <w:rPr>
          <w:rFonts w:ascii="Open Sans" w:hAnsi="Open Sans" w:cs="Open Sans"/>
          <w:sz w:val="20"/>
          <w:szCs w:val="20"/>
          <w:lang w:eastAsia="en-GB"/>
        </w:rPr>
        <w:t>Given many strategically important innovations</w:t>
      </w:r>
      <w:r w:rsidR="00FD6846" w:rsidRPr="00923427">
        <w:rPr>
          <w:rFonts w:ascii="Open Sans" w:hAnsi="Open Sans" w:cs="Open Sans"/>
          <w:sz w:val="20"/>
          <w:szCs w:val="20"/>
          <w:lang w:eastAsia="en-GB"/>
        </w:rPr>
        <w:t>, like the addition of bioenergy carbon capture and storage, could see the reduction in efficiencies</w:t>
      </w:r>
      <w:r w:rsidR="003A2360" w:rsidRPr="00923427">
        <w:rPr>
          <w:rFonts w:ascii="Open Sans" w:hAnsi="Open Sans" w:cs="Open Sans"/>
          <w:sz w:val="20"/>
          <w:szCs w:val="20"/>
          <w:lang w:eastAsia="en-GB"/>
        </w:rPr>
        <w:t xml:space="preserve"> in conversion technologies,</w:t>
      </w:r>
      <w:r w:rsidR="00FD6846" w:rsidRPr="00923427">
        <w:rPr>
          <w:rFonts w:ascii="Open Sans" w:hAnsi="Open Sans" w:cs="Open Sans"/>
          <w:sz w:val="20"/>
          <w:szCs w:val="20"/>
          <w:lang w:eastAsia="en-GB"/>
        </w:rPr>
        <w:t xml:space="preserve"> it is important that the base technology producing the </w:t>
      </w:r>
      <w:r w:rsidR="003A2360" w:rsidRPr="00923427">
        <w:rPr>
          <w:rFonts w:ascii="Open Sans" w:hAnsi="Open Sans" w:cs="Open Sans"/>
          <w:sz w:val="20"/>
          <w:szCs w:val="20"/>
          <w:lang w:eastAsia="en-GB"/>
        </w:rPr>
        <w:t>energy</w:t>
      </w:r>
      <w:r w:rsidR="00FD6846" w:rsidRPr="00923427">
        <w:rPr>
          <w:rFonts w:ascii="Open Sans" w:hAnsi="Open Sans" w:cs="Open Sans"/>
          <w:sz w:val="20"/>
          <w:szCs w:val="20"/>
          <w:lang w:eastAsia="en-GB"/>
        </w:rPr>
        <w:t xml:space="preserve"> conversion</w:t>
      </w:r>
      <w:r w:rsidR="003A2360" w:rsidRPr="00923427">
        <w:rPr>
          <w:rFonts w:ascii="Open Sans" w:hAnsi="Open Sans" w:cs="Open Sans"/>
          <w:sz w:val="20"/>
          <w:szCs w:val="20"/>
          <w:lang w:eastAsia="en-GB"/>
        </w:rPr>
        <w:t xml:space="preserve">, or the transportation of feedstock, should have a high efficiency to begin with </w:t>
      </w:r>
      <w:r w:rsidR="001A021F" w:rsidRPr="00923427">
        <w:rPr>
          <w:rFonts w:ascii="Open Sans" w:hAnsi="Open Sans" w:cs="Open Sans"/>
          <w:sz w:val="20"/>
          <w:szCs w:val="20"/>
          <w:lang w:eastAsia="en-GB"/>
        </w:rPr>
        <w:t>to</w:t>
      </w:r>
      <w:r w:rsidR="003A2360" w:rsidRPr="00923427">
        <w:rPr>
          <w:rFonts w:ascii="Open Sans" w:hAnsi="Open Sans" w:cs="Open Sans"/>
          <w:sz w:val="20"/>
          <w:szCs w:val="20"/>
          <w:lang w:eastAsia="en-GB"/>
        </w:rPr>
        <w:t xml:space="preserve"> realise the best carbon savings.</w:t>
      </w:r>
    </w:p>
    <w:p w14:paraId="51D8B3F8" w14:textId="03156974" w:rsidR="00F16CA4" w:rsidRPr="00923427" w:rsidRDefault="00F16CA4" w:rsidP="00C577D8">
      <w:pPr>
        <w:rPr>
          <w:rFonts w:ascii="Open Sans" w:hAnsi="Open Sans" w:cs="Open Sans"/>
          <w:b/>
          <w:bCs/>
          <w:i/>
          <w:iCs/>
          <w:sz w:val="20"/>
          <w:szCs w:val="20"/>
          <w:lang w:eastAsia="en-GB"/>
        </w:rPr>
      </w:pPr>
      <w:r w:rsidRPr="00923427">
        <w:rPr>
          <w:rFonts w:ascii="Open Sans" w:hAnsi="Open Sans" w:cs="Open Sans"/>
          <w:b/>
          <w:bCs/>
          <w:i/>
          <w:iCs/>
          <w:sz w:val="20"/>
          <w:szCs w:val="20"/>
          <w:lang w:eastAsia="en-GB"/>
        </w:rPr>
        <w:t>Rewarding further environmental benefits</w:t>
      </w:r>
    </w:p>
    <w:p w14:paraId="336CF7C4" w14:textId="485C2D49" w:rsidR="00F16CA4" w:rsidRPr="00923427" w:rsidRDefault="00F16CA4" w:rsidP="00C577D8">
      <w:pPr>
        <w:rPr>
          <w:rFonts w:ascii="Open Sans" w:hAnsi="Open Sans" w:cs="Open Sans"/>
          <w:sz w:val="20"/>
          <w:szCs w:val="20"/>
          <w:lang w:eastAsia="en-GB"/>
        </w:rPr>
      </w:pPr>
      <w:r w:rsidRPr="00923427">
        <w:rPr>
          <w:rFonts w:ascii="Open Sans" w:hAnsi="Open Sans" w:cs="Open Sans"/>
          <w:sz w:val="20"/>
          <w:szCs w:val="20"/>
          <w:lang w:eastAsia="en-GB"/>
        </w:rPr>
        <w:t xml:space="preserve">Bioenergy policy needs to </w:t>
      </w:r>
      <w:r w:rsidR="00DB7D28" w:rsidRPr="00923427">
        <w:rPr>
          <w:rFonts w:ascii="Open Sans" w:hAnsi="Open Sans" w:cs="Open Sans"/>
          <w:sz w:val="20"/>
          <w:szCs w:val="20"/>
          <w:lang w:eastAsia="en-GB"/>
        </w:rPr>
        <w:t>be designed in conjunction with</w:t>
      </w:r>
      <w:r w:rsidRPr="00923427">
        <w:rPr>
          <w:rFonts w:ascii="Open Sans" w:hAnsi="Open Sans" w:cs="Open Sans"/>
          <w:sz w:val="20"/>
          <w:szCs w:val="20"/>
          <w:lang w:eastAsia="en-GB"/>
        </w:rPr>
        <w:t xml:space="preserve"> </w:t>
      </w:r>
      <w:r w:rsidR="00600736" w:rsidRPr="00923427">
        <w:rPr>
          <w:rFonts w:ascii="Open Sans" w:hAnsi="Open Sans" w:cs="Open Sans"/>
          <w:sz w:val="20"/>
          <w:szCs w:val="20"/>
          <w:lang w:eastAsia="en-GB"/>
        </w:rPr>
        <w:t>environmental land management policies so that further environmental benefits beyond carbon abatement are also rewarded and encouraged. As described in question 3 and 4,</w:t>
      </w:r>
      <w:r w:rsidR="00DB7D28" w:rsidRPr="00923427">
        <w:rPr>
          <w:rFonts w:ascii="Open Sans" w:hAnsi="Open Sans" w:cs="Open Sans"/>
          <w:sz w:val="20"/>
          <w:szCs w:val="20"/>
          <w:lang w:eastAsia="en-GB"/>
        </w:rPr>
        <w:t xml:space="preserve"> growth of domestic</w:t>
      </w:r>
      <w:r w:rsidR="00600736" w:rsidRPr="00923427">
        <w:rPr>
          <w:rFonts w:ascii="Open Sans" w:hAnsi="Open Sans" w:cs="Open Sans"/>
          <w:sz w:val="20"/>
          <w:szCs w:val="20"/>
          <w:lang w:eastAsia="en-GB"/>
        </w:rPr>
        <w:t xml:space="preserve"> biomass feedstocks</w:t>
      </w:r>
      <w:r w:rsidR="00DB7D28" w:rsidRPr="00923427">
        <w:rPr>
          <w:rFonts w:ascii="Open Sans" w:hAnsi="Open Sans" w:cs="Open Sans"/>
          <w:sz w:val="20"/>
          <w:szCs w:val="20"/>
          <w:lang w:eastAsia="en-GB"/>
        </w:rPr>
        <w:t xml:space="preserve">, when done right, </w:t>
      </w:r>
      <w:r w:rsidR="00600736" w:rsidRPr="00923427">
        <w:rPr>
          <w:rFonts w:ascii="Open Sans" w:hAnsi="Open Sans" w:cs="Open Sans"/>
          <w:sz w:val="20"/>
          <w:szCs w:val="20"/>
          <w:lang w:eastAsia="en-GB"/>
        </w:rPr>
        <w:t>can include delivering biodiversity, sustainable agricultural practices, carbon sequestration in soils</w:t>
      </w:r>
      <w:r w:rsidR="00DB7D28" w:rsidRPr="00923427">
        <w:rPr>
          <w:rFonts w:ascii="Open Sans" w:hAnsi="Open Sans" w:cs="Open Sans"/>
          <w:sz w:val="20"/>
          <w:szCs w:val="20"/>
          <w:lang w:eastAsia="en-GB"/>
        </w:rPr>
        <w:t>, as well as</w:t>
      </w:r>
      <w:r w:rsidR="00600736" w:rsidRPr="00923427">
        <w:rPr>
          <w:rFonts w:ascii="Open Sans" w:hAnsi="Open Sans" w:cs="Open Sans"/>
          <w:sz w:val="20"/>
          <w:szCs w:val="20"/>
          <w:lang w:eastAsia="en-GB"/>
        </w:rPr>
        <w:t xml:space="preserve"> flooding and wildfire management. Such benefits should be rewarded through land management policies,</w:t>
      </w:r>
      <w:r w:rsidR="00DB7D28" w:rsidRPr="00923427">
        <w:rPr>
          <w:rFonts w:ascii="Open Sans" w:hAnsi="Open Sans" w:cs="Open Sans"/>
          <w:sz w:val="20"/>
          <w:szCs w:val="20"/>
          <w:lang w:eastAsia="en-GB"/>
        </w:rPr>
        <w:t xml:space="preserve"> building them into </w:t>
      </w:r>
      <w:r w:rsidR="00462B0E" w:rsidRPr="00923427">
        <w:rPr>
          <w:rFonts w:ascii="Open Sans" w:hAnsi="Open Sans" w:cs="Open Sans"/>
          <w:sz w:val="20"/>
          <w:szCs w:val="20"/>
          <w:lang w:eastAsia="en-GB"/>
        </w:rPr>
        <w:t>the design</w:t>
      </w:r>
      <w:r w:rsidR="00600736" w:rsidRPr="00923427">
        <w:rPr>
          <w:rFonts w:ascii="Open Sans" w:hAnsi="Open Sans" w:cs="Open Sans"/>
          <w:sz w:val="20"/>
          <w:szCs w:val="20"/>
          <w:lang w:eastAsia="en-GB"/>
        </w:rPr>
        <w:t xml:space="preserve"> of the Environmental Land Management Scheme and national tree strategies</w:t>
      </w:r>
      <w:r w:rsidR="00DB7D28" w:rsidRPr="00923427">
        <w:rPr>
          <w:rFonts w:ascii="Open Sans" w:hAnsi="Open Sans" w:cs="Open Sans"/>
          <w:sz w:val="20"/>
          <w:szCs w:val="20"/>
          <w:lang w:eastAsia="en-GB"/>
        </w:rPr>
        <w:t xml:space="preserve">, while also recognising that the best route to realising these benefits is to ensure </w:t>
      </w:r>
      <w:r w:rsidR="00462B0E" w:rsidRPr="00923427">
        <w:rPr>
          <w:rFonts w:ascii="Open Sans" w:hAnsi="Open Sans" w:cs="Open Sans"/>
          <w:sz w:val="20"/>
          <w:szCs w:val="20"/>
          <w:lang w:eastAsia="en-GB"/>
        </w:rPr>
        <w:t xml:space="preserve">market </w:t>
      </w:r>
      <w:r w:rsidR="00DB7D28" w:rsidRPr="00923427">
        <w:rPr>
          <w:rFonts w:ascii="Open Sans" w:hAnsi="Open Sans" w:cs="Open Sans"/>
          <w:sz w:val="20"/>
          <w:szCs w:val="20"/>
          <w:lang w:eastAsia="en-GB"/>
        </w:rPr>
        <w:t xml:space="preserve">demand is in place </w:t>
      </w:r>
      <w:r w:rsidR="00462B0E" w:rsidRPr="00923427">
        <w:rPr>
          <w:rFonts w:ascii="Open Sans" w:hAnsi="Open Sans" w:cs="Open Sans"/>
          <w:sz w:val="20"/>
          <w:szCs w:val="20"/>
          <w:lang w:eastAsia="en-GB"/>
        </w:rPr>
        <w:t xml:space="preserve">to make it viable for land managers to grow such products. </w:t>
      </w:r>
    </w:p>
    <w:p w14:paraId="3A4F8E50" w14:textId="73C2C4EB" w:rsidR="003A2360" w:rsidRPr="00923427" w:rsidRDefault="002404A2" w:rsidP="00C577D8">
      <w:pPr>
        <w:rPr>
          <w:rFonts w:ascii="Open Sans" w:hAnsi="Open Sans" w:cs="Open Sans"/>
          <w:b/>
          <w:bCs/>
          <w:i/>
          <w:iCs/>
          <w:sz w:val="20"/>
          <w:szCs w:val="20"/>
          <w:lang w:eastAsia="en-GB"/>
        </w:rPr>
      </w:pPr>
      <w:r w:rsidRPr="00923427">
        <w:rPr>
          <w:rFonts w:ascii="Open Sans" w:hAnsi="Open Sans" w:cs="Open Sans"/>
          <w:b/>
          <w:bCs/>
          <w:i/>
          <w:iCs/>
          <w:sz w:val="20"/>
          <w:szCs w:val="20"/>
          <w:lang w:eastAsia="en-GB"/>
        </w:rPr>
        <w:t xml:space="preserve">Recognising </w:t>
      </w:r>
      <w:r w:rsidR="00172EF2" w:rsidRPr="00923427">
        <w:rPr>
          <w:rFonts w:ascii="Open Sans" w:hAnsi="Open Sans" w:cs="Open Sans"/>
          <w:b/>
          <w:bCs/>
          <w:i/>
          <w:iCs/>
          <w:sz w:val="20"/>
          <w:szCs w:val="20"/>
          <w:lang w:eastAsia="en-GB"/>
        </w:rPr>
        <w:t>f</w:t>
      </w:r>
      <w:r w:rsidR="003A2360" w:rsidRPr="00923427">
        <w:rPr>
          <w:rFonts w:ascii="Open Sans" w:hAnsi="Open Sans" w:cs="Open Sans"/>
          <w:b/>
          <w:bCs/>
          <w:i/>
          <w:iCs/>
          <w:sz w:val="20"/>
          <w:szCs w:val="20"/>
          <w:lang w:eastAsia="en-GB"/>
        </w:rPr>
        <w:t xml:space="preserve">urther </w:t>
      </w:r>
      <w:r w:rsidR="00172EF2" w:rsidRPr="00923427">
        <w:rPr>
          <w:rFonts w:ascii="Open Sans" w:hAnsi="Open Sans" w:cs="Open Sans"/>
          <w:b/>
          <w:bCs/>
          <w:i/>
          <w:iCs/>
          <w:sz w:val="20"/>
          <w:szCs w:val="20"/>
          <w:lang w:eastAsia="en-GB"/>
        </w:rPr>
        <w:t>s</w:t>
      </w:r>
      <w:r w:rsidR="003A2360" w:rsidRPr="00923427">
        <w:rPr>
          <w:rFonts w:ascii="Open Sans" w:hAnsi="Open Sans" w:cs="Open Sans"/>
          <w:b/>
          <w:bCs/>
          <w:i/>
          <w:iCs/>
          <w:sz w:val="20"/>
          <w:szCs w:val="20"/>
          <w:lang w:eastAsia="en-GB"/>
        </w:rPr>
        <w:t xml:space="preserve">ocial and </w:t>
      </w:r>
      <w:r w:rsidR="00172EF2" w:rsidRPr="00923427">
        <w:rPr>
          <w:rFonts w:ascii="Open Sans" w:hAnsi="Open Sans" w:cs="Open Sans"/>
          <w:b/>
          <w:bCs/>
          <w:i/>
          <w:iCs/>
          <w:sz w:val="20"/>
          <w:szCs w:val="20"/>
          <w:lang w:eastAsia="en-GB"/>
        </w:rPr>
        <w:t>e</w:t>
      </w:r>
      <w:r w:rsidR="003A2360" w:rsidRPr="00923427">
        <w:rPr>
          <w:rFonts w:ascii="Open Sans" w:hAnsi="Open Sans" w:cs="Open Sans"/>
          <w:b/>
          <w:bCs/>
          <w:i/>
          <w:iCs/>
          <w:sz w:val="20"/>
          <w:szCs w:val="20"/>
          <w:lang w:eastAsia="en-GB"/>
        </w:rPr>
        <w:t xml:space="preserve">conomic </w:t>
      </w:r>
      <w:r w:rsidR="00172EF2" w:rsidRPr="00923427">
        <w:rPr>
          <w:rFonts w:ascii="Open Sans" w:hAnsi="Open Sans" w:cs="Open Sans"/>
          <w:b/>
          <w:bCs/>
          <w:i/>
          <w:iCs/>
          <w:sz w:val="20"/>
          <w:szCs w:val="20"/>
          <w:lang w:eastAsia="en-GB"/>
        </w:rPr>
        <w:t>b</w:t>
      </w:r>
      <w:r w:rsidR="003A2360" w:rsidRPr="00923427">
        <w:rPr>
          <w:rFonts w:ascii="Open Sans" w:hAnsi="Open Sans" w:cs="Open Sans"/>
          <w:b/>
          <w:bCs/>
          <w:i/>
          <w:iCs/>
          <w:sz w:val="20"/>
          <w:szCs w:val="20"/>
          <w:lang w:eastAsia="en-GB"/>
        </w:rPr>
        <w:t>enefits</w:t>
      </w:r>
    </w:p>
    <w:p w14:paraId="561CB30D" w14:textId="31A4AD33" w:rsidR="00F16CA4" w:rsidRPr="00923427" w:rsidRDefault="00F16CA4" w:rsidP="00C577D8">
      <w:pPr>
        <w:rPr>
          <w:rFonts w:ascii="Open Sans" w:hAnsi="Open Sans" w:cs="Open Sans"/>
          <w:sz w:val="20"/>
          <w:szCs w:val="20"/>
          <w:lang w:eastAsia="en-GB"/>
        </w:rPr>
      </w:pPr>
      <w:r w:rsidRPr="00923427">
        <w:rPr>
          <w:rFonts w:ascii="Open Sans" w:hAnsi="Open Sans" w:cs="Open Sans"/>
          <w:sz w:val="20"/>
          <w:szCs w:val="20"/>
          <w:lang w:eastAsia="en-GB"/>
        </w:rPr>
        <w:t xml:space="preserve">As described in answer to question </w:t>
      </w:r>
      <w:r w:rsidR="00600736" w:rsidRPr="00923427">
        <w:rPr>
          <w:rFonts w:ascii="Open Sans" w:hAnsi="Open Sans" w:cs="Open Sans"/>
          <w:sz w:val="20"/>
          <w:szCs w:val="20"/>
          <w:lang w:eastAsia="en-GB"/>
        </w:rPr>
        <w:t>4,</w:t>
      </w:r>
      <w:r w:rsidRPr="00923427">
        <w:rPr>
          <w:rFonts w:ascii="Open Sans" w:hAnsi="Open Sans" w:cs="Open Sans"/>
          <w:sz w:val="20"/>
          <w:szCs w:val="20"/>
          <w:lang w:eastAsia="en-GB"/>
        </w:rPr>
        <w:t xml:space="preserve"> bioenergy</w:t>
      </w:r>
      <w:r w:rsidR="00600736" w:rsidRPr="00923427">
        <w:rPr>
          <w:rFonts w:ascii="Open Sans" w:hAnsi="Open Sans" w:cs="Open Sans"/>
          <w:sz w:val="20"/>
          <w:szCs w:val="20"/>
          <w:lang w:eastAsia="en-GB"/>
        </w:rPr>
        <w:t xml:space="preserve"> </w:t>
      </w:r>
      <w:r w:rsidRPr="00923427">
        <w:rPr>
          <w:rFonts w:ascii="Open Sans" w:hAnsi="Open Sans" w:cs="Open Sans"/>
          <w:sz w:val="20"/>
          <w:szCs w:val="20"/>
          <w:lang w:eastAsia="en-GB"/>
        </w:rPr>
        <w:t>can</w:t>
      </w:r>
      <w:r w:rsidR="00600736" w:rsidRPr="00923427">
        <w:rPr>
          <w:rFonts w:ascii="Open Sans" w:hAnsi="Open Sans" w:cs="Open Sans"/>
          <w:sz w:val="20"/>
          <w:szCs w:val="20"/>
          <w:lang w:eastAsia="en-GB"/>
        </w:rPr>
        <w:t xml:space="preserve"> also</w:t>
      </w:r>
      <w:r w:rsidRPr="00923427">
        <w:rPr>
          <w:rFonts w:ascii="Open Sans" w:hAnsi="Open Sans" w:cs="Open Sans"/>
          <w:sz w:val="20"/>
          <w:szCs w:val="20"/>
          <w:lang w:eastAsia="en-GB"/>
        </w:rPr>
        <w:t xml:space="preserve"> provide a wide range of different social and economic benefits. </w:t>
      </w:r>
      <w:r w:rsidR="00600736" w:rsidRPr="00923427">
        <w:rPr>
          <w:rFonts w:ascii="Open Sans" w:hAnsi="Open Sans" w:cs="Open Sans"/>
          <w:sz w:val="20"/>
          <w:szCs w:val="20"/>
          <w:lang w:eastAsia="en-GB"/>
        </w:rPr>
        <w:t>Large numbers of</w:t>
      </w:r>
      <w:r w:rsidRPr="00923427">
        <w:rPr>
          <w:rFonts w:ascii="Open Sans" w:hAnsi="Open Sans" w:cs="Open Sans"/>
          <w:sz w:val="20"/>
          <w:szCs w:val="20"/>
          <w:lang w:eastAsia="en-GB"/>
        </w:rPr>
        <w:t xml:space="preserve"> skilled rural jobs, </w:t>
      </w:r>
      <w:r w:rsidR="00600736" w:rsidRPr="00923427">
        <w:rPr>
          <w:rFonts w:ascii="Open Sans" w:hAnsi="Open Sans" w:cs="Open Sans"/>
          <w:sz w:val="20"/>
          <w:szCs w:val="20"/>
          <w:lang w:eastAsia="en-GB"/>
        </w:rPr>
        <w:t xml:space="preserve">diversification of revenue streams for agriculture and waste management or sanitation benefits from the disposal of wastes. Bioenergy </w:t>
      </w:r>
      <w:r w:rsidR="00462B0E" w:rsidRPr="00923427">
        <w:rPr>
          <w:rFonts w:ascii="Open Sans" w:hAnsi="Open Sans" w:cs="Open Sans"/>
          <w:sz w:val="20"/>
          <w:szCs w:val="20"/>
          <w:lang w:eastAsia="en-GB"/>
        </w:rPr>
        <w:t xml:space="preserve">and resource </w:t>
      </w:r>
      <w:r w:rsidR="00600736" w:rsidRPr="00923427">
        <w:rPr>
          <w:rFonts w:ascii="Open Sans" w:hAnsi="Open Sans" w:cs="Open Sans"/>
          <w:sz w:val="20"/>
          <w:szCs w:val="20"/>
          <w:lang w:eastAsia="en-GB"/>
        </w:rPr>
        <w:t>policy should further recognise and promote these benefits within bioenergy supply chains</w:t>
      </w:r>
      <w:r w:rsidR="00462B0E" w:rsidRPr="00923427">
        <w:rPr>
          <w:rFonts w:ascii="Open Sans" w:hAnsi="Open Sans" w:cs="Open Sans"/>
          <w:sz w:val="20"/>
          <w:szCs w:val="20"/>
          <w:lang w:eastAsia="en-GB"/>
        </w:rPr>
        <w:t xml:space="preserve"> </w:t>
      </w:r>
      <w:r w:rsidR="002404A2" w:rsidRPr="00923427">
        <w:rPr>
          <w:rFonts w:ascii="Open Sans" w:hAnsi="Open Sans" w:cs="Open Sans"/>
          <w:sz w:val="20"/>
          <w:szCs w:val="20"/>
          <w:lang w:eastAsia="en-GB"/>
        </w:rPr>
        <w:t>to</w:t>
      </w:r>
      <w:r w:rsidR="00462B0E" w:rsidRPr="00923427">
        <w:rPr>
          <w:rFonts w:ascii="Open Sans" w:hAnsi="Open Sans" w:cs="Open Sans"/>
          <w:sz w:val="20"/>
          <w:szCs w:val="20"/>
          <w:lang w:eastAsia="en-GB"/>
        </w:rPr>
        <w:t xml:space="preserve"> further grow the bioeconomy. </w:t>
      </w:r>
    </w:p>
    <w:p w14:paraId="1595520D" w14:textId="1C797782" w:rsidR="00220257" w:rsidRPr="00923427" w:rsidRDefault="00220257" w:rsidP="00C577D8">
      <w:pPr>
        <w:pBdr>
          <w:bottom w:val="single" w:sz="6" w:space="1" w:color="auto"/>
        </w:pBdr>
        <w:rPr>
          <w:rFonts w:ascii="Open Sans" w:hAnsi="Open Sans" w:cs="Open Sans"/>
          <w:sz w:val="20"/>
          <w:szCs w:val="20"/>
          <w:lang w:eastAsia="en-GB"/>
        </w:rPr>
      </w:pPr>
    </w:p>
    <w:p w14:paraId="30FBC665" w14:textId="4E6FBDA5" w:rsidR="00B326CF" w:rsidRPr="00923427" w:rsidRDefault="00B326CF" w:rsidP="00B326CF">
      <w:pPr>
        <w:spacing w:before="100" w:beforeAutospacing="1" w:after="100" w:afterAutospacing="1" w:line="240" w:lineRule="auto"/>
        <w:rPr>
          <w:rFonts w:ascii="Open Sans" w:eastAsia="Times New Roman" w:hAnsi="Open Sans" w:cs="Open Sans"/>
          <w:b/>
          <w:bCs/>
          <w:color w:val="2F5496"/>
          <w:sz w:val="20"/>
          <w:szCs w:val="20"/>
          <w:lang w:eastAsia="en-GB"/>
        </w:rPr>
      </w:pPr>
      <w:r w:rsidRPr="00923427">
        <w:rPr>
          <w:rFonts w:ascii="Open Sans" w:eastAsia="Times New Roman" w:hAnsi="Open Sans" w:cs="Open Sans"/>
          <w:b/>
          <w:bCs/>
          <w:color w:val="2F5496"/>
          <w:sz w:val="20"/>
          <w:szCs w:val="20"/>
          <w:lang w:eastAsia="en-GB"/>
        </w:rPr>
        <w:t>11. When thinking of BECCS deployment, what specific arrangements are needed to incentivise deployment, compared to what could be needed to support other GGR and CCUS technologies as well as incentivising wider decarbonisation using biomass in the priority sectors identified?</w:t>
      </w:r>
    </w:p>
    <w:p w14:paraId="723EE5C0" w14:textId="77777777" w:rsidR="009D5997" w:rsidRPr="006767C5" w:rsidRDefault="009D5997" w:rsidP="009D5997">
      <w:pPr>
        <w:spacing w:after="0" w:line="240" w:lineRule="auto"/>
        <w:rPr>
          <w:rFonts w:ascii="Open Sans" w:eastAsia="Times New Roman" w:hAnsi="Open Sans" w:cs="Open Sans"/>
          <w:b/>
          <w:bCs/>
          <w:i/>
          <w:iCs/>
          <w:sz w:val="20"/>
          <w:szCs w:val="20"/>
          <w:lang w:eastAsia="en-GB"/>
        </w:rPr>
      </w:pPr>
      <w:r w:rsidRPr="006767C5">
        <w:rPr>
          <w:rFonts w:ascii="Open Sans" w:eastAsia="Times New Roman" w:hAnsi="Open Sans" w:cs="Open Sans"/>
          <w:b/>
          <w:bCs/>
          <w:i/>
          <w:iCs/>
          <w:sz w:val="20"/>
          <w:szCs w:val="20"/>
          <w:lang w:eastAsia="en-GB"/>
        </w:rPr>
        <w:t xml:space="preserve">REA are supportive of a CfD Based Business Model, plus negative carbon Payment, for large scale </w:t>
      </w:r>
      <w:proofErr w:type="gramStart"/>
      <w:r w:rsidRPr="006767C5">
        <w:rPr>
          <w:rFonts w:ascii="Open Sans" w:eastAsia="Times New Roman" w:hAnsi="Open Sans" w:cs="Open Sans"/>
          <w:b/>
          <w:bCs/>
          <w:i/>
          <w:iCs/>
          <w:sz w:val="20"/>
          <w:szCs w:val="20"/>
          <w:lang w:eastAsia="en-GB"/>
        </w:rPr>
        <w:t>BECCS</w:t>
      </w:r>
      <w:proofErr w:type="gramEnd"/>
    </w:p>
    <w:p w14:paraId="7200D95A" w14:textId="77777777" w:rsidR="009D5997" w:rsidRPr="006767C5" w:rsidRDefault="009D5997" w:rsidP="009D5997">
      <w:pPr>
        <w:spacing w:after="0" w:line="240" w:lineRule="auto"/>
        <w:rPr>
          <w:rFonts w:ascii="Open Sans" w:eastAsia="Times New Roman" w:hAnsi="Open Sans" w:cs="Open Sans"/>
          <w:sz w:val="20"/>
          <w:szCs w:val="20"/>
          <w:lang w:eastAsia="en-GB"/>
        </w:rPr>
      </w:pPr>
    </w:p>
    <w:p w14:paraId="259F5366" w14:textId="77777777" w:rsidR="009D5997" w:rsidRPr="006767C5" w:rsidRDefault="009D5997" w:rsidP="009D5997">
      <w:pPr>
        <w:spacing w:after="0" w:line="240" w:lineRule="auto"/>
        <w:rPr>
          <w:rFonts w:ascii="Open Sans" w:eastAsia="Times New Roman" w:hAnsi="Open Sans" w:cs="Open Sans"/>
          <w:sz w:val="20"/>
          <w:szCs w:val="20"/>
          <w:lang w:eastAsia="en-GB"/>
        </w:rPr>
      </w:pPr>
      <w:r w:rsidRPr="006767C5">
        <w:rPr>
          <w:rFonts w:ascii="Open Sans" w:eastAsia="Times New Roman" w:hAnsi="Open Sans" w:cs="Open Sans"/>
          <w:sz w:val="20"/>
          <w:szCs w:val="20"/>
          <w:lang w:eastAsia="en-GB"/>
        </w:rPr>
        <w:t>The REA are supportive of market-based leavers that reward both the energy production, along with a payment for the negative emissions achieved. A CfD based mechanism adapted for BECCS would allow biomass power projects to receive a reliable revenue for the power generated, along with any additional benefit for services provided to the grid. A separate carbon payment is then provided to reward negative emissions. Set at a £/tonne level the payment will need to cover both the operational costs of capturing carbon, along with transporting and storing it. Over time, assuming the UK ETS matures successfully, the carbon payment will likely be able to transition to a straight market-based price that ensures ongoing revenue for negative emission production.</w:t>
      </w:r>
    </w:p>
    <w:p w14:paraId="6C4F33B6" w14:textId="77777777" w:rsidR="009D5997" w:rsidRPr="006767C5" w:rsidRDefault="009D5997" w:rsidP="009D5997">
      <w:pPr>
        <w:spacing w:before="100" w:beforeAutospacing="1" w:after="100" w:afterAutospacing="1" w:line="240" w:lineRule="auto"/>
        <w:rPr>
          <w:rFonts w:ascii="Open Sans" w:eastAsia="Times New Roman" w:hAnsi="Open Sans" w:cs="Open Sans"/>
          <w:b/>
          <w:bCs/>
          <w:i/>
          <w:iCs/>
          <w:sz w:val="20"/>
          <w:szCs w:val="20"/>
          <w:lang w:eastAsia="en-GB"/>
        </w:rPr>
      </w:pPr>
      <w:r w:rsidRPr="001740F2">
        <w:rPr>
          <w:rFonts w:ascii="Open Sans" w:eastAsia="Times New Roman" w:hAnsi="Open Sans" w:cs="Open Sans"/>
          <w:b/>
          <w:bCs/>
          <w:i/>
          <w:iCs/>
          <w:sz w:val="20"/>
          <w:szCs w:val="20"/>
          <w:lang w:eastAsia="en-GB"/>
        </w:rPr>
        <w:t>Further consideration is required to</w:t>
      </w:r>
      <w:r w:rsidRPr="006767C5">
        <w:rPr>
          <w:rFonts w:ascii="Open Sans" w:eastAsia="Times New Roman" w:hAnsi="Open Sans" w:cs="Open Sans"/>
          <w:b/>
          <w:bCs/>
          <w:i/>
          <w:iCs/>
          <w:sz w:val="20"/>
          <w:szCs w:val="20"/>
          <w:lang w:eastAsia="en-GB"/>
        </w:rPr>
        <w:t xml:space="preserve"> support the </w:t>
      </w:r>
      <w:proofErr w:type="gramStart"/>
      <w:r w:rsidRPr="006767C5">
        <w:rPr>
          <w:rFonts w:ascii="Open Sans" w:eastAsia="Times New Roman" w:hAnsi="Open Sans" w:cs="Open Sans"/>
          <w:b/>
          <w:bCs/>
          <w:i/>
          <w:iCs/>
          <w:sz w:val="20"/>
          <w:szCs w:val="20"/>
          <w:lang w:eastAsia="en-GB"/>
        </w:rPr>
        <w:t>retro-fit</w:t>
      </w:r>
      <w:proofErr w:type="gramEnd"/>
      <w:r w:rsidRPr="006767C5">
        <w:rPr>
          <w:rFonts w:ascii="Open Sans" w:eastAsia="Times New Roman" w:hAnsi="Open Sans" w:cs="Open Sans"/>
          <w:b/>
          <w:bCs/>
          <w:i/>
          <w:iCs/>
          <w:sz w:val="20"/>
          <w:szCs w:val="20"/>
          <w:lang w:eastAsia="en-GB"/>
        </w:rPr>
        <w:t xml:space="preserve"> of BECCS on medium and small scale existing biomass plants and have a sensible trajectory to achieve this.</w:t>
      </w:r>
    </w:p>
    <w:p w14:paraId="357FCE25" w14:textId="52386D9E" w:rsidR="009D5997" w:rsidRPr="006767C5" w:rsidRDefault="009D5997" w:rsidP="009D5997">
      <w:pPr>
        <w:spacing w:before="100" w:beforeAutospacing="1" w:after="100" w:afterAutospacing="1" w:line="240" w:lineRule="auto"/>
        <w:rPr>
          <w:rFonts w:ascii="Open Sans" w:eastAsia="Times New Roman" w:hAnsi="Open Sans" w:cs="Open Sans"/>
          <w:sz w:val="20"/>
          <w:szCs w:val="20"/>
          <w:lang w:eastAsia="en-GB"/>
        </w:rPr>
      </w:pPr>
      <w:r w:rsidRPr="006767C5">
        <w:rPr>
          <w:rFonts w:ascii="Open Sans" w:eastAsia="Times New Roman" w:hAnsi="Open Sans" w:cs="Open Sans"/>
          <w:sz w:val="20"/>
          <w:szCs w:val="20"/>
          <w:lang w:eastAsia="en-GB"/>
        </w:rPr>
        <w:t xml:space="preserve">Specific consideration is also needed as to whether proposed business models for </w:t>
      </w:r>
      <w:r w:rsidR="001740F2">
        <w:rPr>
          <w:rFonts w:ascii="Open Sans" w:eastAsia="Times New Roman" w:hAnsi="Open Sans" w:cs="Open Sans"/>
          <w:sz w:val="20"/>
          <w:szCs w:val="20"/>
          <w:lang w:eastAsia="en-GB"/>
        </w:rPr>
        <w:t>BECCS</w:t>
      </w:r>
      <w:r w:rsidRPr="006767C5">
        <w:rPr>
          <w:rFonts w:ascii="Open Sans" w:eastAsia="Times New Roman" w:hAnsi="Open Sans" w:cs="Open Sans"/>
          <w:sz w:val="20"/>
          <w:szCs w:val="20"/>
          <w:lang w:eastAsia="en-GB"/>
        </w:rPr>
        <w:t xml:space="preserve"> are </w:t>
      </w:r>
      <w:r w:rsidR="001740F2">
        <w:rPr>
          <w:rFonts w:ascii="Open Sans" w:eastAsia="Times New Roman" w:hAnsi="Open Sans" w:cs="Open Sans"/>
          <w:sz w:val="20"/>
          <w:szCs w:val="20"/>
          <w:lang w:eastAsia="en-GB"/>
        </w:rPr>
        <w:t>adequate to accommodate</w:t>
      </w:r>
      <w:r w:rsidRPr="006767C5">
        <w:rPr>
          <w:rFonts w:ascii="Open Sans" w:eastAsia="Times New Roman" w:hAnsi="Open Sans" w:cs="Open Sans"/>
          <w:sz w:val="20"/>
          <w:szCs w:val="20"/>
          <w:lang w:eastAsia="en-GB"/>
        </w:rPr>
        <w:t xml:space="preserve"> the retrofitting of CCS on existing small and medium scale biomass power</w:t>
      </w:r>
      <w:r w:rsidR="001740F2">
        <w:rPr>
          <w:rFonts w:ascii="Open Sans" w:eastAsia="Times New Roman" w:hAnsi="Open Sans" w:cs="Open Sans"/>
          <w:sz w:val="20"/>
          <w:szCs w:val="20"/>
          <w:lang w:eastAsia="en-GB"/>
        </w:rPr>
        <w:t xml:space="preserve"> </w:t>
      </w:r>
      <w:r w:rsidRPr="006767C5">
        <w:rPr>
          <w:rFonts w:ascii="Open Sans" w:eastAsia="Times New Roman" w:hAnsi="Open Sans" w:cs="Open Sans"/>
          <w:sz w:val="20"/>
          <w:szCs w:val="20"/>
          <w:lang w:eastAsia="en-GB"/>
        </w:rPr>
        <w:t xml:space="preserve">heat or CHP plants, </w:t>
      </w:r>
      <w:r w:rsidR="001740F2">
        <w:rPr>
          <w:rFonts w:ascii="Open Sans" w:eastAsia="Times New Roman" w:hAnsi="Open Sans" w:cs="Open Sans"/>
          <w:sz w:val="20"/>
          <w:szCs w:val="20"/>
          <w:lang w:eastAsia="en-GB"/>
        </w:rPr>
        <w:t>(including those using waste wood)</w:t>
      </w:r>
      <w:r w:rsidR="001740F2">
        <w:rPr>
          <w:rFonts w:ascii="Open Sans" w:eastAsia="Times New Roman" w:hAnsi="Open Sans" w:cs="Open Sans"/>
          <w:sz w:val="20"/>
          <w:szCs w:val="20"/>
          <w:lang w:eastAsia="en-GB"/>
        </w:rPr>
        <w:t xml:space="preserve"> </w:t>
      </w:r>
      <w:r w:rsidRPr="006767C5">
        <w:rPr>
          <w:rFonts w:ascii="Open Sans" w:eastAsia="Times New Roman" w:hAnsi="Open Sans" w:cs="Open Sans"/>
          <w:sz w:val="20"/>
          <w:szCs w:val="20"/>
          <w:lang w:eastAsia="en-GB"/>
        </w:rPr>
        <w:t xml:space="preserve">where the size of investment required will remain a significant barrier to deployment until the cost of CCS technologies fall. Government will need to consider the time trajectory required to see existing infrastructure </w:t>
      </w:r>
      <w:proofErr w:type="gramStart"/>
      <w:r w:rsidRPr="006767C5">
        <w:rPr>
          <w:rFonts w:ascii="Open Sans" w:eastAsia="Times New Roman" w:hAnsi="Open Sans" w:cs="Open Sans"/>
          <w:sz w:val="20"/>
          <w:szCs w:val="20"/>
          <w:lang w:eastAsia="en-GB"/>
        </w:rPr>
        <w:t>retro-fit</w:t>
      </w:r>
      <w:proofErr w:type="gramEnd"/>
      <w:r w:rsidRPr="006767C5">
        <w:rPr>
          <w:rFonts w:ascii="Open Sans" w:eastAsia="Times New Roman" w:hAnsi="Open Sans" w:cs="Open Sans"/>
          <w:sz w:val="20"/>
          <w:szCs w:val="20"/>
          <w:lang w:eastAsia="en-GB"/>
        </w:rPr>
        <w:t xml:space="preserve"> BECCS, ensuring that </w:t>
      </w:r>
      <w:r w:rsidR="001740F2">
        <w:rPr>
          <w:rFonts w:ascii="Open Sans" w:eastAsia="Times New Roman" w:hAnsi="Open Sans" w:cs="Open Sans"/>
          <w:sz w:val="20"/>
          <w:szCs w:val="20"/>
          <w:lang w:eastAsia="en-GB"/>
        </w:rPr>
        <w:t>such sites can continue</w:t>
      </w:r>
      <w:r w:rsidRPr="006767C5">
        <w:rPr>
          <w:rFonts w:ascii="Open Sans" w:eastAsia="Times New Roman" w:hAnsi="Open Sans" w:cs="Open Sans"/>
          <w:sz w:val="20"/>
          <w:szCs w:val="20"/>
          <w:lang w:eastAsia="en-GB"/>
        </w:rPr>
        <w:t xml:space="preserve"> to be able to produce </w:t>
      </w:r>
      <w:r w:rsidR="001740F2">
        <w:rPr>
          <w:rFonts w:ascii="Open Sans" w:eastAsia="Times New Roman" w:hAnsi="Open Sans" w:cs="Open Sans"/>
          <w:sz w:val="20"/>
          <w:szCs w:val="20"/>
          <w:lang w:eastAsia="en-GB"/>
        </w:rPr>
        <w:t>energy</w:t>
      </w:r>
      <w:r w:rsidRPr="006767C5">
        <w:rPr>
          <w:rFonts w:ascii="Open Sans" w:eastAsia="Times New Roman" w:hAnsi="Open Sans" w:cs="Open Sans"/>
          <w:sz w:val="20"/>
          <w:szCs w:val="20"/>
          <w:lang w:eastAsia="en-GB"/>
        </w:rPr>
        <w:t xml:space="preserve"> and have a sensible pathway to also delive</w:t>
      </w:r>
      <w:r w:rsidR="001740F2">
        <w:rPr>
          <w:rFonts w:ascii="Open Sans" w:eastAsia="Times New Roman" w:hAnsi="Open Sans" w:cs="Open Sans"/>
          <w:sz w:val="20"/>
          <w:szCs w:val="20"/>
          <w:lang w:eastAsia="en-GB"/>
        </w:rPr>
        <w:t>r</w:t>
      </w:r>
      <w:r w:rsidRPr="006767C5">
        <w:rPr>
          <w:rFonts w:ascii="Open Sans" w:eastAsia="Times New Roman" w:hAnsi="Open Sans" w:cs="Open Sans"/>
          <w:sz w:val="20"/>
          <w:szCs w:val="20"/>
          <w:lang w:eastAsia="en-GB"/>
        </w:rPr>
        <w:t xml:space="preserve"> negative emissions by sometime in the 2030s.  </w:t>
      </w:r>
      <w:r w:rsidR="001740F2">
        <w:rPr>
          <w:rFonts w:ascii="Open Sans" w:eastAsia="Times New Roman" w:hAnsi="Open Sans" w:cs="Open Sans"/>
          <w:sz w:val="20"/>
          <w:szCs w:val="20"/>
          <w:lang w:eastAsia="en-GB"/>
        </w:rPr>
        <w:t xml:space="preserve">This must be considered as BECCS business models are further developed by government. </w:t>
      </w:r>
      <w:r w:rsidRPr="006767C5">
        <w:rPr>
          <w:rStyle w:val="FootnoteReference"/>
          <w:rFonts w:ascii="Open Sans" w:eastAsia="Times New Roman" w:hAnsi="Open Sans" w:cs="Open Sans"/>
          <w:sz w:val="20"/>
          <w:szCs w:val="20"/>
          <w:lang w:eastAsia="en-GB"/>
        </w:rPr>
        <w:footnoteReference w:id="46"/>
      </w:r>
    </w:p>
    <w:p w14:paraId="03143331" w14:textId="77777777" w:rsidR="009D5997" w:rsidRPr="006767C5" w:rsidRDefault="009D5997" w:rsidP="009D5997">
      <w:pPr>
        <w:spacing w:before="100" w:beforeAutospacing="1" w:after="100" w:afterAutospacing="1" w:line="240" w:lineRule="auto"/>
        <w:rPr>
          <w:rFonts w:ascii="Open Sans" w:eastAsia="Times New Roman" w:hAnsi="Open Sans" w:cs="Open Sans"/>
          <w:sz w:val="20"/>
          <w:szCs w:val="20"/>
          <w:lang w:eastAsia="en-GB"/>
        </w:rPr>
      </w:pPr>
      <w:r w:rsidRPr="006767C5">
        <w:rPr>
          <w:rFonts w:ascii="Open Sans" w:eastAsia="Times New Roman" w:hAnsi="Open Sans" w:cs="Open Sans"/>
          <w:sz w:val="20"/>
          <w:szCs w:val="20"/>
          <w:lang w:eastAsia="en-GB"/>
        </w:rPr>
        <w:t xml:space="preserve">The REA are supportive of ongoing work streams to explore these different business models, as well as welcoming energy from waste being included within proposals for Industrial Carbon Capture Contracts. </w:t>
      </w:r>
    </w:p>
    <w:p w14:paraId="38FC98CC" w14:textId="1C3C073A" w:rsidR="009D5997" w:rsidRPr="006767C5" w:rsidRDefault="009D5997" w:rsidP="009D5997">
      <w:pPr>
        <w:spacing w:before="100" w:beforeAutospacing="1" w:after="100" w:afterAutospacing="1" w:line="240" w:lineRule="auto"/>
        <w:rPr>
          <w:rFonts w:ascii="Open Sans" w:eastAsia="Times New Roman" w:hAnsi="Open Sans" w:cs="Open Sans"/>
          <w:b/>
          <w:bCs/>
          <w:i/>
          <w:iCs/>
          <w:sz w:val="20"/>
          <w:szCs w:val="20"/>
          <w:lang w:eastAsia="en-GB"/>
        </w:rPr>
      </w:pPr>
      <w:r w:rsidRPr="006767C5">
        <w:rPr>
          <w:rFonts w:ascii="Open Sans" w:eastAsia="Times New Roman" w:hAnsi="Open Sans" w:cs="Open Sans"/>
          <w:b/>
          <w:bCs/>
          <w:i/>
          <w:iCs/>
          <w:sz w:val="20"/>
          <w:szCs w:val="20"/>
          <w:lang w:eastAsia="en-GB"/>
        </w:rPr>
        <w:t xml:space="preserve">Efficiency of </w:t>
      </w:r>
      <w:r w:rsidR="0036441F">
        <w:rPr>
          <w:rFonts w:ascii="Open Sans" w:eastAsia="Times New Roman" w:hAnsi="Open Sans" w:cs="Open Sans"/>
          <w:b/>
          <w:bCs/>
          <w:i/>
          <w:iCs/>
          <w:sz w:val="20"/>
          <w:szCs w:val="20"/>
          <w:lang w:eastAsia="en-GB"/>
        </w:rPr>
        <w:t xml:space="preserve">biomass </w:t>
      </w:r>
      <w:r w:rsidRPr="006767C5">
        <w:rPr>
          <w:rFonts w:ascii="Open Sans" w:eastAsia="Times New Roman" w:hAnsi="Open Sans" w:cs="Open Sans"/>
          <w:b/>
          <w:bCs/>
          <w:i/>
          <w:iCs/>
          <w:sz w:val="20"/>
          <w:szCs w:val="20"/>
          <w:lang w:eastAsia="en-GB"/>
        </w:rPr>
        <w:t>conversion should also be considered.</w:t>
      </w:r>
    </w:p>
    <w:p w14:paraId="4D7E9437" w14:textId="77777777" w:rsidR="009D5997" w:rsidRPr="006767C5" w:rsidRDefault="009D5997" w:rsidP="009D5997">
      <w:pPr>
        <w:spacing w:before="100" w:beforeAutospacing="1" w:after="100" w:afterAutospacing="1" w:line="240" w:lineRule="auto"/>
        <w:rPr>
          <w:rFonts w:ascii="Open Sans" w:hAnsi="Open Sans" w:cs="Open Sans"/>
          <w:sz w:val="20"/>
          <w:szCs w:val="20"/>
          <w:lang w:eastAsia="en-GB"/>
        </w:rPr>
      </w:pPr>
      <w:r w:rsidRPr="006767C5">
        <w:rPr>
          <w:rFonts w:ascii="Open Sans" w:eastAsia="Times New Roman" w:hAnsi="Open Sans" w:cs="Open Sans"/>
          <w:sz w:val="20"/>
          <w:szCs w:val="20"/>
          <w:lang w:eastAsia="en-GB"/>
        </w:rPr>
        <w:t xml:space="preserve">Business model proposals for BECCS have so also not considered conversion efficiencies provided by applications of BECCS to commercial and industrial scale biomass heat projects. </w:t>
      </w:r>
      <w:r w:rsidRPr="006767C5">
        <w:rPr>
          <w:rFonts w:ascii="Open Sans" w:hAnsi="Open Sans" w:cs="Open Sans"/>
          <w:sz w:val="20"/>
          <w:szCs w:val="20"/>
          <w:lang w:eastAsia="en-GB"/>
        </w:rPr>
        <w:t xml:space="preserve">Direct production of heat from biomass has the highest conversion efficiency matching those of fossil fuels and approaching 90%. Industrial biomass heat demand also provides a particularly stable demand profile, maximising possibility for carbon capture. Such applications of BECCS should also be supported. </w:t>
      </w:r>
    </w:p>
    <w:p w14:paraId="0C08E51D" w14:textId="77777777" w:rsidR="009D5997" w:rsidRPr="006767C5" w:rsidRDefault="009D5997" w:rsidP="009D5997">
      <w:pPr>
        <w:pBdr>
          <w:bottom w:val="single" w:sz="6" w:space="1" w:color="auto"/>
        </w:pBdr>
        <w:spacing w:before="100" w:beforeAutospacing="1" w:after="100" w:afterAutospacing="1" w:line="240" w:lineRule="auto"/>
        <w:rPr>
          <w:rFonts w:ascii="Open Sans" w:eastAsia="Times New Roman" w:hAnsi="Open Sans" w:cs="Open Sans"/>
          <w:b/>
          <w:bCs/>
          <w:i/>
          <w:iCs/>
          <w:sz w:val="20"/>
          <w:szCs w:val="20"/>
          <w:lang w:eastAsia="en-GB"/>
        </w:rPr>
      </w:pPr>
      <w:r w:rsidRPr="006767C5">
        <w:rPr>
          <w:rFonts w:ascii="Open Sans" w:eastAsia="Times New Roman" w:hAnsi="Open Sans" w:cs="Open Sans"/>
          <w:b/>
          <w:bCs/>
          <w:i/>
          <w:iCs/>
          <w:sz w:val="20"/>
          <w:szCs w:val="20"/>
          <w:lang w:eastAsia="en-GB"/>
        </w:rPr>
        <w:t xml:space="preserve">There should be stakeholder engagement on what is defined as “CCS </w:t>
      </w:r>
      <w:proofErr w:type="gramStart"/>
      <w:r w:rsidRPr="006767C5">
        <w:rPr>
          <w:rFonts w:ascii="Open Sans" w:eastAsia="Times New Roman" w:hAnsi="Open Sans" w:cs="Open Sans"/>
          <w:b/>
          <w:bCs/>
          <w:i/>
          <w:iCs/>
          <w:sz w:val="20"/>
          <w:szCs w:val="20"/>
          <w:lang w:eastAsia="en-GB"/>
        </w:rPr>
        <w:t>Ready”</w:t>
      </w:r>
      <w:proofErr w:type="gramEnd"/>
    </w:p>
    <w:p w14:paraId="4C4A48ED" w14:textId="77777777" w:rsidR="009D5997" w:rsidRPr="006767C5" w:rsidRDefault="009D5997" w:rsidP="009D5997">
      <w:pPr>
        <w:pBdr>
          <w:bottom w:val="single" w:sz="6" w:space="1" w:color="auto"/>
        </w:pBdr>
        <w:spacing w:before="100" w:beforeAutospacing="1" w:after="100" w:afterAutospacing="1" w:line="240" w:lineRule="auto"/>
        <w:rPr>
          <w:rFonts w:ascii="Open Sans" w:eastAsia="Times New Roman" w:hAnsi="Open Sans" w:cs="Open Sans"/>
          <w:sz w:val="20"/>
          <w:szCs w:val="20"/>
        </w:rPr>
      </w:pPr>
      <w:r w:rsidRPr="006767C5">
        <w:rPr>
          <w:rFonts w:ascii="Open Sans" w:eastAsia="Times New Roman" w:hAnsi="Open Sans" w:cs="Open Sans"/>
          <w:sz w:val="20"/>
          <w:szCs w:val="20"/>
          <w:lang w:eastAsia="en-GB"/>
        </w:rPr>
        <w:t xml:space="preserve">It would be beneficial if government and industry worked together to establish a better definition for what is meant by ‘CCS-ready’. This should include ensuring CCS can be retrofitted when the technology is available and that there is a viable business model to see it delivered. This will also need to consider the readiness of the transport and storage network. Having a strong definition in place </w:t>
      </w:r>
      <w:r w:rsidRPr="006767C5">
        <w:rPr>
          <w:rFonts w:ascii="Open Sans" w:eastAsia="Times New Roman" w:hAnsi="Open Sans" w:cs="Open Sans"/>
          <w:sz w:val="20"/>
          <w:szCs w:val="20"/>
        </w:rPr>
        <w:t xml:space="preserve">should go some way to alleviating concerns over industrial biomass not being ‘best use’ by providing a clear pathway to also having CCS installed and negative emission delivered. </w:t>
      </w:r>
    </w:p>
    <w:p w14:paraId="603EE00A" w14:textId="77777777" w:rsidR="00220257" w:rsidRPr="00923427" w:rsidRDefault="00220257" w:rsidP="00206091">
      <w:pPr>
        <w:pBdr>
          <w:bottom w:val="single" w:sz="6" w:space="1" w:color="auto"/>
        </w:pBdr>
        <w:spacing w:before="100" w:beforeAutospacing="1" w:after="100" w:afterAutospacing="1" w:line="240" w:lineRule="auto"/>
        <w:rPr>
          <w:rFonts w:ascii="Open Sans" w:eastAsia="Times New Roman" w:hAnsi="Open Sans" w:cs="Open Sans"/>
          <w:sz w:val="20"/>
          <w:szCs w:val="20"/>
        </w:rPr>
      </w:pPr>
    </w:p>
    <w:p w14:paraId="29545A53" w14:textId="244EE62A" w:rsidR="00B326CF" w:rsidRPr="00923427" w:rsidRDefault="00B326CF" w:rsidP="00B326CF">
      <w:pPr>
        <w:spacing w:before="100" w:beforeAutospacing="1" w:after="100" w:afterAutospacing="1" w:line="240" w:lineRule="auto"/>
        <w:rPr>
          <w:rFonts w:ascii="Open Sans" w:eastAsia="Times New Roman" w:hAnsi="Open Sans" w:cs="Open Sans"/>
          <w:b/>
          <w:bCs/>
          <w:color w:val="2F5496"/>
          <w:sz w:val="20"/>
          <w:szCs w:val="20"/>
          <w:lang w:eastAsia="en-GB"/>
        </w:rPr>
      </w:pPr>
      <w:r w:rsidRPr="00923427">
        <w:rPr>
          <w:rFonts w:ascii="Open Sans" w:eastAsia="Times New Roman" w:hAnsi="Open Sans" w:cs="Open Sans"/>
          <w:b/>
          <w:bCs/>
          <w:color w:val="2F5496"/>
          <w:sz w:val="20"/>
          <w:szCs w:val="20"/>
          <w:lang w:eastAsia="en-GB"/>
        </w:rPr>
        <w:t>12. How can Government best incentivise the use of biomass, and target available biomass towards the highest priority applications? What should the balance be between supply incentives and demand incentives and how can we incentivise the right biomass use given one feedstock could have multiple uses or markets?</w:t>
      </w:r>
    </w:p>
    <w:p w14:paraId="74EFB29F" w14:textId="0CA4CCD8" w:rsidR="00174095" w:rsidRPr="00923427" w:rsidRDefault="00174095" w:rsidP="00B326CF">
      <w:pPr>
        <w:spacing w:before="100" w:beforeAutospacing="1" w:after="100" w:afterAutospacing="1" w:line="240" w:lineRule="auto"/>
        <w:rPr>
          <w:rFonts w:ascii="Open Sans" w:eastAsia="Times New Roman" w:hAnsi="Open Sans" w:cs="Open Sans"/>
          <w:b/>
          <w:bCs/>
          <w:i/>
          <w:iCs/>
          <w:sz w:val="20"/>
          <w:szCs w:val="20"/>
          <w:lang w:eastAsia="en-GB"/>
        </w:rPr>
      </w:pPr>
      <w:r w:rsidRPr="00923427">
        <w:rPr>
          <w:rFonts w:ascii="Open Sans" w:eastAsia="Times New Roman" w:hAnsi="Open Sans" w:cs="Open Sans"/>
          <w:b/>
          <w:bCs/>
          <w:i/>
          <w:iCs/>
          <w:sz w:val="20"/>
          <w:szCs w:val="20"/>
          <w:lang w:eastAsia="en-GB"/>
        </w:rPr>
        <w:t xml:space="preserve">Government should focus on a </w:t>
      </w:r>
      <w:r w:rsidR="002B79D2" w:rsidRPr="00923427">
        <w:rPr>
          <w:rFonts w:ascii="Open Sans" w:eastAsia="Times New Roman" w:hAnsi="Open Sans" w:cs="Open Sans"/>
          <w:b/>
          <w:bCs/>
          <w:i/>
          <w:iCs/>
          <w:sz w:val="20"/>
          <w:szCs w:val="20"/>
          <w:lang w:eastAsia="en-GB"/>
        </w:rPr>
        <w:t>principle-based</w:t>
      </w:r>
      <w:r w:rsidRPr="00923427">
        <w:rPr>
          <w:rFonts w:ascii="Open Sans" w:eastAsia="Times New Roman" w:hAnsi="Open Sans" w:cs="Open Sans"/>
          <w:b/>
          <w:bCs/>
          <w:i/>
          <w:iCs/>
          <w:sz w:val="20"/>
          <w:szCs w:val="20"/>
          <w:lang w:eastAsia="en-GB"/>
        </w:rPr>
        <w:t xml:space="preserve"> approach that drives GHG savings, and other social and economic benefits, rather th</w:t>
      </w:r>
      <w:r w:rsidR="00D51913" w:rsidRPr="00923427">
        <w:rPr>
          <w:rFonts w:ascii="Open Sans" w:eastAsia="Times New Roman" w:hAnsi="Open Sans" w:cs="Open Sans"/>
          <w:b/>
          <w:bCs/>
          <w:i/>
          <w:iCs/>
          <w:sz w:val="20"/>
          <w:szCs w:val="20"/>
          <w:lang w:eastAsia="en-GB"/>
        </w:rPr>
        <w:t>a</w:t>
      </w:r>
      <w:r w:rsidRPr="00923427">
        <w:rPr>
          <w:rFonts w:ascii="Open Sans" w:eastAsia="Times New Roman" w:hAnsi="Open Sans" w:cs="Open Sans"/>
          <w:b/>
          <w:bCs/>
          <w:i/>
          <w:iCs/>
          <w:sz w:val="20"/>
          <w:szCs w:val="20"/>
          <w:lang w:eastAsia="en-GB"/>
        </w:rPr>
        <w:t xml:space="preserve">n </w:t>
      </w:r>
      <w:r w:rsidR="008F431B" w:rsidRPr="00923427">
        <w:rPr>
          <w:rFonts w:ascii="Open Sans" w:eastAsia="Times New Roman" w:hAnsi="Open Sans" w:cs="Open Sans"/>
          <w:b/>
          <w:bCs/>
          <w:i/>
          <w:iCs/>
          <w:sz w:val="20"/>
          <w:szCs w:val="20"/>
          <w:lang w:eastAsia="en-GB"/>
        </w:rPr>
        <w:t xml:space="preserve">focusing on </w:t>
      </w:r>
      <w:r w:rsidRPr="00923427">
        <w:rPr>
          <w:rFonts w:ascii="Open Sans" w:eastAsia="Times New Roman" w:hAnsi="Open Sans" w:cs="Open Sans"/>
          <w:b/>
          <w:bCs/>
          <w:i/>
          <w:iCs/>
          <w:sz w:val="20"/>
          <w:szCs w:val="20"/>
          <w:lang w:eastAsia="en-GB"/>
        </w:rPr>
        <w:t>priority end</w:t>
      </w:r>
      <w:r w:rsidR="00172EF2" w:rsidRPr="00923427">
        <w:rPr>
          <w:rFonts w:ascii="Open Sans" w:eastAsia="Times New Roman" w:hAnsi="Open Sans" w:cs="Open Sans"/>
          <w:b/>
          <w:bCs/>
          <w:i/>
          <w:iCs/>
          <w:sz w:val="20"/>
          <w:szCs w:val="20"/>
          <w:lang w:eastAsia="en-GB"/>
        </w:rPr>
        <w:t>-</w:t>
      </w:r>
      <w:r w:rsidRPr="00923427">
        <w:rPr>
          <w:rFonts w:ascii="Open Sans" w:eastAsia="Times New Roman" w:hAnsi="Open Sans" w:cs="Open Sans"/>
          <w:b/>
          <w:bCs/>
          <w:i/>
          <w:iCs/>
          <w:sz w:val="20"/>
          <w:szCs w:val="20"/>
          <w:lang w:eastAsia="en-GB"/>
        </w:rPr>
        <w:t>uses.</w:t>
      </w:r>
    </w:p>
    <w:p w14:paraId="5C17371D" w14:textId="1F727AC1" w:rsidR="00D51913" w:rsidRPr="00923427" w:rsidRDefault="002B79D2" w:rsidP="00B326CF">
      <w:pPr>
        <w:spacing w:before="100" w:beforeAutospacing="1" w:after="100" w:afterAutospacing="1" w:line="240" w:lineRule="auto"/>
        <w:rPr>
          <w:rFonts w:ascii="Open Sans" w:eastAsia="Times New Roman" w:hAnsi="Open Sans" w:cs="Open Sans"/>
          <w:sz w:val="20"/>
          <w:szCs w:val="20"/>
          <w:lang w:eastAsia="en-GB"/>
        </w:rPr>
      </w:pPr>
      <w:r w:rsidRPr="00923427">
        <w:rPr>
          <w:rFonts w:ascii="Open Sans" w:eastAsia="Times New Roman" w:hAnsi="Open Sans" w:cs="Open Sans"/>
          <w:sz w:val="20"/>
          <w:szCs w:val="20"/>
          <w:lang w:eastAsia="en-GB"/>
        </w:rPr>
        <w:t xml:space="preserve">As has been described </w:t>
      </w:r>
      <w:r w:rsidR="004B3F56" w:rsidRPr="00923427">
        <w:rPr>
          <w:rFonts w:ascii="Open Sans" w:eastAsia="Times New Roman" w:hAnsi="Open Sans" w:cs="Open Sans"/>
          <w:sz w:val="20"/>
          <w:szCs w:val="20"/>
          <w:lang w:eastAsia="en-GB"/>
        </w:rPr>
        <w:t xml:space="preserve">in previous answers the </w:t>
      </w:r>
      <w:r w:rsidR="00FE6E4E" w:rsidRPr="00923427">
        <w:rPr>
          <w:rFonts w:ascii="Open Sans" w:eastAsia="Times New Roman" w:hAnsi="Open Sans" w:cs="Open Sans"/>
          <w:sz w:val="20"/>
          <w:szCs w:val="20"/>
          <w:lang w:eastAsia="en-GB"/>
        </w:rPr>
        <w:t>government incentives should focus on the delivery of</w:t>
      </w:r>
      <w:r w:rsidR="008F431B" w:rsidRPr="00923427">
        <w:rPr>
          <w:rFonts w:ascii="Open Sans" w:eastAsia="Times New Roman" w:hAnsi="Open Sans" w:cs="Open Sans"/>
          <w:sz w:val="20"/>
          <w:szCs w:val="20"/>
          <w:lang w:eastAsia="en-GB"/>
        </w:rPr>
        <w:t xml:space="preserve"> a range of environmental, social, and economic benefits, which incentiv</w:t>
      </w:r>
      <w:r w:rsidR="00D51913" w:rsidRPr="00923427">
        <w:rPr>
          <w:rFonts w:ascii="Open Sans" w:eastAsia="Times New Roman" w:hAnsi="Open Sans" w:cs="Open Sans"/>
          <w:sz w:val="20"/>
          <w:szCs w:val="20"/>
          <w:lang w:eastAsia="en-GB"/>
        </w:rPr>
        <w:t>ise and push</w:t>
      </w:r>
      <w:r w:rsidR="008F431B" w:rsidRPr="00923427">
        <w:rPr>
          <w:rFonts w:ascii="Open Sans" w:eastAsia="Times New Roman" w:hAnsi="Open Sans" w:cs="Open Sans"/>
          <w:sz w:val="20"/>
          <w:szCs w:val="20"/>
          <w:lang w:eastAsia="en-GB"/>
        </w:rPr>
        <w:t xml:space="preserve"> bioenergy sectors to further innovative, rather than focus on specific end-uses. Development of these technologies </w:t>
      </w:r>
      <w:r w:rsidR="00D51913" w:rsidRPr="00923427">
        <w:rPr>
          <w:rFonts w:ascii="Open Sans" w:eastAsia="Times New Roman" w:hAnsi="Open Sans" w:cs="Open Sans"/>
          <w:sz w:val="20"/>
          <w:szCs w:val="20"/>
          <w:lang w:eastAsia="en-GB"/>
        </w:rPr>
        <w:t>will create both demand and supply that will allow the market to direct resources to best use, determined by the specific characteristics of that resource</w:t>
      </w:r>
      <w:r w:rsidR="00600168" w:rsidRPr="00923427">
        <w:rPr>
          <w:rFonts w:ascii="Open Sans" w:eastAsia="Times New Roman" w:hAnsi="Open Sans" w:cs="Open Sans"/>
          <w:sz w:val="20"/>
          <w:szCs w:val="20"/>
          <w:lang w:eastAsia="en-GB"/>
        </w:rPr>
        <w:t xml:space="preserve">. </w:t>
      </w:r>
      <w:r w:rsidR="00B465FA" w:rsidRPr="00923427">
        <w:rPr>
          <w:rFonts w:ascii="Open Sans" w:eastAsia="Times New Roman" w:hAnsi="Open Sans" w:cs="Open Sans"/>
          <w:sz w:val="20"/>
          <w:szCs w:val="20"/>
          <w:lang w:eastAsia="en-GB"/>
        </w:rPr>
        <w:t>T</w:t>
      </w:r>
      <w:r w:rsidR="00D51913" w:rsidRPr="00923427">
        <w:rPr>
          <w:rFonts w:ascii="Open Sans" w:eastAsia="Times New Roman" w:hAnsi="Open Sans" w:cs="Open Sans"/>
          <w:sz w:val="20"/>
          <w:szCs w:val="20"/>
          <w:lang w:eastAsia="en-GB"/>
        </w:rPr>
        <w:t xml:space="preserve">his will require both supply incentives, such as supporting growth of domestic feedstocks, and demand incentives </w:t>
      </w:r>
      <w:r w:rsidR="00E3441E" w:rsidRPr="00923427">
        <w:rPr>
          <w:rFonts w:ascii="Open Sans" w:eastAsia="Times New Roman" w:hAnsi="Open Sans" w:cs="Open Sans"/>
          <w:sz w:val="20"/>
          <w:szCs w:val="20"/>
          <w:lang w:eastAsia="en-GB"/>
        </w:rPr>
        <w:t>that support the</w:t>
      </w:r>
      <w:r w:rsidR="00D51913" w:rsidRPr="00923427">
        <w:rPr>
          <w:rFonts w:ascii="Open Sans" w:eastAsia="Times New Roman" w:hAnsi="Open Sans" w:cs="Open Sans"/>
          <w:sz w:val="20"/>
          <w:szCs w:val="20"/>
          <w:lang w:eastAsia="en-GB"/>
        </w:rPr>
        <w:t xml:space="preserve"> further innovation</w:t>
      </w:r>
      <w:r w:rsidR="00E3441E" w:rsidRPr="00923427">
        <w:rPr>
          <w:rFonts w:ascii="Open Sans" w:eastAsia="Times New Roman" w:hAnsi="Open Sans" w:cs="Open Sans"/>
          <w:sz w:val="20"/>
          <w:szCs w:val="20"/>
          <w:lang w:eastAsia="en-GB"/>
        </w:rPr>
        <w:t xml:space="preserve"> within</w:t>
      </w:r>
      <w:r w:rsidR="00D51913" w:rsidRPr="00923427">
        <w:rPr>
          <w:rFonts w:ascii="Open Sans" w:eastAsia="Times New Roman" w:hAnsi="Open Sans" w:cs="Open Sans"/>
          <w:sz w:val="20"/>
          <w:szCs w:val="20"/>
          <w:lang w:eastAsia="en-GB"/>
        </w:rPr>
        <w:t xml:space="preserve"> existing technologies</w:t>
      </w:r>
      <w:r w:rsidR="00E3441E" w:rsidRPr="00923427">
        <w:rPr>
          <w:rFonts w:ascii="Open Sans" w:eastAsia="Times New Roman" w:hAnsi="Open Sans" w:cs="Open Sans"/>
          <w:sz w:val="20"/>
          <w:szCs w:val="20"/>
          <w:lang w:eastAsia="en-GB"/>
        </w:rPr>
        <w:t xml:space="preserve"> (such as the applications of BECCS),</w:t>
      </w:r>
      <w:r w:rsidR="00D51913" w:rsidRPr="00923427">
        <w:rPr>
          <w:rFonts w:ascii="Open Sans" w:eastAsia="Times New Roman" w:hAnsi="Open Sans" w:cs="Open Sans"/>
          <w:sz w:val="20"/>
          <w:szCs w:val="20"/>
          <w:lang w:eastAsia="en-GB"/>
        </w:rPr>
        <w:t xml:space="preserve"> </w:t>
      </w:r>
      <w:r w:rsidR="00B465FA" w:rsidRPr="00923427">
        <w:rPr>
          <w:rFonts w:ascii="Open Sans" w:eastAsia="Times New Roman" w:hAnsi="Open Sans" w:cs="Open Sans"/>
          <w:sz w:val="20"/>
          <w:szCs w:val="20"/>
          <w:lang w:eastAsia="en-GB"/>
        </w:rPr>
        <w:t xml:space="preserve">however this will be made more efficient by building </w:t>
      </w:r>
      <w:r w:rsidR="00D51913" w:rsidRPr="00923427">
        <w:rPr>
          <w:rFonts w:ascii="Open Sans" w:eastAsia="Times New Roman" w:hAnsi="Open Sans" w:cs="Open Sans"/>
          <w:sz w:val="20"/>
          <w:szCs w:val="20"/>
          <w:lang w:eastAsia="en-GB"/>
        </w:rPr>
        <w:t xml:space="preserve">upon existing sectors </w:t>
      </w:r>
      <w:r w:rsidR="00B465FA" w:rsidRPr="00923427">
        <w:rPr>
          <w:rFonts w:ascii="Open Sans" w:eastAsia="Times New Roman" w:hAnsi="Open Sans" w:cs="Open Sans"/>
          <w:sz w:val="20"/>
          <w:szCs w:val="20"/>
          <w:lang w:eastAsia="en-GB"/>
        </w:rPr>
        <w:t xml:space="preserve">with established supply chains and expertise. </w:t>
      </w:r>
    </w:p>
    <w:p w14:paraId="7B9F1C9F" w14:textId="3B981705" w:rsidR="00E3441E" w:rsidRPr="00923427" w:rsidRDefault="00E3441E" w:rsidP="00B326CF">
      <w:pPr>
        <w:spacing w:before="100" w:beforeAutospacing="1" w:after="100" w:afterAutospacing="1" w:line="240" w:lineRule="auto"/>
        <w:rPr>
          <w:rFonts w:ascii="Open Sans" w:eastAsia="Times New Roman" w:hAnsi="Open Sans" w:cs="Open Sans"/>
          <w:b/>
          <w:bCs/>
          <w:i/>
          <w:iCs/>
          <w:sz w:val="20"/>
          <w:szCs w:val="20"/>
          <w:lang w:eastAsia="en-GB"/>
        </w:rPr>
      </w:pPr>
      <w:r w:rsidRPr="00923427">
        <w:rPr>
          <w:rFonts w:ascii="Open Sans" w:eastAsia="Times New Roman" w:hAnsi="Open Sans" w:cs="Open Sans"/>
          <w:b/>
          <w:bCs/>
          <w:i/>
          <w:iCs/>
          <w:sz w:val="20"/>
          <w:szCs w:val="20"/>
          <w:lang w:eastAsia="en-GB"/>
        </w:rPr>
        <w:t xml:space="preserve">Policy should recognise shared market </w:t>
      </w:r>
      <w:r w:rsidR="001F70B4" w:rsidRPr="00923427">
        <w:rPr>
          <w:rFonts w:ascii="Open Sans" w:eastAsia="Times New Roman" w:hAnsi="Open Sans" w:cs="Open Sans"/>
          <w:b/>
          <w:bCs/>
          <w:i/>
          <w:iCs/>
          <w:sz w:val="20"/>
          <w:szCs w:val="20"/>
          <w:lang w:eastAsia="en-GB"/>
        </w:rPr>
        <w:t xml:space="preserve">benefits of biomass </w:t>
      </w:r>
      <w:r w:rsidR="00586AD0" w:rsidRPr="00923427">
        <w:rPr>
          <w:rFonts w:ascii="Open Sans" w:eastAsia="Times New Roman" w:hAnsi="Open Sans" w:cs="Open Sans"/>
          <w:b/>
          <w:bCs/>
          <w:i/>
          <w:iCs/>
          <w:sz w:val="20"/>
          <w:szCs w:val="20"/>
          <w:lang w:eastAsia="en-GB"/>
        </w:rPr>
        <w:t>feedstocks.</w:t>
      </w:r>
    </w:p>
    <w:p w14:paraId="2335D414" w14:textId="2E090924" w:rsidR="00C270D2" w:rsidRPr="00923427" w:rsidRDefault="00586AD0" w:rsidP="00C270D2">
      <w:pPr>
        <w:spacing w:before="100" w:beforeAutospacing="1" w:after="100" w:afterAutospacing="1" w:line="240" w:lineRule="auto"/>
        <w:rPr>
          <w:rFonts w:ascii="Open Sans" w:eastAsia="Times New Roman" w:hAnsi="Open Sans" w:cs="Open Sans"/>
          <w:sz w:val="20"/>
          <w:szCs w:val="20"/>
          <w:lang w:eastAsia="en-GB"/>
        </w:rPr>
      </w:pPr>
      <w:r w:rsidRPr="00923427">
        <w:rPr>
          <w:rFonts w:ascii="Open Sans" w:eastAsia="Times New Roman" w:hAnsi="Open Sans" w:cs="Open Sans"/>
          <w:sz w:val="20"/>
          <w:szCs w:val="20"/>
          <w:lang w:eastAsia="en-GB"/>
        </w:rPr>
        <w:t xml:space="preserve">As described, </w:t>
      </w:r>
      <w:r w:rsidR="00C270D2" w:rsidRPr="00923427">
        <w:rPr>
          <w:rFonts w:ascii="Open Sans" w:hAnsi="Open Sans" w:cs="Open Sans"/>
          <w:sz w:val="20"/>
          <w:szCs w:val="20"/>
        </w:rPr>
        <w:t xml:space="preserve">bioenergy feedstocks typically set a floor price for the lowest value residues and offcuts. Predictable demand for these products provides an additional secure revenue stream in addition to that received for higher value products. As such, for the most part, bioenergy tends to complement rather than compete with </w:t>
      </w:r>
      <w:proofErr w:type="gramStart"/>
      <w:r w:rsidR="00C270D2" w:rsidRPr="00923427">
        <w:rPr>
          <w:rFonts w:ascii="Open Sans" w:hAnsi="Open Sans" w:cs="Open Sans"/>
          <w:sz w:val="20"/>
          <w:szCs w:val="20"/>
        </w:rPr>
        <w:t>multiple</w:t>
      </w:r>
      <w:r w:rsidR="00600168" w:rsidRPr="00923427">
        <w:rPr>
          <w:rFonts w:ascii="Open Sans" w:hAnsi="Open Sans" w:cs="Open Sans"/>
          <w:sz w:val="20"/>
          <w:szCs w:val="20"/>
        </w:rPr>
        <w:t>-</w:t>
      </w:r>
      <w:r w:rsidR="00C270D2" w:rsidRPr="00923427">
        <w:rPr>
          <w:rFonts w:ascii="Open Sans" w:hAnsi="Open Sans" w:cs="Open Sans"/>
          <w:sz w:val="20"/>
          <w:szCs w:val="20"/>
        </w:rPr>
        <w:t>end</w:t>
      </w:r>
      <w:proofErr w:type="gramEnd"/>
      <w:r w:rsidR="00C270D2" w:rsidRPr="00923427">
        <w:rPr>
          <w:rFonts w:ascii="Open Sans" w:hAnsi="Open Sans" w:cs="Open Sans"/>
          <w:sz w:val="20"/>
          <w:szCs w:val="20"/>
        </w:rPr>
        <w:t xml:space="preserve"> uses. For example, i</w:t>
      </w:r>
      <w:r w:rsidR="00C270D2" w:rsidRPr="00923427">
        <w:rPr>
          <w:rFonts w:ascii="Open Sans" w:eastAsia="Times New Roman" w:hAnsi="Open Sans" w:cs="Open Sans"/>
          <w:sz w:val="20"/>
          <w:szCs w:val="20"/>
          <w:lang w:eastAsia="en-GB"/>
        </w:rPr>
        <w:t xml:space="preserve">ncreasing the amount of wood grown for construction will lead to an increase in offcuts or residue material. Bioenergy provides a revenue stream for this material rather </w:t>
      </w:r>
      <w:proofErr w:type="spellStart"/>
      <w:r w:rsidR="00C270D2" w:rsidRPr="00923427">
        <w:rPr>
          <w:rFonts w:ascii="Open Sans" w:eastAsia="Times New Roman" w:hAnsi="Open Sans" w:cs="Open Sans"/>
          <w:sz w:val="20"/>
          <w:szCs w:val="20"/>
          <w:lang w:eastAsia="en-GB"/>
        </w:rPr>
        <w:t>then</w:t>
      </w:r>
      <w:proofErr w:type="spellEnd"/>
      <w:r w:rsidR="00C270D2" w:rsidRPr="00923427">
        <w:rPr>
          <w:rFonts w:ascii="Open Sans" w:eastAsia="Times New Roman" w:hAnsi="Open Sans" w:cs="Open Sans"/>
          <w:sz w:val="20"/>
          <w:szCs w:val="20"/>
          <w:lang w:eastAsia="en-GB"/>
        </w:rPr>
        <w:t xml:space="preserve"> competing for the use of higher value wood products going to construction.</w:t>
      </w:r>
    </w:p>
    <w:p w14:paraId="76D603CB" w14:textId="226C382E" w:rsidR="00C270D2" w:rsidRPr="00923427" w:rsidRDefault="00C270D2" w:rsidP="00C270D2">
      <w:pPr>
        <w:pBdr>
          <w:bottom w:val="single" w:sz="6" w:space="1" w:color="auto"/>
        </w:pBdr>
        <w:spacing w:before="100" w:beforeAutospacing="1" w:after="100" w:afterAutospacing="1" w:line="240" w:lineRule="auto"/>
        <w:rPr>
          <w:rFonts w:ascii="Open Sans" w:eastAsia="Times New Roman" w:hAnsi="Open Sans" w:cs="Open Sans"/>
          <w:sz w:val="20"/>
          <w:szCs w:val="20"/>
          <w:lang w:eastAsia="en-GB"/>
        </w:rPr>
      </w:pPr>
      <w:r w:rsidRPr="00923427">
        <w:rPr>
          <w:rFonts w:ascii="Open Sans" w:eastAsia="Times New Roman" w:hAnsi="Open Sans" w:cs="Open Sans"/>
          <w:sz w:val="20"/>
          <w:szCs w:val="20"/>
          <w:lang w:eastAsia="en-GB"/>
        </w:rPr>
        <w:t xml:space="preserve">Equally, some bioenergy pathways lead to multiple products and uses, expanding the market, rather </w:t>
      </w:r>
      <w:proofErr w:type="spellStart"/>
      <w:r w:rsidRPr="00923427">
        <w:rPr>
          <w:rFonts w:ascii="Open Sans" w:eastAsia="Times New Roman" w:hAnsi="Open Sans" w:cs="Open Sans"/>
          <w:sz w:val="20"/>
          <w:szCs w:val="20"/>
          <w:lang w:eastAsia="en-GB"/>
        </w:rPr>
        <w:t>then</w:t>
      </w:r>
      <w:proofErr w:type="spellEnd"/>
      <w:r w:rsidRPr="00923427">
        <w:rPr>
          <w:rFonts w:ascii="Open Sans" w:eastAsia="Times New Roman" w:hAnsi="Open Sans" w:cs="Open Sans"/>
          <w:sz w:val="20"/>
          <w:szCs w:val="20"/>
          <w:lang w:eastAsia="en-GB"/>
        </w:rPr>
        <w:t xml:space="preserve"> competing for resources. Anaerobic digestion, for example, see the production of both biomethane and digestate that </w:t>
      </w:r>
      <w:r w:rsidR="004A37F1" w:rsidRPr="00923427">
        <w:rPr>
          <w:rFonts w:ascii="Open Sans" w:eastAsia="Times New Roman" w:hAnsi="Open Sans" w:cs="Open Sans"/>
          <w:sz w:val="20"/>
          <w:szCs w:val="20"/>
          <w:lang w:eastAsia="en-GB"/>
        </w:rPr>
        <w:t xml:space="preserve">can be spread to land as a fertiliser. </w:t>
      </w:r>
    </w:p>
    <w:p w14:paraId="2CB409E3" w14:textId="77777777" w:rsidR="00220257" w:rsidRPr="00923427" w:rsidRDefault="00220257" w:rsidP="00C270D2">
      <w:pPr>
        <w:pBdr>
          <w:bottom w:val="single" w:sz="6" w:space="1" w:color="auto"/>
        </w:pBdr>
        <w:spacing w:before="100" w:beforeAutospacing="1" w:after="100" w:afterAutospacing="1" w:line="240" w:lineRule="auto"/>
        <w:rPr>
          <w:rFonts w:ascii="Open Sans" w:eastAsia="Times New Roman" w:hAnsi="Open Sans" w:cs="Open Sans"/>
          <w:b/>
          <w:bCs/>
          <w:sz w:val="20"/>
          <w:szCs w:val="20"/>
          <w:lang w:eastAsia="en-GB"/>
        </w:rPr>
      </w:pPr>
    </w:p>
    <w:p w14:paraId="028D26A3" w14:textId="6725C2E9" w:rsidR="00B326CF" w:rsidRPr="004C28D6" w:rsidRDefault="00C270D2" w:rsidP="00B326CF">
      <w:pPr>
        <w:spacing w:before="100" w:beforeAutospacing="1" w:after="100" w:afterAutospacing="1" w:line="240" w:lineRule="auto"/>
        <w:rPr>
          <w:rFonts w:ascii="Open Sans" w:eastAsia="Times New Roman" w:hAnsi="Open Sans" w:cs="Open Sans"/>
          <w:b/>
          <w:bCs/>
          <w:color w:val="2F5496"/>
          <w:sz w:val="20"/>
          <w:szCs w:val="20"/>
          <w:lang w:eastAsia="en-GB"/>
        </w:rPr>
      </w:pPr>
      <w:r w:rsidRPr="004C28D6">
        <w:rPr>
          <w:rFonts w:ascii="Open Sans" w:eastAsia="Times New Roman" w:hAnsi="Open Sans" w:cs="Open Sans"/>
          <w:b/>
          <w:bCs/>
          <w:color w:val="2F5496"/>
          <w:sz w:val="20"/>
          <w:szCs w:val="20"/>
          <w:lang w:eastAsia="en-GB"/>
        </w:rPr>
        <w:t xml:space="preserve"> </w:t>
      </w:r>
      <w:r w:rsidR="00B326CF" w:rsidRPr="004C28D6">
        <w:rPr>
          <w:rFonts w:ascii="Open Sans" w:eastAsia="Times New Roman" w:hAnsi="Open Sans" w:cs="Open Sans"/>
          <w:b/>
          <w:bCs/>
          <w:color w:val="2F5496"/>
          <w:sz w:val="20"/>
          <w:szCs w:val="20"/>
          <w:lang w:eastAsia="en-GB"/>
        </w:rPr>
        <w:t>13. Are there any policy gaps, risks or barriers hindering the wider deployment of biomass in the sectors identified above?</w:t>
      </w:r>
    </w:p>
    <w:p w14:paraId="55259723" w14:textId="15A5E534" w:rsidR="003970AB" w:rsidRPr="00923427" w:rsidRDefault="000B4868" w:rsidP="00882FC4">
      <w:pPr>
        <w:rPr>
          <w:rFonts w:ascii="Open Sans" w:hAnsi="Open Sans" w:cs="Open Sans"/>
          <w:sz w:val="20"/>
          <w:szCs w:val="20"/>
        </w:rPr>
      </w:pPr>
      <w:r w:rsidRPr="00923427">
        <w:rPr>
          <w:rFonts w:ascii="Open Sans" w:hAnsi="Open Sans" w:cs="Open Sans"/>
          <w:sz w:val="20"/>
          <w:szCs w:val="20"/>
        </w:rPr>
        <w:t>Both current and potential</w:t>
      </w:r>
      <w:r w:rsidR="00EF523A" w:rsidRPr="00923427">
        <w:rPr>
          <w:rFonts w:ascii="Open Sans" w:hAnsi="Open Sans" w:cs="Open Sans"/>
          <w:sz w:val="20"/>
          <w:szCs w:val="20"/>
        </w:rPr>
        <w:t xml:space="preserve"> future</w:t>
      </w:r>
      <w:r w:rsidRPr="00923427">
        <w:rPr>
          <w:rFonts w:ascii="Open Sans" w:hAnsi="Open Sans" w:cs="Open Sans"/>
          <w:sz w:val="20"/>
          <w:szCs w:val="20"/>
        </w:rPr>
        <w:t xml:space="preserve"> energy policy gaps are </w:t>
      </w:r>
      <w:r w:rsidR="00600168" w:rsidRPr="00923427">
        <w:rPr>
          <w:rFonts w:ascii="Open Sans" w:hAnsi="Open Sans" w:cs="Open Sans"/>
          <w:sz w:val="20"/>
          <w:szCs w:val="20"/>
        </w:rPr>
        <w:t>opening</w:t>
      </w:r>
      <w:r w:rsidRPr="00923427">
        <w:rPr>
          <w:rFonts w:ascii="Open Sans" w:hAnsi="Open Sans" w:cs="Open Sans"/>
          <w:sz w:val="20"/>
          <w:szCs w:val="20"/>
        </w:rPr>
        <w:t xml:space="preserve">, which creates </w:t>
      </w:r>
      <w:r w:rsidR="00B8327A" w:rsidRPr="00923427">
        <w:rPr>
          <w:rFonts w:ascii="Open Sans" w:hAnsi="Open Sans" w:cs="Open Sans"/>
          <w:sz w:val="20"/>
          <w:szCs w:val="20"/>
        </w:rPr>
        <w:t xml:space="preserve">a barrier to further deployment, undermining existing bioenergy sectors and </w:t>
      </w:r>
      <w:r w:rsidR="00EF523A" w:rsidRPr="00923427">
        <w:rPr>
          <w:rFonts w:ascii="Open Sans" w:hAnsi="Open Sans" w:cs="Open Sans"/>
          <w:sz w:val="20"/>
          <w:szCs w:val="20"/>
        </w:rPr>
        <w:t>stopping further</w:t>
      </w:r>
      <w:r w:rsidR="00B8327A" w:rsidRPr="00923427">
        <w:rPr>
          <w:rFonts w:ascii="Open Sans" w:hAnsi="Open Sans" w:cs="Open Sans"/>
          <w:sz w:val="20"/>
          <w:szCs w:val="20"/>
        </w:rPr>
        <w:t xml:space="preserve"> development that leads to future innovation. We highlight:</w:t>
      </w:r>
    </w:p>
    <w:p w14:paraId="3C6AA8CF" w14:textId="1C5AB857" w:rsidR="00C520EB" w:rsidRPr="00923427" w:rsidRDefault="00C520EB" w:rsidP="00C520EB">
      <w:pPr>
        <w:rPr>
          <w:rFonts w:ascii="Open Sans" w:hAnsi="Open Sans" w:cs="Open Sans"/>
          <w:b/>
          <w:bCs/>
          <w:i/>
          <w:iCs/>
          <w:sz w:val="20"/>
          <w:szCs w:val="20"/>
        </w:rPr>
      </w:pPr>
      <w:r w:rsidRPr="00923427">
        <w:rPr>
          <w:rFonts w:ascii="Open Sans" w:hAnsi="Open Sans" w:cs="Open Sans"/>
          <w:b/>
          <w:bCs/>
          <w:i/>
          <w:iCs/>
          <w:sz w:val="20"/>
          <w:szCs w:val="20"/>
        </w:rPr>
        <w:t>There remains no comparable replacement to the Non-Domestic RHI, leaving Biomass Heat without a route to market, while being labelled as ‘niche’ despite the size of the hard-to-treat heat sector.</w:t>
      </w:r>
    </w:p>
    <w:p w14:paraId="70E8C7D3" w14:textId="37A58317" w:rsidR="00014DF3" w:rsidRPr="00923427" w:rsidRDefault="00B8327A" w:rsidP="00C520EB">
      <w:pPr>
        <w:rPr>
          <w:rFonts w:ascii="Open Sans" w:hAnsi="Open Sans" w:cs="Open Sans"/>
          <w:sz w:val="20"/>
          <w:szCs w:val="20"/>
        </w:rPr>
      </w:pPr>
      <w:r w:rsidRPr="00923427">
        <w:rPr>
          <w:rFonts w:ascii="Open Sans" w:hAnsi="Open Sans" w:cs="Open Sans"/>
          <w:sz w:val="20"/>
          <w:szCs w:val="20"/>
        </w:rPr>
        <w:t xml:space="preserve">There is currently a lack of commercial or industrial heat decarbonisation support, with no </w:t>
      </w:r>
      <w:r w:rsidR="00EF523A" w:rsidRPr="00923427">
        <w:rPr>
          <w:rFonts w:ascii="Open Sans" w:hAnsi="Open Sans" w:cs="Open Sans"/>
          <w:sz w:val="20"/>
          <w:szCs w:val="20"/>
        </w:rPr>
        <w:t xml:space="preserve">comparative replacement to the Non-Domestic RHI. Large scale heat decarbonisation, in which biomass has an important role to play, currently has no route to market with the biomass heat sector expected to contract as a result. This will have negative consequences for delivering heat decarbonisation, including possibilities for powering green heat </w:t>
      </w:r>
      <w:r w:rsidR="00017429" w:rsidRPr="00923427">
        <w:rPr>
          <w:rFonts w:ascii="Open Sans" w:hAnsi="Open Sans" w:cs="Open Sans"/>
          <w:sz w:val="20"/>
          <w:szCs w:val="20"/>
        </w:rPr>
        <w:t>networks,</w:t>
      </w:r>
      <w:r w:rsidR="00EF523A" w:rsidRPr="00923427">
        <w:rPr>
          <w:rFonts w:ascii="Open Sans" w:hAnsi="Open Sans" w:cs="Open Sans"/>
          <w:sz w:val="20"/>
          <w:szCs w:val="20"/>
        </w:rPr>
        <w:t xml:space="preserve"> and delivering highly efficient bioenergy carbon capture and storage system on </w:t>
      </w:r>
      <w:r w:rsidR="00014DF3" w:rsidRPr="00923427">
        <w:rPr>
          <w:rFonts w:ascii="Open Sans" w:hAnsi="Open Sans" w:cs="Open Sans"/>
          <w:sz w:val="20"/>
          <w:szCs w:val="20"/>
        </w:rPr>
        <w:t xml:space="preserve">biomass </w:t>
      </w:r>
      <w:r w:rsidR="00EF523A" w:rsidRPr="00923427">
        <w:rPr>
          <w:rFonts w:ascii="Open Sans" w:hAnsi="Open Sans" w:cs="Open Sans"/>
          <w:sz w:val="20"/>
          <w:szCs w:val="20"/>
        </w:rPr>
        <w:t xml:space="preserve">heat sites. </w:t>
      </w:r>
      <w:r w:rsidR="00600168" w:rsidRPr="00923427">
        <w:rPr>
          <w:rFonts w:ascii="Open Sans" w:hAnsi="Open Sans" w:cs="Open Sans"/>
          <w:sz w:val="20"/>
          <w:szCs w:val="20"/>
        </w:rPr>
        <w:t xml:space="preserve">The lack of route to market means there are already examples of both existing and potential new biomass heat sites reverting to oil boilers, effectively reversing progress made on heat decarbonisation to date. </w:t>
      </w:r>
    </w:p>
    <w:p w14:paraId="02652957" w14:textId="2FA9D629" w:rsidR="00014DF3" w:rsidRPr="00923427" w:rsidRDefault="00C520EB" w:rsidP="00C520EB">
      <w:pPr>
        <w:rPr>
          <w:rFonts w:ascii="Open Sans" w:hAnsi="Open Sans" w:cs="Open Sans"/>
          <w:sz w:val="20"/>
          <w:szCs w:val="20"/>
        </w:rPr>
      </w:pPr>
      <w:r w:rsidRPr="00923427">
        <w:rPr>
          <w:rFonts w:ascii="Open Sans" w:hAnsi="Open Sans" w:cs="Open Sans"/>
          <w:sz w:val="20"/>
          <w:szCs w:val="20"/>
        </w:rPr>
        <w:t>Similarly,</w:t>
      </w:r>
      <w:r w:rsidR="00014DF3" w:rsidRPr="00923427">
        <w:rPr>
          <w:rFonts w:ascii="Open Sans" w:hAnsi="Open Sans" w:cs="Open Sans"/>
          <w:sz w:val="20"/>
          <w:szCs w:val="20"/>
        </w:rPr>
        <w:t xml:space="preserve"> </w:t>
      </w:r>
      <w:r w:rsidR="00087312" w:rsidRPr="00923427">
        <w:rPr>
          <w:rFonts w:ascii="Open Sans" w:hAnsi="Open Sans" w:cs="Open Sans"/>
          <w:sz w:val="20"/>
          <w:szCs w:val="20"/>
        </w:rPr>
        <w:t>b</w:t>
      </w:r>
      <w:r w:rsidR="00014DF3" w:rsidRPr="00923427">
        <w:rPr>
          <w:rFonts w:ascii="Open Sans" w:hAnsi="Open Sans" w:cs="Open Sans"/>
          <w:sz w:val="20"/>
          <w:szCs w:val="20"/>
        </w:rPr>
        <w:t>ioenergy continues to be labelled as having a ‘niche’ role to play in heat decarbonisation</w:t>
      </w:r>
      <w:r w:rsidR="00087312" w:rsidRPr="00923427">
        <w:rPr>
          <w:rFonts w:ascii="Open Sans" w:hAnsi="Open Sans" w:cs="Open Sans"/>
          <w:sz w:val="20"/>
          <w:szCs w:val="20"/>
        </w:rPr>
        <w:t xml:space="preserve">, without a clear identification of the size of the market </w:t>
      </w:r>
      <w:r w:rsidRPr="00923427">
        <w:rPr>
          <w:rFonts w:ascii="Open Sans" w:hAnsi="Open Sans" w:cs="Open Sans"/>
          <w:sz w:val="20"/>
          <w:szCs w:val="20"/>
        </w:rPr>
        <w:t>were</w:t>
      </w:r>
      <w:r w:rsidR="00087312" w:rsidRPr="00923427">
        <w:rPr>
          <w:rFonts w:ascii="Open Sans" w:hAnsi="Open Sans" w:cs="Open Sans"/>
          <w:sz w:val="20"/>
          <w:szCs w:val="20"/>
        </w:rPr>
        <w:t xml:space="preserve"> </w:t>
      </w:r>
      <w:r w:rsidR="004C4708" w:rsidRPr="00923427">
        <w:rPr>
          <w:rFonts w:ascii="Open Sans" w:hAnsi="Open Sans" w:cs="Open Sans"/>
          <w:sz w:val="20"/>
          <w:szCs w:val="20"/>
        </w:rPr>
        <w:t xml:space="preserve">biomass or other biofuels, could be the most appropriate solution </w:t>
      </w:r>
      <w:r w:rsidR="00CB4A6F" w:rsidRPr="00923427">
        <w:rPr>
          <w:rFonts w:ascii="Open Sans" w:hAnsi="Open Sans" w:cs="Open Sans"/>
          <w:sz w:val="20"/>
          <w:szCs w:val="20"/>
        </w:rPr>
        <w:t xml:space="preserve">for </w:t>
      </w:r>
      <w:r w:rsidR="004C4708" w:rsidRPr="00923427">
        <w:rPr>
          <w:rFonts w:ascii="Open Sans" w:hAnsi="Open Sans" w:cs="Open Sans"/>
          <w:sz w:val="20"/>
          <w:szCs w:val="20"/>
        </w:rPr>
        <w:t xml:space="preserve">heat decarbonisation. </w:t>
      </w:r>
      <w:r w:rsidR="00CB3A74" w:rsidRPr="00923427">
        <w:rPr>
          <w:rFonts w:ascii="Open Sans" w:hAnsi="Open Sans" w:cs="Open Sans"/>
          <w:sz w:val="20"/>
          <w:szCs w:val="20"/>
        </w:rPr>
        <w:t>The size of the ‘hard to treat’ domestic off gas grid sector is estimated to be 20% by BEIS, equating to 260,000 domestic properties where low temperature heat pumps might not be suitable</w:t>
      </w:r>
      <w:r w:rsidR="00600168" w:rsidRPr="00923427">
        <w:rPr>
          <w:rFonts w:ascii="Open Sans" w:hAnsi="Open Sans" w:cs="Open Sans"/>
          <w:sz w:val="20"/>
          <w:szCs w:val="20"/>
        </w:rPr>
        <w:t xml:space="preserve">. </w:t>
      </w:r>
      <w:r w:rsidR="00600168" w:rsidRPr="00923427">
        <w:rPr>
          <w:rStyle w:val="FootnoteReference"/>
          <w:rFonts w:ascii="Open Sans" w:hAnsi="Open Sans" w:cs="Open Sans"/>
          <w:sz w:val="20"/>
          <w:szCs w:val="20"/>
        </w:rPr>
        <w:footnoteReference w:id="47"/>
      </w:r>
      <w:r w:rsidR="00CB3A74" w:rsidRPr="00923427">
        <w:rPr>
          <w:rFonts w:ascii="Open Sans" w:hAnsi="Open Sans" w:cs="Open Sans"/>
          <w:sz w:val="20"/>
          <w:szCs w:val="20"/>
        </w:rPr>
        <w:t xml:space="preserve"> Added to this is </w:t>
      </w:r>
      <w:r w:rsidRPr="00923427">
        <w:rPr>
          <w:rFonts w:ascii="Open Sans" w:hAnsi="Open Sans" w:cs="Open Sans"/>
          <w:sz w:val="20"/>
          <w:szCs w:val="20"/>
        </w:rPr>
        <w:t xml:space="preserve">the </w:t>
      </w:r>
      <w:r w:rsidR="00CB3A74" w:rsidRPr="00923427">
        <w:rPr>
          <w:rFonts w:ascii="Open Sans" w:hAnsi="Open Sans" w:cs="Open Sans"/>
          <w:sz w:val="20"/>
          <w:szCs w:val="20"/>
        </w:rPr>
        <w:t>significant potential biomass is expected to play</w:t>
      </w:r>
      <w:r w:rsidR="00600168" w:rsidRPr="00923427">
        <w:rPr>
          <w:rFonts w:ascii="Open Sans" w:hAnsi="Open Sans" w:cs="Open Sans"/>
          <w:sz w:val="20"/>
          <w:szCs w:val="20"/>
        </w:rPr>
        <w:t xml:space="preserve"> in</w:t>
      </w:r>
      <w:r w:rsidR="00CB3A74" w:rsidRPr="00923427">
        <w:rPr>
          <w:rFonts w:ascii="Open Sans" w:hAnsi="Open Sans" w:cs="Open Sans"/>
          <w:sz w:val="20"/>
          <w:szCs w:val="20"/>
        </w:rPr>
        <w:t xml:space="preserve"> commercial and industrial sector decarbonisation where the high heat loads from biomass</w:t>
      </w:r>
      <w:r w:rsidRPr="00923427">
        <w:rPr>
          <w:rFonts w:ascii="Open Sans" w:hAnsi="Open Sans" w:cs="Open Sans"/>
          <w:sz w:val="20"/>
          <w:szCs w:val="20"/>
        </w:rPr>
        <w:t xml:space="preserve"> currently</w:t>
      </w:r>
      <w:r w:rsidR="00CB3A74" w:rsidRPr="00923427">
        <w:rPr>
          <w:rFonts w:ascii="Open Sans" w:hAnsi="Open Sans" w:cs="Open Sans"/>
          <w:sz w:val="20"/>
          <w:szCs w:val="20"/>
        </w:rPr>
        <w:t xml:space="preserve"> provide the most </w:t>
      </w:r>
      <w:r w:rsidRPr="00923427">
        <w:rPr>
          <w:rFonts w:ascii="Open Sans" w:hAnsi="Open Sans" w:cs="Open Sans"/>
          <w:sz w:val="20"/>
          <w:szCs w:val="20"/>
        </w:rPr>
        <w:t>cost-effective</w:t>
      </w:r>
      <w:r w:rsidR="00CB3A74" w:rsidRPr="00923427">
        <w:rPr>
          <w:rFonts w:ascii="Open Sans" w:hAnsi="Open Sans" w:cs="Open Sans"/>
          <w:sz w:val="20"/>
          <w:szCs w:val="20"/>
        </w:rPr>
        <w:t xml:space="preserve"> route to the decarbonisation of public buildings, such as </w:t>
      </w:r>
      <w:r w:rsidR="00600168" w:rsidRPr="00923427">
        <w:rPr>
          <w:rFonts w:ascii="Open Sans" w:hAnsi="Open Sans" w:cs="Open Sans"/>
          <w:sz w:val="20"/>
          <w:szCs w:val="20"/>
        </w:rPr>
        <w:t>s</w:t>
      </w:r>
      <w:r w:rsidR="00CB3A74" w:rsidRPr="00923427">
        <w:rPr>
          <w:rFonts w:ascii="Open Sans" w:hAnsi="Open Sans" w:cs="Open Sans"/>
          <w:sz w:val="20"/>
          <w:szCs w:val="20"/>
        </w:rPr>
        <w:t xml:space="preserve">chools or </w:t>
      </w:r>
      <w:r w:rsidR="00600168" w:rsidRPr="00923427">
        <w:rPr>
          <w:rFonts w:ascii="Open Sans" w:hAnsi="Open Sans" w:cs="Open Sans"/>
          <w:sz w:val="20"/>
          <w:szCs w:val="20"/>
        </w:rPr>
        <w:t>h</w:t>
      </w:r>
      <w:r w:rsidR="00CB3A74" w:rsidRPr="00923427">
        <w:rPr>
          <w:rFonts w:ascii="Open Sans" w:hAnsi="Open Sans" w:cs="Open Sans"/>
          <w:sz w:val="20"/>
          <w:szCs w:val="20"/>
        </w:rPr>
        <w:t>ospitals, or powering green heat networks. While electrification will likely form</w:t>
      </w:r>
      <w:r w:rsidRPr="00923427">
        <w:rPr>
          <w:rFonts w:ascii="Open Sans" w:hAnsi="Open Sans" w:cs="Open Sans"/>
          <w:sz w:val="20"/>
          <w:szCs w:val="20"/>
        </w:rPr>
        <w:t xml:space="preserve"> the largest role in heat decarbonisation, the purported ‘niche’ role for biomass is still an estimated 10 times larger than the existing biomass heat market</w:t>
      </w:r>
      <w:r w:rsidR="00600168" w:rsidRPr="00923427">
        <w:rPr>
          <w:rFonts w:ascii="Open Sans" w:hAnsi="Open Sans" w:cs="Open Sans"/>
          <w:sz w:val="20"/>
          <w:szCs w:val="20"/>
        </w:rPr>
        <w:t xml:space="preserve">. </w:t>
      </w:r>
      <w:r w:rsidR="000835FC" w:rsidRPr="00923427">
        <w:rPr>
          <w:rStyle w:val="FootnoteReference"/>
          <w:rFonts w:ascii="Open Sans" w:hAnsi="Open Sans" w:cs="Open Sans"/>
          <w:sz w:val="20"/>
          <w:szCs w:val="20"/>
        </w:rPr>
        <w:footnoteReference w:id="48"/>
      </w:r>
      <w:r w:rsidRPr="00923427">
        <w:rPr>
          <w:rFonts w:ascii="Open Sans" w:hAnsi="Open Sans" w:cs="Open Sans"/>
          <w:sz w:val="20"/>
          <w:szCs w:val="20"/>
        </w:rPr>
        <w:t xml:space="preserve">The label ‘niche’ has itself become a barrier as policy </w:t>
      </w:r>
      <w:r w:rsidR="00C15AF3" w:rsidRPr="00923427">
        <w:rPr>
          <w:rFonts w:ascii="Open Sans" w:hAnsi="Open Sans" w:cs="Open Sans"/>
          <w:sz w:val="20"/>
          <w:szCs w:val="20"/>
        </w:rPr>
        <w:t xml:space="preserve">assumes </w:t>
      </w:r>
      <w:r w:rsidRPr="00923427">
        <w:rPr>
          <w:rFonts w:ascii="Open Sans" w:hAnsi="Open Sans" w:cs="Open Sans"/>
          <w:sz w:val="20"/>
          <w:szCs w:val="20"/>
        </w:rPr>
        <w:t>the numbers involved to be insignificant,</w:t>
      </w:r>
      <w:r w:rsidR="00C15AF3" w:rsidRPr="00923427">
        <w:rPr>
          <w:rFonts w:ascii="Open Sans" w:hAnsi="Open Sans" w:cs="Open Sans"/>
          <w:sz w:val="20"/>
          <w:szCs w:val="20"/>
        </w:rPr>
        <w:t xml:space="preserve"> despite</w:t>
      </w:r>
      <w:r w:rsidRPr="00923427">
        <w:rPr>
          <w:rFonts w:ascii="Open Sans" w:hAnsi="Open Sans" w:cs="Open Sans"/>
          <w:sz w:val="20"/>
          <w:szCs w:val="20"/>
        </w:rPr>
        <w:t xml:space="preserve"> a strong sector</w:t>
      </w:r>
      <w:r w:rsidR="00C15AF3" w:rsidRPr="00923427">
        <w:rPr>
          <w:rFonts w:ascii="Open Sans" w:hAnsi="Open Sans" w:cs="Open Sans"/>
          <w:sz w:val="20"/>
          <w:szCs w:val="20"/>
        </w:rPr>
        <w:t xml:space="preserve"> continuing to be needed</w:t>
      </w:r>
      <w:r w:rsidR="000835FC" w:rsidRPr="00923427">
        <w:rPr>
          <w:rFonts w:ascii="Open Sans" w:hAnsi="Open Sans" w:cs="Open Sans"/>
          <w:sz w:val="20"/>
          <w:szCs w:val="20"/>
        </w:rPr>
        <w:t xml:space="preserve"> to</w:t>
      </w:r>
      <w:r w:rsidR="00C15AF3" w:rsidRPr="00923427">
        <w:rPr>
          <w:rFonts w:ascii="Open Sans" w:hAnsi="Open Sans" w:cs="Open Sans"/>
          <w:sz w:val="20"/>
          <w:szCs w:val="20"/>
        </w:rPr>
        <w:t xml:space="preserve"> achieve</w:t>
      </w:r>
      <w:r w:rsidRPr="00923427">
        <w:rPr>
          <w:rFonts w:ascii="Open Sans" w:hAnsi="Open Sans" w:cs="Open Sans"/>
          <w:sz w:val="20"/>
          <w:szCs w:val="20"/>
        </w:rPr>
        <w:t xml:space="preserve"> full decarbonisation</w:t>
      </w:r>
      <w:r w:rsidR="000835FC" w:rsidRPr="00923427">
        <w:rPr>
          <w:rFonts w:ascii="Open Sans" w:hAnsi="Open Sans" w:cs="Open Sans"/>
          <w:sz w:val="20"/>
          <w:szCs w:val="20"/>
        </w:rPr>
        <w:t>.</w:t>
      </w:r>
    </w:p>
    <w:p w14:paraId="43261A80" w14:textId="3554EF0B" w:rsidR="0034363A" w:rsidRPr="00923427" w:rsidRDefault="00C520EB" w:rsidP="00C520EB">
      <w:pPr>
        <w:rPr>
          <w:rFonts w:ascii="Open Sans" w:hAnsi="Open Sans" w:cs="Open Sans"/>
          <w:b/>
          <w:bCs/>
          <w:i/>
          <w:iCs/>
          <w:sz w:val="20"/>
          <w:szCs w:val="20"/>
        </w:rPr>
      </w:pPr>
      <w:r w:rsidRPr="00923427">
        <w:rPr>
          <w:rFonts w:ascii="Open Sans" w:hAnsi="Open Sans" w:cs="Open Sans"/>
          <w:b/>
          <w:bCs/>
          <w:i/>
          <w:iCs/>
          <w:sz w:val="20"/>
          <w:szCs w:val="20"/>
        </w:rPr>
        <w:t xml:space="preserve">The Renewable Transport Fuel Obligation </w:t>
      </w:r>
      <w:r w:rsidR="00172EF2" w:rsidRPr="00923427">
        <w:rPr>
          <w:rFonts w:ascii="Open Sans" w:hAnsi="Open Sans" w:cs="Open Sans"/>
          <w:b/>
          <w:bCs/>
          <w:i/>
          <w:iCs/>
          <w:sz w:val="20"/>
          <w:szCs w:val="20"/>
        </w:rPr>
        <w:t>t</w:t>
      </w:r>
      <w:r w:rsidRPr="00923427">
        <w:rPr>
          <w:rFonts w:ascii="Open Sans" w:hAnsi="Open Sans" w:cs="Open Sans"/>
          <w:b/>
          <w:bCs/>
          <w:i/>
          <w:iCs/>
          <w:sz w:val="20"/>
          <w:szCs w:val="20"/>
        </w:rPr>
        <w:t xml:space="preserve">arget </w:t>
      </w:r>
      <w:r w:rsidR="00172EF2" w:rsidRPr="00923427">
        <w:rPr>
          <w:rFonts w:ascii="Open Sans" w:hAnsi="Open Sans" w:cs="Open Sans"/>
          <w:b/>
          <w:bCs/>
          <w:i/>
          <w:iCs/>
          <w:sz w:val="20"/>
          <w:szCs w:val="20"/>
        </w:rPr>
        <w:t>c</w:t>
      </w:r>
      <w:r w:rsidRPr="00923427">
        <w:rPr>
          <w:rFonts w:ascii="Open Sans" w:hAnsi="Open Sans" w:cs="Open Sans"/>
          <w:b/>
          <w:bCs/>
          <w:i/>
          <w:iCs/>
          <w:sz w:val="20"/>
          <w:szCs w:val="20"/>
        </w:rPr>
        <w:t xml:space="preserve">ontinues to </w:t>
      </w:r>
      <w:r w:rsidR="00172EF2" w:rsidRPr="00923427">
        <w:rPr>
          <w:rFonts w:ascii="Open Sans" w:hAnsi="Open Sans" w:cs="Open Sans"/>
          <w:b/>
          <w:bCs/>
          <w:i/>
          <w:iCs/>
          <w:sz w:val="20"/>
          <w:szCs w:val="20"/>
        </w:rPr>
        <w:t>l</w:t>
      </w:r>
      <w:r w:rsidRPr="00923427">
        <w:rPr>
          <w:rFonts w:ascii="Open Sans" w:hAnsi="Open Sans" w:cs="Open Sans"/>
          <w:b/>
          <w:bCs/>
          <w:i/>
          <w:iCs/>
          <w:sz w:val="20"/>
          <w:szCs w:val="20"/>
        </w:rPr>
        <w:t xml:space="preserve">ack </w:t>
      </w:r>
      <w:proofErr w:type="gramStart"/>
      <w:r w:rsidR="00172EF2" w:rsidRPr="00923427">
        <w:rPr>
          <w:rFonts w:ascii="Open Sans" w:hAnsi="Open Sans" w:cs="Open Sans"/>
          <w:b/>
          <w:bCs/>
          <w:i/>
          <w:iCs/>
          <w:sz w:val="20"/>
          <w:szCs w:val="20"/>
        </w:rPr>
        <w:t>a</w:t>
      </w:r>
      <w:r w:rsidRPr="00923427">
        <w:rPr>
          <w:rFonts w:ascii="Open Sans" w:hAnsi="Open Sans" w:cs="Open Sans"/>
          <w:b/>
          <w:bCs/>
          <w:i/>
          <w:iCs/>
          <w:sz w:val="20"/>
          <w:szCs w:val="20"/>
        </w:rPr>
        <w:t>mbition</w:t>
      </w:r>
      <w:proofErr w:type="gramEnd"/>
    </w:p>
    <w:p w14:paraId="3B820131" w14:textId="062341DA" w:rsidR="00EF523A" w:rsidRPr="00923427" w:rsidRDefault="00EF523A" w:rsidP="00C520EB">
      <w:pPr>
        <w:rPr>
          <w:rFonts w:ascii="Open Sans" w:hAnsi="Open Sans" w:cs="Open Sans"/>
          <w:sz w:val="20"/>
          <w:szCs w:val="20"/>
        </w:rPr>
      </w:pPr>
      <w:r w:rsidRPr="00923427">
        <w:rPr>
          <w:rFonts w:ascii="Open Sans" w:hAnsi="Open Sans" w:cs="Open Sans"/>
          <w:sz w:val="20"/>
          <w:szCs w:val="20"/>
        </w:rPr>
        <w:t xml:space="preserve">The recently consulted changes to the Renewable Transport Fuel Obligation, remain unambitious, even with the potential for the obligation to raise to </w:t>
      </w:r>
      <w:r w:rsidR="00930BD7" w:rsidRPr="00923427">
        <w:rPr>
          <w:rFonts w:ascii="Open Sans" w:hAnsi="Open Sans" w:cs="Open Sans"/>
          <w:sz w:val="20"/>
          <w:szCs w:val="20"/>
        </w:rPr>
        <w:t xml:space="preserve">the higher level proposed of </w:t>
      </w:r>
      <w:r w:rsidRPr="00923427">
        <w:rPr>
          <w:rFonts w:ascii="Open Sans" w:hAnsi="Open Sans" w:cs="Open Sans"/>
          <w:sz w:val="20"/>
          <w:szCs w:val="20"/>
        </w:rPr>
        <w:t xml:space="preserve">5%. </w:t>
      </w:r>
      <w:r w:rsidR="00930BD7" w:rsidRPr="00923427">
        <w:rPr>
          <w:rFonts w:ascii="Open Sans" w:hAnsi="Open Sans" w:cs="Open Sans"/>
          <w:sz w:val="20"/>
          <w:szCs w:val="20"/>
        </w:rPr>
        <w:t xml:space="preserve"> At this level, modelling suggests that total volume of renewable transport fuels is estimated to be only slightly higher in 2035 </w:t>
      </w:r>
      <w:proofErr w:type="spellStart"/>
      <w:r w:rsidR="00930BD7" w:rsidRPr="00923427">
        <w:rPr>
          <w:rFonts w:ascii="Open Sans" w:hAnsi="Open Sans" w:cs="Open Sans"/>
          <w:sz w:val="20"/>
          <w:szCs w:val="20"/>
        </w:rPr>
        <w:t>then</w:t>
      </w:r>
      <w:proofErr w:type="spellEnd"/>
      <w:r w:rsidR="00930BD7" w:rsidRPr="00923427">
        <w:rPr>
          <w:rFonts w:ascii="Open Sans" w:hAnsi="Open Sans" w:cs="Open Sans"/>
          <w:sz w:val="20"/>
          <w:szCs w:val="20"/>
        </w:rPr>
        <w:t xml:space="preserve"> in 2022. </w:t>
      </w:r>
      <w:r w:rsidR="00096FA3" w:rsidRPr="00923427">
        <w:rPr>
          <w:rFonts w:ascii="Open Sans" w:hAnsi="Open Sans" w:cs="Open Sans"/>
          <w:sz w:val="20"/>
          <w:szCs w:val="20"/>
        </w:rPr>
        <w:t>Such low growth potential will fail to support a strong renewable transport sector from which the develop</w:t>
      </w:r>
      <w:r w:rsidR="0034363A" w:rsidRPr="00923427">
        <w:rPr>
          <w:rFonts w:ascii="Open Sans" w:hAnsi="Open Sans" w:cs="Open Sans"/>
          <w:sz w:val="20"/>
          <w:szCs w:val="20"/>
        </w:rPr>
        <w:t xml:space="preserve">ment of further development fuels is required if renewable transport fuels are to be helpful in decarbonising hard to treat sectors </w:t>
      </w:r>
      <w:r w:rsidR="000835FC" w:rsidRPr="00923427">
        <w:rPr>
          <w:rFonts w:ascii="Open Sans" w:hAnsi="Open Sans" w:cs="Open Sans"/>
          <w:sz w:val="20"/>
          <w:szCs w:val="20"/>
        </w:rPr>
        <w:t>such as</w:t>
      </w:r>
      <w:r w:rsidR="0034363A" w:rsidRPr="00923427">
        <w:rPr>
          <w:rFonts w:ascii="Open Sans" w:hAnsi="Open Sans" w:cs="Open Sans"/>
          <w:sz w:val="20"/>
          <w:szCs w:val="20"/>
        </w:rPr>
        <w:t xml:space="preserve"> aviation. </w:t>
      </w:r>
    </w:p>
    <w:p w14:paraId="55DF5761" w14:textId="77E55768" w:rsidR="0034363A" w:rsidRPr="00923427" w:rsidRDefault="00C520EB" w:rsidP="00C520EB">
      <w:pPr>
        <w:rPr>
          <w:rFonts w:ascii="Open Sans" w:hAnsi="Open Sans" w:cs="Open Sans"/>
          <w:b/>
          <w:bCs/>
          <w:i/>
          <w:iCs/>
          <w:sz w:val="20"/>
          <w:szCs w:val="20"/>
        </w:rPr>
      </w:pPr>
      <w:r w:rsidRPr="00923427">
        <w:rPr>
          <w:rFonts w:ascii="Open Sans" w:hAnsi="Open Sans" w:cs="Open Sans"/>
          <w:b/>
          <w:bCs/>
          <w:i/>
          <w:iCs/>
          <w:sz w:val="20"/>
          <w:szCs w:val="20"/>
        </w:rPr>
        <w:t xml:space="preserve">Existing </w:t>
      </w:r>
      <w:r w:rsidR="00172EF2" w:rsidRPr="00923427">
        <w:rPr>
          <w:rFonts w:ascii="Open Sans" w:hAnsi="Open Sans" w:cs="Open Sans"/>
          <w:b/>
          <w:bCs/>
          <w:i/>
          <w:iCs/>
          <w:sz w:val="20"/>
          <w:szCs w:val="20"/>
        </w:rPr>
        <w:t>bioelectricity s</w:t>
      </w:r>
      <w:r w:rsidRPr="00923427">
        <w:rPr>
          <w:rFonts w:ascii="Open Sans" w:hAnsi="Open Sans" w:cs="Open Sans"/>
          <w:b/>
          <w:bCs/>
          <w:i/>
          <w:iCs/>
          <w:sz w:val="20"/>
          <w:szCs w:val="20"/>
        </w:rPr>
        <w:t xml:space="preserve">ites </w:t>
      </w:r>
      <w:r w:rsidR="00172EF2" w:rsidRPr="00923427">
        <w:rPr>
          <w:rFonts w:ascii="Open Sans" w:hAnsi="Open Sans" w:cs="Open Sans"/>
          <w:b/>
          <w:bCs/>
          <w:i/>
          <w:iCs/>
          <w:sz w:val="20"/>
          <w:szCs w:val="20"/>
        </w:rPr>
        <w:t>r</w:t>
      </w:r>
      <w:r w:rsidRPr="00923427">
        <w:rPr>
          <w:rFonts w:ascii="Open Sans" w:hAnsi="Open Sans" w:cs="Open Sans"/>
          <w:b/>
          <w:bCs/>
          <w:i/>
          <w:iCs/>
          <w:sz w:val="20"/>
          <w:szCs w:val="20"/>
        </w:rPr>
        <w:t xml:space="preserve">equire </w:t>
      </w:r>
      <w:r w:rsidR="00172EF2" w:rsidRPr="00923427">
        <w:rPr>
          <w:rFonts w:ascii="Open Sans" w:hAnsi="Open Sans" w:cs="Open Sans"/>
          <w:b/>
          <w:bCs/>
          <w:i/>
          <w:iCs/>
          <w:sz w:val="20"/>
          <w:szCs w:val="20"/>
        </w:rPr>
        <w:t>c</w:t>
      </w:r>
      <w:r w:rsidRPr="00923427">
        <w:rPr>
          <w:rFonts w:ascii="Open Sans" w:hAnsi="Open Sans" w:cs="Open Sans"/>
          <w:b/>
          <w:bCs/>
          <w:i/>
          <w:iCs/>
          <w:sz w:val="20"/>
          <w:szCs w:val="20"/>
        </w:rPr>
        <w:t>larity post-</w:t>
      </w:r>
      <w:proofErr w:type="gramStart"/>
      <w:r w:rsidRPr="00923427">
        <w:rPr>
          <w:rFonts w:ascii="Open Sans" w:hAnsi="Open Sans" w:cs="Open Sans"/>
          <w:b/>
          <w:bCs/>
          <w:i/>
          <w:iCs/>
          <w:sz w:val="20"/>
          <w:szCs w:val="20"/>
        </w:rPr>
        <w:t>2027</w:t>
      </w:r>
      <w:proofErr w:type="gramEnd"/>
    </w:p>
    <w:p w14:paraId="75799F40" w14:textId="34BDAAE3" w:rsidR="0034363A" w:rsidRPr="00923427" w:rsidRDefault="0034363A" w:rsidP="00C520EB">
      <w:pPr>
        <w:rPr>
          <w:rFonts w:ascii="Open Sans" w:hAnsi="Open Sans" w:cs="Open Sans"/>
          <w:sz w:val="20"/>
          <w:szCs w:val="20"/>
        </w:rPr>
      </w:pPr>
      <w:r w:rsidRPr="00923427">
        <w:rPr>
          <w:rFonts w:ascii="Open Sans" w:hAnsi="Open Sans" w:cs="Open Sans"/>
          <w:sz w:val="20"/>
          <w:szCs w:val="20"/>
        </w:rPr>
        <w:t>There is current uncertainty around government ambitions for existing biomass power sites once</w:t>
      </w:r>
      <w:r w:rsidR="0036441F">
        <w:rPr>
          <w:rFonts w:ascii="Open Sans" w:hAnsi="Open Sans" w:cs="Open Sans"/>
          <w:sz w:val="20"/>
          <w:szCs w:val="20"/>
        </w:rPr>
        <w:t xml:space="preserve"> RO contracts start to </w:t>
      </w:r>
      <w:r w:rsidRPr="00923427">
        <w:rPr>
          <w:rFonts w:ascii="Open Sans" w:hAnsi="Open Sans" w:cs="Open Sans"/>
          <w:sz w:val="20"/>
          <w:szCs w:val="20"/>
        </w:rPr>
        <w:t>come to an end in 2027. Plant operators and feedstock producers are looking for certainty now if they are to start considering further investment in such sites, such as the retrofitting on BECCS within the 2030</w:t>
      </w:r>
      <w:r w:rsidR="000835FC" w:rsidRPr="00923427">
        <w:rPr>
          <w:rFonts w:ascii="Open Sans" w:hAnsi="Open Sans" w:cs="Open Sans"/>
          <w:sz w:val="20"/>
          <w:szCs w:val="20"/>
        </w:rPr>
        <w:t>’</w:t>
      </w:r>
      <w:r w:rsidRPr="00923427">
        <w:rPr>
          <w:rFonts w:ascii="Open Sans" w:hAnsi="Open Sans" w:cs="Open Sans"/>
          <w:sz w:val="20"/>
          <w:szCs w:val="20"/>
        </w:rPr>
        <w:t xml:space="preserve">s. </w:t>
      </w:r>
      <w:r w:rsidR="00C520EB" w:rsidRPr="00923427">
        <w:rPr>
          <w:rFonts w:ascii="Open Sans" w:hAnsi="Open Sans" w:cs="Open Sans"/>
          <w:sz w:val="20"/>
          <w:szCs w:val="20"/>
        </w:rPr>
        <w:t>Clear government</w:t>
      </w:r>
      <w:r w:rsidR="00017429" w:rsidRPr="00923427">
        <w:rPr>
          <w:rFonts w:ascii="Open Sans" w:hAnsi="Open Sans" w:cs="Open Sans"/>
          <w:sz w:val="20"/>
          <w:szCs w:val="20"/>
        </w:rPr>
        <w:t xml:space="preserve"> policy is required around the need to maintain existing operational biomass sites is needed now </w:t>
      </w:r>
      <w:r w:rsidR="000835FC" w:rsidRPr="00923427">
        <w:rPr>
          <w:rFonts w:ascii="Open Sans" w:hAnsi="Open Sans" w:cs="Open Sans"/>
          <w:sz w:val="20"/>
          <w:szCs w:val="20"/>
        </w:rPr>
        <w:t>to</w:t>
      </w:r>
      <w:r w:rsidR="00017429" w:rsidRPr="00923427">
        <w:rPr>
          <w:rFonts w:ascii="Open Sans" w:hAnsi="Open Sans" w:cs="Open Sans"/>
          <w:sz w:val="20"/>
          <w:szCs w:val="20"/>
        </w:rPr>
        <w:t xml:space="preserve"> maintain sector confidence. </w:t>
      </w:r>
    </w:p>
    <w:p w14:paraId="44D94B7F" w14:textId="5509917C" w:rsidR="00017429" w:rsidRPr="00923427" w:rsidRDefault="00017429" w:rsidP="00C520EB">
      <w:pPr>
        <w:rPr>
          <w:rFonts w:ascii="Open Sans" w:hAnsi="Open Sans" w:cs="Open Sans"/>
          <w:b/>
          <w:bCs/>
          <w:i/>
          <w:iCs/>
          <w:sz w:val="20"/>
          <w:szCs w:val="20"/>
        </w:rPr>
      </w:pPr>
      <w:r w:rsidRPr="00923427">
        <w:rPr>
          <w:rFonts w:ascii="Open Sans" w:hAnsi="Open Sans" w:cs="Open Sans"/>
          <w:b/>
          <w:bCs/>
          <w:i/>
          <w:iCs/>
          <w:sz w:val="20"/>
          <w:szCs w:val="20"/>
        </w:rPr>
        <w:t xml:space="preserve">The Environmental Land Management Scheme Needs to reward energy crops and </w:t>
      </w:r>
      <w:proofErr w:type="spellStart"/>
      <w:r w:rsidRPr="00923427">
        <w:rPr>
          <w:rFonts w:ascii="Open Sans" w:hAnsi="Open Sans" w:cs="Open Sans"/>
          <w:b/>
          <w:bCs/>
          <w:i/>
          <w:iCs/>
          <w:sz w:val="20"/>
          <w:szCs w:val="20"/>
        </w:rPr>
        <w:t>agro</w:t>
      </w:r>
      <w:proofErr w:type="spellEnd"/>
      <w:r w:rsidRPr="00923427">
        <w:rPr>
          <w:rFonts w:ascii="Open Sans" w:hAnsi="Open Sans" w:cs="Open Sans"/>
          <w:b/>
          <w:bCs/>
          <w:i/>
          <w:iCs/>
          <w:sz w:val="20"/>
          <w:szCs w:val="20"/>
        </w:rPr>
        <w:t>-</w:t>
      </w:r>
      <w:proofErr w:type="gramStart"/>
      <w:r w:rsidRPr="00923427">
        <w:rPr>
          <w:rFonts w:ascii="Open Sans" w:hAnsi="Open Sans" w:cs="Open Sans"/>
          <w:b/>
          <w:bCs/>
          <w:i/>
          <w:iCs/>
          <w:sz w:val="20"/>
          <w:szCs w:val="20"/>
        </w:rPr>
        <w:t>forestry</w:t>
      </w:r>
      <w:proofErr w:type="gramEnd"/>
    </w:p>
    <w:p w14:paraId="6D18FFA9" w14:textId="29A288FF" w:rsidR="0034363A" w:rsidRPr="00923427" w:rsidRDefault="000773E8" w:rsidP="00C520EB">
      <w:pPr>
        <w:rPr>
          <w:rFonts w:ascii="Open Sans" w:hAnsi="Open Sans" w:cs="Open Sans"/>
          <w:sz w:val="20"/>
          <w:szCs w:val="20"/>
        </w:rPr>
      </w:pPr>
      <w:r w:rsidRPr="00923427">
        <w:rPr>
          <w:rFonts w:ascii="Open Sans" w:hAnsi="Open Sans" w:cs="Open Sans"/>
          <w:sz w:val="20"/>
          <w:szCs w:val="20"/>
        </w:rPr>
        <w:t>As described in chapter 1, t</w:t>
      </w:r>
      <w:r w:rsidR="0034363A" w:rsidRPr="00923427">
        <w:rPr>
          <w:rFonts w:ascii="Open Sans" w:hAnsi="Open Sans" w:cs="Open Sans"/>
          <w:sz w:val="20"/>
          <w:szCs w:val="20"/>
        </w:rPr>
        <w:t xml:space="preserve">here is a significant gap in environment land management policy </w:t>
      </w:r>
      <w:r w:rsidR="00017429" w:rsidRPr="00923427">
        <w:rPr>
          <w:rFonts w:ascii="Open Sans" w:hAnsi="Open Sans" w:cs="Open Sans"/>
          <w:sz w:val="20"/>
          <w:szCs w:val="20"/>
        </w:rPr>
        <w:t xml:space="preserve">to reward the growth energy crops and </w:t>
      </w:r>
      <w:proofErr w:type="spellStart"/>
      <w:r w:rsidR="00017429" w:rsidRPr="00923427">
        <w:rPr>
          <w:rFonts w:ascii="Open Sans" w:hAnsi="Open Sans" w:cs="Open Sans"/>
          <w:sz w:val="20"/>
          <w:szCs w:val="20"/>
        </w:rPr>
        <w:t>agro</w:t>
      </w:r>
      <w:proofErr w:type="spellEnd"/>
      <w:r w:rsidR="00017429" w:rsidRPr="00923427">
        <w:rPr>
          <w:rFonts w:ascii="Open Sans" w:hAnsi="Open Sans" w:cs="Open Sans"/>
          <w:sz w:val="20"/>
          <w:szCs w:val="20"/>
        </w:rPr>
        <w:t xml:space="preserve">-forestry developments for the environmental services provided to the environment including carbon sequestration, soil fixing and biodiversity. This should be built into the development of the Environmental Land Manage Scheme and within revision to future national tree strategies. </w:t>
      </w:r>
    </w:p>
    <w:p w14:paraId="1C07290F" w14:textId="2D09C096" w:rsidR="00C36567" w:rsidRPr="00D5409E" w:rsidRDefault="00C36567" w:rsidP="00C36567">
      <w:pPr>
        <w:pStyle w:val="ListParagraph"/>
        <w:ind w:left="0"/>
        <w:rPr>
          <w:rFonts w:ascii="Open Sans" w:hAnsi="Open Sans" w:cs="Open Sans"/>
          <w:b/>
          <w:bCs/>
          <w:i/>
          <w:iCs/>
          <w:sz w:val="20"/>
          <w:szCs w:val="20"/>
        </w:rPr>
      </w:pPr>
      <w:r w:rsidRPr="00D5409E">
        <w:rPr>
          <w:rFonts w:ascii="Open Sans" w:hAnsi="Open Sans" w:cs="Open Sans"/>
          <w:b/>
          <w:bCs/>
          <w:i/>
          <w:iCs/>
          <w:sz w:val="20"/>
          <w:szCs w:val="20"/>
        </w:rPr>
        <w:t xml:space="preserve">The regulatory regime for ACT’s must be improved, with funding provided to the Environment </w:t>
      </w:r>
      <w:r>
        <w:rPr>
          <w:rFonts w:ascii="Open Sans" w:hAnsi="Open Sans" w:cs="Open Sans"/>
          <w:b/>
          <w:bCs/>
          <w:i/>
          <w:iCs/>
          <w:sz w:val="20"/>
          <w:szCs w:val="20"/>
        </w:rPr>
        <w:t>A</w:t>
      </w:r>
      <w:r w:rsidRPr="00D5409E">
        <w:rPr>
          <w:rFonts w:ascii="Open Sans" w:hAnsi="Open Sans" w:cs="Open Sans"/>
          <w:b/>
          <w:bCs/>
          <w:i/>
          <w:iCs/>
          <w:sz w:val="20"/>
          <w:szCs w:val="20"/>
        </w:rPr>
        <w:t xml:space="preserve">gency to develop a more </w:t>
      </w:r>
      <w:r>
        <w:rPr>
          <w:rFonts w:ascii="Open Sans" w:hAnsi="Open Sans" w:cs="Open Sans"/>
          <w:b/>
          <w:bCs/>
          <w:i/>
          <w:iCs/>
          <w:sz w:val="20"/>
          <w:szCs w:val="20"/>
        </w:rPr>
        <w:t>appropriate</w:t>
      </w:r>
      <w:r w:rsidRPr="00D5409E">
        <w:rPr>
          <w:rFonts w:ascii="Open Sans" w:hAnsi="Open Sans" w:cs="Open Sans"/>
          <w:b/>
          <w:bCs/>
          <w:i/>
          <w:iCs/>
          <w:sz w:val="20"/>
          <w:szCs w:val="20"/>
        </w:rPr>
        <w:t xml:space="preserve"> regime. </w:t>
      </w:r>
    </w:p>
    <w:p w14:paraId="59BED441" w14:textId="77777777" w:rsidR="00C36567" w:rsidRDefault="00C36567" w:rsidP="00C36567">
      <w:pPr>
        <w:rPr>
          <w:rFonts w:ascii="Open Sans" w:hAnsi="Open Sans" w:cs="Open Sans"/>
          <w:sz w:val="20"/>
          <w:szCs w:val="20"/>
        </w:rPr>
      </w:pPr>
      <w:r w:rsidRPr="00923427">
        <w:rPr>
          <w:rFonts w:ascii="Open Sans" w:hAnsi="Open Sans" w:cs="Open Sans"/>
          <w:sz w:val="20"/>
          <w:szCs w:val="20"/>
        </w:rPr>
        <w:t xml:space="preserve">A major </w:t>
      </w:r>
      <w:r>
        <w:rPr>
          <w:rFonts w:ascii="Open Sans" w:hAnsi="Open Sans" w:cs="Open Sans"/>
          <w:sz w:val="20"/>
          <w:szCs w:val="20"/>
        </w:rPr>
        <w:t>barrier</w:t>
      </w:r>
      <w:r w:rsidRPr="00923427">
        <w:rPr>
          <w:rFonts w:ascii="Open Sans" w:hAnsi="Open Sans" w:cs="Open Sans"/>
          <w:sz w:val="20"/>
          <w:szCs w:val="20"/>
        </w:rPr>
        <w:t xml:space="preserve"> to the further deployment and development of advanced conversion technologies (ACTs) remains having a suitable environmental regulatory scheme in place to effectively support the sector. With most ACT developments currently focused on the gasification of </w:t>
      </w:r>
      <w:r>
        <w:rPr>
          <w:rFonts w:ascii="Open Sans" w:hAnsi="Open Sans" w:cs="Open Sans"/>
          <w:sz w:val="20"/>
          <w:szCs w:val="20"/>
        </w:rPr>
        <w:t>RDF</w:t>
      </w:r>
      <w:r w:rsidRPr="00923427">
        <w:rPr>
          <w:rFonts w:ascii="Open Sans" w:hAnsi="Open Sans" w:cs="Open Sans"/>
          <w:sz w:val="20"/>
          <w:szCs w:val="20"/>
        </w:rPr>
        <w:t xml:space="preserve">, such sites </w:t>
      </w:r>
      <w:r>
        <w:rPr>
          <w:rFonts w:ascii="Open Sans" w:hAnsi="Open Sans" w:cs="Open Sans"/>
          <w:sz w:val="20"/>
          <w:szCs w:val="20"/>
        </w:rPr>
        <w:t>are regulated</w:t>
      </w:r>
      <w:r w:rsidRPr="00923427">
        <w:rPr>
          <w:rFonts w:ascii="Open Sans" w:hAnsi="Open Sans" w:cs="Open Sans"/>
          <w:sz w:val="20"/>
          <w:szCs w:val="20"/>
        </w:rPr>
        <w:t xml:space="preserve"> under the same rules as energy from waste incineration sites,</w:t>
      </w:r>
      <w:r>
        <w:rPr>
          <w:rFonts w:ascii="Open Sans" w:hAnsi="Open Sans" w:cs="Open Sans"/>
          <w:sz w:val="20"/>
          <w:szCs w:val="20"/>
        </w:rPr>
        <w:t xml:space="preserve"> determined by Chapter IV of the Industrial Emissions Directive,</w:t>
      </w:r>
      <w:r w:rsidRPr="00923427">
        <w:rPr>
          <w:rFonts w:ascii="Open Sans" w:hAnsi="Open Sans" w:cs="Open Sans"/>
          <w:sz w:val="20"/>
          <w:szCs w:val="20"/>
        </w:rPr>
        <w:t xml:space="preserve"> despite being a fundamentally different technology with very different end</w:t>
      </w:r>
      <w:r>
        <w:rPr>
          <w:rFonts w:ascii="Open Sans" w:hAnsi="Open Sans" w:cs="Open Sans"/>
          <w:sz w:val="20"/>
          <w:szCs w:val="20"/>
        </w:rPr>
        <w:t>-</w:t>
      </w:r>
      <w:r w:rsidRPr="00923427">
        <w:rPr>
          <w:rFonts w:ascii="Open Sans" w:hAnsi="Open Sans" w:cs="Open Sans"/>
          <w:sz w:val="20"/>
          <w:szCs w:val="20"/>
        </w:rPr>
        <w:t xml:space="preserve">products. </w:t>
      </w:r>
    </w:p>
    <w:p w14:paraId="08E1971C" w14:textId="77777777" w:rsidR="00C36567" w:rsidRDefault="00C36567" w:rsidP="00C36567">
      <w:pPr>
        <w:rPr>
          <w:rFonts w:ascii="Open Sans" w:hAnsi="Open Sans" w:cs="Open Sans"/>
          <w:sz w:val="20"/>
          <w:szCs w:val="20"/>
        </w:rPr>
      </w:pPr>
      <w:r w:rsidRPr="00923427">
        <w:rPr>
          <w:rFonts w:ascii="Open Sans" w:hAnsi="Open Sans" w:cs="Open Sans"/>
          <w:sz w:val="20"/>
          <w:szCs w:val="20"/>
        </w:rPr>
        <w:t xml:space="preserve">The Environment Agency have made attempts to start to reform the regulatory approach for </w:t>
      </w:r>
      <w:r>
        <w:rPr>
          <w:rFonts w:ascii="Open Sans" w:hAnsi="Open Sans" w:cs="Open Sans"/>
          <w:sz w:val="20"/>
          <w:szCs w:val="20"/>
        </w:rPr>
        <w:t>ACT’s</w:t>
      </w:r>
      <w:r w:rsidRPr="00923427">
        <w:rPr>
          <w:rFonts w:ascii="Open Sans" w:hAnsi="Open Sans" w:cs="Open Sans"/>
          <w:sz w:val="20"/>
          <w:szCs w:val="20"/>
        </w:rPr>
        <w:t>,</w:t>
      </w:r>
      <w:r>
        <w:rPr>
          <w:rFonts w:ascii="Open Sans" w:hAnsi="Open Sans" w:cs="Open Sans"/>
          <w:sz w:val="20"/>
          <w:szCs w:val="20"/>
        </w:rPr>
        <w:t xml:space="preserve"> specifically where end-of-waste status is achieved on the </w:t>
      </w:r>
      <w:proofErr w:type="spellStart"/>
      <w:r>
        <w:rPr>
          <w:rFonts w:ascii="Open Sans" w:hAnsi="Open Sans" w:cs="Open Sans"/>
          <w:sz w:val="20"/>
          <w:szCs w:val="20"/>
        </w:rPr>
        <w:t>syn</w:t>
      </w:r>
      <w:proofErr w:type="spellEnd"/>
      <w:r>
        <w:rPr>
          <w:rFonts w:ascii="Open Sans" w:hAnsi="Open Sans" w:cs="Open Sans"/>
          <w:sz w:val="20"/>
          <w:szCs w:val="20"/>
        </w:rPr>
        <w:t>-product and where the particulate emissions from</w:t>
      </w:r>
      <w:r w:rsidRPr="00923427">
        <w:rPr>
          <w:rFonts w:ascii="Open Sans" w:hAnsi="Open Sans" w:cs="Open Sans"/>
          <w:sz w:val="20"/>
          <w:szCs w:val="20"/>
        </w:rPr>
        <w:t xml:space="preserve"> </w:t>
      </w:r>
      <w:r>
        <w:rPr>
          <w:rFonts w:ascii="Open Sans" w:hAnsi="Open Sans" w:cs="Open Sans"/>
          <w:sz w:val="20"/>
          <w:szCs w:val="20"/>
        </w:rPr>
        <w:t xml:space="preserve">the use of that product is no worse than a fossil fuel comparator. </w:t>
      </w:r>
    </w:p>
    <w:p w14:paraId="516ECA50" w14:textId="77777777" w:rsidR="00C36567" w:rsidRDefault="00C36567" w:rsidP="00C36567">
      <w:pPr>
        <w:rPr>
          <w:rFonts w:ascii="Open Sans" w:hAnsi="Open Sans" w:cs="Open Sans"/>
          <w:sz w:val="20"/>
          <w:szCs w:val="20"/>
        </w:rPr>
      </w:pPr>
      <w:r>
        <w:rPr>
          <w:rFonts w:ascii="Open Sans" w:hAnsi="Open Sans" w:cs="Open Sans"/>
          <w:sz w:val="20"/>
          <w:szCs w:val="20"/>
        </w:rPr>
        <w:t xml:space="preserve">However, a lack of funding from the EA means their End-of-Waste Panel does not currently function, providing no confidence to developers that their end products meet the necessary criteria. At the same time the EA also, they lack the funding to commission new research on particulate emission values </w:t>
      </w:r>
      <w:proofErr w:type="gramStart"/>
      <w:r>
        <w:rPr>
          <w:rFonts w:ascii="Open Sans" w:hAnsi="Open Sans" w:cs="Open Sans"/>
          <w:sz w:val="20"/>
          <w:szCs w:val="20"/>
        </w:rPr>
        <w:t>in order to</w:t>
      </w:r>
      <w:proofErr w:type="gramEnd"/>
      <w:r>
        <w:rPr>
          <w:rFonts w:ascii="Open Sans" w:hAnsi="Open Sans" w:cs="Open Sans"/>
          <w:sz w:val="20"/>
          <w:szCs w:val="20"/>
        </w:rPr>
        <w:t xml:space="preserve"> create sensible fossil comparators for gas or oil against which to regulate new ACT developments. </w:t>
      </w:r>
    </w:p>
    <w:p w14:paraId="2254414C" w14:textId="77777777" w:rsidR="00C36567" w:rsidRDefault="00C36567" w:rsidP="00C36567">
      <w:pPr>
        <w:rPr>
          <w:rFonts w:ascii="Open Sans" w:hAnsi="Open Sans" w:cs="Open Sans"/>
          <w:sz w:val="20"/>
          <w:szCs w:val="20"/>
        </w:rPr>
      </w:pPr>
      <w:r>
        <w:rPr>
          <w:rFonts w:ascii="Open Sans" w:hAnsi="Open Sans" w:cs="Open Sans"/>
          <w:sz w:val="20"/>
          <w:szCs w:val="20"/>
        </w:rPr>
        <w:t xml:space="preserve">As result the regulatory regime for ACT’s remains both confusing and not fit for purpose. The EA have expressed interest in addressing these issues but require the funding to do so. This should be addressed by government and industry as a matter of urgency. </w:t>
      </w:r>
    </w:p>
    <w:p w14:paraId="7F6A5714" w14:textId="601F1A5B" w:rsidR="0034363A" w:rsidRPr="00923427" w:rsidRDefault="0034363A" w:rsidP="0034363A">
      <w:pPr>
        <w:pStyle w:val="ListParagraph"/>
        <w:rPr>
          <w:rFonts w:ascii="Open Sans" w:hAnsi="Open Sans" w:cs="Open Sans"/>
          <w:sz w:val="20"/>
          <w:szCs w:val="20"/>
        </w:rPr>
      </w:pPr>
    </w:p>
    <w:p w14:paraId="304EB4CF" w14:textId="23A8FD98" w:rsidR="00CC005C" w:rsidRDefault="00CC005C" w:rsidP="00882FC4">
      <w:pPr>
        <w:rPr>
          <w:rFonts w:ascii="Open Sans" w:hAnsi="Open Sans" w:cs="Open Sans"/>
          <w:sz w:val="20"/>
          <w:szCs w:val="20"/>
        </w:rPr>
      </w:pPr>
    </w:p>
    <w:p w14:paraId="2515668B" w14:textId="410BB06C" w:rsidR="004C28D6" w:rsidRDefault="004C28D6" w:rsidP="00882FC4">
      <w:pPr>
        <w:rPr>
          <w:rFonts w:ascii="Open Sans" w:hAnsi="Open Sans" w:cs="Open Sans"/>
          <w:sz w:val="20"/>
          <w:szCs w:val="20"/>
        </w:rPr>
      </w:pPr>
    </w:p>
    <w:p w14:paraId="787BF579" w14:textId="468525C8" w:rsidR="004C28D6" w:rsidRDefault="004C28D6" w:rsidP="00882FC4">
      <w:pPr>
        <w:rPr>
          <w:rFonts w:ascii="Open Sans" w:hAnsi="Open Sans" w:cs="Open Sans"/>
          <w:sz w:val="20"/>
          <w:szCs w:val="20"/>
        </w:rPr>
      </w:pPr>
    </w:p>
    <w:p w14:paraId="7D074930" w14:textId="1B8FA6FB" w:rsidR="004C28D6" w:rsidRDefault="004C28D6" w:rsidP="00882FC4">
      <w:pPr>
        <w:rPr>
          <w:rFonts w:ascii="Open Sans" w:hAnsi="Open Sans" w:cs="Open Sans"/>
          <w:sz w:val="20"/>
          <w:szCs w:val="20"/>
        </w:rPr>
      </w:pPr>
    </w:p>
    <w:p w14:paraId="7105BE6D" w14:textId="0467543C" w:rsidR="004C28D6" w:rsidRDefault="004C28D6" w:rsidP="00882FC4">
      <w:pPr>
        <w:rPr>
          <w:rFonts w:ascii="Open Sans" w:hAnsi="Open Sans" w:cs="Open Sans"/>
          <w:sz w:val="20"/>
          <w:szCs w:val="20"/>
        </w:rPr>
      </w:pPr>
    </w:p>
    <w:p w14:paraId="0B17465C" w14:textId="16F2F29E" w:rsidR="004C28D6" w:rsidRDefault="004C28D6" w:rsidP="00882FC4">
      <w:pPr>
        <w:rPr>
          <w:rFonts w:ascii="Open Sans" w:hAnsi="Open Sans" w:cs="Open Sans"/>
          <w:sz w:val="20"/>
          <w:szCs w:val="20"/>
        </w:rPr>
      </w:pPr>
    </w:p>
    <w:p w14:paraId="01525DE9" w14:textId="4FE96433" w:rsidR="004C28D6" w:rsidRDefault="004C28D6" w:rsidP="00882FC4">
      <w:pPr>
        <w:rPr>
          <w:rFonts w:ascii="Open Sans" w:hAnsi="Open Sans" w:cs="Open Sans"/>
          <w:sz w:val="20"/>
          <w:szCs w:val="20"/>
        </w:rPr>
      </w:pPr>
    </w:p>
    <w:p w14:paraId="47B5C6FA" w14:textId="239F50F2" w:rsidR="004C28D6" w:rsidRDefault="004C28D6" w:rsidP="00882FC4">
      <w:pPr>
        <w:rPr>
          <w:rFonts w:ascii="Open Sans" w:hAnsi="Open Sans" w:cs="Open Sans"/>
          <w:sz w:val="20"/>
          <w:szCs w:val="20"/>
        </w:rPr>
      </w:pPr>
    </w:p>
    <w:p w14:paraId="31F10B83" w14:textId="075371E4" w:rsidR="004C28D6" w:rsidRDefault="004C28D6" w:rsidP="00882FC4">
      <w:pPr>
        <w:rPr>
          <w:rFonts w:ascii="Open Sans" w:hAnsi="Open Sans" w:cs="Open Sans"/>
          <w:sz w:val="20"/>
          <w:szCs w:val="20"/>
        </w:rPr>
      </w:pPr>
    </w:p>
    <w:p w14:paraId="2744EE61" w14:textId="1A79BBB5" w:rsidR="004C28D6" w:rsidRDefault="004C28D6" w:rsidP="00882FC4">
      <w:pPr>
        <w:rPr>
          <w:rFonts w:ascii="Open Sans" w:hAnsi="Open Sans" w:cs="Open Sans"/>
          <w:sz w:val="20"/>
          <w:szCs w:val="20"/>
        </w:rPr>
      </w:pPr>
    </w:p>
    <w:p w14:paraId="4B22D8A2" w14:textId="12DD9C71" w:rsidR="004C28D6" w:rsidRDefault="004C28D6" w:rsidP="00882FC4">
      <w:pPr>
        <w:rPr>
          <w:rFonts w:ascii="Open Sans" w:hAnsi="Open Sans" w:cs="Open Sans"/>
          <w:sz w:val="20"/>
          <w:szCs w:val="20"/>
        </w:rPr>
      </w:pPr>
    </w:p>
    <w:p w14:paraId="5AC74981" w14:textId="2A5BCB62" w:rsidR="004C28D6" w:rsidRDefault="004C28D6" w:rsidP="00882FC4">
      <w:pPr>
        <w:rPr>
          <w:rFonts w:ascii="Open Sans" w:hAnsi="Open Sans" w:cs="Open Sans"/>
          <w:sz w:val="20"/>
          <w:szCs w:val="20"/>
        </w:rPr>
      </w:pPr>
    </w:p>
    <w:p w14:paraId="1E962933" w14:textId="7B3828A3" w:rsidR="004C28D6" w:rsidRDefault="004C28D6" w:rsidP="00882FC4">
      <w:pPr>
        <w:rPr>
          <w:rFonts w:ascii="Open Sans" w:hAnsi="Open Sans" w:cs="Open Sans"/>
          <w:sz w:val="20"/>
          <w:szCs w:val="20"/>
        </w:rPr>
      </w:pPr>
    </w:p>
    <w:p w14:paraId="347BE04A" w14:textId="0F584017" w:rsidR="008B6196" w:rsidRDefault="008B6196" w:rsidP="00882FC4">
      <w:pPr>
        <w:rPr>
          <w:rFonts w:ascii="Open Sans" w:hAnsi="Open Sans" w:cs="Open Sans"/>
          <w:sz w:val="20"/>
          <w:szCs w:val="20"/>
        </w:rPr>
      </w:pPr>
    </w:p>
    <w:p w14:paraId="543D69FE" w14:textId="548A2851" w:rsidR="004C28D6" w:rsidRPr="00D74F62" w:rsidRDefault="004C28D6" w:rsidP="00882FC4">
      <w:pPr>
        <w:rPr>
          <w:rFonts w:ascii="Open Sans" w:hAnsi="Open Sans" w:cs="Open Sans"/>
          <w:b/>
          <w:bCs/>
          <w:color w:val="2F5496"/>
          <w:sz w:val="24"/>
          <w:szCs w:val="24"/>
          <w:u w:val="single"/>
        </w:rPr>
      </w:pPr>
      <w:r w:rsidRPr="00D74F62">
        <w:rPr>
          <w:rFonts w:ascii="Open Sans" w:hAnsi="Open Sans" w:cs="Open Sans"/>
          <w:b/>
          <w:bCs/>
          <w:color w:val="2F5496"/>
          <w:sz w:val="24"/>
          <w:szCs w:val="24"/>
          <w:u w:val="single"/>
        </w:rPr>
        <w:t xml:space="preserve">Chapter 3 – </w:t>
      </w:r>
      <w:r w:rsidR="00DB5321" w:rsidRPr="00D74F62">
        <w:rPr>
          <w:rFonts w:ascii="Open Sans" w:hAnsi="Open Sans" w:cs="Open Sans"/>
          <w:b/>
          <w:bCs/>
          <w:color w:val="2F5496"/>
          <w:sz w:val="24"/>
          <w:szCs w:val="24"/>
          <w:u w:val="single"/>
        </w:rPr>
        <w:t>Sustainability and Accounting for Emissions</w:t>
      </w:r>
    </w:p>
    <w:p w14:paraId="73C76A72" w14:textId="77777777" w:rsidR="004C28D6" w:rsidRPr="006767C5" w:rsidRDefault="004C28D6" w:rsidP="00882FC4">
      <w:pPr>
        <w:rPr>
          <w:rFonts w:ascii="Open Sans" w:hAnsi="Open Sans" w:cs="Open Sans"/>
          <w:b/>
          <w:bCs/>
          <w:color w:val="2F5496"/>
          <w:sz w:val="20"/>
          <w:szCs w:val="20"/>
        </w:rPr>
      </w:pPr>
      <w:r w:rsidRPr="006767C5">
        <w:rPr>
          <w:rFonts w:ascii="Open Sans" w:hAnsi="Open Sans" w:cs="Open Sans"/>
          <w:b/>
          <w:bCs/>
          <w:color w:val="2F5496"/>
          <w:sz w:val="20"/>
          <w:szCs w:val="20"/>
        </w:rPr>
        <w:t>14. How should potential impacts on air quality of some end-uses of biomass shape how and where biomass is used?</w:t>
      </w:r>
    </w:p>
    <w:p w14:paraId="4F169C4D" w14:textId="26B8CC71" w:rsidR="00E527C6" w:rsidRPr="006767C5" w:rsidRDefault="00E527C6" w:rsidP="00E527C6">
      <w:pPr>
        <w:rPr>
          <w:rFonts w:ascii="Open Sans" w:hAnsi="Open Sans" w:cs="Open Sans"/>
          <w:b/>
          <w:bCs/>
          <w:i/>
          <w:iCs/>
          <w:sz w:val="20"/>
          <w:szCs w:val="20"/>
        </w:rPr>
      </w:pPr>
      <w:r w:rsidRPr="006767C5">
        <w:rPr>
          <w:rFonts w:ascii="Open Sans" w:hAnsi="Open Sans" w:cs="Open Sans"/>
          <w:b/>
          <w:bCs/>
          <w:i/>
          <w:iCs/>
          <w:sz w:val="20"/>
          <w:szCs w:val="20"/>
        </w:rPr>
        <w:t xml:space="preserve">Air quality </w:t>
      </w:r>
      <w:r w:rsidR="00AF7B82" w:rsidRPr="006767C5">
        <w:rPr>
          <w:rFonts w:ascii="Open Sans" w:hAnsi="Open Sans" w:cs="Open Sans"/>
          <w:b/>
          <w:bCs/>
          <w:i/>
          <w:iCs/>
          <w:sz w:val="20"/>
          <w:szCs w:val="20"/>
        </w:rPr>
        <w:t xml:space="preserve">is best regulated through </w:t>
      </w:r>
      <w:r w:rsidRPr="006767C5">
        <w:rPr>
          <w:rFonts w:ascii="Open Sans" w:hAnsi="Open Sans" w:cs="Open Sans"/>
          <w:b/>
          <w:bCs/>
          <w:i/>
          <w:iCs/>
          <w:sz w:val="20"/>
          <w:szCs w:val="20"/>
        </w:rPr>
        <w:t>environmental permitting</w:t>
      </w:r>
      <w:r w:rsidR="00AF7B82" w:rsidRPr="006767C5">
        <w:rPr>
          <w:rFonts w:ascii="Open Sans" w:hAnsi="Open Sans" w:cs="Open Sans"/>
          <w:b/>
          <w:bCs/>
          <w:i/>
          <w:iCs/>
          <w:sz w:val="20"/>
          <w:szCs w:val="20"/>
        </w:rPr>
        <w:t xml:space="preserve"> for </w:t>
      </w:r>
      <w:r w:rsidR="00550A2E" w:rsidRPr="006767C5">
        <w:rPr>
          <w:rFonts w:ascii="Open Sans" w:hAnsi="Open Sans" w:cs="Open Sans"/>
          <w:b/>
          <w:bCs/>
          <w:i/>
          <w:iCs/>
          <w:sz w:val="20"/>
          <w:szCs w:val="20"/>
        </w:rPr>
        <w:t xml:space="preserve">medium and </w:t>
      </w:r>
      <w:r w:rsidR="00000F05" w:rsidRPr="006767C5">
        <w:rPr>
          <w:rFonts w:ascii="Open Sans" w:hAnsi="Open Sans" w:cs="Open Sans"/>
          <w:b/>
          <w:bCs/>
          <w:i/>
          <w:iCs/>
          <w:sz w:val="20"/>
          <w:szCs w:val="20"/>
        </w:rPr>
        <w:t>large-scale</w:t>
      </w:r>
      <w:r w:rsidR="00AF7B82" w:rsidRPr="006767C5">
        <w:rPr>
          <w:rFonts w:ascii="Open Sans" w:hAnsi="Open Sans" w:cs="Open Sans"/>
          <w:b/>
          <w:bCs/>
          <w:i/>
          <w:iCs/>
          <w:sz w:val="20"/>
          <w:szCs w:val="20"/>
        </w:rPr>
        <w:t xml:space="preserve"> biomass sites</w:t>
      </w:r>
      <w:r w:rsidRPr="006767C5">
        <w:rPr>
          <w:rFonts w:ascii="Open Sans" w:hAnsi="Open Sans" w:cs="Open Sans"/>
          <w:b/>
          <w:bCs/>
          <w:i/>
          <w:iCs/>
          <w:sz w:val="20"/>
          <w:szCs w:val="20"/>
        </w:rPr>
        <w:t>,</w:t>
      </w:r>
      <w:r w:rsidR="00AF7B82" w:rsidRPr="006767C5">
        <w:rPr>
          <w:rFonts w:ascii="Open Sans" w:hAnsi="Open Sans" w:cs="Open Sans"/>
          <w:b/>
          <w:bCs/>
          <w:i/>
          <w:iCs/>
          <w:sz w:val="20"/>
          <w:szCs w:val="20"/>
        </w:rPr>
        <w:t xml:space="preserve"> as is currently the case, </w:t>
      </w:r>
      <w:r w:rsidRPr="006767C5">
        <w:rPr>
          <w:rFonts w:ascii="Open Sans" w:hAnsi="Open Sans" w:cs="Open Sans"/>
          <w:b/>
          <w:bCs/>
          <w:i/>
          <w:iCs/>
          <w:sz w:val="20"/>
          <w:szCs w:val="20"/>
        </w:rPr>
        <w:t>not sustainability</w:t>
      </w:r>
      <w:r w:rsidR="00AF7B82" w:rsidRPr="006767C5">
        <w:rPr>
          <w:rFonts w:ascii="Open Sans" w:hAnsi="Open Sans" w:cs="Open Sans"/>
          <w:b/>
          <w:bCs/>
          <w:i/>
          <w:iCs/>
          <w:sz w:val="20"/>
          <w:szCs w:val="20"/>
        </w:rPr>
        <w:t xml:space="preserve"> </w:t>
      </w:r>
      <w:r w:rsidR="0069312B" w:rsidRPr="006767C5">
        <w:rPr>
          <w:rFonts w:ascii="Open Sans" w:hAnsi="Open Sans" w:cs="Open Sans"/>
          <w:b/>
          <w:bCs/>
          <w:i/>
          <w:iCs/>
          <w:sz w:val="20"/>
          <w:szCs w:val="20"/>
        </w:rPr>
        <w:t>criteria.</w:t>
      </w:r>
    </w:p>
    <w:p w14:paraId="592D3998" w14:textId="18008B4B" w:rsidR="00BD0520" w:rsidRPr="006767C5" w:rsidRDefault="00AF7B82" w:rsidP="00E527C6">
      <w:pPr>
        <w:rPr>
          <w:rFonts w:ascii="Open Sans" w:hAnsi="Open Sans" w:cs="Open Sans"/>
          <w:sz w:val="20"/>
          <w:szCs w:val="20"/>
        </w:rPr>
      </w:pPr>
      <w:r w:rsidRPr="006767C5">
        <w:rPr>
          <w:rFonts w:ascii="Open Sans" w:hAnsi="Open Sans" w:cs="Open Sans"/>
          <w:sz w:val="20"/>
          <w:szCs w:val="20"/>
        </w:rPr>
        <w:t xml:space="preserve">Particulate emission resulting from the use of biomass </w:t>
      </w:r>
      <w:r w:rsidR="001E1DD1" w:rsidRPr="006767C5">
        <w:rPr>
          <w:rFonts w:ascii="Open Sans" w:hAnsi="Open Sans" w:cs="Open Sans"/>
          <w:sz w:val="20"/>
          <w:szCs w:val="20"/>
        </w:rPr>
        <w:t xml:space="preserve">and wastes </w:t>
      </w:r>
      <w:r w:rsidRPr="006767C5">
        <w:rPr>
          <w:rFonts w:ascii="Open Sans" w:hAnsi="Open Sans" w:cs="Open Sans"/>
          <w:sz w:val="20"/>
          <w:szCs w:val="20"/>
        </w:rPr>
        <w:t>in</w:t>
      </w:r>
      <w:r w:rsidR="00550A2E" w:rsidRPr="006767C5">
        <w:rPr>
          <w:rFonts w:ascii="Open Sans" w:hAnsi="Open Sans" w:cs="Open Sans"/>
          <w:sz w:val="20"/>
          <w:szCs w:val="20"/>
        </w:rPr>
        <w:t xml:space="preserve"> medium and </w:t>
      </w:r>
      <w:r w:rsidR="001E1DD1" w:rsidRPr="006767C5">
        <w:rPr>
          <w:rFonts w:ascii="Open Sans" w:hAnsi="Open Sans" w:cs="Open Sans"/>
          <w:sz w:val="20"/>
          <w:szCs w:val="20"/>
        </w:rPr>
        <w:t>large-scale</w:t>
      </w:r>
      <w:r w:rsidR="00550A2E" w:rsidRPr="006767C5">
        <w:rPr>
          <w:rFonts w:ascii="Open Sans" w:hAnsi="Open Sans" w:cs="Open Sans"/>
          <w:sz w:val="20"/>
          <w:szCs w:val="20"/>
        </w:rPr>
        <w:t xml:space="preserve"> biomass </w:t>
      </w:r>
      <w:r w:rsidRPr="006767C5">
        <w:rPr>
          <w:rFonts w:ascii="Open Sans" w:hAnsi="Open Sans" w:cs="Open Sans"/>
          <w:sz w:val="20"/>
          <w:szCs w:val="20"/>
        </w:rPr>
        <w:t xml:space="preserve">heat or power </w:t>
      </w:r>
      <w:r w:rsidR="00550A2E" w:rsidRPr="006767C5">
        <w:rPr>
          <w:rFonts w:ascii="Open Sans" w:hAnsi="Open Sans" w:cs="Open Sans"/>
          <w:sz w:val="20"/>
          <w:szCs w:val="20"/>
        </w:rPr>
        <w:t xml:space="preserve">sites </w:t>
      </w:r>
      <w:r w:rsidRPr="006767C5">
        <w:rPr>
          <w:rFonts w:ascii="Open Sans" w:hAnsi="Open Sans" w:cs="Open Sans"/>
          <w:sz w:val="20"/>
          <w:szCs w:val="20"/>
        </w:rPr>
        <w:t xml:space="preserve">is already well regulated. While </w:t>
      </w:r>
      <w:r w:rsidR="0020578E" w:rsidRPr="006767C5">
        <w:rPr>
          <w:rFonts w:ascii="Open Sans" w:hAnsi="Open Sans" w:cs="Open Sans"/>
          <w:sz w:val="20"/>
          <w:szCs w:val="20"/>
        </w:rPr>
        <w:t xml:space="preserve">the UK was a member of the European Union, </w:t>
      </w:r>
      <w:r w:rsidRPr="006767C5">
        <w:rPr>
          <w:rFonts w:ascii="Open Sans" w:hAnsi="Open Sans" w:cs="Open Sans"/>
          <w:sz w:val="20"/>
          <w:szCs w:val="20"/>
        </w:rPr>
        <w:t xml:space="preserve">emissions standards where set through </w:t>
      </w:r>
      <w:r w:rsidR="00BD0520" w:rsidRPr="006767C5">
        <w:rPr>
          <w:rFonts w:ascii="Open Sans" w:hAnsi="Open Sans" w:cs="Open Sans"/>
          <w:sz w:val="20"/>
          <w:szCs w:val="20"/>
        </w:rPr>
        <w:t>the Industrial Emissions Directive (Above 50 MW)</w:t>
      </w:r>
      <w:r w:rsidR="00550A2E" w:rsidRPr="006767C5">
        <w:rPr>
          <w:rStyle w:val="FootnoteReference"/>
          <w:rFonts w:ascii="Open Sans" w:hAnsi="Open Sans" w:cs="Open Sans"/>
          <w:sz w:val="20"/>
          <w:szCs w:val="20"/>
        </w:rPr>
        <w:footnoteReference w:id="49"/>
      </w:r>
      <w:r w:rsidR="00550A2E" w:rsidRPr="006767C5">
        <w:rPr>
          <w:rFonts w:ascii="Open Sans" w:hAnsi="Open Sans" w:cs="Open Sans"/>
          <w:sz w:val="20"/>
          <w:szCs w:val="20"/>
        </w:rPr>
        <w:t xml:space="preserve"> </w:t>
      </w:r>
      <w:r w:rsidR="00BD0520" w:rsidRPr="006767C5">
        <w:rPr>
          <w:rFonts w:ascii="Open Sans" w:hAnsi="Open Sans" w:cs="Open Sans"/>
          <w:sz w:val="20"/>
          <w:szCs w:val="20"/>
        </w:rPr>
        <w:t>and the Medium Combustion Plant Directive (1 MW – 50 MW)</w:t>
      </w:r>
      <w:r w:rsidR="001E1DD1" w:rsidRPr="006767C5">
        <w:rPr>
          <w:rFonts w:ascii="Open Sans" w:hAnsi="Open Sans" w:cs="Open Sans"/>
          <w:sz w:val="20"/>
          <w:szCs w:val="20"/>
        </w:rPr>
        <w:t>.</w:t>
      </w:r>
      <w:r w:rsidR="00550A2E" w:rsidRPr="006767C5">
        <w:rPr>
          <w:rStyle w:val="FootnoteReference"/>
          <w:rFonts w:ascii="Open Sans" w:hAnsi="Open Sans" w:cs="Open Sans"/>
          <w:sz w:val="20"/>
          <w:szCs w:val="20"/>
        </w:rPr>
        <w:footnoteReference w:id="50"/>
      </w:r>
      <w:r w:rsidR="00BD0520" w:rsidRPr="006767C5">
        <w:rPr>
          <w:rFonts w:ascii="Open Sans" w:hAnsi="Open Sans" w:cs="Open Sans"/>
          <w:sz w:val="20"/>
          <w:szCs w:val="20"/>
        </w:rPr>
        <w:t xml:space="preserve"> These set specific emissions limits in line with </w:t>
      </w:r>
      <w:r w:rsidR="00BD0520" w:rsidRPr="006767C5">
        <w:rPr>
          <w:rFonts w:ascii="Open Sans" w:hAnsi="Open Sans" w:cs="Open Sans"/>
          <w:sz w:val="20"/>
          <w:szCs w:val="20"/>
          <w:lang w:val="en-US"/>
        </w:rPr>
        <w:t xml:space="preserve">Best Available Techniques and where recently reviewed with ~ 66% tightening of NOx limits, ~ 60% tightening of SO2 limits, and ~ 60% tightening of PM limits. All these requirements remain in place in the </w:t>
      </w:r>
      <w:r w:rsidR="001E1DD1" w:rsidRPr="006767C5">
        <w:rPr>
          <w:rFonts w:ascii="Open Sans" w:hAnsi="Open Sans" w:cs="Open Sans"/>
          <w:sz w:val="20"/>
          <w:szCs w:val="20"/>
          <w:lang w:val="en-US"/>
        </w:rPr>
        <w:t>UK and</w:t>
      </w:r>
      <w:r w:rsidR="00BD0520" w:rsidRPr="006767C5">
        <w:rPr>
          <w:rFonts w:ascii="Open Sans" w:hAnsi="Open Sans" w:cs="Open Sans"/>
          <w:sz w:val="20"/>
          <w:szCs w:val="20"/>
          <w:lang w:val="en-US"/>
        </w:rPr>
        <w:t xml:space="preserve"> continue to be enforced through environmental permitting arrangements regulated by the Environment Agency. </w:t>
      </w:r>
      <w:r w:rsidR="00BD0520" w:rsidRPr="006767C5">
        <w:rPr>
          <w:rFonts w:ascii="Open Sans" w:hAnsi="Open Sans" w:cs="Open Sans"/>
          <w:sz w:val="20"/>
          <w:szCs w:val="20"/>
        </w:rPr>
        <w:t xml:space="preserve">Commitments within the UK-EU withdrawal agreement also </w:t>
      </w:r>
      <w:r w:rsidR="001E1DD1" w:rsidRPr="006767C5">
        <w:rPr>
          <w:rFonts w:ascii="Open Sans" w:hAnsi="Open Sans" w:cs="Open Sans"/>
          <w:sz w:val="20"/>
          <w:szCs w:val="20"/>
        </w:rPr>
        <w:t>ensure there is n</w:t>
      </w:r>
      <w:r w:rsidR="00BD0520" w:rsidRPr="006767C5">
        <w:rPr>
          <w:rFonts w:ascii="Open Sans" w:hAnsi="Open Sans" w:cs="Open Sans"/>
          <w:sz w:val="20"/>
          <w:szCs w:val="20"/>
        </w:rPr>
        <w:t>o watering down of current requirements by either party.</w:t>
      </w:r>
      <w:r w:rsidR="00000F05" w:rsidRPr="006767C5">
        <w:rPr>
          <w:rStyle w:val="FootnoteReference"/>
          <w:rFonts w:ascii="Open Sans" w:hAnsi="Open Sans" w:cs="Open Sans"/>
          <w:sz w:val="20"/>
          <w:szCs w:val="20"/>
        </w:rPr>
        <w:footnoteReference w:id="51"/>
      </w:r>
      <w:r w:rsidR="00BD0520" w:rsidRPr="006767C5">
        <w:rPr>
          <w:rFonts w:ascii="Open Sans" w:hAnsi="Open Sans" w:cs="Open Sans"/>
          <w:sz w:val="20"/>
          <w:szCs w:val="20"/>
        </w:rPr>
        <w:t xml:space="preserve"> </w:t>
      </w:r>
    </w:p>
    <w:p w14:paraId="3535CF2D" w14:textId="38D97A43" w:rsidR="00BD0520" w:rsidRPr="006767C5" w:rsidRDefault="00BD0520" w:rsidP="00E527C6">
      <w:pPr>
        <w:rPr>
          <w:rFonts w:ascii="Open Sans" w:hAnsi="Open Sans" w:cs="Open Sans"/>
          <w:sz w:val="20"/>
          <w:szCs w:val="20"/>
        </w:rPr>
      </w:pPr>
      <w:r w:rsidRPr="006767C5">
        <w:rPr>
          <w:rFonts w:ascii="Open Sans" w:hAnsi="Open Sans" w:cs="Open Sans"/>
          <w:sz w:val="20"/>
          <w:szCs w:val="20"/>
        </w:rPr>
        <w:t xml:space="preserve">Sites operating with </w:t>
      </w:r>
      <w:r w:rsidR="00550A2E" w:rsidRPr="006767C5">
        <w:rPr>
          <w:rFonts w:ascii="Open Sans" w:hAnsi="Open Sans" w:cs="Open Sans"/>
          <w:sz w:val="20"/>
          <w:szCs w:val="20"/>
        </w:rPr>
        <w:t>e</w:t>
      </w:r>
      <w:r w:rsidRPr="006767C5">
        <w:rPr>
          <w:rFonts w:ascii="Open Sans" w:hAnsi="Open Sans" w:cs="Open Sans"/>
          <w:sz w:val="20"/>
          <w:szCs w:val="20"/>
        </w:rPr>
        <w:t>nvironmental permits are required</w:t>
      </w:r>
      <w:r w:rsidR="001E1DD1" w:rsidRPr="006767C5">
        <w:rPr>
          <w:rFonts w:ascii="Open Sans" w:hAnsi="Open Sans" w:cs="Open Sans"/>
          <w:sz w:val="20"/>
          <w:szCs w:val="20"/>
        </w:rPr>
        <w:t xml:space="preserve"> to</w:t>
      </w:r>
      <w:r w:rsidRPr="006767C5">
        <w:rPr>
          <w:rFonts w:ascii="Open Sans" w:hAnsi="Open Sans" w:cs="Open Sans"/>
          <w:sz w:val="20"/>
          <w:szCs w:val="20"/>
        </w:rPr>
        <w:t xml:space="preserve"> collect data at regular intervals, </w:t>
      </w:r>
      <w:r w:rsidR="00550A2E" w:rsidRPr="006767C5">
        <w:rPr>
          <w:rFonts w:ascii="Open Sans" w:hAnsi="Open Sans" w:cs="Open Sans"/>
          <w:sz w:val="20"/>
          <w:szCs w:val="20"/>
        </w:rPr>
        <w:t>depending</w:t>
      </w:r>
      <w:r w:rsidRPr="006767C5">
        <w:rPr>
          <w:rFonts w:ascii="Open Sans" w:hAnsi="Open Sans" w:cs="Open Sans"/>
          <w:sz w:val="20"/>
          <w:szCs w:val="20"/>
        </w:rPr>
        <w:t xml:space="preserve"> on </w:t>
      </w:r>
      <w:r w:rsidR="00550A2E" w:rsidRPr="006767C5">
        <w:rPr>
          <w:rFonts w:ascii="Open Sans" w:hAnsi="Open Sans" w:cs="Open Sans"/>
          <w:sz w:val="20"/>
          <w:szCs w:val="20"/>
        </w:rPr>
        <w:t>the</w:t>
      </w:r>
      <w:r w:rsidRPr="006767C5">
        <w:rPr>
          <w:rFonts w:ascii="Open Sans" w:hAnsi="Open Sans" w:cs="Open Sans"/>
          <w:sz w:val="20"/>
          <w:szCs w:val="20"/>
        </w:rPr>
        <w:t xml:space="preserve"> substance being monitored. For most emissions this </w:t>
      </w:r>
      <w:r w:rsidR="00550A2E" w:rsidRPr="006767C5">
        <w:rPr>
          <w:rFonts w:ascii="Open Sans" w:hAnsi="Open Sans" w:cs="Open Sans"/>
          <w:sz w:val="20"/>
          <w:szCs w:val="20"/>
        </w:rPr>
        <w:t>include</w:t>
      </w:r>
      <w:r w:rsidR="001E1DD1" w:rsidRPr="006767C5">
        <w:rPr>
          <w:rFonts w:ascii="Open Sans" w:hAnsi="Open Sans" w:cs="Open Sans"/>
          <w:sz w:val="20"/>
          <w:szCs w:val="20"/>
        </w:rPr>
        <w:t xml:space="preserve">s </w:t>
      </w:r>
      <w:r w:rsidR="00550A2E" w:rsidRPr="006767C5">
        <w:rPr>
          <w:rFonts w:ascii="Open Sans" w:hAnsi="Open Sans" w:cs="Open Sans"/>
          <w:sz w:val="20"/>
          <w:szCs w:val="20"/>
        </w:rPr>
        <w:t>weekly measurements and monthly submissions</w:t>
      </w:r>
      <w:r w:rsidRPr="006767C5">
        <w:rPr>
          <w:rFonts w:ascii="Open Sans" w:hAnsi="Open Sans" w:cs="Open Sans"/>
          <w:sz w:val="20"/>
          <w:szCs w:val="20"/>
        </w:rPr>
        <w:t xml:space="preserve">. </w:t>
      </w:r>
      <w:r w:rsidR="001E1DD1" w:rsidRPr="006767C5">
        <w:rPr>
          <w:rFonts w:ascii="Open Sans" w:hAnsi="Open Sans" w:cs="Open Sans"/>
          <w:sz w:val="20"/>
          <w:szCs w:val="20"/>
        </w:rPr>
        <w:t>B</w:t>
      </w:r>
      <w:r w:rsidR="00550A2E" w:rsidRPr="006767C5">
        <w:rPr>
          <w:rFonts w:ascii="Open Sans" w:hAnsi="Open Sans" w:cs="Open Sans"/>
          <w:sz w:val="20"/>
          <w:szCs w:val="20"/>
        </w:rPr>
        <w:t>iomass</w:t>
      </w:r>
      <w:r w:rsidRPr="006767C5">
        <w:rPr>
          <w:rFonts w:ascii="Open Sans" w:hAnsi="Open Sans" w:cs="Open Sans"/>
          <w:sz w:val="20"/>
          <w:szCs w:val="20"/>
        </w:rPr>
        <w:t xml:space="preserve"> sites, whether using </w:t>
      </w:r>
      <w:r w:rsidR="00550A2E" w:rsidRPr="006767C5">
        <w:rPr>
          <w:rFonts w:ascii="Open Sans" w:hAnsi="Open Sans" w:cs="Open Sans"/>
          <w:sz w:val="20"/>
          <w:szCs w:val="20"/>
        </w:rPr>
        <w:t>virgin</w:t>
      </w:r>
      <w:r w:rsidRPr="006767C5">
        <w:rPr>
          <w:rFonts w:ascii="Open Sans" w:hAnsi="Open Sans" w:cs="Open Sans"/>
          <w:sz w:val="20"/>
          <w:szCs w:val="20"/>
        </w:rPr>
        <w:t xml:space="preserve"> feedstocks or waste, already have transparent data available and </w:t>
      </w:r>
      <w:r w:rsidR="00550A2E" w:rsidRPr="006767C5">
        <w:rPr>
          <w:rFonts w:ascii="Open Sans" w:hAnsi="Open Sans" w:cs="Open Sans"/>
          <w:sz w:val="20"/>
          <w:szCs w:val="20"/>
        </w:rPr>
        <w:t xml:space="preserve">a </w:t>
      </w:r>
      <w:r w:rsidRPr="006767C5">
        <w:rPr>
          <w:rFonts w:ascii="Open Sans" w:hAnsi="Open Sans" w:cs="Open Sans"/>
          <w:sz w:val="20"/>
          <w:szCs w:val="20"/>
        </w:rPr>
        <w:t>high degree of regulation</w:t>
      </w:r>
      <w:r w:rsidR="00B05A48" w:rsidRPr="006767C5">
        <w:rPr>
          <w:rFonts w:ascii="Open Sans" w:hAnsi="Open Sans" w:cs="Open Sans"/>
          <w:sz w:val="20"/>
          <w:szCs w:val="20"/>
        </w:rPr>
        <w:t xml:space="preserve"> to ensure emissions</w:t>
      </w:r>
      <w:r w:rsidR="00550A2E" w:rsidRPr="006767C5">
        <w:rPr>
          <w:rFonts w:ascii="Open Sans" w:hAnsi="Open Sans" w:cs="Open Sans"/>
          <w:sz w:val="20"/>
          <w:szCs w:val="20"/>
        </w:rPr>
        <w:t xml:space="preserve"> affecting air quality are</w:t>
      </w:r>
      <w:r w:rsidR="00B05A48" w:rsidRPr="006767C5">
        <w:rPr>
          <w:rFonts w:ascii="Open Sans" w:hAnsi="Open Sans" w:cs="Open Sans"/>
          <w:sz w:val="20"/>
          <w:szCs w:val="20"/>
        </w:rPr>
        <w:t xml:space="preserve"> safe. </w:t>
      </w:r>
    </w:p>
    <w:p w14:paraId="2094014D" w14:textId="1B6BF19E" w:rsidR="00B05A48" w:rsidRPr="006767C5" w:rsidRDefault="00B05A48" w:rsidP="00E527C6">
      <w:pPr>
        <w:rPr>
          <w:rFonts w:ascii="Open Sans" w:hAnsi="Open Sans" w:cs="Open Sans"/>
          <w:sz w:val="20"/>
          <w:szCs w:val="20"/>
        </w:rPr>
      </w:pPr>
      <w:r w:rsidRPr="006767C5">
        <w:rPr>
          <w:rFonts w:ascii="Open Sans" w:hAnsi="Open Sans" w:cs="Open Sans"/>
          <w:sz w:val="20"/>
          <w:szCs w:val="20"/>
        </w:rPr>
        <w:t>Public Health England have done several studies on the impacts of emissions</w:t>
      </w:r>
      <w:r w:rsidR="001E1DD1" w:rsidRPr="006767C5">
        <w:rPr>
          <w:rFonts w:ascii="Open Sans" w:hAnsi="Open Sans" w:cs="Open Sans"/>
          <w:sz w:val="20"/>
          <w:szCs w:val="20"/>
        </w:rPr>
        <w:t xml:space="preserve">, </w:t>
      </w:r>
      <w:r w:rsidRPr="006767C5">
        <w:rPr>
          <w:rFonts w:ascii="Open Sans" w:hAnsi="Open Sans" w:cs="Open Sans"/>
          <w:sz w:val="20"/>
          <w:szCs w:val="20"/>
        </w:rPr>
        <w:t>with particular focus on municipal waste incinerators, conducting studies in 2009</w:t>
      </w:r>
      <w:r w:rsidR="00000F05" w:rsidRPr="006767C5">
        <w:rPr>
          <w:rStyle w:val="FootnoteReference"/>
          <w:rFonts w:ascii="Open Sans" w:hAnsi="Open Sans" w:cs="Open Sans"/>
          <w:sz w:val="20"/>
          <w:szCs w:val="20"/>
        </w:rPr>
        <w:footnoteReference w:id="52"/>
      </w:r>
      <w:r w:rsidRPr="006767C5">
        <w:rPr>
          <w:rFonts w:ascii="Open Sans" w:hAnsi="Open Sans" w:cs="Open Sans"/>
          <w:sz w:val="20"/>
          <w:szCs w:val="20"/>
        </w:rPr>
        <w:t xml:space="preserve"> and 2019</w:t>
      </w:r>
      <w:r w:rsidR="00000F05" w:rsidRPr="006767C5">
        <w:rPr>
          <w:rStyle w:val="FootnoteReference"/>
          <w:rFonts w:ascii="Open Sans" w:hAnsi="Open Sans" w:cs="Open Sans"/>
          <w:sz w:val="20"/>
          <w:szCs w:val="20"/>
        </w:rPr>
        <w:footnoteReference w:id="53"/>
      </w:r>
      <w:r w:rsidRPr="006767C5">
        <w:rPr>
          <w:rFonts w:ascii="Open Sans" w:hAnsi="Open Sans" w:cs="Open Sans"/>
          <w:sz w:val="20"/>
          <w:szCs w:val="20"/>
        </w:rPr>
        <w:t>. The</w:t>
      </w:r>
      <w:r w:rsidR="00550A2E" w:rsidRPr="006767C5">
        <w:rPr>
          <w:rFonts w:ascii="Open Sans" w:hAnsi="Open Sans" w:cs="Open Sans"/>
          <w:sz w:val="20"/>
          <w:szCs w:val="20"/>
        </w:rPr>
        <w:t>ir</w:t>
      </w:r>
      <w:r w:rsidRPr="006767C5">
        <w:rPr>
          <w:rFonts w:ascii="Open Sans" w:hAnsi="Open Sans" w:cs="Open Sans"/>
          <w:sz w:val="20"/>
          <w:szCs w:val="20"/>
        </w:rPr>
        <w:t xml:space="preserve"> position remains consistent that “modern, well run and regulated municipal waste incinerators are not a significant risk to public health”.</w:t>
      </w:r>
      <w:r w:rsidR="00000F05" w:rsidRPr="006767C5">
        <w:rPr>
          <w:rStyle w:val="FootnoteReference"/>
          <w:rFonts w:ascii="Open Sans" w:hAnsi="Open Sans" w:cs="Open Sans"/>
          <w:sz w:val="20"/>
          <w:szCs w:val="20"/>
        </w:rPr>
        <w:footnoteReference w:id="54"/>
      </w:r>
      <w:r w:rsidRPr="006767C5">
        <w:rPr>
          <w:rFonts w:ascii="Open Sans" w:hAnsi="Open Sans" w:cs="Open Sans"/>
          <w:sz w:val="20"/>
          <w:szCs w:val="20"/>
        </w:rPr>
        <w:t xml:space="preserve"> </w:t>
      </w:r>
    </w:p>
    <w:p w14:paraId="31799737" w14:textId="54643C71" w:rsidR="00B05A48" w:rsidRPr="006767C5" w:rsidRDefault="00B05A48" w:rsidP="00E527C6">
      <w:pPr>
        <w:rPr>
          <w:rFonts w:ascii="Open Sans" w:hAnsi="Open Sans" w:cs="Open Sans"/>
          <w:sz w:val="20"/>
          <w:szCs w:val="20"/>
        </w:rPr>
      </w:pPr>
      <w:r w:rsidRPr="006767C5">
        <w:rPr>
          <w:rFonts w:ascii="Open Sans" w:hAnsi="Open Sans" w:cs="Open Sans"/>
          <w:sz w:val="20"/>
          <w:szCs w:val="20"/>
        </w:rPr>
        <w:t xml:space="preserve">Given the above, </w:t>
      </w:r>
      <w:r w:rsidR="0032007C" w:rsidRPr="006767C5">
        <w:rPr>
          <w:rFonts w:ascii="Open Sans" w:hAnsi="Open Sans" w:cs="Open Sans"/>
          <w:sz w:val="20"/>
          <w:szCs w:val="20"/>
        </w:rPr>
        <w:t xml:space="preserve">air quality issues relating to </w:t>
      </w:r>
      <w:r w:rsidRPr="006767C5">
        <w:rPr>
          <w:rFonts w:ascii="Open Sans" w:hAnsi="Open Sans" w:cs="Open Sans"/>
          <w:sz w:val="20"/>
          <w:szCs w:val="20"/>
        </w:rPr>
        <w:t xml:space="preserve">medium and </w:t>
      </w:r>
      <w:r w:rsidR="00550A2E" w:rsidRPr="006767C5">
        <w:rPr>
          <w:rFonts w:ascii="Open Sans" w:hAnsi="Open Sans" w:cs="Open Sans"/>
          <w:sz w:val="20"/>
          <w:szCs w:val="20"/>
        </w:rPr>
        <w:t>large-scale</w:t>
      </w:r>
      <w:r w:rsidRPr="006767C5">
        <w:rPr>
          <w:rFonts w:ascii="Open Sans" w:hAnsi="Open Sans" w:cs="Open Sans"/>
          <w:sz w:val="20"/>
          <w:szCs w:val="20"/>
        </w:rPr>
        <w:t xml:space="preserve"> biomass sites should continue to be regulated through environmental permit</w:t>
      </w:r>
      <w:r w:rsidR="001E1DD1" w:rsidRPr="006767C5">
        <w:rPr>
          <w:rFonts w:ascii="Open Sans" w:hAnsi="Open Sans" w:cs="Open Sans"/>
          <w:sz w:val="20"/>
          <w:szCs w:val="20"/>
        </w:rPr>
        <w:t>s</w:t>
      </w:r>
      <w:r w:rsidRPr="006767C5">
        <w:rPr>
          <w:rFonts w:ascii="Open Sans" w:hAnsi="Open Sans" w:cs="Open Sans"/>
          <w:sz w:val="20"/>
          <w:szCs w:val="20"/>
        </w:rPr>
        <w:t xml:space="preserve">, which stringently </w:t>
      </w:r>
      <w:r w:rsidR="00550A2E" w:rsidRPr="006767C5">
        <w:rPr>
          <w:rFonts w:ascii="Open Sans" w:hAnsi="Open Sans" w:cs="Open Sans"/>
          <w:sz w:val="20"/>
          <w:szCs w:val="20"/>
        </w:rPr>
        <w:t xml:space="preserve">and transparently </w:t>
      </w:r>
      <w:r w:rsidRPr="006767C5">
        <w:rPr>
          <w:rFonts w:ascii="Open Sans" w:hAnsi="Open Sans" w:cs="Open Sans"/>
          <w:sz w:val="20"/>
          <w:szCs w:val="20"/>
        </w:rPr>
        <w:t xml:space="preserve">determine their emissions and the type of feedstock they are able to use. We believe these requirements to be </w:t>
      </w:r>
      <w:r w:rsidR="00550A2E" w:rsidRPr="006767C5">
        <w:rPr>
          <w:rFonts w:ascii="Open Sans" w:hAnsi="Open Sans" w:cs="Open Sans"/>
          <w:sz w:val="20"/>
          <w:szCs w:val="20"/>
        </w:rPr>
        <w:t>appropriate</w:t>
      </w:r>
      <w:r w:rsidRPr="006767C5">
        <w:rPr>
          <w:rFonts w:ascii="Open Sans" w:hAnsi="Open Sans" w:cs="Open Sans"/>
          <w:sz w:val="20"/>
          <w:szCs w:val="20"/>
        </w:rPr>
        <w:t xml:space="preserve"> and </w:t>
      </w:r>
      <w:r w:rsidR="0032007C" w:rsidRPr="006767C5">
        <w:rPr>
          <w:rFonts w:ascii="Open Sans" w:hAnsi="Open Sans" w:cs="Open Sans"/>
          <w:sz w:val="20"/>
          <w:szCs w:val="20"/>
        </w:rPr>
        <w:t>that</w:t>
      </w:r>
      <w:r w:rsidRPr="006767C5">
        <w:rPr>
          <w:rFonts w:ascii="Open Sans" w:hAnsi="Open Sans" w:cs="Open Sans"/>
          <w:sz w:val="20"/>
          <w:szCs w:val="20"/>
        </w:rPr>
        <w:t xml:space="preserve"> attempts to </w:t>
      </w:r>
      <w:r w:rsidR="00550A2E" w:rsidRPr="006767C5">
        <w:rPr>
          <w:rFonts w:ascii="Open Sans" w:hAnsi="Open Sans" w:cs="Open Sans"/>
          <w:sz w:val="20"/>
          <w:szCs w:val="20"/>
        </w:rPr>
        <w:t xml:space="preserve">implement further air quality criteria beyond the work of the Environment Agency, such as trying to </w:t>
      </w:r>
      <w:r w:rsidR="0032007C" w:rsidRPr="006767C5">
        <w:rPr>
          <w:rFonts w:ascii="Open Sans" w:hAnsi="Open Sans" w:cs="Open Sans"/>
          <w:sz w:val="20"/>
          <w:szCs w:val="20"/>
        </w:rPr>
        <w:t xml:space="preserve">direct </w:t>
      </w:r>
      <w:r w:rsidR="00550A2E" w:rsidRPr="006767C5">
        <w:rPr>
          <w:rFonts w:ascii="Open Sans" w:hAnsi="Open Sans" w:cs="Open Sans"/>
          <w:sz w:val="20"/>
          <w:szCs w:val="20"/>
        </w:rPr>
        <w:t xml:space="preserve">biomass </w:t>
      </w:r>
      <w:r w:rsidR="0032007C" w:rsidRPr="006767C5">
        <w:rPr>
          <w:rFonts w:ascii="Open Sans" w:hAnsi="Open Sans" w:cs="Open Sans"/>
          <w:sz w:val="20"/>
          <w:szCs w:val="20"/>
        </w:rPr>
        <w:t xml:space="preserve">locations </w:t>
      </w:r>
      <w:r w:rsidR="00550A2E" w:rsidRPr="006767C5">
        <w:rPr>
          <w:rFonts w:ascii="Open Sans" w:hAnsi="Open Sans" w:cs="Open Sans"/>
          <w:sz w:val="20"/>
          <w:szCs w:val="20"/>
        </w:rPr>
        <w:t xml:space="preserve">within energy policy, risks creating contradictions and would fail to lead to any benefits for public health. </w:t>
      </w:r>
    </w:p>
    <w:p w14:paraId="6407F95A" w14:textId="23798128" w:rsidR="00BD0520" w:rsidRPr="006767C5" w:rsidRDefault="00000F05" w:rsidP="00E527C6">
      <w:pPr>
        <w:rPr>
          <w:rFonts w:ascii="Open Sans" w:hAnsi="Open Sans" w:cs="Open Sans"/>
          <w:b/>
          <w:bCs/>
          <w:sz w:val="20"/>
          <w:szCs w:val="20"/>
          <w:lang w:val="en-US"/>
        </w:rPr>
      </w:pPr>
      <w:r w:rsidRPr="006767C5">
        <w:rPr>
          <w:rFonts w:ascii="Open Sans" w:hAnsi="Open Sans" w:cs="Open Sans"/>
          <w:b/>
          <w:bCs/>
          <w:i/>
          <w:iCs/>
          <w:sz w:val="20"/>
          <w:szCs w:val="20"/>
          <w:lang w:val="en-US"/>
        </w:rPr>
        <w:t xml:space="preserve">Biomass </w:t>
      </w:r>
      <w:r w:rsidR="00BC5FB0" w:rsidRPr="006767C5">
        <w:rPr>
          <w:rFonts w:ascii="Open Sans" w:hAnsi="Open Sans" w:cs="Open Sans"/>
          <w:b/>
          <w:bCs/>
          <w:i/>
          <w:iCs/>
          <w:sz w:val="20"/>
          <w:szCs w:val="20"/>
          <w:lang w:val="en-US"/>
        </w:rPr>
        <w:t>boile</w:t>
      </w:r>
      <w:r w:rsidR="00EE14E3" w:rsidRPr="006767C5">
        <w:rPr>
          <w:rFonts w:ascii="Open Sans" w:hAnsi="Open Sans" w:cs="Open Sans"/>
          <w:b/>
          <w:bCs/>
          <w:i/>
          <w:iCs/>
          <w:sz w:val="20"/>
          <w:szCs w:val="20"/>
          <w:lang w:val="en-US"/>
        </w:rPr>
        <w:t>rs</w:t>
      </w:r>
      <w:r w:rsidRPr="006767C5">
        <w:rPr>
          <w:rFonts w:ascii="Open Sans" w:hAnsi="Open Sans" w:cs="Open Sans"/>
          <w:b/>
          <w:bCs/>
          <w:i/>
          <w:iCs/>
          <w:sz w:val="20"/>
          <w:szCs w:val="20"/>
          <w:lang w:val="en-US"/>
        </w:rPr>
        <w:t xml:space="preserve">, regulated </w:t>
      </w:r>
      <w:r w:rsidR="00BA2E70" w:rsidRPr="006767C5">
        <w:rPr>
          <w:rFonts w:ascii="Open Sans" w:hAnsi="Open Sans" w:cs="Open Sans"/>
          <w:b/>
          <w:bCs/>
          <w:i/>
          <w:iCs/>
          <w:sz w:val="20"/>
          <w:szCs w:val="20"/>
          <w:lang w:val="en-US"/>
        </w:rPr>
        <w:t>through stringent</w:t>
      </w:r>
      <w:r w:rsidRPr="006767C5">
        <w:rPr>
          <w:rFonts w:ascii="Open Sans" w:hAnsi="Open Sans" w:cs="Open Sans"/>
          <w:b/>
          <w:bCs/>
          <w:i/>
          <w:iCs/>
          <w:sz w:val="20"/>
          <w:szCs w:val="20"/>
          <w:lang w:val="en-US"/>
        </w:rPr>
        <w:t xml:space="preserve"> </w:t>
      </w:r>
      <w:r w:rsidR="00EB1770" w:rsidRPr="006767C5">
        <w:rPr>
          <w:rFonts w:ascii="Open Sans" w:hAnsi="Open Sans" w:cs="Open Sans"/>
          <w:b/>
          <w:bCs/>
          <w:i/>
          <w:iCs/>
          <w:sz w:val="20"/>
          <w:szCs w:val="20"/>
          <w:lang w:val="en-US"/>
        </w:rPr>
        <w:t xml:space="preserve">installation, fuel </w:t>
      </w:r>
      <w:r w:rsidRPr="006767C5">
        <w:rPr>
          <w:rFonts w:ascii="Open Sans" w:hAnsi="Open Sans" w:cs="Open Sans"/>
          <w:b/>
          <w:bCs/>
          <w:i/>
          <w:iCs/>
          <w:sz w:val="20"/>
          <w:szCs w:val="20"/>
          <w:lang w:val="en-US"/>
        </w:rPr>
        <w:t xml:space="preserve">and maintenance standards, should have no restrictions on deployment, </w:t>
      </w:r>
      <w:r w:rsidR="00EB1770" w:rsidRPr="006767C5">
        <w:rPr>
          <w:rFonts w:ascii="Open Sans" w:hAnsi="Open Sans" w:cs="Open Sans"/>
          <w:b/>
          <w:bCs/>
          <w:i/>
          <w:iCs/>
          <w:sz w:val="20"/>
          <w:szCs w:val="20"/>
          <w:lang w:val="en-US"/>
        </w:rPr>
        <w:t>even in</w:t>
      </w:r>
      <w:r w:rsidRPr="006767C5">
        <w:rPr>
          <w:rFonts w:ascii="Open Sans" w:hAnsi="Open Sans" w:cs="Open Sans"/>
          <w:b/>
          <w:bCs/>
          <w:i/>
          <w:iCs/>
          <w:sz w:val="20"/>
          <w:szCs w:val="20"/>
          <w:lang w:val="en-US"/>
        </w:rPr>
        <w:t xml:space="preserve"> urban on-gas grid areas</w:t>
      </w:r>
      <w:r w:rsidRPr="006767C5">
        <w:rPr>
          <w:rFonts w:ascii="Open Sans" w:hAnsi="Open Sans" w:cs="Open Sans"/>
          <w:b/>
          <w:bCs/>
          <w:sz w:val="20"/>
          <w:szCs w:val="20"/>
          <w:lang w:val="en-US"/>
        </w:rPr>
        <w:t xml:space="preserve">. </w:t>
      </w:r>
    </w:p>
    <w:p w14:paraId="29953580" w14:textId="25A1E8A2" w:rsidR="00BC5FB0" w:rsidRPr="006767C5" w:rsidRDefault="00BC5FB0" w:rsidP="00BC5FB0">
      <w:pPr>
        <w:spacing w:after="0" w:line="240" w:lineRule="auto"/>
        <w:jc w:val="both"/>
        <w:rPr>
          <w:rFonts w:ascii="Open Sans" w:hAnsi="Open Sans" w:cs="Open Sans"/>
          <w:sz w:val="20"/>
          <w:szCs w:val="20"/>
        </w:rPr>
      </w:pPr>
      <w:r w:rsidRPr="006767C5">
        <w:rPr>
          <w:rFonts w:ascii="Open Sans" w:hAnsi="Open Sans" w:cs="Open Sans"/>
          <w:sz w:val="20"/>
          <w:szCs w:val="20"/>
        </w:rPr>
        <w:t xml:space="preserve">As with larger scale biomass sites, existing EU regulations relating to residential heating are already implemented within the UK market. The eco-design scheme for solid fuel boilers (Commission Regulation (EU) 2015/1189) and local space heaters (Commission Regulation (EU) 2015/1185) sets minimum efficiency and maximum emissions levels for biomass heating </w:t>
      </w:r>
      <w:r w:rsidR="0032007C" w:rsidRPr="006767C5">
        <w:rPr>
          <w:rFonts w:ascii="Open Sans" w:hAnsi="Open Sans" w:cs="Open Sans"/>
          <w:sz w:val="20"/>
          <w:szCs w:val="20"/>
        </w:rPr>
        <w:t>technologies</w:t>
      </w:r>
      <w:r w:rsidRPr="006767C5">
        <w:rPr>
          <w:rFonts w:ascii="Open Sans" w:hAnsi="Open Sans" w:cs="Open Sans"/>
          <w:sz w:val="20"/>
          <w:szCs w:val="20"/>
        </w:rPr>
        <w:t xml:space="preserve">. These requirements ensure all new biomass heating installations emit minimum levels of emissions. </w:t>
      </w:r>
      <w:r w:rsidR="00EB1770" w:rsidRPr="006767C5">
        <w:rPr>
          <w:rFonts w:ascii="Open Sans" w:hAnsi="Open Sans" w:cs="Open Sans"/>
          <w:sz w:val="20"/>
          <w:szCs w:val="20"/>
        </w:rPr>
        <w:t xml:space="preserve"> </w:t>
      </w:r>
      <w:r w:rsidR="00CE52F7" w:rsidRPr="006767C5">
        <w:rPr>
          <w:rFonts w:ascii="Open Sans" w:hAnsi="Open Sans" w:cs="Open Sans"/>
          <w:sz w:val="20"/>
          <w:szCs w:val="20"/>
        </w:rPr>
        <w:t xml:space="preserve">However, specific requirements for biomass boilers go well beyond this, as described below. </w:t>
      </w:r>
    </w:p>
    <w:p w14:paraId="4160A2EE" w14:textId="33576352" w:rsidR="004D4032" w:rsidRPr="006767C5" w:rsidRDefault="004D4032" w:rsidP="00BC5FB0">
      <w:pPr>
        <w:spacing w:after="0" w:line="240" w:lineRule="auto"/>
        <w:jc w:val="both"/>
        <w:rPr>
          <w:rFonts w:ascii="Open Sans" w:hAnsi="Open Sans" w:cs="Open Sans"/>
          <w:sz w:val="20"/>
          <w:szCs w:val="20"/>
        </w:rPr>
      </w:pPr>
    </w:p>
    <w:p w14:paraId="3C69181D" w14:textId="20B17AEA" w:rsidR="004D4032" w:rsidRPr="006767C5" w:rsidRDefault="004D4032" w:rsidP="004D4032">
      <w:pPr>
        <w:rPr>
          <w:rFonts w:ascii="Open Sans" w:hAnsi="Open Sans" w:cs="Open Sans"/>
          <w:sz w:val="20"/>
          <w:szCs w:val="20"/>
        </w:rPr>
      </w:pPr>
      <w:r w:rsidRPr="006767C5">
        <w:rPr>
          <w:rFonts w:ascii="Open Sans" w:hAnsi="Open Sans" w:cs="Open Sans"/>
          <w:sz w:val="20"/>
          <w:szCs w:val="20"/>
          <w:lang w:val="en-US"/>
        </w:rPr>
        <w:t xml:space="preserve">Biomass boilers that are installed under the Renewable Heat Incentive and commissioned after 2013 are required to meet the RHI air quality requirements. These set limits on the emissions a product can produce. PM emissions must not exceed 30 grams per gigajoule net heat output, and NOx emissions must not exceed 150 grams per gigajoule net heat output. Products affected by these requirements must have an RHI Emission Certificate, which includes information about the product, the test laboratory, tested fuel types, and emissions. Analysis of these certificates suggests that biomass boilers, in general, have been tested at particulate matter emission levels that are considerably below the legal limit. </w:t>
      </w:r>
      <w:r w:rsidRPr="006767C5">
        <w:rPr>
          <w:rFonts w:ascii="Open Sans" w:hAnsi="Open Sans" w:cs="Open Sans"/>
          <w:sz w:val="20"/>
          <w:szCs w:val="20"/>
        </w:rPr>
        <w:t xml:space="preserve">A survey conducted of REA wood heat members during a previous BEIS consultation demonstrated average PM of as low as 5.18 grams per GJ from currently operating installations - a fraction of required safe </w:t>
      </w:r>
      <w:r w:rsidR="00833E2D" w:rsidRPr="006767C5">
        <w:rPr>
          <w:rFonts w:ascii="Open Sans" w:hAnsi="Open Sans" w:cs="Open Sans"/>
          <w:sz w:val="20"/>
          <w:szCs w:val="20"/>
        </w:rPr>
        <w:t>limits</w:t>
      </w:r>
      <w:r w:rsidRPr="006767C5">
        <w:rPr>
          <w:rFonts w:ascii="Open Sans" w:hAnsi="Open Sans" w:cs="Open Sans"/>
          <w:sz w:val="20"/>
          <w:szCs w:val="20"/>
        </w:rPr>
        <w:t xml:space="preserve"> set </w:t>
      </w:r>
      <w:r w:rsidR="0032007C" w:rsidRPr="006767C5">
        <w:rPr>
          <w:rFonts w:ascii="Open Sans" w:hAnsi="Open Sans" w:cs="Open Sans"/>
          <w:sz w:val="20"/>
          <w:szCs w:val="20"/>
        </w:rPr>
        <w:t xml:space="preserve">by </w:t>
      </w:r>
      <w:r w:rsidRPr="006767C5">
        <w:rPr>
          <w:rFonts w:ascii="Open Sans" w:hAnsi="Open Sans" w:cs="Open Sans"/>
          <w:sz w:val="20"/>
          <w:szCs w:val="20"/>
        </w:rPr>
        <w:t xml:space="preserve">the RHI. </w:t>
      </w:r>
      <w:r w:rsidRPr="006767C5">
        <w:rPr>
          <w:rStyle w:val="FootnoteReference"/>
          <w:rFonts w:ascii="Open Sans" w:hAnsi="Open Sans" w:cs="Open Sans"/>
          <w:sz w:val="20"/>
          <w:szCs w:val="20"/>
        </w:rPr>
        <w:footnoteReference w:id="55"/>
      </w:r>
    </w:p>
    <w:p w14:paraId="1C2DD920" w14:textId="0910FD27" w:rsidR="00833E2D" w:rsidRPr="006767C5" w:rsidRDefault="004D4032" w:rsidP="004D4032">
      <w:pPr>
        <w:rPr>
          <w:rFonts w:ascii="Open Sans" w:hAnsi="Open Sans" w:cs="Open Sans"/>
          <w:sz w:val="20"/>
          <w:szCs w:val="20"/>
        </w:rPr>
      </w:pPr>
      <w:r w:rsidRPr="006767C5">
        <w:rPr>
          <w:rFonts w:ascii="Open Sans" w:hAnsi="Open Sans" w:cs="Open Sans"/>
          <w:sz w:val="20"/>
          <w:szCs w:val="20"/>
          <w:lang w:val="en-US"/>
        </w:rPr>
        <w:t xml:space="preserve">Furthermore, </w:t>
      </w:r>
      <w:r w:rsidR="0032007C" w:rsidRPr="006767C5">
        <w:rPr>
          <w:rFonts w:ascii="Open Sans" w:hAnsi="Open Sans" w:cs="Open Sans"/>
          <w:sz w:val="20"/>
          <w:szCs w:val="20"/>
          <w:lang w:val="en-US"/>
        </w:rPr>
        <w:t>b</w:t>
      </w:r>
      <w:r w:rsidRPr="006767C5">
        <w:rPr>
          <w:rFonts w:ascii="Open Sans" w:hAnsi="Open Sans" w:cs="Open Sans"/>
          <w:sz w:val="20"/>
          <w:szCs w:val="20"/>
          <w:lang w:val="en-US"/>
        </w:rPr>
        <w:t xml:space="preserve">iomass boiler systems </w:t>
      </w:r>
      <w:r w:rsidR="00D57686" w:rsidRPr="006767C5">
        <w:rPr>
          <w:rFonts w:ascii="Open Sans" w:hAnsi="Open Sans" w:cs="Open Sans"/>
          <w:sz w:val="20"/>
          <w:szCs w:val="20"/>
          <w:lang w:val="en-US"/>
        </w:rPr>
        <w:t>can</w:t>
      </w:r>
      <w:r w:rsidRPr="006767C5">
        <w:rPr>
          <w:rFonts w:ascii="Open Sans" w:hAnsi="Open Sans" w:cs="Open Sans"/>
          <w:sz w:val="20"/>
          <w:szCs w:val="20"/>
          <w:lang w:val="en-US"/>
        </w:rPr>
        <w:t xml:space="preserve"> see even lower emission </w:t>
      </w:r>
      <w:r w:rsidR="00D57686" w:rsidRPr="006767C5">
        <w:rPr>
          <w:rFonts w:ascii="Open Sans" w:hAnsi="Open Sans" w:cs="Open Sans"/>
          <w:sz w:val="20"/>
          <w:szCs w:val="20"/>
        </w:rPr>
        <w:t xml:space="preserve">where flue gas filters are fitted. These are mature technologies which are readily available, with advances in </w:t>
      </w:r>
      <w:r w:rsidR="00D57686" w:rsidRPr="006767C5">
        <w:rPr>
          <w:rFonts w:ascii="Open Sans" w:hAnsi="Open Sans" w:cs="Open Sans"/>
          <w:sz w:val="20"/>
          <w:szCs w:val="20"/>
          <w:lang w:val="en-US"/>
        </w:rPr>
        <w:t xml:space="preserve">electrostatic precipitators having further potential for implementation and </w:t>
      </w:r>
      <w:r w:rsidR="00833E2D" w:rsidRPr="006767C5">
        <w:rPr>
          <w:rFonts w:ascii="Open Sans" w:hAnsi="Open Sans" w:cs="Open Sans"/>
          <w:sz w:val="20"/>
          <w:szCs w:val="20"/>
          <w:lang w:val="en-US"/>
        </w:rPr>
        <w:t>retrofit on existing systems</w:t>
      </w:r>
      <w:r w:rsidR="00D57686" w:rsidRPr="006767C5">
        <w:rPr>
          <w:rFonts w:ascii="Open Sans" w:hAnsi="Open Sans" w:cs="Open Sans"/>
          <w:sz w:val="20"/>
          <w:szCs w:val="20"/>
          <w:lang w:val="en-US"/>
        </w:rPr>
        <w:t>. In addition</w:t>
      </w:r>
      <w:r w:rsidR="00833E2D" w:rsidRPr="006767C5">
        <w:rPr>
          <w:rFonts w:ascii="Open Sans" w:hAnsi="Open Sans" w:cs="Open Sans"/>
          <w:sz w:val="20"/>
          <w:szCs w:val="20"/>
          <w:lang w:val="en-US"/>
        </w:rPr>
        <w:t>,</w:t>
      </w:r>
      <w:r w:rsidR="00D57686" w:rsidRPr="006767C5">
        <w:rPr>
          <w:rFonts w:ascii="Open Sans" w:hAnsi="Open Sans" w:cs="Open Sans"/>
          <w:sz w:val="20"/>
          <w:szCs w:val="20"/>
          <w:lang w:val="en-US"/>
        </w:rPr>
        <w:t xml:space="preserve"> innovation in boiler design continues to evolve, with ever decreasing </w:t>
      </w:r>
      <w:r w:rsidR="00833E2D" w:rsidRPr="006767C5">
        <w:rPr>
          <w:rFonts w:ascii="Open Sans" w:hAnsi="Open Sans" w:cs="Open Sans"/>
          <w:sz w:val="20"/>
          <w:szCs w:val="20"/>
          <w:lang w:val="en-US"/>
        </w:rPr>
        <w:t xml:space="preserve">emission profiles.  For example, boiler manufacturer </w:t>
      </w:r>
      <w:proofErr w:type="spellStart"/>
      <w:r w:rsidR="00833E2D" w:rsidRPr="006767C5">
        <w:rPr>
          <w:rFonts w:ascii="Open Sans" w:hAnsi="Open Sans" w:cs="Open Sans"/>
          <w:sz w:val="20"/>
          <w:szCs w:val="20"/>
          <w:lang w:val="en-US"/>
        </w:rPr>
        <w:t>Ökofen</w:t>
      </w:r>
      <w:proofErr w:type="spellEnd"/>
      <w:r w:rsidR="00833E2D" w:rsidRPr="006767C5">
        <w:rPr>
          <w:rFonts w:ascii="Open Sans" w:hAnsi="Open Sans" w:cs="Open Sans"/>
          <w:sz w:val="20"/>
          <w:szCs w:val="20"/>
        </w:rPr>
        <w:t xml:space="preserve"> have this year launched their </w:t>
      </w:r>
      <w:proofErr w:type="spellStart"/>
      <w:r w:rsidR="00833E2D" w:rsidRPr="006767C5">
        <w:rPr>
          <w:rFonts w:ascii="Open Sans" w:hAnsi="Open Sans" w:cs="Open Sans"/>
          <w:sz w:val="20"/>
          <w:szCs w:val="20"/>
        </w:rPr>
        <w:t>ZeroFlame</w:t>
      </w:r>
      <w:proofErr w:type="spellEnd"/>
      <w:r w:rsidR="00833E2D" w:rsidRPr="006767C5">
        <w:rPr>
          <w:rFonts w:ascii="Open Sans" w:hAnsi="Open Sans" w:cs="Open Sans"/>
          <w:sz w:val="20"/>
          <w:szCs w:val="20"/>
        </w:rPr>
        <w:t xml:space="preserve"> technology boilers where levels of particulate matter </w:t>
      </w:r>
      <w:r w:rsidR="0032007C" w:rsidRPr="006767C5">
        <w:rPr>
          <w:rFonts w:ascii="Open Sans" w:hAnsi="Open Sans" w:cs="Open Sans"/>
          <w:sz w:val="20"/>
          <w:szCs w:val="20"/>
        </w:rPr>
        <w:t>are close to zero</w:t>
      </w:r>
      <w:r w:rsidR="00833E2D" w:rsidRPr="006767C5">
        <w:rPr>
          <w:rFonts w:ascii="Open Sans" w:hAnsi="Open Sans" w:cs="Open Sans"/>
          <w:sz w:val="20"/>
          <w:szCs w:val="20"/>
        </w:rPr>
        <w:t xml:space="preserve">, with results verified by TUV Austria. </w:t>
      </w:r>
      <w:r w:rsidR="00833E2D" w:rsidRPr="006767C5">
        <w:rPr>
          <w:rStyle w:val="FootnoteReference"/>
          <w:rFonts w:ascii="Open Sans" w:hAnsi="Open Sans" w:cs="Open Sans"/>
          <w:sz w:val="20"/>
          <w:szCs w:val="20"/>
        </w:rPr>
        <w:footnoteReference w:id="56"/>
      </w:r>
    </w:p>
    <w:p w14:paraId="717A1333" w14:textId="55A59B47" w:rsidR="000C652B" w:rsidRPr="006767C5" w:rsidRDefault="000C652B" w:rsidP="004D4032">
      <w:pPr>
        <w:rPr>
          <w:rFonts w:ascii="Open Sans" w:hAnsi="Open Sans" w:cs="Open Sans"/>
          <w:sz w:val="20"/>
          <w:szCs w:val="20"/>
        </w:rPr>
      </w:pPr>
      <w:r w:rsidRPr="006767C5">
        <w:rPr>
          <w:rFonts w:ascii="Open Sans" w:hAnsi="Open Sans" w:cs="Open Sans"/>
          <w:sz w:val="20"/>
          <w:szCs w:val="20"/>
        </w:rPr>
        <w:t xml:space="preserve">Fuel quality is also </w:t>
      </w:r>
      <w:r w:rsidR="00EB1770" w:rsidRPr="006767C5">
        <w:rPr>
          <w:rFonts w:ascii="Open Sans" w:hAnsi="Open Sans" w:cs="Open Sans"/>
          <w:sz w:val="20"/>
          <w:szCs w:val="20"/>
        </w:rPr>
        <w:t>important,</w:t>
      </w:r>
      <w:r w:rsidRPr="006767C5">
        <w:rPr>
          <w:rFonts w:ascii="Open Sans" w:hAnsi="Open Sans" w:cs="Open Sans"/>
          <w:sz w:val="20"/>
          <w:szCs w:val="20"/>
        </w:rPr>
        <w:t xml:space="preserve"> and the REA has welcomed </w:t>
      </w:r>
      <w:r w:rsidR="00EB1770" w:rsidRPr="006767C5">
        <w:rPr>
          <w:rFonts w:ascii="Open Sans" w:hAnsi="Open Sans" w:cs="Open Sans"/>
          <w:sz w:val="20"/>
          <w:szCs w:val="20"/>
        </w:rPr>
        <w:t xml:space="preserve">the </w:t>
      </w:r>
      <w:r w:rsidRPr="006767C5">
        <w:rPr>
          <w:rFonts w:ascii="Open Sans" w:hAnsi="Open Sans" w:cs="Open Sans"/>
          <w:sz w:val="20"/>
          <w:szCs w:val="20"/>
        </w:rPr>
        <w:t xml:space="preserve">recent BEIS decisions to introduce mandated fuel quality standards for biomass fuels. Much of this further formalises existing </w:t>
      </w:r>
      <w:r w:rsidR="00EB1770" w:rsidRPr="006767C5">
        <w:rPr>
          <w:rFonts w:ascii="Open Sans" w:hAnsi="Open Sans" w:cs="Open Sans"/>
          <w:sz w:val="20"/>
          <w:szCs w:val="20"/>
        </w:rPr>
        <w:t>certifications</w:t>
      </w:r>
      <w:r w:rsidRPr="006767C5">
        <w:rPr>
          <w:rFonts w:ascii="Open Sans" w:hAnsi="Open Sans" w:cs="Open Sans"/>
          <w:sz w:val="20"/>
          <w:szCs w:val="20"/>
        </w:rPr>
        <w:t xml:space="preserve"> schemes already operational in the UK, which ensure </w:t>
      </w:r>
      <w:r w:rsidR="00EB1770" w:rsidRPr="006767C5">
        <w:rPr>
          <w:rFonts w:ascii="Open Sans" w:hAnsi="Open Sans" w:cs="Open Sans"/>
          <w:sz w:val="20"/>
          <w:szCs w:val="20"/>
        </w:rPr>
        <w:t xml:space="preserve">only </w:t>
      </w:r>
      <w:r w:rsidRPr="006767C5">
        <w:rPr>
          <w:rFonts w:ascii="Open Sans" w:hAnsi="Open Sans" w:cs="Open Sans"/>
          <w:sz w:val="20"/>
          <w:szCs w:val="20"/>
        </w:rPr>
        <w:t>clean fuels</w:t>
      </w:r>
      <w:r w:rsidR="00EB1770" w:rsidRPr="006767C5">
        <w:rPr>
          <w:rFonts w:ascii="Open Sans" w:hAnsi="Open Sans" w:cs="Open Sans"/>
          <w:sz w:val="20"/>
          <w:szCs w:val="20"/>
        </w:rPr>
        <w:t xml:space="preserve"> are used</w:t>
      </w:r>
      <w:r w:rsidRPr="006767C5">
        <w:rPr>
          <w:rFonts w:ascii="Open Sans" w:hAnsi="Open Sans" w:cs="Open Sans"/>
          <w:sz w:val="20"/>
          <w:szCs w:val="20"/>
        </w:rPr>
        <w:t xml:space="preserve">. Such schemes include </w:t>
      </w:r>
      <w:proofErr w:type="spellStart"/>
      <w:r w:rsidRPr="006767C5">
        <w:rPr>
          <w:rFonts w:ascii="Open Sans" w:hAnsi="Open Sans" w:cs="Open Sans"/>
          <w:sz w:val="20"/>
          <w:szCs w:val="20"/>
        </w:rPr>
        <w:t>EN</w:t>
      </w:r>
      <w:r w:rsidRPr="006767C5">
        <w:rPr>
          <w:rFonts w:ascii="Open Sans" w:hAnsi="Open Sans" w:cs="Open Sans"/>
          <w:i/>
          <w:iCs/>
          <w:sz w:val="20"/>
          <w:szCs w:val="20"/>
        </w:rPr>
        <w:t>plus</w:t>
      </w:r>
      <w:proofErr w:type="spellEnd"/>
      <w:r w:rsidRPr="006767C5">
        <w:rPr>
          <w:rStyle w:val="FootnoteReference"/>
          <w:rFonts w:ascii="Open Sans" w:hAnsi="Open Sans" w:cs="Open Sans"/>
          <w:sz w:val="20"/>
          <w:szCs w:val="20"/>
        </w:rPr>
        <w:footnoteReference w:id="57"/>
      </w:r>
      <w:r w:rsidR="00EB1770" w:rsidRPr="006767C5">
        <w:rPr>
          <w:rFonts w:ascii="Open Sans" w:hAnsi="Open Sans" w:cs="Open Sans"/>
          <w:i/>
          <w:iCs/>
          <w:sz w:val="20"/>
          <w:szCs w:val="20"/>
        </w:rPr>
        <w:t xml:space="preserve"> </w:t>
      </w:r>
      <w:r w:rsidR="00EB1770" w:rsidRPr="006767C5">
        <w:rPr>
          <w:rFonts w:ascii="Open Sans" w:hAnsi="Open Sans" w:cs="Open Sans"/>
          <w:sz w:val="20"/>
          <w:szCs w:val="20"/>
        </w:rPr>
        <w:t xml:space="preserve">for </w:t>
      </w:r>
      <w:r w:rsidR="0069312B" w:rsidRPr="006767C5">
        <w:rPr>
          <w:rFonts w:ascii="Open Sans" w:hAnsi="Open Sans" w:cs="Open Sans"/>
          <w:sz w:val="20"/>
          <w:szCs w:val="20"/>
        </w:rPr>
        <w:t>pellets,</w:t>
      </w:r>
      <w:r w:rsidRPr="006767C5">
        <w:rPr>
          <w:rFonts w:ascii="Open Sans" w:hAnsi="Open Sans" w:cs="Open Sans"/>
          <w:sz w:val="20"/>
          <w:szCs w:val="20"/>
        </w:rPr>
        <w:t xml:space="preserve"> </w:t>
      </w:r>
      <w:proofErr w:type="spellStart"/>
      <w:r w:rsidRPr="006767C5">
        <w:rPr>
          <w:rFonts w:ascii="Open Sans" w:hAnsi="Open Sans" w:cs="Open Sans"/>
          <w:sz w:val="20"/>
          <w:szCs w:val="20"/>
        </w:rPr>
        <w:t>GoodChip</w:t>
      </w:r>
      <w:r w:rsidR="00EB1770" w:rsidRPr="006767C5">
        <w:rPr>
          <w:rFonts w:ascii="Open Sans" w:hAnsi="Open Sans" w:cs="Open Sans"/>
          <w:sz w:val="20"/>
          <w:szCs w:val="20"/>
        </w:rPr>
        <w:t>s</w:t>
      </w:r>
      <w:proofErr w:type="spellEnd"/>
      <w:r w:rsidR="00EB1770" w:rsidRPr="006767C5">
        <w:rPr>
          <w:rStyle w:val="FootnoteReference"/>
          <w:rFonts w:ascii="Open Sans" w:hAnsi="Open Sans" w:cs="Open Sans"/>
          <w:sz w:val="20"/>
          <w:szCs w:val="20"/>
        </w:rPr>
        <w:footnoteReference w:id="58"/>
      </w:r>
      <w:r w:rsidRPr="006767C5">
        <w:rPr>
          <w:rFonts w:ascii="Open Sans" w:hAnsi="Open Sans" w:cs="Open Sans"/>
          <w:sz w:val="20"/>
          <w:szCs w:val="20"/>
        </w:rPr>
        <w:t xml:space="preserve"> </w:t>
      </w:r>
      <w:r w:rsidR="00EB1770" w:rsidRPr="006767C5">
        <w:rPr>
          <w:rFonts w:ascii="Open Sans" w:hAnsi="Open Sans" w:cs="Open Sans"/>
          <w:sz w:val="20"/>
          <w:szCs w:val="20"/>
        </w:rPr>
        <w:t xml:space="preserve">for wood chip </w:t>
      </w:r>
      <w:r w:rsidRPr="006767C5">
        <w:rPr>
          <w:rFonts w:ascii="Open Sans" w:hAnsi="Open Sans" w:cs="Open Sans"/>
          <w:sz w:val="20"/>
          <w:szCs w:val="20"/>
        </w:rPr>
        <w:t xml:space="preserve">and </w:t>
      </w:r>
      <w:proofErr w:type="spellStart"/>
      <w:r w:rsidRPr="006767C5">
        <w:rPr>
          <w:rFonts w:ascii="Open Sans" w:hAnsi="Open Sans" w:cs="Open Sans"/>
          <w:sz w:val="20"/>
          <w:szCs w:val="20"/>
        </w:rPr>
        <w:t>Woodsure</w:t>
      </w:r>
      <w:proofErr w:type="spellEnd"/>
      <w:r w:rsidRPr="006767C5">
        <w:rPr>
          <w:rFonts w:ascii="Open Sans" w:hAnsi="Open Sans" w:cs="Open Sans"/>
          <w:sz w:val="20"/>
          <w:szCs w:val="20"/>
        </w:rPr>
        <w:t xml:space="preserve"> ‘Ready to Burn’</w:t>
      </w:r>
      <w:r w:rsidR="00EB1770" w:rsidRPr="006767C5">
        <w:rPr>
          <w:rStyle w:val="FootnoteReference"/>
          <w:rFonts w:ascii="Open Sans" w:hAnsi="Open Sans" w:cs="Open Sans"/>
          <w:sz w:val="20"/>
          <w:szCs w:val="20"/>
        </w:rPr>
        <w:footnoteReference w:id="59"/>
      </w:r>
      <w:r w:rsidRPr="006767C5">
        <w:rPr>
          <w:rFonts w:ascii="Open Sans" w:hAnsi="Open Sans" w:cs="Open Sans"/>
          <w:sz w:val="20"/>
          <w:szCs w:val="20"/>
        </w:rPr>
        <w:t xml:space="preserve"> </w:t>
      </w:r>
      <w:r w:rsidR="00EB1770" w:rsidRPr="006767C5">
        <w:rPr>
          <w:rFonts w:ascii="Open Sans" w:hAnsi="Open Sans" w:cs="Open Sans"/>
          <w:sz w:val="20"/>
          <w:szCs w:val="20"/>
        </w:rPr>
        <w:t xml:space="preserve">for </w:t>
      </w:r>
      <w:r w:rsidR="00DD2E81" w:rsidRPr="006767C5">
        <w:rPr>
          <w:rFonts w:ascii="Open Sans" w:hAnsi="Open Sans" w:cs="Open Sans"/>
          <w:sz w:val="20"/>
          <w:szCs w:val="20"/>
        </w:rPr>
        <w:t>a range of</w:t>
      </w:r>
      <w:r w:rsidR="00EB1770" w:rsidRPr="006767C5">
        <w:rPr>
          <w:rFonts w:ascii="Open Sans" w:hAnsi="Open Sans" w:cs="Open Sans"/>
          <w:sz w:val="20"/>
          <w:szCs w:val="20"/>
        </w:rPr>
        <w:t xml:space="preserve"> wood fuel products. Similarly, the introduction of maintenance standards, is </w:t>
      </w:r>
      <w:r w:rsidR="0069312B" w:rsidRPr="006767C5">
        <w:rPr>
          <w:rFonts w:ascii="Open Sans" w:hAnsi="Open Sans" w:cs="Open Sans"/>
          <w:sz w:val="20"/>
          <w:szCs w:val="20"/>
        </w:rPr>
        <w:t>equally as</w:t>
      </w:r>
      <w:r w:rsidR="00EB1770" w:rsidRPr="006767C5">
        <w:rPr>
          <w:rFonts w:ascii="Open Sans" w:hAnsi="Open Sans" w:cs="Open Sans"/>
          <w:sz w:val="20"/>
          <w:szCs w:val="20"/>
        </w:rPr>
        <w:t xml:space="preserve"> welcome </w:t>
      </w:r>
      <w:r w:rsidR="0069312B" w:rsidRPr="006767C5">
        <w:rPr>
          <w:rFonts w:ascii="Open Sans" w:hAnsi="Open Sans" w:cs="Open Sans"/>
          <w:sz w:val="20"/>
          <w:szCs w:val="20"/>
        </w:rPr>
        <w:t>and something the</w:t>
      </w:r>
      <w:r w:rsidR="00EB1770" w:rsidRPr="006767C5">
        <w:rPr>
          <w:rFonts w:ascii="Open Sans" w:hAnsi="Open Sans" w:cs="Open Sans"/>
          <w:sz w:val="20"/>
          <w:szCs w:val="20"/>
        </w:rPr>
        <w:t xml:space="preserve"> biomass heat industry has</w:t>
      </w:r>
      <w:r w:rsidR="0069312B" w:rsidRPr="006767C5">
        <w:rPr>
          <w:rFonts w:ascii="Open Sans" w:hAnsi="Open Sans" w:cs="Open Sans"/>
          <w:sz w:val="20"/>
          <w:szCs w:val="20"/>
        </w:rPr>
        <w:t>, for a long time, been calling for</w:t>
      </w:r>
      <w:r w:rsidR="00EB1770" w:rsidRPr="006767C5">
        <w:rPr>
          <w:rFonts w:ascii="Open Sans" w:hAnsi="Open Sans" w:cs="Open Sans"/>
          <w:sz w:val="20"/>
          <w:szCs w:val="20"/>
        </w:rPr>
        <w:t>.</w:t>
      </w:r>
    </w:p>
    <w:p w14:paraId="44763775" w14:textId="49E6F797" w:rsidR="000C652B" w:rsidRPr="006767C5" w:rsidRDefault="00EB1770" w:rsidP="000C652B">
      <w:pPr>
        <w:rPr>
          <w:rFonts w:ascii="Open Sans" w:hAnsi="Open Sans" w:cs="Open Sans"/>
          <w:sz w:val="20"/>
          <w:szCs w:val="20"/>
          <w:lang w:val="en-US"/>
        </w:rPr>
      </w:pPr>
      <w:r w:rsidRPr="006767C5">
        <w:rPr>
          <w:rFonts w:ascii="Open Sans" w:hAnsi="Open Sans" w:cs="Open Sans"/>
          <w:sz w:val="20"/>
          <w:szCs w:val="20"/>
          <w:lang w:val="en-US"/>
        </w:rPr>
        <w:t xml:space="preserve">However, </w:t>
      </w:r>
      <w:r w:rsidR="0069312B" w:rsidRPr="006767C5">
        <w:rPr>
          <w:rFonts w:ascii="Open Sans" w:hAnsi="Open Sans" w:cs="Open Sans"/>
          <w:sz w:val="20"/>
          <w:szCs w:val="20"/>
          <w:lang w:val="en-US"/>
        </w:rPr>
        <w:t xml:space="preserve">future biomass heat policy </w:t>
      </w:r>
      <w:r w:rsidR="00DD2E81" w:rsidRPr="006767C5">
        <w:rPr>
          <w:rFonts w:ascii="Open Sans" w:hAnsi="Open Sans" w:cs="Open Sans"/>
          <w:sz w:val="20"/>
          <w:szCs w:val="20"/>
          <w:lang w:val="en-US"/>
        </w:rPr>
        <w:t>should</w:t>
      </w:r>
      <w:r w:rsidR="0069312B" w:rsidRPr="006767C5">
        <w:rPr>
          <w:rFonts w:ascii="Open Sans" w:hAnsi="Open Sans" w:cs="Open Sans"/>
          <w:sz w:val="20"/>
          <w:szCs w:val="20"/>
          <w:lang w:val="en-US"/>
        </w:rPr>
        <w:t xml:space="preserve"> fully commit to learning the </w:t>
      </w:r>
      <w:r w:rsidRPr="006767C5">
        <w:rPr>
          <w:rFonts w:ascii="Open Sans" w:hAnsi="Open Sans" w:cs="Open Sans"/>
          <w:sz w:val="20"/>
          <w:szCs w:val="20"/>
          <w:lang w:val="en-US"/>
        </w:rPr>
        <w:t xml:space="preserve">lessons </w:t>
      </w:r>
      <w:r w:rsidR="00DD2E81" w:rsidRPr="006767C5">
        <w:rPr>
          <w:rFonts w:ascii="Open Sans" w:hAnsi="Open Sans" w:cs="Open Sans"/>
          <w:sz w:val="20"/>
          <w:szCs w:val="20"/>
          <w:lang w:val="en-US"/>
        </w:rPr>
        <w:t>on standards</w:t>
      </w:r>
      <w:r w:rsidR="0069312B" w:rsidRPr="006767C5">
        <w:rPr>
          <w:rFonts w:ascii="Open Sans" w:hAnsi="Open Sans" w:cs="Open Sans"/>
          <w:sz w:val="20"/>
          <w:szCs w:val="20"/>
          <w:lang w:val="en-US"/>
        </w:rPr>
        <w:t xml:space="preserve"> experienced during the </w:t>
      </w:r>
      <w:r w:rsidRPr="006767C5">
        <w:rPr>
          <w:rFonts w:ascii="Open Sans" w:hAnsi="Open Sans" w:cs="Open Sans"/>
          <w:sz w:val="20"/>
          <w:szCs w:val="20"/>
          <w:lang w:val="en-US"/>
        </w:rPr>
        <w:t>RHI.  The Wood Heat Forum of the</w:t>
      </w:r>
      <w:r w:rsidR="000C652B" w:rsidRPr="006767C5">
        <w:rPr>
          <w:rFonts w:ascii="Open Sans" w:hAnsi="Open Sans" w:cs="Open Sans"/>
          <w:sz w:val="20"/>
          <w:szCs w:val="20"/>
          <w:lang w:val="en-US"/>
        </w:rPr>
        <w:t xml:space="preserve"> REA have</w:t>
      </w:r>
      <w:r w:rsidRPr="006767C5">
        <w:rPr>
          <w:rFonts w:ascii="Open Sans" w:hAnsi="Open Sans" w:cs="Open Sans"/>
          <w:sz w:val="20"/>
          <w:szCs w:val="20"/>
          <w:lang w:val="en-US"/>
        </w:rPr>
        <w:t xml:space="preserve"> previously</w:t>
      </w:r>
      <w:r w:rsidR="000C652B" w:rsidRPr="006767C5">
        <w:rPr>
          <w:rFonts w:ascii="Open Sans" w:hAnsi="Open Sans" w:cs="Open Sans"/>
          <w:sz w:val="20"/>
          <w:szCs w:val="20"/>
          <w:lang w:val="en-US"/>
        </w:rPr>
        <w:t xml:space="preserve"> recommended adopt</w:t>
      </w:r>
      <w:r w:rsidRPr="006767C5">
        <w:rPr>
          <w:rFonts w:ascii="Open Sans" w:hAnsi="Open Sans" w:cs="Open Sans"/>
          <w:sz w:val="20"/>
          <w:szCs w:val="20"/>
          <w:lang w:val="en-US"/>
        </w:rPr>
        <w:t xml:space="preserve">ion of </w:t>
      </w:r>
      <w:r w:rsidR="000C652B" w:rsidRPr="006767C5">
        <w:rPr>
          <w:rFonts w:ascii="Open Sans" w:hAnsi="Open Sans" w:cs="Open Sans"/>
          <w:sz w:val="20"/>
          <w:szCs w:val="20"/>
          <w:lang w:val="en-US"/>
        </w:rPr>
        <w:t xml:space="preserve">a Biomass Quality Management scheme for the UK. This would regulate system efficiency and emissions of non-domestic installations, mandating high-quality installations operated correctly on the right fuel.  Such a scheme could be modelled on the QM </w:t>
      </w:r>
      <w:proofErr w:type="spellStart"/>
      <w:r w:rsidR="000C652B" w:rsidRPr="006767C5">
        <w:rPr>
          <w:rFonts w:ascii="Open Sans" w:hAnsi="Open Sans" w:cs="Open Sans"/>
          <w:sz w:val="20"/>
          <w:szCs w:val="20"/>
          <w:lang w:val="en-US"/>
        </w:rPr>
        <w:t>Holzheizwerke</w:t>
      </w:r>
      <w:proofErr w:type="spellEnd"/>
      <w:r w:rsidR="000C652B" w:rsidRPr="006767C5">
        <w:rPr>
          <w:rFonts w:ascii="Open Sans" w:hAnsi="Open Sans" w:cs="Open Sans"/>
          <w:sz w:val="20"/>
          <w:szCs w:val="20"/>
          <w:lang w:val="en-US"/>
        </w:rPr>
        <w:t xml:space="preserve"> </w:t>
      </w:r>
      <w:r w:rsidR="002D56B3" w:rsidRPr="006767C5">
        <w:rPr>
          <w:rFonts w:ascii="Open Sans" w:hAnsi="Open Sans" w:cs="Open Sans"/>
          <w:sz w:val="20"/>
          <w:szCs w:val="20"/>
          <w:lang w:val="en-US"/>
        </w:rPr>
        <w:t>program</w:t>
      </w:r>
      <w:r w:rsidR="0069312B" w:rsidRPr="006767C5">
        <w:rPr>
          <w:rStyle w:val="FootnoteReference"/>
          <w:rFonts w:ascii="Open Sans" w:hAnsi="Open Sans" w:cs="Open Sans"/>
          <w:sz w:val="20"/>
          <w:szCs w:val="20"/>
          <w:lang w:val="en-US"/>
        </w:rPr>
        <w:footnoteReference w:id="60"/>
      </w:r>
      <w:r w:rsidR="000C652B" w:rsidRPr="006767C5">
        <w:rPr>
          <w:rFonts w:ascii="Open Sans" w:hAnsi="Open Sans" w:cs="Open Sans"/>
          <w:sz w:val="20"/>
          <w:szCs w:val="20"/>
          <w:lang w:val="en-US"/>
        </w:rPr>
        <w:t xml:space="preserve">, a joint </w:t>
      </w:r>
      <w:proofErr w:type="gramStart"/>
      <w:r w:rsidR="000C652B" w:rsidRPr="006767C5">
        <w:rPr>
          <w:rFonts w:ascii="Open Sans" w:hAnsi="Open Sans" w:cs="Open Sans"/>
          <w:sz w:val="20"/>
          <w:szCs w:val="20"/>
          <w:lang w:val="en-US"/>
        </w:rPr>
        <w:t>Swiss-Austrian</w:t>
      </w:r>
      <w:proofErr w:type="gramEnd"/>
      <w:r w:rsidR="000C652B" w:rsidRPr="006767C5">
        <w:rPr>
          <w:rFonts w:ascii="Open Sans" w:hAnsi="Open Sans" w:cs="Open Sans"/>
          <w:sz w:val="20"/>
          <w:szCs w:val="20"/>
          <w:lang w:val="en-US"/>
        </w:rPr>
        <w:t xml:space="preserve">-German initiative which was first implemented in Switzerland in 2000. QM </w:t>
      </w:r>
      <w:proofErr w:type="spellStart"/>
      <w:r w:rsidR="000C652B" w:rsidRPr="006767C5">
        <w:rPr>
          <w:rFonts w:ascii="Open Sans" w:hAnsi="Open Sans" w:cs="Open Sans"/>
          <w:sz w:val="20"/>
          <w:szCs w:val="20"/>
          <w:lang w:val="en-US"/>
        </w:rPr>
        <w:t>Holz</w:t>
      </w:r>
      <w:proofErr w:type="spellEnd"/>
      <w:r w:rsidR="000C652B" w:rsidRPr="006767C5">
        <w:rPr>
          <w:rFonts w:ascii="Open Sans" w:hAnsi="Open Sans" w:cs="Open Sans"/>
          <w:sz w:val="20"/>
          <w:szCs w:val="20"/>
          <w:lang w:val="en-US"/>
        </w:rPr>
        <w:t xml:space="preserve"> covers the entire process of designing, procuring, </w:t>
      </w:r>
      <w:proofErr w:type="gramStart"/>
      <w:r w:rsidR="000C652B" w:rsidRPr="006767C5">
        <w:rPr>
          <w:rFonts w:ascii="Open Sans" w:hAnsi="Open Sans" w:cs="Open Sans"/>
          <w:sz w:val="20"/>
          <w:szCs w:val="20"/>
          <w:lang w:val="en-US"/>
        </w:rPr>
        <w:t>installing</w:t>
      </w:r>
      <w:proofErr w:type="gramEnd"/>
      <w:r w:rsidR="000C652B" w:rsidRPr="006767C5">
        <w:rPr>
          <w:rFonts w:ascii="Open Sans" w:hAnsi="Open Sans" w:cs="Open Sans"/>
          <w:sz w:val="20"/>
          <w:szCs w:val="20"/>
          <w:lang w:val="en-US"/>
        </w:rPr>
        <w:t xml:space="preserve"> and setting to work a biomass heating system, from initial brief to end of life and disposal. It has been extremely successful in raising performance (and thereby reducing emissions) across the biomass sectors in Switzerland, </w:t>
      </w:r>
      <w:proofErr w:type="gramStart"/>
      <w:r w:rsidR="000C652B" w:rsidRPr="006767C5">
        <w:rPr>
          <w:rFonts w:ascii="Open Sans" w:hAnsi="Open Sans" w:cs="Open Sans"/>
          <w:sz w:val="20"/>
          <w:szCs w:val="20"/>
          <w:lang w:val="en-US"/>
        </w:rPr>
        <w:t>Austria</w:t>
      </w:r>
      <w:proofErr w:type="gramEnd"/>
      <w:r w:rsidR="000C652B" w:rsidRPr="006767C5">
        <w:rPr>
          <w:rFonts w:ascii="Open Sans" w:hAnsi="Open Sans" w:cs="Open Sans"/>
          <w:sz w:val="20"/>
          <w:szCs w:val="20"/>
          <w:lang w:val="en-US"/>
        </w:rPr>
        <w:t xml:space="preserve"> and Germany by providing clarity of responsibilities across the supply chain and measurable minimum standards. Using and being measured against QM </w:t>
      </w:r>
      <w:proofErr w:type="spellStart"/>
      <w:r w:rsidR="000C652B" w:rsidRPr="006767C5">
        <w:rPr>
          <w:rFonts w:ascii="Open Sans" w:hAnsi="Open Sans" w:cs="Open Sans"/>
          <w:sz w:val="20"/>
          <w:szCs w:val="20"/>
          <w:lang w:val="en-US"/>
        </w:rPr>
        <w:t>Holz</w:t>
      </w:r>
      <w:proofErr w:type="spellEnd"/>
      <w:r w:rsidR="000C652B" w:rsidRPr="006767C5">
        <w:rPr>
          <w:rFonts w:ascii="Open Sans" w:hAnsi="Open Sans" w:cs="Open Sans"/>
          <w:sz w:val="20"/>
          <w:szCs w:val="20"/>
          <w:lang w:val="en-US"/>
        </w:rPr>
        <w:t xml:space="preserve"> is a requirement for the receipt of public investment in a biomass plant in most Swiss Cantons and in some regions of Austria and Germany. </w:t>
      </w:r>
    </w:p>
    <w:p w14:paraId="7DFAEF4A" w14:textId="26BDD606" w:rsidR="00905646" w:rsidRPr="006767C5" w:rsidRDefault="002D56B3" w:rsidP="00905646">
      <w:pPr>
        <w:spacing w:before="120" w:after="120"/>
        <w:rPr>
          <w:rFonts w:ascii="Open Sans" w:hAnsi="Open Sans" w:cs="Open Sans"/>
          <w:sz w:val="20"/>
          <w:szCs w:val="20"/>
        </w:rPr>
      </w:pPr>
      <w:r w:rsidRPr="006767C5">
        <w:rPr>
          <w:rFonts w:ascii="Open Sans" w:hAnsi="Open Sans" w:cs="Open Sans"/>
          <w:sz w:val="20"/>
          <w:szCs w:val="20"/>
          <w:lang w:val="en-US"/>
        </w:rPr>
        <w:t xml:space="preserve">Given the above, and the opportunity to continue to improve standards, it remains concerning that recent BEIS consultations continue to propose restrictions to the use of biomass boilers in urban or on-gas grid areas. This is largely due to a conflation of </w:t>
      </w:r>
      <w:r w:rsidR="00905646" w:rsidRPr="006767C5">
        <w:rPr>
          <w:rFonts w:ascii="Open Sans" w:hAnsi="Open Sans" w:cs="Open Sans"/>
          <w:sz w:val="20"/>
          <w:szCs w:val="20"/>
          <w:lang w:val="en-US"/>
        </w:rPr>
        <w:t>b</w:t>
      </w:r>
      <w:r w:rsidRPr="006767C5">
        <w:rPr>
          <w:rFonts w:ascii="Open Sans" w:hAnsi="Open Sans" w:cs="Open Sans"/>
          <w:sz w:val="20"/>
          <w:szCs w:val="20"/>
          <w:lang w:val="en-US"/>
        </w:rPr>
        <w:t>iomass boiler emission</w:t>
      </w:r>
      <w:r w:rsidR="00DD2E81" w:rsidRPr="006767C5">
        <w:rPr>
          <w:rFonts w:ascii="Open Sans" w:hAnsi="Open Sans" w:cs="Open Sans"/>
          <w:sz w:val="20"/>
          <w:szCs w:val="20"/>
          <w:lang w:val="en-US"/>
        </w:rPr>
        <w:t>s</w:t>
      </w:r>
      <w:r w:rsidRPr="006767C5">
        <w:rPr>
          <w:rFonts w:ascii="Open Sans" w:hAnsi="Open Sans" w:cs="Open Sans"/>
          <w:sz w:val="20"/>
          <w:szCs w:val="20"/>
          <w:lang w:val="en-US"/>
        </w:rPr>
        <w:t xml:space="preserve"> with o</w:t>
      </w:r>
      <w:r w:rsidR="00905646" w:rsidRPr="006767C5">
        <w:rPr>
          <w:rFonts w:ascii="Open Sans" w:hAnsi="Open Sans" w:cs="Open Sans"/>
          <w:sz w:val="20"/>
          <w:szCs w:val="20"/>
          <w:lang w:val="en-US"/>
        </w:rPr>
        <w:t>th</w:t>
      </w:r>
      <w:r w:rsidRPr="006767C5">
        <w:rPr>
          <w:rFonts w:ascii="Open Sans" w:hAnsi="Open Sans" w:cs="Open Sans"/>
          <w:sz w:val="20"/>
          <w:szCs w:val="20"/>
          <w:lang w:val="en-US"/>
        </w:rPr>
        <w:t>er worse biomass heat applications</w:t>
      </w:r>
      <w:r w:rsidR="00905646" w:rsidRPr="006767C5">
        <w:rPr>
          <w:rFonts w:ascii="Open Sans" w:hAnsi="Open Sans" w:cs="Open Sans"/>
          <w:sz w:val="20"/>
          <w:szCs w:val="20"/>
          <w:lang w:val="en-US"/>
        </w:rPr>
        <w:t xml:space="preserve">. </w:t>
      </w:r>
      <w:r w:rsidR="00BA2E70" w:rsidRPr="006767C5">
        <w:rPr>
          <w:rFonts w:ascii="Open Sans" w:hAnsi="Open Sans" w:cs="Open Sans"/>
          <w:sz w:val="20"/>
          <w:szCs w:val="20"/>
          <w:lang w:val="en-US"/>
        </w:rPr>
        <w:t xml:space="preserve">Excluding </w:t>
      </w:r>
      <w:r w:rsidR="00905646" w:rsidRPr="006767C5">
        <w:rPr>
          <w:rFonts w:ascii="Open Sans" w:hAnsi="Open Sans" w:cs="Open Sans"/>
          <w:sz w:val="20"/>
          <w:szCs w:val="20"/>
        </w:rPr>
        <w:t>background concentrations, peak emissions from domestic fireplaces and non-Defra Exempt stoves (commonly used as secondary heating for aesthetic reasons as well as comfort) are thought to contribute up to 31% of the concentrations in air of PM</w:t>
      </w:r>
      <w:r w:rsidR="00905646" w:rsidRPr="006767C5">
        <w:rPr>
          <w:rFonts w:ascii="Open Sans" w:hAnsi="Open Sans" w:cs="Open Sans"/>
          <w:sz w:val="20"/>
          <w:szCs w:val="20"/>
          <w:vertAlign w:val="subscript"/>
        </w:rPr>
        <w:t>2.5</w:t>
      </w:r>
      <w:r w:rsidR="00905646" w:rsidRPr="006767C5">
        <w:rPr>
          <w:rFonts w:ascii="Open Sans" w:hAnsi="Open Sans" w:cs="Open Sans"/>
          <w:sz w:val="20"/>
          <w:szCs w:val="20"/>
        </w:rPr>
        <w:t>, particulate matter harmful to health.</w:t>
      </w:r>
      <w:r w:rsidR="00905646" w:rsidRPr="006767C5">
        <w:rPr>
          <w:rStyle w:val="FootnoteReference"/>
          <w:rFonts w:ascii="Open Sans" w:hAnsi="Open Sans" w:cs="Open Sans"/>
          <w:sz w:val="20"/>
          <w:szCs w:val="20"/>
        </w:rPr>
        <w:footnoteReference w:id="61"/>
      </w:r>
      <w:r w:rsidR="00905646" w:rsidRPr="006767C5">
        <w:rPr>
          <w:rFonts w:ascii="Open Sans" w:hAnsi="Open Sans" w:cs="Open Sans"/>
          <w:sz w:val="20"/>
          <w:szCs w:val="20"/>
        </w:rPr>
        <w:t xml:space="preserve"> These forms of heating are meant to be regulated by Clean Air Zones and DEFRA Exemptions, both of which are currently poorly enforced with low awareness about the legal requirements amongst both suppliers and users. Emissions from wood-fuelled biomass- boilers, by comparison, are far smaller and controllable using high-performance filters and regulated standards, as discussed here. </w:t>
      </w:r>
    </w:p>
    <w:p w14:paraId="75976571" w14:textId="2C6A43B4" w:rsidR="002D56B3" w:rsidRPr="006767C5" w:rsidRDefault="002D56B3" w:rsidP="002D56B3">
      <w:pPr>
        <w:rPr>
          <w:rFonts w:ascii="Open Sans" w:hAnsi="Open Sans" w:cs="Open Sans"/>
          <w:sz w:val="20"/>
          <w:szCs w:val="20"/>
        </w:rPr>
      </w:pPr>
      <w:r w:rsidRPr="006767C5">
        <w:rPr>
          <w:rFonts w:ascii="Open Sans" w:hAnsi="Open Sans" w:cs="Open Sans"/>
          <w:sz w:val="20"/>
          <w:szCs w:val="20"/>
        </w:rPr>
        <w:t xml:space="preserve">It should also be noted that </w:t>
      </w:r>
      <w:r w:rsidR="00905646" w:rsidRPr="006767C5">
        <w:rPr>
          <w:rFonts w:ascii="Open Sans" w:hAnsi="Open Sans" w:cs="Open Sans"/>
          <w:sz w:val="20"/>
          <w:szCs w:val="20"/>
        </w:rPr>
        <w:t>b</w:t>
      </w:r>
      <w:r w:rsidRPr="006767C5">
        <w:rPr>
          <w:rFonts w:ascii="Open Sans" w:hAnsi="Open Sans" w:cs="Open Sans"/>
          <w:sz w:val="20"/>
          <w:szCs w:val="20"/>
        </w:rPr>
        <w:t>iomass boilers, due to its ability to meet higher and varying heat loads, ha</w:t>
      </w:r>
      <w:r w:rsidR="00DD2E81" w:rsidRPr="006767C5">
        <w:rPr>
          <w:rFonts w:ascii="Open Sans" w:hAnsi="Open Sans" w:cs="Open Sans"/>
          <w:sz w:val="20"/>
          <w:szCs w:val="20"/>
        </w:rPr>
        <w:t>ve</w:t>
      </w:r>
      <w:r w:rsidRPr="006767C5">
        <w:rPr>
          <w:rFonts w:ascii="Open Sans" w:hAnsi="Open Sans" w:cs="Open Sans"/>
          <w:sz w:val="20"/>
          <w:szCs w:val="20"/>
        </w:rPr>
        <w:t xml:space="preserve"> a particularly strong role to play in commercial applications, including public sector buildings such as hospitals, schools, public swimming pools, council offices and innovation in district heating schemes. The RHI has also demonstrated that biomass provides</w:t>
      </w:r>
      <w:r w:rsidR="00BA2E70" w:rsidRPr="006767C5">
        <w:rPr>
          <w:rFonts w:ascii="Open Sans" w:hAnsi="Open Sans" w:cs="Open Sans"/>
          <w:sz w:val="20"/>
          <w:szCs w:val="20"/>
        </w:rPr>
        <w:t xml:space="preserve"> one of the</w:t>
      </w:r>
      <w:r w:rsidRPr="006767C5">
        <w:rPr>
          <w:rFonts w:ascii="Open Sans" w:hAnsi="Open Sans" w:cs="Open Sans"/>
          <w:sz w:val="20"/>
          <w:szCs w:val="20"/>
        </w:rPr>
        <w:t xml:space="preserve"> best </w:t>
      </w:r>
      <w:r w:rsidR="00BA2E70" w:rsidRPr="006767C5">
        <w:rPr>
          <w:rFonts w:ascii="Open Sans" w:hAnsi="Open Sans" w:cs="Open Sans"/>
          <w:sz w:val="20"/>
          <w:szCs w:val="20"/>
        </w:rPr>
        <w:t>values</w:t>
      </w:r>
      <w:r w:rsidRPr="006767C5">
        <w:rPr>
          <w:rFonts w:ascii="Open Sans" w:hAnsi="Open Sans" w:cs="Open Sans"/>
          <w:sz w:val="20"/>
          <w:szCs w:val="20"/>
        </w:rPr>
        <w:t xml:space="preserve"> for money of any technology at these scales</w:t>
      </w:r>
      <w:r w:rsidR="00BA2E70" w:rsidRPr="006767C5">
        <w:rPr>
          <w:rFonts w:ascii="Open Sans" w:hAnsi="Open Sans" w:cs="Open Sans"/>
          <w:sz w:val="20"/>
          <w:szCs w:val="20"/>
        </w:rPr>
        <w:t xml:space="preserve"> covered by the scheme</w:t>
      </w:r>
      <w:r w:rsidRPr="006767C5">
        <w:rPr>
          <w:rFonts w:ascii="Open Sans" w:hAnsi="Open Sans" w:cs="Open Sans"/>
          <w:sz w:val="20"/>
          <w:szCs w:val="20"/>
        </w:rPr>
        <w:t>, averaging £46</w:t>
      </w:r>
      <w:r w:rsidR="00EE14E3" w:rsidRPr="006767C5">
        <w:rPr>
          <w:rFonts w:ascii="Open Sans" w:hAnsi="Open Sans" w:cs="Open Sans"/>
          <w:sz w:val="20"/>
          <w:szCs w:val="20"/>
        </w:rPr>
        <w:t>0</w:t>
      </w:r>
      <w:r w:rsidRPr="006767C5">
        <w:rPr>
          <w:rFonts w:ascii="Open Sans" w:hAnsi="Open Sans" w:cs="Open Sans"/>
          <w:sz w:val="20"/>
          <w:szCs w:val="20"/>
        </w:rPr>
        <w:t>/ kW across the range of biomass tariffs in the Non-Domestic RHI - half that of any other technology.</w:t>
      </w:r>
      <w:r w:rsidR="00EE14E3" w:rsidRPr="006767C5">
        <w:rPr>
          <w:rStyle w:val="FootnoteReference"/>
          <w:rFonts w:ascii="Open Sans" w:hAnsi="Open Sans" w:cs="Open Sans"/>
          <w:sz w:val="20"/>
          <w:szCs w:val="20"/>
        </w:rPr>
        <w:footnoteReference w:id="62"/>
      </w:r>
      <w:r w:rsidRPr="006767C5">
        <w:rPr>
          <w:rFonts w:ascii="Open Sans" w:hAnsi="Open Sans" w:cs="Open Sans"/>
          <w:sz w:val="20"/>
          <w:szCs w:val="20"/>
        </w:rPr>
        <w:t xml:space="preserve">  Such buildings are, however, commonly located within on-gas grid areas. </w:t>
      </w:r>
    </w:p>
    <w:p w14:paraId="5C35C00B" w14:textId="2080F0B6" w:rsidR="002D56B3" w:rsidRPr="006767C5" w:rsidRDefault="002D56B3" w:rsidP="002D56B3">
      <w:pPr>
        <w:rPr>
          <w:rFonts w:ascii="Open Sans" w:hAnsi="Open Sans" w:cs="Open Sans"/>
          <w:sz w:val="20"/>
          <w:szCs w:val="20"/>
        </w:rPr>
      </w:pPr>
      <w:r w:rsidRPr="006767C5">
        <w:rPr>
          <w:rFonts w:ascii="Open Sans" w:hAnsi="Open Sans" w:cs="Open Sans"/>
          <w:sz w:val="20"/>
          <w:szCs w:val="20"/>
        </w:rPr>
        <w:t xml:space="preserve">The proposed urban restrictions ignore the results that can be achieved from deploying Best Available Techniques (BAT), adopts an approach seen nowhere else in the world and sets a dangerous and difficult-to-reverse precedent which will further obstruct the deployment of renewable heat.  Ultimately this will make the full decarbonisation of the UK heat requirements more expensive, whilst not addressing the primary causes of emissions. Biomass heat policy would be better suited to focusing on </w:t>
      </w:r>
      <w:r w:rsidR="00905646" w:rsidRPr="006767C5">
        <w:rPr>
          <w:rFonts w:ascii="Open Sans" w:hAnsi="Open Sans" w:cs="Open Sans"/>
          <w:sz w:val="20"/>
          <w:szCs w:val="20"/>
        </w:rPr>
        <w:t>the regulation of</w:t>
      </w:r>
      <w:r w:rsidRPr="006767C5">
        <w:rPr>
          <w:rFonts w:ascii="Open Sans" w:hAnsi="Open Sans" w:cs="Open Sans"/>
          <w:sz w:val="20"/>
          <w:szCs w:val="20"/>
        </w:rPr>
        <w:t xml:space="preserve"> </w:t>
      </w:r>
      <w:r w:rsidR="00905646" w:rsidRPr="006767C5">
        <w:rPr>
          <w:rFonts w:ascii="Open Sans" w:hAnsi="Open Sans" w:cs="Open Sans"/>
          <w:sz w:val="20"/>
          <w:szCs w:val="20"/>
        </w:rPr>
        <w:t>high-quality</w:t>
      </w:r>
      <w:r w:rsidRPr="006767C5">
        <w:rPr>
          <w:rFonts w:ascii="Open Sans" w:hAnsi="Open Sans" w:cs="Open Sans"/>
          <w:sz w:val="20"/>
          <w:szCs w:val="20"/>
        </w:rPr>
        <w:t xml:space="preserve"> installation</w:t>
      </w:r>
      <w:r w:rsidR="00905646" w:rsidRPr="006767C5">
        <w:rPr>
          <w:rFonts w:ascii="Open Sans" w:hAnsi="Open Sans" w:cs="Open Sans"/>
          <w:sz w:val="20"/>
          <w:szCs w:val="20"/>
        </w:rPr>
        <w:t>s</w:t>
      </w:r>
      <w:r w:rsidRPr="006767C5">
        <w:rPr>
          <w:rFonts w:ascii="Open Sans" w:hAnsi="Open Sans" w:cs="Open Sans"/>
          <w:sz w:val="20"/>
          <w:szCs w:val="20"/>
        </w:rPr>
        <w:t xml:space="preserve">, </w:t>
      </w:r>
      <w:r w:rsidR="00EE14E3" w:rsidRPr="006767C5">
        <w:rPr>
          <w:rFonts w:ascii="Open Sans" w:hAnsi="Open Sans" w:cs="Open Sans"/>
          <w:sz w:val="20"/>
          <w:szCs w:val="20"/>
        </w:rPr>
        <w:t>maintenance,</w:t>
      </w:r>
      <w:r w:rsidRPr="006767C5">
        <w:rPr>
          <w:rFonts w:ascii="Open Sans" w:hAnsi="Open Sans" w:cs="Open Sans"/>
          <w:sz w:val="20"/>
          <w:szCs w:val="20"/>
        </w:rPr>
        <w:t xml:space="preserve"> and fuel standards, rather </w:t>
      </w:r>
      <w:r w:rsidR="00905646" w:rsidRPr="006767C5">
        <w:rPr>
          <w:rFonts w:ascii="Open Sans" w:hAnsi="Open Sans" w:cs="Open Sans"/>
          <w:sz w:val="20"/>
          <w:szCs w:val="20"/>
        </w:rPr>
        <w:t>than</w:t>
      </w:r>
      <w:r w:rsidRPr="006767C5">
        <w:rPr>
          <w:rFonts w:ascii="Open Sans" w:hAnsi="Open Sans" w:cs="Open Sans"/>
          <w:sz w:val="20"/>
          <w:szCs w:val="20"/>
        </w:rPr>
        <w:t xml:space="preserve"> restriction on where </w:t>
      </w:r>
      <w:r w:rsidR="00905646" w:rsidRPr="006767C5">
        <w:rPr>
          <w:rFonts w:ascii="Open Sans" w:hAnsi="Open Sans" w:cs="Open Sans"/>
          <w:sz w:val="20"/>
          <w:szCs w:val="20"/>
        </w:rPr>
        <w:t xml:space="preserve">biomass </w:t>
      </w:r>
      <w:r w:rsidRPr="006767C5">
        <w:rPr>
          <w:rFonts w:ascii="Open Sans" w:hAnsi="Open Sans" w:cs="Open Sans"/>
          <w:sz w:val="20"/>
          <w:szCs w:val="20"/>
        </w:rPr>
        <w:t xml:space="preserve">can be used. </w:t>
      </w:r>
    </w:p>
    <w:p w14:paraId="0E2FCA6C" w14:textId="3C8C084F" w:rsidR="002D56B3" w:rsidRPr="006767C5" w:rsidRDefault="00EE14E3" w:rsidP="000C652B">
      <w:pPr>
        <w:rPr>
          <w:rFonts w:ascii="Open Sans" w:hAnsi="Open Sans" w:cs="Open Sans"/>
          <w:b/>
          <w:bCs/>
          <w:i/>
          <w:iCs/>
          <w:sz w:val="20"/>
          <w:szCs w:val="20"/>
          <w:lang w:val="en-US"/>
        </w:rPr>
      </w:pPr>
      <w:r w:rsidRPr="006767C5">
        <w:rPr>
          <w:rFonts w:ascii="Open Sans" w:hAnsi="Open Sans" w:cs="Open Sans"/>
          <w:b/>
          <w:bCs/>
          <w:i/>
          <w:iCs/>
          <w:sz w:val="20"/>
          <w:szCs w:val="20"/>
          <w:lang w:val="en-US"/>
        </w:rPr>
        <w:t xml:space="preserve">Biofuels used in </w:t>
      </w:r>
      <w:r w:rsidR="00937EB9" w:rsidRPr="006767C5">
        <w:rPr>
          <w:rFonts w:ascii="Open Sans" w:hAnsi="Open Sans" w:cs="Open Sans"/>
          <w:b/>
          <w:bCs/>
          <w:i/>
          <w:iCs/>
          <w:sz w:val="20"/>
          <w:szCs w:val="20"/>
          <w:lang w:val="en-US"/>
        </w:rPr>
        <w:t>t</w:t>
      </w:r>
      <w:r w:rsidRPr="006767C5">
        <w:rPr>
          <w:rFonts w:ascii="Open Sans" w:hAnsi="Open Sans" w:cs="Open Sans"/>
          <w:b/>
          <w:bCs/>
          <w:i/>
          <w:iCs/>
          <w:sz w:val="20"/>
          <w:szCs w:val="20"/>
          <w:lang w:val="en-US"/>
        </w:rPr>
        <w:t xml:space="preserve">ransport </w:t>
      </w:r>
      <w:r w:rsidR="00937EB9" w:rsidRPr="006767C5">
        <w:rPr>
          <w:rFonts w:ascii="Open Sans" w:hAnsi="Open Sans" w:cs="Open Sans"/>
          <w:b/>
          <w:bCs/>
          <w:i/>
          <w:iCs/>
          <w:sz w:val="20"/>
          <w:szCs w:val="20"/>
          <w:lang w:val="en-US"/>
        </w:rPr>
        <w:t>deliver</w:t>
      </w:r>
      <w:r w:rsidRPr="006767C5">
        <w:rPr>
          <w:rFonts w:ascii="Open Sans" w:hAnsi="Open Sans" w:cs="Open Sans"/>
          <w:b/>
          <w:bCs/>
          <w:i/>
          <w:iCs/>
          <w:sz w:val="20"/>
          <w:szCs w:val="20"/>
          <w:lang w:val="en-US"/>
        </w:rPr>
        <w:t xml:space="preserve"> </w:t>
      </w:r>
      <w:r w:rsidR="00937EB9" w:rsidRPr="006767C5">
        <w:rPr>
          <w:rFonts w:ascii="Open Sans" w:hAnsi="Open Sans" w:cs="Open Sans"/>
          <w:b/>
          <w:bCs/>
          <w:i/>
          <w:iCs/>
          <w:sz w:val="20"/>
          <w:szCs w:val="20"/>
          <w:lang w:val="en-US"/>
        </w:rPr>
        <w:t>a</w:t>
      </w:r>
      <w:r w:rsidRPr="006767C5">
        <w:rPr>
          <w:rFonts w:ascii="Open Sans" w:hAnsi="Open Sans" w:cs="Open Sans"/>
          <w:b/>
          <w:bCs/>
          <w:i/>
          <w:iCs/>
          <w:sz w:val="20"/>
          <w:szCs w:val="20"/>
          <w:lang w:val="en-US"/>
        </w:rPr>
        <w:t xml:space="preserve">ir </w:t>
      </w:r>
      <w:r w:rsidR="00937EB9" w:rsidRPr="006767C5">
        <w:rPr>
          <w:rFonts w:ascii="Open Sans" w:hAnsi="Open Sans" w:cs="Open Sans"/>
          <w:b/>
          <w:bCs/>
          <w:i/>
          <w:iCs/>
          <w:sz w:val="20"/>
          <w:szCs w:val="20"/>
          <w:lang w:val="en-US"/>
        </w:rPr>
        <w:t>q</w:t>
      </w:r>
      <w:r w:rsidRPr="006767C5">
        <w:rPr>
          <w:rFonts w:ascii="Open Sans" w:hAnsi="Open Sans" w:cs="Open Sans"/>
          <w:b/>
          <w:bCs/>
          <w:i/>
          <w:iCs/>
          <w:sz w:val="20"/>
          <w:szCs w:val="20"/>
          <w:lang w:val="en-US"/>
        </w:rPr>
        <w:t xml:space="preserve">uality </w:t>
      </w:r>
      <w:r w:rsidR="00AD7571" w:rsidRPr="006767C5">
        <w:rPr>
          <w:rFonts w:ascii="Open Sans" w:hAnsi="Open Sans" w:cs="Open Sans"/>
          <w:b/>
          <w:bCs/>
          <w:i/>
          <w:iCs/>
          <w:sz w:val="20"/>
          <w:szCs w:val="20"/>
          <w:lang w:val="en-US"/>
        </w:rPr>
        <w:t>benefits.</w:t>
      </w:r>
    </w:p>
    <w:p w14:paraId="262BE594" w14:textId="02960BBB" w:rsidR="00EE14E3" w:rsidRPr="006767C5" w:rsidRDefault="00EE14E3" w:rsidP="00EE14E3">
      <w:pPr>
        <w:rPr>
          <w:rFonts w:ascii="Open Sans" w:hAnsi="Open Sans" w:cs="Open Sans"/>
          <w:sz w:val="20"/>
          <w:szCs w:val="20"/>
          <w:lang w:val="en-US"/>
        </w:rPr>
      </w:pPr>
      <w:r w:rsidRPr="006767C5">
        <w:rPr>
          <w:rFonts w:ascii="Open Sans" w:hAnsi="Open Sans" w:cs="Open Sans"/>
          <w:sz w:val="20"/>
          <w:szCs w:val="20"/>
          <w:lang w:val="en-US"/>
        </w:rPr>
        <w:t>E10 (petrol containing 10% bioethanol</w:t>
      </w:r>
      <w:r w:rsidR="00DD2E81" w:rsidRPr="006767C5">
        <w:rPr>
          <w:rFonts w:ascii="Open Sans" w:hAnsi="Open Sans" w:cs="Open Sans"/>
          <w:sz w:val="20"/>
          <w:szCs w:val="20"/>
          <w:lang w:val="en-US"/>
        </w:rPr>
        <w:t xml:space="preserve">) </w:t>
      </w:r>
      <w:r w:rsidRPr="006767C5">
        <w:rPr>
          <w:rFonts w:ascii="Open Sans" w:hAnsi="Open Sans" w:cs="Open Sans"/>
          <w:sz w:val="20"/>
          <w:szCs w:val="20"/>
          <w:lang w:val="en-US"/>
        </w:rPr>
        <w:t>provides significant improvements in air quality compared to conventional gasoline. NOx emissions are reduced by up to 34%, particulate matter reduced by up to 95% and nanoparticles reduced by up to 96%. The introduction of E10 will also be likely to prompt the replacement of older vehicles, which are inherently more polluting than newer vehicles.</w:t>
      </w:r>
      <w:r w:rsidR="008B2C24" w:rsidRPr="006767C5">
        <w:rPr>
          <w:rStyle w:val="FootnoteReference"/>
          <w:rFonts w:ascii="Open Sans" w:hAnsi="Open Sans" w:cs="Open Sans"/>
          <w:sz w:val="20"/>
          <w:szCs w:val="20"/>
          <w:lang w:val="en-US"/>
        </w:rPr>
        <w:footnoteReference w:id="63"/>
      </w:r>
      <w:r w:rsidR="00E55948" w:rsidRPr="006767C5">
        <w:rPr>
          <w:rFonts w:ascii="Open Sans" w:hAnsi="Open Sans" w:cs="Open Sans"/>
          <w:sz w:val="20"/>
          <w:szCs w:val="20"/>
          <w:lang w:val="en-US"/>
        </w:rPr>
        <w:t xml:space="preserve"> </w:t>
      </w:r>
      <w:r w:rsidRPr="006767C5">
        <w:rPr>
          <w:rFonts w:ascii="Open Sans" w:hAnsi="Open Sans" w:cs="Open Sans"/>
          <w:sz w:val="20"/>
          <w:szCs w:val="20"/>
          <w:lang w:val="en-US"/>
        </w:rPr>
        <w:t xml:space="preserve">Hydrotreated Vegetable Oil / Gas to Liquid Fuels (sometimes known as paraffinic diesel) are clean, high-quality diesel fuels made from a wide variety of </w:t>
      </w:r>
      <w:proofErr w:type="gramStart"/>
      <w:r w:rsidRPr="006767C5">
        <w:rPr>
          <w:rFonts w:ascii="Open Sans" w:hAnsi="Open Sans" w:cs="Open Sans"/>
          <w:sz w:val="20"/>
          <w:szCs w:val="20"/>
          <w:lang w:val="en-US"/>
        </w:rPr>
        <w:t>feedstocks, and</w:t>
      </w:r>
      <w:proofErr w:type="gramEnd"/>
      <w:r w:rsidRPr="006767C5">
        <w:rPr>
          <w:rFonts w:ascii="Open Sans" w:hAnsi="Open Sans" w:cs="Open Sans"/>
          <w:sz w:val="20"/>
          <w:szCs w:val="20"/>
          <w:lang w:val="en-US"/>
        </w:rPr>
        <w:t xml:space="preserve"> are associated with NOx emissions reductions of 3%-18 %, and particulate matter reductions in the range of 12% - 48% compared with conventional diesel fuels.</w:t>
      </w:r>
      <w:r w:rsidR="008B2C24" w:rsidRPr="006767C5">
        <w:rPr>
          <w:rStyle w:val="FootnoteReference"/>
          <w:rFonts w:ascii="Open Sans" w:hAnsi="Open Sans" w:cs="Open Sans"/>
          <w:sz w:val="20"/>
          <w:szCs w:val="20"/>
          <w:lang w:val="en-US"/>
        </w:rPr>
        <w:footnoteReference w:id="64"/>
      </w:r>
    </w:p>
    <w:p w14:paraId="7D13177C" w14:textId="46DA077E" w:rsidR="00EE14E3" w:rsidRPr="006767C5" w:rsidRDefault="00EE14E3" w:rsidP="00EE14E3">
      <w:pPr>
        <w:rPr>
          <w:rFonts w:ascii="Open Sans" w:hAnsi="Open Sans" w:cs="Open Sans"/>
          <w:sz w:val="20"/>
          <w:szCs w:val="20"/>
          <w:lang w:val="en-US"/>
        </w:rPr>
      </w:pPr>
      <w:r w:rsidRPr="006767C5">
        <w:rPr>
          <w:rFonts w:ascii="Open Sans" w:hAnsi="Open Sans" w:cs="Open Sans"/>
          <w:sz w:val="20"/>
          <w:szCs w:val="20"/>
          <w:lang w:val="en-US"/>
        </w:rPr>
        <w:t>Fuels produced from waste or woody biomass using the Fischer-</w:t>
      </w:r>
      <w:proofErr w:type="spellStart"/>
      <w:r w:rsidRPr="006767C5">
        <w:rPr>
          <w:rFonts w:ascii="Open Sans" w:hAnsi="Open Sans" w:cs="Open Sans"/>
          <w:sz w:val="20"/>
          <w:szCs w:val="20"/>
          <w:lang w:val="en-US"/>
        </w:rPr>
        <w:t>Tropsch</w:t>
      </w:r>
      <w:proofErr w:type="spellEnd"/>
      <w:r w:rsidRPr="006767C5">
        <w:rPr>
          <w:rFonts w:ascii="Open Sans" w:hAnsi="Open Sans" w:cs="Open Sans"/>
          <w:sz w:val="20"/>
          <w:szCs w:val="20"/>
          <w:lang w:val="en-US"/>
        </w:rPr>
        <w:t xml:space="preserve"> are hydrocarbon fuels which contain very low levels of aromatics and </w:t>
      </w:r>
      <w:proofErr w:type="spellStart"/>
      <w:r w:rsidRPr="006767C5">
        <w:rPr>
          <w:rFonts w:ascii="Open Sans" w:hAnsi="Open Sans" w:cs="Open Sans"/>
          <w:sz w:val="20"/>
          <w:szCs w:val="20"/>
          <w:lang w:val="en-US"/>
        </w:rPr>
        <w:t>sulphur</w:t>
      </w:r>
      <w:proofErr w:type="spellEnd"/>
      <w:r w:rsidRPr="006767C5">
        <w:rPr>
          <w:rFonts w:ascii="Open Sans" w:hAnsi="Open Sans" w:cs="Open Sans"/>
          <w:sz w:val="20"/>
          <w:szCs w:val="20"/>
          <w:lang w:val="en-US"/>
        </w:rPr>
        <w:t xml:space="preserve">. They have significant air quality benefits for heavy goods vehicles and aviation with emissions of particulates (&gt;90% reduction), </w:t>
      </w:r>
      <w:proofErr w:type="spellStart"/>
      <w:r w:rsidRPr="006767C5">
        <w:rPr>
          <w:rFonts w:ascii="Open Sans" w:hAnsi="Open Sans" w:cs="Open Sans"/>
          <w:sz w:val="20"/>
          <w:szCs w:val="20"/>
          <w:lang w:val="en-US"/>
        </w:rPr>
        <w:t>sulphur</w:t>
      </w:r>
      <w:proofErr w:type="spellEnd"/>
      <w:r w:rsidRPr="006767C5">
        <w:rPr>
          <w:rFonts w:ascii="Open Sans" w:hAnsi="Open Sans" w:cs="Open Sans"/>
          <w:sz w:val="20"/>
          <w:szCs w:val="20"/>
          <w:lang w:val="en-US"/>
        </w:rPr>
        <w:t xml:space="preserve"> (&gt;90% reduction), NOx (up to 10% reduction), carbon monoxide and unburnt hydrocarbons.</w:t>
      </w:r>
      <w:r w:rsidR="00E55948" w:rsidRPr="006767C5">
        <w:rPr>
          <w:rStyle w:val="FootnoteReference"/>
          <w:rFonts w:ascii="Open Sans" w:hAnsi="Open Sans" w:cs="Open Sans"/>
          <w:sz w:val="20"/>
          <w:szCs w:val="20"/>
          <w:lang w:val="en-US"/>
        </w:rPr>
        <w:footnoteReference w:id="65"/>
      </w:r>
    </w:p>
    <w:p w14:paraId="6078DD24" w14:textId="17D8E1F2" w:rsidR="00EE14E3" w:rsidRPr="006767C5" w:rsidRDefault="00EE14E3" w:rsidP="00EE14E3">
      <w:pPr>
        <w:rPr>
          <w:rFonts w:ascii="Open Sans" w:hAnsi="Open Sans" w:cs="Open Sans"/>
          <w:sz w:val="20"/>
          <w:szCs w:val="20"/>
          <w:lang w:val="en-US"/>
        </w:rPr>
      </w:pPr>
      <w:r w:rsidRPr="006767C5">
        <w:rPr>
          <w:rFonts w:ascii="Open Sans" w:hAnsi="Open Sans" w:cs="Open Sans"/>
          <w:sz w:val="20"/>
          <w:szCs w:val="20"/>
          <w:lang w:val="en-US"/>
        </w:rPr>
        <w:t>Biomethane in transport also leads to a modest improvement in particulate matter emissions and NOx levels.</w:t>
      </w:r>
      <w:r w:rsidR="00E55948" w:rsidRPr="006767C5">
        <w:rPr>
          <w:rStyle w:val="FootnoteReference"/>
          <w:rFonts w:ascii="Open Sans" w:hAnsi="Open Sans" w:cs="Open Sans"/>
          <w:sz w:val="20"/>
          <w:szCs w:val="20"/>
          <w:lang w:val="en-US"/>
        </w:rPr>
        <w:footnoteReference w:id="66"/>
      </w:r>
    </w:p>
    <w:p w14:paraId="7660B1EA" w14:textId="27F0FCAF" w:rsidR="00E55948" w:rsidRPr="006767C5" w:rsidRDefault="00AD7571" w:rsidP="00EE14E3">
      <w:pPr>
        <w:rPr>
          <w:rFonts w:ascii="Open Sans" w:hAnsi="Open Sans" w:cs="Open Sans"/>
          <w:b/>
          <w:bCs/>
          <w:i/>
          <w:iCs/>
          <w:sz w:val="20"/>
          <w:szCs w:val="20"/>
          <w:lang w:val="en-US"/>
        </w:rPr>
      </w:pPr>
      <w:r w:rsidRPr="0036441F">
        <w:rPr>
          <w:rFonts w:ascii="Open Sans" w:hAnsi="Open Sans" w:cs="Open Sans"/>
          <w:b/>
          <w:bCs/>
          <w:i/>
          <w:iCs/>
          <w:sz w:val="20"/>
          <w:szCs w:val="20"/>
          <w:lang w:val="en-US"/>
        </w:rPr>
        <w:t>Mitigating r</w:t>
      </w:r>
      <w:r w:rsidR="00E55948" w:rsidRPr="0036441F">
        <w:rPr>
          <w:rFonts w:ascii="Open Sans" w:hAnsi="Open Sans" w:cs="Open Sans"/>
          <w:b/>
          <w:bCs/>
          <w:i/>
          <w:iCs/>
          <w:sz w:val="20"/>
          <w:szCs w:val="20"/>
          <w:lang w:val="en-US"/>
        </w:rPr>
        <w:t xml:space="preserve">isk of ammonia emissions linked to AD digestate </w:t>
      </w:r>
      <w:proofErr w:type="gramStart"/>
      <w:r w:rsidR="00E55948" w:rsidRPr="0036441F">
        <w:rPr>
          <w:rFonts w:ascii="Open Sans" w:hAnsi="Open Sans" w:cs="Open Sans"/>
          <w:b/>
          <w:bCs/>
          <w:i/>
          <w:iCs/>
          <w:sz w:val="20"/>
          <w:szCs w:val="20"/>
          <w:lang w:val="en-US"/>
        </w:rPr>
        <w:t>spreading</w:t>
      </w:r>
      <w:proofErr w:type="gramEnd"/>
      <w:r w:rsidR="00E55948" w:rsidRPr="0036441F">
        <w:rPr>
          <w:rFonts w:ascii="Open Sans" w:hAnsi="Open Sans" w:cs="Open Sans"/>
          <w:b/>
          <w:bCs/>
          <w:i/>
          <w:iCs/>
          <w:sz w:val="20"/>
          <w:szCs w:val="20"/>
          <w:lang w:val="en-US"/>
        </w:rPr>
        <w:t xml:space="preserve"> </w:t>
      </w:r>
    </w:p>
    <w:p w14:paraId="0CA772EE" w14:textId="5B32E57D" w:rsidR="00E55948" w:rsidRPr="006767C5" w:rsidRDefault="00E55948" w:rsidP="00E55948">
      <w:pPr>
        <w:rPr>
          <w:rFonts w:ascii="Open Sans" w:hAnsi="Open Sans" w:cs="Open Sans"/>
          <w:sz w:val="20"/>
          <w:szCs w:val="20"/>
          <w:lang w:val="en-US"/>
        </w:rPr>
      </w:pPr>
      <w:r w:rsidRPr="006767C5">
        <w:rPr>
          <w:rFonts w:ascii="Open Sans" w:hAnsi="Open Sans" w:cs="Open Sans"/>
          <w:sz w:val="20"/>
          <w:szCs w:val="20"/>
          <w:lang w:val="en-US"/>
        </w:rPr>
        <w:t>Anaerobic digestion (AD) is a key technology for producing biomethane gas for use in power generation, heating and</w:t>
      </w:r>
      <w:r w:rsidR="00DD2E81" w:rsidRPr="006767C5">
        <w:rPr>
          <w:rFonts w:ascii="Open Sans" w:hAnsi="Open Sans" w:cs="Open Sans"/>
          <w:sz w:val="20"/>
          <w:szCs w:val="20"/>
          <w:lang w:val="en-US"/>
        </w:rPr>
        <w:t xml:space="preserve"> the</w:t>
      </w:r>
      <w:r w:rsidRPr="006767C5">
        <w:rPr>
          <w:rFonts w:ascii="Open Sans" w:hAnsi="Open Sans" w:cs="Open Sans"/>
          <w:sz w:val="20"/>
          <w:szCs w:val="20"/>
          <w:lang w:val="en-US"/>
        </w:rPr>
        <w:t xml:space="preserve"> transport sector, and its use also helps reduce methane emissions from organic wastes. AD also produces a digestate, which is a useful high-quality </w:t>
      </w:r>
      <w:proofErr w:type="spellStart"/>
      <w:r w:rsidRPr="006767C5">
        <w:rPr>
          <w:rFonts w:ascii="Open Sans" w:hAnsi="Open Sans" w:cs="Open Sans"/>
          <w:sz w:val="20"/>
          <w:szCs w:val="20"/>
          <w:lang w:val="en-US"/>
        </w:rPr>
        <w:t>fertiliser</w:t>
      </w:r>
      <w:proofErr w:type="spellEnd"/>
      <w:r w:rsidRPr="006767C5">
        <w:rPr>
          <w:rFonts w:ascii="Open Sans" w:hAnsi="Open Sans" w:cs="Open Sans"/>
          <w:sz w:val="20"/>
          <w:szCs w:val="20"/>
          <w:lang w:val="en-US"/>
        </w:rPr>
        <w:t xml:space="preserve"> and soil improver. The storage and use of the materials on the land does produce some ammonia emissions. These are currently estimated at 3% of total ammonia emissions, but the volume of such </w:t>
      </w:r>
      <w:r w:rsidR="00DB5321" w:rsidRPr="006767C5">
        <w:rPr>
          <w:rFonts w:ascii="Open Sans" w:hAnsi="Open Sans" w:cs="Open Sans"/>
          <w:sz w:val="20"/>
          <w:szCs w:val="20"/>
          <w:lang w:val="en-US"/>
        </w:rPr>
        <w:t>could rise</w:t>
      </w:r>
      <w:r w:rsidRPr="006767C5">
        <w:rPr>
          <w:rFonts w:ascii="Open Sans" w:hAnsi="Open Sans" w:cs="Open Sans"/>
          <w:sz w:val="20"/>
          <w:szCs w:val="20"/>
          <w:lang w:val="en-US"/>
        </w:rPr>
        <w:t xml:space="preserve"> as more AD plants come on stream, so </w:t>
      </w:r>
      <w:r w:rsidR="00DF0B0C" w:rsidRPr="006767C5">
        <w:rPr>
          <w:rFonts w:ascii="Open Sans" w:hAnsi="Open Sans" w:cs="Open Sans"/>
          <w:sz w:val="20"/>
          <w:szCs w:val="20"/>
          <w:lang w:val="en-US"/>
        </w:rPr>
        <w:t>appropriate</w:t>
      </w:r>
      <w:r w:rsidRPr="006767C5">
        <w:rPr>
          <w:rFonts w:ascii="Open Sans" w:hAnsi="Open Sans" w:cs="Open Sans"/>
          <w:sz w:val="20"/>
          <w:szCs w:val="20"/>
          <w:lang w:val="en-US"/>
        </w:rPr>
        <w:t xml:space="preserve"> to consider how best to constrain the resulting emissions.</w:t>
      </w:r>
    </w:p>
    <w:p w14:paraId="0EF0C16C" w14:textId="6409B3E0" w:rsidR="00E55948" w:rsidRPr="006767C5" w:rsidRDefault="00E55948" w:rsidP="00E55948">
      <w:pPr>
        <w:rPr>
          <w:rFonts w:ascii="Open Sans" w:hAnsi="Open Sans" w:cs="Open Sans"/>
          <w:sz w:val="20"/>
          <w:szCs w:val="20"/>
          <w:lang w:val="en-US"/>
        </w:rPr>
      </w:pPr>
      <w:r w:rsidRPr="006767C5">
        <w:rPr>
          <w:rFonts w:ascii="Open Sans" w:hAnsi="Open Sans" w:cs="Open Sans"/>
          <w:sz w:val="20"/>
          <w:szCs w:val="20"/>
          <w:lang w:val="en-US"/>
        </w:rPr>
        <w:t xml:space="preserve">This can be done by covering digestate stores and particularly by using improved and efficient digestate spreading technologies. There is a much better understanding by the farming and </w:t>
      </w:r>
      <w:r w:rsidR="00DB5321" w:rsidRPr="006767C5">
        <w:rPr>
          <w:rFonts w:ascii="Open Sans" w:hAnsi="Open Sans" w:cs="Open Sans"/>
          <w:sz w:val="20"/>
          <w:szCs w:val="20"/>
          <w:lang w:val="en-US"/>
        </w:rPr>
        <w:t>land spreading</w:t>
      </w:r>
      <w:r w:rsidRPr="006767C5">
        <w:rPr>
          <w:rFonts w:ascii="Open Sans" w:hAnsi="Open Sans" w:cs="Open Sans"/>
          <w:sz w:val="20"/>
          <w:szCs w:val="20"/>
          <w:lang w:val="en-US"/>
        </w:rPr>
        <w:t xml:space="preserve"> community of the benefits of correct application of digestate to land, as this not only reduces the environmental risks associated with its deployment to land but also improves its efficacy as a </w:t>
      </w:r>
      <w:proofErr w:type="spellStart"/>
      <w:r w:rsidRPr="006767C5">
        <w:rPr>
          <w:rFonts w:ascii="Open Sans" w:hAnsi="Open Sans" w:cs="Open Sans"/>
          <w:sz w:val="20"/>
          <w:szCs w:val="20"/>
          <w:lang w:val="en-US"/>
        </w:rPr>
        <w:t>fertiliser</w:t>
      </w:r>
      <w:proofErr w:type="spellEnd"/>
      <w:r w:rsidRPr="006767C5">
        <w:rPr>
          <w:rFonts w:ascii="Open Sans" w:hAnsi="Open Sans" w:cs="Open Sans"/>
          <w:sz w:val="20"/>
          <w:szCs w:val="20"/>
          <w:lang w:val="en-US"/>
        </w:rPr>
        <w:t xml:space="preserve"> replacement. This has led already to a significant move to more efficient spreading technologies, which distribute the digestate directly to the soil </w:t>
      </w:r>
      <w:r w:rsidR="00DB5321" w:rsidRPr="006767C5">
        <w:rPr>
          <w:rFonts w:ascii="Open Sans" w:hAnsi="Open Sans" w:cs="Open Sans"/>
          <w:sz w:val="20"/>
          <w:szCs w:val="20"/>
          <w:lang w:val="en-US"/>
        </w:rPr>
        <w:t>near</w:t>
      </w:r>
      <w:r w:rsidRPr="006767C5">
        <w:rPr>
          <w:rFonts w:ascii="Open Sans" w:hAnsi="Open Sans" w:cs="Open Sans"/>
          <w:sz w:val="20"/>
          <w:szCs w:val="20"/>
          <w:lang w:val="en-US"/>
        </w:rPr>
        <w:t xml:space="preserve"> the growing crop, or the use of shallow or deep injection techniques, which prevent any ammonia </w:t>
      </w:r>
      <w:proofErr w:type="spellStart"/>
      <w:r w:rsidRPr="006767C5">
        <w:rPr>
          <w:rFonts w:ascii="Open Sans" w:hAnsi="Open Sans" w:cs="Open Sans"/>
          <w:sz w:val="20"/>
          <w:szCs w:val="20"/>
          <w:lang w:val="en-US"/>
        </w:rPr>
        <w:t>volatilisation</w:t>
      </w:r>
      <w:proofErr w:type="spellEnd"/>
      <w:r w:rsidRPr="006767C5">
        <w:rPr>
          <w:rFonts w:ascii="Open Sans" w:hAnsi="Open Sans" w:cs="Open Sans"/>
          <w:sz w:val="20"/>
          <w:szCs w:val="20"/>
          <w:lang w:val="en-US"/>
        </w:rPr>
        <w:t xml:space="preserve"> taking place. </w:t>
      </w:r>
    </w:p>
    <w:p w14:paraId="4538FF1C" w14:textId="77777777" w:rsidR="00E55948" w:rsidRPr="006767C5" w:rsidRDefault="00E55948" w:rsidP="00E55948">
      <w:pPr>
        <w:rPr>
          <w:rFonts w:ascii="Open Sans" w:hAnsi="Open Sans" w:cs="Open Sans"/>
          <w:sz w:val="20"/>
          <w:szCs w:val="20"/>
          <w:lang w:val="en-US"/>
        </w:rPr>
      </w:pPr>
      <w:r w:rsidRPr="006767C5">
        <w:rPr>
          <w:rFonts w:ascii="Open Sans" w:hAnsi="Open Sans" w:cs="Open Sans"/>
          <w:sz w:val="20"/>
          <w:szCs w:val="20"/>
          <w:lang w:val="en-US"/>
        </w:rPr>
        <w:t>It is also important that AD producers have sufficient digestate storage facilities so that they can store the materials until the optimum time and conditions for spreading the materials, and that the storage is covered.</w:t>
      </w:r>
    </w:p>
    <w:p w14:paraId="7A5E459F" w14:textId="0C8F4B8D" w:rsidR="00EE14E3" w:rsidRPr="006767C5" w:rsidRDefault="00DB5321" w:rsidP="00E55948">
      <w:pPr>
        <w:rPr>
          <w:rFonts w:ascii="Open Sans" w:hAnsi="Open Sans" w:cs="Open Sans"/>
          <w:sz w:val="20"/>
          <w:szCs w:val="20"/>
          <w:lang w:val="en-US"/>
        </w:rPr>
      </w:pPr>
      <w:r w:rsidRPr="006767C5">
        <w:rPr>
          <w:rFonts w:ascii="Open Sans" w:hAnsi="Open Sans" w:cs="Open Sans"/>
          <w:sz w:val="20"/>
          <w:szCs w:val="20"/>
          <w:lang w:val="en-US"/>
        </w:rPr>
        <w:t>The REA agree with the proposals of the Governments Clean Air Strategy</w:t>
      </w:r>
      <w:r w:rsidR="00DF0B0C" w:rsidRPr="006767C5">
        <w:rPr>
          <w:rFonts w:ascii="Open Sans" w:hAnsi="Open Sans" w:cs="Open Sans"/>
          <w:sz w:val="20"/>
          <w:szCs w:val="20"/>
          <w:lang w:val="en-US"/>
        </w:rPr>
        <w:t xml:space="preserve">. </w:t>
      </w:r>
      <w:r w:rsidR="00E55948" w:rsidRPr="006767C5">
        <w:rPr>
          <w:rFonts w:ascii="Open Sans" w:hAnsi="Open Sans" w:cs="Open Sans"/>
          <w:sz w:val="20"/>
          <w:szCs w:val="20"/>
          <w:lang w:val="en-US"/>
        </w:rPr>
        <w:t>These include a requirement for digestate storage to be covered by 2022, and for digestate spreading to be carried out using low emission equipment by 2025 at the latest. Taken together these measures will be sufficient to reduce any significant risks associated with higher levels of AD</w:t>
      </w:r>
      <w:r w:rsidRPr="006767C5">
        <w:rPr>
          <w:rFonts w:ascii="Open Sans" w:hAnsi="Open Sans" w:cs="Open Sans"/>
          <w:sz w:val="20"/>
          <w:szCs w:val="20"/>
          <w:lang w:val="en-US"/>
        </w:rPr>
        <w:t xml:space="preserve">, and energy policy should not restrict the use of AD considering such requirements are implemented. </w:t>
      </w:r>
    </w:p>
    <w:p w14:paraId="3A8A18FB" w14:textId="77777777" w:rsidR="004D4032" w:rsidRPr="006767C5" w:rsidRDefault="004D4032" w:rsidP="00BC5FB0">
      <w:pPr>
        <w:pBdr>
          <w:bottom w:val="single" w:sz="6" w:space="1" w:color="auto"/>
        </w:pBdr>
        <w:spacing w:after="0" w:line="240" w:lineRule="auto"/>
        <w:jc w:val="both"/>
        <w:rPr>
          <w:rFonts w:ascii="Open Sans" w:hAnsi="Open Sans" w:cs="Open Sans"/>
          <w:sz w:val="20"/>
          <w:szCs w:val="20"/>
        </w:rPr>
      </w:pPr>
    </w:p>
    <w:p w14:paraId="2E59A99F" w14:textId="77777777" w:rsidR="00DB5321" w:rsidRPr="006767C5" w:rsidRDefault="00DB5321" w:rsidP="00E527C6">
      <w:pPr>
        <w:rPr>
          <w:rFonts w:ascii="Open Sans" w:hAnsi="Open Sans" w:cs="Open Sans"/>
          <w:sz w:val="20"/>
          <w:szCs w:val="20"/>
        </w:rPr>
      </w:pPr>
    </w:p>
    <w:p w14:paraId="20704E9F" w14:textId="22A1FB4B" w:rsidR="004C28D6" w:rsidRPr="006767C5" w:rsidRDefault="004C28D6" w:rsidP="00882FC4">
      <w:pPr>
        <w:rPr>
          <w:rFonts w:ascii="Open Sans" w:hAnsi="Open Sans" w:cs="Open Sans"/>
          <w:b/>
          <w:bCs/>
          <w:color w:val="2F5496"/>
          <w:sz w:val="20"/>
          <w:szCs w:val="20"/>
        </w:rPr>
      </w:pPr>
      <w:r w:rsidRPr="006767C5">
        <w:rPr>
          <w:rFonts w:ascii="Open Sans" w:hAnsi="Open Sans" w:cs="Open Sans"/>
          <w:b/>
          <w:bCs/>
          <w:color w:val="2F5496"/>
          <w:sz w:val="20"/>
          <w:szCs w:val="20"/>
        </w:rPr>
        <w:t>15. Are our existing sustainability criteria sufficient in ensuring that biomass can deliver the GHG emission savings needed to meet net zero without wider adverse impacts including on land use and biodiversity? How could they be amended to ensure biomass from all sources supports wider climate, environmental and societal goals?</w:t>
      </w:r>
    </w:p>
    <w:p w14:paraId="38CAF9CB" w14:textId="678F8C50" w:rsidR="00937EB9" w:rsidRPr="006767C5" w:rsidRDefault="00937EB9" w:rsidP="00882FC4">
      <w:pPr>
        <w:rPr>
          <w:rFonts w:ascii="Open Sans" w:hAnsi="Open Sans" w:cs="Open Sans"/>
          <w:b/>
          <w:bCs/>
          <w:sz w:val="20"/>
          <w:szCs w:val="20"/>
        </w:rPr>
      </w:pPr>
      <w:r w:rsidRPr="006767C5">
        <w:rPr>
          <w:rFonts w:ascii="Open Sans" w:hAnsi="Open Sans" w:cs="Open Sans"/>
          <w:b/>
          <w:bCs/>
          <w:sz w:val="20"/>
          <w:szCs w:val="20"/>
        </w:rPr>
        <w:t>The UK’s</w:t>
      </w:r>
      <w:r w:rsidR="00AD7571" w:rsidRPr="006767C5">
        <w:rPr>
          <w:rFonts w:ascii="Open Sans" w:hAnsi="Open Sans" w:cs="Open Sans"/>
          <w:b/>
          <w:bCs/>
          <w:sz w:val="20"/>
          <w:szCs w:val="20"/>
        </w:rPr>
        <w:t xml:space="preserve"> current </w:t>
      </w:r>
      <w:r w:rsidRPr="006767C5">
        <w:rPr>
          <w:rFonts w:ascii="Open Sans" w:hAnsi="Open Sans" w:cs="Open Sans"/>
          <w:b/>
          <w:bCs/>
          <w:sz w:val="20"/>
          <w:szCs w:val="20"/>
        </w:rPr>
        <w:t xml:space="preserve">sustainability </w:t>
      </w:r>
      <w:r w:rsidR="00AD7571" w:rsidRPr="006767C5">
        <w:rPr>
          <w:rFonts w:ascii="Open Sans" w:hAnsi="Open Sans" w:cs="Open Sans"/>
          <w:b/>
          <w:bCs/>
          <w:sz w:val="20"/>
          <w:szCs w:val="20"/>
        </w:rPr>
        <w:t>g</w:t>
      </w:r>
      <w:r w:rsidR="002C476E" w:rsidRPr="006767C5">
        <w:rPr>
          <w:rFonts w:ascii="Open Sans" w:hAnsi="Open Sans" w:cs="Open Sans"/>
          <w:b/>
          <w:bCs/>
          <w:sz w:val="20"/>
          <w:szCs w:val="20"/>
        </w:rPr>
        <w:t>overnance</w:t>
      </w:r>
      <w:r w:rsidR="00AD7571" w:rsidRPr="006767C5">
        <w:rPr>
          <w:rFonts w:ascii="Open Sans" w:hAnsi="Open Sans" w:cs="Open Sans"/>
          <w:b/>
          <w:bCs/>
          <w:sz w:val="20"/>
          <w:szCs w:val="20"/>
        </w:rPr>
        <w:t xml:space="preserve"> is world leading</w:t>
      </w:r>
      <w:r w:rsidR="00354CAA" w:rsidRPr="006767C5">
        <w:rPr>
          <w:rFonts w:ascii="Open Sans" w:hAnsi="Open Sans" w:cs="Open Sans"/>
          <w:b/>
          <w:bCs/>
          <w:sz w:val="20"/>
          <w:szCs w:val="20"/>
        </w:rPr>
        <w:t xml:space="preserve"> and</w:t>
      </w:r>
      <w:r w:rsidR="00AD7571" w:rsidRPr="006767C5">
        <w:rPr>
          <w:rFonts w:ascii="Open Sans" w:hAnsi="Open Sans" w:cs="Open Sans"/>
          <w:b/>
          <w:bCs/>
          <w:sz w:val="20"/>
          <w:szCs w:val="20"/>
        </w:rPr>
        <w:t xml:space="preserve"> </w:t>
      </w:r>
      <w:r w:rsidR="002C476E" w:rsidRPr="006767C5">
        <w:rPr>
          <w:rFonts w:ascii="Open Sans" w:hAnsi="Open Sans" w:cs="Open Sans"/>
          <w:b/>
          <w:bCs/>
          <w:sz w:val="20"/>
          <w:szCs w:val="20"/>
        </w:rPr>
        <w:t>already more than mitigates risk</w:t>
      </w:r>
      <w:r w:rsidR="00AD7571" w:rsidRPr="006767C5">
        <w:rPr>
          <w:rFonts w:ascii="Open Sans" w:hAnsi="Open Sans" w:cs="Open Sans"/>
          <w:b/>
          <w:bCs/>
          <w:sz w:val="20"/>
          <w:szCs w:val="20"/>
        </w:rPr>
        <w:t>s</w:t>
      </w:r>
      <w:r w:rsidR="002C476E" w:rsidRPr="006767C5">
        <w:rPr>
          <w:rFonts w:ascii="Open Sans" w:hAnsi="Open Sans" w:cs="Open Sans"/>
          <w:b/>
          <w:bCs/>
          <w:sz w:val="20"/>
          <w:szCs w:val="20"/>
        </w:rPr>
        <w:t xml:space="preserve">, </w:t>
      </w:r>
      <w:r w:rsidR="00AD7571" w:rsidRPr="006767C5">
        <w:rPr>
          <w:rFonts w:ascii="Open Sans" w:hAnsi="Open Sans" w:cs="Open Sans"/>
          <w:b/>
          <w:bCs/>
          <w:sz w:val="20"/>
          <w:szCs w:val="20"/>
        </w:rPr>
        <w:t>going beyond EU RED II criteria</w:t>
      </w:r>
      <w:r w:rsidR="00354CAA" w:rsidRPr="006767C5">
        <w:rPr>
          <w:rFonts w:ascii="Open Sans" w:hAnsi="Open Sans" w:cs="Open Sans"/>
          <w:b/>
          <w:bCs/>
          <w:sz w:val="20"/>
          <w:szCs w:val="20"/>
        </w:rPr>
        <w:t>,</w:t>
      </w:r>
      <w:r w:rsidR="00AD7571" w:rsidRPr="006767C5">
        <w:rPr>
          <w:rFonts w:ascii="Open Sans" w:hAnsi="Open Sans" w:cs="Open Sans"/>
          <w:b/>
          <w:bCs/>
          <w:sz w:val="20"/>
          <w:szCs w:val="20"/>
        </w:rPr>
        <w:t xml:space="preserve"> requir</w:t>
      </w:r>
      <w:r w:rsidR="00354CAA" w:rsidRPr="006767C5">
        <w:rPr>
          <w:rFonts w:ascii="Open Sans" w:hAnsi="Open Sans" w:cs="Open Sans"/>
          <w:b/>
          <w:bCs/>
          <w:sz w:val="20"/>
          <w:szCs w:val="20"/>
        </w:rPr>
        <w:t>ing</w:t>
      </w:r>
      <w:r w:rsidR="002C476E" w:rsidRPr="006767C5">
        <w:rPr>
          <w:rFonts w:ascii="Open Sans" w:hAnsi="Open Sans" w:cs="Open Sans"/>
          <w:b/>
          <w:bCs/>
          <w:sz w:val="20"/>
          <w:szCs w:val="20"/>
        </w:rPr>
        <w:t xml:space="preserve"> no immediate adjustment</w:t>
      </w:r>
      <w:r w:rsidR="00DF0B0C" w:rsidRPr="006767C5">
        <w:rPr>
          <w:rFonts w:ascii="Open Sans" w:hAnsi="Open Sans" w:cs="Open Sans"/>
          <w:b/>
          <w:bCs/>
          <w:sz w:val="20"/>
          <w:szCs w:val="20"/>
        </w:rPr>
        <w:t>s.</w:t>
      </w:r>
    </w:p>
    <w:p w14:paraId="50A3424F" w14:textId="24975603" w:rsidR="00AD7571" w:rsidRPr="006767C5" w:rsidRDefault="00AD7571" w:rsidP="00AD7571">
      <w:pPr>
        <w:rPr>
          <w:rFonts w:ascii="Open Sans" w:hAnsi="Open Sans" w:cs="Open Sans"/>
          <w:sz w:val="20"/>
          <w:szCs w:val="20"/>
        </w:rPr>
      </w:pPr>
      <w:r w:rsidRPr="006767C5">
        <w:rPr>
          <w:rFonts w:ascii="Open Sans" w:hAnsi="Open Sans" w:cs="Open Sans"/>
          <w:sz w:val="20"/>
          <w:szCs w:val="20"/>
        </w:rPr>
        <w:t xml:space="preserve">The UK’s bioenergy sustainability governance framework has evolved considerably over time and is widely regarded as one of the most comprehensive frameworks globally. Policy and regulations have evolved to take account of new issues and scientific understanding. Industry has worked with government bodies to develop and implement these regulations, </w:t>
      </w:r>
      <w:r w:rsidR="00BC54A1" w:rsidRPr="006767C5">
        <w:rPr>
          <w:rFonts w:ascii="Open Sans" w:hAnsi="Open Sans" w:cs="Open Sans"/>
          <w:sz w:val="20"/>
          <w:szCs w:val="20"/>
        </w:rPr>
        <w:t>ensuring that the carbon emission claimed can be reliably verified</w:t>
      </w:r>
      <w:r w:rsidR="006A38D9" w:rsidRPr="006767C5">
        <w:rPr>
          <w:rFonts w:ascii="Open Sans" w:hAnsi="Open Sans" w:cs="Open Sans"/>
          <w:sz w:val="20"/>
          <w:szCs w:val="20"/>
        </w:rPr>
        <w:t>.</w:t>
      </w:r>
    </w:p>
    <w:p w14:paraId="2233BD0C" w14:textId="7DFA24FF" w:rsidR="00AD7571" w:rsidRPr="006767C5" w:rsidRDefault="00AD7571" w:rsidP="00AD7571">
      <w:pPr>
        <w:rPr>
          <w:rFonts w:ascii="Open Sans" w:hAnsi="Open Sans" w:cs="Open Sans"/>
          <w:sz w:val="20"/>
          <w:szCs w:val="20"/>
        </w:rPr>
      </w:pPr>
      <w:r w:rsidRPr="006767C5">
        <w:rPr>
          <w:rFonts w:ascii="Open Sans" w:hAnsi="Open Sans" w:cs="Open Sans"/>
          <w:sz w:val="20"/>
          <w:szCs w:val="20"/>
        </w:rPr>
        <w:t xml:space="preserve">All the government bioenergy support schemes – the Renewable Heat Incentive (RHI), Renewables Obligation (RO), Contracts for Difference (CfD), Feed-in Tariff (FIT), and Renewable Transport Fuel Obligation (RTFO) schemes – have associated bioenergy regulations and reporting requirements that </w:t>
      </w:r>
      <w:r w:rsidR="00BC54A1" w:rsidRPr="006767C5">
        <w:rPr>
          <w:rFonts w:ascii="Open Sans" w:hAnsi="Open Sans" w:cs="Open Sans"/>
          <w:sz w:val="20"/>
          <w:szCs w:val="20"/>
        </w:rPr>
        <w:t>must</w:t>
      </w:r>
      <w:r w:rsidRPr="006767C5">
        <w:rPr>
          <w:rFonts w:ascii="Open Sans" w:hAnsi="Open Sans" w:cs="Open Sans"/>
          <w:sz w:val="20"/>
          <w:szCs w:val="20"/>
        </w:rPr>
        <w:t xml:space="preserve"> be fulfilled. This includes:</w:t>
      </w:r>
    </w:p>
    <w:p w14:paraId="35E841DD" w14:textId="378593C4" w:rsidR="00AD7571" w:rsidRPr="006767C5" w:rsidRDefault="00AD7571" w:rsidP="00AD7571">
      <w:pPr>
        <w:pStyle w:val="ListParagraph"/>
        <w:numPr>
          <w:ilvl w:val="0"/>
          <w:numId w:val="21"/>
        </w:numPr>
        <w:rPr>
          <w:rFonts w:ascii="Open Sans" w:hAnsi="Open Sans" w:cs="Open Sans"/>
          <w:sz w:val="20"/>
          <w:szCs w:val="20"/>
        </w:rPr>
      </w:pPr>
      <w:r w:rsidRPr="006767C5">
        <w:rPr>
          <w:rFonts w:ascii="Open Sans" w:hAnsi="Open Sans" w:cs="Open Sans"/>
          <w:sz w:val="20"/>
          <w:szCs w:val="20"/>
        </w:rPr>
        <w:t>Projects supported under the RHI, RO, FIT and CfD schemes must provide information on the land from which the biomass is sourced, to minimise impacts on carbon stocks and biodiversity, and on criteria: which account for the life cycle GHG emissions of the biomass.</w:t>
      </w:r>
      <w:r w:rsidR="00354CAA" w:rsidRPr="006767C5">
        <w:rPr>
          <w:rStyle w:val="FootnoteReference"/>
          <w:rFonts w:ascii="Open Sans" w:hAnsi="Open Sans" w:cs="Open Sans"/>
          <w:sz w:val="20"/>
          <w:szCs w:val="20"/>
        </w:rPr>
        <w:footnoteReference w:id="67"/>
      </w:r>
      <w:r w:rsidR="00354CAA" w:rsidRPr="006767C5">
        <w:rPr>
          <w:rFonts w:ascii="Open Sans" w:hAnsi="Open Sans" w:cs="Open Sans"/>
          <w:sz w:val="20"/>
          <w:szCs w:val="20"/>
        </w:rPr>
        <w:t xml:space="preserve"> </w:t>
      </w:r>
    </w:p>
    <w:p w14:paraId="2A338039" w14:textId="0906B4DA" w:rsidR="00AD7571" w:rsidRPr="006767C5" w:rsidRDefault="00AD7571" w:rsidP="00AD7571">
      <w:pPr>
        <w:pStyle w:val="ListParagraph"/>
        <w:numPr>
          <w:ilvl w:val="0"/>
          <w:numId w:val="20"/>
        </w:numPr>
        <w:rPr>
          <w:rFonts w:ascii="Open Sans" w:hAnsi="Open Sans" w:cs="Open Sans"/>
          <w:sz w:val="20"/>
          <w:szCs w:val="20"/>
        </w:rPr>
      </w:pPr>
      <w:r w:rsidRPr="006767C5">
        <w:rPr>
          <w:rFonts w:ascii="Open Sans" w:hAnsi="Open Sans" w:cs="Open Sans"/>
          <w:sz w:val="20"/>
          <w:szCs w:val="20"/>
        </w:rPr>
        <w:t xml:space="preserve">Additional sustainability requirements apply for the use of feedstocks for electricity or heat use that are based on virgin wood. The Timber Standard for Heat and Electricity sets out wood-fuel land criteria covering a range of social, </w:t>
      </w:r>
      <w:proofErr w:type="gramStart"/>
      <w:r w:rsidRPr="006767C5">
        <w:rPr>
          <w:rFonts w:ascii="Open Sans" w:hAnsi="Open Sans" w:cs="Open Sans"/>
          <w:sz w:val="20"/>
          <w:szCs w:val="20"/>
        </w:rPr>
        <w:t>economic</w:t>
      </w:r>
      <w:proofErr w:type="gramEnd"/>
      <w:r w:rsidRPr="006767C5">
        <w:rPr>
          <w:rFonts w:ascii="Open Sans" w:hAnsi="Open Sans" w:cs="Open Sans"/>
          <w:sz w:val="20"/>
          <w:szCs w:val="20"/>
        </w:rPr>
        <w:t xml:space="preserve"> and environmental considerations that reflect good sustainable forest management practices and are based on internationally agreed principles.</w:t>
      </w:r>
      <w:r w:rsidR="00354CAA" w:rsidRPr="006767C5">
        <w:rPr>
          <w:rStyle w:val="FootnoteReference"/>
          <w:rFonts w:ascii="Open Sans" w:hAnsi="Open Sans" w:cs="Open Sans"/>
          <w:sz w:val="20"/>
          <w:szCs w:val="20"/>
        </w:rPr>
        <w:footnoteReference w:id="68"/>
      </w:r>
    </w:p>
    <w:p w14:paraId="14CAC262" w14:textId="6154D63A" w:rsidR="00AD7571" w:rsidRPr="006767C5" w:rsidRDefault="00AD7571" w:rsidP="00AD7571">
      <w:pPr>
        <w:pStyle w:val="ListParagraph"/>
        <w:numPr>
          <w:ilvl w:val="0"/>
          <w:numId w:val="20"/>
        </w:numPr>
        <w:rPr>
          <w:rFonts w:ascii="Open Sans" w:hAnsi="Open Sans" w:cs="Open Sans"/>
          <w:sz w:val="20"/>
          <w:szCs w:val="20"/>
        </w:rPr>
      </w:pPr>
      <w:r w:rsidRPr="006767C5">
        <w:rPr>
          <w:rFonts w:ascii="Open Sans" w:hAnsi="Open Sans" w:cs="Open Sans"/>
          <w:sz w:val="20"/>
          <w:szCs w:val="20"/>
        </w:rPr>
        <w:t>Projects under the RTFO must also me</w:t>
      </w:r>
      <w:r w:rsidR="006A38D9" w:rsidRPr="006767C5">
        <w:rPr>
          <w:rFonts w:ascii="Open Sans" w:hAnsi="Open Sans" w:cs="Open Sans"/>
          <w:sz w:val="20"/>
          <w:szCs w:val="20"/>
        </w:rPr>
        <w:t>e</w:t>
      </w:r>
      <w:r w:rsidRPr="006767C5">
        <w:rPr>
          <w:rFonts w:ascii="Open Sans" w:hAnsi="Open Sans" w:cs="Open Sans"/>
          <w:sz w:val="20"/>
          <w:szCs w:val="20"/>
        </w:rPr>
        <w:t>t sustainability criteria to be eligible for support, including minimum greenhouse gas criteria and must not be produced from areas with high biodiversity nor from land with high carbon stocks, such as forests or land which was undrained peatland.</w:t>
      </w:r>
      <w:r w:rsidR="00354CAA" w:rsidRPr="006767C5">
        <w:rPr>
          <w:rStyle w:val="FootnoteReference"/>
          <w:rFonts w:ascii="Open Sans" w:hAnsi="Open Sans" w:cs="Open Sans"/>
          <w:sz w:val="20"/>
          <w:szCs w:val="20"/>
        </w:rPr>
        <w:footnoteReference w:id="69"/>
      </w:r>
    </w:p>
    <w:p w14:paraId="6DAF553F" w14:textId="0EAB5068" w:rsidR="00AD7571" w:rsidRPr="006767C5" w:rsidRDefault="00BA2E70" w:rsidP="00882FC4">
      <w:pPr>
        <w:rPr>
          <w:rFonts w:ascii="Open Sans" w:hAnsi="Open Sans" w:cs="Open Sans"/>
          <w:sz w:val="20"/>
          <w:szCs w:val="20"/>
        </w:rPr>
      </w:pPr>
      <w:r w:rsidRPr="006767C5">
        <w:rPr>
          <w:rFonts w:ascii="Open Sans" w:hAnsi="Open Sans" w:cs="Open Sans"/>
          <w:sz w:val="20"/>
          <w:szCs w:val="20"/>
        </w:rPr>
        <w:t>The UK’s sustainability governance has bot</w:t>
      </w:r>
      <w:r w:rsidR="00BC54A1" w:rsidRPr="006767C5">
        <w:rPr>
          <w:rFonts w:ascii="Open Sans" w:hAnsi="Open Sans" w:cs="Open Sans"/>
          <w:sz w:val="20"/>
          <w:szCs w:val="20"/>
        </w:rPr>
        <w:t xml:space="preserve">h influenced, and been informed by, the development </w:t>
      </w:r>
      <w:r w:rsidR="00F550C6" w:rsidRPr="006767C5">
        <w:rPr>
          <w:rFonts w:ascii="Open Sans" w:hAnsi="Open Sans" w:cs="Open Sans"/>
          <w:sz w:val="20"/>
          <w:szCs w:val="20"/>
        </w:rPr>
        <w:t>of the</w:t>
      </w:r>
      <w:r w:rsidRPr="006767C5">
        <w:rPr>
          <w:rFonts w:ascii="Open Sans" w:hAnsi="Open Sans" w:cs="Open Sans"/>
          <w:sz w:val="20"/>
          <w:szCs w:val="20"/>
        </w:rPr>
        <w:t xml:space="preserve"> EU Renewable Energy Directive (RED)</w:t>
      </w:r>
      <w:r w:rsidR="000F2AC3" w:rsidRPr="006767C5">
        <w:rPr>
          <w:rFonts w:ascii="Open Sans" w:hAnsi="Open Sans" w:cs="Open Sans"/>
          <w:sz w:val="20"/>
          <w:szCs w:val="20"/>
        </w:rPr>
        <w:t xml:space="preserve">, with UK requirements going </w:t>
      </w:r>
      <w:r w:rsidRPr="006767C5">
        <w:rPr>
          <w:rFonts w:ascii="Open Sans" w:hAnsi="Open Sans" w:cs="Open Sans"/>
          <w:sz w:val="20"/>
          <w:szCs w:val="20"/>
        </w:rPr>
        <w:t xml:space="preserve">beyond even the latest revisions to </w:t>
      </w:r>
      <w:r w:rsidR="007C2C1C" w:rsidRPr="006767C5">
        <w:rPr>
          <w:rFonts w:ascii="Open Sans" w:hAnsi="Open Sans" w:cs="Open Sans"/>
          <w:sz w:val="20"/>
          <w:szCs w:val="20"/>
        </w:rPr>
        <w:t xml:space="preserve">biomass </w:t>
      </w:r>
      <w:r w:rsidRPr="006767C5">
        <w:rPr>
          <w:rFonts w:ascii="Open Sans" w:hAnsi="Open Sans" w:cs="Open Sans"/>
          <w:sz w:val="20"/>
          <w:szCs w:val="20"/>
        </w:rPr>
        <w:t xml:space="preserve">sustainability </w:t>
      </w:r>
      <w:r w:rsidR="000F2AC3" w:rsidRPr="006767C5">
        <w:rPr>
          <w:rFonts w:ascii="Open Sans" w:hAnsi="Open Sans" w:cs="Open Sans"/>
          <w:sz w:val="20"/>
          <w:szCs w:val="20"/>
        </w:rPr>
        <w:t>c</w:t>
      </w:r>
      <w:r w:rsidRPr="006767C5">
        <w:rPr>
          <w:rFonts w:ascii="Open Sans" w:hAnsi="Open Sans" w:cs="Open Sans"/>
          <w:sz w:val="20"/>
          <w:szCs w:val="20"/>
        </w:rPr>
        <w:t xml:space="preserve">riteria </w:t>
      </w:r>
      <w:r w:rsidR="00BC54A1" w:rsidRPr="006767C5">
        <w:rPr>
          <w:rFonts w:ascii="Open Sans" w:hAnsi="Open Sans" w:cs="Open Sans"/>
          <w:sz w:val="20"/>
          <w:szCs w:val="20"/>
        </w:rPr>
        <w:t xml:space="preserve">introduced as part of </w:t>
      </w:r>
      <w:r w:rsidRPr="006767C5">
        <w:rPr>
          <w:rFonts w:ascii="Open Sans" w:hAnsi="Open Sans" w:cs="Open Sans"/>
          <w:sz w:val="20"/>
          <w:szCs w:val="20"/>
        </w:rPr>
        <w:t>RED II.</w:t>
      </w:r>
      <w:r w:rsidRPr="006767C5">
        <w:rPr>
          <w:rStyle w:val="FootnoteReference"/>
          <w:rFonts w:ascii="Open Sans" w:hAnsi="Open Sans" w:cs="Open Sans"/>
          <w:sz w:val="20"/>
          <w:szCs w:val="20"/>
        </w:rPr>
        <w:footnoteReference w:id="70"/>
      </w:r>
      <w:r w:rsidR="007C2C1C" w:rsidRPr="006767C5">
        <w:rPr>
          <w:rFonts w:ascii="Open Sans" w:hAnsi="Open Sans" w:cs="Open Sans"/>
          <w:sz w:val="20"/>
          <w:szCs w:val="20"/>
        </w:rPr>
        <w:t xml:space="preserve"> The </w:t>
      </w:r>
      <w:r w:rsidR="000F2AC3" w:rsidRPr="006767C5">
        <w:rPr>
          <w:rFonts w:ascii="Open Sans" w:hAnsi="Open Sans" w:cs="Open Sans"/>
          <w:sz w:val="20"/>
          <w:szCs w:val="20"/>
        </w:rPr>
        <w:t xml:space="preserve">EU’s Joint Research Centre </w:t>
      </w:r>
      <w:r w:rsidR="00487F88" w:rsidRPr="006767C5">
        <w:rPr>
          <w:rFonts w:ascii="Open Sans" w:hAnsi="Open Sans" w:cs="Open Sans"/>
          <w:sz w:val="20"/>
          <w:szCs w:val="20"/>
        </w:rPr>
        <w:t xml:space="preserve">(JRC) </w:t>
      </w:r>
      <w:r w:rsidR="000F2AC3" w:rsidRPr="006767C5">
        <w:rPr>
          <w:rFonts w:ascii="Open Sans" w:hAnsi="Open Sans" w:cs="Open Sans"/>
          <w:sz w:val="20"/>
          <w:szCs w:val="20"/>
        </w:rPr>
        <w:t xml:space="preserve">recently published an </w:t>
      </w:r>
      <w:r w:rsidR="00F550C6" w:rsidRPr="006767C5">
        <w:rPr>
          <w:rFonts w:ascii="Open Sans" w:hAnsi="Open Sans" w:cs="Open Sans"/>
          <w:sz w:val="20"/>
          <w:szCs w:val="20"/>
        </w:rPr>
        <w:t>in-depth</w:t>
      </w:r>
      <w:r w:rsidR="000F2AC3" w:rsidRPr="006767C5">
        <w:rPr>
          <w:rFonts w:ascii="Open Sans" w:hAnsi="Open Sans" w:cs="Open Sans"/>
          <w:sz w:val="20"/>
          <w:szCs w:val="20"/>
        </w:rPr>
        <w:t xml:space="preserve"> review of EU sustainability criteria, within </w:t>
      </w:r>
      <w:r w:rsidR="00F550C6" w:rsidRPr="006767C5">
        <w:rPr>
          <w:rFonts w:ascii="Open Sans" w:hAnsi="Open Sans" w:cs="Open Sans"/>
          <w:sz w:val="20"/>
          <w:szCs w:val="20"/>
        </w:rPr>
        <w:t>which they conclude that the implementation of RED</w:t>
      </w:r>
      <w:r w:rsidR="000B2A51" w:rsidRPr="006767C5">
        <w:rPr>
          <w:rFonts w:ascii="Open Sans" w:hAnsi="Open Sans" w:cs="Open Sans"/>
          <w:sz w:val="20"/>
          <w:szCs w:val="20"/>
        </w:rPr>
        <w:t xml:space="preserve"> II will be sufficient to mitigate negative impacts associated with the biomass pathways reviewed.</w:t>
      </w:r>
      <w:r w:rsidR="00487F88" w:rsidRPr="006767C5">
        <w:rPr>
          <w:rStyle w:val="FootnoteReference"/>
          <w:rFonts w:ascii="Open Sans" w:hAnsi="Open Sans" w:cs="Open Sans"/>
          <w:sz w:val="20"/>
          <w:szCs w:val="20"/>
        </w:rPr>
        <w:footnoteReference w:id="71"/>
      </w:r>
      <w:r w:rsidR="000B2A51" w:rsidRPr="006767C5">
        <w:rPr>
          <w:rFonts w:ascii="Open Sans" w:hAnsi="Open Sans" w:cs="Open Sans"/>
          <w:sz w:val="20"/>
          <w:szCs w:val="20"/>
        </w:rPr>
        <w:t xml:space="preserve"> Given UK requirements already go beyond this, Government should have </w:t>
      </w:r>
      <w:r w:rsidR="006A38D9" w:rsidRPr="006767C5">
        <w:rPr>
          <w:rFonts w:ascii="Open Sans" w:hAnsi="Open Sans" w:cs="Open Sans"/>
          <w:sz w:val="20"/>
          <w:szCs w:val="20"/>
        </w:rPr>
        <w:t xml:space="preserve">a high degree of </w:t>
      </w:r>
      <w:r w:rsidR="000B2A51" w:rsidRPr="006767C5">
        <w:rPr>
          <w:rFonts w:ascii="Open Sans" w:hAnsi="Open Sans" w:cs="Open Sans"/>
          <w:sz w:val="20"/>
          <w:szCs w:val="20"/>
        </w:rPr>
        <w:t xml:space="preserve">confidence in the existing governance </w:t>
      </w:r>
      <w:r w:rsidR="00487F88" w:rsidRPr="006767C5">
        <w:rPr>
          <w:rFonts w:ascii="Open Sans" w:hAnsi="Open Sans" w:cs="Open Sans"/>
          <w:sz w:val="20"/>
          <w:szCs w:val="20"/>
        </w:rPr>
        <w:t xml:space="preserve">sustainability </w:t>
      </w:r>
      <w:r w:rsidR="000B2A51" w:rsidRPr="006767C5">
        <w:rPr>
          <w:rFonts w:ascii="Open Sans" w:hAnsi="Open Sans" w:cs="Open Sans"/>
          <w:sz w:val="20"/>
          <w:szCs w:val="20"/>
        </w:rPr>
        <w:t>arrangements</w:t>
      </w:r>
      <w:r w:rsidR="00487F88" w:rsidRPr="006767C5">
        <w:rPr>
          <w:rFonts w:ascii="Open Sans" w:hAnsi="Open Sans" w:cs="Open Sans"/>
          <w:sz w:val="20"/>
          <w:szCs w:val="20"/>
        </w:rPr>
        <w:t xml:space="preserve">. </w:t>
      </w:r>
    </w:p>
    <w:p w14:paraId="3EFB2760" w14:textId="26F01FA6" w:rsidR="00487F88" w:rsidRPr="006767C5" w:rsidRDefault="00487F88" w:rsidP="00882FC4">
      <w:pPr>
        <w:rPr>
          <w:rFonts w:ascii="Open Sans" w:hAnsi="Open Sans" w:cs="Open Sans"/>
          <w:b/>
          <w:bCs/>
          <w:i/>
          <w:iCs/>
          <w:sz w:val="20"/>
          <w:szCs w:val="20"/>
        </w:rPr>
      </w:pPr>
      <w:r w:rsidRPr="006767C5">
        <w:rPr>
          <w:rFonts w:ascii="Open Sans" w:hAnsi="Open Sans" w:cs="Open Sans"/>
          <w:b/>
          <w:bCs/>
          <w:i/>
          <w:iCs/>
          <w:sz w:val="20"/>
          <w:szCs w:val="20"/>
        </w:rPr>
        <w:t xml:space="preserve">Bioenergy </w:t>
      </w:r>
      <w:r w:rsidR="006A38D9" w:rsidRPr="006767C5">
        <w:rPr>
          <w:rFonts w:ascii="Open Sans" w:hAnsi="Open Sans" w:cs="Open Sans"/>
          <w:b/>
          <w:bCs/>
          <w:i/>
          <w:iCs/>
          <w:sz w:val="20"/>
          <w:szCs w:val="20"/>
        </w:rPr>
        <w:t>g</w:t>
      </w:r>
      <w:r w:rsidRPr="006767C5">
        <w:rPr>
          <w:rFonts w:ascii="Open Sans" w:hAnsi="Open Sans" w:cs="Open Sans"/>
          <w:b/>
          <w:bCs/>
          <w:i/>
          <w:iCs/>
          <w:sz w:val="20"/>
          <w:szCs w:val="20"/>
        </w:rPr>
        <w:t xml:space="preserve">overnance is </w:t>
      </w:r>
      <w:r w:rsidR="00BA0D24" w:rsidRPr="006767C5">
        <w:rPr>
          <w:rFonts w:ascii="Open Sans" w:hAnsi="Open Sans" w:cs="Open Sans"/>
          <w:b/>
          <w:bCs/>
          <w:i/>
          <w:iCs/>
          <w:sz w:val="20"/>
          <w:szCs w:val="20"/>
        </w:rPr>
        <w:t>delivering</w:t>
      </w:r>
      <w:r w:rsidR="00742E91" w:rsidRPr="006767C5">
        <w:rPr>
          <w:rFonts w:ascii="Open Sans" w:hAnsi="Open Sans" w:cs="Open Sans"/>
          <w:b/>
          <w:bCs/>
          <w:i/>
          <w:iCs/>
          <w:sz w:val="20"/>
          <w:szCs w:val="20"/>
        </w:rPr>
        <w:t xml:space="preserve"> identifiable </w:t>
      </w:r>
      <w:r w:rsidRPr="006767C5">
        <w:rPr>
          <w:rFonts w:ascii="Open Sans" w:hAnsi="Open Sans" w:cs="Open Sans"/>
          <w:b/>
          <w:bCs/>
          <w:i/>
          <w:iCs/>
          <w:sz w:val="20"/>
          <w:szCs w:val="20"/>
        </w:rPr>
        <w:t>GHG savings</w:t>
      </w:r>
      <w:r w:rsidR="00742E91" w:rsidRPr="006767C5">
        <w:rPr>
          <w:rFonts w:ascii="Open Sans" w:hAnsi="Open Sans" w:cs="Open Sans"/>
          <w:b/>
          <w:bCs/>
          <w:i/>
          <w:iCs/>
          <w:sz w:val="20"/>
          <w:szCs w:val="20"/>
        </w:rPr>
        <w:t xml:space="preserve"> </w:t>
      </w:r>
      <w:r w:rsidR="00AD27AE" w:rsidRPr="006767C5">
        <w:rPr>
          <w:rFonts w:ascii="Open Sans" w:hAnsi="Open Sans" w:cs="Open Sans"/>
          <w:b/>
          <w:bCs/>
          <w:i/>
          <w:iCs/>
          <w:sz w:val="20"/>
          <w:szCs w:val="20"/>
        </w:rPr>
        <w:t>according to</w:t>
      </w:r>
      <w:r w:rsidR="00742E91" w:rsidRPr="006767C5">
        <w:rPr>
          <w:rFonts w:ascii="Open Sans" w:hAnsi="Open Sans" w:cs="Open Sans"/>
          <w:b/>
          <w:bCs/>
          <w:i/>
          <w:iCs/>
          <w:sz w:val="20"/>
          <w:szCs w:val="20"/>
        </w:rPr>
        <w:t xml:space="preserve"> the Life Cycle Analysis Methodolog</w:t>
      </w:r>
      <w:r w:rsidR="00BA0D24" w:rsidRPr="006767C5">
        <w:rPr>
          <w:rFonts w:ascii="Open Sans" w:hAnsi="Open Sans" w:cs="Open Sans"/>
          <w:b/>
          <w:bCs/>
          <w:i/>
          <w:iCs/>
          <w:sz w:val="20"/>
          <w:szCs w:val="20"/>
        </w:rPr>
        <w:t>ies</w:t>
      </w:r>
    </w:p>
    <w:p w14:paraId="27570BA6" w14:textId="2A019C50" w:rsidR="0021330A" w:rsidRPr="006767C5" w:rsidRDefault="0021330A" w:rsidP="00B046A0">
      <w:pPr>
        <w:rPr>
          <w:rFonts w:ascii="Open Sans" w:hAnsi="Open Sans" w:cs="Open Sans"/>
          <w:sz w:val="20"/>
          <w:szCs w:val="20"/>
        </w:rPr>
      </w:pPr>
      <w:r w:rsidRPr="006767C5">
        <w:rPr>
          <w:rFonts w:ascii="Open Sans" w:hAnsi="Open Sans" w:cs="Open Sans"/>
          <w:sz w:val="20"/>
          <w:szCs w:val="20"/>
        </w:rPr>
        <w:t xml:space="preserve">Current governance arrangements have adopted robust Life Cycle Analysis (LCA) methodologies for determining supply chain emissions of bioenergy feedstocks. </w:t>
      </w:r>
      <w:r w:rsidR="008032E1" w:rsidRPr="006767C5">
        <w:rPr>
          <w:rFonts w:ascii="Open Sans" w:hAnsi="Open Sans" w:cs="Open Sans"/>
          <w:sz w:val="20"/>
          <w:szCs w:val="20"/>
        </w:rPr>
        <w:t>These methodologies ensure all operators follow a consistent process for determining supply chain emissions. There are extensive databases which allow the calculation of the emissions associated with different activities. For example, the European Commission lists default values for carbon savings for nearly 250 specific bioenergy options</w:t>
      </w:r>
      <w:r w:rsidR="00742E91" w:rsidRPr="006767C5">
        <w:rPr>
          <w:rFonts w:ascii="Open Sans" w:hAnsi="Open Sans" w:cs="Open Sans"/>
          <w:sz w:val="20"/>
          <w:szCs w:val="20"/>
        </w:rPr>
        <w:t>.</w:t>
      </w:r>
      <w:r w:rsidR="008032E1" w:rsidRPr="006767C5">
        <w:rPr>
          <w:rStyle w:val="FootnoteReference"/>
          <w:rFonts w:ascii="Open Sans" w:hAnsi="Open Sans" w:cs="Open Sans"/>
          <w:sz w:val="20"/>
          <w:szCs w:val="20"/>
        </w:rPr>
        <w:footnoteReference w:id="72"/>
      </w:r>
      <w:r w:rsidR="00742E91" w:rsidRPr="006767C5">
        <w:rPr>
          <w:rFonts w:ascii="Open Sans" w:hAnsi="Open Sans" w:cs="Open Sans"/>
          <w:sz w:val="20"/>
          <w:szCs w:val="20"/>
        </w:rPr>
        <w:t xml:space="preserve"> The result depends on the detailed design of the supply chains</w:t>
      </w:r>
      <w:r w:rsidR="00F1011C" w:rsidRPr="006767C5">
        <w:rPr>
          <w:rFonts w:ascii="Open Sans" w:hAnsi="Open Sans" w:cs="Open Sans"/>
          <w:sz w:val="20"/>
          <w:szCs w:val="20"/>
        </w:rPr>
        <w:t>, the</w:t>
      </w:r>
      <w:r w:rsidR="00742E91" w:rsidRPr="006767C5">
        <w:rPr>
          <w:rFonts w:ascii="Open Sans" w:hAnsi="Open Sans" w:cs="Open Sans"/>
          <w:sz w:val="20"/>
          <w:szCs w:val="20"/>
        </w:rPr>
        <w:t xml:space="preserve"> conversion processes </w:t>
      </w:r>
      <w:r w:rsidR="00F1011C" w:rsidRPr="006767C5">
        <w:rPr>
          <w:rFonts w:ascii="Open Sans" w:hAnsi="Open Sans" w:cs="Open Sans"/>
          <w:sz w:val="20"/>
          <w:szCs w:val="20"/>
        </w:rPr>
        <w:t xml:space="preserve">used </w:t>
      </w:r>
      <w:r w:rsidR="00742E91" w:rsidRPr="006767C5">
        <w:rPr>
          <w:rFonts w:ascii="Open Sans" w:hAnsi="Open Sans" w:cs="Open Sans"/>
          <w:sz w:val="20"/>
          <w:szCs w:val="20"/>
        </w:rPr>
        <w:t>and the fossil fuel that is being replaced</w:t>
      </w:r>
      <w:r w:rsidR="006A38D9" w:rsidRPr="006767C5">
        <w:rPr>
          <w:rFonts w:ascii="Open Sans" w:hAnsi="Open Sans" w:cs="Open Sans"/>
          <w:sz w:val="20"/>
          <w:szCs w:val="20"/>
        </w:rPr>
        <w:t xml:space="preserve"> (the counterfactual)</w:t>
      </w:r>
      <w:r w:rsidR="00742E91" w:rsidRPr="006767C5">
        <w:rPr>
          <w:rFonts w:ascii="Open Sans" w:hAnsi="Open Sans" w:cs="Open Sans"/>
          <w:sz w:val="20"/>
          <w:szCs w:val="20"/>
        </w:rPr>
        <w:t xml:space="preserve">. LCA’s show that many bioenergy pathways can have much lower supply chain emissions than fossil fuels, often 80/85% lower than those emitted by the fossil fuel equivalent. In some cases – involving anaerobic digestion (AD) of wastes or carbon capture and storage - production and use of bioenergy can lead to a net reduction in GHG emissions. </w:t>
      </w:r>
    </w:p>
    <w:p w14:paraId="0FDBBE16" w14:textId="77777777" w:rsidR="00742E91" w:rsidRPr="006767C5" w:rsidRDefault="00742E91" w:rsidP="00742E91">
      <w:pPr>
        <w:rPr>
          <w:rFonts w:ascii="Open Sans" w:hAnsi="Open Sans" w:cs="Open Sans"/>
          <w:sz w:val="20"/>
          <w:szCs w:val="20"/>
        </w:rPr>
      </w:pPr>
      <w:r w:rsidRPr="006767C5">
        <w:rPr>
          <w:rFonts w:ascii="Open Sans" w:hAnsi="Open Sans" w:cs="Open Sans"/>
          <w:sz w:val="20"/>
          <w:szCs w:val="20"/>
        </w:rPr>
        <w:t>For the UK, LCA analysis shows the extent of GHG savings associated with bioenergy:</w:t>
      </w:r>
    </w:p>
    <w:p w14:paraId="7C181859" w14:textId="77777777" w:rsidR="00742E91" w:rsidRPr="006767C5" w:rsidRDefault="00742E91" w:rsidP="00742E91">
      <w:pPr>
        <w:pStyle w:val="ListParagraph"/>
        <w:numPr>
          <w:ilvl w:val="0"/>
          <w:numId w:val="23"/>
        </w:numPr>
        <w:rPr>
          <w:rFonts w:ascii="Open Sans" w:hAnsi="Open Sans" w:cs="Open Sans"/>
          <w:sz w:val="20"/>
          <w:szCs w:val="20"/>
        </w:rPr>
      </w:pPr>
      <w:r w:rsidRPr="006767C5">
        <w:rPr>
          <w:rFonts w:ascii="Open Sans" w:hAnsi="Open Sans" w:cs="Open Sans"/>
          <w:sz w:val="20"/>
          <w:szCs w:val="20"/>
        </w:rPr>
        <w:t xml:space="preserve">For biomass heating the average GHG emission value for Biomass Suppliers List Fuels is 10.9gCO2/MJ, which provides an 87.5 % GHG saving compared to the EU fossil heat </w:t>
      </w:r>
      <w:proofErr w:type="gramStart"/>
      <w:r w:rsidRPr="006767C5">
        <w:rPr>
          <w:rFonts w:ascii="Open Sans" w:hAnsi="Open Sans" w:cs="Open Sans"/>
          <w:sz w:val="20"/>
          <w:szCs w:val="20"/>
        </w:rPr>
        <w:t>average</w:t>
      </w:r>
      <w:proofErr w:type="gramEnd"/>
    </w:p>
    <w:p w14:paraId="436AFDAD" w14:textId="77777777" w:rsidR="00742E91" w:rsidRPr="006767C5" w:rsidRDefault="00742E91" w:rsidP="00742E91">
      <w:pPr>
        <w:pStyle w:val="ListParagraph"/>
        <w:numPr>
          <w:ilvl w:val="0"/>
          <w:numId w:val="23"/>
        </w:numPr>
        <w:rPr>
          <w:rFonts w:ascii="Open Sans" w:hAnsi="Open Sans" w:cs="Open Sans"/>
          <w:sz w:val="20"/>
          <w:szCs w:val="20"/>
        </w:rPr>
      </w:pPr>
      <w:r w:rsidRPr="006767C5">
        <w:rPr>
          <w:rFonts w:ascii="Open Sans" w:hAnsi="Open Sans" w:cs="Open Sans"/>
          <w:sz w:val="20"/>
          <w:szCs w:val="20"/>
        </w:rPr>
        <w:t xml:space="preserve">For power generation under the RO in 2015/16 RO sustainability reporting indicates emission equivalent to 28 g CO2e/MJ, an 86% reduction compared to the EU fossil fuel </w:t>
      </w:r>
      <w:proofErr w:type="gramStart"/>
      <w:r w:rsidRPr="006767C5">
        <w:rPr>
          <w:rFonts w:ascii="Open Sans" w:hAnsi="Open Sans" w:cs="Open Sans"/>
          <w:sz w:val="20"/>
          <w:szCs w:val="20"/>
        </w:rPr>
        <w:t>comparator</w:t>
      </w:r>
      <w:proofErr w:type="gramEnd"/>
    </w:p>
    <w:p w14:paraId="7A92ACB0" w14:textId="77777777" w:rsidR="00742E91" w:rsidRPr="006767C5" w:rsidRDefault="00742E91" w:rsidP="00742E91">
      <w:pPr>
        <w:pStyle w:val="ListParagraph"/>
        <w:numPr>
          <w:ilvl w:val="0"/>
          <w:numId w:val="23"/>
        </w:numPr>
        <w:rPr>
          <w:rFonts w:ascii="Open Sans" w:hAnsi="Open Sans" w:cs="Open Sans"/>
          <w:sz w:val="20"/>
          <w:szCs w:val="20"/>
        </w:rPr>
      </w:pPr>
      <w:r w:rsidRPr="006767C5">
        <w:rPr>
          <w:rFonts w:ascii="Open Sans" w:hAnsi="Open Sans" w:cs="Open Sans"/>
          <w:sz w:val="20"/>
          <w:szCs w:val="20"/>
        </w:rPr>
        <w:t xml:space="preserve">In transport, the overall savings from biofuels in 2017 were estimated by </w:t>
      </w:r>
      <w:proofErr w:type="spellStart"/>
      <w:r w:rsidRPr="006767C5">
        <w:rPr>
          <w:rFonts w:ascii="Open Sans" w:hAnsi="Open Sans" w:cs="Open Sans"/>
          <w:sz w:val="20"/>
          <w:szCs w:val="20"/>
        </w:rPr>
        <w:t>DfT</w:t>
      </w:r>
      <w:proofErr w:type="spellEnd"/>
      <w:r w:rsidRPr="006767C5">
        <w:rPr>
          <w:rFonts w:ascii="Open Sans" w:hAnsi="Open Sans" w:cs="Open Sans"/>
          <w:sz w:val="20"/>
          <w:szCs w:val="20"/>
        </w:rPr>
        <w:t xml:space="preserve"> at 70%.</w:t>
      </w:r>
    </w:p>
    <w:p w14:paraId="5E724703" w14:textId="02E954BD" w:rsidR="00742E91" w:rsidRPr="006767C5" w:rsidRDefault="00742E91" w:rsidP="00B046A0">
      <w:pPr>
        <w:rPr>
          <w:rFonts w:ascii="Open Sans" w:hAnsi="Open Sans" w:cs="Open Sans"/>
          <w:sz w:val="20"/>
          <w:szCs w:val="20"/>
        </w:rPr>
      </w:pPr>
      <w:r w:rsidRPr="006767C5">
        <w:rPr>
          <w:rFonts w:ascii="Open Sans" w:hAnsi="Open Sans" w:cs="Open Sans"/>
          <w:sz w:val="20"/>
          <w:szCs w:val="20"/>
        </w:rPr>
        <w:t xml:space="preserve">Overall, as described in question </w:t>
      </w:r>
      <w:r w:rsidR="00F1011C" w:rsidRPr="006767C5">
        <w:rPr>
          <w:rFonts w:ascii="Open Sans" w:hAnsi="Open Sans" w:cs="Open Sans"/>
          <w:sz w:val="20"/>
          <w:szCs w:val="20"/>
        </w:rPr>
        <w:t>3</w:t>
      </w:r>
      <w:r w:rsidRPr="006767C5">
        <w:rPr>
          <w:rFonts w:ascii="Open Sans" w:hAnsi="Open Sans" w:cs="Open Sans"/>
          <w:sz w:val="20"/>
          <w:szCs w:val="20"/>
        </w:rPr>
        <w:t xml:space="preserve">, the REA Bioenergy Strategy found that </w:t>
      </w:r>
      <w:r w:rsidR="00BA0D24" w:rsidRPr="006767C5">
        <w:rPr>
          <w:rFonts w:ascii="Open Sans" w:hAnsi="Open Sans" w:cs="Open Sans"/>
          <w:sz w:val="20"/>
          <w:szCs w:val="20"/>
        </w:rPr>
        <w:t xml:space="preserve">GHG savings from bioenergy in 2017 alone accounted 19.7 </w:t>
      </w:r>
      <w:proofErr w:type="gramStart"/>
      <w:r w:rsidR="00BA0D24" w:rsidRPr="006767C5">
        <w:rPr>
          <w:rFonts w:ascii="Open Sans" w:hAnsi="Open Sans" w:cs="Open Sans"/>
          <w:sz w:val="20"/>
          <w:szCs w:val="20"/>
        </w:rPr>
        <w:t>MTCO2e, and</w:t>
      </w:r>
      <w:proofErr w:type="gramEnd"/>
      <w:r w:rsidR="00BA0D24" w:rsidRPr="006767C5">
        <w:rPr>
          <w:rFonts w:ascii="Open Sans" w:hAnsi="Open Sans" w:cs="Open Sans"/>
          <w:sz w:val="20"/>
          <w:szCs w:val="20"/>
        </w:rPr>
        <w:t xml:space="preserve"> estimated the total reduction in GHG emissions due to fossil fuel replacement amount to some 65 MTCO2e in 2032. </w:t>
      </w:r>
      <w:r w:rsidR="00BA0D24" w:rsidRPr="006767C5">
        <w:rPr>
          <w:rStyle w:val="FootnoteReference"/>
          <w:rFonts w:ascii="Open Sans" w:hAnsi="Open Sans" w:cs="Open Sans"/>
          <w:sz w:val="20"/>
          <w:szCs w:val="20"/>
        </w:rPr>
        <w:footnoteReference w:id="73"/>
      </w:r>
    </w:p>
    <w:p w14:paraId="4B076EBC" w14:textId="45B2CDCE" w:rsidR="00BA0D24" w:rsidRPr="006767C5" w:rsidRDefault="00BA0D24" w:rsidP="00B046A0">
      <w:pPr>
        <w:rPr>
          <w:rFonts w:ascii="Open Sans" w:hAnsi="Open Sans" w:cs="Open Sans"/>
          <w:sz w:val="20"/>
          <w:szCs w:val="20"/>
        </w:rPr>
      </w:pPr>
      <w:r w:rsidRPr="006767C5">
        <w:rPr>
          <w:rFonts w:ascii="Open Sans" w:hAnsi="Open Sans" w:cs="Open Sans"/>
          <w:sz w:val="20"/>
          <w:szCs w:val="20"/>
        </w:rPr>
        <w:t>Furthermore, as</w:t>
      </w:r>
      <w:r w:rsidR="006A38D9" w:rsidRPr="006767C5">
        <w:rPr>
          <w:rFonts w:ascii="Open Sans" w:hAnsi="Open Sans" w:cs="Open Sans"/>
          <w:sz w:val="20"/>
          <w:szCs w:val="20"/>
        </w:rPr>
        <w:t xml:space="preserve"> transport decarbonise</w:t>
      </w:r>
      <w:r w:rsidR="00787077" w:rsidRPr="006767C5">
        <w:rPr>
          <w:rFonts w:ascii="Open Sans" w:hAnsi="Open Sans" w:cs="Open Sans"/>
          <w:sz w:val="20"/>
          <w:szCs w:val="20"/>
        </w:rPr>
        <w:t>s</w:t>
      </w:r>
      <w:r w:rsidR="006A38D9" w:rsidRPr="006767C5">
        <w:rPr>
          <w:rFonts w:ascii="Open Sans" w:hAnsi="Open Sans" w:cs="Open Sans"/>
          <w:sz w:val="20"/>
          <w:szCs w:val="20"/>
        </w:rPr>
        <w:t xml:space="preserve">, </w:t>
      </w:r>
      <w:r w:rsidR="00F1011C" w:rsidRPr="006767C5">
        <w:rPr>
          <w:rFonts w:ascii="Open Sans" w:hAnsi="Open Sans" w:cs="Open Sans"/>
          <w:sz w:val="20"/>
          <w:szCs w:val="20"/>
        </w:rPr>
        <w:t>using</w:t>
      </w:r>
      <w:r w:rsidR="006A38D9" w:rsidRPr="006767C5">
        <w:rPr>
          <w:rFonts w:ascii="Open Sans" w:hAnsi="Open Sans" w:cs="Open Sans"/>
          <w:sz w:val="20"/>
          <w:szCs w:val="20"/>
        </w:rPr>
        <w:t xml:space="preserve"> either </w:t>
      </w:r>
      <w:r w:rsidR="00787077" w:rsidRPr="006767C5">
        <w:rPr>
          <w:rFonts w:ascii="Open Sans" w:hAnsi="Open Sans" w:cs="Open Sans"/>
          <w:sz w:val="20"/>
          <w:szCs w:val="20"/>
        </w:rPr>
        <w:t>biofuels</w:t>
      </w:r>
      <w:r w:rsidR="006A38D9" w:rsidRPr="006767C5">
        <w:rPr>
          <w:rFonts w:ascii="Open Sans" w:hAnsi="Open Sans" w:cs="Open Sans"/>
          <w:sz w:val="20"/>
          <w:szCs w:val="20"/>
        </w:rPr>
        <w:t xml:space="preserve"> or electrification, supply chains can be expected </w:t>
      </w:r>
      <w:r w:rsidR="00787077" w:rsidRPr="006767C5">
        <w:rPr>
          <w:rFonts w:ascii="Open Sans" w:hAnsi="Open Sans" w:cs="Open Sans"/>
          <w:sz w:val="20"/>
          <w:szCs w:val="20"/>
        </w:rPr>
        <w:t xml:space="preserve">to deliver yet further GHG savings. </w:t>
      </w:r>
    </w:p>
    <w:p w14:paraId="6A5E8F94" w14:textId="77777777" w:rsidR="00E46AED" w:rsidRDefault="00E46AED" w:rsidP="00B046A0">
      <w:pPr>
        <w:rPr>
          <w:rFonts w:ascii="Open Sans" w:hAnsi="Open Sans" w:cs="Open Sans"/>
          <w:b/>
          <w:bCs/>
          <w:i/>
          <w:iCs/>
          <w:sz w:val="20"/>
          <w:szCs w:val="20"/>
        </w:rPr>
      </w:pPr>
    </w:p>
    <w:p w14:paraId="30230DB0" w14:textId="77777777" w:rsidR="00E46AED" w:rsidRDefault="00E46AED" w:rsidP="00B046A0">
      <w:pPr>
        <w:rPr>
          <w:rFonts w:ascii="Open Sans" w:hAnsi="Open Sans" w:cs="Open Sans"/>
          <w:b/>
          <w:bCs/>
          <w:i/>
          <w:iCs/>
          <w:sz w:val="20"/>
          <w:szCs w:val="20"/>
        </w:rPr>
      </w:pPr>
    </w:p>
    <w:p w14:paraId="4C48B266" w14:textId="48B7040C" w:rsidR="00BA0D24" w:rsidRPr="006767C5" w:rsidRDefault="00BA0D24" w:rsidP="00B046A0">
      <w:pPr>
        <w:rPr>
          <w:rFonts w:ascii="Open Sans" w:hAnsi="Open Sans" w:cs="Open Sans"/>
          <w:b/>
          <w:bCs/>
          <w:i/>
          <w:iCs/>
          <w:sz w:val="20"/>
          <w:szCs w:val="20"/>
        </w:rPr>
      </w:pPr>
      <w:r w:rsidRPr="006767C5">
        <w:rPr>
          <w:rFonts w:ascii="Open Sans" w:hAnsi="Open Sans" w:cs="Open Sans"/>
          <w:b/>
          <w:bCs/>
          <w:i/>
          <w:iCs/>
          <w:sz w:val="20"/>
          <w:szCs w:val="20"/>
        </w:rPr>
        <w:t xml:space="preserve">Governance arrangements </w:t>
      </w:r>
      <w:r w:rsidR="00E46AED">
        <w:rPr>
          <w:rFonts w:ascii="Open Sans" w:hAnsi="Open Sans" w:cs="Open Sans"/>
          <w:b/>
          <w:bCs/>
          <w:i/>
          <w:iCs/>
          <w:sz w:val="20"/>
          <w:szCs w:val="20"/>
        </w:rPr>
        <w:t xml:space="preserve">do </w:t>
      </w:r>
      <w:r w:rsidR="00D33A58" w:rsidRPr="006767C5">
        <w:rPr>
          <w:rFonts w:ascii="Open Sans" w:hAnsi="Open Sans" w:cs="Open Sans"/>
          <w:b/>
          <w:bCs/>
          <w:i/>
          <w:iCs/>
          <w:sz w:val="20"/>
          <w:szCs w:val="20"/>
        </w:rPr>
        <w:t>consider</w:t>
      </w:r>
      <w:r w:rsidRPr="006767C5">
        <w:rPr>
          <w:rFonts w:ascii="Open Sans" w:hAnsi="Open Sans" w:cs="Open Sans"/>
          <w:b/>
          <w:bCs/>
          <w:i/>
          <w:iCs/>
          <w:sz w:val="20"/>
          <w:szCs w:val="20"/>
        </w:rPr>
        <w:t xml:space="preserve"> biodiversity</w:t>
      </w:r>
      <w:r w:rsidR="006A448A" w:rsidRPr="006767C5">
        <w:rPr>
          <w:rFonts w:ascii="Open Sans" w:hAnsi="Open Sans" w:cs="Open Sans"/>
          <w:b/>
          <w:bCs/>
          <w:i/>
          <w:iCs/>
          <w:sz w:val="20"/>
          <w:szCs w:val="20"/>
        </w:rPr>
        <w:t xml:space="preserve"> and</w:t>
      </w:r>
      <w:r w:rsidRPr="006767C5">
        <w:rPr>
          <w:rFonts w:ascii="Open Sans" w:hAnsi="Open Sans" w:cs="Open Sans"/>
          <w:b/>
          <w:bCs/>
          <w:i/>
          <w:iCs/>
          <w:sz w:val="20"/>
          <w:szCs w:val="20"/>
        </w:rPr>
        <w:t xml:space="preserve"> land use change</w:t>
      </w:r>
      <w:r w:rsidR="006A448A" w:rsidRPr="006767C5">
        <w:rPr>
          <w:rFonts w:ascii="Open Sans" w:hAnsi="Open Sans" w:cs="Open Sans"/>
          <w:b/>
          <w:bCs/>
          <w:i/>
          <w:iCs/>
          <w:sz w:val="20"/>
          <w:szCs w:val="20"/>
        </w:rPr>
        <w:t xml:space="preserve">. </w:t>
      </w:r>
    </w:p>
    <w:p w14:paraId="4F941494" w14:textId="1BB2D860" w:rsidR="00431747" w:rsidRPr="006767C5" w:rsidRDefault="00431747" w:rsidP="00431747">
      <w:pPr>
        <w:rPr>
          <w:rFonts w:ascii="Open Sans" w:eastAsia="Stone Sans ITC TT" w:hAnsi="Open Sans" w:cs="Open Sans"/>
          <w:sz w:val="20"/>
          <w:szCs w:val="20"/>
          <w:lang w:val="en-US"/>
        </w:rPr>
      </w:pPr>
      <w:r w:rsidRPr="006767C5">
        <w:rPr>
          <w:rFonts w:ascii="Open Sans" w:hAnsi="Open Sans" w:cs="Open Sans"/>
          <w:sz w:val="20"/>
          <w:szCs w:val="20"/>
        </w:rPr>
        <w:t xml:space="preserve">Governance arrangements also consider both direct land use change (LUC) and indirect land use change (ILUC). UK sustainability arrangements, in accordance with RED, </w:t>
      </w:r>
      <w:r w:rsidRPr="006767C5">
        <w:rPr>
          <w:rFonts w:ascii="Open Sans" w:eastAsia="Stone Sans ITC TT" w:hAnsi="Open Sans" w:cs="Open Sans"/>
          <w:sz w:val="20"/>
          <w:szCs w:val="20"/>
          <w:lang w:val="en-US"/>
        </w:rPr>
        <w:t xml:space="preserve">excludes support for biofuels (including imports) made from raw materials obtained from converted high-carbon stock land or land with high biodiversity value. The </w:t>
      </w:r>
      <w:proofErr w:type="gramStart"/>
      <w:r w:rsidRPr="006767C5">
        <w:rPr>
          <w:rFonts w:ascii="Open Sans" w:eastAsia="Stone Sans ITC TT" w:hAnsi="Open Sans" w:cs="Open Sans"/>
          <w:sz w:val="20"/>
          <w:szCs w:val="20"/>
          <w:lang w:val="en-US"/>
        </w:rPr>
        <w:t>RO ,</w:t>
      </w:r>
      <w:proofErr w:type="gramEnd"/>
      <w:r w:rsidR="00D33A58" w:rsidRPr="006767C5">
        <w:rPr>
          <w:rFonts w:ascii="Open Sans" w:eastAsia="Stone Sans ITC TT" w:hAnsi="Open Sans" w:cs="Open Sans"/>
          <w:sz w:val="20"/>
          <w:szCs w:val="20"/>
          <w:lang w:val="en-US"/>
        </w:rPr>
        <w:t xml:space="preserve"> </w:t>
      </w:r>
      <w:r w:rsidRPr="006767C5">
        <w:rPr>
          <w:rFonts w:ascii="Open Sans" w:eastAsia="Stone Sans ITC TT" w:hAnsi="Open Sans" w:cs="Open Sans"/>
          <w:sz w:val="20"/>
          <w:szCs w:val="20"/>
          <w:lang w:val="en-US"/>
        </w:rPr>
        <w:t xml:space="preserve">CfD  and RTFO, make specific provision to include emissions from direct land-use change into the calculation of GHG. </w:t>
      </w:r>
      <w:r w:rsidR="00387796" w:rsidRPr="006767C5">
        <w:rPr>
          <w:rFonts w:ascii="Open Sans" w:eastAsia="Stone Sans ITC TT" w:hAnsi="Open Sans" w:cs="Open Sans"/>
          <w:sz w:val="20"/>
          <w:szCs w:val="20"/>
          <w:lang w:val="en-US"/>
        </w:rPr>
        <w:t>The RHI also ensures that only fuel that meets strict land use criteria is used by mandating fuels are appropriately registered to the Biomass Suppliers list</w:t>
      </w:r>
      <w:r w:rsidR="00387796" w:rsidRPr="006767C5">
        <w:rPr>
          <w:rStyle w:val="FootnoteReference"/>
          <w:rFonts w:ascii="Open Sans" w:eastAsia="Stone Sans ITC TT" w:hAnsi="Open Sans" w:cs="Open Sans"/>
          <w:sz w:val="20"/>
          <w:szCs w:val="20"/>
          <w:lang w:val="en-US"/>
        </w:rPr>
        <w:footnoteReference w:id="74"/>
      </w:r>
      <w:r w:rsidR="00387796" w:rsidRPr="006767C5">
        <w:rPr>
          <w:rFonts w:ascii="Open Sans" w:eastAsia="Stone Sans ITC TT" w:hAnsi="Open Sans" w:cs="Open Sans"/>
          <w:sz w:val="20"/>
          <w:szCs w:val="20"/>
          <w:lang w:val="en-US"/>
        </w:rPr>
        <w:t xml:space="preserve"> or Sustainable Fuels Register.</w:t>
      </w:r>
      <w:r w:rsidR="00387796" w:rsidRPr="006767C5">
        <w:rPr>
          <w:rStyle w:val="FootnoteReference"/>
          <w:rFonts w:ascii="Open Sans" w:eastAsia="Stone Sans ITC TT" w:hAnsi="Open Sans" w:cs="Open Sans"/>
          <w:sz w:val="20"/>
          <w:szCs w:val="20"/>
          <w:lang w:val="en-US"/>
        </w:rPr>
        <w:footnoteReference w:id="75"/>
      </w:r>
      <w:r w:rsidR="00387796" w:rsidRPr="006767C5">
        <w:rPr>
          <w:rFonts w:ascii="Open Sans" w:eastAsia="Stone Sans ITC TT" w:hAnsi="Open Sans" w:cs="Open Sans"/>
          <w:sz w:val="20"/>
          <w:szCs w:val="20"/>
          <w:lang w:val="en-US"/>
        </w:rPr>
        <w:t xml:space="preserve"> </w:t>
      </w:r>
    </w:p>
    <w:p w14:paraId="7E43A80E" w14:textId="77777777" w:rsidR="00F1011C" w:rsidRPr="006767C5" w:rsidRDefault="00431747" w:rsidP="00431747">
      <w:pPr>
        <w:rPr>
          <w:rFonts w:ascii="Open Sans" w:hAnsi="Open Sans" w:cs="Open Sans"/>
          <w:sz w:val="20"/>
          <w:szCs w:val="20"/>
          <w:lang w:val="en-US"/>
        </w:rPr>
      </w:pPr>
      <w:r w:rsidRPr="006767C5">
        <w:rPr>
          <w:rFonts w:ascii="Open Sans" w:eastAsia="Stone Sans ITC TT" w:hAnsi="Open Sans" w:cs="Open Sans"/>
          <w:sz w:val="20"/>
          <w:szCs w:val="20"/>
          <w:lang w:val="en-US"/>
        </w:rPr>
        <w:t xml:space="preserve">Furthermore, RED II means that distinction is also being made between crops with a high and low ILUC risk. For example, the UK RTFO </w:t>
      </w:r>
      <w:r w:rsidRPr="006767C5">
        <w:rPr>
          <w:rFonts w:ascii="Open Sans" w:hAnsi="Open Sans" w:cs="Open Sans"/>
          <w:sz w:val="20"/>
          <w:szCs w:val="20"/>
          <w:lang w:val="en-US"/>
        </w:rPr>
        <w:t xml:space="preserve">will limit the contribution from crop-based biofuels to a maximum of 4% of the 7.25% biofuel provision, with that maximum reducing to 2% in 2032, while also providing higher rewards to waste-based feedstocks. </w:t>
      </w:r>
    </w:p>
    <w:p w14:paraId="1A938C90" w14:textId="66C0AAD9" w:rsidR="00431747" w:rsidRPr="006767C5" w:rsidRDefault="00431747" w:rsidP="00431747">
      <w:pPr>
        <w:rPr>
          <w:rFonts w:ascii="Open Sans" w:hAnsi="Open Sans" w:cs="Open Sans"/>
          <w:sz w:val="20"/>
          <w:szCs w:val="20"/>
        </w:rPr>
      </w:pPr>
      <w:r w:rsidRPr="006767C5">
        <w:rPr>
          <w:rFonts w:ascii="Open Sans" w:hAnsi="Open Sans" w:cs="Open Sans"/>
          <w:sz w:val="20"/>
          <w:szCs w:val="20"/>
          <w:lang w:val="en-US"/>
        </w:rPr>
        <w:t>The RHI also placed strong limits on the use of crops to produce biomethane (</w:t>
      </w:r>
      <w:r w:rsidR="006A448A" w:rsidRPr="006767C5">
        <w:rPr>
          <w:rFonts w:ascii="Open Sans" w:hAnsi="Open Sans" w:cs="Open Sans"/>
          <w:sz w:val="20"/>
          <w:szCs w:val="20"/>
          <w:lang w:val="en-US"/>
        </w:rPr>
        <w:t>to</w:t>
      </w:r>
      <w:r w:rsidRPr="006767C5">
        <w:rPr>
          <w:rFonts w:ascii="Open Sans" w:hAnsi="Open Sans" w:cs="Open Sans"/>
          <w:sz w:val="20"/>
          <w:szCs w:val="20"/>
          <w:lang w:val="en-US"/>
        </w:rPr>
        <w:t xml:space="preserve"> constrain the use of crops like maize). </w:t>
      </w:r>
      <w:r w:rsidRPr="006767C5">
        <w:rPr>
          <w:rFonts w:ascii="Open Sans" w:hAnsi="Open Sans" w:cs="Open Sans"/>
          <w:sz w:val="20"/>
          <w:szCs w:val="20"/>
        </w:rPr>
        <w:t>RHI payments are</w:t>
      </w:r>
      <w:r w:rsidR="00787077" w:rsidRPr="006767C5">
        <w:rPr>
          <w:rFonts w:ascii="Open Sans" w:hAnsi="Open Sans" w:cs="Open Sans"/>
          <w:sz w:val="20"/>
          <w:szCs w:val="20"/>
        </w:rPr>
        <w:t xml:space="preserve"> also</w:t>
      </w:r>
      <w:r w:rsidRPr="006767C5">
        <w:rPr>
          <w:rFonts w:ascii="Open Sans" w:hAnsi="Open Sans" w:cs="Open Sans"/>
          <w:sz w:val="20"/>
          <w:szCs w:val="20"/>
        </w:rPr>
        <w:t xml:space="preserve"> reduced if more than 50% of the biogas/biomethane is made from any crops. </w:t>
      </w:r>
      <w:r w:rsidR="00787077" w:rsidRPr="006767C5">
        <w:rPr>
          <w:rFonts w:ascii="Open Sans" w:hAnsi="Open Sans" w:cs="Open Sans"/>
          <w:sz w:val="20"/>
          <w:szCs w:val="20"/>
        </w:rPr>
        <w:t>T</w:t>
      </w:r>
      <w:r w:rsidRPr="006767C5">
        <w:rPr>
          <w:rFonts w:ascii="Open Sans" w:hAnsi="Open Sans" w:cs="Open Sans"/>
          <w:sz w:val="20"/>
          <w:szCs w:val="20"/>
        </w:rPr>
        <w:t>his is one area where sustainability governance could be</w:t>
      </w:r>
      <w:r w:rsidR="00787077" w:rsidRPr="006767C5">
        <w:rPr>
          <w:rFonts w:ascii="Open Sans" w:hAnsi="Open Sans" w:cs="Open Sans"/>
          <w:sz w:val="20"/>
          <w:szCs w:val="20"/>
        </w:rPr>
        <w:t xml:space="preserve"> further</w:t>
      </w:r>
      <w:r w:rsidRPr="006767C5">
        <w:rPr>
          <w:rFonts w:ascii="Open Sans" w:hAnsi="Open Sans" w:cs="Open Sans"/>
          <w:sz w:val="20"/>
          <w:szCs w:val="20"/>
        </w:rPr>
        <w:t xml:space="preserve"> </w:t>
      </w:r>
      <w:r w:rsidR="006A448A" w:rsidRPr="006767C5">
        <w:rPr>
          <w:rFonts w:ascii="Open Sans" w:hAnsi="Open Sans" w:cs="Open Sans"/>
          <w:sz w:val="20"/>
          <w:szCs w:val="20"/>
        </w:rPr>
        <w:t>refined, with</w:t>
      </w:r>
      <w:r w:rsidR="00AE249C" w:rsidRPr="006767C5">
        <w:rPr>
          <w:rFonts w:ascii="Open Sans" w:hAnsi="Open Sans" w:cs="Open Sans"/>
          <w:sz w:val="20"/>
          <w:szCs w:val="20"/>
        </w:rPr>
        <w:t xml:space="preserve"> crops being allowed to be used where they complement traditional agricultural production. </w:t>
      </w:r>
      <w:r w:rsidR="00AE249C" w:rsidRPr="006767C5">
        <w:rPr>
          <w:rFonts w:ascii="Open Sans" w:hAnsi="Open Sans" w:cs="Open Sans"/>
          <w:sz w:val="20"/>
          <w:szCs w:val="20"/>
          <w:lang w:val="en-US"/>
        </w:rPr>
        <w:t xml:space="preserve">For example, </w:t>
      </w:r>
      <w:r w:rsidR="00AE249C" w:rsidRPr="006767C5">
        <w:rPr>
          <w:rFonts w:ascii="Open Sans" w:hAnsi="Open Sans" w:cs="Open Sans"/>
          <w:sz w:val="20"/>
          <w:szCs w:val="20"/>
        </w:rPr>
        <w:t>sustainability criteria could allow ‘break crop’ feedstocks for biogas, which are grown in close rotation with food/feed crops.</w:t>
      </w:r>
      <w:r w:rsidR="006A448A" w:rsidRPr="006767C5">
        <w:rPr>
          <w:rFonts w:ascii="Open Sans" w:hAnsi="Open Sans" w:cs="Open Sans"/>
          <w:sz w:val="20"/>
          <w:szCs w:val="20"/>
        </w:rPr>
        <w:t xml:space="preserve"> </w:t>
      </w:r>
      <w:r w:rsidR="00AE249C" w:rsidRPr="006767C5">
        <w:rPr>
          <w:rFonts w:ascii="Open Sans" w:hAnsi="Open Sans" w:cs="Open Sans"/>
          <w:sz w:val="20"/>
          <w:szCs w:val="20"/>
        </w:rPr>
        <w:t xml:space="preserve">(See information on carbon sequestration and </w:t>
      </w:r>
      <w:r w:rsidR="006A448A" w:rsidRPr="006767C5">
        <w:rPr>
          <w:rFonts w:ascii="Open Sans" w:hAnsi="Open Sans" w:cs="Open Sans"/>
          <w:sz w:val="20"/>
          <w:szCs w:val="20"/>
        </w:rPr>
        <w:t>utilising</w:t>
      </w:r>
      <w:r w:rsidR="00AE249C" w:rsidRPr="006767C5">
        <w:rPr>
          <w:rFonts w:ascii="Open Sans" w:hAnsi="Open Sans" w:cs="Open Sans"/>
          <w:sz w:val="20"/>
          <w:szCs w:val="20"/>
        </w:rPr>
        <w:t xml:space="preserve"> low-grade land in </w:t>
      </w:r>
      <w:r w:rsidR="00787077" w:rsidRPr="006767C5">
        <w:rPr>
          <w:rFonts w:ascii="Open Sans" w:hAnsi="Open Sans" w:cs="Open Sans"/>
          <w:sz w:val="20"/>
          <w:szCs w:val="20"/>
        </w:rPr>
        <w:t>Q</w:t>
      </w:r>
      <w:r w:rsidR="00AE249C" w:rsidRPr="006767C5">
        <w:rPr>
          <w:rFonts w:ascii="Open Sans" w:hAnsi="Open Sans" w:cs="Open Sans"/>
          <w:sz w:val="20"/>
          <w:szCs w:val="20"/>
        </w:rPr>
        <w:t>4)</w:t>
      </w:r>
      <w:r w:rsidR="006A448A" w:rsidRPr="006767C5">
        <w:rPr>
          <w:rFonts w:ascii="Open Sans" w:hAnsi="Open Sans" w:cs="Open Sans"/>
          <w:sz w:val="20"/>
          <w:szCs w:val="20"/>
        </w:rPr>
        <w:t>.</w:t>
      </w:r>
    </w:p>
    <w:p w14:paraId="37C85228" w14:textId="1FF2F85D" w:rsidR="006A448A" w:rsidRPr="006767C5" w:rsidRDefault="006A448A" w:rsidP="00387796">
      <w:pPr>
        <w:rPr>
          <w:rFonts w:ascii="Open Sans" w:hAnsi="Open Sans" w:cs="Open Sans"/>
          <w:color w:val="404040"/>
          <w:sz w:val="20"/>
          <w:szCs w:val="20"/>
          <w:lang w:val="en"/>
        </w:rPr>
      </w:pPr>
      <w:r w:rsidRPr="006767C5">
        <w:rPr>
          <w:rFonts w:ascii="Open Sans" w:hAnsi="Open Sans" w:cs="Open Sans"/>
          <w:sz w:val="20"/>
          <w:szCs w:val="20"/>
        </w:rPr>
        <w:t xml:space="preserve">In terms of biodiversity, </w:t>
      </w:r>
      <w:r w:rsidRPr="006767C5">
        <w:rPr>
          <w:rFonts w:ascii="Open Sans" w:hAnsi="Open Sans" w:cs="Open Sans"/>
          <w:sz w:val="20"/>
          <w:szCs w:val="20"/>
          <w:lang w:val="en"/>
        </w:rPr>
        <w:t xml:space="preserve">to be eligible under the UK support schemes, it is necessary to demonstrate that the production of bioenergy feedstocks does not take place on land classified as having high biodiversity value since 2008, as defined by the European </w:t>
      </w:r>
      <w:r w:rsidR="00F1011C" w:rsidRPr="006767C5">
        <w:rPr>
          <w:rFonts w:ascii="Open Sans" w:hAnsi="Open Sans" w:cs="Open Sans"/>
          <w:sz w:val="20"/>
          <w:szCs w:val="20"/>
          <w:lang w:val="en"/>
        </w:rPr>
        <w:t>C</w:t>
      </w:r>
      <w:r w:rsidR="00387796" w:rsidRPr="006767C5">
        <w:rPr>
          <w:rFonts w:ascii="Open Sans" w:hAnsi="Open Sans" w:cs="Open Sans"/>
          <w:sz w:val="20"/>
          <w:szCs w:val="20"/>
          <w:lang w:val="en"/>
        </w:rPr>
        <w:t>ommission</w:t>
      </w:r>
      <w:r w:rsidRPr="006767C5">
        <w:rPr>
          <w:rFonts w:ascii="Open Sans" w:hAnsi="Open Sans" w:cs="Open Sans"/>
          <w:sz w:val="20"/>
          <w:szCs w:val="20"/>
          <w:lang w:val="en"/>
        </w:rPr>
        <w:t>.</w:t>
      </w:r>
      <w:r w:rsidRPr="006767C5">
        <w:rPr>
          <w:rStyle w:val="FootnoteReference"/>
          <w:rFonts w:ascii="Open Sans" w:hAnsi="Open Sans" w:cs="Open Sans"/>
          <w:sz w:val="20"/>
          <w:szCs w:val="20"/>
          <w:lang w:val="en"/>
        </w:rPr>
        <w:footnoteReference w:id="76"/>
      </w:r>
      <w:r w:rsidRPr="006767C5">
        <w:rPr>
          <w:rFonts w:ascii="Open Sans" w:hAnsi="Open Sans" w:cs="Open Sans"/>
          <w:sz w:val="20"/>
          <w:szCs w:val="20"/>
          <w:lang w:val="en"/>
        </w:rPr>
        <w:t xml:space="preserve"> For example under the RTFO</w:t>
      </w:r>
      <w:r w:rsidR="00D33A58" w:rsidRPr="006767C5">
        <w:rPr>
          <w:rFonts w:ascii="Open Sans" w:hAnsi="Open Sans" w:cs="Open Sans"/>
          <w:sz w:val="20"/>
          <w:szCs w:val="20"/>
          <w:lang w:val="en"/>
        </w:rPr>
        <w:t xml:space="preserve">, RO and </w:t>
      </w:r>
      <w:proofErr w:type="gramStart"/>
      <w:r w:rsidR="00D33A58" w:rsidRPr="006767C5">
        <w:rPr>
          <w:rFonts w:ascii="Open Sans" w:hAnsi="Open Sans" w:cs="Open Sans"/>
          <w:sz w:val="20"/>
          <w:szCs w:val="20"/>
          <w:lang w:val="en"/>
        </w:rPr>
        <w:t xml:space="preserve">CfD </w:t>
      </w:r>
      <w:r w:rsidRPr="006767C5">
        <w:rPr>
          <w:rFonts w:ascii="Open Sans" w:hAnsi="Open Sans" w:cs="Open Sans"/>
          <w:sz w:val="20"/>
          <w:szCs w:val="20"/>
          <w:lang w:val="en"/>
        </w:rPr>
        <w:t xml:space="preserve"> a</w:t>
      </w:r>
      <w:proofErr w:type="gramEnd"/>
      <w:r w:rsidRPr="006767C5">
        <w:rPr>
          <w:rFonts w:ascii="Open Sans" w:hAnsi="Open Sans" w:cs="Open Sans"/>
          <w:sz w:val="20"/>
          <w:szCs w:val="20"/>
          <w:lang w:val="en"/>
        </w:rPr>
        <w:t xml:space="preserve"> </w:t>
      </w:r>
      <w:proofErr w:type="spellStart"/>
      <w:r w:rsidRPr="006767C5">
        <w:rPr>
          <w:rFonts w:ascii="Open Sans" w:hAnsi="Open Sans" w:cs="Open Sans"/>
          <w:sz w:val="20"/>
          <w:szCs w:val="20"/>
          <w:lang w:val="en"/>
        </w:rPr>
        <w:t>recogni</w:t>
      </w:r>
      <w:r w:rsidR="00D33A58" w:rsidRPr="006767C5">
        <w:rPr>
          <w:rFonts w:ascii="Open Sans" w:hAnsi="Open Sans" w:cs="Open Sans"/>
          <w:sz w:val="20"/>
          <w:szCs w:val="20"/>
          <w:lang w:val="en"/>
        </w:rPr>
        <w:t>s</w:t>
      </w:r>
      <w:r w:rsidRPr="006767C5">
        <w:rPr>
          <w:rFonts w:ascii="Open Sans" w:hAnsi="Open Sans" w:cs="Open Sans"/>
          <w:sz w:val="20"/>
          <w:szCs w:val="20"/>
          <w:lang w:val="en"/>
        </w:rPr>
        <w:t>ed</w:t>
      </w:r>
      <w:proofErr w:type="spellEnd"/>
      <w:r w:rsidRPr="006767C5">
        <w:rPr>
          <w:rFonts w:ascii="Open Sans" w:hAnsi="Open Sans" w:cs="Open Sans"/>
          <w:sz w:val="20"/>
          <w:szCs w:val="20"/>
          <w:lang w:val="en"/>
        </w:rPr>
        <w:t xml:space="preserve"> 'voluntary scheme' can be used to demonstrate compliance for the land criteria</w:t>
      </w:r>
      <w:r w:rsidR="00D33A58" w:rsidRPr="006767C5">
        <w:rPr>
          <w:rFonts w:ascii="Open Sans" w:hAnsi="Open Sans" w:cs="Open Sans"/>
          <w:sz w:val="20"/>
          <w:szCs w:val="20"/>
          <w:lang w:val="en"/>
        </w:rPr>
        <w:t>, and within the RHI</w:t>
      </w:r>
      <w:r w:rsidR="00F1011C" w:rsidRPr="006767C5">
        <w:rPr>
          <w:rFonts w:ascii="Open Sans" w:hAnsi="Open Sans" w:cs="Open Sans"/>
          <w:sz w:val="20"/>
          <w:szCs w:val="20"/>
          <w:lang w:val="en"/>
        </w:rPr>
        <w:t>.</w:t>
      </w:r>
    </w:p>
    <w:p w14:paraId="54255DD7" w14:textId="0C1A1F5A" w:rsidR="006A448A" w:rsidRPr="006767C5" w:rsidRDefault="002F63D9" w:rsidP="00431747">
      <w:pPr>
        <w:rPr>
          <w:rFonts w:ascii="Open Sans" w:hAnsi="Open Sans" w:cs="Open Sans"/>
          <w:b/>
          <w:bCs/>
          <w:i/>
          <w:iCs/>
          <w:sz w:val="20"/>
          <w:szCs w:val="20"/>
        </w:rPr>
      </w:pPr>
      <w:r w:rsidRPr="006767C5">
        <w:rPr>
          <w:rFonts w:ascii="Open Sans" w:hAnsi="Open Sans" w:cs="Open Sans"/>
          <w:b/>
          <w:bCs/>
          <w:i/>
          <w:iCs/>
          <w:sz w:val="20"/>
          <w:szCs w:val="20"/>
        </w:rPr>
        <w:t>Sustainability g</w:t>
      </w:r>
      <w:r w:rsidR="00D33A58" w:rsidRPr="006767C5">
        <w:rPr>
          <w:rFonts w:ascii="Open Sans" w:hAnsi="Open Sans" w:cs="Open Sans"/>
          <w:b/>
          <w:bCs/>
          <w:i/>
          <w:iCs/>
          <w:sz w:val="20"/>
          <w:szCs w:val="20"/>
        </w:rPr>
        <w:t>overnance arrangements are working – delivering</w:t>
      </w:r>
      <w:r w:rsidR="00AD1D49" w:rsidRPr="006767C5">
        <w:rPr>
          <w:rFonts w:ascii="Open Sans" w:hAnsi="Open Sans" w:cs="Open Sans"/>
          <w:b/>
          <w:bCs/>
          <w:i/>
          <w:iCs/>
          <w:sz w:val="20"/>
          <w:szCs w:val="20"/>
        </w:rPr>
        <w:t xml:space="preserve"> increasing </w:t>
      </w:r>
      <w:r w:rsidR="00D33A58" w:rsidRPr="006767C5">
        <w:rPr>
          <w:rFonts w:ascii="Open Sans" w:hAnsi="Open Sans" w:cs="Open Sans"/>
          <w:b/>
          <w:bCs/>
          <w:i/>
          <w:iCs/>
          <w:sz w:val="20"/>
          <w:szCs w:val="20"/>
        </w:rPr>
        <w:t>forest</w:t>
      </w:r>
      <w:r w:rsidR="00AD1D49" w:rsidRPr="006767C5">
        <w:rPr>
          <w:rFonts w:ascii="Open Sans" w:hAnsi="Open Sans" w:cs="Open Sans"/>
          <w:b/>
          <w:bCs/>
          <w:i/>
          <w:iCs/>
          <w:sz w:val="20"/>
          <w:szCs w:val="20"/>
        </w:rPr>
        <w:t xml:space="preserve"> inventories and carbon stock</w:t>
      </w:r>
      <w:r w:rsidR="00981859" w:rsidRPr="006767C5">
        <w:rPr>
          <w:rFonts w:ascii="Open Sans" w:hAnsi="Open Sans" w:cs="Open Sans"/>
          <w:b/>
          <w:bCs/>
          <w:i/>
          <w:iCs/>
          <w:sz w:val="20"/>
          <w:szCs w:val="20"/>
        </w:rPr>
        <w:t>.</w:t>
      </w:r>
    </w:p>
    <w:p w14:paraId="6C74070D" w14:textId="472ED15D" w:rsidR="00AE249C" w:rsidRPr="006767C5" w:rsidRDefault="00AD1D49" w:rsidP="00431747">
      <w:pPr>
        <w:rPr>
          <w:rFonts w:ascii="Open Sans" w:hAnsi="Open Sans" w:cs="Open Sans"/>
          <w:sz w:val="20"/>
          <w:szCs w:val="20"/>
        </w:rPr>
      </w:pPr>
      <w:r w:rsidRPr="006767C5">
        <w:rPr>
          <w:rFonts w:ascii="Open Sans" w:hAnsi="Open Sans" w:cs="Open Sans"/>
          <w:sz w:val="20"/>
          <w:szCs w:val="20"/>
        </w:rPr>
        <w:t xml:space="preserve">As described in question </w:t>
      </w:r>
      <w:r w:rsidR="00F63811" w:rsidRPr="006767C5">
        <w:rPr>
          <w:rFonts w:ascii="Open Sans" w:hAnsi="Open Sans" w:cs="Open Sans"/>
          <w:sz w:val="20"/>
          <w:szCs w:val="20"/>
        </w:rPr>
        <w:t xml:space="preserve">7, </w:t>
      </w:r>
      <w:r w:rsidR="00850032" w:rsidRPr="006767C5">
        <w:rPr>
          <w:rFonts w:ascii="Open Sans" w:hAnsi="Open Sans" w:cs="Open Sans"/>
          <w:sz w:val="20"/>
          <w:szCs w:val="20"/>
        </w:rPr>
        <w:t>the</w:t>
      </w:r>
      <w:r w:rsidR="00F63811" w:rsidRPr="006767C5">
        <w:rPr>
          <w:rFonts w:ascii="Open Sans" w:hAnsi="Open Sans" w:cs="Open Sans"/>
          <w:sz w:val="20"/>
          <w:szCs w:val="20"/>
        </w:rPr>
        <w:t xml:space="preserve"> primary sources of both imported and domestic biomass </w:t>
      </w:r>
      <w:r w:rsidR="00787077" w:rsidRPr="006767C5">
        <w:rPr>
          <w:rFonts w:ascii="Open Sans" w:hAnsi="Open Sans" w:cs="Open Sans"/>
          <w:sz w:val="20"/>
          <w:szCs w:val="20"/>
        </w:rPr>
        <w:t xml:space="preserve">are </w:t>
      </w:r>
      <w:r w:rsidR="00F63811" w:rsidRPr="006767C5">
        <w:rPr>
          <w:rFonts w:ascii="Open Sans" w:hAnsi="Open Sans" w:cs="Open Sans"/>
          <w:sz w:val="20"/>
          <w:szCs w:val="20"/>
        </w:rPr>
        <w:t>both experiencing increases in forest inventory and carbon stoc</w:t>
      </w:r>
      <w:r w:rsidR="00850032" w:rsidRPr="006767C5">
        <w:rPr>
          <w:rFonts w:ascii="Open Sans" w:hAnsi="Open Sans" w:cs="Open Sans"/>
          <w:sz w:val="20"/>
          <w:szCs w:val="20"/>
        </w:rPr>
        <w:t xml:space="preserve">k resulting from well managed forests and the production of bioenergy feedstocks being done in accordance </w:t>
      </w:r>
      <w:r w:rsidR="00F63811" w:rsidRPr="006767C5">
        <w:rPr>
          <w:rFonts w:ascii="Open Sans" w:hAnsi="Open Sans" w:cs="Open Sans"/>
          <w:sz w:val="20"/>
          <w:szCs w:val="20"/>
        </w:rPr>
        <w:t xml:space="preserve">with strict sustainability governance requirements. </w:t>
      </w:r>
    </w:p>
    <w:p w14:paraId="0909C920" w14:textId="4D859F6E" w:rsidR="00265A3D" w:rsidRPr="006767C5" w:rsidRDefault="00850032" w:rsidP="00431747">
      <w:pPr>
        <w:rPr>
          <w:rFonts w:ascii="Open Sans" w:hAnsi="Open Sans" w:cs="Open Sans"/>
          <w:sz w:val="20"/>
          <w:szCs w:val="20"/>
        </w:rPr>
      </w:pPr>
      <w:r w:rsidRPr="006767C5">
        <w:rPr>
          <w:rFonts w:ascii="Open Sans" w:hAnsi="Open Sans" w:cs="Open Sans"/>
          <w:sz w:val="20"/>
          <w:szCs w:val="20"/>
        </w:rPr>
        <w:t xml:space="preserve">In South-eastern US </w:t>
      </w:r>
      <w:r w:rsidR="00787077" w:rsidRPr="006767C5">
        <w:rPr>
          <w:rFonts w:ascii="Open Sans" w:hAnsi="Open Sans" w:cs="Open Sans"/>
          <w:sz w:val="20"/>
          <w:szCs w:val="20"/>
        </w:rPr>
        <w:t>harvesting of</w:t>
      </w:r>
      <w:r w:rsidRPr="006767C5">
        <w:rPr>
          <w:rFonts w:ascii="Open Sans" w:hAnsi="Open Sans" w:cs="Open Sans"/>
          <w:sz w:val="20"/>
          <w:szCs w:val="20"/>
        </w:rPr>
        <w:t xml:space="preserve"> wood products and man</w:t>
      </w:r>
      <w:r w:rsidR="00F1011C" w:rsidRPr="006767C5">
        <w:rPr>
          <w:rFonts w:ascii="Open Sans" w:hAnsi="Open Sans" w:cs="Open Sans"/>
          <w:sz w:val="20"/>
          <w:szCs w:val="20"/>
        </w:rPr>
        <w:t>a</w:t>
      </w:r>
      <w:r w:rsidRPr="006767C5">
        <w:rPr>
          <w:rFonts w:ascii="Open Sans" w:hAnsi="Open Sans" w:cs="Open Sans"/>
          <w:sz w:val="20"/>
          <w:szCs w:val="20"/>
        </w:rPr>
        <w:t xml:space="preserve">ged forest activity is shown to be accompanied by a steady increase in forested areas since the mid-1950s, with carbon stocks having nearly doubled. </w:t>
      </w:r>
      <w:r w:rsidRPr="006767C5">
        <w:rPr>
          <w:rStyle w:val="FootnoteReference"/>
          <w:rFonts w:ascii="Open Sans" w:hAnsi="Open Sans" w:cs="Open Sans"/>
          <w:sz w:val="20"/>
          <w:szCs w:val="20"/>
        </w:rPr>
        <w:footnoteReference w:id="77"/>
      </w:r>
      <w:r w:rsidRPr="006767C5">
        <w:rPr>
          <w:rFonts w:ascii="Open Sans" w:hAnsi="Open Sans" w:cs="Open Sans"/>
          <w:sz w:val="20"/>
          <w:szCs w:val="20"/>
        </w:rPr>
        <w:t xml:space="preserve"> </w:t>
      </w:r>
      <w:r w:rsidR="00265A3D" w:rsidRPr="006767C5">
        <w:rPr>
          <w:rFonts w:ascii="Open Sans" w:hAnsi="Open Sans" w:cs="Open Sans"/>
          <w:sz w:val="20"/>
          <w:szCs w:val="20"/>
          <w:vertAlign w:val="superscript"/>
        </w:rPr>
        <w:t xml:space="preserve">&amp; </w:t>
      </w:r>
      <w:r w:rsidR="00F634FF" w:rsidRPr="006767C5">
        <w:rPr>
          <w:rStyle w:val="FootnoteReference"/>
          <w:rFonts w:ascii="Open Sans" w:hAnsi="Open Sans" w:cs="Open Sans"/>
          <w:sz w:val="20"/>
          <w:szCs w:val="20"/>
        </w:rPr>
        <w:footnoteReference w:id="78"/>
      </w:r>
      <w:r w:rsidR="00265A3D" w:rsidRPr="006767C5">
        <w:rPr>
          <w:rFonts w:ascii="Open Sans" w:hAnsi="Open Sans" w:cs="Open Sans"/>
          <w:sz w:val="20"/>
          <w:szCs w:val="20"/>
          <w:vertAlign w:val="superscript"/>
        </w:rPr>
        <w:t xml:space="preserve"> </w:t>
      </w:r>
      <w:r w:rsidRPr="006767C5">
        <w:rPr>
          <w:rFonts w:ascii="Open Sans" w:hAnsi="Open Sans" w:cs="Open Sans"/>
          <w:sz w:val="20"/>
          <w:szCs w:val="20"/>
        </w:rPr>
        <w:t xml:space="preserve">Studies suggest there is no evidence to </w:t>
      </w:r>
      <w:r w:rsidR="00265A3D" w:rsidRPr="006767C5">
        <w:rPr>
          <w:rFonts w:ascii="Open Sans" w:hAnsi="Open Sans" w:cs="Open Sans"/>
          <w:sz w:val="20"/>
          <w:szCs w:val="20"/>
        </w:rPr>
        <w:t>show</w:t>
      </w:r>
      <w:r w:rsidRPr="006767C5">
        <w:rPr>
          <w:rFonts w:ascii="Open Sans" w:hAnsi="Open Sans" w:cs="Open Sans"/>
          <w:sz w:val="20"/>
          <w:szCs w:val="20"/>
        </w:rPr>
        <w:t xml:space="preserve"> that the biomass industry is driving any decreases in carbon stocks.</w:t>
      </w:r>
      <w:r w:rsidRPr="006767C5">
        <w:rPr>
          <w:rStyle w:val="FootnoteReference"/>
          <w:rFonts w:ascii="Open Sans" w:hAnsi="Open Sans" w:cs="Open Sans"/>
          <w:sz w:val="20"/>
          <w:szCs w:val="20"/>
        </w:rPr>
        <w:footnoteReference w:id="79"/>
      </w:r>
      <w:r w:rsidRPr="006767C5">
        <w:rPr>
          <w:rFonts w:ascii="Open Sans" w:hAnsi="Open Sans" w:cs="Open Sans"/>
          <w:sz w:val="20"/>
          <w:szCs w:val="20"/>
        </w:rPr>
        <w:t xml:space="preserve"> </w:t>
      </w:r>
      <w:r w:rsidR="00265A3D" w:rsidRPr="006767C5">
        <w:rPr>
          <w:rFonts w:ascii="Open Sans" w:hAnsi="Open Sans" w:cs="Open Sans"/>
          <w:sz w:val="20"/>
          <w:szCs w:val="20"/>
        </w:rPr>
        <w:t>Similarly</w:t>
      </w:r>
      <w:r w:rsidRPr="006767C5">
        <w:rPr>
          <w:rFonts w:ascii="Open Sans" w:hAnsi="Open Sans" w:cs="Open Sans"/>
          <w:sz w:val="20"/>
          <w:szCs w:val="20"/>
        </w:rPr>
        <w:t xml:space="preserve">, Catchment Area </w:t>
      </w:r>
      <w:r w:rsidR="00265A3D" w:rsidRPr="006767C5">
        <w:rPr>
          <w:rFonts w:ascii="Open Sans" w:hAnsi="Open Sans" w:cs="Open Sans"/>
          <w:sz w:val="20"/>
          <w:szCs w:val="20"/>
        </w:rPr>
        <w:t>A</w:t>
      </w:r>
      <w:r w:rsidRPr="006767C5">
        <w:rPr>
          <w:rFonts w:ascii="Open Sans" w:hAnsi="Open Sans" w:cs="Open Sans"/>
          <w:sz w:val="20"/>
          <w:szCs w:val="20"/>
        </w:rPr>
        <w:t>nalysis</w:t>
      </w:r>
      <w:r w:rsidR="00265A3D" w:rsidRPr="006767C5">
        <w:rPr>
          <w:rFonts w:ascii="Open Sans" w:hAnsi="Open Sans" w:cs="Open Sans"/>
          <w:sz w:val="20"/>
          <w:szCs w:val="20"/>
        </w:rPr>
        <w:t xml:space="preserve">, </w:t>
      </w:r>
      <w:r w:rsidRPr="006767C5">
        <w:rPr>
          <w:rFonts w:ascii="Open Sans" w:hAnsi="Open Sans" w:cs="Open Sans"/>
          <w:sz w:val="20"/>
          <w:szCs w:val="20"/>
        </w:rPr>
        <w:t>conducted by Drax</w:t>
      </w:r>
      <w:r w:rsidR="00265A3D" w:rsidRPr="006767C5">
        <w:rPr>
          <w:rFonts w:ascii="Open Sans" w:hAnsi="Open Sans" w:cs="Open Sans"/>
          <w:sz w:val="20"/>
          <w:szCs w:val="20"/>
        </w:rPr>
        <w:t>, based on data from the US Forest Service,</w:t>
      </w:r>
      <w:r w:rsidRPr="006767C5">
        <w:rPr>
          <w:rFonts w:ascii="Open Sans" w:hAnsi="Open Sans" w:cs="Open Sans"/>
          <w:sz w:val="20"/>
          <w:szCs w:val="20"/>
        </w:rPr>
        <w:t xml:space="preserve"> indicate an overall increase in inventory</w:t>
      </w:r>
      <w:r w:rsidR="00F634FF" w:rsidRPr="006767C5">
        <w:rPr>
          <w:rFonts w:ascii="Open Sans" w:hAnsi="Open Sans" w:cs="Open Sans"/>
          <w:sz w:val="20"/>
          <w:szCs w:val="20"/>
        </w:rPr>
        <w:t>,</w:t>
      </w:r>
      <w:r w:rsidRPr="006767C5">
        <w:rPr>
          <w:rFonts w:ascii="Open Sans" w:hAnsi="Open Sans" w:cs="Open Sans"/>
          <w:sz w:val="20"/>
          <w:szCs w:val="20"/>
        </w:rPr>
        <w:t xml:space="preserve"> and therefore increased rates of carbon stored, </w:t>
      </w:r>
      <w:r w:rsidR="00F634FF" w:rsidRPr="006767C5">
        <w:rPr>
          <w:rFonts w:ascii="Open Sans" w:hAnsi="Open Sans" w:cs="Open Sans"/>
          <w:sz w:val="20"/>
          <w:szCs w:val="20"/>
        </w:rPr>
        <w:t>in the forests they source directly from.</w:t>
      </w:r>
      <w:r w:rsidR="00265A3D" w:rsidRPr="006767C5">
        <w:rPr>
          <w:rStyle w:val="FootnoteReference"/>
          <w:rFonts w:ascii="Open Sans" w:hAnsi="Open Sans" w:cs="Open Sans"/>
          <w:sz w:val="20"/>
          <w:szCs w:val="20"/>
        </w:rPr>
        <w:footnoteReference w:id="80"/>
      </w:r>
      <w:r w:rsidR="00265A3D" w:rsidRPr="006767C5">
        <w:rPr>
          <w:rFonts w:ascii="Open Sans" w:hAnsi="Open Sans" w:cs="Open Sans"/>
          <w:sz w:val="20"/>
          <w:szCs w:val="20"/>
        </w:rPr>
        <w:t xml:space="preserve"> This further accords with Forest2Market research showing that the number of timberland acres has remained stable in the US South, </w:t>
      </w:r>
      <w:r w:rsidR="00265A3D" w:rsidRPr="006767C5">
        <w:rPr>
          <w:rFonts w:ascii="Open Sans" w:eastAsia="Times New Roman" w:hAnsi="Open Sans" w:cs="Open Sans"/>
          <w:sz w:val="20"/>
          <w:szCs w:val="20"/>
          <w:lang w:eastAsia="en-GB"/>
        </w:rPr>
        <w:t xml:space="preserve">increasing by 3%. At the same time, total inventory has doubled (+108%, from 142.1 to 296.1 billion cubic feet) </w:t>
      </w:r>
      <w:r w:rsidR="00F1011C" w:rsidRPr="006767C5">
        <w:rPr>
          <w:rFonts w:ascii="Open Sans" w:eastAsia="Times New Roman" w:hAnsi="Open Sans" w:cs="Open Sans"/>
          <w:sz w:val="20"/>
          <w:szCs w:val="20"/>
          <w:lang w:eastAsia="en-GB"/>
        </w:rPr>
        <w:t xml:space="preserve">as </w:t>
      </w:r>
      <w:r w:rsidR="00265A3D" w:rsidRPr="006767C5">
        <w:rPr>
          <w:rFonts w:ascii="Open Sans" w:eastAsia="Times New Roman" w:hAnsi="Open Sans" w:cs="Open Sans"/>
          <w:sz w:val="20"/>
          <w:szCs w:val="20"/>
          <w:lang w:eastAsia="en-GB"/>
        </w:rPr>
        <w:t xml:space="preserve">growth has outpaced removals. </w:t>
      </w:r>
      <w:r w:rsidR="00265A3D" w:rsidRPr="006767C5">
        <w:rPr>
          <w:rStyle w:val="FootnoteReference"/>
          <w:rFonts w:ascii="Open Sans" w:eastAsia="Times New Roman" w:hAnsi="Open Sans" w:cs="Open Sans"/>
          <w:sz w:val="20"/>
          <w:szCs w:val="20"/>
          <w:lang w:eastAsia="en-GB"/>
        </w:rPr>
        <w:footnoteReference w:id="81"/>
      </w:r>
      <w:r w:rsidR="00265A3D" w:rsidRPr="006767C5">
        <w:rPr>
          <w:rFonts w:ascii="Open Sans" w:hAnsi="Open Sans" w:cs="Open Sans"/>
          <w:sz w:val="20"/>
          <w:szCs w:val="20"/>
        </w:rPr>
        <w:t xml:space="preserve"> </w:t>
      </w:r>
      <w:r w:rsidR="00F634FF" w:rsidRPr="006767C5">
        <w:rPr>
          <w:rFonts w:ascii="Open Sans" w:hAnsi="Open Sans" w:cs="Open Sans"/>
          <w:sz w:val="20"/>
          <w:szCs w:val="20"/>
        </w:rPr>
        <w:t xml:space="preserve"> </w:t>
      </w:r>
    </w:p>
    <w:p w14:paraId="3EE8CA01" w14:textId="4D4EED9E" w:rsidR="00981859" w:rsidRPr="006767C5" w:rsidRDefault="00265A3D" w:rsidP="00B046A0">
      <w:pPr>
        <w:rPr>
          <w:rFonts w:ascii="Open Sans" w:hAnsi="Open Sans" w:cs="Open Sans"/>
          <w:sz w:val="20"/>
          <w:szCs w:val="20"/>
        </w:rPr>
      </w:pPr>
      <w:r w:rsidRPr="006767C5">
        <w:rPr>
          <w:rFonts w:ascii="Open Sans" w:hAnsi="Open Sans" w:cs="Open Sans"/>
          <w:sz w:val="20"/>
          <w:szCs w:val="20"/>
        </w:rPr>
        <w:t xml:space="preserve">Similar findings can also be found in the UK, albeit on a smaller scale. The </w:t>
      </w:r>
      <w:r w:rsidR="00F1011C" w:rsidRPr="006767C5">
        <w:rPr>
          <w:rFonts w:ascii="Open Sans" w:hAnsi="Open Sans" w:cs="Open Sans"/>
          <w:sz w:val="20"/>
          <w:szCs w:val="20"/>
        </w:rPr>
        <w:t>2020</w:t>
      </w:r>
      <w:r w:rsidRPr="006767C5">
        <w:rPr>
          <w:rFonts w:ascii="Open Sans" w:hAnsi="Open Sans" w:cs="Open Sans"/>
          <w:sz w:val="20"/>
          <w:szCs w:val="20"/>
        </w:rPr>
        <w:t xml:space="preserve"> Forestry Commission Statistics indicate trends of continued modest growth of UK forest inventory and increasing levels of forests coming under certified management. As at March 2020 there were 1.39 million hectares of certified woodland in the UK. Part of this growth can be attributed to increased demand for low value forestry products driven by the Renewable Heat Incentive and Renewable Obligation, underwriting investment in new managed woodlands.</w:t>
      </w:r>
      <w:r w:rsidRPr="006767C5">
        <w:rPr>
          <w:rStyle w:val="FootnoteReference"/>
          <w:rFonts w:ascii="Open Sans" w:hAnsi="Open Sans" w:cs="Open Sans"/>
          <w:sz w:val="20"/>
          <w:szCs w:val="20"/>
        </w:rPr>
        <w:footnoteReference w:id="82"/>
      </w:r>
    </w:p>
    <w:p w14:paraId="132487A9" w14:textId="36196122" w:rsidR="00981859" w:rsidRPr="006767C5" w:rsidRDefault="000D1D81" w:rsidP="00B046A0">
      <w:pPr>
        <w:rPr>
          <w:rFonts w:ascii="Open Sans" w:hAnsi="Open Sans" w:cs="Open Sans"/>
          <w:b/>
          <w:bCs/>
          <w:i/>
          <w:iCs/>
          <w:sz w:val="20"/>
          <w:szCs w:val="20"/>
        </w:rPr>
      </w:pPr>
      <w:r w:rsidRPr="006767C5">
        <w:rPr>
          <w:rFonts w:ascii="Open Sans" w:hAnsi="Open Sans" w:cs="Open Sans"/>
          <w:b/>
          <w:bCs/>
          <w:i/>
          <w:iCs/>
          <w:sz w:val="20"/>
          <w:szCs w:val="20"/>
        </w:rPr>
        <w:t>L</w:t>
      </w:r>
      <w:r w:rsidR="00981859" w:rsidRPr="006767C5">
        <w:rPr>
          <w:rFonts w:ascii="Open Sans" w:hAnsi="Open Sans" w:cs="Open Sans"/>
          <w:b/>
          <w:bCs/>
          <w:i/>
          <w:iCs/>
          <w:sz w:val="20"/>
          <w:szCs w:val="20"/>
        </w:rPr>
        <w:t xml:space="preserve">ong-term government commitment to </w:t>
      </w:r>
      <w:r w:rsidR="008F37C4" w:rsidRPr="006767C5">
        <w:rPr>
          <w:rFonts w:ascii="Open Sans" w:hAnsi="Open Sans" w:cs="Open Sans"/>
          <w:b/>
          <w:bCs/>
          <w:i/>
          <w:iCs/>
          <w:sz w:val="20"/>
          <w:szCs w:val="20"/>
        </w:rPr>
        <w:t xml:space="preserve">whole-system </w:t>
      </w:r>
      <w:r w:rsidR="00981859" w:rsidRPr="006767C5">
        <w:rPr>
          <w:rFonts w:ascii="Open Sans" w:hAnsi="Open Sans" w:cs="Open Sans"/>
          <w:b/>
          <w:bCs/>
          <w:i/>
          <w:iCs/>
          <w:sz w:val="20"/>
          <w:szCs w:val="20"/>
        </w:rPr>
        <w:t>science-led sustainability governance</w:t>
      </w:r>
      <w:r w:rsidRPr="006767C5">
        <w:rPr>
          <w:rFonts w:ascii="Open Sans" w:hAnsi="Open Sans" w:cs="Open Sans"/>
          <w:b/>
          <w:bCs/>
          <w:i/>
          <w:iCs/>
          <w:sz w:val="20"/>
          <w:szCs w:val="20"/>
        </w:rPr>
        <w:t xml:space="preserve">, along with industry transparency, </w:t>
      </w:r>
      <w:r w:rsidR="00981859" w:rsidRPr="006767C5">
        <w:rPr>
          <w:rFonts w:ascii="Open Sans" w:hAnsi="Open Sans" w:cs="Open Sans"/>
          <w:b/>
          <w:bCs/>
          <w:i/>
          <w:iCs/>
          <w:sz w:val="20"/>
          <w:szCs w:val="20"/>
        </w:rPr>
        <w:t>will ensure the governance arrangements remain fit for purpose</w:t>
      </w:r>
      <w:r w:rsidR="00595898" w:rsidRPr="006767C5">
        <w:rPr>
          <w:rFonts w:ascii="Open Sans" w:hAnsi="Open Sans" w:cs="Open Sans"/>
          <w:b/>
          <w:bCs/>
          <w:i/>
          <w:iCs/>
          <w:sz w:val="20"/>
          <w:szCs w:val="20"/>
        </w:rPr>
        <w:t>.</w:t>
      </w:r>
    </w:p>
    <w:p w14:paraId="2E715455" w14:textId="1382063E" w:rsidR="001F5E53" w:rsidRPr="006767C5" w:rsidRDefault="000D1D81" w:rsidP="00B046A0">
      <w:pPr>
        <w:rPr>
          <w:rFonts w:ascii="Open Sans" w:hAnsi="Open Sans" w:cs="Open Sans"/>
          <w:sz w:val="20"/>
          <w:szCs w:val="20"/>
        </w:rPr>
      </w:pPr>
      <w:r w:rsidRPr="006767C5">
        <w:rPr>
          <w:rFonts w:ascii="Open Sans" w:hAnsi="Open Sans" w:cs="Open Sans"/>
          <w:sz w:val="20"/>
          <w:szCs w:val="20"/>
        </w:rPr>
        <w:t>It is recognised that the sustainability of biomass supply chain</w:t>
      </w:r>
      <w:r w:rsidR="004E0E91" w:rsidRPr="006767C5">
        <w:rPr>
          <w:rFonts w:ascii="Open Sans" w:hAnsi="Open Sans" w:cs="Open Sans"/>
          <w:sz w:val="20"/>
          <w:szCs w:val="20"/>
        </w:rPr>
        <w:t xml:space="preserve">s </w:t>
      </w:r>
      <w:r w:rsidR="00787077" w:rsidRPr="006767C5">
        <w:rPr>
          <w:rFonts w:ascii="Open Sans" w:hAnsi="Open Sans" w:cs="Open Sans"/>
          <w:sz w:val="20"/>
          <w:szCs w:val="20"/>
        </w:rPr>
        <w:t xml:space="preserve">continues to be </w:t>
      </w:r>
      <w:r w:rsidRPr="006767C5">
        <w:rPr>
          <w:rFonts w:ascii="Open Sans" w:hAnsi="Open Sans" w:cs="Open Sans"/>
          <w:sz w:val="20"/>
          <w:szCs w:val="20"/>
        </w:rPr>
        <w:t>rightly scrutinised by a broad section of environmental stakeholders</w:t>
      </w:r>
      <w:r w:rsidR="00787077" w:rsidRPr="006767C5">
        <w:rPr>
          <w:rFonts w:ascii="Open Sans" w:hAnsi="Open Sans" w:cs="Open Sans"/>
          <w:sz w:val="20"/>
          <w:szCs w:val="20"/>
        </w:rPr>
        <w:t xml:space="preserve">, with </w:t>
      </w:r>
      <w:r w:rsidRPr="006767C5">
        <w:rPr>
          <w:rFonts w:ascii="Open Sans" w:hAnsi="Open Sans" w:cs="Open Sans"/>
          <w:sz w:val="20"/>
          <w:szCs w:val="20"/>
        </w:rPr>
        <w:t xml:space="preserve">sustainability </w:t>
      </w:r>
      <w:r w:rsidR="00787077" w:rsidRPr="006767C5">
        <w:rPr>
          <w:rFonts w:ascii="Open Sans" w:hAnsi="Open Sans" w:cs="Open Sans"/>
          <w:sz w:val="20"/>
          <w:szCs w:val="20"/>
        </w:rPr>
        <w:t xml:space="preserve">being both a </w:t>
      </w:r>
      <w:r w:rsidRPr="006767C5">
        <w:rPr>
          <w:rFonts w:ascii="Open Sans" w:hAnsi="Open Sans" w:cs="Open Sans"/>
          <w:sz w:val="20"/>
          <w:szCs w:val="20"/>
        </w:rPr>
        <w:t>complicated</w:t>
      </w:r>
      <w:r w:rsidR="00787077" w:rsidRPr="006767C5">
        <w:rPr>
          <w:rFonts w:ascii="Open Sans" w:hAnsi="Open Sans" w:cs="Open Sans"/>
          <w:sz w:val="20"/>
          <w:szCs w:val="20"/>
        </w:rPr>
        <w:t xml:space="preserve">, and sometime controversial, </w:t>
      </w:r>
      <w:r w:rsidRPr="006767C5">
        <w:rPr>
          <w:rFonts w:ascii="Open Sans" w:hAnsi="Open Sans" w:cs="Open Sans"/>
          <w:sz w:val="20"/>
          <w:szCs w:val="20"/>
        </w:rPr>
        <w:t>area. Complicated</w:t>
      </w:r>
      <w:r w:rsidR="00787077" w:rsidRPr="006767C5">
        <w:rPr>
          <w:rFonts w:ascii="Open Sans" w:hAnsi="Open Sans" w:cs="Open Sans"/>
          <w:sz w:val="20"/>
          <w:szCs w:val="20"/>
        </w:rPr>
        <w:t xml:space="preserve"> supply chain</w:t>
      </w:r>
      <w:r w:rsidRPr="006767C5">
        <w:rPr>
          <w:rFonts w:ascii="Open Sans" w:hAnsi="Open Sans" w:cs="Open Sans"/>
          <w:sz w:val="20"/>
          <w:szCs w:val="20"/>
        </w:rPr>
        <w:t xml:space="preserve"> interactions have been previously recognised by Government, with DECC commissioning The Biomass Emissions and Counterfactual (BEAC) model in 2014</w:t>
      </w:r>
      <w:r w:rsidR="001F5E53" w:rsidRPr="006767C5">
        <w:rPr>
          <w:rStyle w:val="FootnoteReference"/>
          <w:rFonts w:ascii="Open Sans" w:hAnsi="Open Sans" w:cs="Open Sans"/>
          <w:sz w:val="20"/>
          <w:szCs w:val="20"/>
        </w:rPr>
        <w:footnoteReference w:id="83"/>
      </w:r>
      <w:r w:rsidR="004E0E91" w:rsidRPr="006767C5">
        <w:rPr>
          <w:rFonts w:ascii="Open Sans" w:hAnsi="Open Sans" w:cs="Open Sans"/>
          <w:sz w:val="20"/>
          <w:szCs w:val="20"/>
        </w:rPr>
        <w:t xml:space="preserve">, followed by scenario </w:t>
      </w:r>
      <w:r w:rsidR="001F5E53" w:rsidRPr="006767C5">
        <w:rPr>
          <w:rFonts w:ascii="Open Sans" w:hAnsi="Open Sans" w:cs="Open Sans"/>
          <w:sz w:val="20"/>
          <w:szCs w:val="20"/>
        </w:rPr>
        <w:t>analysis</w:t>
      </w:r>
      <w:r w:rsidR="004E0E91" w:rsidRPr="006767C5">
        <w:rPr>
          <w:rFonts w:ascii="Open Sans" w:hAnsi="Open Sans" w:cs="Open Sans"/>
          <w:sz w:val="20"/>
          <w:szCs w:val="20"/>
        </w:rPr>
        <w:t xml:space="preserve"> in 2016</w:t>
      </w:r>
      <w:r w:rsidR="001F5E53" w:rsidRPr="006767C5">
        <w:rPr>
          <w:rFonts w:ascii="Open Sans" w:hAnsi="Open Sans" w:cs="Open Sans"/>
          <w:sz w:val="20"/>
          <w:szCs w:val="20"/>
        </w:rPr>
        <w:t>.</w:t>
      </w:r>
      <w:r w:rsidR="001F5E53" w:rsidRPr="006767C5">
        <w:rPr>
          <w:rStyle w:val="FootnoteReference"/>
          <w:rFonts w:ascii="Open Sans" w:hAnsi="Open Sans" w:cs="Open Sans"/>
          <w:sz w:val="20"/>
          <w:szCs w:val="20"/>
        </w:rPr>
        <w:footnoteReference w:id="84"/>
      </w:r>
      <w:r w:rsidR="00F1011C" w:rsidRPr="006767C5">
        <w:rPr>
          <w:rFonts w:ascii="Open Sans" w:hAnsi="Open Sans" w:cs="Open Sans"/>
          <w:sz w:val="20"/>
          <w:szCs w:val="20"/>
        </w:rPr>
        <w:t xml:space="preserve"> This </w:t>
      </w:r>
      <w:r w:rsidR="001F5E53" w:rsidRPr="006767C5">
        <w:rPr>
          <w:rFonts w:ascii="Open Sans" w:hAnsi="Open Sans" w:cs="Open Sans"/>
          <w:sz w:val="20"/>
          <w:szCs w:val="20"/>
        </w:rPr>
        <w:t>analysis</w:t>
      </w:r>
      <w:r w:rsidR="004E0E91" w:rsidRPr="006767C5">
        <w:rPr>
          <w:rFonts w:ascii="Open Sans" w:hAnsi="Open Sans" w:cs="Open Sans"/>
          <w:sz w:val="20"/>
          <w:szCs w:val="20"/>
        </w:rPr>
        <w:t xml:space="preserve"> stressed that there are extreme scenarios where negative </w:t>
      </w:r>
      <w:r w:rsidR="001F5E53" w:rsidRPr="006767C5">
        <w:rPr>
          <w:rFonts w:ascii="Open Sans" w:hAnsi="Open Sans" w:cs="Open Sans"/>
          <w:sz w:val="20"/>
          <w:szCs w:val="20"/>
        </w:rPr>
        <w:t xml:space="preserve">sustainability </w:t>
      </w:r>
      <w:r w:rsidR="004E0E91" w:rsidRPr="006767C5">
        <w:rPr>
          <w:rFonts w:ascii="Open Sans" w:hAnsi="Open Sans" w:cs="Open Sans"/>
          <w:sz w:val="20"/>
          <w:szCs w:val="20"/>
        </w:rPr>
        <w:t xml:space="preserve">impacts are </w:t>
      </w:r>
      <w:r w:rsidR="001F5E53" w:rsidRPr="006767C5">
        <w:rPr>
          <w:rFonts w:ascii="Open Sans" w:hAnsi="Open Sans" w:cs="Open Sans"/>
          <w:sz w:val="20"/>
          <w:szCs w:val="20"/>
        </w:rPr>
        <w:t>realised</w:t>
      </w:r>
      <w:r w:rsidR="004E0E91" w:rsidRPr="006767C5">
        <w:rPr>
          <w:rFonts w:ascii="Open Sans" w:hAnsi="Open Sans" w:cs="Open Sans"/>
          <w:sz w:val="20"/>
          <w:szCs w:val="20"/>
        </w:rPr>
        <w:t>, however</w:t>
      </w:r>
      <w:r w:rsidR="00F1011C" w:rsidRPr="006767C5">
        <w:rPr>
          <w:rFonts w:ascii="Open Sans" w:hAnsi="Open Sans" w:cs="Open Sans"/>
          <w:sz w:val="20"/>
          <w:szCs w:val="20"/>
        </w:rPr>
        <w:t>, it</w:t>
      </w:r>
      <w:r w:rsidR="004E0E91" w:rsidRPr="006767C5">
        <w:rPr>
          <w:rFonts w:ascii="Open Sans" w:hAnsi="Open Sans" w:cs="Open Sans"/>
          <w:sz w:val="20"/>
          <w:szCs w:val="20"/>
        </w:rPr>
        <w:t xml:space="preserve"> concludes that </w:t>
      </w:r>
      <w:r w:rsidR="008F37C4" w:rsidRPr="006767C5">
        <w:rPr>
          <w:rFonts w:ascii="Open Sans" w:hAnsi="Open Sans" w:cs="Open Sans"/>
          <w:sz w:val="20"/>
          <w:szCs w:val="20"/>
        </w:rPr>
        <w:t>these</w:t>
      </w:r>
      <w:r w:rsidR="001F5E53" w:rsidRPr="006767C5">
        <w:rPr>
          <w:rFonts w:ascii="Open Sans" w:hAnsi="Open Sans" w:cs="Open Sans"/>
          <w:sz w:val="20"/>
          <w:szCs w:val="20"/>
        </w:rPr>
        <w:t xml:space="preserve"> scenarios do not occur due to both strict governance arrangements and forest </w:t>
      </w:r>
      <w:r w:rsidR="00F1011C" w:rsidRPr="006767C5">
        <w:rPr>
          <w:rFonts w:ascii="Open Sans" w:hAnsi="Open Sans" w:cs="Open Sans"/>
          <w:sz w:val="20"/>
          <w:szCs w:val="20"/>
        </w:rPr>
        <w:t xml:space="preserve">economies that mean </w:t>
      </w:r>
      <w:r w:rsidR="001F5E53" w:rsidRPr="006767C5">
        <w:rPr>
          <w:rFonts w:ascii="Open Sans" w:hAnsi="Open Sans" w:cs="Open Sans"/>
          <w:sz w:val="20"/>
          <w:szCs w:val="20"/>
        </w:rPr>
        <w:t xml:space="preserve">only low-grade wood residues go towards bioenergy feedstock production.  </w:t>
      </w:r>
    </w:p>
    <w:p w14:paraId="5EF249D7" w14:textId="25BC85EA" w:rsidR="001F5E53" w:rsidRPr="006767C5" w:rsidRDefault="001F5E53" w:rsidP="00B046A0">
      <w:pPr>
        <w:rPr>
          <w:rFonts w:ascii="Open Sans" w:hAnsi="Open Sans" w:cs="Open Sans"/>
          <w:sz w:val="20"/>
          <w:szCs w:val="20"/>
        </w:rPr>
      </w:pPr>
      <w:r w:rsidRPr="006767C5">
        <w:rPr>
          <w:rFonts w:ascii="Open Sans" w:hAnsi="Open Sans" w:cs="Open Sans"/>
          <w:sz w:val="20"/>
          <w:szCs w:val="20"/>
        </w:rPr>
        <w:t>However, despite such analysis</w:t>
      </w:r>
      <w:r w:rsidR="00787077" w:rsidRPr="006767C5">
        <w:rPr>
          <w:rFonts w:ascii="Open Sans" w:hAnsi="Open Sans" w:cs="Open Sans"/>
          <w:sz w:val="20"/>
          <w:szCs w:val="20"/>
        </w:rPr>
        <w:t>,</w:t>
      </w:r>
      <w:r w:rsidRPr="006767C5">
        <w:rPr>
          <w:rFonts w:ascii="Open Sans" w:hAnsi="Open Sans" w:cs="Open Sans"/>
          <w:sz w:val="20"/>
          <w:szCs w:val="20"/>
        </w:rPr>
        <w:t xml:space="preserve"> criticism continues to be levelled at the sector</w:t>
      </w:r>
      <w:r w:rsidR="00787077" w:rsidRPr="006767C5">
        <w:rPr>
          <w:rFonts w:ascii="Open Sans" w:hAnsi="Open Sans" w:cs="Open Sans"/>
          <w:sz w:val="20"/>
          <w:szCs w:val="20"/>
        </w:rPr>
        <w:t xml:space="preserve"> </w:t>
      </w:r>
      <w:r w:rsidRPr="006767C5">
        <w:rPr>
          <w:rFonts w:ascii="Open Sans" w:hAnsi="Open Sans" w:cs="Open Sans"/>
          <w:sz w:val="20"/>
          <w:szCs w:val="20"/>
        </w:rPr>
        <w:t>due to a focus on extreme high carbon scenarios. A very recent review</w:t>
      </w:r>
      <w:r w:rsidR="008F37C4" w:rsidRPr="006767C5">
        <w:rPr>
          <w:rFonts w:ascii="Open Sans" w:hAnsi="Open Sans" w:cs="Open Sans"/>
          <w:sz w:val="20"/>
          <w:szCs w:val="20"/>
        </w:rPr>
        <w:t xml:space="preserve"> published in April this year</w:t>
      </w:r>
      <w:r w:rsidRPr="006767C5">
        <w:rPr>
          <w:rFonts w:ascii="Open Sans" w:hAnsi="Open Sans" w:cs="Open Sans"/>
          <w:sz w:val="20"/>
          <w:szCs w:val="20"/>
        </w:rPr>
        <w:t xml:space="preserve">, conducted by 28 </w:t>
      </w:r>
      <w:r w:rsidR="00787077" w:rsidRPr="006767C5">
        <w:rPr>
          <w:rFonts w:ascii="Open Sans" w:hAnsi="Open Sans" w:cs="Open Sans"/>
          <w:sz w:val="20"/>
          <w:szCs w:val="20"/>
        </w:rPr>
        <w:t>academics</w:t>
      </w:r>
      <w:r w:rsidRPr="006767C5">
        <w:rPr>
          <w:rFonts w:ascii="Open Sans" w:hAnsi="Open Sans" w:cs="Open Sans"/>
          <w:sz w:val="20"/>
          <w:szCs w:val="20"/>
        </w:rPr>
        <w:t>, highlight how alternative assessment methods</w:t>
      </w:r>
      <w:r w:rsidR="008F37C4" w:rsidRPr="006767C5">
        <w:rPr>
          <w:rFonts w:ascii="Open Sans" w:hAnsi="Open Sans" w:cs="Open Sans"/>
          <w:sz w:val="20"/>
          <w:szCs w:val="20"/>
        </w:rPr>
        <w:t xml:space="preserve"> can build on differing assumption and be done at selective scales to deliver differing sustainability conclusion around biomass. To address this, they stress the importance of full system approach methodologies that look at </w:t>
      </w:r>
      <w:proofErr w:type="gramStart"/>
      <w:r w:rsidR="008F37C4" w:rsidRPr="006767C5">
        <w:rPr>
          <w:rFonts w:ascii="Open Sans" w:hAnsi="Open Sans" w:cs="Open Sans"/>
          <w:sz w:val="20"/>
          <w:szCs w:val="20"/>
        </w:rPr>
        <w:t>short, medium and long term</w:t>
      </w:r>
      <w:proofErr w:type="gramEnd"/>
      <w:r w:rsidR="008F37C4" w:rsidRPr="006767C5">
        <w:rPr>
          <w:rFonts w:ascii="Open Sans" w:hAnsi="Open Sans" w:cs="Open Sans"/>
          <w:sz w:val="20"/>
          <w:szCs w:val="20"/>
        </w:rPr>
        <w:t xml:space="preserve"> climate benefits.</w:t>
      </w:r>
      <w:r w:rsidR="008F37C4" w:rsidRPr="006767C5">
        <w:rPr>
          <w:rStyle w:val="FootnoteReference"/>
          <w:rFonts w:ascii="Open Sans" w:hAnsi="Open Sans" w:cs="Open Sans"/>
          <w:sz w:val="20"/>
          <w:szCs w:val="20"/>
        </w:rPr>
        <w:footnoteReference w:id="85"/>
      </w:r>
      <w:r w:rsidR="00787077" w:rsidRPr="006767C5">
        <w:rPr>
          <w:rFonts w:ascii="Open Sans" w:hAnsi="Open Sans" w:cs="Open Sans"/>
          <w:sz w:val="20"/>
          <w:szCs w:val="20"/>
        </w:rPr>
        <w:t xml:space="preserve"> Such an approach should be maintained when considering the evolution of sustainable governance arrangements. </w:t>
      </w:r>
    </w:p>
    <w:p w14:paraId="64782D0B" w14:textId="090B86BC" w:rsidR="00981859" w:rsidRPr="006767C5" w:rsidRDefault="00D91667" w:rsidP="00B046A0">
      <w:pPr>
        <w:rPr>
          <w:rFonts w:ascii="Open Sans" w:hAnsi="Open Sans" w:cs="Open Sans"/>
          <w:sz w:val="20"/>
          <w:szCs w:val="20"/>
        </w:rPr>
      </w:pPr>
      <w:r w:rsidRPr="006767C5">
        <w:rPr>
          <w:rFonts w:ascii="Open Sans" w:hAnsi="Open Sans" w:cs="Open Sans"/>
          <w:sz w:val="20"/>
          <w:szCs w:val="20"/>
        </w:rPr>
        <w:t>B</w:t>
      </w:r>
      <w:r w:rsidR="008F37C4" w:rsidRPr="006767C5">
        <w:rPr>
          <w:rFonts w:ascii="Open Sans" w:hAnsi="Open Sans" w:cs="Open Sans"/>
          <w:sz w:val="20"/>
          <w:szCs w:val="20"/>
        </w:rPr>
        <w:t>y both promoting</w:t>
      </w:r>
      <w:r w:rsidR="002E5F58" w:rsidRPr="006767C5">
        <w:rPr>
          <w:rFonts w:ascii="Open Sans" w:hAnsi="Open Sans" w:cs="Open Sans"/>
          <w:sz w:val="20"/>
          <w:szCs w:val="20"/>
        </w:rPr>
        <w:t xml:space="preserve"> and regulating for clear </w:t>
      </w:r>
      <w:r w:rsidR="008F37C4" w:rsidRPr="006767C5">
        <w:rPr>
          <w:rFonts w:ascii="Open Sans" w:hAnsi="Open Sans" w:cs="Open Sans"/>
          <w:sz w:val="20"/>
          <w:szCs w:val="20"/>
        </w:rPr>
        <w:t>science-led sustainability governance</w:t>
      </w:r>
      <w:r w:rsidRPr="006767C5">
        <w:rPr>
          <w:rFonts w:ascii="Open Sans" w:hAnsi="Open Sans" w:cs="Open Sans"/>
          <w:sz w:val="20"/>
          <w:szCs w:val="20"/>
        </w:rPr>
        <w:t>, government demonstrate</w:t>
      </w:r>
      <w:r w:rsidR="00981B74" w:rsidRPr="006767C5">
        <w:rPr>
          <w:rFonts w:ascii="Open Sans" w:hAnsi="Open Sans" w:cs="Open Sans"/>
          <w:sz w:val="20"/>
          <w:szCs w:val="20"/>
        </w:rPr>
        <w:t xml:space="preserve"> ongoing confidence in existing sustainability arrangements</w:t>
      </w:r>
      <w:r w:rsidRPr="006767C5">
        <w:rPr>
          <w:rFonts w:ascii="Open Sans" w:hAnsi="Open Sans" w:cs="Open Sans"/>
          <w:sz w:val="20"/>
          <w:szCs w:val="20"/>
        </w:rPr>
        <w:t xml:space="preserve">, which in turn </w:t>
      </w:r>
      <w:proofErr w:type="gramStart"/>
      <w:r w:rsidRPr="006767C5">
        <w:rPr>
          <w:rFonts w:ascii="Open Sans" w:hAnsi="Open Sans" w:cs="Open Sans"/>
          <w:sz w:val="20"/>
          <w:szCs w:val="20"/>
        </w:rPr>
        <w:t xml:space="preserve">ensures </w:t>
      </w:r>
      <w:r w:rsidR="00925525" w:rsidRPr="006767C5">
        <w:rPr>
          <w:rFonts w:ascii="Open Sans" w:hAnsi="Open Sans" w:cs="Open Sans"/>
          <w:sz w:val="20"/>
          <w:szCs w:val="20"/>
        </w:rPr>
        <w:t xml:space="preserve"> </w:t>
      </w:r>
      <w:r w:rsidR="00981B74" w:rsidRPr="006767C5">
        <w:rPr>
          <w:rFonts w:ascii="Open Sans" w:hAnsi="Open Sans" w:cs="Open Sans"/>
          <w:sz w:val="20"/>
          <w:szCs w:val="20"/>
        </w:rPr>
        <w:t>both</w:t>
      </w:r>
      <w:proofErr w:type="gramEnd"/>
      <w:r w:rsidR="00981B74" w:rsidRPr="006767C5">
        <w:rPr>
          <w:rFonts w:ascii="Open Sans" w:hAnsi="Open Sans" w:cs="Open Sans"/>
          <w:sz w:val="20"/>
          <w:szCs w:val="20"/>
        </w:rPr>
        <w:t xml:space="preserve"> industry and public </w:t>
      </w:r>
      <w:r w:rsidR="00925525" w:rsidRPr="006767C5">
        <w:rPr>
          <w:rFonts w:ascii="Open Sans" w:hAnsi="Open Sans" w:cs="Open Sans"/>
          <w:sz w:val="20"/>
          <w:szCs w:val="20"/>
        </w:rPr>
        <w:t>confidence</w:t>
      </w:r>
      <w:r w:rsidRPr="006767C5">
        <w:rPr>
          <w:rFonts w:ascii="Open Sans" w:hAnsi="Open Sans" w:cs="Open Sans"/>
          <w:sz w:val="20"/>
          <w:szCs w:val="20"/>
        </w:rPr>
        <w:t xml:space="preserve"> is maintained in the sector</w:t>
      </w:r>
      <w:r w:rsidR="00981B74" w:rsidRPr="006767C5">
        <w:rPr>
          <w:rFonts w:ascii="Open Sans" w:hAnsi="Open Sans" w:cs="Open Sans"/>
          <w:sz w:val="20"/>
          <w:szCs w:val="20"/>
        </w:rPr>
        <w:t xml:space="preserve">. </w:t>
      </w:r>
    </w:p>
    <w:p w14:paraId="1490DFEB" w14:textId="316DDFAD" w:rsidR="00925525" w:rsidRPr="006767C5" w:rsidRDefault="00925525" w:rsidP="00B046A0">
      <w:pPr>
        <w:rPr>
          <w:rFonts w:ascii="Open Sans" w:hAnsi="Open Sans" w:cs="Open Sans"/>
          <w:sz w:val="20"/>
          <w:szCs w:val="20"/>
        </w:rPr>
      </w:pPr>
      <w:r w:rsidRPr="006767C5">
        <w:rPr>
          <w:rFonts w:ascii="Open Sans" w:hAnsi="Open Sans" w:cs="Open Sans"/>
          <w:sz w:val="20"/>
          <w:szCs w:val="20"/>
        </w:rPr>
        <w:t>The industry also recognises it has an important to role to play maintaining government confidence. To do so the industry</w:t>
      </w:r>
      <w:r w:rsidR="00787077" w:rsidRPr="006767C5">
        <w:rPr>
          <w:rFonts w:ascii="Open Sans" w:hAnsi="Open Sans" w:cs="Open Sans"/>
          <w:sz w:val="20"/>
          <w:szCs w:val="20"/>
        </w:rPr>
        <w:t xml:space="preserve"> understand the </w:t>
      </w:r>
      <w:r w:rsidRPr="006767C5">
        <w:rPr>
          <w:rFonts w:ascii="Open Sans" w:hAnsi="Open Sans" w:cs="Open Sans"/>
          <w:sz w:val="20"/>
          <w:szCs w:val="20"/>
        </w:rPr>
        <w:t>need to continue to increase the level of transparency around supply chains and be</w:t>
      </w:r>
      <w:r w:rsidR="00B97E03" w:rsidRPr="006767C5">
        <w:rPr>
          <w:rFonts w:ascii="Open Sans" w:hAnsi="Open Sans" w:cs="Open Sans"/>
          <w:sz w:val="20"/>
          <w:szCs w:val="20"/>
        </w:rPr>
        <w:t xml:space="preserve"> able to independently verify the impact of their activities. </w:t>
      </w:r>
      <w:r w:rsidRPr="006767C5">
        <w:rPr>
          <w:rFonts w:ascii="Open Sans" w:hAnsi="Open Sans" w:cs="Open Sans"/>
          <w:sz w:val="20"/>
          <w:szCs w:val="20"/>
        </w:rPr>
        <w:t xml:space="preserve"> Sections of industry are already doing this</w:t>
      </w:r>
      <w:r w:rsidR="00B907DA" w:rsidRPr="006767C5">
        <w:rPr>
          <w:rFonts w:ascii="Open Sans" w:hAnsi="Open Sans" w:cs="Open Sans"/>
          <w:sz w:val="20"/>
          <w:szCs w:val="20"/>
        </w:rPr>
        <w:t>, examples include Enviva’s Track and Trace System</w:t>
      </w:r>
      <w:r w:rsidR="00595898" w:rsidRPr="006767C5">
        <w:rPr>
          <w:rStyle w:val="FootnoteReference"/>
          <w:rFonts w:ascii="Open Sans" w:hAnsi="Open Sans" w:cs="Open Sans"/>
          <w:sz w:val="20"/>
          <w:szCs w:val="20"/>
        </w:rPr>
        <w:footnoteReference w:id="86"/>
      </w:r>
      <w:r w:rsidR="00B907DA" w:rsidRPr="006767C5">
        <w:rPr>
          <w:rFonts w:ascii="Open Sans" w:hAnsi="Open Sans" w:cs="Open Sans"/>
          <w:sz w:val="20"/>
          <w:szCs w:val="20"/>
        </w:rPr>
        <w:t>, Drax’s Responsible Sourcing Policy</w:t>
      </w:r>
      <w:r w:rsidR="00595898" w:rsidRPr="006767C5">
        <w:rPr>
          <w:rStyle w:val="FootnoteReference"/>
          <w:rFonts w:ascii="Open Sans" w:hAnsi="Open Sans" w:cs="Open Sans"/>
          <w:sz w:val="20"/>
          <w:szCs w:val="20"/>
        </w:rPr>
        <w:footnoteReference w:id="87"/>
      </w:r>
      <w:r w:rsidR="00595898" w:rsidRPr="006767C5">
        <w:rPr>
          <w:rFonts w:ascii="Open Sans" w:hAnsi="Open Sans" w:cs="Open Sans"/>
          <w:sz w:val="20"/>
          <w:szCs w:val="20"/>
        </w:rPr>
        <w:t xml:space="preserve"> </w:t>
      </w:r>
      <w:r w:rsidR="00B907DA" w:rsidRPr="006767C5">
        <w:rPr>
          <w:rFonts w:ascii="Open Sans" w:hAnsi="Open Sans" w:cs="Open Sans"/>
          <w:sz w:val="20"/>
          <w:szCs w:val="20"/>
        </w:rPr>
        <w:t>and, the Biomass Heat Works Campaign</w:t>
      </w:r>
      <w:r w:rsidR="00595898" w:rsidRPr="006767C5">
        <w:rPr>
          <w:rStyle w:val="FootnoteReference"/>
          <w:rFonts w:ascii="Open Sans" w:hAnsi="Open Sans" w:cs="Open Sans"/>
          <w:sz w:val="20"/>
          <w:szCs w:val="20"/>
        </w:rPr>
        <w:footnoteReference w:id="88"/>
      </w:r>
      <w:r w:rsidR="00B907DA" w:rsidRPr="006767C5">
        <w:rPr>
          <w:rFonts w:ascii="Open Sans" w:hAnsi="Open Sans" w:cs="Open Sans"/>
          <w:sz w:val="20"/>
          <w:szCs w:val="20"/>
        </w:rPr>
        <w:t xml:space="preserve"> all focusing on broader public messaging about how biomass supply chains work and </w:t>
      </w:r>
      <w:r w:rsidR="00D91667" w:rsidRPr="006767C5">
        <w:rPr>
          <w:rFonts w:ascii="Open Sans" w:hAnsi="Open Sans" w:cs="Open Sans"/>
          <w:sz w:val="20"/>
          <w:szCs w:val="20"/>
        </w:rPr>
        <w:t>hoe the environment is protected</w:t>
      </w:r>
      <w:r w:rsidR="00595898" w:rsidRPr="006767C5">
        <w:rPr>
          <w:rFonts w:ascii="Open Sans" w:hAnsi="Open Sans" w:cs="Open Sans"/>
          <w:sz w:val="20"/>
          <w:szCs w:val="20"/>
        </w:rPr>
        <w:t xml:space="preserve">. </w:t>
      </w:r>
    </w:p>
    <w:p w14:paraId="6DC5A85A" w14:textId="365A5E43" w:rsidR="00B97E03" w:rsidRPr="006767C5" w:rsidRDefault="00E46AED" w:rsidP="00B046A0">
      <w:pPr>
        <w:rPr>
          <w:rFonts w:ascii="Open Sans" w:hAnsi="Open Sans" w:cs="Open Sans"/>
          <w:b/>
          <w:bCs/>
          <w:i/>
          <w:iCs/>
          <w:sz w:val="20"/>
          <w:szCs w:val="20"/>
        </w:rPr>
      </w:pPr>
      <w:r>
        <w:rPr>
          <w:rFonts w:ascii="Open Sans" w:hAnsi="Open Sans" w:cs="Open Sans"/>
          <w:b/>
          <w:bCs/>
          <w:i/>
          <w:iCs/>
          <w:sz w:val="20"/>
          <w:szCs w:val="20"/>
        </w:rPr>
        <w:t>Any f</w:t>
      </w:r>
      <w:r w:rsidR="00B97E03" w:rsidRPr="006767C5">
        <w:rPr>
          <w:rFonts w:ascii="Open Sans" w:hAnsi="Open Sans" w:cs="Open Sans"/>
          <w:b/>
          <w:bCs/>
          <w:i/>
          <w:iCs/>
          <w:sz w:val="20"/>
          <w:szCs w:val="20"/>
        </w:rPr>
        <w:t>uture evolution of the sustainable governance should be science-led and proportional.</w:t>
      </w:r>
    </w:p>
    <w:p w14:paraId="11B8CADA" w14:textId="2BA6A7E9" w:rsidR="00B907DA" w:rsidRPr="006767C5" w:rsidRDefault="00B97E03" w:rsidP="00B046A0">
      <w:pPr>
        <w:rPr>
          <w:rFonts w:ascii="Open Sans" w:hAnsi="Open Sans" w:cs="Open Sans"/>
          <w:sz w:val="20"/>
          <w:szCs w:val="20"/>
        </w:rPr>
      </w:pPr>
      <w:r w:rsidRPr="006767C5">
        <w:rPr>
          <w:rFonts w:ascii="Open Sans" w:hAnsi="Open Sans" w:cs="Open Sans"/>
          <w:sz w:val="20"/>
          <w:szCs w:val="20"/>
        </w:rPr>
        <w:t>W</w:t>
      </w:r>
      <w:r w:rsidR="00B907DA" w:rsidRPr="006767C5">
        <w:rPr>
          <w:rFonts w:ascii="Open Sans" w:hAnsi="Open Sans" w:cs="Open Sans"/>
          <w:sz w:val="20"/>
          <w:szCs w:val="20"/>
        </w:rPr>
        <w:t xml:space="preserve">hile </w:t>
      </w:r>
      <w:r w:rsidRPr="006767C5">
        <w:rPr>
          <w:rFonts w:ascii="Open Sans" w:hAnsi="Open Sans" w:cs="Open Sans"/>
          <w:sz w:val="20"/>
          <w:szCs w:val="20"/>
        </w:rPr>
        <w:t xml:space="preserve">the REA </w:t>
      </w:r>
      <w:r w:rsidR="00595898" w:rsidRPr="006767C5">
        <w:rPr>
          <w:rFonts w:ascii="Open Sans" w:hAnsi="Open Sans" w:cs="Open Sans"/>
          <w:sz w:val="20"/>
          <w:szCs w:val="20"/>
        </w:rPr>
        <w:t>is confident</w:t>
      </w:r>
      <w:r w:rsidR="00B907DA" w:rsidRPr="006767C5">
        <w:rPr>
          <w:rFonts w:ascii="Open Sans" w:hAnsi="Open Sans" w:cs="Open Sans"/>
          <w:sz w:val="20"/>
          <w:szCs w:val="20"/>
        </w:rPr>
        <w:t xml:space="preserve"> that today’s governance arrangements are fit for purpose, </w:t>
      </w:r>
      <w:r w:rsidRPr="006767C5">
        <w:rPr>
          <w:rFonts w:ascii="Open Sans" w:hAnsi="Open Sans" w:cs="Open Sans"/>
          <w:sz w:val="20"/>
          <w:szCs w:val="20"/>
        </w:rPr>
        <w:t xml:space="preserve">we also accept a need to evolve the </w:t>
      </w:r>
      <w:r w:rsidR="00B907DA" w:rsidRPr="006767C5">
        <w:rPr>
          <w:rFonts w:ascii="Open Sans" w:hAnsi="Open Sans" w:cs="Open Sans"/>
          <w:sz w:val="20"/>
          <w:szCs w:val="20"/>
        </w:rPr>
        <w:t xml:space="preserve">sustainability </w:t>
      </w:r>
      <w:r w:rsidRPr="006767C5">
        <w:rPr>
          <w:rFonts w:ascii="Open Sans" w:hAnsi="Open Sans" w:cs="Open Sans"/>
          <w:sz w:val="20"/>
          <w:szCs w:val="20"/>
        </w:rPr>
        <w:t>regime</w:t>
      </w:r>
      <w:r w:rsidR="00B907DA" w:rsidRPr="006767C5">
        <w:rPr>
          <w:rFonts w:ascii="Open Sans" w:hAnsi="Open Sans" w:cs="Open Sans"/>
          <w:sz w:val="20"/>
          <w:szCs w:val="20"/>
        </w:rPr>
        <w:t xml:space="preserve"> as demand from biomass feedstocks increases, technologies evolve</w:t>
      </w:r>
      <w:r w:rsidRPr="006767C5">
        <w:rPr>
          <w:rFonts w:ascii="Open Sans" w:hAnsi="Open Sans" w:cs="Open Sans"/>
          <w:sz w:val="20"/>
          <w:szCs w:val="20"/>
        </w:rPr>
        <w:t xml:space="preserve"> and </w:t>
      </w:r>
      <w:r w:rsidR="00B907DA" w:rsidRPr="006767C5">
        <w:rPr>
          <w:rFonts w:ascii="Open Sans" w:hAnsi="Open Sans" w:cs="Open Sans"/>
          <w:sz w:val="20"/>
          <w:szCs w:val="20"/>
        </w:rPr>
        <w:t xml:space="preserve">other global biomass markets (both in term of production and use) </w:t>
      </w:r>
      <w:r w:rsidR="00595898" w:rsidRPr="006767C5">
        <w:rPr>
          <w:rFonts w:ascii="Open Sans" w:hAnsi="Open Sans" w:cs="Open Sans"/>
          <w:sz w:val="20"/>
          <w:szCs w:val="20"/>
        </w:rPr>
        <w:t>open</w:t>
      </w:r>
      <w:r w:rsidR="00B907DA" w:rsidRPr="006767C5">
        <w:rPr>
          <w:rFonts w:ascii="Open Sans" w:hAnsi="Open Sans" w:cs="Open Sans"/>
          <w:sz w:val="20"/>
          <w:szCs w:val="20"/>
        </w:rPr>
        <w:t xml:space="preserve">.  Such </w:t>
      </w:r>
      <w:r w:rsidRPr="006767C5">
        <w:rPr>
          <w:rFonts w:ascii="Open Sans" w:hAnsi="Open Sans" w:cs="Open Sans"/>
          <w:sz w:val="20"/>
          <w:szCs w:val="20"/>
        </w:rPr>
        <w:t>evolution</w:t>
      </w:r>
      <w:r w:rsidR="00B907DA" w:rsidRPr="006767C5">
        <w:rPr>
          <w:rFonts w:ascii="Open Sans" w:hAnsi="Open Sans" w:cs="Open Sans"/>
          <w:sz w:val="20"/>
          <w:szCs w:val="20"/>
        </w:rPr>
        <w:t xml:space="preserve"> should:</w:t>
      </w:r>
    </w:p>
    <w:p w14:paraId="2AC0792A" w14:textId="5BF80CD5" w:rsidR="00B907DA" w:rsidRPr="006767C5" w:rsidRDefault="00B97E03" w:rsidP="00B907DA">
      <w:pPr>
        <w:pStyle w:val="ListParagraph"/>
        <w:numPr>
          <w:ilvl w:val="0"/>
          <w:numId w:val="25"/>
        </w:numPr>
        <w:rPr>
          <w:rFonts w:ascii="Open Sans" w:hAnsi="Open Sans" w:cs="Open Sans"/>
          <w:sz w:val="20"/>
          <w:szCs w:val="20"/>
        </w:rPr>
      </w:pPr>
      <w:r w:rsidRPr="006767C5">
        <w:rPr>
          <w:rFonts w:ascii="Open Sans" w:hAnsi="Open Sans" w:cs="Open Sans"/>
          <w:sz w:val="20"/>
          <w:szCs w:val="20"/>
        </w:rPr>
        <w:t>Remain</w:t>
      </w:r>
      <w:r w:rsidR="00B907DA" w:rsidRPr="006767C5">
        <w:rPr>
          <w:rFonts w:ascii="Open Sans" w:hAnsi="Open Sans" w:cs="Open Sans"/>
          <w:sz w:val="20"/>
          <w:szCs w:val="20"/>
        </w:rPr>
        <w:t xml:space="preserve"> science-led and be done in collaboration between Government and </w:t>
      </w:r>
      <w:r w:rsidRPr="006767C5">
        <w:rPr>
          <w:rFonts w:ascii="Open Sans" w:hAnsi="Open Sans" w:cs="Open Sans"/>
          <w:sz w:val="20"/>
          <w:szCs w:val="20"/>
        </w:rPr>
        <w:t>industry.</w:t>
      </w:r>
    </w:p>
    <w:p w14:paraId="3ED375D4" w14:textId="10487641" w:rsidR="00B907DA" w:rsidRPr="006767C5" w:rsidRDefault="00B907DA" w:rsidP="00B907DA">
      <w:pPr>
        <w:pStyle w:val="ListParagraph"/>
        <w:numPr>
          <w:ilvl w:val="0"/>
          <w:numId w:val="25"/>
        </w:numPr>
        <w:rPr>
          <w:rFonts w:ascii="Open Sans" w:hAnsi="Open Sans" w:cs="Open Sans"/>
          <w:sz w:val="20"/>
          <w:szCs w:val="20"/>
        </w:rPr>
      </w:pPr>
      <w:r w:rsidRPr="006767C5">
        <w:rPr>
          <w:rFonts w:ascii="Open Sans" w:hAnsi="Open Sans" w:cs="Open Sans"/>
          <w:sz w:val="20"/>
          <w:szCs w:val="20"/>
        </w:rPr>
        <w:t xml:space="preserve">Be proportional and not hinder current proven approaches to sustainable biomass </w:t>
      </w:r>
      <w:r w:rsidR="00B97E03" w:rsidRPr="006767C5">
        <w:rPr>
          <w:rFonts w:ascii="Open Sans" w:hAnsi="Open Sans" w:cs="Open Sans"/>
          <w:sz w:val="20"/>
          <w:szCs w:val="20"/>
        </w:rPr>
        <w:t>provision.</w:t>
      </w:r>
      <w:r w:rsidRPr="006767C5">
        <w:rPr>
          <w:rFonts w:ascii="Open Sans" w:hAnsi="Open Sans" w:cs="Open Sans"/>
          <w:sz w:val="20"/>
          <w:szCs w:val="20"/>
        </w:rPr>
        <w:t xml:space="preserve"> </w:t>
      </w:r>
    </w:p>
    <w:p w14:paraId="193F4D2D" w14:textId="338470D5" w:rsidR="006A38D9" w:rsidRPr="006767C5" w:rsidRDefault="00B97E03" w:rsidP="00487F88">
      <w:pPr>
        <w:pStyle w:val="ListParagraph"/>
        <w:numPr>
          <w:ilvl w:val="0"/>
          <w:numId w:val="25"/>
        </w:numPr>
        <w:rPr>
          <w:rFonts w:ascii="Open Sans" w:hAnsi="Open Sans" w:cs="Open Sans"/>
          <w:sz w:val="20"/>
          <w:szCs w:val="20"/>
        </w:rPr>
      </w:pPr>
      <w:r w:rsidRPr="006767C5">
        <w:rPr>
          <w:rFonts w:ascii="Open Sans" w:hAnsi="Open Sans" w:cs="Open Sans"/>
          <w:sz w:val="20"/>
          <w:szCs w:val="20"/>
        </w:rPr>
        <w:t xml:space="preserve">Continue to use principle-based approaches over blunt prescriptive criteria which could fail to recognise regional differences in forests and management requirements. </w:t>
      </w:r>
    </w:p>
    <w:p w14:paraId="73F9481C" w14:textId="37ECE76B" w:rsidR="00487F88" w:rsidRPr="006767C5" w:rsidRDefault="006A38D9" w:rsidP="00487F88">
      <w:pPr>
        <w:pStyle w:val="ListParagraph"/>
        <w:numPr>
          <w:ilvl w:val="0"/>
          <w:numId w:val="25"/>
        </w:numPr>
        <w:rPr>
          <w:rFonts w:ascii="Open Sans" w:hAnsi="Open Sans" w:cs="Open Sans"/>
          <w:sz w:val="20"/>
          <w:szCs w:val="20"/>
        </w:rPr>
      </w:pPr>
      <w:r w:rsidRPr="006767C5">
        <w:rPr>
          <w:rFonts w:ascii="Open Sans" w:hAnsi="Open Sans" w:cs="Open Sans"/>
          <w:sz w:val="20"/>
          <w:szCs w:val="20"/>
        </w:rPr>
        <w:t>Ensure that business and investor confidence is maintained by Government</w:t>
      </w:r>
      <w:r w:rsidR="00AC0194" w:rsidRPr="006767C5">
        <w:rPr>
          <w:rFonts w:ascii="Open Sans" w:hAnsi="Open Sans" w:cs="Open Sans"/>
          <w:sz w:val="20"/>
          <w:szCs w:val="20"/>
        </w:rPr>
        <w:t xml:space="preserve"> publicly showing </w:t>
      </w:r>
      <w:r w:rsidR="001F3165" w:rsidRPr="006767C5">
        <w:rPr>
          <w:rFonts w:ascii="Open Sans" w:hAnsi="Open Sans" w:cs="Open Sans"/>
          <w:sz w:val="20"/>
          <w:szCs w:val="20"/>
        </w:rPr>
        <w:t xml:space="preserve">long-term </w:t>
      </w:r>
      <w:r w:rsidR="00AC0194" w:rsidRPr="006767C5">
        <w:rPr>
          <w:rFonts w:ascii="Open Sans" w:hAnsi="Open Sans" w:cs="Open Sans"/>
          <w:sz w:val="20"/>
          <w:szCs w:val="20"/>
        </w:rPr>
        <w:t>support</w:t>
      </w:r>
      <w:r w:rsidRPr="006767C5">
        <w:rPr>
          <w:rFonts w:ascii="Open Sans" w:hAnsi="Open Sans" w:cs="Open Sans"/>
          <w:sz w:val="20"/>
          <w:szCs w:val="20"/>
        </w:rPr>
        <w:t xml:space="preserve"> for the sector and </w:t>
      </w:r>
      <w:r w:rsidR="00AC0194" w:rsidRPr="006767C5">
        <w:rPr>
          <w:rFonts w:ascii="Open Sans" w:hAnsi="Open Sans" w:cs="Open Sans"/>
          <w:sz w:val="20"/>
          <w:szCs w:val="20"/>
        </w:rPr>
        <w:t>sustainability</w:t>
      </w:r>
      <w:r w:rsidR="00787077" w:rsidRPr="006767C5">
        <w:rPr>
          <w:rFonts w:ascii="Open Sans" w:hAnsi="Open Sans" w:cs="Open Sans"/>
          <w:sz w:val="20"/>
          <w:szCs w:val="20"/>
        </w:rPr>
        <w:t xml:space="preserve"> </w:t>
      </w:r>
      <w:r w:rsidRPr="006767C5">
        <w:rPr>
          <w:rFonts w:ascii="Open Sans" w:hAnsi="Open Sans" w:cs="Open Sans"/>
          <w:sz w:val="20"/>
          <w:szCs w:val="20"/>
        </w:rPr>
        <w:t>governance regime.</w:t>
      </w:r>
    </w:p>
    <w:p w14:paraId="05B30BDB" w14:textId="5BB9E1D0" w:rsidR="00A92ECA" w:rsidRPr="006767C5" w:rsidRDefault="00A92ECA" w:rsidP="006A38D9">
      <w:pPr>
        <w:pBdr>
          <w:bottom w:val="single" w:sz="6" w:space="1" w:color="auto"/>
        </w:pBdr>
        <w:rPr>
          <w:rFonts w:ascii="Open Sans" w:hAnsi="Open Sans" w:cs="Open Sans"/>
          <w:b/>
          <w:bCs/>
          <w:sz w:val="20"/>
          <w:szCs w:val="20"/>
        </w:rPr>
      </w:pPr>
    </w:p>
    <w:p w14:paraId="590477A3" w14:textId="77777777" w:rsidR="004C28D6" w:rsidRPr="006767C5" w:rsidRDefault="004C28D6" w:rsidP="00882FC4">
      <w:pPr>
        <w:rPr>
          <w:rFonts w:ascii="Open Sans" w:hAnsi="Open Sans" w:cs="Open Sans"/>
          <w:b/>
          <w:bCs/>
          <w:color w:val="2F5496"/>
          <w:sz w:val="20"/>
          <w:szCs w:val="20"/>
        </w:rPr>
      </w:pPr>
      <w:r w:rsidRPr="006767C5">
        <w:rPr>
          <w:rFonts w:ascii="Open Sans" w:hAnsi="Open Sans" w:cs="Open Sans"/>
          <w:b/>
          <w:bCs/>
          <w:color w:val="2F5496"/>
          <w:sz w:val="20"/>
          <w:szCs w:val="20"/>
        </w:rPr>
        <w:br/>
        <w:t>16. How could we improve monitoring and reporting against sustainability requirements?</w:t>
      </w:r>
    </w:p>
    <w:p w14:paraId="79073315" w14:textId="1BDE2A25" w:rsidR="00595898" w:rsidRPr="006767C5" w:rsidRDefault="0036441F" w:rsidP="00E527C6">
      <w:pPr>
        <w:rPr>
          <w:rFonts w:ascii="Open Sans" w:hAnsi="Open Sans" w:cs="Open Sans"/>
          <w:b/>
          <w:bCs/>
          <w:i/>
          <w:iCs/>
          <w:sz w:val="20"/>
          <w:szCs w:val="20"/>
        </w:rPr>
      </w:pPr>
      <w:r>
        <w:rPr>
          <w:rFonts w:ascii="Open Sans" w:hAnsi="Open Sans" w:cs="Open Sans"/>
          <w:b/>
          <w:bCs/>
          <w:i/>
          <w:iCs/>
          <w:sz w:val="20"/>
          <w:szCs w:val="20"/>
        </w:rPr>
        <w:t>I</w:t>
      </w:r>
      <w:r w:rsidR="00937B26" w:rsidRPr="006767C5">
        <w:rPr>
          <w:rFonts w:ascii="Open Sans" w:hAnsi="Open Sans" w:cs="Open Sans"/>
          <w:b/>
          <w:bCs/>
          <w:i/>
          <w:iCs/>
          <w:sz w:val="20"/>
          <w:szCs w:val="20"/>
        </w:rPr>
        <w:t xml:space="preserve">mprove consistency of </w:t>
      </w:r>
      <w:r w:rsidR="00A064C0" w:rsidRPr="006767C5">
        <w:rPr>
          <w:rFonts w:ascii="Open Sans" w:hAnsi="Open Sans" w:cs="Open Sans"/>
          <w:b/>
          <w:bCs/>
          <w:i/>
          <w:iCs/>
          <w:sz w:val="20"/>
          <w:szCs w:val="20"/>
        </w:rPr>
        <w:t>sustainability requirements</w:t>
      </w:r>
      <w:r w:rsidR="00937B26" w:rsidRPr="006767C5">
        <w:rPr>
          <w:rFonts w:ascii="Open Sans" w:hAnsi="Open Sans" w:cs="Open Sans"/>
          <w:b/>
          <w:bCs/>
          <w:i/>
          <w:iCs/>
          <w:sz w:val="20"/>
          <w:szCs w:val="20"/>
        </w:rPr>
        <w:t xml:space="preserve"> </w:t>
      </w:r>
      <w:r w:rsidR="00A064C0" w:rsidRPr="006767C5">
        <w:rPr>
          <w:rFonts w:ascii="Open Sans" w:hAnsi="Open Sans" w:cs="Open Sans"/>
          <w:b/>
          <w:bCs/>
          <w:i/>
          <w:iCs/>
          <w:sz w:val="20"/>
          <w:szCs w:val="20"/>
        </w:rPr>
        <w:t xml:space="preserve">between </w:t>
      </w:r>
      <w:r w:rsidR="00937B26" w:rsidRPr="006767C5">
        <w:rPr>
          <w:rFonts w:ascii="Open Sans" w:hAnsi="Open Sans" w:cs="Open Sans"/>
          <w:b/>
          <w:bCs/>
          <w:i/>
          <w:iCs/>
          <w:sz w:val="20"/>
          <w:szCs w:val="20"/>
        </w:rPr>
        <w:t>bioenergy support mechanism</w:t>
      </w:r>
      <w:r w:rsidR="00A064C0" w:rsidRPr="006767C5">
        <w:rPr>
          <w:rFonts w:ascii="Open Sans" w:hAnsi="Open Sans" w:cs="Open Sans"/>
          <w:b/>
          <w:bCs/>
          <w:i/>
          <w:iCs/>
          <w:sz w:val="20"/>
          <w:szCs w:val="20"/>
        </w:rPr>
        <w:t>s</w:t>
      </w:r>
      <w:r w:rsidR="00D91667" w:rsidRPr="006767C5">
        <w:rPr>
          <w:rFonts w:ascii="Open Sans" w:hAnsi="Open Sans" w:cs="Open Sans"/>
          <w:b/>
          <w:bCs/>
          <w:i/>
          <w:iCs/>
          <w:sz w:val="20"/>
          <w:szCs w:val="20"/>
        </w:rPr>
        <w:t>.</w:t>
      </w:r>
    </w:p>
    <w:p w14:paraId="7D122771" w14:textId="3D6CD6C8" w:rsidR="00937B26" w:rsidRPr="006767C5" w:rsidRDefault="00937B26" w:rsidP="00E527C6">
      <w:pPr>
        <w:rPr>
          <w:rFonts w:ascii="Open Sans" w:hAnsi="Open Sans" w:cs="Open Sans"/>
          <w:sz w:val="20"/>
          <w:szCs w:val="20"/>
        </w:rPr>
      </w:pPr>
      <w:r w:rsidRPr="006767C5">
        <w:rPr>
          <w:rFonts w:ascii="Open Sans" w:hAnsi="Open Sans" w:cs="Open Sans"/>
          <w:sz w:val="20"/>
          <w:szCs w:val="20"/>
        </w:rPr>
        <w:t xml:space="preserve">There </w:t>
      </w:r>
      <w:r w:rsidR="00A064C0" w:rsidRPr="006767C5">
        <w:rPr>
          <w:rFonts w:ascii="Open Sans" w:hAnsi="Open Sans" w:cs="Open Sans"/>
          <w:sz w:val="20"/>
          <w:szCs w:val="20"/>
        </w:rPr>
        <w:t>are inconsistencies in sustainability requirements across different bioenergy support mechanism</w:t>
      </w:r>
      <w:r w:rsidR="00A41446" w:rsidRPr="006767C5">
        <w:rPr>
          <w:rFonts w:ascii="Open Sans" w:hAnsi="Open Sans" w:cs="Open Sans"/>
          <w:sz w:val="20"/>
          <w:szCs w:val="20"/>
        </w:rPr>
        <w:t>s</w:t>
      </w:r>
      <w:r w:rsidR="00A064C0" w:rsidRPr="006767C5">
        <w:rPr>
          <w:rFonts w:ascii="Open Sans" w:hAnsi="Open Sans" w:cs="Open Sans"/>
          <w:sz w:val="20"/>
          <w:szCs w:val="20"/>
        </w:rPr>
        <w:t xml:space="preserve">. For example, the RTFO includes the category 'dedicated energy crops'. The definition covers crops that are </w:t>
      </w:r>
      <w:proofErr w:type="spellStart"/>
      <w:r w:rsidR="00A064C0" w:rsidRPr="006767C5">
        <w:rPr>
          <w:rFonts w:ascii="Open Sans" w:hAnsi="Open Sans" w:cs="Open Sans"/>
          <w:sz w:val="20"/>
          <w:szCs w:val="20"/>
        </w:rPr>
        <w:t>ligno</w:t>
      </w:r>
      <w:proofErr w:type="spellEnd"/>
      <w:r w:rsidR="00A064C0" w:rsidRPr="006767C5">
        <w:rPr>
          <w:rFonts w:ascii="Open Sans" w:hAnsi="Open Sans" w:cs="Open Sans"/>
          <w:sz w:val="20"/>
          <w:szCs w:val="20"/>
        </w:rPr>
        <w:t>-cellulosic and</w:t>
      </w:r>
      <w:r w:rsidR="00A064C0" w:rsidRPr="006767C5">
        <w:rPr>
          <w:rFonts w:ascii="Open Sans" w:hAnsi="Open Sans" w:cs="Open Sans"/>
          <w:bCs/>
          <w:sz w:val="20"/>
          <w:szCs w:val="20"/>
        </w:rPr>
        <w:t xml:space="preserve"> non-food cellulosic material and which are grown for the purpose of being used as fuel</w:t>
      </w:r>
      <w:r w:rsidR="00A064C0" w:rsidRPr="006767C5">
        <w:rPr>
          <w:rFonts w:ascii="Open Sans" w:hAnsi="Open Sans" w:cs="Open Sans"/>
          <w:sz w:val="20"/>
          <w:szCs w:val="20"/>
        </w:rPr>
        <w:t xml:space="preserve"> (and not food or feed). </w:t>
      </w:r>
      <w:r w:rsidR="00A064C0" w:rsidRPr="006767C5">
        <w:rPr>
          <w:rFonts w:ascii="Open Sans" w:hAnsi="Open Sans" w:cs="Open Sans"/>
          <w:bCs/>
          <w:sz w:val="20"/>
          <w:szCs w:val="20"/>
        </w:rPr>
        <w:t>Biofuels derived from these materials are double rewarded</w:t>
      </w:r>
      <w:r w:rsidR="00A064C0" w:rsidRPr="006767C5">
        <w:rPr>
          <w:rFonts w:ascii="Open Sans" w:hAnsi="Open Sans" w:cs="Open Sans"/>
          <w:sz w:val="20"/>
          <w:szCs w:val="20"/>
        </w:rPr>
        <w:t xml:space="preserve"> and are also required to comply with the land-use sustainability criteria. However, no such determination is made within the RHI</w:t>
      </w:r>
      <w:r w:rsidR="001F3165" w:rsidRPr="006767C5">
        <w:rPr>
          <w:rFonts w:ascii="Open Sans" w:hAnsi="Open Sans" w:cs="Open Sans"/>
          <w:sz w:val="20"/>
          <w:szCs w:val="20"/>
        </w:rPr>
        <w:t xml:space="preserve"> or new Green Gas Support Scheme (GGSS</w:t>
      </w:r>
      <w:proofErr w:type="gramStart"/>
      <w:r w:rsidR="001F3165" w:rsidRPr="006767C5">
        <w:rPr>
          <w:rFonts w:ascii="Open Sans" w:hAnsi="Open Sans" w:cs="Open Sans"/>
          <w:sz w:val="20"/>
          <w:szCs w:val="20"/>
        </w:rPr>
        <w:t xml:space="preserve">) </w:t>
      </w:r>
      <w:r w:rsidR="00A064C0" w:rsidRPr="006767C5">
        <w:rPr>
          <w:rFonts w:ascii="Open Sans" w:hAnsi="Open Sans" w:cs="Open Sans"/>
          <w:sz w:val="20"/>
          <w:szCs w:val="20"/>
        </w:rPr>
        <w:t>,</w:t>
      </w:r>
      <w:proofErr w:type="gramEnd"/>
      <w:r w:rsidR="00A064C0" w:rsidRPr="006767C5">
        <w:rPr>
          <w:rFonts w:ascii="Open Sans" w:hAnsi="Open Sans" w:cs="Open Sans"/>
          <w:sz w:val="20"/>
          <w:szCs w:val="20"/>
        </w:rPr>
        <w:t xml:space="preserve"> where payments are reduced if more than 50% of the biogas/biomethane is made from any crops. The </w:t>
      </w:r>
      <w:r w:rsidR="00EA3B86" w:rsidRPr="006767C5">
        <w:rPr>
          <w:rFonts w:ascii="Open Sans" w:hAnsi="Open Sans" w:cs="Open Sans"/>
          <w:sz w:val="20"/>
          <w:szCs w:val="20"/>
        </w:rPr>
        <w:t xml:space="preserve">GGSS </w:t>
      </w:r>
      <w:r w:rsidR="00A064C0" w:rsidRPr="006767C5">
        <w:rPr>
          <w:rFonts w:ascii="Open Sans" w:hAnsi="Open Sans" w:cs="Open Sans"/>
          <w:sz w:val="20"/>
          <w:szCs w:val="20"/>
        </w:rPr>
        <w:t xml:space="preserve">should be made consistent with the RTFO </w:t>
      </w:r>
      <w:r w:rsidR="001F3165" w:rsidRPr="006767C5">
        <w:rPr>
          <w:rFonts w:ascii="Open Sans" w:hAnsi="Open Sans" w:cs="Open Sans"/>
          <w:sz w:val="20"/>
          <w:szCs w:val="20"/>
        </w:rPr>
        <w:t>to</w:t>
      </w:r>
      <w:r w:rsidR="00A064C0" w:rsidRPr="006767C5">
        <w:rPr>
          <w:rFonts w:ascii="Open Sans" w:hAnsi="Open Sans" w:cs="Open Sans"/>
          <w:sz w:val="20"/>
          <w:szCs w:val="20"/>
        </w:rPr>
        <w:t xml:space="preserve"> avoid market distortions in support. </w:t>
      </w:r>
    </w:p>
    <w:p w14:paraId="35C14C0C" w14:textId="7A553E71" w:rsidR="00A064C0" w:rsidRPr="006767C5" w:rsidRDefault="00EA3B86" w:rsidP="00E527C6">
      <w:pPr>
        <w:rPr>
          <w:rFonts w:ascii="Open Sans" w:hAnsi="Open Sans" w:cs="Open Sans"/>
          <w:sz w:val="20"/>
          <w:szCs w:val="20"/>
        </w:rPr>
      </w:pPr>
      <w:r w:rsidRPr="006767C5">
        <w:rPr>
          <w:rFonts w:ascii="Open Sans" w:hAnsi="Open Sans" w:cs="Open Sans"/>
          <w:sz w:val="20"/>
          <w:szCs w:val="20"/>
        </w:rPr>
        <w:t>Consistency should also be sought for how innovative feedstocks are monitored between different support mechanism</w:t>
      </w:r>
      <w:r w:rsidR="00A41446" w:rsidRPr="006767C5">
        <w:rPr>
          <w:rFonts w:ascii="Open Sans" w:hAnsi="Open Sans" w:cs="Open Sans"/>
          <w:sz w:val="20"/>
          <w:szCs w:val="20"/>
        </w:rPr>
        <w:t>s</w:t>
      </w:r>
      <w:r w:rsidRPr="006767C5">
        <w:rPr>
          <w:rFonts w:ascii="Open Sans" w:hAnsi="Open Sans" w:cs="Open Sans"/>
          <w:sz w:val="20"/>
          <w:szCs w:val="20"/>
        </w:rPr>
        <w:t xml:space="preserve">. For example, all support schemes should include ways for incentivising best practice, and maximising environmental benefits, from perennial energy crops. This will ensure developers have access to heat, </w:t>
      </w:r>
      <w:proofErr w:type="gramStart"/>
      <w:r w:rsidRPr="006767C5">
        <w:rPr>
          <w:rFonts w:ascii="Open Sans" w:hAnsi="Open Sans" w:cs="Open Sans"/>
          <w:sz w:val="20"/>
          <w:szCs w:val="20"/>
        </w:rPr>
        <w:t>power</w:t>
      </w:r>
      <w:proofErr w:type="gramEnd"/>
      <w:r w:rsidRPr="006767C5">
        <w:rPr>
          <w:rFonts w:ascii="Open Sans" w:hAnsi="Open Sans" w:cs="Open Sans"/>
          <w:sz w:val="20"/>
          <w:szCs w:val="20"/>
        </w:rPr>
        <w:t xml:space="preserve"> and transport markets in order to further develop the growth of these domestic feedstocks in the UK.  </w:t>
      </w:r>
    </w:p>
    <w:p w14:paraId="36DAB382" w14:textId="548D9D4A" w:rsidR="00A064C0" w:rsidRPr="006767C5" w:rsidRDefault="00EA3B86" w:rsidP="00E527C6">
      <w:pPr>
        <w:rPr>
          <w:rFonts w:ascii="Open Sans" w:hAnsi="Open Sans" w:cs="Open Sans"/>
          <w:b/>
          <w:bCs/>
          <w:i/>
          <w:iCs/>
          <w:sz w:val="20"/>
          <w:szCs w:val="20"/>
        </w:rPr>
      </w:pPr>
      <w:r w:rsidRPr="006767C5">
        <w:rPr>
          <w:rFonts w:ascii="Open Sans" w:hAnsi="Open Sans" w:cs="Open Sans"/>
          <w:b/>
          <w:bCs/>
          <w:i/>
          <w:iCs/>
          <w:sz w:val="20"/>
          <w:szCs w:val="20"/>
        </w:rPr>
        <w:t xml:space="preserve">Consistency in sustainability monitoring across the </w:t>
      </w:r>
      <w:r w:rsidR="000B62FF" w:rsidRPr="006767C5">
        <w:rPr>
          <w:rFonts w:ascii="Open Sans" w:hAnsi="Open Sans" w:cs="Open Sans"/>
          <w:b/>
          <w:bCs/>
          <w:i/>
          <w:iCs/>
          <w:sz w:val="20"/>
          <w:szCs w:val="20"/>
        </w:rPr>
        <w:t>economy</w:t>
      </w:r>
      <w:r w:rsidR="00A064C0" w:rsidRPr="006767C5">
        <w:rPr>
          <w:rFonts w:ascii="Open Sans" w:hAnsi="Open Sans" w:cs="Open Sans"/>
          <w:b/>
          <w:bCs/>
          <w:i/>
          <w:iCs/>
          <w:sz w:val="20"/>
          <w:szCs w:val="20"/>
        </w:rPr>
        <w:t xml:space="preserve">, including recognition of carbon emissions being accounted for </w:t>
      </w:r>
      <w:r w:rsidR="003414FD" w:rsidRPr="006767C5">
        <w:rPr>
          <w:rFonts w:ascii="Open Sans" w:hAnsi="Open Sans" w:cs="Open Sans"/>
          <w:b/>
          <w:bCs/>
          <w:i/>
          <w:iCs/>
          <w:sz w:val="20"/>
          <w:szCs w:val="20"/>
        </w:rPr>
        <w:t xml:space="preserve">in the land sector. </w:t>
      </w:r>
    </w:p>
    <w:p w14:paraId="6541B8D5" w14:textId="59B2FA7C" w:rsidR="00EA3B86" w:rsidRPr="006767C5" w:rsidRDefault="000B62FF" w:rsidP="00E527C6">
      <w:pPr>
        <w:rPr>
          <w:rFonts w:ascii="Open Sans" w:hAnsi="Open Sans" w:cs="Open Sans"/>
          <w:sz w:val="20"/>
          <w:szCs w:val="20"/>
          <w:lang w:eastAsia="en-GB"/>
        </w:rPr>
      </w:pPr>
      <w:r w:rsidRPr="006767C5">
        <w:rPr>
          <w:rFonts w:ascii="Open Sans" w:hAnsi="Open Sans" w:cs="Open Sans"/>
          <w:sz w:val="20"/>
          <w:szCs w:val="20"/>
          <w:lang w:eastAsia="en-GB"/>
        </w:rPr>
        <w:t xml:space="preserve">There is a general need for greater consistency in reporting and </w:t>
      </w:r>
      <w:r w:rsidR="0040132C" w:rsidRPr="006767C5">
        <w:rPr>
          <w:rFonts w:ascii="Open Sans" w:hAnsi="Open Sans" w:cs="Open Sans"/>
          <w:sz w:val="20"/>
          <w:szCs w:val="20"/>
          <w:lang w:eastAsia="en-GB"/>
        </w:rPr>
        <w:t>accounting across</w:t>
      </w:r>
      <w:r w:rsidR="00A41446" w:rsidRPr="006767C5">
        <w:rPr>
          <w:rFonts w:ascii="Open Sans" w:hAnsi="Open Sans" w:cs="Open Sans"/>
          <w:sz w:val="20"/>
          <w:szCs w:val="20"/>
          <w:lang w:eastAsia="en-GB"/>
        </w:rPr>
        <w:t xml:space="preserve"> the wider economy. </w:t>
      </w:r>
      <w:r w:rsidRPr="006767C5">
        <w:rPr>
          <w:rFonts w:ascii="Open Sans" w:hAnsi="Open Sans" w:cs="Open Sans"/>
          <w:sz w:val="20"/>
          <w:szCs w:val="20"/>
          <w:lang w:eastAsia="en-GB"/>
        </w:rPr>
        <w:t xml:space="preserve">No other imported products into the UK must meet the level of sustainability standards/ regulations applied to bioenergy. This includes when considering supply chains for the import of fossil fuels, which </w:t>
      </w:r>
      <w:r w:rsidR="003414FD" w:rsidRPr="006767C5">
        <w:rPr>
          <w:rFonts w:ascii="Open Sans" w:hAnsi="Open Sans" w:cs="Open Sans"/>
          <w:sz w:val="20"/>
          <w:szCs w:val="20"/>
          <w:lang w:eastAsia="en-GB"/>
        </w:rPr>
        <w:t xml:space="preserve">can </w:t>
      </w:r>
      <w:r w:rsidRPr="006767C5">
        <w:rPr>
          <w:rFonts w:ascii="Open Sans" w:hAnsi="Open Sans" w:cs="Open Sans"/>
          <w:sz w:val="20"/>
          <w:szCs w:val="20"/>
          <w:lang w:eastAsia="en-GB"/>
        </w:rPr>
        <w:t xml:space="preserve">have higher average GHG emissions associated with transportation. </w:t>
      </w:r>
      <w:r w:rsidR="0040132C" w:rsidRPr="006767C5">
        <w:rPr>
          <w:rFonts w:ascii="Open Sans" w:hAnsi="Open Sans" w:cs="Open Sans"/>
          <w:sz w:val="20"/>
          <w:szCs w:val="20"/>
          <w:lang w:eastAsia="en-GB"/>
        </w:rPr>
        <w:t>Greater transparency across other supply chains will</w:t>
      </w:r>
      <w:r w:rsidR="003414FD" w:rsidRPr="006767C5">
        <w:rPr>
          <w:rFonts w:ascii="Open Sans" w:hAnsi="Open Sans" w:cs="Open Sans"/>
          <w:sz w:val="20"/>
          <w:szCs w:val="20"/>
          <w:lang w:eastAsia="en-GB"/>
        </w:rPr>
        <w:t>,</w:t>
      </w:r>
      <w:r w:rsidR="0040132C" w:rsidRPr="006767C5">
        <w:rPr>
          <w:rFonts w:ascii="Open Sans" w:hAnsi="Open Sans" w:cs="Open Sans"/>
          <w:sz w:val="20"/>
          <w:szCs w:val="20"/>
          <w:lang w:eastAsia="en-GB"/>
        </w:rPr>
        <w:t xml:space="preserve"> in turn</w:t>
      </w:r>
      <w:r w:rsidR="003414FD" w:rsidRPr="006767C5">
        <w:rPr>
          <w:rFonts w:ascii="Open Sans" w:hAnsi="Open Sans" w:cs="Open Sans"/>
          <w:sz w:val="20"/>
          <w:szCs w:val="20"/>
          <w:lang w:eastAsia="en-GB"/>
        </w:rPr>
        <w:t xml:space="preserve">, </w:t>
      </w:r>
      <w:r w:rsidR="0040132C" w:rsidRPr="006767C5">
        <w:rPr>
          <w:rFonts w:ascii="Open Sans" w:hAnsi="Open Sans" w:cs="Open Sans"/>
          <w:sz w:val="20"/>
          <w:szCs w:val="20"/>
          <w:lang w:eastAsia="en-GB"/>
        </w:rPr>
        <w:t xml:space="preserve">lead to </w:t>
      </w:r>
      <w:r w:rsidR="00A41446" w:rsidRPr="006767C5">
        <w:rPr>
          <w:rFonts w:ascii="Open Sans" w:hAnsi="Open Sans" w:cs="Open Sans"/>
          <w:sz w:val="20"/>
          <w:szCs w:val="20"/>
          <w:lang w:eastAsia="en-GB"/>
        </w:rPr>
        <w:t>more accurate comparisons on emissions.</w:t>
      </w:r>
      <w:r w:rsidR="0040132C" w:rsidRPr="006767C5">
        <w:rPr>
          <w:rFonts w:ascii="Open Sans" w:hAnsi="Open Sans" w:cs="Open Sans"/>
          <w:sz w:val="20"/>
          <w:szCs w:val="20"/>
          <w:lang w:eastAsia="en-GB"/>
        </w:rPr>
        <w:t xml:space="preserve"> </w:t>
      </w:r>
    </w:p>
    <w:p w14:paraId="2ED3F675" w14:textId="780A0F14" w:rsidR="0040132C" w:rsidRPr="006767C5" w:rsidRDefault="003414FD" w:rsidP="00E527C6">
      <w:pPr>
        <w:rPr>
          <w:rFonts w:ascii="Open Sans" w:hAnsi="Open Sans" w:cs="Open Sans"/>
          <w:sz w:val="20"/>
          <w:szCs w:val="20"/>
          <w:lang w:eastAsia="en-GB"/>
        </w:rPr>
      </w:pPr>
      <w:r w:rsidRPr="006767C5">
        <w:rPr>
          <w:rFonts w:ascii="Open Sans" w:hAnsi="Open Sans" w:cs="Open Sans"/>
          <w:sz w:val="20"/>
          <w:szCs w:val="20"/>
          <w:lang w:eastAsia="en-GB"/>
        </w:rPr>
        <w:t>Similarly,</w:t>
      </w:r>
      <w:r w:rsidR="0040132C" w:rsidRPr="006767C5">
        <w:rPr>
          <w:rFonts w:ascii="Open Sans" w:hAnsi="Open Sans" w:cs="Open Sans"/>
          <w:sz w:val="20"/>
          <w:szCs w:val="20"/>
          <w:lang w:eastAsia="en-GB"/>
        </w:rPr>
        <w:t xml:space="preserve"> there is current precedence for lifecycle emissions of biomass, which considers whole supply chains, to be directly compared to only stack emissions of other electricity generation technologies</w:t>
      </w:r>
      <w:r w:rsidR="00A41446" w:rsidRPr="006767C5">
        <w:rPr>
          <w:rFonts w:ascii="Open Sans" w:hAnsi="Open Sans" w:cs="Open Sans"/>
          <w:sz w:val="20"/>
          <w:szCs w:val="20"/>
          <w:lang w:eastAsia="en-GB"/>
        </w:rPr>
        <w:t xml:space="preserve">, leading to further </w:t>
      </w:r>
      <w:r w:rsidR="004A6F7F" w:rsidRPr="006767C5">
        <w:rPr>
          <w:rFonts w:ascii="Open Sans" w:hAnsi="Open Sans" w:cs="Open Sans"/>
          <w:sz w:val="20"/>
          <w:szCs w:val="20"/>
          <w:lang w:eastAsia="en-GB"/>
        </w:rPr>
        <w:t>inaccuracies</w:t>
      </w:r>
      <w:r w:rsidR="0040132C" w:rsidRPr="006767C5">
        <w:rPr>
          <w:rFonts w:ascii="Open Sans" w:hAnsi="Open Sans" w:cs="Open Sans"/>
          <w:sz w:val="20"/>
          <w:szCs w:val="20"/>
          <w:lang w:eastAsia="en-GB"/>
        </w:rPr>
        <w:t xml:space="preserve">. </w:t>
      </w:r>
      <w:r w:rsidR="004A6F7F" w:rsidRPr="006767C5">
        <w:rPr>
          <w:rFonts w:ascii="Open Sans" w:hAnsi="Open Sans" w:cs="Open Sans"/>
          <w:sz w:val="20"/>
          <w:szCs w:val="20"/>
          <w:lang w:eastAsia="en-GB"/>
        </w:rPr>
        <w:t>T</w:t>
      </w:r>
      <w:r w:rsidR="0040132C" w:rsidRPr="006767C5">
        <w:rPr>
          <w:rFonts w:ascii="Open Sans" w:hAnsi="Open Sans" w:cs="Open Sans"/>
          <w:sz w:val="20"/>
          <w:szCs w:val="20"/>
          <w:lang w:eastAsia="en-GB"/>
        </w:rPr>
        <w:t xml:space="preserve">here also needs to be greater understanding of how biogenic carbon emissions are reported under international carbon accounting frameworks in the land sector, </w:t>
      </w:r>
      <w:r w:rsidRPr="006767C5">
        <w:rPr>
          <w:rFonts w:ascii="Open Sans" w:hAnsi="Open Sans" w:cs="Open Sans"/>
          <w:sz w:val="20"/>
          <w:szCs w:val="20"/>
          <w:lang w:eastAsia="en-GB"/>
        </w:rPr>
        <w:t>alongside removals, through reporting of changes in carbon stock.</w:t>
      </w:r>
      <w:r w:rsidRPr="006767C5">
        <w:rPr>
          <w:rStyle w:val="FootnoteReference"/>
          <w:rFonts w:ascii="Open Sans" w:hAnsi="Open Sans" w:cs="Open Sans"/>
          <w:sz w:val="20"/>
          <w:szCs w:val="20"/>
          <w:lang w:eastAsia="en-GB"/>
        </w:rPr>
        <w:footnoteReference w:id="89"/>
      </w:r>
      <w:r w:rsidRPr="006767C5">
        <w:rPr>
          <w:rFonts w:ascii="Open Sans" w:hAnsi="Open Sans" w:cs="Open Sans"/>
          <w:sz w:val="20"/>
          <w:szCs w:val="20"/>
          <w:lang w:eastAsia="en-GB"/>
        </w:rPr>
        <w:t xml:space="preserve"> This is an important accounting precedent, which is not always appropriately reflected</w:t>
      </w:r>
      <w:r w:rsidR="004A6F7F" w:rsidRPr="006767C5">
        <w:rPr>
          <w:rFonts w:ascii="Open Sans" w:hAnsi="Open Sans" w:cs="Open Sans"/>
          <w:sz w:val="20"/>
          <w:szCs w:val="20"/>
          <w:lang w:eastAsia="en-GB"/>
        </w:rPr>
        <w:t xml:space="preserve"> in</w:t>
      </w:r>
      <w:r w:rsidRPr="006767C5">
        <w:rPr>
          <w:rFonts w:ascii="Open Sans" w:hAnsi="Open Sans" w:cs="Open Sans"/>
          <w:sz w:val="20"/>
          <w:szCs w:val="20"/>
          <w:lang w:eastAsia="en-GB"/>
        </w:rPr>
        <w:t xml:space="preserve"> how emissions are reported. </w:t>
      </w:r>
    </w:p>
    <w:p w14:paraId="31E465A5" w14:textId="3E175F9F" w:rsidR="003414FD" w:rsidRPr="006767C5" w:rsidRDefault="00937B26" w:rsidP="00E527C6">
      <w:pPr>
        <w:rPr>
          <w:rFonts w:ascii="Open Sans" w:hAnsi="Open Sans" w:cs="Open Sans"/>
          <w:b/>
          <w:bCs/>
          <w:i/>
          <w:iCs/>
          <w:sz w:val="20"/>
          <w:szCs w:val="20"/>
        </w:rPr>
      </w:pPr>
      <w:r w:rsidRPr="006767C5">
        <w:rPr>
          <w:rFonts w:ascii="Open Sans" w:hAnsi="Open Sans" w:cs="Open Sans"/>
          <w:b/>
          <w:bCs/>
          <w:i/>
          <w:iCs/>
          <w:sz w:val="20"/>
          <w:szCs w:val="20"/>
        </w:rPr>
        <w:t xml:space="preserve">Align </w:t>
      </w:r>
      <w:r w:rsidR="006049C5" w:rsidRPr="006767C5">
        <w:rPr>
          <w:rFonts w:ascii="Open Sans" w:hAnsi="Open Sans" w:cs="Open Sans"/>
          <w:b/>
          <w:bCs/>
          <w:i/>
          <w:iCs/>
          <w:sz w:val="20"/>
          <w:szCs w:val="20"/>
        </w:rPr>
        <w:t xml:space="preserve">monitoring and </w:t>
      </w:r>
      <w:r w:rsidRPr="006767C5">
        <w:rPr>
          <w:rFonts w:ascii="Open Sans" w:hAnsi="Open Sans" w:cs="Open Sans"/>
          <w:b/>
          <w:bCs/>
          <w:i/>
          <w:iCs/>
          <w:sz w:val="20"/>
          <w:szCs w:val="20"/>
        </w:rPr>
        <w:t xml:space="preserve">reporting terms to those used in the forestry </w:t>
      </w:r>
      <w:r w:rsidR="003414FD" w:rsidRPr="006767C5">
        <w:rPr>
          <w:rFonts w:ascii="Open Sans" w:hAnsi="Open Sans" w:cs="Open Sans"/>
          <w:b/>
          <w:bCs/>
          <w:i/>
          <w:iCs/>
          <w:sz w:val="20"/>
          <w:szCs w:val="20"/>
        </w:rPr>
        <w:t>industry.</w:t>
      </w:r>
    </w:p>
    <w:p w14:paraId="25806C6E" w14:textId="6970D60D" w:rsidR="003414FD" w:rsidRPr="006767C5" w:rsidRDefault="003414FD" w:rsidP="00E527C6">
      <w:pPr>
        <w:rPr>
          <w:rFonts w:ascii="Open Sans" w:hAnsi="Open Sans" w:cs="Open Sans"/>
          <w:sz w:val="20"/>
          <w:szCs w:val="20"/>
        </w:rPr>
      </w:pPr>
      <w:r w:rsidRPr="006767C5">
        <w:rPr>
          <w:rFonts w:ascii="Open Sans" w:hAnsi="Open Sans" w:cs="Open Sans"/>
          <w:sz w:val="20"/>
          <w:szCs w:val="20"/>
        </w:rPr>
        <w:t>Basic consistency in terminology and definitions used in monitoring and reporting, against th</w:t>
      </w:r>
      <w:r w:rsidR="006049C5" w:rsidRPr="006767C5">
        <w:rPr>
          <w:rFonts w:ascii="Open Sans" w:hAnsi="Open Sans" w:cs="Open Sans"/>
          <w:sz w:val="20"/>
          <w:szCs w:val="20"/>
        </w:rPr>
        <w:t>ose terms</w:t>
      </w:r>
      <w:r w:rsidRPr="006767C5">
        <w:rPr>
          <w:rFonts w:ascii="Open Sans" w:hAnsi="Open Sans" w:cs="Open Sans"/>
          <w:sz w:val="20"/>
          <w:szCs w:val="20"/>
        </w:rPr>
        <w:t xml:space="preserve"> used across the entire biomass supply chain could also be improved. </w:t>
      </w:r>
      <w:r w:rsidR="006049C5" w:rsidRPr="006767C5">
        <w:rPr>
          <w:rFonts w:ascii="Open Sans" w:hAnsi="Open Sans" w:cs="Open Sans"/>
          <w:sz w:val="20"/>
          <w:szCs w:val="20"/>
        </w:rPr>
        <w:t>For example, use of the term “whole trees” in some circles is misaligned to the terminology used more widely by experts on the ground, who use “low grade roundwood” to define that feedstock type.</w:t>
      </w:r>
    </w:p>
    <w:p w14:paraId="21D56B22" w14:textId="2A8BA3EF" w:rsidR="00937B26" w:rsidRPr="006767C5" w:rsidRDefault="00937B26" w:rsidP="00E527C6">
      <w:pPr>
        <w:rPr>
          <w:rFonts w:ascii="Open Sans" w:hAnsi="Open Sans" w:cs="Open Sans"/>
          <w:b/>
          <w:bCs/>
          <w:i/>
          <w:iCs/>
          <w:sz w:val="20"/>
          <w:szCs w:val="20"/>
        </w:rPr>
      </w:pPr>
      <w:r w:rsidRPr="006767C5">
        <w:rPr>
          <w:rFonts w:ascii="Open Sans" w:hAnsi="Open Sans" w:cs="Open Sans"/>
          <w:b/>
          <w:bCs/>
          <w:i/>
          <w:iCs/>
          <w:sz w:val="20"/>
          <w:szCs w:val="20"/>
        </w:rPr>
        <w:t xml:space="preserve">Recognise by-products </w:t>
      </w:r>
      <w:r w:rsidR="00ED2011" w:rsidRPr="006767C5">
        <w:rPr>
          <w:rFonts w:ascii="Open Sans" w:hAnsi="Open Sans" w:cs="Open Sans"/>
          <w:b/>
          <w:bCs/>
          <w:i/>
          <w:iCs/>
          <w:sz w:val="20"/>
          <w:szCs w:val="20"/>
        </w:rPr>
        <w:t>from AD and ACT in monitoring and reporting</w:t>
      </w:r>
      <w:r w:rsidR="006049C5" w:rsidRPr="006767C5">
        <w:rPr>
          <w:rFonts w:ascii="Open Sans" w:hAnsi="Open Sans" w:cs="Open Sans"/>
          <w:b/>
          <w:bCs/>
          <w:i/>
          <w:iCs/>
          <w:sz w:val="20"/>
          <w:szCs w:val="20"/>
        </w:rPr>
        <w:t>.</w:t>
      </w:r>
    </w:p>
    <w:p w14:paraId="494D0E18" w14:textId="094B75A8" w:rsidR="00ED2011" w:rsidRPr="006767C5" w:rsidRDefault="006049C5" w:rsidP="00ED2011">
      <w:pPr>
        <w:rPr>
          <w:rFonts w:ascii="Open Sans" w:hAnsi="Open Sans" w:cs="Open Sans"/>
          <w:b/>
          <w:bCs/>
          <w:sz w:val="20"/>
          <w:szCs w:val="20"/>
        </w:rPr>
      </w:pPr>
      <w:r w:rsidRPr="006767C5">
        <w:rPr>
          <w:rFonts w:ascii="Open Sans" w:hAnsi="Open Sans" w:cs="Open Sans"/>
          <w:sz w:val="20"/>
          <w:szCs w:val="20"/>
        </w:rPr>
        <w:t xml:space="preserve">By-products resulting from </w:t>
      </w:r>
      <w:r w:rsidR="005C20E6" w:rsidRPr="006767C5">
        <w:rPr>
          <w:rFonts w:ascii="Open Sans" w:hAnsi="Open Sans" w:cs="Open Sans"/>
          <w:sz w:val="20"/>
          <w:szCs w:val="20"/>
        </w:rPr>
        <w:t>a</w:t>
      </w:r>
      <w:r w:rsidR="00F279CA" w:rsidRPr="006767C5">
        <w:rPr>
          <w:rFonts w:ascii="Open Sans" w:hAnsi="Open Sans" w:cs="Open Sans"/>
          <w:sz w:val="20"/>
          <w:szCs w:val="20"/>
        </w:rPr>
        <w:t xml:space="preserve">naerobic </w:t>
      </w:r>
      <w:r w:rsidR="005C20E6" w:rsidRPr="006767C5">
        <w:rPr>
          <w:rFonts w:ascii="Open Sans" w:hAnsi="Open Sans" w:cs="Open Sans"/>
          <w:sz w:val="20"/>
          <w:szCs w:val="20"/>
        </w:rPr>
        <w:t>d</w:t>
      </w:r>
      <w:r w:rsidR="00F279CA" w:rsidRPr="006767C5">
        <w:rPr>
          <w:rFonts w:ascii="Open Sans" w:hAnsi="Open Sans" w:cs="Open Sans"/>
          <w:sz w:val="20"/>
          <w:szCs w:val="20"/>
        </w:rPr>
        <w:t>igestion</w:t>
      </w:r>
      <w:r w:rsidR="004A6F7F" w:rsidRPr="006767C5">
        <w:rPr>
          <w:rFonts w:ascii="Open Sans" w:hAnsi="Open Sans" w:cs="Open Sans"/>
          <w:sz w:val="20"/>
          <w:szCs w:val="20"/>
        </w:rPr>
        <w:t xml:space="preserve"> or </w:t>
      </w:r>
      <w:r w:rsidR="005C20E6" w:rsidRPr="006767C5">
        <w:rPr>
          <w:rFonts w:ascii="Open Sans" w:hAnsi="Open Sans" w:cs="Open Sans"/>
          <w:sz w:val="20"/>
          <w:szCs w:val="20"/>
        </w:rPr>
        <w:t>a</w:t>
      </w:r>
      <w:r w:rsidR="004A6F7F" w:rsidRPr="006767C5">
        <w:rPr>
          <w:rFonts w:ascii="Open Sans" w:hAnsi="Open Sans" w:cs="Open Sans"/>
          <w:sz w:val="20"/>
          <w:szCs w:val="20"/>
        </w:rPr>
        <w:t xml:space="preserve">dvanced </w:t>
      </w:r>
      <w:r w:rsidR="005C20E6" w:rsidRPr="006767C5">
        <w:rPr>
          <w:rFonts w:ascii="Open Sans" w:hAnsi="Open Sans" w:cs="Open Sans"/>
          <w:sz w:val="20"/>
          <w:szCs w:val="20"/>
        </w:rPr>
        <w:t>c</w:t>
      </w:r>
      <w:r w:rsidR="004A6F7F" w:rsidRPr="006767C5">
        <w:rPr>
          <w:rFonts w:ascii="Open Sans" w:hAnsi="Open Sans" w:cs="Open Sans"/>
          <w:sz w:val="20"/>
          <w:szCs w:val="20"/>
        </w:rPr>
        <w:t xml:space="preserve">onversion </w:t>
      </w:r>
      <w:r w:rsidR="005C20E6" w:rsidRPr="006767C5">
        <w:rPr>
          <w:rFonts w:ascii="Open Sans" w:hAnsi="Open Sans" w:cs="Open Sans"/>
          <w:sz w:val="20"/>
          <w:szCs w:val="20"/>
        </w:rPr>
        <w:t>t</w:t>
      </w:r>
      <w:r w:rsidR="004A6F7F" w:rsidRPr="006767C5">
        <w:rPr>
          <w:rFonts w:ascii="Open Sans" w:hAnsi="Open Sans" w:cs="Open Sans"/>
          <w:sz w:val="20"/>
          <w:szCs w:val="20"/>
        </w:rPr>
        <w:t xml:space="preserve">echnology (ACT) </w:t>
      </w:r>
      <w:r w:rsidRPr="006767C5">
        <w:rPr>
          <w:rFonts w:ascii="Open Sans" w:hAnsi="Open Sans" w:cs="Open Sans"/>
          <w:sz w:val="20"/>
          <w:szCs w:val="20"/>
        </w:rPr>
        <w:t xml:space="preserve">can also deliver yet further GHG emission savings, displacing other high carbon alternatives. Such savings are not yet recognised in monitoring and reporting requirements. </w:t>
      </w:r>
      <w:r w:rsidR="005C20E6" w:rsidRPr="006767C5">
        <w:rPr>
          <w:rFonts w:ascii="Open Sans" w:hAnsi="Open Sans" w:cs="Open Sans"/>
          <w:sz w:val="20"/>
          <w:szCs w:val="20"/>
        </w:rPr>
        <w:t xml:space="preserve">For example, </w:t>
      </w:r>
      <w:r w:rsidRPr="006767C5">
        <w:rPr>
          <w:rFonts w:ascii="Open Sans" w:hAnsi="Open Sans" w:cs="Open Sans"/>
          <w:sz w:val="20"/>
          <w:szCs w:val="20"/>
        </w:rPr>
        <w:t xml:space="preserve">digestate </w:t>
      </w:r>
      <w:r w:rsidR="00ED2011" w:rsidRPr="006767C5">
        <w:rPr>
          <w:rFonts w:ascii="Open Sans" w:hAnsi="Open Sans" w:cs="Open Sans"/>
          <w:sz w:val="20"/>
          <w:szCs w:val="20"/>
        </w:rPr>
        <w:t xml:space="preserve">from </w:t>
      </w:r>
      <w:r w:rsidR="001F3165" w:rsidRPr="006767C5">
        <w:rPr>
          <w:rFonts w:ascii="Open Sans" w:hAnsi="Open Sans" w:cs="Open Sans"/>
          <w:sz w:val="20"/>
          <w:szCs w:val="20"/>
        </w:rPr>
        <w:t>AD</w:t>
      </w:r>
      <w:r w:rsidR="00ED2011" w:rsidRPr="006767C5">
        <w:rPr>
          <w:rFonts w:ascii="Open Sans" w:hAnsi="Open Sans" w:cs="Open Sans"/>
          <w:sz w:val="20"/>
          <w:szCs w:val="20"/>
        </w:rPr>
        <w:t xml:space="preserve"> is </w:t>
      </w:r>
      <w:r w:rsidRPr="006767C5">
        <w:rPr>
          <w:rFonts w:ascii="Open Sans" w:hAnsi="Open Sans" w:cs="Open Sans"/>
          <w:sz w:val="20"/>
          <w:szCs w:val="20"/>
        </w:rPr>
        <w:t xml:space="preserve">counted for its energy content rather than GHG emissions reductions from displacement of mineral fertiliser. </w:t>
      </w:r>
      <w:r w:rsidR="00ED2011" w:rsidRPr="006767C5">
        <w:rPr>
          <w:rFonts w:ascii="Open Sans" w:hAnsi="Open Sans" w:cs="Open Sans"/>
          <w:sz w:val="20"/>
          <w:szCs w:val="20"/>
        </w:rPr>
        <w:t xml:space="preserve">Biochar, a by-product of </w:t>
      </w:r>
      <w:r w:rsidR="004A6F7F" w:rsidRPr="006767C5">
        <w:rPr>
          <w:rFonts w:ascii="Open Sans" w:hAnsi="Open Sans" w:cs="Open Sans"/>
          <w:sz w:val="20"/>
          <w:szCs w:val="20"/>
        </w:rPr>
        <w:t>ACT</w:t>
      </w:r>
      <w:r w:rsidR="001F3165" w:rsidRPr="006767C5">
        <w:rPr>
          <w:rFonts w:ascii="Open Sans" w:hAnsi="Open Sans" w:cs="Open Sans"/>
          <w:sz w:val="20"/>
          <w:szCs w:val="20"/>
        </w:rPr>
        <w:t>, is also</w:t>
      </w:r>
      <w:r w:rsidR="00ED2011" w:rsidRPr="006767C5">
        <w:rPr>
          <w:rFonts w:ascii="Open Sans" w:hAnsi="Open Sans" w:cs="Open Sans"/>
          <w:sz w:val="20"/>
          <w:szCs w:val="20"/>
        </w:rPr>
        <w:t xml:space="preserve"> used as soil ameliorant for both carbon sequestration and soil health benefits.   </w:t>
      </w:r>
      <w:r w:rsidR="005C20E6" w:rsidRPr="006767C5">
        <w:rPr>
          <w:rFonts w:ascii="Open Sans" w:hAnsi="Open Sans" w:cs="Open Sans"/>
          <w:sz w:val="20"/>
          <w:szCs w:val="20"/>
        </w:rPr>
        <w:t>Me</w:t>
      </w:r>
      <w:r w:rsidR="00ED2011" w:rsidRPr="006767C5">
        <w:rPr>
          <w:rFonts w:ascii="Open Sans" w:hAnsi="Open Sans" w:cs="Open Sans"/>
          <w:sz w:val="20"/>
          <w:szCs w:val="20"/>
        </w:rPr>
        <w:t xml:space="preserve">thodologies </w:t>
      </w:r>
      <w:r w:rsidR="005C20E6" w:rsidRPr="006767C5">
        <w:rPr>
          <w:rFonts w:ascii="Open Sans" w:hAnsi="Open Sans" w:cs="Open Sans"/>
          <w:sz w:val="20"/>
          <w:szCs w:val="20"/>
        </w:rPr>
        <w:t xml:space="preserve">exist by which </w:t>
      </w:r>
      <w:r w:rsidR="00484678" w:rsidRPr="006767C5">
        <w:rPr>
          <w:rFonts w:ascii="Open Sans" w:hAnsi="Open Sans" w:cs="Open Sans"/>
          <w:sz w:val="20"/>
          <w:szCs w:val="20"/>
        </w:rPr>
        <w:t>the carbon</w:t>
      </w:r>
      <w:r w:rsidR="00ED2011" w:rsidRPr="006767C5">
        <w:rPr>
          <w:rFonts w:ascii="Open Sans" w:hAnsi="Open Sans" w:cs="Open Sans"/>
          <w:sz w:val="20"/>
          <w:szCs w:val="20"/>
        </w:rPr>
        <w:t xml:space="preserve"> performance </w:t>
      </w:r>
      <w:r w:rsidR="00484678" w:rsidRPr="006767C5">
        <w:rPr>
          <w:rFonts w:ascii="Open Sans" w:hAnsi="Open Sans" w:cs="Open Sans"/>
          <w:sz w:val="20"/>
          <w:szCs w:val="20"/>
        </w:rPr>
        <w:t xml:space="preserve">can include </w:t>
      </w:r>
      <w:r w:rsidR="00ED2011" w:rsidRPr="006767C5">
        <w:rPr>
          <w:rFonts w:ascii="Open Sans" w:hAnsi="Open Sans" w:cs="Open Sans"/>
          <w:sz w:val="20"/>
          <w:szCs w:val="20"/>
        </w:rPr>
        <w:t xml:space="preserve">savings provided from </w:t>
      </w:r>
      <w:r w:rsidR="004A6F7F" w:rsidRPr="006767C5">
        <w:rPr>
          <w:rFonts w:ascii="Open Sans" w:hAnsi="Open Sans" w:cs="Open Sans"/>
          <w:sz w:val="20"/>
          <w:szCs w:val="20"/>
        </w:rPr>
        <w:t>by-products</w:t>
      </w:r>
      <w:r w:rsidR="005C20E6" w:rsidRPr="006767C5">
        <w:rPr>
          <w:rFonts w:ascii="Open Sans" w:hAnsi="Open Sans" w:cs="Open Sans"/>
          <w:sz w:val="20"/>
          <w:szCs w:val="20"/>
        </w:rPr>
        <w:t xml:space="preserve">, which </w:t>
      </w:r>
      <w:r w:rsidR="00ED2011" w:rsidRPr="006767C5">
        <w:rPr>
          <w:rFonts w:ascii="Open Sans" w:hAnsi="Open Sans" w:cs="Open Sans"/>
          <w:sz w:val="20"/>
          <w:szCs w:val="20"/>
        </w:rPr>
        <w:t xml:space="preserve">would provide yet further transparency around sustainability benefits. </w:t>
      </w:r>
    </w:p>
    <w:p w14:paraId="2722C658" w14:textId="1BCE6D40" w:rsidR="00937B26" w:rsidRPr="006767C5" w:rsidRDefault="00937B26" w:rsidP="00E527C6">
      <w:pPr>
        <w:rPr>
          <w:rFonts w:ascii="Open Sans" w:hAnsi="Open Sans" w:cs="Open Sans"/>
          <w:b/>
          <w:bCs/>
          <w:i/>
          <w:iCs/>
          <w:sz w:val="20"/>
          <w:szCs w:val="20"/>
        </w:rPr>
      </w:pPr>
      <w:r w:rsidRPr="006767C5">
        <w:rPr>
          <w:rFonts w:ascii="Open Sans" w:hAnsi="Open Sans" w:cs="Open Sans"/>
          <w:b/>
          <w:bCs/>
          <w:i/>
          <w:iCs/>
          <w:sz w:val="20"/>
          <w:szCs w:val="20"/>
        </w:rPr>
        <w:t>Examine what further data is already being collected</w:t>
      </w:r>
      <w:r w:rsidR="00BA2E42" w:rsidRPr="006767C5">
        <w:rPr>
          <w:rFonts w:ascii="Open Sans" w:hAnsi="Open Sans" w:cs="Open Sans"/>
          <w:b/>
          <w:bCs/>
          <w:i/>
          <w:iCs/>
          <w:sz w:val="20"/>
          <w:szCs w:val="20"/>
        </w:rPr>
        <w:t xml:space="preserve"> by biomass operators</w:t>
      </w:r>
      <w:r w:rsidRPr="006767C5">
        <w:rPr>
          <w:rFonts w:ascii="Open Sans" w:hAnsi="Open Sans" w:cs="Open Sans"/>
          <w:b/>
          <w:bCs/>
          <w:i/>
          <w:iCs/>
          <w:sz w:val="20"/>
          <w:szCs w:val="20"/>
        </w:rPr>
        <w:t xml:space="preserve"> and could be usefully submitted to government to increase </w:t>
      </w:r>
      <w:r w:rsidR="003A2969" w:rsidRPr="006767C5">
        <w:rPr>
          <w:rFonts w:ascii="Open Sans" w:hAnsi="Open Sans" w:cs="Open Sans"/>
          <w:b/>
          <w:bCs/>
          <w:i/>
          <w:iCs/>
          <w:sz w:val="20"/>
          <w:szCs w:val="20"/>
        </w:rPr>
        <w:t>transparency.</w:t>
      </w:r>
    </w:p>
    <w:p w14:paraId="3ECB6821" w14:textId="78B2EB81" w:rsidR="001D7A21" w:rsidRDefault="003A2969" w:rsidP="001D7A21">
      <w:pPr>
        <w:pBdr>
          <w:bottom w:val="single" w:sz="6" w:space="1" w:color="auto"/>
        </w:pBdr>
        <w:rPr>
          <w:rFonts w:ascii="Open Sans" w:hAnsi="Open Sans" w:cs="Open Sans"/>
          <w:sz w:val="20"/>
          <w:szCs w:val="20"/>
        </w:rPr>
      </w:pPr>
      <w:r w:rsidRPr="006767C5">
        <w:rPr>
          <w:rFonts w:ascii="Open Sans" w:hAnsi="Open Sans" w:cs="Open Sans"/>
          <w:sz w:val="20"/>
          <w:szCs w:val="20"/>
        </w:rPr>
        <w:t xml:space="preserve">It would be worthwhile Government </w:t>
      </w:r>
      <w:r w:rsidR="001D7A21" w:rsidRPr="006767C5">
        <w:rPr>
          <w:rFonts w:ascii="Open Sans" w:hAnsi="Open Sans" w:cs="Open Sans"/>
          <w:sz w:val="20"/>
          <w:szCs w:val="20"/>
        </w:rPr>
        <w:t>reviewing what other data is already being collected by biomass operators and what further data regulators may find beneficial. The UK’s strict sustainability criteria for biomass, requires annual</w:t>
      </w:r>
      <w:r w:rsidR="00BA2E42" w:rsidRPr="006767C5">
        <w:rPr>
          <w:rFonts w:ascii="Open Sans" w:hAnsi="Open Sans" w:cs="Open Sans"/>
          <w:sz w:val="20"/>
          <w:szCs w:val="20"/>
        </w:rPr>
        <w:t xml:space="preserve"> and</w:t>
      </w:r>
      <w:r w:rsidR="001D7A21" w:rsidRPr="006767C5">
        <w:rPr>
          <w:rFonts w:ascii="Open Sans" w:hAnsi="Open Sans" w:cs="Open Sans"/>
          <w:sz w:val="20"/>
          <w:szCs w:val="20"/>
        </w:rPr>
        <w:t xml:space="preserve"> monthly reporting to Ofgem. However, large biomass operators are collecting data at more regular intervals and with greater granularity then currently required by the legislation</w:t>
      </w:r>
      <w:r w:rsidR="00484678" w:rsidRPr="006767C5">
        <w:rPr>
          <w:rFonts w:ascii="Open Sans" w:hAnsi="Open Sans" w:cs="Open Sans"/>
          <w:sz w:val="20"/>
          <w:szCs w:val="20"/>
        </w:rPr>
        <w:t>,</w:t>
      </w:r>
      <w:r w:rsidR="00484678" w:rsidRPr="006767C5">
        <w:rPr>
          <w:rStyle w:val="FootnoteReference"/>
          <w:rFonts w:ascii="Open Sans" w:hAnsi="Open Sans" w:cs="Open Sans"/>
          <w:sz w:val="20"/>
          <w:szCs w:val="20"/>
        </w:rPr>
        <w:t xml:space="preserve"> </w:t>
      </w:r>
      <w:r w:rsidR="00484678" w:rsidRPr="006767C5">
        <w:rPr>
          <w:rFonts w:ascii="Open Sans" w:hAnsi="Open Sans" w:cs="Open Sans"/>
          <w:sz w:val="20"/>
          <w:szCs w:val="20"/>
        </w:rPr>
        <w:t>especially if certified under a voluntary scheme like the SBP.</w:t>
      </w:r>
      <w:r w:rsidR="001D7A21" w:rsidRPr="006767C5">
        <w:rPr>
          <w:rFonts w:ascii="Open Sans" w:hAnsi="Open Sans" w:cs="Open Sans"/>
          <w:sz w:val="20"/>
          <w:szCs w:val="20"/>
        </w:rPr>
        <w:t xml:space="preserve"> As such government may wish to review what data is available and potentially seek </w:t>
      </w:r>
      <w:r w:rsidR="00BA2E42" w:rsidRPr="006767C5">
        <w:rPr>
          <w:rFonts w:ascii="Open Sans" w:hAnsi="Open Sans" w:cs="Open Sans"/>
          <w:sz w:val="20"/>
          <w:szCs w:val="20"/>
        </w:rPr>
        <w:t xml:space="preserve">further </w:t>
      </w:r>
      <w:r w:rsidR="001D7A21" w:rsidRPr="006767C5">
        <w:rPr>
          <w:rFonts w:ascii="Open Sans" w:hAnsi="Open Sans" w:cs="Open Sans"/>
          <w:sz w:val="20"/>
          <w:szCs w:val="20"/>
        </w:rPr>
        <w:t xml:space="preserve">submission, </w:t>
      </w:r>
      <w:r w:rsidR="00BA2E42" w:rsidRPr="006767C5">
        <w:rPr>
          <w:rFonts w:ascii="Open Sans" w:hAnsi="Open Sans" w:cs="Open Sans"/>
          <w:sz w:val="20"/>
          <w:szCs w:val="20"/>
        </w:rPr>
        <w:t>perhaps on a</w:t>
      </w:r>
      <w:r w:rsidR="001D7A21" w:rsidRPr="006767C5">
        <w:rPr>
          <w:rFonts w:ascii="Open Sans" w:hAnsi="Open Sans" w:cs="Open Sans"/>
          <w:sz w:val="20"/>
          <w:szCs w:val="20"/>
        </w:rPr>
        <w:t xml:space="preserve"> voluntary basis. </w:t>
      </w:r>
      <w:r w:rsidR="00484678" w:rsidRPr="006767C5">
        <w:rPr>
          <w:rFonts w:ascii="Open Sans" w:hAnsi="Open Sans" w:cs="Open Sans"/>
          <w:sz w:val="20"/>
          <w:szCs w:val="20"/>
        </w:rPr>
        <w:t>T</w:t>
      </w:r>
      <w:r w:rsidR="00BA2E42" w:rsidRPr="006767C5">
        <w:rPr>
          <w:rFonts w:ascii="Open Sans" w:hAnsi="Open Sans" w:cs="Open Sans"/>
          <w:sz w:val="20"/>
          <w:szCs w:val="20"/>
        </w:rPr>
        <w:t xml:space="preserve">his </w:t>
      </w:r>
      <w:r w:rsidR="001D7A21" w:rsidRPr="006767C5">
        <w:rPr>
          <w:rFonts w:ascii="Open Sans" w:hAnsi="Open Sans" w:cs="Open Sans"/>
          <w:sz w:val="20"/>
          <w:szCs w:val="20"/>
        </w:rPr>
        <w:t>may help the regulator and government get a more accurate picture of residues used for biomass feedstock in the UK, increasing transparency, which in turn will improve decision making on the future of sustainability requirements.</w:t>
      </w:r>
    </w:p>
    <w:p w14:paraId="0301B69E" w14:textId="77777777" w:rsidR="00F52B93" w:rsidRDefault="00F52B93" w:rsidP="001D7A21">
      <w:pPr>
        <w:pBdr>
          <w:bottom w:val="single" w:sz="6" w:space="1" w:color="auto"/>
        </w:pBdr>
        <w:rPr>
          <w:rFonts w:ascii="Open Sans" w:hAnsi="Open Sans" w:cs="Open Sans"/>
          <w:sz w:val="20"/>
          <w:szCs w:val="20"/>
        </w:rPr>
      </w:pPr>
    </w:p>
    <w:p w14:paraId="19E81D26" w14:textId="77777777" w:rsidR="00F52B93" w:rsidRPr="006767C5" w:rsidRDefault="00F52B93" w:rsidP="001D7A21">
      <w:pPr>
        <w:rPr>
          <w:rFonts w:ascii="Open Sans" w:hAnsi="Open Sans" w:cs="Open Sans"/>
          <w:sz w:val="20"/>
          <w:szCs w:val="20"/>
        </w:rPr>
      </w:pPr>
    </w:p>
    <w:p w14:paraId="33FF752B" w14:textId="73C77D86" w:rsidR="004C28D6" w:rsidRPr="006767C5" w:rsidRDefault="004C28D6" w:rsidP="00882FC4">
      <w:pPr>
        <w:rPr>
          <w:rFonts w:ascii="Open Sans" w:hAnsi="Open Sans" w:cs="Open Sans"/>
          <w:b/>
          <w:bCs/>
          <w:color w:val="2F5496"/>
          <w:sz w:val="20"/>
          <w:szCs w:val="20"/>
        </w:rPr>
      </w:pPr>
      <w:r w:rsidRPr="006767C5">
        <w:rPr>
          <w:rFonts w:ascii="Open Sans" w:hAnsi="Open Sans" w:cs="Open Sans"/>
          <w:b/>
          <w:bCs/>
          <w:color w:val="2F5496"/>
          <w:sz w:val="20"/>
          <w:szCs w:val="20"/>
        </w:rPr>
        <w:t>17. What alternative mechanisms would ensure sustainability independent of current incentive schemes (e.g., x-sector legislation, voluntary schemes)?</w:t>
      </w:r>
    </w:p>
    <w:p w14:paraId="3EAEB9B6" w14:textId="515248FE" w:rsidR="00BA2E42" w:rsidRPr="006767C5" w:rsidRDefault="002912A1" w:rsidP="00E527C6">
      <w:pPr>
        <w:rPr>
          <w:rFonts w:ascii="Open Sans" w:hAnsi="Open Sans" w:cs="Open Sans"/>
          <w:b/>
          <w:bCs/>
          <w:i/>
          <w:iCs/>
          <w:sz w:val="20"/>
          <w:szCs w:val="20"/>
        </w:rPr>
      </w:pPr>
      <w:r w:rsidRPr="006767C5">
        <w:rPr>
          <w:rFonts w:ascii="Open Sans" w:hAnsi="Open Sans" w:cs="Open Sans"/>
          <w:b/>
          <w:bCs/>
          <w:i/>
          <w:iCs/>
          <w:sz w:val="20"/>
          <w:szCs w:val="20"/>
        </w:rPr>
        <w:t xml:space="preserve">Voluntary </w:t>
      </w:r>
      <w:r w:rsidR="009C1DC8" w:rsidRPr="006767C5">
        <w:rPr>
          <w:rFonts w:ascii="Open Sans" w:hAnsi="Open Sans" w:cs="Open Sans"/>
          <w:b/>
          <w:bCs/>
          <w:i/>
          <w:iCs/>
          <w:sz w:val="20"/>
          <w:szCs w:val="20"/>
        </w:rPr>
        <w:t>c</w:t>
      </w:r>
      <w:r w:rsidRPr="006767C5">
        <w:rPr>
          <w:rFonts w:ascii="Open Sans" w:hAnsi="Open Sans" w:cs="Open Sans"/>
          <w:b/>
          <w:bCs/>
          <w:i/>
          <w:iCs/>
          <w:sz w:val="20"/>
          <w:szCs w:val="20"/>
        </w:rPr>
        <w:t xml:space="preserve">ertification </w:t>
      </w:r>
      <w:r w:rsidR="009C1DC8" w:rsidRPr="006767C5">
        <w:rPr>
          <w:rFonts w:ascii="Open Sans" w:hAnsi="Open Sans" w:cs="Open Sans"/>
          <w:b/>
          <w:bCs/>
          <w:i/>
          <w:iCs/>
          <w:sz w:val="20"/>
          <w:szCs w:val="20"/>
        </w:rPr>
        <w:t>s</w:t>
      </w:r>
      <w:r w:rsidRPr="006767C5">
        <w:rPr>
          <w:rFonts w:ascii="Open Sans" w:hAnsi="Open Sans" w:cs="Open Sans"/>
          <w:b/>
          <w:bCs/>
          <w:i/>
          <w:iCs/>
          <w:sz w:val="20"/>
          <w:szCs w:val="20"/>
        </w:rPr>
        <w:t>chemes</w:t>
      </w:r>
      <w:r w:rsidR="009C1DC8" w:rsidRPr="006767C5">
        <w:rPr>
          <w:rFonts w:ascii="Open Sans" w:hAnsi="Open Sans" w:cs="Open Sans"/>
          <w:b/>
          <w:bCs/>
          <w:i/>
          <w:iCs/>
          <w:sz w:val="20"/>
          <w:szCs w:val="20"/>
        </w:rPr>
        <w:t xml:space="preserve"> need to</w:t>
      </w:r>
      <w:r w:rsidR="00825D1B" w:rsidRPr="006767C5">
        <w:rPr>
          <w:rFonts w:ascii="Open Sans" w:hAnsi="Open Sans" w:cs="Open Sans"/>
          <w:b/>
          <w:bCs/>
          <w:i/>
          <w:iCs/>
          <w:sz w:val="20"/>
          <w:szCs w:val="20"/>
        </w:rPr>
        <w:t xml:space="preserve"> </w:t>
      </w:r>
      <w:r w:rsidR="009C1DC8" w:rsidRPr="006767C5">
        <w:rPr>
          <w:rFonts w:ascii="Open Sans" w:hAnsi="Open Sans" w:cs="Open Sans"/>
          <w:b/>
          <w:bCs/>
          <w:i/>
          <w:iCs/>
          <w:sz w:val="20"/>
          <w:szCs w:val="20"/>
        </w:rPr>
        <w:t>remain a</w:t>
      </w:r>
      <w:r w:rsidR="00C04DD9" w:rsidRPr="006767C5">
        <w:rPr>
          <w:rFonts w:ascii="Open Sans" w:hAnsi="Open Sans" w:cs="Open Sans"/>
          <w:b/>
          <w:bCs/>
          <w:i/>
          <w:iCs/>
          <w:sz w:val="20"/>
          <w:szCs w:val="20"/>
        </w:rPr>
        <w:t xml:space="preserve"> </w:t>
      </w:r>
      <w:r w:rsidR="009C1DC8" w:rsidRPr="006767C5">
        <w:rPr>
          <w:rFonts w:ascii="Open Sans" w:hAnsi="Open Sans" w:cs="Open Sans"/>
          <w:b/>
          <w:bCs/>
          <w:i/>
          <w:iCs/>
          <w:sz w:val="20"/>
          <w:szCs w:val="20"/>
        </w:rPr>
        <w:t>key r</w:t>
      </w:r>
      <w:r w:rsidR="00825D1B" w:rsidRPr="006767C5">
        <w:rPr>
          <w:rFonts w:ascii="Open Sans" w:hAnsi="Open Sans" w:cs="Open Sans"/>
          <w:b/>
          <w:bCs/>
          <w:i/>
          <w:iCs/>
          <w:sz w:val="20"/>
          <w:szCs w:val="20"/>
        </w:rPr>
        <w:t xml:space="preserve">oute to </w:t>
      </w:r>
      <w:r w:rsidR="009C1DC8" w:rsidRPr="006767C5">
        <w:rPr>
          <w:rFonts w:ascii="Open Sans" w:hAnsi="Open Sans" w:cs="Open Sans"/>
          <w:b/>
          <w:bCs/>
          <w:i/>
          <w:iCs/>
          <w:sz w:val="20"/>
          <w:szCs w:val="20"/>
        </w:rPr>
        <w:t>d</w:t>
      </w:r>
      <w:r w:rsidR="00825D1B" w:rsidRPr="006767C5">
        <w:rPr>
          <w:rFonts w:ascii="Open Sans" w:hAnsi="Open Sans" w:cs="Open Sans"/>
          <w:b/>
          <w:bCs/>
          <w:i/>
          <w:iCs/>
          <w:sz w:val="20"/>
          <w:szCs w:val="20"/>
        </w:rPr>
        <w:t xml:space="preserve">emonstrating </w:t>
      </w:r>
      <w:r w:rsidR="009C1DC8" w:rsidRPr="006767C5">
        <w:rPr>
          <w:rFonts w:ascii="Open Sans" w:hAnsi="Open Sans" w:cs="Open Sans"/>
          <w:b/>
          <w:bCs/>
          <w:i/>
          <w:iCs/>
          <w:sz w:val="20"/>
          <w:szCs w:val="20"/>
        </w:rPr>
        <w:t>s</w:t>
      </w:r>
      <w:r w:rsidR="006D67A2" w:rsidRPr="006767C5">
        <w:rPr>
          <w:rFonts w:ascii="Open Sans" w:hAnsi="Open Sans" w:cs="Open Sans"/>
          <w:b/>
          <w:bCs/>
          <w:i/>
          <w:iCs/>
          <w:sz w:val="20"/>
          <w:szCs w:val="20"/>
        </w:rPr>
        <w:t xml:space="preserve">ustainability </w:t>
      </w:r>
      <w:r w:rsidR="009C1DC8" w:rsidRPr="006767C5">
        <w:rPr>
          <w:rFonts w:ascii="Open Sans" w:hAnsi="Open Sans" w:cs="Open Sans"/>
          <w:b/>
          <w:bCs/>
          <w:i/>
          <w:iCs/>
          <w:sz w:val="20"/>
          <w:szCs w:val="20"/>
        </w:rPr>
        <w:t>c</w:t>
      </w:r>
      <w:r w:rsidR="00825D1B" w:rsidRPr="006767C5">
        <w:rPr>
          <w:rFonts w:ascii="Open Sans" w:hAnsi="Open Sans" w:cs="Open Sans"/>
          <w:b/>
          <w:bCs/>
          <w:i/>
          <w:iCs/>
          <w:sz w:val="20"/>
          <w:szCs w:val="20"/>
        </w:rPr>
        <w:t>ompliance.</w:t>
      </w:r>
      <w:r w:rsidRPr="006767C5">
        <w:rPr>
          <w:rFonts w:ascii="Open Sans" w:hAnsi="Open Sans" w:cs="Open Sans"/>
          <w:b/>
          <w:bCs/>
          <w:i/>
          <w:iCs/>
          <w:sz w:val="20"/>
          <w:szCs w:val="20"/>
        </w:rPr>
        <w:t xml:space="preserve"> </w:t>
      </w:r>
    </w:p>
    <w:p w14:paraId="1A5B273F" w14:textId="61A53272" w:rsidR="005A2866" w:rsidRPr="006767C5" w:rsidRDefault="009C1DC8" w:rsidP="00E527C6">
      <w:pPr>
        <w:rPr>
          <w:rFonts w:ascii="Open Sans" w:hAnsi="Open Sans" w:cs="Open Sans"/>
          <w:sz w:val="20"/>
          <w:szCs w:val="20"/>
        </w:rPr>
      </w:pPr>
      <w:r w:rsidRPr="006767C5">
        <w:rPr>
          <w:rFonts w:ascii="Open Sans" w:hAnsi="Open Sans" w:cs="Open Sans"/>
          <w:sz w:val="20"/>
          <w:szCs w:val="20"/>
        </w:rPr>
        <w:t>Voluntary independent certification schemes provide a route for</w:t>
      </w:r>
      <w:r w:rsidR="004A6F7F" w:rsidRPr="006767C5">
        <w:rPr>
          <w:rFonts w:ascii="Open Sans" w:hAnsi="Open Sans" w:cs="Open Sans"/>
          <w:sz w:val="20"/>
          <w:szCs w:val="20"/>
        </w:rPr>
        <w:t xml:space="preserve"> both</w:t>
      </w:r>
      <w:r w:rsidRPr="006767C5">
        <w:rPr>
          <w:rFonts w:ascii="Open Sans" w:hAnsi="Open Sans" w:cs="Open Sans"/>
          <w:sz w:val="20"/>
          <w:szCs w:val="20"/>
        </w:rPr>
        <w:t xml:space="preserve"> </w:t>
      </w:r>
      <w:r w:rsidR="00484678" w:rsidRPr="006767C5">
        <w:rPr>
          <w:rFonts w:ascii="Open Sans" w:hAnsi="Open Sans" w:cs="Open Sans"/>
          <w:sz w:val="20"/>
          <w:szCs w:val="20"/>
        </w:rPr>
        <w:t xml:space="preserve">complying with national requirements and </w:t>
      </w:r>
      <w:r w:rsidRPr="006767C5">
        <w:rPr>
          <w:rFonts w:ascii="Open Sans" w:hAnsi="Open Sans" w:cs="Open Sans"/>
          <w:sz w:val="20"/>
          <w:szCs w:val="20"/>
        </w:rPr>
        <w:t>going well beyond</w:t>
      </w:r>
      <w:r w:rsidR="00484678" w:rsidRPr="006767C5">
        <w:rPr>
          <w:rFonts w:ascii="Open Sans" w:hAnsi="Open Sans" w:cs="Open Sans"/>
          <w:sz w:val="20"/>
          <w:szCs w:val="20"/>
        </w:rPr>
        <w:t xml:space="preserve"> them</w:t>
      </w:r>
      <w:r w:rsidR="005A2866" w:rsidRPr="006767C5">
        <w:rPr>
          <w:rFonts w:ascii="Open Sans" w:hAnsi="Open Sans" w:cs="Open Sans"/>
          <w:sz w:val="20"/>
          <w:szCs w:val="20"/>
        </w:rPr>
        <w:t xml:space="preserve">. </w:t>
      </w:r>
      <w:r w:rsidR="006F6F3A" w:rsidRPr="006767C5">
        <w:rPr>
          <w:rFonts w:ascii="Open Sans" w:hAnsi="Open Sans" w:cs="Open Sans"/>
          <w:sz w:val="20"/>
          <w:szCs w:val="20"/>
        </w:rPr>
        <w:t>Two e</w:t>
      </w:r>
      <w:r w:rsidR="005A2866" w:rsidRPr="006767C5">
        <w:rPr>
          <w:rFonts w:ascii="Open Sans" w:hAnsi="Open Sans" w:cs="Open Sans"/>
          <w:sz w:val="20"/>
          <w:szCs w:val="20"/>
        </w:rPr>
        <w:t xml:space="preserve">xamples </w:t>
      </w:r>
      <w:r w:rsidR="006F6F3A" w:rsidRPr="006767C5">
        <w:rPr>
          <w:rFonts w:ascii="Open Sans" w:hAnsi="Open Sans" w:cs="Open Sans"/>
          <w:sz w:val="20"/>
          <w:szCs w:val="20"/>
        </w:rPr>
        <w:t xml:space="preserve">include </w:t>
      </w:r>
      <w:r w:rsidR="005A2866" w:rsidRPr="006767C5">
        <w:rPr>
          <w:rFonts w:ascii="Open Sans" w:hAnsi="Open Sans" w:cs="Open Sans"/>
          <w:sz w:val="20"/>
          <w:szCs w:val="20"/>
        </w:rPr>
        <w:t>the</w:t>
      </w:r>
      <w:r w:rsidR="00037B2E" w:rsidRPr="006767C5">
        <w:rPr>
          <w:rFonts w:ascii="Open Sans" w:hAnsi="Open Sans" w:cs="Open Sans"/>
          <w:sz w:val="20"/>
          <w:szCs w:val="20"/>
        </w:rPr>
        <w:t xml:space="preserve"> </w:t>
      </w:r>
      <w:r w:rsidR="00F051C2" w:rsidRPr="006767C5">
        <w:rPr>
          <w:rFonts w:ascii="Open Sans" w:hAnsi="Open Sans" w:cs="Open Sans"/>
          <w:sz w:val="20"/>
          <w:szCs w:val="20"/>
        </w:rPr>
        <w:t>Sustainable Biomass Program</w:t>
      </w:r>
      <w:r w:rsidR="00037B2E" w:rsidRPr="006767C5">
        <w:rPr>
          <w:rFonts w:ascii="Open Sans" w:hAnsi="Open Sans" w:cs="Open Sans"/>
          <w:sz w:val="20"/>
          <w:szCs w:val="20"/>
        </w:rPr>
        <w:t xml:space="preserve"> (</w:t>
      </w:r>
      <w:r w:rsidR="00F051C2" w:rsidRPr="006767C5">
        <w:rPr>
          <w:rFonts w:ascii="Open Sans" w:hAnsi="Open Sans" w:cs="Open Sans"/>
          <w:sz w:val="20"/>
          <w:szCs w:val="20"/>
        </w:rPr>
        <w:t>SBP</w:t>
      </w:r>
      <w:r w:rsidR="00037B2E" w:rsidRPr="006767C5">
        <w:rPr>
          <w:rFonts w:ascii="Open Sans" w:hAnsi="Open Sans" w:cs="Open Sans"/>
          <w:sz w:val="20"/>
          <w:szCs w:val="20"/>
        </w:rPr>
        <w:t xml:space="preserve">), largely focused on biomass power </w:t>
      </w:r>
      <w:r w:rsidRPr="006767C5">
        <w:rPr>
          <w:rFonts w:ascii="Open Sans" w:hAnsi="Open Sans" w:cs="Open Sans"/>
          <w:sz w:val="20"/>
          <w:szCs w:val="20"/>
        </w:rPr>
        <w:t xml:space="preserve">value </w:t>
      </w:r>
      <w:r w:rsidR="00037B2E" w:rsidRPr="006767C5">
        <w:rPr>
          <w:rFonts w:ascii="Open Sans" w:hAnsi="Open Sans" w:cs="Open Sans"/>
          <w:sz w:val="20"/>
          <w:szCs w:val="20"/>
        </w:rPr>
        <w:t>chains</w:t>
      </w:r>
      <w:r w:rsidR="006F6F3A" w:rsidRPr="006767C5">
        <w:rPr>
          <w:rFonts w:ascii="Open Sans" w:hAnsi="Open Sans" w:cs="Open Sans"/>
          <w:sz w:val="20"/>
          <w:szCs w:val="20"/>
        </w:rPr>
        <w:t xml:space="preserve">; and </w:t>
      </w:r>
      <w:r w:rsidR="00037B2E" w:rsidRPr="006767C5">
        <w:rPr>
          <w:rFonts w:ascii="Open Sans" w:hAnsi="Open Sans" w:cs="Open Sans"/>
          <w:sz w:val="20"/>
          <w:szCs w:val="20"/>
        </w:rPr>
        <w:t xml:space="preserve">the Roundtable on </w:t>
      </w:r>
      <w:r w:rsidR="005A2866" w:rsidRPr="006767C5">
        <w:rPr>
          <w:rFonts w:ascii="Open Sans" w:hAnsi="Open Sans" w:cs="Open Sans"/>
          <w:sz w:val="20"/>
          <w:szCs w:val="20"/>
        </w:rPr>
        <w:t>Sustainable</w:t>
      </w:r>
      <w:r w:rsidR="00037B2E" w:rsidRPr="006767C5">
        <w:rPr>
          <w:rFonts w:ascii="Open Sans" w:hAnsi="Open Sans" w:cs="Open Sans"/>
          <w:sz w:val="20"/>
          <w:szCs w:val="20"/>
        </w:rPr>
        <w:t xml:space="preserve"> Biomaterials</w:t>
      </w:r>
      <w:r w:rsidR="005A2866" w:rsidRPr="006767C5">
        <w:rPr>
          <w:rFonts w:ascii="Open Sans" w:hAnsi="Open Sans" w:cs="Open Sans"/>
          <w:sz w:val="20"/>
          <w:szCs w:val="20"/>
        </w:rPr>
        <w:t xml:space="preserve"> (RSB)</w:t>
      </w:r>
      <w:r w:rsidR="00037B2E" w:rsidRPr="006767C5">
        <w:rPr>
          <w:rFonts w:ascii="Open Sans" w:hAnsi="Open Sans" w:cs="Open Sans"/>
          <w:sz w:val="20"/>
          <w:szCs w:val="20"/>
        </w:rPr>
        <w:t xml:space="preserve">, </w:t>
      </w:r>
      <w:r w:rsidR="005A2866" w:rsidRPr="006767C5">
        <w:rPr>
          <w:rFonts w:ascii="Open Sans" w:hAnsi="Open Sans" w:cs="Open Sans"/>
          <w:sz w:val="20"/>
          <w:szCs w:val="20"/>
        </w:rPr>
        <w:t>mostly look</w:t>
      </w:r>
      <w:r w:rsidR="003D191B" w:rsidRPr="006767C5">
        <w:rPr>
          <w:rFonts w:ascii="Open Sans" w:hAnsi="Open Sans" w:cs="Open Sans"/>
          <w:sz w:val="20"/>
          <w:szCs w:val="20"/>
        </w:rPr>
        <w:t>ing</w:t>
      </w:r>
      <w:r w:rsidR="005A2866" w:rsidRPr="006767C5">
        <w:rPr>
          <w:rFonts w:ascii="Open Sans" w:hAnsi="Open Sans" w:cs="Open Sans"/>
          <w:sz w:val="20"/>
          <w:szCs w:val="20"/>
        </w:rPr>
        <w:t xml:space="preserve"> at biofuel and ‘farm to tank’ value chains</w:t>
      </w:r>
      <w:r w:rsidR="006F6F3A" w:rsidRPr="006767C5">
        <w:rPr>
          <w:rFonts w:ascii="Open Sans" w:hAnsi="Open Sans" w:cs="Open Sans"/>
          <w:sz w:val="20"/>
          <w:szCs w:val="20"/>
        </w:rPr>
        <w:t xml:space="preserve">. </w:t>
      </w:r>
    </w:p>
    <w:p w14:paraId="7DFDD076" w14:textId="0B281408" w:rsidR="005A2866" w:rsidRPr="006767C5" w:rsidRDefault="005A2866" w:rsidP="005A2866">
      <w:pPr>
        <w:rPr>
          <w:rFonts w:ascii="Open Sans" w:hAnsi="Open Sans" w:cs="Open Sans"/>
          <w:sz w:val="20"/>
          <w:szCs w:val="20"/>
        </w:rPr>
      </w:pPr>
      <w:r w:rsidRPr="006767C5">
        <w:rPr>
          <w:rFonts w:ascii="Open Sans" w:hAnsi="Open Sans" w:cs="Open Sans"/>
          <w:sz w:val="20"/>
          <w:szCs w:val="20"/>
        </w:rPr>
        <w:t xml:space="preserve">Such voluntary schemes include a comprehensive set of requirements covering carbon and other environmental, </w:t>
      </w:r>
      <w:proofErr w:type="gramStart"/>
      <w:r w:rsidRPr="006767C5">
        <w:rPr>
          <w:rFonts w:ascii="Open Sans" w:hAnsi="Open Sans" w:cs="Open Sans"/>
          <w:sz w:val="20"/>
          <w:szCs w:val="20"/>
        </w:rPr>
        <w:t>social</w:t>
      </w:r>
      <w:proofErr w:type="gramEnd"/>
      <w:r w:rsidRPr="006767C5">
        <w:rPr>
          <w:rFonts w:ascii="Open Sans" w:hAnsi="Open Sans" w:cs="Open Sans"/>
          <w:sz w:val="20"/>
          <w:szCs w:val="20"/>
        </w:rPr>
        <w:t xml:space="preserve"> and economic criteria. For example: </w:t>
      </w:r>
    </w:p>
    <w:p w14:paraId="5184C0D1" w14:textId="71742CB8" w:rsidR="005A2866" w:rsidRPr="006767C5" w:rsidRDefault="005A2866" w:rsidP="005A2866">
      <w:pPr>
        <w:pStyle w:val="ListParagraph"/>
        <w:numPr>
          <w:ilvl w:val="0"/>
          <w:numId w:val="27"/>
        </w:numPr>
        <w:rPr>
          <w:rFonts w:ascii="Open Sans" w:hAnsi="Open Sans" w:cs="Open Sans"/>
          <w:sz w:val="20"/>
          <w:szCs w:val="20"/>
          <w:lang w:val="en-US"/>
        </w:rPr>
      </w:pPr>
      <w:r w:rsidRPr="006767C5">
        <w:rPr>
          <w:rFonts w:ascii="Open Sans" w:hAnsi="Open Sans" w:cs="Open Sans"/>
          <w:sz w:val="20"/>
          <w:szCs w:val="20"/>
          <w:lang w:val="en-US"/>
        </w:rPr>
        <w:t>The SBP includes 38 forestry specific indicators which are designed to ensure that forests are maintained or increased, biodiversity is preserved, and that forests of high conversion value are preserved.</w:t>
      </w:r>
      <w:r w:rsidR="00C04DD9" w:rsidRPr="006767C5">
        <w:rPr>
          <w:rFonts w:ascii="Open Sans" w:hAnsi="Open Sans" w:cs="Open Sans"/>
          <w:sz w:val="20"/>
          <w:szCs w:val="20"/>
          <w:lang w:val="en-US"/>
        </w:rPr>
        <w:t xml:space="preserve"> Such indicators map against the Forest Stewardship Council (FSC), the Program for the Endorsement of Forest Certification (PEFCTM), and those systems </w:t>
      </w:r>
      <w:proofErr w:type="spellStart"/>
      <w:r w:rsidR="00C04DD9" w:rsidRPr="006767C5">
        <w:rPr>
          <w:rFonts w:ascii="Open Sans" w:hAnsi="Open Sans" w:cs="Open Sans"/>
          <w:sz w:val="20"/>
          <w:szCs w:val="20"/>
          <w:lang w:val="en-US"/>
        </w:rPr>
        <w:t>recogni</w:t>
      </w:r>
      <w:r w:rsidR="00EE1D42" w:rsidRPr="006767C5">
        <w:rPr>
          <w:rFonts w:ascii="Open Sans" w:hAnsi="Open Sans" w:cs="Open Sans"/>
          <w:sz w:val="20"/>
          <w:szCs w:val="20"/>
          <w:lang w:val="en-US"/>
        </w:rPr>
        <w:t>s</w:t>
      </w:r>
      <w:r w:rsidR="00C04DD9" w:rsidRPr="006767C5">
        <w:rPr>
          <w:rFonts w:ascii="Open Sans" w:hAnsi="Open Sans" w:cs="Open Sans"/>
          <w:sz w:val="20"/>
          <w:szCs w:val="20"/>
          <w:lang w:val="en-US"/>
        </w:rPr>
        <w:t>ed</w:t>
      </w:r>
      <w:proofErr w:type="spellEnd"/>
      <w:r w:rsidR="00C04DD9" w:rsidRPr="006767C5">
        <w:rPr>
          <w:rFonts w:ascii="Open Sans" w:hAnsi="Open Sans" w:cs="Open Sans"/>
          <w:sz w:val="20"/>
          <w:szCs w:val="20"/>
          <w:lang w:val="en-US"/>
        </w:rPr>
        <w:t xml:space="preserve"> by PEFC, such as the Sustainable Forestry Initiative (SFI). </w:t>
      </w:r>
      <w:r w:rsidRPr="006767C5">
        <w:rPr>
          <w:rFonts w:ascii="Open Sans" w:hAnsi="Open Sans" w:cs="Open Sans"/>
          <w:sz w:val="20"/>
          <w:szCs w:val="20"/>
          <w:lang w:val="en-US"/>
        </w:rPr>
        <w:t xml:space="preserve">Indicators specifically include </w:t>
      </w:r>
      <w:r w:rsidRPr="006767C5">
        <w:rPr>
          <w:rFonts w:ascii="Open Sans" w:hAnsi="Open Sans" w:cs="Open Sans"/>
          <w:sz w:val="20"/>
          <w:szCs w:val="20"/>
        </w:rPr>
        <w:t>labour</w:t>
      </w:r>
      <w:r w:rsidRPr="006767C5">
        <w:rPr>
          <w:rFonts w:ascii="Open Sans" w:hAnsi="Open Sans" w:cs="Open Sans"/>
          <w:sz w:val="20"/>
          <w:szCs w:val="20"/>
          <w:lang w:val="en-US"/>
        </w:rPr>
        <w:t xml:space="preserve"> rights, air, </w:t>
      </w:r>
      <w:proofErr w:type="gramStart"/>
      <w:r w:rsidRPr="006767C5">
        <w:rPr>
          <w:rFonts w:ascii="Open Sans" w:hAnsi="Open Sans" w:cs="Open Sans"/>
          <w:sz w:val="20"/>
          <w:szCs w:val="20"/>
          <w:lang w:val="en-US"/>
        </w:rPr>
        <w:t>water</w:t>
      </w:r>
      <w:proofErr w:type="gramEnd"/>
      <w:r w:rsidRPr="006767C5">
        <w:rPr>
          <w:rFonts w:ascii="Open Sans" w:hAnsi="Open Sans" w:cs="Open Sans"/>
          <w:sz w:val="20"/>
          <w:szCs w:val="20"/>
          <w:lang w:val="en-US"/>
        </w:rPr>
        <w:t xml:space="preserve"> and conservation issues as well as GHG and biodiversity issues</w:t>
      </w:r>
      <w:r w:rsidR="0097232E" w:rsidRPr="006767C5">
        <w:rPr>
          <w:rFonts w:ascii="Open Sans" w:hAnsi="Open Sans" w:cs="Open Sans"/>
          <w:sz w:val="20"/>
          <w:szCs w:val="20"/>
          <w:lang w:val="en-US"/>
        </w:rPr>
        <w:t>.</w:t>
      </w:r>
      <w:r w:rsidR="0097232E" w:rsidRPr="006767C5">
        <w:rPr>
          <w:rStyle w:val="FootnoteReference"/>
          <w:rFonts w:ascii="Open Sans" w:hAnsi="Open Sans" w:cs="Open Sans"/>
          <w:sz w:val="20"/>
          <w:szCs w:val="20"/>
          <w:lang w:val="en-US"/>
        </w:rPr>
        <w:footnoteReference w:id="90"/>
      </w:r>
    </w:p>
    <w:p w14:paraId="2298EB94" w14:textId="45007DD7" w:rsidR="002912A1" w:rsidRPr="006767C5" w:rsidRDefault="005A2866" w:rsidP="005A2866">
      <w:pPr>
        <w:pStyle w:val="ListParagraph"/>
        <w:numPr>
          <w:ilvl w:val="0"/>
          <w:numId w:val="27"/>
        </w:numPr>
        <w:rPr>
          <w:rFonts w:ascii="Open Sans" w:hAnsi="Open Sans" w:cs="Open Sans"/>
          <w:sz w:val="20"/>
          <w:szCs w:val="20"/>
        </w:rPr>
      </w:pPr>
      <w:r w:rsidRPr="006767C5">
        <w:rPr>
          <w:rFonts w:ascii="Open Sans" w:hAnsi="Open Sans" w:cs="Open Sans"/>
          <w:sz w:val="20"/>
          <w:szCs w:val="20"/>
          <w:lang w:val="en-US"/>
        </w:rPr>
        <w:t xml:space="preserve">The RSB </w:t>
      </w:r>
      <w:r w:rsidRPr="006767C5">
        <w:rPr>
          <w:rFonts w:ascii="Open Sans" w:hAnsi="Open Sans" w:cs="Open Sans"/>
          <w:color w:val="0A0A0A"/>
          <w:sz w:val="20"/>
          <w:szCs w:val="20"/>
          <w:lang w:val="en"/>
        </w:rPr>
        <w:t xml:space="preserve">principles include biodiversity, human </w:t>
      </w:r>
      <w:r w:rsidR="00F051C2" w:rsidRPr="006767C5">
        <w:rPr>
          <w:rFonts w:ascii="Open Sans" w:hAnsi="Open Sans" w:cs="Open Sans"/>
          <w:color w:val="0A0A0A"/>
          <w:sz w:val="20"/>
          <w:szCs w:val="20"/>
          <w:lang w:val="en"/>
        </w:rPr>
        <w:t>labor</w:t>
      </w:r>
      <w:r w:rsidRPr="006767C5">
        <w:rPr>
          <w:rFonts w:ascii="Open Sans" w:hAnsi="Open Sans" w:cs="Open Sans"/>
          <w:color w:val="0A0A0A"/>
          <w:sz w:val="20"/>
          <w:szCs w:val="20"/>
          <w:lang w:val="en"/>
        </w:rPr>
        <w:t xml:space="preserve"> rights, conservation, soil, air quality, water, technology inputs and waste management and land rights as well as greenhouse gas criteria, applied throughout the value chain</w:t>
      </w:r>
      <w:r w:rsidR="00825D1B" w:rsidRPr="006767C5">
        <w:rPr>
          <w:rFonts w:ascii="Open Sans" w:hAnsi="Open Sans" w:cs="Open Sans"/>
          <w:color w:val="0A0A0A"/>
          <w:sz w:val="20"/>
          <w:szCs w:val="20"/>
          <w:lang w:val="en"/>
        </w:rPr>
        <w:t>.</w:t>
      </w:r>
      <w:r w:rsidR="00825D1B" w:rsidRPr="006767C5">
        <w:rPr>
          <w:rStyle w:val="FootnoteReference"/>
          <w:rFonts w:ascii="Open Sans" w:hAnsi="Open Sans" w:cs="Open Sans"/>
          <w:color w:val="0A0A0A"/>
          <w:sz w:val="20"/>
          <w:szCs w:val="20"/>
          <w:lang w:val="en"/>
        </w:rPr>
        <w:footnoteReference w:id="91"/>
      </w:r>
    </w:p>
    <w:p w14:paraId="6DB6C63F" w14:textId="3EE88D3A" w:rsidR="009C1DC8" w:rsidRPr="006767C5" w:rsidRDefault="009C1DC8" w:rsidP="005A2866">
      <w:pPr>
        <w:rPr>
          <w:rFonts w:ascii="Open Sans" w:hAnsi="Open Sans" w:cs="Open Sans"/>
          <w:sz w:val="20"/>
          <w:szCs w:val="20"/>
        </w:rPr>
      </w:pPr>
      <w:r w:rsidRPr="006767C5">
        <w:rPr>
          <w:rFonts w:ascii="Open Sans" w:hAnsi="Open Sans" w:cs="Open Sans"/>
          <w:sz w:val="20"/>
          <w:szCs w:val="20"/>
        </w:rPr>
        <w:t>Importantly such schemes include routine independent audits of supply chains and mitigation measured. Audit reports, including emission data</w:t>
      </w:r>
      <w:r w:rsidR="00C04DD9" w:rsidRPr="006767C5">
        <w:rPr>
          <w:rFonts w:ascii="Open Sans" w:hAnsi="Open Sans" w:cs="Open Sans"/>
          <w:sz w:val="20"/>
          <w:szCs w:val="20"/>
        </w:rPr>
        <w:t>,</w:t>
      </w:r>
      <w:r w:rsidRPr="006767C5">
        <w:rPr>
          <w:rFonts w:ascii="Open Sans" w:hAnsi="Open Sans" w:cs="Open Sans"/>
          <w:sz w:val="20"/>
          <w:szCs w:val="20"/>
        </w:rPr>
        <w:t xml:space="preserve"> is readily available for submission to Government and are also publicly available</w:t>
      </w:r>
      <w:r w:rsidR="00F051C2" w:rsidRPr="006767C5">
        <w:rPr>
          <w:rFonts w:ascii="Open Sans" w:hAnsi="Open Sans" w:cs="Open Sans"/>
          <w:sz w:val="20"/>
          <w:szCs w:val="20"/>
        </w:rPr>
        <w:t>,</w:t>
      </w:r>
      <w:r w:rsidRPr="006767C5">
        <w:rPr>
          <w:rFonts w:ascii="Open Sans" w:hAnsi="Open Sans" w:cs="Open Sans"/>
          <w:sz w:val="20"/>
          <w:szCs w:val="20"/>
        </w:rPr>
        <w:t xml:space="preserve"> providing an extra level of transparency. </w:t>
      </w:r>
    </w:p>
    <w:p w14:paraId="4ED15305" w14:textId="6D04D6F1" w:rsidR="003D191B" w:rsidRPr="006767C5" w:rsidRDefault="005A2866" w:rsidP="005A2866">
      <w:pPr>
        <w:rPr>
          <w:rFonts w:ascii="Open Sans" w:hAnsi="Open Sans" w:cs="Open Sans"/>
          <w:sz w:val="20"/>
          <w:szCs w:val="20"/>
        </w:rPr>
      </w:pPr>
      <w:r w:rsidRPr="006767C5">
        <w:rPr>
          <w:rFonts w:ascii="Open Sans" w:hAnsi="Open Sans" w:cs="Open Sans"/>
          <w:sz w:val="20"/>
          <w:szCs w:val="20"/>
        </w:rPr>
        <w:t xml:space="preserve">Such </w:t>
      </w:r>
      <w:r w:rsidR="0097232E" w:rsidRPr="006767C5">
        <w:rPr>
          <w:rFonts w:ascii="Open Sans" w:hAnsi="Open Sans" w:cs="Open Sans"/>
          <w:sz w:val="20"/>
          <w:szCs w:val="20"/>
        </w:rPr>
        <w:t xml:space="preserve">voluntary schemes are also recognised internationally, with the SBP being used in to certify pellets across 31 countries and 322 certified </w:t>
      </w:r>
      <w:r w:rsidR="00825D1B" w:rsidRPr="006767C5">
        <w:rPr>
          <w:rFonts w:ascii="Open Sans" w:hAnsi="Open Sans" w:cs="Open Sans"/>
          <w:sz w:val="20"/>
          <w:szCs w:val="20"/>
        </w:rPr>
        <w:t>organisations</w:t>
      </w:r>
      <w:r w:rsidR="0097232E" w:rsidRPr="006767C5">
        <w:rPr>
          <w:rFonts w:ascii="Open Sans" w:hAnsi="Open Sans" w:cs="Open Sans"/>
          <w:sz w:val="20"/>
          <w:szCs w:val="20"/>
        </w:rPr>
        <w:t xml:space="preserve"> as of March 2021. </w:t>
      </w:r>
      <w:r w:rsidR="0097232E" w:rsidRPr="006767C5">
        <w:rPr>
          <w:rStyle w:val="FootnoteReference"/>
          <w:rFonts w:ascii="Open Sans" w:hAnsi="Open Sans" w:cs="Open Sans"/>
          <w:sz w:val="20"/>
          <w:szCs w:val="20"/>
        </w:rPr>
        <w:footnoteReference w:id="92"/>
      </w:r>
      <w:r w:rsidR="0097232E" w:rsidRPr="006767C5">
        <w:rPr>
          <w:rFonts w:ascii="Open Sans" w:hAnsi="Open Sans" w:cs="Open Sans"/>
          <w:sz w:val="20"/>
          <w:szCs w:val="20"/>
        </w:rPr>
        <w:t xml:space="preserve"> </w:t>
      </w:r>
      <w:r w:rsidR="00825D1B" w:rsidRPr="006767C5">
        <w:rPr>
          <w:rFonts w:ascii="Open Sans" w:hAnsi="Open Sans" w:cs="Open Sans"/>
          <w:sz w:val="20"/>
          <w:szCs w:val="20"/>
        </w:rPr>
        <w:t>Similarly,</w:t>
      </w:r>
      <w:r w:rsidR="003D191B" w:rsidRPr="006767C5">
        <w:rPr>
          <w:rFonts w:ascii="Open Sans" w:hAnsi="Open Sans" w:cs="Open Sans"/>
          <w:sz w:val="20"/>
          <w:szCs w:val="20"/>
        </w:rPr>
        <w:t xml:space="preserve"> the RSB is now used across 20 countries, and includes recognition by the UN </w:t>
      </w:r>
      <w:r w:rsidR="00825D1B" w:rsidRPr="006767C5">
        <w:rPr>
          <w:rFonts w:ascii="Open Sans" w:hAnsi="Open Sans" w:cs="Open Sans"/>
          <w:sz w:val="20"/>
          <w:szCs w:val="20"/>
        </w:rPr>
        <w:t>E</w:t>
      </w:r>
      <w:r w:rsidR="003D191B" w:rsidRPr="006767C5">
        <w:rPr>
          <w:rFonts w:ascii="Open Sans" w:hAnsi="Open Sans" w:cs="Open Sans"/>
          <w:sz w:val="20"/>
          <w:szCs w:val="20"/>
        </w:rPr>
        <w:t xml:space="preserve">nvironment </w:t>
      </w:r>
      <w:r w:rsidR="00825D1B" w:rsidRPr="006767C5">
        <w:rPr>
          <w:rFonts w:ascii="Open Sans" w:hAnsi="Open Sans" w:cs="Open Sans"/>
          <w:sz w:val="20"/>
          <w:szCs w:val="20"/>
        </w:rPr>
        <w:t>P</w:t>
      </w:r>
      <w:r w:rsidR="003D191B" w:rsidRPr="006767C5">
        <w:rPr>
          <w:rFonts w:ascii="Open Sans" w:hAnsi="Open Sans" w:cs="Open Sans"/>
          <w:sz w:val="20"/>
          <w:szCs w:val="20"/>
        </w:rPr>
        <w:t>rogramme.</w:t>
      </w:r>
      <w:r w:rsidR="003D191B" w:rsidRPr="006767C5">
        <w:rPr>
          <w:rStyle w:val="FootnoteReference"/>
          <w:rFonts w:ascii="Open Sans" w:hAnsi="Open Sans" w:cs="Open Sans"/>
          <w:sz w:val="20"/>
          <w:szCs w:val="20"/>
        </w:rPr>
        <w:footnoteReference w:id="93"/>
      </w:r>
    </w:p>
    <w:p w14:paraId="3FB5F829" w14:textId="42CFF47C" w:rsidR="00825D1B" w:rsidRPr="006767C5" w:rsidRDefault="009C1DC8" w:rsidP="005A2866">
      <w:pPr>
        <w:rPr>
          <w:rFonts w:ascii="Open Sans" w:hAnsi="Open Sans" w:cs="Open Sans"/>
          <w:sz w:val="20"/>
          <w:szCs w:val="20"/>
        </w:rPr>
      </w:pPr>
      <w:r w:rsidRPr="006767C5">
        <w:rPr>
          <w:rFonts w:ascii="Open Sans" w:hAnsi="Open Sans" w:cs="Open Sans"/>
          <w:sz w:val="20"/>
          <w:szCs w:val="20"/>
        </w:rPr>
        <w:t xml:space="preserve">Such schemes have become the recognised international standards for doing biomass correctly, going beyond national legislated requirements and providing independent verification of standards across whole international supply chains. </w:t>
      </w:r>
    </w:p>
    <w:p w14:paraId="77BC050E" w14:textId="6C926264" w:rsidR="003D191B" w:rsidRPr="006767C5" w:rsidRDefault="003D191B" w:rsidP="005A2866">
      <w:pPr>
        <w:rPr>
          <w:rFonts w:ascii="Open Sans" w:hAnsi="Open Sans" w:cs="Open Sans"/>
          <w:sz w:val="20"/>
          <w:szCs w:val="20"/>
        </w:rPr>
      </w:pPr>
      <w:r w:rsidRPr="006767C5">
        <w:rPr>
          <w:rFonts w:ascii="Open Sans" w:hAnsi="Open Sans" w:cs="Open Sans"/>
          <w:sz w:val="20"/>
          <w:szCs w:val="20"/>
        </w:rPr>
        <w:t xml:space="preserve">Evidence provided through such certification routes is considered ‘Category A’ compliance </w:t>
      </w:r>
      <w:r w:rsidR="00F051C2" w:rsidRPr="006767C5">
        <w:rPr>
          <w:rFonts w:ascii="Open Sans" w:hAnsi="Open Sans" w:cs="Open Sans"/>
          <w:sz w:val="20"/>
          <w:szCs w:val="20"/>
        </w:rPr>
        <w:t>within UK</w:t>
      </w:r>
      <w:r w:rsidR="00825D1B" w:rsidRPr="006767C5">
        <w:rPr>
          <w:rFonts w:ascii="Open Sans" w:hAnsi="Open Sans" w:cs="Open Sans"/>
          <w:sz w:val="20"/>
          <w:szCs w:val="20"/>
        </w:rPr>
        <w:t xml:space="preserve"> sustainability governance arrangements. </w:t>
      </w:r>
      <w:r w:rsidRPr="006767C5">
        <w:rPr>
          <w:rFonts w:ascii="Open Sans" w:hAnsi="Open Sans" w:cs="Open Sans"/>
          <w:sz w:val="20"/>
          <w:szCs w:val="20"/>
        </w:rPr>
        <w:t xml:space="preserve">Given their international reach and comprehensive approach to verification of </w:t>
      </w:r>
      <w:r w:rsidR="00825D1B" w:rsidRPr="006767C5">
        <w:rPr>
          <w:rFonts w:ascii="Open Sans" w:hAnsi="Open Sans" w:cs="Open Sans"/>
          <w:sz w:val="20"/>
          <w:szCs w:val="20"/>
        </w:rPr>
        <w:t>sustainability</w:t>
      </w:r>
      <w:r w:rsidRPr="006767C5">
        <w:rPr>
          <w:rFonts w:ascii="Open Sans" w:hAnsi="Open Sans" w:cs="Open Sans"/>
          <w:sz w:val="20"/>
          <w:szCs w:val="20"/>
        </w:rPr>
        <w:t xml:space="preserve"> standards</w:t>
      </w:r>
      <w:r w:rsidR="00825D1B" w:rsidRPr="006767C5">
        <w:rPr>
          <w:rFonts w:ascii="Open Sans" w:hAnsi="Open Sans" w:cs="Open Sans"/>
          <w:sz w:val="20"/>
          <w:szCs w:val="20"/>
        </w:rPr>
        <w:t xml:space="preserve">, those already adhering to such schemes will continue compliance with such schemes, even after existing </w:t>
      </w:r>
      <w:r w:rsidR="00793832" w:rsidRPr="006767C5">
        <w:rPr>
          <w:rFonts w:ascii="Open Sans" w:hAnsi="Open Sans" w:cs="Open Sans"/>
          <w:sz w:val="20"/>
          <w:szCs w:val="20"/>
        </w:rPr>
        <w:t>support schemes, against which sustainability standards are legislated,</w:t>
      </w:r>
      <w:r w:rsidR="00825D1B" w:rsidRPr="006767C5">
        <w:rPr>
          <w:rFonts w:ascii="Open Sans" w:hAnsi="Open Sans" w:cs="Open Sans"/>
          <w:sz w:val="20"/>
          <w:szCs w:val="20"/>
        </w:rPr>
        <w:t xml:space="preserve"> come to a</w:t>
      </w:r>
      <w:r w:rsidR="00793832" w:rsidRPr="006767C5">
        <w:rPr>
          <w:rFonts w:ascii="Open Sans" w:hAnsi="Open Sans" w:cs="Open Sans"/>
          <w:sz w:val="20"/>
          <w:szCs w:val="20"/>
        </w:rPr>
        <w:t>n</w:t>
      </w:r>
      <w:r w:rsidR="00825D1B" w:rsidRPr="006767C5">
        <w:rPr>
          <w:rFonts w:ascii="Open Sans" w:hAnsi="Open Sans" w:cs="Open Sans"/>
          <w:sz w:val="20"/>
          <w:szCs w:val="20"/>
        </w:rPr>
        <w:t xml:space="preserve"> end. </w:t>
      </w:r>
      <w:r w:rsidRPr="006767C5">
        <w:rPr>
          <w:rFonts w:ascii="Open Sans" w:hAnsi="Open Sans" w:cs="Open Sans"/>
          <w:sz w:val="20"/>
          <w:szCs w:val="20"/>
        </w:rPr>
        <w:t xml:space="preserve"> </w:t>
      </w:r>
      <w:r w:rsidR="00825D1B" w:rsidRPr="006767C5">
        <w:rPr>
          <w:rFonts w:ascii="Open Sans" w:hAnsi="Open Sans" w:cs="Open Sans"/>
          <w:sz w:val="20"/>
          <w:szCs w:val="20"/>
        </w:rPr>
        <w:t>As such, voluntary</w:t>
      </w:r>
      <w:r w:rsidRPr="006767C5">
        <w:rPr>
          <w:rFonts w:ascii="Open Sans" w:hAnsi="Open Sans" w:cs="Open Sans"/>
          <w:sz w:val="20"/>
          <w:szCs w:val="20"/>
        </w:rPr>
        <w:t xml:space="preserve"> schemes </w:t>
      </w:r>
      <w:r w:rsidR="00825D1B" w:rsidRPr="006767C5">
        <w:rPr>
          <w:rFonts w:ascii="Open Sans" w:hAnsi="Open Sans" w:cs="Open Sans"/>
          <w:sz w:val="20"/>
          <w:szCs w:val="20"/>
        </w:rPr>
        <w:t xml:space="preserve">should </w:t>
      </w:r>
      <w:r w:rsidRPr="006767C5">
        <w:rPr>
          <w:rFonts w:ascii="Open Sans" w:hAnsi="Open Sans" w:cs="Open Sans"/>
          <w:sz w:val="20"/>
          <w:szCs w:val="20"/>
        </w:rPr>
        <w:t xml:space="preserve">remain a core route to demonstrating sustainability compliance </w:t>
      </w:r>
      <w:r w:rsidR="00825D1B" w:rsidRPr="006767C5">
        <w:rPr>
          <w:rFonts w:ascii="Open Sans" w:hAnsi="Open Sans" w:cs="Open Sans"/>
          <w:sz w:val="20"/>
          <w:szCs w:val="20"/>
        </w:rPr>
        <w:t xml:space="preserve">in accordance with future legislation. </w:t>
      </w:r>
    </w:p>
    <w:p w14:paraId="30219909" w14:textId="4E7B6851" w:rsidR="006D67A2" w:rsidRPr="006767C5" w:rsidRDefault="006D67A2" w:rsidP="006D67A2">
      <w:pPr>
        <w:rPr>
          <w:rFonts w:ascii="Open Sans" w:hAnsi="Open Sans" w:cs="Open Sans"/>
          <w:b/>
          <w:bCs/>
          <w:i/>
          <w:iCs/>
          <w:sz w:val="20"/>
          <w:szCs w:val="20"/>
        </w:rPr>
      </w:pPr>
      <w:r w:rsidRPr="006767C5">
        <w:rPr>
          <w:rFonts w:ascii="Open Sans" w:hAnsi="Open Sans" w:cs="Open Sans"/>
          <w:b/>
          <w:bCs/>
          <w:i/>
          <w:iCs/>
          <w:sz w:val="20"/>
          <w:szCs w:val="20"/>
        </w:rPr>
        <w:t xml:space="preserve">Use of mandated registers, like the Biomass Suppliers List and Sustainable Fuel Register can </w:t>
      </w:r>
      <w:r w:rsidR="00C04DD9" w:rsidRPr="006767C5">
        <w:rPr>
          <w:rFonts w:ascii="Open Sans" w:hAnsi="Open Sans" w:cs="Open Sans"/>
          <w:b/>
          <w:bCs/>
          <w:i/>
          <w:iCs/>
          <w:sz w:val="20"/>
          <w:szCs w:val="20"/>
        </w:rPr>
        <w:t>be evolved to</w:t>
      </w:r>
      <w:r w:rsidR="006E5127" w:rsidRPr="006767C5">
        <w:rPr>
          <w:rFonts w:ascii="Open Sans" w:hAnsi="Open Sans" w:cs="Open Sans"/>
          <w:b/>
          <w:bCs/>
          <w:i/>
          <w:iCs/>
          <w:sz w:val="20"/>
          <w:szCs w:val="20"/>
        </w:rPr>
        <w:t xml:space="preserve"> continue to</w:t>
      </w:r>
      <w:r w:rsidR="00C04DD9" w:rsidRPr="006767C5">
        <w:rPr>
          <w:rFonts w:ascii="Open Sans" w:hAnsi="Open Sans" w:cs="Open Sans"/>
          <w:b/>
          <w:bCs/>
          <w:i/>
          <w:iCs/>
          <w:sz w:val="20"/>
          <w:szCs w:val="20"/>
        </w:rPr>
        <w:t xml:space="preserve"> maintain sustainability standards </w:t>
      </w:r>
      <w:r w:rsidR="006E5127" w:rsidRPr="006767C5">
        <w:rPr>
          <w:rFonts w:ascii="Open Sans" w:hAnsi="Open Sans" w:cs="Open Sans"/>
          <w:b/>
          <w:bCs/>
          <w:i/>
          <w:iCs/>
          <w:sz w:val="20"/>
          <w:szCs w:val="20"/>
        </w:rPr>
        <w:t>for biomass heat use.</w:t>
      </w:r>
      <w:r w:rsidR="00C04DD9" w:rsidRPr="006767C5">
        <w:rPr>
          <w:rFonts w:ascii="Open Sans" w:hAnsi="Open Sans" w:cs="Open Sans"/>
          <w:b/>
          <w:bCs/>
          <w:i/>
          <w:iCs/>
          <w:sz w:val="20"/>
          <w:szCs w:val="20"/>
        </w:rPr>
        <w:t xml:space="preserve"> </w:t>
      </w:r>
    </w:p>
    <w:p w14:paraId="6627BCB2" w14:textId="6177FFC1" w:rsidR="00EE1D42" w:rsidRPr="006767C5" w:rsidRDefault="00C04DD9" w:rsidP="006D67A2">
      <w:pPr>
        <w:rPr>
          <w:rFonts w:ascii="Open Sans" w:hAnsi="Open Sans" w:cs="Open Sans"/>
          <w:sz w:val="20"/>
          <w:szCs w:val="20"/>
        </w:rPr>
      </w:pPr>
      <w:r w:rsidRPr="006767C5">
        <w:rPr>
          <w:rFonts w:ascii="Open Sans" w:hAnsi="Open Sans" w:cs="Open Sans"/>
          <w:sz w:val="20"/>
          <w:szCs w:val="20"/>
        </w:rPr>
        <w:t>Mandated fuel registers</w:t>
      </w:r>
      <w:r w:rsidR="006E5127" w:rsidRPr="006767C5">
        <w:rPr>
          <w:rFonts w:ascii="Open Sans" w:hAnsi="Open Sans" w:cs="Open Sans"/>
          <w:sz w:val="20"/>
          <w:szCs w:val="20"/>
        </w:rPr>
        <w:t xml:space="preserve"> </w:t>
      </w:r>
      <w:r w:rsidR="00EE1D42" w:rsidRPr="006767C5">
        <w:rPr>
          <w:rFonts w:ascii="Open Sans" w:hAnsi="Open Sans" w:cs="Open Sans"/>
          <w:sz w:val="20"/>
          <w:szCs w:val="20"/>
        </w:rPr>
        <w:t>like</w:t>
      </w:r>
      <w:r w:rsidR="006E5127" w:rsidRPr="006767C5">
        <w:rPr>
          <w:rFonts w:ascii="Open Sans" w:hAnsi="Open Sans" w:cs="Open Sans"/>
          <w:sz w:val="20"/>
          <w:szCs w:val="20"/>
        </w:rPr>
        <w:t xml:space="preserve"> the Biomass Suppliers List</w:t>
      </w:r>
      <w:r w:rsidR="00C507DF" w:rsidRPr="006767C5">
        <w:rPr>
          <w:rFonts w:ascii="Open Sans" w:hAnsi="Open Sans" w:cs="Open Sans"/>
          <w:sz w:val="20"/>
          <w:szCs w:val="20"/>
        </w:rPr>
        <w:t xml:space="preserve"> (BSL)</w:t>
      </w:r>
      <w:r w:rsidR="00C00AF2" w:rsidRPr="006767C5">
        <w:rPr>
          <w:rStyle w:val="FootnoteReference"/>
          <w:rFonts w:ascii="Open Sans" w:hAnsi="Open Sans" w:cs="Open Sans"/>
          <w:sz w:val="20"/>
          <w:szCs w:val="20"/>
        </w:rPr>
        <w:footnoteReference w:id="94"/>
      </w:r>
      <w:r w:rsidR="006E5127" w:rsidRPr="006767C5">
        <w:rPr>
          <w:rFonts w:ascii="Open Sans" w:hAnsi="Open Sans" w:cs="Open Sans"/>
          <w:sz w:val="20"/>
          <w:szCs w:val="20"/>
        </w:rPr>
        <w:t xml:space="preserve"> and Sustainable Fuel Register</w:t>
      </w:r>
      <w:r w:rsidR="00C507DF" w:rsidRPr="006767C5">
        <w:rPr>
          <w:rFonts w:ascii="Open Sans" w:hAnsi="Open Sans" w:cs="Open Sans"/>
          <w:sz w:val="20"/>
          <w:szCs w:val="20"/>
        </w:rPr>
        <w:t xml:space="preserve"> (SFR)</w:t>
      </w:r>
      <w:r w:rsidR="00C00AF2" w:rsidRPr="006767C5">
        <w:rPr>
          <w:rStyle w:val="FootnoteReference"/>
          <w:rFonts w:ascii="Open Sans" w:hAnsi="Open Sans" w:cs="Open Sans"/>
          <w:sz w:val="20"/>
          <w:szCs w:val="20"/>
        </w:rPr>
        <w:footnoteReference w:id="95"/>
      </w:r>
      <w:r w:rsidR="00C00AF2" w:rsidRPr="006767C5">
        <w:rPr>
          <w:rFonts w:ascii="Open Sans" w:hAnsi="Open Sans" w:cs="Open Sans"/>
          <w:sz w:val="20"/>
          <w:szCs w:val="20"/>
        </w:rPr>
        <w:t xml:space="preserve"> </w:t>
      </w:r>
      <w:r w:rsidR="006E5127" w:rsidRPr="006767C5">
        <w:rPr>
          <w:rFonts w:ascii="Open Sans" w:hAnsi="Open Sans" w:cs="Open Sans"/>
          <w:sz w:val="20"/>
          <w:szCs w:val="20"/>
        </w:rPr>
        <w:t xml:space="preserve">have proved useful mechanism for regulating fuel supply </w:t>
      </w:r>
      <w:r w:rsidR="00EE1D42" w:rsidRPr="006767C5">
        <w:rPr>
          <w:rFonts w:ascii="Open Sans" w:hAnsi="Open Sans" w:cs="Open Sans"/>
          <w:sz w:val="20"/>
          <w:szCs w:val="20"/>
        </w:rPr>
        <w:t>for use in</w:t>
      </w:r>
      <w:r w:rsidR="006E5127" w:rsidRPr="006767C5">
        <w:rPr>
          <w:rFonts w:ascii="Open Sans" w:hAnsi="Open Sans" w:cs="Open Sans"/>
          <w:sz w:val="20"/>
          <w:szCs w:val="20"/>
        </w:rPr>
        <w:t xml:space="preserve"> biomass heat applications. Both schemes have evolved becoming the main regulatory route for ensuring standards </w:t>
      </w:r>
      <w:r w:rsidR="00EE1D42" w:rsidRPr="006767C5">
        <w:rPr>
          <w:rFonts w:ascii="Open Sans" w:hAnsi="Open Sans" w:cs="Open Sans"/>
          <w:sz w:val="20"/>
          <w:szCs w:val="20"/>
        </w:rPr>
        <w:t>on</w:t>
      </w:r>
      <w:r w:rsidR="006E5127" w:rsidRPr="006767C5">
        <w:rPr>
          <w:rFonts w:ascii="Open Sans" w:hAnsi="Open Sans" w:cs="Open Sans"/>
          <w:sz w:val="20"/>
          <w:szCs w:val="20"/>
        </w:rPr>
        <w:t xml:space="preserve"> sustainability, GHG emissions and land use criteria</w:t>
      </w:r>
      <w:r w:rsidR="00EE1D42" w:rsidRPr="006767C5">
        <w:rPr>
          <w:rFonts w:ascii="Open Sans" w:hAnsi="Open Sans" w:cs="Open Sans"/>
          <w:sz w:val="20"/>
          <w:szCs w:val="20"/>
        </w:rPr>
        <w:t xml:space="preserve"> by legislating that only fuels registered on these schemes can be used in RHI accredited systems. </w:t>
      </w:r>
    </w:p>
    <w:p w14:paraId="6BE7E7BE" w14:textId="46D57BC8" w:rsidR="00EE1D42" w:rsidRPr="006767C5" w:rsidRDefault="006E5127" w:rsidP="00EE1D42">
      <w:pPr>
        <w:rPr>
          <w:rFonts w:ascii="Open Sans" w:hAnsi="Open Sans" w:cs="Open Sans"/>
          <w:sz w:val="20"/>
          <w:szCs w:val="20"/>
        </w:rPr>
      </w:pPr>
      <w:r w:rsidRPr="006767C5">
        <w:rPr>
          <w:rFonts w:ascii="Open Sans" w:hAnsi="Open Sans" w:cs="Open Sans"/>
          <w:sz w:val="20"/>
          <w:szCs w:val="20"/>
        </w:rPr>
        <w:t>Recently BEIS have announced that fuel quality will also be a requirement for fuel registration under the BSL,</w:t>
      </w:r>
      <w:r w:rsidR="00EE1AC8" w:rsidRPr="006767C5">
        <w:rPr>
          <w:rStyle w:val="FootnoteReference"/>
          <w:rFonts w:ascii="Open Sans" w:hAnsi="Open Sans" w:cs="Open Sans"/>
          <w:sz w:val="20"/>
          <w:szCs w:val="20"/>
        </w:rPr>
        <w:footnoteReference w:id="96"/>
      </w:r>
      <w:r w:rsidRPr="006767C5">
        <w:rPr>
          <w:rFonts w:ascii="Open Sans" w:hAnsi="Open Sans" w:cs="Open Sans"/>
          <w:sz w:val="20"/>
          <w:szCs w:val="20"/>
        </w:rPr>
        <w:t xml:space="preserve"> providing yet further </w:t>
      </w:r>
      <w:r w:rsidR="00EE1D42" w:rsidRPr="006767C5">
        <w:rPr>
          <w:rFonts w:ascii="Open Sans" w:hAnsi="Open Sans" w:cs="Open Sans"/>
          <w:sz w:val="20"/>
          <w:szCs w:val="20"/>
        </w:rPr>
        <w:t xml:space="preserve">basis for the importance of voluntary certification schemes such as the </w:t>
      </w:r>
      <w:proofErr w:type="spellStart"/>
      <w:r w:rsidR="00EE1D42" w:rsidRPr="006767C5">
        <w:rPr>
          <w:rFonts w:ascii="Open Sans" w:hAnsi="Open Sans" w:cs="Open Sans"/>
          <w:sz w:val="20"/>
          <w:szCs w:val="20"/>
        </w:rPr>
        <w:t>EN</w:t>
      </w:r>
      <w:r w:rsidR="00EE1D42" w:rsidRPr="006767C5">
        <w:rPr>
          <w:rFonts w:ascii="Open Sans" w:hAnsi="Open Sans" w:cs="Open Sans"/>
          <w:i/>
          <w:iCs/>
          <w:sz w:val="20"/>
          <w:szCs w:val="20"/>
        </w:rPr>
        <w:t>plus</w:t>
      </w:r>
      <w:proofErr w:type="spellEnd"/>
      <w:r w:rsidR="00EE1D42" w:rsidRPr="006767C5">
        <w:rPr>
          <w:rFonts w:ascii="Open Sans" w:hAnsi="Open Sans" w:cs="Open Sans"/>
          <w:i/>
          <w:iCs/>
          <w:sz w:val="20"/>
          <w:szCs w:val="20"/>
        </w:rPr>
        <w:t xml:space="preserve">, </w:t>
      </w:r>
      <w:proofErr w:type="spellStart"/>
      <w:r w:rsidR="00EE1D42" w:rsidRPr="006767C5">
        <w:rPr>
          <w:rFonts w:ascii="Open Sans" w:hAnsi="Open Sans" w:cs="Open Sans"/>
          <w:sz w:val="20"/>
          <w:szCs w:val="20"/>
        </w:rPr>
        <w:t>GoodChips</w:t>
      </w:r>
      <w:proofErr w:type="spellEnd"/>
      <w:r w:rsidR="00EE1D42" w:rsidRPr="006767C5">
        <w:rPr>
          <w:rFonts w:ascii="Open Sans" w:hAnsi="Open Sans" w:cs="Open Sans"/>
          <w:sz w:val="20"/>
          <w:szCs w:val="20"/>
        </w:rPr>
        <w:t xml:space="preserve"> or </w:t>
      </w:r>
      <w:proofErr w:type="spellStart"/>
      <w:r w:rsidR="00EE1D42" w:rsidRPr="006767C5">
        <w:rPr>
          <w:rFonts w:ascii="Open Sans" w:hAnsi="Open Sans" w:cs="Open Sans"/>
          <w:sz w:val="20"/>
          <w:szCs w:val="20"/>
        </w:rPr>
        <w:t>Woodsure</w:t>
      </w:r>
      <w:proofErr w:type="spellEnd"/>
      <w:r w:rsidR="00EE1AC8" w:rsidRPr="006767C5">
        <w:rPr>
          <w:rStyle w:val="FootnoteReference"/>
          <w:rFonts w:ascii="Open Sans" w:hAnsi="Open Sans" w:cs="Open Sans"/>
          <w:sz w:val="20"/>
          <w:szCs w:val="20"/>
        </w:rPr>
        <w:footnoteReference w:id="97"/>
      </w:r>
      <w:r w:rsidR="00EE1D42" w:rsidRPr="006767C5">
        <w:rPr>
          <w:rFonts w:ascii="Open Sans" w:hAnsi="Open Sans" w:cs="Open Sans"/>
          <w:sz w:val="20"/>
          <w:szCs w:val="20"/>
        </w:rPr>
        <w:t xml:space="preserve">, providing independent audit and certification routes. The BSL also maps against the FSC, PEFC and SBP certifications. </w:t>
      </w:r>
    </w:p>
    <w:p w14:paraId="47924954" w14:textId="75D1C748" w:rsidR="006D67A2" w:rsidRPr="006767C5" w:rsidRDefault="00EE1D42" w:rsidP="006D67A2">
      <w:pPr>
        <w:rPr>
          <w:rFonts w:ascii="Open Sans" w:hAnsi="Open Sans" w:cs="Open Sans"/>
          <w:sz w:val="20"/>
          <w:szCs w:val="20"/>
        </w:rPr>
      </w:pPr>
      <w:r w:rsidRPr="006767C5">
        <w:rPr>
          <w:rFonts w:ascii="Open Sans" w:hAnsi="Open Sans" w:cs="Open Sans"/>
          <w:sz w:val="20"/>
          <w:szCs w:val="20"/>
        </w:rPr>
        <w:t xml:space="preserve">Future legislation </w:t>
      </w:r>
      <w:r w:rsidR="00C00AF2" w:rsidRPr="006767C5">
        <w:rPr>
          <w:rFonts w:ascii="Open Sans" w:hAnsi="Open Sans" w:cs="Open Sans"/>
          <w:sz w:val="20"/>
          <w:szCs w:val="20"/>
        </w:rPr>
        <w:t>can be</w:t>
      </w:r>
      <w:r w:rsidRPr="006767C5">
        <w:rPr>
          <w:rFonts w:ascii="Open Sans" w:hAnsi="Open Sans" w:cs="Open Sans"/>
          <w:sz w:val="20"/>
          <w:szCs w:val="20"/>
        </w:rPr>
        <w:t xml:space="preserve"> buil</w:t>
      </w:r>
      <w:r w:rsidR="00C00AF2" w:rsidRPr="006767C5">
        <w:rPr>
          <w:rFonts w:ascii="Open Sans" w:hAnsi="Open Sans" w:cs="Open Sans"/>
          <w:sz w:val="20"/>
          <w:szCs w:val="20"/>
        </w:rPr>
        <w:t>t</w:t>
      </w:r>
      <w:r w:rsidRPr="006767C5">
        <w:rPr>
          <w:rFonts w:ascii="Open Sans" w:hAnsi="Open Sans" w:cs="Open Sans"/>
          <w:sz w:val="20"/>
          <w:szCs w:val="20"/>
        </w:rPr>
        <w:t xml:space="preserve"> upon the BSL and SFR’s </w:t>
      </w:r>
      <w:r w:rsidR="00C00AF2" w:rsidRPr="006767C5">
        <w:rPr>
          <w:rFonts w:ascii="Open Sans" w:hAnsi="Open Sans" w:cs="Open Sans"/>
          <w:sz w:val="20"/>
          <w:szCs w:val="20"/>
        </w:rPr>
        <w:t xml:space="preserve">by maintaining them as a key route for ensuring continuing sustainability of fuels used in biomass heat applications. </w:t>
      </w:r>
    </w:p>
    <w:p w14:paraId="0B9CFAD5" w14:textId="67314603" w:rsidR="002912A1" w:rsidRPr="006767C5" w:rsidRDefault="002912A1" w:rsidP="00E527C6">
      <w:pPr>
        <w:rPr>
          <w:rFonts w:ascii="Open Sans" w:hAnsi="Open Sans" w:cs="Open Sans"/>
          <w:b/>
          <w:bCs/>
          <w:i/>
          <w:iCs/>
          <w:sz w:val="20"/>
          <w:szCs w:val="20"/>
        </w:rPr>
      </w:pPr>
      <w:r w:rsidRPr="006767C5">
        <w:rPr>
          <w:rFonts w:ascii="Open Sans" w:hAnsi="Open Sans" w:cs="Open Sans"/>
          <w:b/>
          <w:bCs/>
          <w:i/>
          <w:iCs/>
          <w:sz w:val="20"/>
          <w:szCs w:val="20"/>
        </w:rPr>
        <w:t xml:space="preserve">Future legislation should </w:t>
      </w:r>
      <w:r w:rsidR="007D74C6" w:rsidRPr="006767C5">
        <w:rPr>
          <w:rFonts w:ascii="Open Sans" w:hAnsi="Open Sans" w:cs="Open Sans"/>
          <w:b/>
          <w:bCs/>
          <w:i/>
          <w:iCs/>
          <w:sz w:val="20"/>
          <w:szCs w:val="20"/>
        </w:rPr>
        <w:t>continue to maintain a C</w:t>
      </w:r>
      <w:r w:rsidRPr="006767C5">
        <w:rPr>
          <w:rFonts w:ascii="Open Sans" w:hAnsi="Open Sans" w:cs="Open Sans"/>
          <w:b/>
          <w:bCs/>
          <w:i/>
          <w:iCs/>
          <w:sz w:val="20"/>
          <w:szCs w:val="20"/>
        </w:rPr>
        <w:t xml:space="preserve">ategory B </w:t>
      </w:r>
      <w:r w:rsidR="00793832" w:rsidRPr="006767C5">
        <w:rPr>
          <w:rFonts w:ascii="Open Sans" w:hAnsi="Open Sans" w:cs="Open Sans"/>
          <w:b/>
          <w:bCs/>
          <w:i/>
          <w:iCs/>
          <w:sz w:val="20"/>
          <w:szCs w:val="20"/>
        </w:rPr>
        <w:t>option for demonstrating</w:t>
      </w:r>
      <w:r w:rsidR="00604FEB" w:rsidRPr="006767C5">
        <w:rPr>
          <w:rFonts w:ascii="Open Sans" w:hAnsi="Open Sans" w:cs="Open Sans"/>
          <w:b/>
          <w:bCs/>
          <w:i/>
          <w:iCs/>
          <w:sz w:val="20"/>
          <w:szCs w:val="20"/>
        </w:rPr>
        <w:t xml:space="preserve"> </w:t>
      </w:r>
      <w:proofErr w:type="gramStart"/>
      <w:r w:rsidR="008A5C91" w:rsidRPr="006767C5">
        <w:rPr>
          <w:rFonts w:ascii="Open Sans" w:hAnsi="Open Sans" w:cs="Open Sans"/>
          <w:b/>
          <w:bCs/>
          <w:i/>
          <w:iCs/>
          <w:sz w:val="20"/>
          <w:szCs w:val="20"/>
        </w:rPr>
        <w:t>c</w:t>
      </w:r>
      <w:r w:rsidR="00604FEB" w:rsidRPr="006767C5">
        <w:rPr>
          <w:rFonts w:ascii="Open Sans" w:hAnsi="Open Sans" w:cs="Open Sans"/>
          <w:b/>
          <w:bCs/>
          <w:i/>
          <w:iCs/>
          <w:sz w:val="20"/>
          <w:szCs w:val="20"/>
        </w:rPr>
        <w:t>ompliance</w:t>
      </w:r>
      <w:proofErr w:type="gramEnd"/>
    </w:p>
    <w:p w14:paraId="1D7B5BF4" w14:textId="1076D8A9" w:rsidR="00604FEB" w:rsidRPr="006767C5" w:rsidRDefault="00604FEB" w:rsidP="00E527C6">
      <w:pPr>
        <w:rPr>
          <w:rFonts w:ascii="Open Sans" w:hAnsi="Open Sans" w:cs="Open Sans"/>
          <w:sz w:val="20"/>
          <w:szCs w:val="20"/>
        </w:rPr>
      </w:pPr>
      <w:r w:rsidRPr="006767C5">
        <w:rPr>
          <w:rFonts w:ascii="Open Sans" w:hAnsi="Open Sans" w:cs="Open Sans"/>
          <w:sz w:val="20"/>
          <w:szCs w:val="20"/>
        </w:rPr>
        <w:t>While Category A, by utilising certification schemes, will remain the primary route for demonstrating compliance for the majority of sector. Category B routes, through self-reporting and bespoke evidence or assessments</w:t>
      </w:r>
      <w:r w:rsidR="008A5C91" w:rsidRPr="006767C5">
        <w:rPr>
          <w:rFonts w:ascii="Open Sans" w:hAnsi="Open Sans" w:cs="Open Sans"/>
          <w:sz w:val="20"/>
          <w:szCs w:val="20"/>
        </w:rPr>
        <w:t>,</w:t>
      </w:r>
      <w:r w:rsidRPr="006767C5">
        <w:rPr>
          <w:rFonts w:ascii="Open Sans" w:hAnsi="Open Sans" w:cs="Open Sans"/>
          <w:sz w:val="20"/>
          <w:szCs w:val="20"/>
        </w:rPr>
        <w:t xml:space="preserve"> should also continue to </w:t>
      </w:r>
      <w:r w:rsidR="008A5C91" w:rsidRPr="006767C5">
        <w:rPr>
          <w:rFonts w:ascii="Open Sans" w:hAnsi="Open Sans" w:cs="Open Sans"/>
          <w:sz w:val="20"/>
          <w:szCs w:val="20"/>
        </w:rPr>
        <w:t>be allowed</w:t>
      </w:r>
      <w:r w:rsidRPr="006767C5">
        <w:rPr>
          <w:rFonts w:ascii="Open Sans" w:hAnsi="Open Sans" w:cs="Open Sans"/>
          <w:sz w:val="20"/>
          <w:szCs w:val="20"/>
        </w:rPr>
        <w:t xml:space="preserve"> as a </w:t>
      </w:r>
      <w:r w:rsidR="008A5C91" w:rsidRPr="006767C5">
        <w:rPr>
          <w:rFonts w:ascii="Open Sans" w:hAnsi="Open Sans" w:cs="Open Sans"/>
          <w:sz w:val="20"/>
          <w:szCs w:val="20"/>
        </w:rPr>
        <w:t xml:space="preserve">viable </w:t>
      </w:r>
      <w:r w:rsidRPr="006767C5">
        <w:rPr>
          <w:rFonts w:ascii="Open Sans" w:hAnsi="Open Sans" w:cs="Open Sans"/>
          <w:sz w:val="20"/>
          <w:szCs w:val="20"/>
        </w:rPr>
        <w:t>compliance</w:t>
      </w:r>
      <w:r w:rsidR="008A5C91" w:rsidRPr="006767C5">
        <w:rPr>
          <w:rFonts w:ascii="Open Sans" w:hAnsi="Open Sans" w:cs="Open Sans"/>
          <w:sz w:val="20"/>
          <w:szCs w:val="20"/>
        </w:rPr>
        <w:t xml:space="preserve"> route</w:t>
      </w:r>
      <w:r w:rsidRPr="006767C5">
        <w:rPr>
          <w:rFonts w:ascii="Open Sans" w:hAnsi="Open Sans" w:cs="Open Sans"/>
          <w:sz w:val="20"/>
          <w:szCs w:val="20"/>
        </w:rPr>
        <w:t xml:space="preserve">. </w:t>
      </w:r>
    </w:p>
    <w:p w14:paraId="52D62C73" w14:textId="47276B60" w:rsidR="002912A1" w:rsidRDefault="008A5C91" w:rsidP="00E527C6">
      <w:pPr>
        <w:pBdr>
          <w:bottom w:val="single" w:sz="6" w:space="1" w:color="auto"/>
        </w:pBdr>
        <w:rPr>
          <w:rFonts w:ascii="Open Sans" w:hAnsi="Open Sans" w:cs="Open Sans"/>
          <w:sz w:val="20"/>
          <w:szCs w:val="20"/>
        </w:rPr>
      </w:pPr>
      <w:r w:rsidRPr="006767C5">
        <w:rPr>
          <w:rFonts w:ascii="Open Sans" w:hAnsi="Open Sans" w:cs="Open Sans"/>
          <w:sz w:val="20"/>
          <w:szCs w:val="20"/>
        </w:rPr>
        <w:t>Category B</w:t>
      </w:r>
      <w:r w:rsidR="00604FEB" w:rsidRPr="006767C5">
        <w:rPr>
          <w:rFonts w:ascii="Open Sans" w:hAnsi="Open Sans" w:cs="Open Sans"/>
          <w:sz w:val="20"/>
          <w:szCs w:val="20"/>
        </w:rPr>
        <w:t xml:space="preserve"> provides a valuable alternative route for innovative or </w:t>
      </w:r>
      <w:r w:rsidRPr="006767C5">
        <w:rPr>
          <w:rFonts w:ascii="Open Sans" w:hAnsi="Open Sans" w:cs="Open Sans"/>
          <w:sz w:val="20"/>
          <w:szCs w:val="20"/>
        </w:rPr>
        <w:t xml:space="preserve">marginally economic biomass sources. This will prove essential both for opening new biomass resources or innovative crops, or where the user is using such low volumes that certification becomes unviable.  The flexibility of category B compliance </w:t>
      </w:r>
      <w:r w:rsidR="00793832" w:rsidRPr="006767C5">
        <w:rPr>
          <w:rFonts w:ascii="Open Sans" w:hAnsi="Open Sans" w:cs="Open Sans"/>
          <w:sz w:val="20"/>
          <w:szCs w:val="20"/>
        </w:rPr>
        <w:t>should</w:t>
      </w:r>
      <w:r w:rsidRPr="006767C5">
        <w:rPr>
          <w:rFonts w:ascii="Open Sans" w:hAnsi="Open Sans" w:cs="Open Sans"/>
          <w:sz w:val="20"/>
          <w:szCs w:val="20"/>
        </w:rPr>
        <w:t xml:space="preserve"> be maintained in future legislative requirements. </w:t>
      </w:r>
    </w:p>
    <w:p w14:paraId="4E4F2FCB" w14:textId="77777777" w:rsidR="00F52B93" w:rsidRPr="006767C5" w:rsidRDefault="00F52B93" w:rsidP="00E527C6">
      <w:pPr>
        <w:pBdr>
          <w:bottom w:val="single" w:sz="6" w:space="1" w:color="auto"/>
        </w:pBdr>
        <w:rPr>
          <w:rFonts w:ascii="Open Sans" w:hAnsi="Open Sans" w:cs="Open Sans"/>
          <w:sz w:val="20"/>
          <w:szCs w:val="20"/>
        </w:rPr>
      </w:pPr>
    </w:p>
    <w:p w14:paraId="6BA74541" w14:textId="77777777" w:rsidR="00F52B93" w:rsidRDefault="00F52B93" w:rsidP="00882FC4">
      <w:pPr>
        <w:rPr>
          <w:rFonts w:ascii="Open Sans" w:hAnsi="Open Sans" w:cs="Open Sans"/>
          <w:b/>
          <w:bCs/>
          <w:color w:val="2F5496"/>
          <w:sz w:val="20"/>
          <w:szCs w:val="20"/>
        </w:rPr>
      </w:pPr>
    </w:p>
    <w:p w14:paraId="05BF36CE" w14:textId="4EE96A7E" w:rsidR="004C28D6" w:rsidRPr="006767C5" w:rsidRDefault="004C28D6" w:rsidP="00882FC4">
      <w:pPr>
        <w:rPr>
          <w:rFonts w:ascii="Open Sans" w:hAnsi="Open Sans" w:cs="Open Sans"/>
          <w:b/>
          <w:bCs/>
          <w:color w:val="2F5496"/>
          <w:sz w:val="20"/>
          <w:szCs w:val="20"/>
        </w:rPr>
      </w:pPr>
      <w:r w:rsidRPr="006767C5">
        <w:rPr>
          <w:rFonts w:ascii="Open Sans" w:hAnsi="Open Sans" w:cs="Open Sans"/>
          <w:b/>
          <w:bCs/>
          <w:color w:val="2F5496"/>
          <w:sz w:val="20"/>
          <w:szCs w:val="20"/>
        </w:rPr>
        <w:t>18. What additional evidence could suppliers of biomass-derived energy (for heat, fuels, electricity) provide to regulators to demonstrate they meet the sustainability criteria?</w:t>
      </w:r>
    </w:p>
    <w:p w14:paraId="65F380D2" w14:textId="6A91ED8E" w:rsidR="0036441F" w:rsidRPr="0036441F" w:rsidRDefault="0036441F" w:rsidP="006D28A4">
      <w:pPr>
        <w:rPr>
          <w:rFonts w:ascii="Open Sans" w:hAnsi="Open Sans" w:cs="Open Sans"/>
          <w:b/>
          <w:bCs/>
          <w:i/>
          <w:iCs/>
          <w:sz w:val="20"/>
          <w:szCs w:val="20"/>
        </w:rPr>
      </w:pPr>
      <w:r w:rsidRPr="0036441F">
        <w:rPr>
          <w:rFonts w:ascii="Open Sans" w:hAnsi="Open Sans" w:cs="Open Sans"/>
          <w:b/>
          <w:bCs/>
          <w:i/>
          <w:iCs/>
          <w:sz w:val="20"/>
          <w:szCs w:val="20"/>
        </w:rPr>
        <w:t>Review what data is already being collected by biomass operators as part of voluntary certification schemes.</w:t>
      </w:r>
    </w:p>
    <w:p w14:paraId="2A5F5AFD" w14:textId="35039839" w:rsidR="006D28A4" w:rsidRPr="006767C5" w:rsidRDefault="006D28A4" w:rsidP="006D28A4">
      <w:pPr>
        <w:rPr>
          <w:rFonts w:ascii="Open Sans" w:hAnsi="Open Sans" w:cs="Open Sans"/>
          <w:sz w:val="20"/>
          <w:szCs w:val="20"/>
        </w:rPr>
      </w:pPr>
      <w:r w:rsidRPr="006767C5">
        <w:rPr>
          <w:rFonts w:ascii="Open Sans" w:hAnsi="Open Sans" w:cs="Open Sans"/>
          <w:sz w:val="20"/>
          <w:szCs w:val="20"/>
        </w:rPr>
        <w:t>As highlighted in question 16,</w:t>
      </w:r>
      <w:r w:rsidRPr="006767C5">
        <w:rPr>
          <w:rFonts w:ascii="Open Sans" w:hAnsi="Open Sans" w:cs="Open Sans"/>
          <w:b/>
          <w:bCs/>
          <w:sz w:val="20"/>
          <w:szCs w:val="20"/>
        </w:rPr>
        <w:t xml:space="preserve"> </w:t>
      </w:r>
      <w:r w:rsidR="00182AD8" w:rsidRPr="006767C5">
        <w:rPr>
          <w:rFonts w:ascii="Open Sans" w:hAnsi="Open Sans" w:cs="Open Sans"/>
          <w:sz w:val="20"/>
          <w:szCs w:val="20"/>
        </w:rPr>
        <w:t>i</w:t>
      </w:r>
      <w:r w:rsidRPr="006767C5">
        <w:rPr>
          <w:rFonts w:ascii="Open Sans" w:hAnsi="Open Sans" w:cs="Open Sans"/>
          <w:sz w:val="20"/>
          <w:szCs w:val="20"/>
        </w:rPr>
        <w:t xml:space="preserve">t would be worthwhile Government reviewing what other data is already being collected by biomass operators and what further </w:t>
      </w:r>
      <w:r w:rsidR="00793832" w:rsidRPr="006767C5">
        <w:rPr>
          <w:rFonts w:ascii="Open Sans" w:hAnsi="Open Sans" w:cs="Open Sans"/>
          <w:sz w:val="20"/>
          <w:szCs w:val="20"/>
        </w:rPr>
        <w:t>information</w:t>
      </w:r>
      <w:r w:rsidRPr="006767C5">
        <w:rPr>
          <w:rFonts w:ascii="Open Sans" w:hAnsi="Open Sans" w:cs="Open Sans"/>
          <w:sz w:val="20"/>
          <w:szCs w:val="20"/>
        </w:rPr>
        <w:t xml:space="preserve"> regulators may find beneficial. The UK’s strict sustainability criteria for biomass, requires annual and monthly reporting to Ofgem. However, large biomass operators are collecting data at more regular intervals and with greater granularity then currently required by the legislation.</w:t>
      </w:r>
      <w:r w:rsidRPr="006767C5">
        <w:rPr>
          <w:rStyle w:val="FootnoteReference"/>
          <w:rFonts w:ascii="Open Sans" w:hAnsi="Open Sans" w:cs="Open Sans"/>
          <w:sz w:val="20"/>
          <w:szCs w:val="20"/>
        </w:rPr>
        <w:footnoteReference w:id="98"/>
      </w:r>
      <w:r w:rsidRPr="006767C5">
        <w:rPr>
          <w:rFonts w:ascii="Open Sans" w:hAnsi="Open Sans" w:cs="Open Sans"/>
          <w:sz w:val="20"/>
          <w:szCs w:val="20"/>
        </w:rPr>
        <w:t xml:space="preserve"> This is certainly the case for biomass suppliers and operators accredited by certification schemes such as Sustainable Biomass Program. </w:t>
      </w:r>
      <w:r w:rsidRPr="006767C5">
        <w:rPr>
          <w:rStyle w:val="FootnoteReference"/>
          <w:rFonts w:ascii="Open Sans" w:hAnsi="Open Sans" w:cs="Open Sans"/>
          <w:sz w:val="20"/>
          <w:szCs w:val="20"/>
        </w:rPr>
        <w:footnoteReference w:id="99"/>
      </w:r>
      <w:r w:rsidRPr="006767C5">
        <w:rPr>
          <w:rFonts w:ascii="Open Sans" w:hAnsi="Open Sans" w:cs="Open Sans"/>
          <w:sz w:val="20"/>
          <w:szCs w:val="20"/>
        </w:rPr>
        <w:t xml:space="preserve"> </w:t>
      </w:r>
    </w:p>
    <w:p w14:paraId="3E9A7643" w14:textId="34D0BF1E" w:rsidR="0036441F" w:rsidRPr="0036441F" w:rsidRDefault="0036441F" w:rsidP="006D28A4">
      <w:pPr>
        <w:rPr>
          <w:rFonts w:ascii="Open Sans" w:hAnsi="Open Sans" w:cs="Open Sans"/>
          <w:b/>
          <w:bCs/>
          <w:i/>
          <w:iCs/>
          <w:sz w:val="20"/>
          <w:szCs w:val="20"/>
        </w:rPr>
      </w:pPr>
      <w:r w:rsidRPr="0036441F">
        <w:rPr>
          <w:rFonts w:ascii="Open Sans" w:hAnsi="Open Sans" w:cs="Open Sans"/>
          <w:b/>
          <w:bCs/>
          <w:i/>
          <w:iCs/>
          <w:sz w:val="20"/>
          <w:szCs w:val="20"/>
        </w:rPr>
        <w:t xml:space="preserve">Improve consistency of data collection, sharing and analysis between Ofgem and </w:t>
      </w:r>
      <w:proofErr w:type="gramStart"/>
      <w:r w:rsidRPr="0036441F">
        <w:rPr>
          <w:rFonts w:ascii="Open Sans" w:hAnsi="Open Sans" w:cs="Open Sans"/>
          <w:b/>
          <w:bCs/>
          <w:i/>
          <w:iCs/>
          <w:sz w:val="20"/>
          <w:szCs w:val="20"/>
        </w:rPr>
        <w:t>BEIS</w:t>
      </w:r>
      <w:proofErr w:type="gramEnd"/>
    </w:p>
    <w:p w14:paraId="536F345B" w14:textId="34ABD1C0" w:rsidR="006D28A4" w:rsidRPr="006767C5" w:rsidRDefault="0036441F" w:rsidP="006D28A4">
      <w:pPr>
        <w:rPr>
          <w:rFonts w:ascii="Open Sans" w:hAnsi="Open Sans" w:cs="Open Sans"/>
          <w:sz w:val="20"/>
          <w:szCs w:val="20"/>
        </w:rPr>
      </w:pPr>
      <w:r>
        <w:rPr>
          <w:rFonts w:ascii="Open Sans" w:hAnsi="Open Sans" w:cs="Open Sans"/>
          <w:sz w:val="20"/>
          <w:szCs w:val="20"/>
        </w:rPr>
        <w:t>T</w:t>
      </w:r>
      <w:r w:rsidR="006D28A4" w:rsidRPr="006767C5">
        <w:rPr>
          <w:rFonts w:ascii="Open Sans" w:hAnsi="Open Sans" w:cs="Open Sans"/>
          <w:sz w:val="20"/>
          <w:szCs w:val="20"/>
        </w:rPr>
        <w:t xml:space="preserve">here is an impression of there being inconsistent data sharing between BEIS and Ofgem. Data being collected by Ofgem as part of scheme regulation does not always seem to be reviewed and used by BEIS. For </w:t>
      </w:r>
      <w:r w:rsidR="00A438A1" w:rsidRPr="006767C5">
        <w:rPr>
          <w:rFonts w:ascii="Open Sans" w:hAnsi="Open Sans" w:cs="Open Sans"/>
          <w:sz w:val="20"/>
          <w:szCs w:val="20"/>
        </w:rPr>
        <w:t>example</w:t>
      </w:r>
      <w:r w:rsidR="006D28A4" w:rsidRPr="006767C5">
        <w:rPr>
          <w:rFonts w:ascii="Open Sans" w:hAnsi="Open Sans" w:cs="Open Sans"/>
          <w:sz w:val="20"/>
          <w:szCs w:val="20"/>
        </w:rPr>
        <w:t xml:space="preserve">, data on feedstock use within the RHI, collected by Ofgem for compliance purposes, does not appear in BEIS’s public reports. It would help scheme transparency if it did so. Equally there seems to be inconsistencies in data collection or analysis between BEIS and Ofgem, for </w:t>
      </w:r>
      <w:r w:rsidR="00A438A1" w:rsidRPr="006767C5">
        <w:rPr>
          <w:rFonts w:ascii="Open Sans" w:hAnsi="Open Sans" w:cs="Open Sans"/>
          <w:sz w:val="20"/>
          <w:szCs w:val="20"/>
        </w:rPr>
        <w:t>example</w:t>
      </w:r>
      <w:r w:rsidR="006D28A4" w:rsidRPr="006767C5">
        <w:rPr>
          <w:rFonts w:ascii="Open Sans" w:hAnsi="Open Sans" w:cs="Open Sans"/>
          <w:sz w:val="20"/>
          <w:szCs w:val="20"/>
        </w:rPr>
        <w:t xml:space="preserve"> RHI </w:t>
      </w:r>
      <w:r w:rsidR="00A438A1" w:rsidRPr="006767C5">
        <w:rPr>
          <w:rFonts w:ascii="Open Sans" w:hAnsi="Open Sans" w:cs="Open Sans"/>
          <w:sz w:val="20"/>
          <w:szCs w:val="20"/>
        </w:rPr>
        <w:t>allocated</w:t>
      </w:r>
      <w:r w:rsidR="006D28A4" w:rsidRPr="006767C5">
        <w:rPr>
          <w:rFonts w:ascii="Open Sans" w:hAnsi="Open Sans" w:cs="Open Sans"/>
          <w:sz w:val="20"/>
          <w:szCs w:val="20"/>
        </w:rPr>
        <w:t xml:space="preserve"> spending and budgeting reports from BEIS</w:t>
      </w:r>
      <w:r w:rsidR="00A438A1" w:rsidRPr="006767C5">
        <w:rPr>
          <w:rStyle w:val="FootnoteReference"/>
          <w:rFonts w:ascii="Open Sans" w:hAnsi="Open Sans" w:cs="Open Sans"/>
          <w:sz w:val="20"/>
          <w:szCs w:val="20"/>
        </w:rPr>
        <w:footnoteReference w:id="100"/>
      </w:r>
      <w:r w:rsidR="006D28A4" w:rsidRPr="006767C5">
        <w:rPr>
          <w:rFonts w:ascii="Open Sans" w:hAnsi="Open Sans" w:cs="Open Sans"/>
          <w:sz w:val="20"/>
          <w:szCs w:val="20"/>
        </w:rPr>
        <w:t xml:space="preserve"> and </w:t>
      </w:r>
      <w:r w:rsidR="00A438A1" w:rsidRPr="006767C5">
        <w:rPr>
          <w:rFonts w:ascii="Open Sans" w:hAnsi="Open Sans" w:cs="Open Sans"/>
          <w:sz w:val="20"/>
          <w:szCs w:val="20"/>
        </w:rPr>
        <w:t xml:space="preserve">those from </w:t>
      </w:r>
      <w:r w:rsidR="006D28A4" w:rsidRPr="006767C5">
        <w:rPr>
          <w:rFonts w:ascii="Open Sans" w:hAnsi="Open Sans" w:cs="Open Sans"/>
          <w:sz w:val="20"/>
          <w:szCs w:val="20"/>
        </w:rPr>
        <w:t>Ofgem</w:t>
      </w:r>
      <w:r w:rsidR="00182AD8" w:rsidRPr="006767C5">
        <w:rPr>
          <w:rStyle w:val="FootnoteReference"/>
          <w:rFonts w:ascii="Open Sans" w:hAnsi="Open Sans" w:cs="Open Sans"/>
          <w:sz w:val="20"/>
          <w:szCs w:val="20"/>
        </w:rPr>
        <w:footnoteReference w:id="101"/>
      </w:r>
      <w:r w:rsidR="006D28A4" w:rsidRPr="006767C5">
        <w:rPr>
          <w:rFonts w:ascii="Open Sans" w:hAnsi="Open Sans" w:cs="Open Sans"/>
          <w:sz w:val="20"/>
          <w:szCs w:val="20"/>
        </w:rPr>
        <w:t xml:space="preserve"> </w:t>
      </w:r>
      <w:r w:rsidR="00A438A1" w:rsidRPr="006767C5">
        <w:rPr>
          <w:rFonts w:ascii="Open Sans" w:hAnsi="Open Sans" w:cs="Open Sans"/>
          <w:sz w:val="20"/>
          <w:szCs w:val="20"/>
        </w:rPr>
        <w:t>provide similar, but differing results, due</w:t>
      </w:r>
      <w:r w:rsidR="00793832" w:rsidRPr="006767C5">
        <w:rPr>
          <w:rFonts w:ascii="Open Sans" w:hAnsi="Open Sans" w:cs="Open Sans"/>
          <w:sz w:val="20"/>
          <w:szCs w:val="20"/>
        </w:rPr>
        <w:t xml:space="preserve"> to</w:t>
      </w:r>
      <w:r w:rsidR="00A438A1" w:rsidRPr="006767C5">
        <w:rPr>
          <w:rFonts w:ascii="Open Sans" w:hAnsi="Open Sans" w:cs="Open Sans"/>
          <w:sz w:val="20"/>
          <w:szCs w:val="20"/>
        </w:rPr>
        <w:t xml:space="preserve"> the use of different assumption aroun</w:t>
      </w:r>
      <w:r w:rsidR="00182AD8" w:rsidRPr="006767C5">
        <w:rPr>
          <w:rFonts w:ascii="Open Sans" w:hAnsi="Open Sans" w:cs="Open Sans"/>
          <w:sz w:val="20"/>
          <w:szCs w:val="20"/>
        </w:rPr>
        <w:t>d</w:t>
      </w:r>
      <w:r w:rsidR="00A438A1" w:rsidRPr="006767C5">
        <w:rPr>
          <w:rFonts w:ascii="Open Sans" w:hAnsi="Open Sans" w:cs="Open Sans"/>
          <w:sz w:val="20"/>
          <w:szCs w:val="20"/>
        </w:rPr>
        <w:t xml:space="preserve"> committed spend and status of accredited applications.  Having greater </w:t>
      </w:r>
      <w:r w:rsidR="00793832" w:rsidRPr="006767C5">
        <w:rPr>
          <w:rFonts w:ascii="Open Sans" w:hAnsi="Open Sans" w:cs="Open Sans"/>
          <w:sz w:val="20"/>
          <w:szCs w:val="20"/>
        </w:rPr>
        <w:t>consistency in</w:t>
      </w:r>
      <w:r w:rsidR="00A438A1" w:rsidRPr="006767C5">
        <w:rPr>
          <w:rFonts w:ascii="Open Sans" w:hAnsi="Open Sans" w:cs="Open Sans"/>
          <w:sz w:val="20"/>
          <w:szCs w:val="20"/>
        </w:rPr>
        <w:t xml:space="preserve"> data collection and </w:t>
      </w:r>
      <w:r w:rsidR="00182AD8" w:rsidRPr="006767C5">
        <w:rPr>
          <w:rFonts w:ascii="Open Sans" w:hAnsi="Open Sans" w:cs="Open Sans"/>
          <w:sz w:val="20"/>
          <w:szCs w:val="20"/>
        </w:rPr>
        <w:t>analysis</w:t>
      </w:r>
      <w:r w:rsidR="00A438A1" w:rsidRPr="006767C5">
        <w:rPr>
          <w:rFonts w:ascii="Open Sans" w:hAnsi="Open Sans" w:cs="Open Sans"/>
          <w:sz w:val="20"/>
          <w:szCs w:val="20"/>
        </w:rPr>
        <w:t xml:space="preserve"> between the policy maker and regulator would also help Government have </w:t>
      </w:r>
      <w:r w:rsidR="00182AD8" w:rsidRPr="006767C5">
        <w:rPr>
          <w:rFonts w:ascii="Open Sans" w:hAnsi="Open Sans" w:cs="Open Sans"/>
          <w:sz w:val="20"/>
          <w:szCs w:val="20"/>
        </w:rPr>
        <w:t>clearer</w:t>
      </w:r>
      <w:r w:rsidR="00A438A1" w:rsidRPr="006767C5">
        <w:rPr>
          <w:rFonts w:ascii="Open Sans" w:hAnsi="Open Sans" w:cs="Open Sans"/>
          <w:sz w:val="20"/>
          <w:szCs w:val="20"/>
        </w:rPr>
        <w:t xml:space="preserve"> </w:t>
      </w:r>
      <w:r w:rsidR="00793832" w:rsidRPr="006767C5">
        <w:rPr>
          <w:rFonts w:ascii="Open Sans" w:hAnsi="Open Sans" w:cs="Open Sans"/>
          <w:sz w:val="20"/>
          <w:szCs w:val="20"/>
        </w:rPr>
        <w:t>information on</w:t>
      </w:r>
      <w:r w:rsidR="00A438A1" w:rsidRPr="006767C5">
        <w:rPr>
          <w:rFonts w:ascii="Open Sans" w:hAnsi="Open Sans" w:cs="Open Sans"/>
          <w:sz w:val="20"/>
          <w:szCs w:val="20"/>
        </w:rPr>
        <w:t xml:space="preserve"> sustainability issues. </w:t>
      </w:r>
    </w:p>
    <w:p w14:paraId="1F3FD65E" w14:textId="61D06B69" w:rsidR="006D28A4" w:rsidRDefault="006D28A4" w:rsidP="006D28A4">
      <w:pPr>
        <w:pBdr>
          <w:bottom w:val="single" w:sz="6" w:space="1" w:color="auto"/>
        </w:pBdr>
        <w:rPr>
          <w:rFonts w:ascii="Open Sans" w:hAnsi="Open Sans" w:cs="Open Sans"/>
          <w:sz w:val="20"/>
          <w:szCs w:val="20"/>
        </w:rPr>
      </w:pPr>
      <w:r w:rsidRPr="006767C5">
        <w:rPr>
          <w:rFonts w:ascii="Open Sans" w:hAnsi="Open Sans" w:cs="Open Sans"/>
          <w:sz w:val="20"/>
          <w:szCs w:val="20"/>
        </w:rPr>
        <w:t>As such</w:t>
      </w:r>
      <w:r w:rsidR="00793832" w:rsidRPr="006767C5">
        <w:rPr>
          <w:rFonts w:ascii="Open Sans" w:hAnsi="Open Sans" w:cs="Open Sans"/>
          <w:sz w:val="20"/>
          <w:szCs w:val="20"/>
        </w:rPr>
        <w:t>,</w:t>
      </w:r>
      <w:r w:rsidRPr="006767C5">
        <w:rPr>
          <w:rFonts w:ascii="Open Sans" w:hAnsi="Open Sans" w:cs="Open Sans"/>
          <w:sz w:val="20"/>
          <w:szCs w:val="20"/>
        </w:rPr>
        <w:t xml:space="preserve"> government may wish to review </w:t>
      </w:r>
      <w:r w:rsidR="00182AD8" w:rsidRPr="006767C5">
        <w:rPr>
          <w:rFonts w:ascii="Open Sans" w:hAnsi="Open Sans" w:cs="Open Sans"/>
          <w:sz w:val="20"/>
          <w:szCs w:val="20"/>
        </w:rPr>
        <w:t xml:space="preserve">both the </w:t>
      </w:r>
      <w:r w:rsidRPr="006767C5">
        <w:rPr>
          <w:rFonts w:ascii="Open Sans" w:hAnsi="Open Sans" w:cs="Open Sans"/>
          <w:sz w:val="20"/>
          <w:szCs w:val="20"/>
        </w:rPr>
        <w:t>available</w:t>
      </w:r>
      <w:r w:rsidR="00182AD8" w:rsidRPr="006767C5">
        <w:rPr>
          <w:rFonts w:ascii="Open Sans" w:hAnsi="Open Sans" w:cs="Open Sans"/>
          <w:sz w:val="20"/>
          <w:szCs w:val="20"/>
        </w:rPr>
        <w:t xml:space="preserve"> </w:t>
      </w:r>
      <w:r w:rsidR="00761EDA" w:rsidRPr="006767C5">
        <w:rPr>
          <w:rFonts w:ascii="Open Sans" w:hAnsi="Open Sans" w:cs="Open Sans"/>
          <w:sz w:val="20"/>
          <w:szCs w:val="20"/>
        </w:rPr>
        <w:t xml:space="preserve">data </w:t>
      </w:r>
      <w:r w:rsidR="00182AD8" w:rsidRPr="006767C5">
        <w:rPr>
          <w:rFonts w:ascii="Open Sans" w:hAnsi="Open Sans" w:cs="Open Sans"/>
          <w:sz w:val="20"/>
          <w:szCs w:val="20"/>
        </w:rPr>
        <w:t>from biomass participants on certification schemes, perhaps seeking further submission</w:t>
      </w:r>
      <w:r w:rsidR="00761EDA" w:rsidRPr="006767C5">
        <w:rPr>
          <w:rFonts w:ascii="Open Sans" w:hAnsi="Open Sans" w:cs="Open Sans"/>
          <w:sz w:val="20"/>
          <w:szCs w:val="20"/>
        </w:rPr>
        <w:t xml:space="preserve">s </w:t>
      </w:r>
      <w:r w:rsidR="00182AD8" w:rsidRPr="006767C5">
        <w:rPr>
          <w:rFonts w:ascii="Open Sans" w:hAnsi="Open Sans" w:cs="Open Sans"/>
          <w:sz w:val="20"/>
          <w:szCs w:val="20"/>
        </w:rPr>
        <w:t xml:space="preserve">on a </w:t>
      </w:r>
      <w:r w:rsidRPr="006767C5">
        <w:rPr>
          <w:rFonts w:ascii="Open Sans" w:hAnsi="Open Sans" w:cs="Open Sans"/>
          <w:sz w:val="20"/>
          <w:szCs w:val="20"/>
        </w:rPr>
        <w:t>voluntary basis</w:t>
      </w:r>
      <w:r w:rsidR="00182AD8" w:rsidRPr="006767C5">
        <w:rPr>
          <w:rFonts w:ascii="Open Sans" w:hAnsi="Open Sans" w:cs="Open Sans"/>
          <w:sz w:val="20"/>
          <w:szCs w:val="20"/>
        </w:rPr>
        <w:t>, as well</w:t>
      </w:r>
      <w:r w:rsidRPr="006767C5">
        <w:rPr>
          <w:rFonts w:ascii="Open Sans" w:hAnsi="Open Sans" w:cs="Open Sans"/>
          <w:sz w:val="20"/>
          <w:szCs w:val="20"/>
        </w:rPr>
        <w:t xml:space="preserve"> </w:t>
      </w:r>
      <w:r w:rsidR="00182AD8" w:rsidRPr="006767C5">
        <w:rPr>
          <w:rFonts w:ascii="Open Sans" w:hAnsi="Open Sans" w:cs="Open Sans"/>
          <w:sz w:val="20"/>
          <w:szCs w:val="20"/>
        </w:rPr>
        <w:t xml:space="preserve">as review if they are making the most of data already available to them thought the regulator or other government bodies. </w:t>
      </w:r>
    </w:p>
    <w:p w14:paraId="13B584B9" w14:textId="77777777" w:rsidR="00F52B93" w:rsidRDefault="00F52B93" w:rsidP="006D28A4">
      <w:pPr>
        <w:pBdr>
          <w:bottom w:val="single" w:sz="6" w:space="1" w:color="auto"/>
        </w:pBdr>
        <w:rPr>
          <w:rFonts w:ascii="Open Sans" w:hAnsi="Open Sans" w:cs="Open Sans"/>
          <w:sz w:val="20"/>
          <w:szCs w:val="20"/>
        </w:rPr>
      </w:pPr>
    </w:p>
    <w:p w14:paraId="266A9485" w14:textId="004D3A42" w:rsidR="00F52B93" w:rsidRDefault="00F52B93" w:rsidP="006D28A4">
      <w:pPr>
        <w:rPr>
          <w:rFonts w:ascii="Open Sans" w:hAnsi="Open Sans" w:cs="Open Sans"/>
          <w:sz w:val="20"/>
          <w:szCs w:val="20"/>
        </w:rPr>
      </w:pPr>
    </w:p>
    <w:p w14:paraId="2DC0955F" w14:textId="502F3B79" w:rsidR="000077A0" w:rsidRDefault="000077A0" w:rsidP="006D28A4">
      <w:pPr>
        <w:rPr>
          <w:rFonts w:ascii="Open Sans" w:hAnsi="Open Sans" w:cs="Open Sans"/>
          <w:sz w:val="20"/>
          <w:szCs w:val="20"/>
        </w:rPr>
      </w:pPr>
    </w:p>
    <w:p w14:paraId="3F0970A4" w14:textId="68331BB1" w:rsidR="000077A0" w:rsidRDefault="000077A0" w:rsidP="006D28A4">
      <w:pPr>
        <w:rPr>
          <w:rFonts w:ascii="Open Sans" w:hAnsi="Open Sans" w:cs="Open Sans"/>
          <w:sz w:val="20"/>
          <w:szCs w:val="20"/>
        </w:rPr>
      </w:pPr>
    </w:p>
    <w:p w14:paraId="785BB223" w14:textId="4D766BE6" w:rsidR="004C28D6" w:rsidRPr="006767C5" w:rsidRDefault="004C28D6" w:rsidP="00882FC4">
      <w:pPr>
        <w:rPr>
          <w:rFonts w:ascii="Open Sans" w:hAnsi="Open Sans" w:cs="Open Sans"/>
          <w:b/>
          <w:bCs/>
          <w:color w:val="2F5496"/>
          <w:sz w:val="20"/>
          <w:szCs w:val="20"/>
        </w:rPr>
      </w:pPr>
      <w:r w:rsidRPr="006767C5">
        <w:rPr>
          <w:rFonts w:ascii="Open Sans" w:hAnsi="Open Sans" w:cs="Open Sans"/>
          <w:b/>
          <w:bCs/>
          <w:color w:val="2F5496"/>
          <w:sz w:val="20"/>
          <w:szCs w:val="20"/>
        </w:rPr>
        <w:t>19. How do we improve global Governance to ensure biomass sustainability and what role does the UK play in achieving this?</w:t>
      </w:r>
    </w:p>
    <w:p w14:paraId="05EE2FB6" w14:textId="04302167" w:rsidR="00F52B93" w:rsidRPr="00F52B93" w:rsidRDefault="00F52B93" w:rsidP="00E527C6">
      <w:pPr>
        <w:rPr>
          <w:rFonts w:ascii="Open Sans" w:hAnsi="Open Sans" w:cs="Open Sans"/>
          <w:b/>
          <w:bCs/>
          <w:i/>
          <w:iCs/>
          <w:sz w:val="20"/>
          <w:szCs w:val="20"/>
        </w:rPr>
      </w:pPr>
      <w:r w:rsidRPr="00F52B93">
        <w:rPr>
          <w:rFonts w:ascii="Open Sans" w:hAnsi="Open Sans" w:cs="Open Sans"/>
          <w:b/>
          <w:bCs/>
          <w:i/>
          <w:iCs/>
          <w:sz w:val="20"/>
          <w:szCs w:val="20"/>
        </w:rPr>
        <w:t xml:space="preserve">Make strong international statements in support of existing </w:t>
      </w:r>
      <w:r>
        <w:rPr>
          <w:rFonts w:ascii="Open Sans" w:hAnsi="Open Sans" w:cs="Open Sans"/>
          <w:b/>
          <w:bCs/>
          <w:i/>
          <w:iCs/>
          <w:sz w:val="20"/>
          <w:szCs w:val="20"/>
        </w:rPr>
        <w:t xml:space="preserve">sustainability </w:t>
      </w:r>
      <w:r w:rsidRPr="00F52B93">
        <w:rPr>
          <w:rFonts w:ascii="Open Sans" w:hAnsi="Open Sans" w:cs="Open Sans"/>
          <w:b/>
          <w:bCs/>
          <w:i/>
          <w:iCs/>
          <w:sz w:val="20"/>
          <w:szCs w:val="20"/>
        </w:rPr>
        <w:t>governance arrangements</w:t>
      </w:r>
      <w:r>
        <w:rPr>
          <w:rFonts w:ascii="Open Sans" w:hAnsi="Open Sans" w:cs="Open Sans"/>
          <w:b/>
          <w:bCs/>
          <w:i/>
          <w:iCs/>
          <w:sz w:val="20"/>
          <w:szCs w:val="20"/>
        </w:rPr>
        <w:t xml:space="preserve"> and voluntary schemes, highlighting their </w:t>
      </w:r>
      <w:r w:rsidRPr="00F52B93">
        <w:rPr>
          <w:rFonts w:ascii="Open Sans" w:hAnsi="Open Sans" w:cs="Open Sans"/>
          <w:b/>
          <w:bCs/>
          <w:i/>
          <w:iCs/>
          <w:sz w:val="20"/>
          <w:szCs w:val="20"/>
        </w:rPr>
        <w:t>positive impact</w:t>
      </w:r>
      <w:r>
        <w:rPr>
          <w:rFonts w:ascii="Open Sans" w:hAnsi="Open Sans" w:cs="Open Sans"/>
          <w:b/>
          <w:bCs/>
          <w:i/>
          <w:iCs/>
          <w:sz w:val="20"/>
          <w:szCs w:val="20"/>
        </w:rPr>
        <w:t>.</w:t>
      </w:r>
    </w:p>
    <w:p w14:paraId="52D9D033" w14:textId="5D78FF7C" w:rsidR="00344FB0" w:rsidRPr="006767C5" w:rsidRDefault="00761EDA" w:rsidP="00E527C6">
      <w:pPr>
        <w:rPr>
          <w:rFonts w:ascii="Open Sans" w:hAnsi="Open Sans" w:cs="Open Sans"/>
          <w:sz w:val="20"/>
          <w:szCs w:val="20"/>
        </w:rPr>
      </w:pPr>
      <w:r w:rsidRPr="006767C5">
        <w:rPr>
          <w:rFonts w:ascii="Open Sans" w:hAnsi="Open Sans" w:cs="Open Sans"/>
          <w:sz w:val="20"/>
          <w:szCs w:val="20"/>
        </w:rPr>
        <w:t>The UK must maintain its current leadership position</w:t>
      </w:r>
      <w:r w:rsidR="00E26FBF" w:rsidRPr="006767C5">
        <w:rPr>
          <w:rFonts w:ascii="Open Sans" w:hAnsi="Open Sans" w:cs="Open Sans"/>
          <w:sz w:val="20"/>
          <w:szCs w:val="20"/>
        </w:rPr>
        <w:t xml:space="preserve"> </w:t>
      </w:r>
      <w:r w:rsidRPr="006767C5">
        <w:rPr>
          <w:rFonts w:ascii="Open Sans" w:hAnsi="Open Sans" w:cs="Open Sans"/>
          <w:sz w:val="20"/>
          <w:szCs w:val="20"/>
        </w:rPr>
        <w:t xml:space="preserve">by making clear and unequivocal commitments to both bioenergy use and continuing implementation of stringent sustainability governance arrangements. </w:t>
      </w:r>
    </w:p>
    <w:p w14:paraId="79D3BF2B" w14:textId="52F4EFBC" w:rsidR="00344FB0" w:rsidRPr="006767C5" w:rsidRDefault="00761EDA" w:rsidP="00E527C6">
      <w:pPr>
        <w:rPr>
          <w:rFonts w:ascii="Open Sans" w:hAnsi="Open Sans" w:cs="Open Sans"/>
          <w:sz w:val="20"/>
          <w:szCs w:val="20"/>
        </w:rPr>
      </w:pPr>
      <w:r w:rsidRPr="006767C5">
        <w:rPr>
          <w:rFonts w:ascii="Open Sans" w:hAnsi="Open Sans" w:cs="Open Sans"/>
          <w:sz w:val="20"/>
          <w:szCs w:val="20"/>
        </w:rPr>
        <w:t>In doing so</w:t>
      </w:r>
      <w:r w:rsidR="0004039B" w:rsidRPr="006767C5">
        <w:rPr>
          <w:rFonts w:ascii="Open Sans" w:hAnsi="Open Sans" w:cs="Open Sans"/>
          <w:sz w:val="20"/>
          <w:szCs w:val="20"/>
        </w:rPr>
        <w:t>,</w:t>
      </w:r>
      <w:r w:rsidRPr="006767C5">
        <w:rPr>
          <w:rFonts w:ascii="Open Sans" w:hAnsi="Open Sans" w:cs="Open Sans"/>
          <w:sz w:val="20"/>
          <w:szCs w:val="20"/>
        </w:rPr>
        <w:t xml:space="preserve"> the UK </w:t>
      </w:r>
      <w:r w:rsidR="00344FB0" w:rsidRPr="006767C5">
        <w:rPr>
          <w:rFonts w:ascii="Open Sans" w:hAnsi="Open Sans" w:cs="Open Sans"/>
          <w:sz w:val="20"/>
          <w:szCs w:val="20"/>
        </w:rPr>
        <w:t>should</w:t>
      </w:r>
      <w:r w:rsidRPr="006767C5">
        <w:rPr>
          <w:rFonts w:ascii="Open Sans" w:hAnsi="Open Sans" w:cs="Open Sans"/>
          <w:sz w:val="20"/>
          <w:szCs w:val="20"/>
        </w:rPr>
        <w:t xml:space="preserve"> continue to engage with</w:t>
      </w:r>
      <w:r w:rsidR="00E26FBF" w:rsidRPr="006767C5">
        <w:rPr>
          <w:rFonts w:ascii="Open Sans" w:hAnsi="Open Sans" w:cs="Open Sans"/>
          <w:sz w:val="20"/>
          <w:szCs w:val="20"/>
        </w:rPr>
        <w:t>,</w:t>
      </w:r>
      <w:r w:rsidRPr="006767C5">
        <w:rPr>
          <w:rFonts w:ascii="Open Sans" w:hAnsi="Open Sans" w:cs="Open Sans"/>
          <w:sz w:val="20"/>
          <w:szCs w:val="20"/>
        </w:rPr>
        <w:t xml:space="preserve"> and inform</w:t>
      </w:r>
      <w:r w:rsidR="00E26FBF" w:rsidRPr="006767C5">
        <w:rPr>
          <w:rFonts w:ascii="Open Sans" w:hAnsi="Open Sans" w:cs="Open Sans"/>
          <w:sz w:val="20"/>
          <w:szCs w:val="20"/>
        </w:rPr>
        <w:t>,</w:t>
      </w:r>
      <w:r w:rsidRPr="006767C5">
        <w:rPr>
          <w:rFonts w:ascii="Open Sans" w:hAnsi="Open Sans" w:cs="Open Sans"/>
          <w:sz w:val="20"/>
          <w:szCs w:val="20"/>
        </w:rPr>
        <w:t xml:space="preserve"> international</w:t>
      </w:r>
      <w:r w:rsidR="00E109E4" w:rsidRPr="006767C5">
        <w:rPr>
          <w:rFonts w:ascii="Open Sans" w:hAnsi="Open Sans" w:cs="Open Sans"/>
          <w:sz w:val="20"/>
          <w:szCs w:val="20"/>
        </w:rPr>
        <w:t xml:space="preserve"> governance arrangements, such as </w:t>
      </w:r>
      <w:r w:rsidR="00E26FBF" w:rsidRPr="006767C5">
        <w:rPr>
          <w:rFonts w:ascii="Open Sans" w:hAnsi="Open Sans" w:cs="Open Sans"/>
          <w:sz w:val="20"/>
          <w:szCs w:val="20"/>
        </w:rPr>
        <w:t xml:space="preserve">continuing to retain alignment with </w:t>
      </w:r>
      <w:r w:rsidR="00E109E4" w:rsidRPr="006767C5">
        <w:rPr>
          <w:rFonts w:ascii="Open Sans" w:hAnsi="Open Sans" w:cs="Open Sans"/>
          <w:sz w:val="20"/>
          <w:szCs w:val="20"/>
        </w:rPr>
        <w:t>RED II sustainability requirements</w:t>
      </w:r>
      <w:r w:rsidR="00E26FBF" w:rsidRPr="006767C5">
        <w:rPr>
          <w:rFonts w:ascii="Open Sans" w:hAnsi="Open Sans" w:cs="Open Sans"/>
          <w:sz w:val="20"/>
          <w:szCs w:val="20"/>
        </w:rPr>
        <w:t xml:space="preserve"> where appropriate</w:t>
      </w:r>
      <w:r w:rsidR="00E109E4" w:rsidRPr="006767C5">
        <w:rPr>
          <w:rFonts w:ascii="Open Sans" w:hAnsi="Open Sans" w:cs="Open Sans"/>
          <w:sz w:val="20"/>
          <w:szCs w:val="20"/>
        </w:rPr>
        <w:t>.</w:t>
      </w:r>
      <w:r w:rsidR="00344FB0" w:rsidRPr="006767C5">
        <w:rPr>
          <w:rFonts w:ascii="Open Sans" w:hAnsi="Open Sans" w:cs="Open Sans"/>
          <w:sz w:val="20"/>
          <w:szCs w:val="20"/>
        </w:rPr>
        <w:t xml:space="preserve">  In addition, UK government should seek out best case practice from </w:t>
      </w:r>
      <w:r w:rsidR="00E26FBF" w:rsidRPr="006767C5">
        <w:rPr>
          <w:rFonts w:ascii="Open Sans" w:hAnsi="Open Sans" w:cs="Open Sans"/>
          <w:sz w:val="20"/>
          <w:szCs w:val="20"/>
        </w:rPr>
        <w:t>elsewhere</w:t>
      </w:r>
      <w:r w:rsidR="00344FB0" w:rsidRPr="006767C5">
        <w:rPr>
          <w:rFonts w:ascii="Open Sans" w:hAnsi="Open Sans" w:cs="Open Sans"/>
          <w:sz w:val="20"/>
          <w:szCs w:val="20"/>
        </w:rPr>
        <w:t xml:space="preserve"> and remain up-to speed with new academic science-based evidence arising from studies conducted in areas where biomass is being sourced</w:t>
      </w:r>
      <w:r w:rsidR="0004039B" w:rsidRPr="006767C5">
        <w:rPr>
          <w:rFonts w:ascii="Open Sans" w:hAnsi="Open Sans" w:cs="Open Sans"/>
          <w:sz w:val="20"/>
          <w:szCs w:val="20"/>
        </w:rPr>
        <w:t xml:space="preserve">. </w:t>
      </w:r>
    </w:p>
    <w:p w14:paraId="6900343A" w14:textId="0CB33436" w:rsidR="00E109E4" w:rsidRDefault="00E109E4" w:rsidP="00E527C6">
      <w:pPr>
        <w:rPr>
          <w:rFonts w:ascii="Open Sans" w:hAnsi="Open Sans" w:cs="Open Sans"/>
          <w:sz w:val="20"/>
          <w:szCs w:val="20"/>
        </w:rPr>
      </w:pPr>
      <w:r w:rsidRPr="006767C5">
        <w:rPr>
          <w:rFonts w:ascii="Open Sans" w:hAnsi="Open Sans" w:cs="Open Sans"/>
          <w:sz w:val="20"/>
          <w:szCs w:val="20"/>
        </w:rPr>
        <w:t>The UK’s endorsement of voluntary certification schemes, such as the SBP</w:t>
      </w:r>
      <w:r w:rsidR="0004039B" w:rsidRPr="006767C5">
        <w:rPr>
          <w:rFonts w:ascii="Open Sans" w:hAnsi="Open Sans" w:cs="Open Sans"/>
          <w:sz w:val="20"/>
          <w:szCs w:val="20"/>
        </w:rPr>
        <w:t xml:space="preserve"> and RSB</w:t>
      </w:r>
      <w:r w:rsidRPr="006767C5">
        <w:rPr>
          <w:rFonts w:ascii="Open Sans" w:hAnsi="Open Sans" w:cs="Open Sans"/>
          <w:sz w:val="20"/>
          <w:szCs w:val="20"/>
        </w:rPr>
        <w:t>, also helps ensure that these continue to have global recognition and authority across international supply chains. These</w:t>
      </w:r>
      <w:r w:rsidR="00344FB0" w:rsidRPr="006767C5">
        <w:rPr>
          <w:rFonts w:ascii="Open Sans" w:hAnsi="Open Sans" w:cs="Open Sans"/>
          <w:sz w:val="20"/>
          <w:szCs w:val="20"/>
        </w:rPr>
        <w:t>,</w:t>
      </w:r>
      <w:r w:rsidRPr="006767C5">
        <w:rPr>
          <w:rFonts w:ascii="Open Sans" w:hAnsi="Open Sans" w:cs="Open Sans"/>
          <w:sz w:val="20"/>
          <w:szCs w:val="20"/>
        </w:rPr>
        <w:t xml:space="preserve"> therefore</w:t>
      </w:r>
      <w:r w:rsidR="00344FB0" w:rsidRPr="006767C5">
        <w:rPr>
          <w:rFonts w:ascii="Open Sans" w:hAnsi="Open Sans" w:cs="Open Sans"/>
          <w:sz w:val="20"/>
          <w:szCs w:val="20"/>
        </w:rPr>
        <w:t>,</w:t>
      </w:r>
      <w:r w:rsidRPr="006767C5">
        <w:rPr>
          <w:rFonts w:ascii="Open Sans" w:hAnsi="Open Sans" w:cs="Open Sans"/>
          <w:sz w:val="20"/>
          <w:szCs w:val="20"/>
        </w:rPr>
        <w:t xml:space="preserve"> become the definition for what ‘good biomass’ is, enabling international companies to exceed the requirements of</w:t>
      </w:r>
      <w:r w:rsidR="002241FE" w:rsidRPr="006767C5">
        <w:rPr>
          <w:rFonts w:ascii="Open Sans" w:hAnsi="Open Sans" w:cs="Open Sans"/>
          <w:sz w:val="20"/>
          <w:szCs w:val="20"/>
        </w:rPr>
        <w:t xml:space="preserve"> any one</w:t>
      </w:r>
      <w:r w:rsidRPr="006767C5">
        <w:rPr>
          <w:rFonts w:ascii="Open Sans" w:hAnsi="Open Sans" w:cs="Open Sans"/>
          <w:sz w:val="20"/>
          <w:szCs w:val="20"/>
        </w:rPr>
        <w:t xml:space="preserve"> national legislation and thereby raise standards across the globe. </w:t>
      </w:r>
    </w:p>
    <w:p w14:paraId="1B958959" w14:textId="77777777" w:rsidR="00F52B93" w:rsidRPr="006767C5" w:rsidRDefault="00F52B93" w:rsidP="00F52B93">
      <w:pPr>
        <w:rPr>
          <w:rFonts w:ascii="Open Sans" w:hAnsi="Open Sans" w:cs="Open Sans"/>
          <w:sz w:val="20"/>
          <w:szCs w:val="20"/>
        </w:rPr>
      </w:pPr>
      <w:r w:rsidRPr="006767C5">
        <w:rPr>
          <w:rFonts w:ascii="Open Sans" w:hAnsi="Open Sans" w:cs="Open Sans"/>
          <w:sz w:val="20"/>
          <w:szCs w:val="20"/>
        </w:rPr>
        <w:t xml:space="preserve">The UK should use opportunities like COP 26 in Glasgow to demonstrate the strength and effectiveness of existing sustainability governance arrangements, showcasing the environmental, social, and economic benefits that have been achieved both within the UK and internationally through biomass supply chains. This should lead to discussions on further global collaboration on bioenergy innovation.  UK based companies are ready to contribute to these efforts as well as provide advice and expertise to other nations or businesses undergoing similar transition pathways. </w:t>
      </w:r>
    </w:p>
    <w:p w14:paraId="2288FBAA" w14:textId="4907CF76" w:rsidR="00F52B93" w:rsidRPr="00F52B93" w:rsidRDefault="00F52B93" w:rsidP="00E109E4">
      <w:pPr>
        <w:rPr>
          <w:rFonts w:ascii="Open Sans" w:hAnsi="Open Sans" w:cs="Open Sans"/>
          <w:b/>
          <w:bCs/>
          <w:i/>
          <w:iCs/>
          <w:sz w:val="20"/>
          <w:szCs w:val="20"/>
        </w:rPr>
      </w:pPr>
      <w:r w:rsidRPr="00F52B93">
        <w:rPr>
          <w:rFonts w:ascii="Open Sans" w:hAnsi="Open Sans" w:cs="Open Sans"/>
          <w:b/>
          <w:bCs/>
          <w:i/>
          <w:iCs/>
          <w:sz w:val="20"/>
          <w:szCs w:val="20"/>
        </w:rPr>
        <w:t xml:space="preserve">Maintain a principle and regional based approach to </w:t>
      </w:r>
      <w:r>
        <w:rPr>
          <w:rFonts w:ascii="Open Sans" w:hAnsi="Open Sans" w:cs="Open Sans"/>
          <w:b/>
          <w:bCs/>
          <w:i/>
          <w:iCs/>
          <w:sz w:val="20"/>
          <w:szCs w:val="20"/>
        </w:rPr>
        <w:t xml:space="preserve">sustainability </w:t>
      </w:r>
      <w:r w:rsidRPr="00F52B93">
        <w:rPr>
          <w:rFonts w:ascii="Open Sans" w:hAnsi="Open Sans" w:cs="Open Sans"/>
          <w:b/>
          <w:bCs/>
          <w:i/>
          <w:iCs/>
          <w:sz w:val="20"/>
          <w:szCs w:val="20"/>
        </w:rPr>
        <w:t xml:space="preserve">governance </w:t>
      </w:r>
      <w:proofErr w:type="gramStart"/>
      <w:r>
        <w:rPr>
          <w:rFonts w:ascii="Open Sans" w:hAnsi="Open Sans" w:cs="Open Sans"/>
          <w:b/>
          <w:bCs/>
          <w:i/>
          <w:iCs/>
          <w:sz w:val="20"/>
          <w:szCs w:val="20"/>
        </w:rPr>
        <w:t>criteria</w:t>
      </w:r>
      <w:proofErr w:type="gramEnd"/>
    </w:p>
    <w:p w14:paraId="56098191" w14:textId="12AB3D38" w:rsidR="00344FB0" w:rsidRDefault="00E109E4" w:rsidP="00E109E4">
      <w:pPr>
        <w:pBdr>
          <w:bottom w:val="single" w:sz="6" w:space="1" w:color="auto"/>
        </w:pBdr>
        <w:rPr>
          <w:rFonts w:ascii="Open Sans" w:hAnsi="Open Sans" w:cs="Open Sans"/>
          <w:sz w:val="20"/>
          <w:szCs w:val="20"/>
        </w:rPr>
      </w:pPr>
      <w:r w:rsidRPr="006767C5">
        <w:rPr>
          <w:rFonts w:ascii="Open Sans" w:hAnsi="Open Sans" w:cs="Open Sans"/>
          <w:sz w:val="20"/>
          <w:szCs w:val="20"/>
        </w:rPr>
        <w:t xml:space="preserve">Equally the UK should maintain its principle and regional-based approach to sustainability governance, avoiding blunt criteria which could fail to recognise regional differences. For example, placing restrictions on feedstocks (type, diameter) could undermine the ability for the </w:t>
      </w:r>
      <w:r w:rsidR="0004039B" w:rsidRPr="006767C5">
        <w:rPr>
          <w:rFonts w:ascii="Open Sans" w:hAnsi="Open Sans" w:cs="Open Sans"/>
          <w:sz w:val="20"/>
          <w:szCs w:val="20"/>
        </w:rPr>
        <w:t>regional markets</w:t>
      </w:r>
      <w:r w:rsidRPr="006767C5">
        <w:rPr>
          <w:rFonts w:ascii="Open Sans" w:hAnsi="Open Sans" w:cs="Open Sans"/>
          <w:sz w:val="20"/>
          <w:szCs w:val="20"/>
        </w:rPr>
        <w:t xml:space="preserve"> to set the price for the lowest value forestry material</w:t>
      </w:r>
      <w:r w:rsidR="0004039B" w:rsidRPr="006767C5">
        <w:rPr>
          <w:rFonts w:ascii="Open Sans" w:hAnsi="Open Sans" w:cs="Open Sans"/>
          <w:sz w:val="20"/>
          <w:szCs w:val="20"/>
        </w:rPr>
        <w:t xml:space="preserve"> undermining </w:t>
      </w:r>
      <w:r w:rsidRPr="006767C5">
        <w:rPr>
          <w:rFonts w:ascii="Open Sans" w:hAnsi="Open Sans" w:cs="Open Sans"/>
          <w:sz w:val="20"/>
          <w:szCs w:val="20"/>
        </w:rPr>
        <w:t>good forest management. Blunt restrictions could result in negative land conversions</w:t>
      </w:r>
      <w:r w:rsidR="00344FB0" w:rsidRPr="006767C5">
        <w:rPr>
          <w:rFonts w:ascii="Open Sans" w:hAnsi="Open Sans" w:cs="Open Sans"/>
          <w:sz w:val="20"/>
          <w:szCs w:val="20"/>
        </w:rPr>
        <w:t xml:space="preserve"> depending on regional requirements. </w:t>
      </w:r>
    </w:p>
    <w:p w14:paraId="4E5859C5" w14:textId="77777777" w:rsidR="00F52B93" w:rsidRPr="006767C5" w:rsidRDefault="00F52B93" w:rsidP="00E109E4">
      <w:pPr>
        <w:pBdr>
          <w:bottom w:val="single" w:sz="6" w:space="1" w:color="auto"/>
        </w:pBdr>
        <w:rPr>
          <w:rFonts w:ascii="Open Sans" w:hAnsi="Open Sans" w:cs="Open Sans"/>
          <w:sz w:val="20"/>
          <w:szCs w:val="20"/>
        </w:rPr>
      </w:pPr>
    </w:p>
    <w:p w14:paraId="0CD6354F" w14:textId="33A53682" w:rsidR="004C28D6" w:rsidRPr="006767C5" w:rsidRDefault="004C28D6" w:rsidP="00882FC4">
      <w:pPr>
        <w:rPr>
          <w:rFonts w:ascii="Open Sans" w:hAnsi="Open Sans" w:cs="Open Sans"/>
          <w:b/>
          <w:bCs/>
          <w:color w:val="2F5496"/>
          <w:sz w:val="20"/>
          <w:szCs w:val="20"/>
        </w:rPr>
      </w:pPr>
      <w:r w:rsidRPr="006767C5">
        <w:rPr>
          <w:rFonts w:ascii="Open Sans" w:hAnsi="Open Sans" w:cs="Open Sans"/>
          <w:b/>
          <w:bCs/>
          <w:color w:val="2F5496"/>
          <w:sz w:val="20"/>
          <w:szCs w:val="20"/>
        </w:rPr>
        <w:br/>
        <w:t>20. How should the full life cycle emissions of biomass be reflected in carbon pricing, UKETS, and within our reporting standards?</w:t>
      </w:r>
    </w:p>
    <w:p w14:paraId="70C17A63" w14:textId="696ED757" w:rsidR="00644907" w:rsidRPr="006767C5" w:rsidRDefault="00644907" w:rsidP="008C0168">
      <w:pPr>
        <w:tabs>
          <w:tab w:val="left" w:pos="3096"/>
        </w:tabs>
        <w:rPr>
          <w:rFonts w:ascii="Open Sans" w:hAnsi="Open Sans" w:cs="Open Sans"/>
          <w:b/>
          <w:bCs/>
          <w:i/>
          <w:iCs/>
          <w:sz w:val="20"/>
          <w:szCs w:val="20"/>
        </w:rPr>
      </w:pPr>
      <w:r w:rsidRPr="006767C5">
        <w:rPr>
          <w:rFonts w:ascii="Open Sans" w:hAnsi="Open Sans" w:cs="Open Sans"/>
          <w:b/>
          <w:bCs/>
          <w:i/>
          <w:iCs/>
          <w:sz w:val="20"/>
          <w:szCs w:val="20"/>
        </w:rPr>
        <w:t xml:space="preserve">Consistency between the EU ETS and UK ETS should be </w:t>
      </w:r>
      <w:r w:rsidR="002241FE" w:rsidRPr="006767C5">
        <w:rPr>
          <w:rFonts w:ascii="Open Sans" w:hAnsi="Open Sans" w:cs="Open Sans"/>
          <w:b/>
          <w:bCs/>
          <w:i/>
          <w:iCs/>
          <w:sz w:val="20"/>
          <w:szCs w:val="20"/>
        </w:rPr>
        <w:t>maintained.</w:t>
      </w:r>
    </w:p>
    <w:p w14:paraId="49C63286" w14:textId="55613C20" w:rsidR="00DE3C02" w:rsidRPr="006767C5" w:rsidRDefault="002A6CCA" w:rsidP="008C0168">
      <w:pPr>
        <w:tabs>
          <w:tab w:val="left" w:pos="3096"/>
        </w:tabs>
        <w:rPr>
          <w:rFonts w:ascii="Open Sans" w:hAnsi="Open Sans" w:cs="Open Sans"/>
          <w:sz w:val="20"/>
          <w:szCs w:val="20"/>
        </w:rPr>
      </w:pPr>
      <w:r w:rsidRPr="006767C5">
        <w:rPr>
          <w:rFonts w:ascii="Open Sans" w:hAnsi="Open Sans" w:cs="Open Sans"/>
          <w:sz w:val="20"/>
          <w:szCs w:val="20"/>
        </w:rPr>
        <w:t>As is the case in the EU ETS, biomass should continue to be zero rated</w:t>
      </w:r>
      <w:r w:rsidR="002241FE" w:rsidRPr="006767C5">
        <w:rPr>
          <w:rFonts w:ascii="Open Sans" w:hAnsi="Open Sans" w:cs="Open Sans"/>
          <w:sz w:val="20"/>
          <w:szCs w:val="20"/>
        </w:rPr>
        <w:t xml:space="preserve"> in the UK ETS</w:t>
      </w:r>
      <w:r w:rsidRPr="006767C5">
        <w:rPr>
          <w:rFonts w:ascii="Open Sans" w:hAnsi="Open Sans" w:cs="Open Sans"/>
          <w:sz w:val="20"/>
          <w:szCs w:val="20"/>
        </w:rPr>
        <w:t xml:space="preserve"> given its carbon neutral designation and its strategic role in decarbonisation. Similarly, energy from waste should maintain its current exemption given the role it plays in sanitation and</w:t>
      </w:r>
      <w:r w:rsidR="00DE3C02" w:rsidRPr="006767C5">
        <w:rPr>
          <w:rFonts w:ascii="Open Sans" w:hAnsi="Open Sans" w:cs="Open Sans"/>
          <w:sz w:val="20"/>
          <w:szCs w:val="20"/>
        </w:rPr>
        <w:t xml:space="preserve"> saving</w:t>
      </w:r>
      <w:r w:rsidRPr="006767C5">
        <w:rPr>
          <w:rFonts w:ascii="Open Sans" w:hAnsi="Open Sans" w:cs="Open Sans"/>
          <w:sz w:val="20"/>
          <w:szCs w:val="20"/>
        </w:rPr>
        <w:t xml:space="preserve"> emissions from landfill. </w:t>
      </w:r>
    </w:p>
    <w:p w14:paraId="11827D5F" w14:textId="516669C5" w:rsidR="002C6DEA" w:rsidRPr="006767C5" w:rsidRDefault="00DE3C02" w:rsidP="008C0168">
      <w:pPr>
        <w:tabs>
          <w:tab w:val="left" w:pos="3096"/>
        </w:tabs>
        <w:rPr>
          <w:rFonts w:ascii="Open Sans" w:hAnsi="Open Sans" w:cs="Open Sans"/>
          <w:sz w:val="20"/>
          <w:szCs w:val="20"/>
        </w:rPr>
      </w:pPr>
      <w:r w:rsidRPr="006767C5">
        <w:rPr>
          <w:rFonts w:ascii="Open Sans" w:hAnsi="Open Sans" w:cs="Open Sans"/>
          <w:sz w:val="20"/>
          <w:szCs w:val="20"/>
        </w:rPr>
        <w:t xml:space="preserve">Consistency of approach will be required if the UK ETS and EU ETS </w:t>
      </w:r>
      <w:r w:rsidR="00CC68F8" w:rsidRPr="006767C5">
        <w:rPr>
          <w:rFonts w:ascii="Open Sans" w:hAnsi="Open Sans" w:cs="Open Sans"/>
          <w:sz w:val="20"/>
          <w:szCs w:val="20"/>
        </w:rPr>
        <w:t>are</w:t>
      </w:r>
      <w:r w:rsidRPr="006767C5">
        <w:rPr>
          <w:rFonts w:ascii="Open Sans" w:hAnsi="Open Sans" w:cs="Open Sans"/>
          <w:sz w:val="20"/>
          <w:szCs w:val="20"/>
        </w:rPr>
        <w:t xml:space="preserve"> to be linked, which should remain the objective of both parties to deliver advantages in terms of market liquidity, price discovery and potential to attract abatement from across Europe, rather than just the UK. This also remains </w:t>
      </w:r>
      <w:r w:rsidR="00BD7CB2" w:rsidRPr="006767C5">
        <w:rPr>
          <w:rFonts w:ascii="Open Sans" w:hAnsi="Open Sans" w:cs="Open Sans"/>
          <w:sz w:val="20"/>
          <w:szCs w:val="20"/>
        </w:rPr>
        <w:t xml:space="preserve">important for the avoidance of competitive distortions between UK and EU markets, </w:t>
      </w:r>
      <w:r w:rsidRPr="006767C5">
        <w:rPr>
          <w:rFonts w:ascii="Open Sans" w:hAnsi="Open Sans" w:cs="Open Sans"/>
          <w:sz w:val="20"/>
          <w:szCs w:val="20"/>
        </w:rPr>
        <w:t xml:space="preserve">ensuring a level playing field for industry </w:t>
      </w:r>
      <w:r w:rsidR="00BD7CB2" w:rsidRPr="006767C5">
        <w:rPr>
          <w:rFonts w:ascii="Open Sans" w:hAnsi="Open Sans" w:cs="Open Sans"/>
          <w:sz w:val="20"/>
          <w:szCs w:val="20"/>
        </w:rPr>
        <w:t xml:space="preserve">and minimising the risk of carbon leakage. </w:t>
      </w:r>
      <w:r w:rsidR="00BD7CB2" w:rsidRPr="006767C5">
        <w:rPr>
          <w:rStyle w:val="FootnoteReference"/>
          <w:rFonts w:ascii="Open Sans" w:hAnsi="Open Sans" w:cs="Open Sans"/>
          <w:sz w:val="20"/>
          <w:szCs w:val="20"/>
        </w:rPr>
        <w:footnoteReference w:id="102"/>
      </w:r>
    </w:p>
    <w:p w14:paraId="0A2DEDAB" w14:textId="65004FA3" w:rsidR="00644907" w:rsidRPr="006767C5" w:rsidRDefault="00644907" w:rsidP="008C0168">
      <w:pPr>
        <w:tabs>
          <w:tab w:val="left" w:pos="3096"/>
        </w:tabs>
        <w:rPr>
          <w:rFonts w:ascii="Open Sans" w:hAnsi="Open Sans" w:cs="Open Sans"/>
          <w:b/>
          <w:bCs/>
          <w:i/>
          <w:iCs/>
          <w:sz w:val="20"/>
          <w:szCs w:val="20"/>
        </w:rPr>
      </w:pPr>
      <w:r w:rsidRPr="006767C5">
        <w:rPr>
          <w:rFonts w:ascii="Open Sans" w:hAnsi="Open Sans" w:cs="Open Sans"/>
          <w:b/>
          <w:bCs/>
          <w:i/>
          <w:iCs/>
          <w:sz w:val="20"/>
          <w:szCs w:val="20"/>
        </w:rPr>
        <w:t xml:space="preserve">There needs to be consistency with how life cycle emissions are dealt with between sectors, to avoid damaging market signals. </w:t>
      </w:r>
    </w:p>
    <w:p w14:paraId="6C5DE399" w14:textId="2910F258" w:rsidR="00BD7CB2" w:rsidRPr="006767C5" w:rsidRDefault="00BD7CB2" w:rsidP="008C0168">
      <w:pPr>
        <w:tabs>
          <w:tab w:val="left" w:pos="3096"/>
        </w:tabs>
        <w:rPr>
          <w:rFonts w:ascii="Open Sans" w:hAnsi="Open Sans" w:cs="Open Sans"/>
          <w:sz w:val="20"/>
          <w:szCs w:val="20"/>
        </w:rPr>
      </w:pPr>
      <w:r w:rsidRPr="006767C5">
        <w:rPr>
          <w:rFonts w:ascii="Open Sans" w:hAnsi="Open Sans" w:cs="Open Sans"/>
          <w:sz w:val="20"/>
          <w:szCs w:val="20"/>
        </w:rPr>
        <w:t xml:space="preserve">There also needs to be total consistency in how technologies and sectors subject to the UK ETS are treated. Inclusion of full </w:t>
      </w:r>
      <w:r w:rsidR="00CC68F8" w:rsidRPr="006767C5">
        <w:rPr>
          <w:rFonts w:ascii="Open Sans" w:hAnsi="Open Sans" w:cs="Open Sans"/>
          <w:sz w:val="20"/>
          <w:szCs w:val="20"/>
        </w:rPr>
        <w:t>biomass life cycle emissions,</w:t>
      </w:r>
      <w:r w:rsidRPr="006767C5">
        <w:rPr>
          <w:rFonts w:ascii="Open Sans" w:hAnsi="Open Sans" w:cs="Open Sans"/>
          <w:sz w:val="20"/>
          <w:szCs w:val="20"/>
        </w:rPr>
        <w:t xml:space="preserve"> but not </w:t>
      </w:r>
      <w:r w:rsidR="00CC68F8" w:rsidRPr="006767C5">
        <w:rPr>
          <w:rFonts w:ascii="Open Sans" w:hAnsi="Open Sans" w:cs="Open Sans"/>
          <w:sz w:val="20"/>
          <w:szCs w:val="20"/>
        </w:rPr>
        <w:t>life cycle emission of other fuels</w:t>
      </w:r>
      <w:r w:rsidRPr="006767C5">
        <w:rPr>
          <w:rFonts w:ascii="Open Sans" w:hAnsi="Open Sans" w:cs="Open Sans"/>
          <w:sz w:val="20"/>
          <w:szCs w:val="20"/>
        </w:rPr>
        <w:t>,</w:t>
      </w:r>
      <w:r w:rsidR="00CC68F8" w:rsidRPr="006767C5">
        <w:rPr>
          <w:rFonts w:ascii="Open Sans" w:hAnsi="Open Sans" w:cs="Open Sans"/>
          <w:sz w:val="20"/>
          <w:szCs w:val="20"/>
        </w:rPr>
        <w:t xml:space="preserve"> risks creating</w:t>
      </w:r>
      <w:r w:rsidRPr="006767C5">
        <w:rPr>
          <w:rFonts w:ascii="Open Sans" w:hAnsi="Open Sans" w:cs="Open Sans"/>
          <w:sz w:val="20"/>
          <w:szCs w:val="20"/>
        </w:rPr>
        <w:t xml:space="preserve"> market signals that favour fossil fuel use, counter to the purpose of the ETS and damaging to the UK’s net zero ambitions. </w:t>
      </w:r>
    </w:p>
    <w:p w14:paraId="59007787" w14:textId="3F62DFB5" w:rsidR="00BD7CB2" w:rsidRPr="006767C5" w:rsidRDefault="00BD7CB2" w:rsidP="008C0168">
      <w:pPr>
        <w:tabs>
          <w:tab w:val="left" w:pos="3096"/>
        </w:tabs>
        <w:rPr>
          <w:rFonts w:ascii="Open Sans" w:hAnsi="Open Sans" w:cs="Open Sans"/>
          <w:sz w:val="20"/>
          <w:szCs w:val="20"/>
        </w:rPr>
      </w:pPr>
      <w:r w:rsidRPr="006767C5">
        <w:rPr>
          <w:rFonts w:ascii="Open Sans" w:hAnsi="Open Sans" w:cs="Open Sans"/>
          <w:sz w:val="20"/>
          <w:szCs w:val="20"/>
        </w:rPr>
        <w:t xml:space="preserve">Biomass </w:t>
      </w:r>
      <w:r w:rsidR="002241FE" w:rsidRPr="006767C5">
        <w:rPr>
          <w:rFonts w:ascii="Open Sans" w:hAnsi="Open Sans" w:cs="Open Sans"/>
          <w:sz w:val="20"/>
          <w:szCs w:val="20"/>
        </w:rPr>
        <w:t>l</w:t>
      </w:r>
      <w:r w:rsidRPr="006767C5">
        <w:rPr>
          <w:rFonts w:ascii="Open Sans" w:hAnsi="Open Sans" w:cs="Open Sans"/>
          <w:sz w:val="20"/>
          <w:szCs w:val="20"/>
        </w:rPr>
        <w:t>ife cycle emissions are best regulated through sustainability governance arrangements and suitable certifications.</w:t>
      </w:r>
      <w:r w:rsidR="00644907" w:rsidRPr="006767C5">
        <w:rPr>
          <w:rFonts w:ascii="Open Sans" w:hAnsi="Open Sans" w:cs="Open Sans"/>
          <w:sz w:val="20"/>
          <w:szCs w:val="20"/>
        </w:rPr>
        <w:t xml:space="preserve"> Well established life cycle </w:t>
      </w:r>
      <w:r w:rsidR="00A07AD0" w:rsidRPr="006767C5">
        <w:rPr>
          <w:rFonts w:ascii="Open Sans" w:hAnsi="Open Sans" w:cs="Open Sans"/>
          <w:sz w:val="20"/>
          <w:szCs w:val="20"/>
        </w:rPr>
        <w:t>emissions</w:t>
      </w:r>
      <w:r w:rsidR="00644907" w:rsidRPr="006767C5">
        <w:rPr>
          <w:rFonts w:ascii="Open Sans" w:hAnsi="Open Sans" w:cs="Open Sans"/>
          <w:sz w:val="20"/>
          <w:szCs w:val="20"/>
        </w:rPr>
        <w:t xml:space="preserve"> methodologies exist for </w:t>
      </w:r>
      <w:r w:rsidR="002241FE" w:rsidRPr="006767C5">
        <w:rPr>
          <w:rFonts w:ascii="Open Sans" w:hAnsi="Open Sans" w:cs="Open Sans"/>
          <w:sz w:val="20"/>
          <w:szCs w:val="20"/>
        </w:rPr>
        <w:t>this purpose. I</w:t>
      </w:r>
      <w:r w:rsidRPr="006767C5">
        <w:rPr>
          <w:rFonts w:ascii="Open Sans" w:hAnsi="Open Sans" w:cs="Open Sans"/>
          <w:sz w:val="20"/>
          <w:szCs w:val="20"/>
        </w:rPr>
        <w:t>t may be appropriate that any UK ETS benefit receive</w:t>
      </w:r>
      <w:r w:rsidR="00CC68F8" w:rsidRPr="006767C5">
        <w:rPr>
          <w:rFonts w:ascii="Open Sans" w:hAnsi="Open Sans" w:cs="Open Sans"/>
          <w:sz w:val="20"/>
          <w:szCs w:val="20"/>
        </w:rPr>
        <w:t>d</w:t>
      </w:r>
      <w:r w:rsidRPr="006767C5">
        <w:rPr>
          <w:rFonts w:ascii="Open Sans" w:hAnsi="Open Sans" w:cs="Open Sans"/>
          <w:sz w:val="20"/>
          <w:szCs w:val="20"/>
        </w:rPr>
        <w:t xml:space="preserve"> by </w:t>
      </w:r>
      <w:r w:rsidR="00CC68F8" w:rsidRPr="006767C5">
        <w:rPr>
          <w:rFonts w:ascii="Open Sans" w:hAnsi="Open Sans" w:cs="Open Sans"/>
          <w:sz w:val="20"/>
          <w:szCs w:val="20"/>
        </w:rPr>
        <w:t xml:space="preserve">biomass </w:t>
      </w:r>
      <w:r w:rsidRPr="006767C5">
        <w:rPr>
          <w:rFonts w:ascii="Open Sans" w:hAnsi="Open Sans" w:cs="Open Sans"/>
          <w:sz w:val="20"/>
          <w:szCs w:val="20"/>
        </w:rPr>
        <w:t>be subject to compliance with the sustainability criteria</w:t>
      </w:r>
      <w:r w:rsidR="00CC68F8" w:rsidRPr="006767C5">
        <w:rPr>
          <w:rFonts w:ascii="Open Sans" w:hAnsi="Open Sans" w:cs="Open Sans"/>
          <w:sz w:val="20"/>
          <w:szCs w:val="20"/>
        </w:rPr>
        <w:t xml:space="preserve">, </w:t>
      </w:r>
      <w:r w:rsidRPr="006767C5">
        <w:rPr>
          <w:rFonts w:ascii="Open Sans" w:hAnsi="Open Sans" w:cs="Open Sans"/>
          <w:sz w:val="20"/>
          <w:szCs w:val="20"/>
        </w:rPr>
        <w:t xml:space="preserve">but not for </w:t>
      </w:r>
      <w:r w:rsidR="00CC68F8" w:rsidRPr="006767C5">
        <w:rPr>
          <w:rFonts w:ascii="Open Sans" w:hAnsi="Open Sans" w:cs="Open Sans"/>
          <w:sz w:val="20"/>
          <w:szCs w:val="20"/>
        </w:rPr>
        <w:t>life cycle emissions to be directly reflected in the UK carbon price</w:t>
      </w:r>
      <w:r w:rsidR="008F09CE" w:rsidRPr="006767C5">
        <w:rPr>
          <w:rFonts w:ascii="Open Sans" w:hAnsi="Open Sans" w:cs="Open Sans"/>
          <w:sz w:val="20"/>
          <w:szCs w:val="20"/>
        </w:rPr>
        <w:t xml:space="preserve"> itself</w:t>
      </w:r>
      <w:r w:rsidR="00CC68F8" w:rsidRPr="006767C5">
        <w:rPr>
          <w:rFonts w:ascii="Open Sans" w:hAnsi="Open Sans" w:cs="Open Sans"/>
          <w:sz w:val="20"/>
          <w:szCs w:val="20"/>
        </w:rPr>
        <w:t xml:space="preserve">. </w:t>
      </w:r>
    </w:p>
    <w:p w14:paraId="7DD381C8" w14:textId="61C66A9B" w:rsidR="00644907" w:rsidRPr="006767C5" w:rsidRDefault="00644907" w:rsidP="008C0168">
      <w:pPr>
        <w:tabs>
          <w:tab w:val="left" w:pos="3096"/>
        </w:tabs>
        <w:rPr>
          <w:rFonts w:ascii="Open Sans" w:hAnsi="Open Sans" w:cs="Open Sans"/>
          <w:b/>
          <w:bCs/>
          <w:i/>
          <w:iCs/>
          <w:sz w:val="20"/>
          <w:szCs w:val="20"/>
        </w:rPr>
      </w:pPr>
      <w:r w:rsidRPr="006767C5">
        <w:rPr>
          <w:rFonts w:ascii="Open Sans" w:hAnsi="Open Sans" w:cs="Open Sans"/>
          <w:b/>
          <w:bCs/>
          <w:i/>
          <w:iCs/>
          <w:sz w:val="20"/>
          <w:szCs w:val="20"/>
        </w:rPr>
        <w:t xml:space="preserve">Over time the carbon price should reward negative emissions from BECCS and </w:t>
      </w:r>
      <w:r w:rsidR="002241FE" w:rsidRPr="006767C5">
        <w:rPr>
          <w:rFonts w:ascii="Open Sans" w:hAnsi="Open Sans" w:cs="Open Sans"/>
          <w:b/>
          <w:bCs/>
          <w:i/>
          <w:iCs/>
          <w:sz w:val="20"/>
          <w:szCs w:val="20"/>
        </w:rPr>
        <w:t>nature-based</w:t>
      </w:r>
      <w:r w:rsidRPr="006767C5">
        <w:rPr>
          <w:rFonts w:ascii="Open Sans" w:hAnsi="Open Sans" w:cs="Open Sans"/>
          <w:b/>
          <w:bCs/>
          <w:i/>
          <w:iCs/>
          <w:sz w:val="20"/>
          <w:szCs w:val="20"/>
        </w:rPr>
        <w:t xml:space="preserve"> </w:t>
      </w:r>
      <w:r w:rsidR="002241FE" w:rsidRPr="006767C5">
        <w:rPr>
          <w:rFonts w:ascii="Open Sans" w:hAnsi="Open Sans" w:cs="Open Sans"/>
          <w:b/>
          <w:bCs/>
          <w:i/>
          <w:iCs/>
          <w:sz w:val="20"/>
          <w:szCs w:val="20"/>
        </w:rPr>
        <w:t>greenhouse</w:t>
      </w:r>
      <w:r w:rsidRPr="006767C5">
        <w:rPr>
          <w:rFonts w:ascii="Open Sans" w:hAnsi="Open Sans" w:cs="Open Sans"/>
          <w:b/>
          <w:bCs/>
          <w:i/>
          <w:iCs/>
          <w:sz w:val="20"/>
          <w:szCs w:val="20"/>
        </w:rPr>
        <w:t xml:space="preserve"> gas removal solutions.</w:t>
      </w:r>
    </w:p>
    <w:p w14:paraId="5A0EDBBC" w14:textId="6CC00C9C" w:rsidR="00CC68F8" w:rsidRDefault="008F09CE" w:rsidP="008C0168">
      <w:pPr>
        <w:pBdr>
          <w:bottom w:val="single" w:sz="6" w:space="1" w:color="auto"/>
        </w:pBdr>
        <w:tabs>
          <w:tab w:val="left" w:pos="3096"/>
        </w:tabs>
        <w:rPr>
          <w:rFonts w:ascii="Open Sans" w:hAnsi="Open Sans" w:cs="Open Sans"/>
          <w:sz w:val="20"/>
          <w:szCs w:val="20"/>
        </w:rPr>
      </w:pPr>
      <w:r w:rsidRPr="006767C5">
        <w:rPr>
          <w:rFonts w:ascii="Open Sans" w:hAnsi="Open Sans" w:cs="Open Sans"/>
          <w:sz w:val="20"/>
          <w:szCs w:val="20"/>
        </w:rPr>
        <w:t>Over time, once the negative emission sector is established, direct government support for bioenergy carbon capture and storage</w:t>
      </w:r>
      <w:r w:rsidR="00644907" w:rsidRPr="006767C5">
        <w:rPr>
          <w:rFonts w:ascii="Open Sans" w:hAnsi="Open Sans" w:cs="Open Sans"/>
          <w:sz w:val="20"/>
          <w:szCs w:val="20"/>
        </w:rPr>
        <w:t>,</w:t>
      </w:r>
      <w:r w:rsidRPr="006767C5">
        <w:rPr>
          <w:rFonts w:ascii="Open Sans" w:hAnsi="Open Sans" w:cs="Open Sans"/>
          <w:sz w:val="20"/>
          <w:szCs w:val="20"/>
        </w:rPr>
        <w:t xml:space="preserve"> or </w:t>
      </w:r>
      <w:r w:rsidR="00644907" w:rsidRPr="006767C5">
        <w:rPr>
          <w:rFonts w:ascii="Open Sans" w:hAnsi="Open Sans" w:cs="Open Sans"/>
          <w:sz w:val="20"/>
          <w:szCs w:val="20"/>
        </w:rPr>
        <w:t>nature-based</w:t>
      </w:r>
      <w:r w:rsidRPr="006767C5">
        <w:rPr>
          <w:rFonts w:ascii="Open Sans" w:hAnsi="Open Sans" w:cs="Open Sans"/>
          <w:sz w:val="20"/>
          <w:szCs w:val="20"/>
        </w:rPr>
        <w:t xml:space="preserve"> solution to GHG removal,</w:t>
      </w:r>
      <w:r w:rsidR="00A07AD0" w:rsidRPr="006767C5">
        <w:rPr>
          <w:rFonts w:ascii="Open Sans" w:hAnsi="Open Sans" w:cs="Open Sans"/>
          <w:sz w:val="20"/>
          <w:szCs w:val="20"/>
        </w:rPr>
        <w:t xml:space="preserve"> </w:t>
      </w:r>
      <w:r w:rsidRPr="006767C5">
        <w:rPr>
          <w:rFonts w:ascii="Open Sans" w:hAnsi="Open Sans" w:cs="Open Sans"/>
          <w:sz w:val="20"/>
          <w:szCs w:val="20"/>
        </w:rPr>
        <w:t>should</w:t>
      </w:r>
      <w:r w:rsidR="002241FE" w:rsidRPr="006767C5">
        <w:rPr>
          <w:rFonts w:ascii="Open Sans" w:hAnsi="Open Sans" w:cs="Open Sans"/>
          <w:sz w:val="20"/>
          <w:szCs w:val="20"/>
        </w:rPr>
        <w:t xml:space="preserve"> aim to</w:t>
      </w:r>
      <w:r w:rsidRPr="006767C5">
        <w:rPr>
          <w:rFonts w:ascii="Open Sans" w:hAnsi="Open Sans" w:cs="Open Sans"/>
          <w:sz w:val="20"/>
          <w:szCs w:val="20"/>
        </w:rPr>
        <w:t xml:space="preserve"> transition to a straight market-based </w:t>
      </w:r>
      <w:r w:rsidR="002241FE" w:rsidRPr="006767C5">
        <w:rPr>
          <w:rFonts w:ascii="Open Sans" w:hAnsi="Open Sans" w:cs="Open Sans"/>
          <w:sz w:val="20"/>
          <w:szCs w:val="20"/>
        </w:rPr>
        <w:t>mechanism</w:t>
      </w:r>
      <w:r w:rsidRPr="006767C5">
        <w:rPr>
          <w:rFonts w:ascii="Open Sans" w:hAnsi="Open Sans" w:cs="Open Sans"/>
          <w:sz w:val="20"/>
          <w:szCs w:val="20"/>
        </w:rPr>
        <w:t>. This will likely be provided through the evolution of the UK ETS, to enable ongoing revenue for negative emission production</w:t>
      </w:r>
      <w:r w:rsidR="00644907" w:rsidRPr="006767C5">
        <w:rPr>
          <w:rFonts w:ascii="Open Sans" w:hAnsi="Open Sans" w:cs="Open Sans"/>
          <w:sz w:val="20"/>
          <w:szCs w:val="20"/>
        </w:rPr>
        <w:t>.</w:t>
      </w:r>
    </w:p>
    <w:p w14:paraId="1EB0AA98" w14:textId="77777777" w:rsidR="00F52B93" w:rsidRDefault="00F52B93" w:rsidP="008C0168">
      <w:pPr>
        <w:pBdr>
          <w:bottom w:val="single" w:sz="6" w:space="1" w:color="auto"/>
        </w:pBdr>
        <w:tabs>
          <w:tab w:val="left" w:pos="3096"/>
        </w:tabs>
        <w:rPr>
          <w:rFonts w:ascii="Open Sans" w:hAnsi="Open Sans" w:cs="Open Sans"/>
          <w:sz w:val="20"/>
          <w:szCs w:val="20"/>
        </w:rPr>
      </w:pPr>
    </w:p>
    <w:p w14:paraId="102C7F50" w14:textId="6A7E39FE" w:rsidR="004C28D6" w:rsidRPr="006767C5" w:rsidRDefault="004C28D6" w:rsidP="00882FC4">
      <w:pPr>
        <w:rPr>
          <w:rFonts w:ascii="Open Sans" w:hAnsi="Open Sans" w:cs="Open Sans"/>
          <w:b/>
          <w:bCs/>
          <w:color w:val="2F5496"/>
          <w:sz w:val="20"/>
          <w:szCs w:val="20"/>
        </w:rPr>
      </w:pPr>
      <w:r w:rsidRPr="006767C5">
        <w:rPr>
          <w:rFonts w:ascii="Open Sans" w:hAnsi="Open Sans" w:cs="Open Sans"/>
          <w:b/>
          <w:bCs/>
          <w:color w:val="2F5496"/>
          <w:sz w:val="20"/>
          <w:szCs w:val="20"/>
        </w:rPr>
        <w:br/>
        <w:t>21. How should BECCS be treated for domestic and international GHG emissions accounting and reporting? What are the implications of existing reporting rules on our ability to deliver negative emissions, when for instance, land use change emissions and stored CO2 are being accounted for in different countries?</w:t>
      </w:r>
    </w:p>
    <w:p w14:paraId="30A536AE" w14:textId="48613683" w:rsidR="006267B7" w:rsidRPr="006767C5" w:rsidRDefault="00440EF9" w:rsidP="00A07AD0">
      <w:pPr>
        <w:spacing w:after="0" w:line="240" w:lineRule="auto"/>
        <w:rPr>
          <w:rFonts w:ascii="Open Sans" w:hAnsi="Open Sans" w:cs="Open Sans"/>
          <w:sz w:val="20"/>
          <w:szCs w:val="20"/>
          <w:lang w:eastAsia="en-GB"/>
        </w:rPr>
      </w:pPr>
      <w:r w:rsidRPr="006767C5">
        <w:rPr>
          <w:rFonts w:ascii="Open Sans" w:hAnsi="Open Sans" w:cs="Open Sans"/>
          <w:sz w:val="20"/>
          <w:szCs w:val="20"/>
          <w:lang w:eastAsia="en-GB"/>
        </w:rPr>
        <w:t>As has been demonstrated</w:t>
      </w:r>
      <w:r w:rsidR="006267B7" w:rsidRPr="006767C5">
        <w:rPr>
          <w:rFonts w:ascii="Open Sans" w:hAnsi="Open Sans" w:cs="Open Sans"/>
          <w:sz w:val="20"/>
          <w:szCs w:val="20"/>
          <w:lang w:eastAsia="en-GB"/>
        </w:rPr>
        <w:t>,</w:t>
      </w:r>
      <w:r w:rsidRPr="006767C5">
        <w:rPr>
          <w:rFonts w:ascii="Open Sans" w:hAnsi="Open Sans" w:cs="Open Sans"/>
          <w:sz w:val="20"/>
          <w:szCs w:val="20"/>
          <w:lang w:eastAsia="en-GB"/>
        </w:rPr>
        <w:t xml:space="preserve"> the bioenergy sector already has well established GHG methodologies and accounting procedures for </w:t>
      </w:r>
      <w:r w:rsidR="009330EE" w:rsidRPr="006767C5">
        <w:rPr>
          <w:rFonts w:ascii="Open Sans" w:hAnsi="Open Sans" w:cs="Open Sans"/>
          <w:sz w:val="20"/>
          <w:szCs w:val="20"/>
          <w:lang w:eastAsia="en-GB"/>
        </w:rPr>
        <w:t>life cycle emissions.</w:t>
      </w:r>
      <w:r w:rsidR="00EC6A3C" w:rsidRPr="006767C5">
        <w:rPr>
          <w:rFonts w:ascii="Open Sans" w:hAnsi="Open Sans" w:cs="Open Sans"/>
          <w:sz w:val="20"/>
          <w:szCs w:val="20"/>
          <w:lang w:eastAsia="en-GB"/>
        </w:rPr>
        <w:t xml:space="preserve"> </w:t>
      </w:r>
      <w:r w:rsidR="006267B7" w:rsidRPr="006767C5">
        <w:rPr>
          <w:rFonts w:ascii="Open Sans" w:hAnsi="Open Sans" w:cs="Open Sans"/>
          <w:sz w:val="20"/>
          <w:szCs w:val="20"/>
          <w:lang w:eastAsia="en-GB"/>
        </w:rPr>
        <w:t>Methodologies</w:t>
      </w:r>
      <w:r w:rsidR="00B812B1" w:rsidRPr="006767C5">
        <w:rPr>
          <w:rFonts w:ascii="Open Sans" w:hAnsi="Open Sans" w:cs="Open Sans"/>
          <w:sz w:val="20"/>
          <w:szCs w:val="20"/>
          <w:lang w:eastAsia="en-GB"/>
        </w:rPr>
        <w:t xml:space="preserve"> </w:t>
      </w:r>
      <w:r w:rsidR="006267B7" w:rsidRPr="006767C5">
        <w:rPr>
          <w:rFonts w:ascii="Open Sans" w:hAnsi="Open Sans" w:cs="Open Sans"/>
          <w:sz w:val="20"/>
          <w:szCs w:val="20"/>
          <w:lang w:eastAsia="en-GB"/>
        </w:rPr>
        <w:t>build from the</w:t>
      </w:r>
      <w:r w:rsidR="00B812B1" w:rsidRPr="006767C5">
        <w:rPr>
          <w:rFonts w:ascii="Open Sans" w:hAnsi="Open Sans" w:cs="Open Sans"/>
          <w:sz w:val="20"/>
          <w:szCs w:val="20"/>
          <w:lang w:eastAsia="en-GB"/>
        </w:rPr>
        <w:t xml:space="preserve"> 2006 IPCCC Guidelines for National Greenhouse Gas Inventories (and 2019 </w:t>
      </w:r>
      <w:r w:rsidR="006267B7" w:rsidRPr="006767C5">
        <w:rPr>
          <w:rFonts w:ascii="Open Sans" w:hAnsi="Open Sans" w:cs="Open Sans"/>
          <w:sz w:val="20"/>
          <w:szCs w:val="20"/>
          <w:lang w:eastAsia="en-GB"/>
        </w:rPr>
        <w:t>refinement</w:t>
      </w:r>
      <w:r w:rsidR="00B812B1" w:rsidRPr="006767C5">
        <w:rPr>
          <w:rFonts w:ascii="Open Sans" w:hAnsi="Open Sans" w:cs="Open Sans"/>
          <w:sz w:val="20"/>
          <w:szCs w:val="20"/>
          <w:lang w:eastAsia="en-GB"/>
        </w:rPr>
        <w:t xml:space="preserve">) which </w:t>
      </w:r>
      <w:r w:rsidR="002241FE" w:rsidRPr="006767C5">
        <w:rPr>
          <w:rFonts w:ascii="Open Sans" w:hAnsi="Open Sans" w:cs="Open Sans"/>
          <w:sz w:val="20"/>
          <w:szCs w:val="20"/>
          <w:lang w:eastAsia="en-GB"/>
        </w:rPr>
        <w:t>confirm</w:t>
      </w:r>
      <w:r w:rsidR="006267B7" w:rsidRPr="006767C5">
        <w:rPr>
          <w:rFonts w:ascii="Open Sans" w:hAnsi="Open Sans" w:cs="Open Sans"/>
          <w:sz w:val="20"/>
          <w:szCs w:val="20"/>
          <w:lang w:eastAsia="en-GB"/>
        </w:rPr>
        <w:t>:</w:t>
      </w:r>
    </w:p>
    <w:p w14:paraId="32FE2C35" w14:textId="0CA18A96" w:rsidR="006267B7" w:rsidRPr="006767C5" w:rsidRDefault="006267B7" w:rsidP="006267B7">
      <w:pPr>
        <w:pStyle w:val="ListParagraph"/>
        <w:numPr>
          <w:ilvl w:val="0"/>
          <w:numId w:val="28"/>
        </w:numPr>
        <w:spacing w:after="0" w:line="240" w:lineRule="auto"/>
        <w:rPr>
          <w:rFonts w:ascii="Open Sans" w:hAnsi="Open Sans" w:cs="Open Sans"/>
          <w:sz w:val="20"/>
          <w:szCs w:val="20"/>
          <w:lang w:eastAsia="en-GB"/>
        </w:rPr>
      </w:pPr>
      <w:r w:rsidRPr="006767C5">
        <w:rPr>
          <w:rFonts w:ascii="Open Sans" w:hAnsi="Open Sans" w:cs="Open Sans"/>
          <w:sz w:val="20"/>
          <w:szCs w:val="20"/>
          <w:lang w:eastAsia="en-GB"/>
        </w:rPr>
        <w:t xml:space="preserve">That CCS supplied with biofuels creates negative </w:t>
      </w:r>
      <w:r w:rsidR="005E78C7" w:rsidRPr="006767C5">
        <w:rPr>
          <w:rFonts w:ascii="Open Sans" w:hAnsi="Open Sans" w:cs="Open Sans"/>
          <w:sz w:val="20"/>
          <w:szCs w:val="20"/>
          <w:lang w:eastAsia="en-GB"/>
        </w:rPr>
        <w:t>emissions.</w:t>
      </w:r>
      <w:r w:rsidRPr="006767C5">
        <w:rPr>
          <w:rFonts w:ascii="Open Sans" w:hAnsi="Open Sans" w:cs="Open Sans"/>
          <w:sz w:val="20"/>
          <w:szCs w:val="20"/>
          <w:lang w:eastAsia="en-GB"/>
        </w:rPr>
        <w:t xml:space="preserve"> </w:t>
      </w:r>
    </w:p>
    <w:p w14:paraId="52336CDA" w14:textId="426F8AE2" w:rsidR="006267B7" w:rsidRPr="006767C5" w:rsidRDefault="006267B7" w:rsidP="006267B7">
      <w:pPr>
        <w:pStyle w:val="ListParagraph"/>
        <w:numPr>
          <w:ilvl w:val="0"/>
          <w:numId w:val="28"/>
        </w:numPr>
        <w:spacing w:after="0" w:line="240" w:lineRule="auto"/>
        <w:rPr>
          <w:rFonts w:ascii="Open Sans" w:hAnsi="Open Sans" w:cs="Open Sans"/>
          <w:sz w:val="20"/>
          <w:szCs w:val="20"/>
          <w:lang w:eastAsia="en-GB"/>
        </w:rPr>
      </w:pPr>
      <w:r w:rsidRPr="006767C5">
        <w:rPr>
          <w:rFonts w:ascii="Open Sans" w:hAnsi="Open Sans" w:cs="Open Sans"/>
          <w:sz w:val="20"/>
          <w:szCs w:val="20"/>
          <w:lang w:eastAsia="en-GB"/>
        </w:rPr>
        <w:t>That end-of-life emissions for biomass are accounted for within the Agriculture, Forestry and Other Lan</w:t>
      </w:r>
      <w:r w:rsidR="00AC0194" w:rsidRPr="006767C5">
        <w:rPr>
          <w:rFonts w:ascii="Open Sans" w:hAnsi="Open Sans" w:cs="Open Sans"/>
          <w:sz w:val="20"/>
          <w:szCs w:val="20"/>
          <w:lang w:eastAsia="en-GB"/>
        </w:rPr>
        <w:t>d</w:t>
      </w:r>
      <w:r w:rsidRPr="006767C5">
        <w:rPr>
          <w:rFonts w:ascii="Open Sans" w:hAnsi="Open Sans" w:cs="Open Sans"/>
          <w:sz w:val="20"/>
          <w:szCs w:val="20"/>
          <w:lang w:eastAsia="en-GB"/>
        </w:rPr>
        <w:t xml:space="preserve"> Use (AFOLU) sector. </w:t>
      </w:r>
      <w:r w:rsidR="005E78C7" w:rsidRPr="006767C5">
        <w:rPr>
          <w:rStyle w:val="FootnoteReference"/>
          <w:rFonts w:ascii="Open Sans" w:hAnsi="Open Sans" w:cs="Open Sans"/>
          <w:sz w:val="20"/>
          <w:szCs w:val="20"/>
          <w:lang w:eastAsia="en-GB"/>
        </w:rPr>
        <w:footnoteReference w:id="103"/>
      </w:r>
    </w:p>
    <w:p w14:paraId="41B48987" w14:textId="4A7C30B3" w:rsidR="006267B7" w:rsidRPr="006767C5" w:rsidRDefault="006267B7" w:rsidP="006267B7">
      <w:pPr>
        <w:spacing w:after="0" w:line="240" w:lineRule="auto"/>
        <w:rPr>
          <w:rFonts w:ascii="Open Sans" w:hAnsi="Open Sans" w:cs="Open Sans"/>
          <w:sz w:val="20"/>
          <w:szCs w:val="20"/>
          <w:lang w:eastAsia="en-GB"/>
        </w:rPr>
      </w:pPr>
    </w:p>
    <w:p w14:paraId="0A119029" w14:textId="34C8C7BA" w:rsidR="00F66C5F" w:rsidRPr="006767C5" w:rsidRDefault="006267B7" w:rsidP="00A07AD0">
      <w:pPr>
        <w:spacing w:after="0" w:line="240" w:lineRule="auto"/>
        <w:rPr>
          <w:rFonts w:ascii="Open Sans" w:hAnsi="Open Sans" w:cs="Open Sans"/>
          <w:sz w:val="20"/>
          <w:szCs w:val="20"/>
          <w:lang w:eastAsia="en-GB"/>
        </w:rPr>
      </w:pPr>
      <w:r w:rsidRPr="006767C5">
        <w:rPr>
          <w:rFonts w:ascii="Open Sans" w:hAnsi="Open Sans" w:cs="Open Sans"/>
          <w:sz w:val="20"/>
          <w:szCs w:val="20"/>
          <w:lang w:eastAsia="en-GB"/>
        </w:rPr>
        <w:t xml:space="preserve">As </w:t>
      </w:r>
      <w:r w:rsidR="00F66C5F" w:rsidRPr="006767C5">
        <w:rPr>
          <w:rFonts w:ascii="Open Sans" w:hAnsi="Open Sans" w:cs="Open Sans"/>
          <w:sz w:val="20"/>
          <w:szCs w:val="20"/>
          <w:lang w:eastAsia="en-GB"/>
        </w:rPr>
        <w:t xml:space="preserve">a result, </w:t>
      </w:r>
      <w:r w:rsidRPr="006767C5">
        <w:rPr>
          <w:rFonts w:ascii="Open Sans" w:hAnsi="Open Sans" w:cs="Open Sans"/>
          <w:sz w:val="20"/>
          <w:szCs w:val="20"/>
          <w:lang w:eastAsia="en-GB"/>
        </w:rPr>
        <w:t xml:space="preserve">existing methodologies are </w:t>
      </w:r>
      <w:r w:rsidR="00EC6A3C" w:rsidRPr="006767C5">
        <w:rPr>
          <w:rFonts w:ascii="Open Sans" w:hAnsi="Open Sans" w:cs="Open Sans"/>
          <w:sz w:val="20"/>
          <w:szCs w:val="20"/>
          <w:lang w:eastAsia="en-GB"/>
        </w:rPr>
        <w:t>already</w:t>
      </w:r>
      <w:r w:rsidRPr="006767C5">
        <w:rPr>
          <w:rFonts w:ascii="Open Sans" w:hAnsi="Open Sans" w:cs="Open Sans"/>
          <w:sz w:val="20"/>
          <w:szCs w:val="20"/>
          <w:lang w:eastAsia="en-GB"/>
        </w:rPr>
        <w:t xml:space="preserve"> able to</w:t>
      </w:r>
      <w:r w:rsidR="00EC6A3C" w:rsidRPr="006767C5">
        <w:rPr>
          <w:rFonts w:ascii="Open Sans" w:hAnsi="Open Sans" w:cs="Open Sans"/>
          <w:sz w:val="20"/>
          <w:szCs w:val="20"/>
          <w:lang w:eastAsia="en-GB"/>
        </w:rPr>
        <w:t xml:space="preserve"> take into consideration </w:t>
      </w:r>
      <w:r w:rsidRPr="006767C5">
        <w:rPr>
          <w:rFonts w:ascii="Open Sans" w:hAnsi="Open Sans" w:cs="Open Sans"/>
          <w:sz w:val="20"/>
          <w:szCs w:val="20"/>
          <w:lang w:eastAsia="en-GB"/>
        </w:rPr>
        <w:t xml:space="preserve">land use emissions and carbon stores. </w:t>
      </w:r>
      <w:r w:rsidR="00F66C5F" w:rsidRPr="006767C5">
        <w:rPr>
          <w:rFonts w:ascii="Open Sans" w:hAnsi="Open Sans" w:cs="Open Sans"/>
          <w:sz w:val="20"/>
          <w:szCs w:val="20"/>
          <w:lang w:eastAsia="en-GB"/>
        </w:rPr>
        <w:t xml:space="preserve">Such methodologies should be able to be adapted to account for negative emissions </w:t>
      </w:r>
      <w:r w:rsidR="00F6251D" w:rsidRPr="006767C5">
        <w:rPr>
          <w:rFonts w:ascii="Open Sans" w:hAnsi="Open Sans" w:cs="Open Sans"/>
          <w:sz w:val="20"/>
          <w:szCs w:val="20"/>
          <w:lang w:eastAsia="en-GB"/>
        </w:rPr>
        <w:t xml:space="preserve">from BECCS </w:t>
      </w:r>
      <w:r w:rsidR="00F66C5F" w:rsidRPr="006767C5">
        <w:rPr>
          <w:rFonts w:ascii="Open Sans" w:hAnsi="Open Sans" w:cs="Open Sans"/>
          <w:sz w:val="20"/>
          <w:szCs w:val="20"/>
          <w:lang w:eastAsia="en-GB"/>
        </w:rPr>
        <w:t>and then used to help</w:t>
      </w:r>
      <w:r w:rsidR="00F6251D" w:rsidRPr="006767C5">
        <w:rPr>
          <w:rFonts w:ascii="Open Sans" w:hAnsi="Open Sans" w:cs="Open Sans"/>
          <w:sz w:val="20"/>
          <w:szCs w:val="20"/>
          <w:lang w:eastAsia="en-GB"/>
        </w:rPr>
        <w:t xml:space="preserve"> inform </w:t>
      </w:r>
      <w:r w:rsidR="00F66C5F" w:rsidRPr="006767C5">
        <w:rPr>
          <w:rFonts w:ascii="Open Sans" w:hAnsi="Open Sans" w:cs="Open Sans"/>
          <w:sz w:val="20"/>
          <w:szCs w:val="20"/>
          <w:lang w:eastAsia="en-GB"/>
        </w:rPr>
        <w:t>the national accounting mechanism</w:t>
      </w:r>
      <w:r w:rsidR="00F6251D" w:rsidRPr="006767C5">
        <w:rPr>
          <w:rFonts w:ascii="Open Sans" w:hAnsi="Open Sans" w:cs="Open Sans"/>
          <w:sz w:val="20"/>
          <w:szCs w:val="20"/>
          <w:lang w:eastAsia="en-GB"/>
        </w:rPr>
        <w:t xml:space="preserve"> for all Green House Gas Removal </w:t>
      </w:r>
      <w:r w:rsidR="002241FE" w:rsidRPr="006767C5">
        <w:rPr>
          <w:rFonts w:ascii="Open Sans" w:hAnsi="Open Sans" w:cs="Open Sans"/>
          <w:sz w:val="20"/>
          <w:szCs w:val="20"/>
          <w:lang w:eastAsia="en-GB"/>
        </w:rPr>
        <w:t xml:space="preserve">(GGR) </w:t>
      </w:r>
      <w:r w:rsidR="00F6251D" w:rsidRPr="006767C5">
        <w:rPr>
          <w:rFonts w:ascii="Open Sans" w:hAnsi="Open Sans" w:cs="Open Sans"/>
          <w:sz w:val="20"/>
          <w:szCs w:val="20"/>
          <w:lang w:eastAsia="en-GB"/>
        </w:rPr>
        <w:t xml:space="preserve">technologies. </w:t>
      </w:r>
    </w:p>
    <w:p w14:paraId="0D00ABF8" w14:textId="77777777" w:rsidR="00F66C5F" w:rsidRPr="006767C5" w:rsidRDefault="00F66C5F" w:rsidP="00A07AD0">
      <w:pPr>
        <w:spacing w:after="0" w:line="240" w:lineRule="auto"/>
        <w:rPr>
          <w:rFonts w:ascii="Open Sans" w:hAnsi="Open Sans" w:cs="Open Sans"/>
          <w:sz w:val="20"/>
          <w:szCs w:val="20"/>
          <w:lang w:eastAsia="en-GB"/>
        </w:rPr>
      </w:pPr>
    </w:p>
    <w:p w14:paraId="71BD14B5" w14:textId="2615EE0C" w:rsidR="009330EE" w:rsidRPr="006767C5" w:rsidRDefault="00F66C5F" w:rsidP="00A07AD0">
      <w:pPr>
        <w:spacing w:after="0" w:line="240" w:lineRule="auto"/>
        <w:rPr>
          <w:rFonts w:ascii="Open Sans" w:hAnsi="Open Sans" w:cs="Open Sans"/>
          <w:sz w:val="20"/>
          <w:szCs w:val="20"/>
          <w:lang w:eastAsia="en-GB"/>
        </w:rPr>
      </w:pPr>
      <w:r w:rsidRPr="006767C5">
        <w:rPr>
          <w:rFonts w:ascii="Open Sans" w:hAnsi="Open Sans" w:cs="Open Sans"/>
          <w:sz w:val="20"/>
          <w:szCs w:val="20"/>
          <w:lang w:eastAsia="en-GB"/>
        </w:rPr>
        <w:t xml:space="preserve">It is worth noting that </w:t>
      </w:r>
      <w:r w:rsidR="00F6251D" w:rsidRPr="006767C5">
        <w:rPr>
          <w:rFonts w:ascii="Open Sans" w:hAnsi="Open Sans" w:cs="Open Sans"/>
          <w:sz w:val="20"/>
          <w:szCs w:val="20"/>
          <w:lang w:eastAsia="en-GB"/>
        </w:rPr>
        <w:t>life cycle</w:t>
      </w:r>
      <w:r w:rsidR="00EC6A3C" w:rsidRPr="006767C5">
        <w:rPr>
          <w:rFonts w:ascii="Open Sans" w:hAnsi="Open Sans" w:cs="Open Sans"/>
          <w:sz w:val="20"/>
          <w:szCs w:val="20"/>
          <w:lang w:eastAsia="en-GB"/>
        </w:rPr>
        <w:t xml:space="preserve"> methodologies</w:t>
      </w:r>
      <w:r w:rsidR="00F6251D" w:rsidRPr="006767C5">
        <w:rPr>
          <w:rFonts w:ascii="Open Sans" w:hAnsi="Open Sans" w:cs="Open Sans"/>
          <w:sz w:val="20"/>
          <w:szCs w:val="20"/>
          <w:lang w:eastAsia="en-GB"/>
        </w:rPr>
        <w:t xml:space="preserve"> are also able to account for</w:t>
      </w:r>
      <w:r w:rsidR="00EC6A3C" w:rsidRPr="006767C5">
        <w:rPr>
          <w:rFonts w:ascii="Open Sans" w:hAnsi="Open Sans" w:cs="Open Sans"/>
          <w:sz w:val="20"/>
          <w:szCs w:val="20"/>
          <w:lang w:eastAsia="en-GB"/>
        </w:rPr>
        <w:t xml:space="preserve"> </w:t>
      </w:r>
      <w:r w:rsidR="009330EE" w:rsidRPr="006767C5">
        <w:rPr>
          <w:rFonts w:ascii="Open Sans" w:hAnsi="Open Sans" w:cs="Open Sans"/>
          <w:sz w:val="20"/>
          <w:szCs w:val="20"/>
          <w:lang w:eastAsia="en-GB"/>
        </w:rPr>
        <w:t>carbon capture</w:t>
      </w:r>
      <w:r w:rsidRPr="006767C5">
        <w:rPr>
          <w:rFonts w:ascii="Open Sans" w:hAnsi="Open Sans" w:cs="Open Sans"/>
          <w:sz w:val="20"/>
          <w:szCs w:val="20"/>
          <w:lang w:eastAsia="en-GB"/>
        </w:rPr>
        <w:t xml:space="preserve"> relating to </w:t>
      </w:r>
      <w:proofErr w:type="spellStart"/>
      <w:r w:rsidR="00EC6A3C" w:rsidRPr="006767C5">
        <w:rPr>
          <w:rFonts w:ascii="Open Sans" w:hAnsi="Open Sans" w:cs="Open Sans"/>
          <w:sz w:val="20"/>
          <w:szCs w:val="20"/>
          <w:lang w:eastAsia="en-GB"/>
        </w:rPr>
        <w:t>byproducts</w:t>
      </w:r>
      <w:proofErr w:type="spellEnd"/>
      <w:r w:rsidR="00F6251D" w:rsidRPr="006767C5">
        <w:rPr>
          <w:rFonts w:ascii="Open Sans" w:hAnsi="Open Sans" w:cs="Open Sans"/>
          <w:sz w:val="20"/>
          <w:szCs w:val="20"/>
          <w:lang w:eastAsia="en-GB"/>
        </w:rPr>
        <w:t xml:space="preserve"> of bioenergy activities</w:t>
      </w:r>
      <w:r w:rsidR="00EC6A3C" w:rsidRPr="006767C5">
        <w:rPr>
          <w:rFonts w:ascii="Open Sans" w:hAnsi="Open Sans" w:cs="Open Sans"/>
          <w:sz w:val="20"/>
          <w:szCs w:val="20"/>
          <w:lang w:eastAsia="en-GB"/>
        </w:rPr>
        <w:t xml:space="preserve">, such as biochar from the </w:t>
      </w:r>
      <w:r w:rsidRPr="006767C5">
        <w:rPr>
          <w:rFonts w:ascii="Open Sans" w:hAnsi="Open Sans" w:cs="Open Sans"/>
          <w:sz w:val="20"/>
          <w:szCs w:val="20"/>
          <w:lang w:eastAsia="en-GB"/>
        </w:rPr>
        <w:t xml:space="preserve">use of biomass in advanced conversion technologies. </w:t>
      </w:r>
      <w:r w:rsidR="00F6251D" w:rsidRPr="006767C5">
        <w:rPr>
          <w:rFonts w:ascii="Open Sans" w:hAnsi="Open Sans" w:cs="Open Sans"/>
          <w:sz w:val="20"/>
          <w:szCs w:val="20"/>
          <w:lang w:eastAsia="en-GB"/>
        </w:rPr>
        <w:t xml:space="preserve"> </w:t>
      </w:r>
    </w:p>
    <w:p w14:paraId="2D74E41A" w14:textId="785F965A" w:rsidR="00F66C5F" w:rsidRPr="006767C5" w:rsidRDefault="00F66C5F" w:rsidP="00A07AD0">
      <w:pPr>
        <w:spacing w:after="0" w:line="240" w:lineRule="auto"/>
        <w:rPr>
          <w:rFonts w:ascii="Open Sans" w:hAnsi="Open Sans" w:cs="Open Sans"/>
          <w:sz w:val="20"/>
          <w:szCs w:val="20"/>
          <w:lang w:eastAsia="en-GB"/>
        </w:rPr>
      </w:pPr>
    </w:p>
    <w:p w14:paraId="061803E5" w14:textId="4466344E" w:rsidR="00F66C5F" w:rsidRPr="006767C5" w:rsidRDefault="002241FE" w:rsidP="00A07AD0">
      <w:pPr>
        <w:spacing w:after="0" w:line="240" w:lineRule="auto"/>
        <w:rPr>
          <w:rFonts w:ascii="Open Sans" w:hAnsi="Open Sans" w:cs="Open Sans"/>
          <w:sz w:val="20"/>
          <w:szCs w:val="20"/>
          <w:lang w:eastAsia="en-GB"/>
        </w:rPr>
      </w:pPr>
      <w:r w:rsidRPr="006767C5">
        <w:rPr>
          <w:rFonts w:ascii="Open Sans" w:hAnsi="Open Sans" w:cs="Open Sans"/>
          <w:sz w:val="20"/>
          <w:szCs w:val="20"/>
          <w:lang w:eastAsia="en-GB"/>
        </w:rPr>
        <w:t>Alongside</w:t>
      </w:r>
      <w:r w:rsidR="00F66C5F" w:rsidRPr="006767C5">
        <w:rPr>
          <w:rFonts w:ascii="Open Sans" w:hAnsi="Open Sans" w:cs="Open Sans"/>
          <w:sz w:val="20"/>
          <w:szCs w:val="20"/>
          <w:lang w:eastAsia="en-GB"/>
        </w:rPr>
        <w:t xml:space="preserve"> the formulisation of existing methodologies to account for </w:t>
      </w:r>
      <w:r w:rsidR="00F6251D" w:rsidRPr="006767C5">
        <w:rPr>
          <w:rFonts w:ascii="Open Sans" w:hAnsi="Open Sans" w:cs="Open Sans"/>
          <w:sz w:val="20"/>
          <w:szCs w:val="20"/>
          <w:lang w:eastAsia="en-GB"/>
        </w:rPr>
        <w:t>negative emissions, continuation of a robust sustainability framework will need to be applied to all GGR technologies to mitigate an</w:t>
      </w:r>
      <w:r w:rsidR="005E78C7" w:rsidRPr="006767C5">
        <w:rPr>
          <w:rFonts w:ascii="Open Sans" w:hAnsi="Open Sans" w:cs="Open Sans"/>
          <w:sz w:val="20"/>
          <w:szCs w:val="20"/>
          <w:lang w:eastAsia="en-GB"/>
        </w:rPr>
        <w:t>y risk of negative direct or indirect impacts on land use emissions. Where possible, technologies should be promoted where they serve to increase carbon stocks.</w:t>
      </w:r>
    </w:p>
    <w:p w14:paraId="52C9357D" w14:textId="0C15EC48" w:rsidR="005E78C7" w:rsidRPr="006767C5" w:rsidRDefault="005E78C7" w:rsidP="00A07AD0">
      <w:pPr>
        <w:spacing w:after="0" w:line="240" w:lineRule="auto"/>
        <w:rPr>
          <w:rFonts w:ascii="Open Sans" w:hAnsi="Open Sans" w:cs="Open Sans"/>
          <w:sz w:val="20"/>
          <w:szCs w:val="20"/>
          <w:lang w:eastAsia="en-GB"/>
        </w:rPr>
      </w:pPr>
    </w:p>
    <w:p w14:paraId="401640E6" w14:textId="16F04C4C" w:rsidR="005E78C7" w:rsidRPr="006767C5" w:rsidRDefault="005E78C7" w:rsidP="00A07AD0">
      <w:pPr>
        <w:spacing w:after="0" w:line="240" w:lineRule="auto"/>
        <w:rPr>
          <w:rFonts w:ascii="Open Sans" w:hAnsi="Open Sans" w:cs="Open Sans"/>
          <w:sz w:val="20"/>
          <w:szCs w:val="20"/>
          <w:lang w:eastAsia="en-GB"/>
        </w:rPr>
      </w:pPr>
      <w:r w:rsidRPr="006767C5">
        <w:rPr>
          <w:rFonts w:ascii="Open Sans" w:hAnsi="Open Sans" w:cs="Open Sans"/>
          <w:sz w:val="20"/>
          <w:szCs w:val="20"/>
          <w:lang w:eastAsia="en-GB"/>
        </w:rPr>
        <w:t xml:space="preserve">Finally, it important that accounting methodologies do not encourage the offsetting of emissions in one sector, with the negative emissions of another. Decarbonisation needs to happen simultaneously across the economy and the </w:t>
      </w:r>
      <w:r w:rsidR="002241FE" w:rsidRPr="006767C5">
        <w:rPr>
          <w:rFonts w:ascii="Open Sans" w:hAnsi="Open Sans" w:cs="Open Sans"/>
          <w:sz w:val="20"/>
          <w:szCs w:val="20"/>
          <w:lang w:eastAsia="en-GB"/>
        </w:rPr>
        <w:t xml:space="preserve">delivery of </w:t>
      </w:r>
      <w:r w:rsidRPr="006767C5">
        <w:rPr>
          <w:rFonts w:ascii="Open Sans" w:hAnsi="Open Sans" w:cs="Open Sans"/>
          <w:sz w:val="20"/>
          <w:szCs w:val="20"/>
          <w:lang w:eastAsia="en-GB"/>
        </w:rPr>
        <w:t xml:space="preserve">negative emissions in one sector, such as power, should not be used as an excuse to delay the decarbonisation of another, such as heat or transport. As such negative emissions should be promoted across all sections of the </w:t>
      </w:r>
      <w:r w:rsidR="002241FE" w:rsidRPr="006767C5">
        <w:rPr>
          <w:rFonts w:ascii="Open Sans" w:hAnsi="Open Sans" w:cs="Open Sans"/>
          <w:sz w:val="20"/>
          <w:szCs w:val="20"/>
          <w:lang w:eastAsia="en-GB"/>
        </w:rPr>
        <w:t>economy</w:t>
      </w:r>
      <w:r w:rsidRPr="006767C5">
        <w:rPr>
          <w:rFonts w:ascii="Open Sans" w:hAnsi="Open Sans" w:cs="Open Sans"/>
          <w:sz w:val="20"/>
          <w:szCs w:val="20"/>
          <w:lang w:eastAsia="en-GB"/>
        </w:rPr>
        <w:t xml:space="preserve">. </w:t>
      </w:r>
    </w:p>
    <w:p w14:paraId="18BC22FA" w14:textId="04969024" w:rsidR="005E78C7" w:rsidRDefault="005E78C7" w:rsidP="00A07AD0">
      <w:pPr>
        <w:spacing w:after="0" w:line="240" w:lineRule="auto"/>
        <w:rPr>
          <w:rFonts w:ascii="Open Sans" w:hAnsi="Open Sans" w:cs="Open Sans"/>
          <w:sz w:val="20"/>
          <w:szCs w:val="20"/>
          <w:lang w:eastAsia="en-GB"/>
        </w:rPr>
      </w:pPr>
    </w:p>
    <w:p w14:paraId="1F2454DA" w14:textId="7549173C" w:rsidR="005E78C7" w:rsidRDefault="005E78C7" w:rsidP="00A07AD0">
      <w:pPr>
        <w:spacing w:after="0" w:line="240" w:lineRule="auto"/>
        <w:rPr>
          <w:rFonts w:ascii="Open Sans" w:hAnsi="Open Sans" w:cs="Open Sans"/>
          <w:sz w:val="20"/>
          <w:szCs w:val="20"/>
          <w:lang w:eastAsia="en-GB"/>
        </w:rPr>
      </w:pPr>
    </w:p>
    <w:p w14:paraId="100D46A5" w14:textId="685BE681" w:rsidR="00EA3705" w:rsidRDefault="00EA3705" w:rsidP="00A07AD0">
      <w:pPr>
        <w:spacing w:after="0" w:line="240" w:lineRule="auto"/>
        <w:rPr>
          <w:rFonts w:ascii="Open Sans" w:hAnsi="Open Sans" w:cs="Open Sans"/>
          <w:sz w:val="20"/>
          <w:szCs w:val="20"/>
          <w:lang w:eastAsia="en-GB"/>
        </w:rPr>
      </w:pPr>
    </w:p>
    <w:p w14:paraId="28A6D668" w14:textId="237C0AB5" w:rsidR="00EA3705" w:rsidRDefault="00EA3705" w:rsidP="00A07AD0">
      <w:pPr>
        <w:spacing w:after="0" w:line="240" w:lineRule="auto"/>
        <w:rPr>
          <w:rFonts w:ascii="Open Sans" w:hAnsi="Open Sans" w:cs="Open Sans"/>
          <w:sz w:val="20"/>
          <w:szCs w:val="20"/>
          <w:lang w:eastAsia="en-GB"/>
        </w:rPr>
      </w:pPr>
    </w:p>
    <w:p w14:paraId="68B37AB2" w14:textId="52C2DBC5" w:rsidR="00EA3705" w:rsidRDefault="00EA3705" w:rsidP="00A07AD0">
      <w:pPr>
        <w:spacing w:after="0" w:line="240" w:lineRule="auto"/>
        <w:rPr>
          <w:rFonts w:ascii="Open Sans" w:hAnsi="Open Sans" w:cs="Open Sans"/>
          <w:sz w:val="20"/>
          <w:szCs w:val="20"/>
          <w:lang w:eastAsia="en-GB"/>
        </w:rPr>
      </w:pPr>
    </w:p>
    <w:p w14:paraId="1875F680" w14:textId="007E4F7D" w:rsidR="00F52B93" w:rsidRDefault="00F52B93" w:rsidP="00A07AD0">
      <w:pPr>
        <w:spacing w:after="0" w:line="240" w:lineRule="auto"/>
        <w:rPr>
          <w:rFonts w:ascii="Open Sans" w:hAnsi="Open Sans" w:cs="Open Sans"/>
          <w:sz w:val="20"/>
          <w:szCs w:val="20"/>
          <w:lang w:eastAsia="en-GB"/>
        </w:rPr>
      </w:pPr>
    </w:p>
    <w:p w14:paraId="08BC30BA" w14:textId="36A5F988" w:rsidR="00F52B93" w:rsidRDefault="00F52B93" w:rsidP="00A07AD0">
      <w:pPr>
        <w:spacing w:after="0" w:line="240" w:lineRule="auto"/>
        <w:rPr>
          <w:rFonts w:ascii="Open Sans" w:hAnsi="Open Sans" w:cs="Open Sans"/>
          <w:sz w:val="20"/>
          <w:szCs w:val="20"/>
          <w:lang w:eastAsia="en-GB"/>
        </w:rPr>
      </w:pPr>
    </w:p>
    <w:p w14:paraId="1862B0F6" w14:textId="1D2B815F" w:rsidR="00F52B93" w:rsidRDefault="00F52B93" w:rsidP="00A07AD0">
      <w:pPr>
        <w:spacing w:after="0" w:line="240" w:lineRule="auto"/>
        <w:rPr>
          <w:rFonts w:ascii="Open Sans" w:hAnsi="Open Sans" w:cs="Open Sans"/>
          <w:sz w:val="20"/>
          <w:szCs w:val="20"/>
          <w:lang w:eastAsia="en-GB"/>
        </w:rPr>
      </w:pPr>
    </w:p>
    <w:p w14:paraId="290ECF3D" w14:textId="383113B4" w:rsidR="00F52B93" w:rsidRDefault="00F52B93" w:rsidP="00A07AD0">
      <w:pPr>
        <w:spacing w:after="0" w:line="240" w:lineRule="auto"/>
        <w:rPr>
          <w:rFonts w:ascii="Open Sans" w:hAnsi="Open Sans" w:cs="Open Sans"/>
          <w:sz w:val="20"/>
          <w:szCs w:val="20"/>
          <w:lang w:eastAsia="en-GB"/>
        </w:rPr>
      </w:pPr>
    </w:p>
    <w:p w14:paraId="4DCDB13D" w14:textId="67154A9F" w:rsidR="00F52B93" w:rsidRDefault="00F52B93" w:rsidP="00A07AD0">
      <w:pPr>
        <w:spacing w:after="0" w:line="240" w:lineRule="auto"/>
        <w:rPr>
          <w:rFonts w:ascii="Open Sans" w:hAnsi="Open Sans" w:cs="Open Sans"/>
          <w:sz w:val="20"/>
          <w:szCs w:val="20"/>
          <w:lang w:eastAsia="en-GB"/>
        </w:rPr>
      </w:pPr>
    </w:p>
    <w:p w14:paraId="36DCB152" w14:textId="4B8B5E6C" w:rsidR="00F52B93" w:rsidRDefault="00F52B93" w:rsidP="00A07AD0">
      <w:pPr>
        <w:spacing w:after="0" w:line="240" w:lineRule="auto"/>
        <w:rPr>
          <w:rFonts w:ascii="Open Sans" w:hAnsi="Open Sans" w:cs="Open Sans"/>
          <w:sz w:val="20"/>
          <w:szCs w:val="20"/>
          <w:lang w:eastAsia="en-GB"/>
        </w:rPr>
      </w:pPr>
    </w:p>
    <w:p w14:paraId="3CB22196" w14:textId="18BF54DB" w:rsidR="00F52B93" w:rsidRDefault="00F52B93" w:rsidP="00A07AD0">
      <w:pPr>
        <w:spacing w:after="0" w:line="240" w:lineRule="auto"/>
        <w:rPr>
          <w:rFonts w:ascii="Open Sans" w:hAnsi="Open Sans" w:cs="Open Sans"/>
          <w:sz w:val="20"/>
          <w:szCs w:val="20"/>
          <w:lang w:eastAsia="en-GB"/>
        </w:rPr>
      </w:pPr>
    </w:p>
    <w:p w14:paraId="7F271578" w14:textId="196F9A7A" w:rsidR="00F52B93" w:rsidRDefault="00F52B93" w:rsidP="00A07AD0">
      <w:pPr>
        <w:spacing w:after="0" w:line="240" w:lineRule="auto"/>
        <w:rPr>
          <w:rFonts w:ascii="Open Sans" w:hAnsi="Open Sans" w:cs="Open Sans"/>
          <w:sz w:val="20"/>
          <w:szCs w:val="20"/>
          <w:lang w:eastAsia="en-GB"/>
        </w:rPr>
      </w:pPr>
    </w:p>
    <w:p w14:paraId="6985F3CA" w14:textId="52E6726F" w:rsidR="00F52B93" w:rsidRDefault="00F52B93" w:rsidP="00A07AD0">
      <w:pPr>
        <w:spacing w:after="0" w:line="240" w:lineRule="auto"/>
        <w:rPr>
          <w:rFonts w:ascii="Open Sans" w:hAnsi="Open Sans" w:cs="Open Sans"/>
          <w:sz w:val="20"/>
          <w:szCs w:val="20"/>
          <w:lang w:eastAsia="en-GB"/>
        </w:rPr>
      </w:pPr>
    </w:p>
    <w:p w14:paraId="6DC0F54C" w14:textId="1E8F50CF" w:rsidR="00F52B93" w:rsidRDefault="00F52B93" w:rsidP="00A07AD0">
      <w:pPr>
        <w:spacing w:after="0" w:line="240" w:lineRule="auto"/>
        <w:rPr>
          <w:rFonts w:ascii="Open Sans" w:hAnsi="Open Sans" w:cs="Open Sans"/>
          <w:sz w:val="20"/>
          <w:szCs w:val="20"/>
          <w:lang w:eastAsia="en-GB"/>
        </w:rPr>
      </w:pPr>
    </w:p>
    <w:p w14:paraId="7B1BD3C3" w14:textId="7597D360" w:rsidR="00F52B93" w:rsidRDefault="00F52B93" w:rsidP="00A07AD0">
      <w:pPr>
        <w:spacing w:after="0" w:line="240" w:lineRule="auto"/>
        <w:rPr>
          <w:rFonts w:ascii="Open Sans" w:hAnsi="Open Sans" w:cs="Open Sans"/>
          <w:sz w:val="20"/>
          <w:szCs w:val="20"/>
          <w:lang w:eastAsia="en-GB"/>
        </w:rPr>
      </w:pPr>
    </w:p>
    <w:p w14:paraId="5C950DAC" w14:textId="5D3A6CCE" w:rsidR="00F52B93" w:rsidRDefault="00F52B93" w:rsidP="00A07AD0">
      <w:pPr>
        <w:spacing w:after="0" w:line="240" w:lineRule="auto"/>
        <w:rPr>
          <w:rFonts w:ascii="Open Sans" w:hAnsi="Open Sans" w:cs="Open Sans"/>
          <w:sz w:val="20"/>
          <w:szCs w:val="20"/>
          <w:lang w:eastAsia="en-GB"/>
        </w:rPr>
      </w:pPr>
    </w:p>
    <w:p w14:paraId="256CF534" w14:textId="6007819D" w:rsidR="00F52B93" w:rsidRDefault="00F52B93" w:rsidP="00A07AD0">
      <w:pPr>
        <w:spacing w:after="0" w:line="240" w:lineRule="auto"/>
        <w:rPr>
          <w:rFonts w:ascii="Open Sans" w:hAnsi="Open Sans" w:cs="Open Sans"/>
          <w:sz w:val="20"/>
          <w:szCs w:val="20"/>
          <w:lang w:eastAsia="en-GB"/>
        </w:rPr>
      </w:pPr>
    </w:p>
    <w:p w14:paraId="1B0446F1" w14:textId="0E225C67" w:rsidR="00F52B93" w:rsidRDefault="00F52B93" w:rsidP="00A07AD0">
      <w:pPr>
        <w:spacing w:after="0" w:line="240" w:lineRule="auto"/>
        <w:rPr>
          <w:rFonts w:ascii="Open Sans" w:hAnsi="Open Sans" w:cs="Open Sans"/>
          <w:sz w:val="20"/>
          <w:szCs w:val="20"/>
          <w:lang w:eastAsia="en-GB"/>
        </w:rPr>
      </w:pPr>
    </w:p>
    <w:p w14:paraId="573F8E85" w14:textId="3C4B5983" w:rsidR="00F52B93" w:rsidRDefault="00F52B93" w:rsidP="00A07AD0">
      <w:pPr>
        <w:spacing w:after="0" w:line="240" w:lineRule="auto"/>
        <w:rPr>
          <w:rFonts w:ascii="Open Sans" w:hAnsi="Open Sans" w:cs="Open Sans"/>
          <w:sz w:val="20"/>
          <w:szCs w:val="20"/>
          <w:lang w:eastAsia="en-GB"/>
        </w:rPr>
      </w:pPr>
    </w:p>
    <w:p w14:paraId="31B5BE39" w14:textId="244F5D10" w:rsidR="00F52B93" w:rsidRDefault="00F52B93" w:rsidP="00A07AD0">
      <w:pPr>
        <w:spacing w:after="0" w:line="240" w:lineRule="auto"/>
        <w:rPr>
          <w:rFonts w:ascii="Open Sans" w:hAnsi="Open Sans" w:cs="Open Sans"/>
          <w:sz w:val="20"/>
          <w:szCs w:val="20"/>
          <w:lang w:eastAsia="en-GB"/>
        </w:rPr>
      </w:pPr>
    </w:p>
    <w:p w14:paraId="13B1E5D0" w14:textId="2ACA1C7A" w:rsidR="00F52B93" w:rsidRDefault="00F52B93" w:rsidP="00A07AD0">
      <w:pPr>
        <w:spacing w:after="0" w:line="240" w:lineRule="auto"/>
        <w:rPr>
          <w:rFonts w:ascii="Open Sans" w:hAnsi="Open Sans" w:cs="Open Sans"/>
          <w:sz w:val="20"/>
          <w:szCs w:val="20"/>
          <w:lang w:eastAsia="en-GB"/>
        </w:rPr>
      </w:pPr>
    </w:p>
    <w:p w14:paraId="26B34BD7" w14:textId="47713093" w:rsidR="00F52B93" w:rsidRDefault="00F52B93" w:rsidP="00A07AD0">
      <w:pPr>
        <w:spacing w:after="0" w:line="240" w:lineRule="auto"/>
        <w:rPr>
          <w:rFonts w:ascii="Open Sans" w:hAnsi="Open Sans" w:cs="Open Sans"/>
          <w:sz w:val="20"/>
          <w:szCs w:val="20"/>
          <w:lang w:eastAsia="en-GB"/>
        </w:rPr>
      </w:pPr>
    </w:p>
    <w:p w14:paraId="5C615D74" w14:textId="1E4B141E" w:rsidR="00F52B93" w:rsidRDefault="00F52B93" w:rsidP="00A07AD0">
      <w:pPr>
        <w:spacing w:after="0" w:line="240" w:lineRule="auto"/>
        <w:rPr>
          <w:rFonts w:ascii="Open Sans" w:hAnsi="Open Sans" w:cs="Open Sans"/>
          <w:sz w:val="20"/>
          <w:szCs w:val="20"/>
          <w:lang w:eastAsia="en-GB"/>
        </w:rPr>
      </w:pPr>
    </w:p>
    <w:p w14:paraId="414F88BB" w14:textId="233D52DD" w:rsidR="00F52B93" w:rsidRDefault="00F52B93" w:rsidP="00A07AD0">
      <w:pPr>
        <w:spacing w:after="0" w:line="240" w:lineRule="auto"/>
        <w:rPr>
          <w:rFonts w:ascii="Open Sans" w:hAnsi="Open Sans" w:cs="Open Sans"/>
          <w:sz w:val="20"/>
          <w:szCs w:val="20"/>
          <w:lang w:eastAsia="en-GB"/>
        </w:rPr>
      </w:pPr>
    </w:p>
    <w:p w14:paraId="02A0B577" w14:textId="6A5E4D27" w:rsidR="00F52B93" w:rsidRDefault="00F52B93" w:rsidP="00A07AD0">
      <w:pPr>
        <w:spacing w:after="0" w:line="240" w:lineRule="auto"/>
        <w:rPr>
          <w:rFonts w:ascii="Open Sans" w:hAnsi="Open Sans" w:cs="Open Sans"/>
          <w:sz w:val="20"/>
          <w:szCs w:val="20"/>
          <w:lang w:eastAsia="en-GB"/>
        </w:rPr>
      </w:pPr>
    </w:p>
    <w:p w14:paraId="3EC2B07B" w14:textId="4DF92AF6" w:rsidR="00F52B93" w:rsidRDefault="00F52B93" w:rsidP="00A07AD0">
      <w:pPr>
        <w:spacing w:after="0" w:line="240" w:lineRule="auto"/>
        <w:rPr>
          <w:rFonts w:ascii="Open Sans" w:hAnsi="Open Sans" w:cs="Open Sans"/>
          <w:sz w:val="20"/>
          <w:szCs w:val="20"/>
          <w:lang w:eastAsia="en-GB"/>
        </w:rPr>
      </w:pPr>
    </w:p>
    <w:p w14:paraId="6AF1F5C2" w14:textId="5F6DFDE0" w:rsidR="00F52B93" w:rsidRDefault="00F52B93" w:rsidP="00A07AD0">
      <w:pPr>
        <w:spacing w:after="0" w:line="240" w:lineRule="auto"/>
        <w:rPr>
          <w:rFonts w:ascii="Open Sans" w:hAnsi="Open Sans" w:cs="Open Sans"/>
          <w:sz w:val="20"/>
          <w:szCs w:val="20"/>
          <w:lang w:eastAsia="en-GB"/>
        </w:rPr>
      </w:pPr>
    </w:p>
    <w:p w14:paraId="19B15185" w14:textId="4291184F" w:rsidR="00F52B93" w:rsidRDefault="00F52B93" w:rsidP="00A07AD0">
      <w:pPr>
        <w:spacing w:after="0" w:line="240" w:lineRule="auto"/>
        <w:rPr>
          <w:rFonts w:ascii="Open Sans" w:hAnsi="Open Sans" w:cs="Open Sans"/>
          <w:sz w:val="20"/>
          <w:szCs w:val="20"/>
          <w:lang w:eastAsia="en-GB"/>
        </w:rPr>
      </w:pPr>
    </w:p>
    <w:p w14:paraId="535E62FE" w14:textId="6708915F" w:rsidR="00F52B93" w:rsidRDefault="00F52B93" w:rsidP="00A07AD0">
      <w:pPr>
        <w:spacing w:after="0" w:line="240" w:lineRule="auto"/>
        <w:rPr>
          <w:rFonts w:ascii="Open Sans" w:hAnsi="Open Sans" w:cs="Open Sans"/>
          <w:sz w:val="20"/>
          <w:szCs w:val="20"/>
          <w:lang w:eastAsia="en-GB"/>
        </w:rPr>
      </w:pPr>
    </w:p>
    <w:p w14:paraId="4EBDE751" w14:textId="665FE74A" w:rsidR="00F52B93" w:rsidRDefault="00F52B93" w:rsidP="00A07AD0">
      <w:pPr>
        <w:spacing w:after="0" w:line="240" w:lineRule="auto"/>
        <w:rPr>
          <w:rFonts w:ascii="Open Sans" w:hAnsi="Open Sans" w:cs="Open Sans"/>
          <w:sz w:val="20"/>
          <w:szCs w:val="20"/>
          <w:lang w:eastAsia="en-GB"/>
        </w:rPr>
      </w:pPr>
    </w:p>
    <w:p w14:paraId="0838EC0F" w14:textId="0AC4BDB0" w:rsidR="00F52B93" w:rsidRDefault="00F52B93" w:rsidP="00A07AD0">
      <w:pPr>
        <w:spacing w:after="0" w:line="240" w:lineRule="auto"/>
        <w:rPr>
          <w:rFonts w:ascii="Open Sans" w:hAnsi="Open Sans" w:cs="Open Sans"/>
          <w:sz w:val="20"/>
          <w:szCs w:val="20"/>
          <w:lang w:eastAsia="en-GB"/>
        </w:rPr>
      </w:pPr>
    </w:p>
    <w:p w14:paraId="38ADD24B" w14:textId="7F695A6A" w:rsidR="00F52B93" w:rsidRDefault="00F52B93" w:rsidP="00A07AD0">
      <w:pPr>
        <w:spacing w:after="0" w:line="240" w:lineRule="auto"/>
        <w:rPr>
          <w:rFonts w:ascii="Open Sans" w:hAnsi="Open Sans" w:cs="Open Sans"/>
          <w:sz w:val="20"/>
          <w:szCs w:val="20"/>
          <w:lang w:eastAsia="en-GB"/>
        </w:rPr>
      </w:pPr>
    </w:p>
    <w:p w14:paraId="07BE862E" w14:textId="332E34F4" w:rsidR="00F52B93" w:rsidRDefault="00F52B93" w:rsidP="00A07AD0">
      <w:pPr>
        <w:spacing w:after="0" w:line="240" w:lineRule="auto"/>
        <w:rPr>
          <w:rFonts w:ascii="Open Sans" w:hAnsi="Open Sans" w:cs="Open Sans"/>
          <w:sz w:val="20"/>
          <w:szCs w:val="20"/>
          <w:lang w:eastAsia="en-GB"/>
        </w:rPr>
      </w:pPr>
    </w:p>
    <w:p w14:paraId="3C837F7B" w14:textId="5622570D" w:rsidR="00EA3705" w:rsidRPr="00EA3705" w:rsidRDefault="00EA3705" w:rsidP="00EA3705">
      <w:pPr>
        <w:rPr>
          <w:rFonts w:ascii="Open Sans" w:hAnsi="Open Sans" w:cs="Open Sans"/>
          <w:b/>
          <w:bCs/>
          <w:color w:val="2F5496"/>
          <w:sz w:val="24"/>
          <w:szCs w:val="24"/>
          <w:u w:val="single"/>
        </w:rPr>
      </w:pPr>
      <w:r w:rsidRPr="00EA3705">
        <w:rPr>
          <w:rFonts w:ascii="Open Sans" w:hAnsi="Open Sans" w:cs="Open Sans"/>
          <w:b/>
          <w:bCs/>
          <w:color w:val="2F5496"/>
          <w:sz w:val="24"/>
          <w:szCs w:val="24"/>
          <w:u w:val="single"/>
        </w:rPr>
        <w:t>Chapter 4: Innovation</w:t>
      </w:r>
    </w:p>
    <w:p w14:paraId="1D9E55DD" w14:textId="1999C261" w:rsidR="00EA3705" w:rsidRPr="006767C5" w:rsidRDefault="00EA3705" w:rsidP="00EA3705">
      <w:pPr>
        <w:spacing w:after="0" w:line="240" w:lineRule="auto"/>
        <w:rPr>
          <w:rFonts w:ascii="Open Sans" w:hAnsi="Open Sans" w:cs="Open Sans"/>
          <w:b/>
          <w:bCs/>
          <w:color w:val="2F5496"/>
          <w:sz w:val="20"/>
          <w:szCs w:val="20"/>
          <w:lang w:eastAsia="en-GB"/>
        </w:rPr>
      </w:pPr>
      <w:r w:rsidRPr="006767C5">
        <w:rPr>
          <w:rFonts w:ascii="Open Sans" w:hAnsi="Open Sans" w:cs="Open Sans"/>
          <w:b/>
          <w:bCs/>
          <w:color w:val="2F5496"/>
          <w:sz w:val="20"/>
          <w:szCs w:val="20"/>
          <w:lang w:eastAsia="en-GB"/>
        </w:rPr>
        <w:t>22. Given the nature and diversity of the biomass feedstock supply (as referenced in Chapter 1), what specific technologies are best positioned to deliver the priority end uses (as referenced in question 9), and how might these change as we reach 2050?</w:t>
      </w:r>
    </w:p>
    <w:p w14:paraId="3AC2BF2E" w14:textId="5C2D2D89" w:rsidR="00EA3705" w:rsidRPr="006767C5" w:rsidRDefault="00EA3705" w:rsidP="00EA3705">
      <w:pPr>
        <w:spacing w:after="0" w:line="240" w:lineRule="auto"/>
        <w:rPr>
          <w:rFonts w:ascii="Open Sans" w:hAnsi="Open Sans" w:cs="Open Sans"/>
          <w:b/>
          <w:bCs/>
          <w:color w:val="2F5496"/>
          <w:sz w:val="20"/>
          <w:szCs w:val="20"/>
          <w:lang w:eastAsia="en-GB"/>
        </w:rPr>
      </w:pPr>
    </w:p>
    <w:p w14:paraId="3F16389D" w14:textId="1892A522" w:rsidR="00497395" w:rsidRPr="006767C5" w:rsidRDefault="00497395" w:rsidP="00EA3705">
      <w:pPr>
        <w:spacing w:after="0" w:line="240" w:lineRule="auto"/>
        <w:rPr>
          <w:rFonts w:ascii="Open Sans" w:hAnsi="Open Sans" w:cs="Open Sans"/>
          <w:b/>
          <w:bCs/>
          <w:i/>
          <w:iCs/>
          <w:sz w:val="20"/>
          <w:szCs w:val="20"/>
          <w:lang w:eastAsia="en-GB"/>
        </w:rPr>
      </w:pPr>
      <w:r w:rsidRPr="006767C5">
        <w:rPr>
          <w:rFonts w:ascii="Open Sans" w:hAnsi="Open Sans" w:cs="Open Sans"/>
          <w:b/>
          <w:bCs/>
          <w:i/>
          <w:iCs/>
          <w:sz w:val="20"/>
          <w:szCs w:val="20"/>
          <w:lang w:eastAsia="en-GB"/>
        </w:rPr>
        <w:t xml:space="preserve">Government should incentivise desirable outcomes across the existing bioenergy industry, rather </w:t>
      </w:r>
      <w:r w:rsidR="00ED1B06" w:rsidRPr="006767C5">
        <w:rPr>
          <w:rFonts w:ascii="Open Sans" w:hAnsi="Open Sans" w:cs="Open Sans"/>
          <w:b/>
          <w:bCs/>
          <w:i/>
          <w:iCs/>
          <w:sz w:val="20"/>
          <w:szCs w:val="20"/>
          <w:lang w:eastAsia="en-GB"/>
        </w:rPr>
        <w:t>than</w:t>
      </w:r>
      <w:r w:rsidRPr="006767C5">
        <w:rPr>
          <w:rFonts w:ascii="Open Sans" w:hAnsi="Open Sans" w:cs="Open Sans"/>
          <w:b/>
          <w:bCs/>
          <w:i/>
          <w:iCs/>
          <w:sz w:val="20"/>
          <w:szCs w:val="20"/>
          <w:lang w:eastAsia="en-GB"/>
        </w:rPr>
        <w:t xml:space="preserve"> prioritising specific technologies</w:t>
      </w:r>
      <w:r w:rsidR="00C45ED5" w:rsidRPr="006767C5">
        <w:rPr>
          <w:rFonts w:ascii="Open Sans" w:hAnsi="Open Sans" w:cs="Open Sans"/>
          <w:b/>
          <w:bCs/>
          <w:i/>
          <w:iCs/>
          <w:sz w:val="20"/>
          <w:szCs w:val="20"/>
          <w:lang w:eastAsia="en-GB"/>
        </w:rPr>
        <w:t>.</w:t>
      </w:r>
    </w:p>
    <w:p w14:paraId="13EE0C61" w14:textId="77777777" w:rsidR="00497395" w:rsidRPr="006767C5" w:rsidRDefault="00497395" w:rsidP="00EA3705">
      <w:pPr>
        <w:spacing w:after="0" w:line="240" w:lineRule="auto"/>
        <w:rPr>
          <w:rFonts w:ascii="Open Sans" w:hAnsi="Open Sans" w:cs="Open Sans"/>
          <w:sz w:val="20"/>
          <w:szCs w:val="20"/>
          <w:lang w:eastAsia="en-GB"/>
        </w:rPr>
      </w:pPr>
    </w:p>
    <w:p w14:paraId="405A457C" w14:textId="6274858F" w:rsidR="006269E3" w:rsidRPr="006767C5" w:rsidRDefault="006269E3" w:rsidP="00EA3705">
      <w:pPr>
        <w:spacing w:after="0" w:line="240" w:lineRule="auto"/>
        <w:rPr>
          <w:rFonts w:ascii="Open Sans" w:hAnsi="Open Sans" w:cs="Open Sans"/>
          <w:sz w:val="20"/>
          <w:szCs w:val="20"/>
          <w:lang w:eastAsia="en-GB"/>
        </w:rPr>
      </w:pPr>
      <w:r w:rsidRPr="006767C5">
        <w:rPr>
          <w:rFonts w:ascii="Open Sans" w:hAnsi="Open Sans" w:cs="Open Sans"/>
          <w:sz w:val="20"/>
          <w:szCs w:val="20"/>
          <w:lang w:eastAsia="en-GB"/>
        </w:rPr>
        <w:t xml:space="preserve">The REA recognises that future bioenergy </w:t>
      </w:r>
      <w:r w:rsidR="0087676B" w:rsidRPr="006767C5">
        <w:rPr>
          <w:rFonts w:ascii="Open Sans" w:hAnsi="Open Sans" w:cs="Open Sans"/>
          <w:sz w:val="20"/>
          <w:szCs w:val="20"/>
          <w:lang w:eastAsia="en-GB"/>
        </w:rPr>
        <w:t>use will change and evolve as the market responds to strategi</w:t>
      </w:r>
      <w:r w:rsidR="005B0881" w:rsidRPr="006767C5">
        <w:rPr>
          <w:rFonts w:ascii="Open Sans" w:hAnsi="Open Sans" w:cs="Open Sans"/>
          <w:sz w:val="20"/>
          <w:szCs w:val="20"/>
          <w:lang w:eastAsia="en-GB"/>
        </w:rPr>
        <w:t xml:space="preserve">c policy drivers that reward specific environmental benefits. </w:t>
      </w:r>
      <w:r w:rsidR="001701F4" w:rsidRPr="006767C5">
        <w:rPr>
          <w:rFonts w:ascii="Open Sans" w:hAnsi="Open Sans" w:cs="Open Sans"/>
          <w:sz w:val="20"/>
          <w:szCs w:val="20"/>
          <w:lang w:eastAsia="en-GB"/>
        </w:rPr>
        <w:t xml:space="preserve">As identified by the CCC within their </w:t>
      </w:r>
      <w:r w:rsidR="001701F4" w:rsidRPr="006767C5">
        <w:rPr>
          <w:rStyle w:val="wixguard"/>
          <w:rFonts w:ascii="Open Sans" w:hAnsi="Open Sans" w:cs="Open Sans"/>
          <w:sz w:val="20"/>
          <w:szCs w:val="20"/>
          <w:bdr w:val="none" w:sz="0" w:space="0" w:color="auto" w:frame="1"/>
        </w:rPr>
        <w:t>‘hierarchy of best use for sustainable biomass resources</w:t>
      </w:r>
      <w:r w:rsidR="001701F4" w:rsidRPr="006767C5">
        <w:rPr>
          <w:rFonts w:ascii="Open Sans" w:hAnsi="Open Sans" w:cs="Open Sans"/>
          <w:sz w:val="20"/>
          <w:szCs w:val="20"/>
          <w:lang w:eastAsia="en-GB"/>
        </w:rPr>
        <w:t>’</w:t>
      </w:r>
      <w:r w:rsidR="001A5D95" w:rsidRPr="006767C5">
        <w:rPr>
          <w:rStyle w:val="FootnoteReference"/>
          <w:rFonts w:ascii="Open Sans" w:hAnsi="Open Sans" w:cs="Open Sans"/>
          <w:sz w:val="20"/>
          <w:szCs w:val="20"/>
          <w:lang w:eastAsia="en-GB"/>
        </w:rPr>
        <w:footnoteReference w:id="104"/>
      </w:r>
      <w:r w:rsidR="001701F4" w:rsidRPr="006767C5">
        <w:rPr>
          <w:rFonts w:ascii="Open Sans" w:hAnsi="Open Sans" w:cs="Open Sans"/>
          <w:sz w:val="20"/>
          <w:szCs w:val="20"/>
          <w:lang w:eastAsia="en-GB"/>
        </w:rPr>
        <w:t xml:space="preserve">, technologies like BECCS and </w:t>
      </w:r>
      <w:r w:rsidR="00641ADB" w:rsidRPr="006767C5">
        <w:rPr>
          <w:rFonts w:ascii="Open Sans" w:hAnsi="Open Sans" w:cs="Open Sans"/>
          <w:sz w:val="20"/>
          <w:szCs w:val="20"/>
          <w:lang w:eastAsia="en-GB"/>
        </w:rPr>
        <w:t>Gasification</w:t>
      </w:r>
      <w:r w:rsidR="001701F4" w:rsidRPr="006767C5">
        <w:rPr>
          <w:rFonts w:ascii="Open Sans" w:hAnsi="Open Sans" w:cs="Open Sans"/>
          <w:sz w:val="20"/>
          <w:szCs w:val="20"/>
          <w:lang w:eastAsia="en-GB"/>
        </w:rPr>
        <w:t xml:space="preserve"> are of strategic importance for delivering both negative emissions and using biomass to decarbonise hard to treat sectors</w:t>
      </w:r>
      <w:r w:rsidR="00ED1B06" w:rsidRPr="006767C5">
        <w:rPr>
          <w:rFonts w:ascii="Open Sans" w:hAnsi="Open Sans" w:cs="Open Sans"/>
          <w:sz w:val="20"/>
          <w:szCs w:val="20"/>
          <w:lang w:eastAsia="en-GB"/>
        </w:rPr>
        <w:t xml:space="preserve">, with both needing to be well established by 2050. </w:t>
      </w:r>
    </w:p>
    <w:p w14:paraId="1758CB69" w14:textId="448048B2" w:rsidR="001701F4" w:rsidRPr="006767C5" w:rsidRDefault="001701F4" w:rsidP="00EA3705">
      <w:pPr>
        <w:spacing w:after="0" w:line="240" w:lineRule="auto"/>
        <w:rPr>
          <w:rFonts w:ascii="Open Sans" w:hAnsi="Open Sans" w:cs="Open Sans"/>
          <w:sz w:val="20"/>
          <w:szCs w:val="20"/>
          <w:lang w:eastAsia="en-GB"/>
        </w:rPr>
      </w:pPr>
    </w:p>
    <w:p w14:paraId="0871AE6F" w14:textId="21CFB6CF" w:rsidR="001701F4" w:rsidRPr="006767C5" w:rsidRDefault="001701F4" w:rsidP="00EA3705">
      <w:pPr>
        <w:spacing w:after="0" w:line="240" w:lineRule="auto"/>
        <w:rPr>
          <w:rFonts w:ascii="Open Sans" w:hAnsi="Open Sans" w:cs="Open Sans"/>
          <w:sz w:val="20"/>
          <w:szCs w:val="20"/>
          <w:lang w:eastAsia="en-GB"/>
        </w:rPr>
      </w:pPr>
      <w:r w:rsidRPr="006767C5">
        <w:rPr>
          <w:rFonts w:ascii="Open Sans" w:hAnsi="Open Sans" w:cs="Open Sans"/>
          <w:sz w:val="20"/>
          <w:szCs w:val="20"/>
          <w:lang w:eastAsia="en-GB"/>
        </w:rPr>
        <w:t xml:space="preserve">However, trying to focus polices </w:t>
      </w:r>
      <w:r w:rsidR="00641ADB" w:rsidRPr="006767C5">
        <w:rPr>
          <w:rFonts w:ascii="Open Sans" w:hAnsi="Open Sans" w:cs="Open Sans"/>
          <w:sz w:val="20"/>
          <w:szCs w:val="20"/>
          <w:lang w:eastAsia="en-GB"/>
        </w:rPr>
        <w:t>purely</w:t>
      </w:r>
      <w:r w:rsidRPr="006767C5">
        <w:rPr>
          <w:rFonts w:ascii="Open Sans" w:hAnsi="Open Sans" w:cs="Open Sans"/>
          <w:sz w:val="20"/>
          <w:szCs w:val="20"/>
          <w:lang w:eastAsia="en-GB"/>
        </w:rPr>
        <w:t xml:space="preserve"> on end-use </w:t>
      </w:r>
      <w:r w:rsidR="00ED1B06" w:rsidRPr="006767C5">
        <w:rPr>
          <w:rFonts w:ascii="Open Sans" w:hAnsi="Open Sans" w:cs="Open Sans"/>
          <w:sz w:val="20"/>
          <w:szCs w:val="20"/>
          <w:lang w:eastAsia="en-GB"/>
        </w:rPr>
        <w:t xml:space="preserve">technologies </w:t>
      </w:r>
      <w:r w:rsidRPr="006767C5">
        <w:rPr>
          <w:rFonts w:ascii="Open Sans" w:hAnsi="Open Sans" w:cs="Open Sans"/>
          <w:sz w:val="20"/>
          <w:szCs w:val="20"/>
          <w:lang w:eastAsia="en-GB"/>
        </w:rPr>
        <w:t xml:space="preserve">will be a blunt tool in terms </w:t>
      </w:r>
      <w:r w:rsidR="00ED1B06" w:rsidRPr="006767C5">
        <w:rPr>
          <w:rFonts w:ascii="Open Sans" w:hAnsi="Open Sans" w:cs="Open Sans"/>
          <w:sz w:val="20"/>
          <w:szCs w:val="20"/>
          <w:lang w:eastAsia="en-GB"/>
        </w:rPr>
        <w:t>ensuing the most effective delivery of desired benefit across the whole energy system</w:t>
      </w:r>
      <w:r w:rsidR="005B0881" w:rsidRPr="006767C5">
        <w:rPr>
          <w:rFonts w:ascii="Open Sans" w:hAnsi="Open Sans" w:cs="Open Sans"/>
          <w:sz w:val="20"/>
          <w:szCs w:val="20"/>
          <w:lang w:eastAsia="en-GB"/>
        </w:rPr>
        <w:t xml:space="preserve">. </w:t>
      </w:r>
      <w:r w:rsidRPr="006767C5">
        <w:rPr>
          <w:rFonts w:ascii="Open Sans" w:hAnsi="Open Sans" w:cs="Open Sans"/>
          <w:sz w:val="20"/>
          <w:szCs w:val="20"/>
          <w:lang w:eastAsia="en-GB"/>
        </w:rPr>
        <w:t xml:space="preserve"> In both </w:t>
      </w:r>
      <w:r w:rsidR="00ED1B06" w:rsidRPr="006767C5">
        <w:rPr>
          <w:rFonts w:ascii="Open Sans" w:hAnsi="Open Sans" w:cs="Open Sans"/>
          <w:sz w:val="20"/>
          <w:szCs w:val="20"/>
          <w:lang w:eastAsia="en-GB"/>
        </w:rPr>
        <w:t>the case</w:t>
      </w:r>
      <w:r w:rsidRPr="006767C5">
        <w:rPr>
          <w:rFonts w:ascii="Open Sans" w:hAnsi="Open Sans" w:cs="Open Sans"/>
          <w:sz w:val="20"/>
          <w:szCs w:val="20"/>
          <w:lang w:eastAsia="en-GB"/>
        </w:rPr>
        <w:t xml:space="preserve"> of BECCS and </w:t>
      </w:r>
      <w:r w:rsidR="00641ADB" w:rsidRPr="006767C5">
        <w:rPr>
          <w:rFonts w:ascii="Open Sans" w:hAnsi="Open Sans" w:cs="Open Sans"/>
          <w:sz w:val="20"/>
          <w:szCs w:val="20"/>
          <w:lang w:eastAsia="en-GB"/>
        </w:rPr>
        <w:t>g</w:t>
      </w:r>
      <w:r w:rsidRPr="006767C5">
        <w:rPr>
          <w:rFonts w:ascii="Open Sans" w:hAnsi="Open Sans" w:cs="Open Sans"/>
          <w:sz w:val="20"/>
          <w:szCs w:val="20"/>
          <w:lang w:eastAsia="en-GB"/>
        </w:rPr>
        <w:t xml:space="preserve">asification, neither technology is </w:t>
      </w:r>
      <w:r w:rsidR="00641ADB" w:rsidRPr="006767C5">
        <w:rPr>
          <w:rFonts w:ascii="Open Sans" w:hAnsi="Open Sans" w:cs="Open Sans"/>
          <w:sz w:val="20"/>
          <w:szCs w:val="20"/>
          <w:lang w:eastAsia="en-GB"/>
        </w:rPr>
        <w:t>particularly</w:t>
      </w:r>
      <w:r w:rsidRPr="006767C5">
        <w:rPr>
          <w:rFonts w:ascii="Open Sans" w:hAnsi="Open Sans" w:cs="Open Sans"/>
          <w:sz w:val="20"/>
          <w:szCs w:val="20"/>
          <w:lang w:eastAsia="en-GB"/>
        </w:rPr>
        <w:t xml:space="preserve"> new, rather it is their commercial </w:t>
      </w:r>
      <w:r w:rsidR="00641ADB" w:rsidRPr="006767C5">
        <w:rPr>
          <w:rFonts w:ascii="Open Sans" w:hAnsi="Open Sans" w:cs="Open Sans"/>
          <w:sz w:val="20"/>
          <w:szCs w:val="20"/>
          <w:lang w:eastAsia="en-GB"/>
        </w:rPr>
        <w:t xml:space="preserve">and novel </w:t>
      </w:r>
      <w:r w:rsidRPr="006767C5">
        <w:rPr>
          <w:rFonts w:ascii="Open Sans" w:hAnsi="Open Sans" w:cs="Open Sans"/>
          <w:sz w:val="20"/>
          <w:szCs w:val="20"/>
          <w:lang w:eastAsia="en-GB"/>
        </w:rPr>
        <w:t xml:space="preserve">application </w:t>
      </w:r>
      <w:r w:rsidR="001A5D95" w:rsidRPr="006767C5">
        <w:rPr>
          <w:rFonts w:ascii="Open Sans" w:hAnsi="Open Sans" w:cs="Open Sans"/>
          <w:sz w:val="20"/>
          <w:szCs w:val="20"/>
          <w:lang w:eastAsia="en-GB"/>
        </w:rPr>
        <w:t xml:space="preserve">to existing bioenergy </w:t>
      </w:r>
      <w:r w:rsidR="00ED1B06" w:rsidRPr="006767C5">
        <w:rPr>
          <w:rFonts w:ascii="Open Sans" w:hAnsi="Open Sans" w:cs="Open Sans"/>
          <w:sz w:val="20"/>
          <w:szCs w:val="20"/>
          <w:lang w:eastAsia="en-GB"/>
        </w:rPr>
        <w:t>sectors</w:t>
      </w:r>
      <w:r w:rsidR="001A5D95" w:rsidRPr="006767C5">
        <w:rPr>
          <w:rFonts w:ascii="Open Sans" w:hAnsi="Open Sans" w:cs="Open Sans"/>
          <w:sz w:val="20"/>
          <w:szCs w:val="20"/>
          <w:lang w:eastAsia="en-GB"/>
        </w:rPr>
        <w:t xml:space="preserve"> </w:t>
      </w:r>
      <w:r w:rsidRPr="006767C5">
        <w:rPr>
          <w:rFonts w:ascii="Open Sans" w:hAnsi="Open Sans" w:cs="Open Sans"/>
          <w:sz w:val="20"/>
          <w:szCs w:val="20"/>
          <w:lang w:eastAsia="en-GB"/>
        </w:rPr>
        <w:t xml:space="preserve">that needs to be </w:t>
      </w:r>
      <w:r w:rsidR="00641ADB" w:rsidRPr="006767C5">
        <w:rPr>
          <w:rFonts w:ascii="Open Sans" w:hAnsi="Open Sans" w:cs="Open Sans"/>
          <w:sz w:val="20"/>
          <w:szCs w:val="20"/>
          <w:lang w:eastAsia="en-GB"/>
        </w:rPr>
        <w:t>realised</w:t>
      </w:r>
      <w:r w:rsidRPr="006767C5">
        <w:rPr>
          <w:rFonts w:ascii="Open Sans" w:hAnsi="Open Sans" w:cs="Open Sans"/>
          <w:sz w:val="20"/>
          <w:szCs w:val="20"/>
          <w:lang w:eastAsia="en-GB"/>
        </w:rPr>
        <w:t xml:space="preserve">. </w:t>
      </w:r>
      <w:r w:rsidR="00641ADB" w:rsidRPr="006767C5">
        <w:rPr>
          <w:rFonts w:ascii="Open Sans" w:hAnsi="Open Sans" w:cs="Open Sans"/>
          <w:sz w:val="20"/>
          <w:szCs w:val="20"/>
          <w:lang w:eastAsia="en-GB"/>
        </w:rPr>
        <w:t>To do this, government should focus on:</w:t>
      </w:r>
    </w:p>
    <w:p w14:paraId="4B890DB6" w14:textId="54F4D533" w:rsidR="00641ADB" w:rsidRPr="006767C5" w:rsidRDefault="00641ADB" w:rsidP="00641ADB">
      <w:pPr>
        <w:pStyle w:val="ListParagraph"/>
        <w:numPr>
          <w:ilvl w:val="0"/>
          <w:numId w:val="29"/>
        </w:numPr>
        <w:spacing w:after="0" w:line="240" w:lineRule="auto"/>
        <w:rPr>
          <w:rFonts w:ascii="Open Sans" w:hAnsi="Open Sans" w:cs="Open Sans"/>
          <w:sz w:val="20"/>
          <w:szCs w:val="20"/>
          <w:lang w:eastAsia="en-GB"/>
        </w:rPr>
      </w:pPr>
      <w:r w:rsidRPr="006767C5">
        <w:rPr>
          <w:rFonts w:ascii="Open Sans" w:hAnsi="Open Sans" w:cs="Open Sans"/>
          <w:sz w:val="20"/>
          <w:szCs w:val="20"/>
          <w:lang w:eastAsia="en-GB"/>
        </w:rPr>
        <w:t>Ensuring existing bioenergy sectors across heat, power and transport remain</w:t>
      </w:r>
      <w:r w:rsidR="005B0881" w:rsidRPr="006767C5">
        <w:rPr>
          <w:rFonts w:ascii="Open Sans" w:hAnsi="Open Sans" w:cs="Open Sans"/>
          <w:sz w:val="20"/>
          <w:szCs w:val="20"/>
          <w:lang w:eastAsia="en-GB"/>
        </w:rPr>
        <w:t xml:space="preserve"> strong </w:t>
      </w:r>
      <w:r w:rsidR="00ED1B06" w:rsidRPr="006767C5">
        <w:rPr>
          <w:rFonts w:ascii="Open Sans" w:hAnsi="Open Sans" w:cs="Open Sans"/>
          <w:sz w:val="20"/>
          <w:szCs w:val="20"/>
          <w:lang w:eastAsia="en-GB"/>
        </w:rPr>
        <w:t xml:space="preserve">creating </w:t>
      </w:r>
      <w:r w:rsidR="005B0881" w:rsidRPr="006767C5">
        <w:rPr>
          <w:rFonts w:ascii="Open Sans" w:hAnsi="Open Sans" w:cs="Open Sans"/>
          <w:sz w:val="20"/>
          <w:szCs w:val="20"/>
          <w:lang w:eastAsia="en-GB"/>
        </w:rPr>
        <w:t>a good commercial bas</w:t>
      </w:r>
      <w:r w:rsidR="00ED1B06" w:rsidRPr="006767C5">
        <w:rPr>
          <w:rFonts w:ascii="Open Sans" w:hAnsi="Open Sans" w:cs="Open Sans"/>
          <w:sz w:val="20"/>
          <w:szCs w:val="20"/>
          <w:lang w:eastAsia="en-GB"/>
        </w:rPr>
        <w:t>is</w:t>
      </w:r>
      <w:r w:rsidR="005B0881" w:rsidRPr="006767C5">
        <w:rPr>
          <w:rFonts w:ascii="Open Sans" w:hAnsi="Open Sans" w:cs="Open Sans"/>
          <w:sz w:val="20"/>
          <w:szCs w:val="20"/>
          <w:lang w:eastAsia="en-GB"/>
        </w:rPr>
        <w:t xml:space="preserve"> for deployment of innovative technologies, building on existing supply chains, </w:t>
      </w:r>
      <w:r w:rsidR="00F13CFB" w:rsidRPr="006767C5">
        <w:rPr>
          <w:rFonts w:ascii="Open Sans" w:hAnsi="Open Sans" w:cs="Open Sans"/>
          <w:sz w:val="20"/>
          <w:szCs w:val="20"/>
          <w:lang w:eastAsia="en-GB"/>
        </w:rPr>
        <w:t>expertise,</w:t>
      </w:r>
      <w:r w:rsidR="005B0881" w:rsidRPr="006767C5">
        <w:rPr>
          <w:rFonts w:ascii="Open Sans" w:hAnsi="Open Sans" w:cs="Open Sans"/>
          <w:sz w:val="20"/>
          <w:szCs w:val="20"/>
          <w:lang w:eastAsia="en-GB"/>
        </w:rPr>
        <w:t xml:space="preserve"> and jobs. </w:t>
      </w:r>
      <w:r w:rsidR="00D53266" w:rsidRPr="006767C5">
        <w:rPr>
          <w:rFonts w:ascii="Open Sans" w:hAnsi="Open Sans" w:cs="Open Sans"/>
          <w:sz w:val="20"/>
          <w:szCs w:val="20"/>
          <w:lang w:eastAsia="en-GB"/>
        </w:rPr>
        <w:t xml:space="preserve">This means addressing immediate policy gaps across these sectors </w:t>
      </w:r>
      <w:r w:rsidR="00497395" w:rsidRPr="006767C5">
        <w:rPr>
          <w:rFonts w:ascii="Open Sans" w:hAnsi="Open Sans" w:cs="Open Sans"/>
          <w:sz w:val="20"/>
          <w:szCs w:val="20"/>
          <w:lang w:eastAsia="en-GB"/>
        </w:rPr>
        <w:t>(</w:t>
      </w:r>
      <w:r w:rsidR="00D53266" w:rsidRPr="006767C5">
        <w:rPr>
          <w:rFonts w:ascii="Open Sans" w:hAnsi="Open Sans" w:cs="Open Sans"/>
          <w:sz w:val="20"/>
          <w:szCs w:val="20"/>
          <w:lang w:eastAsia="en-GB"/>
        </w:rPr>
        <w:t>as described in question 6,</w:t>
      </w:r>
      <w:r w:rsidR="00497395" w:rsidRPr="006767C5">
        <w:rPr>
          <w:rFonts w:ascii="Open Sans" w:hAnsi="Open Sans" w:cs="Open Sans"/>
          <w:sz w:val="20"/>
          <w:szCs w:val="20"/>
          <w:lang w:eastAsia="en-GB"/>
        </w:rPr>
        <w:t xml:space="preserve">) </w:t>
      </w:r>
      <w:r w:rsidR="00D53266" w:rsidRPr="006767C5">
        <w:rPr>
          <w:rFonts w:ascii="Open Sans" w:hAnsi="Open Sans" w:cs="Open Sans"/>
          <w:sz w:val="20"/>
          <w:szCs w:val="20"/>
          <w:lang w:eastAsia="en-GB"/>
        </w:rPr>
        <w:t xml:space="preserve">including delivering a replacement to the RHI, increasing ambitions within the </w:t>
      </w:r>
      <w:proofErr w:type="gramStart"/>
      <w:r w:rsidR="00D53266" w:rsidRPr="006767C5">
        <w:rPr>
          <w:rFonts w:ascii="Open Sans" w:hAnsi="Open Sans" w:cs="Open Sans"/>
          <w:sz w:val="20"/>
          <w:szCs w:val="20"/>
          <w:lang w:eastAsia="en-GB"/>
        </w:rPr>
        <w:t>RTFO</w:t>
      </w:r>
      <w:proofErr w:type="gramEnd"/>
      <w:r w:rsidR="00D53266" w:rsidRPr="006767C5">
        <w:rPr>
          <w:rFonts w:ascii="Open Sans" w:hAnsi="Open Sans" w:cs="Open Sans"/>
          <w:sz w:val="20"/>
          <w:szCs w:val="20"/>
          <w:lang w:eastAsia="en-GB"/>
        </w:rPr>
        <w:t xml:space="preserve"> and providing post-2027 sector confidence for </w:t>
      </w:r>
      <w:r w:rsidR="00F13CFB" w:rsidRPr="006767C5">
        <w:rPr>
          <w:rFonts w:ascii="Open Sans" w:hAnsi="Open Sans" w:cs="Open Sans"/>
          <w:sz w:val="20"/>
          <w:szCs w:val="20"/>
          <w:lang w:eastAsia="en-GB"/>
        </w:rPr>
        <w:t>bioelectricity</w:t>
      </w:r>
      <w:r w:rsidR="00D53266" w:rsidRPr="006767C5">
        <w:rPr>
          <w:rFonts w:ascii="Open Sans" w:hAnsi="Open Sans" w:cs="Open Sans"/>
          <w:sz w:val="20"/>
          <w:szCs w:val="20"/>
          <w:lang w:eastAsia="en-GB"/>
        </w:rPr>
        <w:t>.</w:t>
      </w:r>
    </w:p>
    <w:p w14:paraId="0940C944" w14:textId="5D1314DD" w:rsidR="005B0881" w:rsidRPr="006767C5" w:rsidRDefault="00F13CFB" w:rsidP="00641ADB">
      <w:pPr>
        <w:pStyle w:val="ListParagraph"/>
        <w:numPr>
          <w:ilvl w:val="0"/>
          <w:numId w:val="29"/>
        </w:numPr>
        <w:spacing w:after="0" w:line="240" w:lineRule="auto"/>
        <w:rPr>
          <w:rFonts w:ascii="Open Sans" w:hAnsi="Open Sans" w:cs="Open Sans"/>
          <w:sz w:val="20"/>
          <w:szCs w:val="20"/>
          <w:lang w:eastAsia="en-GB"/>
        </w:rPr>
      </w:pPr>
      <w:r w:rsidRPr="006767C5">
        <w:rPr>
          <w:rFonts w:ascii="Open Sans" w:hAnsi="Open Sans" w:cs="Open Sans"/>
          <w:sz w:val="20"/>
          <w:szCs w:val="20"/>
          <w:lang w:eastAsia="en-GB"/>
        </w:rPr>
        <w:t>Maintaining current sector will maintain</w:t>
      </w:r>
      <w:r w:rsidR="005B0881" w:rsidRPr="006767C5">
        <w:rPr>
          <w:rFonts w:ascii="Open Sans" w:hAnsi="Open Sans" w:cs="Open Sans"/>
          <w:sz w:val="20"/>
          <w:szCs w:val="20"/>
          <w:lang w:eastAsia="en-GB"/>
        </w:rPr>
        <w:t xml:space="preserve"> investor confidence in existing biomass applications,</w:t>
      </w:r>
      <w:r w:rsidR="00D53266" w:rsidRPr="006767C5">
        <w:rPr>
          <w:rFonts w:ascii="Open Sans" w:hAnsi="Open Sans" w:cs="Open Sans"/>
          <w:sz w:val="20"/>
          <w:szCs w:val="20"/>
          <w:lang w:eastAsia="en-GB"/>
        </w:rPr>
        <w:t xml:space="preserve"> lower</w:t>
      </w:r>
      <w:r w:rsidR="00497395" w:rsidRPr="006767C5">
        <w:rPr>
          <w:rFonts w:ascii="Open Sans" w:hAnsi="Open Sans" w:cs="Open Sans"/>
          <w:sz w:val="20"/>
          <w:szCs w:val="20"/>
          <w:lang w:eastAsia="en-GB"/>
        </w:rPr>
        <w:t>ing</w:t>
      </w:r>
      <w:r w:rsidR="00D53266" w:rsidRPr="006767C5">
        <w:rPr>
          <w:rFonts w:ascii="Open Sans" w:hAnsi="Open Sans" w:cs="Open Sans"/>
          <w:sz w:val="20"/>
          <w:szCs w:val="20"/>
          <w:lang w:eastAsia="en-GB"/>
        </w:rPr>
        <w:t xml:space="preserve"> the cost of capital for </w:t>
      </w:r>
      <w:r w:rsidR="005B0881" w:rsidRPr="006767C5">
        <w:rPr>
          <w:rFonts w:ascii="Open Sans" w:hAnsi="Open Sans" w:cs="Open Sans"/>
          <w:sz w:val="20"/>
          <w:szCs w:val="20"/>
          <w:lang w:eastAsia="en-GB"/>
        </w:rPr>
        <w:t xml:space="preserve">financing future innovations. </w:t>
      </w:r>
    </w:p>
    <w:p w14:paraId="3B74573E" w14:textId="18A13563" w:rsidR="005B0881" w:rsidRPr="006767C5" w:rsidRDefault="005B0881" w:rsidP="001A5D95">
      <w:pPr>
        <w:pStyle w:val="ListParagraph"/>
        <w:numPr>
          <w:ilvl w:val="0"/>
          <w:numId w:val="29"/>
        </w:numPr>
        <w:spacing w:after="0" w:line="240" w:lineRule="auto"/>
        <w:rPr>
          <w:rFonts w:ascii="Open Sans" w:hAnsi="Open Sans" w:cs="Open Sans"/>
          <w:sz w:val="20"/>
          <w:szCs w:val="20"/>
          <w:lang w:eastAsia="en-GB"/>
        </w:rPr>
      </w:pPr>
      <w:r w:rsidRPr="006767C5">
        <w:rPr>
          <w:rFonts w:ascii="Open Sans" w:hAnsi="Open Sans" w:cs="Open Sans"/>
          <w:sz w:val="20"/>
          <w:szCs w:val="20"/>
          <w:lang w:eastAsia="en-GB"/>
        </w:rPr>
        <w:t xml:space="preserve">Use </w:t>
      </w:r>
      <w:r w:rsidR="00D53266" w:rsidRPr="006767C5">
        <w:rPr>
          <w:rFonts w:ascii="Open Sans" w:hAnsi="Open Sans" w:cs="Open Sans"/>
          <w:sz w:val="20"/>
          <w:szCs w:val="20"/>
          <w:lang w:eastAsia="en-GB"/>
        </w:rPr>
        <w:t>principle-based</w:t>
      </w:r>
      <w:r w:rsidRPr="006767C5">
        <w:rPr>
          <w:rFonts w:ascii="Open Sans" w:hAnsi="Open Sans" w:cs="Open Sans"/>
          <w:sz w:val="20"/>
          <w:szCs w:val="20"/>
          <w:lang w:eastAsia="en-GB"/>
        </w:rPr>
        <w:t xml:space="preserve"> policies that reward specific environmental, </w:t>
      </w:r>
      <w:proofErr w:type="gramStart"/>
      <w:r w:rsidRPr="006767C5">
        <w:rPr>
          <w:rFonts w:ascii="Open Sans" w:hAnsi="Open Sans" w:cs="Open Sans"/>
          <w:sz w:val="20"/>
          <w:szCs w:val="20"/>
          <w:lang w:eastAsia="en-GB"/>
        </w:rPr>
        <w:t>social</w:t>
      </w:r>
      <w:proofErr w:type="gramEnd"/>
      <w:r w:rsidRPr="006767C5">
        <w:rPr>
          <w:rFonts w:ascii="Open Sans" w:hAnsi="Open Sans" w:cs="Open Sans"/>
          <w:sz w:val="20"/>
          <w:szCs w:val="20"/>
          <w:lang w:eastAsia="en-GB"/>
        </w:rPr>
        <w:t xml:space="preserve"> or economic outcomes </w:t>
      </w:r>
      <w:r w:rsidR="00497395" w:rsidRPr="006767C5">
        <w:rPr>
          <w:rFonts w:ascii="Open Sans" w:hAnsi="Open Sans" w:cs="Open Sans"/>
          <w:sz w:val="20"/>
          <w:szCs w:val="20"/>
          <w:lang w:eastAsia="en-GB"/>
        </w:rPr>
        <w:t>(</w:t>
      </w:r>
      <w:r w:rsidRPr="006767C5">
        <w:rPr>
          <w:rFonts w:ascii="Open Sans" w:hAnsi="Open Sans" w:cs="Open Sans"/>
          <w:sz w:val="20"/>
          <w:szCs w:val="20"/>
          <w:lang w:eastAsia="en-GB"/>
        </w:rPr>
        <w:t>such as negative emissions</w:t>
      </w:r>
      <w:r w:rsidR="001A5D95" w:rsidRPr="006767C5">
        <w:rPr>
          <w:rFonts w:ascii="Open Sans" w:hAnsi="Open Sans" w:cs="Open Sans"/>
          <w:sz w:val="20"/>
          <w:szCs w:val="20"/>
          <w:lang w:eastAsia="en-GB"/>
        </w:rPr>
        <w:t xml:space="preserve">, </w:t>
      </w:r>
      <w:r w:rsidRPr="006767C5">
        <w:rPr>
          <w:rFonts w:ascii="Open Sans" w:hAnsi="Open Sans" w:cs="Open Sans"/>
          <w:sz w:val="20"/>
          <w:szCs w:val="20"/>
          <w:lang w:eastAsia="en-GB"/>
        </w:rPr>
        <w:t xml:space="preserve">development of </w:t>
      </w:r>
      <w:r w:rsidR="001A5D95" w:rsidRPr="006767C5">
        <w:rPr>
          <w:rFonts w:ascii="Open Sans" w:hAnsi="Open Sans" w:cs="Open Sans"/>
          <w:sz w:val="20"/>
          <w:szCs w:val="20"/>
          <w:lang w:eastAsia="en-GB"/>
        </w:rPr>
        <w:t>aviation fuels or hydrogen production</w:t>
      </w:r>
      <w:r w:rsidR="00497395" w:rsidRPr="006767C5">
        <w:rPr>
          <w:rFonts w:ascii="Open Sans" w:hAnsi="Open Sans" w:cs="Open Sans"/>
          <w:sz w:val="20"/>
          <w:szCs w:val="20"/>
          <w:lang w:eastAsia="en-GB"/>
        </w:rPr>
        <w:t>)</w:t>
      </w:r>
      <w:r w:rsidRPr="006767C5">
        <w:rPr>
          <w:rFonts w:ascii="Open Sans" w:hAnsi="Open Sans" w:cs="Open Sans"/>
          <w:sz w:val="20"/>
          <w:szCs w:val="20"/>
          <w:lang w:eastAsia="en-GB"/>
        </w:rPr>
        <w:t xml:space="preserve"> rather than blunt policies focused on specific </w:t>
      </w:r>
      <w:r w:rsidR="001A5D95" w:rsidRPr="006767C5">
        <w:rPr>
          <w:rFonts w:ascii="Open Sans" w:hAnsi="Open Sans" w:cs="Open Sans"/>
          <w:sz w:val="20"/>
          <w:szCs w:val="20"/>
          <w:lang w:eastAsia="en-GB"/>
        </w:rPr>
        <w:t xml:space="preserve">end-use </w:t>
      </w:r>
      <w:r w:rsidRPr="006767C5">
        <w:rPr>
          <w:rFonts w:ascii="Open Sans" w:hAnsi="Open Sans" w:cs="Open Sans"/>
          <w:sz w:val="20"/>
          <w:szCs w:val="20"/>
          <w:lang w:eastAsia="en-GB"/>
        </w:rPr>
        <w:t xml:space="preserve">technologies. This will drive innovation across multiple energy sectors and see a </w:t>
      </w:r>
      <w:r w:rsidR="00D53266" w:rsidRPr="006767C5">
        <w:rPr>
          <w:rFonts w:ascii="Open Sans" w:hAnsi="Open Sans" w:cs="Open Sans"/>
          <w:sz w:val="20"/>
          <w:szCs w:val="20"/>
          <w:lang w:eastAsia="en-GB"/>
        </w:rPr>
        <w:t>wider adoption of innovative solution</w:t>
      </w:r>
      <w:r w:rsidRPr="006767C5">
        <w:rPr>
          <w:rFonts w:ascii="Open Sans" w:hAnsi="Open Sans" w:cs="Open Sans"/>
          <w:sz w:val="20"/>
          <w:szCs w:val="20"/>
          <w:lang w:eastAsia="en-GB"/>
        </w:rPr>
        <w:t xml:space="preserve"> that will deliver</w:t>
      </w:r>
      <w:r w:rsidR="001A5D95" w:rsidRPr="006767C5">
        <w:rPr>
          <w:rFonts w:ascii="Open Sans" w:hAnsi="Open Sans" w:cs="Open Sans"/>
          <w:sz w:val="20"/>
          <w:szCs w:val="20"/>
          <w:lang w:eastAsia="en-GB"/>
        </w:rPr>
        <w:t xml:space="preserve"> desired outcome. </w:t>
      </w:r>
    </w:p>
    <w:p w14:paraId="3763EC18" w14:textId="5D9B764D" w:rsidR="00D53266" w:rsidRPr="006767C5" w:rsidRDefault="00D53266" w:rsidP="00641ADB">
      <w:pPr>
        <w:pStyle w:val="ListParagraph"/>
        <w:numPr>
          <w:ilvl w:val="0"/>
          <w:numId w:val="29"/>
        </w:numPr>
        <w:spacing w:after="0" w:line="240" w:lineRule="auto"/>
        <w:rPr>
          <w:rFonts w:ascii="Open Sans" w:hAnsi="Open Sans" w:cs="Open Sans"/>
          <w:sz w:val="20"/>
          <w:szCs w:val="20"/>
          <w:lang w:eastAsia="en-GB"/>
        </w:rPr>
      </w:pPr>
      <w:r w:rsidRPr="006767C5">
        <w:rPr>
          <w:rFonts w:ascii="Open Sans" w:hAnsi="Open Sans" w:cs="Open Sans"/>
          <w:sz w:val="20"/>
          <w:szCs w:val="20"/>
          <w:lang w:eastAsia="en-GB"/>
        </w:rPr>
        <w:t xml:space="preserve">Use these polices to create long term markets, in which multiple technology solutions can participate and be rewarded for desirable outcomes, such as negative </w:t>
      </w:r>
      <w:r w:rsidR="001A5D95" w:rsidRPr="006767C5">
        <w:rPr>
          <w:rFonts w:ascii="Open Sans" w:hAnsi="Open Sans" w:cs="Open Sans"/>
          <w:sz w:val="20"/>
          <w:szCs w:val="20"/>
          <w:lang w:eastAsia="en-GB"/>
        </w:rPr>
        <w:t>emissions.</w:t>
      </w:r>
    </w:p>
    <w:p w14:paraId="6D496ACD" w14:textId="412941C9" w:rsidR="00D53266" w:rsidRPr="006767C5" w:rsidRDefault="00D53266" w:rsidP="00D53266">
      <w:pPr>
        <w:spacing w:after="0" w:line="240" w:lineRule="auto"/>
        <w:rPr>
          <w:rFonts w:ascii="Open Sans" w:hAnsi="Open Sans" w:cs="Open Sans"/>
          <w:sz w:val="20"/>
          <w:szCs w:val="20"/>
          <w:lang w:eastAsia="en-GB"/>
        </w:rPr>
      </w:pPr>
    </w:p>
    <w:p w14:paraId="66CD9748" w14:textId="7B409A4C" w:rsidR="00D53266" w:rsidRDefault="00D53266" w:rsidP="00D53266">
      <w:pPr>
        <w:spacing w:after="0" w:line="240" w:lineRule="auto"/>
        <w:rPr>
          <w:rFonts w:ascii="Open Sans" w:hAnsi="Open Sans" w:cs="Open Sans"/>
          <w:sz w:val="20"/>
          <w:szCs w:val="20"/>
          <w:lang w:eastAsia="en-GB"/>
        </w:rPr>
      </w:pPr>
      <w:r w:rsidRPr="006767C5">
        <w:rPr>
          <w:rFonts w:ascii="Open Sans" w:hAnsi="Open Sans" w:cs="Open Sans"/>
          <w:sz w:val="20"/>
          <w:szCs w:val="20"/>
          <w:lang w:eastAsia="en-GB"/>
        </w:rPr>
        <w:t xml:space="preserve">By following the above, and </w:t>
      </w:r>
      <w:r w:rsidR="001A5D95" w:rsidRPr="006767C5">
        <w:rPr>
          <w:rFonts w:ascii="Open Sans" w:hAnsi="Open Sans" w:cs="Open Sans"/>
          <w:sz w:val="20"/>
          <w:szCs w:val="20"/>
          <w:lang w:eastAsia="en-GB"/>
        </w:rPr>
        <w:t>maintaining strict sustainability governance arrangements, the market will automatically direct</w:t>
      </w:r>
      <w:r w:rsidR="00497395" w:rsidRPr="006767C5">
        <w:rPr>
          <w:rFonts w:ascii="Open Sans" w:hAnsi="Open Sans" w:cs="Open Sans"/>
          <w:sz w:val="20"/>
          <w:szCs w:val="20"/>
          <w:lang w:eastAsia="en-GB"/>
        </w:rPr>
        <w:t xml:space="preserve"> biomass</w:t>
      </w:r>
      <w:r w:rsidR="001A5D95" w:rsidRPr="006767C5">
        <w:rPr>
          <w:rFonts w:ascii="Open Sans" w:hAnsi="Open Sans" w:cs="Open Sans"/>
          <w:sz w:val="20"/>
          <w:szCs w:val="20"/>
          <w:lang w:eastAsia="en-GB"/>
        </w:rPr>
        <w:t xml:space="preserve"> resources to solutions that deliver desirable outcomes, rather than government trying to pick technology winners</w:t>
      </w:r>
      <w:r w:rsidR="00F13CFB" w:rsidRPr="006767C5">
        <w:rPr>
          <w:rFonts w:ascii="Open Sans" w:hAnsi="Open Sans" w:cs="Open Sans"/>
          <w:sz w:val="20"/>
          <w:szCs w:val="20"/>
          <w:lang w:eastAsia="en-GB"/>
        </w:rPr>
        <w:t xml:space="preserve">. </w:t>
      </w:r>
      <w:r w:rsidR="001A5D95" w:rsidRPr="006767C5">
        <w:rPr>
          <w:rFonts w:ascii="Open Sans" w:hAnsi="Open Sans" w:cs="Open Sans"/>
          <w:sz w:val="20"/>
          <w:szCs w:val="20"/>
          <w:lang w:eastAsia="en-GB"/>
        </w:rPr>
        <w:t>The creation of markets for these benefits also means</w:t>
      </w:r>
      <w:r w:rsidR="00F13CFB" w:rsidRPr="006767C5">
        <w:rPr>
          <w:rFonts w:ascii="Open Sans" w:hAnsi="Open Sans" w:cs="Open Sans"/>
          <w:sz w:val="20"/>
          <w:szCs w:val="20"/>
          <w:lang w:eastAsia="en-GB"/>
        </w:rPr>
        <w:t xml:space="preserve"> t</w:t>
      </w:r>
      <w:r w:rsidR="001A5D95" w:rsidRPr="006767C5">
        <w:rPr>
          <w:rFonts w:ascii="Open Sans" w:hAnsi="Open Sans" w:cs="Open Sans"/>
          <w:sz w:val="20"/>
          <w:szCs w:val="20"/>
          <w:lang w:eastAsia="en-GB"/>
        </w:rPr>
        <w:t xml:space="preserve">he most efficient and </w:t>
      </w:r>
      <w:r w:rsidR="00497395" w:rsidRPr="006767C5">
        <w:rPr>
          <w:rFonts w:ascii="Open Sans" w:hAnsi="Open Sans" w:cs="Open Sans"/>
          <w:sz w:val="20"/>
          <w:szCs w:val="20"/>
          <w:lang w:eastAsia="en-GB"/>
        </w:rPr>
        <w:t>cost-effective</w:t>
      </w:r>
      <w:r w:rsidR="001A5D95" w:rsidRPr="006767C5">
        <w:rPr>
          <w:rFonts w:ascii="Open Sans" w:hAnsi="Open Sans" w:cs="Open Sans"/>
          <w:sz w:val="20"/>
          <w:szCs w:val="20"/>
          <w:lang w:eastAsia="en-GB"/>
        </w:rPr>
        <w:t xml:space="preserve"> methods for enabling biomass to play its role in realising net zero emissions</w:t>
      </w:r>
      <w:r w:rsidR="00F13CFB" w:rsidRPr="006767C5">
        <w:rPr>
          <w:rFonts w:ascii="Open Sans" w:hAnsi="Open Sans" w:cs="Open Sans"/>
          <w:sz w:val="20"/>
          <w:szCs w:val="20"/>
          <w:lang w:eastAsia="en-GB"/>
        </w:rPr>
        <w:t xml:space="preserve"> are incentivised</w:t>
      </w:r>
      <w:r w:rsidR="001A5D95" w:rsidRPr="006767C5">
        <w:rPr>
          <w:rFonts w:ascii="Open Sans" w:hAnsi="Open Sans" w:cs="Open Sans"/>
          <w:sz w:val="20"/>
          <w:szCs w:val="20"/>
          <w:lang w:eastAsia="en-GB"/>
        </w:rPr>
        <w:t xml:space="preserve">. </w:t>
      </w:r>
    </w:p>
    <w:p w14:paraId="786C512A" w14:textId="6E72A653" w:rsidR="00F52B93" w:rsidRDefault="00F52B93" w:rsidP="00D53266">
      <w:pPr>
        <w:pBdr>
          <w:bottom w:val="single" w:sz="6" w:space="1" w:color="auto"/>
        </w:pBdr>
        <w:spacing w:after="0" w:line="240" w:lineRule="auto"/>
        <w:rPr>
          <w:rFonts w:ascii="Open Sans" w:hAnsi="Open Sans" w:cs="Open Sans"/>
          <w:sz w:val="20"/>
          <w:szCs w:val="20"/>
          <w:lang w:eastAsia="en-GB"/>
        </w:rPr>
      </w:pPr>
    </w:p>
    <w:p w14:paraId="7A687319" w14:textId="77777777" w:rsidR="006269E3" w:rsidRPr="006767C5" w:rsidRDefault="006269E3" w:rsidP="00EA3705">
      <w:pPr>
        <w:spacing w:after="0" w:line="240" w:lineRule="auto"/>
        <w:rPr>
          <w:rFonts w:ascii="Open Sans" w:hAnsi="Open Sans" w:cs="Open Sans"/>
          <w:sz w:val="20"/>
          <w:szCs w:val="20"/>
          <w:lang w:eastAsia="en-GB"/>
        </w:rPr>
      </w:pPr>
    </w:p>
    <w:p w14:paraId="5E50B5E8" w14:textId="132E2BFB" w:rsidR="00EA3705" w:rsidRPr="006767C5" w:rsidRDefault="00EA3705" w:rsidP="00EA3705">
      <w:pPr>
        <w:spacing w:after="0" w:line="240" w:lineRule="auto"/>
        <w:rPr>
          <w:rFonts w:ascii="Open Sans" w:hAnsi="Open Sans" w:cs="Open Sans"/>
          <w:b/>
          <w:bCs/>
          <w:color w:val="2F5496"/>
          <w:sz w:val="20"/>
          <w:szCs w:val="20"/>
          <w:lang w:eastAsia="en-GB"/>
        </w:rPr>
      </w:pPr>
      <w:r w:rsidRPr="006767C5">
        <w:rPr>
          <w:rFonts w:ascii="Open Sans" w:hAnsi="Open Sans" w:cs="Open Sans"/>
          <w:b/>
          <w:bCs/>
          <w:color w:val="2F5496"/>
          <w:sz w:val="20"/>
          <w:szCs w:val="20"/>
          <w:lang w:eastAsia="en-GB"/>
        </w:rPr>
        <w:t xml:space="preserve">23. What are the barriers and risks to increasing the deployment of advanced technologies (e.g., gasification, pyrolysis, </w:t>
      </w:r>
      <w:proofErr w:type="spellStart"/>
      <w:r w:rsidRPr="006767C5">
        <w:rPr>
          <w:rFonts w:ascii="Open Sans" w:hAnsi="Open Sans" w:cs="Open Sans"/>
          <w:b/>
          <w:bCs/>
          <w:color w:val="2F5496"/>
          <w:sz w:val="20"/>
          <w:szCs w:val="20"/>
          <w:lang w:eastAsia="en-GB"/>
        </w:rPr>
        <w:t>biocatalysis</w:t>
      </w:r>
      <w:proofErr w:type="spellEnd"/>
      <w:r w:rsidRPr="006767C5">
        <w:rPr>
          <w:rFonts w:ascii="Open Sans" w:hAnsi="Open Sans" w:cs="Open Sans"/>
          <w:b/>
          <w:bCs/>
          <w:color w:val="2F5496"/>
          <w:sz w:val="20"/>
          <w:szCs w:val="20"/>
          <w:lang w:eastAsia="en-GB"/>
        </w:rPr>
        <w:t>) and what end use sectors do you see these being applied to?</w:t>
      </w:r>
    </w:p>
    <w:p w14:paraId="0AA3A204" w14:textId="428E8634" w:rsidR="00497395" w:rsidRPr="006767C5" w:rsidRDefault="00497395" w:rsidP="00964C3A">
      <w:pPr>
        <w:pStyle w:val="ListParagraph"/>
        <w:ind w:left="0"/>
        <w:rPr>
          <w:rFonts w:ascii="Open Sans" w:hAnsi="Open Sans" w:cs="Open Sans"/>
          <w:sz w:val="20"/>
          <w:szCs w:val="20"/>
          <w:u w:val="single"/>
        </w:rPr>
      </w:pPr>
    </w:p>
    <w:p w14:paraId="1077107E" w14:textId="754AFAF3" w:rsidR="008601CD" w:rsidRPr="006767C5" w:rsidRDefault="008601CD" w:rsidP="00964C3A">
      <w:pPr>
        <w:pStyle w:val="ListParagraph"/>
        <w:ind w:left="0"/>
        <w:rPr>
          <w:rFonts w:ascii="Open Sans" w:hAnsi="Open Sans" w:cs="Open Sans"/>
          <w:b/>
          <w:bCs/>
          <w:i/>
          <w:iCs/>
          <w:sz w:val="20"/>
          <w:szCs w:val="20"/>
        </w:rPr>
      </w:pPr>
      <w:r w:rsidRPr="006767C5">
        <w:rPr>
          <w:rFonts w:ascii="Open Sans" w:hAnsi="Open Sans" w:cs="Open Sans"/>
          <w:b/>
          <w:bCs/>
          <w:i/>
          <w:iCs/>
          <w:sz w:val="20"/>
          <w:szCs w:val="20"/>
        </w:rPr>
        <w:t xml:space="preserve">The current ACT sector is focused on </w:t>
      </w:r>
      <w:r w:rsidR="00D5409E" w:rsidRPr="006767C5">
        <w:rPr>
          <w:rFonts w:ascii="Open Sans" w:hAnsi="Open Sans" w:cs="Open Sans"/>
          <w:b/>
          <w:bCs/>
          <w:i/>
          <w:iCs/>
          <w:sz w:val="20"/>
          <w:szCs w:val="20"/>
        </w:rPr>
        <w:t>municipal waste feedstocks, rather than virgin biomass, this should continue to be supported to establish the sector</w:t>
      </w:r>
      <w:r w:rsidR="000077A0" w:rsidRPr="000077A0">
        <w:rPr>
          <w:rFonts w:ascii="Open Sans" w:hAnsi="Open Sans" w:cs="Open Sans"/>
          <w:b/>
          <w:bCs/>
          <w:i/>
          <w:iCs/>
          <w:sz w:val="20"/>
          <w:szCs w:val="20"/>
        </w:rPr>
        <w:t xml:space="preserve"> </w:t>
      </w:r>
      <w:r w:rsidR="000077A0" w:rsidRPr="006767C5">
        <w:rPr>
          <w:rFonts w:ascii="Open Sans" w:hAnsi="Open Sans" w:cs="Open Sans"/>
          <w:b/>
          <w:bCs/>
          <w:i/>
          <w:iCs/>
          <w:sz w:val="20"/>
          <w:szCs w:val="20"/>
        </w:rPr>
        <w:t>commercially</w:t>
      </w:r>
      <w:r w:rsidR="00D5409E" w:rsidRPr="006767C5">
        <w:rPr>
          <w:rFonts w:ascii="Open Sans" w:hAnsi="Open Sans" w:cs="Open Sans"/>
          <w:b/>
          <w:bCs/>
          <w:i/>
          <w:iCs/>
          <w:sz w:val="20"/>
          <w:szCs w:val="20"/>
        </w:rPr>
        <w:t xml:space="preserve">. </w:t>
      </w:r>
      <w:r w:rsidR="00C45ED5" w:rsidRPr="006767C5">
        <w:rPr>
          <w:rFonts w:ascii="Open Sans" w:hAnsi="Open Sans" w:cs="Open Sans"/>
          <w:b/>
          <w:bCs/>
          <w:i/>
          <w:iCs/>
          <w:sz w:val="20"/>
          <w:szCs w:val="20"/>
        </w:rPr>
        <w:t xml:space="preserve">This will require cross -Whitehall </w:t>
      </w:r>
      <w:r w:rsidR="00F13CFB" w:rsidRPr="006767C5">
        <w:rPr>
          <w:rFonts w:ascii="Open Sans" w:hAnsi="Open Sans" w:cs="Open Sans"/>
          <w:b/>
          <w:bCs/>
          <w:i/>
          <w:iCs/>
          <w:sz w:val="20"/>
          <w:szCs w:val="20"/>
        </w:rPr>
        <w:t>collaboration.</w:t>
      </w:r>
    </w:p>
    <w:p w14:paraId="6ABF70FF" w14:textId="77777777" w:rsidR="008601CD" w:rsidRPr="006767C5" w:rsidRDefault="008601CD" w:rsidP="00964C3A">
      <w:pPr>
        <w:pStyle w:val="ListParagraph"/>
        <w:ind w:left="0"/>
        <w:rPr>
          <w:rFonts w:ascii="Open Sans" w:hAnsi="Open Sans" w:cs="Open Sans"/>
          <w:sz w:val="20"/>
          <w:szCs w:val="20"/>
        </w:rPr>
      </w:pPr>
    </w:p>
    <w:p w14:paraId="70BF6037" w14:textId="28329A03" w:rsidR="00CE341C" w:rsidRPr="006767C5" w:rsidRDefault="00CE341C" w:rsidP="00964C3A">
      <w:pPr>
        <w:pStyle w:val="ListParagraph"/>
        <w:ind w:left="0"/>
        <w:rPr>
          <w:rFonts w:ascii="Open Sans" w:hAnsi="Open Sans" w:cs="Open Sans"/>
          <w:sz w:val="20"/>
          <w:szCs w:val="20"/>
        </w:rPr>
      </w:pPr>
      <w:r w:rsidRPr="006767C5">
        <w:rPr>
          <w:rFonts w:ascii="Open Sans" w:hAnsi="Open Sans" w:cs="Open Sans"/>
          <w:sz w:val="20"/>
          <w:szCs w:val="20"/>
        </w:rPr>
        <w:t>It is recognised that advanced conversion technologies</w:t>
      </w:r>
      <w:r w:rsidR="008601CD" w:rsidRPr="006767C5">
        <w:rPr>
          <w:rFonts w:ascii="Open Sans" w:hAnsi="Open Sans" w:cs="Open Sans"/>
          <w:sz w:val="20"/>
          <w:szCs w:val="20"/>
        </w:rPr>
        <w:t xml:space="preserve"> (ACTs)</w:t>
      </w:r>
      <w:r w:rsidRPr="006767C5">
        <w:rPr>
          <w:rFonts w:ascii="Open Sans" w:hAnsi="Open Sans" w:cs="Open Sans"/>
          <w:sz w:val="20"/>
          <w:szCs w:val="20"/>
        </w:rPr>
        <w:t xml:space="preserve">, producing a range of energy outcomes, still need to be deployed commercially within the UK. </w:t>
      </w:r>
      <w:r w:rsidR="00F13CFB" w:rsidRPr="006767C5">
        <w:rPr>
          <w:rFonts w:ascii="Open Sans" w:hAnsi="Open Sans" w:cs="Open Sans"/>
          <w:sz w:val="20"/>
          <w:szCs w:val="20"/>
        </w:rPr>
        <w:t xml:space="preserve">However, there remains high interest in the sector as </w:t>
      </w:r>
      <w:r w:rsidR="008601CD" w:rsidRPr="006767C5">
        <w:rPr>
          <w:rFonts w:ascii="Open Sans" w:hAnsi="Open Sans" w:cs="Open Sans"/>
          <w:sz w:val="20"/>
          <w:szCs w:val="20"/>
        </w:rPr>
        <w:t>developer</w:t>
      </w:r>
      <w:r w:rsidR="00F13CFB" w:rsidRPr="006767C5">
        <w:rPr>
          <w:rFonts w:ascii="Open Sans" w:hAnsi="Open Sans" w:cs="Open Sans"/>
          <w:sz w:val="20"/>
          <w:szCs w:val="20"/>
        </w:rPr>
        <w:t>s</w:t>
      </w:r>
      <w:r w:rsidR="008601CD" w:rsidRPr="006767C5">
        <w:rPr>
          <w:rFonts w:ascii="Open Sans" w:hAnsi="Open Sans" w:cs="Open Sans"/>
          <w:sz w:val="20"/>
          <w:szCs w:val="20"/>
        </w:rPr>
        <w:t xml:space="preserve"> and investors </w:t>
      </w:r>
      <w:r w:rsidR="00F13CFB" w:rsidRPr="006767C5">
        <w:rPr>
          <w:rFonts w:ascii="Open Sans" w:hAnsi="Open Sans" w:cs="Open Sans"/>
          <w:sz w:val="20"/>
          <w:szCs w:val="20"/>
        </w:rPr>
        <w:t>are</w:t>
      </w:r>
      <w:r w:rsidR="008601CD" w:rsidRPr="006767C5">
        <w:rPr>
          <w:rFonts w:ascii="Open Sans" w:hAnsi="Open Sans" w:cs="Open Sans"/>
          <w:sz w:val="20"/>
          <w:szCs w:val="20"/>
        </w:rPr>
        <w:t xml:space="preserve"> incentivised by revisions to the Renewable Transport Fuel Obligation, as well as increasing government interest in renewable aviation fuels. It should be recognised</w:t>
      </w:r>
      <w:r w:rsidR="00F13CFB" w:rsidRPr="006767C5">
        <w:rPr>
          <w:rFonts w:ascii="Open Sans" w:hAnsi="Open Sans" w:cs="Open Sans"/>
          <w:sz w:val="20"/>
          <w:szCs w:val="20"/>
        </w:rPr>
        <w:t xml:space="preserve"> </w:t>
      </w:r>
      <w:r w:rsidR="008601CD" w:rsidRPr="006767C5">
        <w:rPr>
          <w:rFonts w:ascii="Open Sans" w:hAnsi="Open Sans" w:cs="Open Sans"/>
          <w:sz w:val="20"/>
          <w:szCs w:val="20"/>
        </w:rPr>
        <w:t xml:space="preserve">this support </w:t>
      </w:r>
      <w:r w:rsidR="00F13CFB" w:rsidRPr="006767C5">
        <w:rPr>
          <w:rFonts w:ascii="Open Sans" w:hAnsi="Open Sans" w:cs="Open Sans"/>
          <w:sz w:val="20"/>
          <w:szCs w:val="20"/>
        </w:rPr>
        <w:t xml:space="preserve">previously </w:t>
      </w:r>
      <w:r w:rsidR="008601CD" w:rsidRPr="006767C5">
        <w:rPr>
          <w:rFonts w:ascii="Open Sans" w:hAnsi="Open Sans" w:cs="Open Sans"/>
          <w:sz w:val="20"/>
          <w:szCs w:val="20"/>
        </w:rPr>
        <w:t xml:space="preserve">came from the RO and CfD which focused only on power production, rather </w:t>
      </w:r>
      <w:r w:rsidR="00F13CFB" w:rsidRPr="006767C5">
        <w:rPr>
          <w:rFonts w:ascii="Open Sans" w:hAnsi="Open Sans" w:cs="Open Sans"/>
          <w:sz w:val="20"/>
          <w:szCs w:val="20"/>
        </w:rPr>
        <w:t>than</w:t>
      </w:r>
      <w:r w:rsidR="008601CD" w:rsidRPr="006767C5">
        <w:rPr>
          <w:rFonts w:ascii="Open Sans" w:hAnsi="Open Sans" w:cs="Open Sans"/>
          <w:sz w:val="20"/>
          <w:szCs w:val="20"/>
        </w:rPr>
        <w:t xml:space="preserve"> the potential for the technology to </w:t>
      </w:r>
      <w:r w:rsidR="00D5409E" w:rsidRPr="006767C5">
        <w:rPr>
          <w:rFonts w:ascii="Open Sans" w:hAnsi="Open Sans" w:cs="Open Sans"/>
          <w:sz w:val="20"/>
          <w:szCs w:val="20"/>
        </w:rPr>
        <w:t>decarbonise</w:t>
      </w:r>
      <w:r w:rsidR="008601CD" w:rsidRPr="006767C5">
        <w:rPr>
          <w:rFonts w:ascii="Open Sans" w:hAnsi="Open Sans" w:cs="Open Sans"/>
          <w:sz w:val="20"/>
          <w:szCs w:val="20"/>
        </w:rPr>
        <w:t xml:space="preserve"> hard to treat sectors or deliver hydrogen. </w:t>
      </w:r>
    </w:p>
    <w:p w14:paraId="55FE718E" w14:textId="1D573878" w:rsidR="008601CD" w:rsidRPr="006767C5" w:rsidRDefault="008601CD" w:rsidP="00964C3A">
      <w:pPr>
        <w:pStyle w:val="ListParagraph"/>
        <w:ind w:left="0"/>
        <w:rPr>
          <w:rFonts w:ascii="Open Sans" w:hAnsi="Open Sans" w:cs="Open Sans"/>
          <w:sz w:val="20"/>
          <w:szCs w:val="20"/>
        </w:rPr>
      </w:pPr>
    </w:p>
    <w:p w14:paraId="40B2F306" w14:textId="1E195EA8" w:rsidR="008601CD" w:rsidRPr="006767C5" w:rsidRDefault="00F13CFB" w:rsidP="00964C3A">
      <w:pPr>
        <w:pStyle w:val="ListParagraph"/>
        <w:ind w:left="0"/>
        <w:rPr>
          <w:rFonts w:ascii="Open Sans" w:hAnsi="Open Sans" w:cs="Open Sans"/>
          <w:sz w:val="20"/>
          <w:szCs w:val="20"/>
        </w:rPr>
      </w:pPr>
      <w:r w:rsidRPr="006767C5">
        <w:rPr>
          <w:rFonts w:ascii="Open Sans" w:hAnsi="Open Sans" w:cs="Open Sans"/>
          <w:sz w:val="20"/>
          <w:szCs w:val="20"/>
        </w:rPr>
        <w:t>E</w:t>
      </w:r>
      <w:r w:rsidR="00D5409E" w:rsidRPr="006767C5">
        <w:rPr>
          <w:rFonts w:ascii="Open Sans" w:hAnsi="Open Sans" w:cs="Open Sans"/>
          <w:sz w:val="20"/>
          <w:szCs w:val="20"/>
        </w:rPr>
        <w:t>xisting developments</w:t>
      </w:r>
      <w:r w:rsidR="008601CD" w:rsidRPr="006767C5">
        <w:rPr>
          <w:rFonts w:ascii="Open Sans" w:hAnsi="Open Sans" w:cs="Open Sans"/>
          <w:sz w:val="20"/>
          <w:szCs w:val="20"/>
        </w:rPr>
        <w:t xml:space="preserve"> within the sector are</w:t>
      </w:r>
      <w:r w:rsidRPr="006767C5">
        <w:rPr>
          <w:rFonts w:ascii="Open Sans" w:hAnsi="Open Sans" w:cs="Open Sans"/>
          <w:sz w:val="20"/>
          <w:szCs w:val="20"/>
        </w:rPr>
        <w:t xml:space="preserve"> currently primarily</w:t>
      </w:r>
      <w:r w:rsidR="008601CD" w:rsidRPr="006767C5">
        <w:rPr>
          <w:rFonts w:ascii="Open Sans" w:hAnsi="Open Sans" w:cs="Open Sans"/>
          <w:sz w:val="20"/>
          <w:szCs w:val="20"/>
        </w:rPr>
        <w:t xml:space="preserve"> focused on using municipal solid </w:t>
      </w:r>
      <w:r w:rsidR="00D5409E" w:rsidRPr="006767C5">
        <w:rPr>
          <w:rFonts w:ascii="Open Sans" w:hAnsi="Open Sans" w:cs="Open Sans"/>
          <w:sz w:val="20"/>
          <w:szCs w:val="20"/>
        </w:rPr>
        <w:t xml:space="preserve">waste </w:t>
      </w:r>
      <w:r w:rsidRPr="006767C5">
        <w:rPr>
          <w:rFonts w:ascii="Open Sans" w:hAnsi="Open Sans" w:cs="Open Sans"/>
          <w:sz w:val="20"/>
          <w:szCs w:val="20"/>
        </w:rPr>
        <w:t xml:space="preserve">(MSW) </w:t>
      </w:r>
      <w:r w:rsidR="00D5409E" w:rsidRPr="006767C5">
        <w:rPr>
          <w:rFonts w:ascii="Open Sans" w:hAnsi="Open Sans" w:cs="Open Sans"/>
          <w:sz w:val="20"/>
          <w:szCs w:val="20"/>
        </w:rPr>
        <w:t>or</w:t>
      </w:r>
      <w:r w:rsidR="008601CD" w:rsidRPr="006767C5">
        <w:rPr>
          <w:rFonts w:ascii="Open Sans" w:hAnsi="Open Sans" w:cs="Open Sans"/>
          <w:sz w:val="20"/>
          <w:szCs w:val="20"/>
        </w:rPr>
        <w:t xml:space="preserve"> refuse derived fuel </w:t>
      </w:r>
      <w:r w:rsidRPr="006767C5">
        <w:rPr>
          <w:rFonts w:ascii="Open Sans" w:hAnsi="Open Sans" w:cs="Open Sans"/>
          <w:sz w:val="20"/>
          <w:szCs w:val="20"/>
        </w:rPr>
        <w:t xml:space="preserve">(RDF) </w:t>
      </w:r>
      <w:r w:rsidR="008601CD" w:rsidRPr="006767C5">
        <w:rPr>
          <w:rFonts w:ascii="Open Sans" w:hAnsi="Open Sans" w:cs="Open Sans"/>
          <w:sz w:val="20"/>
          <w:szCs w:val="20"/>
        </w:rPr>
        <w:t>as a feedstock,</w:t>
      </w:r>
      <w:r w:rsidRPr="006767C5">
        <w:rPr>
          <w:rFonts w:ascii="Open Sans" w:hAnsi="Open Sans" w:cs="Open Sans"/>
          <w:sz w:val="20"/>
          <w:szCs w:val="20"/>
        </w:rPr>
        <w:t xml:space="preserve"> as</w:t>
      </w:r>
      <w:r w:rsidR="008601CD" w:rsidRPr="006767C5">
        <w:rPr>
          <w:rFonts w:ascii="Open Sans" w:hAnsi="Open Sans" w:cs="Open Sans"/>
          <w:sz w:val="20"/>
          <w:szCs w:val="20"/>
        </w:rPr>
        <w:t xml:space="preserve"> opposed to biomass. This should be welcomed, as it increases application of the circular economy, diverts waste from landfill and makes better use of our waste resources, without competing for virgin biomass feedstock that is already used in efficient heat or power production. The use of waste feedstocks also helps make these technologies </w:t>
      </w:r>
      <w:r w:rsidR="00D5409E" w:rsidRPr="006767C5">
        <w:rPr>
          <w:rFonts w:ascii="Open Sans" w:hAnsi="Open Sans" w:cs="Open Sans"/>
          <w:sz w:val="20"/>
          <w:szCs w:val="20"/>
        </w:rPr>
        <w:t>m</w:t>
      </w:r>
      <w:r w:rsidR="008601CD" w:rsidRPr="006767C5">
        <w:rPr>
          <w:rFonts w:ascii="Open Sans" w:hAnsi="Open Sans" w:cs="Open Sans"/>
          <w:sz w:val="20"/>
          <w:szCs w:val="20"/>
        </w:rPr>
        <w:t xml:space="preserve">ore commercially viable as the gate fee on waste provides a </w:t>
      </w:r>
      <w:r w:rsidR="00D5409E" w:rsidRPr="006767C5">
        <w:rPr>
          <w:rFonts w:ascii="Open Sans" w:hAnsi="Open Sans" w:cs="Open Sans"/>
          <w:sz w:val="20"/>
          <w:szCs w:val="20"/>
        </w:rPr>
        <w:t>significant</w:t>
      </w:r>
      <w:r w:rsidR="008601CD" w:rsidRPr="006767C5">
        <w:rPr>
          <w:rFonts w:ascii="Open Sans" w:hAnsi="Open Sans" w:cs="Open Sans"/>
          <w:sz w:val="20"/>
          <w:szCs w:val="20"/>
        </w:rPr>
        <w:t xml:space="preserve"> revenue stream helping to build </w:t>
      </w:r>
      <w:r w:rsidR="00D5409E" w:rsidRPr="006767C5">
        <w:rPr>
          <w:rFonts w:ascii="Open Sans" w:hAnsi="Open Sans" w:cs="Open Sans"/>
          <w:sz w:val="20"/>
          <w:szCs w:val="20"/>
        </w:rPr>
        <w:t xml:space="preserve">a </w:t>
      </w:r>
      <w:r w:rsidR="008601CD" w:rsidRPr="006767C5">
        <w:rPr>
          <w:rFonts w:ascii="Open Sans" w:hAnsi="Open Sans" w:cs="Open Sans"/>
          <w:sz w:val="20"/>
          <w:szCs w:val="20"/>
        </w:rPr>
        <w:t xml:space="preserve">viable commercial offer. Government should continue to support the deployment of ACT technologies using RDF and MSW, as a route to establishing the sector and </w:t>
      </w:r>
      <w:r w:rsidR="00D5409E" w:rsidRPr="006767C5">
        <w:rPr>
          <w:rFonts w:ascii="Open Sans" w:hAnsi="Open Sans" w:cs="Open Sans"/>
          <w:sz w:val="20"/>
          <w:szCs w:val="20"/>
        </w:rPr>
        <w:t>lowering</w:t>
      </w:r>
      <w:r w:rsidR="008601CD" w:rsidRPr="006767C5">
        <w:rPr>
          <w:rFonts w:ascii="Open Sans" w:hAnsi="Open Sans" w:cs="Open Sans"/>
          <w:sz w:val="20"/>
          <w:szCs w:val="20"/>
        </w:rPr>
        <w:t xml:space="preserve"> cost, after which it the sector may </w:t>
      </w:r>
      <w:r w:rsidR="00D5409E" w:rsidRPr="006767C5">
        <w:rPr>
          <w:rFonts w:ascii="Open Sans" w:hAnsi="Open Sans" w:cs="Open Sans"/>
          <w:sz w:val="20"/>
          <w:szCs w:val="20"/>
        </w:rPr>
        <w:t xml:space="preserve">be able to </w:t>
      </w:r>
      <w:r w:rsidR="00C45ED5" w:rsidRPr="006767C5">
        <w:rPr>
          <w:rFonts w:ascii="Open Sans" w:hAnsi="Open Sans" w:cs="Open Sans"/>
          <w:sz w:val="20"/>
          <w:szCs w:val="20"/>
        </w:rPr>
        <w:t>switch to</w:t>
      </w:r>
      <w:r w:rsidR="008601CD" w:rsidRPr="006767C5">
        <w:rPr>
          <w:rFonts w:ascii="Open Sans" w:hAnsi="Open Sans" w:cs="Open Sans"/>
          <w:sz w:val="20"/>
          <w:szCs w:val="20"/>
        </w:rPr>
        <w:t xml:space="preserve"> biomass </w:t>
      </w:r>
      <w:r w:rsidR="00D5409E" w:rsidRPr="006767C5">
        <w:rPr>
          <w:rFonts w:ascii="Open Sans" w:hAnsi="Open Sans" w:cs="Open Sans"/>
          <w:sz w:val="20"/>
          <w:szCs w:val="20"/>
        </w:rPr>
        <w:t>feedstocks</w:t>
      </w:r>
      <w:r w:rsidR="008601CD" w:rsidRPr="006767C5">
        <w:rPr>
          <w:rFonts w:ascii="Open Sans" w:hAnsi="Open Sans" w:cs="Open Sans"/>
          <w:sz w:val="20"/>
          <w:szCs w:val="20"/>
        </w:rPr>
        <w:t xml:space="preserve">. </w:t>
      </w:r>
    </w:p>
    <w:p w14:paraId="50591AC5" w14:textId="0564D0E3" w:rsidR="00C45ED5" w:rsidRPr="006767C5" w:rsidRDefault="00C45ED5" w:rsidP="00964C3A">
      <w:pPr>
        <w:pStyle w:val="ListParagraph"/>
        <w:ind w:left="0"/>
        <w:rPr>
          <w:rFonts w:ascii="Open Sans" w:hAnsi="Open Sans" w:cs="Open Sans"/>
          <w:sz w:val="20"/>
          <w:szCs w:val="20"/>
        </w:rPr>
      </w:pPr>
    </w:p>
    <w:p w14:paraId="07AE355D" w14:textId="4C74F4F4" w:rsidR="00C45ED5" w:rsidRPr="006767C5" w:rsidRDefault="00C45ED5" w:rsidP="00964C3A">
      <w:pPr>
        <w:pStyle w:val="ListParagraph"/>
        <w:ind w:left="0"/>
        <w:rPr>
          <w:rFonts w:ascii="Open Sans" w:hAnsi="Open Sans" w:cs="Open Sans"/>
          <w:sz w:val="20"/>
          <w:szCs w:val="20"/>
        </w:rPr>
      </w:pPr>
      <w:r w:rsidRPr="006767C5">
        <w:rPr>
          <w:rFonts w:ascii="Open Sans" w:hAnsi="Open Sans" w:cs="Open Sans"/>
          <w:sz w:val="20"/>
          <w:szCs w:val="20"/>
        </w:rPr>
        <w:t xml:space="preserve">Given the above, development of energy policy for development of the ACT sector must coordinate with both the implementation of the </w:t>
      </w:r>
      <w:r w:rsidR="003C2F4C" w:rsidRPr="006767C5">
        <w:rPr>
          <w:rFonts w:ascii="Open Sans" w:hAnsi="Open Sans" w:cs="Open Sans"/>
          <w:sz w:val="20"/>
          <w:szCs w:val="20"/>
        </w:rPr>
        <w:t>g</w:t>
      </w:r>
      <w:r w:rsidRPr="006767C5">
        <w:rPr>
          <w:rFonts w:ascii="Open Sans" w:hAnsi="Open Sans" w:cs="Open Sans"/>
          <w:sz w:val="20"/>
          <w:szCs w:val="20"/>
        </w:rPr>
        <w:t xml:space="preserve">overnment Waste and Resource Strategy, administered by DEFRA, and development of the RTFO and Jet Zero Council, administered by </w:t>
      </w:r>
      <w:proofErr w:type="spellStart"/>
      <w:r w:rsidRPr="006767C5">
        <w:rPr>
          <w:rFonts w:ascii="Open Sans" w:hAnsi="Open Sans" w:cs="Open Sans"/>
          <w:sz w:val="20"/>
          <w:szCs w:val="20"/>
        </w:rPr>
        <w:t>DfT.</w:t>
      </w:r>
      <w:proofErr w:type="spellEnd"/>
      <w:r w:rsidRPr="006767C5">
        <w:rPr>
          <w:rFonts w:ascii="Open Sans" w:hAnsi="Open Sans" w:cs="Open Sans"/>
          <w:sz w:val="20"/>
          <w:szCs w:val="20"/>
        </w:rPr>
        <w:t xml:space="preserve"> Like all areas of bioenergy, ACT deployment especially requires cross-Whitehall collaboration.  </w:t>
      </w:r>
    </w:p>
    <w:p w14:paraId="4832B8AA" w14:textId="1D3AF624" w:rsidR="008601CD" w:rsidRPr="006767C5" w:rsidRDefault="008601CD" w:rsidP="00964C3A">
      <w:pPr>
        <w:pStyle w:val="ListParagraph"/>
        <w:ind w:left="0"/>
        <w:rPr>
          <w:rFonts w:ascii="Open Sans" w:hAnsi="Open Sans" w:cs="Open Sans"/>
          <w:sz w:val="20"/>
          <w:szCs w:val="20"/>
        </w:rPr>
      </w:pPr>
    </w:p>
    <w:p w14:paraId="7A0189CF" w14:textId="70905929" w:rsidR="00D5409E" w:rsidRPr="006767C5" w:rsidRDefault="00D5409E" w:rsidP="00964C3A">
      <w:pPr>
        <w:pStyle w:val="ListParagraph"/>
        <w:ind w:left="0"/>
        <w:rPr>
          <w:rFonts w:ascii="Open Sans" w:hAnsi="Open Sans" w:cs="Open Sans"/>
          <w:b/>
          <w:bCs/>
          <w:i/>
          <w:iCs/>
          <w:sz w:val="20"/>
          <w:szCs w:val="20"/>
        </w:rPr>
      </w:pPr>
      <w:r w:rsidRPr="006767C5">
        <w:rPr>
          <w:rFonts w:ascii="Open Sans" w:hAnsi="Open Sans" w:cs="Open Sans"/>
          <w:b/>
          <w:bCs/>
          <w:i/>
          <w:iCs/>
          <w:sz w:val="20"/>
          <w:szCs w:val="20"/>
        </w:rPr>
        <w:t xml:space="preserve">The </w:t>
      </w:r>
      <w:r w:rsidR="00C45ED5" w:rsidRPr="006767C5">
        <w:rPr>
          <w:rFonts w:ascii="Open Sans" w:hAnsi="Open Sans" w:cs="Open Sans"/>
          <w:b/>
          <w:bCs/>
          <w:i/>
          <w:iCs/>
          <w:sz w:val="20"/>
          <w:szCs w:val="20"/>
        </w:rPr>
        <w:t xml:space="preserve">environmental </w:t>
      </w:r>
      <w:r w:rsidRPr="006767C5">
        <w:rPr>
          <w:rFonts w:ascii="Open Sans" w:hAnsi="Open Sans" w:cs="Open Sans"/>
          <w:b/>
          <w:bCs/>
          <w:i/>
          <w:iCs/>
          <w:sz w:val="20"/>
          <w:szCs w:val="20"/>
        </w:rPr>
        <w:t xml:space="preserve">regulatory regime for ACT’s must be improved, with funding provided to the Environment </w:t>
      </w:r>
      <w:r w:rsidR="00C45ED5" w:rsidRPr="006767C5">
        <w:rPr>
          <w:rFonts w:ascii="Open Sans" w:hAnsi="Open Sans" w:cs="Open Sans"/>
          <w:b/>
          <w:bCs/>
          <w:i/>
          <w:iCs/>
          <w:sz w:val="20"/>
          <w:szCs w:val="20"/>
        </w:rPr>
        <w:t>A</w:t>
      </w:r>
      <w:r w:rsidRPr="006767C5">
        <w:rPr>
          <w:rFonts w:ascii="Open Sans" w:hAnsi="Open Sans" w:cs="Open Sans"/>
          <w:b/>
          <w:bCs/>
          <w:i/>
          <w:iCs/>
          <w:sz w:val="20"/>
          <w:szCs w:val="20"/>
        </w:rPr>
        <w:t xml:space="preserve">gency to develop a fit for purpose regime. </w:t>
      </w:r>
    </w:p>
    <w:p w14:paraId="62FDD3CF" w14:textId="0E542E7D" w:rsidR="00D5409E" w:rsidRPr="006767C5" w:rsidRDefault="00D5409E" w:rsidP="00D5409E">
      <w:pPr>
        <w:rPr>
          <w:rFonts w:ascii="Open Sans" w:hAnsi="Open Sans" w:cs="Open Sans"/>
          <w:sz w:val="20"/>
          <w:szCs w:val="20"/>
        </w:rPr>
      </w:pPr>
      <w:r w:rsidRPr="006767C5">
        <w:rPr>
          <w:rFonts w:ascii="Open Sans" w:hAnsi="Open Sans" w:cs="Open Sans"/>
          <w:sz w:val="20"/>
          <w:szCs w:val="20"/>
        </w:rPr>
        <w:t xml:space="preserve">A major barrier to the further deployment and development of advanced conversion technologies (ACTs) remains having a suitable environmental regulatory scheme in place to effectively support the sector. With most ACT developments currently focused on the gasification of RDF, such sites </w:t>
      </w:r>
      <w:r w:rsidR="00C36567" w:rsidRPr="006767C5">
        <w:rPr>
          <w:rFonts w:ascii="Open Sans" w:hAnsi="Open Sans" w:cs="Open Sans"/>
          <w:sz w:val="20"/>
          <w:szCs w:val="20"/>
        </w:rPr>
        <w:t>are regulated</w:t>
      </w:r>
      <w:r w:rsidRPr="006767C5">
        <w:rPr>
          <w:rFonts w:ascii="Open Sans" w:hAnsi="Open Sans" w:cs="Open Sans"/>
          <w:sz w:val="20"/>
          <w:szCs w:val="20"/>
        </w:rPr>
        <w:t xml:space="preserve"> under the same rules as energy from waste incineration sites, determined by </w:t>
      </w:r>
      <w:r w:rsidR="00C36567" w:rsidRPr="006767C5">
        <w:rPr>
          <w:rFonts w:ascii="Open Sans" w:hAnsi="Open Sans" w:cs="Open Sans"/>
          <w:sz w:val="20"/>
          <w:szCs w:val="20"/>
        </w:rPr>
        <w:t>C</w:t>
      </w:r>
      <w:r w:rsidRPr="006767C5">
        <w:rPr>
          <w:rFonts w:ascii="Open Sans" w:hAnsi="Open Sans" w:cs="Open Sans"/>
          <w:sz w:val="20"/>
          <w:szCs w:val="20"/>
        </w:rPr>
        <w:t xml:space="preserve">hapter </w:t>
      </w:r>
      <w:r w:rsidR="00C36567" w:rsidRPr="006767C5">
        <w:rPr>
          <w:rFonts w:ascii="Open Sans" w:hAnsi="Open Sans" w:cs="Open Sans"/>
          <w:sz w:val="20"/>
          <w:szCs w:val="20"/>
        </w:rPr>
        <w:t>IV</w:t>
      </w:r>
      <w:r w:rsidRPr="006767C5">
        <w:rPr>
          <w:rFonts w:ascii="Open Sans" w:hAnsi="Open Sans" w:cs="Open Sans"/>
          <w:sz w:val="20"/>
          <w:szCs w:val="20"/>
        </w:rPr>
        <w:t xml:space="preserve"> of the Industrial Emissions Directive, despite being a fundamentally different technology with very different end-products. </w:t>
      </w:r>
    </w:p>
    <w:p w14:paraId="749FABC1" w14:textId="77777777" w:rsidR="00C45ED5" w:rsidRPr="006767C5" w:rsidRDefault="00D5409E" w:rsidP="00D5409E">
      <w:pPr>
        <w:rPr>
          <w:rFonts w:ascii="Open Sans" w:hAnsi="Open Sans" w:cs="Open Sans"/>
          <w:sz w:val="20"/>
          <w:szCs w:val="20"/>
        </w:rPr>
      </w:pPr>
      <w:r w:rsidRPr="006767C5">
        <w:rPr>
          <w:rFonts w:ascii="Open Sans" w:hAnsi="Open Sans" w:cs="Open Sans"/>
          <w:sz w:val="20"/>
          <w:szCs w:val="20"/>
        </w:rPr>
        <w:t xml:space="preserve">The Environment Agency have made attempts to start to reform the regulatory approach for </w:t>
      </w:r>
      <w:r w:rsidR="00C36567" w:rsidRPr="006767C5">
        <w:rPr>
          <w:rFonts w:ascii="Open Sans" w:hAnsi="Open Sans" w:cs="Open Sans"/>
          <w:sz w:val="20"/>
          <w:szCs w:val="20"/>
        </w:rPr>
        <w:t>ACT’s</w:t>
      </w:r>
      <w:r w:rsidRPr="006767C5">
        <w:rPr>
          <w:rFonts w:ascii="Open Sans" w:hAnsi="Open Sans" w:cs="Open Sans"/>
          <w:sz w:val="20"/>
          <w:szCs w:val="20"/>
        </w:rPr>
        <w:t>, specifically where</w:t>
      </w:r>
      <w:r w:rsidR="00C45ED5" w:rsidRPr="006767C5">
        <w:rPr>
          <w:rFonts w:ascii="Open Sans" w:hAnsi="Open Sans" w:cs="Open Sans"/>
          <w:sz w:val="20"/>
          <w:szCs w:val="20"/>
        </w:rPr>
        <w:t>:</w:t>
      </w:r>
    </w:p>
    <w:p w14:paraId="7DED1621" w14:textId="77777777" w:rsidR="00C45ED5" w:rsidRPr="006767C5" w:rsidRDefault="00D5409E" w:rsidP="00C45ED5">
      <w:pPr>
        <w:pStyle w:val="ListParagraph"/>
        <w:numPr>
          <w:ilvl w:val="0"/>
          <w:numId w:val="30"/>
        </w:numPr>
        <w:rPr>
          <w:rFonts w:ascii="Open Sans" w:hAnsi="Open Sans" w:cs="Open Sans"/>
          <w:sz w:val="20"/>
          <w:szCs w:val="20"/>
        </w:rPr>
      </w:pPr>
      <w:r w:rsidRPr="006767C5">
        <w:rPr>
          <w:rFonts w:ascii="Open Sans" w:hAnsi="Open Sans" w:cs="Open Sans"/>
          <w:sz w:val="20"/>
          <w:szCs w:val="20"/>
        </w:rPr>
        <w:t xml:space="preserve">end-of-waste status is achieved on the </w:t>
      </w:r>
      <w:proofErr w:type="spellStart"/>
      <w:r w:rsidRPr="006767C5">
        <w:rPr>
          <w:rFonts w:ascii="Open Sans" w:hAnsi="Open Sans" w:cs="Open Sans"/>
          <w:sz w:val="20"/>
          <w:szCs w:val="20"/>
        </w:rPr>
        <w:t>syn</w:t>
      </w:r>
      <w:proofErr w:type="spellEnd"/>
      <w:r w:rsidR="00C36567" w:rsidRPr="006767C5">
        <w:rPr>
          <w:rFonts w:ascii="Open Sans" w:hAnsi="Open Sans" w:cs="Open Sans"/>
          <w:sz w:val="20"/>
          <w:szCs w:val="20"/>
        </w:rPr>
        <w:t>-</w:t>
      </w:r>
      <w:proofErr w:type="gramStart"/>
      <w:r w:rsidRPr="006767C5">
        <w:rPr>
          <w:rFonts w:ascii="Open Sans" w:hAnsi="Open Sans" w:cs="Open Sans"/>
          <w:sz w:val="20"/>
          <w:szCs w:val="20"/>
        </w:rPr>
        <w:t>product</w:t>
      </w:r>
      <w:proofErr w:type="gramEnd"/>
      <w:r w:rsidRPr="006767C5">
        <w:rPr>
          <w:rFonts w:ascii="Open Sans" w:hAnsi="Open Sans" w:cs="Open Sans"/>
          <w:sz w:val="20"/>
          <w:szCs w:val="20"/>
        </w:rPr>
        <w:t xml:space="preserve"> </w:t>
      </w:r>
    </w:p>
    <w:p w14:paraId="2ECB5520" w14:textId="7CAB826A" w:rsidR="00C36567" w:rsidRPr="006767C5" w:rsidRDefault="00C45ED5" w:rsidP="00C45ED5">
      <w:pPr>
        <w:pStyle w:val="ListParagraph"/>
        <w:numPr>
          <w:ilvl w:val="0"/>
          <w:numId w:val="30"/>
        </w:numPr>
        <w:rPr>
          <w:rFonts w:ascii="Open Sans" w:hAnsi="Open Sans" w:cs="Open Sans"/>
          <w:sz w:val="20"/>
          <w:szCs w:val="20"/>
        </w:rPr>
      </w:pPr>
      <w:r w:rsidRPr="006767C5">
        <w:rPr>
          <w:rFonts w:ascii="Open Sans" w:hAnsi="Open Sans" w:cs="Open Sans"/>
          <w:sz w:val="20"/>
          <w:szCs w:val="20"/>
        </w:rPr>
        <w:t>W</w:t>
      </w:r>
      <w:r w:rsidR="00D5409E" w:rsidRPr="006767C5">
        <w:rPr>
          <w:rFonts w:ascii="Open Sans" w:hAnsi="Open Sans" w:cs="Open Sans"/>
          <w:sz w:val="20"/>
          <w:szCs w:val="20"/>
        </w:rPr>
        <w:t xml:space="preserve">here the particulate emissions from the use of </w:t>
      </w:r>
      <w:r w:rsidR="00C36567" w:rsidRPr="006767C5">
        <w:rPr>
          <w:rFonts w:ascii="Open Sans" w:hAnsi="Open Sans" w:cs="Open Sans"/>
          <w:sz w:val="20"/>
          <w:szCs w:val="20"/>
        </w:rPr>
        <w:t>that product</w:t>
      </w:r>
      <w:r w:rsidR="00D5409E" w:rsidRPr="006767C5">
        <w:rPr>
          <w:rFonts w:ascii="Open Sans" w:hAnsi="Open Sans" w:cs="Open Sans"/>
          <w:sz w:val="20"/>
          <w:szCs w:val="20"/>
        </w:rPr>
        <w:t xml:space="preserve"> is no worse than a fossil fuel comparator. </w:t>
      </w:r>
    </w:p>
    <w:p w14:paraId="4B35187E" w14:textId="4D355099" w:rsidR="00D5409E" w:rsidRPr="006767C5" w:rsidRDefault="00C36567" w:rsidP="00D5409E">
      <w:pPr>
        <w:rPr>
          <w:rFonts w:ascii="Open Sans" w:hAnsi="Open Sans" w:cs="Open Sans"/>
          <w:sz w:val="20"/>
          <w:szCs w:val="20"/>
        </w:rPr>
      </w:pPr>
      <w:r w:rsidRPr="006767C5">
        <w:rPr>
          <w:rFonts w:ascii="Open Sans" w:hAnsi="Open Sans" w:cs="Open Sans"/>
          <w:sz w:val="20"/>
          <w:szCs w:val="20"/>
        </w:rPr>
        <w:t>However,</w:t>
      </w:r>
      <w:r w:rsidR="00D5409E" w:rsidRPr="006767C5">
        <w:rPr>
          <w:rFonts w:ascii="Open Sans" w:hAnsi="Open Sans" w:cs="Open Sans"/>
          <w:sz w:val="20"/>
          <w:szCs w:val="20"/>
        </w:rPr>
        <w:t xml:space="preserve"> a lack of funding f</w:t>
      </w:r>
      <w:r w:rsidR="00C45ED5" w:rsidRPr="006767C5">
        <w:rPr>
          <w:rFonts w:ascii="Open Sans" w:hAnsi="Open Sans" w:cs="Open Sans"/>
          <w:sz w:val="20"/>
          <w:szCs w:val="20"/>
        </w:rPr>
        <w:t>or</w:t>
      </w:r>
      <w:r w:rsidR="00D5409E" w:rsidRPr="006767C5">
        <w:rPr>
          <w:rFonts w:ascii="Open Sans" w:hAnsi="Open Sans" w:cs="Open Sans"/>
          <w:sz w:val="20"/>
          <w:szCs w:val="20"/>
        </w:rPr>
        <w:t xml:space="preserve"> the </w:t>
      </w:r>
      <w:r w:rsidRPr="006767C5">
        <w:rPr>
          <w:rFonts w:ascii="Open Sans" w:hAnsi="Open Sans" w:cs="Open Sans"/>
          <w:sz w:val="20"/>
          <w:szCs w:val="20"/>
        </w:rPr>
        <w:t>EA</w:t>
      </w:r>
      <w:r w:rsidR="00D5409E" w:rsidRPr="006767C5">
        <w:rPr>
          <w:rFonts w:ascii="Open Sans" w:hAnsi="Open Sans" w:cs="Open Sans"/>
          <w:sz w:val="20"/>
          <w:szCs w:val="20"/>
        </w:rPr>
        <w:t xml:space="preserve"> means </w:t>
      </w:r>
      <w:r w:rsidRPr="006767C5">
        <w:rPr>
          <w:rFonts w:ascii="Open Sans" w:hAnsi="Open Sans" w:cs="Open Sans"/>
          <w:sz w:val="20"/>
          <w:szCs w:val="20"/>
        </w:rPr>
        <w:t>the</w:t>
      </w:r>
      <w:r w:rsidR="00D5409E" w:rsidRPr="006767C5">
        <w:rPr>
          <w:rFonts w:ascii="Open Sans" w:hAnsi="Open Sans" w:cs="Open Sans"/>
          <w:sz w:val="20"/>
          <w:szCs w:val="20"/>
        </w:rPr>
        <w:t xml:space="preserve"> End-of-Waste </w:t>
      </w:r>
      <w:r w:rsidRPr="006767C5">
        <w:rPr>
          <w:rFonts w:ascii="Open Sans" w:hAnsi="Open Sans" w:cs="Open Sans"/>
          <w:sz w:val="20"/>
          <w:szCs w:val="20"/>
        </w:rPr>
        <w:t>P</w:t>
      </w:r>
      <w:r w:rsidR="00D5409E" w:rsidRPr="006767C5">
        <w:rPr>
          <w:rFonts w:ascii="Open Sans" w:hAnsi="Open Sans" w:cs="Open Sans"/>
          <w:sz w:val="20"/>
          <w:szCs w:val="20"/>
        </w:rPr>
        <w:t xml:space="preserve">anel </w:t>
      </w:r>
      <w:r w:rsidRPr="006767C5">
        <w:rPr>
          <w:rFonts w:ascii="Open Sans" w:hAnsi="Open Sans" w:cs="Open Sans"/>
          <w:sz w:val="20"/>
          <w:szCs w:val="20"/>
        </w:rPr>
        <w:t xml:space="preserve">does not currently function, </w:t>
      </w:r>
      <w:r w:rsidR="003C2F4C" w:rsidRPr="006767C5">
        <w:rPr>
          <w:rFonts w:ascii="Open Sans" w:hAnsi="Open Sans" w:cs="Open Sans"/>
          <w:sz w:val="20"/>
          <w:szCs w:val="20"/>
        </w:rPr>
        <w:t xml:space="preserve">creating uncertainties for developers around </w:t>
      </w:r>
      <w:r w:rsidRPr="006767C5">
        <w:rPr>
          <w:rFonts w:ascii="Open Sans" w:hAnsi="Open Sans" w:cs="Open Sans"/>
          <w:sz w:val="20"/>
          <w:szCs w:val="20"/>
        </w:rPr>
        <w:t xml:space="preserve">end products. At the same </w:t>
      </w:r>
      <w:proofErr w:type="gramStart"/>
      <w:r w:rsidRPr="006767C5">
        <w:rPr>
          <w:rFonts w:ascii="Open Sans" w:hAnsi="Open Sans" w:cs="Open Sans"/>
          <w:sz w:val="20"/>
          <w:szCs w:val="20"/>
        </w:rPr>
        <w:t>time</w:t>
      </w:r>
      <w:proofErr w:type="gramEnd"/>
      <w:r w:rsidRPr="006767C5">
        <w:rPr>
          <w:rFonts w:ascii="Open Sans" w:hAnsi="Open Sans" w:cs="Open Sans"/>
          <w:sz w:val="20"/>
          <w:szCs w:val="20"/>
        </w:rPr>
        <w:t xml:space="preserve"> the EA </w:t>
      </w:r>
      <w:r w:rsidR="003C2F4C" w:rsidRPr="006767C5">
        <w:rPr>
          <w:rFonts w:ascii="Open Sans" w:hAnsi="Open Sans" w:cs="Open Sans"/>
          <w:sz w:val="20"/>
          <w:szCs w:val="20"/>
        </w:rPr>
        <w:t>also lack</w:t>
      </w:r>
      <w:r w:rsidRPr="006767C5">
        <w:rPr>
          <w:rFonts w:ascii="Open Sans" w:hAnsi="Open Sans" w:cs="Open Sans"/>
          <w:sz w:val="20"/>
          <w:szCs w:val="20"/>
        </w:rPr>
        <w:t xml:space="preserve"> the funding to commission new research on particulate emission values</w:t>
      </w:r>
      <w:r w:rsidR="003C2F4C" w:rsidRPr="006767C5">
        <w:rPr>
          <w:rFonts w:ascii="Open Sans" w:hAnsi="Open Sans" w:cs="Open Sans"/>
          <w:sz w:val="20"/>
          <w:szCs w:val="20"/>
        </w:rPr>
        <w:t xml:space="preserve"> for</w:t>
      </w:r>
      <w:r w:rsidRPr="006767C5">
        <w:rPr>
          <w:rFonts w:ascii="Open Sans" w:hAnsi="Open Sans" w:cs="Open Sans"/>
          <w:sz w:val="20"/>
          <w:szCs w:val="20"/>
        </w:rPr>
        <w:t xml:space="preserve"> fossil comparators for gas or oil</w:t>
      </w:r>
      <w:r w:rsidR="003C2F4C" w:rsidRPr="006767C5">
        <w:rPr>
          <w:rFonts w:ascii="Open Sans" w:hAnsi="Open Sans" w:cs="Open Sans"/>
          <w:sz w:val="20"/>
          <w:szCs w:val="20"/>
        </w:rPr>
        <w:t xml:space="preserve">, </w:t>
      </w:r>
      <w:r w:rsidRPr="006767C5">
        <w:rPr>
          <w:rFonts w:ascii="Open Sans" w:hAnsi="Open Sans" w:cs="Open Sans"/>
          <w:sz w:val="20"/>
          <w:szCs w:val="20"/>
        </w:rPr>
        <w:t xml:space="preserve">against which to regulate new ACT developments. </w:t>
      </w:r>
    </w:p>
    <w:p w14:paraId="04CA3940" w14:textId="05FA318B" w:rsidR="00C36567" w:rsidRPr="006767C5" w:rsidRDefault="00C36567" w:rsidP="00D5409E">
      <w:pPr>
        <w:rPr>
          <w:rFonts w:ascii="Open Sans" w:hAnsi="Open Sans" w:cs="Open Sans"/>
          <w:sz w:val="20"/>
          <w:szCs w:val="20"/>
        </w:rPr>
      </w:pPr>
      <w:r w:rsidRPr="006767C5">
        <w:rPr>
          <w:rFonts w:ascii="Open Sans" w:hAnsi="Open Sans" w:cs="Open Sans"/>
          <w:sz w:val="20"/>
          <w:szCs w:val="20"/>
        </w:rPr>
        <w:t>As</w:t>
      </w:r>
      <w:r w:rsidR="003C2F4C" w:rsidRPr="006767C5">
        <w:rPr>
          <w:rFonts w:ascii="Open Sans" w:hAnsi="Open Sans" w:cs="Open Sans"/>
          <w:sz w:val="20"/>
          <w:szCs w:val="20"/>
        </w:rPr>
        <w:t xml:space="preserve"> a</w:t>
      </w:r>
      <w:r w:rsidRPr="006767C5">
        <w:rPr>
          <w:rFonts w:ascii="Open Sans" w:hAnsi="Open Sans" w:cs="Open Sans"/>
          <w:sz w:val="20"/>
          <w:szCs w:val="20"/>
        </w:rPr>
        <w:t xml:space="preserve"> </w:t>
      </w:r>
      <w:r w:rsidR="003C2F4C" w:rsidRPr="006767C5">
        <w:rPr>
          <w:rFonts w:ascii="Open Sans" w:hAnsi="Open Sans" w:cs="Open Sans"/>
          <w:sz w:val="20"/>
          <w:szCs w:val="20"/>
        </w:rPr>
        <w:t>result,</w:t>
      </w:r>
      <w:r w:rsidRPr="006767C5">
        <w:rPr>
          <w:rFonts w:ascii="Open Sans" w:hAnsi="Open Sans" w:cs="Open Sans"/>
          <w:sz w:val="20"/>
          <w:szCs w:val="20"/>
        </w:rPr>
        <w:t xml:space="preserve"> the regulatory regime for ACT’s remains both confusing and not fit for purpose. The EA have expressed interest in addressing these issues but require the funding to do so. This should be addressed by government and industry as a matter of urgency. </w:t>
      </w:r>
    </w:p>
    <w:p w14:paraId="4D9CC4F7" w14:textId="5542DC56" w:rsidR="00C45ED5" w:rsidRPr="006767C5" w:rsidRDefault="00C45ED5" w:rsidP="00964C3A">
      <w:pPr>
        <w:pStyle w:val="ListParagraph"/>
        <w:ind w:left="0"/>
        <w:rPr>
          <w:rFonts w:ascii="Open Sans" w:hAnsi="Open Sans" w:cs="Open Sans"/>
          <w:b/>
          <w:bCs/>
          <w:i/>
          <w:iCs/>
          <w:sz w:val="20"/>
          <w:szCs w:val="20"/>
        </w:rPr>
      </w:pPr>
      <w:r w:rsidRPr="006767C5">
        <w:rPr>
          <w:rFonts w:ascii="Open Sans" w:hAnsi="Open Sans" w:cs="Open Sans"/>
          <w:b/>
          <w:bCs/>
          <w:i/>
          <w:iCs/>
          <w:sz w:val="20"/>
          <w:szCs w:val="20"/>
        </w:rPr>
        <w:t>Development of viable end-product markets must be established to drive ACT deployment.</w:t>
      </w:r>
    </w:p>
    <w:p w14:paraId="735C1660" w14:textId="6CB9638B" w:rsidR="00964C3A" w:rsidRPr="006767C5" w:rsidRDefault="00964C3A" w:rsidP="00964C3A">
      <w:pPr>
        <w:pStyle w:val="ListParagraph"/>
        <w:ind w:left="0"/>
        <w:rPr>
          <w:rFonts w:ascii="Open Sans" w:hAnsi="Open Sans" w:cs="Open Sans"/>
          <w:i/>
          <w:iCs/>
          <w:sz w:val="20"/>
          <w:szCs w:val="20"/>
          <w:u w:val="single"/>
        </w:rPr>
      </w:pPr>
    </w:p>
    <w:p w14:paraId="32876192" w14:textId="0C615E18" w:rsidR="00EA3705" w:rsidRDefault="00C45ED5" w:rsidP="00DD089F">
      <w:pPr>
        <w:pStyle w:val="ListParagraph"/>
        <w:ind w:left="0"/>
        <w:rPr>
          <w:rFonts w:ascii="Open Sans" w:hAnsi="Open Sans" w:cs="Open Sans"/>
          <w:sz w:val="20"/>
          <w:szCs w:val="20"/>
        </w:rPr>
      </w:pPr>
      <w:r w:rsidRPr="006767C5">
        <w:rPr>
          <w:rFonts w:ascii="Open Sans" w:hAnsi="Open Sans" w:cs="Open Sans"/>
          <w:sz w:val="20"/>
          <w:szCs w:val="20"/>
        </w:rPr>
        <w:t xml:space="preserve">Crucial to the success </w:t>
      </w:r>
      <w:r w:rsidR="00DD089F" w:rsidRPr="006767C5">
        <w:rPr>
          <w:rFonts w:ascii="Open Sans" w:hAnsi="Open Sans" w:cs="Open Sans"/>
          <w:sz w:val="20"/>
          <w:szCs w:val="20"/>
        </w:rPr>
        <w:t xml:space="preserve">of establishing an ACT sector in the UK is ensuring the development of significant demand for desirable end-products, including sustainable aviation fuels, biofuels for use in transport or heating, hydrogen and </w:t>
      </w:r>
      <w:proofErr w:type="spellStart"/>
      <w:r w:rsidR="00DD089F" w:rsidRPr="006767C5">
        <w:rPr>
          <w:rFonts w:ascii="Open Sans" w:hAnsi="Open Sans" w:cs="Open Sans"/>
          <w:sz w:val="20"/>
          <w:szCs w:val="20"/>
        </w:rPr>
        <w:t>byproducts</w:t>
      </w:r>
      <w:proofErr w:type="spellEnd"/>
      <w:r w:rsidR="00DD089F" w:rsidRPr="006767C5">
        <w:rPr>
          <w:rFonts w:ascii="Open Sans" w:hAnsi="Open Sans" w:cs="Open Sans"/>
          <w:sz w:val="20"/>
          <w:szCs w:val="20"/>
        </w:rPr>
        <w:t xml:space="preserve"> like biochar or negative emissions. Establishment of these markets through obligation mechanisms like the RTFO, </w:t>
      </w:r>
      <w:r w:rsidR="003C2F4C" w:rsidRPr="006767C5">
        <w:rPr>
          <w:rFonts w:ascii="Open Sans" w:hAnsi="Open Sans" w:cs="Open Sans"/>
          <w:sz w:val="20"/>
          <w:szCs w:val="20"/>
        </w:rPr>
        <w:t xml:space="preserve">heat </w:t>
      </w:r>
      <w:r w:rsidR="00DD089F" w:rsidRPr="006767C5">
        <w:rPr>
          <w:rFonts w:ascii="Open Sans" w:hAnsi="Open Sans" w:cs="Open Sans"/>
          <w:sz w:val="20"/>
          <w:szCs w:val="20"/>
        </w:rPr>
        <w:t xml:space="preserve">fuel switching support or a market for negative emissions, will help to secure business models against which developers and financiers can </w:t>
      </w:r>
      <w:r w:rsidR="003C2F4C" w:rsidRPr="006767C5">
        <w:rPr>
          <w:rFonts w:ascii="Open Sans" w:hAnsi="Open Sans" w:cs="Open Sans"/>
          <w:sz w:val="20"/>
          <w:szCs w:val="20"/>
        </w:rPr>
        <w:t xml:space="preserve">start to develop new projects. </w:t>
      </w:r>
    </w:p>
    <w:p w14:paraId="0E6381EF" w14:textId="1A7C5EAE" w:rsidR="00F52B93" w:rsidRDefault="00F52B93" w:rsidP="00DD089F">
      <w:pPr>
        <w:pStyle w:val="ListParagraph"/>
        <w:pBdr>
          <w:bottom w:val="single" w:sz="6" w:space="1" w:color="auto"/>
        </w:pBdr>
        <w:ind w:left="0"/>
        <w:rPr>
          <w:rFonts w:ascii="Open Sans" w:hAnsi="Open Sans" w:cs="Open Sans"/>
          <w:sz w:val="20"/>
          <w:szCs w:val="20"/>
        </w:rPr>
      </w:pPr>
    </w:p>
    <w:p w14:paraId="595F6F14" w14:textId="4BCA6EFA" w:rsidR="00EA3705" w:rsidRPr="006767C5" w:rsidRDefault="00EA3705" w:rsidP="00EA3705">
      <w:pPr>
        <w:spacing w:after="0" w:line="240" w:lineRule="auto"/>
        <w:rPr>
          <w:rFonts w:ascii="Open Sans" w:hAnsi="Open Sans" w:cs="Open Sans"/>
          <w:b/>
          <w:bCs/>
          <w:color w:val="2F5496"/>
          <w:sz w:val="20"/>
          <w:szCs w:val="20"/>
          <w:lang w:eastAsia="en-GB"/>
        </w:rPr>
      </w:pPr>
      <w:r w:rsidRPr="006767C5">
        <w:rPr>
          <w:rFonts w:ascii="Open Sans" w:hAnsi="Open Sans" w:cs="Open Sans"/>
          <w:b/>
          <w:bCs/>
          <w:color w:val="2F5496"/>
          <w:sz w:val="20"/>
          <w:szCs w:val="20"/>
          <w:lang w:eastAsia="en-GB"/>
        </w:rPr>
        <w:t>24. In what regions of the UK are we best placed to focus on technological innovation and scale up of feedstock supply chains that utilise UK-based biomass resources?</w:t>
      </w:r>
    </w:p>
    <w:p w14:paraId="3C68D400" w14:textId="1032E442" w:rsidR="00D0734A" w:rsidRPr="006767C5" w:rsidRDefault="00D0734A" w:rsidP="00EA3705">
      <w:pPr>
        <w:spacing w:after="0" w:line="240" w:lineRule="auto"/>
        <w:rPr>
          <w:rFonts w:ascii="Open Sans" w:hAnsi="Open Sans" w:cs="Open Sans"/>
          <w:b/>
          <w:bCs/>
          <w:sz w:val="20"/>
          <w:szCs w:val="20"/>
          <w:lang w:eastAsia="en-GB"/>
        </w:rPr>
      </w:pPr>
    </w:p>
    <w:p w14:paraId="0B6B817C" w14:textId="063EEDF6" w:rsidR="00D0734A" w:rsidRPr="006767C5" w:rsidRDefault="003C2F4C" w:rsidP="00EA3705">
      <w:pPr>
        <w:spacing w:after="0" w:line="240" w:lineRule="auto"/>
        <w:rPr>
          <w:rFonts w:ascii="Open Sans" w:hAnsi="Open Sans" w:cs="Open Sans"/>
          <w:sz w:val="20"/>
          <w:szCs w:val="20"/>
          <w:lang w:eastAsia="en-GB"/>
        </w:rPr>
      </w:pPr>
      <w:r w:rsidRPr="006767C5">
        <w:rPr>
          <w:rFonts w:ascii="Open Sans" w:hAnsi="Open Sans" w:cs="Open Sans"/>
          <w:sz w:val="20"/>
          <w:szCs w:val="20"/>
          <w:lang w:eastAsia="en-GB"/>
        </w:rPr>
        <w:t>There are a wide variety of o</w:t>
      </w:r>
      <w:r w:rsidR="00B77154" w:rsidRPr="006767C5">
        <w:rPr>
          <w:rFonts w:ascii="Open Sans" w:hAnsi="Open Sans" w:cs="Open Sans"/>
          <w:sz w:val="20"/>
          <w:szCs w:val="20"/>
          <w:lang w:eastAsia="en-GB"/>
        </w:rPr>
        <w:t>pportunities for the growth of the bioenergy sector across the UK varied:</w:t>
      </w:r>
    </w:p>
    <w:p w14:paraId="373BAFB0" w14:textId="77777777" w:rsidR="003C2F4C" w:rsidRPr="006767C5" w:rsidRDefault="003C2F4C" w:rsidP="00EA3705">
      <w:pPr>
        <w:spacing w:after="0" w:line="240" w:lineRule="auto"/>
        <w:rPr>
          <w:rFonts w:ascii="Open Sans" w:hAnsi="Open Sans" w:cs="Open Sans"/>
          <w:sz w:val="20"/>
          <w:szCs w:val="20"/>
          <w:lang w:eastAsia="en-GB"/>
        </w:rPr>
      </w:pPr>
    </w:p>
    <w:p w14:paraId="57510000" w14:textId="58391AE8" w:rsidR="00E938D7" w:rsidRPr="006767C5" w:rsidRDefault="00B77154" w:rsidP="00E938D7">
      <w:pPr>
        <w:pStyle w:val="ListParagraph"/>
        <w:numPr>
          <w:ilvl w:val="0"/>
          <w:numId w:val="25"/>
        </w:numPr>
        <w:spacing w:after="0" w:line="240" w:lineRule="auto"/>
        <w:rPr>
          <w:rFonts w:ascii="Open Sans" w:hAnsi="Open Sans" w:cs="Open Sans"/>
          <w:sz w:val="20"/>
          <w:szCs w:val="20"/>
          <w:lang w:eastAsia="en-GB"/>
        </w:rPr>
      </w:pPr>
      <w:r w:rsidRPr="006767C5">
        <w:rPr>
          <w:rFonts w:ascii="Open Sans" w:hAnsi="Open Sans" w:cs="Open Sans"/>
          <w:sz w:val="20"/>
          <w:szCs w:val="20"/>
          <w:lang w:eastAsia="en-GB"/>
        </w:rPr>
        <w:t>As already recognised by Government within the</w:t>
      </w:r>
      <w:r w:rsidR="00E938D7" w:rsidRPr="006767C5">
        <w:rPr>
          <w:rFonts w:ascii="Open Sans" w:hAnsi="Open Sans" w:cs="Open Sans"/>
          <w:sz w:val="20"/>
          <w:szCs w:val="20"/>
          <w:lang w:eastAsia="en-GB"/>
        </w:rPr>
        <w:t xml:space="preserve"> E</w:t>
      </w:r>
      <w:r w:rsidRPr="006767C5">
        <w:rPr>
          <w:rFonts w:ascii="Open Sans" w:hAnsi="Open Sans" w:cs="Open Sans"/>
          <w:sz w:val="20"/>
          <w:szCs w:val="20"/>
          <w:lang w:eastAsia="en-GB"/>
        </w:rPr>
        <w:t xml:space="preserve">nergy </w:t>
      </w:r>
      <w:r w:rsidR="00E938D7" w:rsidRPr="006767C5">
        <w:rPr>
          <w:rFonts w:ascii="Open Sans" w:hAnsi="Open Sans" w:cs="Open Sans"/>
          <w:sz w:val="20"/>
          <w:szCs w:val="20"/>
          <w:lang w:eastAsia="en-GB"/>
        </w:rPr>
        <w:t>W</w:t>
      </w:r>
      <w:r w:rsidRPr="006767C5">
        <w:rPr>
          <w:rFonts w:ascii="Open Sans" w:hAnsi="Open Sans" w:cs="Open Sans"/>
          <w:sz w:val="20"/>
          <w:szCs w:val="20"/>
          <w:lang w:eastAsia="en-GB"/>
        </w:rPr>
        <w:t xml:space="preserve">hite </w:t>
      </w:r>
      <w:r w:rsidR="00E938D7" w:rsidRPr="006767C5">
        <w:rPr>
          <w:rFonts w:ascii="Open Sans" w:hAnsi="Open Sans" w:cs="Open Sans"/>
          <w:sz w:val="20"/>
          <w:szCs w:val="20"/>
          <w:lang w:eastAsia="en-GB"/>
        </w:rPr>
        <w:t>P</w:t>
      </w:r>
      <w:r w:rsidRPr="006767C5">
        <w:rPr>
          <w:rFonts w:ascii="Open Sans" w:hAnsi="Open Sans" w:cs="Open Sans"/>
          <w:sz w:val="20"/>
          <w:szCs w:val="20"/>
          <w:lang w:eastAsia="en-GB"/>
        </w:rPr>
        <w:t>aper, the REA supports the establishment of CCUS and hydrogen clusters, especially around areas with existing bioenergy sectors</w:t>
      </w:r>
      <w:r w:rsidR="007E1515" w:rsidRPr="006767C5">
        <w:rPr>
          <w:rFonts w:ascii="Open Sans" w:hAnsi="Open Sans" w:cs="Open Sans"/>
          <w:sz w:val="20"/>
          <w:szCs w:val="20"/>
          <w:lang w:eastAsia="en-GB"/>
        </w:rPr>
        <w:t xml:space="preserve">. This includes </w:t>
      </w:r>
      <w:r w:rsidRPr="006767C5">
        <w:rPr>
          <w:rFonts w:ascii="Open Sans" w:hAnsi="Open Sans" w:cs="Open Sans"/>
          <w:sz w:val="20"/>
          <w:szCs w:val="20"/>
          <w:lang w:eastAsia="en-GB"/>
        </w:rPr>
        <w:t xml:space="preserve">Avonmouth, </w:t>
      </w:r>
      <w:r w:rsidR="003C2F4C" w:rsidRPr="006767C5">
        <w:rPr>
          <w:rFonts w:ascii="Open Sans" w:hAnsi="Open Sans" w:cs="Open Sans"/>
          <w:sz w:val="20"/>
          <w:szCs w:val="20"/>
          <w:lang w:eastAsia="en-GB"/>
        </w:rPr>
        <w:t>Teesside</w:t>
      </w:r>
      <w:r w:rsidRPr="006767C5">
        <w:rPr>
          <w:rFonts w:ascii="Open Sans" w:hAnsi="Open Sans" w:cs="Open Sans"/>
          <w:sz w:val="20"/>
          <w:szCs w:val="20"/>
          <w:lang w:eastAsia="en-GB"/>
        </w:rPr>
        <w:t xml:space="preserve"> and the Humber. Such developments should also</w:t>
      </w:r>
      <w:r w:rsidR="00E938D7" w:rsidRPr="006767C5">
        <w:rPr>
          <w:rFonts w:ascii="Open Sans" w:hAnsi="Open Sans" w:cs="Open Sans"/>
          <w:sz w:val="20"/>
          <w:szCs w:val="20"/>
          <w:lang w:eastAsia="en-GB"/>
        </w:rPr>
        <w:t xml:space="preserve"> be seen as beneficial to the growth of Freeports in the UK. </w:t>
      </w:r>
    </w:p>
    <w:p w14:paraId="7E591EDD" w14:textId="09173083" w:rsidR="00E938D7" w:rsidRPr="006767C5" w:rsidRDefault="00E938D7" w:rsidP="00E938D7">
      <w:pPr>
        <w:pStyle w:val="ListParagraph"/>
        <w:numPr>
          <w:ilvl w:val="0"/>
          <w:numId w:val="25"/>
        </w:numPr>
        <w:spacing w:after="0" w:line="240" w:lineRule="auto"/>
        <w:rPr>
          <w:rFonts w:ascii="Open Sans" w:hAnsi="Open Sans" w:cs="Open Sans"/>
          <w:sz w:val="20"/>
          <w:szCs w:val="20"/>
          <w:lang w:eastAsia="en-GB"/>
        </w:rPr>
      </w:pPr>
      <w:r w:rsidRPr="006767C5">
        <w:rPr>
          <w:rFonts w:ascii="Open Sans" w:hAnsi="Open Sans" w:cs="Open Sans"/>
          <w:sz w:val="20"/>
          <w:szCs w:val="20"/>
          <w:lang w:eastAsia="en-GB"/>
        </w:rPr>
        <w:t xml:space="preserve">Domestic biomass feedstock development and further growth of the green gas sector means growth of rural jobs, with specific potential for developments near biomass demand </w:t>
      </w:r>
      <w:r w:rsidR="007E1515" w:rsidRPr="006767C5">
        <w:rPr>
          <w:rFonts w:ascii="Open Sans" w:hAnsi="Open Sans" w:cs="Open Sans"/>
          <w:sz w:val="20"/>
          <w:szCs w:val="20"/>
          <w:lang w:eastAsia="en-GB"/>
        </w:rPr>
        <w:t xml:space="preserve">centres. This can either be </w:t>
      </w:r>
      <w:r w:rsidRPr="006767C5">
        <w:rPr>
          <w:rFonts w:ascii="Open Sans" w:hAnsi="Open Sans" w:cs="Open Sans"/>
          <w:sz w:val="20"/>
          <w:szCs w:val="20"/>
          <w:lang w:eastAsia="en-GB"/>
        </w:rPr>
        <w:t>in terms of large-scale power demand or biofuel refineries, or more regional demand from</w:t>
      </w:r>
      <w:r w:rsidR="007E1515" w:rsidRPr="006767C5">
        <w:rPr>
          <w:rFonts w:ascii="Open Sans" w:hAnsi="Open Sans" w:cs="Open Sans"/>
          <w:sz w:val="20"/>
          <w:szCs w:val="20"/>
          <w:lang w:eastAsia="en-GB"/>
        </w:rPr>
        <w:t xml:space="preserve"> an established</w:t>
      </w:r>
      <w:r w:rsidRPr="006767C5">
        <w:rPr>
          <w:rFonts w:ascii="Open Sans" w:hAnsi="Open Sans" w:cs="Open Sans"/>
          <w:sz w:val="20"/>
          <w:szCs w:val="20"/>
          <w:lang w:eastAsia="en-GB"/>
        </w:rPr>
        <w:t xml:space="preserve"> renewable heat sector. </w:t>
      </w:r>
      <w:r w:rsidR="00D215A9" w:rsidRPr="006767C5">
        <w:rPr>
          <w:rFonts w:ascii="Open Sans" w:hAnsi="Open Sans" w:cs="Open Sans"/>
          <w:sz w:val="20"/>
          <w:szCs w:val="20"/>
          <w:lang w:eastAsia="en-GB"/>
        </w:rPr>
        <w:t xml:space="preserve">Generally, policy should aim to encourage transport efficiencies to recognise further GHG savings from transportation. </w:t>
      </w:r>
    </w:p>
    <w:p w14:paraId="601BC7BE" w14:textId="549528E6" w:rsidR="00D215A9" w:rsidRPr="006767C5" w:rsidRDefault="00D215A9" w:rsidP="00E938D7">
      <w:pPr>
        <w:pStyle w:val="ListParagraph"/>
        <w:numPr>
          <w:ilvl w:val="0"/>
          <w:numId w:val="25"/>
        </w:numPr>
        <w:spacing w:after="0" w:line="240" w:lineRule="auto"/>
        <w:rPr>
          <w:rFonts w:ascii="Open Sans" w:hAnsi="Open Sans" w:cs="Open Sans"/>
          <w:sz w:val="20"/>
          <w:szCs w:val="20"/>
          <w:lang w:eastAsia="en-GB"/>
        </w:rPr>
      </w:pPr>
      <w:r w:rsidRPr="006767C5">
        <w:rPr>
          <w:rFonts w:ascii="Open Sans" w:hAnsi="Open Sans" w:cs="Open Sans"/>
          <w:sz w:val="20"/>
          <w:szCs w:val="20"/>
          <w:lang w:eastAsia="en-GB"/>
        </w:rPr>
        <w:t>Development of Environmental Land Management Scheme could drive</w:t>
      </w:r>
      <w:r w:rsidR="007E1515" w:rsidRPr="006767C5">
        <w:rPr>
          <w:rFonts w:ascii="Open Sans" w:hAnsi="Open Sans" w:cs="Open Sans"/>
          <w:sz w:val="20"/>
          <w:szCs w:val="20"/>
          <w:lang w:eastAsia="en-GB"/>
        </w:rPr>
        <w:t xml:space="preserve"> further growth of agricultural diversification if environmental benefits of energy crops and </w:t>
      </w:r>
      <w:proofErr w:type="spellStart"/>
      <w:r w:rsidR="007E1515" w:rsidRPr="006767C5">
        <w:rPr>
          <w:rFonts w:ascii="Open Sans" w:hAnsi="Open Sans" w:cs="Open Sans"/>
          <w:sz w:val="20"/>
          <w:szCs w:val="20"/>
          <w:lang w:eastAsia="en-GB"/>
        </w:rPr>
        <w:t>agro</w:t>
      </w:r>
      <w:proofErr w:type="spellEnd"/>
      <w:r w:rsidR="007E1515" w:rsidRPr="006767C5">
        <w:rPr>
          <w:rFonts w:ascii="Open Sans" w:hAnsi="Open Sans" w:cs="Open Sans"/>
          <w:sz w:val="20"/>
          <w:szCs w:val="20"/>
          <w:lang w:eastAsia="en-GB"/>
        </w:rPr>
        <w:t xml:space="preserve">-forestry are appropriately rewarded. </w:t>
      </w:r>
    </w:p>
    <w:p w14:paraId="3F91AFAF" w14:textId="01DA90D4" w:rsidR="00E938D7" w:rsidRPr="006767C5" w:rsidRDefault="00E938D7" w:rsidP="00E938D7">
      <w:pPr>
        <w:pStyle w:val="ListParagraph"/>
        <w:numPr>
          <w:ilvl w:val="0"/>
          <w:numId w:val="25"/>
        </w:numPr>
        <w:spacing w:after="0" w:line="240" w:lineRule="auto"/>
        <w:rPr>
          <w:rFonts w:ascii="Open Sans" w:hAnsi="Open Sans" w:cs="Open Sans"/>
          <w:sz w:val="20"/>
          <w:szCs w:val="20"/>
          <w:lang w:eastAsia="en-GB"/>
        </w:rPr>
      </w:pPr>
      <w:r w:rsidRPr="006767C5">
        <w:rPr>
          <w:rFonts w:ascii="Open Sans" w:hAnsi="Open Sans" w:cs="Open Sans"/>
          <w:sz w:val="20"/>
          <w:szCs w:val="20"/>
          <w:lang w:eastAsia="en-GB"/>
        </w:rPr>
        <w:t xml:space="preserve">The </w:t>
      </w:r>
      <w:r w:rsidR="00D215A9" w:rsidRPr="006767C5">
        <w:rPr>
          <w:rFonts w:ascii="Open Sans" w:hAnsi="Open Sans" w:cs="Open Sans"/>
          <w:sz w:val="20"/>
          <w:szCs w:val="20"/>
          <w:lang w:eastAsia="en-GB"/>
        </w:rPr>
        <w:t>N</w:t>
      </w:r>
      <w:r w:rsidRPr="006767C5">
        <w:rPr>
          <w:rFonts w:ascii="Open Sans" w:hAnsi="Open Sans" w:cs="Open Sans"/>
          <w:sz w:val="20"/>
          <w:szCs w:val="20"/>
          <w:lang w:eastAsia="en-GB"/>
        </w:rPr>
        <w:t>orth-</w:t>
      </w:r>
      <w:r w:rsidR="00D215A9" w:rsidRPr="006767C5">
        <w:rPr>
          <w:rFonts w:ascii="Open Sans" w:hAnsi="Open Sans" w:cs="Open Sans"/>
          <w:sz w:val="20"/>
          <w:szCs w:val="20"/>
          <w:lang w:eastAsia="en-GB"/>
        </w:rPr>
        <w:t>E</w:t>
      </w:r>
      <w:r w:rsidRPr="006767C5">
        <w:rPr>
          <w:rFonts w:ascii="Open Sans" w:hAnsi="Open Sans" w:cs="Open Sans"/>
          <w:sz w:val="20"/>
          <w:szCs w:val="20"/>
          <w:lang w:eastAsia="en-GB"/>
        </w:rPr>
        <w:t xml:space="preserve">ast of </w:t>
      </w:r>
      <w:r w:rsidR="00D215A9" w:rsidRPr="006767C5">
        <w:rPr>
          <w:rFonts w:ascii="Open Sans" w:hAnsi="Open Sans" w:cs="Open Sans"/>
          <w:sz w:val="20"/>
          <w:szCs w:val="20"/>
          <w:lang w:eastAsia="en-GB"/>
        </w:rPr>
        <w:t>England</w:t>
      </w:r>
      <w:r w:rsidRPr="006767C5">
        <w:rPr>
          <w:rFonts w:ascii="Open Sans" w:hAnsi="Open Sans" w:cs="Open Sans"/>
          <w:sz w:val="20"/>
          <w:szCs w:val="20"/>
          <w:lang w:eastAsia="en-GB"/>
        </w:rPr>
        <w:t xml:space="preserve"> remains </w:t>
      </w:r>
      <w:r w:rsidR="00D215A9" w:rsidRPr="006767C5">
        <w:rPr>
          <w:rFonts w:ascii="Open Sans" w:hAnsi="Open Sans" w:cs="Open Sans"/>
          <w:sz w:val="20"/>
          <w:szCs w:val="20"/>
          <w:lang w:eastAsia="en-GB"/>
        </w:rPr>
        <w:t xml:space="preserve">a key region for biofuel refineries </w:t>
      </w:r>
      <w:r w:rsidR="007E1515" w:rsidRPr="006767C5">
        <w:rPr>
          <w:rFonts w:ascii="Open Sans" w:hAnsi="Open Sans" w:cs="Open Sans"/>
          <w:sz w:val="20"/>
          <w:szCs w:val="20"/>
          <w:lang w:eastAsia="en-GB"/>
        </w:rPr>
        <w:t>to produce</w:t>
      </w:r>
      <w:r w:rsidR="00D215A9" w:rsidRPr="006767C5">
        <w:rPr>
          <w:rFonts w:ascii="Open Sans" w:hAnsi="Open Sans" w:cs="Open Sans"/>
          <w:sz w:val="20"/>
          <w:szCs w:val="20"/>
          <w:lang w:eastAsia="en-GB"/>
        </w:rPr>
        <w:t xml:space="preserve"> bioethanol and biodiesel. The </w:t>
      </w:r>
      <w:r w:rsidR="007E1515" w:rsidRPr="006767C5">
        <w:rPr>
          <w:rFonts w:ascii="Open Sans" w:hAnsi="Open Sans" w:cs="Open Sans"/>
          <w:sz w:val="20"/>
          <w:szCs w:val="20"/>
          <w:lang w:eastAsia="en-GB"/>
        </w:rPr>
        <w:t>introduction</w:t>
      </w:r>
      <w:r w:rsidR="00D215A9" w:rsidRPr="006767C5">
        <w:rPr>
          <w:rFonts w:ascii="Open Sans" w:hAnsi="Open Sans" w:cs="Open Sans"/>
          <w:sz w:val="20"/>
          <w:szCs w:val="20"/>
          <w:lang w:eastAsia="en-GB"/>
        </w:rPr>
        <w:t xml:space="preserve"> of E10 will further help support</w:t>
      </w:r>
      <w:r w:rsidR="007E1515" w:rsidRPr="006767C5">
        <w:rPr>
          <w:rFonts w:ascii="Open Sans" w:hAnsi="Open Sans" w:cs="Open Sans"/>
          <w:sz w:val="20"/>
          <w:szCs w:val="20"/>
          <w:lang w:eastAsia="en-GB"/>
        </w:rPr>
        <w:t xml:space="preserve"> sector</w:t>
      </w:r>
      <w:r w:rsidR="00D215A9" w:rsidRPr="006767C5">
        <w:rPr>
          <w:rFonts w:ascii="Open Sans" w:hAnsi="Open Sans" w:cs="Open Sans"/>
          <w:sz w:val="20"/>
          <w:szCs w:val="20"/>
          <w:lang w:eastAsia="en-GB"/>
        </w:rPr>
        <w:t xml:space="preserve"> growth </w:t>
      </w:r>
      <w:r w:rsidR="007E1515" w:rsidRPr="006767C5">
        <w:rPr>
          <w:rFonts w:ascii="Open Sans" w:hAnsi="Open Sans" w:cs="Open Sans"/>
          <w:sz w:val="20"/>
          <w:szCs w:val="20"/>
          <w:lang w:eastAsia="en-GB"/>
        </w:rPr>
        <w:t>and feedstock producers in</w:t>
      </w:r>
      <w:r w:rsidR="00D215A9" w:rsidRPr="006767C5">
        <w:rPr>
          <w:rFonts w:ascii="Open Sans" w:hAnsi="Open Sans" w:cs="Open Sans"/>
          <w:sz w:val="20"/>
          <w:szCs w:val="20"/>
          <w:lang w:eastAsia="en-GB"/>
        </w:rPr>
        <w:t xml:space="preserve"> </w:t>
      </w:r>
      <w:r w:rsidR="007E1515" w:rsidRPr="006767C5">
        <w:rPr>
          <w:rFonts w:ascii="Open Sans" w:hAnsi="Open Sans" w:cs="Open Sans"/>
          <w:sz w:val="20"/>
          <w:szCs w:val="20"/>
          <w:lang w:eastAsia="en-GB"/>
        </w:rPr>
        <w:t>these areas</w:t>
      </w:r>
      <w:r w:rsidR="00D215A9" w:rsidRPr="006767C5">
        <w:rPr>
          <w:rFonts w:ascii="Open Sans" w:hAnsi="Open Sans" w:cs="Open Sans"/>
          <w:sz w:val="20"/>
          <w:szCs w:val="20"/>
          <w:lang w:eastAsia="en-GB"/>
        </w:rPr>
        <w:t xml:space="preserve">. </w:t>
      </w:r>
    </w:p>
    <w:p w14:paraId="3DDBAC62" w14:textId="28A4857C" w:rsidR="00D215A9" w:rsidRPr="006767C5" w:rsidRDefault="007E1515" w:rsidP="00E938D7">
      <w:pPr>
        <w:pStyle w:val="ListParagraph"/>
        <w:numPr>
          <w:ilvl w:val="0"/>
          <w:numId w:val="25"/>
        </w:numPr>
        <w:spacing w:after="0" w:line="240" w:lineRule="auto"/>
        <w:rPr>
          <w:rFonts w:ascii="Open Sans" w:hAnsi="Open Sans" w:cs="Open Sans"/>
          <w:sz w:val="20"/>
          <w:szCs w:val="20"/>
          <w:lang w:eastAsia="en-GB"/>
        </w:rPr>
      </w:pPr>
      <w:r w:rsidRPr="006767C5">
        <w:rPr>
          <w:rFonts w:ascii="Open Sans" w:hAnsi="Open Sans" w:cs="Open Sans"/>
          <w:sz w:val="20"/>
          <w:szCs w:val="20"/>
          <w:lang w:eastAsia="en-GB"/>
        </w:rPr>
        <w:t>B</w:t>
      </w:r>
      <w:r w:rsidR="00D215A9" w:rsidRPr="006767C5">
        <w:rPr>
          <w:rFonts w:ascii="Open Sans" w:hAnsi="Open Sans" w:cs="Open Sans"/>
          <w:sz w:val="20"/>
          <w:szCs w:val="20"/>
          <w:lang w:eastAsia="en-GB"/>
        </w:rPr>
        <w:t>ioenergy also presents a wide range of jobs across all regions of the UK, as demonstrated in question 5.</w:t>
      </w:r>
    </w:p>
    <w:p w14:paraId="5495C1A6" w14:textId="706C04CA" w:rsidR="00D0734A" w:rsidRPr="006767C5" w:rsidRDefault="00D0734A" w:rsidP="00EA3705">
      <w:pPr>
        <w:spacing w:after="0" w:line="240" w:lineRule="auto"/>
        <w:rPr>
          <w:rFonts w:ascii="Open Sans" w:hAnsi="Open Sans" w:cs="Open Sans"/>
          <w:b/>
          <w:bCs/>
          <w:sz w:val="20"/>
          <w:szCs w:val="20"/>
          <w:lang w:eastAsia="en-GB"/>
        </w:rPr>
      </w:pPr>
    </w:p>
    <w:p w14:paraId="62CF1A8B" w14:textId="2AAD28D5" w:rsidR="005F4D6A" w:rsidRPr="006767C5" w:rsidRDefault="007E1515" w:rsidP="00EA3705">
      <w:pPr>
        <w:spacing w:after="0" w:line="240" w:lineRule="auto"/>
        <w:rPr>
          <w:rFonts w:ascii="Open Sans" w:hAnsi="Open Sans" w:cs="Open Sans"/>
          <w:sz w:val="20"/>
          <w:szCs w:val="20"/>
          <w:lang w:eastAsia="en-GB"/>
        </w:rPr>
      </w:pPr>
      <w:r w:rsidRPr="006767C5">
        <w:rPr>
          <w:rFonts w:ascii="Open Sans" w:hAnsi="Open Sans" w:cs="Open Sans"/>
          <w:sz w:val="20"/>
          <w:szCs w:val="20"/>
          <w:lang w:eastAsia="en-GB"/>
        </w:rPr>
        <w:t xml:space="preserve">The Energy Technology Institute have previously developed a Bioenergy Value Chain Model, which considers available biomass resources, UK geography, technology options and logistics networks. Government should revisit and update this model to further explore regional potentials. </w:t>
      </w:r>
      <w:r w:rsidRPr="006767C5">
        <w:rPr>
          <w:rStyle w:val="FootnoteReference"/>
          <w:rFonts w:ascii="Open Sans" w:hAnsi="Open Sans" w:cs="Open Sans"/>
          <w:sz w:val="20"/>
          <w:szCs w:val="20"/>
          <w:lang w:eastAsia="en-GB"/>
        </w:rPr>
        <w:footnoteReference w:id="105"/>
      </w:r>
    </w:p>
    <w:p w14:paraId="50043A56" w14:textId="77777777" w:rsidR="005A5650" w:rsidRPr="006767C5" w:rsidRDefault="005A5650" w:rsidP="00EA3705">
      <w:pPr>
        <w:pBdr>
          <w:bottom w:val="single" w:sz="6" w:space="1" w:color="auto"/>
        </w:pBdr>
        <w:spacing w:after="0" w:line="240" w:lineRule="auto"/>
        <w:rPr>
          <w:rFonts w:ascii="Open Sans" w:hAnsi="Open Sans" w:cs="Open Sans"/>
          <w:b/>
          <w:bCs/>
          <w:sz w:val="20"/>
          <w:szCs w:val="20"/>
          <w:lang w:eastAsia="en-GB"/>
        </w:rPr>
      </w:pPr>
    </w:p>
    <w:p w14:paraId="610F714C" w14:textId="77777777" w:rsidR="00F52B93" w:rsidRPr="006767C5" w:rsidRDefault="00F52B93" w:rsidP="00EA3705">
      <w:pPr>
        <w:spacing w:after="0" w:line="240" w:lineRule="auto"/>
        <w:rPr>
          <w:rFonts w:ascii="Open Sans" w:hAnsi="Open Sans" w:cs="Open Sans"/>
          <w:b/>
          <w:bCs/>
          <w:color w:val="2F5496"/>
          <w:sz w:val="20"/>
          <w:szCs w:val="20"/>
          <w:lang w:eastAsia="en-GB"/>
        </w:rPr>
      </w:pPr>
    </w:p>
    <w:p w14:paraId="3D353E63" w14:textId="38CE85CD" w:rsidR="00EA3705" w:rsidRPr="006767C5" w:rsidRDefault="00EA3705" w:rsidP="00EA3705">
      <w:pPr>
        <w:spacing w:after="0" w:line="240" w:lineRule="auto"/>
        <w:rPr>
          <w:rFonts w:ascii="Open Sans" w:hAnsi="Open Sans" w:cs="Open Sans"/>
          <w:b/>
          <w:bCs/>
          <w:color w:val="2F5496"/>
          <w:sz w:val="20"/>
          <w:szCs w:val="20"/>
          <w:lang w:eastAsia="en-GB"/>
        </w:rPr>
      </w:pPr>
      <w:r w:rsidRPr="006767C5">
        <w:rPr>
          <w:rFonts w:ascii="Open Sans" w:hAnsi="Open Sans" w:cs="Open Sans"/>
          <w:b/>
          <w:bCs/>
          <w:color w:val="2F5496"/>
          <w:sz w:val="20"/>
          <w:szCs w:val="20"/>
          <w:lang w:eastAsia="en-GB"/>
        </w:rPr>
        <w:t xml:space="preserve">25. </w:t>
      </w:r>
      <w:proofErr w:type="gramStart"/>
      <w:r w:rsidRPr="006767C5">
        <w:rPr>
          <w:rFonts w:ascii="Open Sans" w:hAnsi="Open Sans" w:cs="Open Sans"/>
          <w:b/>
          <w:bCs/>
          <w:color w:val="2F5496"/>
          <w:sz w:val="20"/>
          <w:szCs w:val="20"/>
          <w:lang w:eastAsia="en-GB"/>
        </w:rPr>
        <w:t>Post-combustion</w:t>
      </w:r>
      <w:proofErr w:type="gramEnd"/>
      <w:r w:rsidRPr="006767C5">
        <w:rPr>
          <w:rFonts w:ascii="Open Sans" w:hAnsi="Open Sans" w:cs="Open Sans"/>
          <w:b/>
          <w:bCs/>
          <w:color w:val="2F5496"/>
          <w:sz w:val="20"/>
          <w:szCs w:val="20"/>
          <w:lang w:eastAsia="en-GB"/>
        </w:rPr>
        <w:t xml:space="preserve"> capture on biomass electricity generation is one method in which BECCS can be deployed to deliver net-zero. Specifically, how could innovation support be targeted to develop the maturity of other BECCS applications, such as biomass gasification?</w:t>
      </w:r>
    </w:p>
    <w:p w14:paraId="12F003DB" w14:textId="1CD097C4" w:rsidR="00FC461D" w:rsidRPr="006767C5" w:rsidRDefault="00FC461D" w:rsidP="00964C3A">
      <w:pPr>
        <w:rPr>
          <w:rFonts w:ascii="Open Sans" w:hAnsi="Open Sans" w:cs="Open Sans"/>
          <w:i/>
          <w:iCs/>
          <w:sz w:val="20"/>
          <w:szCs w:val="20"/>
          <w:u w:val="single"/>
        </w:rPr>
      </w:pPr>
    </w:p>
    <w:p w14:paraId="1F2E0321" w14:textId="77777777" w:rsidR="005A4A6D" w:rsidRPr="006767C5" w:rsidRDefault="005A4A6D" w:rsidP="005A4A6D">
      <w:pPr>
        <w:spacing w:after="0" w:line="240" w:lineRule="auto"/>
        <w:rPr>
          <w:rFonts w:ascii="Open Sans" w:eastAsia="Times New Roman" w:hAnsi="Open Sans" w:cs="Open Sans"/>
          <w:b/>
          <w:bCs/>
          <w:i/>
          <w:iCs/>
          <w:sz w:val="20"/>
          <w:szCs w:val="20"/>
          <w:lang w:eastAsia="en-GB"/>
        </w:rPr>
      </w:pPr>
      <w:r w:rsidRPr="006767C5">
        <w:rPr>
          <w:rFonts w:ascii="Open Sans" w:eastAsia="Times New Roman" w:hAnsi="Open Sans" w:cs="Open Sans"/>
          <w:b/>
          <w:bCs/>
          <w:i/>
          <w:iCs/>
          <w:sz w:val="20"/>
          <w:szCs w:val="20"/>
          <w:lang w:eastAsia="en-GB"/>
        </w:rPr>
        <w:t xml:space="preserve">REA are supportive of a CfD Based Business Model, plus negative carbon Payment, for large scale </w:t>
      </w:r>
      <w:proofErr w:type="gramStart"/>
      <w:r w:rsidRPr="006767C5">
        <w:rPr>
          <w:rFonts w:ascii="Open Sans" w:eastAsia="Times New Roman" w:hAnsi="Open Sans" w:cs="Open Sans"/>
          <w:b/>
          <w:bCs/>
          <w:i/>
          <w:iCs/>
          <w:sz w:val="20"/>
          <w:szCs w:val="20"/>
          <w:lang w:eastAsia="en-GB"/>
        </w:rPr>
        <w:t>BECCS</w:t>
      </w:r>
      <w:proofErr w:type="gramEnd"/>
    </w:p>
    <w:p w14:paraId="433ADEC8" w14:textId="77777777" w:rsidR="005A4A6D" w:rsidRPr="006767C5" w:rsidRDefault="005A4A6D" w:rsidP="005A4A6D">
      <w:pPr>
        <w:spacing w:after="0" w:line="240" w:lineRule="auto"/>
        <w:rPr>
          <w:rFonts w:ascii="Open Sans" w:eastAsia="Times New Roman" w:hAnsi="Open Sans" w:cs="Open Sans"/>
          <w:sz w:val="20"/>
          <w:szCs w:val="20"/>
          <w:lang w:eastAsia="en-GB"/>
        </w:rPr>
      </w:pPr>
    </w:p>
    <w:p w14:paraId="448177AC" w14:textId="77777777" w:rsidR="005A4A6D" w:rsidRPr="006767C5" w:rsidRDefault="005A4A6D" w:rsidP="005A4A6D">
      <w:pPr>
        <w:spacing w:after="0" w:line="240" w:lineRule="auto"/>
        <w:rPr>
          <w:rFonts w:ascii="Open Sans" w:eastAsia="Times New Roman" w:hAnsi="Open Sans" w:cs="Open Sans"/>
          <w:sz w:val="20"/>
          <w:szCs w:val="20"/>
          <w:lang w:eastAsia="en-GB"/>
        </w:rPr>
      </w:pPr>
      <w:r w:rsidRPr="006767C5">
        <w:rPr>
          <w:rFonts w:ascii="Open Sans" w:eastAsia="Times New Roman" w:hAnsi="Open Sans" w:cs="Open Sans"/>
          <w:sz w:val="20"/>
          <w:szCs w:val="20"/>
          <w:lang w:eastAsia="en-GB"/>
        </w:rPr>
        <w:t>The REA are supportive of market-based leavers that reward both the energy production, along with a payment for the negative emissions achieved. A CfD based mechanism adapted for BECCS would allow biomass power projects to receive a reliable revenue for the power generated, along with any additional benefit for services provided to the grid. A separate carbon payment is then provided to reward negative emissions. Set at a £/tonne level the payment will need to cover both the operational costs of capturing carbon, along with transporting and storing it. Over time, assuming the UK ETS matures successfully, the carbon payment will likely be able to transition to a straight market-based price that ensures ongoing revenue for negative emission production.</w:t>
      </w:r>
    </w:p>
    <w:p w14:paraId="35D8D33B" w14:textId="77777777" w:rsidR="005A4A6D" w:rsidRPr="006767C5" w:rsidRDefault="005A4A6D" w:rsidP="005A4A6D">
      <w:pPr>
        <w:spacing w:before="100" w:beforeAutospacing="1" w:after="100" w:afterAutospacing="1" w:line="240" w:lineRule="auto"/>
        <w:rPr>
          <w:rFonts w:ascii="Open Sans" w:eastAsia="Times New Roman" w:hAnsi="Open Sans" w:cs="Open Sans"/>
          <w:b/>
          <w:bCs/>
          <w:i/>
          <w:iCs/>
          <w:sz w:val="20"/>
          <w:szCs w:val="20"/>
          <w:lang w:eastAsia="en-GB"/>
        </w:rPr>
      </w:pPr>
      <w:r w:rsidRPr="001740F2">
        <w:rPr>
          <w:rFonts w:ascii="Open Sans" w:eastAsia="Times New Roman" w:hAnsi="Open Sans" w:cs="Open Sans"/>
          <w:b/>
          <w:bCs/>
          <w:i/>
          <w:iCs/>
          <w:sz w:val="20"/>
          <w:szCs w:val="20"/>
          <w:lang w:eastAsia="en-GB"/>
        </w:rPr>
        <w:t>Further consideration is required to</w:t>
      </w:r>
      <w:r w:rsidRPr="006767C5">
        <w:rPr>
          <w:rFonts w:ascii="Open Sans" w:eastAsia="Times New Roman" w:hAnsi="Open Sans" w:cs="Open Sans"/>
          <w:b/>
          <w:bCs/>
          <w:i/>
          <w:iCs/>
          <w:sz w:val="20"/>
          <w:szCs w:val="20"/>
          <w:lang w:eastAsia="en-GB"/>
        </w:rPr>
        <w:t xml:space="preserve"> support the </w:t>
      </w:r>
      <w:proofErr w:type="gramStart"/>
      <w:r w:rsidRPr="006767C5">
        <w:rPr>
          <w:rFonts w:ascii="Open Sans" w:eastAsia="Times New Roman" w:hAnsi="Open Sans" w:cs="Open Sans"/>
          <w:b/>
          <w:bCs/>
          <w:i/>
          <w:iCs/>
          <w:sz w:val="20"/>
          <w:szCs w:val="20"/>
          <w:lang w:eastAsia="en-GB"/>
        </w:rPr>
        <w:t>retro-fit</w:t>
      </w:r>
      <w:proofErr w:type="gramEnd"/>
      <w:r w:rsidRPr="006767C5">
        <w:rPr>
          <w:rFonts w:ascii="Open Sans" w:eastAsia="Times New Roman" w:hAnsi="Open Sans" w:cs="Open Sans"/>
          <w:b/>
          <w:bCs/>
          <w:i/>
          <w:iCs/>
          <w:sz w:val="20"/>
          <w:szCs w:val="20"/>
          <w:lang w:eastAsia="en-GB"/>
        </w:rPr>
        <w:t xml:space="preserve"> of BECCS on medium and small scale existing biomass plants and have a sensible trajectory to achieve this.</w:t>
      </w:r>
    </w:p>
    <w:p w14:paraId="5A2C5ECA" w14:textId="77777777" w:rsidR="005A4A6D" w:rsidRPr="006767C5" w:rsidRDefault="005A4A6D" w:rsidP="005A4A6D">
      <w:pPr>
        <w:spacing w:before="100" w:beforeAutospacing="1" w:after="100" w:afterAutospacing="1" w:line="240" w:lineRule="auto"/>
        <w:rPr>
          <w:rFonts w:ascii="Open Sans" w:eastAsia="Times New Roman" w:hAnsi="Open Sans" w:cs="Open Sans"/>
          <w:sz w:val="20"/>
          <w:szCs w:val="20"/>
          <w:lang w:eastAsia="en-GB"/>
        </w:rPr>
      </w:pPr>
      <w:r w:rsidRPr="006767C5">
        <w:rPr>
          <w:rFonts w:ascii="Open Sans" w:eastAsia="Times New Roman" w:hAnsi="Open Sans" w:cs="Open Sans"/>
          <w:sz w:val="20"/>
          <w:szCs w:val="20"/>
          <w:lang w:eastAsia="en-GB"/>
        </w:rPr>
        <w:t xml:space="preserve">Specific consideration is also needed as to whether proposed business models for </w:t>
      </w:r>
      <w:r>
        <w:rPr>
          <w:rFonts w:ascii="Open Sans" w:eastAsia="Times New Roman" w:hAnsi="Open Sans" w:cs="Open Sans"/>
          <w:sz w:val="20"/>
          <w:szCs w:val="20"/>
          <w:lang w:eastAsia="en-GB"/>
        </w:rPr>
        <w:t>BECCS</w:t>
      </w:r>
      <w:r w:rsidRPr="006767C5">
        <w:rPr>
          <w:rFonts w:ascii="Open Sans" w:eastAsia="Times New Roman" w:hAnsi="Open Sans" w:cs="Open Sans"/>
          <w:sz w:val="20"/>
          <w:szCs w:val="20"/>
          <w:lang w:eastAsia="en-GB"/>
        </w:rPr>
        <w:t xml:space="preserve"> are </w:t>
      </w:r>
      <w:r>
        <w:rPr>
          <w:rFonts w:ascii="Open Sans" w:eastAsia="Times New Roman" w:hAnsi="Open Sans" w:cs="Open Sans"/>
          <w:sz w:val="20"/>
          <w:szCs w:val="20"/>
          <w:lang w:eastAsia="en-GB"/>
        </w:rPr>
        <w:t>adequate to accommodate</w:t>
      </w:r>
      <w:r w:rsidRPr="006767C5">
        <w:rPr>
          <w:rFonts w:ascii="Open Sans" w:eastAsia="Times New Roman" w:hAnsi="Open Sans" w:cs="Open Sans"/>
          <w:sz w:val="20"/>
          <w:szCs w:val="20"/>
          <w:lang w:eastAsia="en-GB"/>
        </w:rPr>
        <w:t xml:space="preserve"> the retrofitting of CCS on existing small and medium scale biomass power</w:t>
      </w:r>
      <w:r>
        <w:rPr>
          <w:rFonts w:ascii="Open Sans" w:eastAsia="Times New Roman" w:hAnsi="Open Sans" w:cs="Open Sans"/>
          <w:sz w:val="20"/>
          <w:szCs w:val="20"/>
          <w:lang w:eastAsia="en-GB"/>
        </w:rPr>
        <w:t xml:space="preserve"> </w:t>
      </w:r>
      <w:r w:rsidRPr="006767C5">
        <w:rPr>
          <w:rFonts w:ascii="Open Sans" w:eastAsia="Times New Roman" w:hAnsi="Open Sans" w:cs="Open Sans"/>
          <w:sz w:val="20"/>
          <w:szCs w:val="20"/>
          <w:lang w:eastAsia="en-GB"/>
        </w:rPr>
        <w:t xml:space="preserve">heat or CHP plants, </w:t>
      </w:r>
      <w:r>
        <w:rPr>
          <w:rFonts w:ascii="Open Sans" w:eastAsia="Times New Roman" w:hAnsi="Open Sans" w:cs="Open Sans"/>
          <w:sz w:val="20"/>
          <w:szCs w:val="20"/>
          <w:lang w:eastAsia="en-GB"/>
        </w:rPr>
        <w:t xml:space="preserve">(including those using waste wood) </w:t>
      </w:r>
      <w:r w:rsidRPr="006767C5">
        <w:rPr>
          <w:rFonts w:ascii="Open Sans" w:eastAsia="Times New Roman" w:hAnsi="Open Sans" w:cs="Open Sans"/>
          <w:sz w:val="20"/>
          <w:szCs w:val="20"/>
          <w:lang w:eastAsia="en-GB"/>
        </w:rPr>
        <w:t xml:space="preserve">where the size of investment required will remain a significant barrier to deployment until the cost of CCS technologies fall. Government will need to consider the time trajectory required to see existing infrastructure </w:t>
      </w:r>
      <w:proofErr w:type="gramStart"/>
      <w:r w:rsidRPr="006767C5">
        <w:rPr>
          <w:rFonts w:ascii="Open Sans" w:eastAsia="Times New Roman" w:hAnsi="Open Sans" w:cs="Open Sans"/>
          <w:sz w:val="20"/>
          <w:szCs w:val="20"/>
          <w:lang w:eastAsia="en-GB"/>
        </w:rPr>
        <w:t>retro-fit</w:t>
      </w:r>
      <w:proofErr w:type="gramEnd"/>
      <w:r w:rsidRPr="006767C5">
        <w:rPr>
          <w:rFonts w:ascii="Open Sans" w:eastAsia="Times New Roman" w:hAnsi="Open Sans" w:cs="Open Sans"/>
          <w:sz w:val="20"/>
          <w:szCs w:val="20"/>
          <w:lang w:eastAsia="en-GB"/>
        </w:rPr>
        <w:t xml:space="preserve"> BECCS, ensuring that </w:t>
      </w:r>
      <w:r>
        <w:rPr>
          <w:rFonts w:ascii="Open Sans" w:eastAsia="Times New Roman" w:hAnsi="Open Sans" w:cs="Open Sans"/>
          <w:sz w:val="20"/>
          <w:szCs w:val="20"/>
          <w:lang w:eastAsia="en-GB"/>
        </w:rPr>
        <w:t>such sites can continue</w:t>
      </w:r>
      <w:r w:rsidRPr="006767C5">
        <w:rPr>
          <w:rFonts w:ascii="Open Sans" w:eastAsia="Times New Roman" w:hAnsi="Open Sans" w:cs="Open Sans"/>
          <w:sz w:val="20"/>
          <w:szCs w:val="20"/>
          <w:lang w:eastAsia="en-GB"/>
        </w:rPr>
        <w:t xml:space="preserve"> to be able to produce </w:t>
      </w:r>
      <w:r>
        <w:rPr>
          <w:rFonts w:ascii="Open Sans" w:eastAsia="Times New Roman" w:hAnsi="Open Sans" w:cs="Open Sans"/>
          <w:sz w:val="20"/>
          <w:szCs w:val="20"/>
          <w:lang w:eastAsia="en-GB"/>
        </w:rPr>
        <w:t>energy</w:t>
      </w:r>
      <w:r w:rsidRPr="006767C5">
        <w:rPr>
          <w:rFonts w:ascii="Open Sans" w:eastAsia="Times New Roman" w:hAnsi="Open Sans" w:cs="Open Sans"/>
          <w:sz w:val="20"/>
          <w:szCs w:val="20"/>
          <w:lang w:eastAsia="en-GB"/>
        </w:rPr>
        <w:t xml:space="preserve"> and have a sensible pathway to also delive</w:t>
      </w:r>
      <w:r>
        <w:rPr>
          <w:rFonts w:ascii="Open Sans" w:eastAsia="Times New Roman" w:hAnsi="Open Sans" w:cs="Open Sans"/>
          <w:sz w:val="20"/>
          <w:szCs w:val="20"/>
          <w:lang w:eastAsia="en-GB"/>
        </w:rPr>
        <w:t>r</w:t>
      </w:r>
      <w:r w:rsidRPr="006767C5">
        <w:rPr>
          <w:rFonts w:ascii="Open Sans" w:eastAsia="Times New Roman" w:hAnsi="Open Sans" w:cs="Open Sans"/>
          <w:sz w:val="20"/>
          <w:szCs w:val="20"/>
          <w:lang w:eastAsia="en-GB"/>
        </w:rPr>
        <w:t xml:space="preserve"> negative emissions by sometime in the 2030s.  </w:t>
      </w:r>
      <w:r>
        <w:rPr>
          <w:rFonts w:ascii="Open Sans" w:eastAsia="Times New Roman" w:hAnsi="Open Sans" w:cs="Open Sans"/>
          <w:sz w:val="20"/>
          <w:szCs w:val="20"/>
          <w:lang w:eastAsia="en-GB"/>
        </w:rPr>
        <w:t xml:space="preserve">This must be considered as BECCS business models are further developed by government. </w:t>
      </w:r>
      <w:r w:rsidRPr="006767C5">
        <w:rPr>
          <w:rStyle w:val="FootnoteReference"/>
          <w:rFonts w:ascii="Open Sans" w:eastAsia="Times New Roman" w:hAnsi="Open Sans" w:cs="Open Sans"/>
          <w:sz w:val="20"/>
          <w:szCs w:val="20"/>
          <w:lang w:eastAsia="en-GB"/>
        </w:rPr>
        <w:footnoteReference w:id="106"/>
      </w:r>
    </w:p>
    <w:p w14:paraId="733D5BD9" w14:textId="77777777" w:rsidR="005A4A6D" w:rsidRPr="006767C5" w:rsidRDefault="005A4A6D" w:rsidP="005A4A6D">
      <w:pPr>
        <w:spacing w:before="100" w:beforeAutospacing="1" w:after="100" w:afterAutospacing="1" w:line="240" w:lineRule="auto"/>
        <w:rPr>
          <w:rFonts w:ascii="Open Sans" w:eastAsia="Times New Roman" w:hAnsi="Open Sans" w:cs="Open Sans"/>
          <w:sz w:val="20"/>
          <w:szCs w:val="20"/>
          <w:lang w:eastAsia="en-GB"/>
        </w:rPr>
      </w:pPr>
      <w:r w:rsidRPr="006767C5">
        <w:rPr>
          <w:rFonts w:ascii="Open Sans" w:eastAsia="Times New Roman" w:hAnsi="Open Sans" w:cs="Open Sans"/>
          <w:sz w:val="20"/>
          <w:szCs w:val="20"/>
          <w:lang w:eastAsia="en-GB"/>
        </w:rPr>
        <w:t xml:space="preserve">The REA are supportive of ongoing work streams to explore these different business models, as well as welcoming energy from waste being included within proposals for Industrial Carbon Capture Contracts. </w:t>
      </w:r>
    </w:p>
    <w:p w14:paraId="13F98653" w14:textId="77777777" w:rsidR="005A4A6D" w:rsidRPr="006767C5" w:rsidRDefault="005A4A6D" w:rsidP="005A4A6D">
      <w:pPr>
        <w:spacing w:before="100" w:beforeAutospacing="1" w:after="100" w:afterAutospacing="1" w:line="240" w:lineRule="auto"/>
        <w:rPr>
          <w:rFonts w:ascii="Open Sans" w:eastAsia="Times New Roman" w:hAnsi="Open Sans" w:cs="Open Sans"/>
          <w:b/>
          <w:bCs/>
          <w:i/>
          <w:iCs/>
          <w:sz w:val="20"/>
          <w:szCs w:val="20"/>
          <w:lang w:eastAsia="en-GB"/>
        </w:rPr>
      </w:pPr>
      <w:r w:rsidRPr="006767C5">
        <w:rPr>
          <w:rFonts w:ascii="Open Sans" w:eastAsia="Times New Roman" w:hAnsi="Open Sans" w:cs="Open Sans"/>
          <w:b/>
          <w:bCs/>
          <w:i/>
          <w:iCs/>
          <w:sz w:val="20"/>
          <w:szCs w:val="20"/>
          <w:lang w:eastAsia="en-GB"/>
        </w:rPr>
        <w:t>Efficiency of conversion should also be considered.</w:t>
      </w:r>
    </w:p>
    <w:p w14:paraId="66A2E69B" w14:textId="77777777" w:rsidR="005A4A6D" w:rsidRPr="006767C5" w:rsidRDefault="005A4A6D" w:rsidP="005A4A6D">
      <w:pPr>
        <w:spacing w:before="100" w:beforeAutospacing="1" w:after="100" w:afterAutospacing="1" w:line="240" w:lineRule="auto"/>
        <w:rPr>
          <w:rFonts w:ascii="Open Sans" w:hAnsi="Open Sans" w:cs="Open Sans"/>
          <w:sz w:val="20"/>
          <w:szCs w:val="20"/>
          <w:lang w:eastAsia="en-GB"/>
        </w:rPr>
      </w:pPr>
      <w:r w:rsidRPr="006767C5">
        <w:rPr>
          <w:rFonts w:ascii="Open Sans" w:eastAsia="Times New Roman" w:hAnsi="Open Sans" w:cs="Open Sans"/>
          <w:sz w:val="20"/>
          <w:szCs w:val="20"/>
          <w:lang w:eastAsia="en-GB"/>
        </w:rPr>
        <w:t xml:space="preserve">Business model proposals for BECCS have so also not considered conversion efficiencies provided by applications of BECCS to commercial and industrial scale biomass heat projects. </w:t>
      </w:r>
      <w:r w:rsidRPr="006767C5">
        <w:rPr>
          <w:rFonts w:ascii="Open Sans" w:hAnsi="Open Sans" w:cs="Open Sans"/>
          <w:sz w:val="20"/>
          <w:szCs w:val="20"/>
          <w:lang w:eastAsia="en-GB"/>
        </w:rPr>
        <w:t xml:space="preserve">Direct production of heat from biomass has the highest conversion efficiency matching those of fossil fuels and approaching 90%. Industrial biomass heat demand also provides a particularly stable demand profile, maximising possibility for carbon capture. Such applications of BECCS should also be supported. </w:t>
      </w:r>
    </w:p>
    <w:p w14:paraId="1275BAF4" w14:textId="77777777" w:rsidR="005A4A6D" w:rsidRPr="006767C5" w:rsidRDefault="005A4A6D" w:rsidP="005A4A6D">
      <w:pPr>
        <w:pBdr>
          <w:bottom w:val="single" w:sz="6" w:space="1" w:color="auto"/>
        </w:pBdr>
        <w:spacing w:before="100" w:beforeAutospacing="1" w:after="100" w:afterAutospacing="1" w:line="240" w:lineRule="auto"/>
        <w:rPr>
          <w:rFonts w:ascii="Open Sans" w:eastAsia="Times New Roman" w:hAnsi="Open Sans" w:cs="Open Sans"/>
          <w:b/>
          <w:bCs/>
          <w:i/>
          <w:iCs/>
          <w:sz w:val="20"/>
          <w:szCs w:val="20"/>
          <w:lang w:eastAsia="en-GB"/>
        </w:rPr>
      </w:pPr>
      <w:r w:rsidRPr="006767C5">
        <w:rPr>
          <w:rFonts w:ascii="Open Sans" w:eastAsia="Times New Roman" w:hAnsi="Open Sans" w:cs="Open Sans"/>
          <w:b/>
          <w:bCs/>
          <w:i/>
          <w:iCs/>
          <w:sz w:val="20"/>
          <w:szCs w:val="20"/>
          <w:lang w:eastAsia="en-GB"/>
        </w:rPr>
        <w:t xml:space="preserve">There should be stakeholder engagement on what is defined as “CCS </w:t>
      </w:r>
      <w:proofErr w:type="gramStart"/>
      <w:r w:rsidRPr="006767C5">
        <w:rPr>
          <w:rFonts w:ascii="Open Sans" w:eastAsia="Times New Roman" w:hAnsi="Open Sans" w:cs="Open Sans"/>
          <w:b/>
          <w:bCs/>
          <w:i/>
          <w:iCs/>
          <w:sz w:val="20"/>
          <w:szCs w:val="20"/>
          <w:lang w:eastAsia="en-GB"/>
        </w:rPr>
        <w:t>Ready”</w:t>
      </w:r>
      <w:proofErr w:type="gramEnd"/>
    </w:p>
    <w:p w14:paraId="4991D2AB" w14:textId="77777777" w:rsidR="005A4A6D" w:rsidRPr="006767C5" w:rsidRDefault="005A4A6D" w:rsidP="005A4A6D">
      <w:pPr>
        <w:pBdr>
          <w:bottom w:val="single" w:sz="6" w:space="1" w:color="auto"/>
        </w:pBdr>
        <w:spacing w:before="100" w:beforeAutospacing="1" w:after="100" w:afterAutospacing="1" w:line="240" w:lineRule="auto"/>
        <w:rPr>
          <w:rFonts w:ascii="Open Sans" w:eastAsia="Times New Roman" w:hAnsi="Open Sans" w:cs="Open Sans"/>
          <w:sz w:val="20"/>
          <w:szCs w:val="20"/>
        </w:rPr>
      </w:pPr>
      <w:r w:rsidRPr="006767C5">
        <w:rPr>
          <w:rFonts w:ascii="Open Sans" w:eastAsia="Times New Roman" w:hAnsi="Open Sans" w:cs="Open Sans"/>
          <w:sz w:val="20"/>
          <w:szCs w:val="20"/>
          <w:lang w:eastAsia="en-GB"/>
        </w:rPr>
        <w:t xml:space="preserve">It would be beneficial if government and industry worked together to establish a better definition for what is meant by ‘CCS-ready’. This should include ensuring CCS can be retrofitted when the technology is available and that there is a viable business model to see it delivered. This will also need to consider the readiness of the transport and storage network. Having a strong definition in place </w:t>
      </w:r>
      <w:r w:rsidRPr="006767C5">
        <w:rPr>
          <w:rFonts w:ascii="Open Sans" w:eastAsia="Times New Roman" w:hAnsi="Open Sans" w:cs="Open Sans"/>
          <w:sz w:val="20"/>
          <w:szCs w:val="20"/>
        </w:rPr>
        <w:t xml:space="preserve">should go some way to alleviating concerns over industrial biomass not being ‘best use’ by providing a clear pathway to also having CCS installed and negative emission delivered. </w:t>
      </w:r>
    </w:p>
    <w:p w14:paraId="40B9F347" w14:textId="7F482FB5" w:rsidR="00BA1C33" w:rsidRPr="006767C5" w:rsidRDefault="00810550" w:rsidP="00810550">
      <w:pPr>
        <w:pBdr>
          <w:bottom w:val="single" w:sz="6" w:space="1" w:color="auto"/>
        </w:pBdr>
        <w:spacing w:before="100" w:beforeAutospacing="1" w:after="100" w:afterAutospacing="1" w:line="240" w:lineRule="auto"/>
        <w:rPr>
          <w:rFonts w:ascii="Open Sans" w:eastAsia="Times New Roman" w:hAnsi="Open Sans" w:cs="Open Sans"/>
          <w:b/>
          <w:bCs/>
          <w:i/>
          <w:iCs/>
          <w:sz w:val="20"/>
          <w:szCs w:val="20"/>
        </w:rPr>
      </w:pPr>
      <w:r w:rsidRPr="006767C5">
        <w:rPr>
          <w:rFonts w:ascii="Open Sans" w:eastAsia="Times New Roman" w:hAnsi="Open Sans" w:cs="Open Sans"/>
          <w:b/>
          <w:bCs/>
          <w:i/>
          <w:iCs/>
          <w:sz w:val="20"/>
          <w:szCs w:val="20"/>
        </w:rPr>
        <w:t>Dedicated support for the development of commercial scale Advanced Conversion Technologies is Required</w:t>
      </w:r>
    </w:p>
    <w:p w14:paraId="632A1742" w14:textId="211BE967" w:rsidR="006D708F" w:rsidRPr="006767C5" w:rsidRDefault="00810550" w:rsidP="00810550">
      <w:pPr>
        <w:pBdr>
          <w:bottom w:val="single" w:sz="6" w:space="1" w:color="auto"/>
        </w:pBdr>
        <w:spacing w:before="100" w:beforeAutospacing="1" w:after="100" w:afterAutospacing="1" w:line="240" w:lineRule="auto"/>
        <w:rPr>
          <w:rFonts w:ascii="Open Sans" w:eastAsia="Times New Roman" w:hAnsi="Open Sans" w:cs="Open Sans"/>
          <w:sz w:val="20"/>
          <w:szCs w:val="20"/>
        </w:rPr>
      </w:pPr>
      <w:r w:rsidRPr="006767C5">
        <w:rPr>
          <w:rFonts w:ascii="Open Sans" w:eastAsia="Times New Roman" w:hAnsi="Open Sans" w:cs="Open Sans"/>
          <w:sz w:val="20"/>
          <w:szCs w:val="20"/>
        </w:rPr>
        <w:t xml:space="preserve">As </w:t>
      </w:r>
      <w:r w:rsidR="0065769E" w:rsidRPr="006767C5">
        <w:rPr>
          <w:rFonts w:ascii="Open Sans" w:eastAsia="Times New Roman" w:hAnsi="Open Sans" w:cs="Open Sans"/>
          <w:sz w:val="20"/>
          <w:szCs w:val="20"/>
        </w:rPr>
        <w:t>described, in</w:t>
      </w:r>
      <w:r w:rsidRPr="006767C5">
        <w:rPr>
          <w:rFonts w:ascii="Open Sans" w:eastAsia="Times New Roman" w:hAnsi="Open Sans" w:cs="Open Sans"/>
          <w:sz w:val="20"/>
          <w:szCs w:val="20"/>
        </w:rPr>
        <w:t xml:space="preserve"> question 23 there remains market barriers to the commercial deployment of ACT technologies, </w:t>
      </w:r>
      <w:r w:rsidR="00332A0E" w:rsidRPr="006767C5">
        <w:rPr>
          <w:rFonts w:ascii="Open Sans" w:eastAsia="Times New Roman" w:hAnsi="Open Sans" w:cs="Open Sans"/>
          <w:sz w:val="20"/>
          <w:szCs w:val="20"/>
        </w:rPr>
        <w:t>these need</w:t>
      </w:r>
      <w:r w:rsidRPr="006767C5">
        <w:rPr>
          <w:rFonts w:ascii="Open Sans" w:eastAsia="Times New Roman" w:hAnsi="Open Sans" w:cs="Open Sans"/>
          <w:sz w:val="20"/>
          <w:szCs w:val="20"/>
        </w:rPr>
        <w:t xml:space="preserve"> to be addressed</w:t>
      </w:r>
      <w:r w:rsidR="00332A0E" w:rsidRPr="006767C5">
        <w:rPr>
          <w:rFonts w:ascii="Open Sans" w:eastAsia="Times New Roman" w:hAnsi="Open Sans" w:cs="Open Sans"/>
          <w:sz w:val="20"/>
          <w:szCs w:val="20"/>
        </w:rPr>
        <w:t xml:space="preserve"> in order </w:t>
      </w:r>
      <w:r w:rsidRPr="006767C5">
        <w:rPr>
          <w:rFonts w:ascii="Open Sans" w:eastAsia="Times New Roman" w:hAnsi="Open Sans" w:cs="Open Sans"/>
          <w:sz w:val="20"/>
          <w:szCs w:val="20"/>
        </w:rPr>
        <w:t xml:space="preserve">see the technology delivered at scale </w:t>
      </w:r>
      <w:r w:rsidR="00332A0E" w:rsidRPr="006767C5">
        <w:rPr>
          <w:rFonts w:ascii="Open Sans" w:eastAsia="Times New Roman" w:hAnsi="Open Sans" w:cs="Open Sans"/>
          <w:sz w:val="20"/>
          <w:szCs w:val="20"/>
        </w:rPr>
        <w:t xml:space="preserve">and allow the technologies to also consider </w:t>
      </w:r>
      <w:r w:rsidR="00EA3D5E" w:rsidRPr="006767C5">
        <w:rPr>
          <w:rFonts w:ascii="Open Sans" w:eastAsia="Times New Roman" w:hAnsi="Open Sans" w:cs="Open Sans"/>
          <w:sz w:val="20"/>
          <w:szCs w:val="20"/>
        </w:rPr>
        <w:t>c</w:t>
      </w:r>
      <w:r w:rsidRPr="006767C5">
        <w:rPr>
          <w:rFonts w:ascii="Open Sans" w:eastAsia="Times New Roman" w:hAnsi="Open Sans" w:cs="Open Sans"/>
          <w:sz w:val="20"/>
          <w:szCs w:val="20"/>
        </w:rPr>
        <w:t>arbon capture as part of the</w:t>
      </w:r>
      <w:r w:rsidR="006D708F" w:rsidRPr="006767C5">
        <w:rPr>
          <w:rFonts w:ascii="Open Sans" w:eastAsia="Times New Roman" w:hAnsi="Open Sans" w:cs="Open Sans"/>
          <w:sz w:val="20"/>
          <w:szCs w:val="20"/>
        </w:rPr>
        <w:t xml:space="preserve"> project design</w:t>
      </w:r>
      <w:r w:rsidRPr="006767C5">
        <w:rPr>
          <w:rFonts w:ascii="Open Sans" w:eastAsia="Times New Roman" w:hAnsi="Open Sans" w:cs="Open Sans"/>
          <w:sz w:val="20"/>
          <w:szCs w:val="20"/>
        </w:rPr>
        <w:t>.</w:t>
      </w:r>
      <w:r w:rsidR="00332A0E" w:rsidRPr="006767C5">
        <w:rPr>
          <w:rFonts w:ascii="Open Sans" w:eastAsia="Times New Roman" w:hAnsi="Open Sans" w:cs="Open Sans"/>
          <w:sz w:val="20"/>
          <w:szCs w:val="20"/>
        </w:rPr>
        <w:t xml:space="preserve"> Dedicated support </w:t>
      </w:r>
      <w:r w:rsidR="006D708F" w:rsidRPr="006767C5">
        <w:rPr>
          <w:rFonts w:ascii="Open Sans" w:eastAsia="Times New Roman" w:hAnsi="Open Sans" w:cs="Open Sans"/>
          <w:sz w:val="20"/>
          <w:szCs w:val="20"/>
        </w:rPr>
        <w:t>for</w:t>
      </w:r>
      <w:r w:rsidR="00332A0E" w:rsidRPr="006767C5">
        <w:rPr>
          <w:rFonts w:ascii="Open Sans" w:eastAsia="Times New Roman" w:hAnsi="Open Sans" w:cs="Open Sans"/>
          <w:sz w:val="20"/>
          <w:szCs w:val="20"/>
        </w:rPr>
        <w:t xml:space="preserve"> ACT technologies should be provided </w:t>
      </w:r>
      <w:r w:rsidR="00EA3D5E" w:rsidRPr="006767C5">
        <w:rPr>
          <w:rFonts w:ascii="Open Sans" w:eastAsia="Times New Roman" w:hAnsi="Open Sans" w:cs="Open Sans"/>
          <w:sz w:val="20"/>
          <w:szCs w:val="20"/>
        </w:rPr>
        <w:t>to</w:t>
      </w:r>
      <w:r w:rsidR="00332A0E" w:rsidRPr="006767C5">
        <w:rPr>
          <w:rFonts w:ascii="Open Sans" w:eastAsia="Times New Roman" w:hAnsi="Open Sans" w:cs="Open Sans"/>
          <w:sz w:val="20"/>
          <w:szCs w:val="20"/>
        </w:rPr>
        <w:t xml:space="preserve"> see this sector established.</w:t>
      </w:r>
      <w:r w:rsidR="006D708F" w:rsidRPr="006767C5">
        <w:rPr>
          <w:rFonts w:ascii="Open Sans" w:eastAsia="Times New Roman" w:hAnsi="Open Sans" w:cs="Open Sans"/>
          <w:sz w:val="20"/>
          <w:szCs w:val="20"/>
        </w:rPr>
        <w:t xml:space="preserve"> </w:t>
      </w:r>
    </w:p>
    <w:p w14:paraId="6A9A17AD" w14:textId="219231F0" w:rsidR="006D708F" w:rsidRPr="006767C5" w:rsidRDefault="006D708F" w:rsidP="00810550">
      <w:pPr>
        <w:pBdr>
          <w:bottom w:val="single" w:sz="6" w:space="1" w:color="auto"/>
        </w:pBdr>
        <w:spacing w:before="100" w:beforeAutospacing="1" w:after="100" w:afterAutospacing="1" w:line="240" w:lineRule="auto"/>
        <w:rPr>
          <w:rFonts w:ascii="Open Sans" w:eastAsia="Times New Roman" w:hAnsi="Open Sans" w:cs="Open Sans"/>
          <w:sz w:val="20"/>
          <w:szCs w:val="20"/>
        </w:rPr>
      </w:pPr>
      <w:r w:rsidRPr="006767C5">
        <w:rPr>
          <w:rFonts w:ascii="Open Sans" w:eastAsia="Times New Roman" w:hAnsi="Open Sans" w:cs="Open Sans"/>
          <w:sz w:val="20"/>
          <w:szCs w:val="20"/>
        </w:rPr>
        <w:t>The interaction between the delivery of both ACT developments and proposed CCUS business models needs to be carefully considered.</w:t>
      </w:r>
      <w:r w:rsidR="005B65C2" w:rsidRPr="006767C5">
        <w:rPr>
          <w:rStyle w:val="FootnoteReference"/>
          <w:rFonts w:ascii="Open Sans" w:eastAsia="Times New Roman" w:hAnsi="Open Sans" w:cs="Open Sans"/>
          <w:sz w:val="20"/>
          <w:szCs w:val="20"/>
        </w:rPr>
        <w:footnoteReference w:id="107"/>
      </w:r>
      <w:r w:rsidRPr="006767C5">
        <w:rPr>
          <w:rFonts w:ascii="Open Sans" w:eastAsia="Times New Roman" w:hAnsi="Open Sans" w:cs="Open Sans"/>
          <w:sz w:val="20"/>
          <w:szCs w:val="20"/>
        </w:rPr>
        <w:t xml:space="preserve"> Currently addition of CCUS is a substantial additional project cost, which could undermine the overall commercial business case unless there is a clear established market for either negative emission or for the renewable product being produced, such as hydrogen. </w:t>
      </w:r>
    </w:p>
    <w:p w14:paraId="6C0F7161" w14:textId="77777777" w:rsidR="00EA3D5E" w:rsidRPr="006767C5" w:rsidRDefault="00EA3D5E" w:rsidP="00810550">
      <w:pPr>
        <w:pBdr>
          <w:bottom w:val="single" w:sz="6" w:space="1" w:color="auto"/>
        </w:pBdr>
        <w:spacing w:before="100" w:beforeAutospacing="1" w:after="100" w:afterAutospacing="1" w:line="240" w:lineRule="auto"/>
        <w:rPr>
          <w:rFonts w:ascii="Open Sans" w:eastAsia="Times New Roman" w:hAnsi="Open Sans" w:cs="Open Sans"/>
          <w:sz w:val="20"/>
          <w:szCs w:val="20"/>
        </w:rPr>
      </w:pPr>
    </w:p>
    <w:p w14:paraId="5C8E425E" w14:textId="3EA739ED" w:rsidR="00EA3705" w:rsidRPr="006767C5" w:rsidRDefault="00EA3705" w:rsidP="00EA3705">
      <w:pPr>
        <w:spacing w:after="0" w:line="240" w:lineRule="auto"/>
        <w:rPr>
          <w:rFonts w:ascii="Open Sans" w:hAnsi="Open Sans" w:cs="Open Sans"/>
          <w:b/>
          <w:bCs/>
          <w:color w:val="2F5496"/>
          <w:sz w:val="20"/>
          <w:szCs w:val="20"/>
          <w:lang w:eastAsia="en-GB"/>
        </w:rPr>
      </w:pPr>
      <w:r w:rsidRPr="006767C5">
        <w:rPr>
          <w:rFonts w:ascii="Open Sans" w:hAnsi="Open Sans" w:cs="Open Sans"/>
          <w:b/>
          <w:bCs/>
          <w:color w:val="2F5496"/>
          <w:sz w:val="20"/>
          <w:szCs w:val="20"/>
          <w:lang w:eastAsia="en-GB"/>
        </w:rPr>
        <w:t xml:space="preserve">26. What other innovation needs to take place </w:t>
      </w:r>
      <w:proofErr w:type="gramStart"/>
      <w:r w:rsidRPr="006767C5">
        <w:rPr>
          <w:rFonts w:ascii="Open Sans" w:hAnsi="Open Sans" w:cs="Open Sans"/>
          <w:b/>
          <w:bCs/>
          <w:color w:val="2F5496"/>
          <w:sz w:val="20"/>
          <w:szCs w:val="20"/>
          <w:lang w:eastAsia="en-GB"/>
        </w:rPr>
        <w:t>in order to</w:t>
      </w:r>
      <w:proofErr w:type="gramEnd"/>
      <w:r w:rsidRPr="006767C5">
        <w:rPr>
          <w:rFonts w:ascii="Open Sans" w:hAnsi="Open Sans" w:cs="Open Sans"/>
          <w:b/>
          <w:bCs/>
          <w:color w:val="2F5496"/>
          <w:sz w:val="20"/>
          <w:szCs w:val="20"/>
          <w:lang w:eastAsia="en-GB"/>
        </w:rPr>
        <w:t xml:space="preserve"> reduce life cycle GHG emissions and impacts on air quality in biomass supply chains? Are </w:t>
      </w:r>
      <w:proofErr w:type="gramStart"/>
      <w:r w:rsidRPr="006767C5">
        <w:rPr>
          <w:rFonts w:ascii="Open Sans" w:hAnsi="Open Sans" w:cs="Open Sans"/>
          <w:b/>
          <w:bCs/>
          <w:color w:val="2F5496"/>
          <w:sz w:val="20"/>
          <w:szCs w:val="20"/>
          <w:lang w:eastAsia="en-GB"/>
        </w:rPr>
        <w:t>all of</w:t>
      </w:r>
      <w:proofErr w:type="gramEnd"/>
      <w:r w:rsidRPr="006767C5">
        <w:rPr>
          <w:rFonts w:ascii="Open Sans" w:hAnsi="Open Sans" w:cs="Open Sans"/>
          <w:b/>
          <w:bCs/>
          <w:color w:val="2F5496"/>
          <w:sz w:val="20"/>
          <w:szCs w:val="20"/>
          <w:lang w:eastAsia="en-GB"/>
        </w:rPr>
        <w:t xml:space="preserve"> these easily achievable, and if not, what are the barriers?</w:t>
      </w:r>
    </w:p>
    <w:p w14:paraId="102C8D6B" w14:textId="77777777" w:rsidR="008C2761" w:rsidRPr="006767C5" w:rsidRDefault="008C2761" w:rsidP="00A07AD0">
      <w:pPr>
        <w:spacing w:after="0" w:line="240" w:lineRule="auto"/>
        <w:rPr>
          <w:rFonts w:ascii="Open Sans" w:hAnsi="Open Sans" w:cs="Open Sans"/>
          <w:sz w:val="20"/>
          <w:szCs w:val="20"/>
          <w:lang w:eastAsia="en-GB"/>
        </w:rPr>
      </w:pPr>
    </w:p>
    <w:p w14:paraId="44BF99AA" w14:textId="3038E6C3" w:rsidR="001313BC" w:rsidRPr="006767C5" w:rsidRDefault="001313BC" w:rsidP="00F66C5F">
      <w:pPr>
        <w:spacing w:after="0" w:line="240" w:lineRule="auto"/>
        <w:rPr>
          <w:rFonts w:ascii="Open Sans" w:hAnsi="Open Sans" w:cs="Open Sans"/>
          <w:sz w:val="20"/>
          <w:szCs w:val="20"/>
          <w:lang w:eastAsia="en-GB"/>
        </w:rPr>
      </w:pPr>
      <w:r w:rsidRPr="006767C5">
        <w:rPr>
          <w:rFonts w:ascii="Open Sans" w:hAnsi="Open Sans" w:cs="Open Sans"/>
          <w:sz w:val="20"/>
          <w:szCs w:val="20"/>
          <w:lang w:eastAsia="en-GB"/>
        </w:rPr>
        <w:t xml:space="preserve">Further </w:t>
      </w:r>
      <w:r w:rsidR="008D6D60" w:rsidRPr="006767C5">
        <w:rPr>
          <w:rFonts w:ascii="Open Sans" w:hAnsi="Open Sans" w:cs="Open Sans"/>
          <w:sz w:val="20"/>
          <w:szCs w:val="20"/>
          <w:lang w:eastAsia="en-GB"/>
        </w:rPr>
        <w:t xml:space="preserve">GHG gas emission </w:t>
      </w:r>
      <w:r w:rsidR="001534A2" w:rsidRPr="006767C5">
        <w:rPr>
          <w:rFonts w:ascii="Open Sans" w:hAnsi="Open Sans" w:cs="Open Sans"/>
          <w:sz w:val="20"/>
          <w:szCs w:val="20"/>
          <w:lang w:eastAsia="en-GB"/>
        </w:rPr>
        <w:t>reductions will be</w:t>
      </w:r>
      <w:r w:rsidR="0036568A" w:rsidRPr="006767C5">
        <w:rPr>
          <w:rFonts w:ascii="Open Sans" w:hAnsi="Open Sans" w:cs="Open Sans"/>
          <w:sz w:val="20"/>
          <w:szCs w:val="20"/>
          <w:lang w:eastAsia="en-GB"/>
        </w:rPr>
        <w:t xml:space="preserve"> possible</w:t>
      </w:r>
      <w:r w:rsidR="001534A2" w:rsidRPr="006767C5">
        <w:rPr>
          <w:rFonts w:ascii="Open Sans" w:hAnsi="Open Sans" w:cs="Open Sans"/>
          <w:sz w:val="20"/>
          <w:szCs w:val="20"/>
          <w:lang w:eastAsia="en-GB"/>
        </w:rPr>
        <w:t xml:space="preserve"> following the further decarbonisation transportation, either </w:t>
      </w:r>
      <w:r w:rsidR="0036568A" w:rsidRPr="006767C5">
        <w:rPr>
          <w:rFonts w:ascii="Open Sans" w:hAnsi="Open Sans" w:cs="Open Sans"/>
          <w:sz w:val="20"/>
          <w:szCs w:val="20"/>
          <w:lang w:eastAsia="en-GB"/>
        </w:rPr>
        <w:t>using</w:t>
      </w:r>
      <w:r w:rsidR="001534A2" w:rsidRPr="006767C5">
        <w:rPr>
          <w:rFonts w:ascii="Open Sans" w:hAnsi="Open Sans" w:cs="Open Sans"/>
          <w:sz w:val="20"/>
          <w:szCs w:val="20"/>
          <w:lang w:eastAsia="en-GB"/>
        </w:rPr>
        <w:t xml:space="preserve"> biofuels or electrification. This will need to happen at all scales, from international transportation of large </w:t>
      </w:r>
      <w:r w:rsidR="0036568A" w:rsidRPr="006767C5">
        <w:rPr>
          <w:rFonts w:ascii="Open Sans" w:hAnsi="Open Sans" w:cs="Open Sans"/>
          <w:sz w:val="20"/>
          <w:szCs w:val="20"/>
          <w:lang w:eastAsia="en-GB"/>
        </w:rPr>
        <w:t xml:space="preserve">supplies of biomass feedstock, requiring decarbonisation of shipping, along with transportation of relatively small volumes of biomass or waste, over small distances, for use in =localised bioenergy uses such biomass heat, anaerobic </w:t>
      </w:r>
      <w:proofErr w:type="gramStart"/>
      <w:r w:rsidR="0036568A" w:rsidRPr="006767C5">
        <w:rPr>
          <w:rFonts w:ascii="Open Sans" w:hAnsi="Open Sans" w:cs="Open Sans"/>
          <w:sz w:val="20"/>
          <w:szCs w:val="20"/>
          <w:lang w:eastAsia="en-GB"/>
        </w:rPr>
        <w:t>digestion</w:t>
      </w:r>
      <w:proofErr w:type="gramEnd"/>
      <w:r w:rsidR="0036568A" w:rsidRPr="006767C5">
        <w:rPr>
          <w:rFonts w:ascii="Open Sans" w:hAnsi="Open Sans" w:cs="Open Sans"/>
          <w:sz w:val="20"/>
          <w:szCs w:val="20"/>
          <w:lang w:eastAsia="en-GB"/>
        </w:rPr>
        <w:t xml:space="preserve"> or energy from waste facilities. </w:t>
      </w:r>
    </w:p>
    <w:p w14:paraId="6A0932FB" w14:textId="277D8043" w:rsidR="001534A2" w:rsidRPr="006767C5" w:rsidRDefault="001534A2" w:rsidP="00F66C5F">
      <w:pPr>
        <w:spacing w:after="0" w:line="240" w:lineRule="auto"/>
        <w:rPr>
          <w:rFonts w:ascii="Open Sans" w:hAnsi="Open Sans" w:cs="Open Sans"/>
          <w:sz w:val="20"/>
          <w:szCs w:val="20"/>
          <w:lang w:eastAsia="en-GB"/>
        </w:rPr>
      </w:pPr>
    </w:p>
    <w:p w14:paraId="14AE6515" w14:textId="016888D6" w:rsidR="00EA3D5E" w:rsidRPr="006767C5" w:rsidRDefault="00EA3D5E" w:rsidP="00F66C5F">
      <w:pPr>
        <w:spacing w:after="0" w:line="240" w:lineRule="auto"/>
        <w:rPr>
          <w:rFonts w:ascii="Open Sans" w:hAnsi="Open Sans" w:cs="Open Sans"/>
          <w:sz w:val="20"/>
          <w:szCs w:val="20"/>
          <w:lang w:eastAsia="en-GB"/>
        </w:rPr>
      </w:pPr>
    </w:p>
    <w:p w14:paraId="225621AE" w14:textId="5DAB3794" w:rsidR="00EA3D5E" w:rsidRPr="006767C5" w:rsidRDefault="00EA3D5E" w:rsidP="00EA3D5E">
      <w:pPr>
        <w:spacing w:after="0" w:line="240" w:lineRule="auto"/>
        <w:jc w:val="right"/>
        <w:rPr>
          <w:rFonts w:ascii="Open Sans" w:hAnsi="Open Sans" w:cs="Open Sans"/>
          <w:b/>
          <w:bCs/>
          <w:sz w:val="20"/>
          <w:szCs w:val="20"/>
          <w:lang w:eastAsia="en-GB"/>
        </w:rPr>
      </w:pPr>
      <w:r w:rsidRPr="006767C5">
        <w:rPr>
          <w:rFonts w:ascii="Open Sans" w:hAnsi="Open Sans" w:cs="Open Sans"/>
          <w:b/>
          <w:bCs/>
          <w:sz w:val="20"/>
          <w:szCs w:val="20"/>
          <w:lang w:eastAsia="en-GB"/>
        </w:rPr>
        <w:t>June 2021</w:t>
      </w:r>
    </w:p>
    <w:p w14:paraId="58DAFC46" w14:textId="17CC5FFA" w:rsidR="0036568A" w:rsidRDefault="0036568A" w:rsidP="00F66C5F">
      <w:pPr>
        <w:spacing w:after="0" w:line="240" w:lineRule="auto"/>
        <w:rPr>
          <w:rFonts w:ascii="Open Sans" w:hAnsi="Open Sans" w:cs="Open Sans"/>
          <w:sz w:val="20"/>
          <w:szCs w:val="20"/>
          <w:lang w:eastAsia="en-GB"/>
        </w:rPr>
      </w:pPr>
    </w:p>
    <w:p w14:paraId="3BB23F2E" w14:textId="77777777" w:rsidR="001313BC" w:rsidRDefault="001313BC" w:rsidP="00F66C5F">
      <w:pPr>
        <w:spacing w:after="0" w:line="240" w:lineRule="auto"/>
        <w:rPr>
          <w:rFonts w:ascii="Open Sans" w:hAnsi="Open Sans" w:cs="Open Sans"/>
          <w:sz w:val="20"/>
          <w:szCs w:val="20"/>
          <w:lang w:eastAsia="en-GB"/>
        </w:rPr>
      </w:pPr>
    </w:p>
    <w:p w14:paraId="0783C062" w14:textId="70B92342" w:rsidR="00E527C6" w:rsidRPr="00F66C5F" w:rsidRDefault="00E527C6" w:rsidP="00F66C5F">
      <w:pPr>
        <w:spacing w:after="0" w:line="240" w:lineRule="auto"/>
        <w:rPr>
          <w:rFonts w:ascii="Open Sans" w:hAnsi="Open Sans" w:cs="Open Sans"/>
          <w:sz w:val="20"/>
          <w:szCs w:val="20"/>
          <w:lang w:eastAsia="en-GB"/>
        </w:rPr>
      </w:pPr>
    </w:p>
    <w:sectPr w:rsidR="00E527C6" w:rsidRPr="00F66C5F" w:rsidSect="008F79B2">
      <w:headerReference w:type="default" r:id="rId23"/>
      <w:footerReference w:type="default" r:id="rId24"/>
      <w:headerReference w:type="first" r:id="rId2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DD377" w14:textId="77777777" w:rsidR="007777AC" w:rsidRDefault="007777AC" w:rsidP="007777AC">
      <w:pPr>
        <w:spacing w:after="0" w:line="240" w:lineRule="auto"/>
      </w:pPr>
      <w:r>
        <w:separator/>
      </w:r>
    </w:p>
  </w:endnote>
  <w:endnote w:type="continuationSeparator" w:id="0">
    <w:p w14:paraId="77C5796B" w14:textId="77777777" w:rsidR="007777AC" w:rsidRDefault="007777AC" w:rsidP="00777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Neue">
    <w:altName w:val="Arial"/>
    <w:panose1 w:val="00000000000000000000"/>
    <w:charset w:val="00"/>
    <w:family w:val="swiss"/>
    <w:notTrueType/>
    <w:pitch w:val="default"/>
    <w:sig w:usb0="00000003" w:usb1="00000000" w:usb2="00000000" w:usb3="00000000" w:csb0="00000001" w:csb1="00000000"/>
  </w:font>
  <w:font w:name="Stone Sans ITC TT">
    <w:altName w:val="MV Bol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237958"/>
      <w:docPartObj>
        <w:docPartGallery w:val="Page Numbers (Bottom of Page)"/>
        <w:docPartUnique/>
      </w:docPartObj>
    </w:sdtPr>
    <w:sdtEndPr>
      <w:rPr>
        <w:noProof/>
      </w:rPr>
    </w:sdtEndPr>
    <w:sdtContent>
      <w:p w14:paraId="1D3AE220" w14:textId="1724008A" w:rsidR="00D77BDC" w:rsidRDefault="00D77BD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D3552B" w14:textId="77777777" w:rsidR="00D77BDC" w:rsidRDefault="00D77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A59AE" w14:textId="77777777" w:rsidR="007777AC" w:rsidRDefault="007777AC" w:rsidP="007777AC">
      <w:pPr>
        <w:spacing w:after="0" w:line="240" w:lineRule="auto"/>
      </w:pPr>
      <w:r>
        <w:separator/>
      </w:r>
    </w:p>
  </w:footnote>
  <w:footnote w:type="continuationSeparator" w:id="0">
    <w:p w14:paraId="5D0846DE" w14:textId="77777777" w:rsidR="007777AC" w:rsidRDefault="007777AC" w:rsidP="007777AC">
      <w:pPr>
        <w:spacing w:after="0" w:line="240" w:lineRule="auto"/>
      </w:pPr>
      <w:r>
        <w:continuationSeparator/>
      </w:r>
    </w:p>
  </w:footnote>
  <w:footnote w:id="1">
    <w:p w14:paraId="67654C18" w14:textId="093F3859" w:rsidR="000514EB" w:rsidRPr="000514EB" w:rsidRDefault="000514EB">
      <w:pPr>
        <w:pStyle w:val="FootnoteText"/>
        <w:rPr>
          <w:rFonts w:asciiTheme="minorHAnsi" w:hAnsiTheme="minorHAnsi" w:cstheme="minorHAnsi"/>
        </w:rPr>
      </w:pPr>
      <w:r w:rsidRPr="000514EB">
        <w:rPr>
          <w:rStyle w:val="FootnoteReference"/>
          <w:rFonts w:asciiTheme="minorHAnsi" w:hAnsiTheme="minorHAnsi" w:cstheme="minorHAnsi"/>
        </w:rPr>
        <w:footnoteRef/>
      </w:r>
      <w:r w:rsidRPr="000514EB">
        <w:rPr>
          <w:rFonts w:asciiTheme="minorHAnsi" w:hAnsiTheme="minorHAnsi" w:cstheme="minorHAnsi"/>
        </w:rPr>
        <w:t xml:space="preserve"> REA (2019) REA Bioenergy Strategy, </w:t>
      </w:r>
      <w:hyperlink r:id="rId1" w:history="1">
        <w:r w:rsidRPr="000514EB">
          <w:rPr>
            <w:rStyle w:val="Hyperlink"/>
            <w:rFonts w:asciiTheme="minorHAnsi" w:hAnsiTheme="minorHAnsi" w:cstheme="minorHAnsi"/>
          </w:rPr>
          <w:t>https://www.r-e-a.net/resources/bioenergy-strategy-phase-3/</w:t>
        </w:r>
      </w:hyperlink>
      <w:r w:rsidRPr="000514EB">
        <w:rPr>
          <w:rFonts w:asciiTheme="minorHAnsi" w:hAnsiTheme="minorHAnsi" w:cstheme="minorHAnsi"/>
        </w:rPr>
        <w:t xml:space="preserve"> </w:t>
      </w:r>
    </w:p>
  </w:footnote>
  <w:footnote w:id="2">
    <w:p w14:paraId="20D6CBF3" w14:textId="0FE0DB36" w:rsidR="000514EB" w:rsidRDefault="000514EB">
      <w:pPr>
        <w:pStyle w:val="FootnoteText"/>
      </w:pPr>
      <w:r w:rsidRPr="000514EB">
        <w:rPr>
          <w:rStyle w:val="FootnoteReference"/>
          <w:rFonts w:asciiTheme="minorHAnsi" w:hAnsiTheme="minorHAnsi" w:cstheme="minorHAnsi"/>
        </w:rPr>
        <w:footnoteRef/>
      </w:r>
      <w:r w:rsidRPr="000514EB">
        <w:rPr>
          <w:rFonts w:asciiTheme="minorHAnsi" w:hAnsiTheme="minorHAnsi" w:cstheme="minorHAnsi"/>
        </w:rPr>
        <w:t xml:space="preserve"> Ricardo’s AEA’s (2017) </w:t>
      </w:r>
      <w:r w:rsidRPr="000514EB">
        <w:rPr>
          <w:rFonts w:asciiTheme="minorHAnsi" w:hAnsiTheme="minorHAnsi" w:cstheme="minorHAnsi"/>
          <w:i/>
          <w:iCs/>
        </w:rPr>
        <w:t xml:space="preserve">Biomass Feedstock Availability, </w:t>
      </w:r>
      <w:hyperlink r:id="rId2" w:history="1">
        <w:r w:rsidRPr="000514EB">
          <w:rPr>
            <w:rStyle w:val="Hyperlink"/>
            <w:rFonts w:asciiTheme="minorHAnsi" w:hAnsiTheme="minorHAnsi" w:cstheme="minorHAnsi"/>
            <w:i/>
            <w:iCs/>
          </w:rPr>
          <w:t>https://assets.publishing.service.gov.uk/government/uploads/system/uploads/attachment_data/file/597387/Biomass_feedstock_availability_final_report_for_publication.pdf</w:t>
        </w:r>
      </w:hyperlink>
      <w:r>
        <w:rPr>
          <w:rFonts w:ascii="Open Sans" w:hAnsi="Open Sans" w:cs="Open Sans"/>
          <w:i/>
          <w:iCs/>
        </w:rPr>
        <w:t xml:space="preserve"> </w:t>
      </w:r>
    </w:p>
  </w:footnote>
  <w:footnote w:id="3">
    <w:p w14:paraId="5BC84A67" w14:textId="126D8B0F" w:rsidR="002554EB" w:rsidRDefault="002554EB">
      <w:pPr>
        <w:pStyle w:val="FootnoteText"/>
      </w:pPr>
      <w:r>
        <w:rPr>
          <w:rStyle w:val="FootnoteReference"/>
        </w:rPr>
        <w:footnoteRef/>
      </w:r>
      <w:r>
        <w:t xml:space="preserve"> </w:t>
      </w:r>
      <w:r w:rsidRPr="00220257">
        <w:rPr>
          <w:rFonts w:ascii="Open Sans" w:hAnsi="Open Sans" w:cs="Open Sans"/>
          <w:sz w:val="18"/>
          <w:szCs w:val="18"/>
        </w:rPr>
        <w:t xml:space="preserve">CCC (2018) Biomass in a low carbon economy, </w:t>
      </w:r>
      <w:hyperlink r:id="rId3" w:history="1">
        <w:r w:rsidRPr="00220257">
          <w:rPr>
            <w:rStyle w:val="Hyperlink"/>
            <w:rFonts w:ascii="Open Sans" w:hAnsi="Open Sans" w:cs="Open Sans"/>
            <w:sz w:val="18"/>
            <w:szCs w:val="18"/>
          </w:rPr>
          <w:t>https://www.theccc.org.uk/publication/biomass-in-a-low-carbon-economy/</w:t>
        </w:r>
      </w:hyperlink>
    </w:p>
  </w:footnote>
  <w:footnote w:id="4">
    <w:p w14:paraId="5030EB6D" w14:textId="59903F63" w:rsidR="00D341A0" w:rsidRDefault="00D341A0">
      <w:pPr>
        <w:pStyle w:val="FootnoteText"/>
      </w:pPr>
      <w:r>
        <w:rPr>
          <w:rStyle w:val="FootnoteReference"/>
        </w:rPr>
        <w:footnoteRef/>
      </w:r>
      <w:r>
        <w:t xml:space="preserve"> </w:t>
      </w:r>
      <w:r>
        <w:rPr>
          <w:rStyle w:val="Hyperlink"/>
          <w:rFonts w:ascii="Open Sans" w:hAnsi="Open Sans" w:cs="Open Sans"/>
          <w:color w:val="auto"/>
          <w:u w:val="none"/>
        </w:rPr>
        <w:t xml:space="preserve">Forestry Commission (2020) </w:t>
      </w:r>
      <w:r w:rsidRPr="002A2492">
        <w:rPr>
          <w:rStyle w:val="Hyperlink"/>
          <w:rFonts w:ascii="Open Sans" w:hAnsi="Open Sans" w:cs="Open Sans"/>
          <w:i/>
          <w:iCs/>
          <w:color w:val="auto"/>
          <w:u w:val="none"/>
        </w:rPr>
        <w:t>Forestry Statistics 2020</w:t>
      </w:r>
      <w:r>
        <w:rPr>
          <w:rFonts w:ascii="Open Sans" w:hAnsi="Open Sans" w:cs="Open Sans"/>
        </w:rPr>
        <w:t xml:space="preserve">, </w:t>
      </w:r>
      <w:hyperlink r:id="rId4" w:history="1">
        <w:r w:rsidRPr="00C077F3">
          <w:rPr>
            <w:rStyle w:val="Hyperlink"/>
            <w:rFonts w:ascii="Open Sans" w:hAnsi="Open Sans" w:cs="Open Sans"/>
          </w:rPr>
          <w:t>https://www.forestresearch.gov.uk/tools-and-resources/statistics/forestry-statistics/</w:t>
        </w:r>
      </w:hyperlink>
    </w:p>
  </w:footnote>
  <w:footnote w:id="5">
    <w:p w14:paraId="494D666E" w14:textId="77777777" w:rsidR="005143BA" w:rsidRDefault="005143BA" w:rsidP="005143BA">
      <w:pPr>
        <w:pStyle w:val="FootnoteText"/>
      </w:pPr>
      <w:r>
        <w:rPr>
          <w:rStyle w:val="FootnoteReference"/>
        </w:rPr>
        <w:footnoteRef/>
      </w:r>
      <w:r>
        <w:t xml:space="preserve"> DEFRA (2020) </w:t>
      </w:r>
      <w:r w:rsidRPr="000514EB">
        <w:rPr>
          <w:i/>
          <w:iCs/>
        </w:rPr>
        <w:t xml:space="preserve">Waste and Recycling Statistics, </w:t>
      </w:r>
      <w:hyperlink r:id="rId5" w:history="1">
        <w:r w:rsidRPr="00C077F3">
          <w:rPr>
            <w:rStyle w:val="Hyperlink"/>
          </w:rPr>
          <w:t>https://www.gov.uk/government/collections/waste-and-recycling-statistics</w:t>
        </w:r>
      </w:hyperlink>
      <w:r>
        <w:t xml:space="preserve"> </w:t>
      </w:r>
    </w:p>
  </w:footnote>
  <w:footnote w:id="6">
    <w:p w14:paraId="395F6A2B" w14:textId="2BE74C57" w:rsidR="005143BA" w:rsidRPr="005E6EFB" w:rsidRDefault="005143BA" w:rsidP="005143BA">
      <w:pPr>
        <w:pStyle w:val="FootnoteText"/>
        <w:rPr>
          <w:rFonts w:ascii="Open Sans" w:hAnsi="Open Sans" w:cs="Open Sans"/>
        </w:rPr>
      </w:pPr>
      <w:r>
        <w:rPr>
          <w:rStyle w:val="FootnoteReference"/>
        </w:rPr>
        <w:footnoteRef/>
      </w:r>
      <w:r>
        <w:t xml:space="preserve"> </w:t>
      </w:r>
      <w:r w:rsidRPr="005E6EFB">
        <w:rPr>
          <w:rFonts w:ascii="Open Sans" w:hAnsi="Open Sans" w:cs="Open Sans"/>
        </w:rPr>
        <w:t xml:space="preserve">Royal Agricultural Society of England, </w:t>
      </w:r>
      <w:r w:rsidRPr="005E6EFB">
        <w:rPr>
          <w:rFonts w:ascii="Open Sans" w:hAnsi="Open Sans" w:cs="Open Sans"/>
          <w:i/>
          <w:iCs/>
        </w:rPr>
        <w:t>A Review of Anaerobic Digestion Plants on UK Farms</w:t>
      </w:r>
      <w:r w:rsidRPr="005E6EFB">
        <w:rPr>
          <w:rFonts w:ascii="Open Sans" w:hAnsi="Open Sans" w:cs="Open Sans"/>
        </w:rPr>
        <w:t>,</w:t>
      </w:r>
      <w:r w:rsidR="0036441F">
        <w:rPr>
          <w:rFonts w:ascii="Open Sans" w:hAnsi="Open Sans" w:cs="Open Sans"/>
        </w:rPr>
        <w:t xml:space="preserve"> </w:t>
      </w:r>
      <w:hyperlink r:id="rId6" w:history="1">
        <w:r w:rsidR="0036441F" w:rsidRPr="000B5F0C">
          <w:rPr>
            <w:rStyle w:val="Hyperlink"/>
            <w:rFonts w:ascii="Open Sans" w:hAnsi="Open Sans" w:cs="Open Sans"/>
          </w:rPr>
          <w:t>https://www.fre-energy.co.uk/pdf/RASE-On-Farm-AD-Review.pdf</w:t>
        </w:r>
      </w:hyperlink>
      <w:r w:rsidR="0036441F">
        <w:rPr>
          <w:rFonts w:ascii="Open Sans" w:hAnsi="Open Sans" w:cs="Open Sans"/>
        </w:rPr>
        <w:t xml:space="preserve"> </w:t>
      </w:r>
    </w:p>
  </w:footnote>
  <w:footnote w:id="7">
    <w:p w14:paraId="1C78D627" w14:textId="77777777" w:rsidR="005143BA" w:rsidRPr="009F440C" w:rsidRDefault="005143BA" w:rsidP="005143BA">
      <w:pPr>
        <w:pStyle w:val="FootnoteText"/>
        <w:rPr>
          <w:rFonts w:ascii="Open Sans" w:hAnsi="Open Sans" w:cs="Open Sans"/>
        </w:rPr>
      </w:pPr>
      <w:r w:rsidRPr="005E6EFB">
        <w:rPr>
          <w:rStyle w:val="FootnoteReference"/>
          <w:rFonts w:ascii="Open Sans" w:hAnsi="Open Sans" w:cs="Open Sans"/>
        </w:rPr>
        <w:footnoteRef/>
      </w:r>
      <w:r w:rsidRPr="005E6EFB">
        <w:rPr>
          <w:rFonts w:ascii="Open Sans" w:hAnsi="Open Sans" w:cs="Open Sans"/>
        </w:rPr>
        <w:t xml:space="preserve"> NNFCC, 2021. </w:t>
      </w:r>
      <w:r w:rsidRPr="005E6EFB">
        <w:rPr>
          <w:rFonts w:ascii="Open Sans" w:hAnsi="Open Sans" w:cs="Open Sans"/>
          <w:i/>
          <w:iCs/>
        </w:rPr>
        <w:t>Anaerobic Digestion Deployment in the UK</w:t>
      </w:r>
      <w:r w:rsidRPr="005E6EFB">
        <w:rPr>
          <w:rFonts w:ascii="Open Sans" w:hAnsi="Open Sans" w:cs="Open Sans"/>
        </w:rPr>
        <w:t>, https://www.nnfcc.co.uk/publications/report-anaerobic-digestion-deployment-in-the-uk</w:t>
      </w:r>
    </w:p>
  </w:footnote>
  <w:footnote w:id="8">
    <w:p w14:paraId="62BC6A89" w14:textId="77777777" w:rsidR="005143BA" w:rsidRDefault="005143BA" w:rsidP="005143BA">
      <w:pPr>
        <w:pStyle w:val="FootnoteText"/>
      </w:pPr>
      <w:r>
        <w:rPr>
          <w:rStyle w:val="FootnoteReference"/>
        </w:rPr>
        <w:footnoteRef/>
      </w:r>
      <w:r>
        <w:t xml:space="preserve"> CCC (2019) </w:t>
      </w:r>
      <w:r w:rsidRPr="000514EB">
        <w:t>Net Zero The UK's contribution to stopping global warming</w:t>
      </w:r>
      <w:r>
        <w:t xml:space="preserve">, </w:t>
      </w:r>
      <w:hyperlink r:id="rId7" w:history="1">
        <w:r w:rsidRPr="00C077F3">
          <w:rPr>
            <w:rStyle w:val="Hyperlink"/>
          </w:rPr>
          <w:t>https://www.theccc.org.uk/publication/net-zero-the-uks-contribution-to-stopping-global-warming/</w:t>
        </w:r>
      </w:hyperlink>
      <w:r>
        <w:t xml:space="preserve"> </w:t>
      </w:r>
    </w:p>
  </w:footnote>
  <w:footnote w:id="9">
    <w:p w14:paraId="6D9308D9" w14:textId="33763D2D" w:rsidR="009B46C4" w:rsidRDefault="009B46C4">
      <w:pPr>
        <w:pStyle w:val="FootnoteText"/>
      </w:pPr>
      <w:r>
        <w:rPr>
          <w:rStyle w:val="FootnoteReference"/>
        </w:rPr>
        <w:footnoteRef/>
      </w:r>
      <w:r>
        <w:t xml:space="preserve"> WRAP (2020) Gate Fees Report 2020, </w:t>
      </w:r>
      <w:hyperlink r:id="rId8" w:history="1">
        <w:r w:rsidRPr="00C077F3">
          <w:rPr>
            <w:rStyle w:val="Hyperlink"/>
          </w:rPr>
          <w:t>https://wrap.org.uk/resources/report/gate-fees-report-2020</w:t>
        </w:r>
      </w:hyperlink>
      <w:r>
        <w:t xml:space="preserve"> </w:t>
      </w:r>
    </w:p>
  </w:footnote>
  <w:footnote w:id="10">
    <w:p w14:paraId="46B06DB0" w14:textId="1CF7ACF4" w:rsidR="009B46C4" w:rsidRDefault="009B46C4">
      <w:pPr>
        <w:pStyle w:val="FootnoteText"/>
      </w:pPr>
      <w:r>
        <w:rPr>
          <w:rStyle w:val="FootnoteReference"/>
        </w:rPr>
        <w:footnoteRef/>
      </w:r>
      <w:r>
        <w:t xml:space="preserve"> </w:t>
      </w:r>
      <w:r w:rsidRPr="000514EB">
        <w:rPr>
          <w:rFonts w:asciiTheme="minorHAnsi" w:hAnsiTheme="minorHAnsi" w:cstheme="minorHAnsi"/>
        </w:rPr>
        <w:t xml:space="preserve">REA (2019) REA Bioenergy Strategy, </w:t>
      </w:r>
      <w:hyperlink r:id="rId9" w:history="1">
        <w:r w:rsidRPr="000514EB">
          <w:rPr>
            <w:rStyle w:val="Hyperlink"/>
            <w:rFonts w:asciiTheme="minorHAnsi" w:hAnsiTheme="minorHAnsi" w:cstheme="minorHAnsi"/>
          </w:rPr>
          <w:t>https://www.r-e-a.net/resources/bioenergy-strategy-phase-3/</w:t>
        </w:r>
      </w:hyperlink>
    </w:p>
  </w:footnote>
  <w:footnote w:id="11">
    <w:p w14:paraId="4F0E9862" w14:textId="2DF91391" w:rsidR="009B46C4" w:rsidRPr="00206E5E" w:rsidRDefault="009B46C4">
      <w:pPr>
        <w:pStyle w:val="FootnoteText"/>
        <w:rPr>
          <w:sz w:val="18"/>
          <w:szCs w:val="18"/>
        </w:rPr>
      </w:pPr>
      <w:r w:rsidRPr="00206E5E">
        <w:rPr>
          <w:rStyle w:val="FootnoteReference"/>
          <w:sz w:val="18"/>
          <w:szCs w:val="18"/>
        </w:rPr>
        <w:footnoteRef/>
      </w:r>
      <w:r w:rsidRPr="00206E5E">
        <w:rPr>
          <w:sz w:val="18"/>
          <w:szCs w:val="18"/>
        </w:rPr>
        <w:t xml:space="preserve"> </w:t>
      </w:r>
      <w:r w:rsidRPr="00206E5E">
        <w:rPr>
          <w:rFonts w:ascii="Open Sans" w:hAnsi="Open Sans" w:cs="Open Sans"/>
          <w:sz w:val="18"/>
          <w:szCs w:val="18"/>
        </w:rPr>
        <w:t xml:space="preserve">Gillian </w:t>
      </w:r>
      <w:proofErr w:type="spellStart"/>
      <w:r w:rsidRPr="00206E5E">
        <w:rPr>
          <w:rFonts w:ascii="Open Sans" w:hAnsi="Open Sans" w:cs="Open Sans"/>
          <w:sz w:val="18"/>
          <w:szCs w:val="18"/>
        </w:rPr>
        <w:t>Petrokofsky</w:t>
      </w:r>
      <w:proofErr w:type="spellEnd"/>
      <w:r w:rsidRPr="00206E5E">
        <w:rPr>
          <w:rFonts w:ascii="Open Sans" w:hAnsi="Open Sans" w:cs="Open Sans"/>
          <w:sz w:val="18"/>
          <w:szCs w:val="18"/>
        </w:rPr>
        <w:t xml:space="preserve">, Oliver Hooper, Leo </w:t>
      </w:r>
      <w:proofErr w:type="spellStart"/>
      <w:r w:rsidRPr="00206E5E">
        <w:rPr>
          <w:rFonts w:ascii="Open Sans" w:hAnsi="Open Sans" w:cs="Open Sans"/>
          <w:sz w:val="18"/>
          <w:szCs w:val="18"/>
        </w:rPr>
        <w:t>Petrokofsky</w:t>
      </w:r>
      <w:proofErr w:type="spellEnd"/>
      <w:r w:rsidRPr="00206E5E">
        <w:rPr>
          <w:rFonts w:ascii="Open Sans" w:hAnsi="Open Sans" w:cs="Open Sans"/>
          <w:sz w:val="18"/>
          <w:szCs w:val="18"/>
        </w:rPr>
        <w:t xml:space="preserve">, Alice E. Gant, William J. Harvey, Katherine J. Willis, (2021) ‘What are the impacts of the wood pellet industry on biodiversity in </w:t>
      </w:r>
      <w:proofErr w:type="spellStart"/>
      <w:r w:rsidRPr="00206E5E">
        <w:rPr>
          <w:rFonts w:ascii="Open Sans" w:hAnsi="Open Sans" w:cs="Open Sans"/>
          <w:sz w:val="18"/>
          <w:szCs w:val="18"/>
        </w:rPr>
        <w:t>Southeastern</w:t>
      </w:r>
      <w:proofErr w:type="spellEnd"/>
      <w:r w:rsidRPr="00206E5E">
        <w:rPr>
          <w:rFonts w:ascii="Open Sans" w:hAnsi="Open Sans" w:cs="Open Sans"/>
          <w:sz w:val="18"/>
          <w:szCs w:val="18"/>
        </w:rPr>
        <w:t xml:space="preserve"> USA? A systematic evidence synthesis,’ </w:t>
      </w:r>
      <w:r w:rsidRPr="00206E5E">
        <w:rPr>
          <w:rFonts w:ascii="Open Sans" w:hAnsi="Open Sans" w:cs="Open Sans"/>
          <w:i/>
          <w:iCs/>
          <w:sz w:val="18"/>
          <w:szCs w:val="18"/>
        </w:rPr>
        <w:t>Forest Ecology and Management</w:t>
      </w:r>
      <w:r w:rsidRPr="00206E5E">
        <w:rPr>
          <w:rFonts w:ascii="Open Sans" w:hAnsi="Open Sans" w:cs="Open Sans"/>
          <w:sz w:val="18"/>
          <w:szCs w:val="18"/>
        </w:rPr>
        <w:t xml:space="preserve">, Volume 483, 2021, </w:t>
      </w:r>
      <w:hyperlink r:id="rId10" w:tgtFrame="_blank" w:tooltip="Persistent link using digital object identifier" w:history="1">
        <w:r w:rsidRPr="00206E5E">
          <w:rPr>
            <w:rStyle w:val="Hyperlink"/>
            <w:rFonts w:ascii="Open Sans" w:hAnsi="Open Sans" w:cs="Open Sans"/>
            <w:sz w:val="18"/>
            <w:szCs w:val="18"/>
          </w:rPr>
          <w:t>https://doi.org/10.1016/j.foreco.2020.118773</w:t>
        </w:r>
      </w:hyperlink>
    </w:p>
  </w:footnote>
  <w:footnote w:id="12">
    <w:p w14:paraId="034E2620" w14:textId="5235615B" w:rsidR="009B46C4" w:rsidRPr="00206E5E" w:rsidRDefault="009B46C4">
      <w:pPr>
        <w:pStyle w:val="FootnoteText"/>
        <w:rPr>
          <w:sz w:val="18"/>
          <w:szCs w:val="18"/>
        </w:rPr>
      </w:pPr>
      <w:r w:rsidRPr="00206E5E">
        <w:rPr>
          <w:rStyle w:val="FootnoteReference"/>
          <w:sz w:val="18"/>
          <w:szCs w:val="18"/>
        </w:rPr>
        <w:footnoteRef/>
      </w:r>
      <w:r w:rsidRPr="00206E5E">
        <w:rPr>
          <w:sz w:val="18"/>
          <w:szCs w:val="18"/>
        </w:rPr>
        <w:t xml:space="preserve"> </w:t>
      </w:r>
      <w:r w:rsidRPr="00206E5E">
        <w:rPr>
          <w:rStyle w:val="Hyperlink"/>
          <w:rFonts w:ascii="Open Sans" w:hAnsi="Open Sans" w:cs="Open Sans"/>
          <w:color w:val="auto"/>
          <w:sz w:val="18"/>
          <w:szCs w:val="18"/>
          <w:u w:val="none"/>
        </w:rPr>
        <w:t xml:space="preserve">Forestry Commission (2020) </w:t>
      </w:r>
      <w:r w:rsidRPr="00206E5E">
        <w:rPr>
          <w:rStyle w:val="Hyperlink"/>
          <w:rFonts w:ascii="Open Sans" w:hAnsi="Open Sans" w:cs="Open Sans"/>
          <w:i/>
          <w:iCs/>
          <w:color w:val="auto"/>
          <w:sz w:val="18"/>
          <w:szCs w:val="18"/>
          <w:u w:val="none"/>
        </w:rPr>
        <w:t>Forestry Statistics 2020</w:t>
      </w:r>
      <w:r w:rsidRPr="00206E5E">
        <w:rPr>
          <w:rFonts w:ascii="Open Sans" w:hAnsi="Open Sans" w:cs="Open Sans"/>
          <w:sz w:val="18"/>
          <w:szCs w:val="18"/>
        </w:rPr>
        <w:t xml:space="preserve">, </w:t>
      </w:r>
      <w:hyperlink r:id="rId11" w:history="1">
        <w:r w:rsidRPr="00206E5E">
          <w:rPr>
            <w:rStyle w:val="Hyperlink"/>
            <w:rFonts w:ascii="Open Sans" w:hAnsi="Open Sans" w:cs="Open Sans"/>
            <w:sz w:val="18"/>
            <w:szCs w:val="18"/>
          </w:rPr>
          <w:t>https://www.forestresearch.gov.uk/tools-and-resources/statistics/forestry-statistics/</w:t>
        </w:r>
      </w:hyperlink>
    </w:p>
  </w:footnote>
  <w:footnote w:id="13">
    <w:p w14:paraId="0332F1CE" w14:textId="175C8897" w:rsidR="009B46C4" w:rsidRPr="00206E5E" w:rsidRDefault="009B46C4">
      <w:pPr>
        <w:pStyle w:val="FootnoteText"/>
        <w:rPr>
          <w:sz w:val="18"/>
          <w:szCs w:val="18"/>
        </w:rPr>
      </w:pPr>
      <w:r w:rsidRPr="00206E5E">
        <w:rPr>
          <w:rStyle w:val="FootnoteReference"/>
          <w:sz w:val="18"/>
          <w:szCs w:val="18"/>
        </w:rPr>
        <w:footnoteRef/>
      </w:r>
      <w:r w:rsidRPr="00206E5E">
        <w:rPr>
          <w:sz w:val="18"/>
          <w:szCs w:val="18"/>
        </w:rPr>
        <w:t xml:space="preserve"> </w:t>
      </w:r>
      <w:r w:rsidRPr="00206E5E">
        <w:rPr>
          <w:rFonts w:ascii="Open Sans" w:hAnsi="Open Sans" w:cs="Open Sans"/>
          <w:sz w:val="18"/>
          <w:szCs w:val="18"/>
        </w:rPr>
        <w:t xml:space="preserve">Woody Biomass Utilization Benefits  </w:t>
      </w:r>
      <w:hyperlink r:id="rId12" w:history="1">
        <w:r w:rsidRPr="00206E5E">
          <w:rPr>
            <w:rStyle w:val="Hyperlink"/>
            <w:rFonts w:ascii="Open Sans" w:hAnsi="Open Sans" w:cs="Open Sans"/>
            <w:sz w:val="18"/>
            <w:szCs w:val="18"/>
          </w:rPr>
          <w:t>https://forestsandrangelands.gov/woody-biomass/benefits.shtml</w:t>
        </w:r>
      </w:hyperlink>
    </w:p>
  </w:footnote>
  <w:footnote w:id="14">
    <w:p w14:paraId="2628CE8A" w14:textId="41FE7829" w:rsidR="00206E5E" w:rsidRPr="00206E5E" w:rsidRDefault="00206E5E" w:rsidP="00206E5E">
      <w:pPr>
        <w:rPr>
          <w:sz w:val="18"/>
          <w:szCs w:val="18"/>
        </w:rPr>
      </w:pPr>
      <w:r w:rsidRPr="00206E5E">
        <w:rPr>
          <w:rStyle w:val="FootnoteReference"/>
          <w:sz w:val="18"/>
          <w:szCs w:val="18"/>
        </w:rPr>
        <w:footnoteRef/>
      </w:r>
      <w:r w:rsidRPr="00206E5E">
        <w:rPr>
          <w:sz w:val="18"/>
          <w:szCs w:val="18"/>
        </w:rPr>
        <w:t xml:space="preserve"> </w:t>
      </w:r>
      <w:r w:rsidRPr="00206E5E">
        <w:rPr>
          <w:rFonts w:ascii="Open Sans" w:hAnsi="Open Sans" w:cs="Open Sans"/>
          <w:sz w:val="18"/>
          <w:szCs w:val="18"/>
        </w:rPr>
        <w:t xml:space="preserve">UK Forest Standard </w:t>
      </w:r>
      <w:hyperlink r:id="rId13" w:history="1">
        <w:r w:rsidRPr="00206E5E">
          <w:rPr>
            <w:rStyle w:val="Hyperlink"/>
            <w:rFonts w:ascii="Open Sans" w:hAnsi="Open Sans" w:cs="Open Sans"/>
            <w:sz w:val="18"/>
            <w:szCs w:val="18"/>
          </w:rPr>
          <w:t>https://www.gov.uk/government/publications/the-uk-forestry-standard</w:t>
        </w:r>
      </w:hyperlink>
      <w:r w:rsidRPr="00206E5E">
        <w:rPr>
          <w:rFonts w:ascii="Open Sans" w:hAnsi="Open Sans" w:cs="Open Sans"/>
          <w:sz w:val="18"/>
          <w:szCs w:val="18"/>
        </w:rPr>
        <w:t xml:space="preserve"> </w:t>
      </w:r>
    </w:p>
  </w:footnote>
  <w:footnote w:id="15">
    <w:p w14:paraId="57E41EEB" w14:textId="1D48D34B" w:rsidR="00206E5E" w:rsidRPr="00206E5E" w:rsidRDefault="00206E5E" w:rsidP="00206E5E">
      <w:pPr>
        <w:rPr>
          <w:sz w:val="18"/>
          <w:szCs w:val="18"/>
        </w:rPr>
      </w:pPr>
      <w:r w:rsidRPr="00206E5E">
        <w:rPr>
          <w:rStyle w:val="FootnoteReference"/>
          <w:sz w:val="18"/>
          <w:szCs w:val="18"/>
        </w:rPr>
        <w:footnoteRef/>
      </w:r>
      <w:r w:rsidRPr="00206E5E">
        <w:rPr>
          <w:sz w:val="18"/>
          <w:szCs w:val="18"/>
        </w:rPr>
        <w:t xml:space="preserve"> </w:t>
      </w:r>
      <w:r w:rsidRPr="00206E5E">
        <w:rPr>
          <w:rFonts w:ascii="Open Sans" w:hAnsi="Open Sans" w:cs="Open Sans"/>
          <w:sz w:val="18"/>
          <w:szCs w:val="18"/>
        </w:rPr>
        <w:t xml:space="preserve">FAO/Committee for World Food Security, Principles for Responsible Investment in Agriculture and Food </w:t>
      </w:r>
      <w:proofErr w:type="spellStart"/>
      <w:r w:rsidRPr="00206E5E">
        <w:rPr>
          <w:rFonts w:ascii="Open Sans" w:hAnsi="Open Sans" w:cs="Open Sans"/>
          <w:sz w:val="18"/>
          <w:szCs w:val="18"/>
        </w:rPr>
        <w:t>Sytems</w:t>
      </w:r>
      <w:proofErr w:type="spellEnd"/>
      <w:r w:rsidRPr="00206E5E">
        <w:rPr>
          <w:rFonts w:ascii="Open Sans" w:hAnsi="Open Sans" w:cs="Open Sans"/>
          <w:sz w:val="18"/>
          <w:szCs w:val="18"/>
        </w:rPr>
        <w:t xml:space="preserve">, </w:t>
      </w:r>
      <w:hyperlink r:id="rId14" w:history="1">
        <w:r w:rsidRPr="00206E5E">
          <w:rPr>
            <w:rStyle w:val="Hyperlink"/>
            <w:rFonts w:ascii="Open Sans" w:hAnsi="Open Sans" w:cs="Open Sans"/>
            <w:sz w:val="18"/>
            <w:szCs w:val="18"/>
          </w:rPr>
          <w:t>http://www.fao.org/3/a-ml291e.pdf</w:t>
        </w:r>
      </w:hyperlink>
    </w:p>
  </w:footnote>
  <w:footnote w:id="16">
    <w:p w14:paraId="055BDF59" w14:textId="5E311D95" w:rsidR="00206E5E" w:rsidRPr="00206E5E" w:rsidRDefault="00206E5E" w:rsidP="00206E5E">
      <w:pPr>
        <w:rPr>
          <w:rFonts w:ascii="Open Sans" w:hAnsi="Open Sans" w:cs="Open Sans"/>
          <w:color w:val="0000FF"/>
          <w:sz w:val="18"/>
          <w:szCs w:val="18"/>
          <w:u w:val="single"/>
        </w:rPr>
      </w:pPr>
      <w:r w:rsidRPr="00206E5E">
        <w:rPr>
          <w:rStyle w:val="FootnoteReference"/>
          <w:sz w:val="18"/>
          <w:szCs w:val="18"/>
        </w:rPr>
        <w:footnoteRef/>
      </w:r>
      <w:r w:rsidRPr="00206E5E">
        <w:rPr>
          <w:sz w:val="18"/>
          <w:szCs w:val="18"/>
        </w:rPr>
        <w:t xml:space="preserve"> </w:t>
      </w:r>
      <w:r w:rsidRPr="00206E5E">
        <w:rPr>
          <w:rFonts w:ascii="Open Sans" w:hAnsi="Open Sans" w:cs="Open Sans"/>
          <w:sz w:val="18"/>
          <w:szCs w:val="18"/>
        </w:rPr>
        <w:t xml:space="preserve">Seth Ginther, Biomass Magazine (2018)  ‘Climate and Fire, Why Biomass Matters to Both’ </w:t>
      </w:r>
      <w:hyperlink r:id="rId15" w:history="1">
        <w:r w:rsidRPr="00206E5E">
          <w:rPr>
            <w:rStyle w:val="Hyperlink"/>
            <w:rFonts w:ascii="Open Sans" w:hAnsi="Open Sans" w:cs="Open Sans"/>
            <w:sz w:val="18"/>
            <w:szCs w:val="18"/>
          </w:rPr>
          <w:t>http://biomassmagazine.com/articles/15824/opinion-climate-and-fire-why-biomass-matters-to-both</w:t>
        </w:r>
      </w:hyperlink>
    </w:p>
  </w:footnote>
  <w:footnote w:id="17">
    <w:p w14:paraId="5D6B3B42" w14:textId="77777777" w:rsidR="00206E5E" w:rsidRPr="00206E5E" w:rsidRDefault="00206E5E" w:rsidP="00206E5E">
      <w:pPr>
        <w:rPr>
          <w:rFonts w:ascii="Open Sans" w:hAnsi="Open Sans" w:cs="Open Sans"/>
          <w:i/>
          <w:iCs/>
          <w:sz w:val="18"/>
          <w:szCs w:val="18"/>
        </w:rPr>
      </w:pPr>
      <w:r w:rsidRPr="00206E5E">
        <w:rPr>
          <w:rStyle w:val="FootnoteReference"/>
          <w:sz w:val="18"/>
          <w:szCs w:val="18"/>
        </w:rPr>
        <w:footnoteRef/>
      </w:r>
      <w:r w:rsidRPr="00206E5E">
        <w:rPr>
          <w:sz w:val="18"/>
          <w:szCs w:val="18"/>
        </w:rPr>
        <w:t xml:space="preserve"> </w:t>
      </w:r>
      <w:r w:rsidRPr="00206E5E">
        <w:rPr>
          <w:rFonts w:ascii="Open Sans" w:hAnsi="Open Sans" w:cs="Open Sans"/>
          <w:sz w:val="18"/>
          <w:szCs w:val="18"/>
        </w:rPr>
        <w:t xml:space="preserve">Milton Marks Commission on California State Government Organization and Economy (2018) </w:t>
      </w:r>
      <w:r w:rsidRPr="00206E5E">
        <w:rPr>
          <w:rFonts w:ascii="Open Sans" w:hAnsi="Open Sans" w:cs="Open Sans"/>
          <w:i/>
          <w:iCs/>
          <w:sz w:val="18"/>
          <w:szCs w:val="18"/>
        </w:rPr>
        <w:t xml:space="preserve">Fire on the Mountain: Rethinking Forest Management in the Sierra Nevada </w:t>
      </w:r>
      <w:hyperlink r:id="rId16" w:history="1">
        <w:r w:rsidRPr="00206E5E">
          <w:rPr>
            <w:rStyle w:val="Hyperlink"/>
            <w:rFonts w:ascii="Open Sans" w:hAnsi="Open Sans" w:cs="Open Sans"/>
            <w:i/>
            <w:iCs/>
            <w:sz w:val="18"/>
            <w:szCs w:val="18"/>
          </w:rPr>
          <w:t>https://lhc.ca.gov/sites/lhc.ca.gov/files/Reports/242/Report242.pdf</w:t>
        </w:r>
      </w:hyperlink>
    </w:p>
    <w:p w14:paraId="688E4862" w14:textId="75CD4085" w:rsidR="00206E5E" w:rsidRDefault="00206E5E">
      <w:pPr>
        <w:pStyle w:val="FootnoteText"/>
      </w:pPr>
    </w:p>
  </w:footnote>
  <w:footnote w:id="18">
    <w:p w14:paraId="78A632F9" w14:textId="77777777" w:rsidR="00206E5E" w:rsidRPr="00220257" w:rsidRDefault="00206E5E" w:rsidP="00220257">
      <w:pPr>
        <w:spacing w:after="0" w:line="240" w:lineRule="auto"/>
        <w:rPr>
          <w:rFonts w:ascii="Open Sans" w:hAnsi="Open Sans" w:cs="Open Sans"/>
          <w:sz w:val="18"/>
          <w:szCs w:val="18"/>
        </w:rPr>
      </w:pPr>
      <w:r w:rsidRPr="00220257">
        <w:rPr>
          <w:rStyle w:val="FootnoteReference"/>
          <w:sz w:val="18"/>
          <w:szCs w:val="18"/>
        </w:rPr>
        <w:footnoteRef/>
      </w:r>
      <w:r w:rsidRPr="00220257">
        <w:rPr>
          <w:sz w:val="18"/>
          <w:szCs w:val="18"/>
        </w:rPr>
        <w:t xml:space="preserve"> </w:t>
      </w:r>
      <w:r w:rsidRPr="00220257">
        <w:rPr>
          <w:rFonts w:ascii="Open Sans" w:hAnsi="Open Sans" w:cs="Open Sans"/>
          <w:sz w:val="18"/>
          <w:szCs w:val="18"/>
        </w:rPr>
        <w:t xml:space="preserve">Henriette I Jager, Esther S Parish, Matthew H </w:t>
      </w:r>
      <w:proofErr w:type="spellStart"/>
      <w:r w:rsidRPr="00220257">
        <w:rPr>
          <w:rFonts w:ascii="Open Sans" w:hAnsi="Open Sans" w:cs="Open Sans"/>
          <w:sz w:val="18"/>
          <w:szCs w:val="18"/>
        </w:rPr>
        <w:t>Langholtz</w:t>
      </w:r>
      <w:proofErr w:type="spellEnd"/>
      <w:r w:rsidRPr="00220257">
        <w:rPr>
          <w:rFonts w:ascii="Open Sans" w:hAnsi="Open Sans" w:cs="Open Sans"/>
          <w:sz w:val="18"/>
          <w:szCs w:val="18"/>
        </w:rPr>
        <w:t xml:space="preserve">, Anthony W King, (2020) ‘Perennials in Flood-Prone Areas of Agricultural Landscapes: A Climate Adaptation Strategy’, </w:t>
      </w:r>
      <w:proofErr w:type="spellStart"/>
      <w:r w:rsidRPr="00220257">
        <w:rPr>
          <w:rStyle w:val="Emphasis"/>
          <w:rFonts w:ascii="Open Sans" w:hAnsi="Open Sans" w:cs="Open Sans"/>
          <w:sz w:val="18"/>
          <w:szCs w:val="18"/>
        </w:rPr>
        <w:t>BioScience</w:t>
      </w:r>
      <w:proofErr w:type="spellEnd"/>
      <w:r w:rsidRPr="00220257">
        <w:rPr>
          <w:rFonts w:ascii="Open Sans" w:hAnsi="Open Sans" w:cs="Open Sans"/>
          <w:sz w:val="18"/>
          <w:szCs w:val="18"/>
        </w:rPr>
        <w:t xml:space="preserve">, Volume 70, Issue 4, April 2020, Pages 278–280, </w:t>
      </w:r>
      <w:hyperlink r:id="rId17" w:history="1">
        <w:r w:rsidRPr="00220257">
          <w:rPr>
            <w:rStyle w:val="Hyperlink"/>
            <w:rFonts w:ascii="Open Sans" w:hAnsi="Open Sans" w:cs="Open Sans"/>
            <w:sz w:val="18"/>
            <w:szCs w:val="18"/>
          </w:rPr>
          <w:t>https://doi.org/10.1093/biosci/biaa006</w:t>
        </w:r>
      </w:hyperlink>
    </w:p>
    <w:p w14:paraId="7A610076" w14:textId="1AFE7D6F" w:rsidR="00206E5E" w:rsidRPr="00220257" w:rsidRDefault="00206E5E" w:rsidP="00220257">
      <w:pPr>
        <w:pStyle w:val="FootnoteText"/>
        <w:rPr>
          <w:sz w:val="18"/>
          <w:szCs w:val="18"/>
        </w:rPr>
      </w:pPr>
    </w:p>
  </w:footnote>
  <w:footnote w:id="19">
    <w:p w14:paraId="7B041F10" w14:textId="44FCA7B7" w:rsidR="00505D9B" w:rsidRDefault="00505D9B" w:rsidP="00220257">
      <w:pPr>
        <w:pStyle w:val="FootnoteText"/>
      </w:pPr>
      <w:r w:rsidRPr="00220257">
        <w:rPr>
          <w:rStyle w:val="FootnoteReference"/>
          <w:sz w:val="18"/>
          <w:szCs w:val="18"/>
        </w:rPr>
        <w:footnoteRef/>
      </w:r>
      <w:r w:rsidRPr="00220257">
        <w:rPr>
          <w:sz w:val="18"/>
          <w:szCs w:val="18"/>
        </w:rPr>
        <w:t xml:space="preserve"> </w:t>
      </w:r>
      <w:r w:rsidRPr="00220257">
        <w:rPr>
          <w:rFonts w:ascii="Open Sans" w:hAnsi="Open Sans" w:cs="Open Sans"/>
          <w:sz w:val="18"/>
          <w:szCs w:val="18"/>
        </w:rPr>
        <w:t xml:space="preserve">Forest2Market (2017) </w:t>
      </w:r>
      <w:r w:rsidRPr="00220257">
        <w:rPr>
          <w:rFonts w:ascii="Open Sans" w:hAnsi="Open Sans" w:cs="Open Sans"/>
          <w:i/>
          <w:iCs/>
          <w:sz w:val="18"/>
          <w:szCs w:val="18"/>
        </w:rPr>
        <w:t xml:space="preserve">Historical Perspective on the Relationship between Demand and Forest Productivity in the US South, </w:t>
      </w:r>
      <w:hyperlink r:id="rId18" w:history="1">
        <w:r w:rsidRPr="00220257">
          <w:rPr>
            <w:rStyle w:val="Hyperlink"/>
            <w:rFonts w:ascii="Open Sans" w:hAnsi="Open Sans" w:cs="Open Sans"/>
            <w:i/>
            <w:iCs/>
            <w:sz w:val="18"/>
            <w:szCs w:val="18"/>
          </w:rPr>
          <w:t>https://www.forest2market.com/hubfs/2016_Website/Documents/20170726_Forest2Market_Historical_Perspective_US_South.pdf</w:t>
        </w:r>
      </w:hyperlink>
    </w:p>
  </w:footnote>
  <w:footnote w:id="20">
    <w:p w14:paraId="24B74F9B" w14:textId="77777777" w:rsidR="00505D9B" w:rsidRPr="00220257" w:rsidRDefault="00505D9B" w:rsidP="00220257">
      <w:pPr>
        <w:spacing w:after="0" w:line="240" w:lineRule="auto"/>
        <w:rPr>
          <w:rFonts w:ascii="Open Sans" w:hAnsi="Open Sans" w:cs="Open Sans"/>
          <w:sz w:val="18"/>
          <w:szCs w:val="18"/>
        </w:rPr>
      </w:pPr>
      <w:r w:rsidRPr="00220257">
        <w:rPr>
          <w:rStyle w:val="FootnoteReference"/>
          <w:sz w:val="18"/>
          <w:szCs w:val="18"/>
        </w:rPr>
        <w:footnoteRef/>
      </w:r>
      <w:r w:rsidRPr="00220257">
        <w:rPr>
          <w:sz w:val="18"/>
          <w:szCs w:val="18"/>
        </w:rPr>
        <w:t xml:space="preserve"> </w:t>
      </w:r>
      <w:proofErr w:type="spellStart"/>
      <w:r w:rsidRPr="00220257">
        <w:rPr>
          <w:rFonts w:ascii="Open Sans" w:hAnsi="Open Sans" w:cs="Open Sans"/>
          <w:sz w:val="18"/>
          <w:szCs w:val="18"/>
        </w:rPr>
        <w:t>Terravesta</w:t>
      </w:r>
      <w:proofErr w:type="spellEnd"/>
      <w:r w:rsidRPr="00220257">
        <w:rPr>
          <w:rFonts w:ascii="Open Sans" w:hAnsi="Open Sans" w:cs="Open Sans"/>
          <w:sz w:val="18"/>
          <w:szCs w:val="18"/>
        </w:rPr>
        <w:t xml:space="preserve"> (2021) </w:t>
      </w:r>
      <w:r w:rsidRPr="00220257">
        <w:rPr>
          <w:rFonts w:ascii="Open Sans" w:hAnsi="Open Sans" w:cs="Open Sans"/>
          <w:i/>
          <w:iCs/>
          <w:sz w:val="18"/>
          <w:szCs w:val="18"/>
        </w:rPr>
        <w:t>Carbon Life Cycle</w:t>
      </w:r>
      <w:r w:rsidRPr="00220257">
        <w:rPr>
          <w:rFonts w:ascii="Open Sans" w:hAnsi="Open Sans" w:cs="Open Sans"/>
          <w:sz w:val="18"/>
          <w:szCs w:val="18"/>
        </w:rPr>
        <w:t xml:space="preserve"> </w:t>
      </w:r>
      <w:hyperlink r:id="rId19" w:history="1">
        <w:r w:rsidRPr="00220257">
          <w:rPr>
            <w:rStyle w:val="Hyperlink"/>
            <w:rFonts w:ascii="Open Sans" w:hAnsi="Open Sans" w:cs="Open Sans"/>
            <w:sz w:val="18"/>
            <w:szCs w:val="18"/>
          </w:rPr>
          <w:t>https://www.terravesta.com/wp-content/uploads/2021/04/Terravesta_miscanthus_carbon_report.pdf</w:t>
        </w:r>
      </w:hyperlink>
    </w:p>
    <w:p w14:paraId="67AF8B4F" w14:textId="2775BB03" w:rsidR="00505D9B" w:rsidRPr="00220257" w:rsidRDefault="00505D9B" w:rsidP="00220257">
      <w:pPr>
        <w:pStyle w:val="FootnoteText"/>
        <w:rPr>
          <w:sz w:val="18"/>
          <w:szCs w:val="18"/>
        </w:rPr>
      </w:pPr>
    </w:p>
  </w:footnote>
  <w:footnote w:id="21">
    <w:p w14:paraId="13C1A1CF" w14:textId="7B814B58" w:rsidR="00505D9B" w:rsidRPr="00220257" w:rsidRDefault="00505D9B" w:rsidP="00220257">
      <w:pPr>
        <w:spacing w:after="0" w:line="240" w:lineRule="auto"/>
        <w:rPr>
          <w:rFonts w:ascii="Open Sans" w:hAnsi="Open Sans" w:cs="Open Sans"/>
          <w:sz w:val="18"/>
          <w:szCs w:val="18"/>
        </w:rPr>
      </w:pPr>
      <w:r w:rsidRPr="00220257">
        <w:rPr>
          <w:rStyle w:val="FootnoteReference"/>
          <w:sz w:val="18"/>
          <w:szCs w:val="18"/>
        </w:rPr>
        <w:footnoteRef/>
      </w:r>
      <w:r w:rsidRPr="00220257">
        <w:rPr>
          <w:rFonts w:ascii="Open Sans" w:hAnsi="Open Sans" w:cs="Open Sans"/>
          <w:sz w:val="18"/>
          <w:szCs w:val="18"/>
        </w:rPr>
        <w:t xml:space="preserve"> Adams and Lindegaard (2016) A critical appraisal of the effectiveness of UK Perennial energy crops since 1990, </w:t>
      </w:r>
      <w:r w:rsidRPr="00220257">
        <w:rPr>
          <w:rFonts w:ascii="Open Sans" w:hAnsi="Open Sans" w:cs="Open Sans"/>
          <w:i/>
          <w:iCs/>
          <w:sz w:val="18"/>
          <w:szCs w:val="18"/>
        </w:rPr>
        <w:t>Renewable and Sustainable Energy Reviews</w:t>
      </w:r>
      <w:r w:rsidRPr="00220257">
        <w:rPr>
          <w:rFonts w:ascii="Open Sans" w:hAnsi="Open Sans" w:cs="Open Sans"/>
          <w:sz w:val="18"/>
          <w:szCs w:val="18"/>
        </w:rPr>
        <w:t xml:space="preserve">, 55, 188 – 202 </w:t>
      </w:r>
      <w:hyperlink r:id="rId20" w:history="1">
        <w:r w:rsidRPr="00220257">
          <w:rPr>
            <w:rStyle w:val="Hyperlink"/>
            <w:rFonts w:ascii="Open Sans" w:hAnsi="Open Sans" w:cs="Open Sans"/>
            <w:sz w:val="18"/>
            <w:szCs w:val="18"/>
          </w:rPr>
          <w:t>https://www.sciencedirect.com/science/article/abs/pii/S1364032115012058?via%3Dihub</w:t>
        </w:r>
      </w:hyperlink>
      <w:r w:rsidRPr="00220257">
        <w:rPr>
          <w:rFonts w:ascii="Open Sans" w:hAnsi="Open Sans" w:cs="Open Sans"/>
          <w:sz w:val="18"/>
          <w:szCs w:val="18"/>
        </w:rPr>
        <w:t xml:space="preserve"> </w:t>
      </w:r>
    </w:p>
    <w:p w14:paraId="501FF56C" w14:textId="066939E0" w:rsidR="00505D9B" w:rsidRPr="00220257" w:rsidRDefault="00505D9B" w:rsidP="00220257">
      <w:pPr>
        <w:pStyle w:val="FootnoteText"/>
        <w:rPr>
          <w:sz w:val="18"/>
          <w:szCs w:val="18"/>
        </w:rPr>
      </w:pPr>
    </w:p>
  </w:footnote>
  <w:footnote w:id="22">
    <w:p w14:paraId="0E594A9D" w14:textId="492AADC6" w:rsidR="00D55CC4" w:rsidRPr="00220257" w:rsidRDefault="00D55CC4" w:rsidP="00642CDC">
      <w:pPr>
        <w:spacing w:after="0" w:line="240" w:lineRule="auto"/>
        <w:rPr>
          <w:sz w:val="18"/>
          <w:szCs w:val="18"/>
        </w:rPr>
      </w:pPr>
      <w:r w:rsidRPr="00220257">
        <w:rPr>
          <w:rStyle w:val="FootnoteReference"/>
          <w:sz w:val="18"/>
          <w:szCs w:val="18"/>
        </w:rPr>
        <w:footnoteRef/>
      </w:r>
      <w:r w:rsidRPr="00220257">
        <w:rPr>
          <w:sz w:val="18"/>
          <w:szCs w:val="18"/>
        </w:rPr>
        <w:t xml:space="preserve"> </w:t>
      </w:r>
      <w:r w:rsidRPr="00220257">
        <w:rPr>
          <w:rFonts w:ascii="Open Sans" w:hAnsi="Open Sans" w:cs="Open Sans"/>
          <w:sz w:val="18"/>
          <w:szCs w:val="18"/>
        </w:rPr>
        <w:t xml:space="preserve">EBA (2020) </w:t>
      </w:r>
      <w:r w:rsidRPr="00220257">
        <w:rPr>
          <w:rFonts w:ascii="Open Sans" w:hAnsi="Open Sans" w:cs="Open Sans"/>
          <w:i/>
          <w:iCs/>
          <w:sz w:val="18"/>
          <w:szCs w:val="18"/>
        </w:rPr>
        <w:t>Evidence collected by EBA shows positive impact of sequential cropping on GHG reductions, biodiversity and soil quality</w:t>
      </w:r>
      <w:r w:rsidRPr="00220257">
        <w:rPr>
          <w:rFonts w:ascii="Open Sans" w:hAnsi="Open Sans" w:cs="Open Sans"/>
          <w:sz w:val="18"/>
          <w:szCs w:val="18"/>
        </w:rPr>
        <w:t xml:space="preserve">, </w:t>
      </w:r>
      <w:hyperlink r:id="rId21" w:history="1">
        <w:r w:rsidRPr="00220257">
          <w:rPr>
            <w:rStyle w:val="Hyperlink"/>
            <w:rFonts w:ascii="Open Sans" w:hAnsi="Open Sans" w:cs="Open Sans"/>
            <w:sz w:val="18"/>
            <w:szCs w:val="18"/>
          </w:rPr>
          <w:t>https://www.europeanbiogas.eu/evidence-collected-by-eba-shows-positive-impact-of-sequential-cropping-on-ghg-reductions-biodiversity-and-soil-quality/</w:t>
        </w:r>
      </w:hyperlink>
      <w:r w:rsidRPr="00220257">
        <w:rPr>
          <w:rFonts w:ascii="Open Sans" w:hAnsi="Open Sans" w:cs="Open Sans"/>
          <w:sz w:val="18"/>
          <w:szCs w:val="18"/>
        </w:rPr>
        <w:t xml:space="preserve"> </w:t>
      </w:r>
    </w:p>
  </w:footnote>
  <w:footnote w:id="23">
    <w:p w14:paraId="2ACA6E4B" w14:textId="7A41CB8C" w:rsidR="00D55CC4" w:rsidRDefault="00D55CC4" w:rsidP="00642CDC">
      <w:pPr>
        <w:spacing w:after="0" w:line="240" w:lineRule="auto"/>
      </w:pPr>
      <w:r w:rsidRPr="00220257">
        <w:rPr>
          <w:rStyle w:val="FootnoteReference"/>
          <w:sz w:val="18"/>
          <w:szCs w:val="18"/>
        </w:rPr>
        <w:footnoteRef/>
      </w:r>
      <w:r w:rsidRPr="00220257">
        <w:rPr>
          <w:sz w:val="18"/>
          <w:szCs w:val="18"/>
        </w:rPr>
        <w:t xml:space="preserve"> </w:t>
      </w:r>
      <w:proofErr w:type="spellStart"/>
      <w:r w:rsidRPr="00220257">
        <w:rPr>
          <w:rFonts w:ascii="Open Sans" w:hAnsi="Open Sans" w:cs="Open Sans"/>
          <w:sz w:val="18"/>
          <w:szCs w:val="18"/>
        </w:rPr>
        <w:t>ARTFuels</w:t>
      </w:r>
      <w:proofErr w:type="spellEnd"/>
      <w:r w:rsidRPr="00220257">
        <w:rPr>
          <w:rFonts w:ascii="Open Sans" w:hAnsi="Open Sans" w:cs="Open Sans"/>
          <w:sz w:val="18"/>
          <w:szCs w:val="18"/>
        </w:rPr>
        <w:t xml:space="preserve"> (2020) Biogas Done Right in Transport; the sustainable way to produce food, feed and biomethane. </w:t>
      </w:r>
      <w:hyperlink r:id="rId22" w:history="1">
        <w:r w:rsidRPr="00220257">
          <w:rPr>
            <w:rStyle w:val="Hyperlink"/>
            <w:rFonts w:ascii="Open Sans" w:hAnsi="Open Sans" w:cs="Open Sans"/>
            <w:sz w:val="18"/>
            <w:szCs w:val="18"/>
          </w:rPr>
          <w:t>https://www.europeanbiogas.eu/wp-content/uploads/2018/10/Biogas-done-Right-extended-2.pdf</w:t>
        </w:r>
      </w:hyperlink>
      <w:r w:rsidRPr="00220257">
        <w:rPr>
          <w:rFonts w:ascii="Open Sans" w:hAnsi="Open Sans" w:cs="Open Sans"/>
          <w:sz w:val="18"/>
          <w:szCs w:val="18"/>
        </w:rPr>
        <w:t xml:space="preserve"> </w:t>
      </w:r>
    </w:p>
  </w:footnote>
  <w:footnote w:id="24">
    <w:p w14:paraId="1DFB692D" w14:textId="05595EC6" w:rsidR="00D55CC4" w:rsidRPr="00220257" w:rsidRDefault="00D55CC4" w:rsidP="00642CDC">
      <w:pPr>
        <w:spacing w:after="0" w:line="240" w:lineRule="auto"/>
        <w:rPr>
          <w:rFonts w:ascii="Open Sans" w:hAnsi="Open Sans" w:cs="Open Sans"/>
          <w:sz w:val="18"/>
          <w:szCs w:val="18"/>
        </w:rPr>
      </w:pPr>
      <w:r w:rsidRPr="00220257">
        <w:rPr>
          <w:rStyle w:val="FootnoteReference"/>
          <w:rFonts w:ascii="Open Sans" w:hAnsi="Open Sans" w:cs="Open Sans"/>
          <w:sz w:val="18"/>
          <w:szCs w:val="18"/>
        </w:rPr>
        <w:footnoteRef/>
      </w:r>
      <w:r w:rsidRPr="00220257">
        <w:rPr>
          <w:rFonts w:ascii="Open Sans" w:hAnsi="Open Sans" w:cs="Open Sans"/>
          <w:sz w:val="18"/>
          <w:szCs w:val="18"/>
        </w:rPr>
        <w:t xml:space="preserve"> DEFRA (2020) UK Statistics on Waste </w:t>
      </w:r>
      <w:hyperlink r:id="rId23" w:history="1">
        <w:r w:rsidRPr="00220257">
          <w:rPr>
            <w:rStyle w:val="Hyperlink"/>
            <w:rFonts w:ascii="Open Sans" w:hAnsi="Open Sans" w:cs="Open Sans"/>
            <w:sz w:val="18"/>
            <w:szCs w:val="18"/>
          </w:rPr>
          <w:t>https://assets.publishing.service.gov.uk/government/uploads/system/uploads/attachment_data/file/918270/UK_Statistics_on_Waste_statistical_notice_March_2020_accessible_FINAL_updated_size_12.pdf</w:t>
        </w:r>
      </w:hyperlink>
      <w:r w:rsidRPr="00220257">
        <w:rPr>
          <w:rFonts w:ascii="Open Sans" w:hAnsi="Open Sans" w:cs="Open Sans"/>
          <w:sz w:val="18"/>
          <w:szCs w:val="18"/>
        </w:rPr>
        <w:t xml:space="preserve"> </w:t>
      </w:r>
    </w:p>
  </w:footnote>
  <w:footnote w:id="25">
    <w:p w14:paraId="73823AF3" w14:textId="50957D3D" w:rsidR="00D55CC4" w:rsidRPr="00220257" w:rsidRDefault="00D55CC4" w:rsidP="00642CDC">
      <w:pPr>
        <w:spacing w:after="0" w:line="240" w:lineRule="auto"/>
        <w:rPr>
          <w:rFonts w:ascii="Open Sans" w:hAnsi="Open Sans" w:cs="Open Sans"/>
          <w:sz w:val="18"/>
          <w:szCs w:val="18"/>
        </w:rPr>
      </w:pPr>
      <w:r w:rsidRPr="00220257">
        <w:rPr>
          <w:rStyle w:val="FootnoteReference"/>
          <w:rFonts w:ascii="Open Sans" w:hAnsi="Open Sans" w:cs="Open Sans"/>
          <w:sz w:val="18"/>
          <w:szCs w:val="18"/>
        </w:rPr>
        <w:footnoteRef/>
      </w:r>
      <w:r w:rsidRPr="00220257">
        <w:rPr>
          <w:rFonts w:ascii="Open Sans" w:hAnsi="Open Sans" w:cs="Open Sans"/>
          <w:sz w:val="18"/>
          <w:szCs w:val="18"/>
        </w:rPr>
        <w:t xml:space="preserve">  CCC (2019) Net Zero – The UK’s Contribution to stopping global warming, </w:t>
      </w:r>
      <w:hyperlink r:id="rId24" w:history="1">
        <w:r w:rsidRPr="00220257">
          <w:rPr>
            <w:rStyle w:val="Hyperlink"/>
            <w:rFonts w:ascii="Open Sans" w:hAnsi="Open Sans" w:cs="Open Sans"/>
            <w:sz w:val="18"/>
            <w:szCs w:val="18"/>
          </w:rPr>
          <w:t>file:///C:/Users/MSOMME~1/AppData/Local/Temp/Net-Zero-The-UKs-contribution-to-stopping-global-warming.pdf</w:t>
        </w:r>
      </w:hyperlink>
      <w:r w:rsidRPr="00220257">
        <w:rPr>
          <w:rFonts w:ascii="Open Sans" w:hAnsi="Open Sans" w:cs="Open Sans"/>
          <w:sz w:val="18"/>
          <w:szCs w:val="18"/>
        </w:rPr>
        <w:t xml:space="preserve"> </w:t>
      </w:r>
    </w:p>
  </w:footnote>
  <w:footnote w:id="26">
    <w:p w14:paraId="4A1CB341" w14:textId="75E8ED2F" w:rsidR="00D55CC4" w:rsidRPr="00220257" w:rsidRDefault="00D55CC4" w:rsidP="00220257">
      <w:pPr>
        <w:pStyle w:val="FootnoteText"/>
        <w:rPr>
          <w:rFonts w:ascii="Open Sans" w:hAnsi="Open Sans" w:cs="Open Sans"/>
          <w:i/>
          <w:iCs/>
          <w:sz w:val="18"/>
          <w:szCs w:val="18"/>
        </w:rPr>
      </w:pPr>
      <w:r w:rsidRPr="00220257">
        <w:rPr>
          <w:rStyle w:val="FootnoteReference"/>
          <w:rFonts w:ascii="Open Sans" w:hAnsi="Open Sans" w:cs="Open Sans"/>
          <w:sz w:val="18"/>
          <w:szCs w:val="18"/>
        </w:rPr>
        <w:footnoteRef/>
      </w:r>
      <w:r w:rsidRPr="00220257">
        <w:rPr>
          <w:rFonts w:ascii="Open Sans" w:hAnsi="Open Sans" w:cs="Open Sans"/>
          <w:sz w:val="18"/>
          <w:szCs w:val="18"/>
        </w:rPr>
        <w:t xml:space="preserve"> BEIS (2018) </w:t>
      </w:r>
      <w:r w:rsidRPr="00220257">
        <w:rPr>
          <w:rFonts w:ascii="Open Sans" w:hAnsi="Open Sans" w:cs="Open Sans"/>
          <w:i/>
          <w:iCs/>
          <w:sz w:val="18"/>
          <w:szCs w:val="18"/>
        </w:rPr>
        <w:t xml:space="preserve">Bioeconomy strategy: 2018 to 2030, </w:t>
      </w:r>
      <w:hyperlink r:id="rId25" w:history="1">
        <w:r w:rsidRPr="00220257">
          <w:rPr>
            <w:rStyle w:val="Hyperlink"/>
            <w:rFonts w:ascii="Open Sans" w:hAnsi="Open Sans" w:cs="Open Sans"/>
            <w:i/>
            <w:iCs/>
            <w:sz w:val="18"/>
            <w:szCs w:val="18"/>
          </w:rPr>
          <w:t>https://www.gov.uk/government/publications/bioeconomy-strategy-2018-to-2030</w:t>
        </w:r>
      </w:hyperlink>
      <w:r w:rsidRPr="00220257">
        <w:rPr>
          <w:rFonts w:ascii="Open Sans" w:hAnsi="Open Sans" w:cs="Open Sans"/>
          <w:i/>
          <w:iCs/>
          <w:sz w:val="18"/>
          <w:szCs w:val="18"/>
        </w:rPr>
        <w:t xml:space="preserve"> </w:t>
      </w:r>
    </w:p>
    <w:p w14:paraId="03E02913" w14:textId="77777777" w:rsidR="00D55CC4" w:rsidRPr="00220257" w:rsidRDefault="00D55CC4" w:rsidP="00220257">
      <w:pPr>
        <w:pStyle w:val="FootnoteText"/>
        <w:rPr>
          <w:rFonts w:ascii="Open Sans" w:hAnsi="Open Sans" w:cs="Open Sans"/>
          <w:sz w:val="18"/>
          <w:szCs w:val="18"/>
        </w:rPr>
      </w:pPr>
    </w:p>
  </w:footnote>
  <w:footnote w:id="27">
    <w:p w14:paraId="47B549F6" w14:textId="77777777" w:rsidR="00D55CC4" w:rsidRPr="00220257" w:rsidRDefault="00D55CC4" w:rsidP="00220257">
      <w:pPr>
        <w:spacing w:after="0" w:line="240" w:lineRule="auto"/>
        <w:rPr>
          <w:rFonts w:ascii="Open Sans" w:eastAsia="Times New Roman" w:hAnsi="Open Sans" w:cs="Open Sans"/>
          <w:sz w:val="18"/>
          <w:szCs w:val="18"/>
          <w:lang w:eastAsia="en-GB"/>
        </w:rPr>
      </w:pPr>
      <w:r w:rsidRPr="00220257">
        <w:rPr>
          <w:rStyle w:val="FootnoteReference"/>
          <w:rFonts w:ascii="Open Sans" w:hAnsi="Open Sans" w:cs="Open Sans"/>
          <w:sz w:val="18"/>
          <w:szCs w:val="18"/>
        </w:rPr>
        <w:footnoteRef/>
      </w:r>
      <w:r w:rsidRPr="00220257">
        <w:rPr>
          <w:rFonts w:ascii="Open Sans" w:hAnsi="Open Sans" w:cs="Open Sans"/>
          <w:sz w:val="18"/>
          <w:szCs w:val="18"/>
        </w:rPr>
        <w:t xml:space="preserve"> [14] </w:t>
      </w:r>
      <w:proofErr w:type="spellStart"/>
      <w:r w:rsidRPr="00220257">
        <w:rPr>
          <w:rFonts w:ascii="Open Sans" w:eastAsia="Times New Roman" w:hAnsi="Open Sans" w:cs="Open Sans"/>
          <w:sz w:val="18"/>
          <w:szCs w:val="18"/>
          <w:lang w:eastAsia="en-GB"/>
        </w:rPr>
        <w:t>Junginger</w:t>
      </w:r>
      <w:proofErr w:type="spellEnd"/>
      <w:r w:rsidRPr="00220257">
        <w:rPr>
          <w:rFonts w:ascii="Open Sans" w:eastAsia="Times New Roman" w:hAnsi="Open Sans" w:cs="Open Sans"/>
          <w:sz w:val="18"/>
          <w:szCs w:val="18"/>
          <w:lang w:eastAsia="en-GB"/>
        </w:rPr>
        <w:t>, H.M., Mai</w:t>
      </w:r>
      <w:r w:rsidRPr="00220257">
        <w:rPr>
          <w:rFonts w:ascii="Cambria Math" w:eastAsia="Times New Roman" w:hAnsi="Cambria Math" w:cs="Cambria Math"/>
          <w:sz w:val="18"/>
          <w:szCs w:val="18"/>
          <w:lang w:eastAsia="en-GB"/>
        </w:rPr>
        <w:t>‐</w:t>
      </w:r>
      <w:r w:rsidRPr="00220257">
        <w:rPr>
          <w:rFonts w:ascii="Open Sans" w:eastAsia="Times New Roman" w:hAnsi="Open Sans" w:cs="Open Sans"/>
          <w:sz w:val="18"/>
          <w:szCs w:val="18"/>
          <w:lang w:eastAsia="en-GB"/>
        </w:rPr>
        <w:t xml:space="preserve">Moulin, T., </w:t>
      </w:r>
      <w:proofErr w:type="spellStart"/>
      <w:r w:rsidRPr="00220257">
        <w:rPr>
          <w:rFonts w:ascii="Open Sans" w:eastAsia="Times New Roman" w:hAnsi="Open Sans" w:cs="Open Sans"/>
          <w:sz w:val="18"/>
          <w:szCs w:val="18"/>
          <w:lang w:eastAsia="en-GB"/>
        </w:rPr>
        <w:t>Daioglou</w:t>
      </w:r>
      <w:proofErr w:type="spellEnd"/>
      <w:r w:rsidRPr="00220257">
        <w:rPr>
          <w:rFonts w:ascii="Open Sans" w:eastAsia="Times New Roman" w:hAnsi="Open Sans" w:cs="Open Sans"/>
          <w:sz w:val="18"/>
          <w:szCs w:val="18"/>
          <w:lang w:eastAsia="en-GB"/>
        </w:rPr>
        <w:t xml:space="preserve">, V., Fritsche, U., </w:t>
      </w:r>
      <w:proofErr w:type="spellStart"/>
      <w:r w:rsidRPr="00220257">
        <w:rPr>
          <w:rFonts w:ascii="Open Sans" w:eastAsia="Times New Roman" w:hAnsi="Open Sans" w:cs="Open Sans"/>
          <w:sz w:val="18"/>
          <w:szCs w:val="18"/>
          <w:lang w:eastAsia="en-GB"/>
        </w:rPr>
        <w:t>Guisson</w:t>
      </w:r>
      <w:proofErr w:type="spellEnd"/>
      <w:r w:rsidRPr="00220257">
        <w:rPr>
          <w:rFonts w:ascii="Open Sans" w:eastAsia="Times New Roman" w:hAnsi="Open Sans" w:cs="Open Sans"/>
          <w:sz w:val="18"/>
          <w:szCs w:val="18"/>
          <w:lang w:eastAsia="en-GB"/>
        </w:rPr>
        <w:t xml:space="preserve">, R., Hennig, C., </w:t>
      </w:r>
      <w:proofErr w:type="spellStart"/>
      <w:r w:rsidRPr="00220257">
        <w:rPr>
          <w:rFonts w:ascii="Open Sans" w:eastAsia="Times New Roman" w:hAnsi="Open Sans" w:cs="Open Sans"/>
          <w:sz w:val="18"/>
          <w:szCs w:val="18"/>
          <w:lang w:eastAsia="en-GB"/>
        </w:rPr>
        <w:t>Thrän</w:t>
      </w:r>
      <w:proofErr w:type="spellEnd"/>
      <w:r w:rsidRPr="00220257">
        <w:rPr>
          <w:rFonts w:ascii="Open Sans" w:eastAsia="Times New Roman" w:hAnsi="Open Sans" w:cs="Open Sans"/>
          <w:sz w:val="18"/>
          <w:szCs w:val="18"/>
          <w:lang w:eastAsia="en-GB"/>
        </w:rPr>
        <w:t xml:space="preserve">, D., </w:t>
      </w:r>
      <w:proofErr w:type="spellStart"/>
      <w:r w:rsidRPr="00220257">
        <w:rPr>
          <w:rFonts w:ascii="Open Sans" w:eastAsia="Times New Roman" w:hAnsi="Open Sans" w:cs="Open Sans"/>
          <w:sz w:val="18"/>
          <w:szCs w:val="18"/>
          <w:lang w:eastAsia="en-GB"/>
        </w:rPr>
        <w:t>Heinimö</w:t>
      </w:r>
      <w:proofErr w:type="spellEnd"/>
      <w:r w:rsidRPr="00220257">
        <w:rPr>
          <w:rFonts w:ascii="Open Sans" w:eastAsia="Times New Roman" w:hAnsi="Open Sans" w:cs="Open Sans"/>
          <w:sz w:val="18"/>
          <w:szCs w:val="18"/>
          <w:lang w:eastAsia="en-GB"/>
        </w:rPr>
        <w:t xml:space="preserve">, J., Hess, J.R., </w:t>
      </w:r>
      <w:proofErr w:type="spellStart"/>
      <w:r w:rsidRPr="00220257">
        <w:rPr>
          <w:rFonts w:ascii="Open Sans" w:eastAsia="Times New Roman" w:hAnsi="Open Sans" w:cs="Open Sans"/>
          <w:sz w:val="18"/>
          <w:szCs w:val="18"/>
          <w:lang w:eastAsia="en-GB"/>
        </w:rPr>
        <w:t>Lamers</w:t>
      </w:r>
      <w:proofErr w:type="spellEnd"/>
      <w:r w:rsidRPr="00220257">
        <w:rPr>
          <w:rFonts w:ascii="Open Sans" w:eastAsia="Times New Roman" w:hAnsi="Open Sans" w:cs="Open Sans"/>
          <w:sz w:val="18"/>
          <w:szCs w:val="18"/>
          <w:lang w:eastAsia="en-GB"/>
        </w:rPr>
        <w:t xml:space="preserve">, P., Li, C., </w:t>
      </w:r>
      <w:proofErr w:type="spellStart"/>
      <w:r w:rsidRPr="00220257">
        <w:rPr>
          <w:rFonts w:ascii="Open Sans" w:eastAsia="Times New Roman" w:hAnsi="Open Sans" w:cs="Open Sans"/>
          <w:sz w:val="18"/>
          <w:szCs w:val="18"/>
          <w:lang w:eastAsia="en-GB"/>
        </w:rPr>
        <w:t>Kwant</w:t>
      </w:r>
      <w:proofErr w:type="spellEnd"/>
      <w:r w:rsidRPr="00220257">
        <w:rPr>
          <w:rFonts w:ascii="Open Sans" w:eastAsia="Times New Roman" w:hAnsi="Open Sans" w:cs="Open Sans"/>
          <w:sz w:val="18"/>
          <w:szCs w:val="18"/>
          <w:lang w:eastAsia="en-GB"/>
        </w:rPr>
        <w:t xml:space="preserve">, K., Olsson, O., </w:t>
      </w:r>
      <w:proofErr w:type="spellStart"/>
      <w:r w:rsidRPr="00220257">
        <w:rPr>
          <w:rFonts w:ascii="Open Sans" w:eastAsia="Times New Roman" w:hAnsi="Open Sans" w:cs="Open Sans"/>
          <w:sz w:val="18"/>
          <w:szCs w:val="18"/>
          <w:lang w:eastAsia="en-GB"/>
        </w:rPr>
        <w:t>Proskurina</w:t>
      </w:r>
      <w:proofErr w:type="spellEnd"/>
      <w:r w:rsidRPr="00220257">
        <w:rPr>
          <w:rFonts w:ascii="Open Sans" w:eastAsia="Times New Roman" w:hAnsi="Open Sans" w:cs="Open Sans"/>
          <w:sz w:val="18"/>
          <w:szCs w:val="18"/>
          <w:lang w:eastAsia="en-GB"/>
        </w:rPr>
        <w:t xml:space="preserve">, S., </w:t>
      </w:r>
      <w:proofErr w:type="spellStart"/>
      <w:r w:rsidRPr="00220257">
        <w:rPr>
          <w:rFonts w:ascii="Open Sans" w:eastAsia="Times New Roman" w:hAnsi="Open Sans" w:cs="Open Sans"/>
          <w:sz w:val="18"/>
          <w:szCs w:val="18"/>
          <w:lang w:eastAsia="en-GB"/>
        </w:rPr>
        <w:t>Ranta</w:t>
      </w:r>
      <w:proofErr w:type="spellEnd"/>
      <w:r w:rsidRPr="00220257">
        <w:rPr>
          <w:rFonts w:ascii="Open Sans" w:eastAsia="Times New Roman" w:hAnsi="Open Sans" w:cs="Open Sans"/>
          <w:sz w:val="18"/>
          <w:szCs w:val="18"/>
          <w:lang w:eastAsia="en-GB"/>
        </w:rPr>
        <w:t xml:space="preserve">, T., </w:t>
      </w:r>
      <w:proofErr w:type="spellStart"/>
      <w:r w:rsidRPr="00220257">
        <w:rPr>
          <w:rFonts w:ascii="Open Sans" w:eastAsia="Times New Roman" w:hAnsi="Open Sans" w:cs="Open Sans"/>
          <w:sz w:val="18"/>
          <w:szCs w:val="18"/>
          <w:lang w:eastAsia="en-GB"/>
        </w:rPr>
        <w:t>Schipfer</w:t>
      </w:r>
      <w:proofErr w:type="spellEnd"/>
      <w:r w:rsidRPr="00220257">
        <w:rPr>
          <w:rFonts w:ascii="Open Sans" w:eastAsia="Times New Roman" w:hAnsi="Open Sans" w:cs="Open Sans"/>
          <w:sz w:val="18"/>
          <w:szCs w:val="18"/>
          <w:lang w:eastAsia="en-GB"/>
        </w:rPr>
        <w:t xml:space="preserve">, F. and Wild, M. (2019) ‘The future of biomass and bioenergy deployment and trade: a synthesis of 15 years IEA Bioenergy Task 40 on sustainable bioenergy trade’, </w:t>
      </w:r>
      <w:r w:rsidRPr="00220257">
        <w:rPr>
          <w:rFonts w:ascii="Open Sans" w:eastAsia="Times New Roman" w:hAnsi="Open Sans" w:cs="Open Sans"/>
          <w:i/>
          <w:iCs/>
          <w:sz w:val="18"/>
          <w:szCs w:val="18"/>
          <w:lang w:eastAsia="en-GB"/>
        </w:rPr>
        <w:t>Biofuels, Bioproducts and Biorefining,</w:t>
      </w:r>
      <w:r w:rsidRPr="00220257">
        <w:rPr>
          <w:rFonts w:ascii="Open Sans" w:eastAsia="Times New Roman" w:hAnsi="Open Sans" w:cs="Open Sans"/>
          <w:sz w:val="18"/>
          <w:szCs w:val="18"/>
          <w:lang w:eastAsia="en-GB"/>
        </w:rPr>
        <w:t xml:space="preserve"> 13 (2): 247-266. doi:10.1002/bbb.1993 </w:t>
      </w:r>
    </w:p>
    <w:p w14:paraId="2B95E61B" w14:textId="10E32AAD" w:rsidR="00D55CC4" w:rsidRDefault="00D55CC4">
      <w:pPr>
        <w:pStyle w:val="FootnoteText"/>
      </w:pPr>
    </w:p>
  </w:footnote>
  <w:footnote w:id="28">
    <w:p w14:paraId="24A9A6FA" w14:textId="4CE7EF7A" w:rsidR="00D55CC4" w:rsidRDefault="00D55CC4">
      <w:pPr>
        <w:pStyle w:val="FootnoteText"/>
      </w:pPr>
      <w:r>
        <w:rPr>
          <w:rStyle w:val="FootnoteReference"/>
        </w:rPr>
        <w:footnoteRef/>
      </w:r>
      <w:r>
        <w:t xml:space="preserve"> REA (2020)</w:t>
      </w:r>
      <w:r w:rsidRPr="00D55CC4">
        <w:rPr>
          <w:i/>
          <w:iCs/>
        </w:rPr>
        <w:t xml:space="preserve"> </w:t>
      </w:r>
      <w:proofErr w:type="spellStart"/>
      <w:r w:rsidRPr="00D55CC4">
        <w:rPr>
          <w:i/>
          <w:iCs/>
        </w:rPr>
        <w:t>REview</w:t>
      </w:r>
      <w:proofErr w:type="spellEnd"/>
      <w:r w:rsidRPr="00D55CC4">
        <w:rPr>
          <w:i/>
          <w:iCs/>
        </w:rPr>
        <w:t>, The Authoritative Annual Report on the Renewable Energy Sector</w:t>
      </w:r>
      <w:r>
        <w:t xml:space="preserve">, </w:t>
      </w:r>
      <w:hyperlink r:id="rId26" w:history="1">
        <w:r w:rsidRPr="001458CD">
          <w:rPr>
            <w:rStyle w:val="Hyperlink"/>
          </w:rPr>
          <w:t>https://www.r-e-a.net/resources/review-2020/</w:t>
        </w:r>
      </w:hyperlink>
      <w:r>
        <w:t xml:space="preserve"> </w:t>
      </w:r>
    </w:p>
  </w:footnote>
  <w:footnote w:id="29">
    <w:p w14:paraId="749E86F1" w14:textId="400C1FBA" w:rsidR="00EF288A" w:rsidRPr="00EF288A" w:rsidRDefault="00EF288A">
      <w:pPr>
        <w:pStyle w:val="FootnoteText"/>
      </w:pPr>
      <w:r>
        <w:rPr>
          <w:rStyle w:val="FootnoteReference"/>
        </w:rPr>
        <w:footnoteRef/>
      </w:r>
      <w:r>
        <w:t xml:space="preserve"> DEFRA (2021) </w:t>
      </w:r>
      <w:r w:rsidRPr="00EF288A">
        <w:rPr>
          <w:i/>
          <w:iCs/>
        </w:rPr>
        <w:t>England Trees Action Plan 2021 to 2024</w:t>
      </w:r>
      <w:r>
        <w:t xml:space="preserve">, </w:t>
      </w:r>
      <w:hyperlink r:id="rId27" w:history="1">
        <w:r w:rsidRPr="001458CD">
          <w:rPr>
            <w:rStyle w:val="Hyperlink"/>
          </w:rPr>
          <w:t>https://www.gov.uk/government/publications/england-trees-action-plan-2021-to-2024</w:t>
        </w:r>
      </w:hyperlink>
      <w:r>
        <w:t xml:space="preserve"> </w:t>
      </w:r>
    </w:p>
  </w:footnote>
  <w:footnote w:id="30">
    <w:p w14:paraId="47E1F560" w14:textId="1EC52E03" w:rsidR="00EF288A" w:rsidRPr="00220257" w:rsidRDefault="00EF288A" w:rsidP="00220257">
      <w:pPr>
        <w:pStyle w:val="FootnoteText"/>
        <w:rPr>
          <w:rFonts w:ascii="Open Sans" w:hAnsi="Open Sans" w:cs="Open Sans"/>
          <w:sz w:val="18"/>
          <w:szCs w:val="18"/>
        </w:rPr>
      </w:pPr>
      <w:r w:rsidRPr="00220257">
        <w:rPr>
          <w:rStyle w:val="FootnoteReference"/>
          <w:rFonts w:ascii="Open Sans" w:hAnsi="Open Sans" w:cs="Open Sans"/>
          <w:sz w:val="18"/>
          <w:szCs w:val="18"/>
        </w:rPr>
        <w:footnoteRef/>
      </w:r>
      <w:r w:rsidRPr="00220257">
        <w:rPr>
          <w:rFonts w:ascii="Open Sans" w:hAnsi="Open Sans" w:cs="Open Sans"/>
          <w:sz w:val="18"/>
          <w:szCs w:val="18"/>
        </w:rPr>
        <w:t xml:space="preserve"> CCC (2019) Net Zero – The UK’s Contribution to stopping global warming, </w:t>
      </w:r>
      <w:hyperlink r:id="rId28" w:history="1">
        <w:r w:rsidRPr="00220257">
          <w:rPr>
            <w:rStyle w:val="Hyperlink"/>
            <w:rFonts w:ascii="Open Sans" w:hAnsi="Open Sans" w:cs="Open Sans"/>
            <w:sz w:val="18"/>
            <w:szCs w:val="18"/>
          </w:rPr>
          <w:t>file:///C:/Users/MSOMME~1/AppData/Local/Temp/Net-Zero-The-UKs-contribution-to-stopping-global-warming.pdf</w:t>
        </w:r>
      </w:hyperlink>
    </w:p>
  </w:footnote>
  <w:footnote w:id="31">
    <w:p w14:paraId="30F9676B" w14:textId="23264246" w:rsidR="00D6282B" w:rsidRPr="00220257" w:rsidRDefault="00EF288A" w:rsidP="00220257">
      <w:pPr>
        <w:spacing w:after="0" w:line="240" w:lineRule="auto"/>
        <w:rPr>
          <w:rFonts w:ascii="Open Sans" w:hAnsi="Open Sans" w:cs="Open Sans"/>
          <w:color w:val="231F20"/>
          <w:sz w:val="18"/>
          <w:szCs w:val="18"/>
        </w:rPr>
      </w:pPr>
      <w:r w:rsidRPr="00220257">
        <w:rPr>
          <w:rStyle w:val="FootnoteReference"/>
          <w:rFonts w:ascii="Open Sans" w:hAnsi="Open Sans" w:cs="Open Sans"/>
          <w:sz w:val="18"/>
          <w:szCs w:val="18"/>
        </w:rPr>
        <w:footnoteRef/>
      </w:r>
      <w:r w:rsidRPr="00220257">
        <w:rPr>
          <w:rFonts w:ascii="Open Sans" w:hAnsi="Open Sans" w:cs="Open Sans"/>
          <w:sz w:val="18"/>
          <w:szCs w:val="18"/>
        </w:rPr>
        <w:t xml:space="preserve"> </w:t>
      </w:r>
      <w:r w:rsidR="00D6282B" w:rsidRPr="00220257">
        <w:rPr>
          <w:rFonts w:ascii="Open Sans" w:hAnsi="Open Sans" w:cs="Open Sans"/>
          <w:color w:val="231F20"/>
          <w:sz w:val="18"/>
          <w:szCs w:val="18"/>
        </w:rPr>
        <w:t>USDA Forest Service (2009) US Forest Resource Facts and Historical Trends.</w:t>
      </w:r>
    </w:p>
    <w:p w14:paraId="743546AB" w14:textId="0C2F73F6" w:rsidR="00EF288A" w:rsidRPr="00220257" w:rsidRDefault="000077A0" w:rsidP="00220257">
      <w:pPr>
        <w:spacing w:after="0" w:line="240" w:lineRule="auto"/>
        <w:rPr>
          <w:rFonts w:ascii="Open Sans" w:hAnsi="Open Sans" w:cs="Open Sans"/>
          <w:sz w:val="18"/>
          <w:szCs w:val="18"/>
        </w:rPr>
      </w:pPr>
      <w:hyperlink r:id="rId29" w:history="1">
        <w:r w:rsidR="00D6282B" w:rsidRPr="00220257">
          <w:rPr>
            <w:rStyle w:val="Hyperlink"/>
            <w:rFonts w:ascii="Open Sans" w:hAnsi="Open Sans" w:cs="Open Sans"/>
            <w:sz w:val="18"/>
            <w:szCs w:val="18"/>
          </w:rPr>
          <w:t>https://www.fia.fs.fed.us/library/brochures/docs/Forest%20Facts%201952-2007%20English%20rev072411.pdf</w:t>
        </w:r>
      </w:hyperlink>
      <w:r w:rsidR="00D6282B" w:rsidRPr="00220257">
        <w:rPr>
          <w:rFonts w:ascii="Open Sans" w:hAnsi="Open Sans" w:cs="Open Sans"/>
          <w:color w:val="231F20"/>
          <w:sz w:val="18"/>
          <w:szCs w:val="18"/>
        </w:rPr>
        <w:t xml:space="preserve"> </w:t>
      </w:r>
    </w:p>
  </w:footnote>
  <w:footnote w:id="32">
    <w:p w14:paraId="6AB18862" w14:textId="6A2E0016" w:rsidR="00D6282B" w:rsidRPr="00220257" w:rsidRDefault="00D6282B" w:rsidP="00220257">
      <w:pPr>
        <w:spacing w:after="0" w:line="240" w:lineRule="auto"/>
        <w:rPr>
          <w:rFonts w:ascii="Open Sans" w:hAnsi="Open Sans" w:cs="Open Sans"/>
          <w:sz w:val="18"/>
          <w:szCs w:val="18"/>
        </w:rPr>
      </w:pPr>
      <w:r w:rsidRPr="00220257">
        <w:rPr>
          <w:rStyle w:val="FootnoteReference"/>
          <w:rFonts w:ascii="Open Sans" w:hAnsi="Open Sans" w:cs="Open Sans"/>
          <w:sz w:val="18"/>
          <w:szCs w:val="18"/>
        </w:rPr>
        <w:footnoteRef/>
      </w:r>
      <w:r w:rsidRPr="00220257">
        <w:rPr>
          <w:rFonts w:ascii="Open Sans" w:hAnsi="Open Sans" w:cs="Open Sans"/>
          <w:sz w:val="18"/>
          <w:szCs w:val="18"/>
        </w:rPr>
        <w:t xml:space="preserve"> Werner (2017) ‘District heating and cooling in Sweden’, </w:t>
      </w:r>
      <w:r w:rsidRPr="00220257">
        <w:rPr>
          <w:rFonts w:ascii="Open Sans" w:hAnsi="Open Sans" w:cs="Open Sans"/>
          <w:i/>
          <w:iCs/>
          <w:sz w:val="18"/>
          <w:szCs w:val="18"/>
        </w:rPr>
        <w:t>Energy</w:t>
      </w:r>
      <w:r w:rsidRPr="00220257">
        <w:rPr>
          <w:rFonts w:ascii="Open Sans" w:hAnsi="Open Sans" w:cs="Open Sans"/>
          <w:sz w:val="18"/>
          <w:szCs w:val="18"/>
        </w:rPr>
        <w:t xml:space="preserve">, 419-429, </w:t>
      </w:r>
      <w:hyperlink r:id="rId30" w:tgtFrame="_blank" w:tooltip="Persistent link using digital object identifier" w:history="1">
        <w:r w:rsidRPr="00220257">
          <w:rPr>
            <w:rStyle w:val="Hyperlink"/>
            <w:rFonts w:ascii="Open Sans" w:hAnsi="Open Sans" w:cs="Open Sans"/>
            <w:sz w:val="18"/>
            <w:szCs w:val="18"/>
          </w:rPr>
          <w:t>https://doi.org/10.1016/j.energy.2017.03.052</w:t>
        </w:r>
      </w:hyperlink>
      <w:r w:rsidRPr="00220257">
        <w:rPr>
          <w:rFonts w:ascii="Open Sans" w:hAnsi="Open Sans" w:cs="Open Sans"/>
          <w:sz w:val="18"/>
          <w:szCs w:val="18"/>
        </w:rPr>
        <w:t xml:space="preserve"> </w:t>
      </w:r>
    </w:p>
  </w:footnote>
  <w:footnote w:id="33">
    <w:p w14:paraId="75DB69A5" w14:textId="4CB2497A" w:rsidR="00D6282B" w:rsidRPr="00220257" w:rsidRDefault="00D6282B" w:rsidP="00220257">
      <w:pPr>
        <w:pStyle w:val="FootnoteText"/>
        <w:rPr>
          <w:rStyle w:val="Hyperlink"/>
          <w:rFonts w:ascii="Open Sans" w:hAnsi="Open Sans" w:cs="Open Sans"/>
          <w:sz w:val="18"/>
          <w:szCs w:val="18"/>
        </w:rPr>
      </w:pPr>
      <w:r w:rsidRPr="00220257">
        <w:rPr>
          <w:rStyle w:val="FootnoteReference"/>
          <w:rFonts w:ascii="Open Sans" w:hAnsi="Open Sans" w:cs="Open Sans"/>
          <w:sz w:val="18"/>
          <w:szCs w:val="18"/>
        </w:rPr>
        <w:footnoteRef/>
      </w:r>
      <w:r w:rsidRPr="00220257">
        <w:rPr>
          <w:rFonts w:ascii="Open Sans" w:hAnsi="Open Sans" w:cs="Open Sans"/>
          <w:sz w:val="18"/>
          <w:szCs w:val="18"/>
        </w:rPr>
        <w:t xml:space="preserve"> European Association of Remote Sensing Companies (2016) Copernicus Sentinels’ Products Economic Value: A Case Study of Forest Management in Sweden </w:t>
      </w:r>
      <w:hyperlink r:id="rId31" w:history="1">
        <w:r w:rsidRPr="00220257">
          <w:rPr>
            <w:rStyle w:val="Hyperlink"/>
            <w:rFonts w:ascii="Open Sans" w:hAnsi="Open Sans" w:cs="Open Sans"/>
            <w:sz w:val="18"/>
            <w:szCs w:val="18"/>
          </w:rPr>
          <w:t>https://issuu.com/earsc/docs/case_report_-_forest_management_in_</w:t>
        </w:r>
      </w:hyperlink>
    </w:p>
    <w:p w14:paraId="6EB9B279" w14:textId="77777777" w:rsidR="00D6282B" w:rsidRDefault="00D6282B">
      <w:pPr>
        <w:pStyle w:val="FootnoteText"/>
      </w:pPr>
    </w:p>
  </w:footnote>
  <w:footnote w:id="34">
    <w:p w14:paraId="753EA652" w14:textId="028F40B6" w:rsidR="00D6282B" w:rsidRDefault="00D6282B">
      <w:pPr>
        <w:pStyle w:val="FootnoteText"/>
      </w:pPr>
      <w:r>
        <w:rPr>
          <w:rStyle w:val="FootnoteReference"/>
        </w:rPr>
        <w:footnoteRef/>
      </w:r>
      <w:r>
        <w:t xml:space="preserve"> DEFRA (2021) </w:t>
      </w:r>
      <w:r w:rsidRPr="00EF288A">
        <w:rPr>
          <w:i/>
          <w:iCs/>
        </w:rPr>
        <w:t>England Trees Action Plan 2021 to 2024</w:t>
      </w:r>
      <w:r>
        <w:t xml:space="preserve">, </w:t>
      </w:r>
      <w:hyperlink r:id="rId32" w:history="1">
        <w:r w:rsidRPr="001458CD">
          <w:rPr>
            <w:rStyle w:val="Hyperlink"/>
          </w:rPr>
          <w:t>https://www.gov.uk/government/publications/england-trees-action-plan-2021-to-2024</w:t>
        </w:r>
      </w:hyperlink>
    </w:p>
  </w:footnote>
  <w:footnote w:id="35">
    <w:p w14:paraId="019EC5A1" w14:textId="38A43EC4" w:rsidR="00D6282B" w:rsidRPr="009D5997" w:rsidRDefault="00D6282B" w:rsidP="009D5997">
      <w:pPr>
        <w:rPr>
          <w:rFonts w:ascii="Open Sans" w:hAnsi="Open Sans" w:cs="Open Sans"/>
          <w:b/>
          <w:bCs/>
          <w:color w:val="2F5496"/>
          <w:sz w:val="20"/>
          <w:szCs w:val="20"/>
        </w:rPr>
      </w:pPr>
      <w:r>
        <w:rPr>
          <w:rStyle w:val="FootnoteReference"/>
        </w:rPr>
        <w:footnoteRef/>
      </w:r>
      <w:r>
        <w:t xml:space="preserve"> </w:t>
      </w:r>
      <w:r>
        <w:rPr>
          <w:rStyle w:val="Hyperlink"/>
          <w:rFonts w:ascii="Open Sans" w:hAnsi="Open Sans" w:cs="Open Sans"/>
          <w:color w:val="auto"/>
          <w:sz w:val="20"/>
          <w:szCs w:val="20"/>
          <w:u w:val="none"/>
        </w:rPr>
        <w:t xml:space="preserve">Forestry Commission (2020) </w:t>
      </w:r>
      <w:r w:rsidRPr="002A2492">
        <w:rPr>
          <w:rStyle w:val="Hyperlink"/>
          <w:rFonts w:ascii="Open Sans" w:hAnsi="Open Sans" w:cs="Open Sans"/>
          <w:i/>
          <w:iCs/>
          <w:color w:val="auto"/>
          <w:sz w:val="20"/>
          <w:szCs w:val="20"/>
          <w:u w:val="none"/>
        </w:rPr>
        <w:t>Forestry Statistics 2020</w:t>
      </w:r>
      <w:r>
        <w:rPr>
          <w:rFonts w:ascii="Open Sans" w:hAnsi="Open Sans" w:cs="Open Sans"/>
          <w:sz w:val="20"/>
          <w:szCs w:val="20"/>
        </w:rPr>
        <w:t xml:space="preserve">, </w:t>
      </w:r>
      <w:hyperlink r:id="rId33" w:history="1">
        <w:r w:rsidRPr="00C077F3">
          <w:rPr>
            <w:rStyle w:val="Hyperlink"/>
            <w:rFonts w:ascii="Open Sans" w:hAnsi="Open Sans" w:cs="Open Sans"/>
            <w:sz w:val="20"/>
            <w:szCs w:val="20"/>
          </w:rPr>
          <w:t>https://www.forestresearch.gov.uk/tools-and-resources/statistics/forestry-statistics/</w:t>
        </w:r>
      </w:hyperlink>
      <w:r>
        <w:rPr>
          <w:rFonts w:ascii="Open Sans" w:hAnsi="Open Sans" w:cs="Open Sans"/>
          <w:sz w:val="20"/>
          <w:szCs w:val="20"/>
        </w:rPr>
        <w:t xml:space="preserve"> </w:t>
      </w:r>
    </w:p>
  </w:footnote>
  <w:footnote w:id="36">
    <w:p w14:paraId="313DE506" w14:textId="785038E9" w:rsidR="009D5997" w:rsidRDefault="009D5997">
      <w:pPr>
        <w:pStyle w:val="FootnoteText"/>
      </w:pPr>
      <w:r>
        <w:rPr>
          <w:rStyle w:val="FootnoteReference"/>
        </w:rPr>
        <w:footnoteRef/>
      </w:r>
      <w:r>
        <w:t xml:space="preserve"> Ofgem Public reports on Accreditation End dates can be found here: </w:t>
      </w:r>
      <w:hyperlink r:id="rId34" w:history="1">
        <w:r w:rsidRPr="000B5F0C">
          <w:rPr>
            <w:rStyle w:val="Hyperlink"/>
          </w:rPr>
          <w:t>https://www.renewablesandchp.ofgem.gov.uk/Public/ReportManager.aspx?ReportVisibility=1&amp;ReportCategory=0</w:t>
        </w:r>
      </w:hyperlink>
      <w:r>
        <w:t xml:space="preserve"> </w:t>
      </w:r>
    </w:p>
  </w:footnote>
  <w:footnote w:id="37">
    <w:p w14:paraId="630B19BE" w14:textId="0309A78A" w:rsidR="00DB2928" w:rsidRDefault="00DB2928">
      <w:pPr>
        <w:pStyle w:val="FootnoteText"/>
      </w:pPr>
      <w:r>
        <w:rPr>
          <w:rStyle w:val="FootnoteReference"/>
        </w:rPr>
        <w:footnoteRef/>
      </w:r>
      <w:r>
        <w:t xml:space="preserve"> CCC (2020) </w:t>
      </w:r>
      <w:r w:rsidRPr="00DB2928">
        <w:rPr>
          <w:i/>
          <w:iCs/>
        </w:rPr>
        <w:t>Land use: Policies for a Net Zero UK</w:t>
      </w:r>
      <w:r>
        <w:t xml:space="preserve"> </w:t>
      </w:r>
      <w:hyperlink r:id="rId35" w:history="1">
        <w:r w:rsidRPr="001458CD">
          <w:rPr>
            <w:rStyle w:val="Hyperlink"/>
          </w:rPr>
          <w:t>https://www.theccc.org.uk/publication/land-use-policies-for-a-net-zero-uk/</w:t>
        </w:r>
      </w:hyperlink>
      <w:r>
        <w:t xml:space="preserve"> </w:t>
      </w:r>
    </w:p>
  </w:footnote>
  <w:footnote w:id="38">
    <w:p w14:paraId="22650A19" w14:textId="48EF691B" w:rsidR="0006325D" w:rsidRDefault="0006325D">
      <w:pPr>
        <w:pStyle w:val="FootnoteText"/>
      </w:pPr>
      <w:r>
        <w:rPr>
          <w:rStyle w:val="FootnoteReference"/>
        </w:rPr>
        <w:footnoteRef/>
      </w:r>
      <w:r>
        <w:t xml:space="preserve"> </w:t>
      </w:r>
      <w:r w:rsidRPr="00D77BDC">
        <w:rPr>
          <w:rFonts w:ascii="Open Sans" w:hAnsi="Open Sans" w:cs="Open Sans"/>
        </w:rPr>
        <w:t xml:space="preserve">Policy Exchange (2019) </w:t>
      </w:r>
      <w:r w:rsidRPr="00D77BDC">
        <w:rPr>
          <w:rFonts w:ascii="Open Sans" w:hAnsi="Open Sans" w:cs="Open Sans"/>
          <w:i/>
          <w:iCs/>
        </w:rPr>
        <w:t xml:space="preserve">Bigger, Better Forests </w:t>
      </w:r>
      <w:hyperlink r:id="rId36" w:history="1">
        <w:r w:rsidRPr="00D77BDC">
          <w:rPr>
            <w:rStyle w:val="Hyperlink"/>
            <w:rFonts w:ascii="Open Sans" w:hAnsi="Open Sans" w:cs="Open Sans"/>
            <w:i/>
            <w:iCs/>
          </w:rPr>
          <w:t>https://policyexchange.org.uk/publication/bigger-better-forests/</w:t>
        </w:r>
      </w:hyperlink>
    </w:p>
  </w:footnote>
  <w:footnote w:id="39">
    <w:p w14:paraId="477D2810" w14:textId="241B10EB" w:rsidR="009801F9" w:rsidRPr="00220257" w:rsidRDefault="009801F9">
      <w:pPr>
        <w:pStyle w:val="FootnoteText"/>
        <w:rPr>
          <w:rFonts w:ascii="Open Sans" w:hAnsi="Open Sans" w:cs="Open Sans"/>
          <w:sz w:val="18"/>
          <w:szCs w:val="18"/>
        </w:rPr>
      </w:pPr>
      <w:r w:rsidRPr="00220257">
        <w:rPr>
          <w:rStyle w:val="FootnoteReference"/>
          <w:rFonts w:ascii="Open Sans" w:hAnsi="Open Sans" w:cs="Open Sans"/>
          <w:sz w:val="18"/>
          <w:szCs w:val="18"/>
        </w:rPr>
        <w:footnoteRef/>
      </w:r>
      <w:r w:rsidRPr="00220257">
        <w:rPr>
          <w:rFonts w:ascii="Open Sans" w:hAnsi="Open Sans" w:cs="Open Sans"/>
          <w:sz w:val="18"/>
          <w:szCs w:val="18"/>
        </w:rPr>
        <w:t xml:space="preserve"> CCC (2018) Biomass in a low carbon economy, </w:t>
      </w:r>
      <w:hyperlink r:id="rId37" w:history="1">
        <w:r w:rsidRPr="00220257">
          <w:rPr>
            <w:rStyle w:val="Hyperlink"/>
            <w:rFonts w:ascii="Open Sans" w:hAnsi="Open Sans" w:cs="Open Sans"/>
            <w:sz w:val="18"/>
            <w:szCs w:val="18"/>
          </w:rPr>
          <w:t>https://www.theccc.org.uk/publication/biomass-in-a-low-carbon-economy/</w:t>
        </w:r>
      </w:hyperlink>
      <w:r w:rsidRPr="00220257">
        <w:rPr>
          <w:rFonts w:ascii="Open Sans" w:hAnsi="Open Sans" w:cs="Open Sans"/>
          <w:sz w:val="18"/>
          <w:szCs w:val="18"/>
        </w:rPr>
        <w:t xml:space="preserve"> </w:t>
      </w:r>
    </w:p>
  </w:footnote>
  <w:footnote w:id="40">
    <w:p w14:paraId="04F22BC5" w14:textId="751EC89A" w:rsidR="008C48F8" w:rsidRPr="00220257" w:rsidRDefault="008C48F8" w:rsidP="008C48F8">
      <w:pPr>
        <w:pStyle w:val="FootnoteText"/>
        <w:rPr>
          <w:rFonts w:ascii="Open Sans" w:hAnsi="Open Sans" w:cs="Open Sans"/>
          <w:sz w:val="18"/>
          <w:szCs w:val="18"/>
          <w:lang w:val="en-US" w:eastAsia="en-US"/>
        </w:rPr>
      </w:pPr>
      <w:r w:rsidRPr="00220257">
        <w:rPr>
          <w:rStyle w:val="FootnoteReference"/>
          <w:rFonts w:ascii="Open Sans" w:hAnsi="Open Sans" w:cs="Open Sans"/>
          <w:sz w:val="18"/>
          <w:szCs w:val="18"/>
        </w:rPr>
        <w:footnoteRef/>
      </w:r>
      <w:hyperlink r:id="rId38" w:history="1">
        <w:r w:rsidR="00220257" w:rsidRPr="00AC57C9">
          <w:rPr>
            <w:rStyle w:val="Hyperlink"/>
            <w:rFonts w:ascii="Open Sans" w:hAnsi="Open Sans" w:cs="Open Sans"/>
            <w:sz w:val="18"/>
            <w:szCs w:val="18"/>
          </w:rPr>
          <w:t>https://www.forest2market.com/hubfs/2016_Website/Documents/20151119_Forest2Market_USSouthWoodSupplyTrends.pdf</w:t>
        </w:r>
      </w:hyperlink>
      <w:r w:rsidR="00220257">
        <w:rPr>
          <w:rFonts w:ascii="Open Sans" w:hAnsi="Open Sans" w:cs="Open Sans"/>
          <w:sz w:val="18"/>
          <w:szCs w:val="18"/>
        </w:rPr>
        <w:t xml:space="preserve"> </w:t>
      </w:r>
    </w:p>
  </w:footnote>
  <w:footnote w:id="41">
    <w:p w14:paraId="20C42BC5" w14:textId="76D2EE1F" w:rsidR="001B1A59" w:rsidRPr="00220257" w:rsidRDefault="0064108C">
      <w:pPr>
        <w:pStyle w:val="FootnoteText"/>
        <w:rPr>
          <w:rFonts w:ascii="Open Sans" w:hAnsi="Open Sans" w:cs="Open Sans"/>
          <w:sz w:val="18"/>
          <w:szCs w:val="18"/>
        </w:rPr>
      </w:pPr>
      <w:r w:rsidRPr="00220257">
        <w:rPr>
          <w:rStyle w:val="FootnoteReference"/>
          <w:rFonts w:ascii="Open Sans" w:hAnsi="Open Sans" w:cs="Open Sans"/>
          <w:sz w:val="18"/>
          <w:szCs w:val="18"/>
        </w:rPr>
        <w:footnoteRef/>
      </w:r>
      <w:r w:rsidRPr="00220257">
        <w:rPr>
          <w:rFonts w:ascii="Open Sans" w:hAnsi="Open Sans" w:cs="Open Sans"/>
          <w:sz w:val="18"/>
          <w:szCs w:val="18"/>
        </w:rPr>
        <w:t xml:space="preserve"> US Forest Service (</w:t>
      </w:r>
      <w:r w:rsidR="001B1A59" w:rsidRPr="00220257">
        <w:rPr>
          <w:rFonts w:ascii="Open Sans" w:hAnsi="Open Sans" w:cs="Open Sans"/>
          <w:sz w:val="18"/>
          <w:szCs w:val="18"/>
        </w:rPr>
        <w:t xml:space="preserve">2020) Forestry Inventory and Analysis, </w:t>
      </w:r>
      <w:hyperlink r:id="rId39" w:history="1">
        <w:r w:rsidR="001B1A59" w:rsidRPr="00220257">
          <w:rPr>
            <w:rStyle w:val="Hyperlink"/>
            <w:rFonts w:ascii="Open Sans" w:hAnsi="Open Sans" w:cs="Open Sans"/>
            <w:sz w:val="18"/>
            <w:szCs w:val="18"/>
          </w:rPr>
          <w:t>https://www.fia.fs.fed.us/</w:t>
        </w:r>
      </w:hyperlink>
      <w:r w:rsidR="001B1A59" w:rsidRPr="00220257">
        <w:rPr>
          <w:rFonts w:ascii="Open Sans" w:hAnsi="Open Sans" w:cs="Open Sans"/>
          <w:sz w:val="18"/>
          <w:szCs w:val="18"/>
        </w:rPr>
        <w:t xml:space="preserve"> </w:t>
      </w:r>
    </w:p>
  </w:footnote>
  <w:footnote w:id="42">
    <w:p w14:paraId="1417E902" w14:textId="40FF7DF0" w:rsidR="001B1A59" w:rsidRPr="00220257" w:rsidRDefault="001B1A59">
      <w:pPr>
        <w:pStyle w:val="FootnoteText"/>
        <w:rPr>
          <w:rFonts w:ascii="Open Sans" w:hAnsi="Open Sans" w:cs="Open Sans"/>
          <w:sz w:val="18"/>
          <w:szCs w:val="18"/>
        </w:rPr>
      </w:pPr>
      <w:r w:rsidRPr="00220257">
        <w:rPr>
          <w:rStyle w:val="FootnoteReference"/>
          <w:rFonts w:ascii="Open Sans" w:hAnsi="Open Sans" w:cs="Open Sans"/>
          <w:sz w:val="18"/>
          <w:szCs w:val="18"/>
        </w:rPr>
        <w:footnoteRef/>
      </w:r>
      <w:r w:rsidRPr="00220257">
        <w:rPr>
          <w:rFonts w:ascii="Open Sans" w:hAnsi="Open Sans" w:cs="Open Sans"/>
          <w:sz w:val="18"/>
          <w:szCs w:val="18"/>
        </w:rPr>
        <w:t xml:space="preserve"> Status and Prospects for renewable energy using wood pellets from the south-eastern United States. Dale, V et al 2017. Available here: </w:t>
      </w:r>
      <w:hyperlink r:id="rId40" w:history="1">
        <w:r w:rsidRPr="00220257">
          <w:rPr>
            <w:rStyle w:val="Hyperlink"/>
            <w:rFonts w:ascii="Open Sans" w:hAnsi="Open Sans" w:cs="Open Sans"/>
            <w:sz w:val="18"/>
            <w:szCs w:val="18"/>
          </w:rPr>
          <w:t>https://onlinelibrary.wiley.com/doi/full/10.1111/gcbb.12445</w:t>
        </w:r>
      </w:hyperlink>
      <w:r w:rsidRPr="00220257">
        <w:rPr>
          <w:rFonts w:ascii="Open Sans" w:hAnsi="Open Sans" w:cs="Open Sans"/>
          <w:sz w:val="18"/>
          <w:szCs w:val="18"/>
        </w:rPr>
        <w:t xml:space="preserve"> </w:t>
      </w:r>
    </w:p>
  </w:footnote>
  <w:footnote w:id="43">
    <w:p w14:paraId="6A7909BE" w14:textId="612BB921" w:rsidR="008E3BFC" w:rsidRDefault="008E3BFC">
      <w:pPr>
        <w:pStyle w:val="FootnoteText"/>
      </w:pPr>
      <w:r w:rsidRPr="00220257">
        <w:rPr>
          <w:rStyle w:val="FootnoteReference"/>
          <w:rFonts w:ascii="Open Sans" w:hAnsi="Open Sans" w:cs="Open Sans"/>
          <w:sz w:val="18"/>
          <w:szCs w:val="18"/>
        </w:rPr>
        <w:footnoteRef/>
      </w:r>
      <w:r w:rsidRPr="00220257">
        <w:rPr>
          <w:rFonts w:ascii="Open Sans" w:hAnsi="Open Sans" w:cs="Open Sans"/>
          <w:sz w:val="18"/>
          <w:szCs w:val="18"/>
        </w:rPr>
        <w:t xml:space="preserve"> US Office of Energy Efficiency and Renewable Energy (2016) Billion-Ton Report </w:t>
      </w:r>
      <w:hyperlink r:id="rId41" w:history="1">
        <w:r w:rsidRPr="00220257">
          <w:rPr>
            <w:rStyle w:val="Hyperlink"/>
            <w:rFonts w:ascii="Open Sans" w:hAnsi="Open Sans" w:cs="Open Sans"/>
            <w:sz w:val="18"/>
            <w:szCs w:val="18"/>
          </w:rPr>
          <w:t>https://www.energy.gov/eere/bioenergy/2016-billion-ton-report</w:t>
        </w:r>
      </w:hyperlink>
      <w:r>
        <w:t xml:space="preserve"> </w:t>
      </w:r>
    </w:p>
  </w:footnote>
  <w:footnote w:id="44">
    <w:p w14:paraId="386A89EF" w14:textId="11CCA211" w:rsidR="00313E1D" w:rsidRPr="00A1513F" w:rsidRDefault="00313E1D">
      <w:pPr>
        <w:pStyle w:val="FootnoteText"/>
      </w:pPr>
      <w:r>
        <w:rPr>
          <w:rStyle w:val="FootnoteReference"/>
        </w:rPr>
        <w:footnoteRef/>
      </w:r>
      <w:r>
        <w:t xml:space="preserve"> </w:t>
      </w:r>
      <w:r w:rsidR="00A1513F">
        <w:t xml:space="preserve">IEA (2021) </w:t>
      </w:r>
      <w:r w:rsidR="00A1513F" w:rsidRPr="00A1513F">
        <w:rPr>
          <w:i/>
          <w:iCs/>
        </w:rPr>
        <w:t>Net Zero by 2050</w:t>
      </w:r>
      <w:r w:rsidR="00A1513F">
        <w:rPr>
          <w:i/>
          <w:iCs/>
        </w:rPr>
        <w:t xml:space="preserve">, </w:t>
      </w:r>
      <w:hyperlink r:id="rId42" w:history="1">
        <w:r w:rsidR="00A1513F" w:rsidRPr="001458CD">
          <w:rPr>
            <w:rStyle w:val="Hyperlink"/>
            <w:i/>
            <w:iCs/>
          </w:rPr>
          <w:t>https://www.iea.org/reports/net-zero-by-2050</w:t>
        </w:r>
      </w:hyperlink>
      <w:r w:rsidR="00A1513F">
        <w:rPr>
          <w:i/>
          <w:iCs/>
        </w:rPr>
        <w:t xml:space="preserve"> </w:t>
      </w:r>
      <w:r w:rsidR="00A1513F" w:rsidRPr="00A1513F">
        <w:rPr>
          <w:i/>
          <w:iCs/>
        </w:rPr>
        <w:t xml:space="preserve"> </w:t>
      </w:r>
      <w:r w:rsidR="00A1513F" w:rsidRPr="00A1513F">
        <w:t xml:space="preserve">in </w:t>
      </w:r>
      <w:proofErr w:type="gramStart"/>
      <w:r w:rsidR="00A1513F" w:rsidRPr="00A1513F">
        <w:t>particular figure</w:t>
      </w:r>
      <w:proofErr w:type="gramEnd"/>
      <w:r w:rsidR="00A1513F" w:rsidRPr="00A1513F">
        <w:t xml:space="preserve"> 2.20</w:t>
      </w:r>
      <w:r w:rsidR="00A1513F">
        <w:t xml:space="preserve"> page 77 and figure 2.28 page 91. </w:t>
      </w:r>
    </w:p>
  </w:footnote>
  <w:footnote w:id="45">
    <w:p w14:paraId="1815B6D9" w14:textId="6763369E" w:rsidR="007F3698" w:rsidRDefault="007F3698">
      <w:pPr>
        <w:pStyle w:val="FootnoteText"/>
      </w:pPr>
      <w:r>
        <w:rPr>
          <w:rStyle w:val="FootnoteReference"/>
        </w:rPr>
        <w:footnoteRef/>
      </w:r>
      <w:r>
        <w:t xml:space="preserve"> CCC (2018) </w:t>
      </w:r>
      <w:r w:rsidRPr="007F3698">
        <w:rPr>
          <w:i/>
          <w:iCs/>
        </w:rPr>
        <w:t>Biomass in a Low-Carbon Economy</w:t>
      </w:r>
      <w:r>
        <w:t xml:space="preserve">, </w:t>
      </w:r>
      <w:hyperlink r:id="rId43" w:history="1">
        <w:r w:rsidRPr="001458CD">
          <w:rPr>
            <w:rStyle w:val="Hyperlink"/>
          </w:rPr>
          <w:t>https://www.theccc.org.uk/publication/biomass-in-a-low-carbon-economy/</w:t>
        </w:r>
      </w:hyperlink>
      <w:r>
        <w:t xml:space="preserve"> </w:t>
      </w:r>
    </w:p>
  </w:footnote>
  <w:footnote w:id="46">
    <w:p w14:paraId="58DC7933" w14:textId="77777777" w:rsidR="009D5997" w:rsidRDefault="009D5997" w:rsidP="009D5997">
      <w:pPr>
        <w:pStyle w:val="FootnoteText"/>
      </w:pPr>
      <w:r>
        <w:rPr>
          <w:rStyle w:val="FootnoteReference"/>
        </w:rPr>
        <w:footnoteRef/>
      </w:r>
      <w:r>
        <w:t xml:space="preserve"> BEIS (2021) </w:t>
      </w:r>
      <w:r w:rsidRPr="00EA3D5E">
        <w:t>Carbon Capture, Usage and Storage An update on the business model for Industrial Carbon Capture</w:t>
      </w:r>
      <w:r>
        <w:t xml:space="preserve"> </w:t>
      </w:r>
      <w:hyperlink r:id="rId44" w:history="1">
        <w:r w:rsidRPr="000B5F0C">
          <w:rPr>
            <w:rStyle w:val="Hyperlink"/>
          </w:rPr>
          <w:t>https://assets.publishing.service.gov.uk/government/uploads/system/uploads/attachment_data/file/984119/industrial-carbon-capture-icc.pdf</w:t>
        </w:r>
      </w:hyperlink>
      <w:r>
        <w:t xml:space="preserve"> </w:t>
      </w:r>
    </w:p>
  </w:footnote>
  <w:footnote w:id="47">
    <w:p w14:paraId="6D5DE3B1" w14:textId="4A493094" w:rsidR="00600168" w:rsidRPr="000835FC" w:rsidRDefault="00600168" w:rsidP="000835FC">
      <w:pPr>
        <w:rPr>
          <w:rFonts w:ascii="Open Sans" w:hAnsi="Open Sans" w:cs="Open Sans"/>
          <w:sz w:val="20"/>
          <w:szCs w:val="20"/>
        </w:rPr>
      </w:pPr>
      <w:r>
        <w:rPr>
          <w:rStyle w:val="FootnoteReference"/>
        </w:rPr>
        <w:footnoteRef/>
      </w:r>
      <w:r>
        <w:t xml:space="preserve"> </w:t>
      </w:r>
      <w:r w:rsidRPr="00D77BDC">
        <w:rPr>
          <w:rFonts w:ascii="Open Sans" w:hAnsi="Open Sans" w:cs="Open Sans"/>
          <w:sz w:val="20"/>
          <w:szCs w:val="20"/>
        </w:rPr>
        <w:t xml:space="preserve">Delta-EE (2018) </w:t>
      </w:r>
      <w:r w:rsidRPr="00D77BDC">
        <w:rPr>
          <w:rFonts w:ascii="Open Sans" w:hAnsi="Open Sans" w:cs="Open Sans"/>
          <w:i/>
          <w:iCs/>
          <w:sz w:val="20"/>
          <w:szCs w:val="20"/>
        </w:rPr>
        <w:t>Technical Feasibility of Electric Heating in Rural Off-Gas Grid Dwellings</w:t>
      </w:r>
      <w:r w:rsidRPr="00D77BDC">
        <w:rPr>
          <w:rFonts w:ascii="Open Sans" w:hAnsi="Open Sans" w:cs="Open Sans"/>
          <w:sz w:val="20"/>
          <w:szCs w:val="20"/>
        </w:rPr>
        <w:t xml:space="preserve">, </w:t>
      </w:r>
      <w:hyperlink r:id="rId45" w:history="1">
        <w:r w:rsidRPr="00D77BDC">
          <w:rPr>
            <w:rStyle w:val="Hyperlink"/>
            <w:rFonts w:ascii="Open Sans" w:hAnsi="Open Sans" w:cs="Open Sans"/>
            <w:sz w:val="20"/>
            <w:szCs w:val="20"/>
          </w:rPr>
          <w:t>https://assets.publishing.service.gov.uk/government/uploads/system/uploads/attachment_data/file/762596/Technical_Feasibility_of_Electric_Heating_in_Rural_Off-Gas_Grid_Dwellings.pdf</w:t>
        </w:r>
      </w:hyperlink>
      <w:r w:rsidRPr="00D77BDC">
        <w:rPr>
          <w:rFonts w:ascii="Open Sans" w:hAnsi="Open Sans" w:cs="Open Sans"/>
          <w:sz w:val="20"/>
          <w:szCs w:val="20"/>
        </w:rPr>
        <w:t xml:space="preserve"> . Note 20% of 1.3 million off-gas grid </w:t>
      </w:r>
      <w:proofErr w:type="gramStart"/>
      <w:r w:rsidRPr="00D77BDC">
        <w:rPr>
          <w:rFonts w:ascii="Open Sans" w:hAnsi="Open Sans" w:cs="Open Sans"/>
          <w:sz w:val="20"/>
          <w:szCs w:val="20"/>
        </w:rPr>
        <w:t>domestic  properties</w:t>
      </w:r>
      <w:proofErr w:type="gramEnd"/>
      <w:r w:rsidRPr="00D77BDC">
        <w:rPr>
          <w:rFonts w:ascii="Open Sans" w:hAnsi="Open Sans" w:cs="Open Sans"/>
          <w:sz w:val="20"/>
          <w:szCs w:val="20"/>
        </w:rPr>
        <w:t xml:space="preserve"> is 260,000 properties.</w:t>
      </w:r>
    </w:p>
  </w:footnote>
  <w:footnote w:id="48">
    <w:p w14:paraId="4ABCE9F5" w14:textId="1D330B67" w:rsidR="000835FC" w:rsidRDefault="000835FC">
      <w:pPr>
        <w:pStyle w:val="FootnoteText"/>
      </w:pPr>
      <w:r>
        <w:rPr>
          <w:rStyle w:val="FootnoteReference"/>
        </w:rPr>
        <w:footnoteRef/>
      </w:r>
      <w:r>
        <w:t xml:space="preserve"> </w:t>
      </w:r>
      <w:r w:rsidRPr="00D77BDC">
        <w:rPr>
          <w:rFonts w:ascii="Open Sans" w:hAnsi="Open Sans" w:cs="Open Sans"/>
        </w:rPr>
        <w:t>The RHI has deployed 17,110 accredited biomass boilers in the ND RHI and 12,370 accredited biomass boilers in the domestic RHI, totalling 29,480 as of May 2020.</w:t>
      </w:r>
    </w:p>
  </w:footnote>
  <w:footnote w:id="49">
    <w:p w14:paraId="2568F141" w14:textId="31032308" w:rsidR="00550A2E" w:rsidRDefault="00550A2E">
      <w:pPr>
        <w:pStyle w:val="FootnoteText"/>
      </w:pPr>
      <w:r>
        <w:rPr>
          <w:rStyle w:val="FootnoteReference"/>
        </w:rPr>
        <w:footnoteRef/>
      </w:r>
      <w:r>
        <w:t xml:space="preserve"> Environment Agency (2021) </w:t>
      </w:r>
      <w:r w:rsidRPr="00550A2E">
        <w:t>Industrial Emissions Directive (IED): environmental permits issued</w:t>
      </w:r>
      <w:r>
        <w:t xml:space="preserve">, </w:t>
      </w:r>
      <w:hyperlink r:id="rId46" w:history="1">
        <w:r w:rsidRPr="00EF0B13">
          <w:rPr>
            <w:rStyle w:val="Hyperlink"/>
          </w:rPr>
          <w:t>https://www.gov.uk/government/collections/industrial-emissions-directive-ied-environmental-permits-issued</w:t>
        </w:r>
      </w:hyperlink>
      <w:r>
        <w:t xml:space="preserve"> </w:t>
      </w:r>
    </w:p>
  </w:footnote>
  <w:footnote w:id="50">
    <w:p w14:paraId="00555D62" w14:textId="5F9A6C09" w:rsidR="00000F05" w:rsidRDefault="00550A2E">
      <w:pPr>
        <w:pStyle w:val="FootnoteText"/>
      </w:pPr>
      <w:r>
        <w:rPr>
          <w:rStyle w:val="FootnoteReference"/>
        </w:rPr>
        <w:footnoteRef/>
      </w:r>
      <w:r>
        <w:t xml:space="preserve"> </w:t>
      </w:r>
      <w:r w:rsidR="00000F05">
        <w:t xml:space="preserve">Environment Agency (2019) </w:t>
      </w:r>
      <w:r w:rsidR="00000F05" w:rsidRPr="00000F05">
        <w:t xml:space="preserve">Medium combustion plant and specified generators: environmental permits  </w:t>
      </w:r>
      <w:hyperlink r:id="rId47" w:history="1">
        <w:r w:rsidR="00000F05" w:rsidRPr="00EF0B13">
          <w:rPr>
            <w:rStyle w:val="Hyperlink"/>
          </w:rPr>
          <w:t>https://www.gov.uk/guidance/medium-combustion-plant-and-specified-generators-environmental-permits</w:t>
        </w:r>
      </w:hyperlink>
      <w:r w:rsidR="00000F05">
        <w:t xml:space="preserve"> </w:t>
      </w:r>
    </w:p>
  </w:footnote>
  <w:footnote w:id="51">
    <w:p w14:paraId="3174E0A7" w14:textId="61E30FB5" w:rsidR="00000F05" w:rsidRDefault="00000F05">
      <w:pPr>
        <w:pStyle w:val="FootnoteText"/>
      </w:pPr>
      <w:r>
        <w:rPr>
          <w:rStyle w:val="FootnoteReference"/>
        </w:rPr>
        <w:footnoteRef/>
      </w:r>
      <w:r>
        <w:t xml:space="preserve"> European Commission (2021) The EU-UK Trade and Cooperation Agreement, </w:t>
      </w:r>
      <w:hyperlink r:id="rId48" w:history="1">
        <w:r w:rsidRPr="00EF0B13">
          <w:rPr>
            <w:rStyle w:val="Hyperlink"/>
          </w:rPr>
          <w:t>https://ec.europa.eu/info/relations-united-kingdom/eu-uk-trade-and-cooperation-agreement_en</w:t>
        </w:r>
      </w:hyperlink>
      <w:r>
        <w:t xml:space="preserve"> </w:t>
      </w:r>
    </w:p>
  </w:footnote>
  <w:footnote w:id="52">
    <w:p w14:paraId="62354D1C" w14:textId="31DC0AC8" w:rsidR="00000F05" w:rsidRDefault="00000F05">
      <w:pPr>
        <w:pStyle w:val="FootnoteText"/>
      </w:pPr>
      <w:r>
        <w:rPr>
          <w:rStyle w:val="FootnoteReference"/>
        </w:rPr>
        <w:footnoteRef/>
      </w:r>
      <w:r>
        <w:t xml:space="preserve"> PHE (2009) </w:t>
      </w:r>
      <w:r w:rsidRPr="00000F05">
        <w:t>Municipal waste incinerator emissions to air: impact on health</w:t>
      </w:r>
      <w:r>
        <w:t xml:space="preserve">, </w:t>
      </w:r>
      <w:hyperlink r:id="rId49" w:history="1">
        <w:r w:rsidRPr="00EF0B13">
          <w:rPr>
            <w:rStyle w:val="Hyperlink"/>
          </w:rPr>
          <w:t>https://www.gov.uk/government/publications/municipal-waste-incinerator-emissions-to-air-impact-on-health</w:t>
        </w:r>
      </w:hyperlink>
      <w:r>
        <w:t xml:space="preserve"> </w:t>
      </w:r>
    </w:p>
  </w:footnote>
  <w:footnote w:id="53">
    <w:p w14:paraId="408F2D71" w14:textId="4FCF1A06" w:rsidR="00000F05" w:rsidRDefault="00000F05">
      <w:pPr>
        <w:pStyle w:val="FootnoteText"/>
      </w:pPr>
      <w:r>
        <w:rPr>
          <w:rStyle w:val="FootnoteReference"/>
        </w:rPr>
        <w:footnoteRef/>
      </w:r>
      <w:r>
        <w:t xml:space="preserve"> Imperial College London (2019) </w:t>
      </w:r>
      <w:r w:rsidRPr="00000F05">
        <w:t>Major study finds no conclusive links to health effects from waste incinerators</w:t>
      </w:r>
      <w:r>
        <w:t xml:space="preserve">, </w:t>
      </w:r>
      <w:hyperlink r:id="rId50" w:history="1">
        <w:r w:rsidRPr="00EF0B13">
          <w:rPr>
            <w:rStyle w:val="Hyperlink"/>
          </w:rPr>
          <w:t>https://www.imperial.ac.uk/news/191653/major-study-finds-conclusive-links-health/</w:t>
        </w:r>
      </w:hyperlink>
      <w:r>
        <w:t xml:space="preserve"> </w:t>
      </w:r>
    </w:p>
  </w:footnote>
  <w:footnote w:id="54">
    <w:p w14:paraId="6DB60E5E" w14:textId="17743177" w:rsidR="00000F05" w:rsidRDefault="00000F05">
      <w:pPr>
        <w:pStyle w:val="FootnoteText"/>
      </w:pPr>
      <w:r>
        <w:rPr>
          <w:rStyle w:val="FootnoteReference"/>
        </w:rPr>
        <w:footnoteRef/>
      </w:r>
      <w:r>
        <w:t xml:space="preserve"> PHE (2019)  </w:t>
      </w:r>
      <w:r w:rsidRPr="00000F05">
        <w:t>PHE statement on modern municipal waste incinerators (MWIs) study</w:t>
      </w:r>
      <w:r>
        <w:t xml:space="preserve">, </w:t>
      </w:r>
      <w:hyperlink r:id="rId51" w:history="1">
        <w:r w:rsidRPr="00EF0B13">
          <w:rPr>
            <w:rStyle w:val="Hyperlink"/>
          </w:rPr>
          <w:t>https://www.gov.uk/government/publications/municipal-waste-incinerators-emissions-impact-on-health/phe-statement-on-modern-municipal-waste-incinerators-mwi-study</w:t>
        </w:r>
      </w:hyperlink>
      <w:r>
        <w:t xml:space="preserve"> </w:t>
      </w:r>
    </w:p>
  </w:footnote>
  <w:footnote w:id="55">
    <w:p w14:paraId="722B9B67" w14:textId="06075EC3" w:rsidR="004D4032" w:rsidRDefault="004D4032">
      <w:pPr>
        <w:pStyle w:val="FootnoteText"/>
      </w:pPr>
      <w:r>
        <w:rPr>
          <w:rStyle w:val="FootnoteReference"/>
        </w:rPr>
        <w:footnoteRef/>
      </w:r>
      <w:r>
        <w:t xml:space="preserve"> </w:t>
      </w:r>
      <w:r w:rsidRPr="00076C82">
        <w:rPr>
          <w:rFonts w:ascii="Open Sans" w:hAnsi="Open Sans" w:cs="Open Sans"/>
          <w:sz w:val="18"/>
          <w:szCs w:val="18"/>
        </w:rPr>
        <w:t xml:space="preserve">WHA and REA response to BEIS RHI Consultation – Biomass Combustion in Urban Areas </w:t>
      </w:r>
      <w:hyperlink r:id="rId52" w:history="1">
        <w:r w:rsidRPr="00076C82">
          <w:rPr>
            <w:rStyle w:val="Hyperlink"/>
            <w:rFonts w:ascii="Open Sans" w:hAnsi="Open Sans" w:cs="Open Sans"/>
            <w:sz w:val="18"/>
            <w:szCs w:val="18"/>
          </w:rPr>
          <w:t>https://www.r-e-a.net/resources/beis-rhi-consultation-biomass-combustion-in-urban-areas/</w:t>
        </w:r>
      </w:hyperlink>
    </w:p>
  </w:footnote>
  <w:footnote w:id="56">
    <w:p w14:paraId="251789A1" w14:textId="39311E85" w:rsidR="00833E2D" w:rsidRDefault="00833E2D">
      <w:pPr>
        <w:pStyle w:val="FootnoteText"/>
      </w:pPr>
      <w:r>
        <w:rPr>
          <w:rStyle w:val="FootnoteReference"/>
        </w:rPr>
        <w:footnoteRef/>
      </w:r>
      <w:r>
        <w:t xml:space="preserve"> </w:t>
      </w:r>
      <w:proofErr w:type="spellStart"/>
      <w:r w:rsidRPr="00833E2D">
        <w:rPr>
          <w:rFonts w:ascii="Open Sans" w:hAnsi="Open Sans" w:cs="Open Sans"/>
          <w:lang w:val="en-US"/>
        </w:rPr>
        <w:t>Ökofen</w:t>
      </w:r>
      <w:proofErr w:type="spellEnd"/>
      <w:r>
        <w:rPr>
          <w:rFonts w:ascii="Open Sans" w:hAnsi="Open Sans" w:cs="Open Sans"/>
          <w:lang w:val="en-US"/>
        </w:rPr>
        <w:t xml:space="preserve"> (2021) </w:t>
      </w:r>
      <w:proofErr w:type="spellStart"/>
      <w:r>
        <w:rPr>
          <w:rFonts w:ascii="Open Sans" w:hAnsi="Open Sans" w:cs="Open Sans"/>
          <w:lang w:val="en-US"/>
        </w:rPr>
        <w:t>ZeroFlame</w:t>
      </w:r>
      <w:proofErr w:type="spellEnd"/>
      <w:r>
        <w:rPr>
          <w:rFonts w:ascii="Open Sans" w:hAnsi="Open Sans" w:cs="Open Sans"/>
          <w:lang w:val="en-US"/>
        </w:rPr>
        <w:t xml:space="preserve"> Technology, </w:t>
      </w:r>
      <w:hyperlink r:id="rId53" w:history="1">
        <w:r w:rsidRPr="00EF0B13">
          <w:rPr>
            <w:rStyle w:val="Hyperlink"/>
            <w:rFonts w:ascii="Open Sans" w:hAnsi="Open Sans" w:cs="Open Sans"/>
            <w:lang w:val="en-US"/>
          </w:rPr>
          <w:t>https://www.oekofen.com/en-gb/zeroflame/</w:t>
        </w:r>
      </w:hyperlink>
      <w:r>
        <w:rPr>
          <w:rFonts w:ascii="Open Sans" w:hAnsi="Open Sans" w:cs="Open Sans"/>
          <w:lang w:val="en-US"/>
        </w:rPr>
        <w:t xml:space="preserve"> </w:t>
      </w:r>
    </w:p>
  </w:footnote>
  <w:footnote w:id="57">
    <w:p w14:paraId="0F16561C" w14:textId="79394749" w:rsidR="000C652B" w:rsidRDefault="000C652B">
      <w:pPr>
        <w:pStyle w:val="FootnoteText"/>
      </w:pPr>
      <w:r>
        <w:rPr>
          <w:rStyle w:val="FootnoteReference"/>
        </w:rPr>
        <w:footnoteRef/>
      </w:r>
      <w:r>
        <w:t xml:space="preserve"> UK Pellet Council (2020) </w:t>
      </w:r>
      <w:proofErr w:type="spellStart"/>
      <w:r>
        <w:t>EN</w:t>
      </w:r>
      <w:r w:rsidRPr="000C652B">
        <w:rPr>
          <w:i/>
          <w:iCs/>
        </w:rPr>
        <w:t>plus</w:t>
      </w:r>
      <w:proofErr w:type="spellEnd"/>
      <w:r>
        <w:t xml:space="preserve"> Scheme, </w:t>
      </w:r>
      <w:hyperlink r:id="rId54" w:history="1">
        <w:r w:rsidRPr="00EF0B13">
          <w:rPr>
            <w:rStyle w:val="Hyperlink"/>
          </w:rPr>
          <w:t>http://www.pelletcouncil.org.uk/enplus-scheme/</w:t>
        </w:r>
      </w:hyperlink>
    </w:p>
  </w:footnote>
  <w:footnote w:id="58">
    <w:p w14:paraId="5C9ECB8F" w14:textId="2570BECC" w:rsidR="00EB1770" w:rsidRDefault="00EB1770">
      <w:pPr>
        <w:pStyle w:val="FootnoteText"/>
      </w:pPr>
      <w:r>
        <w:rPr>
          <w:rStyle w:val="FootnoteReference"/>
        </w:rPr>
        <w:footnoteRef/>
      </w:r>
      <w:r>
        <w:t xml:space="preserve"> </w:t>
      </w:r>
      <w:proofErr w:type="spellStart"/>
      <w:r>
        <w:t>GoodChips</w:t>
      </w:r>
      <w:proofErr w:type="spellEnd"/>
      <w:r>
        <w:t xml:space="preserve"> (2001) </w:t>
      </w:r>
      <w:hyperlink r:id="rId55" w:history="1">
        <w:r w:rsidRPr="00EF0B13">
          <w:rPr>
            <w:rStyle w:val="Hyperlink"/>
          </w:rPr>
          <w:t>https://goodchips.eu/about.html</w:t>
        </w:r>
      </w:hyperlink>
      <w:r>
        <w:t xml:space="preserve"> </w:t>
      </w:r>
    </w:p>
  </w:footnote>
  <w:footnote w:id="59">
    <w:p w14:paraId="75EEEDFA" w14:textId="10A73217" w:rsidR="00EB1770" w:rsidRDefault="00EB1770">
      <w:pPr>
        <w:pStyle w:val="FootnoteText"/>
      </w:pPr>
      <w:r>
        <w:rPr>
          <w:rStyle w:val="FootnoteReference"/>
        </w:rPr>
        <w:footnoteRef/>
      </w:r>
      <w:r>
        <w:t xml:space="preserve"> </w:t>
      </w:r>
      <w:proofErr w:type="spellStart"/>
      <w:r>
        <w:t>WoodSure</w:t>
      </w:r>
      <w:proofErr w:type="spellEnd"/>
      <w:r>
        <w:t xml:space="preserve"> (2021) </w:t>
      </w:r>
      <w:hyperlink r:id="rId56" w:history="1">
        <w:r w:rsidRPr="00EF0B13">
          <w:rPr>
            <w:rStyle w:val="Hyperlink"/>
          </w:rPr>
          <w:t>https://woodsure.co.uk/about-woodsure/</w:t>
        </w:r>
      </w:hyperlink>
      <w:r>
        <w:t xml:space="preserve"> </w:t>
      </w:r>
    </w:p>
  </w:footnote>
  <w:footnote w:id="60">
    <w:p w14:paraId="753DD724" w14:textId="57899433" w:rsidR="0069312B" w:rsidRDefault="0069312B">
      <w:pPr>
        <w:pStyle w:val="FootnoteText"/>
      </w:pPr>
      <w:r>
        <w:rPr>
          <w:rStyle w:val="FootnoteReference"/>
        </w:rPr>
        <w:footnoteRef/>
      </w:r>
      <w:r>
        <w:t xml:space="preserve"> </w:t>
      </w:r>
      <w:r w:rsidRPr="002D56B3">
        <w:rPr>
          <w:rFonts w:ascii="Open Sans" w:hAnsi="Open Sans" w:cs="Open Sans"/>
          <w:lang w:val="en-US"/>
        </w:rPr>
        <w:t xml:space="preserve">QM </w:t>
      </w:r>
      <w:proofErr w:type="spellStart"/>
      <w:proofErr w:type="gramStart"/>
      <w:r w:rsidRPr="002D56B3">
        <w:rPr>
          <w:rFonts w:ascii="Open Sans" w:hAnsi="Open Sans" w:cs="Open Sans"/>
          <w:lang w:val="en-US"/>
        </w:rPr>
        <w:t>Holzheizwerke</w:t>
      </w:r>
      <w:proofErr w:type="spellEnd"/>
      <w:r w:rsidRPr="002D56B3">
        <w:rPr>
          <w:rFonts w:ascii="Open Sans" w:hAnsi="Open Sans" w:cs="Open Sans"/>
          <w:lang w:val="en-US"/>
        </w:rPr>
        <w:t xml:space="preserve"> </w:t>
      </w:r>
      <w:r>
        <w:rPr>
          <w:rFonts w:ascii="Open Sans" w:hAnsi="Open Sans" w:cs="Open Sans"/>
          <w:lang w:val="en-US"/>
        </w:rPr>
        <w:t xml:space="preserve"> (</w:t>
      </w:r>
      <w:proofErr w:type="gramEnd"/>
      <w:r>
        <w:rPr>
          <w:rFonts w:ascii="Open Sans" w:hAnsi="Open Sans" w:cs="Open Sans"/>
          <w:lang w:val="en-US"/>
        </w:rPr>
        <w:t xml:space="preserve">2021) </w:t>
      </w:r>
      <w:hyperlink r:id="rId57" w:history="1">
        <w:r w:rsidRPr="00EF0B13">
          <w:rPr>
            <w:rStyle w:val="Hyperlink"/>
          </w:rPr>
          <w:t>https://www.qmholzheizwerke.ch/de/qm-holzheizwerke/was-ist-qm-holzheizwerker.html</w:t>
        </w:r>
      </w:hyperlink>
      <w:r>
        <w:t xml:space="preserve"> </w:t>
      </w:r>
    </w:p>
  </w:footnote>
  <w:footnote w:id="61">
    <w:p w14:paraId="13CD361C" w14:textId="7144F136" w:rsidR="00905646" w:rsidRPr="00EE14E3" w:rsidRDefault="00905646" w:rsidP="00EE14E3">
      <w:pPr>
        <w:rPr>
          <w:rFonts w:ascii="Arial" w:hAnsi="Arial" w:cs="Arial"/>
          <w:color w:val="0000FF"/>
          <w:sz w:val="18"/>
          <w:u w:val="single"/>
          <w:lang w:val="da-DK"/>
        </w:rPr>
      </w:pPr>
      <w:r>
        <w:rPr>
          <w:rStyle w:val="FootnoteReference"/>
        </w:rPr>
        <w:footnoteRef/>
      </w:r>
      <w:r>
        <w:t xml:space="preserve"> </w:t>
      </w:r>
      <w:r w:rsidRPr="00905646">
        <w:rPr>
          <w:rFonts w:ascii="Arial" w:hAnsi="Arial" w:cs="Arial"/>
          <w:sz w:val="18"/>
          <w:lang w:val="da-DK"/>
        </w:rPr>
        <w:t xml:space="preserve">Environmental Research Group -King’s College London </w:t>
      </w:r>
      <w:r>
        <w:rPr>
          <w:rFonts w:ascii="Arial" w:hAnsi="Arial" w:cs="Arial"/>
          <w:sz w:val="18"/>
          <w:lang w:val="da-DK"/>
        </w:rPr>
        <w:t>(</w:t>
      </w:r>
      <w:r w:rsidRPr="0065142C">
        <w:rPr>
          <w:rFonts w:ascii="Arial" w:hAnsi="Arial" w:cs="Arial"/>
          <w:sz w:val="18"/>
          <w:lang w:val="da-DK"/>
        </w:rPr>
        <w:t>2017</w:t>
      </w:r>
      <w:r>
        <w:rPr>
          <w:rFonts w:ascii="Arial" w:hAnsi="Arial" w:cs="Arial"/>
          <w:sz w:val="18"/>
          <w:lang w:val="da-DK"/>
        </w:rPr>
        <w:t xml:space="preserve">) </w:t>
      </w:r>
      <w:r w:rsidRPr="0065142C">
        <w:rPr>
          <w:rFonts w:ascii="Arial" w:hAnsi="Arial" w:cs="Arial"/>
          <w:sz w:val="18"/>
          <w:lang w:val="da-DK"/>
        </w:rPr>
        <w:t xml:space="preserve"> </w:t>
      </w:r>
      <w:r w:rsidRPr="00905646">
        <w:rPr>
          <w:rFonts w:ascii="Arial" w:hAnsi="Arial" w:cs="Arial"/>
          <w:sz w:val="18"/>
          <w:lang w:val="da-DK"/>
        </w:rPr>
        <w:t>Airborne particles from wood burning in UK cities</w:t>
      </w:r>
      <w:r>
        <w:rPr>
          <w:rFonts w:ascii="Arial" w:hAnsi="Arial" w:cs="Arial"/>
          <w:sz w:val="18"/>
          <w:lang w:val="da-DK"/>
        </w:rPr>
        <w:t xml:space="preserve">,(page 4)  </w:t>
      </w:r>
      <w:r w:rsidR="000077A0">
        <w:fldChar w:fldCharType="begin"/>
      </w:r>
      <w:r w:rsidR="000077A0">
        <w:instrText xml:space="preserve"> HYPERLINK "https://uk-air.defra.gov.uk/assets/documents/reports/cat05/1801301017_KCL_WoodBurningReport_2017_FINAL.pdf" </w:instrText>
      </w:r>
      <w:r w:rsidR="000077A0">
        <w:fldChar w:fldCharType="separate"/>
      </w:r>
      <w:r w:rsidRPr="00EF0B13">
        <w:rPr>
          <w:rStyle w:val="Hyperlink"/>
          <w:rFonts w:ascii="Arial" w:hAnsi="Arial" w:cs="Arial"/>
          <w:sz w:val="18"/>
          <w:lang w:val="da-DK"/>
        </w:rPr>
        <w:t>https://uk-air.defra.gov.uk/assets/documents/reports/cat05/1801301017_KCL_WoodBurningReport_2017_FINAL.pdf</w:t>
      </w:r>
      <w:r w:rsidR="000077A0">
        <w:rPr>
          <w:rStyle w:val="Hyperlink"/>
          <w:rFonts w:ascii="Arial" w:hAnsi="Arial" w:cs="Arial"/>
          <w:sz w:val="18"/>
          <w:lang w:val="da-DK"/>
        </w:rPr>
        <w:fldChar w:fldCharType="end"/>
      </w:r>
    </w:p>
  </w:footnote>
  <w:footnote w:id="62">
    <w:p w14:paraId="048F51A1" w14:textId="2C9947FE" w:rsidR="00EE14E3" w:rsidRDefault="00EE14E3">
      <w:pPr>
        <w:pStyle w:val="FootnoteText"/>
      </w:pPr>
      <w:r>
        <w:rPr>
          <w:rStyle w:val="FootnoteReference"/>
        </w:rPr>
        <w:footnoteRef/>
      </w:r>
      <w:r>
        <w:t xml:space="preserve"> BEIS (2020) </w:t>
      </w:r>
      <w:r w:rsidRPr="00EE14E3">
        <w:t>RHI monthly deployment data: December 2020 (Annual edition)</w:t>
      </w:r>
      <w:r>
        <w:t xml:space="preserve"> – Sheet S1.1, </w:t>
      </w:r>
      <w:hyperlink r:id="rId58" w:history="1">
        <w:r w:rsidRPr="00EF0B13">
          <w:rPr>
            <w:rStyle w:val="Hyperlink"/>
          </w:rPr>
          <w:t>https://www.gov.uk/government/statistics/rhi-monthly-deployment-data-december-2020-annual-edition</w:t>
        </w:r>
      </w:hyperlink>
      <w:r>
        <w:t xml:space="preserve"> </w:t>
      </w:r>
    </w:p>
  </w:footnote>
  <w:footnote w:id="63">
    <w:p w14:paraId="152BE0D4" w14:textId="724F8F6D" w:rsidR="008B2C24" w:rsidRDefault="008B2C24">
      <w:pPr>
        <w:pStyle w:val="FootnoteText"/>
      </w:pPr>
      <w:r>
        <w:rPr>
          <w:rStyle w:val="FootnoteReference"/>
        </w:rPr>
        <w:footnoteRef/>
      </w:r>
      <w:r>
        <w:t xml:space="preserve"> </w:t>
      </w:r>
      <w:r w:rsidR="00E55948" w:rsidRPr="00D74F62">
        <w:rPr>
          <w:rFonts w:asciiTheme="minorHAnsi" w:hAnsiTheme="minorHAnsi" w:cstheme="minorHAnsi"/>
          <w:sz w:val="18"/>
          <w:szCs w:val="18"/>
          <w:highlight w:val="yellow"/>
        </w:rPr>
        <w:t xml:space="preserve">See </w:t>
      </w:r>
      <w:hyperlink r:id="rId59" w:history="1">
        <w:r w:rsidRPr="00D74F62">
          <w:rPr>
            <w:rStyle w:val="Hyperlink"/>
            <w:rFonts w:asciiTheme="minorHAnsi" w:hAnsiTheme="minorHAnsi" w:cstheme="minorHAnsi"/>
            <w:sz w:val="18"/>
            <w:szCs w:val="18"/>
            <w:highlight w:val="yellow"/>
          </w:rPr>
          <w:t>https://docs.wixstatic.com/ugd/3fb734_c264f6bcb39f430ab829d6e93c3809ca.pdf</w:t>
        </w:r>
      </w:hyperlink>
    </w:p>
  </w:footnote>
  <w:footnote w:id="64">
    <w:p w14:paraId="4713B92A" w14:textId="25535D98" w:rsidR="008B2C24" w:rsidRDefault="008B2C24">
      <w:pPr>
        <w:pStyle w:val="FootnoteText"/>
      </w:pPr>
      <w:r>
        <w:rPr>
          <w:rStyle w:val="FootnoteReference"/>
        </w:rPr>
        <w:footnoteRef/>
      </w:r>
      <w:r>
        <w:t xml:space="preserve"> ASFE (2017) Air Quality Policy, </w:t>
      </w:r>
      <w:hyperlink r:id="rId60" w:history="1">
        <w:r w:rsidRPr="00EF0B13">
          <w:rPr>
            <w:rStyle w:val="Hyperlink"/>
          </w:rPr>
          <w:t>http://www.synthetic-fuels.eu/</w:t>
        </w:r>
      </w:hyperlink>
      <w:r>
        <w:t xml:space="preserve"> </w:t>
      </w:r>
    </w:p>
  </w:footnote>
  <w:footnote w:id="65">
    <w:p w14:paraId="4B05040D" w14:textId="6EFF0153" w:rsidR="00E55948" w:rsidRDefault="00E55948">
      <w:pPr>
        <w:pStyle w:val="FootnoteText"/>
      </w:pPr>
      <w:r>
        <w:rPr>
          <w:rStyle w:val="FootnoteReference"/>
        </w:rPr>
        <w:footnoteRef/>
      </w:r>
      <w:r>
        <w:t xml:space="preserve"> </w:t>
      </w:r>
      <w:r w:rsidRPr="009316E0">
        <w:rPr>
          <w:rFonts w:asciiTheme="minorHAnsi" w:hAnsiTheme="minorHAnsi" w:cstheme="minorHAnsi"/>
          <w:sz w:val="18"/>
          <w:szCs w:val="18"/>
        </w:rPr>
        <w:t xml:space="preserve">Anderson, B. </w:t>
      </w:r>
      <w:proofErr w:type="gramStart"/>
      <w:r w:rsidRPr="009316E0">
        <w:rPr>
          <w:rFonts w:asciiTheme="minorHAnsi" w:hAnsiTheme="minorHAnsi" w:cstheme="minorHAnsi"/>
          <w:sz w:val="18"/>
          <w:szCs w:val="18"/>
        </w:rPr>
        <w:t>E.</w:t>
      </w:r>
      <w:proofErr w:type="gramEnd"/>
      <w:r w:rsidRPr="009316E0">
        <w:rPr>
          <w:rFonts w:asciiTheme="minorHAnsi" w:hAnsiTheme="minorHAnsi" w:cstheme="minorHAnsi"/>
          <w:sz w:val="18"/>
          <w:szCs w:val="18"/>
        </w:rPr>
        <w:t xml:space="preserve"> and e. al. (February 2011). Alternative Aviation Fuel Experiment (AAFEX), NASA Langley Research </w:t>
      </w:r>
      <w:proofErr w:type="spellStart"/>
      <w:r w:rsidRPr="009316E0">
        <w:rPr>
          <w:rFonts w:asciiTheme="minorHAnsi" w:hAnsiTheme="minorHAnsi" w:cstheme="minorHAnsi"/>
          <w:sz w:val="18"/>
          <w:szCs w:val="18"/>
        </w:rPr>
        <w:t>Center</w:t>
      </w:r>
      <w:proofErr w:type="spellEnd"/>
      <w:r w:rsidRPr="009316E0">
        <w:rPr>
          <w:rFonts w:asciiTheme="minorHAnsi" w:hAnsiTheme="minorHAnsi" w:cstheme="minorHAnsi"/>
          <w:sz w:val="18"/>
          <w:szCs w:val="18"/>
        </w:rPr>
        <w:t xml:space="preserve">; and </w:t>
      </w:r>
      <w:proofErr w:type="spellStart"/>
      <w:r w:rsidRPr="009316E0">
        <w:rPr>
          <w:rFonts w:asciiTheme="minorHAnsi" w:hAnsiTheme="minorHAnsi" w:cstheme="minorHAnsi"/>
          <w:sz w:val="18"/>
          <w:szCs w:val="18"/>
        </w:rPr>
        <w:t>Elgowainy</w:t>
      </w:r>
      <w:proofErr w:type="spellEnd"/>
      <w:r w:rsidRPr="009316E0">
        <w:rPr>
          <w:rFonts w:asciiTheme="minorHAnsi" w:hAnsiTheme="minorHAnsi" w:cstheme="minorHAnsi"/>
          <w:sz w:val="18"/>
          <w:szCs w:val="18"/>
        </w:rPr>
        <w:t>, A., et al. (2012). Life-cycle analysis of alternative aviation fuels in GREET, Argonne National Laboratory (ANL)</w:t>
      </w:r>
    </w:p>
  </w:footnote>
  <w:footnote w:id="66">
    <w:p w14:paraId="66E9F952" w14:textId="36FDC8F9" w:rsidR="00E55948" w:rsidRPr="009316E0" w:rsidRDefault="00E55948" w:rsidP="00E55948">
      <w:pPr>
        <w:pStyle w:val="EndnoteText"/>
        <w:jc w:val="left"/>
        <w:rPr>
          <w:rFonts w:asciiTheme="minorHAnsi" w:hAnsiTheme="minorHAnsi" w:cstheme="minorHAnsi"/>
          <w:sz w:val="18"/>
          <w:szCs w:val="18"/>
          <w:lang w:val="en-US"/>
        </w:rPr>
      </w:pPr>
      <w:r>
        <w:rPr>
          <w:rStyle w:val="FootnoteReference"/>
        </w:rPr>
        <w:footnoteRef/>
      </w:r>
      <w:r>
        <w:t xml:space="preserve"> </w:t>
      </w:r>
      <w:r w:rsidRPr="009316E0">
        <w:rPr>
          <w:rFonts w:asciiTheme="minorHAnsi" w:hAnsiTheme="minorHAnsi" w:cstheme="minorHAnsi"/>
          <w:sz w:val="18"/>
          <w:szCs w:val="18"/>
        </w:rPr>
        <w:t xml:space="preserve">Emissions Testing of Gas-Powered Commercial Vehicles.  </w:t>
      </w:r>
      <w:proofErr w:type="spellStart"/>
      <w:r w:rsidRPr="009316E0">
        <w:rPr>
          <w:rFonts w:asciiTheme="minorHAnsi" w:hAnsiTheme="minorHAnsi" w:cstheme="minorHAnsi"/>
          <w:sz w:val="18"/>
          <w:szCs w:val="18"/>
        </w:rPr>
        <w:t>LowCVP</w:t>
      </w:r>
      <w:proofErr w:type="spellEnd"/>
      <w:r w:rsidRPr="009316E0">
        <w:rPr>
          <w:rFonts w:asciiTheme="minorHAnsi" w:hAnsiTheme="minorHAnsi" w:cstheme="minorHAnsi"/>
          <w:sz w:val="18"/>
          <w:szCs w:val="18"/>
        </w:rPr>
        <w:t xml:space="preserve">, </w:t>
      </w:r>
      <w:r>
        <w:rPr>
          <w:rFonts w:asciiTheme="minorHAnsi" w:hAnsiTheme="minorHAnsi" w:cstheme="minorHAnsi"/>
          <w:sz w:val="18"/>
          <w:szCs w:val="18"/>
        </w:rPr>
        <w:t xml:space="preserve">(2017) </w:t>
      </w:r>
      <w:r w:rsidRPr="009316E0">
        <w:rPr>
          <w:rFonts w:asciiTheme="minorHAnsi" w:hAnsiTheme="minorHAnsi" w:cstheme="minorHAnsi"/>
          <w:sz w:val="18"/>
          <w:szCs w:val="18"/>
        </w:rPr>
        <w:t>2017.</w:t>
      </w:r>
      <w:hyperlink r:id="rId61" w:history="1">
        <w:r w:rsidRPr="009316E0">
          <w:rPr>
            <w:rStyle w:val="Hyperlink"/>
            <w:rFonts w:asciiTheme="minorHAnsi" w:hAnsiTheme="minorHAnsi" w:cstheme="minorHAnsi"/>
            <w:sz w:val="18"/>
            <w:szCs w:val="18"/>
          </w:rPr>
          <w:t>https://www.gov.uk/government/uploads/system/uploads/attachment_data/file/581859/emissio ns-testing-of-gas-powered-commercial-vehicles.pdf</w:t>
        </w:r>
      </w:hyperlink>
    </w:p>
    <w:p w14:paraId="5F59B8B4" w14:textId="390EA96A" w:rsidR="00E55948" w:rsidRDefault="00E55948">
      <w:pPr>
        <w:pStyle w:val="FootnoteText"/>
      </w:pPr>
    </w:p>
  </w:footnote>
  <w:footnote w:id="67">
    <w:p w14:paraId="418E6944" w14:textId="77777777" w:rsidR="00354CAA" w:rsidRPr="009316E0" w:rsidRDefault="00354CAA" w:rsidP="00354CAA">
      <w:pPr>
        <w:pStyle w:val="EndnoteText"/>
        <w:jc w:val="left"/>
        <w:rPr>
          <w:rFonts w:asciiTheme="minorHAnsi" w:hAnsiTheme="minorHAnsi" w:cstheme="minorHAnsi"/>
          <w:sz w:val="18"/>
          <w:szCs w:val="18"/>
          <w:lang w:val="en-US"/>
        </w:rPr>
      </w:pPr>
      <w:r>
        <w:rPr>
          <w:rStyle w:val="FootnoteReference"/>
        </w:rPr>
        <w:footnoteRef/>
      </w:r>
      <w:r>
        <w:t xml:space="preserve"> </w:t>
      </w:r>
      <w:r w:rsidRPr="009316E0">
        <w:rPr>
          <w:rFonts w:asciiTheme="minorHAnsi" w:hAnsiTheme="minorHAnsi" w:cstheme="minorHAnsi"/>
          <w:sz w:val="18"/>
          <w:szCs w:val="18"/>
          <w:lang w:val="en-US"/>
        </w:rPr>
        <w:t xml:space="preserve">Sustainability Reporting for RO, </w:t>
      </w:r>
    </w:p>
    <w:p w14:paraId="3F93E45C" w14:textId="4002B03E" w:rsidR="00BA2E70" w:rsidRPr="00BA2E70" w:rsidRDefault="000077A0" w:rsidP="00354CAA">
      <w:pPr>
        <w:pStyle w:val="EndnoteText"/>
        <w:jc w:val="left"/>
        <w:rPr>
          <w:rFonts w:asciiTheme="minorHAnsi" w:hAnsiTheme="minorHAnsi" w:cstheme="minorHAnsi"/>
          <w:color w:val="0000FF"/>
          <w:sz w:val="18"/>
          <w:szCs w:val="18"/>
          <w:u w:val="single"/>
          <w:lang w:val="en-US"/>
        </w:rPr>
      </w:pPr>
      <w:hyperlink r:id="rId62" w:history="1">
        <w:r w:rsidR="00354CAA" w:rsidRPr="009316E0">
          <w:rPr>
            <w:rStyle w:val="Hyperlink"/>
            <w:rFonts w:asciiTheme="minorHAnsi" w:hAnsiTheme="minorHAnsi" w:cstheme="minorHAnsi"/>
            <w:sz w:val="18"/>
            <w:szCs w:val="18"/>
            <w:lang w:val="en-US"/>
          </w:rPr>
          <w:t>https://www.ofgem.gov.uk/system/files/docs/2018/04/sustainability_reporting_guidance.pdf</w:t>
        </w:r>
      </w:hyperlink>
      <w:r w:rsidR="00354CAA">
        <w:rPr>
          <w:rStyle w:val="Hyperlink"/>
          <w:rFonts w:asciiTheme="minorHAnsi" w:hAnsiTheme="minorHAnsi" w:cstheme="minorHAnsi"/>
          <w:sz w:val="18"/>
          <w:szCs w:val="18"/>
          <w:lang w:val="en-US"/>
        </w:rPr>
        <w:t xml:space="preserve">, </w:t>
      </w:r>
      <w:r w:rsidR="00354CAA">
        <w:rPr>
          <w:rFonts w:asciiTheme="minorHAnsi" w:hAnsiTheme="minorHAnsi" w:cstheme="minorHAnsi"/>
          <w:sz w:val="18"/>
          <w:szCs w:val="18"/>
          <w:lang w:val="en-US"/>
        </w:rPr>
        <w:t xml:space="preserve">, </w:t>
      </w:r>
      <w:r w:rsidR="00354CAA" w:rsidRPr="009316E0">
        <w:rPr>
          <w:rFonts w:asciiTheme="minorHAnsi" w:hAnsiTheme="minorHAnsi" w:cstheme="minorHAnsi"/>
          <w:sz w:val="18"/>
          <w:szCs w:val="18"/>
          <w:lang w:val="en-US"/>
        </w:rPr>
        <w:t xml:space="preserve">RHI Sustainability Guidance; </w:t>
      </w:r>
      <w:hyperlink r:id="rId63" w:history="1">
        <w:r w:rsidR="00354CAA" w:rsidRPr="009316E0">
          <w:rPr>
            <w:rStyle w:val="Hyperlink"/>
            <w:rFonts w:asciiTheme="minorHAnsi" w:hAnsiTheme="minorHAnsi" w:cstheme="minorHAnsi"/>
            <w:sz w:val="18"/>
            <w:szCs w:val="18"/>
            <w:lang w:val="en-US"/>
          </w:rPr>
          <w:t>https://www.ofgem.gov.uk/system/files/docs/2018/05/sustainability_audit_guidance.pdf</w:t>
        </w:r>
      </w:hyperlink>
      <w:r w:rsidR="00BA2E70">
        <w:rPr>
          <w:rStyle w:val="Hyperlink"/>
          <w:rFonts w:asciiTheme="minorHAnsi" w:hAnsiTheme="minorHAnsi" w:cstheme="minorHAnsi"/>
          <w:sz w:val="18"/>
          <w:szCs w:val="18"/>
          <w:lang w:val="en-US"/>
        </w:rPr>
        <w:t xml:space="preserve">, </w:t>
      </w:r>
      <w:r w:rsidR="00BA2E70" w:rsidRPr="00BA2E70">
        <w:t xml:space="preserve">LCCC CfD Sustainability Criteria Guidance, </w:t>
      </w:r>
      <w:hyperlink r:id="rId64" w:history="1">
        <w:r w:rsidR="00BA2E70" w:rsidRPr="00EF0B13">
          <w:rPr>
            <w:rStyle w:val="Hyperlink"/>
          </w:rPr>
          <w:t>https://www.lowcarboncontracts.uk/publications/lccc-sustainability-criteria-guidance</w:t>
        </w:r>
      </w:hyperlink>
      <w:r w:rsidR="00BA2E70">
        <w:t xml:space="preserve"> </w:t>
      </w:r>
    </w:p>
  </w:footnote>
  <w:footnote w:id="68">
    <w:p w14:paraId="51DC4626" w14:textId="44788C54" w:rsidR="00354CAA" w:rsidRPr="00354CAA" w:rsidRDefault="00354CAA">
      <w:pPr>
        <w:pStyle w:val="FootnoteText"/>
        <w:rPr>
          <w:rFonts w:asciiTheme="minorHAnsi" w:hAnsiTheme="minorHAnsi" w:cstheme="minorHAnsi"/>
          <w:color w:val="0000FF"/>
          <w:sz w:val="18"/>
          <w:szCs w:val="18"/>
          <w:u w:val="single"/>
          <w:lang w:val="en-US"/>
        </w:rPr>
      </w:pPr>
      <w:r>
        <w:rPr>
          <w:rStyle w:val="FootnoteReference"/>
        </w:rPr>
        <w:footnoteRef/>
      </w:r>
      <w:r>
        <w:t xml:space="preserve"> </w:t>
      </w:r>
      <w:r w:rsidRPr="009316E0">
        <w:rPr>
          <w:rFonts w:asciiTheme="minorHAnsi" w:hAnsiTheme="minorHAnsi" w:cstheme="minorHAnsi"/>
          <w:sz w:val="18"/>
          <w:szCs w:val="18"/>
          <w:lang w:val="en-US"/>
        </w:rPr>
        <w:t xml:space="preserve">BEIS </w:t>
      </w:r>
      <w:proofErr w:type="spellStart"/>
      <w:r w:rsidRPr="009316E0">
        <w:rPr>
          <w:rFonts w:asciiTheme="minorHAnsi" w:hAnsiTheme="minorHAnsi" w:cstheme="minorHAnsi"/>
          <w:sz w:val="18"/>
          <w:szCs w:val="18"/>
          <w:lang w:val="en-US"/>
        </w:rPr>
        <w:t>Woodfuel</w:t>
      </w:r>
      <w:proofErr w:type="spellEnd"/>
      <w:r w:rsidRPr="009316E0">
        <w:rPr>
          <w:rFonts w:asciiTheme="minorHAnsi" w:hAnsiTheme="minorHAnsi" w:cstheme="minorHAnsi"/>
          <w:sz w:val="18"/>
          <w:szCs w:val="18"/>
          <w:lang w:val="en-US"/>
        </w:rPr>
        <w:t xml:space="preserve"> Advice Note, 2017, </w:t>
      </w:r>
      <w:hyperlink r:id="rId65" w:history="1">
        <w:r w:rsidRPr="009316E0">
          <w:rPr>
            <w:rStyle w:val="Hyperlink"/>
            <w:rFonts w:asciiTheme="minorHAnsi" w:hAnsiTheme="minorHAnsi" w:cstheme="minorHAnsi"/>
            <w:sz w:val="18"/>
            <w:szCs w:val="18"/>
            <w:lang w:val="en-US"/>
          </w:rPr>
          <w:t>https://assets.publishing.service.gov.uk/government/uploads/system/uploads/attachment_data/file/594136/Woodfuel_Advice_Note_v2_Feb2017.pdf</w:t>
        </w:r>
      </w:hyperlink>
      <w:r>
        <w:rPr>
          <w:rStyle w:val="Hyperlink"/>
          <w:rFonts w:asciiTheme="minorHAnsi" w:hAnsiTheme="minorHAnsi" w:cstheme="minorHAnsi"/>
          <w:sz w:val="18"/>
          <w:szCs w:val="18"/>
          <w:lang w:val="en-US"/>
        </w:rPr>
        <w:t xml:space="preserve"> </w:t>
      </w:r>
      <w:r w:rsidRPr="00354CAA">
        <w:t xml:space="preserve">and DECC (2014) Timber Standard for Heat &amp; Electricity, </w:t>
      </w:r>
      <w:hyperlink r:id="rId66" w:history="1">
        <w:r w:rsidRPr="00EF0B13">
          <w:rPr>
            <w:rStyle w:val="Hyperlink"/>
          </w:rPr>
          <w:t>https://www.gov.uk/government/publications/timber-standard-for-heat-electricity</w:t>
        </w:r>
      </w:hyperlink>
      <w:r>
        <w:t xml:space="preserve"> </w:t>
      </w:r>
    </w:p>
  </w:footnote>
  <w:footnote w:id="69">
    <w:p w14:paraId="6A3BF84F" w14:textId="7A706367" w:rsidR="00354CAA" w:rsidRDefault="00354CAA">
      <w:pPr>
        <w:pStyle w:val="FootnoteText"/>
      </w:pPr>
      <w:r>
        <w:rPr>
          <w:rStyle w:val="FootnoteReference"/>
        </w:rPr>
        <w:footnoteRef/>
      </w:r>
      <w:r>
        <w:t xml:space="preserve"> </w:t>
      </w:r>
      <w:proofErr w:type="spellStart"/>
      <w:r>
        <w:t>DfT</w:t>
      </w:r>
      <w:proofErr w:type="spellEnd"/>
      <w:r>
        <w:t xml:space="preserve"> (2021) </w:t>
      </w:r>
      <w:r w:rsidRPr="00354CAA">
        <w:t>Renewable Transport Fuel Obligation Guidance Part Two Carbon and Sustainability2021: 01/01/21 to 31/12/2021</w:t>
      </w:r>
      <w:r>
        <w:t xml:space="preserve">, </w:t>
      </w:r>
      <w:hyperlink r:id="rId67" w:history="1">
        <w:r w:rsidRPr="00EF0B13">
          <w:rPr>
            <w:rStyle w:val="Hyperlink"/>
          </w:rPr>
          <w:t>https://www.gov.uk/government/publications/renewable-transport-fuel-obligation-rtfo-guidance-2021</w:t>
        </w:r>
      </w:hyperlink>
      <w:r>
        <w:t xml:space="preserve"> </w:t>
      </w:r>
    </w:p>
  </w:footnote>
  <w:footnote w:id="70">
    <w:p w14:paraId="24610BB5" w14:textId="681BB846" w:rsidR="00BA2E70" w:rsidRDefault="00BA2E70">
      <w:pPr>
        <w:pStyle w:val="FootnoteText"/>
      </w:pPr>
      <w:r>
        <w:rPr>
          <w:rStyle w:val="FootnoteReference"/>
        </w:rPr>
        <w:footnoteRef/>
      </w:r>
      <w:r>
        <w:t xml:space="preserve"> European Commission (2021) </w:t>
      </w:r>
      <w:r w:rsidR="007C2C1C" w:rsidRPr="007C2C1C">
        <w:t>Renewable Energy Directive – guidance on the sustainability criteria for forest biomass used in energy production</w:t>
      </w:r>
      <w:r w:rsidR="007C2C1C">
        <w:t xml:space="preserve"> </w:t>
      </w:r>
      <w:hyperlink r:id="rId68" w:history="1">
        <w:r w:rsidR="007C2C1C" w:rsidRPr="00EF0B13">
          <w:rPr>
            <w:rStyle w:val="Hyperlink"/>
          </w:rPr>
          <w:t>https://ec.europa.eu/info/law/better-regulation/have-your-say/initiatives/12943-Renewable-Energy-Directive-guidance-on-the-sustainability-criteria-for-forest-biomass-used-in-energy-production_en</w:t>
        </w:r>
      </w:hyperlink>
      <w:r w:rsidR="007C2C1C">
        <w:t xml:space="preserve"> </w:t>
      </w:r>
    </w:p>
  </w:footnote>
  <w:footnote w:id="71">
    <w:p w14:paraId="0CAE8418" w14:textId="5D52C76E" w:rsidR="00487F88" w:rsidRDefault="00487F88">
      <w:pPr>
        <w:pStyle w:val="FootnoteText"/>
      </w:pPr>
      <w:r>
        <w:rPr>
          <w:rStyle w:val="FootnoteReference"/>
        </w:rPr>
        <w:footnoteRef/>
      </w:r>
      <w:r>
        <w:t xml:space="preserve"> JRC (2021) </w:t>
      </w:r>
      <w:r w:rsidRPr="00487F88">
        <w:t>The use of woody biomass for energy production in the EU</w:t>
      </w:r>
      <w:r>
        <w:t xml:space="preserve">, </w:t>
      </w:r>
      <w:hyperlink r:id="rId69" w:history="1">
        <w:r w:rsidRPr="00E37F40">
          <w:rPr>
            <w:rStyle w:val="Hyperlink"/>
          </w:rPr>
          <w:t>https://publications.jrc.ec.europa.eu/repository/handle/JRC122719</w:t>
        </w:r>
      </w:hyperlink>
      <w:r>
        <w:t xml:space="preserve"> </w:t>
      </w:r>
    </w:p>
  </w:footnote>
  <w:footnote w:id="72">
    <w:p w14:paraId="16B04654" w14:textId="74347DA6" w:rsidR="008032E1" w:rsidRDefault="008032E1">
      <w:pPr>
        <w:pStyle w:val="FootnoteText"/>
      </w:pPr>
      <w:r>
        <w:rPr>
          <w:rStyle w:val="FootnoteReference"/>
        </w:rPr>
        <w:footnoteRef/>
      </w:r>
      <w:r>
        <w:t xml:space="preserve"> </w:t>
      </w:r>
      <w:r w:rsidRPr="009316E0">
        <w:rPr>
          <w:rFonts w:asciiTheme="minorHAnsi" w:hAnsiTheme="minorHAnsi" w:cstheme="minorHAnsi"/>
          <w:sz w:val="18"/>
          <w:szCs w:val="18"/>
        </w:rPr>
        <w:t>(</w:t>
      </w:r>
      <w:r w:rsidRPr="00742E91">
        <w:rPr>
          <w:rFonts w:asciiTheme="minorHAnsi" w:hAnsiTheme="minorHAnsi" w:cstheme="minorHAnsi"/>
          <w:sz w:val="18"/>
          <w:szCs w:val="18"/>
          <w:highlight w:val="yellow"/>
        </w:rPr>
        <w:t>European Commission, 2016a). European Commission (2016a), Proposal for Directive on Renewable Energy, Annexe 5, European Commission, Brussels.</w:t>
      </w:r>
    </w:p>
  </w:footnote>
  <w:footnote w:id="73">
    <w:p w14:paraId="09BA1BEE" w14:textId="7F1CF6FD" w:rsidR="00BA0D24" w:rsidRPr="00387796" w:rsidRDefault="00BA0D24">
      <w:pPr>
        <w:pStyle w:val="FootnoteText"/>
        <w:rPr>
          <w:rFonts w:asciiTheme="minorHAnsi" w:hAnsiTheme="minorHAnsi" w:cstheme="minorHAnsi"/>
        </w:rPr>
      </w:pPr>
      <w:r>
        <w:rPr>
          <w:rStyle w:val="FootnoteReference"/>
        </w:rPr>
        <w:footnoteRef/>
      </w:r>
      <w:r>
        <w:t xml:space="preserve"> </w:t>
      </w:r>
      <w:r w:rsidRPr="000514EB">
        <w:rPr>
          <w:rFonts w:asciiTheme="minorHAnsi" w:hAnsiTheme="minorHAnsi" w:cstheme="minorHAnsi"/>
        </w:rPr>
        <w:t xml:space="preserve">REA (2019) REA Bioenergy Strategy, </w:t>
      </w:r>
      <w:hyperlink r:id="rId70" w:history="1">
        <w:r w:rsidRPr="000514EB">
          <w:rPr>
            <w:rStyle w:val="Hyperlink"/>
            <w:rFonts w:asciiTheme="minorHAnsi" w:hAnsiTheme="minorHAnsi" w:cstheme="minorHAnsi"/>
          </w:rPr>
          <w:t>https://www.r-e-a.net/resources/bioenergy-strategy-phase-3/</w:t>
        </w:r>
      </w:hyperlink>
      <w:r w:rsidRPr="000514EB">
        <w:rPr>
          <w:rFonts w:asciiTheme="minorHAnsi" w:hAnsiTheme="minorHAnsi" w:cstheme="minorHAnsi"/>
        </w:rPr>
        <w:t xml:space="preserve"> </w:t>
      </w:r>
    </w:p>
  </w:footnote>
  <w:footnote w:id="74">
    <w:p w14:paraId="491B4C9D" w14:textId="2BA7E7D8" w:rsidR="00387796" w:rsidRDefault="00387796">
      <w:pPr>
        <w:pStyle w:val="FootnoteText"/>
      </w:pPr>
      <w:r>
        <w:rPr>
          <w:rStyle w:val="FootnoteReference"/>
        </w:rPr>
        <w:footnoteRef/>
      </w:r>
      <w:r>
        <w:t xml:space="preserve"> Biomass Suppliers List (2020) Land Criteria Guidance, </w:t>
      </w:r>
      <w:hyperlink r:id="rId71" w:history="1">
        <w:r w:rsidRPr="00CC1CC6">
          <w:rPr>
            <w:rStyle w:val="Hyperlink"/>
          </w:rPr>
          <w:t>https://biomass-suppliers-list.service.gov.uk/Content/Documents/BSL%20Land%20Criteria%20Guidance%20-%20V2.0.pdf</w:t>
        </w:r>
      </w:hyperlink>
      <w:r>
        <w:t xml:space="preserve"> </w:t>
      </w:r>
    </w:p>
  </w:footnote>
  <w:footnote w:id="75">
    <w:p w14:paraId="5F894BC1" w14:textId="712ECE29" w:rsidR="00387796" w:rsidRDefault="00387796">
      <w:pPr>
        <w:pStyle w:val="FootnoteText"/>
      </w:pPr>
      <w:r>
        <w:rPr>
          <w:rStyle w:val="FootnoteReference"/>
        </w:rPr>
        <w:footnoteRef/>
      </w:r>
      <w:r>
        <w:t xml:space="preserve"> Sustainable Fuel Register (2019) SFR Guidance Notes – Section 7 “Land Criteria” </w:t>
      </w:r>
      <w:hyperlink r:id="rId72" w:history="1">
        <w:r w:rsidRPr="00CC1CC6">
          <w:rPr>
            <w:rStyle w:val="Hyperlink"/>
          </w:rPr>
          <w:t>https://www.sfregister.org/sites/default/files/sfr-guidance-notes-v1.6.pdf</w:t>
        </w:r>
      </w:hyperlink>
      <w:r>
        <w:t xml:space="preserve"> </w:t>
      </w:r>
    </w:p>
  </w:footnote>
  <w:footnote w:id="76">
    <w:p w14:paraId="7CDF7824" w14:textId="1264E0BF" w:rsidR="006A448A" w:rsidRPr="00D33A58" w:rsidRDefault="006A448A" w:rsidP="00D33A58">
      <w:pPr>
        <w:pStyle w:val="EndnoteText"/>
        <w:jc w:val="left"/>
        <w:rPr>
          <w:rFonts w:asciiTheme="minorHAnsi" w:hAnsiTheme="minorHAnsi" w:cstheme="minorHAnsi"/>
          <w:sz w:val="18"/>
          <w:szCs w:val="18"/>
          <w:lang w:val="en-US"/>
        </w:rPr>
      </w:pPr>
      <w:r>
        <w:rPr>
          <w:rStyle w:val="FootnoteReference"/>
        </w:rPr>
        <w:footnoteRef/>
      </w:r>
      <w:r>
        <w:t xml:space="preserve"> </w:t>
      </w:r>
      <w:r w:rsidRPr="009316E0">
        <w:rPr>
          <w:rFonts w:asciiTheme="minorHAnsi" w:hAnsiTheme="minorHAnsi" w:cstheme="minorHAnsi"/>
          <w:sz w:val="18"/>
          <w:szCs w:val="18"/>
        </w:rPr>
        <w:t xml:space="preserve">European Commission  Regulation No 1307/2014 of 8 December 2014 on defining the criteria and geographic ranges of highly biodiverse grassland for the purposes of Article 7b(3)(c) of Directive 98/70/EC of the European Parliament and of the Council relating to the quality of petrol and diesel fuels and Article 17(3)(c) of Directive 2009/28/EC of the European Parliament and of the Council on the promotion of the use of energy from renewable sources  </w:t>
      </w:r>
      <w:hyperlink r:id="rId73" w:history="1">
        <w:r w:rsidRPr="009316E0">
          <w:rPr>
            <w:rStyle w:val="Hyperlink"/>
            <w:rFonts w:asciiTheme="minorHAnsi" w:hAnsiTheme="minorHAnsi" w:cstheme="minorHAnsi"/>
            <w:sz w:val="18"/>
            <w:szCs w:val="18"/>
          </w:rPr>
          <w:t>https://eur-lex.europa.eu/legal-content/EN/TXT/PDF/?uri=OJ:JOL_2014_351_R_0002</w:t>
        </w:r>
      </w:hyperlink>
    </w:p>
  </w:footnote>
  <w:footnote w:id="77">
    <w:p w14:paraId="4D75941C" w14:textId="77777777" w:rsidR="00850032" w:rsidRPr="00220257" w:rsidRDefault="00850032" w:rsidP="00850032">
      <w:pPr>
        <w:pStyle w:val="FootnoteText"/>
        <w:rPr>
          <w:rFonts w:ascii="Open Sans" w:hAnsi="Open Sans" w:cs="Open Sans"/>
          <w:sz w:val="18"/>
          <w:szCs w:val="18"/>
        </w:rPr>
      </w:pPr>
      <w:r w:rsidRPr="00220257">
        <w:rPr>
          <w:rStyle w:val="FootnoteReference"/>
          <w:rFonts w:ascii="Open Sans" w:hAnsi="Open Sans" w:cs="Open Sans"/>
          <w:sz w:val="18"/>
          <w:szCs w:val="18"/>
        </w:rPr>
        <w:footnoteRef/>
      </w:r>
      <w:r w:rsidRPr="00220257">
        <w:rPr>
          <w:rFonts w:ascii="Open Sans" w:hAnsi="Open Sans" w:cs="Open Sans"/>
          <w:sz w:val="18"/>
          <w:szCs w:val="18"/>
        </w:rPr>
        <w:t xml:space="preserve"> US Forest Service (2020) Forestry Inventory and Analysis, </w:t>
      </w:r>
      <w:hyperlink r:id="rId74" w:history="1">
        <w:r w:rsidRPr="00220257">
          <w:rPr>
            <w:rStyle w:val="Hyperlink"/>
            <w:rFonts w:ascii="Open Sans" w:hAnsi="Open Sans" w:cs="Open Sans"/>
            <w:sz w:val="18"/>
            <w:szCs w:val="18"/>
          </w:rPr>
          <w:t>https://www.fia.fs.fed.us/</w:t>
        </w:r>
      </w:hyperlink>
      <w:r w:rsidRPr="00220257">
        <w:rPr>
          <w:rFonts w:ascii="Open Sans" w:hAnsi="Open Sans" w:cs="Open Sans"/>
          <w:sz w:val="18"/>
          <w:szCs w:val="18"/>
        </w:rPr>
        <w:t xml:space="preserve"> </w:t>
      </w:r>
    </w:p>
  </w:footnote>
  <w:footnote w:id="78">
    <w:p w14:paraId="6F9DDA06" w14:textId="590880BC" w:rsidR="00F634FF" w:rsidRDefault="00F634FF">
      <w:pPr>
        <w:pStyle w:val="FootnoteText"/>
      </w:pPr>
      <w:r>
        <w:rPr>
          <w:rStyle w:val="FootnoteReference"/>
        </w:rPr>
        <w:footnoteRef/>
      </w:r>
      <w:r>
        <w:t xml:space="preserve"> </w:t>
      </w:r>
      <w:r w:rsidRPr="006923DA">
        <w:rPr>
          <w:sz w:val="16"/>
          <w:szCs w:val="16"/>
        </w:rPr>
        <w:t xml:space="preserve">Sustainability guidelines and forest market response: an assessment of EU pellet demand in the south-eastern United States, </w:t>
      </w:r>
      <w:proofErr w:type="spellStart"/>
      <w:r w:rsidRPr="006923DA">
        <w:rPr>
          <w:sz w:val="16"/>
          <w:szCs w:val="16"/>
        </w:rPr>
        <w:t>Galik</w:t>
      </w:r>
      <w:proofErr w:type="spellEnd"/>
      <w:r w:rsidRPr="006923DA">
        <w:rPr>
          <w:sz w:val="16"/>
          <w:szCs w:val="16"/>
        </w:rPr>
        <w:t xml:space="preserve">, CS and ABT RC 2016. Available here: </w:t>
      </w:r>
      <w:hyperlink r:id="rId75" w:history="1">
        <w:r w:rsidRPr="006923DA">
          <w:rPr>
            <w:rStyle w:val="Hyperlink"/>
          </w:rPr>
          <w:t>https://onlinelibrary.wiley.com/doi/epdf/10.1111/gcbb.12273</w:t>
        </w:r>
      </w:hyperlink>
    </w:p>
  </w:footnote>
  <w:footnote w:id="79">
    <w:p w14:paraId="32BFD87B" w14:textId="77777777" w:rsidR="00850032" w:rsidRPr="008B6196" w:rsidRDefault="00850032" w:rsidP="00850032">
      <w:pPr>
        <w:pStyle w:val="FootnoteText"/>
        <w:rPr>
          <w:rFonts w:ascii="Open Sans" w:hAnsi="Open Sans" w:cs="Open Sans"/>
          <w:sz w:val="16"/>
          <w:szCs w:val="16"/>
        </w:rPr>
      </w:pPr>
      <w:r w:rsidRPr="008B6196">
        <w:rPr>
          <w:rStyle w:val="FootnoteReference"/>
          <w:rFonts w:ascii="Open Sans" w:hAnsi="Open Sans" w:cs="Open Sans"/>
          <w:sz w:val="16"/>
          <w:szCs w:val="16"/>
        </w:rPr>
        <w:footnoteRef/>
      </w:r>
      <w:r w:rsidRPr="008B6196">
        <w:rPr>
          <w:rFonts w:ascii="Open Sans" w:hAnsi="Open Sans" w:cs="Open Sans"/>
          <w:sz w:val="16"/>
          <w:szCs w:val="16"/>
        </w:rPr>
        <w:t xml:space="preserve"> Status and Prospects for renewable energy using wood pellets from the south-eastern United States. Dale, V et al 2017. Available here: </w:t>
      </w:r>
      <w:hyperlink r:id="rId76" w:history="1">
        <w:r w:rsidRPr="008B6196">
          <w:rPr>
            <w:rStyle w:val="Hyperlink"/>
            <w:rFonts w:ascii="Open Sans" w:hAnsi="Open Sans" w:cs="Open Sans"/>
            <w:sz w:val="16"/>
            <w:szCs w:val="16"/>
          </w:rPr>
          <w:t>https://onlinelibrary.wiley.com/doi/full/10.1111/gcbb.12445</w:t>
        </w:r>
      </w:hyperlink>
      <w:r w:rsidRPr="008B6196">
        <w:rPr>
          <w:rFonts w:ascii="Open Sans" w:hAnsi="Open Sans" w:cs="Open Sans"/>
          <w:sz w:val="16"/>
          <w:szCs w:val="16"/>
        </w:rPr>
        <w:t xml:space="preserve"> </w:t>
      </w:r>
    </w:p>
  </w:footnote>
  <w:footnote w:id="80">
    <w:p w14:paraId="3A1EDF9C" w14:textId="5455866B" w:rsidR="00265A3D" w:rsidRPr="008B6196" w:rsidRDefault="00265A3D">
      <w:pPr>
        <w:pStyle w:val="FootnoteText"/>
        <w:rPr>
          <w:rFonts w:ascii="Open Sans" w:hAnsi="Open Sans" w:cs="Open Sans"/>
          <w:sz w:val="18"/>
          <w:szCs w:val="18"/>
        </w:rPr>
      </w:pPr>
      <w:r w:rsidRPr="008B6196">
        <w:rPr>
          <w:rStyle w:val="FootnoteReference"/>
          <w:rFonts w:ascii="Open Sans" w:hAnsi="Open Sans" w:cs="Open Sans"/>
          <w:sz w:val="18"/>
          <w:szCs w:val="18"/>
        </w:rPr>
        <w:footnoteRef/>
      </w:r>
      <w:r w:rsidRPr="008B6196">
        <w:rPr>
          <w:rFonts w:ascii="Open Sans" w:hAnsi="Open Sans" w:cs="Open Sans"/>
          <w:sz w:val="18"/>
          <w:szCs w:val="18"/>
        </w:rPr>
        <w:t xml:space="preserve"> </w:t>
      </w:r>
      <w:r w:rsidRPr="008B6196">
        <w:rPr>
          <w:rFonts w:ascii="Open Sans" w:hAnsi="Open Sans" w:cs="Open Sans"/>
          <w:sz w:val="14"/>
          <w:szCs w:val="14"/>
        </w:rPr>
        <w:t xml:space="preserve">Drax Group Catchment Area Analysis, US South’s biomass sourcing areas analysed. Available here: </w:t>
      </w:r>
      <w:hyperlink r:id="rId77" w:anchor="chapter-1" w:history="1">
        <w:r w:rsidRPr="008B6196">
          <w:rPr>
            <w:rStyle w:val="Hyperlink"/>
            <w:rFonts w:ascii="Open Sans" w:hAnsi="Open Sans" w:cs="Open Sans"/>
            <w:sz w:val="18"/>
            <w:szCs w:val="18"/>
          </w:rPr>
          <w:t>https://www.drax.com/sustainable-bioenergy/the-us-souths-biomass-sourcing-areas-analysed/#chapter-1</w:t>
        </w:r>
      </w:hyperlink>
    </w:p>
  </w:footnote>
  <w:footnote w:id="81">
    <w:p w14:paraId="34B34DA0" w14:textId="094895E8" w:rsidR="00265A3D" w:rsidRPr="008B6196" w:rsidRDefault="00265A3D">
      <w:pPr>
        <w:pStyle w:val="FootnoteText"/>
        <w:rPr>
          <w:rFonts w:ascii="Open Sans" w:hAnsi="Open Sans" w:cs="Open Sans"/>
          <w:sz w:val="18"/>
          <w:szCs w:val="18"/>
        </w:rPr>
      </w:pPr>
      <w:r w:rsidRPr="008B6196">
        <w:rPr>
          <w:rStyle w:val="FootnoteReference"/>
          <w:rFonts w:ascii="Open Sans" w:hAnsi="Open Sans" w:cs="Open Sans"/>
          <w:sz w:val="18"/>
          <w:szCs w:val="18"/>
        </w:rPr>
        <w:footnoteRef/>
      </w:r>
      <w:r w:rsidRPr="008B6196">
        <w:rPr>
          <w:rFonts w:ascii="Open Sans" w:hAnsi="Open Sans" w:cs="Open Sans"/>
          <w:sz w:val="18"/>
          <w:szCs w:val="18"/>
        </w:rPr>
        <w:t xml:space="preserve"> </w:t>
      </w:r>
      <w:r w:rsidRPr="008B6196">
        <w:rPr>
          <w:rFonts w:ascii="Open Sans" w:hAnsi="Open Sans" w:cs="Open Sans"/>
          <w:sz w:val="14"/>
          <w:szCs w:val="14"/>
        </w:rPr>
        <w:t xml:space="preserve">Forest2Market Historical Perspective on the Relationship between Demand and Forest Productivity in the US South, Jefferies H et al, 2017. Available here: </w:t>
      </w:r>
      <w:hyperlink r:id="rId78" w:history="1">
        <w:r w:rsidRPr="008B6196">
          <w:rPr>
            <w:rStyle w:val="Hyperlink"/>
            <w:rFonts w:ascii="Open Sans" w:hAnsi="Open Sans" w:cs="Open Sans"/>
            <w:sz w:val="18"/>
            <w:szCs w:val="18"/>
          </w:rPr>
          <w:t>https://www.forest2market.com/hubfs/2016_Website/Documents/20170726_Forest2Market_Historical_Perspective_US_South.pdf</w:t>
        </w:r>
      </w:hyperlink>
    </w:p>
  </w:footnote>
  <w:footnote w:id="82">
    <w:p w14:paraId="6185F2E9" w14:textId="3CA18FAE" w:rsidR="00265A3D" w:rsidRPr="008B6196" w:rsidRDefault="00265A3D">
      <w:pPr>
        <w:pStyle w:val="FootnoteText"/>
        <w:rPr>
          <w:rFonts w:ascii="Open Sans" w:hAnsi="Open Sans" w:cs="Open Sans"/>
          <w:sz w:val="18"/>
          <w:szCs w:val="18"/>
        </w:rPr>
      </w:pPr>
      <w:r w:rsidRPr="008B6196">
        <w:rPr>
          <w:rStyle w:val="FootnoteReference"/>
          <w:rFonts w:ascii="Open Sans" w:hAnsi="Open Sans" w:cs="Open Sans"/>
          <w:sz w:val="18"/>
          <w:szCs w:val="18"/>
        </w:rPr>
        <w:footnoteRef/>
      </w:r>
      <w:r w:rsidRPr="008B6196">
        <w:rPr>
          <w:rFonts w:ascii="Open Sans" w:hAnsi="Open Sans" w:cs="Open Sans"/>
          <w:sz w:val="18"/>
          <w:szCs w:val="18"/>
        </w:rPr>
        <w:t xml:space="preserve"> </w:t>
      </w:r>
      <w:r w:rsidR="002F63D9" w:rsidRPr="008B6196">
        <w:rPr>
          <w:rStyle w:val="Hyperlink"/>
          <w:rFonts w:ascii="Open Sans" w:hAnsi="Open Sans" w:cs="Open Sans"/>
          <w:color w:val="auto"/>
          <w:sz w:val="18"/>
          <w:szCs w:val="18"/>
          <w:u w:val="none"/>
        </w:rPr>
        <w:t xml:space="preserve">Forestry Commission (2020) </w:t>
      </w:r>
      <w:r w:rsidR="002F63D9" w:rsidRPr="008B6196">
        <w:rPr>
          <w:rStyle w:val="Hyperlink"/>
          <w:rFonts w:ascii="Open Sans" w:hAnsi="Open Sans" w:cs="Open Sans"/>
          <w:i/>
          <w:iCs/>
          <w:color w:val="auto"/>
          <w:sz w:val="18"/>
          <w:szCs w:val="18"/>
          <w:u w:val="none"/>
        </w:rPr>
        <w:t>Forestry Statistics 2020</w:t>
      </w:r>
      <w:r w:rsidR="002F63D9" w:rsidRPr="008B6196">
        <w:rPr>
          <w:rFonts w:ascii="Open Sans" w:hAnsi="Open Sans" w:cs="Open Sans"/>
          <w:sz w:val="18"/>
          <w:szCs w:val="18"/>
        </w:rPr>
        <w:t xml:space="preserve">, </w:t>
      </w:r>
      <w:hyperlink r:id="rId79" w:history="1">
        <w:r w:rsidR="002F63D9" w:rsidRPr="008B6196">
          <w:rPr>
            <w:rStyle w:val="Hyperlink"/>
            <w:rFonts w:ascii="Open Sans" w:hAnsi="Open Sans" w:cs="Open Sans"/>
            <w:sz w:val="18"/>
            <w:szCs w:val="18"/>
          </w:rPr>
          <w:t>https://www.forestresearch.gov.uk/tools-and-resources/statistics/forestry-statistics/</w:t>
        </w:r>
      </w:hyperlink>
    </w:p>
  </w:footnote>
  <w:footnote w:id="83">
    <w:p w14:paraId="1B9860CE" w14:textId="29CE4546" w:rsidR="001F5E53" w:rsidRPr="008B6196" w:rsidRDefault="001F5E53">
      <w:pPr>
        <w:pStyle w:val="FootnoteText"/>
        <w:rPr>
          <w:rFonts w:ascii="Open Sans" w:hAnsi="Open Sans" w:cs="Open Sans"/>
          <w:sz w:val="18"/>
          <w:szCs w:val="18"/>
        </w:rPr>
      </w:pPr>
      <w:r w:rsidRPr="008B6196">
        <w:rPr>
          <w:rStyle w:val="FootnoteReference"/>
          <w:rFonts w:ascii="Open Sans" w:hAnsi="Open Sans" w:cs="Open Sans"/>
          <w:sz w:val="18"/>
          <w:szCs w:val="18"/>
        </w:rPr>
        <w:footnoteRef/>
      </w:r>
      <w:r w:rsidRPr="008B6196">
        <w:rPr>
          <w:rFonts w:ascii="Open Sans" w:hAnsi="Open Sans" w:cs="Open Sans"/>
          <w:sz w:val="18"/>
          <w:szCs w:val="18"/>
        </w:rPr>
        <w:t xml:space="preserve"> DECC (2014) Life Cycle Impacts of Biomass Electricity in 2020, </w:t>
      </w:r>
      <w:hyperlink r:id="rId80" w:history="1">
        <w:r w:rsidRPr="008B6196">
          <w:rPr>
            <w:rStyle w:val="Hyperlink"/>
            <w:rFonts w:ascii="Open Sans" w:hAnsi="Open Sans" w:cs="Open Sans"/>
            <w:sz w:val="18"/>
            <w:szCs w:val="18"/>
          </w:rPr>
          <w:t>https://assets.publishing.service.gov.uk/government/uploads/system/uploads/attachment_data/file/349024/BEAC_Report_290814.pdf</w:t>
        </w:r>
      </w:hyperlink>
      <w:r w:rsidRPr="008B6196">
        <w:rPr>
          <w:rFonts w:ascii="Open Sans" w:hAnsi="Open Sans" w:cs="Open Sans"/>
          <w:sz w:val="18"/>
          <w:szCs w:val="18"/>
        </w:rPr>
        <w:t xml:space="preserve"> </w:t>
      </w:r>
    </w:p>
  </w:footnote>
  <w:footnote w:id="84">
    <w:p w14:paraId="3B6F94FC" w14:textId="0D66B2D3" w:rsidR="001F5E53" w:rsidRDefault="001F5E53">
      <w:pPr>
        <w:pStyle w:val="FootnoteText"/>
      </w:pPr>
      <w:r w:rsidRPr="008B6196">
        <w:rPr>
          <w:rStyle w:val="FootnoteReference"/>
          <w:rFonts w:ascii="Open Sans" w:hAnsi="Open Sans" w:cs="Open Sans"/>
          <w:sz w:val="18"/>
          <w:szCs w:val="18"/>
        </w:rPr>
        <w:footnoteRef/>
      </w:r>
      <w:r w:rsidRPr="008B6196">
        <w:rPr>
          <w:rFonts w:ascii="Open Sans" w:hAnsi="Open Sans" w:cs="Open Sans"/>
          <w:sz w:val="18"/>
          <w:szCs w:val="18"/>
        </w:rPr>
        <w:t xml:space="preserve"> Ricardo (2016) Use of North American woody biomass in UK electricity generation: Assessment of high carbon biomass fuel sourcing scenarios, </w:t>
      </w:r>
      <w:hyperlink r:id="rId81" w:history="1">
        <w:r w:rsidRPr="008B6196">
          <w:rPr>
            <w:rStyle w:val="Hyperlink"/>
            <w:rFonts w:ascii="Open Sans" w:hAnsi="Open Sans" w:cs="Open Sans"/>
            <w:sz w:val="18"/>
            <w:szCs w:val="18"/>
          </w:rPr>
          <w:t>https://assets.publishing.service.gov.uk/government/uploads/system/uploads/attachment_data/file/600477/PED60674_final_report_270416_Tec_Report_FINAL_v2_AMENDMENTS_ACCEPTED.pdf</w:t>
        </w:r>
      </w:hyperlink>
      <w:r w:rsidRPr="008B6196">
        <w:rPr>
          <w:rFonts w:ascii="Open Sans" w:hAnsi="Open Sans" w:cs="Open Sans"/>
          <w:sz w:val="18"/>
          <w:szCs w:val="18"/>
        </w:rPr>
        <w:t xml:space="preserve"> </w:t>
      </w:r>
    </w:p>
  </w:footnote>
  <w:footnote w:id="85">
    <w:p w14:paraId="2A7E197B" w14:textId="0CE23803" w:rsidR="008F37C4" w:rsidRDefault="008F37C4">
      <w:pPr>
        <w:pStyle w:val="FootnoteText"/>
      </w:pPr>
      <w:r>
        <w:rPr>
          <w:rStyle w:val="FootnoteReference"/>
        </w:rPr>
        <w:footnoteRef/>
      </w:r>
      <w:r>
        <w:t xml:space="preserve"> Cowie, A.L., </w:t>
      </w:r>
      <w:proofErr w:type="spellStart"/>
      <w:r>
        <w:t>Berndes</w:t>
      </w:r>
      <w:proofErr w:type="spellEnd"/>
      <w:r>
        <w:t xml:space="preserve">, G., Bentsen, N.S., </w:t>
      </w:r>
      <w:proofErr w:type="spellStart"/>
      <w:r>
        <w:t>Brandão</w:t>
      </w:r>
      <w:proofErr w:type="spellEnd"/>
      <w:r>
        <w:t xml:space="preserve">, M., Cherubini, F., </w:t>
      </w:r>
      <w:proofErr w:type="spellStart"/>
      <w:r>
        <w:t>Egnell</w:t>
      </w:r>
      <w:proofErr w:type="spellEnd"/>
      <w:r>
        <w:t xml:space="preserve">, G., George, B., Gustavsson, L., </w:t>
      </w:r>
      <w:proofErr w:type="spellStart"/>
      <w:r>
        <w:t>Hanewinkel</w:t>
      </w:r>
      <w:proofErr w:type="spellEnd"/>
      <w:r>
        <w:t xml:space="preserve">, M., Harris, Z.M., </w:t>
      </w:r>
      <w:proofErr w:type="spellStart"/>
      <w:r>
        <w:t>Johnsson</w:t>
      </w:r>
      <w:proofErr w:type="spellEnd"/>
      <w:r>
        <w:t xml:space="preserve">, F., </w:t>
      </w:r>
      <w:proofErr w:type="spellStart"/>
      <w:r>
        <w:t>Junginger</w:t>
      </w:r>
      <w:proofErr w:type="spellEnd"/>
      <w:r>
        <w:t xml:space="preserve">, M., Kline, K.L., </w:t>
      </w:r>
      <w:proofErr w:type="spellStart"/>
      <w:r>
        <w:t>Koponen</w:t>
      </w:r>
      <w:proofErr w:type="spellEnd"/>
      <w:r>
        <w:t xml:space="preserve">, K., </w:t>
      </w:r>
      <w:proofErr w:type="spellStart"/>
      <w:r>
        <w:t>Koppejan</w:t>
      </w:r>
      <w:proofErr w:type="spellEnd"/>
      <w:r>
        <w:t xml:space="preserve">, J., </w:t>
      </w:r>
      <w:proofErr w:type="spellStart"/>
      <w:r>
        <w:t>Kraxner</w:t>
      </w:r>
      <w:proofErr w:type="spellEnd"/>
      <w:r>
        <w:t xml:space="preserve">, F., </w:t>
      </w:r>
      <w:proofErr w:type="spellStart"/>
      <w:r>
        <w:t>Lamers</w:t>
      </w:r>
      <w:proofErr w:type="spellEnd"/>
      <w:r>
        <w:t xml:space="preserve">, P., </w:t>
      </w:r>
      <w:proofErr w:type="spellStart"/>
      <w:r>
        <w:t>Majer</w:t>
      </w:r>
      <w:proofErr w:type="spellEnd"/>
      <w:r>
        <w:t xml:space="preserve">, S., Marland, E., </w:t>
      </w:r>
      <w:proofErr w:type="spellStart"/>
      <w:r>
        <w:t>Nabuurs</w:t>
      </w:r>
      <w:proofErr w:type="spellEnd"/>
      <w:r>
        <w:t xml:space="preserve">, G.-J., </w:t>
      </w:r>
      <w:proofErr w:type="spellStart"/>
      <w:r>
        <w:t>Pelkmans</w:t>
      </w:r>
      <w:proofErr w:type="spellEnd"/>
      <w:r>
        <w:t xml:space="preserve">, L., </w:t>
      </w:r>
      <w:proofErr w:type="spellStart"/>
      <w:r>
        <w:t>Sathre</w:t>
      </w:r>
      <w:proofErr w:type="spellEnd"/>
      <w:r>
        <w:t xml:space="preserve">, R., Schaub, M., Smith, C.T., Jr., </w:t>
      </w:r>
      <w:proofErr w:type="spellStart"/>
      <w:r>
        <w:t>Soimakallio</w:t>
      </w:r>
      <w:proofErr w:type="spellEnd"/>
      <w:r>
        <w:t xml:space="preserve">, S., Van Der </w:t>
      </w:r>
      <w:proofErr w:type="spellStart"/>
      <w:r>
        <w:t>Hilst</w:t>
      </w:r>
      <w:proofErr w:type="spellEnd"/>
      <w:r>
        <w:t xml:space="preserve">, F., Woods, J. and Ximenes, F.A. (2021), </w:t>
      </w:r>
      <w:r w:rsidRPr="008F37C4">
        <w:rPr>
          <w:b/>
          <w:bCs/>
        </w:rPr>
        <w:t>Applying a science-based systems perspective to dispel misconceptions about climate effects of forest bioenergy</w:t>
      </w:r>
      <w:r>
        <w:t xml:space="preserve">. </w:t>
      </w:r>
      <w:r w:rsidRPr="008F37C4">
        <w:rPr>
          <w:i/>
          <w:iCs/>
        </w:rPr>
        <w:t xml:space="preserve">GCB Bioenergy. </w:t>
      </w:r>
      <w:hyperlink r:id="rId82" w:history="1">
        <w:r>
          <w:rPr>
            <w:rStyle w:val="Hyperlink"/>
          </w:rPr>
          <w:t>https://doi.org/10.1111/gcbb.12844</w:t>
        </w:r>
      </w:hyperlink>
    </w:p>
  </w:footnote>
  <w:footnote w:id="86">
    <w:p w14:paraId="2CDEE134" w14:textId="6D7AB607" w:rsidR="00595898" w:rsidRPr="00595898" w:rsidRDefault="00595898">
      <w:pPr>
        <w:pStyle w:val="FootnoteText"/>
        <w:rPr>
          <w:sz w:val="18"/>
          <w:szCs w:val="18"/>
        </w:rPr>
      </w:pPr>
      <w:r>
        <w:rPr>
          <w:rStyle w:val="FootnoteReference"/>
        </w:rPr>
        <w:footnoteRef/>
      </w:r>
      <w:r>
        <w:t xml:space="preserve"> Enviva, Track and Trace </w:t>
      </w:r>
      <w:hyperlink r:id="rId83" w:history="1">
        <w:r w:rsidRPr="00CC1CC6">
          <w:rPr>
            <w:rStyle w:val="Hyperlink"/>
            <w:sz w:val="18"/>
            <w:szCs w:val="18"/>
          </w:rPr>
          <w:t>https://www.envivabiomass.com/sustainability/responsible-sourcing/track-trace/</w:t>
        </w:r>
      </w:hyperlink>
      <w:r>
        <w:rPr>
          <w:sz w:val="18"/>
          <w:szCs w:val="18"/>
        </w:rPr>
        <w:t xml:space="preserve"> </w:t>
      </w:r>
    </w:p>
  </w:footnote>
  <w:footnote w:id="87">
    <w:p w14:paraId="5D412D71" w14:textId="2B6CC086" w:rsidR="00595898" w:rsidRDefault="00595898">
      <w:pPr>
        <w:pStyle w:val="FootnoteText"/>
      </w:pPr>
      <w:r>
        <w:rPr>
          <w:rStyle w:val="FootnoteReference"/>
        </w:rPr>
        <w:footnoteRef/>
      </w:r>
      <w:r>
        <w:t xml:space="preserve"> Drax, Responsible Sourcing Policy, </w:t>
      </w:r>
      <w:hyperlink r:id="rId84" w:anchor="chapter-1" w:history="1">
        <w:r w:rsidRPr="00CC1CC6">
          <w:rPr>
            <w:rStyle w:val="Hyperlink"/>
          </w:rPr>
          <w:t>https://www.drax.com/sustainable-bioenergy/responsible-sourcing/#chapter-1</w:t>
        </w:r>
      </w:hyperlink>
      <w:r>
        <w:t xml:space="preserve"> </w:t>
      </w:r>
    </w:p>
  </w:footnote>
  <w:footnote w:id="88">
    <w:p w14:paraId="4CA27C24" w14:textId="03BAAC33" w:rsidR="00595898" w:rsidRDefault="00595898">
      <w:pPr>
        <w:pStyle w:val="FootnoteText"/>
      </w:pPr>
      <w:r>
        <w:rPr>
          <w:rStyle w:val="FootnoteReference"/>
        </w:rPr>
        <w:footnoteRef/>
      </w:r>
      <w:r>
        <w:t xml:space="preserve"> Biomass Heat Works, </w:t>
      </w:r>
      <w:hyperlink r:id="rId85" w:history="1">
        <w:r w:rsidRPr="00CC1CC6">
          <w:rPr>
            <w:rStyle w:val="Hyperlink"/>
          </w:rPr>
          <w:t>https://www.biomassheatworks.co.uk/</w:t>
        </w:r>
      </w:hyperlink>
      <w:r>
        <w:t xml:space="preserve"> </w:t>
      </w:r>
    </w:p>
  </w:footnote>
  <w:footnote w:id="89">
    <w:p w14:paraId="1A2F6363" w14:textId="79BE3FBD" w:rsidR="003414FD" w:rsidRDefault="003414FD">
      <w:pPr>
        <w:pStyle w:val="FootnoteText"/>
      </w:pPr>
      <w:r>
        <w:rPr>
          <w:rStyle w:val="FootnoteReference"/>
        </w:rPr>
        <w:footnoteRef/>
      </w:r>
      <w:r>
        <w:t xml:space="preserve"> JRC (2021) </w:t>
      </w:r>
      <w:r w:rsidRPr="00487F88">
        <w:t>The use of woody biomass for energy production in the EU</w:t>
      </w:r>
      <w:r>
        <w:t xml:space="preserve">, </w:t>
      </w:r>
      <w:hyperlink r:id="rId86" w:history="1">
        <w:r w:rsidRPr="00E37F40">
          <w:rPr>
            <w:rStyle w:val="Hyperlink"/>
          </w:rPr>
          <w:t>https://publications.jrc.ec.europa.eu/repository/handle/JRC122719</w:t>
        </w:r>
      </w:hyperlink>
    </w:p>
  </w:footnote>
  <w:footnote w:id="90">
    <w:p w14:paraId="1F186A4C" w14:textId="6BADBF2D" w:rsidR="0097232E" w:rsidRDefault="0097232E">
      <w:pPr>
        <w:pStyle w:val="FootnoteText"/>
      </w:pPr>
      <w:r>
        <w:rPr>
          <w:rStyle w:val="FootnoteReference"/>
        </w:rPr>
        <w:footnoteRef/>
      </w:r>
      <w:r>
        <w:t xml:space="preserve"> </w:t>
      </w:r>
      <w:r w:rsidRPr="009316E0">
        <w:rPr>
          <w:rFonts w:asciiTheme="minorHAnsi" w:hAnsiTheme="minorHAnsi" w:cstheme="minorHAnsi"/>
          <w:sz w:val="18"/>
          <w:szCs w:val="18"/>
          <w:lang w:val="en-US"/>
        </w:rPr>
        <w:t xml:space="preserve">Sustainable Biomass </w:t>
      </w:r>
      <w:r w:rsidR="00394BC9" w:rsidRPr="009316E0">
        <w:rPr>
          <w:rFonts w:asciiTheme="minorHAnsi" w:hAnsiTheme="minorHAnsi" w:cstheme="minorHAnsi"/>
          <w:sz w:val="18"/>
          <w:szCs w:val="18"/>
          <w:lang w:val="en-US"/>
        </w:rPr>
        <w:t>Program</w:t>
      </w:r>
      <w:r w:rsidRPr="009316E0">
        <w:rPr>
          <w:rFonts w:asciiTheme="minorHAnsi" w:hAnsiTheme="minorHAnsi" w:cstheme="minorHAnsi"/>
          <w:sz w:val="18"/>
          <w:szCs w:val="18"/>
          <w:lang w:val="en-US"/>
        </w:rPr>
        <w:t xml:space="preserve">, Overview </w:t>
      </w:r>
      <w:hyperlink r:id="rId87" w:history="1">
        <w:r w:rsidRPr="009316E0">
          <w:rPr>
            <w:rStyle w:val="Hyperlink"/>
            <w:rFonts w:asciiTheme="minorHAnsi" w:hAnsiTheme="minorHAnsi" w:cstheme="minorHAnsi"/>
            <w:sz w:val="18"/>
            <w:szCs w:val="18"/>
            <w:lang w:val="en-US"/>
          </w:rPr>
          <w:t>https://sbp-cert.org/wp-content/uploads/2018/10/SBP_Overview_Final_Mar18.pdf</w:t>
        </w:r>
      </w:hyperlink>
    </w:p>
  </w:footnote>
  <w:footnote w:id="91">
    <w:p w14:paraId="41DFB621" w14:textId="2FF606BB" w:rsidR="00825D1B" w:rsidRDefault="00825D1B">
      <w:pPr>
        <w:pStyle w:val="FootnoteText"/>
      </w:pPr>
      <w:r>
        <w:rPr>
          <w:rStyle w:val="FootnoteReference"/>
        </w:rPr>
        <w:footnoteRef/>
      </w:r>
      <w:r>
        <w:t xml:space="preserve"> RSB (2021) The RS</w:t>
      </w:r>
      <w:r w:rsidR="00394BC9">
        <w:t>B</w:t>
      </w:r>
      <w:r>
        <w:t xml:space="preserve"> Standard, </w:t>
      </w:r>
      <w:hyperlink r:id="rId88" w:history="1">
        <w:r w:rsidRPr="00DF3F3B">
          <w:rPr>
            <w:rStyle w:val="Hyperlink"/>
          </w:rPr>
          <w:t>https://rsb.org/the-rsb-standard/about-the-rsb-standard/</w:t>
        </w:r>
      </w:hyperlink>
      <w:r>
        <w:t xml:space="preserve"> </w:t>
      </w:r>
    </w:p>
  </w:footnote>
  <w:footnote w:id="92">
    <w:p w14:paraId="68AA8A4E" w14:textId="1EBC6D68" w:rsidR="0097232E" w:rsidRDefault="0097232E">
      <w:pPr>
        <w:pStyle w:val="FootnoteText"/>
      </w:pPr>
      <w:r>
        <w:rPr>
          <w:rStyle w:val="FootnoteReference"/>
        </w:rPr>
        <w:footnoteRef/>
      </w:r>
      <w:r>
        <w:t xml:space="preserve"> SBP (2021) Facts and Figures, </w:t>
      </w:r>
      <w:hyperlink r:id="rId89" w:history="1">
        <w:r w:rsidRPr="00DF3F3B">
          <w:rPr>
            <w:rStyle w:val="Hyperlink"/>
          </w:rPr>
          <w:t>https://sbp-cert.org/about-us/facts-figures/</w:t>
        </w:r>
      </w:hyperlink>
      <w:r>
        <w:t xml:space="preserve"> </w:t>
      </w:r>
    </w:p>
  </w:footnote>
  <w:footnote w:id="93">
    <w:p w14:paraId="224A2C69" w14:textId="46EA5CA8" w:rsidR="003D191B" w:rsidRDefault="003D191B">
      <w:pPr>
        <w:pStyle w:val="FootnoteText"/>
      </w:pPr>
      <w:r>
        <w:rPr>
          <w:rStyle w:val="FootnoteReference"/>
        </w:rPr>
        <w:footnoteRef/>
      </w:r>
      <w:r>
        <w:t xml:space="preserve"> RSB (2021) Recognition, </w:t>
      </w:r>
      <w:hyperlink r:id="rId90" w:history="1">
        <w:r w:rsidRPr="00DF3F3B">
          <w:rPr>
            <w:rStyle w:val="Hyperlink"/>
          </w:rPr>
          <w:t>https://rsb.org/the-rsb-standard/recognition/</w:t>
        </w:r>
      </w:hyperlink>
      <w:r>
        <w:t xml:space="preserve"> </w:t>
      </w:r>
    </w:p>
  </w:footnote>
  <w:footnote w:id="94">
    <w:p w14:paraId="30DBA83C" w14:textId="62F2F72E" w:rsidR="00C00AF2" w:rsidRDefault="00C00AF2">
      <w:pPr>
        <w:pStyle w:val="FootnoteText"/>
      </w:pPr>
      <w:r>
        <w:rPr>
          <w:rStyle w:val="FootnoteReference"/>
        </w:rPr>
        <w:footnoteRef/>
      </w:r>
      <w:r>
        <w:t xml:space="preserve"> BSL (2020) Biomass Supplier List – Sustainability Criteria, </w:t>
      </w:r>
      <w:hyperlink r:id="rId91" w:history="1">
        <w:r w:rsidRPr="00DF3F3B">
          <w:rPr>
            <w:rStyle w:val="Hyperlink"/>
          </w:rPr>
          <w:t>https://biomass-suppliers-list.service.gov.uk/about</w:t>
        </w:r>
      </w:hyperlink>
      <w:r>
        <w:t xml:space="preserve"> </w:t>
      </w:r>
    </w:p>
  </w:footnote>
  <w:footnote w:id="95">
    <w:p w14:paraId="539B76BD" w14:textId="0B1011DC" w:rsidR="00C00AF2" w:rsidRDefault="00C00AF2">
      <w:pPr>
        <w:pStyle w:val="FootnoteText"/>
      </w:pPr>
      <w:r>
        <w:rPr>
          <w:rStyle w:val="FootnoteReference"/>
        </w:rPr>
        <w:footnoteRef/>
      </w:r>
      <w:r>
        <w:t xml:space="preserve"> </w:t>
      </w:r>
      <w:r w:rsidR="00EE1AC8">
        <w:t xml:space="preserve">SFR (2020) Sustainable Fuel Register, </w:t>
      </w:r>
      <w:hyperlink r:id="rId92" w:history="1">
        <w:r w:rsidR="00EE1AC8" w:rsidRPr="00DF3F3B">
          <w:rPr>
            <w:rStyle w:val="Hyperlink"/>
          </w:rPr>
          <w:t>https://www.sfregister.org/</w:t>
        </w:r>
      </w:hyperlink>
      <w:r w:rsidR="00EE1AC8">
        <w:t xml:space="preserve"> </w:t>
      </w:r>
    </w:p>
  </w:footnote>
  <w:footnote w:id="96">
    <w:p w14:paraId="0B704721" w14:textId="2F884FE2" w:rsidR="00EE1AC8" w:rsidRDefault="00EE1AC8">
      <w:pPr>
        <w:pStyle w:val="FootnoteText"/>
      </w:pPr>
      <w:r>
        <w:rPr>
          <w:rStyle w:val="FootnoteReference"/>
        </w:rPr>
        <w:footnoteRef/>
      </w:r>
      <w:r>
        <w:t xml:space="preserve"> BEIS (2021) </w:t>
      </w:r>
      <w:r w:rsidRPr="00EE1AC8">
        <w:t>Non-Domestic Renewable Heat Incentive: ensuring a sustainable scheme - government response</w:t>
      </w:r>
      <w:r>
        <w:t xml:space="preserve">, </w:t>
      </w:r>
      <w:hyperlink r:id="rId93" w:history="1">
        <w:r w:rsidRPr="00DF3F3B">
          <w:rPr>
            <w:rStyle w:val="Hyperlink"/>
          </w:rPr>
          <w:t>https://www.gov.uk/government/consultations/non-domestic-renewable-heat-incentive-ensuring-a-sustainable-scheme</w:t>
        </w:r>
      </w:hyperlink>
      <w:r>
        <w:t xml:space="preserve"> </w:t>
      </w:r>
    </w:p>
  </w:footnote>
  <w:footnote w:id="97">
    <w:p w14:paraId="7B2BCAA6" w14:textId="3169AD7E" w:rsidR="00EE1AC8" w:rsidRDefault="00EE1AC8">
      <w:pPr>
        <w:pStyle w:val="FootnoteText"/>
      </w:pPr>
      <w:r>
        <w:rPr>
          <w:rStyle w:val="FootnoteReference"/>
        </w:rPr>
        <w:footnoteRef/>
      </w:r>
      <w:r>
        <w:t xml:space="preserve"> BSL, Fuel Quality, </w:t>
      </w:r>
      <w:hyperlink r:id="rId94" w:history="1">
        <w:r w:rsidRPr="00DF3F3B">
          <w:rPr>
            <w:rStyle w:val="Hyperlink"/>
          </w:rPr>
          <w:t>https://biomass-suppliers-list.service.gov.uk/about</w:t>
        </w:r>
      </w:hyperlink>
      <w:r>
        <w:t xml:space="preserve"> </w:t>
      </w:r>
    </w:p>
  </w:footnote>
  <w:footnote w:id="98">
    <w:p w14:paraId="42BE8C31" w14:textId="77777777" w:rsidR="006D28A4" w:rsidRDefault="006D28A4" w:rsidP="006D28A4">
      <w:pPr>
        <w:pStyle w:val="FootnoteText"/>
      </w:pPr>
      <w:r>
        <w:rPr>
          <w:rStyle w:val="FootnoteReference"/>
        </w:rPr>
        <w:footnoteRef/>
      </w:r>
      <w:r>
        <w:t xml:space="preserve"> </w:t>
      </w:r>
      <w:r w:rsidRPr="00784C22">
        <w:rPr>
          <w:sz w:val="16"/>
          <w:szCs w:val="16"/>
        </w:rPr>
        <w:t xml:space="preserve">Drax Group Forest Scope. Available here: </w:t>
      </w:r>
      <w:hyperlink r:id="rId95" w:history="1">
        <w:r w:rsidRPr="00784C22">
          <w:rPr>
            <w:rStyle w:val="Hyperlink"/>
          </w:rPr>
          <w:t>https://forestscope.info/</w:t>
        </w:r>
      </w:hyperlink>
    </w:p>
  </w:footnote>
  <w:footnote w:id="99">
    <w:p w14:paraId="23151489" w14:textId="77777777" w:rsidR="006D28A4" w:rsidRDefault="006D28A4" w:rsidP="006D28A4">
      <w:pPr>
        <w:pStyle w:val="FootnoteText"/>
      </w:pPr>
      <w:r>
        <w:rPr>
          <w:rStyle w:val="FootnoteReference"/>
        </w:rPr>
        <w:footnoteRef/>
      </w:r>
      <w:r>
        <w:t xml:space="preserve"> </w:t>
      </w:r>
      <w:r w:rsidRPr="00784C22">
        <w:rPr>
          <w:sz w:val="16"/>
          <w:szCs w:val="16"/>
        </w:rPr>
        <w:t xml:space="preserve">SBP Certification Scheme Standards Available here: </w:t>
      </w:r>
      <w:hyperlink r:id="rId96" w:history="1">
        <w:r w:rsidRPr="00784C22">
          <w:rPr>
            <w:rStyle w:val="Hyperlink"/>
          </w:rPr>
          <w:t>https://sbp-cert.org/documents/standards-documents/standards/</w:t>
        </w:r>
      </w:hyperlink>
    </w:p>
  </w:footnote>
  <w:footnote w:id="100">
    <w:p w14:paraId="389962B2" w14:textId="529B4C88" w:rsidR="00182AD8" w:rsidRDefault="00A438A1">
      <w:pPr>
        <w:pStyle w:val="FootnoteText"/>
      </w:pPr>
      <w:r>
        <w:rPr>
          <w:rStyle w:val="FootnoteReference"/>
        </w:rPr>
        <w:footnoteRef/>
      </w:r>
      <w:r>
        <w:t xml:space="preserve"> </w:t>
      </w:r>
      <w:r w:rsidR="00182AD8">
        <w:t xml:space="preserve">BEIS (2021) RHI Statistics, </w:t>
      </w:r>
      <w:hyperlink r:id="rId97" w:history="1">
        <w:r w:rsidR="00182AD8" w:rsidRPr="005967BA">
          <w:rPr>
            <w:rStyle w:val="Hyperlink"/>
          </w:rPr>
          <w:t>https://www.gov.uk/government/collections/renewable-heat-incentive-statistics</w:t>
        </w:r>
      </w:hyperlink>
      <w:r w:rsidR="00182AD8">
        <w:t xml:space="preserve"> </w:t>
      </w:r>
    </w:p>
  </w:footnote>
  <w:footnote w:id="101">
    <w:p w14:paraId="5164EEA8" w14:textId="106B7F51" w:rsidR="00182AD8" w:rsidRDefault="00182AD8">
      <w:pPr>
        <w:pStyle w:val="FootnoteText"/>
      </w:pPr>
      <w:r>
        <w:rPr>
          <w:rStyle w:val="FootnoteReference"/>
        </w:rPr>
        <w:footnoteRef/>
      </w:r>
      <w:r>
        <w:t xml:space="preserve"> Ofgem (2021) </w:t>
      </w:r>
      <w:r w:rsidRPr="00182AD8">
        <w:t>GB Renewable Heat Incentive Public Report</w:t>
      </w:r>
      <w:r>
        <w:t xml:space="preserve">, </w:t>
      </w:r>
      <w:hyperlink r:id="rId98" w:history="1">
        <w:r w:rsidRPr="005967BA">
          <w:rPr>
            <w:rStyle w:val="Hyperlink"/>
          </w:rPr>
          <w:t>https://rhi.ofgem.gov.uk/Public/ExternalReports.aspx?id=1</w:t>
        </w:r>
      </w:hyperlink>
      <w:r>
        <w:t xml:space="preserve"> </w:t>
      </w:r>
    </w:p>
  </w:footnote>
  <w:footnote w:id="102">
    <w:p w14:paraId="2D1F0828" w14:textId="14E8A0F4" w:rsidR="00BD7CB2" w:rsidRDefault="00BD7CB2">
      <w:pPr>
        <w:pStyle w:val="FootnoteText"/>
      </w:pPr>
      <w:r>
        <w:rPr>
          <w:rStyle w:val="FootnoteReference"/>
        </w:rPr>
        <w:footnoteRef/>
      </w:r>
      <w:r>
        <w:t xml:space="preserve"> See </w:t>
      </w:r>
      <w:r w:rsidRPr="00BD7CB2">
        <w:t>Joint Trade Associations Letter on Linkage between UK and EU Emissions Trading Systems</w:t>
      </w:r>
      <w:r>
        <w:t xml:space="preserve"> (2021) for further information: </w:t>
      </w:r>
      <w:hyperlink r:id="rId99" w:history="1">
        <w:r w:rsidRPr="005967BA">
          <w:rPr>
            <w:rStyle w:val="Hyperlink"/>
          </w:rPr>
          <w:t>https://www.isda.org/2021/04/15/joint-trade-associations-letter-on-linkage-between-uk-and-eu-emissions-trading-systems/</w:t>
        </w:r>
      </w:hyperlink>
      <w:r>
        <w:t xml:space="preserve"> </w:t>
      </w:r>
    </w:p>
  </w:footnote>
  <w:footnote w:id="103">
    <w:p w14:paraId="0ED89250" w14:textId="22FE2316" w:rsidR="005E78C7" w:rsidRDefault="005E78C7" w:rsidP="005E78C7">
      <w:pPr>
        <w:pStyle w:val="FootnoteText"/>
      </w:pPr>
      <w:r>
        <w:rPr>
          <w:rStyle w:val="FootnoteReference"/>
        </w:rPr>
        <w:footnoteRef/>
      </w:r>
      <w:r>
        <w:t xml:space="preserve"> IPCC (2019) 2019 Refinement to the 2006 IPCC Guidelines for National Greenhouse Gas Inventories. Volume 2: Energy </w:t>
      </w:r>
      <w:hyperlink r:id="rId100" w:history="1">
        <w:r w:rsidRPr="005967BA">
          <w:rPr>
            <w:rStyle w:val="Hyperlink"/>
          </w:rPr>
          <w:t>https://www.ipcc-nggip.iges.or.jp/public/2019rf/vol2.html</w:t>
        </w:r>
      </w:hyperlink>
      <w:r>
        <w:t xml:space="preserve"> </w:t>
      </w:r>
    </w:p>
  </w:footnote>
  <w:footnote w:id="104">
    <w:p w14:paraId="6514EA20" w14:textId="78E7239C" w:rsidR="001A5D95" w:rsidRDefault="001A5D95">
      <w:pPr>
        <w:pStyle w:val="FootnoteText"/>
      </w:pPr>
      <w:r>
        <w:rPr>
          <w:rStyle w:val="FootnoteReference"/>
        </w:rPr>
        <w:footnoteRef/>
      </w:r>
      <w:r>
        <w:t xml:space="preserve"> </w:t>
      </w:r>
      <w:r w:rsidRPr="001A5D95">
        <w:t xml:space="preserve">CCC (2018) Biomass in a low-carbon economy Available at </w:t>
      </w:r>
      <w:hyperlink r:id="rId101" w:history="1">
        <w:r w:rsidRPr="005967BA">
          <w:rPr>
            <w:rStyle w:val="Hyperlink"/>
          </w:rPr>
          <w:t>https://www.theccc.org.uk/publication/biomass-in-a-low-carbon-economy/</w:t>
        </w:r>
      </w:hyperlink>
      <w:r>
        <w:t xml:space="preserve"> </w:t>
      </w:r>
    </w:p>
  </w:footnote>
  <w:footnote w:id="105">
    <w:p w14:paraId="61F3B5EB" w14:textId="6EE7E96E" w:rsidR="007E1515" w:rsidRDefault="007E1515">
      <w:pPr>
        <w:pStyle w:val="FootnoteText"/>
      </w:pPr>
      <w:r>
        <w:rPr>
          <w:rStyle w:val="FootnoteReference"/>
        </w:rPr>
        <w:footnoteRef/>
      </w:r>
      <w:r>
        <w:t xml:space="preserve"> ETI (2015) </w:t>
      </w:r>
      <w:r w:rsidRPr="007E1515">
        <w:t>Overview of the ETI's Bioenergy Value Chain Model (BVCM) Capabilities</w:t>
      </w:r>
      <w:r>
        <w:t xml:space="preserve">, </w:t>
      </w:r>
      <w:hyperlink r:id="rId102" w:history="1">
        <w:r w:rsidRPr="005967BA">
          <w:rPr>
            <w:rStyle w:val="Hyperlink"/>
          </w:rPr>
          <w:t>https://www.eti.co.uk/library/overview-of-the-etis-bioenergy-value-chain-model-bvcm-capabilities</w:t>
        </w:r>
      </w:hyperlink>
      <w:r>
        <w:t xml:space="preserve"> </w:t>
      </w:r>
    </w:p>
  </w:footnote>
  <w:footnote w:id="106">
    <w:p w14:paraId="7A4BD484" w14:textId="77777777" w:rsidR="005A4A6D" w:rsidRDefault="005A4A6D" w:rsidP="005A4A6D">
      <w:pPr>
        <w:pStyle w:val="FootnoteText"/>
      </w:pPr>
      <w:r>
        <w:rPr>
          <w:rStyle w:val="FootnoteReference"/>
        </w:rPr>
        <w:footnoteRef/>
      </w:r>
      <w:r>
        <w:t xml:space="preserve"> BEIS (2021) </w:t>
      </w:r>
      <w:r w:rsidRPr="00EA3D5E">
        <w:t>Carbon Capture, Usage and Storage An update on the business model for Industrial Carbon Capture</w:t>
      </w:r>
      <w:r>
        <w:t xml:space="preserve"> </w:t>
      </w:r>
      <w:hyperlink r:id="rId103" w:history="1">
        <w:r w:rsidRPr="000B5F0C">
          <w:rPr>
            <w:rStyle w:val="Hyperlink"/>
          </w:rPr>
          <w:t>https://assets.publishing.service.gov.uk/government/uploads/system/uploads/attachment_data/file/984119/industrial-carbon-capture-icc.pdf</w:t>
        </w:r>
      </w:hyperlink>
      <w:r>
        <w:t xml:space="preserve"> </w:t>
      </w:r>
    </w:p>
  </w:footnote>
  <w:footnote w:id="107">
    <w:p w14:paraId="0092896D" w14:textId="7BCCBE3F" w:rsidR="005B65C2" w:rsidRDefault="005B65C2">
      <w:pPr>
        <w:pStyle w:val="FootnoteText"/>
      </w:pPr>
      <w:r>
        <w:rPr>
          <w:rStyle w:val="FootnoteReference"/>
        </w:rPr>
        <w:footnoteRef/>
      </w:r>
      <w:r>
        <w:t xml:space="preserve"> BEIS (2020) </w:t>
      </w:r>
      <w:hyperlink r:id="rId104" w:history="1">
        <w:r w:rsidRPr="000B5F0C">
          <w:rPr>
            <w:rStyle w:val="Hyperlink"/>
          </w:rPr>
          <w:t>https://www.gov.uk/government/publications/carbon-capture-usage-and-storage-ccus-business-models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47D03" w14:textId="12514BF7" w:rsidR="008F79B2" w:rsidRDefault="008F79B2" w:rsidP="008F79B2">
    <w:pPr>
      <w:pStyle w:val="Header"/>
    </w:pPr>
    <w:r>
      <w:rPr>
        <w:sz w:val="18"/>
        <w:szCs w:val="18"/>
      </w:rPr>
      <w:t>V.</w:t>
    </w:r>
    <w:r w:rsidR="0036441F">
      <w:rPr>
        <w:sz w:val="18"/>
        <w:szCs w:val="18"/>
      </w:rPr>
      <w:t>2</w:t>
    </w:r>
    <w:r w:rsidR="002B6F10">
      <w:rPr>
        <w:sz w:val="18"/>
        <w:szCs w:val="18"/>
      </w:rPr>
      <w:tab/>
    </w:r>
  </w:p>
  <w:p w14:paraId="2A0CB0DE" w14:textId="2264BFAE" w:rsidR="008F79B2" w:rsidRPr="002B6F10" w:rsidRDefault="002B6F10" w:rsidP="002B6F10">
    <w:pPr>
      <w:pStyle w:val="Header"/>
      <w:jc w:val="center"/>
      <w:rPr>
        <w:i/>
        <w:iCs/>
        <w:sz w:val="20"/>
        <w:szCs w:val="20"/>
      </w:rPr>
    </w:pPr>
    <w:r w:rsidRPr="002B6F10">
      <w:rPr>
        <w:i/>
        <w:iCs/>
        <w:sz w:val="20"/>
        <w:szCs w:val="20"/>
      </w:rPr>
      <w:t xml:space="preserve">REA Response: Role of Biomass in Achieving </w:t>
    </w:r>
    <w:r w:rsidR="00E46AED">
      <w:rPr>
        <w:i/>
        <w:iCs/>
        <w:sz w:val="20"/>
        <w:szCs w:val="20"/>
      </w:rPr>
      <w:t>N</w:t>
    </w:r>
    <w:r w:rsidRPr="002B6F10">
      <w:rPr>
        <w:i/>
        <w:iCs/>
        <w:sz w:val="20"/>
        <w:szCs w:val="20"/>
      </w:rPr>
      <w:t xml:space="preserve">et </w:t>
    </w:r>
    <w:r w:rsidR="00E46AED">
      <w:rPr>
        <w:i/>
        <w:iCs/>
        <w:sz w:val="20"/>
        <w:szCs w:val="20"/>
      </w:rPr>
      <w:t>Z</w:t>
    </w:r>
    <w:r w:rsidRPr="002B6F10">
      <w:rPr>
        <w:i/>
        <w:iCs/>
        <w:sz w:val="20"/>
        <w:szCs w:val="20"/>
      </w:rPr>
      <w:t>ero: Call for Evidence.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7F024" w14:textId="6E678554" w:rsidR="008F79B2" w:rsidRDefault="008F79B2" w:rsidP="008F79B2">
    <w:pPr>
      <w:pStyle w:val="Header"/>
      <w:rPr>
        <w:sz w:val="18"/>
        <w:szCs w:val="18"/>
      </w:rPr>
    </w:pPr>
    <w:r>
      <w:rPr>
        <w:noProof/>
      </w:rPr>
      <w:drawing>
        <wp:anchor distT="0" distB="0" distL="114300" distR="114300" simplePos="0" relativeHeight="251660288" behindDoc="0" locked="0" layoutInCell="1" allowOverlap="1" wp14:anchorId="26C78AF1" wp14:editId="502A1472">
          <wp:simplePos x="0" y="0"/>
          <wp:positionH relativeFrom="column">
            <wp:posOffset>4786630</wp:posOffset>
          </wp:positionH>
          <wp:positionV relativeFrom="paragraph">
            <wp:posOffset>-311150</wp:posOffset>
          </wp:positionV>
          <wp:extent cx="1378585" cy="716915"/>
          <wp:effectExtent l="0" t="0" r="0" b="0"/>
          <wp:wrapSquare wrapText="bothSides"/>
          <wp:docPr id="5" name="Picture 5"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78585" cy="716915"/>
                  </a:xfrm>
                  <a:prstGeom prst="rect">
                    <a:avLst/>
                  </a:prstGeom>
                </pic:spPr>
              </pic:pic>
            </a:graphicData>
          </a:graphic>
          <wp14:sizeRelH relativeFrom="page">
            <wp14:pctWidth>0</wp14:pctWidth>
          </wp14:sizeRelH>
          <wp14:sizeRelV relativeFrom="page">
            <wp14:pctHeight>0</wp14:pctHeight>
          </wp14:sizeRelV>
        </wp:anchor>
      </w:drawing>
    </w:r>
    <w:r>
      <w:rPr>
        <w:sz w:val="18"/>
        <w:szCs w:val="18"/>
      </w:rPr>
      <w:t>V.</w:t>
    </w:r>
    <w:r w:rsidR="00D50B2F">
      <w:rPr>
        <w:sz w:val="18"/>
        <w:szCs w:val="18"/>
      </w:rPr>
      <w:t>2</w:t>
    </w:r>
    <w:r>
      <w:rPr>
        <w:sz w:val="18"/>
        <w:szCs w:val="18"/>
      </w:rPr>
      <w:t xml:space="preserve"> </w:t>
    </w:r>
  </w:p>
  <w:p w14:paraId="62746806" w14:textId="77777777" w:rsidR="008F79B2" w:rsidRDefault="008F79B2" w:rsidP="008F79B2">
    <w:pPr>
      <w:pStyle w:val="Header"/>
    </w:pPr>
    <w:r>
      <w:rPr>
        <w:sz w:val="18"/>
        <w:szCs w:val="18"/>
      </w:rPr>
      <w:t>msommerfeld@r-e-a.net</w:t>
    </w:r>
  </w:p>
  <w:p w14:paraId="01C1EBB9" w14:textId="77777777" w:rsidR="008F79B2" w:rsidRDefault="008F79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18D3"/>
    <w:multiLevelType w:val="hybridMultilevel"/>
    <w:tmpl w:val="0BD8CE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822120"/>
    <w:multiLevelType w:val="hybridMultilevel"/>
    <w:tmpl w:val="4E38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851770"/>
    <w:multiLevelType w:val="hybridMultilevel"/>
    <w:tmpl w:val="A4ACF7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47817A2"/>
    <w:multiLevelType w:val="hybridMultilevel"/>
    <w:tmpl w:val="61A42D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524A40"/>
    <w:multiLevelType w:val="hybridMultilevel"/>
    <w:tmpl w:val="8506B74C"/>
    <w:lvl w:ilvl="0" w:tplc="0F92A4D2">
      <w:start w:val="3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B30CE9"/>
    <w:multiLevelType w:val="hybridMultilevel"/>
    <w:tmpl w:val="014E7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285138"/>
    <w:multiLevelType w:val="hybridMultilevel"/>
    <w:tmpl w:val="3C12E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4E4D4F"/>
    <w:multiLevelType w:val="hybridMultilevel"/>
    <w:tmpl w:val="B178BCEE"/>
    <w:lvl w:ilvl="0" w:tplc="D4066D9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1B087F"/>
    <w:multiLevelType w:val="hybridMultilevel"/>
    <w:tmpl w:val="51688A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7411D9"/>
    <w:multiLevelType w:val="hybridMultilevel"/>
    <w:tmpl w:val="AC721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2B07A2"/>
    <w:multiLevelType w:val="hybridMultilevel"/>
    <w:tmpl w:val="1E0E8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9E234E"/>
    <w:multiLevelType w:val="multilevel"/>
    <w:tmpl w:val="4C0CE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0C1A4B"/>
    <w:multiLevelType w:val="hybridMultilevel"/>
    <w:tmpl w:val="29AAD64C"/>
    <w:lvl w:ilvl="0" w:tplc="B086B74A">
      <w:start w:val="5"/>
      <w:numFmt w:val="bullet"/>
      <w:lvlText w:val="-"/>
      <w:lvlJc w:val="left"/>
      <w:pPr>
        <w:ind w:left="720" w:hanging="360"/>
      </w:pPr>
      <w:rPr>
        <w:rFonts w:ascii="Calibri" w:eastAsiaTheme="minorHAnsi" w:hAnsi="Calibri" w:cs="Calibri" w:hint="default"/>
        <w:b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F04080"/>
    <w:multiLevelType w:val="hybridMultilevel"/>
    <w:tmpl w:val="7BFE4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4C2705"/>
    <w:multiLevelType w:val="hybridMultilevel"/>
    <w:tmpl w:val="56882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C404FB"/>
    <w:multiLevelType w:val="hybridMultilevel"/>
    <w:tmpl w:val="EBB4EC4C"/>
    <w:lvl w:ilvl="0" w:tplc="EE804964">
      <w:start w:val="4000"/>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541565"/>
    <w:multiLevelType w:val="hybridMultilevel"/>
    <w:tmpl w:val="F536E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EA1BD3"/>
    <w:multiLevelType w:val="hybridMultilevel"/>
    <w:tmpl w:val="228A75C2"/>
    <w:lvl w:ilvl="0" w:tplc="F742656A">
      <w:start w:val="33"/>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96B24F6"/>
    <w:multiLevelType w:val="hybridMultilevel"/>
    <w:tmpl w:val="4DB44802"/>
    <w:lvl w:ilvl="0" w:tplc="1E50392A">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FE65B9"/>
    <w:multiLevelType w:val="hybridMultilevel"/>
    <w:tmpl w:val="7BCA50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F8652A"/>
    <w:multiLevelType w:val="hybridMultilevel"/>
    <w:tmpl w:val="7A6A9FB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8D04AC6"/>
    <w:multiLevelType w:val="hybridMultilevel"/>
    <w:tmpl w:val="87649904"/>
    <w:lvl w:ilvl="0" w:tplc="8B2A6EB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B128B9"/>
    <w:multiLevelType w:val="hybridMultilevel"/>
    <w:tmpl w:val="33E8CEBE"/>
    <w:lvl w:ilvl="0" w:tplc="84A2D552">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F43BC4"/>
    <w:multiLevelType w:val="hybridMultilevel"/>
    <w:tmpl w:val="EE18A9C6"/>
    <w:lvl w:ilvl="0" w:tplc="0D78FD7A">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7470B8"/>
    <w:multiLevelType w:val="hybridMultilevel"/>
    <w:tmpl w:val="26DE8F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1C14384"/>
    <w:multiLevelType w:val="hybridMultilevel"/>
    <w:tmpl w:val="A1AE352E"/>
    <w:lvl w:ilvl="0" w:tplc="7E589484">
      <w:start w:val="1"/>
      <w:numFmt w:val="bullet"/>
      <w:lvlText w:val="•"/>
      <w:lvlJc w:val="left"/>
      <w:pPr>
        <w:tabs>
          <w:tab w:val="num" w:pos="720"/>
        </w:tabs>
        <w:ind w:left="720" w:hanging="360"/>
      </w:pPr>
      <w:rPr>
        <w:rFonts w:ascii="Arial" w:hAnsi="Arial" w:hint="default"/>
      </w:rPr>
    </w:lvl>
    <w:lvl w:ilvl="1" w:tplc="F126EF6A" w:tentative="1">
      <w:start w:val="1"/>
      <w:numFmt w:val="bullet"/>
      <w:lvlText w:val="•"/>
      <w:lvlJc w:val="left"/>
      <w:pPr>
        <w:tabs>
          <w:tab w:val="num" w:pos="1440"/>
        </w:tabs>
        <w:ind w:left="1440" w:hanging="360"/>
      </w:pPr>
      <w:rPr>
        <w:rFonts w:ascii="Arial" w:hAnsi="Arial" w:hint="default"/>
      </w:rPr>
    </w:lvl>
    <w:lvl w:ilvl="2" w:tplc="6310F066" w:tentative="1">
      <w:start w:val="1"/>
      <w:numFmt w:val="bullet"/>
      <w:lvlText w:val="•"/>
      <w:lvlJc w:val="left"/>
      <w:pPr>
        <w:tabs>
          <w:tab w:val="num" w:pos="2160"/>
        </w:tabs>
        <w:ind w:left="2160" w:hanging="360"/>
      </w:pPr>
      <w:rPr>
        <w:rFonts w:ascii="Arial" w:hAnsi="Arial" w:hint="default"/>
      </w:rPr>
    </w:lvl>
    <w:lvl w:ilvl="3" w:tplc="256E582A" w:tentative="1">
      <w:start w:val="1"/>
      <w:numFmt w:val="bullet"/>
      <w:lvlText w:val="•"/>
      <w:lvlJc w:val="left"/>
      <w:pPr>
        <w:tabs>
          <w:tab w:val="num" w:pos="2880"/>
        </w:tabs>
        <w:ind w:left="2880" w:hanging="360"/>
      </w:pPr>
      <w:rPr>
        <w:rFonts w:ascii="Arial" w:hAnsi="Arial" w:hint="default"/>
      </w:rPr>
    </w:lvl>
    <w:lvl w:ilvl="4" w:tplc="D57801FA" w:tentative="1">
      <w:start w:val="1"/>
      <w:numFmt w:val="bullet"/>
      <w:lvlText w:val="•"/>
      <w:lvlJc w:val="left"/>
      <w:pPr>
        <w:tabs>
          <w:tab w:val="num" w:pos="3600"/>
        </w:tabs>
        <w:ind w:left="3600" w:hanging="360"/>
      </w:pPr>
      <w:rPr>
        <w:rFonts w:ascii="Arial" w:hAnsi="Arial" w:hint="default"/>
      </w:rPr>
    </w:lvl>
    <w:lvl w:ilvl="5" w:tplc="43707B82" w:tentative="1">
      <w:start w:val="1"/>
      <w:numFmt w:val="bullet"/>
      <w:lvlText w:val="•"/>
      <w:lvlJc w:val="left"/>
      <w:pPr>
        <w:tabs>
          <w:tab w:val="num" w:pos="4320"/>
        </w:tabs>
        <w:ind w:left="4320" w:hanging="360"/>
      </w:pPr>
      <w:rPr>
        <w:rFonts w:ascii="Arial" w:hAnsi="Arial" w:hint="default"/>
      </w:rPr>
    </w:lvl>
    <w:lvl w:ilvl="6" w:tplc="A2702A82" w:tentative="1">
      <w:start w:val="1"/>
      <w:numFmt w:val="bullet"/>
      <w:lvlText w:val="•"/>
      <w:lvlJc w:val="left"/>
      <w:pPr>
        <w:tabs>
          <w:tab w:val="num" w:pos="5040"/>
        </w:tabs>
        <w:ind w:left="5040" w:hanging="360"/>
      </w:pPr>
      <w:rPr>
        <w:rFonts w:ascii="Arial" w:hAnsi="Arial" w:hint="default"/>
      </w:rPr>
    </w:lvl>
    <w:lvl w:ilvl="7" w:tplc="0D6077A2" w:tentative="1">
      <w:start w:val="1"/>
      <w:numFmt w:val="bullet"/>
      <w:lvlText w:val="•"/>
      <w:lvlJc w:val="left"/>
      <w:pPr>
        <w:tabs>
          <w:tab w:val="num" w:pos="5760"/>
        </w:tabs>
        <w:ind w:left="5760" w:hanging="360"/>
      </w:pPr>
      <w:rPr>
        <w:rFonts w:ascii="Arial" w:hAnsi="Arial" w:hint="default"/>
      </w:rPr>
    </w:lvl>
    <w:lvl w:ilvl="8" w:tplc="F51E07A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51C147E"/>
    <w:multiLevelType w:val="hybridMultilevel"/>
    <w:tmpl w:val="3F4EFA10"/>
    <w:lvl w:ilvl="0" w:tplc="0298BD6A">
      <w:start w:val="3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353E70"/>
    <w:multiLevelType w:val="hybridMultilevel"/>
    <w:tmpl w:val="2B26D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CF34A0"/>
    <w:multiLevelType w:val="hybridMultilevel"/>
    <w:tmpl w:val="98D82038"/>
    <w:lvl w:ilvl="0" w:tplc="7B4ED51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5F262F"/>
    <w:multiLevelType w:val="hybridMultilevel"/>
    <w:tmpl w:val="476081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1"/>
  </w:num>
  <w:num w:numId="2">
    <w:abstractNumId w:val="29"/>
  </w:num>
  <w:num w:numId="3">
    <w:abstractNumId w:val="2"/>
  </w:num>
  <w:num w:numId="4">
    <w:abstractNumId w:val="22"/>
  </w:num>
  <w:num w:numId="5">
    <w:abstractNumId w:val="25"/>
  </w:num>
  <w:num w:numId="6">
    <w:abstractNumId w:val="11"/>
  </w:num>
  <w:num w:numId="7">
    <w:abstractNumId w:val="18"/>
  </w:num>
  <w:num w:numId="8">
    <w:abstractNumId w:val="4"/>
  </w:num>
  <w:num w:numId="9">
    <w:abstractNumId w:val="26"/>
  </w:num>
  <w:num w:numId="10">
    <w:abstractNumId w:val="17"/>
  </w:num>
  <w:num w:numId="11">
    <w:abstractNumId w:val="12"/>
  </w:num>
  <w:num w:numId="12">
    <w:abstractNumId w:val="23"/>
  </w:num>
  <w:num w:numId="13">
    <w:abstractNumId w:val="8"/>
  </w:num>
  <w:num w:numId="14">
    <w:abstractNumId w:val="9"/>
  </w:num>
  <w:num w:numId="15">
    <w:abstractNumId w:val="13"/>
  </w:num>
  <w:num w:numId="16">
    <w:abstractNumId w:val="20"/>
  </w:num>
  <w:num w:numId="17">
    <w:abstractNumId w:val="24"/>
  </w:num>
  <w:num w:numId="18">
    <w:abstractNumId w:val="15"/>
  </w:num>
  <w:num w:numId="19">
    <w:abstractNumId w:val="16"/>
  </w:num>
  <w:num w:numId="20">
    <w:abstractNumId w:val="27"/>
  </w:num>
  <w:num w:numId="21">
    <w:abstractNumId w:val="10"/>
  </w:num>
  <w:num w:numId="22">
    <w:abstractNumId w:val="28"/>
  </w:num>
  <w:num w:numId="23">
    <w:abstractNumId w:val="14"/>
  </w:num>
  <w:num w:numId="24">
    <w:abstractNumId w:val="6"/>
  </w:num>
  <w:num w:numId="25">
    <w:abstractNumId w:val="7"/>
  </w:num>
  <w:num w:numId="26">
    <w:abstractNumId w:val="1"/>
  </w:num>
  <w:num w:numId="27">
    <w:abstractNumId w:val="5"/>
  </w:num>
  <w:num w:numId="28">
    <w:abstractNumId w:val="0"/>
  </w:num>
  <w:num w:numId="29">
    <w:abstractNumId w:val="19"/>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defaultTabStop w:val="720"/>
  <w:characterSpacingControl w:val="doNotCompress"/>
  <w:hdrShapeDefaults>
    <o:shapedefaults v:ext="edit" spidmax="22529">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279"/>
    <w:rsid w:val="00000F05"/>
    <w:rsid w:val="00001D58"/>
    <w:rsid w:val="000040A6"/>
    <w:rsid w:val="000077A0"/>
    <w:rsid w:val="0001028A"/>
    <w:rsid w:val="0001210C"/>
    <w:rsid w:val="00013741"/>
    <w:rsid w:val="00014DF3"/>
    <w:rsid w:val="00017429"/>
    <w:rsid w:val="00017625"/>
    <w:rsid w:val="00021FB0"/>
    <w:rsid w:val="000274B7"/>
    <w:rsid w:val="0003622B"/>
    <w:rsid w:val="00037B2E"/>
    <w:rsid w:val="00037FD9"/>
    <w:rsid w:val="0004039B"/>
    <w:rsid w:val="00040DF6"/>
    <w:rsid w:val="000514EB"/>
    <w:rsid w:val="000564E5"/>
    <w:rsid w:val="0006325D"/>
    <w:rsid w:val="00063B03"/>
    <w:rsid w:val="000717CA"/>
    <w:rsid w:val="00072972"/>
    <w:rsid w:val="000773E8"/>
    <w:rsid w:val="00081A4A"/>
    <w:rsid w:val="000835FC"/>
    <w:rsid w:val="00087312"/>
    <w:rsid w:val="00096FA3"/>
    <w:rsid w:val="000976B3"/>
    <w:rsid w:val="000A4DB6"/>
    <w:rsid w:val="000B2A51"/>
    <w:rsid w:val="000B4868"/>
    <w:rsid w:val="000B62FF"/>
    <w:rsid w:val="000B71A8"/>
    <w:rsid w:val="000C652B"/>
    <w:rsid w:val="000C688C"/>
    <w:rsid w:val="000C7291"/>
    <w:rsid w:val="000D1D81"/>
    <w:rsid w:val="000D5F16"/>
    <w:rsid w:val="000E0E70"/>
    <w:rsid w:val="000E46CA"/>
    <w:rsid w:val="000F2AC3"/>
    <w:rsid w:val="001309D7"/>
    <w:rsid w:val="001313BC"/>
    <w:rsid w:val="00133644"/>
    <w:rsid w:val="00151C2E"/>
    <w:rsid w:val="001534A2"/>
    <w:rsid w:val="001701F4"/>
    <w:rsid w:val="00172EF2"/>
    <w:rsid w:val="00174095"/>
    <w:rsid w:val="001740F2"/>
    <w:rsid w:val="00180640"/>
    <w:rsid w:val="00182AD8"/>
    <w:rsid w:val="00196AF0"/>
    <w:rsid w:val="001A021F"/>
    <w:rsid w:val="001A4BE5"/>
    <w:rsid w:val="001A5D95"/>
    <w:rsid w:val="001B0B4D"/>
    <w:rsid w:val="001B1A59"/>
    <w:rsid w:val="001B5B98"/>
    <w:rsid w:val="001B6C0A"/>
    <w:rsid w:val="001B7135"/>
    <w:rsid w:val="001C22D9"/>
    <w:rsid w:val="001C4CC3"/>
    <w:rsid w:val="001D52B3"/>
    <w:rsid w:val="001D7A21"/>
    <w:rsid w:val="001E1DD1"/>
    <w:rsid w:val="001E2550"/>
    <w:rsid w:val="001F2738"/>
    <w:rsid w:val="001F3165"/>
    <w:rsid w:val="001F5E53"/>
    <w:rsid w:val="001F70B4"/>
    <w:rsid w:val="0020578E"/>
    <w:rsid w:val="00206091"/>
    <w:rsid w:val="00206E5E"/>
    <w:rsid w:val="002108B4"/>
    <w:rsid w:val="0021330A"/>
    <w:rsid w:val="00220257"/>
    <w:rsid w:val="002241FE"/>
    <w:rsid w:val="002404A2"/>
    <w:rsid w:val="00241C00"/>
    <w:rsid w:val="00250A34"/>
    <w:rsid w:val="00253B79"/>
    <w:rsid w:val="002554EB"/>
    <w:rsid w:val="00265A3D"/>
    <w:rsid w:val="00273616"/>
    <w:rsid w:val="00277D6B"/>
    <w:rsid w:val="0028347F"/>
    <w:rsid w:val="002912A1"/>
    <w:rsid w:val="002A2492"/>
    <w:rsid w:val="002A6CCA"/>
    <w:rsid w:val="002A7067"/>
    <w:rsid w:val="002B6F10"/>
    <w:rsid w:val="002B6F75"/>
    <w:rsid w:val="002B79D2"/>
    <w:rsid w:val="002C476E"/>
    <w:rsid w:val="002C6DEA"/>
    <w:rsid w:val="002D2CED"/>
    <w:rsid w:val="002D358F"/>
    <w:rsid w:val="002D41B7"/>
    <w:rsid w:val="002D56B3"/>
    <w:rsid w:val="002E0D36"/>
    <w:rsid w:val="002E3E13"/>
    <w:rsid w:val="002E5F58"/>
    <w:rsid w:val="002F63D9"/>
    <w:rsid w:val="0030014B"/>
    <w:rsid w:val="00313E1D"/>
    <w:rsid w:val="0032007C"/>
    <w:rsid w:val="00332A0E"/>
    <w:rsid w:val="003414FD"/>
    <w:rsid w:val="0034363A"/>
    <w:rsid w:val="00344FB0"/>
    <w:rsid w:val="00354CAA"/>
    <w:rsid w:val="0036214D"/>
    <w:rsid w:val="0036441F"/>
    <w:rsid w:val="0036568A"/>
    <w:rsid w:val="0037201A"/>
    <w:rsid w:val="00377D30"/>
    <w:rsid w:val="00382269"/>
    <w:rsid w:val="00387796"/>
    <w:rsid w:val="00392433"/>
    <w:rsid w:val="00392880"/>
    <w:rsid w:val="00394BC9"/>
    <w:rsid w:val="00396820"/>
    <w:rsid w:val="00397098"/>
    <w:rsid w:val="003970AB"/>
    <w:rsid w:val="003A2360"/>
    <w:rsid w:val="003A2969"/>
    <w:rsid w:val="003A2B72"/>
    <w:rsid w:val="003A2E5E"/>
    <w:rsid w:val="003B0EA0"/>
    <w:rsid w:val="003C2F4C"/>
    <w:rsid w:val="003D191B"/>
    <w:rsid w:val="003E1983"/>
    <w:rsid w:val="0040132C"/>
    <w:rsid w:val="00406304"/>
    <w:rsid w:val="00410450"/>
    <w:rsid w:val="0041275E"/>
    <w:rsid w:val="004205B0"/>
    <w:rsid w:val="004215BC"/>
    <w:rsid w:val="00425193"/>
    <w:rsid w:val="00431747"/>
    <w:rsid w:val="00440EF9"/>
    <w:rsid w:val="00462B0E"/>
    <w:rsid w:val="00470F89"/>
    <w:rsid w:val="0047456D"/>
    <w:rsid w:val="00484678"/>
    <w:rsid w:val="00487F88"/>
    <w:rsid w:val="00497395"/>
    <w:rsid w:val="004A0681"/>
    <w:rsid w:val="004A1A9C"/>
    <w:rsid w:val="004A37F1"/>
    <w:rsid w:val="004A6F7F"/>
    <w:rsid w:val="004B062E"/>
    <w:rsid w:val="004B3F56"/>
    <w:rsid w:val="004C28D6"/>
    <w:rsid w:val="004C3842"/>
    <w:rsid w:val="004C4708"/>
    <w:rsid w:val="004D4032"/>
    <w:rsid w:val="004E0E91"/>
    <w:rsid w:val="004E0EE5"/>
    <w:rsid w:val="004E49BB"/>
    <w:rsid w:val="004E7198"/>
    <w:rsid w:val="004F4C28"/>
    <w:rsid w:val="00501E5B"/>
    <w:rsid w:val="00505D9B"/>
    <w:rsid w:val="005143BA"/>
    <w:rsid w:val="005179A0"/>
    <w:rsid w:val="005272A8"/>
    <w:rsid w:val="00550A2E"/>
    <w:rsid w:val="00562759"/>
    <w:rsid w:val="005663FE"/>
    <w:rsid w:val="00572350"/>
    <w:rsid w:val="0058465A"/>
    <w:rsid w:val="00586AD0"/>
    <w:rsid w:val="00587DF1"/>
    <w:rsid w:val="00595898"/>
    <w:rsid w:val="00596F03"/>
    <w:rsid w:val="005A0F89"/>
    <w:rsid w:val="005A2866"/>
    <w:rsid w:val="005A4A6D"/>
    <w:rsid w:val="005A5650"/>
    <w:rsid w:val="005B0881"/>
    <w:rsid w:val="005B65C2"/>
    <w:rsid w:val="005C0948"/>
    <w:rsid w:val="005C20E6"/>
    <w:rsid w:val="005D64C8"/>
    <w:rsid w:val="005D7C91"/>
    <w:rsid w:val="005E3370"/>
    <w:rsid w:val="005E78C7"/>
    <w:rsid w:val="005F4D6A"/>
    <w:rsid w:val="005F5A55"/>
    <w:rsid w:val="00600168"/>
    <w:rsid w:val="00600736"/>
    <w:rsid w:val="006049C5"/>
    <w:rsid w:val="00604FEB"/>
    <w:rsid w:val="00610B17"/>
    <w:rsid w:val="00613368"/>
    <w:rsid w:val="00614103"/>
    <w:rsid w:val="00617B37"/>
    <w:rsid w:val="006267B7"/>
    <w:rsid w:val="006269E3"/>
    <w:rsid w:val="0063083B"/>
    <w:rsid w:val="0064108C"/>
    <w:rsid w:val="00641ADB"/>
    <w:rsid w:val="00642CDC"/>
    <w:rsid w:val="00644907"/>
    <w:rsid w:val="00653571"/>
    <w:rsid w:val="0065769E"/>
    <w:rsid w:val="00662A59"/>
    <w:rsid w:val="0066517A"/>
    <w:rsid w:val="006767C5"/>
    <w:rsid w:val="00681E52"/>
    <w:rsid w:val="00690284"/>
    <w:rsid w:val="0069312B"/>
    <w:rsid w:val="006A1105"/>
    <w:rsid w:val="006A274E"/>
    <w:rsid w:val="006A29DD"/>
    <w:rsid w:val="006A38D9"/>
    <w:rsid w:val="006A448A"/>
    <w:rsid w:val="006C379B"/>
    <w:rsid w:val="006C5286"/>
    <w:rsid w:val="006C78C1"/>
    <w:rsid w:val="006D28A4"/>
    <w:rsid w:val="006D67A2"/>
    <w:rsid w:val="006D708F"/>
    <w:rsid w:val="006E5127"/>
    <w:rsid w:val="006F061C"/>
    <w:rsid w:val="006F2592"/>
    <w:rsid w:val="006F4D15"/>
    <w:rsid w:val="006F6F3A"/>
    <w:rsid w:val="00700CD0"/>
    <w:rsid w:val="007014D4"/>
    <w:rsid w:val="00711AAD"/>
    <w:rsid w:val="00713831"/>
    <w:rsid w:val="0072773A"/>
    <w:rsid w:val="00736310"/>
    <w:rsid w:val="00742E91"/>
    <w:rsid w:val="007552A6"/>
    <w:rsid w:val="0075597A"/>
    <w:rsid w:val="00760205"/>
    <w:rsid w:val="00761EDA"/>
    <w:rsid w:val="00765744"/>
    <w:rsid w:val="007658FB"/>
    <w:rsid w:val="00770095"/>
    <w:rsid w:val="007777AC"/>
    <w:rsid w:val="007813F5"/>
    <w:rsid w:val="00781E77"/>
    <w:rsid w:val="00782565"/>
    <w:rsid w:val="007841D8"/>
    <w:rsid w:val="00787077"/>
    <w:rsid w:val="007908A3"/>
    <w:rsid w:val="00793832"/>
    <w:rsid w:val="00796838"/>
    <w:rsid w:val="007B2B4B"/>
    <w:rsid w:val="007B5E42"/>
    <w:rsid w:val="007C2C1C"/>
    <w:rsid w:val="007D74C6"/>
    <w:rsid w:val="007E1515"/>
    <w:rsid w:val="007F3698"/>
    <w:rsid w:val="008032E1"/>
    <w:rsid w:val="00804AF0"/>
    <w:rsid w:val="00807468"/>
    <w:rsid w:val="00810550"/>
    <w:rsid w:val="00813223"/>
    <w:rsid w:val="00825D1B"/>
    <w:rsid w:val="00833E2D"/>
    <w:rsid w:val="008374D7"/>
    <w:rsid w:val="00850032"/>
    <w:rsid w:val="008601CD"/>
    <w:rsid w:val="0087676B"/>
    <w:rsid w:val="00882FC4"/>
    <w:rsid w:val="008955CE"/>
    <w:rsid w:val="008A319C"/>
    <w:rsid w:val="008A5C91"/>
    <w:rsid w:val="008B04F7"/>
    <w:rsid w:val="008B2C24"/>
    <w:rsid w:val="008B6196"/>
    <w:rsid w:val="008C0168"/>
    <w:rsid w:val="008C2761"/>
    <w:rsid w:val="008C462D"/>
    <w:rsid w:val="008C48F8"/>
    <w:rsid w:val="008C6806"/>
    <w:rsid w:val="008D6D60"/>
    <w:rsid w:val="008E3BFC"/>
    <w:rsid w:val="008E48FA"/>
    <w:rsid w:val="008E4D0A"/>
    <w:rsid w:val="008F09CE"/>
    <w:rsid w:val="008F37C4"/>
    <w:rsid w:val="008F431B"/>
    <w:rsid w:val="008F5EAD"/>
    <w:rsid w:val="008F79B2"/>
    <w:rsid w:val="00905646"/>
    <w:rsid w:val="0091531F"/>
    <w:rsid w:val="0092188E"/>
    <w:rsid w:val="00923308"/>
    <w:rsid w:val="00923427"/>
    <w:rsid w:val="00924D1F"/>
    <w:rsid w:val="00925525"/>
    <w:rsid w:val="00930BD7"/>
    <w:rsid w:val="009330EE"/>
    <w:rsid w:val="00933D47"/>
    <w:rsid w:val="00937B26"/>
    <w:rsid w:val="00937EB9"/>
    <w:rsid w:val="00944466"/>
    <w:rsid w:val="009614BF"/>
    <w:rsid w:val="00964C3A"/>
    <w:rsid w:val="00965284"/>
    <w:rsid w:val="0097232E"/>
    <w:rsid w:val="009801F9"/>
    <w:rsid w:val="00981859"/>
    <w:rsid w:val="00981B74"/>
    <w:rsid w:val="00991DB0"/>
    <w:rsid w:val="009A205B"/>
    <w:rsid w:val="009A3BBA"/>
    <w:rsid w:val="009B46C4"/>
    <w:rsid w:val="009B71CA"/>
    <w:rsid w:val="009C11D3"/>
    <w:rsid w:val="009C1DC8"/>
    <w:rsid w:val="009C519A"/>
    <w:rsid w:val="009C5F06"/>
    <w:rsid w:val="009C7B7D"/>
    <w:rsid w:val="009D18E6"/>
    <w:rsid w:val="009D5997"/>
    <w:rsid w:val="009E535F"/>
    <w:rsid w:val="009F6874"/>
    <w:rsid w:val="00A061AD"/>
    <w:rsid w:val="00A064C0"/>
    <w:rsid w:val="00A07AD0"/>
    <w:rsid w:val="00A1513F"/>
    <w:rsid w:val="00A213FB"/>
    <w:rsid w:val="00A41446"/>
    <w:rsid w:val="00A438A1"/>
    <w:rsid w:val="00A60983"/>
    <w:rsid w:val="00A85AF3"/>
    <w:rsid w:val="00A92ECA"/>
    <w:rsid w:val="00AA2E6E"/>
    <w:rsid w:val="00AC0194"/>
    <w:rsid w:val="00AC0EE5"/>
    <w:rsid w:val="00AD1D49"/>
    <w:rsid w:val="00AD27AE"/>
    <w:rsid w:val="00AD7571"/>
    <w:rsid w:val="00AE249C"/>
    <w:rsid w:val="00AF142C"/>
    <w:rsid w:val="00AF7B82"/>
    <w:rsid w:val="00B046A0"/>
    <w:rsid w:val="00B05A48"/>
    <w:rsid w:val="00B16A3E"/>
    <w:rsid w:val="00B326CF"/>
    <w:rsid w:val="00B357E2"/>
    <w:rsid w:val="00B401EC"/>
    <w:rsid w:val="00B465FA"/>
    <w:rsid w:val="00B54056"/>
    <w:rsid w:val="00B55094"/>
    <w:rsid w:val="00B676E9"/>
    <w:rsid w:val="00B77154"/>
    <w:rsid w:val="00B812B1"/>
    <w:rsid w:val="00B8327A"/>
    <w:rsid w:val="00B8338A"/>
    <w:rsid w:val="00B849C8"/>
    <w:rsid w:val="00B85908"/>
    <w:rsid w:val="00B907DA"/>
    <w:rsid w:val="00B97E03"/>
    <w:rsid w:val="00BA0D24"/>
    <w:rsid w:val="00BA1C33"/>
    <w:rsid w:val="00BA2E42"/>
    <w:rsid w:val="00BA2E70"/>
    <w:rsid w:val="00BA6AAF"/>
    <w:rsid w:val="00BC54A1"/>
    <w:rsid w:val="00BC5FB0"/>
    <w:rsid w:val="00BD0520"/>
    <w:rsid w:val="00BD5D83"/>
    <w:rsid w:val="00BD7CB2"/>
    <w:rsid w:val="00BE5B27"/>
    <w:rsid w:val="00BE78C3"/>
    <w:rsid w:val="00BF1D13"/>
    <w:rsid w:val="00BF2D25"/>
    <w:rsid w:val="00C00AF2"/>
    <w:rsid w:val="00C04405"/>
    <w:rsid w:val="00C04DD9"/>
    <w:rsid w:val="00C07F46"/>
    <w:rsid w:val="00C15AF3"/>
    <w:rsid w:val="00C270D2"/>
    <w:rsid w:val="00C27DA4"/>
    <w:rsid w:val="00C34BBF"/>
    <w:rsid w:val="00C35091"/>
    <w:rsid w:val="00C36567"/>
    <w:rsid w:val="00C4094C"/>
    <w:rsid w:val="00C44BE8"/>
    <w:rsid w:val="00C45ED5"/>
    <w:rsid w:val="00C45F72"/>
    <w:rsid w:val="00C507DF"/>
    <w:rsid w:val="00C520EB"/>
    <w:rsid w:val="00C53211"/>
    <w:rsid w:val="00C53597"/>
    <w:rsid w:val="00C54C9A"/>
    <w:rsid w:val="00C54E33"/>
    <w:rsid w:val="00C56C6E"/>
    <w:rsid w:val="00C577D8"/>
    <w:rsid w:val="00C81C12"/>
    <w:rsid w:val="00C846A6"/>
    <w:rsid w:val="00C97EEA"/>
    <w:rsid w:val="00CB1E72"/>
    <w:rsid w:val="00CB38AA"/>
    <w:rsid w:val="00CB3A74"/>
    <w:rsid w:val="00CB4A6F"/>
    <w:rsid w:val="00CC005C"/>
    <w:rsid w:val="00CC12E5"/>
    <w:rsid w:val="00CC68F8"/>
    <w:rsid w:val="00CC6D68"/>
    <w:rsid w:val="00CD4F10"/>
    <w:rsid w:val="00CE341C"/>
    <w:rsid w:val="00CE52F7"/>
    <w:rsid w:val="00CE5BC1"/>
    <w:rsid w:val="00CF244E"/>
    <w:rsid w:val="00D0734A"/>
    <w:rsid w:val="00D215A9"/>
    <w:rsid w:val="00D2531D"/>
    <w:rsid w:val="00D33A58"/>
    <w:rsid w:val="00D341A0"/>
    <w:rsid w:val="00D50B2F"/>
    <w:rsid w:val="00D51913"/>
    <w:rsid w:val="00D52190"/>
    <w:rsid w:val="00D53266"/>
    <w:rsid w:val="00D5409E"/>
    <w:rsid w:val="00D55CC4"/>
    <w:rsid w:val="00D57686"/>
    <w:rsid w:val="00D6282B"/>
    <w:rsid w:val="00D74F62"/>
    <w:rsid w:val="00D77BDC"/>
    <w:rsid w:val="00D91667"/>
    <w:rsid w:val="00DA393E"/>
    <w:rsid w:val="00DB2928"/>
    <w:rsid w:val="00DB5321"/>
    <w:rsid w:val="00DB7D28"/>
    <w:rsid w:val="00DC0CF5"/>
    <w:rsid w:val="00DD089F"/>
    <w:rsid w:val="00DD2E81"/>
    <w:rsid w:val="00DD57CC"/>
    <w:rsid w:val="00DE3C02"/>
    <w:rsid w:val="00DE5336"/>
    <w:rsid w:val="00DF0B0C"/>
    <w:rsid w:val="00DF171B"/>
    <w:rsid w:val="00DF4E18"/>
    <w:rsid w:val="00DF5CBD"/>
    <w:rsid w:val="00E109E4"/>
    <w:rsid w:val="00E26EB1"/>
    <w:rsid w:val="00E26FBF"/>
    <w:rsid w:val="00E3441E"/>
    <w:rsid w:val="00E46AED"/>
    <w:rsid w:val="00E527C6"/>
    <w:rsid w:val="00E55948"/>
    <w:rsid w:val="00E609FC"/>
    <w:rsid w:val="00E67463"/>
    <w:rsid w:val="00E82DC6"/>
    <w:rsid w:val="00E84AA1"/>
    <w:rsid w:val="00E869E9"/>
    <w:rsid w:val="00E87045"/>
    <w:rsid w:val="00E92C15"/>
    <w:rsid w:val="00E938D7"/>
    <w:rsid w:val="00EA0C82"/>
    <w:rsid w:val="00EA3705"/>
    <w:rsid w:val="00EA3B86"/>
    <w:rsid w:val="00EA3D5E"/>
    <w:rsid w:val="00EB1770"/>
    <w:rsid w:val="00EC216F"/>
    <w:rsid w:val="00EC3D19"/>
    <w:rsid w:val="00EC6A3C"/>
    <w:rsid w:val="00EC6D5D"/>
    <w:rsid w:val="00EC700C"/>
    <w:rsid w:val="00ED0279"/>
    <w:rsid w:val="00ED1B06"/>
    <w:rsid w:val="00ED2011"/>
    <w:rsid w:val="00EE14E3"/>
    <w:rsid w:val="00EE1AC8"/>
    <w:rsid w:val="00EE1D42"/>
    <w:rsid w:val="00EF288A"/>
    <w:rsid w:val="00EF523A"/>
    <w:rsid w:val="00F029ED"/>
    <w:rsid w:val="00F051C2"/>
    <w:rsid w:val="00F1011C"/>
    <w:rsid w:val="00F13CFB"/>
    <w:rsid w:val="00F162DB"/>
    <w:rsid w:val="00F16CA4"/>
    <w:rsid w:val="00F25F0F"/>
    <w:rsid w:val="00F279CA"/>
    <w:rsid w:val="00F36EEC"/>
    <w:rsid w:val="00F43E63"/>
    <w:rsid w:val="00F465CA"/>
    <w:rsid w:val="00F52B93"/>
    <w:rsid w:val="00F550C6"/>
    <w:rsid w:val="00F6251D"/>
    <w:rsid w:val="00F62B22"/>
    <w:rsid w:val="00F634FF"/>
    <w:rsid w:val="00F63811"/>
    <w:rsid w:val="00F66C5F"/>
    <w:rsid w:val="00F67EC2"/>
    <w:rsid w:val="00F71B41"/>
    <w:rsid w:val="00F74D64"/>
    <w:rsid w:val="00F87BE2"/>
    <w:rsid w:val="00F92323"/>
    <w:rsid w:val="00F94F31"/>
    <w:rsid w:val="00FA3D44"/>
    <w:rsid w:val="00FB2E6A"/>
    <w:rsid w:val="00FB572E"/>
    <w:rsid w:val="00FC461D"/>
    <w:rsid w:val="00FC7404"/>
    <w:rsid w:val="00FD1E09"/>
    <w:rsid w:val="00FD6846"/>
    <w:rsid w:val="00FE32EA"/>
    <w:rsid w:val="00FE6E4E"/>
    <w:rsid w:val="00FF1D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colormenu v:ext="edit" fillcolor="none"/>
    </o:shapedefaults>
    <o:shapelayout v:ext="edit">
      <o:idmap v:ext="edit" data="1"/>
    </o:shapelayout>
  </w:shapeDefaults>
  <w:decimalSymbol w:val="."/>
  <w:listSeparator w:val=","/>
  <w14:docId w14:val="6CE79D78"/>
  <w15:chartTrackingRefBased/>
  <w15:docId w15:val="{AE3D7774-5B77-42BE-9115-7FC1FCFAF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
    <w:basedOn w:val="Normal"/>
    <w:link w:val="ListParagraphChar"/>
    <w:uiPriority w:val="34"/>
    <w:qFormat/>
    <w:rsid w:val="00ED0279"/>
    <w:pPr>
      <w:ind w:left="720"/>
      <w:contextualSpacing/>
    </w:pPr>
  </w:style>
  <w:style w:type="character" w:styleId="Hyperlink">
    <w:name w:val="Hyperlink"/>
    <w:basedOn w:val="DefaultParagraphFont"/>
    <w:uiPriority w:val="99"/>
    <w:unhideWhenUsed/>
    <w:rsid w:val="00B676E9"/>
    <w:rPr>
      <w:color w:val="0000FF"/>
      <w:u w:val="single"/>
    </w:rPr>
  </w:style>
  <w:style w:type="character" w:styleId="FollowedHyperlink">
    <w:name w:val="FollowedHyperlink"/>
    <w:basedOn w:val="DefaultParagraphFont"/>
    <w:uiPriority w:val="99"/>
    <w:semiHidden/>
    <w:unhideWhenUsed/>
    <w:rsid w:val="00B676E9"/>
    <w:rPr>
      <w:color w:val="954F72" w:themeColor="followedHyperlink"/>
      <w:u w:val="single"/>
    </w:rPr>
  </w:style>
  <w:style w:type="character" w:styleId="Emphasis">
    <w:name w:val="Emphasis"/>
    <w:basedOn w:val="DefaultParagraphFont"/>
    <w:uiPriority w:val="20"/>
    <w:qFormat/>
    <w:rsid w:val="00B676E9"/>
    <w:rPr>
      <w:i/>
      <w:iCs/>
    </w:rPr>
  </w:style>
  <w:style w:type="character" w:styleId="UnresolvedMention">
    <w:name w:val="Unresolved Mention"/>
    <w:basedOn w:val="DefaultParagraphFont"/>
    <w:uiPriority w:val="99"/>
    <w:semiHidden/>
    <w:unhideWhenUsed/>
    <w:rsid w:val="006A274E"/>
    <w:rPr>
      <w:color w:val="605E5C"/>
      <w:shd w:val="clear" w:color="auto" w:fill="E1DFDD"/>
    </w:rPr>
  </w:style>
  <w:style w:type="character" w:styleId="EndnoteReference">
    <w:name w:val="endnote reference"/>
    <w:basedOn w:val="DefaultParagraphFont"/>
    <w:uiPriority w:val="99"/>
    <w:unhideWhenUsed/>
    <w:rsid w:val="007777AC"/>
    <w:rPr>
      <w:vertAlign w:val="superscript"/>
    </w:rPr>
  </w:style>
  <w:style w:type="paragraph" w:styleId="EndnoteText">
    <w:name w:val="endnote text"/>
    <w:basedOn w:val="Normal"/>
    <w:link w:val="EndnoteTextChar"/>
    <w:uiPriority w:val="99"/>
    <w:unhideWhenUsed/>
    <w:rsid w:val="007777AC"/>
    <w:pPr>
      <w:spacing w:after="0" w:line="240" w:lineRule="auto"/>
      <w:jc w:val="both"/>
    </w:pPr>
    <w:rPr>
      <w:rFonts w:ascii="Calibri" w:eastAsia="Times New Roman" w:hAnsi="Calibri" w:cs="Times New Roman"/>
      <w:sz w:val="20"/>
      <w:szCs w:val="20"/>
      <w:lang w:eastAsia="en-GB"/>
    </w:rPr>
  </w:style>
  <w:style w:type="character" w:customStyle="1" w:styleId="EndnoteTextChar">
    <w:name w:val="Endnote Text Char"/>
    <w:basedOn w:val="DefaultParagraphFont"/>
    <w:link w:val="EndnoteText"/>
    <w:uiPriority w:val="99"/>
    <w:rsid w:val="007777AC"/>
    <w:rPr>
      <w:rFonts w:ascii="Calibri" w:eastAsia="Times New Roman" w:hAnsi="Calibri" w:cs="Times New Roman"/>
      <w:sz w:val="20"/>
      <w:szCs w:val="20"/>
      <w:lang w:eastAsia="en-GB"/>
    </w:rPr>
  </w:style>
  <w:style w:type="paragraph" w:styleId="FootnoteText">
    <w:name w:val="footnote text"/>
    <w:basedOn w:val="Normal"/>
    <w:link w:val="FootnoteTextChar"/>
    <w:uiPriority w:val="99"/>
    <w:unhideWhenUsed/>
    <w:rsid w:val="00B849C8"/>
    <w:pPr>
      <w:spacing w:after="0" w:line="240" w:lineRule="auto"/>
    </w:pPr>
    <w:rPr>
      <w:rFonts w:ascii="Calibri" w:eastAsia="Times New Roman" w:hAnsi="Calibri" w:cs="Calibri"/>
      <w:sz w:val="20"/>
      <w:szCs w:val="20"/>
      <w:lang w:eastAsia="en-GB"/>
    </w:rPr>
  </w:style>
  <w:style w:type="character" w:customStyle="1" w:styleId="FootnoteTextChar">
    <w:name w:val="Footnote Text Char"/>
    <w:basedOn w:val="DefaultParagraphFont"/>
    <w:link w:val="FootnoteText"/>
    <w:uiPriority w:val="99"/>
    <w:rsid w:val="00B849C8"/>
    <w:rPr>
      <w:rFonts w:ascii="Calibri" w:eastAsia="Times New Roman" w:hAnsi="Calibri" w:cs="Calibri"/>
      <w:sz w:val="20"/>
      <w:szCs w:val="20"/>
      <w:lang w:eastAsia="en-GB"/>
    </w:rPr>
  </w:style>
  <w:style w:type="character" w:styleId="FootnoteReference">
    <w:name w:val="footnote reference"/>
    <w:basedOn w:val="DefaultParagraphFont"/>
    <w:uiPriority w:val="99"/>
    <w:unhideWhenUsed/>
    <w:rsid w:val="00B849C8"/>
    <w:rPr>
      <w:vertAlign w:val="superscript"/>
    </w:rPr>
  </w:style>
  <w:style w:type="paragraph" w:styleId="CommentText">
    <w:name w:val="annotation text"/>
    <w:basedOn w:val="Normal"/>
    <w:link w:val="CommentTextChar"/>
    <w:uiPriority w:val="99"/>
    <w:semiHidden/>
    <w:unhideWhenUsed/>
    <w:rsid w:val="00C53211"/>
    <w:pPr>
      <w:spacing w:after="0" w:line="240" w:lineRule="auto"/>
    </w:pPr>
    <w:rPr>
      <w:rFonts w:ascii="Calibri" w:eastAsia="Times New Roman" w:hAnsi="Calibri" w:cs="Calibri"/>
      <w:sz w:val="20"/>
      <w:szCs w:val="20"/>
      <w:lang w:eastAsia="en-GB"/>
    </w:rPr>
  </w:style>
  <w:style w:type="character" w:customStyle="1" w:styleId="CommentTextChar">
    <w:name w:val="Comment Text Char"/>
    <w:basedOn w:val="DefaultParagraphFont"/>
    <w:link w:val="CommentText"/>
    <w:uiPriority w:val="99"/>
    <w:semiHidden/>
    <w:rsid w:val="00C53211"/>
    <w:rPr>
      <w:rFonts w:ascii="Calibri" w:eastAsia="Times New Roman" w:hAnsi="Calibri" w:cs="Calibri"/>
      <w:sz w:val="20"/>
      <w:szCs w:val="20"/>
      <w:lang w:eastAsia="en-GB"/>
    </w:rPr>
  </w:style>
  <w:style w:type="character" w:styleId="CommentReference">
    <w:name w:val="annotation reference"/>
    <w:basedOn w:val="DefaultParagraphFont"/>
    <w:uiPriority w:val="99"/>
    <w:semiHidden/>
    <w:unhideWhenUsed/>
    <w:rsid w:val="00C53211"/>
    <w:rPr>
      <w:sz w:val="16"/>
      <w:szCs w:val="16"/>
    </w:rPr>
  </w:style>
  <w:style w:type="character" w:customStyle="1" w:styleId="A4">
    <w:name w:val="A4"/>
    <w:uiPriority w:val="99"/>
    <w:rsid w:val="008A319C"/>
    <w:rPr>
      <w:rFonts w:cs="Helvetica Neue"/>
      <w:color w:val="000000"/>
      <w:sz w:val="20"/>
      <w:szCs w:val="20"/>
    </w:rPr>
  </w:style>
  <w:style w:type="paragraph" w:styleId="NormalWeb">
    <w:name w:val="Normal (Web)"/>
    <w:basedOn w:val="Normal"/>
    <w:uiPriority w:val="99"/>
    <w:semiHidden/>
    <w:unhideWhenUsed/>
    <w:rsid w:val="00B326CF"/>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470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7B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BDC"/>
  </w:style>
  <w:style w:type="paragraph" w:styleId="Footer">
    <w:name w:val="footer"/>
    <w:basedOn w:val="Normal"/>
    <w:link w:val="FooterChar"/>
    <w:uiPriority w:val="99"/>
    <w:unhideWhenUsed/>
    <w:rsid w:val="00D77B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BDC"/>
  </w:style>
  <w:style w:type="character" w:customStyle="1" w:styleId="ListParagraphChar">
    <w:name w:val="List Paragraph Char"/>
    <w:aliases w:val="Dot pt Char"/>
    <w:link w:val="ListParagraph"/>
    <w:uiPriority w:val="34"/>
    <w:locked/>
    <w:rsid w:val="00A92ECA"/>
  </w:style>
  <w:style w:type="character" w:customStyle="1" w:styleId="wixguard">
    <w:name w:val="wixguard"/>
    <w:basedOn w:val="DefaultParagraphFont"/>
    <w:rsid w:val="00170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27935">
      <w:bodyDiv w:val="1"/>
      <w:marLeft w:val="0"/>
      <w:marRight w:val="0"/>
      <w:marTop w:val="0"/>
      <w:marBottom w:val="0"/>
      <w:divBdr>
        <w:top w:val="none" w:sz="0" w:space="0" w:color="auto"/>
        <w:left w:val="none" w:sz="0" w:space="0" w:color="auto"/>
        <w:bottom w:val="none" w:sz="0" w:space="0" w:color="auto"/>
        <w:right w:val="none" w:sz="0" w:space="0" w:color="auto"/>
      </w:divBdr>
    </w:div>
    <w:div w:id="120271373">
      <w:bodyDiv w:val="1"/>
      <w:marLeft w:val="0"/>
      <w:marRight w:val="0"/>
      <w:marTop w:val="0"/>
      <w:marBottom w:val="0"/>
      <w:divBdr>
        <w:top w:val="none" w:sz="0" w:space="0" w:color="auto"/>
        <w:left w:val="none" w:sz="0" w:space="0" w:color="auto"/>
        <w:bottom w:val="none" w:sz="0" w:space="0" w:color="auto"/>
        <w:right w:val="none" w:sz="0" w:space="0" w:color="auto"/>
      </w:divBdr>
    </w:div>
    <w:div w:id="159661244">
      <w:bodyDiv w:val="1"/>
      <w:marLeft w:val="0"/>
      <w:marRight w:val="0"/>
      <w:marTop w:val="0"/>
      <w:marBottom w:val="0"/>
      <w:divBdr>
        <w:top w:val="none" w:sz="0" w:space="0" w:color="auto"/>
        <w:left w:val="none" w:sz="0" w:space="0" w:color="auto"/>
        <w:bottom w:val="none" w:sz="0" w:space="0" w:color="auto"/>
        <w:right w:val="none" w:sz="0" w:space="0" w:color="auto"/>
      </w:divBdr>
    </w:div>
    <w:div w:id="510144880">
      <w:bodyDiv w:val="1"/>
      <w:marLeft w:val="0"/>
      <w:marRight w:val="0"/>
      <w:marTop w:val="0"/>
      <w:marBottom w:val="0"/>
      <w:divBdr>
        <w:top w:val="none" w:sz="0" w:space="0" w:color="auto"/>
        <w:left w:val="none" w:sz="0" w:space="0" w:color="auto"/>
        <w:bottom w:val="none" w:sz="0" w:space="0" w:color="auto"/>
        <w:right w:val="none" w:sz="0" w:space="0" w:color="auto"/>
      </w:divBdr>
    </w:div>
    <w:div w:id="776173062">
      <w:bodyDiv w:val="1"/>
      <w:marLeft w:val="0"/>
      <w:marRight w:val="0"/>
      <w:marTop w:val="0"/>
      <w:marBottom w:val="0"/>
      <w:divBdr>
        <w:top w:val="none" w:sz="0" w:space="0" w:color="auto"/>
        <w:left w:val="none" w:sz="0" w:space="0" w:color="auto"/>
        <w:bottom w:val="none" w:sz="0" w:space="0" w:color="auto"/>
        <w:right w:val="none" w:sz="0" w:space="0" w:color="auto"/>
      </w:divBdr>
    </w:div>
    <w:div w:id="854880043">
      <w:bodyDiv w:val="1"/>
      <w:marLeft w:val="0"/>
      <w:marRight w:val="0"/>
      <w:marTop w:val="0"/>
      <w:marBottom w:val="0"/>
      <w:divBdr>
        <w:top w:val="none" w:sz="0" w:space="0" w:color="auto"/>
        <w:left w:val="none" w:sz="0" w:space="0" w:color="auto"/>
        <w:bottom w:val="none" w:sz="0" w:space="0" w:color="auto"/>
        <w:right w:val="none" w:sz="0" w:space="0" w:color="auto"/>
      </w:divBdr>
    </w:div>
    <w:div w:id="1034423260">
      <w:bodyDiv w:val="1"/>
      <w:marLeft w:val="0"/>
      <w:marRight w:val="0"/>
      <w:marTop w:val="0"/>
      <w:marBottom w:val="0"/>
      <w:divBdr>
        <w:top w:val="none" w:sz="0" w:space="0" w:color="auto"/>
        <w:left w:val="none" w:sz="0" w:space="0" w:color="auto"/>
        <w:bottom w:val="none" w:sz="0" w:space="0" w:color="auto"/>
        <w:right w:val="none" w:sz="0" w:space="0" w:color="auto"/>
      </w:divBdr>
      <w:divsChild>
        <w:div w:id="1506704007">
          <w:marLeft w:val="446"/>
          <w:marRight w:val="0"/>
          <w:marTop w:val="0"/>
          <w:marBottom w:val="0"/>
          <w:divBdr>
            <w:top w:val="none" w:sz="0" w:space="0" w:color="auto"/>
            <w:left w:val="none" w:sz="0" w:space="0" w:color="auto"/>
            <w:bottom w:val="none" w:sz="0" w:space="0" w:color="auto"/>
            <w:right w:val="none" w:sz="0" w:space="0" w:color="auto"/>
          </w:divBdr>
        </w:div>
      </w:divsChild>
    </w:div>
    <w:div w:id="1072196405">
      <w:bodyDiv w:val="1"/>
      <w:marLeft w:val="0"/>
      <w:marRight w:val="0"/>
      <w:marTop w:val="0"/>
      <w:marBottom w:val="0"/>
      <w:divBdr>
        <w:top w:val="none" w:sz="0" w:space="0" w:color="auto"/>
        <w:left w:val="none" w:sz="0" w:space="0" w:color="auto"/>
        <w:bottom w:val="none" w:sz="0" w:space="0" w:color="auto"/>
        <w:right w:val="none" w:sz="0" w:space="0" w:color="auto"/>
      </w:divBdr>
    </w:div>
    <w:div w:id="1107041252">
      <w:bodyDiv w:val="1"/>
      <w:marLeft w:val="0"/>
      <w:marRight w:val="0"/>
      <w:marTop w:val="0"/>
      <w:marBottom w:val="0"/>
      <w:divBdr>
        <w:top w:val="none" w:sz="0" w:space="0" w:color="auto"/>
        <w:left w:val="none" w:sz="0" w:space="0" w:color="auto"/>
        <w:bottom w:val="none" w:sz="0" w:space="0" w:color="auto"/>
        <w:right w:val="none" w:sz="0" w:space="0" w:color="auto"/>
      </w:divBdr>
    </w:div>
    <w:div w:id="1115783060">
      <w:bodyDiv w:val="1"/>
      <w:marLeft w:val="0"/>
      <w:marRight w:val="0"/>
      <w:marTop w:val="0"/>
      <w:marBottom w:val="0"/>
      <w:divBdr>
        <w:top w:val="none" w:sz="0" w:space="0" w:color="auto"/>
        <w:left w:val="none" w:sz="0" w:space="0" w:color="auto"/>
        <w:bottom w:val="none" w:sz="0" w:space="0" w:color="auto"/>
        <w:right w:val="none" w:sz="0" w:space="0" w:color="auto"/>
      </w:divBdr>
    </w:div>
    <w:div w:id="1157456495">
      <w:bodyDiv w:val="1"/>
      <w:marLeft w:val="0"/>
      <w:marRight w:val="0"/>
      <w:marTop w:val="0"/>
      <w:marBottom w:val="0"/>
      <w:divBdr>
        <w:top w:val="none" w:sz="0" w:space="0" w:color="auto"/>
        <w:left w:val="none" w:sz="0" w:space="0" w:color="auto"/>
        <w:bottom w:val="none" w:sz="0" w:space="0" w:color="auto"/>
        <w:right w:val="none" w:sz="0" w:space="0" w:color="auto"/>
      </w:divBdr>
    </w:div>
    <w:div w:id="1556351829">
      <w:bodyDiv w:val="1"/>
      <w:marLeft w:val="0"/>
      <w:marRight w:val="0"/>
      <w:marTop w:val="0"/>
      <w:marBottom w:val="0"/>
      <w:divBdr>
        <w:top w:val="none" w:sz="0" w:space="0" w:color="auto"/>
        <w:left w:val="none" w:sz="0" w:space="0" w:color="auto"/>
        <w:bottom w:val="none" w:sz="0" w:space="0" w:color="auto"/>
        <w:right w:val="none" w:sz="0" w:space="0" w:color="auto"/>
      </w:divBdr>
    </w:div>
    <w:div w:id="1800297691">
      <w:bodyDiv w:val="1"/>
      <w:marLeft w:val="0"/>
      <w:marRight w:val="0"/>
      <w:marTop w:val="0"/>
      <w:marBottom w:val="0"/>
      <w:divBdr>
        <w:top w:val="none" w:sz="0" w:space="0" w:color="auto"/>
        <w:left w:val="none" w:sz="0" w:space="0" w:color="auto"/>
        <w:bottom w:val="none" w:sz="0" w:space="0" w:color="auto"/>
        <w:right w:val="none" w:sz="0" w:space="0" w:color="auto"/>
      </w:divBdr>
    </w:div>
    <w:div w:id="1857426194">
      <w:bodyDiv w:val="1"/>
      <w:marLeft w:val="0"/>
      <w:marRight w:val="0"/>
      <w:marTop w:val="0"/>
      <w:marBottom w:val="0"/>
      <w:divBdr>
        <w:top w:val="none" w:sz="0" w:space="0" w:color="auto"/>
        <w:left w:val="none" w:sz="0" w:space="0" w:color="auto"/>
        <w:bottom w:val="none" w:sz="0" w:space="0" w:color="auto"/>
        <w:right w:val="none" w:sz="0" w:space="0" w:color="auto"/>
      </w:divBdr>
    </w:div>
    <w:div w:id="213293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gcbb.12445" TargetMode="External"/><Relationship Id="rId13" Type="http://schemas.openxmlformats.org/officeDocument/2006/relationships/hyperlink" Target="https://cadentgas.com/nggdwsdev/media/media/reports/futureofgas/Cadent-Bioenergy-Market-Review-TECHNICAL-Report-FINAL-amended.pdf"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ov.uk/government/statistics/renewable-fuel-statistics-2019-fifth-provisional-report" TargetMode="External"/><Relationship Id="rId7" Type="http://schemas.openxmlformats.org/officeDocument/2006/relationships/endnotes" Target="endnotes.xml"/><Relationship Id="rId12" Type="http://schemas.openxmlformats.org/officeDocument/2006/relationships/hyperlink" Target="https://www.forestresearch.gov.uk/tools-and-resources/statistics/forestry-statistics/" TargetMode="External"/><Relationship Id="rId17" Type="http://schemas.openxmlformats.org/officeDocument/2006/relationships/hyperlink" Target="https://forestsandrangelands.gov/woody-biomass/benefits.shtm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1016/j.foreco.2020.118773" TargetMode="External"/><Relationship Id="rId20" Type="http://schemas.openxmlformats.org/officeDocument/2006/relationships/hyperlink" Target="https://www.gov.uk/government/statistics/digest-of-uk-energy-statistics-dukes-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manchester.ac.uk/portal/en/publications/uk-biomass-availability-modelling(dc9b413c-11e7-4158-b42a-12bed870ca46).htm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eader" Target="header1.xml"/><Relationship Id="rId10" Type="http://schemas.openxmlformats.org/officeDocument/2006/relationships/hyperlink" Target="https://www.research.manchester.ac.uk/portal/andrew.welfle.html"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doi.org/10.5849/jof.14-009" TargetMode="External"/><Relationship Id="rId14" Type="http://schemas.openxmlformats.org/officeDocument/2006/relationships/hyperlink" Target="https://www.unido.org/sites/default/files/2009-11/Gallagher_Report_0.pdf" TargetMode="External"/><Relationship Id="rId22" Type="http://schemas.openxmlformats.org/officeDocument/2006/relationships/hyperlink" Target="http://www.bioenergy-strategy.com"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6" Type="http://schemas.openxmlformats.org/officeDocument/2006/relationships/hyperlink" Target="https://www.r-e-a.net/resources/review-2020/" TargetMode="External"/><Relationship Id="rId21" Type="http://schemas.openxmlformats.org/officeDocument/2006/relationships/hyperlink" Target="https://www.europeanbiogas.eu/evidence-collected-by-eba-shows-positive-impact-of-sequential-cropping-on-ghg-reductions-biodiversity-and-soil-quality/" TargetMode="External"/><Relationship Id="rId42" Type="http://schemas.openxmlformats.org/officeDocument/2006/relationships/hyperlink" Target="https://www.iea.org/reports/net-zero-by-2050" TargetMode="External"/><Relationship Id="rId47" Type="http://schemas.openxmlformats.org/officeDocument/2006/relationships/hyperlink" Target="https://www.gov.uk/guidance/medium-combustion-plant-and-specified-generators-environmental-permits" TargetMode="External"/><Relationship Id="rId63" Type="http://schemas.openxmlformats.org/officeDocument/2006/relationships/hyperlink" Target="https://www.ofgem.gov.uk/system/files/docs/2018/05/sustainability_audit_guidance.pdf" TargetMode="External"/><Relationship Id="rId68" Type="http://schemas.openxmlformats.org/officeDocument/2006/relationships/hyperlink" Target="https://ec.europa.eu/info/law/better-regulation/have-your-say/initiatives/12943-Renewable-Energy-Directive-guidance-on-the-sustainability-criteria-for-forest-biomass-used-in-energy-production_en" TargetMode="External"/><Relationship Id="rId84" Type="http://schemas.openxmlformats.org/officeDocument/2006/relationships/hyperlink" Target="https://www.drax.com/sustainable-bioenergy/responsible-sourcing/" TargetMode="External"/><Relationship Id="rId89" Type="http://schemas.openxmlformats.org/officeDocument/2006/relationships/hyperlink" Target="https://sbp-cert.org/about-us/facts-figures/" TargetMode="External"/><Relationship Id="rId16" Type="http://schemas.openxmlformats.org/officeDocument/2006/relationships/hyperlink" Target="https://lhc.ca.gov/sites/lhc.ca.gov/files/Reports/242/Report242.pdf" TargetMode="External"/><Relationship Id="rId11" Type="http://schemas.openxmlformats.org/officeDocument/2006/relationships/hyperlink" Target="https://www.forestresearch.gov.uk/tools-and-resources/statistics/forestry-statistics/" TargetMode="External"/><Relationship Id="rId32" Type="http://schemas.openxmlformats.org/officeDocument/2006/relationships/hyperlink" Target="https://www.gov.uk/government/publications/england-trees-action-plan-2021-to-2024" TargetMode="External"/><Relationship Id="rId37" Type="http://schemas.openxmlformats.org/officeDocument/2006/relationships/hyperlink" Target="https://www.theccc.org.uk/publication/biomass-in-a-low-carbon-economy/" TargetMode="External"/><Relationship Id="rId53" Type="http://schemas.openxmlformats.org/officeDocument/2006/relationships/hyperlink" Target="https://www.oekofen.com/en-gb/zeroflame/" TargetMode="External"/><Relationship Id="rId58" Type="http://schemas.openxmlformats.org/officeDocument/2006/relationships/hyperlink" Target="https://www.gov.uk/government/statistics/rhi-monthly-deployment-data-december-2020-annual-edition" TargetMode="External"/><Relationship Id="rId74" Type="http://schemas.openxmlformats.org/officeDocument/2006/relationships/hyperlink" Target="https://www.fia.fs.fed.us/" TargetMode="External"/><Relationship Id="rId79" Type="http://schemas.openxmlformats.org/officeDocument/2006/relationships/hyperlink" Target="https://www.forestresearch.gov.uk/tools-and-resources/statistics/forestry-statistics/" TargetMode="External"/><Relationship Id="rId102" Type="http://schemas.openxmlformats.org/officeDocument/2006/relationships/hyperlink" Target="https://www.eti.co.uk/library/overview-of-the-etis-bioenergy-value-chain-model-bvcm-capabilities" TargetMode="External"/><Relationship Id="rId5" Type="http://schemas.openxmlformats.org/officeDocument/2006/relationships/hyperlink" Target="https://www.gov.uk/government/collections/waste-and-recycling-statistics" TargetMode="External"/><Relationship Id="rId90" Type="http://schemas.openxmlformats.org/officeDocument/2006/relationships/hyperlink" Target="https://rsb.org/the-rsb-standard/recognition/" TargetMode="External"/><Relationship Id="rId95" Type="http://schemas.openxmlformats.org/officeDocument/2006/relationships/hyperlink" Target="https://forestscope.info/" TargetMode="External"/><Relationship Id="rId22" Type="http://schemas.openxmlformats.org/officeDocument/2006/relationships/hyperlink" Target="https://www.europeanbiogas.eu/wp-content/uploads/2018/10/Biogas-done-Right-extended-2.pdf" TargetMode="External"/><Relationship Id="rId27" Type="http://schemas.openxmlformats.org/officeDocument/2006/relationships/hyperlink" Target="https://www.gov.uk/government/publications/england-trees-action-plan-2021-to-2024" TargetMode="External"/><Relationship Id="rId43" Type="http://schemas.openxmlformats.org/officeDocument/2006/relationships/hyperlink" Target="https://www.theccc.org.uk/publication/biomass-in-a-low-carbon-economy/" TargetMode="External"/><Relationship Id="rId48" Type="http://schemas.openxmlformats.org/officeDocument/2006/relationships/hyperlink" Target="https://ec.europa.eu/info/relations-united-kingdom/eu-uk-trade-and-cooperation-agreement_en" TargetMode="External"/><Relationship Id="rId64" Type="http://schemas.openxmlformats.org/officeDocument/2006/relationships/hyperlink" Target="https://www.lowcarboncontracts.uk/publications/lccc-sustainability-criteria-guidance" TargetMode="External"/><Relationship Id="rId69" Type="http://schemas.openxmlformats.org/officeDocument/2006/relationships/hyperlink" Target="https://publications.jrc.ec.europa.eu/repository/handle/JRC122719" TargetMode="External"/><Relationship Id="rId80" Type="http://schemas.openxmlformats.org/officeDocument/2006/relationships/hyperlink" Target="https://assets.publishing.service.gov.uk/government/uploads/system/uploads/attachment_data/file/349024/BEAC_Report_290814.pdf" TargetMode="External"/><Relationship Id="rId85" Type="http://schemas.openxmlformats.org/officeDocument/2006/relationships/hyperlink" Target="https://www.biomassheatworks.co.uk/" TargetMode="External"/><Relationship Id="rId12" Type="http://schemas.openxmlformats.org/officeDocument/2006/relationships/hyperlink" Target="https://forestsandrangelands.gov/woody-biomass/benefits.shtml" TargetMode="External"/><Relationship Id="rId17" Type="http://schemas.openxmlformats.org/officeDocument/2006/relationships/hyperlink" Target="https://doi.org/10.1093/biosci/biaa006" TargetMode="External"/><Relationship Id="rId25" Type="http://schemas.openxmlformats.org/officeDocument/2006/relationships/hyperlink" Target="https://www.gov.uk/government/publications/bioeconomy-strategy-2018-to-2030" TargetMode="External"/><Relationship Id="rId33" Type="http://schemas.openxmlformats.org/officeDocument/2006/relationships/hyperlink" Target="https://www.forestresearch.gov.uk/tools-and-resources/statistics/forestry-statistics/" TargetMode="External"/><Relationship Id="rId38" Type="http://schemas.openxmlformats.org/officeDocument/2006/relationships/hyperlink" Target="https://www.forest2market.com/hubfs/2016_Website/Documents/20151119_Forest2Market_USSouthWoodSupplyTrends.pdf" TargetMode="External"/><Relationship Id="rId46" Type="http://schemas.openxmlformats.org/officeDocument/2006/relationships/hyperlink" Target="https://www.gov.uk/government/collections/industrial-emissions-directive-ied-environmental-permits-issued" TargetMode="External"/><Relationship Id="rId59" Type="http://schemas.openxmlformats.org/officeDocument/2006/relationships/hyperlink" Target="https://docs.wixstatic.com/ugd/3fb734_c264f6bcb39f430ab829d6e93c3809ca.pdf" TargetMode="External"/><Relationship Id="rId67" Type="http://schemas.openxmlformats.org/officeDocument/2006/relationships/hyperlink" Target="https://www.gov.uk/government/publications/renewable-transport-fuel-obligation-rtfo-guidance-2021" TargetMode="External"/><Relationship Id="rId103" Type="http://schemas.openxmlformats.org/officeDocument/2006/relationships/hyperlink" Target="https://assets.publishing.service.gov.uk/government/uploads/system/uploads/attachment_data/file/984119/industrial-carbon-capture-icc.pdf" TargetMode="External"/><Relationship Id="rId20" Type="http://schemas.openxmlformats.org/officeDocument/2006/relationships/hyperlink" Target="https://www.sciencedirect.com/science/article/abs/pii/S1364032115012058?via%3Dihub" TargetMode="External"/><Relationship Id="rId41" Type="http://schemas.openxmlformats.org/officeDocument/2006/relationships/hyperlink" Target="https://www.energy.gov/eere/bioenergy/2016-billion-ton-report" TargetMode="External"/><Relationship Id="rId54" Type="http://schemas.openxmlformats.org/officeDocument/2006/relationships/hyperlink" Target="http://www.pelletcouncil.org.uk/enplus-scheme/" TargetMode="External"/><Relationship Id="rId62" Type="http://schemas.openxmlformats.org/officeDocument/2006/relationships/hyperlink" Target="https://www.ofgem.gov.uk/system/files/docs/2018/04/sustainability_reporting_guidance.pdf" TargetMode="External"/><Relationship Id="rId70" Type="http://schemas.openxmlformats.org/officeDocument/2006/relationships/hyperlink" Target="https://www.r-e-a.net/resources/bioenergy-strategy-phase-3/" TargetMode="External"/><Relationship Id="rId75" Type="http://schemas.openxmlformats.org/officeDocument/2006/relationships/hyperlink" Target="https://onlinelibrary.wiley.com/doi/epdf/10.1111/gcbb.12273" TargetMode="External"/><Relationship Id="rId83" Type="http://schemas.openxmlformats.org/officeDocument/2006/relationships/hyperlink" Target="https://www.envivabiomass.com/sustainability/responsible-sourcing/track-trace/" TargetMode="External"/><Relationship Id="rId88" Type="http://schemas.openxmlformats.org/officeDocument/2006/relationships/hyperlink" Target="https://rsb.org/the-rsb-standard/about-the-rsb-standard/" TargetMode="External"/><Relationship Id="rId91" Type="http://schemas.openxmlformats.org/officeDocument/2006/relationships/hyperlink" Target="https://biomass-suppliers-list.service.gov.uk/about" TargetMode="External"/><Relationship Id="rId96" Type="http://schemas.openxmlformats.org/officeDocument/2006/relationships/hyperlink" Target="https://sbp-cert.org/documents/standards-documents/standards/" TargetMode="External"/><Relationship Id="rId1" Type="http://schemas.openxmlformats.org/officeDocument/2006/relationships/hyperlink" Target="https://www.r-e-a.net/resources/bioenergy-strategy-phase-3/" TargetMode="External"/><Relationship Id="rId6" Type="http://schemas.openxmlformats.org/officeDocument/2006/relationships/hyperlink" Target="https://www.fre-energy.co.uk/pdf/RASE-On-Farm-AD-Review.pdf" TargetMode="External"/><Relationship Id="rId15" Type="http://schemas.openxmlformats.org/officeDocument/2006/relationships/hyperlink" Target="http://biomassmagazine.com/articles/15824/opinion-climate-and-fire-why-biomass-matters-to-both" TargetMode="External"/><Relationship Id="rId23" Type="http://schemas.openxmlformats.org/officeDocument/2006/relationships/hyperlink" Target="https://assets.publishing.service.gov.uk/government/uploads/system/uploads/attachment_data/file/918270/UK_Statistics_on_Waste_statistical_notice_March_2020_accessible_FINAL_updated_size_12.pdf" TargetMode="External"/><Relationship Id="rId28" Type="http://schemas.openxmlformats.org/officeDocument/2006/relationships/hyperlink" Target="file:///C:/Users/MSOMME~1/AppData/Local/Temp/Net-Zero-The-UKs-contribution-to-stopping-global-warming.pdf" TargetMode="External"/><Relationship Id="rId36" Type="http://schemas.openxmlformats.org/officeDocument/2006/relationships/hyperlink" Target="https://policyexchange.org.uk/publication/bigger-better-forests/" TargetMode="External"/><Relationship Id="rId49" Type="http://schemas.openxmlformats.org/officeDocument/2006/relationships/hyperlink" Target="https://www.gov.uk/government/publications/municipal-waste-incinerator-emissions-to-air-impact-on-health" TargetMode="External"/><Relationship Id="rId57" Type="http://schemas.openxmlformats.org/officeDocument/2006/relationships/hyperlink" Target="https://www.qmholzheizwerke.ch/de/qm-holzheizwerke/was-ist-qm-holzheizwerker.html" TargetMode="External"/><Relationship Id="rId10" Type="http://schemas.openxmlformats.org/officeDocument/2006/relationships/hyperlink" Target="https://doi.org/10.1016/j.foreco.2020.118773" TargetMode="External"/><Relationship Id="rId31" Type="http://schemas.openxmlformats.org/officeDocument/2006/relationships/hyperlink" Target="https://issuu.com/earsc/docs/case_report_-_forest_management_in_" TargetMode="External"/><Relationship Id="rId44" Type="http://schemas.openxmlformats.org/officeDocument/2006/relationships/hyperlink" Target="https://assets.publishing.service.gov.uk/government/uploads/system/uploads/attachment_data/file/984119/industrial-carbon-capture-icc.pdf" TargetMode="External"/><Relationship Id="rId52" Type="http://schemas.openxmlformats.org/officeDocument/2006/relationships/hyperlink" Target="https://www.r-e-a.net/resources/beis-rhi-consultation-biomass-combustion-in-urban-areas/" TargetMode="External"/><Relationship Id="rId60" Type="http://schemas.openxmlformats.org/officeDocument/2006/relationships/hyperlink" Target="http://www.synthetic-fuels.eu/" TargetMode="External"/><Relationship Id="rId65" Type="http://schemas.openxmlformats.org/officeDocument/2006/relationships/hyperlink" Target="https://assets.publishing.service.gov.uk/government/uploads/system/uploads/attachment_data/file/594136/Woodfuel_Advice_Note_v2_Feb2017.pdf" TargetMode="External"/><Relationship Id="rId73" Type="http://schemas.openxmlformats.org/officeDocument/2006/relationships/hyperlink" Target="https://eur-lex.europa.eu/legal-content/EN/TXT/PDF/?uri=OJ:JOL_2014_351_R_0002" TargetMode="External"/><Relationship Id="rId78" Type="http://schemas.openxmlformats.org/officeDocument/2006/relationships/hyperlink" Target="https://www.forest2market.com/hubfs/2016_Website/Documents/20170726_Forest2Market_Historical_Perspective_US_South.pdf" TargetMode="External"/><Relationship Id="rId81" Type="http://schemas.openxmlformats.org/officeDocument/2006/relationships/hyperlink" Target="https://assets.publishing.service.gov.uk/government/uploads/system/uploads/attachment_data/file/600477/PED60674_final_report_270416_Tec_Report_FINAL_v2_AMENDMENTS_ACCEPTED.pdf" TargetMode="External"/><Relationship Id="rId86" Type="http://schemas.openxmlformats.org/officeDocument/2006/relationships/hyperlink" Target="https://publications.jrc.ec.europa.eu/repository/handle/JRC122719" TargetMode="External"/><Relationship Id="rId94" Type="http://schemas.openxmlformats.org/officeDocument/2006/relationships/hyperlink" Target="https://biomass-suppliers-list.service.gov.uk/about" TargetMode="External"/><Relationship Id="rId99" Type="http://schemas.openxmlformats.org/officeDocument/2006/relationships/hyperlink" Target="https://www.isda.org/2021/04/15/joint-trade-associations-letter-on-linkage-between-uk-and-eu-emissions-trading-systems/" TargetMode="External"/><Relationship Id="rId101" Type="http://schemas.openxmlformats.org/officeDocument/2006/relationships/hyperlink" Target="https://www.theccc.org.uk/publication/biomass-in-a-low-carbon-economy/" TargetMode="External"/><Relationship Id="rId4" Type="http://schemas.openxmlformats.org/officeDocument/2006/relationships/hyperlink" Target="https://www.forestresearch.gov.uk/tools-and-resources/statistics/forestry-statistics/" TargetMode="External"/><Relationship Id="rId9" Type="http://schemas.openxmlformats.org/officeDocument/2006/relationships/hyperlink" Target="https://www.r-e-a.net/resources/bioenergy-strategy-phase-3/" TargetMode="External"/><Relationship Id="rId13" Type="http://schemas.openxmlformats.org/officeDocument/2006/relationships/hyperlink" Target="https://www.gov.uk/government/publications/the-uk-forestry-standard" TargetMode="External"/><Relationship Id="rId18" Type="http://schemas.openxmlformats.org/officeDocument/2006/relationships/hyperlink" Target="https://www.forest2market.com/hubfs/2016_Website/Documents/20170726_Forest2Market_Historical_Perspective_US_South.pdf" TargetMode="External"/><Relationship Id="rId39" Type="http://schemas.openxmlformats.org/officeDocument/2006/relationships/hyperlink" Target="https://www.fia.fs.fed.us/" TargetMode="External"/><Relationship Id="rId34" Type="http://schemas.openxmlformats.org/officeDocument/2006/relationships/hyperlink" Target="https://www.renewablesandchp.ofgem.gov.uk/Public/ReportManager.aspx?ReportVisibility=1&amp;ReportCategory=0" TargetMode="External"/><Relationship Id="rId50" Type="http://schemas.openxmlformats.org/officeDocument/2006/relationships/hyperlink" Target="https://www.imperial.ac.uk/news/191653/major-study-finds-conclusive-links-health/" TargetMode="External"/><Relationship Id="rId55" Type="http://schemas.openxmlformats.org/officeDocument/2006/relationships/hyperlink" Target="https://goodchips.eu/about.html" TargetMode="External"/><Relationship Id="rId76" Type="http://schemas.openxmlformats.org/officeDocument/2006/relationships/hyperlink" Target="https://onlinelibrary.wiley.com/doi/full/10.1111/gcbb.12445" TargetMode="External"/><Relationship Id="rId97" Type="http://schemas.openxmlformats.org/officeDocument/2006/relationships/hyperlink" Target="https://www.gov.uk/government/collections/renewable-heat-incentive-statistics" TargetMode="External"/><Relationship Id="rId104" Type="http://schemas.openxmlformats.org/officeDocument/2006/relationships/hyperlink" Target="https://www.gov.uk/government/publications/carbon-capture-usage-and-storage-ccus-business-models" TargetMode="External"/><Relationship Id="rId7" Type="http://schemas.openxmlformats.org/officeDocument/2006/relationships/hyperlink" Target="https://www.theccc.org.uk/publication/net-zero-the-uks-contribution-to-stopping-global-warming/" TargetMode="External"/><Relationship Id="rId71" Type="http://schemas.openxmlformats.org/officeDocument/2006/relationships/hyperlink" Target="https://biomass-suppliers-list.service.gov.uk/Content/Documents/BSL%20Land%20Criteria%20Guidance%20-%20V2.0.pdf" TargetMode="External"/><Relationship Id="rId92" Type="http://schemas.openxmlformats.org/officeDocument/2006/relationships/hyperlink" Target="https://www.sfregister.org/" TargetMode="External"/><Relationship Id="rId2" Type="http://schemas.openxmlformats.org/officeDocument/2006/relationships/hyperlink" Target="https://assets.publishing.service.gov.uk/government/uploads/system/uploads/attachment_data/file/597387/Biomass_feedstock_availability_final_report_for_publication.pdf" TargetMode="External"/><Relationship Id="rId29" Type="http://schemas.openxmlformats.org/officeDocument/2006/relationships/hyperlink" Target="https://www.fia.fs.fed.us/library/brochures/docs/Forest%20Facts%201952-2007%20English%20rev072411.pdf" TargetMode="External"/><Relationship Id="rId24" Type="http://schemas.openxmlformats.org/officeDocument/2006/relationships/hyperlink" Target="file:///C:/Users/MSOMME~1/AppData/Local/Temp/Net-Zero-The-UKs-contribution-to-stopping-global-warming.pdf" TargetMode="External"/><Relationship Id="rId40" Type="http://schemas.openxmlformats.org/officeDocument/2006/relationships/hyperlink" Target="https://onlinelibrary.wiley.com/doi/full/10.1111/gcbb.12445" TargetMode="External"/><Relationship Id="rId45" Type="http://schemas.openxmlformats.org/officeDocument/2006/relationships/hyperlink" Target="https://assets.publishing.service.gov.uk/government/uploads/system/uploads/attachment_data/file/762596/Technical_Feasibility_of_Electric_Heating_in_Rural_Off-Gas_Grid_Dwellings.pdf" TargetMode="External"/><Relationship Id="rId66" Type="http://schemas.openxmlformats.org/officeDocument/2006/relationships/hyperlink" Target="https://www.gov.uk/government/publications/timber-standard-for-heat-electricity" TargetMode="External"/><Relationship Id="rId87" Type="http://schemas.openxmlformats.org/officeDocument/2006/relationships/hyperlink" Target="https://sbp-cert.org/wp-content/uploads/2018/10/SBP_Overview_Final_Mar18.pdf" TargetMode="External"/><Relationship Id="rId61" Type="http://schemas.openxmlformats.org/officeDocument/2006/relationships/hyperlink" Target="https://www.gov.uk/government/uploads/system/uploads/attachment_data/file/581859/emissio%20ns-testing-of-gas-powered-commercial-vehicles.pdf" TargetMode="External"/><Relationship Id="rId82" Type="http://schemas.openxmlformats.org/officeDocument/2006/relationships/hyperlink" Target="https://doi.org/10.1111/gcbb.12844" TargetMode="External"/><Relationship Id="rId19" Type="http://schemas.openxmlformats.org/officeDocument/2006/relationships/hyperlink" Target="https://www.terravesta.com/wp-content/uploads/2021/04/Terravesta_miscanthus_carbon_report.pdf" TargetMode="External"/><Relationship Id="rId14" Type="http://schemas.openxmlformats.org/officeDocument/2006/relationships/hyperlink" Target="http://www.fao.org/3/a-ml291e.pdf" TargetMode="External"/><Relationship Id="rId30" Type="http://schemas.openxmlformats.org/officeDocument/2006/relationships/hyperlink" Target="https://doi.org/10.1016/j.energy.2017.03.052" TargetMode="External"/><Relationship Id="rId35" Type="http://schemas.openxmlformats.org/officeDocument/2006/relationships/hyperlink" Target="https://www.theccc.org.uk/publication/land-use-policies-for-a-net-zero-uk/" TargetMode="External"/><Relationship Id="rId56" Type="http://schemas.openxmlformats.org/officeDocument/2006/relationships/hyperlink" Target="https://woodsure.co.uk/about-woodsure/" TargetMode="External"/><Relationship Id="rId77" Type="http://schemas.openxmlformats.org/officeDocument/2006/relationships/hyperlink" Target="https://www.drax.com/sustainable-bioenergy/the-us-souths-biomass-sourcing-areas-analysed/" TargetMode="External"/><Relationship Id="rId100" Type="http://schemas.openxmlformats.org/officeDocument/2006/relationships/hyperlink" Target="https://www.ipcc-nggip.iges.or.jp/public/2019rf/vol2.html" TargetMode="External"/><Relationship Id="rId8" Type="http://schemas.openxmlformats.org/officeDocument/2006/relationships/hyperlink" Target="https://wrap.org.uk/resources/report/gate-fees-report-2020" TargetMode="External"/><Relationship Id="rId51" Type="http://schemas.openxmlformats.org/officeDocument/2006/relationships/hyperlink" Target="https://www.gov.uk/government/publications/municipal-waste-incinerators-emissions-impact-on-health/phe-statement-on-modern-municipal-waste-incinerators-mwi-study" TargetMode="External"/><Relationship Id="rId72" Type="http://schemas.openxmlformats.org/officeDocument/2006/relationships/hyperlink" Target="https://www.sfregister.org/sites/default/files/sfr-guidance-notes-v1.6.pdf" TargetMode="External"/><Relationship Id="rId93" Type="http://schemas.openxmlformats.org/officeDocument/2006/relationships/hyperlink" Target="https://www.gov.uk/government/consultations/non-domestic-renewable-heat-incentive-ensuring-a-sustainable-scheme" TargetMode="External"/><Relationship Id="rId98" Type="http://schemas.openxmlformats.org/officeDocument/2006/relationships/hyperlink" Target="https://rhi.ofgem.gov.uk/Public/ExternalReports.aspx?id=1" TargetMode="External"/><Relationship Id="rId3" Type="http://schemas.openxmlformats.org/officeDocument/2006/relationships/hyperlink" Target="https://www.theccc.org.uk/publication/biomass-in-a-low-carbon-econom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A6833-D38D-4C3D-8801-D2A140961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2569</TotalTime>
  <Pages>50</Pages>
  <Words>20097</Words>
  <Characters>114553</Characters>
  <Application>Microsoft Office Word</Application>
  <DocSecurity>0</DocSecurity>
  <Lines>954</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Sommerfeld</dc:creator>
  <cp:keywords/>
  <dc:description/>
  <cp:lastModifiedBy>Mark Sommerfeld</cp:lastModifiedBy>
  <cp:revision>39</cp:revision>
  <dcterms:created xsi:type="dcterms:W3CDTF">2021-06-06T11:36:00Z</dcterms:created>
  <dcterms:modified xsi:type="dcterms:W3CDTF">2021-06-09T17:31:00Z</dcterms:modified>
</cp:coreProperties>
</file>