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FA895" w14:textId="41024BDC" w:rsidR="006B0774" w:rsidRPr="006B0774" w:rsidRDefault="000C74F5" w:rsidP="006B0774">
      <w:pPr>
        <w:spacing w:after="0" w:line="240" w:lineRule="auto"/>
        <w:jc w:val="center"/>
        <w:rPr>
          <w:rFonts w:ascii="Open Sans" w:hAnsi="Open Sans" w:cs="Open Sans"/>
          <w:b/>
          <w:bCs/>
          <w:color w:val="06926B"/>
          <w:sz w:val="32"/>
          <w:szCs w:val="32"/>
        </w:rPr>
      </w:pPr>
      <w:r w:rsidRPr="006B0774">
        <w:rPr>
          <w:rFonts w:ascii="Open Sans" w:hAnsi="Open Sans" w:cs="Open Sans"/>
          <w:b/>
          <w:bCs/>
          <w:color w:val="06926B"/>
          <w:sz w:val="32"/>
          <w:szCs w:val="32"/>
        </w:rPr>
        <w:t>REA Response to HM Treasury Consultation on More Frequent Revaluations for Business Rates</w:t>
      </w:r>
    </w:p>
    <w:p w14:paraId="10251F9A" w14:textId="77777777" w:rsidR="006B0774" w:rsidRPr="006B0774" w:rsidRDefault="006B0774" w:rsidP="006B0774">
      <w:pPr>
        <w:spacing w:after="0" w:line="240" w:lineRule="auto"/>
        <w:rPr>
          <w:rFonts w:ascii="Open Sans" w:hAnsi="Open Sans" w:cs="Open Sans"/>
          <w:sz w:val="32"/>
          <w:szCs w:val="32"/>
        </w:rPr>
      </w:pPr>
    </w:p>
    <w:p w14:paraId="0C07C8E2" w14:textId="77777777" w:rsidR="006B0774" w:rsidRPr="006B0774" w:rsidRDefault="000C74F5" w:rsidP="00E42619">
      <w:pPr>
        <w:rPr>
          <w:rFonts w:ascii="Open Sans" w:hAnsi="Open Sans" w:cs="Open Sans"/>
        </w:rPr>
      </w:pPr>
      <w:r w:rsidRPr="006B0774">
        <w:rPr>
          <w:rFonts w:ascii="Open Sans" w:hAnsi="Open Sans" w:cs="Open Sans"/>
        </w:rPr>
        <w:t>The Association for Renewable Energy &amp; Clean Technology (REA) is pleased to submit this response to the above consultation. The REA represents a wide variety of organisations, including generators, project developers, fuel and power suppliers, investors, e</w:t>
      </w:r>
      <w:r w:rsidRPr="006B0774">
        <w:rPr>
          <w:rFonts w:ascii="Open Sans" w:hAnsi="Open Sans" w:cs="Open Sans"/>
        </w:rPr>
        <w:t xml:space="preserve">quipment producers and service providers. Members range in size from major multinationals to sole traders. There are over 500 corporate members of the REA, making it the largest renewable energy trade association in the UK.  </w:t>
      </w:r>
    </w:p>
    <w:p w14:paraId="662741A8" w14:textId="6C9E4F14" w:rsidR="004C3842" w:rsidRPr="00E42619" w:rsidRDefault="000C74F5" w:rsidP="00E42619">
      <w:pPr>
        <w:pStyle w:val="ListParagraph"/>
        <w:numPr>
          <w:ilvl w:val="0"/>
          <w:numId w:val="1"/>
        </w:numPr>
        <w:ind w:left="0"/>
        <w:rPr>
          <w:rFonts w:ascii="Open Sans" w:hAnsi="Open Sans" w:cs="Open Sans"/>
          <w:color w:val="2F5496"/>
        </w:rPr>
      </w:pPr>
      <w:r w:rsidRPr="00E42619">
        <w:rPr>
          <w:rFonts w:ascii="Open Sans" w:hAnsi="Open Sans" w:cs="Open Sans"/>
          <w:b/>
          <w:bCs/>
          <w:color w:val="2F5496"/>
        </w:rPr>
        <w:t>Does the proposed package of m</w:t>
      </w:r>
      <w:r w:rsidRPr="00E42619">
        <w:rPr>
          <w:rFonts w:ascii="Open Sans" w:hAnsi="Open Sans" w:cs="Open Sans"/>
          <w:b/>
          <w:bCs/>
          <w:color w:val="2F5496"/>
        </w:rPr>
        <w:t>easures represent a fair and balanced trade-off for ratepayers between new benefits and new requirements? If not, please detail what adjustments you would like to see, to ensure a balanced package of measures that would support a 3-yearly cycle while takin</w:t>
      </w:r>
      <w:r w:rsidRPr="00E42619">
        <w:rPr>
          <w:rFonts w:ascii="Open Sans" w:hAnsi="Open Sans" w:cs="Open Sans"/>
          <w:b/>
          <w:bCs/>
          <w:color w:val="2F5496"/>
        </w:rPr>
        <w:t xml:space="preserve">g account of deliverability constraints. </w:t>
      </w:r>
    </w:p>
    <w:p w14:paraId="6F994C91" w14:textId="5B853D7C" w:rsidR="00E30F37" w:rsidRPr="006B0774" w:rsidRDefault="000C74F5" w:rsidP="00E42619">
      <w:pPr>
        <w:rPr>
          <w:rFonts w:ascii="Open Sans" w:hAnsi="Open Sans" w:cs="Open Sans"/>
        </w:rPr>
      </w:pPr>
      <w:r w:rsidRPr="006B0774">
        <w:rPr>
          <w:rFonts w:ascii="Open Sans" w:hAnsi="Open Sans" w:cs="Open Sans"/>
        </w:rPr>
        <w:t xml:space="preserve">As has already been stated in the REA response to the Fundamental </w:t>
      </w:r>
      <w:r w:rsidR="00E42619">
        <w:rPr>
          <w:rFonts w:ascii="Open Sans" w:hAnsi="Open Sans" w:cs="Open Sans"/>
        </w:rPr>
        <w:t>R</w:t>
      </w:r>
      <w:r w:rsidRPr="006B0774">
        <w:rPr>
          <w:rFonts w:ascii="Open Sans" w:hAnsi="Open Sans" w:cs="Open Sans"/>
        </w:rPr>
        <w:t>eview of Business Rates Consultation</w:t>
      </w:r>
      <w:r w:rsidR="00E42619">
        <w:rPr>
          <w:rFonts w:ascii="Open Sans" w:hAnsi="Open Sans" w:cs="Open Sans"/>
        </w:rPr>
        <w:t>,</w:t>
      </w:r>
      <w:r w:rsidRPr="006B0774">
        <w:rPr>
          <w:rFonts w:ascii="Open Sans" w:hAnsi="Open Sans" w:cs="Open Sans"/>
        </w:rPr>
        <w:t xml:space="preserve"> the renewable</w:t>
      </w:r>
      <w:r w:rsidR="00E42619">
        <w:rPr>
          <w:rFonts w:ascii="Open Sans" w:hAnsi="Open Sans" w:cs="Open Sans"/>
        </w:rPr>
        <w:t xml:space="preserve"> energy</w:t>
      </w:r>
      <w:r w:rsidRPr="006B0774">
        <w:rPr>
          <w:rFonts w:ascii="Open Sans" w:hAnsi="Open Sans" w:cs="Open Sans"/>
        </w:rPr>
        <w:t xml:space="preserve"> and clean </w:t>
      </w:r>
      <w:r w:rsidR="00E42619">
        <w:rPr>
          <w:rFonts w:ascii="Open Sans" w:hAnsi="Open Sans" w:cs="Open Sans"/>
        </w:rPr>
        <w:t xml:space="preserve">technology </w:t>
      </w:r>
      <w:r w:rsidRPr="006B0774">
        <w:rPr>
          <w:rFonts w:ascii="Open Sans" w:hAnsi="Open Sans" w:cs="Open Sans"/>
        </w:rPr>
        <w:t>sector are in favour of more frequent revaluations, as previously c</w:t>
      </w:r>
      <w:r w:rsidRPr="006B0774">
        <w:rPr>
          <w:rFonts w:ascii="Open Sans" w:hAnsi="Open Sans" w:cs="Open Sans"/>
        </w:rPr>
        <w:t xml:space="preserve">ommitted to by </w:t>
      </w:r>
      <w:r w:rsidRPr="006B0774">
        <w:rPr>
          <w:rFonts w:ascii="Open Sans" w:hAnsi="Open Sans" w:cs="Open Sans"/>
        </w:rPr>
        <w:t xml:space="preserve">government. Three-year revaluations will help business </w:t>
      </w:r>
      <w:r w:rsidR="00E42619" w:rsidRPr="006B0774">
        <w:rPr>
          <w:rFonts w:ascii="Open Sans" w:hAnsi="Open Sans" w:cs="Open Sans"/>
        </w:rPr>
        <w:t>rates better</w:t>
      </w:r>
      <w:r w:rsidRPr="006B0774">
        <w:rPr>
          <w:rFonts w:ascii="Open Sans" w:hAnsi="Open Sans" w:cs="Open Sans"/>
        </w:rPr>
        <w:t xml:space="preserve"> reflect market realities, especially in the case of quickly developing </w:t>
      </w:r>
      <w:r w:rsidR="00E42619">
        <w:rPr>
          <w:rFonts w:ascii="Open Sans" w:hAnsi="Open Sans" w:cs="Open Sans"/>
        </w:rPr>
        <w:t>decarbonisation sectors,</w:t>
      </w:r>
      <w:r w:rsidRPr="006B0774">
        <w:rPr>
          <w:rFonts w:ascii="Open Sans" w:hAnsi="Open Sans" w:cs="Open Sans"/>
        </w:rPr>
        <w:t xml:space="preserve"> where government policies, growing demand and falling prices mean that </w:t>
      </w:r>
      <w:r w:rsidR="00FC012B" w:rsidRPr="006B0774">
        <w:rPr>
          <w:rFonts w:ascii="Open Sans" w:hAnsi="Open Sans" w:cs="Open Sans"/>
        </w:rPr>
        <w:t xml:space="preserve">business </w:t>
      </w:r>
      <w:r w:rsidR="00E42619">
        <w:rPr>
          <w:rFonts w:ascii="Open Sans" w:hAnsi="Open Sans" w:cs="Open Sans"/>
        </w:rPr>
        <w:t xml:space="preserve">realities </w:t>
      </w:r>
      <w:r w:rsidR="00FC012B" w:rsidRPr="006B0774">
        <w:rPr>
          <w:rFonts w:ascii="Open Sans" w:hAnsi="Open Sans" w:cs="Open Sans"/>
        </w:rPr>
        <w:t>can</w:t>
      </w:r>
      <w:r w:rsidRPr="006B0774">
        <w:rPr>
          <w:rFonts w:ascii="Open Sans" w:hAnsi="Open Sans" w:cs="Open Sans"/>
        </w:rPr>
        <w:t xml:space="preserve"> quickly change year on year. A move to revaluation</w:t>
      </w:r>
      <w:r w:rsidR="00E42619">
        <w:rPr>
          <w:rFonts w:ascii="Open Sans" w:hAnsi="Open Sans" w:cs="Open Sans"/>
        </w:rPr>
        <w:t>s</w:t>
      </w:r>
      <w:r w:rsidRPr="006B0774">
        <w:rPr>
          <w:rFonts w:ascii="Open Sans" w:hAnsi="Open Sans" w:cs="Open Sans"/>
        </w:rPr>
        <w:t xml:space="preserve"> </w:t>
      </w:r>
      <w:r w:rsidR="00FC012B" w:rsidRPr="006B0774">
        <w:rPr>
          <w:rFonts w:ascii="Open Sans" w:hAnsi="Open Sans" w:cs="Open Sans"/>
        </w:rPr>
        <w:t xml:space="preserve">on a three-year </w:t>
      </w:r>
      <w:r w:rsidRPr="006B0774">
        <w:rPr>
          <w:rFonts w:ascii="Open Sans" w:hAnsi="Open Sans" w:cs="Open Sans"/>
        </w:rPr>
        <w:t xml:space="preserve">cycle will help, although </w:t>
      </w:r>
      <w:r w:rsidR="00E42619">
        <w:rPr>
          <w:rFonts w:ascii="Open Sans" w:hAnsi="Open Sans" w:cs="Open Sans"/>
        </w:rPr>
        <w:t>we believe</w:t>
      </w:r>
      <w:r w:rsidRPr="006B0774">
        <w:rPr>
          <w:rFonts w:ascii="Open Sans" w:hAnsi="Open Sans" w:cs="Open Sans"/>
        </w:rPr>
        <w:t xml:space="preserve"> annual revaluations </w:t>
      </w:r>
      <w:r w:rsidR="00FC012B" w:rsidRPr="006B0774">
        <w:rPr>
          <w:rFonts w:ascii="Open Sans" w:hAnsi="Open Sans" w:cs="Open Sans"/>
        </w:rPr>
        <w:t>should still be the ultimate goal to provide</w:t>
      </w:r>
      <w:r w:rsidRPr="006B0774">
        <w:rPr>
          <w:rFonts w:ascii="Open Sans" w:hAnsi="Open Sans" w:cs="Open Sans"/>
        </w:rPr>
        <w:t xml:space="preserve"> the most accurate and fair business rate system. </w:t>
      </w:r>
    </w:p>
    <w:p w14:paraId="256BA110" w14:textId="4E14FBEA" w:rsidR="00E30F37" w:rsidRPr="006B0774" w:rsidRDefault="000C74F5" w:rsidP="00E42619">
      <w:pPr>
        <w:rPr>
          <w:rFonts w:ascii="Open Sans" w:hAnsi="Open Sans" w:cs="Open Sans"/>
        </w:rPr>
      </w:pPr>
      <w:r w:rsidRPr="006B0774">
        <w:rPr>
          <w:rFonts w:ascii="Open Sans" w:hAnsi="Open Sans" w:cs="Open Sans"/>
        </w:rPr>
        <w:t xml:space="preserve">However, </w:t>
      </w:r>
      <w:r w:rsidR="00A33909" w:rsidRPr="006B0774">
        <w:rPr>
          <w:rFonts w:ascii="Open Sans" w:hAnsi="Open Sans" w:cs="Open Sans"/>
        </w:rPr>
        <w:t xml:space="preserve">missing from the proposals </w:t>
      </w:r>
      <w:r w:rsidRPr="006B0774">
        <w:rPr>
          <w:rFonts w:ascii="Open Sans" w:hAnsi="Open Sans" w:cs="Open Sans"/>
        </w:rPr>
        <w:t xml:space="preserve">is the reduction in the period between the Antecedent Valuation Date (AVD) and revaluation date. The </w:t>
      </w:r>
      <w:r w:rsidR="00A33909" w:rsidRPr="006B0774">
        <w:rPr>
          <w:rFonts w:ascii="Open Sans" w:hAnsi="Open Sans" w:cs="Open Sans"/>
        </w:rPr>
        <w:t>two-year</w:t>
      </w:r>
      <w:r w:rsidRPr="006B0774">
        <w:rPr>
          <w:rFonts w:ascii="Open Sans" w:hAnsi="Open Sans" w:cs="Open Sans"/>
        </w:rPr>
        <w:t xml:space="preserve"> gap between AVD and revaluation</w:t>
      </w:r>
      <w:r w:rsidR="00A33909" w:rsidRPr="006B0774">
        <w:rPr>
          <w:rFonts w:ascii="Open Sans" w:hAnsi="Open Sans" w:cs="Open Sans"/>
        </w:rPr>
        <w:t xml:space="preserve">, currently in place, </w:t>
      </w:r>
      <w:r w:rsidRPr="006B0774">
        <w:rPr>
          <w:rFonts w:ascii="Open Sans" w:hAnsi="Open Sans" w:cs="Open Sans"/>
        </w:rPr>
        <w:t xml:space="preserve">means </w:t>
      </w:r>
      <w:r w:rsidR="00A33909" w:rsidRPr="006B0774">
        <w:rPr>
          <w:rFonts w:ascii="Open Sans" w:hAnsi="Open Sans" w:cs="Open Sans"/>
        </w:rPr>
        <w:t xml:space="preserve">that even with more frequent revaluations the </w:t>
      </w:r>
      <w:r w:rsidR="003668B0">
        <w:rPr>
          <w:rFonts w:ascii="Open Sans" w:hAnsi="Open Sans" w:cs="Open Sans"/>
        </w:rPr>
        <w:t>Valuation Office Agency (</w:t>
      </w:r>
      <w:r w:rsidR="00A33909" w:rsidRPr="006B0774">
        <w:rPr>
          <w:rFonts w:ascii="Open Sans" w:hAnsi="Open Sans" w:cs="Open Sans"/>
        </w:rPr>
        <w:t>VOA</w:t>
      </w:r>
      <w:r w:rsidR="003668B0">
        <w:rPr>
          <w:rFonts w:ascii="Open Sans" w:hAnsi="Open Sans" w:cs="Open Sans"/>
        </w:rPr>
        <w:t xml:space="preserve">) </w:t>
      </w:r>
      <w:r w:rsidR="00A33909" w:rsidRPr="006B0774">
        <w:rPr>
          <w:rFonts w:ascii="Open Sans" w:hAnsi="Open Sans" w:cs="Open Sans"/>
        </w:rPr>
        <w:t>will</w:t>
      </w:r>
      <w:r w:rsidR="00FC012B" w:rsidRPr="006B0774">
        <w:rPr>
          <w:rFonts w:ascii="Open Sans" w:hAnsi="Open Sans" w:cs="Open Sans"/>
        </w:rPr>
        <w:t xml:space="preserve"> be</w:t>
      </w:r>
      <w:r w:rsidR="00A33909" w:rsidRPr="006B0774">
        <w:rPr>
          <w:rFonts w:ascii="Open Sans" w:hAnsi="Open Sans" w:cs="Open Sans"/>
        </w:rPr>
        <w:t xml:space="preserve"> basing </w:t>
      </w:r>
      <w:r w:rsidRPr="006B0774">
        <w:rPr>
          <w:rFonts w:ascii="Open Sans" w:hAnsi="Open Sans" w:cs="Open Sans"/>
        </w:rPr>
        <w:t>rateable</w:t>
      </w:r>
      <w:r w:rsidR="00A33909" w:rsidRPr="006B0774">
        <w:rPr>
          <w:rFonts w:ascii="Open Sans" w:hAnsi="Open Sans" w:cs="Open Sans"/>
        </w:rPr>
        <w:t xml:space="preserve"> values</w:t>
      </w:r>
      <w:r w:rsidR="00E42619">
        <w:rPr>
          <w:rFonts w:ascii="Open Sans" w:hAnsi="Open Sans" w:cs="Open Sans"/>
        </w:rPr>
        <w:t xml:space="preserve"> (RVs)</w:t>
      </w:r>
      <w:r w:rsidR="00A33909" w:rsidRPr="006B0774">
        <w:rPr>
          <w:rFonts w:ascii="Open Sans" w:hAnsi="Open Sans" w:cs="Open Sans"/>
        </w:rPr>
        <w:t xml:space="preserve"> on inaccurate data. For example, from a renewable’s</w:t>
      </w:r>
      <w:r w:rsidRPr="006B0774">
        <w:rPr>
          <w:rFonts w:ascii="Open Sans" w:hAnsi="Open Sans" w:cs="Open Sans"/>
        </w:rPr>
        <w:t xml:space="preserve"> and clean </w:t>
      </w:r>
      <w:r w:rsidR="00E42619" w:rsidRPr="006B0774">
        <w:rPr>
          <w:rFonts w:ascii="Open Sans" w:hAnsi="Open Sans" w:cs="Open Sans"/>
        </w:rPr>
        <w:t>technology perspective</w:t>
      </w:r>
      <w:r w:rsidRPr="006B0774">
        <w:rPr>
          <w:rFonts w:ascii="Open Sans" w:hAnsi="Open Sans" w:cs="Open Sans"/>
        </w:rPr>
        <w:t>,</w:t>
      </w:r>
      <w:r w:rsidR="00A33909" w:rsidRPr="006B0774">
        <w:rPr>
          <w:rFonts w:ascii="Open Sans" w:hAnsi="Open Sans" w:cs="Open Sans"/>
        </w:rPr>
        <w:t xml:space="preserve"> in the last two years we have seen the closure of several government support schemes</w:t>
      </w:r>
      <w:r w:rsidRPr="006B0774">
        <w:rPr>
          <w:rFonts w:ascii="Open Sans" w:hAnsi="Open Sans" w:cs="Open Sans"/>
        </w:rPr>
        <w:t>; the cost of establishing renewable technologies significa</w:t>
      </w:r>
      <w:r w:rsidRPr="006B0774">
        <w:rPr>
          <w:rFonts w:ascii="Open Sans" w:hAnsi="Open Sans" w:cs="Open Sans"/>
        </w:rPr>
        <w:t xml:space="preserve">ntly fall and the continued evolution of flexibility markets with </w:t>
      </w:r>
      <w:r w:rsidR="00FC012B" w:rsidRPr="006B0774">
        <w:rPr>
          <w:rFonts w:ascii="Open Sans" w:hAnsi="Open Sans" w:cs="Open Sans"/>
        </w:rPr>
        <w:t>business models</w:t>
      </w:r>
      <w:r w:rsidRPr="006B0774">
        <w:rPr>
          <w:rFonts w:ascii="Open Sans" w:hAnsi="Open Sans" w:cs="Open Sans"/>
        </w:rPr>
        <w:t xml:space="preserve"> being based on a range of new revenue streams. </w:t>
      </w:r>
      <w:r w:rsidR="00A33909" w:rsidRPr="006B0774">
        <w:rPr>
          <w:rFonts w:ascii="Open Sans" w:hAnsi="Open Sans" w:cs="Open Sans"/>
        </w:rPr>
        <w:t xml:space="preserve"> </w:t>
      </w:r>
      <w:r w:rsidRPr="006B0774">
        <w:rPr>
          <w:rFonts w:ascii="Open Sans" w:hAnsi="Open Sans" w:cs="Open Sans"/>
        </w:rPr>
        <w:t>As such</w:t>
      </w:r>
      <w:r w:rsidR="00E42619">
        <w:rPr>
          <w:rFonts w:ascii="Open Sans" w:hAnsi="Open Sans" w:cs="Open Sans"/>
        </w:rPr>
        <w:t>,</w:t>
      </w:r>
      <w:r w:rsidRPr="006B0774">
        <w:rPr>
          <w:rFonts w:ascii="Open Sans" w:hAnsi="Open Sans" w:cs="Open Sans"/>
        </w:rPr>
        <w:t xml:space="preserve"> an AVD from two years ago </w:t>
      </w:r>
      <w:r w:rsidR="00FC012B" w:rsidRPr="006B0774">
        <w:rPr>
          <w:rFonts w:ascii="Open Sans" w:hAnsi="Open Sans" w:cs="Open Sans"/>
        </w:rPr>
        <w:t>cannot</w:t>
      </w:r>
      <w:r w:rsidRPr="006B0774">
        <w:rPr>
          <w:rFonts w:ascii="Open Sans" w:hAnsi="Open Sans" w:cs="Open Sans"/>
        </w:rPr>
        <w:t xml:space="preserve"> hope to accurately reflect the economic realities of renewable businesses for the ne</w:t>
      </w:r>
      <w:r w:rsidRPr="006B0774">
        <w:rPr>
          <w:rFonts w:ascii="Open Sans" w:hAnsi="Open Sans" w:cs="Open Sans"/>
        </w:rPr>
        <w:t>xt three years. A</w:t>
      </w:r>
      <w:r w:rsidR="00E42619">
        <w:rPr>
          <w:rFonts w:ascii="Open Sans" w:hAnsi="Open Sans" w:cs="Open Sans"/>
        </w:rPr>
        <w:t>n</w:t>
      </w:r>
      <w:r w:rsidRPr="006B0774">
        <w:rPr>
          <w:rFonts w:ascii="Open Sans" w:hAnsi="Open Sans" w:cs="Open Sans"/>
        </w:rPr>
        <w:t xml:space="preserve"> AVD of 1-year would be a better basis for calculating </w:t>
      </w:r>
      <w:r w:rsidR="00E42619">
        <w:rPr>
          <w:rFonts w:ascii="Open Sans" w:hAnsi="Open Sans" w:cs="Open Sans"/>
        </w:rPr>
        <w:t>RVs</w:t>
      </w:r>
      <w:r w:rsidRPr="006B0774">
        <w:rPr>
          <w:rFonts w:ascii="Open Sans" w:hAnsi="Open Sans" w:cs="Open Sans"/>
        </w:rPr>
        <w:t xml:space="preserve"> and we encourage the government to see </w:t>
      </w:r>
      <w:r w:rsidR="003668B0">
        <w:rPr>
          <w:rFonts w:ascii="Open Sans" w:hAnsi="Open Sans" w:cs="Open Sans"/>
        </w:rPr>
        <w:t xml:space="preserve">this </w:t>
      </w:r>
      <w:r w:rsidR="00E42619">
        <w:rPr>
          <w:rFonts w:ascii="Open Sans" w:hAnsi="Open Sans" w:cs="Open Sans"/>
        </w:rPr>
        <w:t>introduced</w:t>
      </w:r>
      <w:r w:rsidRPr="006B0774">
        <w:rPr>
          <w:rFonts w:ascii="Open Sans" w:hAnsi="Open Sans" w:cs="Open Sans"/>
        </w:rPr>
        <w:t xml:space="preserve"> as part of more frequent revaluations. </w:t>
      </w:r>
    </w:p>
    <w:p w14:paraId="5C38A682" w14:textId="77777777" w:rsidR="003668B0" w:rsidRDefault="000C74F5" w:rsidP="00E42619">
      <w:pPr>
        <w:rPr>
          <w:rFonts w:ascii="Open Sans" w:hAnsi="Open Sans" w:cs="Open Sans"/>
        </w:rPr>
      </w:pPr>
      <w:r w:rsidRPr="006B0774">
        <w:rPr>
          <w:rFonts w:ascii="Open Sans" w:hAnsi="Open Sans" w:cs="Open Sans"/>
        </w:rPr>
        <w:t xml:space="preserve">The renewables and clean energy sectors appreciate </w:t>
      </w:r>
      <w:r w:rsidR="00FC012B" w:rsidRPr="006B0774">
        <w:rPr>
          <w:rFonts w:ascii="Open Sans" w:hAnsi="Open Sans" w:cs="Open Sans"/>
        </w:rPr>
        <w:t xml:space="preserve">there will need to be a balance of requirements on </w:t>
      </w:r>
      <w:r w:rsidR="00E42619" w:rsidRPr="006B0774">
        <w:rPr>
          <w:rFonts w:ascii="Open Sans" w:hAnsi="Open Sans" w:cs="Open Sans"/>
        </w:rPr>
        <w:t>ratepayers</w:t>
      </w:r>
      <w:r w:rsidR="00FC012B" w:rsidRPr="006B0774">
        <w:rPr>
          <w:rFonts w:ascii="Open Sans" w:hAnsi="Open Sans" w:cs="Open Sans"/>
        </w:rPr>
        <w:t xml:space="preserve"> </w:t>
      </w:r>
      <w:r w:rsidR="00E42619" w:rsidRPr="006B0774">
        <w:rPr>
          <w:rFonts w:ascii="Open Sans" w:hAnsi="Open Sans" w:cs="Open Sans"/>
        </w:rPr>
        <w:t>to</w:t>
      </w:r>
      <w:r w:rsidR="00FC012B" w:rsidRPr="006B0774">
        <w:rPr>
          <w:rFonts w:ascii="Open Sans" w:hAnsi="Open Sans" w:cs="Open Sans"/>
        </w:rPr>
        <w:t xml:space="preserve"> facilitate more frequent revaluations. However, we note the consultation places far greater requirements on </w:t>
      </w:r>
      <w:r w:rsidR="00E42619" w:rsidRPr="006B0774">
        <w:rPr>
          <w:rFonts w:ascii="Open Sans" w:hAnsi="Open Sans" w:cs="Open Sans"/>
        </w:rPr>
        <w:t>ratepayers</w:t>
      </w:r>
      <w:r w:rsidR="00FC012B" w:rsidRPr="006B0774">
        <w:rPr>
          <w:rFonts w:ascii="Open Sans" w:hAnsi="Open Sans" w:cs="Open Sans"/>
        </w:rPr>
        <w:t xml:space="preserve"> rather </w:t>
      </w:r>
      <w:r w:rsidR="00E42619" w:rsidRPr="006B0774">
        <w:rPr>
          <w:rFonts w:ascii="Open Sans" w:hAnsi="Open Sans" w:cs="Open Sans"/>
        </w:rPr>
        <w:t>than</w:t>
      </w:r>
      <w:r w:rsidR="00FC012B" w:rsidRPr="006B0774">
        <w:rPr>
          <w:rFonts w:ascii="Open Sans" w:hAnsi="Open Sans" w:cs="Open Sans"/>
        </w:rPr>
        <w:t xml:space="preserve"> the VOA or government, suggesting this balance has not </w:t>
      </w:r>
      <w:r w:rsidR="00E42619">
        <w:rPr>
          <w:rFonts w:ascii="Open Sans" w:hAnsi="Open Sans" w:cs="Open Sans"/>
        </w:rPr>
        <w:t>yet</w:t>
      </w:r>
      <w:r w:rsidR="00FC012B" w:rsidRPr="006B0774">
        <w:rPr>
          <w:rFonts w:ascii="Open Sans" w:hAnsi="Open Sans" w:cs="Open Sans"/>
        </w:rPr>
        <w:t xml:space="preserve"> been met</w:t>
      </w:r>
      <w:r w:rsidR="00E42619">
        <w:rPr>
          <w:rFonts w:ascii="Open Sans" w:hAnsi="Open Sans" w:cs="Open Sans"/>
        </w:rPr>
        <w:t xml:space="preserve"> within the proposals</w:t>
      </w:r>
      <w:r w:rsidR="00FC012B" w:rsidRPr="006B0774">
        <w:rPr>
          <w:rFonts w:ascii="Open Sans" w:hAnsi="Open Sans" w:cs="Open Sans"/>
        </w:rPr>
        <w:t xml:space="preserve">. If greater requirements are to be placed on ratepayers, then this must be met by the VOA </w:t>
      </w:r>
      <w:r w:rsidR="00FC012B" w:rsidRPr="006B0774">
        <w:rPr>
          <w:rFonts w:ascii="Open Sans" w:hAnsi="Open Sans" w:cs="Open Sans"/>
        </w:rPr>
        <w:lastRenderedPageBreak/>
        <w:t>providing transparent</w:t>
      </w:r>
      <w:r w:rsidR="003668B0">
        <w:rPr>
          <w:rFonts w:ascii="Open Sans" w:hAnsi="Open Sans" w:cs="Open Sans"/>
        </w:rPr>
        <w:t xml:space="preserve"> and </w:t>
      </w:r>
      <w:r w:rsidR="00FC012B" w:rsidRPr="006B0774">
        <w:rPr>
          <w:rFonts w:ascii="Open Sans" w:hAnsi="Open Sans" w:cs="Open Sans"/>
        </w:rPr>
        <w:t xml:space="preserve">easy to use systems that facilitate the completion of such requirements. </w:t>
      </w:r>
    </w:p>
    <w:p w14:paraId="26B7E98D" w14:textId="571898FC" w:rsidR="000B399F" w:rsidRPr="006B0774" w:rsidRDefault="00FC012B" w:rsidP="00E42619">
      <w:pPr>
        <w:rPr>
          <w:rFonts w:ascii="Open Sans" w:hAnsi="Open Sans" w:cs="Open Sans"/>
        </w:rPr>
      </w:pPr>
      <w:r w:rsidRPr="006B0774">
        <w:rPr>
          <w:rFonts w:ascii="Open Sans" w:hAnsi="Open Sans" w:cs="Open Sans"/>
        </w:rPr>
        <w:t xml:space="preserve">As such, </w:t>
      </w:r>
      <w:r w:rsidR="003668B0">
        <w:rPr>
          <w:rFonts w:ascii="Open Sans" w:hAnsi="Open Sans" w:cs="Open Sans"/>
        </w:rPr>
        <w:t>c</w:t>
      </w:r>
      <w:r w:rsidRPr="006B0774">
        <w:rPr>
          <w:rFonts w:ascii="Open Sans" w:hAnsi="Open Sans" w:cs="Open Sans"/>
        </w:rPr>
        <w:t xml:space="preserve">oncerning specific </w:t>
      </w:r>
      <w:r w:rsidR="003668B0">
        <w:rPr>
          <w:rFonts w:ascii="Open Sans" w:hAnsi="Open Sans" w:cs="Open Sans"/>
        </w:rPr>
        <w:t>p</w:t>
      </w:r>
      <w:r w:rsidR="00E42619">
        <w:rPr>
          <w:rFonts w:ascii="Open Sans" w:hAnsi="Open Sans" w:cs="Open Sans"/>
        </w:rPr>
        <w:t>roposals</w:t>
      </w:r>
      <w:r w:rsidRPr="006B0774">
        <w:rPr>
          <w:rFonts w:ascii="Open Sans" w:hAnsi="Open Sans" w:cs="Open Sans"/>
        </w:rPr>
        <w:t>:</w:t>
      </w:r>
    </w:p>
    <w:p w14:paraId="54031FF8" w14:textId="14F10AD1" w:rsidR="00FC012B" w:rsidRPr="006B0774" w:rsidRDefault="000C74F5" w:rsidP="00E42619">
      <w:pPr>
        <w:rPr>
          <w:rFonts w:ascii="Open Sans" w:hAnsi="Open Sans" w:cs="Open Sans"/>
        </w:rPr>
      </w:pPr>
      <w:r w:rsidRPr="006B0774">
        <w:rPr>
          <w:rFonts w:ascii="Open Sans" w:hAnsi="Open Sans" w:cs="Open Sans"/>
          <w:b/>
          <w:bCs/>
          <w:i/>
          <w:iCs/>
        </w:rPr>
        <w:t>Duty t</w:t>
      </w:r>
      <w:r w:rsidRPr="006B0774">
        <w:rPr>
          <w:rFonts w:ascii="Open Sans" w:hAnsi="Open Sans" w:cs="Open Sans"/>
          <w:b/>
          <w:bCs/>
          <w:i/>
          <w:iCs/>
        </w:rPr>
        <w:t>o Notify</w:t>
      </w:r>
      <w:r w:rsidR="0031749F" w:rsidRPr="006B0774">
        <w:rPr>
          <w:rFonts w:ascii="Open Sans" w:hAnsi="Open Sans" w:cs="Open Sans"/>
          <w:b/>
          <w:bCs/>
          <w:i/>
          <w:iCs/>
        </w:rPr>
        <w:t xml:space="preserve"> and Provision of Lease Information</w:t>
      </w:r>
      <w:r w:rsidRPr="006B0774">
        <w:rPr>
          <w:rFonts w:ascii="Open Sans" w:hAnsi="Open Sans" w:cs="Open Sans"/>
        </w:rPr>
        <w:t xml:space="preserve">: </w:t>
      </w:r>
      <w:r w:rsidR="00107920" w:rsidRPr="006B0774">
        <w:rPr>
          <w:rFonts w:ascii="Open Sans" w:hAnsi="Open Sans" w:cs="Open Sans"/>
        </w:rPr>
        <w:t>There are already significant obligations on ratepayers to provide information to the VOA to support the valuation process. Any additional obligations, such as duties to notify and</w:t>
      </w:r>
      <w:r w:rsidR="00634A31" w:rsidRPr="006B0774">
        <w:rPr>
          <w:rFonts w:ascii="Open Sans" w:hAnsi="Open Sans" w:cs="Open Sans"/>
        </w:rPr>
        <w:t xml:space="preserve"> mandatory</w:t>
      </w:r>
      <w:r w:rsidR="00107920" w:rsidRPr="006B0774">
        <w:rPr>
          <w:rFonts w:ascii="Open Sans" w:hAnsi="Open Sans" w:cs="Open Sans"/>
        </w:rPr>
        <w:t xml:space="preserve"> lease information</w:t>
      </w:r>
      <w:r w:rsidR="00634A31" w:rsidRPr="006B0774">
        <w:rPr>
          <w:rFonts w:ascii="Open Sans" w:hAnsi="Open Sans" w:cs="Open Sans"/>
        </w:rPr>
        <w:t xml:space="preserve"> provisions</w:t>
      </w:r>
      <w:r w:rsidR="00107920" w:rsidRPr="006B0774">
        <w:rPr>
          <w:rFonts w:ascii="Open Sans" w:hAnsi="Open Sans" w:cs="Open Sans"/>
        </w:rPr>
        <w:t xml:space="preserve">, should be </w:t>
      </w:r>
      <w:r w:rsidR="00634A31" w:rsidRPr="006B0774">
        <w:rPr>
          <w:rFonts w:ascii="Open Sans" w:hAnsi="Open Sans" w:cs="Open Sans"/>
        </w:rPr>
        <w:t>based</w:t>
      </w:r>
      <w:r w:rsidR="00BE2B0C" w:rsidRPr="006B0774">
        <w:rPr>
          <w:rFonts w:ascii="Open Sans" w:hAnsi="Open Sans" w:cs="Open Sans"/>
        </w:rPr>
        <w:t xml:space="preserve"> on annual</w:t>
      </w:r>
      <w:r w:rsidR="0031749F" w:rsidRPr="006B0774">
        <w:rPr>
          <w:rFonts w:ascii="Open Sans" w:hAnsi="Open Sans" w:cs="Open Sans"/>
        </w:rPr>
        <w:t xml:space="preserve"> </w:t>
      </w:r>
      <w:r w:rsidR="00107920" w:rsidRPr="006B0774">
        <w:rPr>
          <w:rFonts w:ascii="Open Sans" w:hAnsi="Open Sans" w:cs="Open Sans"/>
        </w:rPr>
        <w:t>submissions</w:t>
      </w:r>
      <w:r w:rsidR="00BE2B0C" w:rsidRPr="006B0774">
        <w:rPr>
          <w:rFonts w:ascii="Open Sans" w:hAnsi="Open Sans" w:cs="Open Sans"/>
        </w:rPr>
        <w:t>, consistent with</w:t>
      </w:r>
      <w:r w:rsidR="00107920" w:rsidRPr="006B0774">
        <w:rPr>
          <w:rFonts w:ascii="Open Sans" w:hAnsi="Open Sans" w:cs="Open Sans"/>
        </w:rPr>
        <w:t xml:space="preserve"> requirements for</w:t>
      </w:r>
      <w:r w:rsidR="00BE2B0C" w:rsidRPr="006B0774">
        <w:rPr>
          <w:rFonts w:ascii="Open Sans" w:hAnsi="Open Sans" w:cs="Open Sans"/>
        </w:rPr>
        <w:t xml:space="preserve"> statements on tenure, rent and financial statements. In addition, </w:t>
      </w:r>
      <w:r w:rsidR="00E42619" w:rsidRPr="006B0774">
        <w:rPr>
          <w:rFonts w:ascii="Open Sans" w:hAnsi="Open Sans" w:cs="Open Sans"/>
        </w:rPr>
        <w:t>ratepayers’</w:t>
      </w:r>
      <w:r w:rsidR="00634A31" w:rsidRPr="006B0774">
        <w:rPr>
          <w:rFonts w:ascii="Open Sans" w:hAnsi="Open Sans" w:cs="Open Sans"/>
        </w:rPr>
        <w:t xml:space="preserve"> ability to provide this information</w:t>
      </w:r>
      <w:r w:rsidR="00BE2B0C" w:rsidRPr="006B0774">
        <w:rPr>
          <w:rFonts w:ascii="Open Sans" w:hAnsi="Open Sans" w:cs="Open Sans"/>
        </w:rPr>
        <w:t xml:space="preserve"> need</w:t>
      </w:r>
      <w:r w:rsidR="00634A31" w:rsidRPr="006B0774">
        <w:rPr>
          <w:rFonts w:ascii="Open Sans" w:hAnsi="Open Sans" w:cs="Open Sans"/>
        </w:rPr>
        <w:t xml:space="preserve">s </w:t>
      </w:r>
      <w:r w:rsidRPr="006B0774">
        <w:rPr>
          <w:rFonts w:ascii="Open Sans" w:hAnsi="Open Sans" w:cs="Open Sans"/>
        </w:rPr>
        <w:t xml:space="preserve">to be facilitated through </w:t>
      </w:r>
      <w:r w:rsidR="00F37EE8" w:rsidRPr="006B0774">
        <w:rPr>
          <w:rFonts w:ascii="Open Sans" w:hAnsi="Open Sans" w:cs="Open Sans"/>
        </w:rPr>
        <w:t>a well-designed</w:t>
      </w:r>
      <w:r w:rsidRPr="006B0774">
        <w:rPr>
          <w:rFonts w:ascii="Open Sans" w:hAnsi="Open Sans" w:cs="Open Sans"/>
        </w:rPr>
        <w:t xml:space="preserve"> and tested online platfor</w:t>
      </w:r>
      <w:r w:rsidR="00F37EE8" w:rsidRPr="006B0774">
        <w:rPr>
          <w:rFonts w:ascii="Open Sans" w:hAnsi="Open Sans" w:cs="Open Sans"/>
        </w:rPr>
        <w:t xml:space="preserve">m, accompanied by clear guidance, to enable ratepayers </w:t>
      </w:r>
      <w:r w:rsidR="00E8022D" w:rsidRPr="006B0774">
        <w:rPr>
          <w:rFonts w:ascii="Open Sans" w:hAnsi="Open Sans" w:cs="Open Sans"/>
        </w:rPr>
        <w:t xml:space="preserve">to </w:t>
      </w:r>
      <w:r w:rsidR="00F37EE8" w:rsidRPr="006B0774">
        <w:rPr>
          <w:rFonts w:ascii="Open Sans" w:hAnsi="Open Sans" w:cs="Open Sans"/>
        </w:rPr>
        <w:t xml:space="preserve">understand </w:t>
      </w:r>
      <w:r w:rsidR="00690611" w:rsidRPr="006B0774">
        <w:rPr>
          <w:rFonts w:ascii="Open Sans" w:hAnsi="Open Sans" w:cs="Open Sans"/>
        </w:rPr>
        <w:t xml:space="preserve">exactly what needs to be </w:t>
      </w:r>
      <w:r w:rsidR="00107920" w:rsidRPr="006B0774">
        <w:rPr>
          <w:rFonts w:ascii="Open Sans" w:hAnsi="Open Sans" w:cs="Open Sans"/>
        </w:rPr>
        <w:t xml:space="preserve">submitted </w:t>
      </w:r>
      <w:r w:rsidR="00690611" w:rsidRPr="006B0774">
        <w:rPr>
          <w:rFonts w:ascii="Open Sans" w:hAnsi="Open Sans" w:cs="Open Sans"/>
        </w:rPr>
        <w:t xml:space="preserve">and for it to be done as easily as </w:t>
      </w:r>
      <w:r w:rsidR="00E42619" w:rsidRPr="006B0774">
        <w:rPr>
          <w:rFonts w:ascii="Open Sans" w:hAnsi="Open Sans" w:cs="Open Sans"/>
        </w:rPr>
        <w:t>possible.</w:t>
      </w:r>
      <w:r w:rsidR="0031749F" w:rsidRPr="006B0774">
        <w:rPr>
          <w:rFonts w:ascii="Open Sans" w:hAnsi="Open Sans" w:cs="Open Sans"/>
        </w:rPr>
        <w:t xml:space="preserve"> </w:t>
      </w:r>
      <w:r w:rsidR="00690611" w:rsidRPr="006B0774">
        <w:rPr>
          <w:rFonts w:ascii="Open Sans" w:hAnsi="Open Sans" w:cs="Open Sans"/>
        </w:rPr>
        <w:t>In conjunction, for those managing multiple sites</w:t>
      </w:r>
      <w:r w:rsidR="00E8022D" w:rsidRPr="006B0774">
        <w:rPr>
          <w:rFonts w:ascii="Open Sans" w:hAnsi="Open Sans" w:cs="Open Sans"/>
        </w:rPr>
        <w:t>,</w:t>
      </w:r>
      <w:r w:rsidR="00690611" w:rsidRPr="006B0774">
        <w:rPr>
          <w:rFonts w:ascii="Open Sans" w:hAnsi="Open Sans" w:cs="Open Sans"/>
        </w:rPr>
        <w:t xml:space="preserve"> a batch update form</w:t>
      </w:r>
      <w:r w:rsidR="0031749F" w:rsidRPr="006B0774">
        <w:rPr>
          <w:rFonts w:ascii="Open Sans" w:hAnsi="Open Sans" w:cs="Open Sans"/>
        </w:rPr>
        <w:t xml:space="preserve"> </w:t>
      </w:r>
      <w:r w:rsidR="00107920" w:rsidRPr="006B0774">
        <w:rPr>
          <w:rFonts w:ascii="Open Sans" w:hAnsi="Open Sans" w:cs="Open Sans"/>
        </w:rPr>
        <w:t xml:space="preserve">(such as by using </w:t>
      </w:r>
      <w:r w:rsidR="00634A31" w:rsidRPr="006B0774">
        <w:rPr>
          <w:rFonts w:ascii="Open Sans" w:hAnsi="Open Sans" w:cs="Open Sans"/>
        </w:rPr>
        <w:t>a</w:t>
      </w:r>
      <w:r w:rsidR="00E42619">
        <w:rPr>
          <w:rFonts w:ascii="Open Sans" w:hAnsi="Open Sans" w:cs="Open Sans"/>
        </w:rPr>
        <w:t>n</w:t>
      </w:r>
      <w:r w:rsidR="00634A31" w:rsidRPr="006B0774">
        <w:rPr>
          <w:rFonts w:ascii="Open Sans" w:hAnsi="Open Sans" w:cs="Open Sans"/>
        </w:rPr>
        <w:t xml:space="preserve"> E</w:t>
      </w:r>
      <w:r w:rsidR="0031749F" w:rsidRPr="006B0774">
        <w:rPr>
          <w:rFonts w:ascii="Open Sans" w:hAnsi="Open Sans" w:cs="Open Sans"/>
        </w:rPr>
        <w:t>xcel spreadsheet template</w:t>
      </w:r>
      <w:r w:rsidR="00107920" w:rsidRPr="006B0774">
        <w:rPr>
          <w:rFonts w:ascii="Open Sans" w:hAnsi="Open Sans" w:cs="Open Sans"/>
        </w:rPr>
        <w:t>)</w:t>
      </w:r>
      <w:r w:rsidR="00690611" w:rsidRPr="006B0774">
        <w:rPr>
          <w:rFonts w:ascii="Open Sans" w:hAnsi="Open Sans" w:cs="Open Sans"/>
        </w:rPr>
        <w:t xml:space="preserve"> should be provided to</w:t>
      </w:r>
      <w:r w:rsidR="00E8022D" w:rsidRPr="006B0774">
        <w:rPr>
          <w:rFonts w:ascii="Open Sans" w:hAnsi="Open Sans" w:cs="Open Sans"/>
        </w:rPr>
        <w:t xml:space="preserve"> facilitate quick notification of multiple sites</w:t>
      </w:r>
      <w:r w:rsidR="00107920" w:rsidRPr="006B0774">
        <w:rPr>
          <w:rFonts w:ascii="Open Sans" w:hAnsi="Open Sans" w:cs="Open Sans"/>
        </w:rPr>
        <w:t xml:space="preserve">, as well as providing easier analysis </w:t>
      </w:r>
      <w:r w:rsidR="003668B0">
        <w:rPr>
          <w:rFonts w:ascii="Open Sans" w:hAnsi="Open Sans" w:cs="Open Sans"/>
        </w:rPr>
        <w:t>for</w:t>
      </w:r>
      <w:r w:rsidR="00107920" w:rsidRPr="006B0774">
        <w:rPr>
          <w:rFonts w:ascii="Open Sans" w:hAnsi="Open Sans" w:cs="Open Sans"/>
        </w:rPr>
        <w:t xml:space="preserve"> the VOA. </w:t>
      </w:r>
    </w:p>
    <w:p w14:paraId="288DA987" w14:textId="1130B058" w:rsidR="0031749F" w:rsidRPr="006B0774" w:rsidRDefault="000C74F5" w:rsidP="00E42619">
      <w:pPr>
        <w:rPr>
          <w:rFonts w:ascii="Open Sans" w:hAnsi="Open Sans" w:cs="Open Sans"/>
        </w:rPr>
      </w:pPr>
      <w:r w:rsidRPr="006B0774">
        <w:rPr>
          <w:rFonts w:ascii="Open Sans" w:hAnsi="Open Sans" w:cs="Open Sans"/>
          <w:b/>
          <w:bCs/>
          <w:i/>
          <w:iCs/>
        </w:rPr>
        <w:t>P</w:t>
      </w:r>
      <w:r w:rsidR="000E076E" w:rsidRPr="006B0774">
        <w:rPr>
          <w:rFonts w:ascii="Open Sans" w:hAnsi="Open Sans" w:cs="Open Sans"/>
          <w:b/>
          <w:bCs/>
          <w:i/>
          <w:iCs/>
        </w:rPr>
        <w:t>enalties:</w:t>
      </w:r>
      <w:r w:rsidR="000E076E" w:rsidRPr="006B0774">
        <w:rPr>
          <w:rFonts w:ascii="Open Sans" w:hAnsi="Open Sans" w:cs="Open Sans"/>
          <w:b/>
          <w:bCs/>
        </w:rPr>
        <w:t xml:space="preserve"> </w:t>
      </w:r>
      <w:r w:rsidR="000E076E" w:rsidRPr="006B0774">
        <w:rPr>
          <w:rFonts w:ascii="Open Sans" w:hAnsi="Open Sans" w:cs="Open Sans"/>
        </w:rPr>
        <w:t xml:space="preserve">penalties need to be applied proportionally and in a pragmatic manner. If obligations are to be increased on ratepayers to facilitate more frequent revaluations, then time must be given for ratepayers to both understand what is required of them and </w:t>
      </w:r>
      <w:r w:rsidR="00634A31" w:rsidRPr="006B0774">
        <w:rPr>
          <w:rFonts w:ascii="Open Sans" w:hAnsi="Open Sans" w:cs="Open Sans"/>
        </w:rPr>
        <w:t xml:space="preserve">ensure that the process for applying such information is efficient and easy to use. </w:t>
      </w:r>
    </w:p>
    <w:p w14:paraId="425A3A77" w14:textId="6ABC0802" w:rsidR="00634A31" w:rsidRPr="006B0774" w:rsidRDefault="000C74F5" w:rsidP="00E42619">
      <w:pPr>
        <w:rPr>
          <w:rFonts w:ascii="Open Sans" w:hAnsi="Open Sans" w:cs="Open Sans"/>
        </w:rPr>
      </w:pPr>
      <w:r w:rsidRPr="006B0774">
        <w:rPr>
          <w:rFonts w:ascii="Open Sans" w:hAnsi="Open Sans" w:cs="Open Sans"/>
          <w:b/>
          <w:bCs/>
          <w:i/>
          <w:iCs/>
        </w:rPr>
        <w:t>Streamlining the appeals process</w:t>
      </w:r>
      <w:r w:rsidR="00C47097">
        <w:rPr>
          <w:rFonts w:ascii="Open Sans" w:hAnsi="Open Sans" w:cs="Open Sans"/>
          <w:b/>
          <w:bCs/>
          <w:i/>
          <w:iCs/>
        </w:rPr>
        <w:t xml:space="preserve"> and defining ‘material change’</w:t>
      </w:r>
      <w:r w:rsidRPr="006B0774">
        <w:rPr>
          <w:rFonts w:ascii="Open Sans" w:hAnsi="Open Sans" w:cs="Open Sans"/>
          <w:b/>
          <w:bCs/>
          <w:i/>
          <w:iCs/>
        </w:rPr>
        <w:t>:</w:t>
      </w:r>
      <w:r w:rsidRPr="006B0774">
        <w:rPr>
          <w:rFonts w:ascii="Open Sans" w:hAnsi="Open Sans" w:cs="Open Sans"/>
        </w:rPr>
        <w:t xml:space="preserve"> with the addition of the duty to notify</w:t>
      </w:r>
      <w:r w:rsidR="009466C9">
        <w:rPr>
          <w:rFonts w:ascii="Open Sans" w:hAnsi="Open Sans" w:cs="Open Sans"/>
        </w:rPr>
        <w:t>,</w:t>
      </w:r>
      <w:r w:rsidRPr="006B0774">
        <w:rPr>
          <w:rFonts w:ascii="Open Sans" w:hAnsi="Open Sans" w:cs="Open Sans"/>
        </w:rPr>
        <w:t xml:space="preserve"> we welcome the option of removing the check stage within the appeals pro</w:t>
      </w:r>
      <w:r w:rsidRPr="006B0774">
        <w:rPr>
          <w:rFonts w:ascii="Open Sans" w:hAnsi="Open Sans" w:cs="Open Sans"/>
        </w:rPr>
        <w:t xml:space="preserve">cess. However, options should still be provided for the company appealing to be able to highlight a material change of circumstance as part of the appeal. </w:t>
      </w:r>
      <w:r w:rsidR="00501833" w:rsidRPr="006B0774">
        <w:rPr>
          <w:rFonts w:ascii="Open Sans" w:hAnsi="Open Sans" w:cs="Open Sans"/>
        </w:rPr>
        <w:t xml:space="preserve">In addition, we would oppose implied intentions to restrict the definition of ‘material changes’, especially as the reason to move to </w:t>
      </w:r>
      <w:r w:rsidR="009466C9">
        <w:rPr>
          <w:rFonts w:ascii="Open Sans" w:hAnsi="Open Sans" w:cs="Open Sans"/>
        </w:rPr>
        <w:t>three-</w:t>
      </w:r>
      <w:r w:rsidR="00501833" w:rsidRPr="006B0774">
        <w:rPr>
          <w:rFonts w:ascii="Open Sans" w:hAnsi="Open Sans" w:cs="Open Sans"/>
        </w:rPr>
        <w:t xml:space="preserve">yearly revaluations is to ensure business rates better reflect reality. </w:t>
      </w:r>
    </w:p>
    <w:p w14:paraId="55E248D9" w14:textId="24820B9A" w:rsidR="002178E0" w:rsidRPr="006B0774" w:rsidRDefault="000C74F5" w:rsidP="00E42619">
      <w:pPr>
        <w:rPr>
          <w:rFonts w:ascii="Open Sans" w:hAnsi="Open Sans" w:cs="Open Sans"/>
        </w:rPr>
      </w:pPr>
      <w:r w:rsidRPr="006B0774">
        <w:rPr>
          <w:rFonts w:ascii="Open Sans" w:hAnsi="Open Sans" w:cs="Open Sans"/>
          <w:b/>
          <w:bCs/>
          <w:i/>
          <w:iCs/>
        </w:rPr>
        <w:t>The 3</w:t>
      </w:r>
      <w:r w:rsidR="009466C9">
        <w:rPr>
          <w:rFonts w:ascii="Open Sans" w:hAnsi="Open Sans" w:cs="Open Sans"/>
          <w:b/>
          <w:bCs/>
          <w:i/>
          <w:iCs/>
        </w:rPr>
        <w:t>-</w:t>
      </w:r>
      <w:r w:rsidRPr="006B0774">
        <w:rPr>
          <w:rFonts w:ascii="Open Sans" w:hAnsi="Open Sans" w:cs="Open Sans"/>
          <w:b/>
          <w:bCs/>
          <w:i/>
          <w:iCs/>
        </w:rPr>
        <w:t>month window for raising challenges</w:t>
      </w:r>
      <w:r w:rsidR="00501833" w:rsidRPr="006B0774">
        <w:rPr>
          <w:rFonts w:ascii="Open Sans" w:hAnsi="Open Sans" w:cs="Open Sans"/>
          <w:b/>
          <w:bCs/>
          <w:i/>
          <w:iCs/>
        </w:rPr>
        <w:t xml:space="preserve"> and VOA review timeframes</w:t>
      </w:r>
      <w:r w:rsidRPr="006B0774">
        <w:rPr>
          <w:rFonts w:ascii="Open Sans" w:hAnsi="Open Sans" w:cs="Open Sans"/>
          <w:b/>
          <w:bCs/>
          <w:i/>
          <w:iCs/>
        </w:rPr>
        <w:t>:</w:t>
      </w:r>
      <w:r w:rsidRPr="006B0774">
        <w:rPr>
          <w:rFonts w:ascii="Open Sans" w:hAnsi="Open Sans" w:cs="Open Sans"/>
        </w:rPr>
        <w:t xml:space="preserve"> The proposed</w:t>
      </w:r>
      <w:r w:rsidR="00A40627" w:rsidRPr="006B0774">
        <w:rPr>
          <w:rFonts w:ascii="Open Sans" w:hAnsi="Open Sans" w:cs="Open Sans"/>
        </w:rPr>
        <w:t xml:space="preserve"> </w:t>
      </w:r>
      <w:r w:rsidR="009466C9" w:rsidRPr="006B0774">
        <w:rPr>
          <w:rFonts w:ascii="Open Sans" w:hAnsi="Open Sans" w:cs="Open Sans"/>
        </w:rPr>
        <w:t>three-month</w:t>
      </w:r>
      <w:r w:rsidR="00A40627" w:rsidRPr="006B0774">
        <w:rPr>
          <w:rFonts w:ascii="Open Sans" w:hAnsi="Open Sans" w:cs="Open Sans"/>
        </w:rPr>
        <w:t xml:space="preserve"> window for raising challenges is unreasonable </w:t>
      </w:r>
      <w:r w:rsidR="009466C9">
        <w:rPr>
          <w:rFonts w:ascii="Open Sans" w:hAnsi="Open Sans" w:cs="Open Sans"/>
        </w:rPr>
        <w:t>and should not be implemented.</w:t>
      </w:r>
      <w:r w:rsidR="00A40627" w:rsidRPr="006B0774">
        <w:rPr>
          <w:rFonts w:ascii="Open Sans" w:hAnsi="Open Sans" w:cs="Open Sans"/>
        </w:rPr>
        <w:t xml:space="preserve"> This places to</w:t>
      </w:r>
      <w:r w:rsidRPr="006B0774">
        <w:rPr>
          <w:rFonts w:ascii="Open Sans" w:hAnsi="Open Sans" w:cs="Open Sans"/>
        </w:rPr>
        <w:t>o</w:t>
      </w:r>
      <w:r w:rsidR="00A40627" w:rsidRPr="006B0774">
        <w:rPr>
          <w:rFonts w:ascii="Open Sans" w:hAnsi="Open Sans" w:cs="Open Sans"/>
        </w:rPr>
        <w:t xml:space="preserve"> great a requirement on the ratepayer to make a case </w:t>
      </w:r>
      <w:r w:rsidRPr="006B0774">
        <w:rPr>
          <w:rFonts w:ascii="Open Sans" w:hAnsi="Open Sans" w:cs="Open Sans"/>
        </w:rPr>
        <w:t xml:space="preserve">within a </w:t>
      </w:r>
      <w:r w:rsidR="00501833" w:rsidRPr="006B0774">
        <w:rPr>
          <w:rFonts w:ascii="Open Sans" w:hAnsi="Open Sans" w:cs="Open Sans"/>
        </w:rPr>
        <w:t>rushed and</w:t>
      </w:r>
      <w:r w:rsidR="00A40627" w:rsidRPr="006B0774">
        <w:rPr>
          <w:rFonts w:ascii="Open Sans" w:hAnsi="Open Sans" w:cs="Open Sans"/>
        </w:rPr>
        <w:t xml:space="preserve"> limited time frame, </w:t>
      </w:r>
      <w:r w:rsidR="00501833" w:rsidRPr="006B0774">
        <w:rPr>
          <w:rFonts w:ascii="Open Sans" w:hAnsi="Open Sans" w:cs="Open Sans"/>
        </w:rPr>
        <w:t>especially considering that</w:t>
      </w:r>
      <w:r w:rsidR="00A40627" w:rsidRPr="006B0774">
        <w:rPr>
          <w:rFonts w:ascii="Open Sans" w:hAnsi="Open Sans" w:cs="Open Sans"/>
        </w:rPr>
        <w:t xml:space="preserve"> the VOA itself is not required to justify its valuation or be transparent of the underlying rental evidence. As such </w:t>
      </w:r>
      <w:r w:rsidRPr="006B0774">
        <w:rPr>
          <w:rFonts w:ascii="Open Sans" w:hAnsi="Open Sans" w:cs="Open Sans"/>
        </w:rPr>
        <w:t>ratepayer’s</w:t>
      </w:r>
      <w:r w:rsidR="00A40627" w:rsidRPr="006B0774">
        <w:rPr>
          <w:rFonts w:ascii="Open Sans" w:hAnsi="Open Sans" w:cs="Open Sans"/>
        </w:rPr>
        <w:t xml:space="preserve"> risk having an inaccurate RV applied and a</w:t>
      </w:r>
      <w:r w:rsidR="009466C9">
        <w:rPr>
          <w:rFonts w:ascii="Open Sans" w:hAnsi="Open Sans" w:cs="Open Sans"/>
        </w:rPr>
        <w:t>n</w:t>
      </w:r>
      <w:r w:rsidR="00A40627" w:rsidRPr="006B0774">
        <w:rPr>
          <w:rFonts w:ascii="Open Sans" w:hAnsi="Open Sans" w:cs="Open Sans"/>
        </w:rPr>
        <w:t xml:space="preserve"> unnecessarily tight window in which to </w:t>
      </w:r>
      <w:r w:rsidRPr="006B0774">
        <w:rPr>
          <w:rFonts w:ascii="Open Sans" w:hAnsi="Open Sans" w:cs="Open Sans"/>
        </w:rPr>
        <w:t>compile</w:t>
      </w:r>
      <w:r w:rsidR="00A40627" w:rsidRPr="006B0774">
        <w:rPr>
          <w:rFonts w:ascii="Open Sans" w:hAnsi="Open Sans" w:cs="Open Sans"/>
        </w:rPr>
        <w:t xml:space="preserve"> the</w:t>
      </w:r>
      <w:r w:rsidRPr="006B0774">
        <w:rPr>
          <w:rFonts w:ascii="Open Sans" w:hAnsi="Open Sans" w:cs="Open Sans"/>
        </w:rPr>
        <w:t xml:space="preserve"> </w:t>
      </w:r>
      <w:r w:rsidR="00A40627" w:rsidRPr="006B0774">
        <w:rPr>
          <w:rFonts w:ascii="Open Sans" w:hAnsi="Open Sans" w:cs="Open Sans"/>
        </w:rPr>
        <w:t>extensive level of evidence</w:t>
      </w:r>
      <w:r w:rsidRPr="006B0774">
        <w:rPr>
          <w:rFonts w:ascii="Open Sans" w:hAnsi="Open Sans" w:cs="Open Sans"/>
        </w:rPr>
        <w:t xml:space="preserve"> </w:t>
      </w:r>
      <w:r w:rsidR="00A40627" w:rsidRPr="006B0774">
        <w:rPr>
          <w:rFonts w:ascii="Open Sans" w:hAnsi="Open Sans" w:cs="Open Sans"/>
        </w:rPr>
        <w:t xml:space="preserve">required to launch a meaningful challenge. </w:t>
      </w:r>
      <w:r w:rsidR="009466C9">
        <w:rPr>
          <w:rFonts w:ascii="Open Sans" w:hAnsi="Open Sans" w:cs="Open Sans"/>
        </w:rPr>
        <w:t xml:space="preserve">The existing ability to raise a challenge at any time should be maintained. </w:t>
      </w:r>
    </w:p>
    <w:p w14:paraId="7AFC64C1" w14:textId="7E389FD5" w:rsidR="00634A31" w:rsidRPr="006B0774" w:rsidRDefault="000C74F5" w:rsidP="00E42619">
      <w:pPr>
        <w:rPr>
          <w:rFonts w:ascii="Open Sans" w:hAnsi="Open Sans" w:cs="Open Sans"/>
        </w:rPr>
      </w:pPr>
      <w:r w:rsidRPr="006B0774">
        <w:rPr>
          <w:rFonts w:ascii="Open Sans" w:hAnsi="Open Sans" w:cs="Open Sans"/>
        </w:rPr>
        <w:t>Proposals to extend the time allowed to the VOA to consider challenges</w:t>
      </w:r>
      <w:r w:rsidR="003668B0">
        <w:rPr>
          <w:rFonts w:ascii="Open Sans" w:hAnsi="Open Sans" w:cs="Open Sans"/>
        </w:rPr>
        <w:t>,</w:t>
      </w:r>
      <w:r w:rsidRPr="006B0774">
        <w:rPr>
          <w:rFonts w:ascii="Open Sans" w:hAnsi="Open Sans" w:cs="Open Sans"/>
        </w:rPr>
        <w:t xml:space="preserve"> further exacerbates </w:t>
      </w:r>
      <w:r w:rsidR="009466C9">
        <w:rPr>
          <w:rFonts w:ascii="Open Sans" w:hAnsi="Open Sans" w:cs="Open Sans"/>
        </w:rPr>
        <w:t>the inequality within the consultation</w:t>
      </w:r>
      <w:r w:rsidRPr="006B0774">
        <w:rPr>
          <w:rFonts w:ascii="Open Sans" w:hAnsi="Open Sans" w:cs="Open Sans"/>
        </w:rPr>
        <w:t>. W</w:t>
      </w:r>
      <w:r w:rsidR="00501833" w:rsidRPr="006B0774">
        <w:rPr>
          <w:rFonts w:ascii="Open Sans" w:hAnsi="Open Sans" w:cs="Open Sans"/>
        </w:rPr>
        <w:t>ith</w:t>
      </w:r>
      <w:r w:rsidRPr="006B0774">
        <w:rPr>
          <w:rFonts w:ascii="Open Sans" w:hAnsi="Open Sans" w:cs="Open Sans"/>
        </w:rPr>
        <w:t xml:space="preserve"> gr</w:t>
      </w:r>
      <w:r w:rsidR="009466C9">
        <w:rPr>
          <w:rFonts w:ascii="Open Sans" w:hAnsi="Open Sans" w:cs="Open Sans"/>
        </w:rPr>
        <w:t>eater</w:t>
      </w:r>
      <w:r w:rsidRPr="006B0774">
        <w:rPr>
          <w:rFonts w:ascii="Open Sans" w:hAnsi="Open Sans" w:cs="Open Sans"/>
        </w:rPr>
        <w:t xml:space="preserve"> obligations on ratepayers to provide more information, this should be met by commitme</w:t>
      </w:r>
      <w:r w:rsidRPr="006B0774">
        <w:rPr>
          <w:rFonts w:ascii="Open Sans" w:hAnsi="Open Sans" w:cs="Open Sans"/>
        </w:rPr>
        <w:t>nts from the VOA to be able to use this information to speed up determination</w:t>
      </w:r>
      <w:r w:rsidR="009466C9">
        <w:rPr>
          <w:rFonts w:ascii="Open Sans" w:hAnsi="Open Sans" w:cs="Open Sans"/>
        </w:rPr>
        <w:t>s</w:t>
      </w:r>
      <w:r w:rsidRPr="006B0774">
        <w:rPr>
          <w:rFonts w:ascii="Open Sans" w:hAnsi="Open Sans" w:cs="Open Sans"/>
        </w:rPr>
        <w:t xml:space="preserve"> on challenges. A faster appeals process will both help reduce the current </w:t>
      </w:r>
      <w:r w:rsidR="00501833" w:rsidRPr="006B0774">
        <w:rPr>
          <w:rFonts w:ascii="Open Sans" w:hAnsi="Open Sans" w:cs="Open Sans"/>
        </w:rPr>
        <w:t>backlog and</w:t>
      </w:r>
      <w:r w:rsidRPr="006B0774">
        <w:rPr>
          <w:rFonts w:ascii="Open Sans" w:hAnsi="Open Sans" w:cs="Open Sans"/>
        </w:rPr>
        <w:t xml:space="preserve"> help facilitate the move to </w:t>
      </w:r>
      <w:r w:rsidR="009466C9">
        <w:rPr>
          <w:rFonts w:ascii="Open Sans" w:hAnsi="Open Sans" w:cs="Open Sans"/>
        </w:rPr>
        <w:t>three-</w:t>
      </w:r>
      <w:r w:rsidRPr="006B0774">
        <w:rPr>
          <w:rFonts w:ascii="Open Sans" w:hAnsi="Open Sans" w:cs="Open Sans"/>
        </w:rPr>
        <w:t>yearly revaluations</w:t>
      </w:r>
      <w:r w:rsidR="00501833" w:rsidRPr="006B0774">
        <w:rPr>
          <w:rFonts w:ascii="Open Sans" w:hAnsi="Open Sans" w:cs="Open Sans"/>
        </w:rPr>
        <w:t xml:space="preserve">. </w:t>
      </w:r>
      <w:r w:rsidRPr="006B0774">
        <w:rPr>
          <w:rFonts w:ascii="Open Sans" w:hAnsi="Open Sans" w:cs="Open Sans"/>
        </w:rPr>
        <w:t xml:space="preserve"> </w:t>
      </w:r>
    </w:p>
    <w:p w14:paraId="3826327D" w14:textId="75C70495" w:rsidR="00501833" w:rsidRPr="006B0774" w:rsidRDefault="000C74F5" w:rsidP="00E42619">
      <w:pPr>
        <w:rPr>
          <w:rFonts w:ascii="Open Sans" w:hAnsi="Open Sans" w:cs="Open Sans"/>
        </w:rPr>
      </w:pPr>
      <w:r w:rsidRPr="006B0774">
        <w:rPr>
          <w:rFonts w:ascii="Open Sans" w:hAnsi="Open Sans" w:cs="Open Sans"/>
          <w:b/>
          <w:bCs/>
        </w:rPr>
        <w:lastRenderedPageBreak/>
        <w:t>Restricting landlords from appeal</w:t>
      </w:r>
      <w:r w:rsidR="009466C9">
        <w:rPr>
          <w:rFonts w:ascii="Open Sans" w:hAnsi="Open Sans" w:cs="Open Sans"/>
          <w:b/>
          <w:bCs/>
        </w:rPr>
        <w:t xml:space="preserve">ing: </w:t>
      </w:r>
      <w:r w:rsidRPr="006B0774">
        <w:rPr>
          <w:rFonts w:ascii="Open Sans" w:hAnsi="Open Sans" w:cs="Open Sans"/>
        </w:rPr>
        <w:t xml:space="preserve">we object to </w:t>
      </w:r>
      <w:r w:rsidR="009466C9" w:rsidRPr="006B0774">
        <w:rPr>
          <w:rFonts w:ascii="Open Sans" w:hAnsi="Open Sans" w:cs="Open Sans"/>
        </w:rPr>
        <w:t>these proposals</w:t>
      </w:r>
      <w:r w:rsidR="005F13D1" w:rsidRPr="006B0774">
        <w:rPr>
          <w:rFonts w:ascii="Open Sans" w:hAnsi="Open Sans" w:cs="Open Sans"/>
        </w:rPr>
        <w:t xml:space="preserve"> given that landlords have a long-term interest in their property an</w:t>
      </w:r>
      <w:r w:rsidR="009466C9">
        <w:rPr>
          <w:rFonts w:ascii="Open Sans" w:hAnsi="Open Sans" w:cs="Open Sans"/>
        </w:rPr>
        <w:t>d,</w:t>
      </w:r>
      <w:r w:rsidR="005F13D1" w:rsidRPr="006B0774">
        <w:rPr>
          <w:rFonts w:ascii="Open Sans" w:hAnsi="Open Sans" w:cs="Open Sans"/>
        </w:rPr>
        <w:t xml:space="preserve"> in many cases</w:t>
      </w:r>
      <w:r w:rsidR="009466C9">
        <w:rPr>
          <w:rFonts w:ascii="Open Sans" w:hAnsi="Open Sans" w:cs="Open Sans"/>
        </w:rPr>
        <w:t>,</w:t>
      </w:r>
      <w:r w:rsidR="005F13D1" w:rsidRPr="006B0774">
        <w:rPr>
          <w:rFonts w:ascii="Open Sans" w:hAnsi="Open Sans" w:cs="Open Sans"/>
        </w:rPr>
        <w:t xml:space="preserve"> are central to the decision to install onsite renewable energy generation</w:t>
      </w:r>
      <w:r w:rsidR="009466C9">
        <w:rPr>
          <w:rFonts w:ascii="Open Sans" w:hAnsi="Open Sans" w:cs="Open Sans"/>
        </w:rPr>
        <w:t>, renewable heating systems</w:t>
      </w:r>
      <w:r w:rsidR="005F13D1" w:rsidRPr="006B0774">
        <w:rPr>
          <w:rFonts w:ascii="Open Sans" w:hAnsi="Open Sans" w:cs="Open Sans"/>
        </w:rPr>
        <w:t xml:space="preserve"> or </w:t>
      </w:r>
      <w:r w:rsidR="009466C9">
        <w:rPr>
          <w:rFonts w:ascii="Open Sans" w:hAnsi="Open Sans" w:cs="Open Sans"/>
        </w:rPr>
        <w:t xml:space="preserve">other </w:t>
      </w:r>
      <w:r w:rsidR="005F13D1" w:rsidRPr="006B0774">
        <w:rPr>
          <w:rFonts w:ascii="Open Sans" w:hAnsi="Open Sans" w:cs="Open Sans"/>
        </w:rPr>
        <w:t xml:space="preserve">clean </w:t>
      </w:r>
      <w:r w:rsidR="009466C9">
        <w:rPr>
          <w:rFonts w:ascii="Open Sans" w:hAnsi="Open Sans" w:cs="Open Sans"/>
        </w:rPr>
        <w:t>technologies</w:t>
      </w:r>
      <w:r w:rsidR="005F13D1" w:rsidRPr="006B0774">
        <w:rPr>
          <w:rFonts w:ascii="Open Sans" w:hAnsi="Open Sans" w:cs="Open Sans"/>
        </w:rPr>
        <w:t>. Should RV calculations be inaccurate</w:t>
      </w:r>
      <w:r w:rsidR="009466C9">
        <w:rPr>
          <w:rFonts w:ascii="Open Sans" w:hAnsi="Open Sans" w:cs="Open Sans"/>
        </w:rPr>
        <w:t xml:space="preserve"> </w:t>
      </w:r>
      <w:r w:rsidR="005F13D1" w:rsidRPr="006B0774">
        <w:rPr>
          <w:rFonts w:ascii="Open Sans" w:hAnsi="Open Sans" w:cs="Open Sans"/>
        </w:rPr>
        <w:t xml:space="preserve">we believe it right for a landlord to be able to raise an appropriate challenge. </w:t>
      </w:r>
    </w:p>
    <w:p w14:paraId="51706D70" w14:textId="64EBCA9A" w:rsidR="005F13D1" w:rsidRPr="006B0774" w:rsidRDefault="000C74F5" w:rsidP="00E42619">
      <w:pPr>
        <w:rPr>
          <w:rFonts w:ascii="Open Sans" w:hAnsi="Open Sans" w:cs="Open Sans"/>
          <w:b/>
          <w:bCs/>
        </w:rPr>
      </w:pPr>
      <w:r w:rsidRPr="006B0774">
        <w:rPr>
          <w:rFonts w:ascii="Open Sans" w:hAnsi="Open Sans" w:cs="Open Sans"/>
          <w:b/>
          <w:bCs/>
        </w:rPr>
        <w:t xml:space="preserve">Introducing </w:t>
      </w:r>
      <w:r w:rsidR="009466C9">
        <w:rPr>
          <w:rFonts w:ascii="Open Sans" w:hAnsi="Open Sans" w:cs="Open Sans"/>
          <w:b/>
          <w:bCs/>
        </w:rPr>
        <w:t>f</w:t>
      </w:r>
      <w:r w:rsidRPr="006B0774">
        <w:rPr>
          <w:rFonts w:ascii="Open Sans" w:hAnsi="Open Sans" w:cs="Open Sans"/>
          <w:b/>
          <w:bCs/>
        </w:rPr>
        <w:t>ees for submitting a challenge or a transparency request</w:t>
      </w:r>
    </w:p>
    <w:p w14:paraId="0C2918D5" w14:textId="44C85494" w:rsidR="00F42043" w:rsidRPr="006B0774" w:rsidRDefault="000C74F5" w:rsidP="00E42619">
      <w:pPr>
        <w:rPr>
          <w:rFonts w:ascii="Open Sans" w:hAnsi="Open Sans" w:cs="Open Sans"/>
        </w:rPr>
      </w:pPr>
      <w:r w:rsidRPr="006B0774">
        <w:rPr>
          <w:rFonts w:ascii="Open Sans" w:hAnsi="Open Sans" w:cs="Open Sans"/>
        </w:rPr>
        <w:t>We oppose the proposed introduction of these fees as it creates an additional barrier to achieving a fair and equitable business rate system. Ratepayers should not be put off raising a challenge or being able to see the evidence used to calculate their RV,</w:t>
      </w:r>
      <w:r w:rsidRPr="006B0774">
        <w:rPr>
          <w:rFonts w:ascii="Open Sans" w:hAnsi="Open Sans" w:cs="Open Sans"/>
        </w:rPr>
        <w:t xml:space="preserve"> due to any additional costs that could be incurred. This has the potential to harm smaller businesses the most, who may be least able to afford to raise a challenge.</w:t>
      </w:r>
    </w:p>
    <w:p w14:paraId="707BC0F6" w14:textId="4A7781B2" w:rsidR="00F42043" w:rsidRPr="009466C9" w:rsidRDefault="000C74F5" w:rsidP="00E42619">
      <w:pPr>
        <w:pStyle w:val="ListParagraph"/>
        <w:numPr>
          <w:ilvl w:val="0"/>
          <w:numId w:val="1"/>
        </w:numPr>
        <w:ind w:left="0"/>
        <w:rPr>
          <w:rFonts w:ascii="Open Sans" w:hAnsi="Open Sans" w:cs="Open Sans"/>
          <w:color w:val="2F5496"/>
        </w:rPr>
      </w:pPr>
      <w:r w:rsidRPr="009466C9">
        <w:rPr>
          <w:rFonts w:ascii="Open Sans" w:hAnsi="Open Sans" w:cs="Open Sans"/>
          <w:b/>
          <w:bCs/>
          <w:color w:val="2F5496"/>
        </w:rPr>
        <w:t>What steps could be taken to support ratepayers to comply with the new duties? For exampl</w:t>
      </w:r>
      <w:r w:rsidRPr="009466C9">
        <w:rPr>
          <w:rFonts w:ascii="Open Sans" w:hAnsi="Open Sans" w:cs="Open Sans"/>
          <w:b/>
          <w:bCs/>
          <w:color w:val="2F5496"/>
        </w:rPr>
        <w:t xml:space="preserve">e, elements to reflect in the design of the reporting portal, or content that would be helpful to include in the supporting guidance. </w:t>
      </w:r>
    </w:p>
    <w:p w14:paraId="779D96B8" w14:textId="5829E5C4" w:rsidR="00F42043" w:rsidRPr="006B0774" w:rsidRDefault="000C74F5" w:rsidP="00E42619">
      <w:pPr>
        <w:rPr>
          <w:rFonts w:ascii="Open Sans" w:hAnsi="Open Sans" w:cs="Open Sans"/>
        </w:rPr>
      </w:pPr>
      <w:r w:rsidRPr="006B0774">
        <w:rPr>
          <w:rFonts w:ascii="Open Sans" w:hAnsi="Open Sans" w:cs="Open Sans"/>
        </w:rPr>
        <w:t xml:space="preserve">Any development of a new online portal must be fully tested, before being </w:t>
      </w:r>
      <w:r w:rsidR="002475F6" w:rsidRPr="006B0774">
        <w:rPr>
          <w:rFonts w:ascii="Open Sans" w:hAnsi="Open Sans" w:cs="Open Sans"/>
        </w:rPr>
        <w:t xml:space="preserve">released. In </w:t>
      </w:r>
      <w:r w:rsidR="009466C9" w:rsidRPr="006B0774">
        <w:rPr>
          <w:rFonts w:ascii="Open Sans" w:hAnsi="Open Sans" w:cs="Open Sans"/>
        </w:rPr>
        <w:t>addition,</w:t>
      </w:r>
      <w:r w:rsidR="002475F6" w:rsidRPr="006B0774">
        <w:rPr>
          <w:rFonts w:ascii="Open Sans" w:hAnsi="Open Sans" w:cs="Open Sans"/>
        </w:rPr>
        <w:t xml:space="preserve"> well-drafted guidance, which has been consulted </w:t>
      </w:r>
      <w:r w:rsidR="009466C9">
        <w:rPr>
          <w:rFonts w:ascii="Open Sans" w:hAnsi="Open Sans" w:cs="Open Sans"/>
        </w:rPr>
        <w:t>with business</w:t>
      </w:r>
      <w:r w:rsidR="002475F6" w:rsidRPr="006B0774">
        <w:rPr>
          <w:rFonts w:ascii="Open Sans" w:hAnsi="Open Sans" w:cs="Open Sans"/>
        </w:rPr>
        <w:t xml:space="preserve">, should be issued </w:t>
      </w:r>
      <w:r w:rsidR="009466C9" w:rsidRPr="006B0774">
        <w:rPr>
          <w:rFonts w:ascii="Open Sans" w:hAnsi="Open Sans" w:cs="Open Sans"/>
        </w:rPr>
        <w:t>to</w:t>
      </w:r>
      <w:r w:rsidR="002475F6" w:rsidRPr="006B0774">
        <w:rPr>
          <w:rFonts w:ascii="Open Sans" w:hAnsi="Open Sans" w:cs="Open Sans"/>
        </w:rPr>
        <w:t xml:space="preserve"> ensure ratepayers are clear on their obligations and how information should be submitted. </w:t>
      </w:r>
      <w:r w:rsidR="003668B0">
        <w:rPr>
          <w:rFonts w:ascii="Open Sans" w:hAnsi="Open Sans" w:cs="Open Sans"/>
        </w:rPr>
        <w:t>Furthermore,</w:t>
      </w:r>
      <w:r w:rsidR="002475F6" w:rsidRPr="006B0774">
        <w:rPr>
          <w:rFonts w:ascii="Open Sans" w:hAnsi="Open Sans" w:cs="Open Sans"/>
        </w:rPr>
        <w:t xml:space="preserve"> options for the ability to submit batch uploads, across multiply properties should also be developed for ratepayers with large portfolios. </w:t>
      </w:r>
    </w:p>
    <w:p w14:paraId="1D8AFD40" w14:textId="7EC1D972" w:rsidR="002475F6" w:rsidRPr="006B0774" w:rsidRDefault="000C74F5" w:rsidP="00E42619">
      <w:pPr>
        <w:rPr>
          <w:rFonts w:ascii="Open Sans" w:hAnsi="Open Sans" w:cs="Open Sans"/>
        </w:rPr>
      </w:pPr>
      <w:r w:rsidRPr="006B0774">
        <w:rPr>
          <w:rFonts w:ascii="Open Sans" w:hAnsi="Open Sans" w:cs="Open Sans"/>
        </w:rPr>
        <w:t xml:space="preserve">We would encourage the government to work with Trade Associations </w:t>
      </w:r>
      <w:r w:rsidR="009466C9" w:rsidRPr="006B0774">
        <w:rPr>
          <w:rFonts w:ascii="Open Sans" w:hAnsi="Open Sans" w:cs="Open Sans"/>
        </w:rPr>
        <w:t>to</w:t>
      </w:r>
      <w:r w:rsidRPr="006B0774">
        <w:rPr>
          <w:rFonts w:ascii="Open Sans" w:hAnsi="Open Sans" w:cs="Open Sans"/>
        </w:rPr>
        <w:t xml:space="preserve"> test new systems and consult with their members to ensure guidance is clear and that submissions systems can work smoothly. </w:t>
      </w:r>
    </w:p>
    <w:p w14:paraId="5768A73A" w14:textId="27A47EB9" w:rsidR="002475F6" w:rsidRPr="009466C9" w:rsidRDefault="000C74F5" w:rsidP="00E42619">
      <w:pPr>
        <w:pStyle w:val="ListParagraph"/>
        <w:numPr>
          <w:ilvl w:val="0"/>
          <w:numId w:val="1"/>
        </w:numPr>
        <w:ind w:left="0"/>
        <w:rPr>
          <w:rFonts w:ascii="Open Sans" w:hAnsi="Open Sans" w:cs="Open Sans"/>
          <w:color w:val="2F5496"/>
        </w:rPr>
      </w:pPr>
      <w:r w:rsidRPr="009466C9">
        <w:rPr>
          <w:rFonts w:ascii="Open Sans" w:hAnsi="Open Sans" w:cs="Open Sans"/>
          <w:b/>
          <w:bCs/>
          <w:color w:val="2F5496"/>
        </w:rPr>
        <w:t>Are you supporti</w:t>
      </w:r>
      <w:r w:rsidRPr="009466C9">
        <w:rPr>
          <w:rFonts w:ascii="Open Sans" w:hAnsi="Open Sans" w:cs="Open Sans"/>
          <w:b/>
          <w:bCs/>
          <w:color w:val="2F5496"/>
        </w:rPr>
        <w:t xml:space="preserve">ve of the proposed approach to Transparency? Are there further elements you think should be made available as part of a Transparency offer? </w:t>
      </w:r>
    </w:p>
    <w:p w14:paraId="2337BF81" w14:textId="57B87D3E" w:rsidR="002475F6" w:rsidRPr="006B0774" w:rsidRDefault="000C74F5" w:rsidP="00E42619">
      <w:pPr>
        <w:rPr>
          <w:rFonts w:ascii="Open Sans" w:hAnsi="Open Sans" w:cs="Open Sans"/>
        </w:rPr>
      </w:pPr>
      <w:r w:rsidRPr="006B0774">
        <w:rPr>
          <w:rFonts w:ascii="Open Sans" w:hAnsi="Open Sans" w:cs="Open Sans"/>
        </w:rPr>
        <w:t xml:space="preserve">We welcome proposals to improve transparency </w:t>
      </w:r>
      <w:r w:rsidR="00AC1B53" w:rsidRPr="006B0774">
        <w:rPr>
          <w:rFonts w:ascii="Open Sans" w:hAnsi="Open Sans" w:cs="Open Sans"/>
        </w:rPr>
        <w:t>but</w:t>
      </w:r>
      <w:r w:rsidRPr="006B0774">
        <w:rPr>
          <w:rFonts w:ascii="Open Sans" w:hAnsi="Open Sans" w:cs="Open Sans"/>
        </w:rPr>
        <w:t xml:space="preserve"> believe that a fuller </w:t>
      </w:r>
      <w:r w:rsidR="00AC1B53" w:rsidRPr="006B0774">
        <w:rPr>
          <w:rFonts w:ascii="Open Sans" w:hAnsi="Open Sans" w:cs="Open Sans"/>
        </w:rPr>
        <w:t>consultation</w:t>
      </w:r>
      <w:r w:rsidRPr="006B0774">
        <w:rPr>
          <w:rFonts w:ascii="Open Sans" w:hAnsi="Open Sans" w:cs="Open Sans"/>
        </w:rPr>
        <w:t xml:space="preserve"> is needed to address this issue</w:t>
      </w:r>
      <w:r w:rsidRPr="006B0774">
        <w:rPr>
          <w:rFonts w:ascii="Open Sans" w:hAnsi="Open Sans" w:cs="Open Sans"/>
        </w:rPr>
        <w:t xml:space="preserve">. </w:t>
      </w:r>
      <w:r w:rsidR="00AC1B53" w:rsidRPr="006B0774">
        <w:rPr>
          <w:rFonts w:ascii="Open Sans" w:hAnsi="Open Sans" w:cs="Open Sans"/>
        </w:rPr>
        <w:t>Greater consideration needs to be given to</w:t>
      </w:r>
      <w:r w:rsidR="009466C9">
        <w:rPr>
          <w:rFonts w:ascii="Open Sans" w:hAnsi="Open Sans" w:cs="Open Sans"/>
        </w:rPr>
        <w:t xml:space="preserve"> </w:t>
      </w:r>
      <w:r w:rsidRPr="006B0774">
        <w:rPr>
          <w:rFonts w:ascii="Open Sans" w:hAnsi="Open Sans" w:cs="Open Sans"/>
        </w:rPr>
        <w:t xml:space="preserve">where transparency can be improved in </w:t>
      </w:r>
      <w:r w:rsidR="00AC1B53" w:rsidRPr="006B0774">
        <w:rPr>
          <w:rFonts w:ascii="Open Sans" w:hAnsi="Open Sans" w:cs="Open Sans"/>
        </w:rPr>
        <w:t>VOA operations</w:t>
      </w:r>
      <w:r w:rsidRPr="006B0774">
        <w:rPr>
          <w:rFonts w:ascii="Open Sans" w:hAnsi="Open Sans" w:cs="Open Sans"/>
        </w:rPr>
        <w:t xml:space="preserve"> following the introduction of a </w:t>
      </w:r>
      <w:r w:rsidR="00AC1B53" w:rsidRPr="006B0774">
        <w:rPr>
          <w:rFonts w:ascii="Open Sans" w:hAnsi="Open Sans" w:cs="Open Sans"/>
        </w:rPr>
        <w:t xml:space="preserve">duty </w:t>
      </w:r>
      <w:r w:rsidRPr="006B0774">
        <w:rPr>
          <w:rFonts w:ascii="Open Sans" w:hAnsi="Open Sans" w:cs="Open Sans"/>
        </w:rPr>
        <w:t>to notify and annual deceleration requirements, as proposed.  We do</w:t>
      </w:r>
      <w:r w:rsidR="00AC1B53" w:rsidRPr="006B0774">
        <w:rPr>
          <w:rFonts w:ascii="Open Sans" w:hAnsi="Open Sans" w:cs="Open Sans"/>
        </w:rPr>
        <w:t>,</w:t>
      </w:r>
      <w:r w:rsidRPr="006B0774">
        <w:rPr>
          <w:rFonts w:ascii="Open Sans" w:hAnsi="Open Sans" w:cs="Open Sans"/>
        </w:rPr>
        <w:t xml:space="preserve"> however</w:t>
      </w:r>
      <w:r w:rsidR="00AC1B53" w:rsidRPr="006B0774">
        <w:rPr>
          <w:rFonts w:ascii="Open Sans" w:hAnsi="Open Sans" w:cs="Open Sans"/>
        </w:rPr>
        <w:t xml:space="preserve">, </w:t>
      </w:r>
      <w:r w:rsidRPr="006B0774">
        <w:rPr>
          <w:rFonts w:ascii="Open Sans" w:hAnsi="Open Sans" w:cs="Open Sans"/>
        </w:rPr>
        <w:t xml:space="preserve">recognise that this is an iterative process and believe that such a </w:t>
      </w:r>
      <w:r w:rsidR="00AC1B53" w:rsidRPr="006B0774">
        <w:rPr>
          <w:rFonts w:ascii="Open Sans" w:hAnsi="Open Sans" w:cs="Open Sans"/>
        </w:rPr>
        <w:t>consultation</w:t>
      </w:r>
      <w:r w:rsidRPr="006B0774">
        <w:rPr>
          <w:rFonts w:ascii="Open Sans" w:hAnsi="Open Sans" w:cs="Open Sans"/>
        </w:rPr>
        <w:t xml:space="preserve"> can be conducted in </w:t>
      </w:r>
      <w:r w:rsidR="00AC1B53" w:rsidRPr="006B0774">
        <w:rPr>
          <w:rFonts w:ascii="Open Sans" w:hAnsi="Open Sans" w:cs="Open Sans"/>
        </w:rPr>
        <w:t>parallel</w:t>
      </w:r>
      <w:r w:rsidRPr="006B0774">
        <w:rPr>
          <w:rFonts w:ascii="Open Sans" w:hAnsi="Open Sans" w:cs="Open Sans"/>
        </w:rPr>
        <w:t xml:space="preserve"> to </w:t>
      </w:r>
      <w:r w:rsidR="00AC1B53" w:rsidRPr="006B0774">
        <w:rPr>
          <w:rFonts w:ascii="Open Sans" w:hAnsi="Open Sans" w:cs="Open Sans"/>
        </w:rPr>
        <w:t>quickly proceeding with the introduction of 3</w:t>
      </w:r>
      <w:r w:rsidR="009466C9">
        <w:rPr>
          <w:rFonts w:ascii="Open Sans" w:hAnsi="Open Sans" w:cs="Open Sans"/>
        </w:rPr>
        <w:t>-</w:t>
      </w:r>
      <w:r w:rsidR="00AC1B53" w:rsidRPr="006B0774">
        <w:rPr>
          <w:rFonts w:ascii="Open Sans" w:hAnsi="Open Sans" w:cs="Open Sans"/>
        </w:rPr>
        <w:t xml:space="preserve">yearly revaluations. </w:t>
      </w:r>
    </w:p>
    <w:p w14:paraId="23E2A1C2" w14:textId="3F134234" w:rsidR="009466C9" w:rsidRDefault="000C74F5" w:rsidP="00E42619">
      <w:pPr>
        <w:rPr>
          <w:rFonts w:ascii="Open Sans" w:hAnsi="Open Sans" w:cs="Open Sans"/>
        </w:rPr>
      </w:pPr>
      <w:r w:rsidRPr="006B0774">
        <w:rPr>
          <w:rFonts w:ascii="Open Sans" w:hAnsi="Open Sans" w:cs="Open Sans"/>
        </w:rPr>
        <w:t>We also oppose the proposal to introduce a fee for submitting a transparenc</w:t>
      </w:r>
      <w:r w:rsidRPr="006B0774">
        <w:rPr>
          <w:rFonts w:ascii="Open Sans" w:hAnsi="Open Sans" w:cs="Open Sans"/>
        </w:rPr>
        <w:t>y request</w:t>
      </w:r>
      <w:r>
        <w:rPr>
          <w:rFonts w:ascii="Open Sans" w:hAnsi="Open Sans" w:cs="Open Sans"/>
        </w:rPr>
        <w:t>. S</w:t>
      </w:r>
      <w:r w:rsidRPr="006B0774">
        <w:rPr>
          <w:rFonts w:ascii="Open Sans" w:hAnsi="Open Sans" w:cs="Open Sans"/>
        </w:rPr>
        <w:t>uch a requirement does not help deliver better transparency</w:t>
      </w:r>
      <w:r w:rsidR="003668B0">
        <w:rPr>
          <w:rFonts w:ascii="Open Sans" w:hAnsi="Open Sans" w:cs="Open Sans"/>
        </w:rPr>
        <w:t xml:space="preserve"> </w:t>
      </w:r>
      <w:r w:rsidRPr="006B0774">
        <w:rPr>
          <w:rFonts w:ascii="Open Sans" w:hAnsi="Open Sans" w:cs="Open Sans"/>
        </w:rPr>
        <w:t xml:space="preserve">for all ratepayers. </w:t>
      </w:r>
    </w:p>
    <w:p w14:paraId="6EAE0DDB" w14:textId="3CE424AA" w:rsidR="00AC1B53" w:rsidRPr="009466C9" w:rsidRDefault="000C74F5" w:rsidP="009466C9">
      <w:pPr>
        <w:pStyle w:val="ListParagraph"/>
        <w:numPr>
          <w:ilvl w:val="0"/>
          <w:numId w:val="1"/>
        </w:numPr>
        <w:ind w:left="0" w:hanging="284"/>
        <w:rPr>
          <w:rFonts w:ascii="Open Sans" w:hAnsi="Open Sans" w:cs="Open Sans"/>
          <w:color w:val="2F5496"/>
        </w:rPr>
      </w:pPr>
      <w:r w:rsidRPr="009466C9">
        <w:rPr>
          <w:rFonts w:ascii="Open Sans" w:hAnsi="Open Sans" w:cs="Open Sans"/>
          <w:b/>
          <w:bCs/>
          <w:color w:val="2F5496"/>
        </w:rPr>
        <w:t xml:space="preserve">What steps could the Government, stakeholders, or industry take to support a smooth move to a 3-yearly cycle? </w:t>
      </w:r>
    </w:p>
    <w:p w14:paraId="32E4109C" w14:textId="5B8FE15B" w:rsidR="009466C9" w:rsidRDefault="000C74F5" w:rsidP="00E42619">
      <w:pPr>
        <w:rPr>
          <w:rFonts w:ascii="Open Sans" w:hAnsi="Open Sans" w:cs="Open Sans"/>
        </w:rPr>
      </w:pPr>
      <w:r w:rsidRPr="006B0774">
        <w:rPr>
          <w:rFonts w:ascii="Open Sans" w:hAnsi="Open Sans" w:cs="Open Sans"/>
        </w:rPr>
        <w:t xml:space="preserve">We would encourage the </w:t>
      </w:r>
      <w:r w:rsidRPr="006B0774">
        <w:rPr>
          <w:rFonts w:ascii="Open Sans" w:hAnsi="Open Sans" w:cs="Open Sans"/>
        </w:rPr>
        <w:t>government to work with Trade Bodies</w:t>
      </w:r>
      <w:r>
        <w:rPr>
          <w:rFonts w:ascii="Open Sans" w:hAnsi="Open Sans" w:cs="Open Sans"/>
        </w:rPr>
        <w:t>,</w:t>
      </w:r>
      <w:r w:rsidRPr="006B0774">
        <w:rPr>
          <w:rFonts w:ascii="Open Sans" w:hAnsi="Open Sans" w:cs="Open Sans"/>
        </w:rPr>
        <w:t xml:space="preserve"> like the REA, to help keep businesses informed of changes and educate their members on new requirements. We would welcome the opportunity to feedback on guidance documents </w:t>
      </w:r>
      <w:r w:rsidRPr="006B0774">
        <w:rPr>
          <w:rFonts w:ascii="Open Sans" w:hAnsi="Open Sans" w:cs="Open Sans"/>
        </w:rPr>
        <w:lastRenderedPageBreak/>
        <w:t>and see online portals thoroughly tested so th</w:t>
      </w:r>
      <w:r w:rsidRPr="006B0774">
        <w:rPr>
          <w:rFonts w:ascii="Open Sans" w:hAnsi="Open Sans" w:cs="Open Sans"/>
        </w:rPr>
        <w:t>at businesses</w:t>
      </w:r>
      <w:r w:rsidR="003668B0">
        <w:rPr>
          <w:rFonts w:ascii="Open Sans" w:hAnsi="Open Sans" w:cs="Open Sans"/>
        </w:rPr>
        <w:t xml:space="preserve"> can</w:t>
      </w:r>
      <w:r w:rsidRPr="006B0774">
        <w:rPr>
          <w:rFonts w:ascii="Open Sans" w:hAnsi="Open Sans" w:cs="Open Sans"/>
        </w:rPr>
        <w:t xml:space="preserve"> become fully aware of their obligations and how to meet them, </w:t>
      </w:r>
    </w:p>
    <w:p w14:paraId="1F8FB54C" w14:textId="20302776" w:rsidR="00AC1B53" w:rsidRPr="009466C9" w:rsidRDefault="000C74F5" w:rsidP="009466C9">
      <w:pPr>
        <w:pStyle w:val="ListParagraph"/>
        <w:numPr>
          <w:ilvl w:val="0"/>
          <w:numId w:val="1"/>
        </w:numPr>
        <w:ind w:left="0" w:hanging="426"/>
        <w:rPr>
          <w:rFonts w:ascii="Open Sans" w:hAnsi="Open Sans" w:cs="Open Sans"/>
          <w:color w:val="2F5496"/>
        </w:rPr>
      </w:pPr>
      <w:r w:rsidRPr="009466C9">
        <w:rPr>
          <w:rFonts w:ascii="Open Sans" w:hAnsi="Open Sans" w:cs="Open Sans"/>
          <w:b/>
          <w:bCs/>
          <w:color w:val="2F5496"/>
        </w:rPr>
        <w:t xml:space="preserve">Do you have any other comments on the proposed approach to the move to a 3-yearly cycle? </w:t>
      </w:r>
    </w:p>
    <w:p w14:paraId="615A054C" w14:textId="393AFBCF" w:rsidR="00AC1B53" w:rsidRPr="006B0774" w:rsidRDefault="000C74F5" w:rsidP="00E42619">
      <w:pPr>
        <w:rPr>
          <w:rFonts w:ascii="Open Sans" w:hAnsi="Open Sans" w:cs="Open Sans"/>
        </w:rPr>
      </w:pPr>
      <w:r>
        <w:rPr>
          <w:rFonts w:ascii="Open Sans" w:hAnsi="Open Sans" w:cs="Open Sans"/>
        </w:rPr>
        <w:t>The m</w:t>
      </w:r>
      <w:r w:rsidRPr="006B0774">
        <w:rPr>
          <w:rFonts w:ascii="Open Sans" w:hAnsi="Open Sans" w:cs="Open Sans"/>
        </w:rPr>
        <w:t>ove to 3-yearly revaluations needs to be accompanied by a reduction in the period be</w:t>
      </w:r>
      <w:r w:rsidRPr="006B0774">
        <w:rPr>
          <w:rFonts w:ascii="Open Sans" w:hAnsi="Open Sans" w:cs="Open Sans"/>
        </w:rPr>
        <w:t>tween the Antecedent Valuation Date (AVD) and revaluation date. The two-year gap between AVD and revaluation, currently in place, means that even with more frequent revaluations the VOA will be basing rateable values on inaccurate data. For example, from r</w:t>
      </w:r>
      <w:r w:rsidRPr="006B0774">
        <w:rPr>
          <w:rFonts w:ascii="Open Sans" w:hAnsi="Open Sans" w:cs="Open Sans"/>
        </w:rPr>
        <w:t>enewables and clean technology perspective, in the last two years we have seen the closure of several government support schemes; the cost of establishing renewable technologies significantly fall and the continued evolution of flexibility markets with bus</w:t>
      </w:r>
      <w:r w:rsidRPr="006B0774">
        <w:rPr>
          <w:rFonts w:ascii="Open Sans" w:hAnsi="Open Sans" w:cs="Open Sans"/>
        </w:rPr>
        <w:t>iness models being based on a range of new revenue streams.  As such</w:t>
      </w:r>
      <w:r>
        <w:rPr>
          <w:rFonts w:ascii="Open Sans" w:hAnsi="Open Sans" w:cs="Open Sans"/>
        </w:rPr>
        <w:t xml:space="preserve">, </w:t>
      </w:r>
      <w:r w:rsidRPr="006B0774">
        <w:rPr>
          <w:rFonts w:ascii="Open Sans" w:hAnsi="Open Sans" w:cs="Open Sans"/>
        </w:rPr>
        <w:t>a</w:t>
      </w:r>
      <w:r>
        <w:rPr>
          <w:rFonts w:ascii="Open Sans" w:hAnsi="Open Sans" w:cs="Open Sans"/>
        </w:rPr>
        <w:t>n</w:t>
      </w:r>
      <w:r w:rsidRPr="006B0774">
        <w:rPr>
          <w:rFonts w:ascii="Open Sans" w:hAnsi="Open Sans" w:cs="Open Sans"/>
        </w:rPr>
        <w:t xml:space="preserve"> AVD from two years ago cannot hope to accurately reflect the economic realities of renewable businesses for the next three years. A</w:t>
      </w:r>
      <w:r>
        <w:rPr>
          <w:rFonts w:ascii="Open Sans" w:hAnsi="Open Sans" w:cs="Open Sans"/>
        </w:rPr>
        <w:t>n</w:t>
      </w:r>
      <w:r w:rsidRPr="006B0774">
        <w:rPr>
          <w:rFonts w:ascii="Open Sans" w:hAnsi="Open Sans" w:cs="Open Sans"/>
        </w:rPr>
        <w:t xml:space="preserve"> AVD of 1-year would be a better basis for calculat</w:t>
      </w:r>
      <w:r w:rsidRPr="006B0774">
        <w:rPr>
          <w:rFonts w:ascii="Open Sans" w:hAnsi="Open Sans" w:cs="Open Sans"/>
        </w:rPr>
        <w:t xml:space="preserve">ing rateable values and we encourage the government to see this </w:t>
      </w:r>
      <w:r>
        <w:rPr>
          <w:rFonts w:ascii="Open Sans" w:hAnsi="Open Sans" w:cs="Open Sans"/>
        </w:rPr>
        <w:t xml:space="preserve">introduced </w:t>
      </w:r>
      <w:r w:rsidRPr="006B0774">
        <w:rPr>
          <w:rFonts w:ascii="Open Sans" w:hAnsi="Open Sans" w:cs="Open Sans"/>
        </w:rPr>
        <w:t>as part of more frequent revaluations.</w:t>
      </w:r>
    </w:p>
    <w:p w14:paraId="56977E62" w14:textId="39C55313" w:rsidR="00603628" w:rsidRPr="006B0774" w:rsidRDefault="000C74F5" w:rsidP="00E42619">
      <w:pPr>
        <w:rPr>
          <w:rFonts w:ascii="Open Sans" w:hAnsi="Open Sans" w:cs="Open Sans"/>
        </w:rPr>
      </w:pPr>
      <w:r w:rsidRPr="006B0774">
        <w:rPr>
          <w:rFonts w:ascii="Open Sans" w:hAnsi="Open Sans" w:cs="Open Sans"/>
        </w:rPr>
        <w:t>In addition</w:t>
      </w:r>
      <w:r w:rsidRPr="006B0774">
        <w:rPr>
          <w:rFonts w:ascii="Open Sans" w:hAnsi="Open Sans" w:cs="Open Sans"/>
        </w:rPr>
        <w:t>, we also reiterate the points made by the REA in the Fundamental review to Business Rate consultation, namely:</w:t>
      </w:r>
    </w:p>
    <w:p w14:paraId="6CCBE90F" w14:textId="131CBA2D" w:rsidR="00AD38FD" w:rsidRPr="00F77C95" w:rsidRDefault="000C74F5" w:rsidP="00AD38FD">
      <w:pPr>
        <w:pStyle w:val="ListParagraph"/>
        <w:numPr>
          <w:ilvl w:val="0"/>
          <w:numId w:val="4"/>
        </w:numPr>
        <w:rPr>
          <w:rFonts w:ascii="Open Sans" w:hAnsi="Open Sans" w:cs="Open Sans"/>
        </w:rPr>
      </w:pPr>
      <w:r>
        <w:rPr>
          <w:rFonts w:ascii="Open Sans" w:hAnsi="Open Sans" w:cs="Open Sans"/>
        </w:rPr>
        <w:t>We sup</w:t>
      </w:r>
      <w:r>
        <w:rPr>
          <w:rFonts w:ascii="Open Sans" w:hAnsi="Open Sans" w:cs="Open Sans"/>
        </w:rPr>
        <w:t>port the s</w:t>
      </w:r>
      <w:r w:rsidRPr="00F77C95">
        <w:rPr>
          <w:rFonts w:ascii="Open Sans" w:hAnsi="Open Sans" w:cs="Open Sans"/>
        </w:rPr>
        <w:t>implification of the relief system, with clarified aims, including to support decarbonisation.</w:t>
      </w:r>
    </w:p>
    <w:p w14:paraId="65B8E1BA" w14:textId="038E0FC8" w:rsidR="00AD38FD" w:rsidRPr="00F77C95" w:rsidRDefault="003668B0" w:rsidP="00AD38FD">
      <w:pPr>
        <w:pStyle w:val="ListParagraph"/>
        <w:numPr>
          <w:ilvl w:val="0"/>
          <w:numId w:val="4"/>
        </w:numPr>
        <w:rPr>
          <w:rFonts w:ascii="Open Sans" w:hAnsi="Open Sans" w:cs="Open Sans"/>
        </w:rPr>
      </w:pPr>
      <w:r>
        <w:rPr>
          <w:rFonts w:ascii="Open Sans" w:hAnsi="Open Sans" w:cs="Open Sans"/>
        </w:rPr>
        <w:t>We call for the r</w:t>
      </w:r>
      <w:r w:rsidR="000C74F5" w:rsidRPr="00F77C95">
        <w:rPr>
          <w:rFonts w:ascii="Open Sans" w:hAnsi="Open Sans" w:cs="Open Sans"/>
        </w:rPr>
        <w:t xml:space="preserve">emoval of renewable energy and clean technology from the Plant and Machinery order to facilitate the Government’s Net Zero 2050 commitment and unlock </w:t>
      </w:r>
      <w:r w:rsidR="000C74F5" w:rsidRPr="00F77C95">
        <w:rPr>
          <w:rFonts w:ascii="Open Sans" w:hAnsi="Open Sans" w:cs="Open Sans"/>
        </w:rPr>
        <w:t>investment in renewables and clean technology, increasing tax revenue.</w:t>
      </w:r>
    </w:p>
    <w:p w14:paraId="00B89163" w14:textId="14614937" w:rsidR="00AD38FD" w:rsidRPr="00F77C95" w:rsidRDefault="003668B0" w:rsidP="00AD38FD">
      <w:pPr>
        <w:pStyle w:val="ListParagraph"/>
        <w:numPr>
          <w:ilvl w:val="0"/>
          <w:numId w:val="4"/>
        </w:numPr>
        <w:rPr>
          <w:rFonts w:ascii="Open Sans" w:hAnsi="Open Sans" w:cs="Open Sans"/>
          <w:color w:val="2F5496"/>
        </w:rPr>
      </w:pPr>
      <w:r w:rsidRPr="00F77C95">
        <w:rPr>
          <w:rFonts w:ascii="Open Sans" w:hAnsi="Open Sans" w:cs="Open Sans"/>
        </w:rPr>
        <w:t>G</w:t>
      </w:r>
      <w:r>
        <w:rPr>
          <w:rFonts w:ascii="Open Sans" w:hAnsi="Open Sans" w:cs="Open Sans"/>
        </w:rPr>
        <w:t>overnment should i</w:t>
      </w:r>
      <w:r w:rsidR="000C74F5" w:rsidRPr="00F77C95">
        <w:rPr>
          <w:rFonts w:ascii="Open Sans" w:hAnsi="Open Sans" w:cs="Open Sans"/>
        </w:rPr>
        <w:t>ntroduce the Business Growth Accelerator</w:t>
      </w:r>
      <w:r w:rsidR="000C74F5">
        <w:rPr>
          <w:rFonts w:ascii="Open Sans" w:hAnsi="Open Sans" w:cs="Open Sans"/>
        </w:rPr>
        <w:t>, as seen in Scotland,</w:t>
      </w:r>
      <w:r w:rsidR="000C74F5" w:rsidRPr="00F77C95">
        <w:rPr>
          <w:rFonts w:ascii="Open Sans" w:hAnsi="Open Sans" w:cs="Open Sans"/>
        </w:rPr>
        <w:t xml:space="preserve"> in England and Wales, </w:t>
      </w:r>
      <w:r w:rsidR="000C74F5">
        <w:rPr>
          <w:rFonts w:ascii="Open Sans" w:hAnsi="Open Sans" w:cs="Open Sans"/>
        </w:rPr>
        <w:t xml:space="preserve">which provides </w:t>
      </w:r>
      <w:r w:rsidR="000C74F5" w:rsidRPr="00F77C95">
        <w:rPr>
          <w:rFonts w:ascii="Open Sans" w:hAnsi="Open Sans" w:cs="Open Sans"/>
        </w:rPr>
        <w:t>18</w:t>
      </w:r>
      <w:r w:rsidR="000C74F5">
        <w:rPr>
          <w:rFonts w:ascii="Open Sans" w:hAnsi="Open Sans" w:cs="Open Sans"/>
        </w:rPr>
        <w:t>-</w:t>
      </w:r>
      <w:r w:rsidR="000C74F5" w:rsidRPr="00F77C95">
        <w:rPr>
          <w:rFonts w:ascii="Open Sans" w:hAnsi="Open Sans" w:cs="Open Sans"/>
        </w:rPr>
        <w:t>month relief on new investment</w:t>
      </w:r>
      <w:r w:rsidR="000C74F5">
        <w:rPr>
          <w:rFonts w:ascii="Open Sans" w:hAnsi="Open Sans" w:cs="Open Sans"/>
        </w:rPr>
        <w:t>s</w:t>
      </w:r>
      <w:r w:rsidR="000C74F5" w:rsidRPr="00F77C95">
        <w:rPr>
          <w:rFonts w:ascii="Open Sans" w:hAnsi="Open Sans" w:cs="Open Sans"/>
        </w:rPr>
        <w:t>.</w:t>
      </w:r>
    </w:p>
    <w:p w14:paraId="43AE3D42" w14:textId="6210D2C5" w:rsidR="00AD38FD" w:rsidRPr="00E54ED0" w:rsidRDefault="000C74F5" w:rsidP="00AD38FD">
      <w:pPr>
        <w:rPr>
          <w:rFonts w:ascii="Open Sans" w:hAnsi="Open Sans" w:cs="Open Sans"/>
        </w:rPr>
      </w:pPr>
      <w:r w:rsidRPr="00E54ED0">
        <w:rPr>
          <w:rFonts w:ascii="Open Sans" w:hAnsi="Open Sans" w:cs="Open Sans"/>
        </w:rPr>
        <w:t xml:space="preserve">A simplification of the relief system </w:t>
      </w:r>
      <w:r w:rsidRPr="00E54ED0">
        <w:rPr>
          <w:rFonts w:ascii="Open Sans" w:hAnsi="Open Sans" w:cs="Open Sans"/>
        </w:rPr>
        <w:t>would be welcome, with clear aims for the reliefs established. This should include reliefs specifically designed around the decarbonisation of the UK economy and supporting business growth</w:t>
      </w:r>
      <w:r>
        <w:rPr>
          <w:rFonts w:ascii="Open Sans" w:hAnsi="Open Sans" w:cs="Open Sans"/>
        </w:rPr>
        <w:t>, incentivising businesses to install renewable energy and clean tec</w:t>
      </w:r>
      <w:r>
        <w:rPr>
          <w:rFonts w:ascii="Open Sans" w:hAnsi="Open Sans" w:cs="Open Sans"/>
        </w:rPr>
        <w:t xml:space="preserve">hnology systems to meet their energy needs. </w:t>
      </w:r>
      <w:r w:rsidRPr="00E54ED0">
        <w:rPr>
          <w:rFonts w:ascii="Open Sans" w:hAnsi="Open Sans" w:cs="Open Sans"/>
        </w:rPr>
        <w:t xml:space="preserve"> </w:t>
      </w:r>
    </w:p>
    <w:p w14:paraId="0E70F2F5" w14:textId="77777777" w:rsidR="00AD38FD" w:rsidRPr="00E54ED0" w:rsidRDefault="000C74F5" w:rsidP="00AD38FD">
      <w:pPr>
        <w:rPr>
          <w:rFonts w:ascii="Open Sans" w:hAnsi="Open Sans" w:cs="Open Sans"/>
        </w:rPr>
      </w:pPr>
      <w:r>
        <w:rPr>
          <w:rFonts w:ascii="Open Sans" w:hAnsi="Open Sans" w:cs="Open Sans"/>
        </w:rPr>
        <w:t>Firstly, t</w:t>
      </w:r>
      <w:r w:rsidRPr="00E54ED0">
        <w:rPr>
          <w:rFonts w:ascii="Open Sans" w:hAnsi="Open Sans" w:cs="Open Sans"/>
        </w:rPr>
        <w:t>o support the transition to renewable energy and clean technology, amendments need to be made to the Plant and Machinery Order to remove the distortion in value between self-consumption and export onl</w:t>
      </w:r>
      <w:r w:rsidRPr="00E54ED0">
        <w:rPr>
          <w:rFonts w:ascii="Open Sans" w:hAnsi="Open Sans" w:cs="Open Sans"/>
        </w:rPr>
        <w:t>y sites. This is particularly pertinent for rooftop solar projects and is having a further impact on other onsite renewable technologies include energy storage, renewable heat technologies and EV charging infrastructure. There have been high-profile instan</w:t>
      </w:r>
      <w:r w:rsidRPr="00E54ED0">
        <w:rPr>
          <w:rFonts w:ascii="Open Sans" w:hAnsi="Open Sans" w:cs="Open Sans"/>
        </w:rPr>
        <w:t xml:space="preserve">ces (such as </w:t>
      </w:r>
      <w:hyperlink r:id="rId7" w:history="1">
        <w:r w:rsidRPr="00E54ED0">
          <w:rPr>
            <w:rStyle w:val="Hyperlink"/>
            <w:rFonts w:ascii="Open Sans" w:hAnsi="Open Sans" w:cs="Open Sans"/>
          </w:rPr>
          <w:t>Lidl in 2020</w:t>
        </w:r>
      </w:hyperlink>
      <w:r w:rsidRPr="00E54ED0">
        <w:rPr>
          <w:rFonts w:ascii="Open Sans" w:hAnsi="Open Sans" w:cs="Open Sans"/>
        </w:rPr>
        <w:t xml:space="preserve">, which saw business rates rise by 528%, and </w:t>
      </w:r>
      <w:hyperlink r:id="rId8" w:history="1">
        <w:r w:rsidRPr="00E54ED0">
          <w:rPr>
            <w:rStyle w:val="Hyperlink"/>
            <w:rFonts w:ascii="Open Sans" w:hAnsi="Open Sans" w:cs="Open Sans"/>
          </w:rPr>
          <w:t>schools</w:t>
        </w:r>
      </w:hyperlink>
      <w:r w:rsidRPr="00E54ED0">
        <w:rPr>
          <w:rFonts w:ascii="Open Sans" w:hAnsi="Open Sans" w:cs="Open Sans"/>
        </w:rPr>
        <w:t xml:space="preserve"> with solar panel installations) of this distortion penalising businesses trying to move towards a sustainable business model, and disincentivises other businesses from planning to be more sust</w:t>
      </w:r>
      <w:r w:rsidRPr="00E54ED0">
        <w:rPr>
          <w:rFonts w:ascii="Open Sans" w:hAnsi="Open Sans" w:cs="Open Sans"/>
        </w:rPr>
        <w:t>ainable.</w:t>
      </w:r>
    </w:p>
    <w:p w14:paraId="1E25681D" w14:textId="77777777" w:rsidR="00AD38FD" w:rsidRPr="00E54ED0" w:rsidRDefault="000C74F5" w:rsidP="00AD38FD">
      <w:pPr>
        <w:rPr>
          <w:rFonts w:ascii="Open Sans" w:hAnsi="Open Sans" w:cs="Open Sans"/>
        </w:rPr>
      </w:pPr>
      <w:r w:rsidRPr="00E54ED0">
        <w:rPr>
          <w:rFonts w:ascii="Open Sans" w:hAnsi="Open Sans" w:cs="Open Sans"/>
        </w:rPr>
        <w:lastRenderedPageBreak/>
        <w:t xml:space="preserve">Given the Government’s commitment to </w:t>
      </w:r>
      <w:r>
        <w:rPr>
          <w:rFonts w:ascii="Open Sans" w:hAnsi="Open Sans" w:cs="Open Sans"/>
        </w:rPr>
        <w:t>n</w:t>
      </w:r>
      <w:r w:rsidRPr="00E54ED0">
        <w:rPr>
          <w:rFonts w:ascii="Open Sans" w:hAnsi="Open Sans" w:cs="Open Sans"/>
        </w:rPr>
        <w:t>et</w:t>
      </w:r>
      <w:r>
        <w:rPr>
          <w:rFonts w:ascii="Open Sans" w:hAnsi="Open Sans" w:cs="Open Sans"/>
        </w:rPr>
        <w:t>-z</w:t>
      </w:r>
      <w:r w:rsidRPr="00E54ED0">
        <w:rPr>
          <w:rFonts w:ascii="Open Sans" w:hAnsi="Open Sans" w:cs="Open Sans"/>
        </w:rPr>
        <w:t xml:space="preserve">ero </w:t>
      </w:r>
      <w:r>
        <w:rPr>
          <w:rFonts w:ascii="Open Sans" w:hAnsi="Open Sans" w:cs="Open Sans"/>
        </w:rPr>
        <w:t xml:space="preserve">emissions </w:t>
      </w:r>
      <w:r w:rsidRPr="00E54ED0">
        <w:rPr>
          <w:rFonts w:ascii="Open Sans" w:hAnsi="Open Sans" w:cs="Open Sans"/>
        </w:rPr>
        <w:t>and the Treasury Test, all renewable energy</w:t>
      </w:r>
      <w:r>
        <w:rPr>
          <w:rFonts w:ascii="Open Sans" w:hAnsi="Open Sans" w:cs="Open Sans"/>
        </w:rPr>
        <w:t xml:space="preserve"> and clean technologies (including organic recycling machinery) </w:t>
      </w:r>
      <w:r w:rsidRPr="00E54ED0">
        <w:rPr>
          <w:rFonts w:ascii="Open Sans" w:hAnsi="Open Sans" w:cs="Open Sans"/>
        </w:rPr>
        <w:t>should be removed from the rateable list and/or provided relief</w:t>
      </w:r>
      <w:r w:rsidRPr="00664C9C">
        <w:rPr>
          <w:rFonts w:ascii="Open Sans" w:hAnsi="Open Sans" w:cs="Open Sans"/>
          <w:color w:val="000000" w:themeColor="text1"/>
        </w:rPr>
        <w:t>.</w:t>
      </w:r>
      <w:r w:rsidRPr="00664C9C">
        <w:rPr>
          <w:rFonts w:ascii="Open Sans" w:hAnsi="Open Sans"/>
          <w:color w:val="000000" w:themeColor="text1"/>
        </w:rPr>
        <w:t xml:space="preserve"> This should also in</w:t>
      </w:r>
      <w:r w:rsidRPr="00664C9C">
        <w:rPr>
          <w:rFonts w:ascii="Open Sans" w:hAnsi="Open Sans"/>
          <w:color w:val="000000" w:themeColor="text1"/>
        </w:rPr>
        <w:t>clude consideration of the transport sector and farm machinery, where those using renewable transport fuels or electricity should not be rateable</w:t>
      </w:r>
      <w:r>
        <w:rPr>
          <w:rFonts w:ascii="Open Sans" w:hAnsi="Open Sans"/>
          <w:i/>
          <w:iCs/>
        </w:rPr>
        <w:t xml:space="preserve">. </w:t>
      </w:r>
      <w:r w:rsidRPr="00E54ED0">
        <w:rPr>
          <w:rFonts w:ascii="Open Sans" w:hAnsi="Open Sans" w:cs="Open Sans"/>
        </w:rPr>
        <w:t xml:space="preserve"> There is an urgent need to increase the installation of renewable energy and clean technologies at commercia</w:t>
      </w:r>
      <w:r w:rsidRPr="00E54ED0">
        <w:rPr>
          <w:rFonts w:ascii="Open Sans" w:hAnsi="Open Sans" w:cs="Open Sans"/>
        </w:rPr>
        <w:t xml:space="preserve">l premises, including energy efficiency measures.  The Coronavirus crisis will have a significantly negative impact on the capacity of the average business to make long-term investments that are supplementary to their core business model. </w:t>
      </w:r>
    </w:p>
    <w:p w14:paraId="1C17E279" w14:textId="77777777" w:rsidR="00AD38FD" w:rsidRPr="00E54ED0" w:rsidRDefault="000C74F5" w:rsidP="00AD38FD">
      <w:pPr>
        <w:rPr>
          <w:rFonts w:ascii="Open Sans" w:hAnsi="Open Sans" w:cs="Open Sans"/>
        </w:rPr>
      </w:pPr>
      <w:r w:rsidRPr="00E54ED0">
        <w:rPr>
          <w:rFonts w:ascii="Open Sans" w:hAnsi="Open Sans" w:cs="Open Sans"/>
        </w:rPr>
        <w:t>Relief is, there</w:t>
      </w:r>
      <w:r w:rsidRPr="00E54ED0">
        <w:rPr>
          <w:rFonts w:ascii="Open Sans" w:hAnsi="Open Sans" w:cs="Open Sans"/>
        </w:rPr>
        <w:t>fore, necessary to incentivise the installation of on-site renewable generation technologies, storage systems and renewable heating systems within businesses. Similarly, it will also enable the continued deployment of larger-scale renewable projects includ</w:t>
      </w:r>
      <w:r w:rsidRPr="00E54ED0">
        <w:rPr>
          <w:rFonts w:ascii="Open Sans" w:hAnsi="Open Sans" w:cs="Open Sans"/>
        </w:rPr>
        <w:t xml:space="preserve">ing </w:t>
      </w:r>
      <w:r>
        <w:rPr>
          <w:rFonts w:ascii="Open Sans" w:hAnsi="Open Sans" w:cs="Open Sans"/>
        </w:rPr>
        <w:t>a</w:t>
      </w:r>
      <w:r w:rsidRPr="00E54ED0">
        <w:rPr>
          <w:rFonts w:ascii="Open Sans" w:hAnsi="Open Sans" w:cs="Open Sans"/>
        </w:rPr>
        <w:t xml:space="preserve">naerobic </w:t>
      </w:r>
      <w:r>
        <w:rPr>
          <w:rFonts w:ascii="Open Sans" w:hAnsi="Open Sans" w:cs="Open Sans"/>
        </w:rPr>
        <w:t>d</w:t>
      </w:r>
      <w:r w:rsidRPr="00E54ED0">
        <w:rPr>
          <w:rFonts w:ascii="Open Sans" w:hAnsi="Open Sans" w:cs="Open Sans"/>
        </w:rPr>
        <w:t>igestion,</w:t>
      </w:r>
      <w:r>
        <w:rPr>
          <w:rFonts w:ascii="Open Sans" w:hAnsi="Open Sans" w:cs="Open Sans"/>
        </w:rPr>
        <w:t xml:space="preserve"> organic recycling,</w:t>
      </w:r>
      <w:r w:rsidRPr="00E54ED0">
        <w:rPr>
          <w:rFonts w:ascii="Open Sans" w:hAnsi="Open Sans" w:cs="Open Sans"/>
        </w:rPr>
        <w:t xml:space="preserve"> </w:t>
      </w:r>
      <w:r>
        <w:rPr>
          <w:rFonts w:ascii="Open Sans" w:hAnsi="Open Sans" w:cs="Open Sans"/>
        </w:rPr>
        <w:t>w</w:t>
      </w:r>
      <w:r w:rsidRPr="00E54ED0">
        <w:rPr>
          <w:rFonts w:ascii="Open Sans" w:hAnsi="Open Sans" w:cs="Open Sans"/>
        </w:rPr>
        <w:t xml:space="preserve">ind, </w:t>
      </w:r>
      <w:r>
        <w:rPr>
          <w:rFonts w:ascii="Open Sans" w:hAnsi="Open Sans" w:cs="Open Sans"/>
        </w:rPr>
        <w:t>b</w:t>
      </w:r>
      <w:r w:rsidRPr="00E54ED0">
        <w:rPr>
          <w:rFonts w:ascii="Open Sans" w:hAnsi="Open Sans" w:cs="Open Sans"/>
        </w:rPr>
        <w:t xml:space="preserve">ioenergy </w:t>
      </w:r>
      <w:r>
        <w:rPr>
          <w:rFonts w:ascii="Open Sans" w:hAnsi="Open Sans" w:cs="Open Sans"/>
        </w:rPr>
        <w:t>p</w:t>
      </w:r>
      <w:r w:rsidRPr="00E54ED0">
        <w:rPr>
          <w:rFonts w:ascii="Open Sans" w:hAnsi="Open Sans" w:cs="Open Sans"/>
        </w:rPr>
        <w:t xml:space="preserve">rojects and </w:t>
      </w:r>
      <w:r>
        <w:rPr>
          <w:rFonts w:ascii="Open Sans" w:hAnsi="Open Sans" w:cs="Open Sans"/>
        </w:rPr>
        <w:t>l</w:t>
      </w:r>
      <w:r w:rsidRPr="00E54ED0">
        <w:rPr>
          <w:rFonts w:ascii="Open Sans" w:hAnsi="Open Sans" w:cs="Open Sans"/>
        </w:rPr>
        <w:t>arge-</w:t>
      </w:r>
      <w:r>
        <w:rPr>
          <w:rFonts w:ascii="Open Sans" w:hAnsi="Open Sans" w:cs="Open Sans"/>
        </w:rPr>
        <w:t>s</w:t>
      </w:r>
      <w:r w:rsidRPr="00E54ED0">
        <w:rPr>
          <w:rFonts w:ascii="Open Sans" w:hAnsi="Open Sans" w:cs="Open Sans"/>
        </w:rPr>
        <w:t xml:space="preserve">cale </w:t>
      </w:r>
      <w:r>
        <w:rPr>
          <w:rFonts w:ascii="Open Sans" w:hAnsi="Open Sans" w:cs="Open Sans"/>
        </w:rPr>
        <w:t>s</w:t>
      </w:r>
      <w:r w:rsidRPr="00E54ED0">
        <w:rPr>
          <w:rFonts w:ascii="Open Sans" w:hAnsi="Open Sans" w:cs="Open Sans"/>
        </w:rPr>
        <w:t xml:space="preserve">olar </w:t>
      </w:r>
      <w:r>
        <w:rPr>
          <w:rFonts w:ascii="Open Sans" w:hAnsi="Open Sans" w:cs="Open Sans"/>
        </w:rPr>
        <w:t>p</w:t>
      </w:r>
      <w:r w:rsidRPr="00E54ED0">
        <w:rPr>
          <w:rFonts w:ascii="Open Sans" w:hAnsi="Open Sans" w:cs="Open Sans"/>
        </w:rPr>
        <w:t>rojects</w:t>
      </w:r>
      <w:r>
        <w:rPr>
          <w:rFonts w:ascii="Open Sans" w:hAnsi="Open Sans" w:cs="Open Sans"/>
        </w:rPr>
        <w:t xml:space="preserve">. </w:t>
      </w:r>
      <w:r w:rsidRPr="00E54ED0">
        <w:rPr>
          <w:rFonts w:ascii="Open Sans" w:hAnsi="Open Sans" w:cs="Open Sans"/>
        </w:rPr>
        <w:t xml:space="preserve">In one move, </w:t>
      </w:r>
      <w:r>
        <w:rPr>
          <w:rFonts w:ascii="Open Sans" w:hAnsi="Open Sans" w:cs="Open Sans"/>
        </w:rPr>
        <w:t>this measure</w:t>
      </w:r>
      <w:r w:rsidRPr="00E54ED0">
        <w:rPr>
          <w:rFonts w:ascii="Open Sans" w:hAnsi="Open Sans" w:cs="Open Sans"/>
        </w:rPr>
        <w:t xml:space="preserve"> would help to bolster clean industries, incentivise decarbonisation, support green jobs and help businesses make energy cost savings.</w:t>
      </w:r>
    </w:p>
    <w:p w14:paraId="5B580FCD" w14:textId="3D32D5BD" w:rsidR="00AD38FD" w:rsidRDefault="000C74F5" w:rsidP="00AD38FD">
      <w:pPr>
        <w:rPr>
          <w:rFonts w:ascii="Open Sans" w:hAnsi="Open Sans" w:cs="Open Sans"/>
        </w:rPr>
      </w:pPr>
      <w:r w:rsidRPr="00E54ED0">
        <w:rPr>
          <w:rFonts w:ascii="Open Sans" w:hAnsi="Open Sans" w:cs="Open Sans"/>
        </w:rPr>
        <w:t xml:space="preserve">This would also be </w:t>
      </w:r>
      <w:r>
        <w:rPr>
          <w:rFonts w:ascii="Open Sans" w:hAnsi="Open Sans" w:cs="Open Sans"/>
        </w:rPr>
        <w:t xml:space="preserve">a </w:t>
      </w:r>
      <w:r w:rsidRPr="00E54ED0">
        <w:rPr>
          <w:rFonts w:ascii="Open Sans" w:hAnsi="Open Sans" w:cs="Open Sans"/>
        </w:rPr>
        <w:t>progressive</w:t>
      </w:r>
      <w:r>
        <w:rPr>
          <w:rFonts w:ascii="Open Sans" w:hAnsi="Open Sans" w:cs="Open Sans"/>
        </w:rPr>
        <w:t xml:space="preserve"> tax measure</w:t>
      </w:r>
      <w:r w:rsidRPr="00E54ED0">
        <w:rPr>
          <w:rFonts w:ascii="Open Sans" w:hAnsi="Open Sans" w:cs="Open Sans"/>
        </w:rPr>
        <w:t>, if installations rise due to relief, then the Government will recoup tax re</w:t>
      </w:r>
      <w:r w:rsidRPr="00E54ED0">
        <w:rPr>
          <w:rFonts w:ascii="Open Sans" w:hAnsi="Open Sans" w:cs="Open Sans"/>
        </w:rPr>
        <w:t xml:space="preserve">venue through a larger number of </w:t>
      </w:r>
      <w:r>
        <w:rPr>
          <w:rFonts w:ascii="Open Sans" w:hAnsi="Open Sans" w:cs="Open Sans"/>
        </w:rPr>
        <w:t xml:space="preserve">renewable energy companies and taxable projects resulting in </w:t>
      </w:r>
      <w:r w:rsidRPr="00E54ED0">
        <w:rPr>
          <w:rFonts w:ascii="Open Sans" w:hAnsi="Open Sans" w:cs="Open Sans"/>
        </w:rPr>
        <w:t xml:space="preserve">higher corporation tax and VAT </w:t>
      </w:r>
      <w:r>
        <w:rPr>
          <w:rFonts w:ascii="Open Sans" w:hAnsi="Open Sans" w:cs="Open Sans"/>
        </w:rPr>
        <w:t>revenue</w:t>
      </w:r>
      <w:r w:rsidRPr="00E54ED0">
        <w:rPr>
          <w:rFonts w:ascii="Open Sans" w:hAnsi="Open Sans" w:cs="Open Sans"/>
        </w:rPr>
        <w:t>, as such the relief can be expected to be cost-neutral to Government.</w:t>
      </w:r>
    </w:p>
    <w:p w14:paraId="5C630F20" w14:textId="77777777" w:rsidR="00AD38FD" w:rsidRPr="00E54ED0" w:rsidRDefault="000C74F5" w:rsidP="00AD38FD">
      <w:pPr>
        <w:rPr>
          <w:rFonts w:ascii="Open Sans" w:hAnsi="Open Sans" w:cs="Open Sans"/>
        </w:rPr>
      </w:pPr>
      <w:r>
        <w:rPr>
          <w:rFonts w:ascii="Open Sans" w:hAnsi="Open Sans" w:cs="Open Sans"/>
        </w:rPr>
        <w:t>Business rate relief for renewables and clean technol</w:t>
      </w:r>
      <w:r>
        <w:rPr>
          <w:rFonts w:ascii="Open Sans" w:hAnsi="Open Sans" w:cs="Open Sans"/>
        </w:rPr>
        <w:t>ogies also helps rationalise climate policy intent across Whitehall. As it stands, support mechanisms such as the Renewable Heat Incentive, Contracts for Difference and Feed-in Tariff are provided by BEIS, only for this cost support to be undermined by hei</w:t>
      </w:r>
      <w:r>
        <w:rPr>
          <w:rFonts w:ascii="Open Sans" w:hAnsi="Open Sans" w:cs="Open Sans"/>
        </w:rPr>
        <w:t xml:space="preserve">ghtened business rate liabilities. This becomes a costly way of recycling public spending through Government departments rather than helping to build industries needed for decarbonisation. </w:t>
      </w:r>
    </w:p>
    <w:p w14:paraId="5F482ECB" w14:textId="77777777" w:rsidR="00AD38FD" w:rsidRDefault="000C74F5" w:rsidP="00AD38FD">
      <w:pPr>
        <w:rPr>
          <w:rFonts w:ascii="Open Sans" w:hAnsi="Open Sans" w:cs="Open Sans"/>
        </w:rPr>
      </w:pPr>
      <w:r w:rsidRPr="00E54ED0">
        <w:rPr>
          <w:rFonts w:ascii="Open Sans" w:hAnsi="Open Sans" w:cs="Open Sans"/>
        </w:rPr>
        <w:t xml:space="preserve">Investments in renewables and decentralised energy infrastructure </w:t>
      </w:r>
      <w:r w:rsidRPr="00E54ED0">
        <w:rPr>
          <w:rFonts w:ascii="Open Sans" w:hAnsi="Open Sans" w:cs="Open Sans"/>
        </w:rPr>
        <w:t>should be supported.</w:t>
      </w:r>
      <w:r>
        <w:rPr>
          <w:rFonts w:ascii="Open Sans" w:hAnsi="Open Sans" w:cs="Open Sans"/>
        </w:rPr>
        <w:t xml:space="preserve"> A similar scheme to the</w:t>
      </w:r>
      <w:r w:rsidRPr="00E54ED0">
        <w:rPr>
          <w:rFonts w:ascii="Open Sans" w:hAnsi="Open Sans" w:cs="Open Sans"/>
        </w:rPr>
        <w:t xml:space="preserve"> Business Growth accelerator, as introduced in Scotland, should be introduced in England and Wales. This grants 18 months</w:t>
      </w:r>
      <w:r>
        <w:rPr>
          <w:rFonts w:ascii="Open Sans" w:hAnsi="Open Sans" w:cs="Open Sans"/>
        </w:rPr>
        <w:t>’</w:t>
      </w:r>
      <w:r w:rsidRPr="00E54ED0">
        <w:rPr>
          <w:rFonts w:ascii="Open Sans" w:hAnsi="Open Sans" w:cs="Open Sans"/>
        </w:rPr>
        <w:t xml:space="preserve"> business rate relief on new investment from the date the building/asset is completed</w:t>
      </w:r>
      <w:r>
        <w:rPr>
          <w:rFonts w:ascii="Open Sans" w:hAnsi="Open Sans" w:cs="Open Sans"/>
        </w:rPr>
        <w:t xml:space="preserve"> and </w:t>
      </w:r>
      <w:r>
        <w:rPr>
          <w:rFonts w:ascii="Open Sans" w:hAnsi="Open Sans" w:cs="Open Sans"/>
        </w:rPr>
        <w:t>this should be extended to explicitly include renewable and clean technology improvements</w:t>
      </w:r>
      <w:r w:rsidRPr="00E54ED0">
        <w:rPr>
          <w:rFonts w:ascii="Open Sans" w:hAnsi="Open Sans" w:cs="Open Sans"/>
        </w:rPr>
        <w:t>. This could significantly help the deployment of new renewable and clean technology projects.</w:t>
      </w:r>
      <w:r>
        <w:rPr>
          <w:rFonts w:ascii="Open Sans" w:hAnsi="Open Sans" w:cs="Open Sans"/>
        </w:rPr>
        <w:t xml:space="preserve"> </w:t>
      </w:r>
    </w:p>
    <w:p w14:paraId="6C0C569E" w14:textId="6F37F85C" w:rsidR="00603628" w:rsidRPr="006B0774" w:rsidRDefault="000C74F5" w:rsidP="00AD38FD">
      <w:pPr>
        <w:rPr>
          <w:rFonts w:ascii="Open Sans" w:hAnsi="Open Sans" w:cs="Open Sans"/>
        </w:rPr>
      </w:pPr>
      <w:r>
        <w:rPr>
          <w:rFonts w:ascii="Open Sans" w:hAnsi="Open Sans" w:cs="Open Sans"/>
        </w:rPr>
        <w:t>Furthermore, a 50% ‘mineral extraction’ rates exemption applies in Scot</w:t>
      </w:r>
      <w:r>
        <w:rPr>
          <w:rFonts w:ascii="Open Sans" w:hAnsi="Open Sans" w:cs="Open Sans"/>
        </w:rPr>
        <w:t>land to landfill extraction projects, this should be extended to England</w:t>
      </w:r>
    </w:p>
    <w:p w14:paraId="57AB6CBE" w14:textId="73427541" w:rsidR="00603628" w:rsidRPr="00AD38FD" w:rsidRDefault="000C74F5" w:rsidP="00E42619">
      <w:pPr>
        <w:rPr>
          <w:rFonts w:ascii="Open Sans" w:hAnsi="Open Sans" w:cs="Open Sans"/>
          <w:b/>
          <w:bCs/>
          <w:color w:val="2F5496"/>
        </w:rPr>
      </w:pPr>
      <w:r w:rsidRPr="00AD38FD">
        <w:rPr>
          <w:rFonts w:ascii="Open Sans" w:hAnsi="Open Sans" w:cs="Open Sans"/>
          <w:b/>
          <w:bCs/>
          <w:color w:val="2F5496"/>
        </w:rPr>
        <w:t>6</w:t>
      </w:r>
      <w:r w:rsidRPr="00AD38FD">
        <w:rPr>
          <w:rFonts w:ascii="Open Sans" w:hAnsi="Open Sans" w:cs="Open Sans"/>
          <w:b/>
          <w:bCs/>
          <w:color w:val="2F5496"/>
        </w:rPr>
        <w:tab/>
        <w:t xml:space="preserve">Do you agree that that moving to a three-year cycle should be the Government’s priority for this stage of reform, and that going further should remain an option for the future? </w:t>
      </w:r>
    </w:p>
    <w:p w14:paraId="3BC4ECB8" w14:textId="7CF3CADB" w:rsidR="00603628" w:rsidRPr="00AD38FD" w:rsidRDefault="000C74F5" w:rsidP="00E42619">
      <w:pPr>
        <w:rPr>
          <w:rFonts w:ascii="Open Sans" w:hAnsi="Open Sans" w:cs="Open Sans"/>
          <w:color w:val="2F5496"/>
        </w:rPr>
      </w:pPr>
      <w:r w:rsidRPr="00AD38FD">
        <w:rPr>
          <w:rFonts w:ascii="Open Sans" w:hAnsi="Open Sans" w:cs="Open Sans"/>
          <w:b/>
          <w:bCs/>
          <w:color w:val="2F5496"/>
        </w:rPr>
        <w:lastRenderedPageBreak/>
        <w:t>7</w:t>
      </w:r>
      <w:r w:rsidRPr="00AD38FD">
        <w:rPr>
          <w:rFonts w:ascii="Open Sans" w:hAnsi="Open Sans" w:cs="Open Sans"/>
          <w:b/>
          <w:bCs/>
          <w:color w:val="2F5496"/>
        </w:rPr>
        <w:tab/>
        <w:t>Would you support a move to an annual revaluations cycle or a shorter AVD in the future, accompanied by the necessary enabling reforms set out in this chapter? (1000 words</w:t>
      </w:r>
    </w:p>
    <w:p w14:paraId="17B87788" w14:textId="36706DA2" w:rsidR="00603628" w:rsidRPr="006B0774" w:rsidRDefault="000C74F5" w:rsidP="00E42619">
      <w:pPr>
        <w:rPr>
          <w:rFonts w:ascii="Open Sans" w:hAnsi="Open Sans" w:cs="Open Sans"/>
        </w:rPr>
      </w:pPr>
      <w:r w:rsidRPr="006B0774">
        <w:rPr>
          <w:rFonts w:ascii="Open Sans" w:hAnsi="Open Sans" w:cs="Open Sans"/>
        </w:rPr>
        <w:t xml:space="preserve">The REA support the move to a 3-year </w:t>
      </w:r>
      <w:r w:rsidR="00AD38FD" w:rsidRPr="006B0774">
        <w:rPr>
          <w:rFonts w:ascii="Open Sans" w:hAnsi="Open Sans" w:cs="Open Sans"/>
        </w:rPr>
        <w:t>cycle but</w:t>
      </w:r>
      <w:r w:rsidRPr="006B0774">
        <w:rPr>
          <w:rFonts w:ascii="Open Sans" w:hAnsi="Open Sans" w:cs="Open Sans"/>
        </w:rPr>
        <w:t xml:space="preserve"> suggest that the ultimate </w:t>
      </w:r>
      <w:r w:rsidRPr="006B0774">
        <w:rPr>
          <w:rFonts w:ascii="Open Sans" w:hAnsi="Open Sans" w:cs="Open Sans"/>
        </w:rPr>
        <w:t xml:space="preserve">goals should be a move to both annual revaluations and an AVD of 1-year. This will provide the most accurate business </w:t>
      </w:r>
      <w:r w:rsidR="00AD38FD">
        <w:rPr>
          <w:rFonts w:ascii="Open Sans" w:hAnsi="Open Sans" w:cs="Open Sans"/>
        </w:rPr>
        <w:t xml:space="preserve">rating </w:t>
      </w:r>
      <w:r w:rsidRPr="006B0774">
        <w:rPr>
          <w:rFonts w:ascii="Open Sans" w:hAnsi="Open Sans" w:cs="Open Sans"/>
        </w:rPr>
        <w:t>system possible</w:t>
      </w:r>
      <w:r w:rsidR="00AD38FD">
        <w:rPr>
          <w:rFonts w:ascii="Open Sans" w:hAnsi="Open Sans" w:cs="Open Sans"/>
        </w:rPr>
        <w:t>,</w:t>
      </w:r>
      <w:r w:rsidRPr="006B0774">
        <w:rPr>
          <w:rFonts w:ascii="Open Sans" w:hAnsi="Open Sans" w:cs="Open Sans"/>
        </w:rPr>
        <w:t xml:space="preserve"> able to accurately reflect the economic reality for renewable energy and the clean technology </w:t>
      </w:r>
      <w:r w:rsidR="00AD38FD">
        <w:rPr>
          <w:rFonts w:ascii="Open Sans" w:hAnsi="Open Sans" w:cs="Open Sans"/>
        </w:rPr>
        <w:t xml:space="preserve">market. </w:t>
      </w:r>
      <w:r w:rsidRPr="006B0774">
        <w:rPr>
          <w:rFonts w:ascii="Open Sans" w:hAnsi="Open Sans" w:cs="Open Sans"/>
        </w:rPr>
        <w:t xml:space="preserve"> </w:t>
      </w:r>
    </w:p>
    <w:p w14:paraId="123E9599" w14:textId="7791654E" w:rsidR="00603628" w:rsidRDefault="000C74F5" w:rsidP="00E42619">
      <w:pPr>
        <w:rPr>
          <w:rFonts w:ascii="Open Sans" w:hAnsi="Open Sans" w:cs="Open Sans"/>
        </w:rPr>
      </w:pPr>
      <w:r w:rsidRPr="006B0774">
        <w:rPr>
          <w:rFonts w:ascii="Open Sans" w:hAnsi="Open Sans" w:cs="Open Sans"/>
        </w:rPr>
        <w:t>The introd</w:t>
      </w:r>
      <w:r w:rsidRPr="006B0774">
        <w:rPr>
          <w:rFonts w:ascii="Open Sans" w:hAnsi="Open Sans" w:cs="Open Sans"/>
        </w:rPr>
        <w:t>uction of online portals and increased obligations on ratepayers should be matched by a clear pathway for how the UK could move to annual revaluations based on the information received. We recognise this is a</w:t>
      </w:r>
      <w:r w:rsidR="00AD38FD">
        <w:rPr>
          <w:rFonts w:ascii="Open Sans" w:hAnsi="Open Sans" w:cs="Open Sans"/>
        </w:rPr>
        <w:t>n</w:t>
      </w:r>
      <w:r w:rsidRPr="006B0774">
        <w:rPr>
          <w:rFonts w:ascii="Open Sans" w:hAnsi="Open Sans" w:cs="Open Sans"/>
        </w:rPr>
        <w:t xml:space="preserve"> iterative process and welcome the opportunity </w:t>
      </w:r>
      <w:r w:rsidRPr="006B0774">
        <w:rPr>
          <w:rFonts w:ascii="Open Sans" w:hAnsi="Open Sans" w:cs="Open Sans"/>
        </w:rPr>
        <w:t xml:space="preserve">to work with the government to see how this could be delivered. </w:t>
      </w:r>
    </w:p>
    <w:p w14:paraId="1FE85FF8" w14:textId="30B65FAC" w:rsidR="00AD38FD" w:rsidRDefault="00AD38FD" w:rsidP="00E42619">
      <w:pPr>
        <w:rPr>
          <w:rFonts w:ascii="Open Sans" w:hAnsi="Open Sans" w:cs="Open Sans"/>
        </w:rPr>
      </w:pPr>
    </w:p>
    <w:p w14:paraId="5F811443" w14:textId="7D951F68" w:rsidR="00AD38FD" w:rsidRPr="00AD38FD" w:rsidRDefault="000C74F5" w:rsidP="00AD38FD">
      <w:pPr>
        <w:jc w:val="right"/>
        <w:rPr>
          <w:rFonts w:ascii="Open Sans" w:hAnsi="Open Sans" w:cs="Open Sans"/>
          <w:b/>
          <w:bCs/>
          <w:i/>
          <w:iCs/>
        </w:rPr>
      </w:pPr>
      <w:r w:rsidRPr="00AD38FD">
        <w:rPr>
          <w:rFonts w:ascii="Open Sans" w:hAnsi="Open Sans" w:cs="Open Sans"/>
          <w:b/>
          <w:bCs/>
          <w:i/>
          <w:iCs/>
        </w:rPr>
        <w:t>August 2021</w:t>
      </w:r>
    </w:p>
    <w:p w14:paraId="4649B494" w14:textId="14A172E0" w:rsidR="00603628" w:rsidRPr="006B0774" w:rsidRDefault="00603628" w:rsidP="00E42619">
      <w:pPr>
        <w:rPr>
          <w:rFonts w:ascii="Open Sans" w:hAnsi="Open Sans" w:cs="Open Sans"/>
        </w:rPr>
      </w:pPr>
    </w:p>
    <w:p w14:paraId="1D383B80" w14:textId="114F4EF5" w:rsidR="00B36ADE" w:rsidRDefault="00B36ADE" w:rsidP="00E42619">
      <w:pPr>
        <w:rPr>
          <w:rFonts w:ascii="Open Sans" w:hAnsi="Open Sans" w:cs="Open Sans"/>
        </w:rPr>
      </w:pPr>
    </w:p>
    <w:p w14:paraId="2A94BBFC" w14:textId="77777777" w:rsidR="00B36ADE" w:rsidRPr="006B0774" w:rsidRDefault="00B36ADE" w:rsidP="00E42619">
      <w:pPr>
        <w:rPr>
          <w:rFonts w:ascii="Open Sans" w:hAnsi="Open Sans" w:cs="Open Sans"/>
        </w:rPr>
      </w:pPr>
    </w:p>
    <w:sectPr w:rsidR="00B36ADE" w:rsidRPr="006B077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B9F2F" w14:textId="77777777" w:rsidR="00000000" w:rsidRDefault="000C74F5">
      <w:pPr>
        <w:spacing w:after="0" w:line="240" w:lineRule="auto"/>
      </w:pPr>
      <w:r>
        <w:separator/>
      </w:r>
    </w:p>
  </w:endnote>
  <w:endnote w:type="continuationSeparator" w:id="0">
    <w:p w14:paraId="2060A0F6" w14:textId="77777777" w:rsidR="00000000" w:rsidRDefault="000C7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54A66" w14:textId="77777777" w:rsidR="00000000" w:rsidRDefault="000C74F5">
      <w:pPr>
        <w:spacing w:after="0" w:line="240" w:lineRule="auto"/>
      </w:pPr>
      <w:r>
        <w:separator/>
      </w:r>
    </w:p>
  </w:footnote>
  <w:footnote w:type="continuationSeparator" w:id="0">
    <w:p w14:paraId="5B61C75A" w14:textId="77777777" w:rsidR="00000000" w:rsidRDefault="000C7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441D" w14:textId="465F221A" w:rsidR="006B0774" w:rsidRDefault="000C74F5" w:rsidP="006B0774">
    <w:pPr>
      <w:pStyle w:val="Header"/>
      <w:jc w:val="right"/>
    </w:pPr>
    <w:r>
      <w:rPr>
        <w:noProof/>
      </w:rPr>
      <w:drawing>
        <wp:anchor distT="0" distB="0" distL="114300" distR="114300" simplePos="0" relativeHeight="251658240" behindDoc="0" locked="0" layoutInCell="1" allowOverlap="1">
          <wp:simplePos x="0" y="0"/>
          <wp:positionH relativeFrom="margin">
            <wp:posOffset>4617720</wp:posOffset>
          </wp:positionH>
          <wp:positionV relativeFrom="paragraph">
            <wp:posOffset>-213360</wp:posOffset>
          </wp:positionV>
          <wp:extent cx="1203960" cy="62611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203960" cy="6261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95CAE"/>
    <w:multiLevelType w:val="hybridMultilevel"/>
    <w:tmpl w:val="B3A0719A"/>
    <w:lvl w:ilvl="0" w:tplc="98FEBDFE">
      <w:start w:val="1"/>
      <w:numFmt w:val="bullet"/>
      <w:lvlText w:val=""/>
      <w:lvlJc w:val="left"/>
      <w:pPr>
        <w:ind w:left="720" w:hanging="360"/>
      </w:pPr>
      <w:rPr>
        <w:rFonts w:ascii="Symbol" w:hAnsi="Symbol" w:hint="default"/>
      </w:rPr>
    </w:lvl>
    <w:lvl w:ilvl="1" w:tplc="4CAE1408" w:tentative="1">
      <w:start w:val="1"/>
      <w:numFmt w:val="bullet"/>
      <w:lvlText w:val="o"/>
      <w:lvlJc w:val="left"/>
      <w:pPr>
        <w:ind w:left="1440" w:hanging="360"/>
      </w:pPr>
      <w:rPr>
        <w:rFonts w:ascii="Courier New" w:hAnsi="Courier New" w:cs="Courier New" w:hint="default"/>
      </w:rPr>
    </w:lvl>
    <w:lvl w:ilvl="2" w:tplc="F9B4F5D8" w:tentative="1">
      <w:start w:val="1"/>
      <w:numFmt w:val="bullet"/>
      <w:lvlText w:val=""/>
      <w:lvlJc w:val="left"/>
      <w:pPr>
        <w:ind w:left="2160" w:hanging="360"/>
      </w:pPr>
      <w:rPr>
        <w:rFonts w:ascii="Wingdings" w:hAnsi="Wingdings" w:hint="default"/>
      </w:rPr>
    </w:lvl>
    <w:lvl w:ilvl="3" w:tplc="03CAC9A6" w:tentative="1">
      <w:start w:val="1"/>
      <w:numFmt w:val="bullet"/>
      <w:lvlText w:val=""/>
      <w:lvlJc w:val="left"/>
      <w:pPr>
        <w:ind w:left="2880" w:hanging="360"/>
      </w:pPr>
      <w:rPr>
        <w:rFonts w:ascii="Symbol" w:hAnsi="Symbol" w:hint="default"/>
      </w:rPr>
    </w:lvl>
    <w:lvl w:ilvl="4" w:tplc="90CC4F60" w:tentative="1">
      <w:start w:val="1"/>
      <w:numFmt w:val="bullet"/>
      <w:lvlText w:val="o"/>
      <w:lvlJc w:val="left"/>
      <w:pPr>
        <w:ind w:left="3600" w:hanging="360"/>
      </w:pPr>
      <w:rPr>
        <w:rFonts w:ascii="Courier New" w:hAnsi="Courier New" w:cs="Courier New" w:hint="default"/>
      </w:rPr>
    </w:lvl>
    <w:lvl w:ilvl="5" w:tplc="AE407846" w:tentative="1">
      <w:start w:val="1"/>
      <w:numFmt w:val="bullet"/>
      <w:lvlText w:val=""/>
      <w:lvlJc w:val="left"/>
      <w:pPr>
        <w:ind w:left="4320" w:hanging="360"/>
      </w:pPr>
      <w:rPr>
        <w:rFonts w:ascii="Wingdings" w:hAnsi="Wingdings" w:hint="default"/>
      </w:rPr>
    </w:lvl>
    <w:lvl w:ilvl="6" w:tplc="A6A0ECE6" w:tentative="1">
      <w:start w:val="1"/>
      <w:numFmt w:val="bullet"/>
      <w:lvlText w:val=""/>
      <w:lvlJc w:val="left"/>
      <w:pPr>
        <w:ind w:left="5040" w:hanging="360"/>
      </w:pPr>
      <w:rPr>
        <w:rFonts w:ascii="Symbol" w:hAnsi="Symbol" w:hint="default"/>
      </w:rPr>
    </w:lvl>
    <w:lvl w:ilvl="7" w:tplc="CAEAEA56" w:tentative="1">
      <w:start w:val="1"/>
      <w:numFmt w:val="bullet"/>
      <w:lvlText w:val="o"/>
      <w:lvlJc w:val="left"/>
      <w:pPr>
        <w:ind w:left="5760" w:hanging="360"/>
      </w:pPr>
      <w:rPr>
        <w:rFonts w:ascii="Courier New" w:hAnsi="Courier New" w:cs="Courier New" w:hint="default"/>
      </w:rPr>
    </w:lvl>
    <w:lvl w:ilvl="8" w:tplc="79B6A378" w:tentative="1">
      <w:start w:val="1"/>
      <w:numFmt w:val="bullet"/>
      <w:lvlText w:val=""/>
      <w:lvlJc w:val="left"/>
      <w:pPr>
        <w:ind w:left="6480" w:hanging="360"/>
      </w:pPr>
      <w:rPr>
        <w:rFonts w:ascii="Wingdings" w:hAnsi="Wingdings" w:hint="default"/>
      </w:rPr>
    </w:lvl>
  </w:abstractNum>
  <w:abstractNum w:abstractNumId="1" w15:restartNumberingAfterBreak="0">
    <w:nsid w:val="1CBF7729"/>
    <w:multiLevelType w:val="hybridMultilevel"/>
    <w:tmpl w:val="857C741C"/>
    <w:lvl w:ilvl="0" w:tplc="7C36BD48">
      <w:start w:val="1"/>
      <w:numFmt w:val="bullet"/>
      <w:lvlText w:val=""/>
      <w:lvlJc w:val="left"/>
      <w:pPr>
        <w:ind w:left="720" w:hanging="360"/>
      </w:pPr>
      <w:rPr>
        <w:rFonts w:ascii="Symbol" w:hAnsi="Symbol" w:hint="default"/>
      </w:rPr>
    </w:lvl>
    <w:lvl w:ilvl="1" w:tplc="00A867EC" w:tentative="1">
      <w:start w:val="1"/>
      <w:numFmt w:val="bullet"/>
      <w:lvlText w:val="o"/>
      <w:lvlJc w:val="left"/>
      <w:pPr>
        <w:ind w:left="1440" w:hanging="360"/>
      </w:pPr>
      <w:rPr>
        <w:rFonts w:ascii="Courier New" w:hAnsi="Courier New" w:cs="Courier New" w:hint="default"/>
      </w:rPr>
    </w:lvl>
    <w:lvl w:ilvl="2" w:tplc="4572BB96" w:tentative="1">
      <w:start w:val="1"/>
      <w:numFmt w:val="bullet"/>
      <w:lvlText w:val=""/>
      <w:lvlJc w:val="left"/>
      <w:pPr>
        <w:ind w:left="2160" w:hanging="360"/>
      </w:pPr>
      <w:rPr>
        <w:rFonts w:ascii="Wingdings" w:hAnsi="Wingdings" w:hint="default"/>
      </w:rPr>
    </w:lvl>
    <w:lvl w:ilvl="3" w:tplc="E18A13B8" w:tentative="1">
      <w:start w:val="1"/>
      <w:numFmt w:val="bullet"/>
      <w:lvlText w:val=""/>
      <w:lvlJc w:val="left"/>
      <w:pPr>
        <w:ind w:left="2880" w:hanging="360"/>
      </w:pPr>
      <w:rPr>
        <w:rFonts w:ascii="Symbol" w:hAnsi="Symbol" w:hint="default"/>
      </w:rPr>
    </w:lvl>
    <w:lvl w:ilvl="4" w:tplc="D90EA6D4" w:tentative="1">
      <w:start w:val="1"/>
      <w:numFmt w:val="bullet"/>
      <w:lvlText w:val="o"/>
      <w:lvlJc w:val="left"/>
      <w:pPr>
        <w:ind w:left="3600" w:hanging="360"/>
      </w:pPr>
      <w:rPr>
        <w:rFonts w:ascii="Courier New" w:hAnsi="Courier New" w:cs="Courier New" w:hint="default"/>
      </w:rPr>
    </w:lvl>
    <w:lvl w:ilvl="5" w:tplc="81A06360" w:tentative="1">
      <w:start w:val="1"/>
      <w:numFmt w:val="bullet"/>
      <w:lvlText w:val=""/>
      <w:lvlJc w:val="left"/>
      <w:pPr>
        <w:ind w:left="4320" w:hanging="360"/>
      </w:pPr>
      <w:rPr>
        <w:rFonts w:ascii="Wingdings" w:hAnsi="Wingdings" w:hint="default"/>
      </w:rPr>
    </w:lvl>
    <w:lvl w:ilvl="6" w:tplc="BA3AB1B6" w:tentative="1">
      <w:start w:val="1"/>
      <w:numFmt w:val="bullet"/>
      <w:lvlText w:val=""/>
      <w:lvlJc w:val="left"/>
      <w:pPr>
        <w:ind w:left="5040" w:hanging="360"/>
      </w:pPr>
      <w:rPr>
        <w:rFonts w:ascii="Symbol" w:hAnsi="Symbol" w:hint="default"/>
      </w:rPr>
    </w:lvl>
    <w:lvl w:ilvl="7" w:tplc="0EE6E1BE" w:tentative="1">
      <w:start w:val="1"/>
      <w:numFmt w:val="bullet"/>
      <w:lvlText w:val="o"/>
      <w:lvlJc w:val="left"/>
      <w:pPr>
        <w:ind w:left="5760" w:hanging="360"/>
      </w:pPr>
      <w:rPr>
        <w:rFonts w:ascii="Courier New" w:hAnsi="Courier New" w:cs="Courier New" w:hint="default"/>
      </w:rPr>
    </w:lvl>
    <w:lvl w:ilvl="8" w:tplc="CE9AA394" w:tentative="1">
      <w:start w:val="1"/>
      <w:numFmt w:val="bullet"/>
      <w:lvlText w:val=""/>
      <w:lvlJc w:val="left"/>
      <w:pPr>
        <w:ind w:left="6480" w:hanging="360"/>
      </w:pPr>
      <w:rPr>
        <w:rFonts w:ascii="Wingdings" w:hAnsi="Wingdings" w:hint="default"/>
      </w:rPr>
    </w:lvl>
  </w:abstractNum>
  <w:abstractNum w:abstractNumId="2" w15:restartNumberingAfterBreak="0">
    <w:nsid w:val="1CF1022C"/>
    <w:multiLevelType w:val="hybridMultilevel"/>
    <w:tmpl w:val="1BACFF96"/>
    <w:lvl w:ilvl="0" w:tplc="0B288372">
      <w:start w:val="1"/>
      <w:numFmt w:val="bullet"/>
      <w:lvlText w:val="-"/>
      <w:lvlJc w:val="left"/>
      <w:pPr>
        <w:ind w:left="720" w:hanging="360"/>
      </w:pPr>
      <w:rPr>
        <w:rFonts w:ascii="Calibri" w:eastAsiaTheme="minorHAnsi" w:hAnsi="Calibri" w:cs="Calibri" w:hint="default"/>
      </w:rPr>
    </w:lvl>
    <w:lvl w:ilvl="1" w:tplc="547EC496" w:tentative="1">
      <w:start w:val="1"/>
      <w:numFmt w:val="bullet"/>
      <w:lvlText w:val="o"/>
      <w:lvlJc w:val="left"/>
      <w:pPr>
        <w:ind w:left="1440" w:hanging="360"/>
      </w:pPr>
      <w:rPr>
        <w:rFonts w:ascii="Courier New" w:hAnsi="Courier New" w:cs="Courier New" w:hint="default"/>
      </w:rPr>
    </w:lvl>
    <w:lvl w:ilvl="2" w:tplc="335487C8" w:tentative="1">
      <w:start w:val="1"/>
      <w:numFmt w:val="bullet"/>
      <w:lvlText w:val=""/>
      <w:lvlJc w:val="left"/>
      <w:pPr>
        <w:ind w:left="2160" w:hanging="360"/>
      </w:pPr>
      <w:rPr>
        <w:rFonts w:ascii="Wingdings" w:hAnsi="Wingdings" w:hint="default"/>
      </w:rPr>
    </w:lvl>
    <w:lvl w:ilvl="3" w:tplc="AB904F98" w:tentative="1">
      <w:start w:val="1"/>
      <w:numFmt w:val="bullet"/>
      <w:lvlText w:val=""/>
      <w:lvlJc w:val="left"/>
      <w:pPr>
        <w:ind w:left="2880" w:hanging="360"/>
      </w:pPr>
      <w:rPr>
        <w:rFonts w:ascii="Symbol" w:hAnsi="Symbol" w:hint="default"/>
      </w:rPr>
    </w:lvl>
    <w:lvl w:ilvl="4" w:tplc="05E47698" w:tentative="1">
      <w:start w:val="1"/>
      <w:numFmt w:val="bullet"/>
      <w:lvlText w:val="o"/>
      <w:lvlJc w:val="left"/>
      <w:pPr>
        <w:ind w:left="3600" w:hanging="360"/>
      </w:pPr>
      <w:rPr>
        <w:rFonts w:ascii="Courier New" w:hAnsi="Courier New" w:cs="Courier New" w:hint="default"/>
      </w:rPr>
    </w:lvl>
    <w:lvl w:ilvl="5" w:tplc="4426D40C" w:tentative="1">
      <w:start w:val="1"/>
      <w:numFmt w:val="bullet"/>
      <w:lvlText w:val=""/>
      <w:lvlJc w:val="left"/>
      <w:pPr>
        <w:ind w:left="4320" w:hanging="360"/>
      </w:pPr>
      <w:rPr>
        <w:rFonts w:ascii="Wingdings" w:hAnsi="Wingdings" w:hint="default"/>
      </w:rPr>
    </w:lvl>
    <w:lvl w:ilvl="6" w:tplc="4C3E4FB2" w:tentative="1">
      <w:start w:val="1"/>
      <w:numFmt w:val="bullet"/>
      <w:lvlText w:val=""/>
      <w:lvlJc w:val="left"/>
      <w:pPr>
        <w:ind w:left="5040" w:hanging="360"/>
      </w:pPr>
      <w:rPr>
        <w:rFonts w:ascii="Symbol" w:hAnsi="Symbol" w:hint="default"/>
      </w:rPr>
    </w:lvl>
    <w:lvl w:ilvl="7" w:tplc="C59EC758" w:tentative="1">
      <w:start w:val="1"/>
      <w:numFmt w:val="bullet"/>
      <w:lvlText w:val="o"/>
      <w:lvlJc w:val="left"/>
      <w:pPr>
        <w:ind w:left="5760" w:hanging="360"/>
      </w:pPr>
      <w:rPr>
        <w:rFonts w:ascii="Courier New" w:hAnsi="Courier New" w:cs="Courier New" w:hint="default"/>
      </w:rPr>
    </w:lvl>
    <w:lvl w:ilvl="8" w:tplc="2648FFDE" w:tentative="1">
      <w:start w:val="1"/>
      <w:numFmt w:val="bullet"/>
      <w:lvlText w:val=""/>
      <w:lvlJc w:val="left"/>
      <w:pPr>
        <w:ind w:left="6480" w:hanging="360"/>
      </w:pPr>
      <w:rPr>
        <w:rFonts w:ascii="Wingdings" w:hAnsi="Wingdings" w:hint="default"/>
      </w:rPr>
    </w:lvl>
  </w:abstractNum>
  <w:abstractNum w:abstractNumId="3" w15:restartNumberingAfterBreak="0">
    <w:nsid w:val="57577583"/>
    <w:multiLevelType w:val="hybridMultilevel"/>
    <w:tmpl w:val="0E22A9A0"/>
    <w:lvl w:ilvl="0" w:tplc="490EF840">
      <w:start w:val="1"/>
      <w:numFmt w:val="decimal"/>
      <w:lvlText w:val="%1."/>
      <w:lvlJc w:val="left"/>
      <w:pPr>
        <w:ind w:left="720" w:hanging="360"/>
      </w:pPr>
      <w:rPr>
        <w:rFonts w:hint="default"/>
        <w:b/>
      </w:rPr>
    </w:lvl>
    <w:lvl w:ilvl="1" w:tplc="408EED00" w:tentative="1">
      <w:start w:val="1"/>
      <w:numFmt w:val="lowerLetter"/>
      <w:lvlText w:val="%2."/>
      <w:lvlJc w:val="left"/>
      <w:pPr>
        <w:ind w:left="1440" w:hanging="360"/>
      </w:pPr>
    </w:lvl>
    <w:lvl w:ilvl="2" w:tplc="A7A4C0E4" w:tentative="1">
      <w:start w:val="1"/>
      <w:numFmt w:val="lowerRoman"/>
      <w:lvlText w:val="%3."/>
      <w:lvlJc w:val="right"/>
      <w:pPr>
        <w:ind w:left="2160" w:hanging="180"/>
      </w:pPr>
    </w:lvl>
    <w:lvl w:ilvl="3" w:tplc="5FC4477C" w:tentative="1">
      <w:start w:val="1"/>
      <w:numFmt w:val="decimal"/>
      <w:lvlText w:val="%4."/>
      <w:lvlJc w:val="left"/>
      <w:pPr>
        <w:ind w:left="2880" w:hanging="360"/>
      </w:pPr>
    </w:lvl>
    <w:lvl w:ilvl="4" w:tplc="BC34D104" w:tentative="1">
      <w:start w:val="1"/>
      <w:numFmt w:val="lowerLetter"/>
      <w:lvlText w:val="%5."/>
      <w:lvlJc w:val="left"/>
      <w:pPr>
        <w:ind w:left="3600" w:hanging="360"/>
      </w:pPr>
    </w:lvl>
    <w:lvl w:ilvl="5" w:tplc="1834025A" w:tentative="1">
      <w:start w:val="1"/>
      <w:numFmt w:val="lowerRoman"/>
      <w:lvlText w:val="%6."/>
      <w:lvlJc w:val="right"/>
      <w:pPr>
        <w:ind w:left="4320" w:hanging="180"/>
      </w:pPr>
    </w:lvl>
    <w:lvl w:ilvl="6" w:tplc="B4A25F98" w:tentative="1">
      <w:start w:val="1"/>
      <w:numFmt w:val="decimal"/>
      <w:lvlText w:val="%7."/>
      <w:lvlJc w:val="left"/>
      <w:pPr>
        <w:ind w:left="5040" w:hanging="360"/>
      </w:pPr>
    </w:lvl>
    <w:lvl w:ilvl="7" w:tplc="AF467D8E" w:tentative="1">
      <w:start w:val="1"/>
      <w:numFmt w:val="lowerLetter"/>
      <w:lvlText w:val="%8."/>
      <w:lvlJc w:val="left"/>
      <w:pPr>
        <w:ind w:left="5760" w:hanging="360"/>
      </w:pPr>
    </w:lvl>
    <w:lvl w:ilvl="8" w:tplc="3E62BE8E"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9F"/>
    <w:rsid w:val="000B399F"/>
    <w:rsid w:val="000C74F5"/>
    <w:rsid w:val="000E076E"/>
    <w:rsid w:val="00107920"/>
    <w:rsid w:val="002178E0"/>
    <w:rsid w:val="002475F6"/>
    <w:rsid w:val="0031749F"/>
    <w:rsid w:val="003668B0"/>
    <w:rsid w:val="004C3842"/>
    <w:rsid w:val="004C6757"/>
    <w:rsid w:val="00501833"/>
    <w:rsid w:val="005F13D1"/>
    <w:rsid w:val="00603628"/>
    <w:rsid w:val="00634A31"/>
    <w:rsid w:val="00664C9C"/>
    <w:rsid w:val="00690611"/>
    <w:rsid w:val="006B0774"/>
    <w:rsid w:val="009466C9"/>
    <w:rsid w:val="00A33909"/>
    <w:rsid w:val="00A40627"/>
    <w:rsid w:val="00AC1B53"/>
    <w:rsid w:val="00AD38FD"/>
    <w:rsid w:val="00B36ADE"/>
    <w:rsid w:val="00BD5D83"/>
    <w:rsid w:val="00BE2B0C"/>
    <w:rsid w:val="00C47097"/>
    <w:rsid w:val="00CC58C3"/>
    <w:rsid w:val="00D21480"/>
    <w:rsid w:val="00E30F37"/>
    <w:rsid w:val="00E42619"/>
    <w:rsid w:val="00E54ED0"/>
    <w:rsid w:val="00E8022D"/>
    <w:rsid w:val="00F37EE8"/>
    <w:rsid w:val="00F42043"/>
    <w:rsid w:val="00F77C95"/>
    <w:rsid w:val="00FC0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8766"/>
  <w15:chartTrackingRefBased/>
  <w15:docId w15:val="{0EBFF62F-D311-4ED3-B0D1-0B2DD0AC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99F"/>
    <w:pPr>
      <w:ind w:left="720"/>
      <w:contextualSpacing/>
    </w:pPr>
  </w:style>
  <w:style w:type="paragraph" w:styleId="Header">
    <w:name w:val="header"/>
    <w:basedOn w:val="Normal"/>
    <w:link w:val="HeaderChar"/>
    <w:uiPriority w:val="99"/>
    <w:unhideWhenUsed/>
    <w:rsid w:val="006B0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774"/>
  </w:style>
  <w:style w:type="paragraph" w:styleId="Footer">
    <w:name w:val="footer"/>
    <w:basedOn w:val="Normal"/>
    <w:link w:val="FooterChar"/>
    <w:uiPriority w:val="99"/>
    <w:unhideWhenUsed/>
    <w:rsid w:val="006B0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774"/>
  </w:style>
  <w:style w:type="character" w:styleId="Hyperlink">
    <w:name w:val="Hyperlink"/>
    <w:basedOn w:val="DefaultParagraphFont"/>
    <w:uiPriority w:val="99"/>
    <w:unhideWhenUsed/>
    <w:rsid w:val="00AD38FD"/>
    <w:rPr>
      <w:color w:val="0563C1" w:themeColor="hyperlink"/>
      <w:u w:val="single"/>
    </w:rPr>
  </w:style>
  <w:style w:type="paragraph" w:styleId="NormalWeb">
    <w:name w:val="Normal (Web)"/>
    <w:basedOn w:val="Normal"/>
    <w:uiPriority w:val="99"/>
    <w:semiHidden/>
    <w:unhideWhenUsed/>
    <w:rsid w:val="00B36AD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environment/2017/mar/06/solar-powered-schools-bill-business-rates-rise-england-wales" TargetMode="External"/><Relationship Id="rId3" Type="http://schemas.openxmlformats.org/officeDocument/2006/relationships/settings" Target="settings.xml"/><Relationship Id="rId7" Type="http://schemas.openxmlformats.org/officeDocument/2006/relationships/hyperlink" Target="https://www.solarpowerportal.co.uk/news/lidl_sees_business_rates_jump_528_due_to_solar_valu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6</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Sommerfeld</dc:creator>
  <cp:lastModifiedBy>Mark Sommerfeld</cp:lastModifiedBy>
  <cp:revision>5</cp:revision>
  <dcterms:created xsi:type="dcterms:W3CDTF">2021-08-11T18:36:00Z</dcterms:created>
  <dcterms:modified xsi:type="dcterms:W3CDTF">2021-08-13T09:13:00Z</dcterms:modified>
</cp:coreProperties>
</file>