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sz w:val="26"/>
          <w:szCs w:val="26"/>
          <w:rtl w:val="0"/>
        </w:rPr>
        <w:t xml:space="preserve">Agenda for REA Wood Heat Forum Member Meeting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sz w:val="26"/>
          <w:szCs w:val="26"/>
          <w:rtl w:val="0"/>
        </w:rPr>
        <w:t xml:space="preserve">28  September 2021 – </w:t>
      </w: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13.00 start. 14.30 finish.  Online: Microsoft Teams Platform</w:t>
      </w:r>
    </w:p>
    <w:tbl>
      <w:tblPr>
        <w:tblStyle w:val="Table1"/>
        <w:tblW w:w="13924.0" w:type="dxa"/>
        <w:jc w:val="left"/>
        <w:tblInd w:w="0.0" w:type="dxa"/>
        <w:tblLayout w:type="fixed"/>
        <w:tblLook w:val="0400"/>
      </w:tblPr>
      <w:tblGrid>
        <w:gridCol w:w="7166"/>
        <w:gridCol w:w="1990"/>
        <w:gridCol w:w="4768"/>
        <w:tblGridChange w:id="0">
          <w:tblGrid>
            <w:gridCol w:w="7166"/>
            <w:gridCol w:w="1990"/>
            <w:gridCol w:w="4768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Open Sans" w:cs="Open Sans" w:eastAsia="Open Sans" w:hAnsi="Open Sans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6"/>
                <w:szCs w:val="26"/>
                <w:rtl w:val="0"/>
              </w:rPr>
              <w:t xml:space="preserve">Item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</w:tcPr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6"/>
                <w:szCs w:val="26"/>
                <w:rtl w:val="0"/>
              </w:rPr>
              <w:t xml:space="preserve">Timings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pen Sans" w:cs="Open Sans" w:eastAsia="Open Sans" w:hAnsi="Open Sans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6"/>
                <w:szCs w:val="26"/>
                <w:rtl w:val="0"/>
              </w:rPr>
              <w:t xml:space="preserve">Responsibility/action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Welcome from the Chair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13.00 (5 min)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Julian Morgan Jones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South East Wood Fuels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Campaigning, messaging and external affairs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Overview of biomass strategy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Political meetings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WHF Messaging plan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13.05 (35 min)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REA Staff and Steering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Policy Update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Update on Heat and Building Strategy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Fuel Quality Standard and MCS Maintenance Standard Presentation/Update by Woodsure staff (Andrew Hopton)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Member discussion on MCS Maintenance Standard/Woodsure Q&amp;A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13.40 (40 min)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REA Staff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Woodsure Guest Speakers: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Andrew Hopton 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Wood Heat Forum Steering Group Election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14.20 (5 min)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Pablo John,  -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REA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rtl w:val="0"/>
              </w:rPr>
              <w:t xml:space="preserve">Closing comments from the Chair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14.25 (5 mins)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Julian Morgan Jones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South East Wood Fuels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rtl w:val="0"/>
              </w:rPr>
              <w:t xml:space="preserve">END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ind w:left="-142" w:firstLine="0"/>
        <w:rPr>
          <w:rFonts w:ascii="Open Sans" w:cs="Open Sans" w:eastAsia="Open Sans" w:hAnsi="Open Sans"/>
          <w:b w:val="1"/>
          <w:i w:val="1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6"/>
          <w:szCs w:val="26"/>
          <w:rtl w:val="0"/>
        </w:rPr>
        <w:t xml:space="preserve">If you are interested in attending please register </w:t>
      </w:r>
      <w:hyperlink r:id="rId6">
        <w:r w:rsidDel="00000000" w:rsidR="00000000" w:rsidRPr="00000000">
          <w:rPr>
            <w:rFonts w:ascii="Open Sans" w:cs="Open Sans" w:eastAsia="Open Sans" w:hAnsi="Open Sans"/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online</w:t>
        </w:r>
      </w:hyperlink>
      <w:r w:rsidDel="00000000" w:rsidR="00000000" w:rsidRPr="00000000">
        <w:rPr>
          <w:rFonts w:ascii="Open Sans" w:cs="Open Sans" w:eastAsia="Open Sans" w:hAnsi="Open Sans"/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1900" w:w="16820" w:orient="landscape"/>
      <w:pgMar w:bottom="993" w:top="1135" w:left="1440" w:right="144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666875" cy="3905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390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-e-a.net/events/wood-heat-forum-member-meeting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